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75" w:rsidRPr="00E9663C" w:rsidRDefault="005B3E75" w:rsidP="005B3E75">
      <w:pPr>
        <w:pStyle w:val="Court"/>
        <w:rPr>
          <w:lang w:val="en-US"/>
        </w:rPr>
      </w:pPr>
      <w:r w:rsidRPr="00E9663C">
        <w:rPr>
          <w:lang w:val="en-US"/>
        </w:rPr>
        <w:t>Supreme Court of Canada</w:t>
      </w:r>
    </w:p>
    <w:p w:rsidR="005B3E75" w:rsidRPr="00D0068E" w:rsidRDefault="005B3E75" w:rsidP="005B3E75">
      <w:pPr>
        <w:pStyle w:val="CitationLine"/>
        <w:rPr>
          <w:spacing w:val="11"/>
          <w:lang w:val="en-US"/>
        </w:rPr>
      </w:pPr>
      <w:r w:rsidRPr="00D0068E">
        <w:rPr>
          <w:lang w:val="en-US"/>
        </w:rPr>
        <w:t xml:space="preserve">The Queen v. </w:t>
      </w:r>
      <w:r w:rsidRPr="00D0068E">
        <w:rPr>
          <w:spacing w:val="11"/>
          <w:lang w:val="en-US"/>
        </w:rPr>
        <w:t>Bradley</w:t>
      </w:r>
      <w:r w:rsidR="003F0BFE">
        <w:rPr>
          <w:spacing w:val="11"/>
          <w:lang w:val="en-US"/>
        </w:rPr>
        <w:t>, (1897) 27 SC</w:t>
      </w:r>
      <w:bookmarkStart w:id="0" w:name="_GoBack"/>
      <w:bookmarkEnd w:id="0"/>
      <w:r w:rsidR="003F0BFE">
        <w:rPr>
          <w:spacing w:val="11"/>
          <w:lang w:val="en-US"/>
        </w:rPr>
        <w:t>R 657</w:t>
      </w:r>
    </w:p>
    <w:p w:rsidR="005B3E75" w:rsidRPr="00D0068E" w:rsidRDefault="005B3E75" w:rsidP="005B3E75">
      <w:pPr>
        <w:pStyle w:val="DateISO"/>
        <w:rPr>
          <w:lang w:val="en-US"/>
        </w:rPr>
      </w:pPr>
      <w:r w:rsidRPr="00D0068E">
        <w:rPr>
          <w:lang w:val="en-US"/>
        </w:rPr>
        <w:t>Date: 1897-10-19</w:t>
      </w:r>
    </w:p>
    <w:p w:rsidR="00234158" w:rsidRPr="00D0068E" w:rsidRDefault="005B3E75" w:rsidP="005B3E75">
      <w:pPr>
        <w:pStyle w:val="Metadata"/>
      </w:pPr>
      <w:r w:rsidRPr="00D0068E">
        <w:rPr>
          <w:lang w:val="en-US"/>
        </w:rPr>
        <w:t xml:space="preserve">Her Majesty </w:t>
      </w:r>
      <w:proofErr w:type="gramStart"/>
      <w:r w:rsidRPr="00D0068E">
        <w:rPr>
          <w:lang w:val="en-US"/>
        </w:rPr>
        <w:t>The</w:t>
      </w:r>
      <w:proofErr w:type="gramEnd"/>
      <w:r w:rsidRPr="00D0068E">
        <w:rPr>
          <w:lang w:val="en-US"/>
        </w:rPr>
        <w:t xml:space="preserve"> Queen (</w:t>
      </w:r>
      <w:r w:rsidRPr="00D0068E">
        <w:rPr>
          <w:spacing w:val="-3"/>
          <w:lang w:val="en-US"/>
        </w:rPr>
        <w:t>Respondent)</w:t>
      </w:r>
      <w:r w:rsidRPr="00D0068E">
        <w:rPr>
          <w:spacing w:val="-3"/>
          <w:lang w:val="en-US"/>
        </w:rPr>
        <w:tab/>
        <w:t xml:space="preserve"> </w:t>
      </w:r>
    </w:p>
    <w:p w:rsidR="005B3E75" w:rsidRPr="00D0068E" w:rsidRDefault="005B3E75" w:rsidP="005B3E75">
      <w:pPr>
        <w:pStyle w:val="Metadata"/>
        <w:rPr>
          <w:spacing w:val="-3"/>
        </w:rPr>
      </w:pPr>
      <w:r w:rsidRPr="00D0068E">
        <w:rPr>
          <w:b/>
          <w:lang w:val="en-US"/>
        </w:rPr>
        <w:t>A</w:t>
      </w:r>
      <w:r w:rsidRPr="00D0068E">
        <w:rPr>
          <w:lang w:val="en-US"/>
        </w:rPr>
        <w:t>ppellant</w:t>
      </w:r>
      <w:r w:rsidR="00E96A47">
        <w:rPr>
          <w:lang w:val="en-US"/>
        </w:rPr>
        <w:t>;</w:t>
      </w:r>
    </w:p>
    <w:p w:rsidR="00234158" w:rsidRPr="00D0068E" w:rsidRDefault="00E96A47" w:rsidP="005B3E75">
      <w:pPr>
        <w:pStyle w:val="Metadata"/>
        <w:rPr>
          <w:spacing w:val="8"/>
        </w:rPr>
      </w:pPr>
      <w:r>
        <w:rPr>
          <w:spacing w:val="8"/>
          <w:lang w:val="en-US"/>
        </w:rPr>
        <w:t>And</w:t>
      </w:r>
    </w:p>
    <w:p w:rsidR="005B3E75" w:rsidRPr="00D0068E" w:rsidRDefault="005B3E75" w:rsidP="005B3E75">
      <w:pPr>
        <w:pStyle w:val="Metadata"/>
        <w:rPr>
          <w:spacing w:val="11"/>
          <w:lang w:val="en-US"/>
        </w:rPr>
      </w:pPr>
      <w:r w:rsidRPr="00D0068E">
        <w:rPr>
          <w:spacing w:val="11"/>
          <w:lang w:val="en-US"/>
        </w:rPr>
        <w:t>George B. Bradley (Claimant)</w:t>
      </w:r>
    </w:p>
    <w:p w:rsidR="00234158" w:rsidRPr="00D0068E" w:rsidRDefault="005B3E75" w:rsidP="005B3E75">
      <w:pPr>
        <w:pStyle w:val="Metadata"/>
        <w:rPr>
          <w:spacing w:val="11"/>
          <w:lang w:val="en-US"/>
        </w:rPr>
      </w:pPr>
      <w:proofErr w:type="gramStart"/>
      <w:r w:rsidRPr="00D0068E">
        <w:rPr>
          <w:spacing w:val="11"/>
          <w:lang w:val="en-US"/>
        </w:rPr>
        <w:t>Respondent</w:t>
      </w:r>
      <w:r w:rsidR="00E96A47">
        <w:rPr>
          <w:spacing w:val="11"/>
          <w:lang w:val="en-US"/>
        </w:rPr>
        <w:t>.</w:t>
      </w:r>
      <w:proofErr w:type="gramEnd"/>
    </w:p>
    <w:p w:rsidR="005B3E75" w:rsidRPr="00D0068E" w:rsidRDefault="005B3E75" w:rsidP="005B3E75">
      <w:pPr>
        <w:pStyle w:val="Metadata"/>
        <w:rPr>
          <w:spacing w:val="11"/>
          <w:lang w:val="en-US"/>
        </w:rPr>
      </w:pPr>
      <w:r w:rsidRPr="00D0068E">
        <w:rPr>
          <w:spacing w:val="11"/>
          <w:lang w:val="en-US"/>
        </w:rPr>
        <w:t>1897: Oct. 19</w:t>
      </w:r>
      <w:r w:rsidR="00E96A47">
        <w:rPr>
          <w:spacing w:val="11"/>
          <w:lang w:val="en-US"/>
        </w:rPr>
        <w:t>.</w:t>
      </w:r>
    </w:p>
    <w:p w:rsidR="005B3E75" w:rsidRPr="00D0068E" w:rsidRDefault="00E96A47" w:rsidP="005B3E75">
      <w:pPr>
        <w:pStyle w:val="Metadata"/>
        <w:rPr>
          <w:spacing w:val="11"/>
        </w:rPr>
      </w:pPr>
      <w:r>
        <w:rPr>
          <w:spacing w:val="8"/>
          <w:lang w:val="en-US"/>
        </w:rPr>
        <w:t>PRESENT</w:t>
      </w:r>
      <w:r w:rsidR="005B3E75" w:rsidRPr="00D0068E">
        <w:rPr>
          <w:spacing w:val="8"/>
          <w:lang w:val="en-US"/>
        </w:rPr>
        <w:t>:—</w:t>
      </w:r>
      <w:proofErr w:type="spellStart"/>
      <w:r w:rsidR="005B3E75" w:rsidRPr="00D0068E">
        <w:rPr>
          <w:spacing w:val="8"/>
          <w:lang w:val="en-US"/>
        </w:rPr>
        <w:t>Taschereau</w:t>
      </w:r>
      <w:proofErr w:type="spellEnd"/>
      <w:r w:rsidR="005B3E75" w:rsidRPr="00D0068E">
        <w:rPr>
          <w:spacing w:val="8"/>
          <w:lang w:val="en-US"/>
        </w:rPr>
        <w:t xml:space="preserve">, Gwynne, </w:t>
      </w:r>
      <w:proofErr w:type="spellStart"/>
      <w:r w:rsidR="005B3E75" w:rsidRPr="00D0068E">
        <w:rPr>
          <w:spacing w:val="8"/>
          <w:lang w:val="en-US"/>
        </w:rPr>
        <w:t>Sedgewick</w:t>
      </w:r>
      <w:proofErr w:type="spellEnd"/>
      <w:r w:rsidR="005B3E75" w:rsidRPr="00D0068E">
        <w:rPr>
          <w:spacing w:val="8"/>
          <w:lang w:val="en-US"/>
        </w:rPr>
        <w:t xml:space="preserve">, King and </w:t>
      </w:r>
      <w:proofErr w:type="spellStart"/>
      <w:r w:rsidR="005B3E75" w:rsidRPr="00D0068E">
        <w:rPr>
          <w:spacing w:val="8"/>
          <w:lang w:val="en-US"/>
        </w:rPr>
        <w:t>Girouard</w:t>
      </w:r>
      <w:proofErr w:type="spellEnd"/>
      <w:r w:rsidR="005B3E75" w:rsidRPr="00D0068E">
        <w:rPr>
          <w:spacing w:val="8"/>
          <w:lang w:val="en-US"/>
        </w:rPr>
        <w:t xml:space="preserve"> JJ.</w:t>
      </w:r>
    </w:p>
    <w:p w:rsidR="00234158" w:rsidRPr="00D0068E" w:rsidRDefault="00ED0199" w:rsidP="005B3E75">
      <w:pPr>
        <w:pStyle w:val="Metadata"/>
        <w:rPr>
          <w:spacing w:val="14"/>
        </w:rPr>
      </w:pPr>
      <w:proofErr w:type="gramStart"/>
      <w:r w:rsidRPr="00D0068E">
        <w:rPr>
          <w:spacing w:val="14"/>
          <w:lang w:val="en-US"/>
        </w:rPr>
        <w:t>ON APPEAL FROM THE EXCHEQUER COURT OF CANADA.</w:t>
      </w:r>
      <w:proofErr w:type="gramEnd"/>
    </w:p>
    <w:p w:rsidR="00234158" w:rsidRPr="00D0068E" w:rsidRDefault="00ED0199" w:rsidP="005B3E75">
      <w:pPr>
        <w:pStyle w:val="Keywords"/>
      </w:pPr>
      <w:proofErr w:type="gramStart"/>
      <w:r w:rsidRPr="00D0068E">
        <w:rPr>
          <w:lang w:val="en-US"/>
        </w:rPr>
        <w:t xml:space="preserve">Statute, construction of--51 V. c. 12, </w:t>
      </w:r>
      <w:r w:rsidR="005B3E75" w:rsidRPr="00D0068E">
        <w:rPr>
          <w:lang w:val="en-US"/>
        </w:rPr>
        <w:t>s. 5l—Civi</w:t>
      </w:r>
      <w:r w:rsidRPr="00D0068E">
        <w:rPr>
          <w:lang w:val="en-US"/>
        </w:rPr>
        <w:t>l service--Extra salary —Additional remuneration—Permanent employees.</w:t>
      </w:r>
      <w:proofErr w:type="gramEnd"/>
    </w:p>
    <w:p w:rsidR="00234158" w:rsidRPr="00D0068E" w:rsidRDefault="00ED0199" w:rsidP="005B3E75">
      <w:pPr>
        <w:pStyle w:val="Summary"/>
        <w:rPr>
          <w:szCs w:val="24"/>
        </w:rPr>
      </w:pPr>
      <w:r w:rsidRPr="00D0068E">
        <w:rPr>
          <w:szCs w:val="24"/>
          <w:lang w:val="en-US"/>
        </w:rPr>
        <w:t xml:space="preserve">The Civil Service Amendment Act, 1888 (51 Viet. </w:t>
      </w:r>
      <w:proofErr w:type="spellStart"/>
      <w:r w:rsidRPr="00D0068E">
        <w:rPr>
          <w:szCs w:val="24"/>
          <w:lang w:val="en-US"/>
        </w:rPr>
        <w:t>ch.</w:t>
      </w:r>
      <w:proofErr w:type="spellEnd"/>
      <w:r w:rsidRPr="00D0068E">
        <w:rPr>
          <w:szCs w:val="24"/>
          <w:lang w:val="en-US"/>
        </w:rPr>
        <w:t xml:space="preserve"> 12), by section 51, provides that " No extra salary or additional remuneration of any kind whatever shall be paid to any deputy-:head, officer or employee in the Civil Service of Canada, or to any other person permanently employed in the public service of Canada."</w:t>
      </w:r>
    </w:p>
    <w:p w:rsidR="00234158" w:rsidRPr="00D0068E" w:rsidRDefault="00ED0199" w:rsidP="005B3E75">
      <w:pPr>
        <w:pStyle w:val="Summary"/>
        <w:rPr>
          <w:i/>
          <w:spacing w:val="8"/>
          <w:szCs w:val="24"/>
        </w:rPr>
      </w:pPr>
      <w:r w:rsidRPr="00D0068E">
        <w:rPr>
          <w:i/>
          <w:spacing w:val="8"/>
          <w:szCs w:val="24"/>
          <w:lang w:val="en-US"/>
        </w:rPr>
        <w:t xml:space="preserve">Held, </w:t>
      </w:r>
      <w:r w:rsidRPr="00D0068E">
        <w:rPr>
          <w:spacing w:val="8"/>
          <w:szCs w:val="24"/>
          <w:lang w:val="en-US"/>
        </w:rPr>
        <w:t>that reporters employed on the Hansard staff of the House of Commons of Canada, are persons subject to the operation off the statute quoted.</w:t>
      </w:r>
    </w:p>
    <w:p w:rsidR="00234158" w:rsidRPr="00D0068E" w:rsidRDefault="00ED0199" w:rsidP="005B3E75">
      <w:pPr>
        <w:pStyle w:val="Summary"/>
        <w:rPr>
          <w:i/>
          <w:szCs w:val="24"/>
        </w:rPr>
      </w:pPr>
      <w:r w:rsidRPr="00D0068E">
        <w:rPr>
          <w:i/>
          <w:szCs w:val="24"/>
          <w:lang w:val="en-US"/>
        </w:rPr>
        <w:t xml:space="preserve">Held, </w:t>
      </w:r>
      <w:r w:rsidRPr="00D0068E">
        <w:rPr>
          <w:szCs w:val="24"/>
          <w:lang w:val="en-US"/>
        </w:rPr>
        <w:t xml:space="preserve">further, that in the section referred </w:t>
      </w:r>
      <w:proofErr w:type="spellStart"/>
      <w:r w:rsidRPr="00E9663C">
        <w:rPr>
          <w:szCs w:val="24"/>
          <w:lang w:val="en-US"/>
        </w:rPr>
        <w:t>tu</w:t>
      </w:r>
      <w:proofErr w:type="spellEnd"/>
      <w:r w:rsidRPr="00E9663C">
        <w:rPr>
          <w:szCs w:val="24"/>
          <w:lang w:val="en-US"/>
        </w:rPr>
        <w:t xml:space="preserve">, </w:t>
      </w:r>
      <w:r w:rsidRPr="00D0068E">
        <w:rPr>
          <w:szCs w:val="24"/>
          <w:lang w:val="en-US"/>
        </w:rPr>
        <w:t>the words "no extra salary or additional remuneration " apply only to payments which, if made, would be extra or additional to the salary or remuneration payable to an officer for services which, at the time of his acceptance of the appointment, could legitimately have been intended or expected to be within the scope of the ordinary duties of his office, although additional to them.</w:t>
      </w:r>
    </w:p>
    <w:p w:rsidR="005B3E75" w:rsidRPr="00D0068E" w:rsidRDefault="005B3E75" w:rsidP="005B3E75">
      <w:pPr>
        <w:pStyle w:val="History"/>
        <w:ind w:firstLine="0"/>
        <w:rPr>
          <w:rFonts w:cs="Arial"/>
          <w:color w:val="000000"/>
          <w:szCs w:val="24"/>
          <w:lang w:val="en-US"/>
        </w:rPr>
      </w:pPr>
      <w:r w:rsidRPr="00D0068E">
        <w:rPr>
          <w:rFonts w:cs="Arial"/>
          <w:color w:val="000000"/>
          <w:szCs w:val="24"/>
          <w:lang w:val="en-US"/>
        </w:rPr>
        <w:t>[Page 658]</w:t>
      </w:r>
    </w:p>
    <w:p w:rsidR="00234158" w:rsidRPr="00D0068E" w:rsidRDefault="00ED0199" w:rsidP="005B3E75">
      <w:pPr>
        <w:pStyle w:val="History"/>
        <w:rPr>
          <w:szCs w:val="24"/>
        </w:rPr>
      </w:pPr>
      <w:r w:rsidRPr="00D0068E">
        <w:rPr>
          <w:szCs w:val="24"/>
          <w:lang w:val="en-US"/>
        </w:rPr>
        <w:t>APPEAL from the judgment of the Exchequer Court of Canada</w:t>
      </w:r>
      <w:r w:rsidRPr="00D0068E">
        <w:rPr>
          <w:rStyle w:val="FootnoteReference"/>
          <w:szCs w:val="24"/>
          <w:lang w:val="en-US"/>
        </w:rPr>
        <w:footnoteReference w:id="1"/>
      </w:r>
      <w:r w:rsidRPr="00D0068E">
        <w:rPr>
          <w:szCs w:val="24"/>
          <w:lang w:val="en-US"/>
        </w:rPr>
        <w:t>, declaring that the claimant was entitled to recover $1,366.10 and costs of suit from the Crown.</w:t>
      </w:r>
    </w:p>
    <w:p w:rsidR="00234158" w:rsidRPr="00D0068E" w:rsidRDefault="00ED0199" w:rsidP="005B3E75">
      <w:pPr>
        <w:pStyle w:val="History"/>
        <w:rPr>
          <w:spacing w:val="7"/>
          <w:szCs w:val="24"/>
        </w:rPr>
      </w:pPr>
      <w:r w:rsidRPr="00D0068E">
        <w:rPr>
          <w:spacing w:val="7"/>
          <w:szCs w:val="24"/>
          <w:lang w:val="en-US"/>
        </w:rPr>
        <w:t>A statement of the case is given in the judgment reported. It may be mentioned, however, that the claimant's office was established by resolution of the House of Commons of Can</w:t>
      </w:r>
      <w:r w:rsidR="00E42A3E" w:rsidRPr="00D0068E">
        <w:rPr>
          <w:spacing w:val="7"/>
          <w:szCs w:val="24"/>
          <w:lang w:val="en-US"/>
        </w:rPr>
        <w:t>ada, on the 28th April, 1880</w:t>
      </w:r>
      <w:r w:rsidR="00E42A3E" w:rsidRPr="00D0068E">
        <w:rPr>
          <w:rStyle w:val="FootnoteReference"/>
          <w:spacing w:val="7"/>
          <w:szCs w:val="24"/>
          <w:lang w:val="en-US"/>
        </w:rPr>
        <w:footnoteReference w:id="2"/>
      </w:r>
      <w:r w:rsidRPr="00D0068E">
        <w:rPr>
          <w:spacing w:val="7"/>
          <w:szCs w:val="24"/>
          <w:lang w:val="en-US"/>
        </w:rPr>
        <w:t>, which is as follows :—</w:t>
      </w:r>
      <w:r w:rsidRPr="00D0068E">
        <w:rPr>
          <w:szCs w:val="24"/>
          <w:lang w:val="en-US"/>
        </w:rPr>
        <w:t xml:space="preserve"> </w:t>
      </w:r>
    </w:p>
    <w:p w:rsidR="00234158" w:rsidRPr="00D0068E" w:rsidRDefault="00E96A47" w:rsidP="005B3E75">
      <w:pPr>
        <w:pStyle w:val="History"/>
        <w:rPr>
          <w:spacing w:val="6"/>
          <w:szCs w:val="24"/>
        </w:rPr>
      </w:pPr>
      <w:proofErr w:type="gramStart"/>
      <w:r>
        <w:rPr>
          <w:rFonts w:cs="Arial"/>
          <w:spacing w:val="6"/>
          <w:szCs w:val="24"/>
          <w:lang w:val="en-US"/>
        </w:rPr>
        <w:t>"</w:t>
      </w:r>
      <w:r w:rsidR="004D199D" w:rsidRPr="00D0068E">
        <w:rPr>
          <w:rFonts w:eastAsia="Tahoma" w:cs="Arial"/>
          <w:i/>
          <w:spacing w:val="6"/>
          <w:szCs w:val="24"/>
          <w:lang w:val="en-US"/>
        </w:rPr>
        <w:t>Resolved.</w:t>
      </w:r>
      <w:proofErr w:type="gramEnd"/>
      <w:r w:rsidR="00ED0199" w:rsidRPr="00D0068E">
        <w:rPr>
          <w:rFonts w:ascii="Tahoma" w:eastAsia="Tahoma" w:hAnsi="Tahoma"/>
          <w:i/>
          <w:spacing w:val="6"/>
          <w:szCs w:val="24"/>
          <w:lang w:val="en-US"/>
        </w:rPr>
        <w:t xml:space="preserve"> </w:t>
      </w:r>
      <w:r w:rsidR="00ED0199" w:rsidRPr="00D0068E">
        <w:rPr>
          <w:spacing w:val="6"/>
          <w:szCs w:val="24"/>
          <w:lang w:val="en-US"/>
        </w:rPr>
        <w:t xml:space="preserve">That as greater permanency in the personnel of the reporting staff would ensure a higher state of efficiency, the committee would recommend that six reporters be engaged and recognized as officers of the House, subject to such regulations as may from time to time be enacted by the Commissioners for the Internal Economy of the House, or by the Select Committee appointed to supervise the Official </w:t>
      </w:r>
      <w:r w:rsidR="00ED0199" w:rsidRPr="00D0068E">
        <w:rPr>
          <w:spacing w:val="6"/>
          <w:szCs w:val="24"/>
          <w:lang w:val="en-US"/>
        </w:rPr>
        <w:lastRenderedPageBreak/>
        <w:t>Report of the Debates of the House."</w:t>
      </w:r>
    </w:p>
    <w:p w:rsidR="00234158" w:rsidRPr="00D0068E" w:rsidRDefault="00ED0199" w:rsidP="004D199D">
      <w:pPr>
        <w:pStyle w:val="History"/>
        <w:rPr>
          <w:szCs w:val="24"/>
        </w:rPr>
      </w:pPr>
      <w:r w:rsidRPr="00D0068E">
        <w:rPr>
          <w:szCs w:val="24"/>
          <w:lang w:val="en-US"/>
        </w:rPr>
        <w:t>"That the staff so to be employed sh</w:t>
      </w:r>
      <w:r w:rsidR="00E96A47">
        <w:rPr>
          <w:szCs w:val="24"/>
          <w:lang w:val="en-US"/>
        </w:rPr>
        <w:t>all rank and be paid as follows</w:t>
      </w:r>
      <w:r w:rsidRPr="00D0068E">
        <w:rPr>
          <w:szCs w:val="24"/>
          <w:lang w:val="en-US"/>
        </w:rPr>
        <w:t xml:space="preserve">:- </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2"/>
        <w:gridCol w:w="2948"/>
      </w:tblGrid>
      <w:tr w:rsidR="004D199D" w:rsidRPr="00D0068E" w:rsidTr="00A6072E">
        <w:trPr>
          <w:jc w:val="center"/>
        </w:trPr>
        <w:tc>
          <w:tcPr>
            <w:tcW w:w="3391" w:type="pct"/>
          </w:tcPr>
          <w:p w:rsidR="004D199D" w:rsidRPr="00D0068E" w:rsidRDefault="004D199D" w:rsidP="005B3E75">
            <w:pPr>
              <w:pStyle w:val="History"/>
              <w:ind w:firstLine="0"/>
              <w:rPr>
                <w:szCs w:val="24"/>
              </w:rPr>
            </w:pPr>
            <w:r w:rsidRPr="00D0068E">
              <w:rPr>
                <w:szCs w:val="24"/>
                <w:lang w:val="en-US"/>
              </w:rPr>
              <w:t>1 Chief reporter, at a salary of.</w:t>
            </w:r>
          </w:p>
        </w:tc>
        <w:tc>
          <w:tcPr>
            <w:tcW w:w="1609" w:type="pct"/>
          </w:tcPr>
          <w:p w:rsidR="004D199D" w:rsidRPr="00D0068E" w:rsidRDefault="004D199D" w:rsidP="00132C69">
            <w:pPr>
              <w:pStyle w:val="History"/>
              <w:jc w:val="right"/>
              <w:rPr>
                <w:szCs w:val="24"/>
              </w:rPr>
            </w:pPr>
            <w:r w:rsidRPr="00D0068E">
              <w:rPr>
                <w:szCs w:val="24"/>
                <w:lang w:val="en-US"/>
              </w:rPr>
              <w:t>$1,500 00</w:t>
            </w:r>
          </w:p>
        </w:tc>
      </w:tr>
      <w:tr w:rsidR="004D199D" w:rsidRPr="00D0068E" w:rsidTr="00A6072E">
        <w:trPr>
          <w:jc w:val="center"/>
        </w:trPr>
        <w:tc>
          <w:tcPr>
            <w:tcW w:w="3391" w:type="pct"/>
          </w:tcPr>
          <w:p w:rsidR="004D199D" w:rsidRPr="00D0068E" w:rsidRDefault="004D199D" w:rsidP="004D199D">
            <w:pPr>
              <w:pStyle w:val="History"/>
              <w:ind w:firstLine="0"/>
              <w:rPr>
                <w:spacing w:val="4"/>
                <w:szCs w:val="24"/>
              </w:rPr>
            </w:pPr>
            <w:r w:rsidRPr="00D0068E">
              <w:rPr>
                <w:spacing w:val="4"/>
                <w:szCs w:val="24"/>
                <w:lang w:val="en-US"/>
              </w:rPr>
              <w:t>5 Assistants, one of whom to be quali</w:t>
            </w:r>
            <w:r w:rsidRPr="00D0068E">
              <w:rPr>
                <w:spacing w:val="8"/>
                <w:szCs w:val="24"/>
                <w:lang w:val="en-US"/>
              </w:rPr>
              <w:t>fied to report in both languages</w:t>
            </w:r>
          </w:p>
        </w:tc>
        <w:tc>
          <w:tcPr>
            <w:tcW w:w="1609" w:type="pct"/>
            <w:tcBorders>
              <w:bottom w:val="single" w:sz="4" w:space="0" w:color="auto"/>
            </w:tcBorders>
          </w:tcPr>
          <w:p w:rsidR="004D199D" w:rsidRPr="00D0068E" w:rsidRDefault="004D199D" w:rsidP="00132C69">
            <w:pPr>
              <w:pStyle w:val="History"/>
              <w:ind w:firstLine="0"/>
              <w:jc w:val="right"/>
              <w:rPr>
                <w:szCs w:val="24"/>
              </w:rPr>
            </w:pPr>
            <w:r w:rsidRPr="00D0068E">
              <w:rPr>
                <w:spacing w:val="8"/>
                <w:szCs w:val="24"/>
                <w:lang w:val="en-US"/>
              </w:rPr>
              <w:t>5,000 00</w:t>
            </w:r>
          </w:p>
        </w:tc>
      </w:tr>
      <w:tr w:rsidR="004D199D" w:rsidRPr="00D0068E" w:rsidTr="00A6072E">
        <w:trPr>
          <w:jc w:val="center"/>
        </w:trPr>
        <w:tc>
          <w:tcPr>
            <w:tcW w:w="3391" w:type="pct"/>
          </w:tcPr>
          <w:p w:rsidR="004D199D" w:rsidRPr="00D0068E" w:rsidRDefault="004D199D" w:rsidP="005B3E75">
            <w:pPr>
              <w:pStyle w:val="History"/>
              <w:ind w:firstLine="0"/>
              <w:rPr>
                <w:szCs w:val="24"/>
              </w:rPr>
            </w:pPr>
            <w:r w:rsidRPr="00D0068E">
              <w:rPr>
                <w:szCs w:val="24"/>
                <w:lang w:val="en-US"/>
              </w:rPr>
              <w:t>Total</w:t>
            </w:r>
          </w:p>
        </w:tc>
        <w:tc>
          <w:tcPr>
            <w:tcW w:w="1609" w:type="pct"/>
            <w:tcBorders>
              <w:top w:val="single" w:sz="4" w:space="0" w:color="auto"/>
            </w:tcBorders>
          </w:tcPr>
          <w:p w:rsidR="004D199D" w:rsidRPr="00D0068E" w:rsidRDefault="004D199D" w:rsidP="00132C69">
            <w:pPr>
              <w:pStyle w:val="History"/>
              <w:ind w:firstLine="0"/>
              <w:jc w:val="right"/>
              <w:rPr>
                <w:szCs w:val="24"/>
              </w:rPr>
            </w:pPr>
            <w:r w:rsidRPr="00D0068E">
              <w:rPr>
                <w:szCs w:val="24"/>
                <w:lang w:val="en-US"/>
              </w:rPr>
              <w:t>$6,500 00”</w:t>
            </w:r>
          </w:p>
        </w:tc>
      </w:tr>
    </w:tbl>
    <w:p w:rsidR="00234158" w:rsidRPr="00D0068E" w:rsidRDefault="00ED0199" w:rsidP="004F7D9A">
      <w:pPr>
        <w:pStyle w:val="History"/>
        <w:rPr>
          <w:spacing w:val="9"/>
          <w:szCs w:val="24"/>
        </w:rPr>
      </w:pPr>
      <w:r w:rsidRPr="00D0068E">
        <w:rPr>
          <w:spacing w:val="9"/>
          <w:szCs w:val="24"/>
          <w:lang w:val="en-US"/>
        </w:rPr>
        <w:t xml:space="preserve">"That the reporting staff </w:t>
      </w:r>
      <w:proofErr w:type="gramStart"/>
      <w:r w:rsidRPr="00D0068E">
        <w:rPr>
          <w:spacing w:val="9"/>
          <w:szCs w:val="24"/>
          <w:lang w:val="en-US"/>
        </w:rPr>
        <w:t>be</w:t>
      </w:r>
      <w:proofErr w:type="gramEnd"/>
      <w:r w:rsidRPr="00D0068E">
        <w:rPr>
          <w:spacing w:val="9"/>
          <w:szCs w:val="24"/>
          <w:lang w:val="en-US"/>
        </w:rPr>
        <w:t xml:space="preserve"> organized, and tenders issued for the necessary translation, printing and binding, </w:t>
      </w:r>
      <w:r w:rsidR="004D199D" w:rsidRPr="00D0068E">
        <w:rPr>
          <w:spacing w:val="9"/>
          <w:szCs w:val="24"/>
          <w:lang w:val="en-US"/>
        </w:rPr>
        <w:t>forthwith;</w:t>
      </w:r>
      <w:r w:rsidRPr="00D0068E">
        <w:rPr>
          <w:spacing w:val="9"/>
          <w:szCs w:val="24"/>
          <w:lang w:val="en-US"/>
        </w:rPr>
        <w:t xml:space="preserve"> so that the several contracts may be entered into, and submitted for the approval of the House, during the present session."</w:t>
      </w:r>
    </w:p>
    <w:p w:rsidR="00234158" w:rsidRPr="00D0068E" w:rsidRDefault="00ED0199" w:rsidP="005B3E75">
      <w:pPr>
        <w:pStyle w:val="History"/>
        <w:rPr>
          <w:szCs w:val="24"/>
        </w:rPr>
      </w:pPr>
      <w:r w:rsidRPr="00D0068E">
        <w:rPr>
          <w:szCs w:val="24"/>
          <w:lang w:val="en-US"/>
        </w:rPr>
        <w:t>The claimant was appointed chief reporter by resolution of the House of Commons on 6th May, 1880.</w:t>
      </w:r>
    </w:p>
    <w:p w:rsidR="00234158" w:rsidRPr="00D0068E" w:rsidRDefault="00ED0199" w:rsidP="005B3E75">
      <w:pPr>
        <w:pStyle w:val="History"/>
        <w:rPr>
          <w:spacing w:val="12"/>
          <w:szCs w:val="24"/>
        </w:rPr>
      </w:pPr>
      <w:r w:rsidRPr="00D0068E">
        <w:rPr>
          <w:spacing w:val="12"/>
          <w:szCs w:val="24"/>
          <w:lang w:val="en-US"/>
        </w:rPr>
        <w:t>The respondent contended that the 51st section of the Civil Service Act did not apply to him as he was not a civil servant but an employee of the House of</w:t>
      </w:r>
    </w:p>
    <w:p w:rsidR="005B3E75" w:rsidRPr="00D0068E" w:rsidRDefault="005B3E75" w:rsidP="005B3E75">
      <w:pPr>
        <w:pStyle w:val="History"/>
        <w:ind w:firstLine="0"/>
        <w:rPr>
          <w:rFonts w:cs="Arial"/>
          <w:color w:val="000000"/>
          <w:szCs w:val="24"/>
          <w:lang w:val="en-US"/>
        </w:rPr>
      </w:pPr>
      <w:r w:rsidRPr="00D0068E">
        <w:rPr>
          <w:rFonts w:cs="Arial"/>
          <w:color w:val="000000"/>
          <w:szCs w:val="24"/>
          <w:lang w:val="en-US"/>
        </w:rPr>
        <w:t>[Page 659]</w:t>
      </w:r>
    </w:p>
    <w:p w:rsidR="00234158" w:rsidRPr="00D0068E" w:rsidRDefault="00ED0199" w:rsidP="004D199D">
      <w:pPr>
        <w:pStyle w:val="History"/>
        <w:ind w:firstLine="0"/>
        <w:rPr>
          <w:spacing w:val="5"/>
          <w:szCs w:val="24"/>
        </w:rPr>
      </w:pPr>
      <w:r w:rsidRPr="00D0068E">
        <w:rPr>
          <w:spacing w:val="5"/>
          <w:szCs w:val="24"/>
          <w:lang w:val="en-US"/>
        </w:rPr>
        <w:t>Commons, and his employment and service were regulated by the Act res</w:t>
      </w:r>
      <w:r w:rsidR="00E42A3E" w:rsidRPr="00D0068E">
        <w:rPr>
          <w:spacing w:val="5"/>
          <w:szCs w:val="24"/>
          <w:lang w:val="en-US"/>
        </w:rPr>
        <w:t>pecting the House of Commons</w:t>
      </w:r>
      <w:r w:rsidR="00E42A3E" w:rsidRPr="00D0068E">
        <w:rPr>
          <w:rStyle w:val="FootnoteReference"/>
          <w:spacing w:val="5"/>
          <w:szCs w:val="24"/>
          <w:lang w:val="en-US"/>
        </w:rPr>
        <w:footnoteReference w:id="3"/>
      </w:r>
      <w:r w:rsidRPr="00D0068E">
        <w:rPr>
          <w:spacing w:val="5"/>
          <w:szCs w:val="24"/>
          <w:lang w:val="en-US"/>
        </w:rPr>
        <w:t xml:space="preserve"> ; that he was not under the control of the Crown, but appointed by the House of Commons, and subject to be suspended or removed by the House through the agency of the Speaker ; that (in the Civil Service Act, sec. 51,) the words " or to any other person permanently employed in the public service," should be read </w:t>
      </w:r>
      <w:proofErr w:type="spellStart"/>
      <w:r w:rsidRPr="00D0068E">
        <w:rPr>
          <w:i/>
          <w:spacing w:val="5"/>
          <w:szCs w:val="24"/>
          <w:lang w:val="en-US"/>
        </w:rPr>
        <w:t>ejusdem</w:t>
      </w:r>
      <w:proofErr w:type="spellEnd"/>
      <w:r w:rsidRPr="00D0068E">
        <w:rPr>
          <w:i/>
          <w:spacing w:val="5"/>
          <w:szCs w:val="24"/>
          <w:lang w:val="en-US"/>
        </w:rPr>
        <w:t xml:space="preserve"> generis </w:t>
      </w:r>
      <w:r w:rsidRPr="00D0068E">
        <w:rPr>
          <w:spacing w:val="5"/>
          <w:szCs w:val="24"/>
          <w:lang w:val="en-US"/>
        </w:rPr>
        <w:t xml:space="preserve">with the preceding words of the section and meant some one of a like class with a deputy-head, officer or employee in the Civil Service of Canada," that is, persons in the employ of the executive government, not included in schedules " A " and " B " of the Civil Service Act, but permanently employed in the public service and entitled to superannuation under the Civil Service </w:t>
      </w:r>
      <w:r w:rsidR="00E42A3E" w:rsidRPr="00D0068E">
        <w:rPr>
          <w:spacing w:val="5"/>
          <w:szCs w:val="24"/>
          <w:lang w:val="en-US"/>
        </w:rPr>
        <w:t>Superannuation Act</w:t>
      </w:r>
      <w:r w:rsidR="00E42A3E" w:rsidRPr="00D0068E">
        <w:rPr>
          <w:rStyle w:val="FootnoteReference"/>
          <w:spacing w:val="5"/>
          <w:szCs w:val="24"/>
          <w:lang w:val="en-US"/>
        </w:rPr>
        <w:footnoteReference w:id="4"/>
      </w:r>
      <w:r w:rsidRPr="00D0068E">
        <w:rPr>
          <w:spacing w:val="5"/>
          <w:szCs w:val="24"/>
          <w:lang w:val="en-US"/>
        </w:rPr>
        <w:t>,—permanent public servants of the same grade, class or kind as those specifically enumerated in the section.</w:t>
      </w:r>
    </w:p>
    <w:p w:rsidR="00234158" w:rsidRPr="00D0068E" w:rsidRDefault="00ED0199" w:rsidP="005B3E75">
      <w:pPr>
        <w:pStyle w:val="History"/>
        <w:rPr>
          <w:spacing w:val="10"/>
          <w:szCs w:val="24"/>
        </w:rPr>
      </w:pPr>
      <w:r w:rsidRPr="00D0068E">
        <w:rPr>
          <w:spacing w:val="10"/>
          <w:szCs w:val="24"/>
          <w:lang w:val="en-US"/>
        </w:rPr>
        <w:t xml:space="preserve">He asserted that he was not permanently employed in the public service but stood in the same relation to the House of Commons as the persons temporarily employed continuously in the Government service, referred to in section 11, and did not come within the definition of a permanent officer or servant of the "Senate and the House of Commons entitled to the benefits of the Civil </w:t>
      </w:r>
      <w:r w:rsidR="00E42A3E" w:rsidRPr="00D0068E">
        <w:rPr>
          <w:spacing w:val="10"/>
          <w:szCs w:val="24"/>
          <w:lang w:val="en-US"/>
        </w:rPr>
        <w:t>Service Superannuation Act</w:t>
      </w:r>
      <w:r w:rsidR="00E42A3E" w:rsidRPr="00D0068E">
        <w:rPr>
          <w:rStyle w:val="FootnoteReference"/>
          <w:spacing w:val="10"/>
          <w:szCs w:val="24"/>
          <w:lang w:val="en-US"/>
        </w:rPr>
        <w:footnoteReference w:id="5"/>
      </w:r>
      <w:r w:rsidRPr="00D0068E">
        <w:rPr>
          <w:spacing w:val="10"/>
          <w:szCs w:val="24"/>
          <w:lang w:val="en-US"/>
        </w:rPr>
        <w:t xml:space="preserve">,. </w:t>
      </w:r>
      <w:proofErr w:type="gramStart"/>
      <w:r w:rsidRPr="00D0068E">
        <w:rPr>
          <w:spacing w:val="10"/>
          <w:szCs w:val="24"/>
          <w:lang w:val="en-US"/>
        </w:rPr>
        <w:t>or</w:t>
      </w:r>
      <w:proofErr w:type="gramEnd"/>
      <w:r w:rsidRPr="00D0068E">
        <w:rPr>
          <w:spacing w:val="10"/>
          <w:szCs w:val="24"/>
          <w:lang w:val="en-US"/>
        </w:rPr>
        <w:t xml:space="preserve"> entitled to contribute to the superannuation fund.</w:t>
      </w:r>
    </w:p>
    <w:p w:rsidR="00234158" w:rsidRPr="00D0068E" w:rsidRDefault="00ED0199" w:rsidP="005B3E75">
      <w:pPr>
        <w:pStyle w:val="History"/>
        <w:rPr>
          <w:spacing w:val="7"/>
          <w:szCs w:val="24"/>
        </w:rPr>
      </w:pPr>
      <w:r w:rsidRPr="00D0068E">
        <w:rPr>
          <w:spacing w:val="7"/>
          <w:szCs w:val="24"/>
          <w:lang w:val="en-US"/>
        </w:rPr>
        <w:t>It appeared that the Hansard reporters made an effort at one time to be placed on the permanent list, and for a few months deductions were made from their salaries for the superannuation fund ; but the decision of the Speaker of the House being that this could not be done, the deductions made were refunded to them.</w:t>
      </w:r>
    </w:p>
    <w:p w:rsidR="005B3E75" w:rsidRPr="00D0068E" w:rsidRDefault="005B3E75" w:rsidP="005B3E75">
      <w:pPr>
        <w:pStyle w:val="History"/>
        <w:ind w:firstLine="0"/>
        <w:rPr>
          <w:rFonts w:cs="Arial"/>
          <w:color w:val="000000"/>
          <w:szCs w:val="24"/>
          <w:lang w:val="en-US"/>
        </w:rPr>
      </w:pPr>
      <w:r w:rsidRPr="00D0068E">
        <w:rPr>
          <w:rFonts w:cs="Arial"/>
          <w:color w:val="000000"/>
          <w:szCs w:val="24"/>
          <w:lang w:val="en-US"/>
        </w:rPr>
        <w:t>[Page 660]</w:t>
      </w:r>
    </w:p>
    <w:p w:rsidR="00234158" w:rsidRPr="00D0068E" w:rsidRDefault="00ED0199" w:rsidP="005B3E75">
      <w:pPr>
        <w:pStyle w:val="History"/>
        <w:rPr>
          <w:spacing w:val="8"/>
          <w:szCs w:val="24"/>
        </w:rPr>
      </w:pPr>
      <w:r w:rsidRPr="00D0068E">
        <w:rPr>
          <w:spacing w:val="8"/>
          <w:szCs w:val="24"/>
          <w:lang w:val="en-US"/>
        </w:rPr>
        <w:lastRenderedPageBreak/>
        <w:t>The claimant also contended that the words "no extra salary or additional remuneration," in the section in question, have reference only to extra payments within the scope of the officer's duty or employment, and not for work and services done outside of his duties or to other charges ; that he had not been required to take the oath in schedule "C" to</w:t>
      </w:r>
      <w:r w:rsidR="007675D7" w:rsidRPr="00D0068E">
        <w:rPr>
          <w:spacing w:val="8"/>
          <w:szCs w:val="24"/>
          <w:lang w:val="en-US"/>
        </w:rPr>
        <w:t xml:space="preserve"> the Civil Service Act</w:t>
      </w:r>
      <w:r w:rsidR="007675D7" w:rsidRPr="00D0068E">
        <w:rPr>
          <w:rStyle w:val="FootnoteReference"/>
          <w:spacing w:val="8"/>
          <w:szCs w:val="24"/>
          <w:lang w:val="en-US"/>
        </w:rPr>
        <w:footnoteReference w:id="6"/>
      </w:r>
      <w:r w:rsidRPr="00D0068E">
        <w:rPr>
          <w:spacing w:val="8"/>
          <w:szCs w:val="24"/>
          <w:lang w:val="en-US"/>
        </w:rPr>
        <w:t>, as an employee</w:t>
      </w:r>
      <w:r w:rsidRPr="00D0068E">
        <w:rPr>
          <w:spacing w:val="8"/>
          <w:szCs w:val="24"/>
          <w:vertAlign w:val="subscript"/>
          <w:lang w:val="en-US"/>
        </w:rPr>
        <w:t>4</w:t>
      </w:r>
      <w:r w:rsidRPr="00D0068E">
        <w:rPr>
          <w:spacing w:val="8"/>
          <w:szCs w:val="24"/>
          <w:lang w:val="en-US"/>
        </w:rPr>
        <w:t>of Parliament, and that there was nothing in the section or oath of office making it illegal for a civil servant to receive payment from the Government for services done outside of the duties of his office for the Government, nor for the Government to pay for such services.</w:t>
      </w:r>
    </w:p>
    <w:p w:rsidR="00234158" w:rsidRPr="00D0068E" w:rsidRDefault="00ED0199" w:rsidP="005B3E75">
      <w:pPr>
        <w:pStyle w:val="History"/>
        <w:rPr>
          <w:i/>
          <w:spacing w:val="6"/>
          <w:szCs w:val="24"/>
        </w:rPr>
      </w:pPr>
      <w:proofErr w:type="spellStart"/>
      <w:proofErr w:type="gramStart"/>
      <w:r w:rsidRPr="00D0068E">
        <w:rPr>
          <w:i/>
          <w:spacing w:val="6"/>
          <w:szCs w:val="24"/>
          <w:lang w:val="en-US"/>
        </w:rPr>
        <w:t>Newcombe</w:t>
      </w:r>
      <w:proofErr w:type="spellEnd"/>
      <w:r w:rsidRPr="00D0068E">
        <w:rPr>
          <w:i/>
          <w:spacing w:val="6"/>
          <w:szCs w:val="24"/>
          <w:lang w:val="en-US"/>
        </w:rPr>
        <w:t xml:space="preserve"> </w:t>
      </w:r>
      <w:r w:rsidRPr="00D0068E">
        <w:rPr>
          <w:spacing w:val="6"/>
          <w:szCs w:val="24"/>
          <w:lang w:val="en-US"/>
        </w:rPr>
        <w:t>Q.C. for the appellant.</w:t>
      </w:r>
      <w:proofErr w:type="gramEnd"/>
      <w:r w:rsidRPr="00D0068E">
        <w:rPr>
          <w:spacing w:val="6"/>
          <w:szCs w:val="24"/>
          <w:lang w:val="en-US"/>
        </w:rPr>
        <w:t xml:space="preserve"> The claimant was at the time of his employment, and when he performed the services in question, a person permanently employed in the public service, and he is absolutely precluded from recovering anything by the terms of the section quoted.</w:t>
      </w:r>
    </w:p>
    <w:p w:rsidR="00234158" w:rsidRPr="00D0068E" w:rsidRDefault="00ED0199" w:rsidP="004D199D">
      <w:pPr>
        <w:pStyle w:val="Sollicitors"/>
        <w:rPr>
          <w:szCs w:val="24"/>
        </w:rPr>
      </w:pPr>
      <w:r w:rsidRPr="00D0068E">
        <w:rPr>
          <w:szCs w:val="24"/>
          <w:lang w:val="en-US"/>
        </w:rPr>
        <w:t>Hogg Q.C. for the respondent was not called upon by the court.</w:t>
      </w:r>
    </w:p>
    <w:p w:rsidR="00234158" w:rsidRPr="00D0068E" w:rsidRDefault="00ED0199" w:rsidP="005B3E75">
      <w:pPr>
        <w:pStyle w:val="History"/>
        <w:rPr>
          <w:spacing w:val="10"/>
          <w:szCs w:val="24"/>
        </w:rPr>
      </w:pPr>
      <w:r w:rsidRPr="00D0068E">
        <w:rPr>
          <w:spacing w:val="10"/>
          <w:szCs w:val="24"/>
          <w:lang w:val="en-US"/>
        </w:rPr>
        <w:t>The judgment of the court was delivered by</w:t>
      </w:r>
    </w:p>
    <w:p w:rsidR="00234158" w:rsidRPr="00D0068E" w:rsidRDefault="00ED0199" w:rsidP="005B3E75">
      <w:pPr>
        <w:pStyle w:val="Reasons"/>
        <w:rPr>
          <w:szCs w:val="24"/>
        </w:rPr>
      </w:pPr>
      <w:r w:rsidRPr="00D0068E">
        <w:rPr>
          <w:szCs w:val="24"/>
          <w:lang w:val="en-US"/>
        </w:rPr>
        <w:t>TASCHEREAU J.—</w:t>
      </w:r>
      <w:proofErr w:type="gramStart"/>
      <w:r w:rsidRPr="00D0068E">
        <w:rPr>
          <w:szCs w:val="24"/>
          <w:lang w:val="en-US"/>
        </w:rPr>
        <w:t>This</w:t>
      </w:r>
      <w:proofErr w:type="gramEnd"/>
      <w:r w:rsidRPr="00D0068E">
        <w:rPr>
          <w:szCs w:val="24"/>
          <w:lang w:val="en-US"/>
        </w:rPr>
        <w:t xml:space="preserve"> is an appeal by the Crown from a judgment of the Exchequer Court of Canada, by which the Crown was ordered to pay to the respondent the sum of $1,366.10 and costs of suit.</w:t>
      </w:r>
    </w:p>
    <w:p w:rsidR="00234158" w:rsidRPr="00D0068E" w:rsidRDefault="00ED0199" w:rsidP="005B3E75">
      <w:pPr>
        <w:pStyle w:val="Reasons"/>
        <w:rPr>
          <w:spacing w:val="8"/>
          <w:szCs w:val="24"/>
        </w:rPr>
      </w:pPr>
      <w:r w:rsidRPr="00D0068E">
        <w:rPr>
          <w:spacing w:val="8"/>
          <w:szCs w:val="24"/>
          <w:lang w:val="en-US"/>
        </w:rPr>
        <w:t>The action was brought by the respondent under a reference from the Department of Finance, to recover from Her Majesty the Queen the sum of $3,235.35, being the balance for work and services performed by the respondent and accepted by Her Majesty, which work and services consisted of the shorthand reporting during the years 1892, 1893 and 1894, of 13,599</w:t>
      </w:r>
    </w:p>
    <w:p w:rsidR="005B3E75" w:rsidRPr="00D0068E" w:rsidRDefault="005B3E75" w:rsidP="005B3E75">
      <w:pPr>
        <w:pStyle w:val="Reasons"/>
        <w:rPr>
          <w:rFonts w:cs="Arial"/>
          <w:color w:val="000000"/>
          <w:szCs w:val="24"/>
          <w:lang w:val="en-US"/>
        </w:rPr>
      </w:pPr>
      <w:r w:rsidRPr="00D0068E">
        <w:rPr>
          <w:rFonts w:cs="Arial"/>
          <w:color w:val="000000"/>
          <w:szCs w:val="24"/>
          <w:lang w:val="en-US"/>
        </w:rPr>
        <w:t>[Page 661]</w:t>
      </w:r>
    </w:p>
    <w:p w:rsidR="00234158" w:rsidRPr="00D0068E" w:rsidRDefault="00ED0199" w:rsidP="005B3E75">
      <w:pPr>
        <w:pStyle w:val="Reasons"/>
        <w:rPr>
          <w:spacing w:val="11"/>
          <w:szCs w:val="24"/>
        </w:rPr>
      </w:pPr>
      <w:proofErr w:type="gramStart"/>
      <w:r w:rsidRPr="00D0068E">
        <w:rPr>
          <w:spacing w:val="11"/>
          <w:szCs w:val="24"/>
          <w:lang w:val="en-US"/>
        </w:rPr>
        <w:t>folios</w:t>
      </w:r>
      <w:proofErr w:type="gramEnd"/>
      <w:r w:rsidRPr="00D0068E">
        <w:rPr>
          <w:spacing w:val="11"/>
          <w:szCs w:val="24"/>
          <w:lang w:val="en-US"/>
        </w:rPr>
        <w:t xml:space="preserve"> of evidence in connection with the Royal Commission upon the liquor traffic in Canada, and for editing and preparing for the press the evidence so taken.</w:t>
      </w:r>
    </w:p>
    <w:p w:rsidR="00234158" w:rsidRPr="00D0068E" w:rsidRDefault="00ED0199" w:rsidP="005B3E75">
      <w:pPr>
        <w:pStyle w:val="Reasons"/>
        <w:rPr>
          <w:spacing w:val="11"/>
          <w:szCs w:val="24"/>
        </w:rPr>
      </w:pPr>
      <w:r w:rsidRPr="00D0068E">
        <w:rPr>
          <w:spacing w:val="11"/>
          <w:szCs w:val="24"/>
          <w:lang w:val="en-US"/>
        </w:rPr>
        <w:t xml:space="preserve">During the progress of the work under the commission, the respondent was paid on account from time to time considerable sums of money, and at the close of the commission there was due and unpaid, as claimed by the respondent, for </w:t>
      </w:r>
      <w:r w:rsidR="00DF450C" w:rsidRPr="00D0068E">
        <w:rPr>
          <w:spacing w:val="11"/>
          <w:szCs w:val="24"/>
          <w:lang w:val="en-US"/>
        </w:rPr>
        <w:t>reporting work, the sum of $2,02</w:t>
      </w:r>
      <w:r w:rsidRPr="00D0068E">
        <w:rPr>
          <w:spacing w:val="11"/>
          <w:szCs w:val="24"/>
          <w:lang w:val="en-US"/>
        </w:rPr>
        <w:t>9.50, and for other work and services the sum of $1,484.35, making together the amount claimed.</w:t>
      </w:r>
    </w:p>
    <w:p w:rsidR="00234158" w:rsidRPr="00D0068E" w:rsidRDefault="00ED0199" w:rsidP="005B3E75">
      <w:pPr>
        <w:pStyle w:val="Reasons"/>
        <w:rPr>
          <w:spacing w:val="12"/>
          <w:szCs w:val="24"/>
        </w:rPr>
      </w:pPr>
      <w:r w:rsidRPr="00D0068E">
        <w:rPr>
          <w:spacing w:val="12"/>
          <w:szCs w:val="24"/>
          <w:lang w:val="en-US"/>
        </w:rPr>
        <w:t xml:space="preserve">The respondent was at the time in the employment of Her Majesty, as chief of the Hansard staff of reporters of the House of Commons of Canada, and his engagement to do the work above mentioned on the said commission was secured by the late it Joseph </w:t>
      </w:r>
      <w:proofErr w:type="spellStart"/>
      <w:r w:rsidRPr="00D0068E">
        <w:rPr>
          <w:spacing w:val="12"/>
          <w:szCs w:val="24"/>
          <w:lang w:val="en-US"/>
        </w:rPr>
        <w:t>Hickson</w:t>
      </w:r>
      <w:proofErr w:type="spellEnd"/>
      <w:r w:rsidRPr="00D0068E">
        <w:rPr>
          <w:spacing w:val="12"/>
          <w:szCs w:val="24"/>
          <w:lang w:val="en-US"/>
        </w:rPr>
        <w:t>, who was the chairman of the commission. The-payments made to the respondent on account of the-work performed by him, were by the cheques of the</w:t>
      </w:r>
      <w:r w:rsidR="00DF450C" w:rsidRPr="00D0068E">
        <w:rPr>
          <w:spacing w:val="12"/>
          <w:szCs w:val="24"/>
          <w:lang w:val="en-US"/>
        </w:rPr>
        <w:t xml:space="preserve"> chairman, but the accounts wer</w:t>
      </w:r>
      <w:r w:rsidRPr="00D0068E">
        <w:rPr>
          <w:spacing w:val="12"/>
          <w:szCs w:val="24"/>
          <w:lang w:val="en-US"/>
        </w:rPr>
        <w:t>e from time to time returned to the Department of Finance in the usual course for audit, the money for the payments being supplied by the Government of Canada.</w:t>
      </w:r>
    </w:p>
    <w:p w:rsidR="00234158" w:rsidRPr="00D0068E" w:rsidRDefault="00ED0199" w:rsidP="005B3E75">
      <w:pPr>
        <w:pStyle w:val="Reasons"/>
        <w:rPr>
          <w:spacing w:val="13"/>
          <w:szCs w:val="24"/>
          <w:lang w:val="en-US"/>
        </w:rPr>
      </w:pPr>
      <w:r w:rsidRPr="00D0068E">
        <w:rPr>
          <w:spacing w:val="13"/>
          <w:szCs w:val="24"/>
          <w:lang w:val="en-US"/>
        </w:rPr>
        <w:t xml:space="preserve">The Crown did not and do not deny that the work was done by the respondent and accepted by the Crown, but contended that if the Crown was legally liable for any </w:t>
      </w:r>
      <w:r w:rsidRPr="00D0068E">
        <w:rPr>
          <w:spacing w:val="13"/>
          <w:szCs w:val="24"/>
          <w:lang w:val="en-US"/>
        </w:rPr>
        <w:lastRenderedPageBreak/>
        <w:t>sum, t</w:t>
      </w:r>
      <w:r w:rsidR="00CD7E3B">
        <w:rPr>
          <w:spacing w:val="13"/>
          <w:szCs w:val="24"/>
          <w:lang w:val="en-US"/>
        </w:rPr>
        <w:t>he respondent should be paid at</w:t>
      </w:r>
      <w:r w:rsidRPr="00D0068E">
        <w:rPr>
          <w:spacing w:val="13"/>
          <w:szCs w:val="24"/>
          <w:lang w:val="en-US"/>
        </w:rPr>
        <w:t xml:space="preserve"> lower rates, </w:t>
      </w:r>
      <w:proofErr w:type="spellStart"/>
      <w:r w:rsidRPr="00D0068E">
        <w:rPr>
          <w:spacing w:val="13"/>
          <w:szCs w:val="24"/>
          <w:lang w:val="en-US"/>
        </w:rPr>
        <w:t>viz</w:t>
      </w:r>
      <w:proofErr w:type="spellEnd"/>
      <w:r w:rsidRPr="00D0068E">
        <w:rPr>
          <w:spacing w:val="13"/>
          <w:szCs w:val="24"/>
          <w:lang w:val="en-US"/>
        </w:rPr>
        <w:t xml:space="preserve"> :</w:t>
      </w: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2956"/>
      </w:tblGrid>
      <w:tr w:rsidR="00D0068E" w:rsidRPr="00D0068E" w:rsidTr="004B4C6B">
        <w:trPr>
          <w:jc w:val="center"/>
        </w:trPr>
        <w:tc>
          <w:tcPr>
            <w:tcW w:w="3185" w:type="pct"/>
          </w:tcPr>
          <w:p w:rsidR="00D0068E" w:rsidRPr="00D0068E" w:rsidRDefault="00132C69" w:rsidP="004B4C6B">
            <w:pPr>
              <w:pStyle w:val="Reasons"/>
              <w:rPr>
                <w:spacing w:val="13"/>
                <w:szCs w:val="24"/>
              </w:rPr>
            </w:pPr>
            <w:r>
              <w:rPr>
                <w:spacing w:val="1"/>
                <w:szCs w:val="24"/>
                <w:lang w:val="en-US"/>
              </w:rPr>
              <w:t>For 10 copies</w:t>
            </w:r>
          </w:p>
        </w:tc>
        <w:tc>
          <w:tcPr>
            <w:tcW w:w="1815" w:type="pct"/>
          </w:tcPr>
          <w:p w:rsidR="00D0068E" w:rsidRPr="00D0068E" w:rsidRDefault="00D0068E" w:rsidP="004B4C6B">
            <w:pPr>
              <w:pStyle w:val="Reasons"/>
              <w:jc w:val="right"/>
              <w:rPr>
                <w:spacing w:val="1"/>
                <w:szCs w:val="24"/>
              </w:rPr>
            </w:pPr>
            <w:r w:rsidRPr="00D0068E">
              <w:rPr>
                <w:spacing w:val="1"/>
                <w:szCs w:val="24"/>
                <w:lang w:val="en-US"/>
              </w:rPr>
              <w:t>25 cents per folio.</w:t>
            </w:r>
          </w:p>
        </w:tc>
      </w:tr>
      <w:tr w:rsidR="00D0068E" w:rsidRPr="00D0068E" w:rsidTr="004B4C6B">
        <w:trPr>
          <w:jc w:val="center"/>
        </w:trPr>
        <w:tc>
          <w:tcPr>
            <w:tcW w:w="3185" w:type="pct"/>
          </w:tcPr>
          <w:p w:rsidR="00D0068E" w:rsidRPr="00D0068E" w:rsidRDefault="00D0068E" w:rsidP="004B4C6B">
            <w:pPr>
              <w:pStyle w:val="Reasons"/>
              <w:rPr>
                <w:spacing w:val="13"/>
                <w:szCs w:val="24"/>
              </w:rPr>
            </w:pPr>
            <w:r>
              <w:rPr>
                <w:spacing w:val="-3"/>
                <w:szCs w:val="24"/>
                <w:lang w:val="en-US"/>
              </w:rPr>
              <w:t>8</w:t>
            </w:r>
          </w:p>
        </w:tc>
        <w:tc>
          <w:tcPr>
            <w:tcW w:w="1815" w:type="pct"/>
          </w:tcPr>
          <w:p w:rsidR="00D0068E" w:rsidRPr="00D0068E" w:rsidRDefault="00D0068E" w:rsidP="004B4C6B">
            <w:pPr>
              <w:pStyle w:val="Reasons"/>
              <w:jc w:val="right"/>
              <w:rPr>
                <w:spacing w:val="13"/>
                <w:szCs w:val="24"/>
              </w:rPr>
            </w:pPr>
            <w:r w:rsidRPr="00D0068E">
              <w:rPr>
                <w:spacing w:val="13"/>
                <w:szCs w:val="24"/>
              </w:rPr>
              <w:t>20</w:t>
            </w:r>
          </w:p>
        </w:tc>
      </w:tr>
      <w:tr w:rsidR="00D0068E" w:rsidRPr="00D0068E" w:rsidTr="004B4C6B">
        <w:trPr>
          <w:jc w:val="center"/>
        </w:trPr>
        <w:tc>
          <w:tcPr>
            <w:tcW w:w="3185" w:type="pct"/>
          </w:tcPr>
          <w:p w:rsidR="00D0068E" w:rsidRPr="00D0068E" w:rsidRDefault="00D0068E" w:rsidP="004B4C6B">
            <w:pPr>
              <w:pStyle w:val="Reasons"/>
              <w:rPr>
                <w:spacing w:val="13"/>
                <w:szCs w:val="24"/>
              </w:rPr>
            </w:pPr>
            <w:r w:rsidRPr="00D0068E">
              <w:rPr>
                <w:spacing w:val="13"/>
                <w:szCs w:val="24"/>
              </w:rPr>
              <w:t>4</w:t>
            </w:r>
          </w:p>
        </w:tc>
        <w:tc>
          <w:tcPr>
            <w:tcW w:w="1815" w:type="pct"/>
          </w:tcPr>
          <w:p w:rsidR="00D0068E" w:rsidRPr="00D0068E" w:rsidRDefault="00D0068E" w:rsidP="004B4C6B">
            <w:pPr>
              <w:pStyle w:val="Reasons"/>
              <w:jc w:val="right"/>
              <w:rPr>
                <w:spacing w:val="13"/>
                <w:szCs w:val="24"/>
              </w:rPr>
            </w:pPr>
            <w:r>
              <w:rPr>
                <w:spacing w:val="13"/>
                <w:szCs w:val="24"/>
              </w:rPr>
              <w:t>15</w:t>
            </w:r>
          </w:p>
        </w:tc>
      </w:tr>
    </w:tbl>
    <w:p w:rsidR="00234158" w:rsidRPr="00D0068E" w:rsidRDefault="00ED0199" w:rsidP="005B3E75">
      <w:pPr>
        <w:pStyle w:val="Reasons"/>
        <w:rPr>
          <w:spacing w:val="12"/>
          <w:szCs w:val="24"/>
        </w:rPr>
      </w:pPr>
      <w:r w:rsidRPr="00D0068E">
        <w:rPr>
          <w:spacing w:val="12"/>
          <w:szCs w:val="24"/>
          <w:lang w:val="en-US"/>
        </w:rPr>
        <w:t>His Lordship, the Judge of the Exchequer Court, decided upon the evidence at the trial, that the claimant was entitled to be pa</w:t>
      </w:r>
      <w:r w:rsidR="00D0068E">
        <w:rPr>
          <w:spacing w:val="12"/>
          <w:szCs w:val="24"/>
          <w:lang w:val="en-US"/>
        </w:rPr>
        <w:t xml:space="preserve">id at the rates claimed by him, </w:t>
      </w:r>
      <w:r w:rsidRPr="00D0068E">
        <w:rPr>
          <w:spacing w:val="12"/>
          <w:szCs w:val="24"/>
          <w:lang w:val="en-US"/>
        </w:rPr>
        <w:t>and with respect to the other sums claimed, he allowed $105, and $93.60 for editing work, but disallowed</w:t>
      </w:r>
    </w:p>
    <w:p w:rsidR="005B3E75" w:rsidRPr="00D0068E" w:rsidRDefault="005B3E75" w:rsidP="005B3E75">
      <w:pPr>
        <w:pStyle w:val="Reasons"/>
        <w:rPr>
          <w:rFonts w:cs="Arial"/>
          <w:color w:val="000000"/>
          <w:szCs w:val="24"/>
          <w:lang w:val="en-US"/>
        </w:rPr>
      </w:pPr>
      <w:r w:rsidRPr="00D0068E">
        <w:rPr>
          <w:rFonts w:cs="Arial"/>
          <w:color w:val="000000"/>
          <w:szCs w:val="24"/>
          <w:lang w:val="en-US"/>
        </w:rPr>
        <w:t>[Page 662]</w:t>
      </w:r>
    </w:p>
    <w:p w:rsidR="00234158" w:rsidRDefault="00ED0199" w:rsidP="005B3E75">
      <w:pPr>
        <w:pStyle w:val="Reasons"/>
        <w:rPr>
          <w:szCs w:val="24"/>
          <w:lang w:val="en-US"/>
        </w:rPr>
      </w:pPr>
      <w:proofErr w:type="gramStart"/>
      <w:r w:rsidRPr="00D0068E">
        <w:rPr>
          <w:spacing w:val="8"/>
          <w:szCs w:val="24"/>
          <w:lang w:val="en-US"/>
        </w:rPr>
        <w:t>the</w:t>
      </w:r>
      <w:proofErr w:type="gramEnd"/>
      <w:r w:rsidRPr="00D0068E">
        <w:rPr>
          <w:spacing w:val="8"/>
          <w:szCs w:val="24"/>
          <w:lang w:val="en-US"/>
        </w:rPr>
        <w:t xml:space="preserve"> remainder. Certain other deductions were also made by the judge, the result being as set</w:t>
      </w:r>
      <w:r w:rsidR="00CD7E3B">
        <w:rPr>
          <w:spacing w:val="8"/>
          <w:szCs w:val="24"/>
          <w:lang w:val="en-US"/>
        </w:rPr>
        <w:t xml:space="preserve"> out in the following statement</w:t>
      </w:r>
      <w:r w:rsidRPr="00D0068E">
        <w:rPr>
          <w:spacing w:val="8"/>
          <w:szCs w:val="24"/>
          <w:lang w:val="en-US"/>
        </w:rPr>
        <w:t>:—</w:t>
      </w:r>
      <w:r w:rsidRPr="00D0068E">
        <w:rPr>
          <w:szCs w:val="24"/>
          <w:lang w:val="en-US"/>
        </w:rPr>
        <w:t xml:space="preserve"> </w:t>
      </w: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1417"/>
        <w:gridCol w:w="1539"/>
      </w:tblGrid>
      <w:tr w:rsidR="00864B9D" w:rsidTr="00FC6493">
        <w:trPr>
          <w:jc w:val="center"/>
        </w:trPr>
        <w:tc>
          <w:tcPr>
            <w:tcW w:w="3185" w:type="pct"/>
          </w:tcPr>
          <w:p w:rsidR="00864B9D" w:rsidRDefault="00864B9D" w:rsidP="005B3E75">
            <w:pPr>
              <w:pStyle w:val="Reasons"/>
              <w:rPr>
                <w:spacing w:val="8"/>
                <w:szCs w:val="24"/>
              </w:rPr>
            </w:pPr>
            <w:r w:rsidRPr="00D0068E">
              <w:rPr>
                <w:szCs w:val="24"/>
                <w:lang w:val="en-US"/>
              </w:rPr>
              <w:t xml:space="preserve">To total account for reporting   </w:t>
            </w:r>
          </w:p>
        </w:tc>
        <w:tc>
          <w:tcPr>
            <w:tcW w:w="870" w:type="pct"/>
          </w:tcPr>
          <w:p w:rsidR="00864B9D" w:rsidRPr="004F7D9A" w:rsidRDefault="00864B9D" w:rsidP="00E96A47">
            <w:pPr>
              <w:pStyle w:val="Reasons"/>
              <w:jc w:val="right"/>
              <w:rPr>
                <w:szCs w:val="24"/>
              </w:rPr>
            </w:pPr>
            <w:r w:rsidRPr="00D0068E">
              <w:rPr>
                <w:szCs w:val="24"/>
                <w:lang w:val="en-US"/>
              </w:rPr>
              <w:t>$3,780 50</w:t>
            </w:r>
          </w:p>
        </w:tc>
        <w:tc>
          <w:tcPr>
            <w:tcW w:w="945" w:type="pct"/>
          </w:tcPr>
          <w:p w:rsidR="00864B9D" w:rsidRDefault="00864B9D" w:rsidP="004F7D9A">
            <w:pPr>
              <w:pStyle w:val="Reasons"/>
              <w:jc w:val="right"/>
              <w:rPr>
                <w:spacing w:val="8"/>
                <w:szCs w:val="24"/>
              </w:rPr>
            </w:pPr>
          </w:p>
        </w:tc>
      </w:tr>
      <w:tr w:rsidR="00864B9D" w:rsidTr="00FC6493">
        <w:trPr>
          <w:jc w:val="center"/>
        </w:trPr>
        <w:tc>
          <w:tcPr>
            <w:tcW w:w="3185" w:type="pct"/>
          </w:tcPr>
          <w:p w:rsidR="00864B9D" w:rsidRDefault="004F7D9A" w:rsidP="005B3E75">
            <w:pPr>
              <w:pStyle w:val="Reasons"/>
              <w:rPr>
                <w:spacing w:val="8"/>
                <w:szCs w:val="24"/>
              </w:rPr>
            </w:pPr>
            <w:r>
              <w:rPr>
                <w:szCs w:val="24"/>
                <w:lang w:val="en-US"/>
              </w:rPr>
              <w:t>"</w:t>
            </w:r>
            <w:r w:rsidR="00864B9D" w:rsidRPr="00D0068E">
              <w:rPr>
                <w:szCs w:val="24"/>
                <w:lang w:val="en-US"/>
              </w:rPr>
              <w:t>amount for editing</w:t>
            </w:r>
          </w:p>
        </w:tc>
        <w:tc>
          <w:tcPr>
            <w:tcW w:w="870" w:type="pct"/>
          </w:tcPr>
          <w:p w:rsidR="00864B9D" w:rsidRPr="00864B9D" w:rsidRDefault="00864B9D" w:rsidP="00E96A47">
            <w:pPr>
              <w:pStyle w:val="Reasons"/>
              <w:jc w:val="right"/>
              <w:rPr>
                <w:szCs w:val="24"/>
              </w:rPr>
            </w:pPr>
            <w:r w:rsidRPr="00D0068E">
              <w:rPr>
                <w:szCs w:val="24"/>
                <w:lang w:val="en-US"/>
              </w:rPr>
              <w:t>105 00</w:t>
            </w:r>
          </w:p>
        </w:tc>
        <w:tc>
          <w:tcPr>
            <w:tcW w:w="945" w:type="pct"/>
          </w:tcPr>
          <w:p w:rsidR="00864B9D" w:rsidRDefault="00864B9D" w:rsidP="004F7D9A">
            <w:pPr>
              <w:pStyle w:val="Reasons"/>
              <w:jc w:val="right"/>
              <w:rPr>
                <w:spacing w:val="8"/>
                <w:szCs w:val="24"/>
              </w:rPr>
            </w:pPr>
          </w:p>
        </w:tc>
      </w:tr>
      <w:tr w:rsidR="00864B9D" w:rsidTr="00FC6493">
        <w:trPr>
          <w:jc w:val="center"/>
        </w:trPr>
        <w:tc>
          <w:tcPr>
            <w:tcW w:w="3185" w:type="pct"/>
          </w:tcPr>
          <w:p w:rsidR="00864B9D" w:rsidRDefault="00864B9D" w:rsidP="005B3E75">
            <w:pPr>
              <w:pStyle w:val="Reasons"/>
              <w:rPr>
                <w:spacing w:val="8"/>
                <w:szCs w:val="24"/>
              </w:rPr>
            </w:pPr>
            <w:r>
              <w:rPr>
                <w:spacing w:val="8"/>
                <w:szCs w:val="24"/>
              </w:rPr>
              <w:t>“ “ “ “</w:t>
            </w:r>
          </w:p>
        </w:tc>
        <w:tc>
          <w:tcPr>
            <w:tcW w:w="870" w:type="pct"/>
          </w:tcPr>
          <w:p w:rsidR="00864B9D" w:rsidRPr="00E96A47" w:rsidRDefault="00864B9D" w:rsidP="00E96A47">
            <w:pPr>
              <w:pStyle w:val="Reasons"/>
              <w:jc w:val="right"/>
              <w:rPr>
                <w:szCs w:val="24"/>
              </w:rPr>
            </w:pPr>
            <w:r w:rsidRPr="00D0068E">
              <w:rPr>
                <w:rFonts w:ascii="Verdana" w:eastAsia="Verdana" w:hAnsi="Verdana"/>
                <w:szCs w:val="24"/>
                <w:lang w:val="en-US"/>
              </w:rPr>
              <w:t>93 60</w:t>
            </w:r>
          </w:p>
        </w:tc>
        <w:tc>
          <w:tcPr>
            <w:tcW w:w="945" w:type="pct"/>
          </w:tcPr>
          <w:p w:rsidR="00864B9D" w:rsidRDefault="00864B9D" w:rsidP="004F7D9A">
            <w:pPr>
              <w:pStyle w:val="Reasons"/>
              <w:jc w:val="right"/>
              <w:rPr>
                <w:spacing w:val="8"/>
                <w:szCs w:val="24"/>
              </w:rPr>
            </w:pPr>
          </w:p>
        </w:tc>
      </w:tr>
      <w:tr w:rsidR="00864B9D" w:rsidTr="00FC6493">
        <w:trPr>
          <w:jc w:val="center"/>
        </w:trPr>
        <w:tc>
          <w:tcPr>
            <w:tcW w:w="3185" w:type="pct"/>
          </w:tcPr>
          <w:p w:rsidR="00864B9D" w:rsidRPr="00864B9D" w:rsidRDefault="004F7D9A" w:rsidP="00864B9D">
            <w:pPr>
              <w:pStyle w:val="Reasons"/>
              <w:rPr>
                <w:spacing w:val="7"/>
                <w:szCs w:val="24"/>
              </w:rPr>
            </w:pPr>
            <w:r>
              <w:rPr>
                <w:spacing w:val="7"/>
                <w:szCs w:val="24"/>
                <w:lang w:val="en-US"/>
              </w:rPr>
              <w:t>"</w:t>
            </w:r>
            <w:r w:rsidR="00864B9D" w:rsidRPr="00D0068E">
              <w:rPr>
                <w:spacing w:val="7"/>
                <w:szCs w:val="24"/>
                <w:lang w:val="en-US"/>
              </w:rPr>
              <w:t>amount claimed for living allowance</w:t>
            </w:r>
            <w:r w:rsidR="00864B9D">
              <w:rPr>
                <w:spacing w:val="7"/>
                <w:szCs w:val="24"/>
              </w:rPr>
              <w:t xml:space="preserve"> </w:t>
            </w:r>
            <w:r w:rsidR="00864B9D" w:rsidRPr="00D0068E">
              <w:rPr>
                <w:spacing w:val="10"/>
                <w:szCs w:val="24"/>
                <w:lang w:val="en-US"/>
              </w:rPr>
              <w:t>in paragraph 6 statement of claim</w:t>
            </w:r>
          </w:p>
        </w:tc>
        <w:tc>
          <w:tcPr>
            <w:tcW w:w="870" w:type="pct"/>
            <w:tcBorders>
              <w:bottom w:val="single" w:sz="4" w:space="0" w:color="auto"/>
            </w:tcBorders>
          </w:tcPr>
          <w:p w:rsidR="00864B9D" w:rsidRDefault="00864B9D" w:rsidP="00E96A47">
            <w:pPr>
              <w:pStyle w:val="Reasons"/>
              <w:jc w:val="right"/>
              <w:rPr>
                <w:spacing w:val="8"/>
                <w:szCs w:val="24"/>
              </w:rPr>
            </w:pPr>
            <w:r w:rsidRPr="00D0068E">
              <w:rPr>
                <w:spacing w:val="10"/>
                <w:szCs w:val="24"/>
                <w:lang w:val="en-US"/>
              </w:rPr>
              <w:t>1,036 00</w:t>
            </w:r>
          </w:p>
        </w:tc>
        <w:tc>
          <w:tcPr>
            <w:tcW w:w="945" w:type="pct"/>
          </w:tcPr>
          <w:p w:rsidR="00864B9D" w:rsidRDefault="00864B9D" w:rsidP="004F7D9A">
            <w:pPr>
              <w:pStyle w:val="Reasons"/>
              <w:jc w:val="right"/>
              <w:rPr>
                <w:spacing w:val="8"/>
                <w:szCs w:val="24"/>
              </w:rPr>
            </w:pPr>
          </w:p>
        </w:tc>
      </w:tr>
      <w:tr w:rsidR="00864B9D" w:rsidTr="00FC6493">
        <w:trPr>
          <w:jc w:val="center"/>
        </w:trPr>
        <w:tc>
          <w:tcPr>
            <w:tcW w:w="3185" w:type="pct"/>
          </w:tcPr>
          <w:p w:rsidR="00864B9D" w:rsidRDefault="00864B9D" w:rsidP="005B3E75">
            <w:pPr>
              <w:pStyle w:val="Reasons"/>
              <w:rPr>
                <w:spacing w:val="8"/>
                <w:szCs w:val="24"/>
              </w:rPr>
            </w:pPr>
          </w:p>
        </w:tc>
        <w:tc>
          <w:tcPr>
            <w:tcW w:w="870" w:type="pct"/>
            <w:tcBorders>
              <w:top w:val="single" w:sz="4" w:space="0" w:color="auto"/>
            </w:tcBorders>
          </w:tcPr>
          <w:p w:rsidR="00864B9D" w:rsidRDefault="00864B9D" w:rsidP="00E96A47">
            <w:pPr>
              <w:pStyle w:val="Reasons"/>
              <w:jc w:val="right"/>
              <w:rPr>
                <w:spacing w:val="8"/>
                <w:szCs w:val="24"/>
              </w:rPr>
            </w:pPr>
          </w:p>
        </w:tc>
        <w:tc>
          <w:tcPr>
            <w:tcW w:w="945" w:type="pct"/>
          </w:tcPr>
          <w:p w:rsidR="00864B9D" w:rsidRPr="00864B9D" w:rsidRDefault="00864B9D" w:rsidP="004F7D9A">
            <w:pPr>
              <w:pStyle w:val="Reasons"/>
              <w:jc w:val="right"/>
              <w:rPr>
                <w:rFonts w:ascii="Verdana" w:eastAsia="Verdana" w:hAnsi="Verdana"/>
                <w:spacing w:val="13"/>
                <w:szCs w:val="24"/>
              </w:rPr>
            </w:pPr>
            <w:r w:rsidRPr="00D0068E">
              <w:rPr>
                <w:spacing w:val="13"/>
                <w:szCs w:val="24"/>
                <w:lang w:val="en-US"/>
              </w:rPr>
              <w:t>$5,015 10</w:t>
            </w:r>
          </w:p>
        </w:tc>
      </w:tr>
      <w:tr w:rsidR="00864B9D" w:rsidTr="00FC6493">
        <w:trPr>
          <w:jc w:val="center"/>
        </w:trPr>
        <w:tc>
          <w:tcPr>
            <w:tcW w:w="3185" w:type="pct"/>
          </w:tcPr>
          <w:p w:rsidR="00864B9D" w:rsidRPr="00864B9D" w:rsidRDefault="00864B9D" w:rsidP="00864B9D">
            <w:pPr>
              <w:pStyle w:val="Reasons"/>
              <w:rPr>
                <w:spacing w:val="4"/>
                <w:szCs w:val="24"/>
              </w:rPr>
            </w:pPr>
            <w:r w:rsidRPr="00D0068E">
              <w:rPr>
                <w:spacing w:val="4"/>
                <w:szCs w:val="24"/>
                <w:lang w:val="en-US"/>
              </w:rPr>
              <w:t>By amount paid on account of reporting</w:t>
            </w:r>
            <w:r>
              <w:rPr>
                <w:spacing w:val="4"/>
                <w:szCs w:val="24"/>
              </w:rPr>
              <w:t xml:space="preserve"> </w:t>
            </w:r>
            <w:r>
              <w:rPr>
                <w:szCs w:val="24"/>
                <w:lang w:val="en-US"/>
              </w:rPr>
              <w:t>work</w:t>
            </w:r>
          </w:p>
        </w:tc>
        <w:tc>
          <w:tcPr>
            <w:tcW w:w="870" w:type="pct"/>
          </w:tcPr>
          <w:p w:rsidR="00864B9D" w:rsidRDefault="00864B9D" w:rsidP="00E96A47">
            <w:pPr>
              <w:pStyle w:val="Reasons"/>
              <w:jc w:val="right"/>
              <w:rPr>
                <w:spacing w:val="8"/>
                <w:szCs w:val="24"/>
              </w:rPr>
            </w:pPr>
            <w:r w:rsidRPr="00D0068E">
              <w:rPr>
                <w:szCs w:val="24"/>
                <w:lang w:val="en-US"/>
              </w:rPr>
              <w:t>$1,751 00</w:t>
            </w:r>
          </w:p>
        </w:tc>
        <w:tc>
          <w:tcPr>
            <w:tcW w:w="945" w:type="pct"/>
          </w:tcPr>
          <w:p w:rsidR="00864B9D" w:rsidRDefault="00864B9D" w:rsidP="004F7D9A">
            <w:pPr>
              <w:pStyle w:val="Reasons"/>
              <w:jc w:val="right"/>
              <w:rPr>
                <w:spacing w:val="8"/>
                <w:szCs w:val="24"/>
              </w:rPr>
            </w:pPr>
          </w:p>
        </w:tc>
      </w:tr>
      <w:tr w:rsidR="00864B9D" w:rsidTr="00FC6493">
        <w:trPr>
          <w:jc w:val="center"/>
        </w:trPr>
        <w:tc>
          <w:tcPr>
            <w:tcW w:w="3185" w:type="pct"/>
          </w:tcPr>
          <w:p w:rsidR="00864B9D" w:rsidRDefault="004F7D9A" w:rsidP="005B3E75">
            <w:pPr>
              <w:pStyle w:val="Reasons"/>
              <w:rPr>
                <w:spacing w:val="8"/>
                <w:szCs w:val="24"/>
              </w:rPr>
            </w:pPr>
            <w:r>
              <w:rPr>
                <w:szCs w:val="24"/>
                <w:lang w:val="en-US"/>
              </w:rPr>
              <w:t>"</w:t>
            </w:r>
            <w:r w:rsidR="00864B9D" w:rsidRPr="00D0068E">
              <w:rPr>
                <w:szCs w:val="24"/>
                <w:lang w:val="en-US"/>
              </w:rPr>
              <w:t>amount of living allowance disallowed</w:t>
            </w:r>
          </w:p>
        </w:tc>
        <w:tc>
          <w:tcPr>
            <w:tcW w:w="870" w:type="pct"/>
          </w:tcPr>
          <w:p w:rsidR="00864B9D" w:rsidRPr="004F7D9A" w:rsidRDefault="004F7D9A" w:rsidP="00E96A47">
            <w:pPr>
              <w:pStyle w:val="Reasons"/>
              <w:jc w:val="right"/>
              <w:rPr>
                <w:szCs w:val="24"/>
              </w:rPr>
            </w:pPr>
            <w:r w:rsidRPr="00D0068E">
              <w:rPr>
                <w:szCs w:val="24"/>
                <w:lang w:val="en-US"/>
              </w:rPr>
              <w:t>1,036 00</w:t>
            </w:r>
          </w:p>
        </w:tc>
        <w:tc>
          <w:tcPr>
            <w:tcW w:w="945" w:type="pct"/>
          </w:tcPr>
          <w:p w:rsidR="00864B9D" w:rsidRDefault="00864B9D" w:rsidP="004F7D9A">
            <w:pPr>
              <w:pStyle w:val="Reasons"/>
              <w:jc w:val="right"/>
              <w:rPr>
                <w:spacing w:val="8"/>
                <w:szCs w:val="24"/>
              </w:rPr>
            </w:pPr>
          </w:p>
        </w:tc>
      </w:tr>
      <w:tr w:rsidR="00864B9D" w:rsidTr="00FC6493">
        <w:trPr>
          <w:jc w:val="center"/>
        </w:trPr>
        <w:tc>
          <w:tcPr>
            <w:tcW w:w="3185" w:type="pct"/>
          </w:tcPr>
          <w:p w:rsidR="00864B9D" w:rsidRDefault="004F7D9A" w:rsidP="005B3E75">
            <w:pPr>
              <w:pStyle w:val="Reasons"/>
              <w:rPr>
                <w:spacing w:val="8"/>
                <w:szCs w:val="24"/>
              </w:rPr>
            </w:pPr>
            <w:r>
              <w:rPr>
                <w:szCs w:val="24"/>
                <w:lang w:val="en-US"/>
              </w:rPr>
              <w:t>"</w:t>
            </w:r>
            <w:r w:rsidRPr="00D0068E">
              <w:rPr>
                <w:szCs w:val="24"/>
                <w:lang w:val="en-US"/>
              </w:rPr>
              <w:t>cash from Finance Department</w:t>
            </w:r>
          </w:p>
        </w:tc>
        <w:tc>
          <w:tcPr>
            <w:tcW w:w="870" w:type="pct"/>
          </w:tcPr>
          <w:p w:rsidR="00864B9D" w:rsidRDefault="004F7D9A" w:rsidP="00E96A47">
            <w:pPr>
              <w:pStyle w:val="Reasons"/>
              <w:jc w:val="right"/>
              <w:rPr>
                <w:spacing w:val="8"/>
                <w:szCs w:val="24"/>
              </w:rPr>
            </w:pPr>
            <w:r w:rsidRPr="00D0068E">
              <w:rPr>
                <w:szCs w:val="24"/>
                <w:lang w:val="en-US"/>
              </w:rPr>
              <w:t>28 75</w:t>
            </w:r>
          </w:p>
        </w:tc>
        <w:tc>
          <w:tcPr>
            <w:tcW w:w="945" w:type="pct"/>
          </w:tcPr>
          <w:p w:rsidR="00864B9D" w:rsidRDefault="00864B9D" w:rsidP="004F7D9A">
            <w:pPr>
              <w:pStyle w:val="Reasons"/>
              <w:jc w:val="right"/>
              <w:rPr>
                <w:spacing w:val="8"/>
                <w:szCs w:val="24"/>
              </w:rPr>
            </w:pPr>
          </w:p>
        </w:tc>
      </w:tr>
      <w:tr w:rsidR="00864B9D" w:rsidTr="00FC6493">
        <w:trPr>
          <w:jc w:val="center"/>
        </w:trPr>
        <w:tc>
          <w:tcPr>
            <w:tcW w:w="3185" w:type="pct"/>
          </w:tcPr>
          <w:p w:rsidR="00864B9D" w:rsidRPr="004F7D9A" w:rsidRDefault="004F7D9A" w:rsidP="004F7D9A">
            <w:pPr>
              <w:pStyle w:val="Reasons"/>
              <w:rPr>
                <w:szCs w:val="24"/>
              </w:rPr>
            </w:pPr>
            <w:r>
              <w:rPr>
                <w:szCs w:val="24"/>
                <w:lang w:val="en-US"/>
              </w:rPr>
              <w:t>"</w:t>
            </w:r>
            <w:r w:rsidRPr="00D0068E">
              <w:rPr>
                <w:szCs w:val="24"/>
                <w:lang w:val="en-US"/>
              </w:rPr>
              <w:t>deduction of amount payable to other</w:t>
            </w:r>
            <w:r>
              <w:rPr>
                <w:szCs w:val="24"/>
              </w:rPr>
              <w:t xml:space="preserve"> </w:t>
            </w:r>
            <w:r w:rsidRPr="00D0068E">
              <w:rPr>
                <w:szCs w:val="24"/>
                <w:lang w:val="en-US"/>
              </w:rPr>
              <w:t>reporters</w:t>
            </w:r>
          </w:p>
        </w:tc>
        <w:tc>
          <w:tcPr>
            <w:tcW w:w="870" w:type="pct"/>
            <w:tcBorders>
              <w:bottom w:val="single" w:sz="4" w:space="0" w:color="auto"/>
            </w:tcBorders>
          </w:tcPr>
          <w:p w:rsidR="004F7D9A" w:rsidRPr="00D0068E" w:rsidRDefault="004F7D9A" w:rsidP="00E96A47">
            <w:pPr>
              <w:pStyle w:val="Reasons"/>
              <w:jc w:val="right"/>
              <w:rPr>
                <w:szCs w:val="24"/>
              </w:rPr>
            </w:pPr>
            <w:r w:rsidRPr="00D0068E">
              <w:rPr>
                <w:szCs w:val="24"/>
                <w:lang w:val="en-US"/>
              </w:rPr>
              <w:t>833 25</w:t>
            </w:r>
          </w:p>
          <w:p w:rsidR="00864B9D" w:rsidRDefault="00864B9D" w:rsidP="00E96A47">
            <w:pPr>
              <w:pStyle w:val="Reasons"/>
              <w:jc w:val="right"/>
              <w:rPr>
                <w:spacing w:val="8"/>
                <w:szCs w:val="24"/>
              </w:rPr>
            </w:pPr>
          </w:p>
        </w:tc>
        <w:tc>
          <w:tcPr>
            <w:tcW w:w="945" w:type="pct"/>
          </w:tcPr>
          <w:p w:rsidR="00864B9D" w:rsidRDefault="00864B9D" w:rsidP="004F7D9A">
            <w:pPr>
              <w:pStyle w:val="Reasons"/>
              <w:jc w:val="right"/>
              <w:rPr>
                <w:spacing w:val="8"/>
                <w:szCs w:val="24"/>
              </w:rPr>
            </w:pPr>
          </w:p>
        </w:tc>
      </w:tr>
      <w:tr w:rsidR="00864B9D" w:rsidTr="00FC6493">
        <w:trPr>
          <w:jc w:val="center"/>
        </w:trPr>
        <w:tc>
          <w:tcPr>
            <w:tcW w:w="3185" w:type="pct"/>
          </w:tcPr>
          <w:p w:rsidR="00864B9D" w:rsidRDefault="00864B9D" w:rsidP="005B3E75">
            <w:pPr>
              <w:pStyle w:val="Reasons"/>
              <w:rPr>
                <w:spacing w:val="8"/>
                <w:szCs w:val="24"/>
              </w:rPr>
            </w:pPr>
          </w:p>
        </w:tc>
        <w:tc>
          <w:tcPr>
            <w:tcW w:w="870" w:type="pct"/>
            <w:tcBorders>
              <w:top w:val="single" w:sz="4" w:space="0" w:color="auto"/>
            </w:tcBorders>
          </w:tcPr>
          <w:p w:rsidR="00864B9D" w:rsidRDefault="00864B9D" w:rsidP="00E96A47">
            <w:pPr>
              <w:pStyle w:val="Reasons"/>
              <w:jc w:val="right"/>
              <w:rPr>
                <w:spacing w:val="8"/>
                <w:szCs w:val="24"/>
              </w:rPr>
            </w:pPr>
          </w:p>
        </w:tc>
        <w:tc>
          <w:tcPr>
            <w:tcW w:w="945" w:type="pct"/>
            <w:tcBorders>
              <w:bottom w:val="single" w:sz="4" w:space="0" w:color="auto"/>
            </w:tcBorders>
          </w:tcPr>
          <w:p w:rsidR="00864B9D" w:rsidRPr="004F7D9A" w:rsidRDefault="004F7D9A" w:rsidP="004F7D9A">
            <w:pPr>
              <w:pStyle w:val="Reasons"/>
              <w:jc w:val="right"/>
              <w:rPr>
                <w:spacing w:val="58"/>
                <w:szCs w:val="24"/>
              </w:rPr>
            </w:pPr>
            <w:r>
              <w:rPr>
                <w:spacing w:val="58"/>
                <w:szCs w:val="24"/>
                <w:lang w:val="en-US"/>
              </w:rPr>
              <w:t>3,649</w:t>
            </w:r>
          </w:p>
        </w:tc>
      </w:tr>
      <w:tr w:rsidR="00864B9D" w:rsidTr="00FC6493">
        <w:trPr>
          <w:jc w:val="center"/>
        </w:trPr>
        <w:tc>
          <w:tcPr>
            <w:tcW w:w="3185" w:type="pct"/>
          </w:tcPr>
          <w:p w:rsidR="00864B9D" w:rsidRDefault="00864B9D" w:rsidP="005B3E75">
            <w:pPr>
              <w:pStyle w:val="Reasons"/>
              <w:rPr>
                <w:spacing w:val="8"/>
                <w:szCs w:val="24"/>
              </w:rPr>
            </w:pPr>
          </w:p>
        </w:tc>
        <w:tc>
          <w:tcPr>
            <w:tcW w:w="870" w:type="pct"/>
          </w:tcPr>
          <w:p w:rsidR="00864B9D" w:rsidRDefault="00864B9D" w:rsidP="00E96A47">
            <w:pPr>
              <w:pStyle w:val="Reasons"/>
              <w:jc w:val="right"/>
              <w:rPr>
                <w:spacing w:val="8"/>
                <w:szCs w:val="24"/>
              </w:rPr>
            </w:pPr>
          </w:p>
        </w:tc>
        <w:tc>
          <w:tcPr>
            <w:tcW w:w="945" w:type="pct"/>
            <w:tcBorders>
              <w:top w:val="single" w:sz="4" w:space="0" w:color="auto"/>
              <w:bottom w:val="single" w:sz="4" w:space="0" w:color="auto"/>
            </w:tcBorders>
          </w:tcPr>
          <w:p w:rsidR="00864B9D" w:rsidRPr="004F7D9A" w:rsidRDefault="004F7D9A" w:rsidP="004F7D9A">
            <w:pPr>
              <w:pStyle w:val="Reasons"/>
              <w:jc w:val="right"/>
              <w:rPr>
                <w:spacing w:val="3"/>
                <w:szCs w:val="24"/>
              </w:rPr>
            </w:pPr>
            <w:r w:rsidRPr="00D0068E">
              <w:rPr>
                <w:spacing w:val="3"/>
                <w:szCs w:val="24"/>
                <w:lang w:val="en-US"/>
              </w:rPr>
              <w:t>$1,366 10</w:t>
            </w:r>
          </w:p>
        </w:tc>
      </w:tr>
    </w:tbl>
    <w:p w:rsidR="00234158" w:rsidRPr="00D0068E" w:rsidRDefault="00ED0199" w:rsidP="005B3E75">
      <w:pPr>
        <w:pStyle w:val="Reasons"/>
        <w:rPr>
          <w:spacing w:val="10"/>
          <w:szCs w:val="24"/>
        </w:rPr>
      </w:pPr>
      <w:proofErr w:type="gramStart"/>
      <w:r w:rsidRPr="00D0068E">
        <w:rPr>
          <w:spacing w:val="10"/>
          <w:szCs w:val="24"/>
          <w:lang w:val="en-US"/>
        </w:rPr>
        <w:t>for</w:t>
      </w:r>
      <w:proofErr w:type="gramEnd"/>
      <w:r w:rsidRPr="00D0068E">
        <w:rPr>
          <w:spacing w:val="10"/>
          <w:szCs w:val="24"/>
          <w:lang w:val="en-US"/>
        </w:rPr>
        <w:t xml:space="preserve"> which balance judgment was given.</w:t>
      </w:r>
    </w:p>
    <w:p w:rsidR="00234158" w:rsidRPr="004F7D9A" w:rsidRDefault="00ED0199" w:rsidP="005B3E75">
      <w:pPr>
        <w:pStyle w:val="Reasons"/>
        <w:rPr>
          <w:spacing w:val="10"/>
          <w:szCs w:val="24"/>
        </w:rPr>
      </w:pPr>
      <w:r w:rsidRPr="00D0068E">
        <w:rPr>
          <w:spacing w:val="10"/>
          <w:szCs w:val="24"/>
          <w:lang w:val="en-US"/>
        </w:rPr>
        <w:t>As the judge of the court below has found upon the evidence that the respondent had been duly employed by Her Majesty to do the work aforesaid, and also held that the prices charged for the work done and accepted by Her Majesty were those claimed by the respondent, no question as to these matters arises on</w:t>
      </w:r>
      <w:r w:rsidR="004F7D9A">
        <w:rPr>
          <w:spacing w:val="10"/>
          <w:szCs w:val="24"/>
        </w:rPr>
        <w:t xml:space="preserve"> </w:t>
      </w:r>
      <w:r w:rsidRPr="00D0068E">
        <w:rPr>
          <w:spacing w:val="8"/>
          <w:szCs w:val="24"/>
          <w:lang w:val="en-US"/>
        </w:rPr>
        <w:t>this appeal.</w:t>
      </w:r>
    </w:p>
    <w:p w:rsidR="00234158" w:rsidRPr="004F7D9A" w:rsidRDefault="00ED0199" w:rsidP="005B3E75">
      <w:pPr>
        <w:pStyle w:val="Reasons"/>
        <w:rPr>
          <w:spacing w:val="12"/>
          <w:szCs w:val="24"/>
        </w:rPr>
      </w:pPr>
      <w:r w:rsidRPr="00D0068E">
        <w:rPr>
          <w:spacing w:val="12"/>
          <w:szCs w:val="24"/>
          <w:lang w:val="en-US"/>
        </w:rPr>
        <w:t>The Crown, at the trial sought to be relieved from</w:t>
      </w:r>
      <w:r w:rsidR="004F7D9A">
        <w:rPr>
          <w:spacing w:val="12"/>
          <w:szCs w:val="24"/>
        </w:rPr>
        <w:t xml:space="preserve"> </w:t>
      </w:r>
      <w:r w:rsidRPr="00D0068E">
        <w:rPr>
          <w:spacing w:val="9"/>
          <w:szCs w:val="24"/>
          <w:lang w:val="en-US"/>
        </w:rPr>
        <w:t xml:space="preserve">liability to the respondent upon legal grounds, and urged that the respondent was not entitled to recover against Her Majesty, for the reason that he was barred in his action by the provisions of the 51st section of the Civil Service Amendment Act of 1888, 51 Vic. </w:t>
      </w:r>
      <w:proofErr w:type="spellStart"/>
      <w:r w:rsidRPr="00D0068E">
        <w:rPr>
          <w:spacing w:val="9"/>
          <w:szCs w:val="24"/>
          <w:lang w:val="en-US"/>
        </w:rPr>
        <w:t>ch.</w:t>
      </w:r>
      <w:proofErr w:type="spellEnd"/>
      <w:r w:rsidRPr="00D0068E">
        <w:rPr>
          <w:spacing w:val="9"/>
          <w:szCs w:val="24"/>
          <w:lang w:val="en-US"/>
        </w:rPr>
        <w:t xml:space="preserve"> 12. That section is as </w:t>
      </w:r>
      <w:r w:rsidRPr="00D0068E">
        <w:rPr>
          <w:spacing w:val="9"/>
          <w:szCs w:val="24"/>
          <w:lang w:val="en-US"/>
        </w:rPr>
        <w:lastRenderedPageBreak/>
        <w:t>follo</w:t>
      </w:r>
      <w:r w:rsidR="00CD7E3B">
        <w:rPr>
          <w:spacing w:val="9"/>
          <w:szCs w:val="24"/>
          <w:lang w:val="en-US"/>
        </w:rPr>
        <w:t>ws</w:t>
      </w:r>
      <w:r w:rsidRPr="00D0068E">
        <w:rPr>
          <w:spacing w:val="9"/>
          <w:szCs w:val="24"/>
          <w:lang w:val="en-US"/>
        </w:rPr>
        <w:t>:—</w:t>
      </w:r>
      <w:r w:rsidRPr="00D0068E">
        <w:rPr>
          <w:szCs w:val="24"/>
          <w:lang w:val="en-US"/>
        </w:rPr>
        <w:t xml:space="preserve"> </w:t>
      </w:r>
    </w:p>
    <w:p w:rsidR="00234158" w:rsidRPr="00D0068E" w:rsidRDefault="00ED0199" w:rsidP="005B3E75">
      <w:pPr>
        <w:pStyle w:val="Indent1"/>
        <w:rPr>
          <w:szCs w:val="24"/>
        </w:rPr>
      </w:pPr>
      <w:r w:rsidRPr="00D0068E">
        <w:rPr>
          <w:szCs w:val="24"/>
          <w:lang w:val="en-US"/>
        </w:rPr>
        <w:t xml:space="preserve">No extra salary or additional remuneration of any kind </w:t>
      </w:r>
      <w:proofErr w:type="gramStart"/>
      <w:r w:rsidRPr="00D0068E">
        <w:rPr>
          <w:szCs w:val="24"/>
          <w:lang w:val="en-US"/>
        </w:rPr>
        <w:t>whatever,</w:t>
      </w:r>
      <w:proofErr w:type="gramEnd"/>
      <w:r w:rsidRPr="00D0068E">
        <w:rPr>
          <w:szCs w:val="24"/>
          <w:lang w:val="en-US"/>
        </w:rPr>
        <w:t xml:space="preserve"> shall be paid to any deputy head, officer or employee in the Civil Service of Canada, or to any other person permanently employed in the public service.</w:t>
      </w:r>
    </w:p>
    <w:p w:rsidR="005B3E75" w:rsidRPr="00D0068E" w:rsidRDefault="005B3E75" w:rsidP="005B3E75">
      <w:pPr>
        <w:pStyle w:val="Reasons"/>
        <w:rPr>
          <w:rFonts w:cs="Arial"/>
          <w:color w:val="000000"/>
          <w:szCs w:val="24"/>
          <w:lang w:val="en-US"/>
        </w:rPr>
      </w:pPr>
      <w:r w:rsidRPr="00D0068E">
        <w:rPr>
          <w:rFonts w:cs="Arial"/>
          <w:color w:val="000000"/>
          <w:szCs w:val="24"/>
          <w:lang w:val="en-US"/>
        </w:rPr>
        <w:t>[Page 663]</w:t>
      </w:r>
    </w:p>
    <w:p w:rsidR="00234158" w:rsidRPr="00D0068E" w:rsidRDefault="00ED0199" w:rsidP="005B3E75">
      <w:pPr>
        <w:pStyle w:val="Reasons"/>
        <w:rPr>
          <w:spacing w:val="9"/>
          <w:szCs w:val="24"/>
        </w:rPr>
      </w:pPr>
      <w:r w:rsidRPr="00D0068E">
        <w:rPr>
          <w:spacing w:val="9"/>
          <w:szCs w:val="24"/>
          <w:lang w:val="en-US"/>
        </w:rPr>
        <w:t xml:space="preserve">His Lordship the </w:t>
      </w:r>
      <w:r w:rsidRPr="00D0068E">
        <w:rPr>
          <w:i/>
          <w:spacing w:val="9"/>
          <w:szCs w:val="24"/>
          <w:lang w:val="en-US"/>
        </w:rPr>
        <w:t xml:space="preserve">Judge </w:t>
      </w:r>
      <w:r w:rsidRPr="00D0068E">
        <w:rPr>
          <w:spacing w:val="9"/>
          <w:szCs w:val="24"/>
          <w:lang w:val="en-US"/>
        </w:rPr>
        <w:t>of the Exchequer Court held against this contention of the Crown. That is the only point on this appeal.</w:t>
      </w:r>
    </w:p>
    <w:p w:rsidR="00234158" w:rsidRPr="00D0068E" w:rsidRDefault="00ED0199" w:rsidP="005B3E75">
      <w:pPr>
        <w:pStyle w:val="Reasons"/>
        <w:rPr>
          <w:spacing w:val="4"/>
          <w:szCs w:val="24"/>
        </w:rPr>
      </w:pPr>
      <w:r w:rsidRPr="00D0068E">
        <w:rPr>
          <w:spacing w:val="4"/>
          <w:szCs w:val="24"/>
          <w:lang w:val="en-US"/>
        </w:rPr>
        <w:t xml:space="preserve">The respondent's contention that he does not, as an officer of the House of Commons, fall under that enactment, is unfounded. But we hold, with the Exchequer Court, that the words </w:t>
      </w:r>
      <w:r w:rsidR="004F7D9A">
        <w:rPr>
          <w:spacing w:val="4"/>
          <w:szCs w:val="24"/>
          <w:lang w:val="en-US"/>
        </w:rPr>
        <w:t>“</w:t>
      </w:r>
      <w:r w:rsidR="004F7D9A" w:rsidRPr="00D0068E">
        <w:rPr>
          <w:spacing w:val="4"/>
          <w:szCs w:val="24"/>
          <w:lang w:val="en-US"/>
        </w:rPr>
        <w:t>No</w:t>
      </w:r>
      <w:r w:rsidRPr="00D0068E">
        <w:rPr>
          <w:spacing w:val="4"/>
          <w:szCs w:val="24"/>
          <w:lang w:val="en-US"/>
        </w:rPr>
        <w:t xml:space="preserve"> </w:t>
      </w:r>
      <w:r w:rsidRPr="00D0068E">
        <w:rPr>
          <w:i/>
          <w:spacing w:val="4"/>
          <w:szCs w:val="24"/>
          <w:lang w:val="en-US"/>
        </w:rPr>
        <w:t xml:space="preserve">extra </w:t>
      </w:r>
      <w:r w:rsidRPr="00D0068E">
        <w:rPr>
          <w:spacing w:val="4"/>
          <w:szCs w:val="24"/>
          <w:lang w:val="en-US"/>
        </w:rPr>
        <w:t xml:space="preserve">salary, or </w:t>
      </w:r>
      <w:r w:rsidRPr="00D0068E">
        <w:rPr>
          <w:i/>
          <w:spacing w:val="4"/>
          <w:szCs w:val="24"/>
          <w:lang w:val="en-US"/>
        </w:rPr>
        <w:t xml:space="preserve">additional remuneration," </w:t>
      </w:r>
      <w:r w:rsidRPr="00D0068E">
        <w:rPr>
          <w:spacing w:val="4"/>
          <w:szCs w:val="24"/>
          <w:lang w:val="en-US"/>
        </w:rPr>
        <w:t xml:space="preserve">have reference only to payments which, if made, would be </w:t>
      </w:r>
      <w:r w:rsidRPr="00D0068E">
        <w:rPr>
          <w:i/>
          <w:spacing w:val="4"/>
          <w:szCs w:val="24"/>
          <w:lang w:val="en-US"/>
        </w:rPr>
        <w:t xml:space="preserve">extra </w:t>
      </w:r>
      <w:r w:rsidRPr="00D0068E">
        <w:rPr>
          <w:spacing w:val="4"/>
          <w:szCs w:val="24"/>
          <w:lang w:val="en-US"/>
        </w:rPr>
        <w:t xml:space="preserve">of those that an officer receives for his services within the scope of his ordinary duties, and additional to them. The Act intends that a civil servant who accepts an office at a fixed salary must not be paid anything </w:t>
      </w:r>
      <w:r w:rsidRPr="00D0068E">
        <w:rPr>
          <w:i/>
          <w:spacing w:val="4"/>
          <w:szCs w:val="24"/>
          <w:lang w:val="en-US"/>
        </w:rPr>
        <w:t xml:space="preserve">extra </w:t>
      </w:r>
      <w:r w:rsidRPr="00D0068E">
        <w:rPr>
          <w:spacing w:val="4"/>
          <w:szCs w:val="24"/>
          <w:lang w:val="en-US"/>
        </w:rPr>
        <w:t xml:space="preserve">for the duties of his </w:t>
      </w:r>
      <w:r w:rsidR="004F7D9A" w:rsidRPr="00D0068E">
        <w:rPr>
          <w:spacing w:val="4"/>
          <w:szCs w:val="24"/>
          <w:lang w:val="en-US"/>
        </w:rPr>
        <w:t>office;</w:t>
      </w:r>
      <w:r w:rsidRPr="00D0068E">
        <w:rPr>
          <w:spacing w:val="4"/>
          <w:szCs w:val="24"/>
          <w:lang w:val="en-US"/>
        </w:rPr>
        <w:t xml:space="preserve"> nothing </w:t>
      </w:r>
      <w:r w:rsidRPr="00D0068E">
        <w:rPr>
          <w:i/>
          <w:spacing w:val="4"/>
          <w:szCs w:val="24"/>
          <w:lang w:val="en-US"/>
        </w:rPr>
        <w:t xml:space="preserve">extra </w:t>
      </w:r>
      <w:r w:rsidRPr="00D0068E">
        <w:rPr>
          <w:spacing w:val="4"/>
          <w:szCs w:val="24"/>
          <w:lang w:val="en-US"/>
        </w:rPr>
        <w:t xml:space="preserve">for that, </w:t>
      </w:r>
      <w:proofErr w:type="gramStart"/>
      <w:r w:rsidRPr="00D0068E">
        <w:rPr>
          <w:spacing w:val="4"/>
          <w:szCs w:val="24"/>
          <w:lang w:val="en-US"/>
        </w:rPr>
        <w:t>nothing</w:t>
      </w:r>
      <w:proofErr w:type="gramEnd"/>
      <w:r w:rsidRPr="00D0068E">
        <w:rPr>
          <w:spacing w:val="4"/>
          <w:szCs w:val="24"/>
          <w:lang w:val="en-US"/>
        </w:rPr>
        <w:t xml:space="preserve"> additional to that. But if he is employed anywhere else or for any other purpose than what can legitimately have been expected or intended</w:t>
      </w:r>
      <w:r w:rsidR="004F7D9A">
        <w:rPr>
          <w:spacing w:val="4"/>
          <w:szCs w:val="24"/>
          <w:lang w:val="en-US"/>
        </w:rPr>
        <w:t xml:space="preserve"> when he accepted office, the A</w:t>
      </w:r>
      <w:r w:rsidRPr="00D0068E">
        <w:rPr>
          <w:spacing w:val="4"/>
          <w:szCs w:val="24"/>
          <w:lang w:val="en-US"/>
        </w:rPr>
        <w:t xml:space="preserve">ct does not say that he will not be paid for it. These are </w:t>
      </w:r>
      <w:r w:rsidRPr="00D0068E">
        <w:rPr>
          <w:i/>
          <w:spacing w:val="4"/>
          <w:szCs w:val="24"/>
          <w:lang w:val="en-US"/>
        </w:rPr>
        <w:t xml:space="preserve">other </w:t>
      </w:r>
      <w:r w:rsidRPr="00D0068E">
        <w:rPr>
          <w:spacing w:val="4"/>
          <w:szCs w:val="24"/>
          <w:lang w:val="en-US"/>
        </w:rPr>
        <w:t xml:space="preserve">duties, requiring </w:t>
      </w:r>
      <w:r w:rsidRPr="00D0068E">
        <w:rPr>
          <w:i/>
          <w:spacing w:val="4"/>
          <w:szCs w:val="24"/>
          <w:lang w:val="en-US"/>
        </w:rPr>
        <w:t xml:space="preserve">other </w:t>
      </w:r>
      <w:r w:rsidRPr="00D0068E">
        <w:rPr>
          <w:spacing w:val="4"/>
          <w:szCs w:val="24"/>
          <w:lang w:val="en-US"/>
        </w:rPr>
        <w:t xml:space="preserve">pay, </w:t>
      </w:r>
      <w:r w:rsidRPr="00D0068E">
        <w:rPr>
          <w:i/>
          <w:spacing w:val="4"/>
          <w:szCs w:val="24"/>
          <w:lang w:val="en-US"/>
        </w:rPr>
        <w:t xml:space="preserve">other </w:t>
      </w:r>
      <w:r w:rsidR="004F7D9A">
        <w:rPr>
          <w:spacing w:val="4"/>
          <w:szCs w:val="24"/>
          <w:lang w:val="en-US"/>
        </w:rPr>
        <w:t xml:space="preserve">remuneration, </w:t>
      </w:r>
      <w:r w:rsidRPr="00D0068E">
        <w:rPr>
          <w:spacing w:val="4"/>
          <w:szCs w:val="24"/>
          <w:lang w:val="en-US"/>
        </w:rPr>
        <w:t xml:space="preserve">not </w:t>
      </w:r>
      <w:r w:rsidRPr="00D0068E">
        <w:rPr>
          <w:i/>
          <w:spacing w:val="4"/>
          <w:szCs w:val="24"/>
          <w:lang w:val="en-US"/>
        </w:rPr>
        <w:t xml:space="preserve">extra </w:t>
      </w:r>
      <w:r w:rsidRPr="00D0068E">
        <w:rPr>
          <w:spacing w:val="4"/>
          <w:szCs w:val="24"/>
          <w:lang w:val="en-US"/>
        </w:rPr>
        <w:t xml:space="preserve">duties, not </w:t>
      </w:r>
      <w:r w:rsidRPr="00D0068E">
        <w:rPr>
          <w:i/>
          <w:spacing w:val="4"/>
          <w:szCs w:val="24"/>
          <w:lang w:val="en-US"/>
        </w:rPr>
        <w:t xml:space="preserve">extra </w:t>
      </w:r>
      <w:r w:rsidRPr="00D0068E">
        <w:rPr>
          <w:spacing w:val="4"/>
          <w:szCs w:val="24"/>
          <w:lang w:val="en-US"/>
        </w:rPr>
        <w:t xml:space="preserve">or </w:t>
      </w:r>
      <w:r w:rsidRPr="00D0068E">
        <w:rPr>
          <w:i/>
          <w:spacing w:val="4"/>
          <w:szCs w:val="24"/>
          <w:lang w:val="en-US"/>
        </w:rPr>
        <w:t xml:space="preserve">additional </w:t>
      </w:r>
      <w:r w:rsidRPr="00D0068E">
        <w:rPr>
          <w:spacing w:val="4"/>
          <w:szCs w:val="24"/>
          <w:lang w:val="en-US"/>
        </w:rPr>
        <w:t>pay. It is not an extra or an addition to his salary as an officer of the House of Commons that the respondent claims. And that is the only kind of claim that the Act prohibits.</w:t>
      </w:r>
    </w:p>
    <w:p w:rsidR="00234158" w:rsidRPr="00D0068E" w:rsidRDefault="00ED0199" w:rsidP="005B3E75">
      <w:pPr>
        <w:pStyle w:val="Reasons"/>
        <w:rPr>
          <w:spacing w:val="8"/>
          <w:szCs w:val="24"/>
        </w:rPr>
      </w:pPr>
      <w:r w:rsidRPr="00D0068E">
        <w:rPr>
          <w:spacing w:val="8"/>
          <w:szCs w:val="24"/>
          <w:lang w:val="en-US"/>
        </w:rPr>
        <w:t>The appeal must be dismissed with costs.</w:t>
      </w:r>
    </w:p>
    <w:p w:rsidR="00234158" w:rsidRPr="00D0068E" w:rsidRDefault="00ED0199" w:rsidP="005B3E75">
      <w:pPr>
        <w:pStyle w:val="Reasons"/>
        <w:rPr>
          <w:i/>
          <w:szCs w:val="24"/>
        </w:rPr>
      </w:pPr>
      <w:r w:rsidRPr="00D0068E">
        <w:rPr>
          <w:i/>
          <w:szCs w:val="24"/>
          <w:lang w:val="en-US"/>
        </w:rPr>
        <w:t>Appeal dismissed with costs.</w:t>
      </w:r>
    </w:p>
    <w:p w:rsidR="00234158" w:rsidRPr="00D0068E" w:rsidRDefault="00ED0199" w:rsidP="005B3E75">
      <w:pPr>
        <w:pStyle w:val="Sollicitors"/>
        <w:rPr>
          <w:szCs w:val="24"/>
        </w:rPr>
      </w:pPr>
      <w:r w:rsidRPr="00D0068E">
        <w:rPr>
          <w:szCs w:val="24"/>
          <w:lang w:val="en-US"/>
        </w:rPr>
        <w:t xml:space="preserve">Solicitor for the </w:t>
      </w:r>
      <w:r w:rsidR="004F7D9A">
        <w:rPr>
          <w:szCs w:val="24"/>
          <w:lang w:val="en-US"/>
        </w:rPr>
        <w:t>appellant</w:t>
      </w:r>
      <w:r w:rsidRPr="00D0068E">
        <w:rPr>
          <w:szCs w:val="24"/>
          <w:lang w:val="en-US"/>
        </w:rPr>
        <w:t xml:space="preserve">: E. L. </w:t>
      </w:r>
      <w:proofErr w:type="spellStart"/>
      <w:r w:rsidRPr="00D0068E">
        <w:rPr>
          <w:szCs w:val="24"/>
          <w:lang w:val="en-US"/>
        </w:rPr>
        <w:t>Newcombe</w:t>
      </w:r>
      <w:proofErr w:type="spellEnd"/>
      <w:r w:rsidRPr="00D0068E">
        <w:rPr>
          <w:szCs w:val="24"/>
          <w:lang w:val="en-US"/>
        </w:rPr>
        <w:t>.</w:t>
      </w:r>
    </w:p>
    <w:p w:rsidR="00234158" w:rsidRPr="00E9663C" w:rsidRDefault="004F7D9A" w:rsidP="005B3E75">
      <w:pPr>
        <w:pStyle w:val="Sollicitors"/>
        <w:rPr>
          <w:spacing w:val="11"/>
          <w:szCs w:val="24"/>
        </w:rPr>
      </w:pPr>
      <w:r>
        <w:rPr>
          <w:spacing w:val="11"/>
          <w:szCs w:val="24"/>
          <w:lang w:val="en-US"/>
        </w:rPr>
        <w:t>Solicitors for the respondent</w:t>
      </w:r>
      <w:r w:rsidR="00ED0199" w:rsidRPr="00D0068E">
        <w:rPr>
          <w:spacing w:val="11"/>
          <w:szCs w:val="24"/>
          <w:lang w:val="en-US"/>
        </w:rPr>
        <w:t>: O'Connor, Hogg &amp;</w:t>
      </w:r>
      <w:r w:rsidR="00E9663C">
        <w:rPr>
          <w:spacing w:val="11"/>
          <w:szCs w:val="24"/>
        </w:rPr>
        <w:t xml:space="preserve"> </w:t>
      </w:r>
      <w:proofErr w:type="spellStart"/>
      <w:r w:rsidR="00ED0199" w:rsidRPr="00D0068E">
        <w:rPr>
          <w:szCs w:val="24"/>
          <w:lang w:val="en-US"/>
        </w:rPr>
        <w:t>Mabee</w:t>
      </w:r>
      <w:proofErr w:type="spellEnd"/>
      <w:r w:rsidR="00ED0199" w:rsidRPr="00D0068E">
        <w:rPr>
          <w:szCs w:val="24"/>
          <w:lang w:val="en-US"/>
        </w:rPr>
        <w:t>.</w:t>
      </w:r>
    </w:p>
    <w:sectPr w:rsidR="00234158" w:rsidRPr="00E9663C" w:rsidSect="00E96A47">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47" w:rsidRDefault="00E96A47" w:rsidP="00ED0199">
      <w:r>
        <w:separator/>
      </w:r>
    </w:p>
  </w:endnote>
  <w:endnote w:type="continuationSeparator" w:id="0">
    <w:p w:rsidR="00E96A47" w:rsidRDefault="00E96A47" w:rsidP="00ED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47" w:rsidRDefault="00E96A47" w:rsidP="00ED0199">
      <w:r>
        <w:separator/>
      </w:r>
    </w:p>
  </w:footnote>
  <w:footnote w:type="continuationSeparator" w:id="0">
    <w:p w:rsidR="00E96A47" w:rsidRDefault="00E96A47" w:rsidP="00ED0199">
      <w:r>
        <w:continuationSeparator/>
      </w:r>
    </w:p>
  </w:footnote>
  <w:footnote w:id="1">
    <w:p w:rsidR="00E96A47" w:rsidRPr="00E9663C" w:rsidRDefault="00E96A47" w:rsidP="00FC6493">
      <w:pPr>
        <w:pStyle w:val="FootnoteText"/>
        <w:rPr>
          <w:lang w:val="en-US"/>
        </w:rPr>
      </w:pPr>
      <w:r w:rsidRPr="00E9663C">
        <w:rPr>
          <w:rStyle w:val="FootnoteReference"/>
        </w:rPr>
        <w:footnoteRef/>
      </w:r>
      <w:r w:rsidRPr="00E9663C">
        <w:t xml:space="preserve"> </w:t>
      </w:r>
      <w:proofErr w:type="gramStart"/>
      <w:r w:rsidRPr="00E9663C">
        <w:rPr>
          <w:lang w:val="en-US"/>
        </w:rPr>
        <w:t>5 Ex. C. R. 409.</w:t>
      </w:r>
      <w:proofErr w:type="gramEnd"/>
    </w:p>
  </w:footnote>
  <w:footnote w:id="2">
    <w:p w:rsidR="00E96A47" w:rsidRPr="00E42A3E" w:rsidRDefault="00E96A47" w:rsidP="00FC6493">
      <w:pPr>
        <w:pStyle w:val="FootnoteText"/>
        <w:rPr>
          <w:sz w:val="18"/>
        </w:rPr>
      </w:pPr>
      <w:r w:rsidRPr="00E9663C">
        <w:rPr>
          <w:rStyle w:val="FootnoteReference"/>
        </w:rPr>
        <w:footnoteRef/>
      </w:r>
      <w:r w:rsidRPr="00E9663C">
        <w:t xml:space="preserve"> </w:t>
      </w:r>
      <w:proofErr w:type="gramStart"/>
      <w:r w:rsidRPr="00E9663C">
        <w:rPr>
          <w:lang w:val="en-US"/>
        </w:rPr>
        <w:t>Jour. H. of C. of Can. vol. xiv, [1880], p. 268 &amp; 281.</w:t>
      </w:r>
      <w:proofErr w:type="gramEnd"/>
    </w:p>
  </w:footnote>
  <w:footnote w:id="3">
    <w:p w:rsidR="00E96A47" w:rsidRPr="00E9663C" w:rsidRDefault="00E96A47" w:rsidP="00FC6493">
      <w:pPr>
        <w:pStyle w:val="FootnoteText"/>
      </w:pPr>
      <w:r w:rsidRPr="00E9663C">
        <w:rPr>
          <w:rStyle w:val="FootnoteReference"/>
        </w:rPr>
        <w:footnoteRef/>
      </w:r>
      <w:r w:rsidRPr="00E9663C">
        <w:t xml:space="preserve"> </w:t>
      </w:r>
      <w:proofErr w:type="gramStart"/>
      <w:r w:rsidRPr="00E9663C">
        <w:t>R.S.C. c. 13.</w:t>
      </w:r>
      <w:proofErr w:type="gramEnd"/>
    </w:p>
  </w:footnote>
  <w:footnote w:id="4">
    <w:p w:rsidR="00E96A47" w:rsidRPr="00E9663C" w:rsidRDefault="00E96A47" w:rsidP="00FC6493">
      <w:pPr>
        <w:pStyle w:val="FootnoteText"/>
      </w:pPr>
      <w:r w:rsidRPr="00E9663C">
        <w:rPr>
          <w:rStyle w:val="FootnoteReference"/>
        </w:rPr>
        <w:footnoteRef/>
      </w:r>
      <w:r w:rsidRPr="00E9663C">
        <w:t xml:space="preserve"> </w:t>
      </w:r>
      <w:proofErr w:type="gramStart"/>
      <w:r w:rsidRPr="00E9663C">
        <w:t>R.S.C. c. 18.</w:t>
      </w:r>
      <w:proofErr w:type="gramEnd"/>
    </w:p>
  </w:footnote>
  <w:footnote w:id="5">
    <w:p w:rsidR="00E96A47" w:rsidRPr="00E9663C" w:rsidRDefault="00E96A47" w:rsidP="00FC6493">
      <w:pPr>
        <w:pStyle w:val="FootnoteText"/>
      </w:pPr>
      <w:r w:rsidRPr="00E9663C">
        <w:rPr>
          <w:rStyle w:val="FootnoteReference"/>
        </w:rPr>
        <w:footnoteRef/>
      </w:r>
      <w:r w:rsidRPr="00E9663C">
        <w:t xml:space="preserve"> R.S.C. </w:t>
      </w:r>
      <w:proofErr w:type="spellStart"/>
      <w:r w:rsidRPr="00E9663C">
        <w:t>ch.</w:t>
      </w:r>
      <w:proofErr w:type="spellEnd"/>
      <w:r w:rsidRPr="00E9663C">
        <w:t xml:space="preserve"> 18, s. 2. </w:t>
      </w:r>
    </w:p>
  </w:footnote>
  <w:footnote w:id="6">
    <w:p w:rsidR="00E96A47" w:rsidRPr="00E9663C" w:rsidRDefault="00E96A47" w:rsidP="00FC6493">
      <w:pPr>
        <w:pStyle w:val="FootnoteText"/>
        <w:rPr>
          <w:lang w:val="fr-CA"/>
        </w:rPr>
      </w:pPr>
      <w:r w:rsidRPr="00E9663C">
        <w:rPr>
          <w:rStyle w:val="FootnoteReference"/>
        </w:rPr>
        <w:footnoteRef/>
      </w:r>
      <w:r w:rsidRPr="00E9663C">
        <w:t xml:space="preserve"> </w:t>
      </w:r>
      <w:r w:rsidRPr="00E9663C">
        <w:rPr>
          <w:lang w:val="fr-CA"/>
        </w:rPr>
        <w:t xml:space="preserve">R.S.C. ch. 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234158"/>
    <w:rsid w:val="00132C69"/>
    <w:rsid w:val="00234158"/>
    <w:rsid w:val="003F0BFE"/>
    <w:rsid w:val="004B4C6B"/>
    <w:rsid w:val="004D199D"/>
    <w:rsid w:val="004F7D9A"/>
    <w:rsid w:val="005B3E75"/>
    <w:rsid w:val="007675D7"/>
    <w:rsid w:val="007C2DF1"/>
    <w:rsid w:val="00864B9D"/>
    <w:rsid w:val="008844CB"/>
    <w:rsid w:val="00A448E7"/>
    <w:rsid w:val="00A6072E"/>
    <w:rsid w:val="00CD7E3B"/>
    <w:rsid w:val="00D0068E"/>
    <w:rsid w:val="00DF450C"/>
    <w:rsid w:val="00E42A3E"/>
    <w:rsid w:val="00E9663C"/>
    <w:rsid w:val="00E96A47"/>
    <w:rsid w:val="00ED0199"/>
    <w:rsid w:val="00FC64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493"/>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5B3E7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3E75"/>
    <w:rPr>
      <w:vertAlign w:val="superscript"/>
    </w:rPr>
  </w:style>
  <w:style w:type="paragraph" w:customStyle="1" w:styleId="Court">
    <w:name w:val="Court"/>
    <w:basedOn w:val="Normal"/>
    <w:rsid w:val="005B3E75"/>
    <w:rPr>
      <w:rFonts w:cs="Arial"/>
      <w:b/>
      <w:szCs w:val="24"/>
    </w:rPr>
  </w:style>
  <w:style w:type="paragraph" w:customStyle="1" w:styleId="CitationLine">
    <w:name w:val="CitationLine"/>
    <w:basedOn w:val="Court"/>
    <w:rsid w:val="005B3E75"/>
  </w:style>
  <w:style w:type="paragraph" w:customStyle="1" w:styleId="DateISO">
    <w:name w:val="DateISO"/>
    <w:basedOn w:val="Court"/>
    <w:rsid w:val="005B3E75"/>
  </w:style>
  <w:style w:type="paragraph" w:styleId="Header">
    <w:name w:val="header"/>
    <w:basedOn w:val="Normal"/>
    <w:link w:val="HeaderChar"/>
    <w:uiPriority w:val="99"/>
    <w:unhideWhenUsed/>
    <w:rsid w:val="005B3E75"/>
    <w:pPr>
      <w:tabs>
        <w:tab w:val="center" w:pos="4680"/>
        <w:tab w:val="right" w:pos="9360"/>
      </w:tabs>
    </w:pPr>
    <w:rPr>
      <w:rFonts w:ascii="Times New Roman" w:hAnsi="Times New Roman"/>
    </w:rPr>
  </w:style>
  <w:style w:type="character" w:customStyle="1" w:styleId="HeaderChar">
    <w:name w:val="Header Char"/>
    <w:link w:val="Header"/>
    <w:uiPriority w:val="99"/>
    <w:rsid w:val="005B3E75"/>
    <w:rPr>
      <w:rFonts w:eastAsia="MS Mincho"/>
      <w:sz w:val="24"/>
      <w:szCs w:val="28"/>
      <w:lang w:val="en-CA" w:eastAsia="ja-JP"/>
    </w:rPr>
  </w:style>
  <w:style w:type="paragraph" w:customStyle="1" w:styleId="History">
    <w:name w:val="History"/>
    <w:basedOn w:val="Normal"/>
    <w:rsid w:val="005B3E75"/>
    <w:pPr>
      <w:spacing w:before="100" w:beforeAutospacing="1" w:after="100" w:afterAutospacing="1"/>
      <w:ind w:firstLine="567"/>
    </w:pPr>
  </w:style>
  <w:style w:type="paragraph" w:customStyle="1" w:styleId="Indent1">
    <w:name w:val="Indent 1"/>
    <w:basedOn w:val="Normal"/>
    <w:next w:val="Normal"/>
    <w:rsid w:val="005B3E75"/>
    <w:pPr>
      <w:spacing w:before="100" w:beforeAutospacing="1"/>
      <w:ind w:left="567"/>
      <w:jc w:val="both"/>
    </w:pPr>
  </w:style>
  <w:style w:type="paragraph" w:customStyle="1" w:styleId="Indent2">
    <w:name w:val="Indent 2"/>
    <w:basedOn w:val="Indent1"/>
    <w:rsid w:val="005B3E75"/>
    <w:pPr>
      <w:ind w:left="1134"/>
    </w:pPr>
  </w:style>
  <w:style w:type="paragraph" w:customStyle="1" w:styleId="Indent3">
    <w:name w:val="Indent 3"/>
    <w:basedOn w:val="Indent1"/>
    <w:rsid w:val="005B3E75"/>
    <w:pPr>
      <w:ind w:left="1701"/>
    </w:pPr>
  </w:style>
  <w:style w:type="paragraph" w:customStyle="1" w:styleId="Indent4">
    <w:name w:val="Indent 4"/>
    <w:basedOn w:val="Indent1"/>
    <w:rsid w:val="005B3E75"/>
    <w:pPr>
      <w:ind w:left="2268"/>
    </w:pPr>
  </w:style>
  <w:style w:type="paragraph" w:customStyle="1" w:styleId="Reasons">
    <w:name w:val="Reasons"/>
    <w:basedOn w:val="Normal"/>
    <w:link w:val="ReasonsCar"/>
    <w:rsid w:val="00E9663C"/>
    <w:pPr>
      <w:spacing w:before="100" w:beforeAutospacing="1" w:after="100" w:afterAutospacing="1"/>
    </w:pPr>
  </w:style>
  <w:style w:type="character" w:customStyle="1" w:styleId="ReasonsCar">
    <w:name w:val="Reasons Car"/>
    <w:link w:val="Reasons"/>
    <w:rsid w:val="00E9663C"/>
    <w:rPr>
      <w:rFonts w:ascii="Arial" w:eastAsia="MS Mincho" w:hAnsi="Arial"/>
      <w:sz w:val="24"/>
      <w:szCs w:val="28"/>
      <w:lang w:val="en-CA" w:eastAsia="ja-JP"/>
    </w:rPr>
  </w:style>
  <w:style w:type="paragraph" w:customStyle="1" w:styleId="Indent10">
    <w:name w:val="Indent1"/>
    <w:basedOn w:val="Reasons"/>
    <w:rsid w:val="005B3E75"/>
    <w:pPr>
      <w:ind w:left="567"/>
    </w:pPr>
  </w:style>
  <w:style w:type="paragraph" w:customStyle="1" w:styleId="Indent20">
    <w:name w:val="Indent2"/>
    <w:basedOn w:val="Indent10"/>
    <w:rsid w:val="005B3E75"/>
    <w:pPr>
      <w:ind w:left="1134"/>
    </w:pPr>
  </w:style>
  <w:style w:type="paragraph" w:customStyle="1" w:styleId="Indent30">
    <w:name w:val="Indent3"/>
    <w:basedOn w:val="Indent10"/>
    <w:rsid w:val="005B3E75"/>
    <w:pPr>
      <w:ind w:left="1701"/>
    </w:pPr>
  </w:style>
  <w:style w:type="paragraph" w:customStyle="1" w:styleId="Indent40">
    <w:name w:val="Indent4"/>
    <w:basedOn w:val="Indent10"/>
    <w:rsid w:val="005B3E75"/>
    <w:pPr>
      <w:ind w:left="2268"/>
    </w:pPr>
  </w:style>
  <w:style w:type="paragraph" w:customStyle="1" w:styleId="Keywords">
    <w:name w:val="Keywords"/>
    <w:basedOn w:val="Normal"/>
    <w:rsid w:val="005B3E75"/>
    <w:pPr>
      <w:spacing w:before="100" w:beforeAutospacing="1" w:after="100" w:afterAutospacing="1"/>
    </w:pPr>
    <w:rPr>
      <w:rFonts w:cs="Arial"/>
      <w:i/>
      <w:szCs w:val="24"/>
    </w:rPr>
  </w:style>
  <w:style w:type="paragraph" w:customStyle="1" w:styleId="Metadata">
    <w:name w:val="Metadata"/>
    <w:basedOn w:val="Normal"/>
    <w:rsid w:val="005B3E75"/>
    <w:pPr>
      <w:spacing w:before="100" w:beforeAutospacing="1" w:after="100" w:afterAutospacing="1"/>
    </w:pPr>
    <w:rPr>
      <w:rFonts w:cs="Arial"/>
      <w:szCs w:val="24"/>
    </w:rPr>
  </w:style>
  <w:style w:type="paragraph" w:styleId="FootnoteText">
    <w:name w:val="footnote text"/>
    <w:basedOn w:val="Normal"/>
    <w:link w:val="FootnoteTextChar"/>
    <w:autoRedefine/>
    <w:rsid w:val="00E9663C"/>
    <w:rPr>
      <w:sz w:val="20"/>
      <w:szCs w:val="20"/>
    </w:rPr>
  </w:style>
  <w:style w:type="character" w:customStyle="1" w:styleId="FootnoteTextChar">
    <w:name w:val="Footnote Text Char"/>
    <w:link w:val="FootnoteText"/>
    <w:rsid w:val="00FC6493"/>
    <w:rPr>
      <w:rFonts w:ascii="Arial" w:eastAsia="MS Mincho" w:hAnsi="Arial"/>
      <w:sz w:val="20"/>
      <w:szCs w:val="20"/>
      <w:lang w:val="en-CA" w:eastAsia="ja-JP"/>
    </w:rPr>
  </w:style>
  <w:style w:type="paragraph" w:customStyle="1" w:styleId="Page">
    <w:name w:val="Page"/>
    <w:basedOn w:val="Normal"/>
    <w:link w:val="PageChar"/>
    <w:rsid w:val="005B3E75"/>
    <w:pPr>
      <w:spacing w:before="100" w:beforeAutospacing="1" w:after="100" w:afterAutospacing="1"/>
    </w:pPr>
    <w:rPr>
      <w:i/>
    </w:rPr>
  </w:style>
  <w:style w:type="character" w:customStyle="1" w:styleId="PageChar">
    <w:name w:val="Page Char"/>
    <w:link w:val="Page"/>
    <w:rsid w:val="005B3E75"/>
    <w:rPr>
      <w:rFonts w:ascii="Arial" w:eastAsia="MS Mincho" w:hAnsi="Arial"/>
      <w:i/>
      <w:sz w:val="24"/>
      <w:szCs w:val="28"/>
      <w:lang w:val="en-CA" w:eastAsia="ja-JP"/>
    </w:rPr>
  </w:style>
  <w:style w:type="paragraph" w:customStyle="1" w:styleId="ParagNum">
    <w:name w:val="ParagNum"/>
    <w:basedOn w:val="Normal"/>
    <w:rsid w:val="005B3E75"/>
    <w:pPr>
      <w:numPr>
        <w:numId w:val="1"/>
      </w:numPr>
      <w:tabs>
        <w:tab w:val="left" w:pos="720"/>
      </w:tabs>
      <w:spacing w:before="240"/>
      <w:jc w:val="both"/>
    </w:pPr>
    <w:rPr>
      <w:szCs w:val="24"/>
      <w:lang w:eastAsia="fr-FR"/>
    </w:rPr>
  </w:style>
  <w:style w:type="paragraph" w:styleId="Footer">
    <w:name w:val="footer"/>
    <w:basedOn w:val="Normal"/>
    <w:link w:val="FooterChar"/>
    <w:uiPriority w:val="99"/>
    <w:unhideWhenUsed/>
    <w:rsid w:val="005B3E75"/>
    <w:pPr>
      <w:tabs>
        <w:tab w:val="center" w:pos="4680"/>
        <w:tab w:val="right" w:pos="9360"/>
      </w:tabs>
    </w:pPr>
    <w:rPr>
      <w:rFonts w:ascii="Times New Roman" w:hAnsi="Times New Roman"/>
    </w:rPr>
  </w:style>
  <w:style w:type="character" w:customStyle="1" w:styleId="FooterChar">
    <w:name w:val="Footer Char"/>
    <w:link w:val="Footer"/>
    <w:uiPriority w:val="99"/>
    <w:rsid w:val="005B3E75"/>
    <w:rPr>
      <w:rFonts w:eastAsia="MS Mincho"/>
      <w:sz w:val="24"/>
      <w:szCs w:val="28"/>
      <w:lang w:val="en-CA" w:eastAsia="ja-JP"/>
    </w:rPr>
  </w:style>
  <w:style w:type="paragraph" w:customStyle="1" w:styleId="Sollicitors">
    <w:name w:val="Sollicitors"/>
    <w:basedOn w:val="Normal"/>
    <w:rsid w:val="005B3E75"/>
    <w:pPr>
      <w:spacing w:before="100" w:beforeAutospacing="1" w:after="100" w:afterAutospacing="1"/>
    </w:pPr>
    <w:rPr>
      <w:i/>
    </w:rPr>
  </w:style>
  <w:style w:type="paragraph" w:customStyle="1" w:styleId="Summary">
    <w:name w:val="Summary"/>
    <w:basedOn w:val="Normal"/>
    <w:autoRedefine/>
    <w:rsid w:val="005B3E75"/>
    <w:pPr>
      <w:spacing w:before="100" w:beforeAutospacing="1" w:after="100" w:afterAutospacing="1"/>
      <w:ind w:left="562" w:hanging="562"/>
    </w:pPr>
    <w:rPr>
      <w:rFonts w:cs="Arial"/>
    </w:rPr>
  </w:style>
  <w:style w:type="paragraph" w:customStyle="1" w:styleId="T1">
    <w:name w:val="T1"/>
    <w:basedOn w:val="Normal"/>
    <w:rsid w:val="005B3E75"/>
    <w:pPr>
      <w:spacing w:before="240" w:after="100" w:afterAutospacing="1"/>
    </w:pPr>
    <w:rPr>
      <w:b/>
    </w:rPr>
  </w:style>
  <w:style w:type="paragraph" w:customStyle="1" w:styleId="T2">
    <w:name w:val="T2"/>
    <w:basedOn w:val="Normal"/>
    <w:rsid w:val="005B3E75"/>
    <w:pPr>
      <w:spacing w:before="240" w:after="100" w:afterAutospacing="1"/>
    </w:pPr>
  </w:style>
  <w:style w:type="character" w:customStyle="1" w:styleId="Heading1Char">
    <w:name w:val="Heading 1 Char"/>
    <w:basedOn w:val="DefaultParagraphFont"/>
    <w:link w:val="Heading1"/>
    <w:rsid w:val="005B3E75"/>
    <w:rPr>
      <w:rFonts w:ascii="Arial" w:eastAsia="MS Mincho" w:hAnsi="Arial" w:cs="Arial"/>
      <w:b/>
      <w:bCs/>
      <w:noProof/>
      <w:kern w:val="32"/>
      <w:sz w:val="28"/>
      <w:szCs w:val="32"/>
      <w:lang w:val="en-CA" w:eastAsia="ja-JP"/>
    </w:rPr>
  </w:style>
  <w:style w:type="table" w:styleId="TableGrid">
    <w:name w:val="Table Grid"/>
    <w:basedOn w:val="TableNormal"/>
    <w:uiPriority w:val="59"/>
    <w:rsid w:val="004D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6493"/>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5B3E7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B3E75"/>
    <w:rPr>
      <w:vertAlign w:val="superscript"/>
    </w:rPr>
  </w:style>
  <w:style w:type="paragraph" w:customStyle="1" w:styleId="Court">
    <w:name w:val="Court"/>
    <w:basedOn w:val="Normal"/>
    <w:rsid w:val="005B3E75"/>
    <w:rPr>
      <w:rFonts w:cs="Arial"/>
      <w:b/>
      <w:szCs w:val="24"/>
    </w:rPr>
  </w:style>
  <w:style w:type="paragraph" w:customStyle="1" w:styleId="CitationLine">
    <w:name w:val="CitationLine"/>
    <w:basedOn w:val="Court"/>
    <w:rsid w:val="005B3E75"/>
  </w:style>
  <w:style w:type="paragraph" w:customStyle="1" w:styleId="DateISO">
    <w:name w:val="DateISO"/>
    <w:basedOn w:val="Court"/>
    <w:rsid w:val="005B3E75"/>
  </w:style>
  <w:style w:type="paragraph" w:styleId="Header">
    <w:name w:val="header"/>
    <w:basedOn w:val="Normal"/>
    <w:link w:val="HeaderChar"/>
    <w:uiPriority w:val="99"/>
    <w:unhideWhenUsed/>
    <w:rsid w:val="005B3E75"/>
    <w:pPr>
      <w:tabs>
        <w:tab w:val="center" w:pos="4680"/>
        <w:tab w:val="right" w:pos="9360"/>
      </w:tabs>
    </w:pPr>
    <w:rPr>
      <w:rFonts w:ascii="Times New Roman" w:hAnsi="Times New Roman"/>
    </w:rPr>
  </w:style>
  <w:style w:type="character" w:customStyle="1" w:styleId="HeaderChar">
    <w:name w:val="Header Char"/>
    <w:link w:val="Header"/>
    <w:uiPriority w:val="99"/>
    <w:rsid w:val="005B3E75"/>
    <w:rPr>
      <w:rFonts w:eastAsia="MS Mincho"/>
      <w:sz w:val="24"/>
      <w:szCs w:val="28"/>
      <w:lang w:val="en-CA" w:eastAsia="ja-JP"/>
    </w:rPr>
  </w:style>
  <w:style w:type="paragraph" w:customStyle="1" w:styleId="History">
    <w:name w:val="History"/>
    <w:basedOn w:val="Normal"/>
    <w:rsid w:val="005B3E75"/>
    <w:pPr>
      <w:spacing w:before="100" w:beforeAutospacing="1" w:after="100" w:afterAutospacing="1"/>
      <w:ind w:firstLine="567"/>
    </w:pPr>
  </w:style>
  <w:style w:type="paragraph" w:customStyle="1" w:styleId="Indent1">
    <w:name w:val="Indent 1"/>
    <w:basedOn w:val="Normal"/>
    <w:next w:val="Normal"/>
    <w:rsid w:val="005B3E75"/>
    <w:pPr>
      <w:spacing w:before="100" w:beforeAutospacing="1"/>
      <w:ind w:left="567"/>
      <w:jc w:val="both"/>
    </w:pPr>
  </w:style>
  <w:style w:type="paragraph" w:customStyle="1" w:styleId="Indent2">
    <w:name w:val="Indent 2"/>
    <w:basedOn w:val="Indent1"/>
    <w:rsid w:val="005B3E75"/>
    <w:pPr>
      <w:ind w:left="1134"/>
    </w:pPr>
  </w:style>
  <w:style w:type="paragraph" w:customStyle="1" w:styleId="Indent3">
    <w:name w:val="Indent 3"/>
    <w:basedOn w:val="Indent1"/>
    <w:rsid w:val="005B3E75"/>
    <w:pPr>
      <w:ind w:left="1701"/>
    </w:pPr>
  </w:style>
  <w:style w:type="paragraph" w:customStyle="1" w:styleId="Indent4">
    <w:name w:val="Indent 4"/>
    <w:basedOn w:val="Indent1"/>
    <w:rsid w:val="005B3E75"/>
    <w:pPr>
      <w:ind w:left="2268"/>
    </w:pPr>
  </w:style>
  <w:style w:type="paragraph" w:customStyle="1" w:styleId="Reasons">
    <w:name w:val="Reasons"/>
    <w:basedOn w:val="Normal"/>
    <w:link w:val="ReasonsCar"/>
    <w:rsid w:val="00E9663C"/>
    <w:pPr>
      <w:spacing w:before="100" w:beforeAutospacing="1" w:after="100" w:afterAutospacing="1"/>
    </w:pPr>
  </w:style>
  <w:style w:type="character" w:customStyle="1" w:styleId="ReasonsCar">
    <w:name w:val="Reasons Car"/>
    <w:link w:val="Reasons"/>
    <w:rsid w:val="00E9663C"/>
    <w:rPr>
      <w:rFonts w:ascii="Arial" w:eastAsia="MS Mincho" w:hAnsi="Arial"/>
      <w:sz w:val="24"/>
      <w:szCs w:val="28"/>
      <w:lang w:val="en-CA" w:eastAsia="ja-JP"/>
    </w:rPr>
  </w:style>
  <w:style w:type="paragraph" w:customStyle="1" w:styleId="Indent10">
    <w:name w:val="Indent1"/>
    <w:basedOn w:val="Reasons"/>
    <w:rsid w:val="005B3E75"/>
    <w:pPr>
      <w:ind w:left="567"/>
    </w:pPr>
  </w:style>
  <w:style w:type="paragraph" w:customStyle="1" w:styleId="Indent20">
    <w:name w:val="Indent2"/>
    <w:basedOn w:val="Indent10"/>
    <w:rsid w:val="005B3E75"/>
    <w:pPr>
      <w:ind w:left="1134"/>
    </w:pPr>
  </w:style>
  <w:style w:type="paragraph" w:customStyle="1" w:styleId="Indent30">
    <w:name w:val="Indent3"/>
    <w:basedOn w:val="Indent10"/>
    <w:rsid w:val="005B3E75"/>
    <w:pPr>
      <w:ind w:left="1701"/>
    </w:pPr>
  </w:style>
  <w:style w:type="paragraph" w:customStyle="1" w:styleId="Indent40">
    <w:name w:val="Indent4"/>
    <w:basedOn w:val="Indent10"/>
    <w:rsid w:val="005B3E75"/>
    <w:pPr>
      <w:ind w:left="2268"/>
    </w:pPr>
  </w:style>
  <w:style w:type="paragraph" w:customStyle="1" w:styleId="Keywords">
    <w:name w:val="Keywords"/>
    <w:basedOn w:val="Normal"/>
    <w:rsid w:val="005B3E75"/>
    <w:pPr>
      <w:spacing w:before="100" w:beforeAutospacing="1" w:after="100" w:afterAutospacing="1"/>
    </w:pPr>
    <w:rPr>
      <w:rFonts w:cs="Arial"/>
      <w:i/>
      <w:szCs w:val="24"/>
    </w:rPr>
  </w:style>
  <w:style w:type="paragraph" w:customStyle="1" w:styleId="Metadata">
    <w:name w:val="Metadata"/>
    <w:basedOn w:val="Normal"/>
    <w:rsid w:val="005B3E75"/>
    <w:pPr>
      <w:spacing w:before="100" w:beforeAutospacing="1" w:after="100" w:afterAutospacing="1"/>
    </w:pPr>
    <w:rPr>
      <w:rFonts w:cs="Arial"/>
      <w:szCs w:val="24"/>
    </w:rPr>
  </w:style>
  <w:style w:type="paragraph" w:styleId="FootnoteText">
    <w:name w:val="footnote text"/>
    <w:basedOn w:val="Normal"/>
    <w:link w:val="FootnoteTextChar"/>
    <w:autoRedefine/>
    <w:rsid w:val="00E9663C"/>
    <w:rPr>
      <w:sz w:val="20"/>
      <w:szCs w:val="20"/>
    </w:rPr>
  </w:style>
  <w:style w:type="character" w:customStyle="1" w:styleId="FootnoteTextChar">
    <w:name w:val="Footnote Text Char"/>
    <w:link w:val="FootnoteText"/>
    <w:rsid w:val="00FC6493"/>
    <w:rPr>
      <w:rFonts w:ascii="Arial" w:eastAsia="MS Mincho" w:hAnsi="Arial"/>
      <w:sz w:val="20"/>
      <w:szCs w:val="20"/>
      <w:lang w:val="en-CA" w:eastAsia="ja-JP"/>
    </w:rPr>
  </w:style>
  <w:style w:type="paragraph" w:customStyle="1" w:styleId="Page">
    <w:name w:val="Page"/>
    <w:basedOn w:val="Normal"/>
    <w:link w:val="PageChar"/>
    <w:rsid w:val="005B3E75"/>
    <w:pPr>
      <w:spacing w:before="100" w:beforeAutospacing="1" w:after="100" w:afterAutospacing="1"/>
    </w:pPr>
    <w:rPr>
      <w:i/>
    </w:rPr>
  </w:style>
  <w:style w:type="character" w:customStyle="1" w:styleId="PageChar">
    <w:name w:val="Page Char"/>
    <w:link w:val="Page"/>
    <w:rsid w:val="005B3E75"/>
    <w:rPr>
      <w:rFonts w:ascii="Arial" w:eastAsia="MS Mincho" w:hAnsi="Arial"/>
      <w:i/>
      <w:sz w:val="24"/>
      <w:szCs w:val="28"/>
      <w:lang w:val="en-CA" w:eastAsia="ja-JP"/>
    </w:rPr>
  </w:style>
  <w:style w:type="paragraph" w:customStyle="1" w:styleId="ParagNum">
    <w:name w:val="ParagNum"/>
    <w:basedOn w:val="Normal"/>
    <w:rsid w:val="005B3E75"/>
    <w:pPr>
      <w:numPr>
        <w:numId w:val="1"/>
      </w:numPr>
      <w:tabs>
        <w:tab w:val="left" w:pos="720"/>
      </w:tabs>
      <w:spacing w:before="240"/>
      <w:jc w:val="both"/>
    </w:pPr>
    <w:rPr>
      <w:szCs w:val="24"/>
      <w:lang w:eastAsia="fr-FR"/>
    </w:rPr>
  </w:style>
  <w:style w:type="paragraph" w:styleId="Footer">
    <w:name w:val="footer"/>
    <w:basedOn w:val="Normal"/>
    <w:link w:val="FooterChar"/>
    <w:uiPriority w:val="99"/>
    <w:unhideWhenUsed/>
    <w:rsid w:val="005B3E75"/>
    <w:pPr>
      <w:tabs>
        <w:tab w:val="center" w:pos="4680"/>
        <w:tab w:val="right" w:pos="9360"/>
      </w:tabs>
    </w:pPr>
    <w:rPr>
      <w:rFonts w:ascii="Times New Roman" w:hAnsi="Times New Roman"/>
    </w:rPr>
  </w:style>
  <w:style w:type="character" w:customStyle="1" w:styleId="FooterChar">
    <w:name w:val="Footer Char"/>
    <w:link w:val="Footer"/>
    <w:uiPriority w:val="99"/>
    <w:rsid w:val="005B3E75"/>
    <w:rPr>
      <w:rFonts w:eastAsia="MS Mincho"/>
      <w:sz w:val="24"/>
      <w:szCs w:val="28"/>
      <w:lang w:val="en-CA" w:eastAsia="ja-JP"/>
    </w:rPr>
  </w:style>
  <w:style w:type="paragraph" w:customStyle="1" w:styleId="Sollicitors">
    <w:name w:val="Sollicitors"/>
    <w:basedOn w:val="Normal"/>
    <w:rsid w:val="005B3E75"/>
    <w:pPr>
      <w:spacing w:before="100" w:beforeAutospacing="1" w:after="100" w:afterAutospacing="1"/>
    </w:pPr>
    <w:rPr>
      <w:i/>
    </w:rPr>
  </w:style>
  <w:style w:type="paragraph" w:customStyle="1" w:styleId="Summary">
    <w:name w:val="Summary"/>
    <w:basedOn w:val="Normal"/>
    <w:autoRedefine/>
    <w:rsid w:val="005B3E75"/>
    <w:pPr>
      <w:spacing w:before="100" w:beforeAutospacing="1" w:after="100" w:afterAutospacing="1"/>
      <w:ind w:left="562" w:hanging="562"/>
    </w:pPr>
    <w:rPr>
      <w:rFonts w:cs="Arial"/>
    </w:rPr>
  </w:style>
  <w:style w:type="paragraph" w:customStyle="1" w:styleId="T1">
    <w:name w:val="T1"/>
    <w:basedOn w:val="Normal"/>
    <w:rsid w:val="005B3E75"/>
    <w:pPr>
      <w:spacing w:before="240" w:after="100" w:afterAutospacing="1"/>
    </w:pPr>
    <w:rPr>
      <w:b/>
    </w:rPr>
  </w:style>
  <w:style w:type="paragraph" w:customStyle="1" w:styleId="T2">
    <w:name w:val="T2"/>
    <w:basedOn w:val="Normal"/>
    <w:rsid w:val="005B3E75"/>
    <w:pPr>
      <w:spacing w:before="240" w:after="100" w:afterAutospacing="1"/>
    </w:pPr>
  </w:style>
  <w:style w:type="character" w:customStyle="1" w:styleId="Heading1Char">
    <w:name w:val="Heading 1 Char"/>
    <w:basedOn w:val="DefaultParagraphFont"/>
    <w:link w:val="Heading1"/>
    <w:rsid w:val="005B3E75"/>
    <w:rPr>
      <w:rFonts w:ascii="Arial" w:eastAsia="MS Mincho" w:hAnsi="Arial" w:cs="Arial"/>
      <w:b/>
      <w:bCs/>
      <w:noProof/>
      <w:kern w:val="32"/>
      <w:sz w:val="28"/>
      <w:szCs w:val="32"/>
      <w:lang w:val="en-CA" w:eastAsia="ja-JP"/>
    </w:rPr>
  </w:style>
  <w:style w:type="table" w:styleId="TableGrid">
    <w:name w:val="Table Grid"/>
    <w:basedOn w:val="TableNormal"/>
    <w:uiPriority w:val="59"/>
    <w:rsid w:val="004D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4393-7C1A-4D31-8927-2340EA09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1650</Words>
  <Characters>9078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14</cp:revision>
  <dcterms:created xsi:type="dcterms:W3CDTF">2017-04-06T14:31:00Z</dcterms:created>
  <dcterms:modified xsi:type="dcterms:W3CDTF">2017-04-13T13:45:00Z</dcterms:modified>
</cp:coreProperties>
</file>