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B8" w:rsidRPr="001B16E2" w:rsidRDefault="00D417B8" w:rsidP="004E71F8">
      <w:pPr>
        <w:pStyle w:val="Court"/>
        <w:rPr>
          <w:lang w:val="en-US"/>
        </w:rPr>
      </w:pPr>
      <w:r w:rsidRPr="001B16E2">
        <w:rPr>
          <w:lang w:val="en-US"/>
        </w:rPr>
        <w:t>Supreme Court of Canada</w:t>
      </w:r>
    </w:p>
    <w:p w:rsidR="00D417B8" w:rsidRPr="001B16E2" w:rsidRDefault="00D417B8" w:rsidP="004E71F8">
      <w:pPr>
        <w:pStyle w:val="CitationLine"/>
        <w:rPr>
          <w:lang w:val="en-US"/>
        </w:rPr>
      </w:pPr>
      <w:proofErr w:type="spellStart"/>
      <w:proofErr w:type="gramStart"/>
      <w:r w:rsidRPr="001B16E2">
        <w:rPr>
          <w:lang w:val="en-US"/>
        </w:rPr>
        <w:t>Leznek</w:t>
      </w:r>
      <w:proofErr w:type="spellEnd"/>
      <w:r w:rsidRPr="001B16E2">
        <w:rPr>
          <w:lang w:val="en-US"/>
        </w:rPr>
        <w:t xml:space="preserve"> v.</w:t>
      </w:r>
      <w:proofErr w:type="gramEnd"/>
      <w:r w:rsidRPr="001B16E2">
        <w:rPr>
          <w:lang w:val="en-US"/>
        </w:rPr>
        <w:t xml:space="preserve"> The City of Verdun</w:t>
      </w:r>
      <w:r w:rsidR="00B4378D">
        <w:rPr>
          <w:lang w:val="en-US"/>
        </w:rPr>
        <w:t>, [1940] SCR 313</w:t>
      </w:r>
    </w:p>
    <w:p w:rsidR="00D417B8" w:rsidRPr="001B16E2" w:rsidRDefault="00D417B8" w:rsidP="004E71F8">
      <w:pPr>
        <w:pStyle w:val="DateISO"/>
        <w:rPr>
          <w:lang w:val="en-US"/>
        </w:rPr>
      </w:pPr>
      <w:r w:rsidRPr="001B16E2">
        <w:rPr>
          <w:lang w:val="en-US"/>
        </w:rPr>
        <w:t>Date: 1940-02-26</w:t>
      </w:r>
    </w:p>
    <w:p w:rsidR="00D417B8" w:rsidRPr="001B16E2" w:rsidRDefault="00D417B8" w:rsidP="00230270">
      <w:pPr>
        <w:pStyle w:val="Metadata"/>
        <w:rPr>
          <w:lang w:val="en-US"/>
        </w:rPr>
      </w:pPr>
      <w:r w:rsidRPr="001B16E2">
        <w:rPr>
          <w:lang w:val="en-US"/>
        </w:rPr>
        <w:t xml:space="preserve">Andrew </w:t>
      </w:r>
      <w:proofErr w:type="spellStart"/>
      <w:r w:rsidRPr="001B16E2">
        <w:rPr>
          <w:lang w:val="en-US"/>
        </w:rPr>
        <w:t>Leznek</w:t>
      </w:r>
      <w:proofErr w:type="spellEnd"/>
      <w:r w:rsidRPr="001B16E2">
        <w:rPr>
          <w:lang w:val="en-US"/>
        </w:rPr>
        <w:t xml:space="preserve"> (Plaintiff) </w:t>
      </w:r>
    </w:p>
    <w:p w:rsidR="007C4A62" w:rsidRPr="001B16E2" w:rsidRDefault="00D417B8" w:rsidP="00230270">
      <w:pPr>
        <w:pStyle w:val="Metadata"/>
      </w:pPr>
      <w:r w:rsidRPr="001B16E2">
        <w:rPr>
          <w:lang w:val="en-US"/>
        </w:rPr>
        <w:t>Appellant</w:t>
      </w:r>
      <w:r w:rsidR="003A59EF" w:rsidRPr="001B16E2">
        <w:rPr>
          <w:lang w:val="en-US"/>
        </w:rPr>
        <w:t>;</w:t>
      </w:r>
    </w:p>
    <w:p w:rsidR="007C4A62" w:rsidRPr="001B16E2" w:rsidRDefault="00D417B8" w:rsidP="00230270">
      <w:pPr>
        <w:pStyle w:val="Metadata"/>
        <w:rPr>
          <w:spacing w:val="-4"/>
        </w:rPr>
      </w:pPr>
      <w:r w:rsidRPr="001B16E2">
        <w:rPr>
          <w:spacing w:val="-4"/>
          <w:lang w:val="en-US"/>
        </w:rPr>
        <w:t>And</w:t>
      </w:r>
    </w:p>
    <w:p w:rsidR="00D417B8" w:rsidRPr="001B16E2" w:rsidRDefault="00D417B8" w:rsidP="00230270">
      <w:pPr>
        <w:pStyle w:val="Metadata"/>
        <w:rPr>
          <w:spacing w:val="23"/>
          <w:lang w:val="en-US"/>
        </w:rPr>
      </w:pPr>
      <w:r w:rsidRPr="001B16E2">
        <w:rPr>
          <w:spacing w:val="23"/>
          <w:lang w:val="en-US"/>
        </w:rPr>
        <w:t xml:space="preserve">The City </w:t>
      </w:r>
      <w:r w:rsidR="00B4378D" w:rsidRPr="001B16E2">
        <w:rPr>
          <w:spacing w:val="23"/>
          <w:lang w:val="en-US"/>
        </w:rPr>
        <w:t xml:space="preserve">of </w:t>
      </w:r>
      <w:r w:rsidRPr="001B16E2">
        <w:rPr>
          <w:spacing w:val="23"/>
          <w:lang w:val="en-US"/>
        </w:rPr>
        <w:t xml:space="preserve">Verdun (Defendant) </w:t>
      </w:r>
    </w:p>
    <w:p w:rsidR="007C4A62" w:rsidRPr="001B16E2" w:rsidRDefault="00D417B8" w:rsidP="00230270">
      <w:pPr>
        <w:pStyle w:val="Metadata"/>
        <w:rPr>
          <w:spacing w:val="23"/>
          <w:lang w:val="en-US"/>
        </w:rPr>
      </w:pPr>
      <w:r w:rsidRPr="001B16E2">
        <w:rPr>
          <w:spacing w:val="23"/>
          <w:lang w:val="en-US"/>
        </w:rPr>
        <w:t>Respondent</w:t>
      </w:r>
      <w:r w:rsidR="003A59EF" w:rsidRPr="001B16E2">
        <w:rPr>
          <w:spacing w:val="23"/>
          <w:lang w:val="en-US"/>
        </w:rPr>
        <w:t>.</w:t>
      </w:r>
    </w:p>
    <w:p w:rsidR="00D417B8" w:rsidRPr="001B16E2" w:rsidRDefault="00D417B8" w:rsidP="00230270">
      <w:pPr>
        <w:pStyle w:val="Metadata"/>
        <w:rPr>
          <w:spacing w:val="23"/>
          <w:lang w:val="en-US"/>
        </w:rPr>
      </w:pPr>
      <w:r w:rsidRPr="001B16E2">
        <w:rPr>
          <w:spacing w:val="23"/>
          <w:lang w:val="en-US"/>
        </w:rPr>
        <w:t>1939: Nov. 3; 1940: Feb. 26.</w:t>
      </w:r>
    </w:p>
    <w:p w:rsidR="00D417B8" w:rsidRPr="001B16E2" w:rsidRDefault="004E71F8" w:rsidP="00230270">
      <w:pPr>
        <w:pStyle w:val="Metadata"/>
        <w:rPr>
          <w:spacing w:val="23"/>
        </w:rPr>
      </w:pPr>
      <w:r>
        <w:rPr>
          <w:spacing w:val="1"/>
          <w:lang w:val="en-US"/>
        </w:rPr>
        <w:t>Present</w:t>
      </w:r>
      <w:r w:rsidR="00D417B8" w:rsidRPr="001B16E2">
        <w:rPr>
          <w:rFonts w:eastAsia="Garamond"/>
          <w:spacing w:val="1"/>
          <w:lang w:val="en-US"/>
        </w:rPr>
        <w:t xml:space="preserve">:-Duff </w:t>
      </w:r>
      <w:r w:rsidR="00D417B8" w:rsidRPr="001B16E2">
        <w:rPr>
          <w:spacing w:val="1"/>
          <w:lang w:val="en-US"/>
        </w:rPr>
        <w:t xml:space="preserve">C.J. and </w:t>
      </w:r>
      <w:proofErr w:type="spellStart"/>
      <w:r w:rsidR="00D417B8" w:rsidRPr="001B16E2">
        <w:rPr>
          <w:spacing w:val="1"/>
          <w:lang w:val="en-US"/>
        </w:rPr>
        <w:t>Rinfret</w:t>
      </w:r>
      <w:proofErr w:type="spellEnd"/>
      <w:r w:rsidR="00D417B8" w:rsidRPr="001B16E2">
        <w:rPr>
          <w:spacing w:val="1"/>
          <w:lang w:val="en-US"/>
        </w:rPr>
        <w:t xml:space="preserve">, Crocket, Davis and </w:t>
      </w:r>
      <w:proofErr w:type="spellStart"/>
      <w:r w:rsidR="00D417B8" w:rsidRPr="001B16E2">
        <w:rPr>
          <w:spacing w:val="1"/>
          <w:lang w:val="en-US"/>
        </w:rPr>
        <w:t>Kerwin</w:t>
      </w:r>
      <w:proofErr w:type="spellEnd"/>
      <w:r w:rsidR="00D417B8" w:rsidRPr="001B16E2">
        <w:rPr>
          <w:spacing w:val="1"/>
          <w:lang w:val="en-US"/>
        </w:rPr>
        <w:t xml:space="preserve"> JJ.</w:t>
      </w:r>
    </w:p>
    <w:p w:rsidR="007C4A62" w:rsidRPr="001B16E2" w:rsidRDefault="003A59EF" w:rsidP="00230270">
      <w:pPr>
        <w:pStyle w:val="Metadata"/>
      </w:pPr>
      <w:r w:rsidRPr="001B16E2">
        <w:rPr>
          <w:lang w:val="en-US"/>
        </w:rPr>
        <w:t>ON APPEAL FROM THE COURT OF KING'S BENCH, APPEAL SIDE, PROVINCE OF QUEBEC</w:t>
      </w:r>
    </w:p>
    <w:p w:rsidR="007C4A62" w:rsidRPr="001B16E2" w:rsidRDefault="003A59EF" w:rsidP="00230270">
      <w:pPr>
        <w:pStyle w:val="Keywords"/>
      </w:pPr>
      <w:r w:rsidRPr="001B16E2">
        <w:rPr>
          <w:lang w:val="en-US"/>
        </w:rPr>
        <w:t>Negligence—Municipal corporations—Repairs to public buildings done by contract--Work of cleaning windows given by sub-contractor to independent contractor—Latter injured by fall--Transom bar of window frame giving way—Liability of city under paragraph 3 of article 1055 C.C.</w:t>
      </w:r>
    </w:p>
    <w:p w:rsidR="007C4A62" w:rsidRPr="001B16E2" w:rsidRDefault="003A59EF" w:rsidP="00230270">
      <w:pPr>
        <w:pStyle w:val="Summary"/>
        <w:rPr>
          <w:szCs w:val="24"/>
        </w:rPr>
      </w:pPr>
      <w:r w:rsidRPr="001B16E2">
        <w:rPr>
          <w:szCs w:val="24"/>
          <w:lang w:val="en-US"/>
        </w:rPr>
        <w:t xml:space="preserve">The city respondent had a contract with one C. to </w:t>
      </w:r>
      <w:proofErr w:type="gramStart"/>
      <w:r w:rsidRPr="001B16E2">
        <w:rPr>
          <w:szCs w:val="24"/>
          <w:lang w:val="en-US"/>
        </w:rPr>
        <w:t>effect</w:t>
      </w:r>
      <w:proofErr w:type="gramEnd"/>
      <w:r w:rsidRPr="001B16E2">
        <w:rPr>
          <w:szCs w:val="24"/>
          <w:lang w:val="en-US"/>
        </w:rPr>
        <w:t xml:space="preserve"> certain repairs in its City Hall building, and those pertaining to painting and glazing were delegated to a sub-contractor. The appellant was engaged by</w:t>
      </w:r>
    </w:p>
    <w:p w:rsidR="003A59EF" w:rsidRPr="001B16E2" w:rsidRDefault="003A59EF" w:rsidP="00230270">
      <w:pPr>
        <w:pStyle w:val="Page"/>
        <w:rPr>
          <w:rFonts w:cs="Arial"/>
          <w:szCs w:val="24"/>
          <w:lang w:val="en-US"/>
        </w:rPr>
      </w:pPr>
      <w:r w:rsidRPr="001B16E2">
        <w:rPr>
          <w:rFonts w:cs="Arial"/>
          <w:color w:val="000000"/>
          <w:szCs w:val="24"/>
          <w:lang w:val="en-US"/>
        </w:rPr>
        <w:t>[Page 314]</w:t>
      </w:r>
    </w:p>
    <w:p w:rsidR="007C4A62" w:rsidRPr="001B16E2" w:rsidRDefault="003A59EF" w:rsidP="00B4378D">
      <w:pPr>
        <w:pStyle w:val="Summary"/>
        <w:ind w:firstLine="0"/>
        <w:rPr>
          <w:spacing w:val="7"/>
          <w:szCs w:val="24"/>
        </w:rPr>
      </w:pPr>
      <w:proofErr w:type="gramStart"/>
      <w:r w:rsidRPr="001B16E2">
        <w:rPr>
          <w:spacing w:val="7"/>
          <w:szCs w:val="24"/>
          <w:lang w:val="en-US"/>
        </w:rPr>
        <w:t>the</w:t>
      </w:r>
      <w:proofErr w:type="gramEnd"/>
      <w:r w:rsidRPr="001B16E2">
        <w:rPr>
          <w:spacing w:val="7"/>
          <w:szCs w:val="24"/>
          <w:lang w:val="en-US"/>
        </w:rPr>
        <w:t xml:space="preserve"> sub-contractor to clean the windows. While doing that work, the appellant attempted to support himself on the transom bar of a window frame and, the transom bar giving way, lost his balance and fell to the pavement below. The appellant brought an action for damages against the city. The answers of the jury contained in .their verdict were to the effect that the accident had been occasioned by the common fault of the appellant and the respondent, the fault of the appellant consisting in " not taking sufficient precaution for his personal safety and using the transom bar for a purpose </w:t>
      </w:r>
      <w:r w:rsidR="00A13B1F">
        <w:rPr>
          <w:spacing w:val="7"/>
          <w:szCs w:val="24"/>
          <w:lang w:val="en-US"/>
        </w:rPr>
        <w:t xml:space="preserve">for which it was not </w:t>
      </w:r>
      <w:proofErr w:type="spellStart"/>
      <w:r w:rsidR="00A13B1F">
        <w:rPr>
          <w:spacing w:val="7"/>
          <w:szCs w:val="24"/>
          <w:lang w:val="en-US"/>
        </w:rPr>
        <w:t>intended,"</w:t>
      </w:r>
      <w:r w:rsidRPr="001B16E2">
        <w:rPr>
          <w:spacing w:val="7"/>
          <w:szCs w:val="24"/>
          <w:lang w:val="en-US"/>
        </w:rPr>
        <w:t>and</w:t>
      </w:r>
      <w:proofErr w:type="spellEnd"/>
      <w:r w:rsidRPr="001B16E2">
        <w:rPr>
          <w:spacing w:val="7"/>
          <w:szCs w:val="24"/>
          <w:lang w:val="en-US"/>
        </w:rPr>
        <w:t xml:space="preserve"> the fault of the respondent being "the failure to keep the building in proper state of repair." The trial judge, confirming the verdict of the jury, awarded $12,600 damages; but that judgmen</w:t>
      </w:r>
      <w:r w:rsidR="00A13B1F">
        <w:rPr>
          <w:spacing w:val="7"/>
          <w:szCs w:val="24"/>
          <w:lang w:val="en-US"/>
        </w:rPr>
        <w:t>t was reversed by the appellate</w:t>
      </w:r>
      <w:r w:rsidRPr="001B16E2">
        <w:rPr>
          <w:spacing w:val="7"/>
          <w:szCs w:val="24"/>
          <w:lang w:val="en-US"/>
        </w:rPr>
        <w:t xml:space="preserve"> court.</w:t>
      </w:r>
    </w:p>
    <w:p w:rsidR="007C4A62" w:rsidRPr="001B16E2" w:rsidRDefault="003A59EF" w:rsidP="00230270">
      <w:pPr>
        <w:pStyle w:val="Summary"/>
        <w:rPr>
          <w:i/>
          <w:spacing w:val="8"/>
          <w:szCs w:val="24"/>
        </w:rPr>
      </w:pPr>
      <w:proofErr w:type="gramStart"/>
      <w:r w:rsidRPr="001B16E2">
        <w:rPr>
          <w:i/>
          <w:spacing w:val="8"/>
          <w:szCs w:val="24"/>
          <w:lang w:val="en-US"/>
        </w:rPr>
        <w:t xml:space="preserve">Held </w:t>
      </w:r>
      <w:r w:rsidRPr="001B16E2">
        <w:rPr>
          <w:spacing w:val="8"/>
          <w:szCs w:val="24"/>
          <w:lang w:val="en-US"/>
        </w:rPr>
        <w:t>that the judgment appealed from should be affirmed.</w:t>
      </w:r>
      <w:proofErr w:type="gramEnd"/>
      <w:r w:rsidRPr="001B16E2">
        <w:rPr>
          <w:spacing w:val="8"/>
          <w:szCs w:val="24"/>
          <w:lang w:val="en-US"/>
        </w:rPr>
        <w:t xml:space="preserve"> The effect of the jury's answers was to eliminate any responsibility under article 1053 C.C. and to place the respondent's liability under article 1055 (3) C.C. The respondent therefore could be held legally responsible only for failure to keep the building in proper state of repair for the purpose for which it was intended. The answer of the jury being that the appellant used the transom bar "for a purpose for which it was not intended," the jury thus negatived the application of article 1055 C.C. and the respondent cannot accordingly be held responsible: the jury could not find a legal foundation where there was no legal obligation.</w:t>
      </w:r>
    </w:p>
    <w:p w:rsidR="007C4A62" w:rsidRPr="001B16E2" w:rsidRDefault="003A59EF" w:rsidP="00230270">
      <w:pPr>
        <w:pStyle w:val="Summary"/>
        <w:rPr>
          <w:spacing w:val="8"/>
          <w:szCs w:val="24"/>
        </w:rPr>
      </w:pPr>
      <w:r w:rsidRPr="001B16E2">
        <w:rPr>
          <w:spacing w:val="8"/>
          <w:szCs w:val="24"/>
          <w:lang w:val="en-US"/>
        </w:rPr>
        <w:lastRenderedPageBreak/>
        <w:t>Judgment of the Court of King's Bench (Q.R. 66 KB. 324) affirmed.</w:t>
      </w:r>
    </w:p>
    <w:p w:rsidR="007C4A62" w:rsidRPr="001B16E2" w:rsidRDefault="003A59EF" w:rsidP="00230270">
      <w:pPr>
        <w:pStyle w:val="History"/>
        <w:rPr>
          <w:rFonts w:cs="Arial"/>
          <w:szCs w:val="24"/>
        </w:rPr>
      </w:pPr>
      <w:r w:rsidRPr="001B16E2">
        <w:rPr>
          <w:rFonts w:cs="Arial"/>
          <w:szCs w:val="24"/>
          <w:lang w:val="en-US"/>
        </w:rPr>
        <w:t>APPEAL from the judgment of the Court of King's Bench, appeal side, province of Quebec</w:t>
      </w:r>
      <w:r w:rsidRPr="001B16E2">
        <w:rPr>
          <w:rStyle w:val="FootnoteReference"/>
          <w:rFonts w:cs="Arial"/>
          <w:szCs w:val="24"/>
          <w:lang w:val="en-US"/>
        </w:rPr>
        <w:footnoteReference w:id="1"/>
      </w:r>
      <w:r w:rsidRPr="001B16E2">
        <w:rPr>
          <w:rFonts w:cs="Arial"/>
          <w:szCs w:val="24"/>
          <w:lang w:val="en-US"/>
        </w:rPr>
        <w:t xml:space="preserve">, reversing the judgment of the trial judge, </w:t>
      </w:r>
      <w:proofErr w:type="spellStart"/>
      <w:r w:rsidRPr="001B16E2">
        <w:rPr>
          <w:rFonts w:cs="Arial"/>
          <w:szCs w:val="24"/>
          <w:lang w:val="en-US"/>
        </w:rPr>
        <w:t>Duclos</w:t>
      </w:r>
      <w:proofErr w:type="spellEnd"/>
      <w:r w:rsidRPr="001B16E2">
        <w:rPr>
          <w:rFonts w:cs="Arial"/>
          <w:szCs w:val="24"/>
          <w:lang w:val="en-US"/>
        </w:rPr>
        <w:t xml:space="preserve"> J., with a jury, and dismissing the appellant's action for damages.</w:t>
      </w:r>
    </w:p>
    <w:p w:rsidR="007C4A62" w:rsidRPr="00230270" w:rsidRDefault="003A59EF" w:rsidP="00230270">
      <w:pPr>
        <w:pStyle w:val="History"/>
        <w:rPr>
          <w:rFonts w:cs="Arial"/>
          <w:spacing w:val="4"/>
          <w:szCs w:val="24"/>
          <w:lang w:val="en-US"/>
        </w:rPr>
      </w:pPr>
      <w:r w:rsidRPr="001B16E2">
        <w:rPr>
          <w:rFonts w:cs="Arial"/>
          <w:spacing w:val="4"/>
          <w:szCs w:val="24"/>
          <w:lang w:val="en-US"/>
        </w:rPr>
        <w:t xml:space="preserve">The material facts of the case are as follows: On the 30th April, 1936, the city of Verdun awarded one Chartrand a general contract for the renovation of the City Hall for the sum of $44,499. Chartrand in turn gave a sub-contract to </w:t>
      </w:r>
      <w:proofErr w:type="spellStart"/>
      <w:r w:rsidRPr="001B16E2">
        <w:rPr>
          <w:rFonts w:cs="Arial"/>
          <w:spacing w:val="4"/>
          <w:szCs w:val="24"/>
          <w:lang w:val="en-US"/>
        </w:rPr>
        <w:t>Heroux</w:t>
      </w:r>
      <w:proofErr w:type="spellEnd"/>
      <w:r w:rsidRPr="001B16E2">
        <w:rPr>
          <w:rFonts w:cs="Arial"/>
          <w:spacing w:val="4"/>
          <w:szCs w:val="24"/>
          <w:lang w:val="en-US"/>
        </w:rPr>
        <w:t xml:space="preserve"> &amp; Robert, who, in turn, made a contract with one Raymond for the painting of the windows of the City Hall. When Raymond's work was nearing completion, he entered into a contract with the appellant for the washing of the windows. During the course of his work the appellant, with the object of washing the outside of the windows, stood on the outside sill, and to steady himself grasped the transom, that is, a central bar of the framework for the outside shutters, and as the wood at the end of the transom had become rotten through old age and exposure to the weather, it was not sufficiently strong to support his weight and, giving way,</w:t>
      </w:r>
      <w:r w:rsidR="00A13B1F">
        <w:rPr>
          <w:rFonts w:cs="Arial"/>
          <w:spacing w:val="4"/>
          <w:szCs w:val="24"/>
          <w:lang w:val="en-US"/>
        </w:rPr>
        <w:t xml:space="preserve"> he was precipitated to the con</w:t>
      </w:r>
      <w:r w:rsidR="00B4378D">
        <w:rPr>
          <w:rFonts w:cs="Arial"/>
          <w:spacing w:val="4"/>
          <w:szCs w:val="24"/>
          <w:lang w:val="en-US"/>
        </w:rPr>
        <w:t>crete</w:t>
      </w:r>
      <w:r w:rsidRPr="001B16E2">
        <w:rPr>
          <w:rFonts w:cs="Arial"/>
          <w:spacing w:val="4"/>
          <w:szCs w:val="24"/>
          <w:lang w:val="en-US"/>
        </w:rPr>
        <w:t>-</w:t>
      </w:r>
      <w:r w:rsidRPr="001B16E2">
        <w:rPr>
          <w:rFonts w:cs="Arial"/>
          <w:szCs w:val="24"/>
          <w:lang w:val="en-US"/>
        </w:rPr>
        <w:t xml:space="preserve"> </w:t>
      </w:r>
    </w:p>
    <w:p w:rsidR="003A59EF" w:rsidRPr="001B16E2" w:rsidRDefault="003A59EF" w:rsidP="00230270">
      <w:pPr>
        <w:pStyle w:val="Page"/>
        <w:rPr>
          <w:rFonts w:cs="Arial"/>
          <w:szCs w:val="24"/>
          <w:lang w:val="en-US"/>
        </w:rPr>
      </w:pPr>
      <w:r w:rsidRPr="001B16E2">
        <w:rPr>
          <w:rFonts w:cs="Arial"/>
          <w:color w:val="000000"/>
          <w:szCs w:val="24"/>
          <w:lang w:val="en-US"/>
        </w:rPr>
        <w:t>[Page 315]</w:t>
      </w:r>
    </w:p>
    <w:p w:rsidR="007C4A62" w:rsidRPr="001B16E2" w:rsidRDefault="003A59EF" w:rsidP="00230270">
      <w:pPr>
        <w:pStyle w:val="History"/>
        <w:ind w:firstLine="0"/>
        <w:rPr>
          <w:rFonts w:eastAsia="Garamond" w:cs="Arial"/>
          <w:spacing w:val="4"/>
          <w:szCs w:val="24"/>
        </w:rPr>
      </w:pPr>
      <w:proofErr w:type="gramStart"/>
      <w:r w:rsidRPr="001B16E2">
        <w:rPr>
          <w:rFonts w:eastAsia="Garamond" w:cs="Arial"/>
          <w:spacing w:val="4"/>
          <w:szCs w:val="24"/>
          <w:lang w:val="en-US"/>
        </w:rPr>
        <w:t>yard</w:t>
      </w:r>
      <w:proofErr w:type="gramEnd"/>
      <w:r w:rsidRPr="001B16E2">
        <w:rPr>
          <w:rFonts w:eastAsia="Garamond" w:cs="Arial"/>
          <w:spacing w:val="4"/>
          <w:szCs w:val="24"/>
          <w:lang w:val="en-US"/>
        </w:rPr>
        <w:t xml:space="preserve"> below, receiving, as a result of the fall, very grave injuries, which resulted in the amputation of his leg and other injuries which totally in</w:t>
      </w:r>
      <w:r w:rsidR="00A13B1F">
        <w:rPr>
          <w:rFonts w:eastAsia="Garamond" w:cs="Arial"/>
          <w:spacing w:val="4"/>
          <w:szCs w:val="24"/>
          <w:lang w:val="en-US"/>
        </w:rPr>
        <w:t xml:space="preserve">capacitated him. The appellant </w:t>
      </w:r>
      <w:r w:rsidRPr="001B16E2">
        <w:rPr>
          <w:rFonts w:eastAsia="Garamond" w:cs="Arial"/>
          <w:spacing w:val="4"/>
          <w:szCs w:val="24"/>
          <w:lang w:val="en-US"/>
        </w:rPr>
        <w:t>instituted the present action against the city, charging it with negligence, on the ground that the building, and particularly the window-frame, was not - maintained in a proper state of repair; that the window-frame suffered from latent defects, which were completely hidden by the fresh paint; that the city failed to provide the appellant with the necessary equipment to which a safety-belt could be attached by the respondent during the course of his duties, as a result of which he was compelled to support himself by the window-frame which, had it been in a proper state of repair, would not have given way; that the city had, prior to the accident, been duly informed of the dangerous condition of the woodwork referred to, but nevertheless failed and neglected to make the necessary repairs. Upon the action being tried before a jury, the following verdict was rendered:</w:t>
      </w:r>
    </w:p>
    <w:p w:rsidR="007C4A62" w:rsidRPr="001B16E2" w:rsidRDefault="003A59EF" w:rsidP="00230270">
      <w:pPr>
        <w:pStyle w:val="Indent1"/>
        <w:spacing w:after="100" w:afterAutospacing="1"/>
        <w:rPr>
          <w:rFonts w:cs="Arial"/>
          <w:szCs w:val="24"/>
        </w:rPr>
      </w:pPr>
      <w:r w:rsidRPr="001B16E2">
        <w:rPr>
          <w:rFonts w:cs="Arial"/>
          <w:szCs w:val="24"/>
          <w:lang w:val="en-US"/>
        </w:rPr>
        <w:t>1. Did the plaintiff suffer an accident on or about the 15th day of October, 1936, whilst fulfilling his duties, in cleaning the windows of the City Hall, the property of the defendant in the city of Verdun? Ans. Yes.</w:t>
      </w:r>
    </w:p>
    <w:p w:rsidR="007C4A62" w:rsidRPr="001B16E2" w:rsidRDefault="003A59EF" w:rsidP="00230270">
      <w:pPr>
        <w:pStyle w:val="Indent1"/>
        <w:spacing w:after="100" w:afterAutospacing="1"/>
        <w:rPr>
          <w:rFonts w:cs="Arial"/>
          <w:szCs w:val="24"/>
        </w:rPr>
      </w:pPr>
      <w:r w:rsidRPr="001B16E2">
        <w:rPr>
          <w:rFonts w:cs="Arial"/>
          <w:szCs w:val="24"/>
        </w:rPr>
        <w:t xml:space="preserve">2. </w:t>
      </w:r>
      <w:r w:rsidRPr="001B16E2">
        <w:rPr>
          <w:rFonts w:cs="Arial"/>
          <w:szCs w:val="24"/>
          <w:lang w:val="en-US"/>
        </w:rPr>
        <w:t>Was the said accident due to the breaking of the transom bar fixed to the window frame of the said building? Am. Yes.</w:t>
      </w:r>
    </w:p>
    <w:p w:rsidR="007C4A62" w:rsidRPr="001B16E2" w:rsidRDefault="003A59EF" w:rsidP="00230270">
      <w:pPr>
        <w:pStyle w:val="Indent1"/>
        <w:spacing w:after="100" w:afterAutospacing="1"/>
        <w:rPr>
          <w:rFonts w:cs="Arial"/>
          <w:szCs w:val="24"/>
        </w:rPr>
      </w:pPr>
      <w:r w:rsidRPr="001B16E2">
        <w:rPr>
          <w:rFonts w:cs="Arial"/>
          <w:szCs w:val="24"/>
          <w:lang w:val="en-US"/>
        </w:rPr>
        <w:t>3. Was the said transom bar of the window frame the property, in the possession and under the care and control of the city of Verdun? Ans. Yes.</w:t>
      </w:r>
    </w:p>
    <w:p w:rsidR="007C4A62" w:rsidRPr="001B16E2" w:rsidRDefault="00AD77A0" w:rsidP="00230270">
      <w:pPr>
        <w:pStyle w:val="Indent1"/>
        <w:spacing w:after="100" w:afterAutospacing="1"/>
        <w:rPr>
          <w:rFonts w:cs="Arial"/>
          <w:szCs w:val="24"/>
        </w:rPr>
      </w:pPr>
      <w:r w:rsidRPr="001B16E2">
        <w:rPr>
          <w:rFonts w:cs="Arial"/>
          <w:szCs w:val="24"/>
          <w:lang w:val="en-US"/>
        </w:rPr>
        <w:t xml:space="preserve">4. </w:t>
      </w:r>
      <w:r w:rsidR="003A59EF" w:rsidRPr="001B16E2">
        <w:rPr>
          <w:rFonts w:cs="Arial"/>
          <w:szCs w:val="24"/>
          <w:lang w:val="en-US"/>
        </w:rPr>
        <w:t>Was the said transom bar of the window-frame in a defective and dangerous condition? Ans. Yes.</w:t>
      </w:r>
    </w:p>
    <w:p w:rsidR="007C4A62" w:rsidRPr="001B16E2" w:rsidRDefault="003A59EF" w:rsidP="00230270">
      <w:pPr>
        <w:pStyle w:val="Indent1"/>
        <w:spacing w:after="100" w:afterAutospacing="1"/>
        <w:rPr>
          <w:rFonts w:cs="Arial"/>
          <w:szCs w:val="24"/>
        </w:rPr>
      </w:pPr>
      <w:r w:rsidRPr="001B16E2">
        <w:rPr>
          <w:rFonts w:cs="Arial"/>
          <w:szCs w:val="24"/>
          <w:lang w:val="en-US"/>
        </w:rPr>
        <w:t xml:space="preserve">4a. </w:t>
      </w:r>
      <w:proofErr w:type="gramStart"/>
      <w:r w:rsidRPr="001B16E2">
        <w:rPr>
          <w:rFonts w:cs="Arial"/>
          <w:szCs w:val="24"/>
          <w:lang w:val="en-US"/>
        </w:rPr>
        <w:t>Did</w:t>
      </w:r>
      <w:proofErr w:type="gramEnd"/>
      <w:r w:rsidRPr="001B16E2">
        <w:rPr>
          <w:rFonts w:cs="Arial"/>
          <w:szCs w:val="24"/>
          <w:lang w:val="en-US"/>
        </w:rPr>
        <w:t xml:space="preserve"> the plaintiff suffer damages as a result of the said accident and, if so, what amount? </w:t>
      </w:r>
      <w:proofErr w:type="gramStart"/>
      <w:r w:rsidRPr="001B16E2">
        <w:rPr>
          <w:rFonts w:cs="Arial"/>
          <w:szCs w:val="24"/>
          <w:lang w:val="en-US"/>
        </w:rPr>
        <w:t>Ans. $18,000.</w:t>
      </w:r>
      <w:proofErr w:type="gramEnd"/>
    </w:p>
    <w:p w:rsidR="007C4A62" w:rsidRPr="001B16E2" w:rsidRDefault="00AD77A0" w:rsidP="00230270">
      <w:pPr>
        <w:pStyle w:val="Indent1"/>
        <w:spacing w:after="100" w:afterAutospacing="1"/>
        <w:rPr>
          <w:rFonts w:cs="Arial"/>
          <w:spacing w:val="7"/>
          <w:szCs w:val="24"/>
        </w:rPr>
      </w:pPr>
      <w:r w:rsidRPr="001B16E2">
        <w:rPr>
          <w:rFonts w:cs="Arial"/>
          <w:spacing w:val="7"/>
          <w:szCs w:val="24"/>
          <w:lang w:val="en-US"/>
        </w:rPr>
        <w:t xml:space="preserve">5. </w:t>
      </w:r>
      <w:proofErr w:type="gramStart"/>
      <w:r w:rsidR="003A59EF" w:rsidRPr="001B16E2">
        <w:rPr>
          <w:rFonts w:cs="Arial"/>
          <w:spacing w:val="7"/>
          <w:szCs w:val="24"/>
          <w:lang w:val="en-US"/>
        </w:rPr>
        <w:t>Was</w:t>
      </w:r>
      <w:proofErr w:type="gramEnd"/>
      <w:r w:rsidR="003A59EF" w:rsidRPr="001B16E2">
        <w:rPr>
          <w:rFonts w:cs="Arial"/>
          <w:spacing w:val="7"/>
          <w:szCs w:val="24"/>
          <w:lang w:val="en-US"/>
        </w:rPr>
        <w:t xml:space="preserve"> the said accident due to the sole fault, imprudence, negligence and lack of </w:t>
      </w:r>
      <w:r w:rsidR="003A59EF" w:rsidRPr="001B16E2">
        <w:rPr>
          <w:rFonts w:cs="Arial"/>
          <w:spacing w:val="7"/>
          <w:szCs w:val="24"/>
          <w:lang w:val="en-US"/>
        </w:rPr>
        <w:lastRenderedPageBreak/>
        <w:t>care of the def</w:t>
      </w:r>
      <w:r w:rsidR="00A13B1F">
        <w:rPr>
          <w:rFonts w:cs="Arial"/>
          <w:spacing w:val="7"/>
          <w:szCs w:val="24"/>
          <w:lang w:val="en-US"/>
        </w:rPr>
        <w:t>endant, and, it</w:t>
      </w:r>
      <w:r w:rsidR="003A59EF" w:rsidRPr="001B16E2">
        <w:rPr>
          <w:rFonts w:cs="Arial"/>
          <w:spacing w:val="7"/>
          <w:szCs w:val="24"/>
          <w:lang w:val="en-US"/>
        </w:rPr>
        <w:t xml:space="preserve"> so, then what did such fault, imprudence and lack of care consist of?</w:t>
      </w:r>
    </w:p>
    <w:p w:rsidR="00230270" w:rsidRDefault="003A59EF" w:rsidP="00230270">
      <w:pPr>
        <w:pStyle w:val="Indent2"/>
        <w:spacing w:after="100" w:afterAutospacing="1"/>
        <w:jc w:val="left"/>
        <w:rPr>
          <w:rFonts w:cs="Arial"/>
          <w:szCs w:val="24"/>
          <w:lang w:val="en-US"/>
        </w:rPr>
      </w:pPr>
      <w:r w:rsidRPr="001B16E2">
        <w:rPr>
          <w:rFonts w:cs="Arial"/>
          <w:szCs w:val="24"/>
          <w:lang w:val="en-US"/>
        </w:rPr>
        <w:t>9—</w:t>
      </w:r>
      <w:proofErr w:type="gramStart"/>
      <w:r w:rsidRPr="001B16E2">
        <w:rPr>
          <w:rFonts w:cs="Arial"/>
          <w:szCs w:val="24"/>
          <w:lang w:val="en-US"/>
        </w:rPr>
        <w:t>Th</w:t>
      </w:r>
      <w:r w:rsidR="00230270">
        <w:rPr>
          <w:rFonts w:cs="Arial"/>
          <w:szCs w:val="24"/>
          <w:lang w:val="en-US"/>
        </w:rPr>
        <w:t>ey</w:t>
      </w:r>
      <w:proofErr w:type="gramEnd"/>
      <w:r w:rsidR="00230270">
        <w:rPr>
          <w:rFonts w:cs="Arial"/>
          <w:szCs w:val="24"/>
          <w:lang w:val="en-US"/>
        </w:rPr>
        <w:t xml:space="preserve"> are not solely responsible. </w:t>
      </w:r>
    </w:p>
    <w:p w:rsidR="007C4A62" w:rsidRPr="001B16E2" w:rsidRDefault="003A59EF" w:rsidP="00230270">
      <w:pPr>
        <w:pStyle w:val="Indent2"/>
        <w:spacing w:after="100" w:afterAutospacing="1"/>
        <w:jc w:val="left"/>
        <w:rPr>
          <w:rFonts w:cs="Arial"/>
          <w:szCs w:val="24"/>
        </w:rPr>
      </w:pPr>
      <w:r w:rsidRPr="001B16E2">
        <w:rPr>
          <w:rFonts w:cs="Arial"/>
          <w:szCs w:val="24"/>
          <w:lang w:val="en-US"/>
        </w:rPr>
        <w:t>3—</w:t>
      </w:r>
      <w:proofErr w:type="gramStart"/>
      <w:r w:rsidRPr="001B16E2">
        <w:rPr>
          <w:rFonts w:cs="Arial"/>
          <w:szCs w:val="24"/>
          <w:lang w:val="en-US"/>
        </w:rPr>
        <w:t>Solely</w:t>
      </w:r>
      <w:proofErr w:type="gramEnd"/>
      <w:r w:rsidRPr="001B16E2">
        <w:rPr>
          <w:rFonts w:cs="Arial"/>
          <w:szCs w:val="24"/>
          <w:lang w:val="en-US"/>
        </w:rPr>
        <w:t xml:space="preserve"> responsible.</w:t>
      </w:r>
    </w:p>
    <w:p w:rsidR="007C4A62" w:rsidRPr="001B16E2" w:rsidRDefault="00AD77A0" w:rsidP="00230270">
      <w:pPr>
        <w:pStyle w:val="Indent1"/>
        <w:spacing w:after="100" w:afterAutospacing="1"/>
        <w:rPr>
          <w:rFonts w:cs="Arial"/>
          <w:szCs w:val="24"/>
        </w:rPr>
      </w:pPr>
      <w:r w:rsidRPr="001B16E2">
        <w:rPr>
          <w:rFonts w:cs="Arial"/>
          <w:szCs w:val="24"/>
          <w:lang w:val="en-US"/>
        </w:rPr>
        <w:t xml:space="preserve">6. </w:t>
      </w:r>
      <w:r w:rsidR="003A59EF" w:rsidRPr="001B16E2">
        <w:rPr>
          <w:rFonts w:cs="Arial"/>
          <w:szCs w:val="24"/>
          <w:lang w:val="en-US"/>
        </w:rPr>
        <w:t xml:space="preserve">Was the said accident occasioned by the sole fault of the plaintiff? </w:t>
      </w:r>
      <w:proofErr w:type="gramStart"/>
      <w:r w:rsidR="003A59EF" w:rsidRPr="001B16E2">
        <w:rPr>
          <w:rFonts w:cs="Arial"/>
          <w:szCs w:val="24"/>
          <w:lang w:val="en-US"/>
        </w:rPr>
        <w:t>Ans. No.</w:t>
      </w:r>
      <w:proofErr w:type="gramEnd"/>
    </w:p>
    <w:p w:rsidR="007C4A62" w:rsidRPr="001B16E2" w:rsidRDefault="00AD77A0" w:rsidP="00230270">
      <w:pPr>
        <w:pStyle w:val="Indent1"/>
        <w:spacing w:after="100" w:afterAutospacing="1"/>
        <w:rPr>
          <w:rFonts w:cs="Arial"/>
          <w:spacing w:val="8"/>
          <w:szCs w:val="24"/>
        </w:rPr>
      </w:pPr>
      <w:r w:rsidRPr="001B16E2">
        <w:rPr>
          <w:rFonts w:cs="Arial"/>
          <w:spacing w:val="8"/>
          <w:szCs w:val="24"/>
          <w:lang w:val="en-US"/>
        </w:rPr>
        <w:t xml:space="preserve">7. </w:t>
      </w:r>
      <w:r w:rsidR="003A59EF" w:rsidRPr="001B16E2">
        <w:rPr>
          <w:rFonts w:cs="Arial"/>
          <w:spacing w:val="8"/>
          <w:szCs w:val="24"/>
          <w:lang w:val="en-US"/>
        </w:rPr>
        <w:t xml:space="preserve">Was the said </w:t>
      </w:r>
      <w:proofErr w:type="gramStart"/>
      <w:r w:rsidR="003A59EF" w:rsidRPr="001B16E2">
        <w:rPr>
          <w:rFonts w:cs="Arial"/>
          <w:spacing w:val="8"/>
          <w:szCs w:val="24"/>
          <w:lang w:val="en-US"/>
        </w:rPr>
        <w:t>accident occasioned by the common fault of the plaintiff and defendant, and, if in the affirmative, say</w:t>
      </w:r>
      <w:proofErr w:type="gramEnd"/>
      <w:r w:rsidR="003A59EF" w:rsidRPr="001B16E2">
        <w:rPr>
          <w:rFonts w:cs="Arial"/>
          <w:spacing w:val="8"/>
          <w:szCs w:val="24"/>
          <w:lang w:val="en-US"/>
        </w:rPr>
        <w:t xml:space="preserve"> in what fault?</w:t>
      </w:r>
    </w:p>
    <w:p w:rsidR="007C4A62" w:rsidRPr="001B16E2" w:rsidRDefault="00AD77A0" w:rsidP="00230270">
      <w:pPr>
        <w:pStyle w:val="Indent2"/>
        <w:spacing w:after="100" w:afterAutospacing="1"/>
        <w:rPr>
          <w:rFonts w:cs="Arial"/>
          <w:szCs w:val="24"/>
        </w:rPr>
      </w:pPr>
      <w:r w:rsidRPr="001B16E2">
        <w:rPr>
          <w:rFonts w:cs="Arial"/>
          <w:szCs w:val="24"/>
          <w:lang w:val="en-US"/>
        </w:rPr>
        <w:t xml:space="preserve">(a) </w:t>
      </w:r>
      <w:proofErr w:type="gramStart"/>
      <w:r w:rsidR="003A59EF" w:rsidRPr="001B16E2">
        <w:rPr>
          <w:rFonts w:cs="Arial"/>
          <w:szCs w:val="24"/>
          <w:lang w:val="en-US"/>
        </w:rPr>
        <w:t>of</w:t>
      </w:r>
      <w:proofErr w:type="gramEnd"/>
      <w:r w:rsidR="003A59EF" w:rsidRPr="001B16E2">
        <w:rPr>
          <w:rFonts w:cs="Arial"/>
          <w:szCs w:val="24"/>
          <w:lang w:val="en-US"/>
        </w:rPr>
        <w:t xml:space="preserve"> the plaintiff consisted.</w:t>
      </w:r>
    </w:p>
    <w:p w:rsidR="007C4A62" w:rsidRPr="001B16E2" w:rsidRDefault="003A59EF" w:rsidP="00230270">
      <w:pPr>
        <w:pStyle w:val="Indent3"/>
        <w:spacing w:after="100" w:afterAutospacing="1"/>
        <w:rPr>
          <w:rFonts w:cs="Arial"/>
          <w:szCs w:val="24"/>
        </w:rPr>
      </w:pPr>
      <w:r w:rsidRPr="001B16E2">
        <w:rPr>
          <w:rFonts w:cs="Arial"/>
          <w:szCs w:val="24"/>
          <w:lang w:val="en-US"/>
        </w:rPr>
        <w:t>9—</w:t>
      </w:r>
      <w:proofErr w:type="gramStart"/>
      <w:r w:rsidRPr="001B16E2">
        <w:rPr>
          <w:rFonts w:cs="Arial"/>
          <w:szCs w:val="24"/>
          <w:lang w:val="en-US"/>
        </w:rPr>
        <w:t>Not</w:t>
      </w:r>
      <w:proofErr w:type="gramEnd"/>
      <w:r w:rsidRPr="001B16E2">
        <w:rPr>
          <w:rFonts w:cs="Arial"/>
          <w:szCs w:val="24"/>
          <w:lang w:val="en-US"/>
        </w:rPr>
        <w:t xml:space="preserve"> taking sufficient precautions for his personal safety, and using the transom's bar for a purpose for which it was not intended.</w:t>
      </w:r>
    </w:p>
    <w:p w:rsidR="007C4A62" w:rsidRPr="001B16E2" w:rsidRDefault="00AD77A0" w:rsidP="00230270">
      <w:pPr>
        <w:pStyle w:val="Indent2"/>
        <w:spacing w:after="100" w:afterAutospacing="1"/>
        <w:rPr>
          <w:rFonts w:cs="Arial"/>
          <w:szCs w:val="24"/>
        </w:rPr>
      </w:pPr>
      <w:r w:rsidRPr="001B16E2">
        <w:rPr>
          <w:rFonts w:cs="Arial"/>
          <w:szCs w:val="24"/>
          <w:lang w:val="en-US"/>
        </w:rPr>
        <w:t xml:space="preserve">(b) </w:t>
      </w:r>
      <w:proofErr w:type="gramStart"/>
      <w:r w:rsidR="003A59EF" w:rsidRPr="001B16E2">
        <w:rPr>
          <w:rFonts w:cs="Arial"/>
          <w:szCs w:val="24"/>
          <w:lang w:val="en-US"/>
        </w:rPr>
        <w:t>of</w:t>
      </w:r>
      <w:proofErr w:type="gramEnd"/>
      <w:r w:rsidR="003A59EF" w:rsidRPr="001B16E2">
        <w:rPr>
          <w:rFonts w:cs="Arial"/>
          <w:szCs w:val="24"/>
          <w:lang w:val="en-US"/>
        </w:rPr>
        <w:t xml:space="preserve"> the defendant;</w:t>
      </w:r>
    </w:p>
    <w:p w:rsidR="007C4A62" w:rsidRPr="001B16E2" w:rsidRDefault="003A59EF" w:rsidP="00230270">
      <w:pPr>
        <w:pStyle w:val="Indent3"/>
        <w:spacing w:after="100" w:afterAutospacing="1"/>
        <w:rPr>
          <w:rFonts w:cs="Arial"/>
          <w:szCs w:val="24"/>
        </w:rPr>
      </w:pPr>
      <w:proofErr w:type="gramStart"/>
      <w:r w:rsidRPr="001B16E2">
        <w:rPr>
          <w:rFonts w:cs="Arial"/>
          <w:szCs w:val="24"/>
          <w:lang w:val="en-US"/>
        </w:rPr>
        <w:t>For failure to keep the building in proper state of repair-</w:t>
      </w:r>
      <w:r w:rsidRPr="001B16E2">
        <w:rPr>
          <w:rFonts w:cs="Arial"/>
          <w:spacing w:val="2"/>
          <w:szCs w:val="24"/>
          <w:lang w:val="en-US"/>
        </w:rPr>
        <w:t>3 against.</w:t>
      </w:r>
      <w:proofErr w:type="gramEnd"/>
    </w:p>
    <w:p w:rsidR="003A59EF" w:rsidRPr="001B16E2" w:rsidRDefault="003A59EF" w:rsidP="00B4378D">
      <w:pPr>
        <w:pStyle w:val="Page"/>
        <w:rPr>
          <w:lang w:val="en-US"/>
        </w:rPr>
      </w:pPr>
      <w:bookmarkStart w:id="0" w:name="_GoBack"/>
      <w:r w:rsidRPr="001B16E2">
        <w:rPr>
          <w:lang w:val="en-US"/>
        </w:rPr>
        <w:t>[Page 316]</w:t>
      </w:r>
    </w:p>
    <w:bookmarkEnd w:id="0"/>
    <w:p w:rsidR="007C4A62" w:rsidRPr="001B16E2" w:rsidRDefault="003A59EF" w:rsidP="00230270">
      <w:pPr>
        <w:pStyle w:val="Indent1"/>
        <w:spacing w:after="100" w:afterAutospacing="1"/>
        <w:jc w:val="left"/>
        <w:rPr>
          <w:rFonts w:cs="Arial"/>
          <w:spacing w:val="8"/>
          <w:szCs w:val="24"/>
        </w:rPr>
      </w:pPr>
      <w:r w:rsidRPr="001B16E2">
        <w:rPr>
          <w:rFonts w:cs="Arial"/>
          <w:spacing w:val="8"/>
          <w:szCs w:val="24"/>
          <w:lang w:val="en-US"/>
        </w:rPr>
        <w:t>8. If you answer question number 7 in the affirmative what amount</w:t>
      </w:r>
      <w:r w:rsidR="00AD77A0" w:rsidRPr="001B16E2">
        <w:rPr>
          <w:rFonts w:cs="Arial"/>
          <w:spacing w:val="8"/>
          <w:szCs w:val="24"/>
        </w:rPr>
        <w:t xml:space="preserve"> </w:t>
      </w:r>
      <w:r w:rsidRPr="001B16E2">
        <w:rPr>
          <w:rFonts w:cs="Arial"/>
          <w:szCs w:val="24"/>
          <w:lang w:val="en-US"/>
        </w:rPr>
        <w:t xml:space="preserve">do you reduce from the total amount given? </w:t>
      </w:r>
      <w:r w:rsidRPr="001B16E2">
        <w:rPr>
          <w:rFonts w:cs="Arial"/>
          <w:szCs w:val="24"/>
          <w:lang w:val="en-US"/>
        </w:rPr>
        <w:br/>
      </w:r>
      <w:proofErr w:type="gramStart"/>
      <w:r w:rsidRPr="001B16E2">
        <w:rPr>
          <w:rFonts w:cs="Arial"/>
          <w:szCs w:val="24"/>
          <w:lang w:val="en-US"/>
        </w:rPr>
        <w:t>$5,400; all in favour except 1 or 30%.</w:t>
      </w:r>
      <w:proofErr w:type="gramEnd"/>
    </w:p>
    <w:p w:rsidR="007C4A62" w:rsidRPr="001B16E2" w:rsidRDefault="003A59EF" w:rsidP="00230270">
      <w:pPr>
        <w:pStyle w:val="History"/>
        <w:rPr>
          <w:rFonts w:cs="Arial"/>
          <w:spacing w:val="4"/>
          <w:szCs w:val="24"/>
        </w:rPr>
      </w:pPr>
      <w:r w:rsidRPr="001B16E2">
        <w:rPr>
          <w:rFonts w:cs="Arial"/>
          <w:spacing w:val="4"/>
          <w:szCs w:val="24"/>
          <w:lang w:val="en-US"/>
        </w:rPr>
        <w:t xml:space="preserve">The trial judge, holding that the city as owner of the premises—including the window-bar—which was the immediate cause of the accident, should be held responsible for the damages caused by want of repairs under article 1055 C.C., and that the appellant's use of the same was reasonable, dismissed the respondent's motion for a judgment </w:t>
      </w:r>
      <w:r w:rsidRPr="001B16E2">
        <w:rPr>
          <w:rFonts w:cs="Arial"/>
          <w:i/>
          <w:spacing w:val="4"/>
          <w:szCs w:val="24"/>
          <w:lang w:val="en-US"/>
        </w:rPr>
        <w:t xml:space="preserve">non obstante </w:t>
      </w:r>
      <w:proofErr w:type="spellStart"/>
      <w:r w:rsidRPr="001B16E2">
        <w:rPr>
          <w:rFonts w:cs="Arial"/>
          <w:i/>
          <w:spacing w:val="4"/>
          <w:szCs w:val="24"/>
          <w:lang w:val="en-US"/>
        </w:rPr>
        <w:t>veredicto</w:t>
      </w:r>
      <w:proofErr w:type="spellEnd"/>
      <w:r w:rsidRPr="001B16E2">
        <w:rPr>
          <w:rFonts w:cs="Arial"/>
          <w:i/>
          <w:spacing w:val="4"/>
          <w:szCs w:val="24"/>
          <w:lang w:val="en-US"/>
        </w:rPr>
        <w:t xml:space="preserve">, </w:t>
      </w:r>
      <w:r w:rsidRPr="001B16E2">
        <w:rPr>
          <w:rFonts w:cs="Arial"/>
          <w:spacing w:val="4"/>
          <w:szCs w:val="24"/>
          <w:lang w:val="en-US"/>
        </w:rPr>
        <w:t>and, maintaining the appellant's motion for judgment in accordance with the verdict, condemned the respondent to pay the sum of $12,600. The city appealed to the appellate court and contended that the verdict, and the judgment, should not have been based on the mere fact that the window-bar gave way because it was old and decayed, but should have taken into account the purpose it was designed to serve, and that, since the appellant submitted it to a strain entirely foreign to that purpose, the accident was due to his own fault, and his action should have been dismissed.</w:t>
      </w:r>
    </w:p>
    <w:p w:rsidR="007C4A62" w:rsidRPr="001B16E2" w:rsidRDefault="003A59EF" w:rsidP="00230270">
      <w:pPr>
        <w:pStyle w:val="Sollicitors"/>
        <w:rPr>
          <w:rFonts w:cs="Arial"/>
          <w:szCs w:val="24"/>
        </w:rPr>
      </w:pPr>
      <w:proofErr w:type="gramStart"/>
      <w:r w:rsidRPr="001B16E2">
        <w:rPr>
          <w:rFonts w:cs="Arial"/>
          <w:szCs w:val="24"/>
          <w:lang w:val="en-US"/>
        </w:rPr>
        <w:t xml:space="preserve">Louis St-Laurent K.C., M. </w:t>
      </w:r>
      <w:proofErr w:type="spellStart"/>
      <w:r w:rsidRPr="001B16E2">
        <w:rPr>
          <w:rFonts w:cs="Arial"/>
          <w:szCs w:val="24"/>
          <w:lang w:val="en-US"/>
        </w:rPr>
        <w:t>Gameroff</w:t>
      </w:r>
      <w:proofErr w:type="spellEnd"/>
      <w:r w:rsidRPr="001B16E2">
        <w:rPr>
          <w:rFonts w:cs="Arial"/>
          <w:szCs w:val="24"/>
          <w:lang w:val="en-US"/>
        </w:rPr>
        <w:t xml:space="preserve"> and S. </w:t>
      </w:r>
      <w:proofErr w:type="spellStart"/>
      <w:r w:rsidRPr="001B16E2">
        <w:rPr>
          <w:rFonts w:cs="Arial"/>
          <w:szCs w:val="24"/>
          <w:lang w:val="en-US"/>
        </w:rPr>
        <w:t>Fenster</w:t>
      </w:r>
      <w:proofErr w:type="spellEnd"/>
      <w:r w:rsidRPr="001B16E2">
        <w:rPr>
          <w:rFonts w:cs="Arial"/>
          <w:szCs w:val="24"/>
          <w:lang w:val="en-US"/>
        </w:rPr>
        <w:t xml:space="preserve"> for the appellant.</w:t>
      </w:r>
      <w:proofErr w:type="gramEnd"/>
    </w:p>
    <w:p w:rsidR="007C4A62" w:rsidRPr="001B16E2" w:rsidRDefault="003A59EF" w:rsidP="00230270">
      <w:pPr>
        <w:pStyle w:val="Sollicitors"/>
        <w:rPr>
          <w:rFonts w:cs="Arial"/>
          <w:szCs w:val="24"/>
        </w:rPr>
      </w:pPr>
      <w:r w:rsidRPr="001B16E2">
        <w:rPr>
          <w:rFonts w:cs="Arial"/>
          <w:szCs w:val="24"/>
          <w:lang w:val="en-US"/>
        </w:rPr>
        <w:t xml:space="preserve">L. E. Beaulieu. </w:t>
      </w:r>
      <w:proofErr w:type="gramStart"/>
      <w:r w:rsidRPr="001B16E2">
        <w:rPr>
          <w:rFonts w:cs="Arial"/>
          <w:szCs w:val="24"/>
          <w:lang w:val="en-US"/>
        </w:rPr>
        <w:t xml:space="preserve">K.C. and Francis </w:t>
      </w:r>
      <w:proofErr w:type="spellStart"/>
      <w:r w:rsidRPr="001B16E2">
        <w:rPr>
          <w:rFonts w:cs="Arial"/>
          <w:szCs w:val="24"/>
          <w:lang w:val="en-US"/>
        </w:rPr>
        <w:t>Fauteux</w:t>
      </w:r>
      <w:proofErr w:type="spellEnd"/>
      <w:r w:rsidRPr="001B16E2">
        <w:rPr>
          <w:rFonts w:cs="Arial"/>
          <w:szCs w:val="24"/>
          <w:lang w:val="en-US"/>
        </w:rPr>
        <w:t xml:space="preserve"> K.C. for the respondent.</w:t>
      </w:r>
      <w:proofErr w:type="gramEnd"/>
    </w:p>
    <w:p w:rsidR="007C4A62" w:rsidRPr="001B16E2" w:rsidRDefault="003A59EF" w:rsidP="00230270">
      <w:pPr>
        <w:pStyle w:val="Reasons"/>
        <w:rPr>
          <w:rFonts w:cs="Arial"/>
          <w:szCs w:val="24"/>
        </w:rPr>
      </w:pPr>
      <w:r w:rsidRPr="001B16E2">
        <w:rPr>
          <w:rFonts w:cs="Arial"/>
          <w:szCs w:val="24"/>
          <w:lang w:val="en-US"/>
        </w:rPr>
        <w:t>The judgment of the Court was delivered by</w:t>
      </w:r>
    </w:p>
    <w:p w:rsidR="007C4A62" w:rsidRPr="001B16E2" w:rsidRDefault="003A59EF" w:rsidP="00230270">
      <w:pPr>
        <w:pStyle w:val="Reasons"/>
        <w:rPr>
          <w:rFonts w:cs="Arial"/>
          <w:spacing w:val="6"/>
          <w:szCs w:val="24"/>
        </w:rPr>
      </w:pPr>
      <w:r w:rsidRPr="001B16E2">
        <w:rPr>
          <w:rFonts w:cs="Arial"/>
          <w:spacing w:val="6"/>
          <w:szCs w:val="24"/>
          <w:lang w:val="en-US"/>
        </w:rPr>
        <w:t>RINFRET J.—</w:t>
      </w:r>
      <w:proofErr w:type="gramStart"/>
      <w:r w:rsidRPr="001B16E2">
        <w:rPr>
          <w:rFonts w:cs="Arial"/>
          <w:spacing w:val="6"/>
          <w:szCs w:val="24"/>
          <w:lang w:val="en-US"/>
        </w:rPr>
        <w:t>In</w:t>
      </w:r>
      <w:proofErr w:type="gramEnd"/>
      <w:r w:rsidRPr="001B16E2">
        <w:rPr>
          <w:rFonts w:cs="Arial"/>
          <w:spacing w:val="6"/>
          <w:szCs w:val="24"/>
          <w:lang w:val="en-US"/>
        </w:rPr>
        <w:t xml:space="preserve"> my view the judgment of the Court of King's Bench dismissing the appellant's action was justified by the answers of the jury to the questions put to them.</w:t>
      </w:r>
    </w:p>
    <w:p w:rsidR="007C4A62" w:rsidRPr="001B16E2" w:rsidRDefault="003A59EF" w:rsidP="00230270">
      <w:pPr>
        <w:pStyle w:val="Reasons"/>
        <w:rPr>
          <w:rFonts w:cs="Arial"/>
          <w:spacing w:val="7"/>
          <w:szCs w:val="24"/>
        </w:rPr>
      </w:pPr>
      <w:r w:rsidRPr="001B16E2">
        <w:rPr>
          <w:rFonts w:cs="Arial"/>
          <w:spacing w:val="7"/>
          <w:szCs w:val="24"/>
          <w:lang w:val="en-US"/>
        </w:rPr>
        <w:t xml:space="preserve">It was open to the Court of King's Bench to give a judgment different from that rendered by the trial judge on the facts as found by the jury. </w:t>
      </w:r>
      <w:proofErr w:type="gramStart"/>
      <w:r w:rsidRPr="001B16E2">
        <w:rPr>
          <w:rFonts w:cs="Arial"/>
          <w:spacing w:val="7"/>
          <w:szCs w:val="24"/>
          <w:lang w:val="en-US"/>
        </w:rPr>
        <w:t>(Art. 508-1 C.C.P.).</w:t>
      </w:r>
      <w:proofErr w:type="gramEnd"/>
    </w:p>
    <w:p w:rsidR="007C4A62" w:rsidRPr="001B16E2" w:rsidRDefault="003A59EF" w:rsidP="00230270">
      <w:pPr>
        <w:pStyle w:val="Reasons"/>
        <w:rPr>
          <w:rFonts w:cs="Arial"/>
          <w:spacing w:val="6"/>
          <w:szCs w:val="24"/>
        </w:rPr>
      </w:pPr>
      <w:r w:rsidRPr="001B16E2">
        <w:rPr>
          <w:rFonts w:cs="Arial"/>
          <w:spacing w:val="6"/>
          <w:szCs w:val="24"/>
          <w:lang w:val="en-US"/>
        </w:rPr>
        <w:t xml:space="preserve">The appellant was not working for the city of Verdun. The city had contracted with one Chartrand to </w:t>
      </w:r>
      <w:proofErr w:type="gramStart"/>
      <w:r w:rsidRPr="001B16E2">
        <w:rPr>
          <w:rFonts w:cs="Arial"/>
          <w:spacing w:val="6"/>
          <w:szCs w:val="24"/>
          <w:lang w:val="en-US"/>
        </w:rPr>
        <w:t>effect</w:t>
      </w:r>
      <w:proofErr w:type="gramEnd"/>
      <w:r w:rsidRPr="001B16E2">
        <w:rPr>
          <w:rFonts w:cs="Arial"/>
          <w:spacing w:val="6"/>
          <w:szCs w:val="24"/>
          <w:lang w:val="en-US"/>
        </w:rPr>
        <w:t xml:space="preserve"> certain repairs in its City Hall building. Among these repairs were </w:t>
      </w:r>
      <w:r w:rsidRPr="001B16E2">
        <w:rPr>
          <w:rFonts w:cs="Arial"/>
          <w:spacing w:val="6"/>
          <w:szCs w:val="24"/>
          <w:lang w:val="en-US"/>
        </w:rPr>
        <w:lastRenderedPageBreak/>
        <w:t>those pertaining to painting and glazing which had been delegated to a sub-contractor; and the appellant was engaged by the sub-contractor to clean the windows. He was an independent contractor of his own.</w:t>
      </w:r>
    </w:p>
    <w:p w:rsidR="007C4A62" w:rsidRPr="001B16E2" w:rsidRDefault="003A59EF" w:rsidP="00230270">
      <w:pPr>
        <w:pStyle w:val="Reasons"/>
        <w:rPr>
          <w:rFonts w:cs="Arial"/>
          <w:szCs w:val="24"/>
        </w:rPr>
      </w:pPr>
      <w:r w:rsidRPr="001B16E2">
        <w:rPr>
          <w:rFonts w:cs="Arial"/>
          <w:szCs w:val="24"/>
          <w:lang w:val="en-US"/>
        </w:rPr>
        <w:t>While doing that work the appellant attempted to support himself on the transom bar of a window frame, the</w:t>
      </w:r>
    </w:p>
    <w:p w:rsidR="003A59EF" w:rsidRPr="001B16E2" w:rsidRDefault="003A59EF" w:rsidP="00230270">
      <w:pPr>
        <w:pStyle w:val="Page"/>
        <w:rPr>
          <w:rFonts w:cs="Arial"/>
          <w:szCs w:val="24"/>
          <w:lang w:val="en-US"/>
        </w:rPr>
      </w:pPr>
      <w:r w:rsidRPr="001B16E2">
        <w:rPr>
          <w:rFonts w:cs="Arial"/>
          <w:color w:val="000000"/>
          <w:szCs w:val="24"/>
          <w:lang w:val="en-US"/>
        </w:rPr>
        <w:t>[Page 317]</w:t>
      </w:r>
    </w:p>
    <w:p w:rsidR="007C4A62" w:rsidRPr="001B16E2" w:rsidRDefault="003A59EF" w:rsidP="00230270">
      <w:pPr>
        <w:pStyle w:val="Reasons"/>
        <w:rPr>
          <w:rFonts w:cs="Arial"/>
          <w:szCs w:val="24"/>
        </w:rPr>
      </w:pPr>
      <w:proofErr w:type="gramStart"/>
      <w:r w:rsidRPr="001B16E2">
        <w:rPr>
          <w:rFonts w:cs="Arial"/>
          <w:szCs w:val="24"/>
          <w:lang w:val="en-US"/>
        </w:rPr>
        <w:t>transom</w:t>
      </w:r>
      <w:proofErr w:type="gramEnd"/>
      <w:r w:rsidRPr="001B16E2">
        <w:rPr>
          <w:rFonts w:cs="Arial"/>
          <w:szCs w:val="24"/>
          <w:lang w:val="en-US"/>
        </w:rPr>
        <w:t xml:space="preserve"> bar gave way, the appellant lost his balance and fell to the pavement below.</w:t>
      </w:r>
    </w:p>
    <w:p w:rsidR="007C4A62" w:rsidRPr="001B16E2" w:rsidRDefault="003A59EF" w:rsidP="00230270">
      <w:pPr>
        <w:pStyle w:val="Reasons"/>
        <w:rPr>
          <w:rFonts w:cs="Arial"/>
          <w:spacing w:val="9"/>
          <w:szCs w:val="24"/>
        </w:rPr>
      </w:pPr>
      <w:r w:rsidRPr="001B16E2">
        <w:rPr>
          <w:rFonts w:cs="Arial"/>
          <w:spacing w:val="9"/>
          <w:szCs w:val="24"/>
          <w:lang w:val="en-US"/>
        </w:rPr>
        <w:t>The jury was asked to determine the cause of the accident. Their answers were to the effect that the accident had been occasioned by the common fault of the appellant and the respondent and that the fault of the appellant consisted in</w:t>
      </w:r>
    </w:p>
    <w:p w:rsidR="007C4A62" w:rsidRPr="001B16E2" w:rsidRDefault="003A59EF" w:rsidP="00230270">
      <w:pPr>
        <w:pStyle w:val="Indent1"/>
        <w:spacing w:after="100" w:afterAutospacing="1"/>
        <w:rPr>
          <w:rFonts w:cs="Arial"/>
          <w:szCs w:val="24"/>
        </w:rPr>
      </w:pPr>
      <w:proofErr w:type="gramStart"/>
      <w:r w:rsidRPr="001B16E2">
        <w:rPr>
          <w:rFonts w:cs="Arial"/>
          <w:szCs w:val="24"/>
          <w:lang w:val="en-US"/>
        </w:rPr>
        <w:t>not</w:t>
      </w:r>
      <w:proofErr w:type="gramEnd"/>
      <w:r w:rsidRPr="001B16E2">
        <w:rPr>
          <w:rFonts w:cs="Arial"/>
          <w:szCs w:val="24"/>
          <w:lang w:val="en-US"/>
        </w:rPr>
        <w:t xml:space="preserve"> taking sufficient precaution for his personal safety and using the transom bar for a purpose for which it was not intended</w:t>
      </w:r>
    </w:p>
    <w:p w:rsidR="007C4A62" w:rsidRPr="001B16E2" w:rsidRDefault="003A59EF" w:rsidP="00230270">
      <w:pPr>
        <w:pStyle w:val="Reasons"/>
        <w:rPr>
          <w:rFonts w:cs="Arial"/>
          <w:spacing w:val="12"/>
          <w:szCs w:val="24"/>
        </w:rPr>
      </w:pPr>
      <w:proofErr w:type="gramStart"/>
      <w:r w:rsidRPr="001B16E2">
        <w:rPr>
          <w:rFonts w:cs="Arial"/>
          <w:spacing w:val="12"/>
          <w:szCs w:val="24"/>
          <w:lang w:val="en-US"/>
        </w:rPr>
        <w:t>and</w:t>
      </w:r>
      <w:proofErr w:type="gramEnd"/>
      <w:r w:rsidRPr="001B16E2">
        <w:rPr>
          <w:rFonts w:cs="Arial"/>
          <w:spacing w:val="12"/>
          <w:szCs w:val="24"/>
          <w:lang w:val="en-US"/>
        </w:rPr>
        <w:t xml:space="preserve"> that the fault of the respondent was the</w:t>
      </w:r>
    </w:p>
    <w:p w:rsidR="007C4A62" w:rsidRPr="001B16E2" w:rsidRDefault="003A59EF" w:rsidP="00230270">
      <w:pPr>
        <w:pStyle w:val="Indent1"/>
        <w:spacing w:after="100" w:afterAutospacing="1"/>
        <w:rPr>
          <w:rFonts w:cs="Arial"/>
          <w:szCs w:val="24"/>
        </w:rPr>
      </w:pPr>
      <w:proofErr w:type="gramStart"/>
      <w:r w:rsidRPr="001B16E2">
        <w:rPr>
          <w:rFonts w:cs="Arial"/>
          <w:szCs w:val="24"/>
          <w:lang w:val="en-US"/>
        </w:rPr>
        <w:t>failure</w:t>
      </w:r>
      <w:proofErr w:type="gramEnd"/>
      <w:r w:rsidRPr="001B16E2">
        <w:rPr>
          <w:rFonts w:cs="Arial"/>
          <w:szCs w:val="24"/>
          <w:lang w:val="en-US"/>
        </w:rPr>
        <w:t xml:space="preserve"> to keep the building in proper state of repair.</w:t>
      </w:r>
    </w:p>
    <w:p w:rsidR="007C4A62" w:rsidRPr="001B16E2" w:rsidRDefault="003A59EF" w:rsidP="00230270">
      <w:pPr>
        <w:pStyle w:val="Reasons"/>
        <w:rPr>
          <w:rFonts w:cs="Arial"/>
          <w:szCs w:val="24"/>
        </w:rPr>
      </w:pPr>
      <w:r w:rsidRPr="001B16E2">
        <w:rPr>
          <w:rFonts w:cs="Arial"/>
          <w:szCs w:val="24"/>
          <w:lang w:val="en-US"/>
        </w:rPr>
        <w:t>The effect of the jury's answers was to eliminate any responsibility under article 1053 of the Civil Code and to place the respondent's liability under article 1055 C.C., paragrap</w:t>
      </w:r>
      <w:r w:rsidR="00230270">
        <w:rPr>
          <w:rFonts w:cs="Arial"/>
          <w:szCs w:val="24"/>
          <w:lang w:val="en-US"/>
        </w:rPr>
        <w:t xml:space="preserve">h 3, which reads as follows: </w:t>
      </w:r>
      <w:r w:rsidR="00230270">
        <w:rPr>
          <w:rFonts w:ascii="Calibri" w:hAnsi="Calibri" w:cs="Arial"/>
          <w:szCs w:val="24"/>
          <w:lang w:val="en-US"/>
        </w:rPr>
        <w:t>—</w:t>
      </w:r>
      <w:r w:rsidRPr="001B16E2">
        <w:rPr>
          <w:rFonts w:cs="Arial"/>
          <w:szCs w:val="24"/>
          <w:lang w:val="en-US"/>
        </w:rPr>
        <w:t xml:space="preserve"> </w:t>
      </w:r>
    </w:p>
    <w:p w:rsidR="007C4A62" w:rsidRPr="001B16E2" w:rsidRDefault="003A59EF" w:rsidP="00230270">
      <w:pPr>
        <w:pStyle w:val="Indent1"/>
        <w:spacing w:after="100" w:afterAutospacing="1"/>
        <w:rPr>
          <w:rFonts w:cs="Arial"/>
          <w:szCs w:val="24"/>
        </w:rPr>
      </w:pPr>
      <w:r w:rsidRPr="001B16E2">
        <w:rPr>
          <w:rFonts w:cs="Arial"/>
          <w:szCs w:val="24"/>
          <w:lang w:val="en-US"/>
        </w:rPr>
        <w:t xml:space="preserve">The owner of a building is responsible for the damage caused by its ruin, where it has happened from want of repairs or from </w:t>
      </w:r>
      <w:r w:rsidRPr="001B16E2">
        <w:rPr>
          <w:rFonts w:cs="Arial"/>
          <w:i/>
          <w:szCs w:val="24"/>
          <w:lang w:val="en-US"/>
        </w:rPr>
        <w:t xml:space="preserve">an </w:t>
      </w:r>
      <w:r w:rsidRPr="001B16E2">
        <w:rPr>
          <w:rFonts w:cs="Arial"/>
          <w:szCs w:val="24"/>
          <w:lang w:val="en-US"/>
        </w:rPr>
        <w:t>original defect in its construction.</w:t>
      </w:r>
    </w:p>
    <w:p w:rsidR="007C4A62" w:rsidRPr="001B16E2" w:rsidRDefault="003A59EF" w:rsidP="00230270">
      <w:pPr>
        <w:pStyle w:val="Reasons"/>
        <w:rPr>
          <w:rFonts w:cs="Arial"/>
          <w:spacing w:val="11"/>
          <w:szCs w:val="24"/>
        </w:rPr>
      </w:pPr>
      <w:r w:rsidRPr="001B16E2">
        <w:rPr>
          <w:rFonts w:cs="Arial"/>
          <w:spacing w:val="11"/>
          <w:szCs w:val="24"/>
          <w:lang w:val="en-US"/>
        </w:rPr>
        <w:t>We may disregard that part of</w:t>
      </w:r>
      <w:r w:rsidR="00AD77A0" w:rsidRPr="001B16E2">
        <w:rPr>
          <w:rFonts w:cs="Arial"/>
          <w:spacing w:val="11"/>
          <w:szCs w:val="24"/>
          <w:lang w:val="en-US"/>
        </w:rPr>
        <w:t xml:space="preserve"> the article which deals with "</w:t>
      </w:r>
      <w:r w:rsidRPr="001B16E2">
        <w:rPr>
          <w:rFonts w:cs="Arial"/>
          <w:spacing w:val="11"/>
          <w:szCs w:val="24"/>
          <w:lang w:val="en-US"/>
        </w:rPr>
        <w:t>an original defect in its construction," since the answer of the jury is limited to the "want of repairs."</w:t>
      </w:r>
    </w:p>
    <w:p w:rsidR="007C4A62" w:rsidRPr="001B16E2" w:rsidRDefault="003A59EF" w:rsidP="00230270">
      <w:pPr>
        <w:pStyle w:val="Reasons"/>
        <w:rPr>
          <w:rFonts w:cs="Arial"/>
          <w:szCs w:val="24"/>
        </w:rPr>
      </w:pPr>
      <w:r w:rsidRPr="001B16E2">
        <w:rPr>
          <w:rFonts w:cs="Arial"/>
          <w:szCs w:val="24"/>
          <w:lang w:val="en-US"/>
        </w:rPr>
        <w:t>Now the interpretation given to that article has been invariably that the want of repairs must be looked at from the viewpoint of the purpose for which the building or part of building was intended.</w:t>
      </w:r>
    </w:p>
    <w:p w:rsidR="007C4A62" w:rsidRPr="001B16E2" w:rsidRDefault="00AD77A0" w:rsidP="00230270">
      <w:pPr>
        <w:pStyle w:val="Indent1"/>
        <w:spacing w:after="100" w:afterAutospacing="1"/>
        <w:rPr>
          <w:rFonts w:cs="Arial"/>
          <w:szCs w:val="24"/>
        </w:rPr>
      </w:pPr>
      <w:r w:rsidRPr="001B16E2">
        <w:rPr>
          <w:rFonts w:cs="Arial"/>
          <w:szCs w:val="24"/>
          <w:lang w:val="fr-CA"/>
        </w:rPr>
        <w:t>Le dé</w:t>
      </w:r>
      <w:r w:rsidR="003A59EF" w:rsidRPr="001B16E2">
        <w:rPr>
          <w:rFonts w:cs="Arial"/>
          <w:szCs w:val="24"/>
          <w:lang w:val="fr-CA"/>
        </w:rPr>
        <w:t xml:space="preserve">faut d'entretien </w:t>
      </w:r>
      <w:r w:rsidR="003A59EF" w:rsidRPr="001B16E2">
        <w:rPr>
          <w:rFonts w:cs="Arial"/>
          <w:szCs w:val="24"/>
          <w:lang w:val="fr-FR"/>
        </w:rPr>
        <w:t xml:space="preserve">ou </w:t>
      </w:r>
      <w:r w:rsidR="003A59EF" w:rsidRPr="001B16E2">
        <w:rPr>
          <w:rFonts w:cs="Arial"/>
          <w:szCs w:val="24"/>
          <w:lang w:val="fr-CA"/>
        </w:rPr>
        <w:t>le vice de c</w:t>
      </w:r>
      <w:r w:rsidRPr="001B16E2">
        <w:rPr>
          <w:rFonts w:cs="Arial"/>
          <w:szCs w:val="24"/>
          <w:lang w:val="fr-CA"/>
        </w:rPr>
        <w:t>onstruction s'appré</w:t>
      </w:r>
      <w:r w:rsidR="003A59EF" w:rsidRPr="001B16E2">
        <w:rPr>
          <w:rFonts w:cs="Arial"/>
          <w:szCs w:val="24"/>
          <w:lang w:val="fr-CA"/>
        </w:rPr>
        <w:t xml:space="preserve">cient </w:t>
      </w:r>
      <w:r w:rsidR="003A59EF" w:rsidRPr="001B16E2">
        <w:rPr>
          <w:rFonts w:cs="Arial"/>
          <w:szCs w:val="24"/>
          <w:lang w:val="fr-FR"/>
        </w:rPr>
        <w:t xml:space="preserve">eu égard </w:t>
      </w:r>
      <w:r w:rsidR="003A59EF" w:rsidRPr="001B16E2">
        <w:rPr>
          <w:rFonts w:cs="Arial"/>
          <w:szCs w:val="24"/>
          <w:lang w:val="fr-CA"/>
        </w:rPr>
        <w:t xml:space="preserve">a la destination qu'avait revue la </w:t>
      </w:r>
      <w:r w:rsidR="003A59EF" w:rsidRPr="001B16E2">
        <w:rPr>
          <w:rFonts w:cs="Arial"/>
          <w:szCs w:val="24"/>
          <w:lang w:val="fr-FR"/>
        </w:rPr>
        <w:t xml:space="preserve">partie </w:t>
      </w:r>
      <w:r w:rsidR="003A59EF" w:rsidRPr="001B16E2">
        <w:rPr>
          <w:rFonts w:cs="Arial"/>
          <w:szCs w:val="24"/>
          <w:lang w:val="fr-CA"/>
        </w:rPr>
        <w:t xml:space="preserve">du </w:t>
      </w:r>
      <w:r w:rsidR="003A59EF" w:rsidRPr="001B16E2">
        <w:rPr>
          <w:rFonts w:cs="Arial"/>
          <w:szCs w:val="24"/>
          <w:lang w:val="fr-FR"/>
        </w:rPr>
        <w:t xml:space="preserve">bâtiment </w:t>
      </w:r>
      <w:r w:rsidR="003A59EF" w:rsidRPr="001B16E2">
        <w:rPr>
          <w:rFonts w:cs="Arial"/>
          <w:szCs w:val="24"/>
          <w:lang w:val="fr-CA"/>
        </w:rPr>
        <w:t xml:space="preserve">a la </w:t>
      </w:r>
      <w:r w:rsidR="003A59EF" w:rsidRPr="001B16E2">
        <w:rPr>
          <w:rFonts w:cs="Arial"/>
          <w:szCs w:val="24"/>
          <w:lang w:val="fr-FR"/>
        </w:rPr>
        <w:t xml:space="preserve">ruine </w:t>
      </w:r>
      <w:r w:rsidR="003A59EF" w:rsidRPr="001B16E2">
        <w:rPr>
          <w:rFonts w:cs="Arial"/>
          <w:szCs w:val="24"/>
          <w:lang w:val="fr-CA"/>
        </w:rPr>
        <w:t xml:space="preserve">de </w:t>
      </w:r>
      <w:r w:rsidR="003A59EF" w:rsidRPr="001B16E2">
        <w:rPr>
          <w:rFonts w:cs="Arial"/>
          <w:szCs w:val="24"/>
          <w:lang w:val="fr-FR"/>
        </w:rPr>
        <w:t xml:space="preserve">laquelle </w:t>
      </w:r>
      <w:r w:rsidR="003A59EF" w:rsidRPr="001B16E2">
        <w:rPr>
          <w:rFonts w:cs="Arial"/>
          <w:szCs w:val="24"/>
          <w:lang w:val="fr-CA"/>
        </w:rPr>
        <w:t xml:space="preserve">est du le </w:t>
      </w:r>
      <w:r w:rsidR="003A59EF" w:rsidRPr="001B16E2">
        <w:rPr>
          <w:rFonts w:cs="Arial"/>
          <w:szCs w:val="24"/>
          <w:lang w:val="fr-FR"/>
        </w:rPr>
        <w:t xml:space="preserve">dommage </w:t>
      </w:r>
      <w:r w:rsidRPr="001B16E2">
        <w:rPr>
          <w:rFonts w:cs="Arial"/>
          <w:szCs w:val="24"/>
          <w:lang w:val="fr-CA"/>
        </w:rPr>
        <w:t>à</w:t>
      </w:r>
      <w:r w:rsidR="003A59EF" w:rsidRPr="001B16E2">
        <w:rPr>
          <w:rFonts w:cs="Arial"/>
          <w:szCs w:val="24"/>
          <w:lang w:val="fr-CA"/>
        </w:rPr>
        <w:t xml:space="preserve"> </w:t>
      </w:r>
      <w:r w:rsidR="003A59EF" w:rsidRPr="001B16E2">
        <w:rPr>
          <w:rFonts w:cs="Arial"/>
          <w:szCs w:val="24"/>
          <w:lang w:val="fr-FR"/>
        </w:rPr>
        <w:t xml:space="preserve">réparer (Aubry </w:t>
      </w:r>
      <w:r w:rsidR="003A59EF" w:rsidRPr="001B16E2">
        <w:rPr>
          <w:rFonts w:cs="Arial"/>
          <w:szCs w:val="24"/>
          <w:lang w:val="fr-CA"/>
        </w:rPr>
        <w:t xml:space="preserve">et </w:t>
      </w:r>
      <w:proofErr w:type="spellStart"/>
      <w:r w:rsidR="003A59EF" w:rsidRPr="001B16E2">
        <w:rPr>
          <w:rFonts w:cs="Arial"/>
          <w:szCs w:val="24"/>
          <w:lang w:val="fr-CA"/>
        </w:rPr>
        <w:t>Rau</w:t>
      </w:r>
      <w:proofErr w:type="spellEnd"/>
      <w:r w:rsidR="003A59EF" w:rsidRPr="001B16E2">
        <w:rPr>
          <w:rFonts w:cs="Arial"/>
          <w:szCs w:val="24"/>
          <w:lang w:val="fr-CA"/>
        </w:rPr>
        <w:t xml:space="preserve">, </w:t>
      </w:r>
      <w:proofErr w:type="spellStart"/>
      <w:r w:rsidR="003A59EF" w:rsidRPr="001B16E2">
        <w:rPr>
          <w:rFonts w:cs="Arial"/>
          <w:szCs w:val="24"/>
          <w:lang w:val="fr-CA"/>
        </w:rPr>
        <w:t>Fifth</w:t>
      </w:r>
      <w:proofErr w:type="spellEnd"/>
      <w:r w:rsidR="003A59EF" w:rsidRPr="001B16E2">
        <w:rPr>
          <w:rFonts w:cs="Arial"/>
          <w:szCs w:val="24"/>
          <w:lang w:val="fr-CA"/>
        </w:rPr>
        <w:t xml:space="preserve"> Ed. </w:t>
      </w:r>
      <w:r w:rsidR="003A59EF" w:rsidRPr="001B16E2">
        <w:rPr>
          <w:rFonts w:cs="Arial"/>
          <w:szCs w:val="24"/>
          <w:lang w:val="en-US"/>
        </w:rPr>
        <w:t>Tome 6, page 433).</w:t>
      </w:r>
    </w:p>
    <w:p w:rsidR="007C4A62" w:rsidRPr="001B16E2" w:rsidRDefault="003A59EF" w:rsidP="00230270">
      <w:pPr>
        <w:pStyle w:val="Reasons"/>
        <w:rPr>
          <w:rFonts w:cs="Arial"/>
          <w:szCs w:val="24"/>
        </w:rPr>
      </w:pPr>
      <w:proofErr w:type="spellStart"/>
      <w:r w:rsidRPr="001B16E2">
        <w:rPr>
          <w:rFonts w:cs="Arial"/>
          <w:szCs w:val="24"/>
          <w:lang w:val="en-US"/>
        </w:rPr>
        <w:t>Planiol</w:t>
      </w:r>
      <w:proofErr w:type="spellEnd"/>
      <w:r w:rsidRPr="001B16E2">
        <w:rPr>
          <w:rFonts w:cs="Arial"/>
          <w:szCs w:val="24"/>
          <w:lang w:val="en-US"/>
        </w:rPr>
        <w:t xml:space="preserve"> (Vol. 6, No. 609) says that the proprietor should not be held responsible</w:t>
      </w:r>
    </w:p>
    <w:p w:rsidR="007C4A62" w:rsidRPr="001B16E2" w:rsidRDefault="003A59EF" w:rsidP="00230270">
      <w:pPr>
        <w:pStyle w:val="Indent1"/>
        <w:spacing w:after="100" w:afterAutospacing="1"/>
        <w:rPr>
          <w:rFonts w:cs="Arial"/>
          <w:szCs w:val="24"/>
          <w:lang w:val="fr-FR"/>
        </w:rPr>
      </w:pPr>
      <w:proofErr w:type="gramStart"/>
      <w:r w:rsidRPr="001B16E2">
        <w:rPr>
          <w:rFonts w:cs="Arial"/>
          <w:szCs w:val="24"/>
          <w:lang w:val="fr-FR"/>
        </w:rPr>
        <w:t>s'il</w:t>
      </w:r>
      <w:proofErr w:type="gramEnd"/>
      <w:r w:rsidRPr="001B16E2">
        <w:rPr>
          <w:rFonts w:cs="Arial"/>
          <w:szCs w:val="24"/>
          <w:lang w:val="fr-FR"/>
        </w:rPr>
        <w:t xml:space="preserve"> prouve que </w:t>
      </w:r>
      <w:r w:rsidRPr="001B16E2">
        <w:rPr>
          <w:rFonts w:cs="Arial"/>
          <w:szCs w:val="24"/>
          <w:lang w:val="fr-CA"/>
        </w:rPr>
        <w:t xml:space="preserve">le vice </w:t>
      </w:r>
      <w:r w:rsidRPr="001B16E2">
        <w:rPr>
          <w:rFonts w:cs="Arial"/>
          <w:szCs w:val="24"/>
          <w:lang w:val="fr-FR"/>
        </w:rPr>
        <w:t xml:space="preserve">ou </w:t>
      </w:r>
      <w:r w:rsidRPr="001B16E2">
        <w:rPr>
          <w:rFonts w:cs="Arial"/>
          <w:szCs w:val="24"/>
          <w:lang w:val="fr-CA"/>
        </w:rPr>
        <w:t xml:space="preserve">la </w:t>
      </w:r>
      <w:r w:rsidR="00AD77A0" w:rsidRPr="001B16E2">
        <w:rPr>
          <w:rFonts w:cs="Arial"/>
          <w:szCs w:val="24"/>
          <w:lang w:val="fr-CA"/>
        </w:rPr>
        <w:t>vétusté</w:t>
      </w:r>
      <w:r w:rsidRPr="001B16E2">
        <w:rPr>
          <w:rFonts w:cs="Arial"/>
          <w:szCs w:val="24"/>
          <w:lang w:val="fr-CA"/>
        </w:rPr>
        <w:t xml:space="preserve"> n'auraient pas </w:t>
      </w:r>
      <w:r w:rsidR="00AD77A0" w:rsidRPr="001B16E2">
        <w:rPr>
          <w:rFonts w:cs="Arial"/>
          <w:szCs w:val="24"/>
          <w:lang w:val="fr-CA"/>
        </w:rPr>
        <w:t>entrainé</w:t>
      </w:r>
      <w:r w:rsidRPr="001B16E2">
        <w:rPr>
          <w:rFonts w:cs="Arial"/>
          <w:szCs w:val="24"/>
          <w:lang w:val="fr-CA"/>
        </w:rPr>
        <w:t xml:space="preserve"> la </w:t>
      </w:r>
      <w:r w:rsidRPr="001B16E2">
        <w:rPr>
          <w:rFonts w:cs="Arial"/>
          <w:szCs w:val="24"/>
          <w:lang w:val="fr-FR"/>
        </w:rPr>
        <w:t xml:space="preserve">ruine </w:t>
      </w:r>
      <w:r w:rsidRPr="001B16E2">
        <w:rPr>
          <w:rFonts w:cs="Arial"/>
          <w:i/>
          <w:szCs w:val="24"/>
          <w:lang w:val="fr-CA"/>
        </w:rPr>
        <w:t xml:space="preserve">sans </w:t>
      </w:r>
      <w:r w:rsidRPr="001B16E2">
        <w:rPr>
          <w:rFonts w:cs="Arial"/>
          <w:szCs w:val="24"/>
          <w:lang w:val="fr-CA"/>
        </w:rPr>
        <w:t xml:space="preserve">l'acte </w:t>
      </w:r>
      <w:r w:rsidRPr="001B16E2">
        <w:rPr>
          <w:rFonts w:cs="Arial"/>
          <w:szCs w:val="24"/>
          <w:lang w:val="fr-FR"/>
        </w:rPr>
        <w:t xml:space="preserve">fautif </w:t>
      </w:r>
      <w:r w:rsidRPr="001B16E2">
        <w:rPr>
          <w:rFonts w:cs="Arial"/>
          <w:szCs w:val="24"/>
          <w:lang w:val="fr-CA"/>
        </w:rPr>
        <w:t xml:space="preserve">de la </w:t>
      </w:r>
      <w:r w:rsidRPr="001B16E2">
        <w:rPr>
          <w:rFonts w:cs="Arial"/>
          <w:szCs w:val="24"/>
          <w:lang w:val="fr-FR"/>
        </w:rPr>
        <w:t>victime.</w:t>
      </w:r>
    </w:p>
    <w:p w:rsidR="007C4A62" w:rsidRPr="001B16E2" w:rsidRDefault="003A59EF" w:rsidP="00230270">
      <w:pPr>
        <w:pStyle w:val="Reasons"/>
        <w:rPr>
          <w:rFonts w:cs="Arial"/>
          <w:szCs w:val="24"/>
        </w:rPr>
      </w:pPr>
      <w:proofErr w:type="gramStart"/>
      <w:r w:rsidRPr="001B16E2">
        <w:rPr>
          <w:rFonts w:cs="Arial"/>
          <w:szCs w:val="24"/>
          <w:lang w:val="en-US"/>
        </w:rPr>
        <w:t xml:space="preserve">(See also </w:t>
      </w:r>
      <w:proofErr w:type="spellStart"/>
      <w:r w:rsidRPr="001B16E2">
        <w:rPr>
          <w:rFonts w:cs="Arial"/>
          <w:szCs w:val="24"/>
          <w:lang w:val="en-US"/>
        </w:rPr>
        <w:t>Demogue</w:t>
      </w:r>
      <w:proofErr w:type="spellEnd"/>
      <w:r w:rsidRPr="001B16E2">
        <w:rPr>
          <w:rFonts w:cs="Arial"/>
          <w:szCs w:val="24"/>
          <w:lang w:val="en-US"/>
        </w:rPr>
        <w:t>, Obligat</w:t>
      </w:r>
      <w:r w:rsidR="00AD77A0" w:rsidRPr="001B16E2">
        <w:rPr>
          <w:rFonts w:cs="Arial"/>
          <w:szCs w:val="24"/>
          <w:lang w:val="en-US"/>
        </w:rPr>
        <w:t>ion, vol. 5, pages 313 and 325)</w:t>
      </w:r>
      <w:r w:rsidRPr="001B16E2">
        <w:rPr>
          <w:rFonts w:cs="Arial"/>
          <w:szCs w:val="24"/>
          <w:lang w:val="en-US"/>
        </w:rPr>
        <w:t xml:space="preserve">; </w:t>
      </w:r>
      <w:r w:rsidRPr="001B16E2">
        <w:rPr>
          <w:rFonts w:cs="Arial"/>
          <w:i/>
          <w:szCs w:val="24"/>
          <w:lang w:val="en-US"/>
        </w:rPr>
        <w:t xml:space="preserve">Bourassa v. </w:t>
      </w:r>
      <w:proofErr w:type="spellStart"/>
      <w:r w:rsidRPr="001B16E2">
        <w:rPr>
          <w:rFonts w:cs="Arial"/>
          <w:i/>
          <w:szCs w:val="24"/>
          <w:lang w:val="en-US"/>
        </w:rPr>
        <w:t>Gregoire</w:t>
      </w:r>
      <w:proofErr w:type="spellEnd"/>
      <w:r w:rsidR="00AD77A0" w:rsidRPr="001B16E2">
        <w:rPr>
          <w:rStyle w:val="FootnoteReference"/>
          <w:rFonts w:cs="Arial"/>
          <w:i/>
          <w:szCs w:val="24"/>
          <w:lang w:val="en-US"/>
        </w:rPr>
        <w:footnoteReference w:id="2"/>
      </w:r>
      <w:r w:rsidRPr="001B16E2">
        <w:rPr>
          <w:rFonts w:cs="Arial"/>
          <w:szCs w:val="24"/>
          <w:lang w:val="en-US"/>
        </w:rPr>
        <w:t>.</w:t>
      </w:r>
      <w:proofErr w:type="gramEnd"/>
    </w:p>
    <w:p w:rsidR="007C4A62" w:rsidRPr="001B16E2" w:rsidRDefault="003A59EF" w:rsidP="00230270">
      <w:pPr>
        <w:pStyle w:val="Reasons"/>
        <w:rPr>
          <w:rFonts w:cs="Arial"/>
          <w:spacing w:val="3"/>
          <w:szCs w:val="24"/>
        </w:rPr>
      </w:pPr>
      <w:r w:rsidRPr="001B16E2">
        <w:rPr>
          <w:rFonts w:cs="Arial"/>
          <w:spacing w:val="3"/>
          <w:szCs w:val="24"/>
          <w:lang w:val="en-US"/>
        </w:rPr>
        <w:t>In this case, therefore, the respondent could be held legally responsible only for failure to keep the building in proper state of repair for the purpose for which it was intended.</w:t>
      </w:r>
    </w:p>
    <w:p w:rsidR="007C4A62" w:rsidRPr="001B16E2" w:rsidRDefault="00AD77A0" w:rsidP="00230270">
      <w:pPr>
        <w:pStyle w:val="Reasons"/>
        <w:rPr>
          <w:rFonts w:cs="Arial"/>
          <w:spacing w:val="3"/>
          <w:szCs w:val="24"/>
          <w:lang w:val="en-US"/>
        </w:rPr>
      </w:pPr>
      <w:r w:rsidRPr="001B16E2">
        <w:rPr>
          <w:rFonts w:cs="Arial"/>
          <w:spacing w:val="3"/>
          <w:szCs w:val="24"/>
          <w:lang w:val="en-US"/>
        </w:rPr>
        <w:t>Such i</w:t>
      </w:r>
      <w:r w:rsidR="003A59EF" w:rsidRPr="001B16E2">
        <w:rPr>
          <w:rFonts w:cs="Arial"/>
          <w:spacing w:val="3"/>
          <w:szCs w:val="24"/>
          <w:lang w:val="en-US"/>
        </w:rPr>
        <w:t>s the meaning of paragraph 3 of article 1055 C.C.</w:t>
      </w:r>
    </w:p>
    <w:p w:rsidR="003A59EF" w:rsidRPr="001B16E2" w:rsidRDefault="003A59EF" w:rsidP="00230270">
      <w:pPr>
        <w:pStyle w:val="Page"/>
        <w:rPr>
          <w:rFonts w:cs="Arial"/>
          <w:szCs w:val="24"/>
          <w:lang w:val="en-US"/>
        </w:rPr>
      </w:pPr>
      <w:r w:rsidRPr="001B16E2">
        <w:rPr>
          <w:rFonts w:cs="Arial"/>
          <w:color w:val="000000"/>
          <w:szCs w:val="24"/>
          <w:lang w:val="en-US"/>
        </w:rPr>
        <w:lastRenderedPageBreak/>
        <w:t>[Page 318]</w:t>
      </w:r>
    </w:p>
    <w:p w:rsidR="007C4A62" w:rsidRPr="001B16E2" w:rsidRDefault="003A59EF" w:rsidP="00230270">
      <w:pPr>
        <w:pStyle w:val="Reasons"/>
        <w:rPr>
          <w:rFonts w:cs="Arial"/>
          <w:spacing w:val="4"/>
          <w:szCs w:val="24"/>
        </w:rPr>
      </w:pPr>
      <w:r w:rsidRPr="001B16E2">
        <w:rPr>
          <w:rFonts w:cs="Arial"/>
          <w:spacing w:val="4"/>
          <w:szCs w:val="24"/>
          <w:lang w:val="en-US"/>
        </w:rPr>
        <w:t>Now the answer of the jury was that the appellant u</w:t>
      </w:r>
      <w:r w:rsidR="001B16E2">
        <w:rPr>
          <w:rFonts w:cs="Arial"/>
          <w:spacing w:val="4"/>
          <w:szCs w:val="24"/>
          <w:lang w:val="en-US"/>
        </w:rPr>
        <w:t>sed the transom bar "</w:t>
      </w:r>
      <w:r w:rsidRPr="001B16E2">
        <w:rPr>
          <w:rFonts w:cs="Arial"/>
          <w:spacing w:val="4"/>
          <w:szCs w:val="24"/>
          <w:lang w:val="en-US"/>
        </w:rPr>
        <w:t>for a purpose for which it was not intended." The jury thus negatived the application of article 1055 C.C. and the necessary result must be that the respondent, under the circumstances, could not be held legally responsible. The jury could not find a legal foundation where there was no legal obligation.</w:t>
      </w:r>
    </w:p>
    <w:p w:rsidR="007C4A62" w:rsidRPr="001B16E2" w:rsidRDefault="003A59EF" w:rsidP="00230270">
      <w:pPr>
        <w:pStyle w:val="Reasons"/>
        <w:rPr>
          <w:rFonts w:cs="Arial"/>
          <w:szCs w:val="24"/>
        </w:rPr>
      </w:pPr>
      <w:r w:rsidRPr="001B16E2">
        <w:rPr>
          <w:rFonts w:cs="Arial"/>
          <w:szCs w:val="24"/>
          <w:lang w:val="en-US"/>
        </w:rPr>
        <w:t>As for the other contentions of the appellant, they were disregarded and set aside by the verdict of the jury, which is strictly limited to the alleged responsibility under article 1055 C.C.</w:t>
      </w:r>
    </w:p>
    <w:p w:rsidR="007C4A62" w:rsidRPr="001B16E2" w:rsidRDefault="003A59EF" w:rsidP="00230270">
      <w:pPr>
        <w:pStyle w:val="Reasons"/>
        <w:rPr>
          <w:rFonts w:cs="Arial"/>
          <w:spacing w:val="4"/>
          <w:szCs w:val="24"/>
        </w:rPr>
      </w:pPr>
      <w:r w:rsidRPr="001B16E2">
        <w:rPr>
          <w:rFonts w:cs="Arial"/>
          <w:spacing w:val="4"/>
          <w:szCs w:val="24"/>
          <w:lang w:val="en-US"/>
        </w:rPr>
        <w:t>Upon the finding of the jury that the appellant used the transom bar for a purpose for which it was not intended, the respondent was relieved of any legal responsibility under that article and the Court of King's Bench was right in reversing the judgment of the trial judge and in dismissing the action. The appeal ought, therefore, to be dismissed with costs.</w:t>
      </w:r>
    </w:p>
    <w:p w:rsidR="007C4A62" w:rsidRPr="001B16E2" w:rsidRDefault="003A59EF" w:rsidP="00230270">
      <w:pPr>
        <w:pStyle w:val="Reasons"/>
        <w:rPr>
          <w:rFonts w:cs="Arial"/>
          <w:i/>
          <w:spacing w:val="5"/>
          <w:szCs w:val="24"/>
        </w:rPr>
      </w:pPr>
      <w:r w:rsidRPr="001B16E2">
        <w:rPr>
          <w:rFonts w:cs="Arial"/>
          <w:i/>
          <w:spacing w:val="5"/>
          <w:szCs w:val="24"/>
          <w:lang w:val="en-US"/>
        </w:rPr>
        <w:t>Appeal dismissed with costs.</w:t>
      </w:r>
    </w:p>
    <w:p w:rsidR="007C4A62" w:rsidRPr="001B16E2" w:rsidRDefault="003A59EF" w:rsidP="00230270">
      <w:pPr>
        <w:pStyle w:val="Sollicitors"/>
        <w:rPr>
          <w:rFonts w:cs="Arial"/>
          <w:szCs w:val="24"/>
        </w:rPr>
      </w:pPr>
      <w:r w:rsidRPr="001B16E2">
        <w:rPr>
          <w:rFonts w:cs="Arial"/>
          <w:szCs w:val="24"/>
        </w:rPr>
        <w:t xml:space="preserve">Solicitor for the appellant: Seymour </w:t>
      </w:r>
      <w:proofErr w:type="spellStart"/>
      <w:r w:rsidRPr="001B16E2">
        <w:rPr>
          <w:rFonts w:cs="Arial"/>
          <w:szCs w:val="24"/>
        </w:rPr>
        <w:t>Fenster</w:t>
      </w:r>
      <w:proofErr w:type="spellEnd"/>
      <w:r w:rsidRPr="001B16E2">
        <w:rPr>
          <w:rFonts w:cs="Arial"/>
          <w:szCs w:val="24"/>
        </w:rPr>
        <w:t>.</w:t>
      </w:r>
    </w:p>
    <w:p w:rsidR="007C4A62" w:rsidRPr="00230270" w:rsidRDefault="003A59EF" w:rsidP="00230270">
      <w:pPr>
        <w:pStyle w:val="Sollicitors"/>
        <w:rPr>
          <w:rFonts w:cs="Arial"/>
          <w:szCs w:val="24"/>
          <w:lang w:val="fr-CA"/>
        </w:rPr>
      </w:pPr>
      <w:r w:rsidRPr="00230270">
        <w:rPr>
          <w:rFonts w:cs="Arial"/>
          <w:szCs w:val="24"/>
          <w:lang w:val="fr-CA"/>
        </w:rPr>
        <w:t xml:space="preserve">Solicitors for the </w:t>
      </w:r>
      <w:proofErr w:type="spellStart"/>
      <w:r w:rsidRPr="00230270">
        <w:rPr>
          <w:rFonts w:cs="Arial"/>
          <w:szCs w:val="24"/>
          <w:lang w:val="fr-CA"/>
        </w:rPr>
        <w:t>respondent</w:t>
      </w:r>
      <w:proofErr w:type="spellEnd"/>
      <w:r w:rsidRPr="00230270">
        <w:rPr>
          <w:rFonts w:cs="Arial"/>
          <w:szCs w:val="24"/>
          <w:lang w:val="fr-CA"/>
        </w:rPr>
        <w:t xml:space="preserve">: </w:t>
      </w:r>
      <w:proofErr w:type="spellStart"/>
      <w:r w:rsidRPr="00230270">
        <w:rPr>
          <w:rFonts w:cs="Arial"/>
          <w:szCs w:val="24"/>
          <w:lang w:val="fr-CA"/>
        </w:rPr>
        <w:t>Fauteux</w:t>
      </w:r>
      <w:proofErr w:type="spellEnd"/>
      <w:r w:rsidRPr="00230270">
        <w:rPr>
          <w:rFonts w:cs="Arial"/>
          <w:szCs w:val="24"/>
          <w:lang w:val="fr-CA"/>
        </w:rPr>
        <w:t xml:space="preserve"> &amp; </w:t>
      </w:r>
      <w:proofErr w:type="spellStart"/>
      <w:r w:rsidRPr="00230270">
        <w:rPr>
          <w:rFonts w:cs="Arial"/>
          <w:szCs w:val="24"/>
          <w:lang w:val="fr-CA"/>
        </w:rPr>
        <w:t>Fauteux</w:t>
      </w:r>
      <w:proofErr w:type="spellEnd"/>
      <w:r w:rsidRPr="00230270">
        <w:rPr>
          <w:rFonts w:cs="Arial"/>
          <w:szCs w:val="24"/>
          <w:lang w:val="fr-CA"/>
        </w:rPr>
        <w:t>.</w:t>
      </w:r>
    </w:p>
    <w:sectPr w:rsidR="007C4A62" w:rsidRPr="00230270" w:rsidSect="00230270">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97" w:rsidRDefault="00CE5F97" w:rsidP="003A59EF">
      <w:r>
        <w:separator/>
      </w:r>
    </w:p>
  </w:endnote>
  <w:endnote w:type="continuationSeparator" w:id="0">
    <w:p w:rsidR="00CE5F97" w:rsidRDefault="00CE5F97" w:rsidP="003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97" w:rsidRDefault="00CE5F97" w:rsidP="003A59EF">
      <w:r>
        <w:separator/>
      </w:r>
    </w:p>
  </w:footnote>
  <w:footnote w:type="continuationSeparator" w:id="0">
    <w:p w:rsidR="00CE5F97" w:rsidRDefault="00CE5F97" w:rsidP="003A59EF">
      <w:r>
        <w:continuationSeparator/>
      </w:r>
    </w:p>
  </w:footnote>
  <w:footnote w:id="1">
    <w:p w:rsidR="00CE5F97" w:rsidRPr="00A13B1F" w:rsidRDefault="00CE5F97" w:rsidP="00A13B1F">
      <w:pPr>
        <w:pStyle w:val="FootnoteText"/>
      </w:pPr>
      <w:r w:rsidRPr="00A13B1F">
        <w:rPr>
          <w:rStyle w:val="FootnoteReference"/>
          <w:vertAlign w:val="baseline"/>
        </w:rPr>
        <w:footnoteRef/>
      </w:r>
      <w:r w:rsidRPr="00A13B1F">
        <w:t xml:space="preserve"> </w:t>
      </w:r>
      <w:proofErr w:type="gramStart"/>
      <w:r w:rsidRPr="00A13B1F">
        <w:t>(1939) Q.R. 66 K.B. 324.</w:t>
      </w:r>
      <w:proofErr w:type="gramEnd"/>
    </w:p>
  </w:footnote>
  <w:footnote w:id="2">
    <w:p w:rsidR="00CE5F97" w:rsidRPr="00A13B1F" w:rsidRDefault="00CE5F97" w:rsidP="00A13B1F">
      <w:pPr>
        <w:pStyle w:val="FootnoteText"/>
      </w:pPr>
      <w:r w:rsidRPr="00A13B1F">
        <w:rPr>
          <w:rStyle w:val="FootnoteReference"/>
          <w:vertAlign w:val="baseline"/>
        </w:rPr>
        <w:footnoteRef/>
      </w:r>
      <w:r w:rsidRPr="00A13B1F">
        <w:t xml:space="preserve"> </w:t>
      </w:r>
      <w:proofErr w:type="gramStart"/>
      <w:r w:rsidRPr="00A13B1F">
        <w:t>(1926) Q.R. 42 KB.</w:t>
      </w:r>
      <w:proofErr w:type="gramEnd"/>
      <w:r w:rsidRPr="00A13B1F">
        <w:t xml:space="preserve"> 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2F4"/>
    <w:multiLevelType w:val="multilevel"/>
    <w:tmpl w:val="AF249FAA"/>
    <w:lvl w:ilvl="0">
      <w:start w:val="1"/>
      <w:numFmt w:val="lowerLetter"/>
      <w:lvlText w:val="(%1)"/>
      <w:lvlJc w:val="left"/>
      <w:pPr>
        <w:tabs>
          <w:tab w:val="left" w:pos="288"/>
        </w:tabs>
        <w:ind w:left="720"/>
      </w:pPr>
      <w:rPr>
        <w:rFonts w:ascii="Garamond" w:eastAsia="Garamond" w:hAnsi="Garamond"/>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2">
    <w:nsid w:val="302C432D"/>
    <w:multiLevelType w:val="multilevel"/>
    <w:tmpl w:val="B300B206"/>
    <w:lvl w:ilvl="0">
      <w:start w:val="1"/>
      <w:numFmt w:val="decimal"/>
      <w:lvlText w:val="%1."/>
      <w:lvlJc w:val="left"/>
      <w:pPr>
        <w:tabs>
          <w:tab w:val="left" w:pos="144"/>
        </w:tabs>
        <w:ind w:left="720"/>
      </w:pPr>
      <w:rPr>
        <w:rFonts w:ascii="Garamond" w:eastAsia="Garamond" w:hAnsi="Garamond"/>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A7AB8"/>
    <w:multiLevelType w:val="hybridMultilevel"/>
    <w:tmpl w:val="5E12735A"/>
    <w:lvl w:ilvl="0" w:tplc="7D4665DE">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C4A62"/>
    <w:rsid w:val="001B16E2"/>
    <w:rsid w:val="00230270"/>
    <w:rsid w:val="003A59EF"/>
    <w:rsid w:val="004E71F8"/>
    <w:rsid w:val="0071296F"/>
    <w:rsid w:val="007C4A62"/>
    <w:rsid w:val="00A13B1F"/>
    <w:rsid w:val="00AD77A0"/>
    <w:rsid w:val="00B4378D"/>
    <w:rsid w:val="00CE5F97"/>
    <w:rsid w:val="00D417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B1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417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417B8"/>
    <w:rPr>
      <w:rFonts w:cs="Arial"/>
      <w:b/>
      <w:szCs w:val="24"/>
    </w:rPr>
  </w:style>
  <w:style w:type="paragraph" w:customStyle="1" w:styleId="CitationLine">
    <w:name w:val="CitationLine"/>
    <w:basedOn w:val="Court"/>
    <w:rsid w:val="00D417B8"/>
  </w:style>
  <w:style w:type="paragraph" w:customStyle="1" w:styleId="DateISO">
    <w:name w:val="DateISO"/>
    <w:basedOn w:val="Court"/>
    <w:rsid w:val="00D417B8"/>
  </w:style>
  <w:style w:type="paragraph" w:styleId="Footer">
    <w:name w:val="footer"/>
    <w:basedOn w:val="Normal"/>
    <w:link w:val="FooterChar"/>
    <w:uiPriority w:val="99"/>
    <w:unhideWhenUsed/>
    <w:rsid w:val="00D417B8"/>
    <w:pPr>
      <w:tabs>
        <w:tab w:val="center" w:pos="4680"/>
        <w:tab w:val="right" w:pos="9360"/>
      </w:tabs>
    </w:pPr>
    <w:rPr>
      <w:rFonts w:ascii="Times New Roman" w:hAnsi="Times New Roman"/>
    </w:rPr>
  </w:style>
  <w:style w:type="character" w:customStyle="1" w:styleId="FooterChar">
    <w:name w:val="Footer Char"/>
    <w:link w:val="Footer"/>
    <w:uiPriority w:val="99"/>
    <w:rsid w:val="00D417B8"/>
    <w:rPr>
      <w:rFonts w:eastAsia="MS Mincho"/>
      <w:sz w:val="24"/>
      <w:szCs w:val="28"/>
      <w:lang w:val="en-CA" w:eastAsia="ja-JP"/>
    </w:rPr>
  </w:style>
  <w:style w:type="character" w:styleId="FootnoteReference">
    <w:name w:val="footnote reference"/>
    <w:semiHidden/>
    <w:rsid w:val="00D417B8"/>
    <w:rPr>
      <w:vertAlign w:val="superscript"/>
    </w:rPr>
  </w:style>
  <w:style w:type="paragraph" w:styleId="FootnoteText">
    <w:name w:val="footnote text"/>
    <w:basedOn w:val="Normal"/>
    <w:link w:val="FootnoteTextChar"/>
    <w:autoRedefine/>
    <w:rsid w:val="00AD77A0"/>
    <w:rPr>
      <w:sz w:val="20"/>
      <w:szCs w:val="20"/>
    </w:rPr>
  </w:style>
  <w:style w:type="character" w:customStyle="1" w:styleId="FootnoteTextChar">
    <w:name w:val="Footnote Text Char"/>
    <w:link w:val="FootnoteText"/>
    <w:rsid w:val="00A13B1F"/>
    <w:rPr>
      <w:rFonts w:ascii="Arial" w:eastAsia="MS Mincho" w:hAnsi="Arial"/>
      <w:sz w:val="20"/>
      <w:szCs w:val="20"/>
      <w:lang w:val="en-CA" w:eastAsia="ja-JP"/>
    </w:rPr>
  </w:style>
  <w:style w:type="paragraph" w:styleId="Header">
    <w:name w:val="header"/>
    <w:basedOn w:val="Normal"/>
    <w:link w:val="HeaderChar"/>
    <w:uiPriority w:val="99"/>
    <w:unhideWhenUsed/>
    <w:rsid w:val="00D417B8"/>
    <w:pPr>
      <w:tabs>
        <w:tab w:val="center" w:pos="4680"/>
        <w:tab w:val="right" w:pos="9360"/>
      </w:tabs>
    </w:pPr>
    <w:rPr>
      <w:rFonts w:ascii="Times New Roman" w:hAnsi="Times New Roman"/>
    </w:rPr>
  </w:style>
  <w:style w:type="character" w:customStyle="1" w:styleId="HeaderChar">
    <w:name w:val="Header Char"/>
    <w:link w:val="Header"/>
    <w:uiPriority w:val="99"/>
    <w:rsid w:val="00D417B8"/>
    <w:rPr>
      <w:rFonts w:eastAsia="MS Mincho"/>
      <w:sz w:val="24"/>
      <w:szCs w:val="28"/>
      <w:lang w:val="en-CA" w:eastAsia="ja-JP"/>
    </w:rPr>
  </w:style>
  <w:style w:type="character" w:customStyle="1" w:styleId="Heading1Char">
    <w:name w:val="Heading 1 Char"/>
    <w:basedOn w:val="DefaultParagraphFont"/>
    <w:link w:val="Heading1"/>
    <w:rsid w:val="00D417B8"/>
    <w:rPr>
      <w:rFonts w:ascii="Arial" w:eastAsia="MS Mincho" w:hAnsi="Arial" w:cs="Arial"/>
      <w:b/>
      <w:bCs/>
      <w:noProof/>
      <w:kern w:val="32"/>
      <w:sz w:val="28"/>
      <w:szCs w:val="32"/>
      <w:lang w:val="en-CA" w:eastAsia="ja-JP"/>
    </w:rPr>
  </w:style>
  <w:style w:type="paragraph" w:customStyle="1" w:styleId="History">
    <w:name w:val="History"/>
    <w:basedOn w:val="Normal"/>
    <w:rsid w:val="00D417B8"/>
    <w:pPr>
      <w:spacing w:before="100" w:beforeAutospacing="1" w:after="100" w:afterAutospacing="1"/>
      <w:ind w:firstLine="567"/>
    </w:pPr>
  </w:style>
  <w:style w:type="paragraph" w:customStyle="1" w:styleId="Indent1">
    <w:name w:val="Indent 1"/>
    <w:basedOn w:val="Normal"/>
    <w:next w:val="Normal"/>
    <w:rsid w:val="00D417B8"/>
    <w:pPr>
      <w:spacing w:before="100" w:beforeAutospacing="1"/>
      <w:ind w:left="567"/>
      <w:jc w:val="both"/>
    </w:pPr>
  </w:style>
  <w:style w:type="paragraph" w:customStyle="1" w:styleId="Indent2">
    <w:name w:val="Indent 2"/>
    <w:basedOn w:val="Indent1"/>
    <w:rsid w:val="00D417B8"/>
    <w:pPr>
      <w:ind w:left="1134"/>
    </w:pPr>
  </w:style>
  <w:style w:type="paragraph" w:customStyle="1" w:styleId="Indent3">
    <w:name w:val="Indent 3"/>
    <w:basedOn w:val="Indent1"/>
    <w:rsid w:val="00D417B8"/>
    <w:pPr>
      <w:ind w:left="1701"/>
    </w:pPr>
  </w:style>
  <w:style w:type="paragraph" w:customStyle="1" w:styleId="Indent4">
    <w:name w:val="Indent 4"/>
    <w:basedOn w:val="Indent1"/>
    <w:rsid w:val="00D417B8"/>
    <w:pPr>
      <w:ind w:left="2268"/>
    </w:pPr>
  </w:style>
  <w:style w:type="paragraph" w:customStyle="1" w:styleId="Reasons">
    <w:name w:val="Reasons"/>
    <w:basedOn w:val="Normal"/>
    <w:link w:val="ReasonsCar"/>
    <w:rsid w:val="00230270"/>
    <w:pPr>
      <w:spacing w:before="100" w:beforeAutospacing="1" w:after="100" w:afterAutospacing="1"/>
    </w:pPr>
  </w:style>
  <w:style w:type="character" w:customStyle="1" w:styleId="ReasonsCar">
    <w:name w:val="Reasons Car"/>
    <w:link w:val="Reasons"/>
    <w:rsid w:val="00230270"/>
    <w:rPr>
      <w:rFonts w:ascii="Arial" w:eastAsia="MS Mincho" w:hAnsi="Arial"/>
      <w:sz w:val="24"/>
      <w:szCs w:val="28"/>
      <w:lang w:val="en-CA" w:eastAsia="ja-JP"/>
    </w:rPr>
  </w:style>
  <w:style w:type="paragraph" w:customStyle="1" w:styleId="Indent10">
    <w:name w:val="Indent1"/>
    <w:basedOn w:val="Reasons"/>
    <w:rsid w:val="00D417B8"/>
    <w:pPr>
      <w:ind w:left="567"/>
    </w:pPr>
  </w:style>
  <w:style w:type="paragraph" w:customStyle="1" w:styleId="Indent20">
    <w:name w:val="Indent2"/>
    <w:basedOn w:val="Indent10"/>
    <w:rsid w:val="00D417B8"/>
    <w:pPr>
      <w:ind w:left="1134"/>
    </w:pPr>
  </w:style>
  <w:style w:type="paragraph" w:customStyle="1" w:styleId="Indent30">
    <w:name w:val="Indent3"/>
    <w:basedOn w:val="Indent10"/>
    <w:rsid w:val="00D417B8"/>
    <w:pPr>
      <w:ind w:left="1701"/>
    </w:pPr>
  </w:style>
  <w:style w:type="paragraph" w:customStyle="1" w:styleId="Indent40">
    <w:name w:val="Indent4"/>
    <w:basedOn w:val="Indent10"/>
    <w:rsid w:val="00D417B8"/>
    <w:pPr>
      <w:ind w:left="2268"/>
    </w:pPr>
  </w:style>
  <w:style w:type="paragraph" w:customStyle="1" w:styleId="Keywords">
    <w:name w:val="Keywords"/>
    <w:basedOn w:val="Normal"/>
    <w:rsid w:val="00D417B8"/>
    <w:pPr>
      <w:spacing w:before="100" w:beforeAutospacing="1" w:after="100" w:afterAutospacing="1"/>
    </w:pPr>
    <w:rPr>
      <w:rFonts w:cs="Arial"/>
      <w:i/>
      <w:szCs w:val="24"/>
    </w:rPr>
  </w:style>
  <w:style w:type="paragraph" w:customStyle="1" w:styleId="Metadata">
    <w:name w:val="Metadata"/>
    <w:basedOn w:val="Normal"/>
    <w:rsid w:val="00D417B8"/>
    <w:pPr>
      <w:spacing w:before="100" w:beforeAutospacing="1" w:after="100" w:afterAutospacing="1"/>
    </w:pPr>
    <w:rPr>
      <w:rFonts w:cs="Arial"/>
      <w:szCs w:val="24"/>
    </w:rPr>
  </w:style>
  <w:style w:type="paragraph" w:customStyle="1" w:styleId="Page">
    <w:name w:val="Page"/>
    <w:basedOn w:val="Normal"/>
    <w:link w:val="PageChar"/>
    <w:rsid w:val="00D417B8"/>
    <w:pPr>
      <w:spacing w:before="100" w:beforeAutospacing="1" w:after="100" w:afterAutospacing="1"/>
    </w:pPr>
    <w:rPr>
      <w:i/>
    </w:rPr>
  </w:style>
  <w:style w:type="character" w:customStyle="1" w:styleId="PageChar">
    <w:name w:val="Page Char"/>
    <w:link w:val="Page"/>
    <w:rsid w:val="00D417B8"/>
    <w:rPr>
      <w:rFonts w:ascii="Arial" w:eastAsia="MS Mincho" w:hAnsi="Arial"/>
      <w:i/>
      <w:sz w:val="24"/>
      <w:szCs w:val="28"/>
      <w:lang w:val="en-CA" w:eastAsia="ja-JP"/>
    </w:rPr>
  </w:style>
  <w:style w:type="paragraph" w:customStyle="1" w:styleId="ParagNum">
    <w:name w:val="ParagNum"/>
    <w:basedOn w:val="Normal"/>
    <w:rsid w:val="00D417B8"/>
    <w:pPr>
      <w:numPr>
        <w:numId w:val="3"/>
      </w:numPr>
      <w:tabs>
        <w:tab w:val="left" w:pos="144"/>
        <w:tab w:val="left" w:pos="720"/>
      </w:tabs>
      <w:spacing w:before="240"/>
      <w:jc w:val="both"/>
    </w:pPr>
    <w:rPr>
      <w:szCs w:val="24"/>
      <w:lang w:eastAsia="fr-FR"/>
    </w:rPr>
  </w:style>
  <w:style w:type="paragraph" w:customStyle="1" w:styleId="Sollicitors">
    <w:name w:val="Sollicitors"/>
    <w:basedOn w:val="Normal"/>
    <w:rsid w:val="00D417B8"/>
    <w:pPr>
      <w:spacing w:before="100" w:beforeAutospacing="1" w:after="100" w:afterAutospacing="1"/>
    </w:pPr>
    <w:rPr>
      <w:i/>
    </w:rPr>
  </w:style>
  <w:style w:type="paragraph" w:customStyle="1" w:styleId="Summary">
    <w:name w:val="Summary"/>
    <w:basedOn w:val="Normal"/>
    <w:autoRedefine/>
    <w:rsid w:val="00D417B8"/>
    <w:pPr>
      <w:spacing w:before="100" w:beforeAutospacing="1" w:after="100" w:afterAutospacing="1"/>
      <w:ind w:left="562" w:hanging="562"/>
    </w:pPr>
    <w:rPr>
      <w:rFonts w:cs="Arial"/>
    </w:rPr>
  </w:style>
  <w:style w:type="paragraph" w:customStyle="1" w:styleId="T1">
    <w:name w:val="T1"/>
    <w:basedOn w:val="Normal"/>
    <w:rsid w:val="00D417B8"/>
    <w:pPr>
      <w:spacing w:before="240" w:after="100" w:afterAutospacing="1"/>
    </w:pPr>
    <w:rPr>
      <w:b/>
    </w:rPr>
  </w:style>
  <w:style w:type="paragraph" w:customStyle="1" w:styleId="T2">
    <w:name w:val="T2"/>
    <w:basedOn w:val="Normal"/>
    <w:rsid w:val="00D417B8"/>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3B1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417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417B8"/>
    <w:rPr>
      <w:rFonts w:cs="Arial"/>
      <w:b/>
      <w:szCs w:val="24"/>
    </w:rPr>
  </w:style>
  <w:style w:type="paragraph" w:customStyle="1" w:styleId="CitationLine">
    <w:name w:val="CitationLine"/>
    <w:basedOn w:val="Court"/>
    <w:rsid w:val="00D417B8"/>
  </w:style>
  <w:style w:type="paragraph" w:customStyle="1" w:styleId="DateISO">
    <w:name w:val="DateISO"/>
    <w:basedOn w:val="Court"/>
    <w:rsid w:val="00D417B8"/>
  </w:style>
  <w:style w:type="paragraph" w:styleId="Footer">
    <w:name w:val="footer"/>
    <w:basedOn w:val="Normal"/>
    <w:link w:val="FooterChar"/>
    <w:uiPriority w:val="99"/>
    <w:unhideWhenUsed/>
    <w:rsid w:val="00D417B8"/>
    <w:pPr>
      <w:tabs>
        <w:tab w:val="center" w:pos="4680"/>
        <w:tab w:val="right" w:pos="9360"/>
      </w:tabs>
    </w:pPr>
    <w:rPr>
      <w:rFonts w:ascii="Times New Roman" w:hAnsi="Times New Roman"/>
    </w:rPr>
  </w:style>
  <w:style w:type="character" w:customStyle="1" w:styleId="FooterChar">
    <w:name w:val="Footer Char"/>
    <w:link w:val="Footer"/>
    <w:uiPriority w:val="99"/>
    <w:rsid w:val="00D417B8"/>
    <w:rPr>
      <w:rFonts w:eastAsia="MS Mincho"/>
      <w:sz w:val="24"/>
      <w:szCs w:val="28"/>
      <w:lang w:val="en-CA" w:eastAsia="ja-JP"/>
    </w:rPr>
  </w:style>
  <w:style w:type="character" w:styleId="FootnoteReference">
    <w:name w:val="footnote reference"/>
    <w:semiHidden/>
    <w:rsid w:val="00D417B8"/>
    <w:rPr>
      <w:vertAlign w:val="superscript"/>
    </w:rPr>
  </w:style>
  <w:style w:type="paragraph" w:styleId="FootnoteText">
    <w:name w:val="footnote text"/>
    <w:basedOn w:val="Normal"/>
    <w:link w:val="FootnoteTextChar"/>
    <w:autoRedefine/>
    <w:rsid w:val="00AD77A0"/>
    <w:rPr>
      <w:sz w:val="20"/>
      <w:szCs w:val="20"/>
    </w:rPr>
  </w:style>
  <w:style w:type="character" w:customStyle="1" w:styleId="FootnoteTextChar">
    <w:name w:val="Footnote Text Char"/>
    <w:link w:val="FootnoteText"/>
    <w:rsid w:val="00A13B1F"/>
    <w:rPr>
      <w:rFonts w:ascii="Arial" w:eastAsia="MS Mincho" w:hAnsi="Arial"/>
      <w:sz w:val="20"/>
      <w:szCs w:val="20"/>
      <w:lang w:val="en-CA" w:eastAsia="ja-JP"/>
    </w:rPr>
  </w:style>
  <w:style w:type="paragraph" w:styleId="Header">
    <w:name w:val="header"/>
    <w:basedOn w:val="Normal"/>
    <w:link w:val="HeaderChar"/>
    <w:uiPriority w:val="99"/>
    <w:unhideWhenUsed/>
    <w:rsid w:val="00D417B8"/>
    <w:pPr>
      <w:tabs>
        <w:tab w:val="center" w:pos="4680"/>
        <w:tab w:val="right" w:pos="9360"/>
      </w:tabs>
    </w:pPr>
    <w:rPr>
      <w:rFonts w:ascii="Times New Roman" w:hAnsi="Times New Roman"/>
    </w:rPr>
  </w:style>
  <w:style w:type="character" w:customStyle="1" w:styleId="HeaderChar">
    <w:name w:val="Header Char"/>
    <w:link w:val="Header"/>
    <w:uiPriority w:val="99"/>
    <w:rsid w:val="00D417B8"/>
    <w:rPr>
      <w:rFonts w:eastAsia="MS Mincho"/>
      <w:sz w:val="24"/>
      <w:szCs w:val="28"/>
      <w:lang w:val="en-CA" w:eastAsia="ja-JP"/>
    </w:rPr>
  </w:style>
  <w:style w:type="character" w:customStyle="1" w:styleId="Heading1Char">
    <w:name w:val="Heading 1 Char"/>
    <w:basedOn w:val="DefaultParagraphFont"/>
    <w:link w:val="Heading1"/>
    <w:rsid w:val="00D417B8"/>
    <w:rPr>
      <w:rFonts w:ascii="Arial" w:eastAsia="MS Mincho" w:hAnsi="Arial" w:cs="Arial"/>
      <w:b/>
      <w:bCs/>
      <w:noProof/>
      <w:kern w:val="32"/>
      <w:sz w:val="28"/>
      <w:szCs w:val="32"/>
      <w:lang w:val="en-CA" w:eastAsia="ja-JP"/>
    </w:rPr>
  </w:style>
  <w:style w:type="paragraph" w:customStyle="1" w:styleId="History">
    <w:name w:val="History"/>
    <w:basedOn w:val="Normal"/>
    <w:rsid w:val="00D417B8"/>
    <w:pPr>
      <w:spacing w:before="100" w:beforeAutospacing="1" w:after="100" w:afterAutospacing="1"/>
      <w:ind w:firstLine="567"/>
    </w:pPr>
  </w:style>
  <w:style w:type="paragraph" w:customStyle="1" w:styleId="Indent1">
    <w:name w:val="Indent 1"/>
    <w:basedOn w:val="Normal"/>
    <w:next w:val="Normal"/>
    <w:rsid w:val="00D417B8"/>
    <w:pPr>
      <w:spacing w:before="100" w:beforeAutospacing="1"/>
      <w:ind w:left="567"/>
      <w:jc w:val="both"/>
    </w:pPr>
  </w:style>
  <w:style w:type="paragraph" w:customStyle="1" w:styleId="Indent2">
    <w:name w:val="Indent 2"/>
    <w:basedOn w:val="Indent1"/>
    <w:rsid w:val="00D417B8"/>
    <w:pPr>
      <w:ind w:left="1134"/>
    </w:pPr>
  </w:style>
  <w:style w:type="paragraph" w:customStyle="1" w:styleId="Indent3">
    <w:name w:val="Indent 3"/>
    <w:basedOn w:val="Indent1"/>
    <w:rsid w:val="00D417B8"/>
    <w:pPr>
      <w:ind w:left="1701"/>
    </w:pPr>
  </w:style>
  <w:style w:type="paragraph" w:customStyle="1" w:styleId="Indent4">
    <w:name w:val="Indent 4"/>
    <w:basedOn w:val="Indent1"/>
    <w:rsid w:val="00D417B8"/>
    <w:pPr>
      <w:ind w:left="2268"/>
    </w:pPr>
  </w:style>
  <w:style w:type="paragraph" w:customStyle="1" w:styleId="Reasons">
    <w:name w:val="Reasons"/>
    <w:basedOn w:val="Normal"/>
    <w:link w:val="ReasonsCar"/>
    <w:rsid w:val="00230270"/>
    <w:pPr>
      <w:spacing w:before="100" w:beforeAutospacing="1" w:after="100" w:afterAutospacing="1"/>
    </w:pPr>
  </w:style>
  <w:style w:type="character" w:customStyle="1" w:styleId="ReasonsCar">
    <w:name w:val="Reasons Car"/>
    <w:link w:val="Reasons"/>
    <w:rsid w:val="00230270"/>
    <w:rPr>
      <w:rFonts w:ascii="Arial" w:eastAsia="MS Mincho" w:hAnsi="Arial"/>
      <w:sz w:val="24"/>
      <w:szCs w:val="28"/>
      <w:lang w:val="en-CA" w:eastAsia="ja-JP"/>
    </w:rPr>
  </w:style>
  <w:style w:type="paragraph" w:customStyle="1" w:styleId="Indent10">
    <w:name w:val="Indent1"/>
    <w:basedOn w:val="Reasons"/>
    <w:rsid w:val="00D417B8"/>
    <w:pPr>
      <w:ind w:left="567"/>
    </w:pPr>
  </w:style>
  <w:style w:type="paragraph" w:customStyle="1" w:styleId="Indent20">
    <w:name w:val="Indent2"/>
    <w:basedOn w:val="Indent10"/>
    <w:rsid w:val="00D417B8"/>
    <w:pPr>
      <w:ind w:left="1134"/>
    </w:pPr>
  </w:style>
  <w:style w:type="paragraph" w:customStyle="1" w:styleId="Indent30">
    <w:name w:val="Indent3"/>
    <w:basedOn w:val="Indent10"/>
    <w:rsid w:val="00D417B8"/>
    <w:pPr>
      <w:ind w:left="1701"/>
    </w:pPr>
  </w:style>
  <w:style w:type="paragraph" w:customStyle="1" w:styleId="Indent40">
    <w:name w:val="Indent4"/>
    <w:basedOn w:val="Indent10"/>
    <w:rsid w:val="00D417B8"/>
    <w:pPr>
      <w:ind w:left="2268"/>
    </w:pPr>
  </w:style>
  <w:style w:type="paragraph" w:customStyle="1" w:styleId="Keywords">
    <w:name w:val="Keywords"/>
    <w:basedOn w:val="Normal"/>
    <w:rsid w:val="00D417B8"/>
    <w:pPr>
      <w:spacing w:before="100" w:beforeAutospacing="1" w:after="100" w:afterAutospacing="1"/>
    </w:pPr>
    <w:rPr>
      <w:rFonts w:cs="Arial"/>
      <w:i/>
      <w:szCs w:val="24"/>
    </w:rPr>
  </w:style>
  <w:style w:type="paragraph" w:customStyle="1" w:styleId="Metadata">
    <w:name w:val="Metadata"/>
    <w:basedOn w:val="Normal"/>
    <w:rsid w:val="00D417B8"/>
    <w:pPr>
      <w:spacing w:before="100" w:beforeAutospacing="1" w:after="100" w:afterAutospacing="1"/>
    </w:pPr>
    <w:rPr>
      <w:rFonts w:cs="Arial"/>
      <w:szCs w:val="24"/>
    </w:rPr>
  </w:style>
  <w:style w:type="paragraph" w:customStyle="1" w:styleId="Page">
    <w:name w:val="Page"/>
    <w:basedOn w:val="Normal"/>
    <w:link w:val="PageChar"/>
    <w:rsid w:val="00D417B8"/>
    <w:pPr>
      <w:spacing w:before="100" w:beforeAutospacing="1" w:after="100" w:afterAutospacing="1"/>
    </w:pPr>
    <w:rPr>
      <w:i/>
    </w:rPr>
  </w:style>
  <w:style w:type="character" w:customStyle="1" w:styleId="PageChar">
    <w:name w:val="Page Char"/>
    <w:link w:val="Page"/>
    <w:rsid w:val="00D417B8"/>
    <w:rPr>
      <w:rFonts w:ascii="Arial" w:eastAsia="MS Mincho" w:hAnsi="Arial"/>
      <w:i/>
      <w:sz w:val="24"/>
      <w:szCs w:val="28"/>
      <w:lang w:val="en-CA" w:eastAsia="ja-JP"/>
    </w:rPr>
  </w:style>
  <w:style w:type="paragraph" w:customStyle="1" w:styleId="ParagNum">
    <w:name w:val="ParagNum"/>
    <w:basedOn w:val="Normal"/>
    <w:rsid w:val="00D417B8"/>
    <w:pPr>
      <w:numPr>
        <w:numId w:val="3"/>
      </w:numPr>
      <w:tabs>
        <w:tab w:val="left" w:pos="144"/>
        <w:tab w:val="left" w:pos="720"/>
      </w:tabs>
      <w:spacing w:before="240"/>
      <w:jc w:val="both"/>
    </w:pPr>
    <w:rPr>
      <w:szCs w:val="24"/>
      <w:lang w:eastAsia="fr-FR"/>
    </w:rPr>
  </w:style>
  <w:style w:type="paragraph" w:customStyle="1" w:styleId="Sollicitors">
    <w:name w:val="Sollicitors"/>
    <w:basedOn w:val="Normal"/>
    <w:rsid w:val="00D417B8"/>
    <w:pPr>
      <w:spacing w:before="100" w:beforeAutospacing="1" w:after="100" w:afterAutospacing="1"/>
    </w:pPr>
    <w:rPr>
      <w:i/>
    </w:rPr>
  </w:style>
  <w:style w:type="paragraph" w:customStyle="1" w:styleId="Summary">
    <w:name w:val="Summary"/>
    <w:basedOn w:val="Normal"/>
    <w:autoRedefine/>
    <w:rsid w:val="00D417B8"/>
    <w:pPr>
      <w:spacing w:before="100" w:beforeAutospacing="1" w:after="100" w:afterAutospacing="1"/>
      <w:ind w:left="562" w:hanging="562"/>
    </w:pPr>
    <w:rPr>
      <w:rFonts w:cs="Arial"/>
    </w:rPr>
  </w:style>
  <w:style w:type="paragraph" w:customStyle="1" w:styleId="T1">
    <w:name w:val="T1"/>
    <w:basedOn w:val="Normal"/>
    <w:rsid w:val="00D417B8"/>
    <w:pPr>
      <w:spacing w:before="240" w:after="100" w:afterAutospacing="1"/>
    </w:pPr>
    <w:rPr>
      <w:b/>
    </w:rPr>
  </w:style>
  <w:style w:type="paragraph" w:customStyle="1" w:styleId="T2">
    <w:name w:val="T2"/>
    <w:basedOn w:val="Normal"/>
    <w:rsid w:val="00D417B8"/>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263D-E77C-418E-BC11-2CFC9819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1730</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9</cp:revision>
  <dcterms:created xsi:type="dcterms:W3CDTF">2017-04-10T15:19:00Z</dcterms:created>
  <dcterms:modified xsi:type="dcterms:W3CDTF">2017-04-13T14:13:00Z</dcterms:modified>
</cp:coreProperties>
</file>