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1C" w:rsidRPr="00295991" w:rsidRDefault="0072751C" w:rsidP="000E71C5">
      <w:pPr>
        <w:pStyle w:val="Court"/>
        <w:rPr>
          <w:lang w:val="en-US"/>
        </w:rPr>
      </w:pPr>
      <w:r w:rsidRPr="00295991">
        <w:rPr>
          <w:lang w:val="en-US"/>
        </w:rPr>
        <w:t>Supreme Court of Canada</w:t>
      </w:r>
    </w:p>
    <w:p w:rsidR="0072751C" w:rsidRDefault="0072751C" w:rsidP="000E71C5">
      <w:pPr>
        <w:pStyle w:val="CitationLine"/>
        <w:rPr>
          <w:lang w:val="en-US"/>
        </w:rPr>
      </w:pPr>
      <w:proofErr w:type="spellStart"/>
      <w:r w:rsidRPr="0072751C">
        <w:rPr>
          <w:lang w:val="en-US"/>
        </w:rPr>
        <w:t>Picbell</w:t>
      </w:r>
      <w:proofErr w:type="spellEnd"/>
      <w:r w:rsidRPr="0072751C">
        <w:rPr>
          <w:lang w:val="en-US"/>
        </w:rPr>
        <w:t xml:space="preserve"> Ltd. v. Pickford &amp; Black Ltd.</w:t>
      </w:r>
      <w:r w:rsidR="0084346A">
        <w:rPr>
          <w:lang w:val="en-US"/>
        </w:rPr>
        <w:t>, [1951] SCR 757</w:t>
      </w:r>
      <w:bookmarkStart w:id="0" w:name="_GoBack"/>
      <w:bookmarkEnd w:id="0"/>
    </w:p>
    <w:p w:rsidR="0072751C" w:rsidRDefault="0072751C" w:rsidP="000E71C5">
      <w:pPr>
        <w:pStyle w:val="DateISO"/>
        <w:rPr>
          <w:lang w:val="en-US"/>
        </w:rPr>
      </w:pPr>
      <w:r>
        <w:rPr>
          <w:lang w:val="en-US"/>
        </w:rPr>
        <w:t>Date: 1951-06-20</w:t>
      </w:r>
    </w:p>
    <w:p w:rsidR="0072751C" w:rsidRDefault="0072751C" w:rsidP="00BA7E0E">
      <w:pPr>
        <w:pStyle w:val="Metadata"/>
        <w:rPr>
          <w:lang w:val="en-US"/>
        </w:rPr>
      </w:pPr>
      <w:proofErr w:type="spellStart"/>
      <w:r>
        <w:rPr>
          <w:lang w:val="en-US"/>
        </w:rPr>
        <w:t>Picbell</w:t>
      </w:r>
      <w:proofErr w:type="spellEnd"/>
      <w:r>
        <w:rPr>
          <w:lang w:val="en-US"/>
        </w:rPr>
        <w:t xml:space="preserve"> Limited </w:t>
      </w:r>
    </w:p>
    <w:p w:rsidR="008410E4" w:rsidRDefault="0072751C" w:rsidP="00BA7E0E">
      <w:pPr>
        <w:pStyle w:val="Metadata"/>
      </w:pPr>
      <w:r>
        <w:rPr>
          <w:lang w:val="en-US"/>
        </w:rPr>
        <w:t>Appellant;</w:t>
      </w:r>
    </w:p>
    <w:p w:rsidR="008410E4" w:rsidRDefault="0072751C" w:rsidP="00BA7E0E">
      <w:pPr>
        <w:pStyle w:val="Metadata"/>
        <w:rPr>
          <w:spacing w:val="-21"/>
        </w:rPr>
      </w:pPr>
      <w:r>
        <w:rPr>
          <w:spacing w:val="-21"/>
          <w:lang w:val="en-US"/>
        </w:rPr>
        <w:t>And</w:t>
      </w:r>
    </w:p>
    <w:p w:rsidR="0072751C" w:rsidRDefault="0072751C" w:rsidP="00BA7E0E">
      <w:pPr>
        <w:pStyle w:val="Metadata"/>
        <w:rPr>
          <w:lang w:val="en-US"/>
        </w:rPr>
      </w:pPr>
      <w:r>
        <w:rPr>
          <w:lang w:val="en-US"/>
        </w:rPr>
        <w:t>Pickford &amp; Black, Limited</w:t>
      </w:r>
    </w:p>
    <w:p w:rsidR="008410E4" w:rsidRDefault="0072751C" w:rsidP="00BA7E0E">
      <w:pPr>
        <w:pStyle w:val="Metadata"/>
        <w:rPr>
          <w:lang w:val="en-US"/>
        </w:rPr>
      </w:pPr>
      <w:proofErr w:type="gramStart"/>
      <w:r>
        <w:rPr>
          <w:lang w:val="en-US"/>
        </w:rPr>
        <w:t>Respondent.</w:t>
      </w:r>
      <w:proofErr w:type="gramEnd"/>
    </w:p>
    <w:p w:rsidR="0072751C" w:rsidRDefault="0072751C" w:rsidP="00BA7E0E">
      <w:pPr>
        <w:pStyle w:val="Metadata"/>
        <w:rPr>
          <w:lang w:val="en-US"/>
        </w:rPr>
      </w:pPr>
      <w:r>
        <w:rPr>
          <w:lang w:val="en-US"/>
        </w:rPr>
        <w:t xml:space="preserve">1951: Feb. 28, Mar. 1, June 20. </w:t>
      </w:r>
    </w:p>
    <w:p w:rsidR="0072751C" w:rsidRPr="0072751C" w:rsidRDefault="0072751C" w:rsidP="00BA7E0E">
      <w:pPr>
        <w:pStyle w:val="Metadata"/>
      </w:pPr>
      <w:r w:rsidRPr="0072751C">
        <w:rPr>
          <w:spacing w:val="13"/>
          <w:lang w:val="en-US"/>
        </w:rPr>
        <w:t xml:space="preserve">Present: The Chief Justice and Rand, </w:t>
      </w:r>
      <w:proofErr w:type="spellStart"/>
      <w:r w:rsidRPr="0072751C">
        <w:rPr>
          <w:spacing w:val="13"/>
          <w:lang w:val="en-US"/>
        </w:rPr>
        <w:t>Estey</w:t>
      </w:r>
      <w:proofErr w:type="spellEnd"/>
      <w:r w:rsidRPr="0072751C">
        <w:rPr>
          <w:spacing w:val="13"/>
          <w:lang w:val="en-US"/>
        </w:rPr>
        <w:t xml:space="preserve">, Cartwright and </w:t>
      </w:r>
      <w:proofErr w:type="spellStart"/>
      <w:r w:rsidRPr="0072751C">
        <w:rPr>
          <w:spacing w:val="13"/>
          <w:lang w:val="en-US"/>
        </w:rPr>
        <w:t>Fauteux</w:t>
      </w:r>
      <w:proofErr w:type="spellEnd"/>
      <w:r w:rsidRPr="0072751C">
        <w:rPr>
          <w:spacing w:val="13"/>
          <w:lang w:val="en-US"/>
        </w:rPr>
        <w:t xml:space="preserve"> JJ.</w:t>
      </w:r>
    </w:p>
    <w:p w:rsidR="008410E4" w:rsidRDefault="0072751C" w:rsidP="00BA7E0E">
      <w:pPr>
        <w:pStyle w:val="Metadata"/>
        <w:jc w:val="center"/>
        <w:rPr>
          <w:spacing w:val="-12"/>
        </w:rPr>
      </w:pPr>
      <w:r>
        <w:rPr>
          <w:spacing w:val="-12"/>
          <w:lang w:val="en-US"/>
        </w:rPr>
        <w:t>ON APPEAL FROM THE SUPREME COURT OF NOVA SCOTIA</w:t>
      </w:r>
    </w:p>
    <w:p w:rsidR="008410E4" w:rsidRDefault="0072751C" w:rsidP="00BA7E0E">
      <w:pPr>
        <w:pStyle w:val="Metadata"/>
        <w:jc w:val="center"/>
        <w:rPr>
          <w:spacing w:val="-12"/>
        </w:rPr>
      </w:pPr>
      <w:proofErr w:type="gramStart"/>
      <w:r>
        <w:rPr>
          <w:spacing w:val="-12"/>
          <w:lang w:val="en-US"/>
        </w:rPr>
        <w:t>IN BANCO.</w:t>
      </w:r>
      <w:proofErr w:type="gramEnd"/>
    </w:p>
    <w:p w:rsidR="008410E4" w:rsidRDefault="0072751C" w:rsidP="00BA7E0E">
      <w:pPr>
        <w:pStyle w:val="Keywords"/>
      </w:pPr>
      <w:r>
        <w:rPr>
          <w:lang w:val="en-US"/>
        </w:rPr>
        <w:t>Contracts, prohibited—Charter-Party—Order-in-Council requiring Shipping Board's approval as condition precedent ignored—</w:t>
      </w:r>
      <w:proofErr w:type="gramStart"/>
      <w:r>
        <w:rPr>
          <w:lang w:val="en-US"/>
        </w:rPr>
        <w:t>Whether</w:t>
      </w:r>
      <w:proofErr w:type="gramEnd"/>
      <w:r>
        <w:rPr>
          <w:lang w:val="en-US"/>
        </w:rPr>
        <w:t xml:space="preserve"> expiry of Order validated contract.</w:t>
      </w:r>
    </w:p>
    <w:p w:rsidR="008410E4" w:rsidRDefault="0072751C" w:rsidP="00BA7E0E">
      <w:pPr>
        <w:pStyle w:val="Summary"/>
      </w:pPr>
      <w:r>
        <w:rPr>
          <w:lang w:val="en-US"/>
        </w:rPr>
        <w:t>Section 9 of Order-in-Council P.C. 6785 of July 31, 1942, provided that all parties proposing to charter any vessel exceeding 150 tons gross register, other than a fishing vessel, "shall submit in advance full particulars" for the approval of the Canadian Shipping Board and that "no such charter as aforesaid shall be made without such approval". The Order-in-Council was revoked at the end of 1946. On March 30, 1946 the appellant and respondent entered into a written agreement which purported the charter by the appellant to the respondent of a 4,700 ton vessel for a period of 84 months. The respondent took delivery of the ship on April 10, 1946 and operated and paid for it until April 15, 1950, when it notified the appellant that the agreement was a nullity, having been made in contravention of Order-in-Council 6785, and that it would no longer continue to operate or be responsible for the ship. The appellant thereupon brought an action for a declaration that the agreement was a valid and subsisting one, and for specific performance.</w:t>
      </w:r>
    </w:p>
    <w:p w:rsidR="008410E4" w:rsidRDefault="0072751C" w:rsidP="00BA7E0E">
      <w:pPr>
        <w:pStyle w:val="Summary"/>
      </w:pPr>
      <w:r>
        <w:rPr>
          <w:lang w:val="en-US"/>
        </w:rPr>
        <w:t xml:space="preserve">Before this Court it put its case on the single ground that the charter party was subject to a condition precedent that •the approval of the Canadian Shipping Board under Order-in-Council </w:t>
      </w:r>
      <w:r>
        <w:rPr>
          <w:sz w:val="21"/>
          <w:lang w:val="en-US"/>
        </w:rPr>
        <w:t xml:space="preserve">6785 should </w:t>
      </w:r>
      <w:r>
        <w:rPr>
          <w:lang w:val="en-US"/>
        </w:rPr>
        <w:t xml:space="preserve">be obtained and, that Order having expired at the end of 1946, that condition dropped, leaving the charter party in full force </w:t>
      </w:r>
      <w:proofErr w:type="spellStart"/>
      <w:r>
        <w:rPr>
          <w:lang w:val="en-US"/>
        </w:rPr>
        <w:t>ab</w:t>
      </w:r>
      <w:proofErr w:type="spellEnd"/>
      <w:r>
        <w:rPr>
          <w:lang w:val="en-US"/>
        </w:rPr>
        <w:t xml:space="preserve"> </w:t>
      </w:r>
      <w:r>
        <w:rPr>
          <w:i/>
          <w:lang w:val="en-US"/>
        </w:rPr>
        <w:t>initio.</w:t>
      </w:r>
    </w:p>
    <w:p w:rsidR="008410E4" w:rsidRDefault="0072751C" w:rsidP="00BA7E0E">
      <w:pPr>
        <w:pStyle w:val="Summary"/>
        <w:rPr>
          <w:i/>
        </w:rPr>
      </w:pPr>
      <w:proofErr w:type="gramStart"/>
      <w:r>
        <w:rPr>
          <w:i/>
          <w:lang w:val="en-US"/>
        </w:rPr>
        <w:t xml:space="preserve">Held: </w:t>
      </w:r>
      <w:r>
        <w:rPr>
          <w:lang w:val="en-US"/>
        </w:rPr>
        <w:t>that, as Order-in-Council 6785 required that the terms of such a charter party be submitted "in advance" and approved by the Board and that "no such charter party as aforesaid shall be made without such approval"; there was no authority to give a retroactive approval.</w:t>
      </w:r>
      <w:proofErr w:type="gramEnd"/>
      <w:r>
        <w:rPr>
          <w:lang w:val="en-US"/>
        </w:rPr>
        <w:t xml:space="preserve"> Assuming that a binding contract subject to such a condition could be made, the effect of the regulation was that no performance or execution of it could take place before that approval.</w:t>
      </w:r>
    </w:p>
    <w:p w:rsidR="008410E4" w:rsidRDefault="0072751C" w:rsidP="00BA7E0E">
      <w:pPr>
        <w:pStyle w:val="History"/>
      </w:pPr>
      <w:r>
        <w:rPr>
          <w:lang w:val="en-US"/>
        </w:rPr>
        <w:lastRenderedPageBreak/>
        <w:t xml:space="preserve">APPEAL from a decision of the Supreme Court of Nova </w:t>
      </w:r>
      <w:proofErr w:type="spellStart"/>
      <w:r>
        <w:rPr>
          <w:lang w:val="en-US"/>
        </w:rPr>
        <w:t>Scoria</w:t>
      </w:r>
      <w:proofErr w:type="spellEnd"/>
      <w:r>
        <w:rPr>
          <w:lang w:val="en-US"/>
        </w:rPr>
        <w:t xml:space="preserve"> </w:t>
      </w:r>
      <w:r>
        <w:rPr>
          <w:i/>
          <w:lang w:val="en-US"/>
        </w:rPr>
        <w:t xml:space="preserve">in </w:t>
      </w:r>
      <w:proofErr w:type="spellStart"/>
      <w:r>
        <w:rPr>
          <w:i/>
          <w:lang w:val="en-US"/>
        </w:rPr>
        <w:t>Banco</w:t>
      </w:r>
      <w:proofErr w:type="spellEnd"/>
      <w:r>
        <w:rPr>
          <w:rStyle w:val="FootnoteReference"/>
          <w:i/>
          <w:lang w:val="en-US"/>
        </w:rPr>
        <w:footnoteReference w:id="1"/>
      </w:r>
      <w:r>
        <w:rPr>
          <w:i/>
          <w:lang w:val="en-US"/>
        </w:rPr>
        <w:t xml:space="preserve">, </w:t>
      </w:r>
      <w:r>
        <w:rPr>
          <w:lang w:val="en-US"/>
        </w:rPr>
        <w:t xml:space="preserve">whereby it was held that the charter by the plaintiff to the defendant purporting to be evidenced by, and made pursuant to, the paper writing set out in the Statement of Claim </w:t>
      </w:r>
      <w:r w:rsidRPr="0072751C">
        <w:rPr>
          <w:lang w:val="en-US"/>
        </w:rPr>
        <w:t>(</w:t>
      </w:r>
      <w:proofErr w:type="spellStart"/>
      <w:r w:rsidRPr="0072751C">
        <w:rPr>
          <w:lang w:val="en-US"/>
        </w:rPr>
        <w:t>para</w:t>
      </w:r>
      <w:proofErr w:type="spellEnd"/>
      <w:r w:rsidRPr="0072751C">
        <w:rPr>
          <w:lang w:val="en-US"/>
        </w:rPr>
        <w:t xml:space="preserve">. </w:t>
      </w:r>
      <w:r>
        <w:rPr>
          <w:lang w:val="en-US"/>
        </w:rPr>
        <w:t>4), was illegal.</w:t>
      </w:r>
    </w:p>
    <w:p w:rsidR="0072751C" w:rsidRDefault="0072751C" w:rsidP="00BA7E0E">
      <w:pPr>
        <w:pStyle w:val="Sollicitors"/>
        <w:rPr>
          <w:lang w:val="en-US"/>
        </w:rPr>
      </w:pPr>
      <w:proofErr w:type="gramStart"/>
      <w:r>
        <w:rPr>
          <w:lang w:val="en-US"/>
        </w:rPr>
        <w:t>C. F. H. Carson K.C. and Allan Findlay for the appellant.</w:t>
      </w:r>
      <w:proofErr w:type="gramEnd"/>
      <w:r>
        <w:rPr>
          <w:lang w:val="en-US"/>
        </w:rPr>
        <w:t xml:space="preserve"> </w:t>
      </w:r>
    </w:p>
    <w:p w:rsidR="008410E4" w:rsidRPr="0072751C" w:rsidRDefault="0072751C" w:rsidP="00BA7E0E">
      <w:pPr>
        <w:pStyle w:val="Sollicitors"/>
      </w:pPr>
      <w:proofErr w:type="gramStart"/>
      <w:r>
        <w:rPr>
          <w:lang w:val="en-US"/>
        </w:rPr>
        <w:t xml:space="preserve">F. D. Smith K.C. and W. H. </w:t>
      </w:r>
      <w:proofErr w:type="spellStart"/>
      <w:r>
        <w:rPr>
          <w:lang w:val="en-US"/>
        </w:rPr>
        <w:t>Jost</w:t>
      </w:r>
      <w:proofErr w:type="spellEnd"/>
      <w:r>
        <w:rPr>
          <w:lang w:val="en-US"/>
        </w:rPr>
        <w:t xml:space="preserve"> for the respondent.</w:t>
      </w:r>
      <w:proofErr w:type="gramEnd"/>
    </w:p>
    <w:p w:rsidR="0072751C" w:rsidRPr="002A290A" w:rsidRDefault="0072751C" w:rsidP="00BA7E0E">
      <w:pPr>
        <w:pStyle w:val="Page"/>
        <w:rPr>
          <w:lang w:val="en-US"/>
        </w:rPr>
      </w:pPr>
      <w:r w:rsidRPr="002A290A">
        <w:rPr>
          <w:rFonts w:cs="Arial"/>
          <w:color w:val="000000"/>
          <w:szCs w:val="24"/>
          <w:lang w:val="en-US"/>
        </w:rPr>
        <w:t xml:space="preserve">[Page </w:t>
      </w:r>
      <w:r>
        <w:rPr>
          <w:rFonts w:cs="Arial"/>
          <w:color w:val="000000"/>
          <w:szCs w:val="24"/>
          <w:lang w:val="en-US"/>
        </w:rPr>
        <w:t>758</w:t>
      </w:r>
      <w:r w:rsidRPr="002A290A">
        <w:rPr>
          <w:rFonts w:cs="Arial"/>
          <w:color w:val="000000"/>
          <w:szCs w:val="24"/>
          <w:lang w:val="en-US"/>
        </w:rPr>
        <w:t>]</w:t>
      </w:r>
    </w:p>
    <w:p w:rsidR="008410E4" w:rsidRDefault="0072751C" w:rsidP="00BA7E0E">
      <w:pPr>
        <w:pStyle w:val="History"/>
        <w:rPr>
          <w:sz w:val="23"/>
        </w:rPr>
      </w:pPr>
      <w:r>
        <w:rPr>
          <w:sz w:val="23"/>
          <w:lang w:val="en-US"/>
        </w:rPr>
        <w:t>THE CHIEF JUSTICE: For the reasons stated by my brother Rand, I would dismiss the appeal with costs.</w:t>
      </w:r>
    </w:p>
    <w:p w:rsidR="008410E4" w:rsidRDefault="0072751C" w:rsidP="00BA7E0E">
      <w:pPr>
        <w:pStyle w:val="Reasons"/>
      </w:pPr>
      <w:proofErr w:type="gramStart"/>
      <w:r>
        <w:rPr>
          <w:lang w:val="en-US"/>
        </w:rPr>
        <w:t xml:space="preserve">The judgment of Rand, </w:t>
      </w:r>
      <w:proofErr w:type="spellStart"/>
      <w:r>
        <w:rPr>
          <w:lang w:val="en-US"/>
        </w:rPr>
        <w:t>Estey</w:t>
      </w:r>
      <w:proofErr w:type="spellEnd"/>
      <w:r>
        <w:rPr>
          <w:lang w:val="en-US"/>
        </w:rPr>
        <w:t xml:space="preserve">, Cartwright and </w:t>
      </w:r>
      <w:proofErr w:type="spellStart"/>
      <w:r>
        <w:rPr>
          <w:lang w:val="en-US"/>
        </w:rPr>
        <w:t>Fauteux</w:t>
      </w:r>
      <w:proofErr w:type="spellEnd"/>
      <w:r>
        <w:rPr>
          <w:lang w:val="en-US"/>
        </w:rPr>
        <w:t xml:space="preserve"> JJ.</w:t>
      </w:r>
      <w:proofErr w:type="gramEnd"/>
      <w:r>
        <w:rPr>
          <w:lang w:val="en-US"/>
        </w:rPr>
        <w:t xml:space="preserve"> </w:t>
      </w:r>
      <w:proofErr w:type="gramStart"/>
      <w:r>
        <w:rPr>
          <w:lang w:val="en-US"/>
        </w:rPr>
        <w:t>was</w:t>
      </w:r>
      <w:proofErr w:type="gramEnd"/>
      <w:r>
        <w:rPr>
          <w:lang w:val="en-US"/>
        </w:rPr>
        <w:t xml:space="preserve"> delivered by:</w:t>
      </w:r>
    </w:p>
    <w:p w:rsidR="008410E4" w:rsidRDefault="0072751C" w:rsidP="00BA7E0E">
      <w:pPr>
        <w:pStyle w:val="Reasons"/>
        <w:rPr>
          <w:spacing w:val="3"/>
        </w:rPr>
      </w:pPr>
      <w:r>
        <w:rPr>
          <w:spacing w:val="3"/>
          <w:lang w:val="en-US"/>
        </w:rPr>
        <w:t xml:space="preserve">RAND J.:—Mr. Carson, abandoning all other points, puts his case on the single ground that the charter party was subject to the condition precedent that approval of the Canadian Shipping Board under Order-in-Council P.C. 6785, s. 9 should be obtained; and the Order-in-Council having expired at the end of December, 1946, that condition dropped, leaving the charter party in full force </w:t>
      </w:r>
      <w:proofErr w:type="spellStart"/>
      <w:r>
        <w:rPr>
          <w:spacing w:val="3"/>
          <w:lang w:val="en-US"/>
        </w:rPr>
        <w:t>ab</w:t>
      </w:r>
      <w:proofErr w:type="spellEnd"/>
      <w:r>
        <w:rPr>
          <w:spacing w:val="3"/>
          <w:lang w:val="en-US"/>
        </w:rPr>
        <w:t xml:space="preserve"> </w:t>
      </w:r>
      <w:r>
        <w:rPr>
          <w:i/>
          <w:spacing w:val="3"/>
          <w:lang w:val="en-US"/>
        </w:rPr>
        <w:t>initio.</w:t>
      </w:r>
    </w:p>
    <w:p w:rsidR="008410E4" w:rsidRDefault="0072751C" w:rsidP="00BA7E0E">
      <w:pPr>
        <w:pStyle w:val="Reasons"/>
        <w:rPr>
          <w:spacing w:val="5"/>
        </w:rPr>
      </w:pPr>
      <w:r>
        <w:rPr>
          <w:spacing w:val="5"/>
          <w:lang w:val="en-US"/>
        </w:rPr>
        <w:t xml:space="preserve">The Order-in-Council required that the terms of such a charter party be submitted "in advance" and approved by the Board and that "no such charter party as aforesaid shall be made without such approval." There was no authority to give a retroactive approval. Assuming that a binding contract or charter party subject to such a condition could be made, the effect of the regulation was that no performance or execution of it could take place before that approval. Here the actual terms stipulated for the charter party to go into effect at least when possession was taken, which was on the 10th of April, 1946; and from that time until the end of the year, the charter party was </w:t>
      </w:r>
      <w:r>
        <w:rPr>
          <w:i/>
          <w:spacing w:val="5"/>
          <w:lang w:val="en-US"/>
        </w:rPr>
        <w:t xml:space="preserve">de facto </w:t>
      </w:r>
      <w:r>
        <w:rPr>
          <w:spacing w:val="5"/>
          <w:lang w:val="en-US"/>
        </w:rPr>
        <w:t>being executed. To say, then, that when, not that the condition became fulfilled, in fact, as it never was, but that the reason for it had been removed in law, the contract as an entirety was rendered effective, is to validate retroactively that portion of the performance, which, as it was being done, was in the face of an express prohibition of law. The charter party so made and so performed could not have been so validated. The conception of a suspension by a condition in such circumstances assumes that the whole performance remains prospective; the facts here negative that and exclude its application.</w:t>
      </w:r>
    </w:p>
    <w:p w:rsidR="008410E4" w:rsidRDefault="0072751C" w:rsidP="00BA7E0E">
      <w:pPr>
        <w:pStyle w:val="Reasons"/>
        <w:rPr>
          <w:spacing w:val="8"/>
        </w:rPr>
      </w:pPr>
      <w:r>
        <w:rPr>
          <w:spacing w:val="8"/>
          <w:lang w:val="en-US"/>
        </w:rPr>
        <w:t>The question of law as put does not permit the Court to consider the possibility of a finding of the formation of a truncated charter party originating on January 1, 1947, and terminating at the end of the seven-year period. Whether the relat</w:t>
      </w:r>
      <w:r w:rsidR="004D4DBB">
        <w:rPr>
          <w:spacing w:val="8"/>
          <w:lang w:val="en-US"/>
        </w:rPr>
        <w:t xml:space="preserve">ions between the parties could </w:t>
      </w:r>
      <w:r>
        <w:rPr>
          <w:spacing w:val="8"/>
          <w:lang w:val="en-US"/>
        </w:rPr>
        <w:t>be taken to be of such a distributive nature as to warrant a finding to that effect I do not therefore consider; but it was the</w:t>
      </w:r>
    </w:p>
    <w:p w:rsidR="0072751C" w:rsidRPr="002A290A" w:rsidRDefault="0072751C" w:rsidP="00BA7E0E">
      <w:pPr>
        <w:pStyle w:val="Page"/>
        <w:rPr>
          <w:lang w:val="en-US"/>
        </w:rPr>
      </w:pPr>
      <w:r w:rsidRPr="002A290A">
        <w:rPr>
          <w:rFonts w:cs="Arial"/>
          <w:color w:val="000000"/>
          <w:szCs w:val="24"/>
          <w:lang w:val="en-US"/>
        </w:rPr>
        <w:t xml:space="preserve">[Page </w:t>
      </w:r>
      <w:r>
        <w:rPr>
          <w:rFonts w:cs="Arial"/>
          <w:color w:val="000000"/>
          <w:szCs w:val="24"/>
          <w:lang w:val="en-US"/>
        </w:rPr>
        <w:t>759</w:t>
      </w:r>
      <w:r w:rsidRPr="002A290A">
        <w:rPr>
          <w:rFonts w:cs="Arial"/>
          <w:color w:val="000000"/>
          <w:szCs w:val="24"/>
          <w:lang w:val="en-US"/>
        </w:rPr>
        <w:t>]</w:t>
      </w:r>
    </w:p>
    <w:p w:rsidR="008410E4" w:rsidRPr="0072751C" w:rsidRDefault="0072751C" w:rsidP="00BA7E0E">
      <w:pPr>
        <w:pStyle w:val="Reasons"/>
        <w:rPr>
          <w:spacing w:val="12"/>
        </w:rPr>
      </w:pPr>
      <w:proofErr w:type="gramStart"/>
      <w:r>
        <w:rPr>
          <w:spacing w:val="12"/>
          <w:lang w:val="en-US"/>
        </w:rPr>
        <w:t>fact</w:t>
      </w:r>
      <w:proofErr w:type="gramEnd"/>
      <w:r>
        <w:rPr>
          <w:spacing w:val="12"/>
          <w:lang w:val="en-US"/>
        </w:rPr>
        <w:t xml:space="preserve"> that they were there of that nature which was the</w:t>
      </w:r>
      <w:r>
        <w:rPr>
          <w:spacing w:val="12"/>
        </w:rPr>
        <w:t xml:space="preserve"> </w:t>
      </w:r>
      <w:r>
        <w:rPr>
          <w:lang w:val="en-US"/>
        </w:rPr>
        <w:t xml:space="preserve">governing circumstance in </w:t>
      </w:r>
      <w:r>
        <w:rPr>
          <w:i/>
          <w:lang w:val="en-US"/>
        </w:rPr>
        <w:t>Paoli v. Vulcan Iron Works Limited</w:t>
      </w:r>
      <w:r>
        <w:rPr>
          <w:rStyle w:val="FootnoteReference"/>
          <w:i/>
          <w:lang w:val="en-US"/>
        </w:rPr>
        <w:footnoteReference w:id="2"/>
      </w:r>
      <w:r>
        <w:rPr>
          <w:i/>
          <w:lang w:val="en-US"/>
        </w:rPr>
        <w:t>.</w:t>
      </w:r>
    </w:p>
    <w:p w:rsidR="008410E4" w:rsidRDefault="0072751C" w:rsidP="00BA7E0E">
      <w:pPr>
        <w:pStyle w:val="Reasons"/>
        <w:rPr>
          <w:spacing w:val="6"/>
        </w:rPr>
      </w:pPr>
      <w:r>
        <w:rPr>
          <w:spacing w:val="6"/>
          <w:lang w:val="en-US"/>
        </w:rPr>
        <w:t>I would, therefore, dismiss the appeal with costs.</w:t>
      </w:r>
    </w:p>
    <w:p w:rsidR="0072751C" w:rsidRDefault="0072751C" w:rsidP="00BA7E0E">
      <w:pPr>
        <w:pStyle w:val="Reasons"/>
        <w:rPr>
          <w:i/>
          <w:lang w:val="en-US"/>
        </w:rPr>
      </w:pPr>
      <w:r>
        <w:rPr>
          <w:i/>
          <w:lang w:val="en-US"/>
        </w:rPr>
        <w:lastRenderedPageBreak/>
        <w:t xml:space="preserve">Appeal dismissed with costs. </w:t>
      </w:r>
    </w:p>
    <w:p w:rsidR="008410E4" w:rsidRDefault="0072751C" w:rsidP="00BA7E0E">
      <w:pPr>
        <w:pStyle w:val="Sollicitors"/>
      </w:pPr>
      <w:r>
        <w:rPr>
          <w:lang w:val="en-US"/>
        </w:rPr>
        <w:t>Solicitor for appellant: C. B. Smith.</w:t>
      </w:r>
    </w:p>
    <w:p w:rsidR="008410E4" w:rsidRPr="00BA7E0E" w:rsidRDefault="0072751C" w:rsidP="00BA7E0E">
      <w:pPr>
        <w:pStyle w:val="Sollicitors"/>
        <w:rPr>
          <w:rFonts w:eastAsia="Times New Roman" w:cs="Arial"/>
          <w:color w:val="000000"/>
          <w:spacing w:val="6"/>
          <w:szCs w:val="24"/>
        </w:rPr>
      </w:pPr>
      <w:r w:rsidRPr="00BA7E0E">
        <w:rPr>
          <w:rFonts w:eastAsia="Times New Roman" w:cs="Arial"/>
          <w:color w:val="000000"/>
          <w:spacing w:val="6"/>
          <w:szCs w:val="24"/>
          <w:lang w:val="en-US"/>
        </w:rPr>
        <w:t>Solicitor for respondent: F. D. Smith.</w:t>
      </w:r>
    </w:p>
    <w:sectPr w:rsidR="008410E4" w:rsidRPr="00BA7E0E" w:rsidSect="0072751C">
      <w:pgSz w:w="12242" w:h="15842" w:code="1"/>
      <w:pgMar w:top="1140" w:right="1140" w:bottom="114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1C" w:rsidRDefault="0072751C" w:rsidP="0072751C">
      <w:r>
        <w:separator/>
      </w:r>
    </w:p>
  </w:endnote>
  <w:endnote w:type="continuationSeparator" w:id="0">
    <w:p w:rsidR="0072751C" w:rsidRDefault="0072751C" w:rsidP="0072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1C" w:rsidRDefault="0072751C" w:rsidP="0072751C">
      <w:r>
        <w:separator/>
      </w:r>
    </w:p>
  </w:footnote>
  <w:footnote w:type="continuationSeparator" w:id="0">
    <w:p w:rsidR="0072751C" w:rsidRDefault="0072751C" w:rsidP="0072751C">
      <w:r>
        <w:continuationSeparator/>
      </w:r>
    </w:p>
  </w:footnote>
  <w:footnote w:id="1">
    <w:p w:rsidR="0072751C" w:rsidRPr="00834AA2" w:rsidRDefault="0072751C" w:rsidP="0072751C">
      <w:pPr>
        <w:pStyle w:val="FootnoteText"/>
        <w:rPr>
          <w:sz w:val="20"/>
          <w:lang w:val="fr-CA"/>
        </w:rPr>
      </w:pPr>
      <w:r w:rsidRPr="00834AA2">
        <w:rPr>
          <w:rStyle w:val="FootnoteReference"/>
          <w:sz w:val="20"/>
        </w:rPr>
        <w:footnoteRef/>
      </w:r>
      <w:r w:rsidRPr="00834AA2">
        <w:rPr>
          <w:sz w:val="20"/>
        </w:rPr>
        <w:t xml:space="preserve"> </w:t>
      </w:r>
      <w:proofErr w:type="gramStart"/>
      <w:r w:rsidRPr="00834AA2">
        <w:rPr>
          <w:spacing w:val="4"/>
          <w:sz w:val="20"/>
          <w:lang w:val="en-US"/>
        </w:rPr>
        <w:t>[1951] 2 D.L.R. 119.</w:t>
      </w:r>
      <w:proofErr w:type="gramEnd"/>
    </w:p>
  </w:footnote>
  <w:footnote w:id="2">
    <w:p w:rsidR="0072751C" w:rsidRPr="0072751C" w:rsidRDefault="0072751C">
      <w:pPr>
        <w:pStyle w:val="FootnoteText"/>
        <w:rPr>
          <w:lang w:val="fr-CA"/>
        </w:rPr>
      </w:pPr>
      <w:r w:rsidRPr="00834AA2">
        <w:rPr>
          <w:rStyle w:val="FootnoteReference"/>
          <w:sz w:val="20"/>
        </w:rPr>
        <w:footnoteRef/>
      </w:r>
      <w:r w:rsidRPr="00834AA2">
        <w:rPr>
          <w:sz w:val="20"/>
        </w:rPr>
        <w:t xml:space="preserve"> </w:t>
      </w:r>
      <w:r w:rsidR="00834AA2" w:rsidRPr="00834AA2">
        <w:rPr>
          <w:sz w:val="20"/>
          <w:lang w:val="fr-CA"/>
        </w:rPr>
        <w:t>[1950] S.C.R. 114.</w:t>
      </w:r>
      <w:r w:rsidR="00834AA2">
        <w:rPr>
          <w:lang w:val="fr-C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36C1"/>
    <w:multiLevelType w:val="hybridMultilevel"/>
    <w:tmpl w:val="75187CF6"/>
    <w:lvl w:ilvl="0" w:tplc="FDAAF17C">
      <w:start w:val="1"/>
      <w:numFmt w:val="decimal"/>
      <w:pStyle w:val="ParagNum"/>
      <w:lvlText w:val="[%1]"/>
      <w:lvlJc w:val="left"/>
      <w:pPr>
        <w:tabs>
          <w:tab w:val="num" w:pos="369"/>
        </w:tabs>
        <w:ind w:left="369" w:hanging="369"/>
      </w:pPr>
    </w:lvl>
    <w:lvl w:ilvl="1" w:tplc="E05E279A" w:tentative="1">
      <w:start w:val="1"/>
      <w:numFmt w:val="lowerLetter"/>
      <w:lvlText w:val="%2."/>
      <w:lvlJc w:val="left"/>
      <w:pPr>
        <w:tabs>
          <w:tab w:val="num" w:pos="1440"/>
        </w:tabs>
        <w:ind w:left="1440" w:hanging="360"/>
      </w:pPr>
    </w:lvl>
    <w:lvl w:ilvl="2" w:tplc="A5AC62E6" w:tentative="1">
      <w:start w:val="1"/>
      <w:numFmt w:val="lowerRoman"/>
      <w:lvlText w:val="%3."/>
      <w:lvlJc w:val="right"/>
      <w:pPr>
        <w:tabs>
          <w:tab w:val="num" w:pos="2160"/>
        </w:tabs>
        <w:ind w:left="2160" w:hanging="180"/>
      </w:pPr>
    </w:lvl>
    <w:lvl w:ilvl="3" w:tplc="77E8771A" w:tentative="1">
      <w:start w:val="1"/>
      <w:numFmt w:val="decimal"/>
      <w:lvlText w:val="%4."/>
      <w:lvlJc w:val="left"/>
      <w:pPr>
        <w:tabs>
          <w:tab w:val="num" w:pos="2880"/>
        </w:tabs>
        <w:ind w:left="2880" w:hanging="360"/>
      </w:pPr>
    </w:lvl>
    <w:lvl w:ilvl="4" w:tplc="C0FAA812" w:tentative="1">
      <w:start w:val="1"/>
      <w:numFmt w:val="lowerLetter"/>
      <w:lvlText w:val="%5."/>
      <w:lvlJc w:val="left"/>
      <w:pPr>
        <w:tabs>
          <w:tab w:val="num" w:pos="3600"/>
        </w:tabs>
        <w:ind w:left="3600" w:hanging="360"/>
      </w:pPr>
    </w:lvl>
    <w:lvl w:ilvl="5" w:tplc="2DDCDB6A" w:tentative="1">
      <w:start w:val="1"/>
      <w:numFmt w:val="lowerRoman"/>
      <w:lvlText w:val="%6."/>
      <w:lvlJc w:val="right"/>
      <w:pPr>
        <w:tabs>
          <w:tab w:val="num" w:pos="4320"/>
        </w:tabs>
        <w:ind w:left="4320" w:hanging="180"/>
      </w:pPr>
    </w:lvl>
    <w:lvl w:ilvl="6" w:tplc="0C80D512" w:tentative="1">
      <w:start w:val="1"/>
      <w:numFmt w:val="decimal"/>
      <w:lvlText w:val="%7."/>
      <w:lvlJc w:val="left"/>
      <w:pPr>
        <w:tabs>
          <w:tab w:val="num" w:pos="5040"/>
        </w:tabs>
        <w:ind w:left="5040" w:hanging="360"/>
      </w:pPr>
    </w:lvl>
    <w:lvl w:ilvl="7" w:tplc="8E9EAF76" w:tentative="1">
      <w:start w:val="1"/>
      <w:numFmt w:val="lowerLetter"/>
      <w:lvlText w:val="%8."/>
      <w:lvlJc w:val="left"/>
      <w:pPr>
        <w:tabs>
          <w:tab w:val="num" w:pos="5760"/>
        </w:tabs>
        <w:ind w:left="5760" w:hanging="360"/>
      </w:pPr>
    </w:lvl>
    <w:lvl w:ilvl="8" w:tplc="C1B6E642"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8410E4"/>
    <w:rsid w:val="000E71C5"/>
    <w:rsid w:val="004D4DBB"/>
    <w:rsid w:val="0072751C"/>
    <w:rsid w:val="00834AA2"/>
    <w:rsid w:val="008410E4"/>
    <w:rsid w:val="0084346A"/>
    <w:rsid w:val="00BA7E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71C5"/>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72751C"/>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72751C"/>
    <w:rPr>
      <w:rFonts w:cs="Arial"/>
      <w:b/>
      <w:szCs w:val="24"/>
    </w:rPr>
  </w:style>
  <w:style w:type="paragraph" w:customStyle="1" w:styleId="CitationLine">
    <w:name w:val="CitationLine"/>
    <w:basedOn w:val="Court"/>
    <w:rsid w:val="0072751C"/>
  </w:style>
  <w:style w:type="paragraph" w:customStyle="1" w:styleId="DateISO">
    <w:name w:val="DateISO"/>
    <w:basedOn w:val="Court"/>
    <w:rsid w:val="0072751C"/>
  </w:style>
  <w:style w:type="paragraph" w:styleId="Footer">
    <w:name w:val="footer"/>
    <w:basedOn w:val="Normal"/>
    <w:link w:val="FooterChar"/>
    <w:uiPriority w:val="99"/>
    <w:unhideWhenUsed/>
    <w:rsid w:val="0072751C"/>
    <w:pPr>
      <w:tabs>
        <w:tab w:val="center" w:pos="4680"/>
        <w:tab w:val="right" w:pos="9360"/>
      </w:tabs>
    </w:pPr>
    <w:rPr>
      <w:rFonts w:ascii="Times New Roman" w:hAnsi="Times New Roman"/>
    </w:rPr>
  </w:style>
  <w:style w:type="character" w:customStyle="1" w:styleId="FooterChar">
    <w:name w:val="Footer Char"/>
    <w:link w:val="Footer"/>
    <w:uiPriority w:val="99"/>
    <w:rsid w:val="0072751C"/>
    <w:rPr>
      <w:rFonts w:eastAsia="MS Mincho"/>
      <w:sz w:val="24"/>
      <w:szCs w:val="28"/>
      <w:lang w:val="en-CA" w:eastAsia="ja-JP"/>
    </w:rPr>
  </w:style>
  <w:style w:type="character" w:styleId="FootnoteReference">
    <w:name w:val="footnote reference"/>
    <w:semiHidden/>
    <w:rsid w:val="0072751C"/>
    <w:rPr>
      <w:vertAlign w:val="superscript"/>
    </w:rPr>
  </w:style>
  <w:style w:type="paragraph" w:styleId="FootnoteText">
    <w:name w:val="footnote text"/>
    <w:basedOn w:val="Normal"/>
    <w:link w:val="FootnoteTextChar"/>
    <w:autoRedefine/>
    <w:rsid w:val="0072751C"/>
    <w:rPr>
      <w:sz w:val="16"/>
      <w:szCs w:val="20"/>
    </w:rPr>
  </w:style>
  <w:style w:type="character" w:customStyle="1" w:styleId="FootnoteTextChar">
    <w:name w:val="Footnote Text Char"/>
    <w:link w:val="FootnoteText"/>
    <w:rsid w:val="000E71C5"/>
    <w:rPr>
      <w:rFonts w:ascii="Arial" w:eastAsia="MS Mincho" w:hAnsi="Arial"/>
      <w:sz w:val="16"/>
      <w:szCs w:val="20"/>
      <w:lang w:val="en-CA" w:eastAsia="ja-JP"/>
    </w:rPr>
  </w:style>
  <w:style w:type="paragraph" w:styleId="Header">
    <w:name w:val="header"/>
    <w:basedOn w:val="Normal"/>
    <w:link w:val="HeaderChar"/>
    <w:uiPriority w:val="99"/>
    <w:unhideWhenUsed/>
    <w:rsid w:val="0072751C"/>
    <w:pPr>
      <w:tabs>
        <w:tab w:val="center" w:pos="4680"/>
        <w:tab w:val="right" w:pos="9360"/>
      </w:tabs>
    </w:pPr>
    <w:rPr>
      <w:rFonts w:ascii="Times New Roman" w:hAnsi="Times New Roman"/>
    </w:rPr>
  </w:style>
  <w:style w:type="character" w:customStyle="1" w:styleId="HeaderChar">
    <w:name w:val="Header Char"/>
    <w:link w:val="Header"/>
    <w:uiPriority w:val="99"/>
    <w:rsid w:val="0072751C"/>
    <w:rPr>
      <w:rFonts w:eastAsia="MS Mincho"/>
      <w:sz w:val="24"/>
      <w:szCs w:val="28"/>
      <w:lang w:val="en-CA" w:eastAsia="ja-JP"/>
    </w:rPr>
  </w:style>
  <w:style w:type="character" w:customStyle="1" w:styleId="Heading1Char">
    <w:name w:val="Heading 1 Char"/>
    <w:basedOn w:val="DefaultParagraphFont"/>
    <w:link w:val="Heading1"/>
    <w:rsid w:val="0072751C"/>
    <w:rPr>
      <w:rFonts w:ascii="Arial" w:eastAsia="MS Mincho" w:hAnsi="Arial" w:cs="Arial"/>
      <w:b/>
      <w:bCs/>
      <w:noProof/>
      <w:kern w:val="32"/>
      <w:sz w:val="28"/>
      <w:szCs w:val="32"/>
      <w:lang w:val="en-CA" w:eastAsia="ja-JP"/>
    </w:rPr>
  </w:style>
  <w:style w:type="paragraph" w:customStyle="1" w:styleId="History">
    <w:name w:val="History"/>
    <w:basedOn w:val="Normal"/>
    <w:rsid w:val="0072751C"/>
    <w:pPr>
      <w:spacing w:before="100" w:beforeAutospacing="1" w:after="100" w:afterAutospacing="1"/>
      <w:ind w:firstLine="567"/>
    </w:pPr>
  </w:style>
  <w:style w:type="paragraph" w:customStyle="1" w:styleId="Indent1">
    <w:name w:val="Indent 1"/>
    <w:basedOn w:val="Normal"/>
    <w:next w:val="Normal"/>
    <w:rsid w:val="0072751C"/>
    <w:pPr>
      <w:spacing w:before="100" w:beforeAutospacing="1"/>
      <w:ind w:left="567"/>
      <w:jc w:val="both"/>
    </w:pPr>
  </w:style>
  <w:style w:type="paragraph" w:customStyle="1" w:styleId="Indent2">
    <w:name w:val="Indent 2"/>
    <w:basedOn w:val="Indent1"/>
    <w:rsid w:val="0072751C"/>
    <w:pPr>
      <w:ind w:left="1134"/>
    </w:pPr>
  </w:style>
  <w:style w:type="paragraph" w:customStyle="1" w:styleId="Indent3">
    <w:name w:val="Indent 3"/>
    <w:basedOn w:val="Indent1"/>
    <w:rsid w:val="0072751C"/>
    <w:pPr>
      <w:ind w:left="1701"/>
    </w:pPr>
  </w:style>
  <w:style w:type="paragraph" w:customStyle="1" w:styleId="Indent4">
    <w:name w:val="Indent 4"/>
    <w:basedOn w:val="Indent1"/>
    <w:rsid w:val="0072751C"/>
    <w:pPr>
      <w:ind w:left="2268"/>
    </w:pPr>
  </w:style>
  <w:style w:type="paragraph" w:customStyle="1" w:styleId="Reasons">
    <w:name w:val="Reasons"/>
    <w:basedOn w:val="Normal"/>
    <w:link w:val="ReasonsCar"/>
    <w:rsid w:val="0072751C"/>
    <w:pPr>
      <w:spacing w:before="100" w:beforeAutospacing="1" w:after="100" w:afterAutospacing="1"/>
    </w:pPr>
  </w:style>
  <w:style w:type="character" w:customStyle="1" w:styleId="ReasonsCar">
    <w:name w:val="Reasons Car"/>
    <w:link w:val="Reasons"/>
    <w:rsid w:val="0072751C"/>
    <w:rPr>
      <w:rFonts w:ascii="Arial" w:eastAsia="MS Mincho" w:hAnsi="Arial"/>
      <w:sz w:val="24"/>
      <w:szCs w:val="28"/>
      <w:lang w:val="en-CA" w:eastAsia="ja-JP"/>
    </w:rPr>
  </w:style>
  <w:style w:type="paragraph" w:customStyle="1" w:styleId="Indent10">
    <w:name w:val="Indent1"/>
    <w:basedOn w:val="Reasons"/>
    <w:rsid w:val="0072751C"/>
    <w:pPr>
      <w:ind w:left="567"/>
    </w:pPr>
  </w:style>
  <w:style w:type="paragraph" w:customStyle="1" w:styleId="Indent20">
    <w:name w:val="Indent2"/>
    <w:basedOn w:val="Indent10"/>
    <w:rsid w:val="0072751C"/>
    <w:pPr>
      <w:ind w:left="1134"/>
    </w:pPr>
  </w:style>
  <w:style w:type="paragraph" w:customStyle="1" w:styleId="Indent30">
    <w:name w:val="Indent3"/>
    <w:basedOn w:val="Indent10"/>
    <w:rsid w:val="0072751C"/>
    <w:pPr>
      <w:ind w:left="1701"/>
    </w:pPr>
  </w:style>
  <w:style w:type="paragraph" w:customStyle="1" w:styleId="Indent40">
    <w:name w:val="Indent4"/>
    <w:basedOn w:val="Indent10"/>
    <w:rsid w:val="0072751C"/>
    <w:pPr>
      <w:ind w:left="2268"/>
    </w:pPr>
  </w:style>
  <w:style w:type="paragraph" w:customStyle="1" w:styleId="Keywords">
    <w:name w:val="Keywords"/>
    <w:basedOn w:val="Normal"/>
    <w:rsid w:val="0072751C"/>
    <w:pPr>
      <w:spacing w:before="100" w:beforeAutospacing="1" w:after="100" w:afterAutospacing="1"/>
    </w:pPr>
    <w:rPr>
      <w:rFonts w:cs="Arial"/>
      <w:i/>
      <w:szCs w:val="24"/>
    </w:rPr>
  </w:style>
  <w:style w:type="paragraph" w:customStyle="1" w:styleId="Metadata">
    <w:name w:val="Metadata"/>
    <w:basedOn w:val="Normal"/>
    <w:rsid w:val="0072751C"/>
    <w:pPr>
      <w:spacing w:before="100" w:beforeAutospacing="1" w:after="100" w:afterAutospacing="1"/>
    </w:pPr>
    <w:rPr>
      <w:rFonts w:cs="Arial"/>
      <w:szCs w:val="24"/>
    </w:rPr>
  </w:style>
  <w:style w:type="paragraph" w:customStyle="1" w:styleId="Page">
    <w:name w:val="Page"/>
    <w:basedOn w:val="Normal"/>
    <w:link w:val="PageChar"/>
    <w:rsid w:val="0072751C"/>
    <w:pPr>
      <w:spacing w:before="100" w:beforeAutospacing="1" w:after="100" w:afterAutospacing="1"/>
    </w:pPr>
    <w:rPr>
      <w:i/>
    </w:rPr>
  </w:style>
  <w:style w:type="character" w:customStyle="1" w:styleId="PageChar">
    <w:name w:val="Page Char"/>
    <w:link w:val="Page"/>
    <w:rsid w:val="0072751C"/>
    <w:rPr>
      <w:rFonts w:ascii="Arial" w:eastAsia="MS Mincho" w:hAnsi="Arial"/>
      <w:i/>
      <w:sz w:val="24"/>
      <w:szCs w:val="28"/>
      <w:lang w:val="en-CA" w:eastAsia="ja-JP"/>
    </w:rPr>
  </w:style>
  <w:style w:type="paragraph" w:customStyle="1" w:styleId="ParagNum">
    <w:name w:val="ParagNum"/>
    <w:basedOn w:val="Normal"/>
    <w:rsid w:val="0072751C"/>
    <w:pPr>
      <w:numPr>
        <w:numId w:val="1"/>
      </w:numPr>
      <w:tabs>
        <w:tab w:val="left" w:pos="720"/>
      </w:tabs>
      <w:spacing w:before="240"/>
      <w:jc w:val="both"/>
    </w:pPr>
    <w:rPr>
      <w:szCs w:val="24"/>
      <w:lang w:eastAsia="fr-FR"/>
    </w:rPr>
  </w:style>
  <w:style w:type="paragraph" w:customStyle="1" w:styleId="Sollicitors">
    <w:name w:val="Sollicitors"/>
    <w:basedOn w:val="Normal"/>
    <w:rsid w:val="0072751C"/>
    <w:pPr>
      <w:spacing w:before="100" w:beforeAutospacing="1" w:after="100" w:afterAutospacing="1"/>
    </w:pPr>
    <w:rPr>
      <w:i/>
    </w:rPr>
  </w:style>
  <w:style w:type="paragraph" w:customStyle="1" w:styleId="Summary">
    <w:name w:val="Summary"/>
    <w:basedOn w:val="Normal"/>
    <w:autoRedefine/>
    <w:rsid w:val="004D4DBB"/>
    <w:pPr>
      <w:spacing w:before="100" w:beforeAutospacing="1" w:after="100" w:afterAutospacing="1"/>
      <w:ind w:left="562" w:hanging="562"/>
    </w:pPr>
    <w:rPr>
      <w:rFonts w:cs="Arial"/>
    </w:rPr>
  </w:style>
  <w:style w:type="paragraph" w:customStyle="1" w:styleId="T1">
    <w:name w:val="T1"/>
    <w:basedOn w:val="Normal"/>
    <w:rsid w:val="0072751C"/>
    <w:pPr>
      <w:spacing w:before="240" w:after="100" w:afterAutospacing="1"/>
    </w:pPr>
    <w:rPr>
      <w:b/>
    </w:rPr>
  </w:style>
  <w:style w:type="paragraph" w:customStyle="1" w:styleId="T2">
    <w:name w:val="T2"/>
    <w:basedOn w:val="Normal"/>
    <w:rsid w:val="0072751C"/>
    <w:pPr>
      <w:spacing w:before="240"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71C5"/>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72751C"/>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72751C"/>
    <w:rPr>
      <w:rFonts w:cs="Arial"/>
      <w:b/>
      <w:szCs w:val="24"/>
    </w:rPr>
  </w:style>
  <w:style w:type="paragraph" w:customStyle="1" w:styleId="CitationLine">
    <w:name w:val="CitationLine"/>
    <w:basedOn w:val="Court"/>
    <w:rsid w:val="0072751C"/>
  </w:style>
  <w:style w:type="paragraph" w:customStyle="1" w:styleId="DateISO">
    <w:name w:val="DateISO"/>
    <w:basedOn w:val="Court"/>
    <w:rsid w:val="0072751C"/>
  </w:style>
  <w:style w:type="paragraph" w:styleId="Footer">
    <w:name w:val="footer"/>
    <w:basedOn w:val="Normal"/>
    <w:link w:val="FooterChar"/>
    <w:uiPriority w:val="99"/>
    <w:unhideWhenUsed/>
    <w:rsid w:val="0072751C"/>
    <w:pPr>
      <w:tabs>
        <w:tab w:val="center" w:pos="4680"/>
        <w:tab w:val="right" w:pos="9360"/>
      </w:tabs>
    </w:pPr>
    <w:rPr>
      <w:rFonts w:ascii="Times New Roman" w:hAnsi="Times New Roman"/>
    </w:rPr>
  </w:style>
  <w:style w:type="character" w:customStyle="1" w:styleId="FooterChar">
    <w:name w:val="Footer Char"/>
    <w:link w:val="Footer"/>
    <w:uiPriority w:val="99"/>
    <w:rsid w:val="0072751C"/>
    <w:rPr>
      <w:rFonts w:eastAsia="MS Mincho"/>
      <w:sz w:val="24"/>
      <w:szCs w:val="28"/>
      <w:lang w:val="en-CA" w:eastAsia="ja-JP"/>
    </w:rPr>
  </w:style>
  <w:style w:type="character" w:styleId="FootnoteReference">
    <w:name w:val="footnote reference"/>
    <w:semiHidden/>
    <w:rsid w:val="0072751C"/>
    <w:rPr>
      <w:vertAlign w:val="superscript"/>
    </w:rPr>
  </w:style>
  <w:style w:type="paragraph" w:styleId="FootnoteText">
    <w:name w:val="footnote text"/>
    <w:basedOn w:val="Normal"/>
    <w:link w:val="FootnoteTextChar"/>
    <w:autoRedefine/>
    <w:rsid w:val="0072751C"/>
    <w:rPr>
      <w:sz w:val="16"/>
      <w:szCs w:val="20"/>
    </w:rPr>
  </w:style>
  <w:style w:type="character" w:customStyle="1" w:styleId="FootnoteTextChar">
    <w:name w:val="Footnote Text Char"/>
    <w:link w:val="FootnoteText"/>
    <w:rsid w:val="000E71C5"/>
    <w:rPr>
      <w:rFonts w:ascii="Arial" w:eastAsia="MS Mincho" w:hAnsi="Arial"/>
      <w:sz w:val="16"/>
      <w:szCs w:val="20"/>
      <w:lang w:val="en-CA" w:eastAsia="ja-JP"/>
    </w:rPr>
  </w:style>
  <w:style w:type="paragraph" w:styleId="Header">
    <w:name w:val="header"/>
    <w:basedOn w:val="Normal"/>
    <w:link w:val="HeaderChar"/>
    <w:uiPriority w:val="99"/>
    <w:unhideWhenUsed/>
    <w:rsid w:val="0072751C"/>
    <w:pPr>
      <w:tabs>
        <w:tab w:val="center" w:pos="4680"/>
        <w:tab w:val="right" w:pos="9360"/>
      </w:tabs>
    </w:pPr>
    <w:rPr>
      <w:rFonts w:ascii="Times New Roman" w:hAnsi="Times New Roman"/>
    </w:rPr>
  </w:style>
  <w:style w:type="character" w:customStyle="1" w:styleId="HeaderChar">
    <w:name w:val="Header Char"/>
    <w:link w:val="Header"/>
    <w:uiPriority w:val="99"/>
    <w:rsid w:val="0072751C"/>
    <w:rPr>
      <w:rFonts w:eastAsia="MS Mincho"/>
      <w:sz w:val="24"/>
      <w:szCs w:val="28"/>
      <w:lang w:val="en-CA" w:eastAsia="ja-JP"/>
    </w:rPr>
  </w:style>
  <w:style w:type="character" w:customStyle="1" w:styleId="Heading1Char">
    <w:name w:val="Heading 1 Char"/>
    <w:basedOn w:val="DefaultParagraphFont"/>
    <w:link w:val="Heading1"/>
    <w:rsid w:val="0072751C"/>
    <w:rPr>
      <w:rFonts w:ascii="Arial" w:eastAsia="MS Mincho" w:hAnsi="Arial" w:cs="Arial"/>
      <w:b/>
      <w:bCs/>
      <w:noProof/>
      <w:kern w:val="32"/>
      <w:sz w:val="28"/>
      <w:szCs w:val="32"/>
      <w:lang w:val="en-CA" w:eastAsia="ja-JP"/>
    </w:rPr>
  </w:style>
  <w:style w:type="paragraph" w:customStyle="1" w:styleId="History">
    <w:name w:val="History"/>
    <w:basedOn w:val="Normal"/>
    <w:rsid w:val="0072751C"/>
    <w:pPr>
      <w:spacing w:before="100" w:beforeAutospacing="1" w:after="100" w:afterAutospacing="1"/>
      <w:ind w:firstLine="567"/>
    </w:pPr>
  </w:style>
  <w:style w:type="paragraph" w:customStyle="1" w:styleId="Indent1">
    <w:name w:val="Indent 1"/>
    <w:basedOn w:val="Normal"/>
    <w:next w:val="Normal"/>
    <w:rsid w:val="0072751C"/>
    <w:pPr>
      <w:spacing w:before="100" w:beforeAutospacing="1"/>
      <w:ind w:left="567"/>
      <w:jc w:val="both"/>
    </w:pPr>
  </w:style>
  <w:style w:type="paragraph" w:customStyle="1" w:styleId="Indent2">
    <w:name w:val="Indent 2"/>
    <w:basedOn w:val="Indent1"/>
    <w:rsid w:val="0072751C"/>
    <w:pPr>
      <w:ind w:left="1134"/>
    </w:pPr>
  </w:style>
  <w:style w:type="paragraph" w:customStyle="1" w:styleId="Indent3">
    <w:name w:val="Indent 3"/>
    <w:basedOn w:val="Indent1"/>
    <w:rsid w:val="0072751C"/>
    <w:pPr>
      <w:ind w:left="1701"/>
    </w:pPr>
  </w:style>
  <w:style w:type="paragraph" w:customStyle="1" w:styleId="Indent4">
    <w:name w:val="Indent 4"/>
    <w:basedOn w:val="Indent1"/>
    <w:rsid w:val="0072751C"/>
    <w:pPr>
      <w:ind w:left="2268"/>
    </w:pPr>
  </w:style>
  <w:style w:type="paragraph" w:customStyle="1" w:styleId="Reasons">
    <w:name w:val="Reasons"/>
    <w:basedOn w:val="Normal"/>
    <w:link w:val="ReasonsCar"/>
    <w:rsid w:val="0072751C"/>
    <w:pPr>
      <w:spacing w:before="100" w:beforeAutospacing="1" w:after="100" w:afterAutospacing="1"/>
    </w:pPr>
  </w:style>
  <w:style w:type="character" w:customStyle="1" w:styleId="ReasonsCar">
    <w:name w:val="Reasons Car"/>
    <w:link w:val="Reasons"/>
    <w:rsid w:val="0072751C"/>
    <w:rPr>
      <w:rFonts w:ascii="Arial" w:eastAsia="MS Mincho" w:hAnsi="Arial"/>
      <w:sz w:val="24"/>
      <w:szCs w:val="28"/>
      <w:lang w:val="en-CA" w:eastAsia="ja-JP"/>
    </w:rPr>
  </w:style>
  <w:style w:type="paragraph" w:customStyle="1" w:styleId="Indent10">
    <w:name w:val="Indent1"/>
    <w:basedOn w:val="Reasons"/>
    <w:rsid w:val="0072751C"/>
    <w:pPr>
      <w:ind w:left="567"/>
    </w:pPr>
  </w:style>
  <w:style w:type="paragraph" w:customStyle="1" w:styleId="Indent20">
    <w:name w:val="Indent2"/>
    <w:basedOn w:val="Indent10"/>
    <w:rsid w:val="0072751C"/>
    <w:pPr>
      <w:ind w:left="1134"/>
    </w:pPr>
  </w:style>
  <w:style w:type="paragraph" w:customStyle="1" w:styleId="Indent30">
    <w:name w:val="Indent3"/>
    <w:basedOn w:val="Indent10"/>
    <w:rsid w:val="0072751C"/>
    <w:pPr>
      <w:ind w:left="1701"/>
    </w:pPr>
  </w:style>
  <w:style w:type="paragraph" w:customStyle="1" w:styleId="Indent40">
    <w:name w:val="Indent4"/>
    <w:basedOn w:val="Indent10"/>
    <w:rsid w:val="0072751C"/>
    <w:pPr>
      <w:ind w:left="2268"/>
    </w:pPr>
  </w:style>
  <w:style w:type="paragraph" w:customStyle="1" w:styleId="Keywords">
    <w:name w:val="Keywords"/>
    <w:basedOn w:val="Normal"/>
    <w:rsid w:val="0072751C"/>
    <w:pPr>
      <w:spacing w:before="100" w:beforeAutospacing="1" w:after="100" w:afterAutospacing="1"/>
    </w:pPr>
    <w:rPr>
      <w:rFonts w:cs="Arial"/>
      <w:i/>
      <w:szCs w:val="24"/>
    </w:rPr>
  </w:style>
  <w:style w:type="paragraph" w:customStyle="1" w:styleId="Metadata">
    <w:name w:val="Metadata"/>
    <w:basedOn w:val="Normal"/>
    <w:rsid w:val="0072751C"/>
    <w:pPr>
      <w:spacing w:before="100" w:beforeAutospacing="1" w:after="100" w:afterAutospacing="1"/>
    </w:pPr>
    <w:rPr>
      <w:rFonts w:cs="Arial"/>
      <w:szCs w:val="24"/>
    </w:rPr>
  </w:style>
  <w:style w:type="paragraph" w:customStyle="1" w:styleId="Page">
    <w:name w:val="Page"/>
    <w:basedOn w:val="Normal"/>
    <w:link w:val="PageChar"/>
    <w:rsid w:val="0072751C"/>
    <w:pPr>
      <w:spacing w:before="100" w:beforeAutospacing="1" w:after="100" w:afterAutospacing="1"/>
    </w:pPr>
    <w:rPr>
      <w:i/>
    </w:rPr>
  </w:style>
  <w:style w:type="character" w:customStyle="1" w:styleId="PageChar">
    <w:name w:val="Page Char"/>
    <w:link w:val="Page"/>
    <w:rsid w:val="0072751C"/>
    <w:rPr>
      <w:rFonts w:ascii="Arial" w:eastAsia="MS Mincho" w:hAnsi="Arial"/>
      <w:i/>
      <w:sz w:val="24"/>
      <w:szCs w:val="28"/>
      <w:lang w:val="en-CA" w:eastAsia="ja-JP"/>
    </w:rPr>
  </w:style>
  <w:style w:type="paragraph" w:customStyle="1" w:styleId="ParagNum">
    <w:name w:val="ParagNum"/>
    <w:basedOn w:val="Normal"/>
    <w:rsid w:val="0072751C"/>
    <w:pPr>
      <w:numPr>
        <w:numId w:val="1"/>
      </w:numPr>
      <w:tabs>
        <w:tab w:val="left" w:pos="720"/>
      </w:tabs>
      <w:spacing w:before="240"/>
      <w:jc w:val="both"/>
    </w:pPr>
    <w:rPr>
      <w:szCs w:val="24"/>
      <w:lang w:eastAsia="fr-FR"/>
    </w:rPr>
  </w:style>
  <w:style w:type="paragraph" w:customStyle="1" w:styleId="Sollicitors">
    <w:name w:val="Sollicitors"/>
    <w:basedOn w:val="Normal"/>
    <w:rsid w:val="0072751C"/>
    <w:pPr>
      <w:spacing w:before="100" w:beforeAutospacing="1" w:after="100" w:afterAutospacing="1"/>
    </w:pPr>
    <w:rPr>
      <w:i/>
    </w:rPr>
  </w:style>
  <w:style w:type="paragraph" w:customStyle="1" w:styleId="Summary">
    <w:name w:val="Summary"/>
    <w:basedOn w:val="Normal"/>
    <w:autoRedefine/>
    <w:rsid w:val="004D4DBB"/>
    <w:pPr>
      <w:spacing w:before="100" w:beforeAutospacing="1" w:after="100" w:afterAutospacing="1"/>
      <w:ind w:left="562" w:hanging="562"/>
    </w:pPr>
    <w:rPr>
      <w:rFonts w:cs="Arial"/>
    </w:rPr>
  </w:style>
  <w:style w:type="paragraph" w:customStyle="1" w:styleId="T1">
    <w:name w:val="T1"/>
    <w:basedOn w:val="Normal"/>
    <w:rsid w:val="0072751C"/>
    <w:pPr>
      <w:spacing w:before="240" w:after="100" w:afterAutospacing="1"/>
    </w:pPr>
    <w:rPr>
      <w:b/>
    </w:rPr>
  </w:style>
  <w:style w:type="paragraph" w:customStyle="1" w:styleId="T2">
    <w:name w:val="T2"/>
    <w:basedOn w:val="Normal"/>
    <w:rsid w:val="0072751C"/>
    <w:pPr>
      <w:spacing w:before="24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7A596-97E7-4B6A-871F-E1E62812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813</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Lexum</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Pocovnicu</cp:lastModifiedBy>
  <cp:revision>6</cp:revision>
  <dcterms:created xsi:type="dcterms:W3CDTF">2017-04-11T12:34:00Z</dcterms:created>
  <dcterms:modified xsi:type="dcterms:W3CDTF">2017-04-13T14:21:00Z</dcterms:modified>
</cp:coreProperties>
</file>