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2A" w:rsidRPr="009F47BB" w:rsidRDefault="0012512A" w:rsidP="001646A0">
      <w:pPr>
        <w:pStyle w:val="Court"/>
        <w:rPr>
          <w:lang w:val="en-US"/>
        </w:rPr>
      </w:pPr>
      <w:r w:rsidRPr="009F47BB">
        <w:rPr>
          <w:lang w:val="en-US"/>
        </w:rPr>
        <w:t>Supreme Court of Canada</w:t>
      </w:r>
    </w:p>
    <w:p w:rsidR="0012512A" w:rsidRPr="009F47BB" w:rsidRDefault="0012512A" w:rsidP="001646A0">
      <w:pPr>
        <w:pStyle w:val="CitationLine"/>
      </w:pPr>
      <w:r w:rsidRPr="009F47BB">
        <w:t>Town of Lunenburg v. Municipality of Lunenburg</w:t>
      </w:r>
      <w:r w:rsidR="00652FF2">
        <w:t>, [1957] SCR 400</w:t>
      </w:r>
    </w:p>
    <w:p w:rsidR="0012512A" w:rsidRPr="009F47BB" w:rsidRDefault="0012512A" w:rsidP="001646A0">
      <w:pPr>
        <w:pStyle w:val="DateISO"/>
      </w:pPr>
      <w:r w:rsidRPr="009F47BB">
        <w:t>Date: 1957-04-12</w:t>
      </w:r>
    </w:p>
    <w:p w:rsidR="0012512A" w:rsidRPr="009F47BB" w:rsidRDefault="0012512A" w:rsidP="009F47BB">
      <w:pPr>
        <w:pStyle w:val="Metadata"/>
        <w:rPr>
          <w:lang w:val="en-US"/>
        </w:rPr>
      </w:pPr>
      <w:r w:rsidRPr="009F47BB">
        <w:rPr>
          <w:lang w:val="en-US"/>
        </w:rPr>
        <w:t xml:space="preserve">The Town </w:t>
      </w:r>
      <w:r w:rsidR="00652FF2" w:rsidRPr="009F47BB">
        <w:rPr>
          <w:lang w:val="en-US"/>
        </w:rPr>
        <w:t xml:space="preserve">of </w:t>
      </w:r>
      <w:r w:rsidRPr="009F47BB">
        <w:rPr>
          <w:lang w:val="en-US"/>
        </w:rPr>
        <w:t xml:space="preserve">Lunenburg </w:t>
      </w:r>
    </w:p>
    <w:p w:rsidR="00FA5AE0" w:rsidRPr="009F47BB" w:rsidRDefault="0012512A" w:rsidP="009F47BB">
      <w:pPr>
        <w:pStyle w:val="Metadata"/>
      </w:pPr>
      <w:r w:rsidRPr="009F47BB">
        <w:rPr>
          <w:lang w:val="en-US"/>
        </w:rPr>
        <w:t>Appellant</w:t>
      </w:r>
      <w:r w:rsidR="009F47BB" w:rsidRPr="009F47BB">
        <w:rPr>
          <w:lang w:val="en-US"/>
        </w:rPr>
        <w:t>;</w:t>
      </w:r>
    </w:p>
    <w:p w:rsidR="00FA5AE0" w:rsidRPr="009F47BB" w:rsidRDefault="0012512A" w:rsidP="009F47BB">
      <w:pPr>
        <w:pStyle w:val="Metadata"/>
        <w:rPr>
          <w:spacing w:val="-22"/>
        </w:rPr>
      </w:pPr>
      <w:r w:rsidRPr="009F47BB">
        <w:rPr>
          <w:spacing w:val="-22"/>
          <w:lang w:val="en-US"/>
        </w:rPr>
        <w:t>And</w:t>
      </w:r>
    </w:p>
    <w:p w:rsidR="009F47BB" w:rsidRPr="009F47BB" w:rsidRDefault="0012512A" w:rsidP="009F47BB">
      <w:pPr>
        <w:pStyle w:val="Metadata"/>
        <w:rPr>
          <w:spacing w:val="12"/>
          <w:lang w:val="en-US"/>
        </w:rPr>
      </w:pPr>
      <w:r w:rsidRPr="009F47BB">
        <w:rPr>
          <w:spacing w:val="12"/>
          <w:lang w:val="en-US"/>
        </w:rPr>
        <w:t>The Municipality of Lunenburg</w:t>
      </w:r>
    </w:p>
    <w:p w:rsidR="00FA5AE0" w:rsidRPr="009F47BB" w:rsidRDefault="0012512A" w:rsidP="009F47BB">
      <w:pPr>
        <w:pStyle w:val="Metadata"/>
        <w:rPr>
          <w:spacing w:val="12"/>
          <w:lang w:val="en-US"/>
        </w:rPr>
      </w:pPr>
      <w:proofErr w:type="gramStart"/>
      <w:r w:rsidRPr="009F47BB">
        <w:rPr>
          <w:spacing w:val="12"/>
          <w:lang w:val="en-US"/>
        </w:rPr>
        <w:t>Respondent.</w:t>
      </w:r>
      <w:proofErr w:type="gramEnd"/>
    </w:p>
    <w:p w:rsidR="0012512A" w:rsidRPr="009F47BB" w:rsidRDefault="0012512A" w:rsidP="009F47BB">
      <w:pPr>
        <w:pStyle w:val="Metadata"/>
        <w:rPr>
          <w:spacing w:val="12"/>
          <w:lang w:val="en-US"/>
        </w:rPr>
      </w:pPr>
      <w:r w:rsidRPr="009F47BB">
        <w:rPr>
          <w:spacing w:val="12"/>
          <w:lang w:val="en-US"/>
        </w:rPr>
        <w:t>1957: Mar. 6, 7, Apr. 12.</w:t>
      </w:r>
    </w:p>
    <w:p w:rsidR="0012512A" w:rsidRPr="009F47BB" w:rsidRDefault="0012512A" w:rsidP="009F47BB">
      <w:pPr>
        <w:pStyle w:val="Metadata"/>
        <w:rPr>
          <w:spacing w:val="12"/>
          <w:lang w:val="en-US"/>
        </w:rPr>
      </w:pPr>
      <w:r w:rsidRPr="009F47BB">
        <w:rPr>
          <w:spacing w:val="12"/>
          <w:lang w:val="en-US"/>
        </w:rPr>
        <w:t>Present: Rand, Locke</w:t>
      </w:r>
      <w:r w:rsidR="00784F27" w:rsidRPr="009F47BB">
        <w:rPr>
          <w:spacing w:val="12"/>
          <w:lang w:val="en-US"/>
        </w:rPr>
        <w:t xml:space="preserve">, Cartwright, </w:t>
      </w:r>
      <w:proofErr w:type="spellStart"/>
      <w:r w:rsidR="00784F27" w:rsidRPr="009F47BB">
        <w:rPr>
          <w:spacing w:val="12"/>
          <w:lang w:val="en-US"/>
        </w:rPr>
        <w:t>Fauteux</w:t>
      </w:r>
      <w:proofErr w:type="spellEnd"/>
      <w:r w:rsidR="00784F27" w:rsidRPr="009F47BB">
        <w:rPr>
          <w:spacing w:val="12"/>
          <w:lang w:val="en-US"/>
        </w:rPr>
        <w:t xml:space="preserve"> and Abbott JJ.</w:t>
      </w:r>
    </w:p>
    <w:p w:rsidR="00FA5AE0" w:rsidRPr="009F47BB" w:rsidRDefault="0012512A" w:rsidP="009F47BB">
      <w:pPr>
        <w:pStyle w:val="Metadata"/>
        <w:jc w:val="center"/>
        <w:rPr>
          <w:rFonts w:eastAsia="Times New Roman"/>
          <w:color w:val="000000"/>
          <w:spacing w:val="-11"/>
        </w:rPr>
      </w:pPr>
      <w:r w:rsidRPr="009F47BB">
        <w:rPr>
          <w:rFonts w:eastAsia="Times New Roman"/>
          <w:color w:val="000000"/>
          <w:spacing w:val="-11"/>
          <w:lang w:val="en-US"/>
        </w:rPr>
        <w:t>ON APPEAL FROM THE SUPREME COURT OF NOVA SCOTIA</w:t>
      </w:r>
    </w:p>
    <w:p w:rsidR="00FA5AE0" w:rsidRPr="009F47BB" w:rsidRDefault="0012512A" w:rsidP="009F47BB">
      <w:pPr>
        <w:pStyle w:val="Keywords"/>
      </w:pPr>
      <w:r w:rsidRPr="009F47BB">
        <w:rPr>
          <w:lang w:val="en-US"/>
        </w:rPr>
        <w:t>Infants—Neglected children—Determination of child's settlement—Whether determination may be reopened on further application for declaration that child defective—The Child Welfare Act, R.S.N.S. 1954, c. 30, ss. 30(1), 83(2).</w:t>
      </w:r>
    </w:p>
    <w:p w:rsidR="00FA5AE0" w:rsidRPr="009F47BB" w:rsidRDefault="0012512A" w:rsidP="009F47BB">
      <w:pPr>
        <w:pStyle w:val="Summary"/>
        <w:rPr>
          <w:szCs w:val="24"/>
        </w:rPr>
      </w:pPr>
      <w:proofErr w:type="gramStart"/>
      <w:r w:rsidRPr="009F47BB">
        <w:rPr>
          <w:szCs w:val="24"/>
          <w:lang w:val="en-US"/>
        </w:rPr>
        <w:t xml:space="preserve">When the settlement of a child has been determined under s. 30(1) of the </w:t>
      </w:r>
      <w:r w:rsidRPr="009F47BB">
        <w:rPr>
          <w:i/>
          <w:szCs w:val="24"/>
          <w:lang w:val="en-US"/>
        </w:rPr>
        <w:t xml:space="preserve">Child Welfare Act </w:t>
      </w:r>
      <w:r w:rsidRPr="009F47BB">
        <w:rPr>
          <w:szCs w:val="24"/>
          <w:lang w:val="en-US"/>
        </w:rPr>
        <w:t>at the time that the child is found to be neglected, that determination cannot be reopened on a subsequent application under s. 83 for a declaration that the child is defective, even if the circumstances have changed between the two applications.</w:t>
      </w:r>
      <w:proofErr w:type="gramEnd"/>
    </w:p>
    <w:p w:rsidR="00FA5AE0" w:rsidRPr="009F47BB" w:rsidRDefault="0012512A" w:rsidP="009F47BB">
      <w:pPr>
        <w:pStyle w:val="Summary"/>
        <w:rPr>
          <w:spacing w:val="9"/>
          <w:szCs w:val="24"/>
        </w:rPr>
      </w:pPr>
      <w:r w:rsidRPr="009F47BB">
        <w:rPr>
          <w:spacing w:val="9"/>
          <w:szCs w:val="24"/>
          <w:lang w:val="en-US"/>
        </w:rPr>
        <w:t xml:space="preserve">The purpose of s. 83 is limited to an inquiry into the alleged new condition of the child, </w:t>
      </w:r>
      <w:r w:rsidR="00B40D8D" w:rsidRPr="009F47BB">
        <w:rPr>
          <w:i/>
          <w:spacing w:val="9"/>
          <w:szCs w:val="24"/>
          <w:lang w:val="en-US"/>
        </w:rPr>
        <w:t>i.</w:t>
      </w:r>
      <w:r w:rsidRPr="009F47BB">
        <w:rPr>
          <w:i/>
          <w:spacing w:val="9"/>
          <w:szCs w:val="24"/>
          <w:lang w:val="en-US"/>
        </w:rPr>
        <w:t xml:space="preserve">e., </w:t>
      </w:r>
      <w:r w:rsidRPr="009F47BB">
        <w:rPr>
          <w:spacing w:val="9"/>
          <w:szCs w:val="24"/>
          <w:lang w:val="en-US"/>
        </w:rPr>
        <w:t>its defectiveness, in order that new and extended authority may be given to the Children's Aid Society as its guardian. Subsection (2) of s. 83 is designed to enable the judge to "deal with" the matter of its newly-alleged condition only, and does not entitle him to embark upon a new inquiry as to the settlement of the child.</w:t>
      </w:r>
    </w:p>
    <w:p w:rsidR="00FA5AE0" w:rsidRPr="009F47BB" w:rsidRDefault="0012512A" w:rsidP="009F47BB">
      <w:pPr>
        <w:pStyle w:val="History"/>
        <w:rPr>
          <w:rFonts w:cs="Arial"/>
          <w:szCs w:val="24"/>
        </w:rPr>
      </w:pPr>
      <w:r w:rsidRPr="009F47BB">
        <w:rPr>
          <w:rFonts w:cs="Arial"/>
          <w:szCs w:val="24"/>
          <w:lang w:val="en-US"/>
        </w:rPr>
        <w:t xml:space="preserve">APPEAL by the Town of Lunenburg from the judgment of the Supreme Court of Nova Scotia, in </w:t>
      </w:r>
      <w:r w:rsidR="00784F27" w:rsidRPr="009F47BB">
        <w:rPr>
          <w:rFonts w:eastAsia="Garamond" w:cs="Arial"/>
          <w:i/>
          <w:szCs w:val="24"/>
          <w:lang w:val="en-US"/>
        </w:rPr>
        <w:t>banco</w:t>
      </w:r>
      <w:r w:rsidR="00784F27" w:rsidRPr="009F47BB">
        <w:rPr>
          <w:rStyle w:val="FootnoteReference"/>
          <w:rFonts w:eastAsia="Garamond" w:cs="Arial"/>
          <w:i/>
          <w:szCs w:val="24"/>
          <w:lang w:val="en-US"/>
        </w:rPr>
        <w:footnoteReference w:id="1"/>
      </w:r>
      <w:r w:rsidRPr="009F47BB">
        <w:rPr>
          <w:rFonts w:eastAsia="Garamond" w:cs="Arial"/>
          <w:i/>
          <w:szCs w:val="24"/>
          <w:lang w:val="en-US"/>
        </w:rPr>
        <w:t xml:space="preserve">, </w:t>
      </w:r>
      <w:r w:rsidRPr="009F47BB">
        <w:rPr>
          <w:rFonts w:cs="Arial"/>
          <w:szCs w:val="24"/>
          <w:lang w:val="en-US"/>
        </w:rPr>
        <w:t>affirming, on an equal division of the Cour</w:t>
      </w:r>
      <w:r w:rsidR="00784F27" w:rsidRPr="009F47BB">
        <w:rPr>
          <w:rFonts w:cs="Arial"/>
          <w:szCs w:val="24"/>
          <w:lang w:val="en-US"/>
        </w:rPr>
        <w:t>t, the judgment of Currie J.</w:t>
      </w:r>
      <w:r w:rsidR="00784F27" w:rsidRPr="009F47BB">
        <w:rPr>
          <w:rStyle w:val="FootnoteReference"/>
          <w:rFonts w:cs="Arial"/>
          <w:szCs w:val="24"/>
          <w:lang w:val="en-US"/>
        </w:rPr>
        <w:footnoteReference w:id="2"/>
      </w:r>
      <w:r w:rsidRPr="009F47BB">
        <w:rPr>
          <w:rFonts w:cs="Arial"/>
          <w:szCs w:val="24"/>
          <w:lang w:val="en-US"/>
        </w:rPr>
        <w:t>, dismissing an application for a writ of certiorari.</w:t>
      </w:r>
    </w:p>
    <w:p w:rsidR="0012512A" w:rsidRPr="009F47BB" w:rsidRDefault="0012512A" w:rsidP="009F47BB">
      <w:pPr>
        <w:pStyle w:val="Page"/>
        <w:rPr>
          <w:rFonts w:cs="Arial"/>
          <w:szCs w:val="24"/>
          <w:lang w:val="en-US"/>
        </w:rPr>
      </w:pPr>
      <w:r w:rsidRPr="009F47BB">
        <w:rPr>
          <w:rFonts w:cs="Arial"/>
          <w:color w:val="000000"/>
          <w:szCs w:val="24"/>
          <w:lang w:val="en-US"/>
        </w:rPr>
        <w:t>[Page 401]</w:t>
      </w:r>
    </w:p>
    <w:p w:rsidR="00FA5AE0" w:rsidRPr="009F47BB" w:rsidRDefault="0012512A" w:rsidP="009F47BB">
      <w:pPr>
        <w:pStyle w:val="Sollicitors"/>
        <w:rPr>
          <w:rFonts w:cs="Arial"/>
          <w:szCs w:val="24"/>
        </w:rPr>
      </w:pPr>
      <w:proofErr w:type="gramStart"/>
      <w:r w:rsidRPr="009F47BB">
        <w:rPr>
          <w:rFonts w:cs="Arial"/>
          <w:szCs w:val="24"/>
          <w:lang w:val="en-US"/>
        </w:rPr>
        <w:t>C. R. Coughlan, Q.C., and Archibald Burke, for the appellant.</w:t>
      </w:r>
      <w:proofErr w:type="gramEnd"/>
    </w:p>
    <w:p w:rsidR="0012512A" w:rsidRPr="009F47BB" w:rsidRDefault="0012512A" w:rsidP="009F47BB">
      <w:pPr>
        <w:pStyle w:val="Sollicitors"/>
        <w:rPr>
          <w:rFonts w:cs="Arial"/>
          <w:szCs w:val="24"/>
          <w:lang w:val="en-US"/>
        </w:rPr>
      </w:pPr>
      <w:r w:rsidRPr="009F47BB">
        <w:rPr>
          <w:rFonts w:cs="Arial"/>
          <w:szCs w:val="24"/>
          <w:lang w:val="en-US"/>
        </w:rPr>
        <w:t xml:space="preserve">R. A. </w:t>
      </w:r>
      <w:proofErr w:type="spellStart"/>
      <w:r w:rsidRPr="009F47BB">
        <w:rPr>
          <w:rFonts w:cs="Arial"/>
          <w:szCs w:val="24"/>
          <w:lang w:val="en-US"/>
        </w:rPr>
        <w:t>Kanigsberg</w:t>
      </w:r>
      <w:proofErr w:type="spellEnd"/>
      <w:r w:rsidRPr="009F47BB">
        <w:rPr>
          <w:rFonts w:cs="Arial"/>
          <w:szCs w:val="24"/>
          <w:lang w:val="en-US"/>
        </w:rPr>
        <w:t xml:space="preserve">, Q.C., for the respondent. </w:t>
      </w:r>
    </w:p>
    <w:p w:rsidR="00FA5AE0" w:rsidRPr="009F47BB" w:rsidRDefault="0012512A" w:rsidP="009F47BB">
      <w:pPr>
        <w:pStyle w:val="Reasons"/>
        <w:rPr>
          <w:rFonts w:cs="Arial"/>
          <w:i/>
          <w:szCs w:val="24"/>
        </w:rPr>
      </w:pPr>
      <w:r w:rsidRPr="009F47BB">
        <w:rPr>
          <w:rFonts w:cs="Arial"/>
          <w:szCs w:val="24"/>
          <w:lang w:val="en-US"/>
        </w:rPr>
        <w:t>The judgment of the Court was delivered by</w:t>
      </w:r>
    </w:p>
    <w:p w:rsidR="00FA5AE0" w:rsidRPr="009F47BB" w:rsidRDefault="0012512A" w:rsidP="009F47BB">
      <w:pPr>
        <w:pStyle w:val="Reasons"/>
        <w:rPr>
          <w:rFonts w:cs="Arial"/>
          <w:spacing w:val="8"/>
          <w:szCs w:val="24"/>
        </w:rPr>
      </w:pPr>
      <w:r w:rsidRPr="009F47BB">
        <w:rPr>
          <w:rFonts w:cs="Arial"/>
          <w:spacing w:val="8"/>
          <w:szCs w:val="24"/>
          <w:lang w:val="en-US"/>
        </w:rPr>
        <w:t>RAND J.:—</w:t>
      </w:r>
      <w:proofErr w:type="gramStart"/>
      <w:r w:rsidRPr="009F47BB">
        <w:rPr>
          <w:rFonts w:cs="Arial"/>
          <w:spacing w:val="8"/>
          <w:szCs w:val="24"/>
          <w:lang w:val="en-US"/>
        </w:rPr>
        <w:t>The</w:t>
      </w:r>
      <w:proofErr w:type="gramEnd"/>
      <w:r w:rsidRPr="009F47BB">
        <w:rPr>
          <w:rFonts w:cs="Arial"/>
          <w:spacing w:val="8"/>
          <w:szCs w:val="24"/>
          <w:lang w:val="en-US"/>
        </w:rPr>
        <w:t xml:space="preserve"> question raised in this appeal is that of the settlement of a child committed to the care and custody of a Children's Aid Society as a neglected child who, later, on an application to the Court, is found also to be a defective child.</w:t>
      </w:r>
    </w:p>
    <w:p w:rsidR="00FA5AE0" w:rsidRPr="009F47BB" w:rsidRDefault="0012512A" w:rsidP="009F47BB">
      <w:pPr>
        <w:pStyle w:val="Reasons"/>
        <w:rPr>
          <w:rFonts w:cs="Arial"/>
          <w:spacing w:val="9"/>
          <w:szCs w:val="24"/>
        </w:rPr>
      </w:pPr>
      <w:r w:rsidRPr="009F47BB">
        <w:rPr>
          <w:rFonts w:cs="Arial"/>
          <w:spacing w:val="9"/>
          <w:szCs w:val="24"/>
          <w:lang w:val="en-US"/>
        </w:rPr>
        <w:lastRenderedPageBreak/>
        <w:t xml:space="preserve">When under Part III of the </w:t>
      </w:r>
      <w:r w:rsidRPr="009F47BB">
        <w:rPr>
          <w:rFonts w:cs="Arial"/>
          <w:i/>
          <w:spacing w:val="9"/>
          <w:szCs w:val="24"/>
          <w:lang w:val="en-US"/>
        </w:rPr>
        <w:t xml:space="preserve">Child Welfare Act, </w:t>
      </w:r>
      <w:r w:rsidRPr="009F47BB">
        <w:rPr>
          <w:rFonts w:cs="Arial"/>
          <w:spacing w:val="9"/>
          <w:szCs w:val="24"/>
          <w:lang w:val="en-US"/>
        </w:rPr>
        <w:t>R.S.N.S. 1954, c. 30, a child is brought before a judge or magistrate for a declaration that it is a neglected child, the judge, under s. 30 (1) must, among other things, determine its place of settlement. , On the application in this case that was found to be the town of Lunenburg.</w:t>
      </w:r>
    </w:p>
    <w:p w:rsidR="00FA5AE0" w:rsidRPr="009F47BB" w:rsidRDefault="0012512A" w:rsidP="009F47BB">
      <w:pPr>
        <w:pStyle w:val="Reasons"/>
        <w:rPr>
          <w:rFonts w:cs="Arial"/>
          <w:spacing w:val="8"/>
          <w:szCs w:val="24"/>
        </w:rPr>
      </w:pPr>
      <w:r w:rsidRPr="009F47BB">
        <w:rPr>
          <w:rFonts w:cs="Arial"/>
          <w:spacing w:val="8"/>
          <w:szCs w:val="24"/>
          <w:lang w:val="en-US"/>
        </w:rPr>
        <w:t>Subsequently an application was made under s. 83 to have the child declared a defective. On that hearing the magistrate ruled that the settlement already found was binding on him and he declined to enter upon a reconsideration of it.</w:t>
      </w:r>
    </w:p>
    <w:p w:rsidR="00FA5AE0" w:rsidRPr="009F47BB" w:rsidRDefault="0012512A" w:rsidP="009F47BB">
      <w:pPr>
        <w:pStyle w:val="Reasons"/>
        <w:rPr>
          <w:rFonts w:cs="Arial"/>
          <w:spacing w:val="10"/>
          <w:szCs w:val="24"/>
        </w:rPr>
      </w:pPr>
      <w:r w:rsidRPr="009F47BB">
        <w:rPr>
          <w:rFonts w:cs="Arial"/>
          <w:spacing w:val="10"/>
          <w:szCs w:val="24"/>
          <w:lang w:val="en-US"/>
        </w:rPr>
        <w:t>Mr. Coughlan's contention is that on the subsequent application the question of settlement must, by subs. (2; of s. 83, be inquired into anew and be decided in the light of the then existing circumstances. The subsection reads:</w:t>
      </w:r>
    </w:p>
    <w:p w:rsidR="00FA5AE0" w:rsidRPr="009F47BB" w:rsidRDefault="0012512A" w:rsidP="009F47BB">
      <w:pPr>
        <w:pStyle w:val="Indent1"/>
        <w:spacing w:after="100" w:afterAutospacing="1"/>
        <w:rPr>
          <w:rFonts w:cs="Arial"/>
          <w:szCs w:val="24"/>
        </w:rPr>
      </w:pPr>
      <w:r w:rsidRPr="009F47BB">
        <w:rPr>
          <w:rFonts w:cs="Arial"/>
          <w:szCs w:val="24"/>
          <w:lang w:val="en-US"/>
        </w:rPr>
        <w:t>In the case of a defective child, or a child believed to be a defective child, who has been delivered to a Society or to the Director under Part III, the judge may hold the examination as in subsection (1)* and may deal with the case and may make any order or finding on the report of a psychiatrist and the reports of the Society or the Director without the necessity of hearing any further or other persons or evidence.</w:t>
      </w:r>
    </w:p>
    <w:p w:rsidR="00FA5AE0" w:rsidRPr="009F47BB" w:rsidRDefault="0012512A" w:rsidP="009F47BB">
      <w:pPr>
        <w:pStyle w:val="Reasons"/>
        <w:rPr>
          <w:rFonts w:cs="Arial"/>
          <w:spacing w:val="9"/>
          <w:szCs w:val="24"/>
        </w:rPr>
      </w:pPr>
      <w:r w:rsidRPr="009F47BB">
        <w:rPr>
          <w:rFonts w:cs="Arial"/>
          <w:spacing w:val="9"/>
          <w:szCs w:val="24"/>
          <w:lang w:val="en-US"/>
        </w:rPr>
        <w:t>The new circumstance was that between the two applications the settlement of the father had changed from the town to the municipality of Lunenburg.</w:t>
      </w:r>
    </w:p>
    <w:p w:rsidR="00FA5AE0" w:rsidRPr="009F47BB" w:rsidRDefault="0012512A" w:rsidP="009F47BB">
      <w:pPr>
        <w:pStyle w:val="Reasons"/>
        <w:rPr>
          <w:rFonts w:cs="Arial"/>
          <w:spacing w:val="10"/>
          <w:szCs w:val="24"/>
        </w:rPr>
      </w:pPr>
      <w:r w:rsidRPr="009F47BB">
        <w:rPr>
          <w:rFonts w:cs="Arial"/>
          <w:spacing w:val="10"/>
          <w:szCs w:val="24"/>
          <w:lang w:val="en-US"/>
        </w:rPr>
        <w:t>It is argued that the original finding does not establish a fixed statutory settlement; that settlement is to be determined from time to time by the appropriate law, in which</w:t>
      </w:r>
    </w:p>
    <w:p w:rsidR="0012512A" w:rsidRPr="009F47BB" w:rsidRDefault="0012512A" w:rsidP="009F47BB">
      <w:pPr>
        <w:pStyle w:val="Page"/>
        <w:rPr>
          <w:rFonts w:cs="Arial"/>
          <w:szCs w:val="24"/>
          <w:lang w:val="en-US"/>
        </w:rPr>
      </w:pPr>
      <w:r w:rsidRPr="009F47BB">
        <w:rPr>
          <w:rFonts w:cs="Arial"/>
          <w:color w:val="000000"/>
          <w:szCs w:val="24"/>
          <w:lang w:val="en-US"/>
        </w:rPr>
        <w:t>[Page 402]</w:t>
      </w:r>
    </w:p>
    <w:p w:rsidR="00FA5AE0" w:rsidRPr="009F47BB" w:rsidRDefault="00652FF2" w:rsidP="009F47BB">
      <w:pPr>
        <w:pStyle w:val="Reasons"/>
        <w:rPr>
          <w:rFonts w:cs="Arial"/>
          <w:spacing w:val="4"/>
          <w:szCs w:val="24"/>
        </w:rPr>
      </w:pPr>
      <w:proofErr w:type="gramStart"/>
      <w:r>
        <w:rPr>
          <w:rFonts w:cs="Arial"/>
          <w:spacing w:val="4"/>
          <w:szCs w:val="24"/>
          <w:lang w:val="en-US"/>
        </w:rPr>
        <w:t>c</w:t>
      </w:r>
      <w:r w:rsidR="0012512A" w:rsidRPr="009F47BB">
        <w:rPr>
          <w:rFonts w:cs="Arial"/>
          <w:spacing w:val="4"/>
          <w:szCs w:val="24"/>
          <w:lang w:val="en-US"/>
        </w:rPr>
        <w:t>ase</w:t>
      </w:r>
      <w:proofErr w:type="gramEnd"/>
      <w:r w:rsidR="0012512A" w:rsidRPr="009F47BB">
        <w:rPr>
          <w:rFonts w:cs="Arial"/>
          <w:spacing w:val="4"/>
          <w:szCs w:val="24"/>
          <w:lang w:val="en-US"/>
        </w:rPr>
        <w:t xml:space="preserve"> it would change with that of the parent or guardian. But it is agreed that there is nothing in the statute which permits the original finding on an application for that purpose to be reopened. . That means that, apart from the effect of s. 83, the settlement of the child so found remains fixed regardless of the residence of his parent. It is then only the accident of a further application being made unde</w:t>
      </w:r>
      <w:r w:rsidR="009F47BB">
        <w:rPr>
          <w:rFonts w:cs="Arial"/>
          <w:spacing w:val="4"/>
          <w:szCs w:val="24"/>
          <w:lang w:val="en-US"/>
        </w:rPr>
        <w:t>r s. 83 for the declaration of</w:t>
      </w:r>
      <w:r w:rsidR="0012512A" w:rsidRPr="009F47BB">
        <w:rPr>
          <w:rFonts w:cs="Arial"/>
          <w:spacing w:val="4"/>
          <w:szCs w:val="24"/>
          <w:lang w:val="en-US"/>
        </w:rPr>
        <w:t xml:space="preserve"> defectiveness that is said to permit a new determination; and this, it is argued, is required by the language of the section.</w:t>
      </w:r>
    </w:p>
    <w:p w:rsidR="00FA5AE0" w:rsidRPr="009F47BB" w:rsidRDefault="0012512A" w:rsidP="009F47BB">
      <w:pPr>
        <w:pStyle w:val="Reasons"/>
        <w:rPr>
          <w:rFonts w:cs="Arial"/>
          <w:spacing w:val="2"/>
          <w:szCs w:val="24"/>
        </w:rPr>
      </w:pPr>
      <w:r w:rsidRPr="009F47BB">
        <w:rPr>
          <w:rFonts w:cs="Arial"/>
          <w:spacing w:val="2"/>
          <w:szCs w:val="24"/>
          <w:lang w:val="en-US"/>
        </w:rPr>
        <w:t xml:space="preserve">I- am unable to accept that contention. The purpose of s. 83 is limited to an enquiry into the alleged new condition of the child, its defectiveness, in order that the society, the guardian, may be invested with a new and extended authority in relation to its custody. Subsection (2) is designed to enable the judge to act upon the reports of a psychiatrist and the Society or Director "without the necessity of hearing any further or other persons or evidence". Certainly this </w:t>
      </w:r>
      <w:r w:rsidRPr="009F47BB">
        <w:rPr>
          <w:rFonts w:cs="Arial"/>
          <w:i/>
          <w:spacing w:val="2"/>
          <w:szCs w:val="24"/>
          <w:lang w:val="en-US"/>
        </w:rPr>
        <w:t xml:space="preserve">ex facie </w:t>
      </w:r>
      <w:r w:rsidRPr="009F47BB">
        <w:rPr>
          <w:rFonts w:cs="Arial"/>
          <w:spacing w:val="2"/>
          <w:szCs w:val="24"/>
          <w:lang w:val="en-US"/>
        </w:rPr>
        <w:t xml:space="preserve">excludes evidence on the question of settlement. </w:t>
      </w:r>
      <w:proofErr w:type="gramStart"/>
      <w:r w:rsidRPr="009F47BB">
        <w:rPr>
          <w:rFonts w:cs="Arial"/>
          <w:spacing w:val="2"/>
          <w:szCs w:val="24"/>
          <w:lang w:val="en-US"/>
        </w:rPr>
        <w:t>That th</w:t>
      </w:r>
      <w:bookmarkStart w:id="0" w:name="_GoBack"/>
      <w:bookmarkEnd w:id="0"/>
      <w:r w:rsidRPr="009F47BB">
        <w:rPr>
          <w:rFonts w:cs="Arial"/>
          <w:spacing w:val="2"/>
          <w:szCs w:val="24"/>
          <w:lang w:val="en-US"/>
        </w:rPr>
        <w:t>e judge "may deal with the case" means no more than to deal with the matter of its newly-alleged condition.</w:t>
      </w:r>
      <w:proofErr w:type="gramEnd"/>
      <w:r w:rsidRPr="009F47BB">
        <w:rPr>
          <w:rFonts w:cs="Arial"/>
          <w:spacing w:val="2"/>
          <w:szCs w:val="24"/>
          <w:lang w:val="en-US"/>
        </w:rPr>
        <w:t xml:space="preserve"> The word "examination" harks back to the same word in line 3 of subs. (1)</w:t>
      </w:r>
      <w:r w:rsidR="00345127" w:rsidRPr="009F47BB">
        <w:rPr>
          <w:rStyle w:val="FootnoteReference"/>
          <w:rFonts w:cs="Arial"/>
          <w:spacing w:val="2"/>
          <w:szCs w:val="24"/>
          <w:lang w:val="en-US"/>
        </w:rPr>
        <w:footnoteReference w:customMarkFollows="1" w:id="3"/>
        <w:t>*</w:t>
      </w:r>
      <w:r w:rsidRPr="009F47BB">
        <w:rPr>
          <w:rFonts w:cs="Arial"/>
          <w:spacing w:val="2"/>
          <w:szCs w:val="24"/>
          <w:lang w:val="en-US"/>
        </w:rPr>
        <w:t xml:space="preserve">, not to the requirement that the judge shall "investigate the facts of the case and ascertain the age of the child and his settlement". The word is used consistently throughout the section in </w:t>
      </w:r>
      <w:r w:rsidRPr="009F47BB">
        <w:rPr>
          <w:rFonts w:cs="Arial"/>
          <w:spacing w:val="2"/>
          <w:szCs w:val="24"/>
          <w:lang w:val="en-US"/>
        </w:rPr>
        <w:lastRenderedPageBreak/>
        <w:t>contradistinction to "investigate" and in spite of the conflict of opinion in the Court below I am unable to feel any doubt upon the meaning the language was intended to bear.</w:t>
      </w:r>
    </w:p>
    <w:p w:rsidR="00FA5AE0" w:rsidRPr="009F47BB" w:rsidRDefault="0012512A" w:rsidP="009F47BB">
      <w:pPr>
        <w:pStyle w:val="Reasons"/>
        <w:rPr>
          <w:rFonts w:cs="Arial"/>
          <w:spacing w:val="7"/>
          <w:szCs w:val="24"/>
        </w:rPr>
      </w:pPr>
      <w:r w:rsidRPr="009F47BB">
        <w:rPr>
          <w:rFonts w:cs="Arial"/>
          <w:spacing w:val="7"/>
          <w:szCs w:val="24"/>
          <w:lang w:val="en-US"/>
        </w:rPr>
        <w:t xml:space="preserve">This in substance was the view of the statute taken by Currie J. on the appeal from the magistrate and by </w:t>
      </w:r>
      <w:proofErr w:type="spellStart"/>
      <w:r w:rsidRPr="009F47BB">
        <w:rPr>
          <w:rFonts w:cs="Arial"/>
          <w:spacing w:val="7"/>
          <w:szCs w:val="24"/>
          <w:lang w:val="en-US"/>
        </w:rPr>
        <w:t>MacQuarrie</w:t>
      </w:r>
      <w:proofErr w:type="spellEnd"/>
      <w:r w:rsidRPr="009F47BB">
        <w:rPr>
          <w:rFonts w:cs="Arial"/>
          <w:spacing w:val="7"/>
          <w:szCs w:val="24"/>
          <w:lang w:val="en-US"/>
        </w:rPr>
        <w:t xml:space="preserve"> J. and MacDonald J. in the Court below, and in my opinion it is the sound view.</w:t>
      </w:r>
    </w:p>
    <w:p w:rsidR="00FA5AE0" w:rsidRPr="009F47BB" w:rsidRDefault="0012512A" w:rsidP="009F47BB">
      <w:pPr>
        <w:pStyle w:val="Reasons"/>
        <w:rPr>
          <w:rFonts w:cs="Arial"/>
          <w:spacing w:val="5"/>
          <w:szCs w:val="24"/>
        </w:rPr>
      </w:pPr>
      <w:r w:rsidRPr="009F47BB">
        <w:rPr>
          <w:rFonts w:cs="Arial"/>
          <w:spacing w:val="5"/>
          <w:szCs w:val="24"/>
          <w:lang w:val="en-US"/>
        </w:rPr>
        <w:t>The appeal must, therefore, be dismissed with costs.</w:t>
      </w:r>
    </w:p>
    <w:p w:rsidR="00FA5AE0" w:rsidRPr="009F47BB" w:rsidRDefault="0012512A" w:rsidP="009F47BB">
      <w:pPr>
        <w:pStyle w:val="Reasons"/>
        <w:rPr>
          <w:rFonts w:cs="Arial"/>
          <w:i/>
          <w:spacing w:val="4"/>
          <w:szCs w:val="24"/>
        </w:rPr>
      </w:pPr>
      <w:r w:rsidRPr="009F47BB">
        <w:rPr>
          <w:rFonts w:cs="Arial"/>
          <w:i/>
          <w:spacing w:val="4"/>
          <w:szCs w:val="24"/>
          <w:lang w:val="en-US"/>
        </w:rPr>
        <w:t>Appeal dismissed with costs.</w:t>
      </w:r>
    </w:p>
    <w:p w:rsidR="00FA5AE0" w:rsidRPr="009F47BB" w:rsidRDefault="0012512A" w:rsidP="009F47BB">
      <w:pPr>
        <w:pStyle w:val="Sollicitors"/>
        <w:rPr>
          <w:rFonts w:cs="Arial"/>
          <w:szCs w:val="24"/>
        </w:rPr>
      </w:pPr>
      <w:r w:rsidRPr="009F47BB">
        <w:rPr>
          <w:rFonts w:cs="Arial"/>
          <w:szCs w:val="24"/>
          <w:lang w:val="en-US"/>
        </w:rPr>
        <w:t>Solicitors for the appellant: C. R. Coughlan, Bridgewater, and Archibald Burke, Lunenburg.</w:t>
      </w:r>
    </w:p>
    <w:p w:rsidR="0012512A" w:rsidRPr="009F47BB" w:rsidRDefault="0012512A" w:rsidP="009F47BB">
      <w:pPr>
        <w:pStyle w:val="Sollicitors"/>
        <w:rPr>
          <w:rFonts w:cs="Arial"/>
          <w:szCs w:val="24"/>
        </w:rPr>
      </w:pPr>
      <w:r w:rsidRPr="009F47BB">
        <w:rPr>
          <w:rFonts w:cs="Arial"/>
          <w:szCs w:val="24"/>
          <w:lang w:val="en-US"/>
        </w:rPr>
        <w:t xml:space="preserve">Solicitors for the respondent: R. A. </w:t>
      </w:r>
      <w:proofErr w:type="spellStart"/>
      <w:r w:rsidRPr="009F47BB">
        <w:rPr>
          <w:rFonts w:cs="Arial"/>
          <w:szCs w:val="24"/>
          <w:lang w:val="en-US"/>
        </w:rPr>
        <w:t>Kanigsberg</w:t>
      </w:r>
      <w:proofErr w:type="spellEnd"/>
      <w:r w:rsidRPr="009F47BB">
        <w:rPr>
          <w:rFonts w:cs="Arial"/>
          <w:szCs w:val="24"/>
          <w:lang w:val="en-US"/>
        </w:rPr>
        <w:t>, Halifax, and R. C. Sterne, Lunenburg.</w:t>
      </w:r>
    </w:p>
    <w:sectPr w:rsidR="0012512A" w:rsidRPr="009F47BB" w:rsidSect="00C67E8A">
      <w:footnotePr>
        <w:numRestart w:val="eachPage"/>
      </w:footnotePr>
      <w:endnotePr>
        <w:numFmt w:val="chicago"/>
      </w:endnotePr>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27" w:rsidRDefault="00345127" w:rsidP="0012512A">
      <w:r>
        <w:separator/>
      </w:r>
    </w:p>
  </w:endnote>
  <w:endnote w:type="continuationSeparator" w:id="0">
    <w:p w:rsidR="00345127" w:rsidRDefault="00345127" w:rsidP="0012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27" w:rsidRDefault="00345127" w:rsidP="0012512A">
      <w:r>
        <w:separator/>
      </w:r>
    </w:p>
  </w:footnote>
  <w:footnote w:type="continuationSeparator" w:id="0">
    <w:p w:rsidR="00345127" w:rsidRDefault="00345127" w:rsidP="0012512A">
      <w:r>
        <w:continuationSeparator/>
      </w:r>
    </w:p>
  </w:footnote>
  <w:footnote w:id="1">
    <w:p w:rsidR="00345127" w:rsidRPr="001646A0" w:rsidRDefault="00345127" w:rsidP="001646A0">
      <w:pPr>
        <w:pStyle w:val="FootnoteText"/>
        <w:rPr>
          <w:sz w:val="20"/>
          <w:lang w:val="en-US"/>
        </w:rPr>
      </w:pPr>
      <w:r w:rsidRPr="001646A0">
        <w:rPr>
          <w:rStyle w:val="FootnoteReference"/>
          <w:rFonts w:cs="Arial"/>
          <w:sz w:val="20"/>
        </w:rPr>
        <w:footnoteRef/>
      </w:r>
      <w:r w:rsidRPr="001646A0">
        <w:rPr>
          <w:sz w:val="20"/>
          <w:lang w:val="fr-CA"/>
        </w:rPr>
        <w:t xml:space="preserve"> 38 M.P.R. 353, 4 D.L.R. (2d) 740 </w:t>
      </w:r>
      <w:r w:rsidRPr="001646A0">
        <w:rPr>
          <w:i/>
          <w:sz w:val="20"/>
          <w:lang w:val="fr-CA"/>
        </w:rPr>
        <w:t>(</w:t>
      </w:r>
      <w:proofErr w:type="spellStart"/>
      <w:r w:rsidRPr="001646A0">
        <w:rPr>
          <w:i/>
          <w:sz w:val="20"/>
          <w:lang w:val="fr-CA"/>
        </w:rPr>
        <w:t>sub</w:t>
      </w:r>
      <w:proofErr w:type="spellEnd"/>
      <w:r w:rsidRPr="001646A0">
        <w:rPr>
          <w:i/>
          <w:sz w:val="20"/>
          <w:lang w:val="fr-CA"/>
        </w:rPr>
        <w:t xml:space="preserve"> nom. </w:t>
      </w:r>
      <w:proofErr w:type="gramStart"/>
      <w:r w:rsidRPr="001646A0">
        <w:rPr>
          <w:i/>
          <w:sz w:val="20"/>
          <w:lang w:val="en-US"/>
        </w:rPr>
        <w:t>In re Cooper).</w:t>
      </w:r>
      <w:proofErr w:type="gramEnd"/>
    </w:p>
  </w:footnote>
  <w:footnote w:id="2">
    <w:p w:rsidR="00345127" w:rsidRPr="001646A0" w:rsidRDefault="00345127" w:rsidP="001646A0">
      <w:pPr>
        <w:pStyle w:val="FootnoteText"/>
        <w:rPr>
          <w:sz w:val="20"/>
          <w:lang w:val="en-US"/>
        </w:rPr>
      </w:pPr>
      <w:r w:rsidRPr="001646A0">
        <w:rPr>
          <w:rStyle w:val="FootnoteReference"/>
          <w:rFonts w:cs="Arial"/>
          <w:sz w:val="20"/>
        </w:rPr>
        <w:footnoteRef/>
      </w:r>
      <w:r w:rsidRPr="001646A0">
        <w:rPr>
          <w:sz w:val="20"/>
        </w:rPr>
        <w:t xml:space="preserve"> </w:t>
      </w:r>
      <w:proofErr w:type="gramStart"/>
      <w:r w:rsidRPr="001646A0">
        <w:rPr>
          <w:sz w:val="20"/>
          <w:lang w:val="en-US"/>
        </w:rPr>
        <w:t>1 D.L.R. (2d) 771.</w:t>
      </w:r>
      <w:proofErr w:type="gramEnd"/>
    </w:p>
  </w:footnote>
  <w:footnote w:id="3">
    <w:p w:rsidR="00345127" w:rsidRPr="001646A0" w:rsidRDefault="00345127" w:rsidP="001646A0">
      <w:pPr>
        <w:pStyle w:val="FootnoteText"/>
        <w:rPr>
          <w:spacing w:val="6"/>
          <w:sz w:val="20"/>
        </w:rPr>
      </w:pPr>
      <w:r w:rsidRPr="001646A0">
        <w:rPr>
          <w:rStyle w:val="FootnoteReference"/>
          <w:sz w:val="20"/>
        </w:rPr>
        <w:t>*</w:t>
      </w:r>
      <w:r w:rsidRPr="001646A0">
        <w:rPr>
          <w:sz w:val="20"/>
        </w:rPr>
        <w:t xml:space="preserve"> </w:t>
      </w:r>
      <w:r w:rsidRPr="001646A0">
        <w:rPr>
          <w:spacing w:val="6"/>
          <w:sz w:val="20"/>
          <w:lang w:val="en-US"/>
        </w:rPr>
        <w:t>Subsection (1) of s. 83 reads as follows:</w:t>
      </w:r>
    </w:p>
    <w:p w:rsidR="00345127" w:rsidRPr="001646A0" w:rsidRDefault="00345127" w:rsidP="001646A0">
      <w:pPr>
        <w:pStyle w:val="FootnoteText"/>
        <w:rPr>
          <w:sz w:val="20"/>
          <w:lang w:val="en-US"/>
        </w:rPr>
      </w:pPr>
      <w:r w:rsidRPr="001646A0">
        <w:rPr>
          <w:sz w:val="20"/>
          <w:lang w:val="en-US"/>
        </w:rPr>
        <w:t>"(1) When any defective child, or a child believed to be a defective child has been brought before a judge for examination, the judge shall investigate the facts of the case and ascertain the age of the child, and his settlement, the name and religion of his parents or guardian, and the judge may authorize an examination of the child by a psychiatrist, who shall make an examination as to the physical and mental condition of the child and shall report the same to the judge, and at the same time file a copy of the report with the Director."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479E"/>
    <w:multiLevelType w:val="multilevel"/>
    <w:tmpl w:val="89CE4F3A"/>
    <w:lvl w:ilvl="0">
      <w:start w:val="1"/>
      <w:numFmt w:val="decimal"/>
      <w:lvlText w:val="(%1)"/>
      <w:lvlJc w:val="left"/>
      <w:pPr>
        <w:tabs>
          <w:tab w:val="left" w:pos="288"/>
        </w:tabs>
        <w:ind w:left="720"/>
      </w:pPr>
      <w:rPr>
        <w:rFonts w:ascii="Times New Roman" w:eastAsia="Times New Roman" w:hAnsi="Times New Roman"/>
        <w:strike w:val="0"/>
        <w:color w:val="000000"/>
        <w:spacing w:val="1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numRestart w:val="eachPage"/>
    <w:footnote w:id="-1"/>
    <w:footnote w:id="0"/>
  </w:footnotePr>
  <w:endnotePr>
    <w:numFmt w:val="chicago"/>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A5AE0"/>
    <w:rsid w:val="0012512A"/>
    <w:rsid w:val="001646A0"/>
    <w:rsid w:val="00345127"/>
    <w:rsid w:val="00652FF2"/>
    <w:rsid w:val="00784F27"/>
    <w:rsid w:val="009F47BB"/>
    <w:rsid w:val="00B40D8D"/>
    <w:rsid w:val="00C67E8A"/>
    <w:rsid w:val="00FA5A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46A0"/>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12512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12512A"/>
    <w:rPr>
      <w:rFonts w:cs="Arial"/>
      <w:b/>
      <w:szCs w:val="24"/>
    </w:rPr>
  </w:style>
  <w:style w:type="paragraph" w:customStyle="1" w:styleId="CitationLine">
    <w:name w:val="CitationLine"/>
    <w:basedOn w:val="Court"/>
    <w:rsid w:val="0012512A"/>
  </w:style>
  <w:style w:type="paragraph" w:customStyle="1" w:styleId="DateISO">
    <w:name w:val="DateISO"/>
    <w:basedOn w:val="Court"/>
    <w:rsid w:val="0012512A"/>
  </w:style>
  <w:style w:type="paragraph" w:styleId="Footer">
    <w:name w:val="footer"/>
    <w:basedOn w:val="Normal"/>
    <w:link w:val="FooterChar"/>
    <w:uiPriority w:val="99"/>
    <w:unhideWhenUsed/>
    <w:rsid w:val="0012512A"/>
    <w:pPr>
      <w:tabs>
        <w:tab w:val="center" w:pos="4680"/>
        <w:tab w:val="right" w:pos="9360"/>
      </w:tabs>
    </w:pPr>
    <w:rPr>
      <w:rFonts w:ascii="Times New Roman" w:hAnsi="Times New Roman"/>
    </w:rPr>
  </w:style>
  <w:style w:type="character" w:customStyle="1" w:styleId="FooterChar">
    <w:name w:val="Footer Char"/>
    <w:link w:val="Footer"/>
    <w:uiPriority w:val="99"/>
    <w:rsid w:val="0012512A"/>
    <w:rPr>
      <w:rFonts w:eastAsia="MS Mincho"/>
      <w:sz w:val="24"/>
      <w:szCs w:val="28"/>
      <w:lang w:val="en-CA" w:eastAsia="ja-JP"/>
    </w:rPr>
  </w:style>
  <w:style w:type="character" w:styleId="FootnoteReference">
    <w:name w:val="footnote reference"/>
    <w:semiHidden/>
    <w:rsid w:val="0012512A"/>
    <w:rPr>
      <w:vertAlign w:val="superscript"/>
    </w:rPr>
  </w:style>
  <w:style w:type="paragraph" w:styleId="FootnoteText">
    <w:name w:val="footnote text"/>
    <w:basedOn w:val="Normal"/>
    <w:link w:val="FootnoteTextChar"/>
    <w:autoRedefine/>
    <w:rsid w:val="00345127"/>
    <w:rPr>
      <w:sz w:val="16"/>
      <w:szCs w:val="20"/>
    </w:rPr>
  </w:style>
  <w:style w:type="character" w:customStyle="1" w:styleId="FootnoteTextChar">
    <w:name w:val="Footnote Text Char"/>
    <w:link w:val="FootnoteText"/>
    <w:rsid w:val="001646A0"/>
    <w:rPr>
      <w:rFonts w:ascii="Arial" w:eastAsia="MS Mincho" w:hAnsi="Arial"/>
      <w:sz w:val="16"/>
      <w:szCs w:val="20"/>
      <w:lang w:val="en-CA" w:eastAsia="ja-JP"/>
    </w:rPr>
  </w:style>
  <w:style w:type="paragraph" w:styleId="Header">
    <w:name w:val="header"/>
    <w:basedOn w:val="Normal"/>
    <w:link w:val="HeaderChar"/>
    <w:uiPriority w:val="99"/>
    <w:unhideWhenUsed/>
    <w:rsid w:val="0012512A"/>
    <w:pPr>
      <w:tabs>
        <w:tab w:val="center" w:pos="4680"/>
        <w:tab w:val="right" w:pos="9360"/>
      </w:tabs>
    </w:pPr>
    <w:rPr>
      <w:rFonts w:ascii="Times New Roman" w:hAnsi="Times New Roman"/>
    </w:rPr>
  </w:style>
  <w:style w:type="character" w:customStyle="1" w:styleId="HeaderChar">
    <w:name w:val="Header Char"/>
    <w:link w:val="Header"/>
    <w:uiPriority w:val="99"/>
    <w:rsid w:val="0012512A"/>
    <w:rPr>
      <w:rFonts w:eastAsia="MS Mincho"/>
      <w:sz w:val="24"/>
      <w:szCs w:val="28"/>
      <w:lang w:val="en-CA" w:eastAsia="ja-JP"/>
    </w:rPr>
  </w:style>
  <w:style w:type="character" w:customStyle="1" w:styleId="Heading1Char">
    <w:name w:val="Heading 1 Char"/>
    <w:basedOn w:val="DefaultParagraphFont"/>
    <w:link w:val="Heading1"/>
    <w:rsid w:val="0012512A"/>
    <w:rPr>
      <w:rFonts w:ascii="Arial" w:eastAsia="MS Mincho" w:hAnsi="Arial" w:cs="Arial"/>
      <w:b/>
      <w:bCs/>
      <w:noProof/>
      <w:kern w:val="32"/>
      <w:sz w:val="28"/>
      <w:szCs w:val="32"/>
      <w:lang w:val="en-CA" w:eastAsia="ja-JP"/>
    </w:rPr>
  </w:style>
  <w:style w:type="paragraph" w:customStyle="1" w:styleId="History">
    <w:name w:val="History"/>
    <w:basedOn w:val="Normal"/>
    <w:rsid w:val="0012512A"/>
    <w:pPr>
      <w:spacing w:before="100" w:beforeAutospacing="1" w:after="100" w:afterAutospacing="1"/>
      <w:ind w:firstLine="567"/>
    </w:pPr>
  </w:style>
  <w:style w:type="paragraph" w:customStyle="1" w:styleId="Indent1">
    <w:name w:val="Indent 1"/>
    <w:basedOn w:val="Normal"/>
    <w:next w:val="Normal"/>
    <w:rsid w:val="0012512A"/>
    <w:pPr>
      <w:spacing w:before="100" w:beforeAutospacing="1"/>
      <w:ind w:left="567"/>
      <w:jc w:val="both"/>
    </w:pPr>
  </w:style>
  <w:style w:type="paragraph" w:customStyle="1" w:styleId="Indent2">
    <w:name w:val="Indent 2"/>
    <w:basedOn w:val="Indent1"/>
    <w:rsid w:val="0012512A"/>
    <w:pPr>
      <w:ind w:left="1134"/>
    </w:pPr>
  </w:style>
  <w:style w:type="paragraph" w:customStyle="1" w:styleId="Indent3">
    <w:name w:val="Indent 3"/>
    <w:basedOn w:val="Indent1"/>
    <w:rsid w:val="0012512A"/>
    <w:pPr>
      <w:ind w:left="1701"/>
    </w:pPr>
  </w:style>
  <w:style w:type="paragraph" w:customStyle="1" w:styleId="Indent4">
    <w:name w:val="Indent 4"/>
    <w:basedOn w:val="Indent1"/>
    <w:rsid w:val="0012512A"/>
    <w:pPr>
      <w:ind w:left="2268"/>
    </w:pPr>
  </w:style>
  <w:style w:type="paragraph" w:customStyle="1" w:styleId="Reasons">
    <w:name w:val="Reasons"/>
    <w:basedOn w:val="Normal"/>
    <w:link w:val="ReasonsCar"/>
    <w:rsid w:val="00C67E8A"/>
    <w:pPr>
      <w:spacing w:before="100" w:beforeAutospacing="1" w:after="100" w:afterAutospacing="1"/>
    </w:pPr>
  </w:style>
  <w:style w:type="character" w:customStyle="1" w:styleId="ReasonsCar">
    <w:name w:val="Reasons Car"/>
    <w:link w:val="Reasons"/>
    <w:rsid w:val="00C67E8A"/>
    <w:rPr>
      <w:rFonts w:ascii="Arial" w:eastAsia="MS Mincho" w:hAnsi="Arial"/>
      <w:sz w:val="24"/>
      <w:szCs w:val="28"/>
      <w:lang w:val="en-CA" w:eastAsia="ja-JP"/>
    </w:rPr>
  </w:style>
  <w:style w:type="paragraph" w:customStyle="1" w:styleId="Indent10">
    <w:name w:val="Indent1"/>
    <w:basedOn w:val="Reasons"/>
    <w:rsid w:val="0012512A"/>
    <w:pPr>
      <w:ind w:left="567"/>
    </w:pPr>
  </w:style>
  <w:style w:type="paragraph" w:customStyle="1" w:styleId="Indent20">
    <w:name w:val="Indent2"/>
    <w:basedOn w:val="Indent10"/>
    <w:rsid w:val="0012512A"/>
    <w:pPr>
      <w:ind w:left="1134"/>
    </w:pPr>
  </w:style>
  <w:style w:type="paragraph" w:customStyle="1" w:styleId="Indent30">
    <w:name w:val="Indent3"/>
    <w:basedOn w:val="Indent10"/>
    <w:rsid w:val="0012512A"/>
    <w:pPr>
      <w:ind w:left="1701"/>
    </w:pPr>
  </w:style>
  <w:style w:type="paragraph" w:customStyle="1" w:styleId="Indent40">
    <w:name w:val="Indent4"/>
    <w:basedOn w:val="Indent10"/>
    <w:rsid w:val="0012512A"/>
    <w:pPr>
      <w:ind w:left="2268"/>
    </w:pPr>
  </w:style>
  <w:style w:type="paragraph" w:customStyle="1" w:styleId="Keywords">
    <w:name w:val="Keywords"/>
    <w:basedOn w:val="Normal"/>
    <w:rsid w:val="0012512A"/>
    <w:pPr>
      <w:spacing w:before="100" w:beforeAutospacing="1" w:after="100" w:afterAutospacing="1"/>
    </w:pPr>
    <w:rPr>
      <w:rFonts w:cs="Arial"/>
      <w:i/>
      <w:szCs w:val="24"/>
    </w:rPr>
  </w:style>
  <w:style w:type="paragraph" w:customStyle="1" w:styleId="Metadata">
    <w:name w:val="Metadata"/>
    <w:basedOn w:val="Normal"/>
    <w:rsid w:val="0012512A"/>
    <w:pPr>
      <w:spacing w:before="100" w:beforeAutospacing="1" w:after="100" w:afterAutospacing="1"/>
    </w:pPr>
    <w:rPr>
      <w:rFonts w:cs="Arial"/>
      <w:szCs w:val="24"/>
    </w:rPr>
  </w:style>
  <w:style w:type="paragraph" w:customStyle="1" w:styleId="Page">
    <w:name w:val="Page"/>
    <w:basedOn w:val="Normal"/>
    <w:link w:val="PageChar"/>
    <w:rsid w:val="0012512A"/>
    <w:pPr>
      <w:spacing w:before="100" w:beforeAutospacing="1" w:after="100" w:afterAutospacing="1"/>
    </w:pPr>
    <w:rPr>
      <w:i/>
    </w:rPr>
  </w:style>
  <w:style w:type="character" w:customStyle="1" w:styleId="PageChar">
    <w:name w:val="Page Char"/>
    <w:link w:val="Page"/>
    <w:rsid w:val="0012512A"/>
    <w:rPr>
      <w:rFonts w:ascii="Arial" w:eastAsia="MS Mincho" w:hAnsi="Arial"/>
      <w:i/>
      <w:sz w:val="24"/>
      <w:szCs w:val="28"/>
      <w:lang w:val="en-CA" w:eastAsia="ja-JP"/>
    </w:rPr>
  </w:style>
  <w:style w:type="paragraph" w:customStyle="1" w:styleId="ParagNum">
    <w:name w:val="ParagNum"/>
    <w:basedOn w:val="Normal"/>
    <w:rsid w:val="0012512A"/>
    <w:pPr>
      <w:numPr>
        <w:numId w:val="2"/>
      </w:numPr>
      <w:tabs>
        <w:tab w:val="left" w:pos="288"/>
        <w:tab w:val="left" w:pos="720"/>
      </w:tabs>
      <w:spacing w:before="240"/>
      <w:jc w:val="both"/>
    </w:pPr>
    <w:rPr>
      <w:szCs w:val="24"/>
      <w:lang w:eastAsia="fr-FR"/>
    </w:rPr>
  </w:style>
  <w:style w:type="paragraph" w:customStyle="1" w:styleId="Sollicitors">
    <w:name w:val="Sollicitors"/>
    <w:basedOn w:val="Normal"/>
    <w:rsid w:val="0012512A"/>
    <w:pPr>
      <w:spacing w:before="100" w:beforeAutospacing="1" w:after="100" w:afterAutospacing="1"/>
    </w:pPr>
    <w:rPr>
      <w:i/>
    </w:rPr>
  </w:style>
  <w:style w:type="paragraph" w:customStyle="1" w:styleId="Summary">
    <w:name w:val="Summary"/>
    <w:basedOn w:val="Normal"/>
    <w:autoRedefine/>
    <w:rsid w:val="0012512A"/>
    <w:pPr>
      <w:spacing w:before="100" w:beforeAutospacing="1" w:after="100" w:afterAutospacing="1"/>
      <w:ind w:left="562" w:hanging="562"/>
    </w:pPr>
    <w:rPr>
      <w:rFonts w:cs="Arial"/>
    </w:rPr>
  </w:style>
  <w:style w:type="paragraph" w:customStyle="1" w:styleId="T1">
    <w:name w:val="T1"/>
    <w:basedOn w:val="Normal"/>
    <w:rsid w:val="0012512A"/>
    <w:pPr>
      <w:spacing w:before="240" w:after="100" w:afterAutospacing="1"/>
    </w:pPr>
    <w:rPr>
      <w:b/>
    </w:rPr>
  </w:style>
  <w:style w:type="paragraph" w:customStyle="1" w:styleId="T2">
    <w:name w:val="T2"/>
    <w:basedOn w:val="Normal"/>
    <w:rsid w:val="0012512A"/>
    <w:pPr>
      <w:spacing w:before="240" w:after="100" w:afterAutospacing="1"/>
    </w:pPr>
  </w:style>
  <w:style w:type="paragraph" w:styleId="EndnoteText">
    <w:name w:val="endnote text"/>
    <w:basedOn w:val="Normal"/>
    <w:link w:val="EndnoteTextChar"/>
    <w:uiPriority w:val="99"/>
    <w:semiHidden/>
    <w:unhideWhenUsed/>
    <w:rsid w:val="00784F27"/>
    <w:rPr>
      <w:sz w:val="20"/>
      <w:szCs w:val="20"/>
    </w:rPr>
  </w:style>
  <w:style w:type="character" w:customStyle="1" w:styleId="EndnoteTextChar">
    <w:name w:val="Endnote Text Char"/>
    <w:basedOn w:val="DefaultParagraphFont"/>
    <w:link w:val="EndnoteText"/>
    <w:uiPriority w:val="99"/>
    <w:semiHidden/>
    <w:rsid w:val="00784F27"/>
    <w:rPr>
      <w:rFonts w:ascii="Arial" w:eastAsia="MS Mincho" w:hAnsi="Arial"/>
      <w:sz w:val="20"/>
      <w:szCs w:val="20"/>
      <w:lang w:val="en-CA" w:eastAsia="ja-JP"/>
    </w:rPr>
  </w:style>
  <w:style w:type="character" w:styleId="EndnoteReference">
    <w:name w:val="endnote reference"/>
    <w:basedOn w:val="DefaultParagraphFont"/>
    <w:uiPriority w:val="99"/>
    <w:semiHidden/>
    <w:unhideWhenUsed/>
    <w:rsid w:val="00784F27"/>
    <w:rPr>
      <w:vertAlign w:val="superscript"/>
    </w:rPr>
  </w:style>
  <w:style w:type="paragraph" w:customStyle="1" w:styleId="Style1">
    <w:name w:val="Style1"/>
    <w:basedOn w:val="FootnoteText"/>
    <w:rsid w:val="00B40D8D"/>
    <w:pPr>
      <w:tabs>
        <w:tab w:val="left" w:pos="288"/>
        <w:tab w:val="left" w:pos="648"/>
      </w:tabs>
      <w:spacing w:before="90" w:line="192" w:lineRule="exact"/>
      <w:textAlignment w:val="baseline"/>
    </w:pPr>
    <w:rPr>
      <w:rFonts w:eastAsia="Times New Roman" w:cs="Arial"/>
      <w:color w:val="000000"/>
      <w:spacing w:val="1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46A0"/>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12512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12512A"/>
    <w:rPr>
      <w:rFonts w:cs="Arial"/>
      <w:b/>
      <w:szCs w:val="24"/>
    </w:rPr>
  </w:style>
  <w:style w:type="paragraph" w:customStyle="1" w:styleId="CitationLine">
    <w:name w:val="CitationLine"/>
    <w:basedOn w:val="Court"/>
    <w:rsid w:val="0012512A"/>
  </w:style>
  <w:style w:type="paragraph" w:customStyle="1" w:styleId="DateISO">
    <w:name w:val="DateISO"/>
    <w:basedOn w:val="Court"/>
    <w:rsid w:val="0012512A"/>
  </w:style>
  <w:style w:type="paragraph" w:styleId="Footer">
    <w:name w:val="footer"/>
    <w:basedOn w:val="Normal"/>
    <w:link w:val="FooterChar"/>
    <w:uiPriority w:val="99"/>
    <w:unhideWhenUsed/>
    <w:rsid w:val="0012512A"/>
    <w:pPr>
      <w:tabs>
        <w:tab w:val="center" w:pos="4680"/>
        <w:tab w:val="right" w:pos="9360"/>
      </w:tabs>
    </w:pPr>
    <w:rPr>
      <w:rFonts w:ascii="Times New Roman" w:hAnsi="Times New Roman"/>
    </w:rPr>
  </w:style>
  <w:style w:type="character" w:customStyle="1" w:styleId="FooterChar">
    <w:name w:val="Footer Char"/>
    <w:link w:val="Footer"/>
    <w:uiPriority w:val="99"/>
    <w:rsid w:val="0012512A"/>
    <w:rPr>
      <w:rFonts w:eastAsia="MS Mincho"/>
      <w:sz w:val="24"/>
      <w:szCs w:val="28"/>
      <w:lang w:val="en-CA" w:eastAsia="ja-JP"/>
    </w:rPr>
  </w:style>
  <w:style w:type="character" w:styleId="FootnoteReference">
    <w:name w:val="footnote reference"/>
    <w:semiHidden/>
    <w:rsid w:val="0012512A"/>
    <w:rPr>
      <w:vertAlign w:val="superscript"/>
    </w:rPr>
  </w:style>
  <w:style w:type="paragraph" w:styleId="FootnoteText">
    <w:name w:val="footnote text"/>
    <w:basedOn w:val="Normal"/>
    <w:link w:val="FootnoteTextChar"/>
    <w:autoRedefine/>
    <w:rsid w:val="00345127"/>
    <w:rPr>
      <w:sz w:val="16"/>
      <w:szCs w:val="20"/>
    </w:rPr>
  </w:style>
  <w:style w:type="character" w:customStyle="1" w:styleId="FootnoteTextChar">
    <w:name w:val="Footnote Text Char"/>
    <w:link w:val="FootnoteText"/>
    <w:rsid w:val="001646A0"/>
    <w:rPr>
      <w:rFonts w:ascii="Arial" w:eastAsia="MS Mincho" w:hAnsi="Arial"/>
      <w:sz w:val="16"/>
      <w:szCs w:val="20"/>
      <w:lang w:val="en-CA" w:eastAsia="ja-JP"/>
    </w:rPr>
  </w:style>
  <w:style w:type="paragraph" w:styleId="Header">
    <w:name w:val="header"/>
    <w:basedOn w:val="Normal"/>
    <w:link w:val="HeaderChar"/>
    <w:uiPriority w:val="99"/>
    <w:unhideWhenUsed/>
    <w:rsid w:val="0012512A"/>
    <w:pPr>
      <w:tabs>
        <w:tab w:val="center" w:pos="4680"/>
        <w:tab w:val="right" w:pos="9360"/>
      </w:tabs>
    </w:pPr>
    <w:rPr>
      <w:rFonts w:ascii="Times New Roman" w:hAnsi="Times New Roman"/>
    </w:rPr>
  </w:style>
  <w:style w:type="character" w:customStyle="1" w:styleId="HeaderChar">
    <w:name w:val="Header Char"/>
    <w:link w:val="Header"/>
    <w:uiPriority w:val="99"/>
    <w:rsid w:val="0012512A"/>
    <w:rPr>
      <w:rFonts w:eastAsia="MS Mincho"/>
      <w:sz w:val="24"/>
      <w:szCs w:val="28"/>
      <w:lang w:val="en-CA" w:eastAsia="ja-JP"/>
    </w:rPr>
  </w:style>
  <w:style w:type="character" w:customStyle="1" w:styleId="Heading1Char">
    <w:name w:val="Heading 1 Char"/>
    <w:basedOn w:val="DefaultParagraphFont"/>
    <w:link w:val="Heading1"/>
    <w:rsid w:val="0012512A"/>
    <w:rPr>
      <w:rFonts w:ascii="Arial" w:eastAsia="MS Mincho" w:hAnsi="Arial" w:cs="Arial"/>
      <w:b/>
      <w:bCs/>
      <w:noProof/>
      <w:kern w:val="32"/>
      <w:sz w:val="28"/>
      <w:szCs w:val="32"/>
      <w:lang w:val="en-CA" w:eastAsia="ja-JP"/>
    </w:rPr>
  </w:style>
  <w:style w:type="paragraph" w:customStyle="1" w:styleId="History">
    <w:name w:val="History"/>
    <w:basedOn w:val="Normal"/>
    <w:rsid w:val="0012512A"/>
    <w:pPr>
      <w:spacing w:before="100" w:beforeAutospacing="1" w:after="100" w:afterAutospacing="1"/>
      <w:ind w:firstLine="567"/>
    </w:pPr>
  </w:style>
  <w:style w:type="paragraph" w:customStyle="1" w:styleId="Indent1">
    <w:name w:val="Indent 1"/>
    <w:basedOn w:val="Normal"/>
    <w:next w:val="Normal"/>
    <w:rsid w:val="0012512A"/>
    <w:pPr>
      <w:spacing w:before="100" w:beforeAutospacing="1"/>
      <w:ind w:left="567"/>
      <w:jc w:val="both"/>
    </w:pPr>
  </w:style>
  <w:style w:type="paragraph" w:customStyle="1" w:styleId="Indent2">
    <w:name w:val="Indent 2"/>
    <w:basedOn w:val="Indent1"/>
    <w:rsid w:val="0012512A"/>
    <w:pPr>
      <w:ind w:left="1134"/>
    </w:pPr>
  </w:style>
  <w:style w:type="paragraph" w:customStyle="1" w:styleId="Indent3">
    <w:name w:val="Indent 3"/>
    <w:basedOn w:val="Indent1"/>
    <w:rsid w:val="0012512A"/>
    <w:pPr>
      <w:ind w:left="1701"/>
    </w:pPr>
  </w:style>
  <w:style w:type="paragraph" w:customStyle="1" w:styleId="Indent4">
    <w:name w:val="Indent 4"/>
    <w:basedOn w:val="Indent1"/>
    <w:rsid w:val="0012512A"/>
    <w:pPr>
      <w:ind w:left="2268"/>
    </w:pPr>
  </w:style>
  <w:style w:type="paragraph" w:customStyle="1" w:styleId="Reasons">
    <w:name w:val="Reasons"/>
    <w:basedOn w:val="Normal"/>
    <w:link w:val="ReasonsCar"/>
    <w:rsid w:val="00C67E8A"/>
    <w:pPr>
      <w:spacing w:before="100" w:beforeAutospacing="1" w:after="100" w:afterAutospacing="1"/>
    </w:pPr>
  </w:style>
  <w:style w:type="character" w:customStyle="1" w:styleId="ReasonsCar">
    <w:name w:val="Reasons Car"/>
    <w:link w:val="Reasons"/>
    <w:rsid w:val="00C67E8A"/>
    <w:rPr>
      <w:rFonts w:ascii="Arial" w:eastAsia="MS Mincho" w:hAnsi="Arial"/>
      <w:sz w:val="24"/>
      <w:szCs w:val="28"/>
      <w:lang w:val="en-CA" w:eastAsia="ja-JP"/>
    </w:rPr>
  </w:style>
  <w:style w:type="paragraph" w:customStyle="1" w:styleId="Indent10">
    <w:name w:val="Indent1"/>
    <w:basedOn w:val="Reasons"/>
    <w:rsid w:val="0012512A"/>
    <w:pPr>
      <w:ind w:left="567"/>
    </w:pPr>
  </w:style>
  <w:style w:type="paragraph" w:customStyle="1" w:styleId="Indent20">
    <w:name w:val="Indent2"/>
    <w:basedOn w:val="Indent10"/>
    <w:rsid w:val="0012512A"/>
    <w:pPr>
      <w:ind w:left="1134"/>
    </w:pPr>
  </w:style>
  <w:style w:type="paragraph" w:customStyle="1" w:styleId="Indent30">
    <w:name w:val="Indent3"/>
    <w:basedOn w:val="Indent10"/>
    <w:rsid w:val="0012512A"/>
    <w:pPr>
      <w:ind w:left="1701"/>
    </w:pPr>
  </w:style>
  <w:style w:type="paragraph" w:customStyle="1" w:styleId="Indent40">
    <w:name w:val="Indent4"/>
    <w:basedOn w:val="Indent10"/>
    <w:rsid w:val="0012512A"/>
    <w:pPr>
      <w:ind w:left="2268"/>
    </w:pPr>
  </w:style>
  <w:style w:type="paragraph" w:customStyle="1" w:styleId="Keywords">
    <w:name w:val="Keywords"/>
    <w:basedOn w:val="Normal"/>
    <w:rsid w:val="0012512A"/>
    <w:pPr>
      <w:spacing w:before="100" w:beforeAutospacing="1" w:after="100" w:afterAutospacing="1"/>
    </w:pPr>
    <w:rPr>
      <w:rFonts w:cs="Arial"/>
      <w:i/>
      <w:szCs w:val="24"/>
    </w:rPr>
  </w:style>
  <w:style w:type="paragraph" w:customStyle="1" w:styleId="Metadata">
    <w:name w:val="Metadata"/>
    <w:basedOn w:val="Normal"/>
    <w:rsid w:val="0012512A"/>
    <w:pPr>
      <w:spacing w:before="100" w:beforeAutospacing="1" w:after="100" w:afterAutospacing="1"/>
    </w:pPr>
    <w:rPr>
      <w:rFonts w:cs="Arial"/>
      <w:szCs w:val="24"/>
    </w:rPr>
  </w:style>
  <w:style w:type="paragraph" w:customStyle="1" w:styleId="Page">
    <w:name w:val="Page"/>
    <w:basedOn w:val="Normal"/>
    <w:link w:val="PageChar"/>
    <w:rsid w:val="0012512A"/>
    <w:pPr>
      <w:spacing w:before="100" w:beforeAutospacing="1" w:after="100" w:afterAutospacing="1"/>
    </w:pPr>
    <w:rPr>
      <w:i/>
    </w:rPr>
  </w:style>
  <w:style w:type="character" w:customStyle="1" w:styleId="PageChar">
    <w:name w:val="Page Char"/>
    <w:link w:val="Page"/>
    <w:rsid w:val="0012512A"/>
    <w:rPr>
      <w:rFonts w:ascii="Arial" w:eastAsia="MS Mincho" w:hAnsi="Arial"/>
      <w:i/>
      <w:sz w:val="24"/>
      <w:szCs w:val="28"/>
      <w:lang w:val="en-CA" w:eastAsia="ja-JP"/>
    </w:rPr>
  </w:style>
  <w:style w:type="paragraph" w:customStyle="1" w:styleId="ParagNum">
    <w:name w:val="ParagNum"/>
    <w:basedOn w:val="Normal"/>
    <w:rsid w:val="0012512A"/>
    <w:pPr>
      <w:numPr>
        <w:numId w:val="2"/>
      </w:numPr>
      <w:tabs>
        <w:tab w:val="left" w:pos="288"/>
        <w:tab w:val="left" w:pos="720"/>
      </w:tabs>
      <w:spacing w:before="240"/>
      <w:jc w:val="both"/>
    </w:pPr>
    <w:rPr>
      <w:szCs w:val="24"/>
      <w:lang w:eastAsia="fr-FR"/>
    </w:rPr>
  </w:style>
  <w:style w:type="paragraph" w:customStyle="1" w:styleId="Sollicitors">
    <w:name w:val="Sollicitors"/>
    <w:basedOn w:val="Normal"/>
    <w:rsid w:val="0012512A"/>
    <w:pPr>
      <w:spacing w:before="100" w:beforeAutospacing="1" w:after="100" w:afterAutospacing="1"/>
    </w:pPr>
    <w:rPr>
      <w:i/>
    </w:rPr>
  </w:style>
  <w:style w:type="paragraph" w:customStyle="1" w:styleId="Summary">
    <w:name w:val="Summary"/>
    <w:basedOn w:val="Normal"/>
    <w:autoRedefine/>
    <w:rsid w:val="0012512A"/>
    <w:pPr>
      <w:spacing w:before="100" w:beforeAutospacing="1" w:after="100" w:afterAutospacing="1"/>
      <w:ind w:left="562" w:hanging="562"/>
    </w:pPr>
    <w:rPr>
      <w:rFonts w:cs="Arial"/>
    </w:rPr>
  </w:style>
  <w:style w:type="paragraph" w:customStyle="1" w:styleId="T1">
    <w:name w:val="T1"/>
    <w:basedOn w:val="Normal"/>
    <w:rsid w:val="0012512A"/>
    <w:pPr>
      <w:spacing w:before="240" w:after="100" w:afterAutospacing="1"/>
    </w:pPr>
    <w:rPr>
      <w:b/>
    </w:rPr>
  </w:style>
  <w:style w:type="paragraph" w:customStyle="1" w:styleId="T2">
    <w:name w:val="T2"/>
    <w:basedOn w:val="Normal"/>
    <w:rsid w:val="0012512A"/>
    <w:pPr>
      <w:spacing w:before="240" w:after="100" w:afterAutospacing="1"/>
    </w:pPr>
  </w:style>
  <w:style w:type="paragraph" w:styleId="EndnoteText">
    <w:name w:val="endnote text"/>
    <w:basedOn w:val="Normal"/>
    <w:link w:val="EndnoteTextChar"/>
    <w:uiPriority w:val="99"/>
    <w:semiHidden/>
    <w:unhideWhenUsed/>
    <w:rsid w:val="00784F27"/>
    <w:rPr>
      <w:sz w:val="20"/>
      <w:szCs w:val="20"/>
    </w:rPr>
  </w:style>
  <w:style w:type="character" w:customStyle="1" w:styleId="EndnoteTextChar">
    <w:name w:val="Endnote Text Char"/>
    <w:basedOn w:val="DefaultParagraphFont"/>
    <w:link w:val="EndnoteText"/>
    <w:uiPriority w:val="99"/>
    <w:semiHidden/>
    <w:rsid w:val="00784F27"/>
    <w:rPr>
      <w:rFonts w:ascii="Arial" w:eastAsia="MS Mincho" w:hAnsi="Arial"/>
      <w:sz w:val="20"/>
      <w:szCs w:val="20"/>
      <w:lang w:val="en-CA" w:eastAsia="ja-JP"/>
    </w:rPr>
  </w:style>
  <w:style w:type="character" w:styleId="EndnoteReference">
    <w:name w:val="endnote reference"/>
    <w:basedOn w:val="DefaultParagraphFont"/>
    <w:uiPriority w:val="99"/>
    <w:semiHidden/>
    <w:unhideWhenUsed/>
    <w:rsid w:val="00784F27"/>
    <w:rPr>
      <w:vertAlign w:val="superscript"/>
    </w:rPr>
  </w:style>
  <w:style w:type="paragraph" w:customStyle="1" w:styleId="Style1">
    <w:name w:val="Style1"/>
    <w:basedOn w:val="FootnoteText"/>
    <w:rsid w:val="00B40D8D"/>
    <w:pPr>
      <w:tabs>
        <w:tab w:val="left" w:pos="288"/>
        <w:tab w:val="left" w:pos="648"/>
      </w:tabs>
      <w:spacing w:before="90" w:line="192" w:lineRule="exact"/>
      <w:textAlignment w:val="baseline"/>
    </w:pPr>
    <w:rPr>
      <w:rFonts w:eastAsia="Times New Roman" w:cs="Arial"/>
      <w:color w:val="000000"/>
      <w:spacing w:val="1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1683-E4EE-4547-91A3-05BAAD17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861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5</cp:revision>
  <dcterms:created xsi:type="dcterms:W3CDTF">2017-04-11T18:53:00Z</dcterms:created>
  <dcterms:modified xsi:type="dcterms:W3CDTF">2017-04-13T14:30:00Z</dcterms:modified>
</cp:coreProperties>
</file>