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3E5" w:rsidRDefault="000823E5" w:rsidP="000823E5">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5pt" o:ole="">
            <v:imagedata r:id="rId8" o:title=""/>
          </v:shape>
          <o:OLEObject Type="Embed" ProgID="Presentations.Drawing.13" ShapeID="_x0000_i1025" DrawAspect="Content" ObjectID="_1580119662" r:id="rId9"/>
        </w:object>
      </w:r>
      <w:r>
        <w:t xml:space="preserve"> </w:t>
      </w:r>
      <w:r>
        <w:ptab w:relativeTo="margin" w:alignment="right" w:leader="none"/>
      </w:r>
    </w:p>
    <w:p w:rsidR="000823E5" w:rsidRDefault="000823E5" w:rsidP="000823E5">
      <w:pPr>
        <w:pStyle w:val="Header"/>
      </w:pPr>
    </w:p>
    <w:p w:rsidR="000823E5" w:rsidRPr="006B210C" w:rsidRDefault="000823E5" w:rsidP="000823E5">
      <w:pPr>
        <w:jc w:val="center"/>
        <w:rPr>
          <w:b/>
        </w:rPr>
      </w:pPr>
      <w:r w:rsidRPr="006B210C">
        <w:rPr>
          <w:b/>
        </w:rPr>
        <w:t>SUPREME COURT OF CANADA</w:t>
      </w:r>
    </w:p>
    <w:p w:rsidR="000823E5" w:rsidRDefault="000823E5" w:rsidP="000823E5"/>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5040"/>
      </w:tblGrid>
      <w:tr w:rsidR="000823E5" w:rsidRPr="006B210C" w:rsidTr="0007008F">
        <w:trPr>
          <w:cantSplit/>
        </w:trPr>
        <w:tc>
          <w:tcPr>
            <w:tcW w:w="5310" w:type="dxa"/>
          </w:tcPr>
          <w:p w:rsidR="000823E5" w:rsidRPr="006B210C" w:rsidRDefault="000823E5" w:rsidP="0007008F">
            <w:r w:rsidRPr="006B210C">
              <w:rPr>
                <w:b/>
                <w:smallCaps/>
              </w:rPr>
              <w:t>Citation</w:t>
            </w:r>
            <w:r>
              <w:rPr>
                <w:b/>
                <w:smallCaps/>
              </w:rPr>
              <w:t>:</w:t>
            </w:r>
            <w:r w:rsidRPr="006B210C">
              <w:t xml:space="preserve"> </w:t>
            </w:r>
            <w:proofErr w:type="spellStart"/>
            <w:r w:rsidRPr="000823E5">
              <w:rPr>
                <w:rStyle w:val="SCCAppellantForIndexChar"/>
                <w:rFonts w:eastAsiaTheme="minorHAnsi"/>
                <w:b w:val="0"/>
              </w:rPr>
              <w:t>Barreau</w:t>
            </w:r>
            <w:proofErr w:type="spellEnd"/>
            <w:r w:rsidRPr="000823E5">
              <w:rPr>
                <w:rStyle w:val="SCCAppellantForIndexChar"/>
                <w:rFonts w:eastAsiaTheme="minorHAnsi"/>
                <w:b w:val="0"/>
              </w:rPr>
              <w:t xml:space="preserve"> du Québec</w:t>
            </w:r>
            <w:r w:rsidRPr="00B52172">
              <w:t xml:space="preserve"> </w:t>
            </w:r>
            <w:r w:rsidRPr="00F44FDA">
              <w:rPr>
                <w:i/>
              </w:rPr>
              <w:t>v.</w:t>
            </w:r>
            <w:r w:rsidRPr="00F44FDA">
              <w:t xml:space="preserve"> Quebec (</w:t>
            </w:r>
            <w:r w:rsidRPr="000823E5">
              <w:rPr>
                <w:rStyle w:val="SCCRespondentForIndexChar"/>
                <w:rFonts w:eastAsiaTheme="minorHAnsi"/>
                <w:b w:val="0"/>
              </w:rPr>
              <w:t>Attorney General), 2017 SCC 56</w:t>
            </w:r>
            <w:r>
              <w:rPr>
                <w:rStyle w:val="SCCRespondentForIndexChar"/>
                <w:rFonts w:eastAsiaTheme="minorHAnsi"/>
                <w:b w:val="0"/>
              </w:rPr>
              <w:t xml:space="preserve">, </w:t>
            </w:r>
            <w:r>
              <w:t>[2017] 2 S.C.R. 488</w:t>
            </w:r>
            <w:bookmarkStart w:id="0" w:name="_GoBack"/>
            <w:bookmarkEnd w:id="0"/>
          </w:p>
        </w:tc>
        <w:tc>
          <w:tcPr>
            <w:tcW w:w="5040" w:type="dxa"/>
          </w:tcPr>
          <w:p w:rsidR="000823E5" w:rsidRDefault="000823E5" w:rsidP="0007008F">
            <w:pPr>
              <w:rPr>
                <w:b/>
                <w:smallCaps/>
              </w:rPr>
            </w:pPr>
            <w:r>
              <w:rPr>
                <w:b/>
                <w:smallCaps/>
              </w:rPr>
              <w:t xml:space="preserve">Appeal heard: </w:t>
            </w:r>
            <w:r w:rsidRPr="00F44FDA">
              <w:t>March 27, 2017</w:t>
            </w:r>
          </w:p>
          <w:p w:rsidR="000823E5" w:rsidRPr="006B210C" w:rsidRDefault="000823E5" w:rsidP="0007008F">
            <w:r>
              <w:rPr>
                <w:b/>
                <w:smallCaps/>
              </w:rPr>
              <w:t>Judgment rendered:</w:t>
            </w:r>
            <w:r w:rsidRPr="006B210C">
              <w:t xml:space="preserve"> </w:t>
            </w:r>
            <w:r>
              <w:t>November 10, 2017</w:t>
            </w:r>
          </w:p>
          <w:p w:rsidR="000823E5" w:rsidRPr="006B210C" w:rsidRDefault="000823E5" w:rsidP="0007008F">
            <w:r w:rsidRPr="006B210C">
              <w:rPr>
                <w:b/>
                <w:smallCaps/>
              </w:rPr>
              <w:t>Docket</w:t>
            </w:r>
            <w:r>
              <w:rPr>
                <w:b/>
                <w:smallCaps/>
              </w:rPr>
              <w:t>:</w:t>
            </w:r>
            <w:r w:rsidRPr="006B210C">
              <w:t xml:space="preserve"> </w:t>
            </w:r>
            <w:r>
              <w:t>37034</w:t>
            </w:r>
          </w:p>
        </w:tc>
      </w:tr>
    </w:tbl>
    <w:p w:rsidR="000823E5" w:rsidRPr="006B210C" w:rsidRDefault="000823E5" w:rsidP="000823E5"/>
    <w:p w:rsidR="000823E5" w:rsidRDefault="000823E5" w:rsidP="000823E5">
      <w:pPr>
        <w:pStyle w:val="SCCLsocPrefix"/>
      </w:pPr>
      <w:r>
        <w:t>Between:</w:t>
      </w:r>
    </w:p>
    <w:p w:rsidR="000823E5" w:rsidRDefault="000823E5" w:rsidP="000823E5">
      <w:pPr>
        <w:pStyle w:val="SCCLsocParty"/>
        <w:jc w:val="center"/>
      </w:pPr>
      <w:proofErr w:type="spellStart"/>
      <w:r>
        <w:t>Barreau</w:t>
      </w:r>
      <w:proofErr w:type="spellEnd"/>
      <w:r>
        <w:t xml:space="preserve"> du Québec</w:t>
      </w:r>
    </w:p>
    <w:p w:rsidR="000823E5" w:rsidRDefault="000823E5" w:rsidP="000823E5">
      <w:pPr>
        <w:jc w:val="center"/>
      </w:pPr>
      <w:r>
        <w:t>Appellant</w:t>
      </w:r>
    </w:p>
    <w:p w:rsidR="000823E5" w:rsidRPr="00AE5965" w:rsidRDefault="000823E5" w:rsidP="000823E5">
      <w:pPr>
        <w:jc w:val="center"/>
      </w:pPr>
    </w:p>
    <w:p w:rsidR="000823E5" w:rsidRPr="000823E5" w:rsidRDefault="000823E5" w:rsidP="000823E5">
      <w:pPr>
        <w:pStyle w:val="SCCLsocVersus"/>
        <w:spacing w:after="0"/>
        <w:jc w:val="center"/>
        <w:rPr>
          <w:i w:val="0"/>
        </w:rPr>
      </w:pPr>
      <w:proofErr w:type="gramStart"/>
      <w:r w:rsidRPr="000823E5">
        <w:rPr>
          <w:i w:val="0"/>
        </w:rPr>
        <w:t>and</w:t>
      </w:r>
      <w:proofErr w:type="gramEnd"/>
    </w:p>
    <w:p w:rsidR="000823E5" w:rsidRDefault="000823E5" w:rsidP="000823E5">
      <w:pPr>
        <w:jc w:val="center"/>
      </w:pPr>
    </w:p>
    <w:p w:rsidR="000823E5" w:rsidRPr="00AE5965" w:rsidRDefault="000823E5" w:rsidP="000823E5">
      <w:pPr>
        <w:jc w:val="center"/>
      </w:pPr>
    </w:p>
    <w:p w:rsidR="000823E5" w:rsidRDefault="000823E5" w:rsidP="000823E5">
      <w:pPr>
        <w:pStyle w:val="SCCLsocParty"/>
        <w:jc w:val="center"/>
      </w:pPr>
      <w:r>
        <w:t>Attorney General of Quebec</w:t>
      </w:r>
    </w:p>
    <w:p w:rsidR="000823E5" w:rsidRDefault="000823E5" w:rsidP="000823E5">
      <w:pPr>
        <w:jc w:val="center"/>
      </w:pPr>
      <w:r>
        <w:t>Respondent</w:t>
      </w:r>
    </w:p>
    <w:p w:rsidR="000823E5" w:rsidRPr="00AE5965" w:rsidRDefault="000823E5" w:rsidP="000823E5">
      <w:pPr>
        <w:jc w:val="center"/>
      </w:pPr>
    </w:p>
    <w:p w:rsidR="000823E5" w:rsidRDefault="000823E5" w:rsidP="000823E5">
      <w:pPr>
        <w:pStyle w:val="SCCLsocOtherPartySeparator"/>
        <w:spacing w:after="0"/>
        <w:jc w:val="center"/>
      </w:pPr>
      <w:r>
        <w:t xml:space="preserve">- </w:t>
      </w:r>
      <w:proofErr w:type="gramStart"/>
      <w:r>
        <w:t>and</w:t>
      </w:r>
      <w:proofErr w:type="gramEnd"/>
      <w:r>
        <w:t xml:space="preserve"> -</w:t>
      </w:r>
    </w:p>
    <w:p w:rsidR="000823E5" w:rsidRDefault="000823E5" w:rsidP="000823E5">
      <w:pPr>
        <w:pStyle w:val="SCCLsocParty"/>
        <w:jc w:val="center"/>
        <w:rPr>
          <w:lang w:val="fr-CA"/>
        </w:rPr>
      </w:pPr>
    </w:p>
    <w:p w:rsidR="000823E5" w:rsidRPr="00AE5965" w:rsidRDefault="000823E5" w:rsidP="000823E5">
      <w:pPr>
        <w:pStyle w:val="SCCLsocParty"/>
        <w:jc w:val="center"/>
        <w:rPr>
          <w:lang w:val="fr-CA"/>
        </w:rPr>
      </w:pPr>
      <w:r>
        <w:rPr>
          <w:lang w:val="fr-CA"/>
        </w:rPr>
        <w:t>Administrative Tribunal of Québec</w:t>
      </w:r>
      <w:r w:rsidRPr="00AE5965">
        <w:rPr>
          <w:lang w:val="fr-CA"/>
        </w:rPr>
        <w:t xml:space="preserve">, Ordre des comptables </w:t>
      </w:r>
      <w:r>
        <w:rPr>
          <w:lang w:val="fr-CA"/>
        </w:rPr>
        <w:t xml:space="preserve">professionnels agréés du Québec </w:t>
      </w:r>
      <w:r w:rsidRPr="00755020">
        <w:rPr>
          <w:lang w:val="fr-CA"/>
        </w:rPr>
        <w:t xml:space="preserve">and </w:t>
      </w:r>
      <w:proofErr w:type="spellStart"/>
      <w:r w:rsidRPr="00755020">
        <w:rPr>
          <w:lang w:val="fr-CA"/>
        </w:rPr>
        <w:t>Chartered</w:t>
      </w:r>
      <w:proofErr w:type="spellEnd"/>
      <w:r w:rsidRPr="00755020">
        <w:rPr>
          <w:lang w:val="fr-CA"/>
        </w:rPr>
        <w:t xml:space="preserve"> Professional </w:t>
      </w:r>
      <w:proofErr w:type="spellStart"/>
      <w:r w:rsidRPr="00755020">
        <w:rPr>
          <w:lang w:val="fr-CA"/>
        </w:rPr>
        <w:t>Accountants</w:t>
      </w:r>
      <w:proofErr w:type="spellEnd"/>
      <w:r w:rsidRPr="00755020">
        <w:rPr>
          <w:lang w:val="fr-CA"/>
        </w:rPr>
        <w:t xml:space="preserve"> of Canada</w:t>
      </w:r>
    </w:p>
    <w:p w:rsidR="000823E5" w:rsidRDefault="000823E5" w:rsidP="000823E5">
      <w:pPr>
        <w:jc w:val="center"/>
      </w:pPr>
      <w:r>
        <w:t>Interveners</w:t>
      </w:r>
    </w:p>
    <w:p w:rsidR="000823E5" w:rsidRDefault="000823E5" w:rsidP="000823E5">
      <w:pPr>
        <w:jc w:val="center"/>
      </w:pPr>
    </w:p>
    <w:p w:rsidR="000823E5" w:rsidRPr="006B210C" w:rsidRDefault="000823E5" w:rsidP="000823E5"/>
    <w:p w:rsidR="000823E5" w:rsidRPr="006B210C" w:rsidRDefault="000823E5" w:rsidP="000823E5">
      <w:pPr>
        <w:jc w:val="center"/>
        <w:rPr>
          <w:b/>
          <w:smallCaps/>
        </w:rPr>
      </w:pPr>
      <w:r w:rsidRPr="006B210C">
        <w:rPr>
          <w:b/>
          <w:smallCaps/>
        </w:rPr>
        <w:t>Official English Translation</w:t>
      </w:r>
    </w:p>
    <w:p w:rsidR="000823E5" w:rsidRPr="006B210C" w:rsidRDefault="000823E5" w:rsidP="000823E5"/>
    <w:p w:rsidR="000823E5" w:rsidRPr="006B210C" w:rsidRDefault="000823E5" w:rsidP="000823E5">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w:t>
      </w:r>
      <w:proofErr w:type="spellStart"/>
      <w:r>
        <w:t>Côté</w:t>
      </w:r>
      <w:proofErr w:type="spellEnd"/>
      <w:r>
        <w:t>, Brown and Rowe JJ.</w:t>
      </w:r>
    </w:p>
    <w:p w:rsidR="000823E5" w:rsidRPr="006B210C" w:rsidRDefault="000823E5" w:rsidP="000823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0823E5" w:rsidRPr="006B210C" w:rsidTr="0007008F">
        <w:trPr>
          <w:cantSplit/>
        </w:trPr>
        <w:tc>
          <w:tcPr>
            <w:tcW w:w="3618" w:type="dxa"/>
          </w:tcPr>
          <w:p w:rsidR="000823E5" w:rsidRDefault="000823E5" w:rsidP="0007008F">
            <w:pPr>
              <w:rPr>
                <w:b/>
                <w:smallCaps/>
              </w:rPr>
            </w:pPr>
            <w:r w:rsidRPr="006B210C">
              <w:rPr>
                <w:b/>
                <w:smallCaps/>
              </w:rPr>
              <w:t>Reasons for Judgment</w:t>
            </w:r>
            <w:r>
              <w:rPr>
                <w:b/>
                <w:smallCaps/>
              </w:rPr>
              <w:t>:</w:t>
            </w:r>
          </w:p>
          <w:p w:rsidR="000823E5" w:rsidRPr="006B210C" w:rsidRDefault="000823E5" w:rsidP="0007008F">
            <w:r>
              <w:t xml:space="preserve">(paras. 1 </w:t>
            </w:r>
            <w:r w:rsidRPr="00BA3246">
              <w:t>to 41):</w:t>
            </w:r>
          </w:p>
        </w:tc>
        <w:tc>
          <w:tcPr>
            <w:tcW w:w="5958" w:type="dxa"/>
          </w:tcPr>
          <w:p w:rsidR="000823E5" w:rsidRPr="006B210C" w:rsidRDefault="000823E5" w:rsidP="0007008F">
            <w:r>
              <w:t>Brown J. (</w:t>
            </w:r>
            <w:proofErr w:type="spellStart"/>
            <w:r>
              <w:t>McLachlin</w:t>
            </w:r>
            <w:proofErr w:type="spellEnd"/>
            <w:r>
              <w:t xml:space="preserve"> C.J. and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and Rowe JJ. concurring)</w:t>
            </w:r>
          </w:p>
        </w:tc>
      </w:tr>
    </w:tbl>
    <w:p w:rsidR="000823E5" w:rsidRDefault="000823E5" w:rsidP="000823E5"/>
    <w:p w:rsidR="000823E5" w:rsidRDefault="000823E5" w:rsidP="000823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0823E5" w:rsidRPr="006B210C" w:rsidTr="0007008F">
        <w:trPr>
          <w:cantSplit/>
        </w:trPr>
        <w:tc>
          <w:tcPr>
            <w:tcW w:w="3618" w:type="dxa"/>
          </w:tcPr>
          <w:p w:rsidR="000823E5" w:rsidRDefault="000823E5" w:rsidP="0007008F">
            <w:pPr>
              <w:rPr>
                <w:b/>
                <w:smallCaps/>
              </w:rPr>
            </w:pPr>
            <w:r>
              <w:rPr>
                <w:b/>
                <w:smallCaps/>
              </w:rPr>
              <w:t>Dissenting reasons:</w:t>
            </w:r>
          </w:p>
          <w:p w:rsidR="000823E5" w:rsidRPr="006B210C" w:rsidRDefault="000823E5" w:rsidP="0007008F">
            <w:r>
              <w:t>(para</w:t>
            </w:r>
            <w:r w:rsidRPr="00AE5965">
              <w:t>s</w:t>
            </w:r>
            <w:r w:rsidRPr="00BA3246">
              <w:t>. 42 to 99):</w:t>
            </w:r>
          </w:p>
        </w:tc>
        <w:tc>
          <w:tcPr>
            <w:tcW w:w="5958" w:type="dxa"/>
          </w:tcPr>
          <w:p w:rsidR="000823E5" w:rsidRPr="006B210C" w:rsidRDefault="000823E5" w:rsidP="0007008F">
            <w:proofErr w:type="spellStart"/>
            <w:r>
              <w:t>Côté</w:t>
            </w:r>
            <w:proofErr w:type="spellEnd"/>
            <w:r>
              <w:t xml:space="preserve"> J.</w:t>
            </w:r>
          </w:p>
        </w:tc>
      </w:tr>
    </w:tbl>
    <w:p w:rsidR="000823E5" w:rsidRDefault="000823E5" w:rsidP="000823E5"/>
    <w:p w:rsidR="000823E5" w:rsidRPr="006B210C" w:rsidRDefault="000823E5" w:rsidP="000823E5">
      <w:r>
        <w:rPr>
          <w:noProof/>
          <w:lang w:val="en-US"/>
        </w:rPr>
        <mc:AlternateContent>
          <mc:Choice Requires="wps">
            <w:drawing>
              <wp:anchor distT="0" distB="0" distL="114300" distR="114300" simplePos="0" relativeHeight="251659264" behindDoc="0" locked="0" layoutInCell="1" allowOverlap="1" wp14:anchorId="7EAE0653" wp14:editId="75359AE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EFB37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0823E5" w:rsidRPr="000823E5" w:rsidRDefault="000823E5" w:rsidP="00935044">
      <w:pPr>
        <w:widowControl w:val="0"/>
        <w:spacing w:after="720"/>
        <w:jc w:val="both"/>
        <w:rPr>
          <w:rStyle w:val="SCCAppellantForRunningHeadChar"/>
          <w:smallCaps w:val="0"/>
        </w:rPr>
      </w:pPr>
    </w:p>
    <w:p w:rsidR="008322BD" w:rsidRPr="006963BC" w:rsidRDefault="006963BC" w:rsidP="00935044">
      <w:pPr>
        <w:widowControl w:val="0"/>
        <w:spacing w:after="720"/>
        <w:jc w:val="both"/>
        <w:rPr>
          <w:lang w:val="en-US"/>
        </w:rPr>
      </w:pPr>
      <w:proofErr w:type="spellStart"/>
      <w:r>
        <w:rPr>
          <w:rStyle w:val="SCCAppellantForRunningHeadChar"/>
          <w:smallCaps w:val="0"/>
          <w:lang w:val="en-US"/>
        </w:rPr>
        <w:lastRenderedPageBreak/>
        <w:t>B</w:t>
      </w:r>
      <w:r w:rsidR="00C37EA3" w:rsidRPr="006963BC">
        <w:rPr>
          <w:rStyle w:val="SCCAppellantForRunningHeadChar"/>
          <w:smallCaps w:val="0"/>
          <w:lang w:val="en-US"/>
        </w:rPr>
        <w:t>arreau</w:t>
      </w:r>
      <w:proofErr w:type="spellEnd"/>
      <w:r w:rsidR="00C37EA3" w:rsidRPr="006963BC">
        <w:rPr>
          <w:rStyle w:val="SCCAppellantForRunningHeadChar"/>
          <w:smallCaps w:val="0"/>
          <w:lang w:val="en-US"/>
        </w:rPr>
        <w:t xml:space="preserve"> du </w:t>
      </w:r>
      <w:r>
        <w:rPr>
          <w:rStyle w:val="SCCAppellantForRunningHeadChar"/>
          <w:smallCaps w:val="0"/>
          <w:lang w:val="en-US"/>
        </w:rPr>
        <w:t>Q</w:t>
      </w:r>
      <w:r w:rsidR="008F78E9" w:rsidRPr="006963BC">
        <w:rPr>
          <w:rStyle w:val="SCCAppellantForRunningHeadChar"/>
          <w:smallCaps w:val="0"/>
          <w:lang w:val="en-US"/>
        </w:rPr>
        <w:t>uébec</w:t>
      </w:r>
      <w:r w:rsidR="00480C90" w:rsidRPr="006963BC">
        <w:rPr>
          <w:lang w:val="en-US"/>
        </w:rPr>
        <w:t xml:space="preserve"> </w:t>
      </w:r>
      <w:r w:rsidR="009B57B3" w:rsidRPr="006963BC">
        <w:rPr>
          <w:i/>
          <w:lang w:val="en-US"/>
        </w:rPr>
        <w:t>v.</w:t>
      </w:r>
      <w:r w:rsidR="00B000D8" w:rsidRPr="006963BC">
        <w:rPr>
          <w:lang w:val="en-US"/>
        </w:rPr>
        <w:t xml:space="preserve"> </w:t>
      </w:r>
      <w:r>
        <w:rPr>
          <w:rStyle w:val="SCCRespondentForRunningHeadChar"/>
          <w:smallCaps w:val="0"/>
          <w:lang w:val="en-US"/>
        </w:rPr>
        <w:t>Q</w:t>
      </w:r>
      <w:r w:rsidR="008F78E9" w:rsidRPr="006963BC">
        <w:rPr>
          <w:rStyle w:val="SCCRespondentForRunningHeadChar"/>
          <w:smallCaps w:val="0"/>
          <w:lang w:val="en-US"/>
        </w:rPr>
        <w:t>uebec</w:t>
      </w:r>
      <w:r w:rsidR="005C0612" w:rsidRPr="006963BC">
        <w:rPr>
          <w:rStyle w:val="SCCRespondentForRunningHeadChar"/>
          <w:smallCaps w:val="0"/>
          <w:lang w:val="en-US"/>
        </w:rPr>
        <w:t xml:space="preserve"> </w:t>
      </w:r>
      <w:r w:rsidR="00C82240" w:rsidRPr="006963BC">
        <w:rPr>
          <w:rStyle w:val="SCCRespondentForRunningHeadChar"/>
          <w:smallCaps w:val="0"/>
          <w:lang w:val="en-US"/>
        </w:rPr>
        <w:t>(</w:t>
      </w:r>
      <w:r>
        <w:rPr>
          <w:rStyle w:val="SCCRespondentForRunningHeadChar"/>
          <w:smallCaps w:val="0"/>
          <w:lang w:val="en-US"/>
        </w:rPr>
        <w:t>A</w:t>
      </w:r>
      <w:r w:rsidRPr="006963BC">
        <w:rPr>
          <w:rStyle w:val="SCCRespondentForRunningHeadChar"/>
          <w:smallCaps w:val="0"/>
          <w:lang w:val="en-US"/>
        </w:rPr>
        <w:t xml:space="preserve">ttorney </w:t>
      </w:r>
      <w:r>
        <w:rPr>
          <w:rStyle w:val="SCCRespondentForRunningHeadChar"/>
          <w:smallCaps w:val="0"/>
          <w:lang w:val="en-US"/>
        </w:rPr>
        <w:t>G</w:t>
      </w:r>
      <w:r w:rsidRPr="006963BC">
        <w:rPr>
          <w:rStyle w:val="SCCRespondentForRunningHeadChar"/>
          <w:smallCaps w:val="0"/>
          <w:lang w:val="en-US"/>
        </w:rPr>
        <w:t>eneral</w:t>
      </w:r>
      <w:r w:rsidR="0052024F" w:rsidRPr="006963BC">
        <w:rPr>
          <w:rStyle w:val="SCCRespondentForRunningHeadChar"/>
          <w:smallCaps w:val="0"/>
          <w:lang w:val="en-US"/>
        </w:rPr>
        <w:t>)</w:t>
      </w:r>
      <w:r>
        <w:rPr>
          <w:rStyle w:val="SCCRespondentForRunningHeadChar"/>
          <w:smallCaps w:val="0"/>
          <w:lang w:val="en-US"/>
        </w:rPr>
        <w:t xml:space="preserve">, </w:t>
      </w:r>
      <w:r w:rsidRPr="00F170FF">
        <w:t>2017 SCC </w:t>
      </w:r>
      <w:r>
        <w:t>56, [2017] 2 S.C.R. 488</w:t>
      </w:r>
    </w:p>
    <w:p w:rsidR="00FA40DE" w:rsidRPr="00F170FF" w:rsidRDefault="00CF31C9" w:rsidP="00935044">
      <w:pPr>
        <w:pStyle w:val="SCCLsocLastPartyInRole"/>
        <w:widowControl w:val="0"/>
        <w:rPr>
          <w:lang w:val="fr-CA"/>
        </w:rPr>
      </w:pPr>
      <w:r w:rsidRPr="00F170FF">
        <w:rPr>
          <w:lang w:val="fr-CA"/>
        </w:rPr>
        <w:t>Barreau du Québec</w:t>
      </w:r>
      <w:r w:rsidRPr="00F170FF">
        <w:rPr>
          <w:rStyle w:val="SCCLsocPartyRole"/>
          <w:lang w:val="fr-CA"/>
        </w:rPr>
        <w:tab/>
      </w:r>
      <w:proofErr w:type="spellStart"/>
      <w:r w:rsidRPr="00F170FF">
        <w:rPr>
          <w:rStyle w:val="SCCLsocPartyRole"/>
          <w:lang w:val="fr-CA"/>
        </w:rPr>
        <w:t>Appellant</w:t>
      </w:r>
      <w:proofErr w:type="spellEnd"/>
    </w:p>
    <w:p w:rsidR="00FA40DE" w:rsidRPr="00F170FF" w:rsidRDefault="00CF31C9" w:rsidP="00935044">
      <w:pPr>
        <w:pStyle w:val="SCCLsocVersus"/>
        <w:widowControl w:val="0"/>
        <w:rPr>
          <w:lang w:val="fr-CA"/>
        </w:rPr>
      </w:pPr>
      <w:r w:rsidRPr="00F170FF">
        <w:rPr>
          <w:lang w:val="fr-CA"/>
        </w:rPr>
        <w:t>v.</w:t>
      </w:r>
    </w:p>
    <w:p w:rsidR="00FA40DE" w:rsidRPr="00F170FF" w:rsidRDefault="00CF31C9" w:rsidP="00935044">
      <w:pPr>
        <w:pStyle w:val="SCCLsocLastPartyInRole"/>
        <w:widowControl w:val="0"/>
        <w:rPr>
          <w:lang w:val="en-US"/>
        </w:rPr>
      </w:pPr>
      <w:r w:rsidRPr="00F170FF">
        <w:rPr>
          <w:lang w:val="en-US"/>
        </w:rPr>
        <w:t>Attorney General of Quebec</w:t>
      </w:r>
      <w:r w:rsidRPr="00F170FF">
        <w:rPr>
          <w:rStyle w:val="SCCLsocPartyRole"/>
          <w:lang w:val="en-US"/>
        </w:rPr>
        <w:tab/>
        <w:t>Respondent</w:t>
      </w:r>
    </w:p>
    <w:p w:rsidR="00FA40DE" w:rsidRPr="00F170FF" w:rsidRDefault="00CF31C9" w:rsidP="00935044">
      <w:pPr>
        <w:pStyle w:val="SCCLsocOtherPartySeparator"/>
        <w:widowControl w:val="0"/>
        <w:rPr>
          <w:lang w:val="en-US"/>
        </w:rPr>
      </w:pPr>
      <w:proofErr w:type="gramStart"/>
      <w:r w:rsidRPr="00F170FF">
        <w:rPr>
          <w:lang w:val="en-US"/>
        </w:rPr>
        <w:t>and</w:t>
      </w:r>
      <w:proofErr w:type="gramEnd"/>
    </w:p>
    <w:p w:rsidR="00FA40DE" w:rsidRPr="006963BC" w:rsidRDefault="00340F56" w:rsidP="00935044">
      <w:pPr>
        <w:pStyle w:val="SCCLsocParty"/>
        <w:widowControl w:val="0"/>
        <w:rPr>
          <w:lang w:val="en-US"/>
        </w:rPr>
      </w:pPr>
      <w:r w:rsidRPr="006963BC">
        <w:rPr>
          <w:lang w:val="en-US"/>
        </w:rPr>
        <w:t>Administrative Tribunal of Qu</w:t>
      </w:r>
      <w:r w:rsidR="004B0972" w:rsidRPr="006963BC">
        <w:rPr>
          <w:lang w:val="en-US"/>
        </w:rPr>
        <w:t>é</w:t>
      </w:r>
      <w:r w:rsidRPr="006963BC">
        <w:rPr>
          <w:lang w:val="en-US"/>
        </w:rPr>
        <w:t>bec</w:t>
      </w:r>
      <w:r w:rsidR="00CF31C9" w:rsidRPr="006963BC">
        <w:rPr>
          <w:lang w:val="en-US"/>
        </w:rPr>
        <w:t>,</w:t>
      </w:r>
    </w:p>
    <w:p w:rsidR="00FA40DE" w:rsidRPr="00F170FF" w:rsidRDefault="00CF31C9" w:rsidP="00935044">
      <w:pPr>
        <w:pStyle w:val="SCCLsocParty"/>
        <w:widowControl w:val="0"/>
        <w:rPr>
          <w:lang w:val="fr-CA"/>
        </w:rPr>
      </w:pPr>
      <w:r w:rsidRPr="00F170FF">
        <w:rPr>
          <w:lang w:val="fr-CA"/>
        </w:rPr>
        <w:t xml:space="preserve">Ordre des comptables </w:t>
      </w:r>
      <w:r w:rsidR="00C37EA3" w:rsidRPr="00F170FF">
        <w:rPr>
          <w:lang w:val="fr-CA"/>
        </w:rPr>
        <w:t>professionnels agréés du Québec and</w:t>
      </w:r>
    </w:p>
    <w:p w:rsidR="00FA40DE" w:rsidRPr="00F170FF" w:rsidRDefault="00CF31C9" w:rsidP="00935044">
      <w:pPr>
        <w:pStyle w:val="SCCLsocLastPartyInRole"/>
        <w:widowControl w:val="0"/>
      </w:pPr>
      <w:r w:rsidRPr="00F170FF">
        <w:t>Charte</w:t>
      </w:r>
      <w:r w:rsidR="008F3B70" w:rsidRPr="00F170FF">
        <w:t xml:space="preserve">red Professional Accountants </w:t>
      </w:r>
      <w:r w:rsidR="00ED5AE9" w:rsidRPr="00F170FF">
        <w:t xml:space="preserve">of </w:t>
      </w:r>
      <w:r w:rsidRPr="00F170FF">
        <w:t>Canada</w:t>
      </w:r>
      <w:r w:rsidRPr="00F170FF">
        <w:rPr>
          <w:rStyle w:val="SCCLsocPartyRole"/>
        </w:rPr>
        <w:tab/>
        <w:t>Interveners</w:t>
      </w:r>
    </w:p>
    <w:p w:rsidR="00426659" w:rsidRPr="00F170FF" w:rsidRDefault="00426659" w:rsidP="00935044">
      <w:pPr>
        <w:widowControl w:val="0"/>
        <w:spacing w:after="720"/>
        <w:jc w:val="both"/>
        <w:rPr>
          <w:b/>
        </w:rPr>
      </w:pPr>
      <w:r w:rsidRPr="00F170FF">
        <w:rPr>
          <w:b/>
        </w:rPr>
        <w:t>Indexed as:</w:t>
      </w:r>
      <w:r w:rsidR="00945EE1" w:rsidRPr="00F170FF">
        <w:rPr>
          <w:b/>
        </w:rPr>
        <w:t xml:space="preserve"> </w:t>
      </w:r>
      <w:proofErr w:type="spellStart"/>
      <w:r w:rsidRPr="00F170FF">
        <w:rPr>
          <w:rStyle w:val="SCCAppellantForIndexChar"/>
        </w:rPr>
        <w:t>Barreau</w:t>
      </w:r>
      <w:proofErr w:type="spellEnd"/>
      <w:r w:rsidRPr="00F170FF">
        <w:rPr>
          <w:rStyle w:val="SCCAppellantForIndexChar"/>
        </w:rPr>
        <w:t xml:space="preserve"> du Québec</w:t>
      </w:r>
      <w:r w:rsidRPr="00F170FF">
        <w:rPr>
          <w:b/>
        </w:rPr>
        <w:t xml:space="preserve"> </w:t>
      </w:r>
      <w:r w:rsidRPr="00F170FF">
        <w:rPr>
          <w:b/>
          <w:i/>
        </w:rPr>
        <w:t>v.</w:t>
      </w:r>
      <w:r w:rsidRPr="00F170FF">
        <w:rPr>
          <w:b/>
        </w:rPr>
        <w:t xml:space="preserve"> </w:t>
      </w:r>
      <w:r w:rsidR="005A3E5A" w:rsidRPr="00F170FF">
        <w:rPr>
          <w:b/>
        </w:rPr>
        <w:t>Quebec (</w:t>
      </w:r>
      <w:r w:rsidR="005A3E5A" w:rsidRPr="00F170FF">
        <w:rPr>
          <w:rStyle w:val="SCCRespondentForIndexChar"/>
        </w:rPr>
        <w:t>Attorney General)</w:t>
      </w:r>
    </w:p>
    <w:p w:rsidR="00426659" w:rsidRPr="00F170FF" w:rsidRDefault="00AE4535" w:rsidP="00935044">
      <w:pPr>
        <w:pStyle w:val="SCCSystemYear"/>
        <w:widowControl w:val="0"/>
        <w:spacing w:after="720"/>
        <w:jc w:val="both"/>
      </w:pPr>
      <w:r w:rsidRPr="00F170FF">
        <w:t>2017</w:t>
      </w:r>
      <w:r w:rsidR="003D0399" w:rsidRPr="00F170FF">
        <w:t xml:space="preserve"> </w:t>
      </w:r>
      <w:r w:rsidR="00426659" w:rsidRPr="00F170FF">
        <w:t>SCC </w:t>
      </w:r>
      <w:r w:rsidR="00BC21C6">
        <w:t>56</w:t>
      </w:r>
    </w:p>
    <w:p w:rsidR="008322BD" w:rsidRPr="00F170FF" w:rsidRDefault="009B57B3" w:rsidP="00935044">
      <w:pPr>
        <w:widowControl w:val="0"/>
        <w:spacing w:after="720"/>
        <w:jc w:val="both"/>
      </w:pPr>
      <w:r w:rsidRPr="00F170FF">
        <w:t>File No.:</w:t>
      </w:r>
      <w:r w:rsidR="00945EE1" w:rsidRPr="00F170FF">
        <w:t xml:space="preserve"> </w:t>
      </w:r>
      <w:r w:rsidRPr="00F170FF">
        <w:t>37034.</w:t>
      </w:r>
    </w:p>
    <w:p w:rsidR="008322BD" w:rsidRPr="00F170FF" w:rsidRDefault="00AE4535" w:rsidP="00935044">
      <w:pPr>
        <w:widowControl w:val="0"/>
        <w:spacing w:after="720"/>
        <w:jc w:val="both"/>
      </w:pPr>
      <w:r w:rsidRPr="00F170FF">
        <w:t>2017:</w:t>
      </w:r>
      <w:r w:rsidR="00312D9E" w:rsidRPr="00F170FF">
        <w:t> March </w:t>
      </w:r>
      <w:r w:rsidRPr="00F170FF">
        <w:t>27</w:t>
      </w:r>
      <w:r w:rsidR="005A3E5A" w:rsidRPr="00F170FF">
        <w:t>; 2017:</w:t>
      </w:r>
      <w:r w:rsidR="00312D9E" w:rsidRPr="00F170FF">
        <w:t> </w:t>
      </w:r>
      <w:r w:rsidR="005A3E5A" w:rsidRPr="00F170FF">
        <w:t>November</w:t>
      </w:r>
      <w:r w:rsidR="00312D9E" w:rsidRPr="00F170FF">
        <w:t> </w:t>
      </w:r>
      <w:r w:rsidR="005A3E5A" w:rsidRPr="00F170FF">
        <w:t>10</w:t>
      </w:r>
      <w:r w:rsidR="009B57B3" w:rsidRPr="00F170FF">
        <w:t>.</w:t>
      </w:r>
    </w:p>
    <w:p w:rsidR="008322BD" w:rsidRPr="00F170FF" w:rsidRDefault="009B57B3" w:rsidP="00935044">
      <w:pPr>
        <w:widowControl w:val="0"/>
        <w:spacing w:after="720"/>
        <w:jc w:val="both"/>
      </w:pPr>
      <w:r w:rsidRPr="00F170FF">
        <w:t>Present:</w:t>
      </w:r>
      <w:r w:rsidR="00945EE1" w:rsidRPr="00F170FF">
        <w:t xml:space="preserve"> </w:t>
      </w:r>
      <w:proofErr w:type="spellStart"/>
      <w:r w:rsidRPr="00F170FF">
        <w:t>McLachlin</w:t>
      </w:r>
      <w:proofErr w:type="spellEnd"/>
      <w:r w:rsidRPr="00F170FF">
        <w:t xml:space="preserve"> C.J. and </w:t>
      </w:r>
      <w:proofErr w:type="spellStart"/>
      <w:r w:rsidRPr="00F170FF">
        <w:t>Abella</w:t>
      </w:r>
      <w:proofErr w:type="spellEnd"/>
      <w:r w:rsidRPr="00F170FF">
        <w:t xml:space="preserve">, </w:t>
      </w:r>
      <w:proofErr w:type="spellStart"/>
      <w:r w:rsidRPr="00F170FF">
        <w:t>Moldaver</w:t>
      </w:r>
      <w:proofErr w:type="spellEnd"/>
      <w:r w:rsidRPr="00F170FF">
        <w:t xml:space="preserve">, </w:t>
      </w:r>
      <w:proofErr w:type="spellStart"/>
      <w:r w:rsidRPr="00F170FF">
        <w:t>Karakatsanis</w:t>
      </w:r>
      <w:proofErr w:type="spellEnd"/>
      <w:r w:rsidRPr="00F170FF">
        <w:t xml:space="preserve">, Wagner, </w:t>
      </w:r>
      <w:proofErr w:type="spellStart"/>
      <w:r w:rsidRPr="00F170FF">
        <w:t>Gascon</w:t>
      </w:r>
      <w:proofErr w:type="spellEnd"/>
      <w:r w:rsidRPr="00F170FF">
        <w:t xml:space="preserve">, </w:t>
      </w:r>
      <w:proofErr w:type="spellStart"/>
      <w:r w:rsidRPr="00F170FF">
        <w:t>Côté</w:t>
      </w:r>
      <w:proofErr w:type="spellEnd"/>
      <w:r w:rsidRPr="00F170FF">
        <w:t>, Brown and Rowe JJ.</w:t>
      </w:r>
    </w:p>
    <w:p w:rsidR="008322BD" w:rsidRPr="00F170FF" w:rsidRDefault="00656313" w:rsidP="00935044">
      <w:pPr>
        <w:pStyle w:val="SCCLowerCourtNameLowercase"/>
        <w:widowControl w:val="0"/>
        <w:spacing w:after="720" w:line="240" w:lineRule="auto"/>
      </w:pPr>
      <w:r w:rsidRPr="00F170FF">
        <w:t>o</w:t>
      </w:r>
      <w:r w:rsidR="00170592" w:rsidRPr="00F170FF">
        <w:t>n</w:t>
      </w:r>
      <w:r w:rsidR="00224FC0" w:rsidRPr="00F170FF">
        <w:t xml:space="preserve"> </w:t>
      </w:r>
      <w:r w:rsidRPr="00F170FF">
        <w:t>a</w:t>
      </w:r>
      <w:r w:rsidR="00170592" w:rsidRPr="00F170FF">
        <w:t>ppeal</w:t>
      </w:r>
      <w:r w:rsidR="00224FC0" w:rsidRPr="00F170FF">
        <w:t xml:space="preserve"> </w:t>
      </w:r>
      <w:r w:rsidR="00170592" w:rsidRPr="00F170FF">
        <w:t>from</w:t>
      </w:r>
      <w:r w:rsidR="009567AA" w:rsidRPr="00F170FF">
        <w:t xml:space="preserve"> the</w:t>
      </w:r>
      <w:r w:rsidR="00224FC0" w:rsidRPr="00F170FF">
        <w:t xml:space="preserve"> </w:t>
      </w:r>
      <w:r w:rsidR="009B57B3" w:rsidRPr="00F170FF">
        <w:t>co</w:t>
      </w:r>
      <w:r w:rsidR="00C37EA3" w:rsidRPr="00F170FF">
        <w:t xml:space="preserve">urt of appeal </w:t>
      </w:r>
      <w:r w:rsidR="00901BF7" w:rsidRPr="00F170FF">
        <w:t xml:space="preserve">for </w:t>
      </w:r>
      <w:proofErr w:type="spellStart"/>
      <w:r w:rsidR="00C37EA3" w:rsidRPr="00F170FF">
        <w:t>quebec</w:t>
      </w:r>
      <w:proofErr w:type="spellEnd"/>
    </w:p>
    <w:p w:rsidR="00D51D7B" w:rsidRPr="00F170FF" w:rsidRDefault="00D51D7B" w:rsidP="00935044">
      <w:pPr>
        <w:pStyle w:val="SCCNormalDoubleSpacing"/>
        <w:widowControl w:val="0"/>
        <w:spacing w:before="480" w:after="480"/>
        <w:rPr>
          <w:i/>
          <w:iCs/>
        </w:rPr>
      </w:pPr>
      <w:r w:rsidRPr="00F170FF">
        <w:lastRenderedPageBreak/>
        <w:tab/>
      </w:r>
      <w:r w:rsidRPr="00F170FF">
        <w:rPr>
          <w:i/>
          <w:iCs/>
        </w:rPr>
        <w:t xml:space="preserve">Administrative law — Judicial review — Standard of review — Statutory provisions establishing exception to monopoly on practice of advocates for certain proceedings under Act respecting administrative justice — Administrative Tribunal of Québec concluding that its enabling statute authorizes person who is not advocate to prepare and draw up written proceedings in name of Minister of Employment and Social Solidarity and that that power is not in conflict with Act respecting the </w:t>
      </w:r>
      <w:proofErr w:type="spellStart"/>
      <w:r w:rsidRPr="00F170FF">
        <w:rPr>
          <w:i/>
          <w:iCs/>
        </w:rPr>
        <w:t>Barreau</w:t>
      </w:r>
      <w:proofErr w:type="spellEnd"/>
      <w:r w:rsidRPr="00F170FF">
        <w:rPr>
          <w:i/>
          <w:iCs/>
        </w:rPr>
        <w:t xml:space="preserve"> du Québec</w:t>
      </w:r>
      <w:r w:rsidRPr="00F170FF">
        <w:t xml:space="preserve"> </w:t>
      </w:r>
      <w:r w:rsidRPr="00F170FF">
        <w:rPr>
          <w:i/>
          <w:iCs/>
        </w:rPr>
        <w:t>— Standard of review applicable to that decision</w:t>
      </w:r>
      <w:r w:rsidRPr="00F170FF">
        <w:t xml:space="preserve"> </w:t>
      </w:r>
      <w:r w:rsidRPr="00F170FF">
        <w:rPr>
          <w:i/>
          <w:iCs/>
        </w:rPr>
        <w:t>— Act respecting administrative justice</w:t>
      </w:r>
      <w:r w:rsidRPr="00F170FF">
        <w:rPr>
          <w:i/>
        </w:rPr>
        <w:t>, CQLR, c.</w:t>
      </w:r>
      <w:r w:rsidR="00312D9E" w:rsidRPr="00F170FF">
        <w:rPr>
          <w:i/>
        </w:rPr>
        <w:t> </w:t>
      </w:r>
      <w:r w:rsidRPr="00F170FF">
        <w:rPr>
          <w:i/>
        </w:rPr>
        <w:t>J</w:t>
      </w:r>
      <w:r w:rsidR="00312D9E" w:rsidRPr="00F170FF">
        <w:rPr>
          <w:i/>
        </w:rPr>
        <w:noBreakHyphen/>
      </w:r>
      <w:r w:rsidRPr="00F170FF">
        <w:rPr>
          <w:i/>
        </w:rPr>
        <w:t>3, s.</w:t>
      </w:r>
      <w:r w:rsidR="00312D9E" w:rsidRPr="00F170FF">
        <w:rPr>
          <w:i/>
        </w:rPr>
        <w:t> </w:t>
      </w:r>
      <w:r w:rsidRPr="00F170FF">
        <w:rPr>
          <w:i/>
        </w:rPr>
        <w:t>102</w:t>
      </w:r>
      <w:r w:rsidRPr="00F170FF">
        <w:rPr>
          <w:i/>
          <w:iCs/>
        </w:rPr>
        <w:t xml:space="preserve"> — Act respecting the </w:t>
      </w:r>
      <w:proofErr w:type="spellStart"/>
      <w:r w:rsidRPr="00F170FF">
        <w:rPr>
          <w:i/>
          <w:iCs/>
        </w:rPr>
        <w:t>Barreau</w:t>
      </w:r>
      <w:proofErr w:type="spellEnd"/>
      <w:r w:rsidRPr="00F170FF">
        <w:rPr>
          <w:i/>
          <w:iCs/>
        </w:rPr>
        <w:t xml:space="preserve"> du Québec,</w:t>
      </w:r>
      <w:r w:rsidR="00312D9E" w:rsidRPr="00F170FF">
        <w:rPr>
          <w:i/>
        </w:rPr>
        <w:t xml:space="preserve"> CQLR, c. </w:t>
      </w:r>
      <w:r w:rsidRPr="00F170FF">
        <w:rPr>
          <w:i/>
        </w:rPr>
        <w:t>B</w:t>
      </w:r>
      <w:r w:rsidR="00312D9E" w:rsidRPr="00F170FF">
        <w:rPr>
          <w:i/>
        </w:rPr>
        <w:noBreakHyphen/>
      </w:r>
      <w:r w:rsidRPr="00F170FF">
        <w:rPr>
          <w:i/>
        </w:rPr>
        <w:t xml:space="preserve">1, </w:t>
      </w:r>
      <w:r w:rsidR="00312D9E" w:rsidRPr="00F170FF">
        <w:rPr>
          <w:i/>
        </w:rPr>
        <w:t>ss. </w:t>
      </w:r>
      <w:r w:rsidRPr="00F170FF">
        <w:rPr>
          <w:i/>
        </w:rPr>
        <w:t>128(2)(a)(</w:t>
      </w:r>
      <w:r w:rsidRPr="00F170FF">
        <w:rPr>
          <w:i/>
          <w:szCs w:val="24"/>
          <w:lang w:eastAsia="fr-CA"/>
        </w:rPr>
        <w:t>5), 129(b)</w:t>
      </w:r>
      <w:r w:rsidRPr="00F170FF">
        <w:rPr>
          <w:i/>
          <w:iCs/>
        </w:rPr>
        <w:t>.</w:t>
      </w:r>
    </w:p>
    <w:p w:rsidR="00D51D7B" w:rsidRPr="00F170FF" w:rsidRDefault="00D51D7B" w:rsidP="00935044">
      <w:pPr>
        <w:pStyle w:val="SCCNormalDoubleSpacing"/>
        <w:widowControl w:val="0"/>
        <w:spacing w:before="480" w:after="480"/>
      </w:pPr>
      <w:r w:rsidRPr="00F170FF">
        <w:tab/>
      </w:r>
      <w:r w:rsidRPr="00F170FF">
        <w:rPr>
          <w:i/>
          <w:iCs/>
        </w:rPr>
        <w:t xml:space="preserve">Administrative law — Boards and tribunals </w:t>
      </w:r>
      <w:r w:rsidR="00312D9E" w:rsidRPr="00F170FF">
        <w:rPr>
          <w:i/>
          <w:iCs/>
        </w:rPr>
        <w:t xml:space="preserve">— </w:t>
      </w:r>
      <w:r w:rsidRPr="00F170FF">
        <w:rPr>
          <w:i/>
          <w:iCs/>
        </w:rPr>
        <w:t xml:space="preserve">Procedure </w:t>
      </w:r>
      <w:r w:rsidR="00312D9E" w:rsidRPr="00F170FF">
        <w:rPr>
          <w:i/>
          <w:iCs/>
        </w:rPr>
        <w:t xml:space="preserve">— </w:t>
      </w:r>
      <w:r w:rsidRPr="00F170FF">
        <w:rPr>
          <w:i/>
          <w:iCs/>
        </w:rPr>
        <w:t>Representation by advocate — Statutory provisions establishing exception to monopoly on practice of advocates for certain proceedings under Act respecting administrative justice — Written proceedings prepared, drawn up, signed and filed by person who was not advocate in name of Minister of Employment and Social Solidarity for case</w:t>
      </w:r>
      <w:r w:rsidR="00D67AC8">
        <w:rPr>
          <w:i/>
          <w:iCs/>
        </w:rPr>
        <w:t>s</w:t>
      </w:r>
      <w:r w:rsidRPr="00F170FF">
        <w:rPr>
          <w:i/>
          <w:iCs/>
        </w:rPr>
        <w:t xml:space="preserve"> before social affairs division of Administrative Tribunal of Québec — Whether Minister’s right “to be represented by the person of his .</w:t>
      </w:r>
      <w:r w:rsidR="00312D9E" w:rsidRPr="00F170FF">
        <w:rPr>
          <w:i/>
          <w:iCs/>
        </w:rPr>
        <w:t> </w:t>
      </w:r>
      <w:r w:rsidRPr="00F170FF">
        <w:rPr>
          <w:i/>
          <w:iCs/>
        </w:rPr>
        <w:t>.</w:t>
      </w:r>
      <w:r w:rsidR="00312D9E" w:rsidRPr="00F170FF">
        <w:rPr>
          <w:i/>
          <w:iCs/>
        </w:rPr>
        <w:t> </w:t>
      </w:r>
      <w:r w:rsidRPr="00F170FF">
        <w:rPr>
          <w:i/>
          <w:iCs/>
        </w:rPr>
        <w:t>. choice” encompasses both oral and written representation — Act respecting administrative justice, CQLR, c.</w:t>
      </w:r>
      <w:r w:rsidR="00312D9E" w:rsidRPr="00F170FF">
        <w:rPr>
          <w:i/>
          <w:iCs/>
        </w:rPr>
        <w:t> </w:t>
      </w:r>
      <w:r w:rsidRPr="00F170FF">
        <w:rPr>
          <w:i/>
          <w:iCs/>
        </w:rPr>
        <w:t>J</w:t>
      </w:r>
      <w:r w:rsidR="00312D9E" w:rsidRPr="00F170FF">
        <w:rPr>
          <w:i/>
          <w:iCs/>
        </w:rPr>
        <w:noBreakHyphen/>
        <w:t>3, s. </w:t>
      </w:r>
      <w:r w:rsidRPr="00F170FF">
        <w:rPr>
          <w:i/>
          <w:iCs/>
        </w:rPr>
        <w:t xml:space="preserve">102 — Act respecting </w:t>
      </w:r>
      <w:r w:rsidR="00312D9E" w:rsidRPr="00F170FF">
        <w:rPr>
          <w:i/>
          <w:iCs/>
        </w:rPr>
        <w:t xml:space="preserve">the </w:t>
      </w:r>
      <w:proofErr w:type="spellStart"/>
      <w:r w:rsidR="00312D9E" w:rsidRPr="00F170FF">
        <w:rPr>
          <w:i/>
          <w:iCs/>
        </w:rPr>
        <w:t>Barreau</w:t>
      </w:r>
      <w:proofErr w:type="spellEnd"/>
      <w:r w:rsidR="00312D9E" w:rsidRPr="00F170FF">
        <w:rPr>
          <w:i/>
          <w:iCs/>
        </w:rPr>
        <w:t xml:space="preserve"> du Québec, CQLR, c. </w:t>
      </w:r>
      <w:r w:rsidRPr="00F170FF">
        <w:rPr>
          <w:i/>
          <w:iCs/>
        </w:rPr>
        <w:t>B</w:t>
      </w:r>
      <w:r w:rsidR="00312D9E" w:rsidRPr="00F170FF">
        <w:rPr>
          <w:i/>
          <w:iCs/>
        </w:rPr>
        <w:noBreakHyphen/>
      </w:r>
      <w:r w:rsidRPr="00F170FF">
        <w:rPr>
          <w:i/>
          <w:iCs/>
        </w:rPr>
        <w:t xml:space="preserve">1, </w:t>
      </w:r>
      <w:r w:rsidR="00312D9E" w:rsidRPr="00F170FF">
        <w:rPr>
          <w:i/>
          <w:iCs/>
        </w:rPr>
        <w:t>ss. </w:t>
      </w:r>
      <w:r w:rsidRPr="00F170FF">
        <w:rPr>
          <w:i/>
          <w:iCs/>
        </w:rPr>
        <w:t>128(2)(a)(5), 129(b).</w:t>
      </w:r>
    </w:p>
    <w:p w:rsidR="00D51D7B" w:rsidRPr="00F170FF" w:rsidRDefault="00D51D7B" w:rsidP="00935044">
      <w:pPr>
        <w:pStyle w:val="SCCNormalDoubleSpacing"/>
        <w:widowControl w:val="0"/>
        <w:spacing w:before="480" w:after="480"/>
      </w:pPr>
      <w:r w:rsidRPr="00F170FF">
        <w:tab/>
        <w:t xml:space="preserve">In cases relating to social aid in which the opposing parties were the Minister of Employment and Social Solidarity (“Minister”) and individuals, the </w:t>
      </w:r>
      <w:r w:rsidRPr="00F170FF">
        <w:lastRenderedPageBreak/>
        <w:t xml:space="preserve">Minister applied for a review of decisions rendered by the Administrative Tribunal of Québec (“ATQ”) by presenting motions for review that had been prepared, drawn up, signed and filed by a person who was not an advocate. In </w:t>
      </w:r>
      <w:r w:rsidR="00D67AC8">
        <w:t>both</w:t>
      </w:r>
      <w:r w:rsidRPr="00F170FF">
        <w:t xml:space="preserve"> those cases, the individual</w:t>
      </w:r>
      <w:r w:rsidR="00D67AC8">
        <w:t>s</w:t>
      </w:r>
      <w:r w:rsidRPr="00F170FF">
        <w:t xml:space="preserve"> in question brought a motion to dismiss on the ground that the Minister’s written proceedings had not been prepared and drawn up by a practising advocate entered on the Roll of the Order of the </w:t>
      </w:r>
      <w:proofErr w:type="spellStart"/>
      <w:r w:rsidRPr="00F170FF">
        <w:t>Barreau</w:t>
      </w:r>
      <w:proofErr w:type="spellEnd"/>
      <w:r w:rsidRPr="00F170FF">
        <w:t xml:space="preserve"> du Québec.</w:t>
      </w:r>
    </w:p>
    <w:p w:rsidR="00D51D7B" w:rsidRPr="00F170FF" w:rsidRDefault="00D51D7B" w:rsidP="00935044">
      <w:pPr>
        <w:pStyle w:val="SCCNormalDoubleSpacing"/>
        <w:widowControl w:val="0"/>
        <w:spacing w:before="480" w:after="480"/>
      </w:pPr>
      <w:r w:rsidRPr="00F170FF">
        <w:tab/>
        <w:t xml:space="preserve">The right to represent others before a court or tribunal is generally reserved to lawyers. Section 128 of the </w:t>
      </w:r>
      <w:r w:rsidRPr="00F170FF">
        <w:rPr>
          <w:i/>
        </w:rPr>
        <w:t xml:space="preserve">Act respecting the </w:t>
      </w:r>
      <w:proofErr w:type="spellStart"/>
      <w:r w:rsidRPr="00F170FF">
        <w:rPr>
          <w:i/>
        </w:rPr>
        <w:t>Barreau</w:t>
      </w:r>
      <w:proofErr w:type="spellEnd"/>
      <w:r w:rsidRPr="00F170FF">
        <w:rPr>
          <w:i/>
        </w:rPr>
        <w:t xml:space="preserve"> du Québec</w:t>
      </w:r>
      <w:r w:rsidRPr="00F170FF">
        <w:t xml:space="preserve"> provides that certain activities, including preparing and drawing up motions and other written proceedings, are the “exclusive prerogative” of advocates and solicitors. It reserves “plead[</w:t>
      </w:r>
      <w:proofErr w:type="spellStart"/>
      <w:r w:rsidRPr="00F170FF">
        <w:t>ing</w:t>
      </w:r>
      <w:proofErr w:type="spellEnd"/>
      <w:r w:rsidRPr="00F170FF">
        <w:t>] or act[</w:t>
      </w:r>
      <w:proofErr w:type="spellStart"/>
      <w:r w:rsidRPr="00F170FF">
        <w:t>ing</w:t>
      </w:r>
      <w:proofErr w:type="spellEnd"/>
      <w:r w:rsidRPr="00F170FF">
        <w:t xml:space="preserve">]” before courts or tribunals to practising advocates. However, the </w:t>
      </w:r>
      <w:r w:rsidRPr="00F170FF">
        <w:rPr>
          <w:i/>
        </w:rPr>
        <w:t xml:space="preserve">Act respecting the </w:t>
      </w:r>
      <w:proofErr w:type="spellStart"/>
      <w:r w:rsidRPr="00F170FF">
        <w:rPr>
          <w:i/>
        </w:rPr>
        <w:t>Barreau</w:t>
      </w:r>
      <w:proofErr w:type="spellEnd"/>
      <w:r w:rsidRPr="00F170FF">
        <w:rPr>
          <w:i/>
        </w:rPr>
        <w:t xml:space="preserve"> du Québec</w:t>
      </w:r>
      <w:r w:rsidRPr="00F170FF">
        <w:t xml:space="preserve"> establishes certain exceptions to the monopoly on practice of advocates and gives the Minister the right “to be represented to plead or act in his . . . name” before the social affairs division of the ATQ (s. 128(2)(a)(5)). Further, s. 129(b) provides that s. 128 does not limit rights that are specifically defined and granted to any person by another law. Section 102 of the </w:t>
      </w:r>
      <w:r w:rsidRPr="00F170FF">
        <w:rPr>
          <w:i/>
        </w:rPr>
        <w:t>Act respecting administrative justice</w:t>
      </w:r>
      <w:r w:rsidRPr="00F170FF">
        <w:t xml:space="preserve"> grants the Minister the right to “be represented by the person of </w:t>
      </w:r>
      <w:proofErr w:type="gramStart"/>
      <w:r w:rsidRPr="00F170FF">
        <w:t>his .</w:t>
      </w:r>
      <w:proofErr w:type="gramEnd"/>
      <w:r w:rsidRPr="00F170FF">
        <w:t> . . choice before the social affairs division” of the ATQ.</w:t>
      </w:r>
    </w:p>
    <w:p w:rsidR="00D51D7B" w:rsidRPr="00F170FF" w:rsidRDefault="00D51D7B" w:rsidP="00935044">
      <w:pPr>
        <w:pStyle w:val="SCCNormalDoubleSpacing"/>
        <w:widowControl w:val="0"/>
        <w:spacing w:before="480" w:after="480"/>
      </w:pPr>
      <w:r w:rsidRPr="00F170FF">
        <w:tab/>
        <w:t>The ATQ dismissed the individual litigants’ motions to di</w:t>
      </w:r>
      <w:r w:rsidR="00675108" w:rsidRPr="00F170FF">
        <w:t>smiss, concluding that under s. </w:t>
      </w:r>
      <w:r w:rsidRPr="00F170FF">
        <w:t xml:space="preserve">102 of the </w:t>
      </w:r>
      <w:r w:rsidRPr="00F170FF">
        <w:rPr>
          <w:i/>
        </w:rPr>
        <w:t>Act respecting administrative justice</w:t>
      </w:r>
      <w:r w:rsidRPr="00F170FF">
        <w:t xml:space="preserve">, a person who is not an advocate may do everything that is needed for the representation of the </w:t>
      </w:r>
      <w:r w:rsidRPr="00F170FF">
        <w:lastRenderedPageBreak/>
        <w:t>Minister, both oral and written, before that tribunal’s social affairs division</w:t>
      </w:r>
      <w:r w:rsidRPr="00F170FF">
        <w:rPr>
          <w:i/>
        </w:rPr>
        <w:t xml:space="preserve"> </w:t>
      </w:r>
      <w:r w:rsidRPr="00F170FF">
        <w:t xml:space="preserve">and that this power is not in conflict with the </w:t>
      </w:r>
      <w:r w:rsidRPr="00F170FF">
        <w:rPr>
          <w:i/>
        </w:rPr>
        <w:t xml:space="preserve">Act respecting the </w:t>
      </w:r>
      <w:proofErr w:type="spellStart"/>
      <w:r w:rsidRPr="00F170FF">
        <w:rPr>
          <w:i/>
        </w:rPr>
        <w:t>Barreau</w:t>
      </w:r>
      <w:proofErr w:type="spellEnd"/>
      <w:r w:rsidRPr="00F170FF">
        <w:rPr>
          <w:i/>
        </w:rPr>
        <w:t xml:space="preserve"> du Québec</w:t>
      </w:r>
      <w:r w:rsidRPr="00F170FF">
        <w:t>.</w:t>
      </w:r>
      <w:r w:rsidR="00675108" w:rsidRPr="00F170FF">
        <w:t xml:space="preserve"> </w:t>
      </w:r>
      <w:r w:rsidRPr="00F170FF">
        <w:t>The Superior Court granted applications for judicial review of those decisions, but the Court of Appeal set aside that judgment, concluding that, regardless of the applicable standard of review, the ATQ’s decisions should not have been reversed.</w:t>
      </w:r>
    </w:p>
    <w:p w:rsidR="00D51D7B" w:rsidRPr="00F170FF" w:rsidRDefault="00D51D7B" w:rsidP="00935044">
      <w:pPr>
        <w:pStyle w:val="SCCNormalDoubleSpacing"/>
        <w:widowControl w:val="0"/>
        <w:spacing w:before="480" w:after="480"/>
      </w:pPr>
      <w:r w:rsidRPr="00F170FF">
        <w:tab/>
      </w:r>
      <w:r w:rsidRPr="00F170FF">
        <w:rPr>
          <w:i/>
        </w:rPr>
        <w:t>Held</w:t>
      </w:r>
      <w:r w:rsidR="00312D9E" w:rsidRPr="00F170FF">
        <w:t xml:space="preserve"> (</w:t>
      </w:r>
      <w:proofErr w:type="spellStart"/>
      <w:r w:rsidR="00312D9E" w:rsidRPr="00F170FF">
        <w:t>Côté</w:t>
      </w:r>
      <w:proofErr w:type="spellEnd"/>
      <w:r w:rsidR="00312D9E" w:rsidRPr="00F170FF">
        <w:t> </w:t>
      </w:r>
      <w:r w:rsidRPr="00F170FF">
        <w:t>J. dissenting): The appeal should be dismissed.</w:t>
      </w:r>
    </w:p>
    <w:p w:rsidR="00D51D7B" w:rsidRPr="00F170FF" w:rsidRDefault="00D51D7B" w:rsidP="00935044">
      <w:pPr>
        <w:pStyle w:val="SCCNormalDoubleSpacing"/>
        <w:widowControl w:val="0"/>
        <w:spacing w:before="480" w:after="480"/>
      </w:pPr>
      <w:r w:rsidRPr="00F170FF">
        <w:tab/>
      </w:r>
      <w:r w:rsidRPr="00F170FF">
        <w:rPr>
          <w:i/>
          <w:iCs/>
        </w:rPr>
        <w:t xml:space="preserve">Per </w:t>
      </w:r>
      <w:proofErr w:type="spellStart"/>
      <w:r w:rsidRPr="00F170FF">
        <w:t>Mc</w:t>
      </w:r>
      <w:r w:rsidR="00312D9E" w:rsidRPr="00F170FF">
        <w:t>Lachlin</w:t>
      </w:r>
      <w:proofErr w:type="spellEnd"/>
      <w:r w:rsidR="00312D9E" w:rsidRPr="00F170FF">
        <w:t> </w:t>
      </w:r>
      <w:r w:rsidRPr="00F170FF">
        <w:t xml:space="preserve">C.J. and </w:t>
      </w:r>
      <w:proofErr w:type="spellStart"/>
      <w:r w:rsidRPr="00F170FF">
        <w:t>Abella</w:t>
      </w:r>
      <w:proofErr w:type="spellEnd"/>
      <w:r w:rsidRPr="00F170FF">
        <w:t xml:space="preserve">, </w:t>
      </w:r>
      <w:proofErr w:type="spellStart"/>
      <w:r w:rsidRPr="00F170FF">
        <w:t>Moldaver</w:t>
      </w:r>
      <w:proofErr w:type="spellEnd"/>
      <w:r w:rsidRPr="00F170FF">
        <w:t xml:space="preserve">, </w:t>
      </w:r>
      <w:proofErr w:type="spellStart"/>
      <w:r w:rsidRPr="00F170FF">
        <w:t>Karakatsanis</w:t>
      </w:r>
      <w:proofErr w:type="spellEnd"/>
      <w:r w:rsidRPr="00F170FF">
        <w:t xml:space="preserve">, Wagner, </w:t>
      </w:r>
      <w:proofErr w:type="spellStart"/>
      <w:r w:rsidRPr="00F170FF">
        <w:t>Gascon</w:t>
      </w:r>
      <w:proofErr w:type="spellEnd"/>
      <w:r w:rsidRPr="00F170FF">
        <w:t xml:space="preserve">, </w:t>
      </w:r>
      <w:r w:rsidRPr="00246A9D">
        <w:t>Brown</w:t>
      </w:r>
      <w:r w:rsidR="00312D9E" w:rsidRPr="00F170FF">
        <w:t xml:space="preserve"> and Rowe </w:t>
      </w:r>
      <w:r w:rsidRPr="00F170FF">
        <w:t xml:space="preserve">JJ.: The central issue before the ATQ was whether the Minister’s right to “be represented” that is provided for in s. 102 </w:t>
      </w:r>
      <w:r w:rsidR="00246A9D">
        <w:t xml:space="preserve">of the </w:t>
      </w:r>
      <w:r w:rsidR="00246A9D">
        <w:rPr>
          <w:i/>
        </w:rPr>
        <w:t xml:space="preserve">Act respecting administrative justice </w:t>
      </w:r>
      <w:r w:rsidRPr="00F170FF">
        <w:t xml:space="preserve">includes the preparation and drawing up of written proceedings or motions intended for use before the ATQ’s social affairs division. The reasonableness standard must be presumed to apply, given that this issue entails the interpretation of s. 102, which is in the ATQ’s enabling statute and which sets out procedural rules that apply in proceedings before it. Although the ATQ had to bear the </w:t>
      </w:r>
      <w:r w:rsidRPr="00F170FF">
        <w:rPr>
          <w:i/>
        </w:rPr>
        <w:t xml:space="preserve">Act respecting the </w:t>
      </w:r>
      <w:proofErr w:type="spellStart"/>
      <w:r w:rsidRPr="00F170FF">
        <w:rPr>
          <w:i/>
        </w:rPr>
        <w:t>Barreau</w:t>
      </w:r>
      <w:proofErr w:type="spellEnd"/>
      <w:r w:rsidRPr="00F170FF">
        <w:rPr>
          <w:i/>
        </w:rPr>
        <w:t xml:space="preserve"> du Québec</w:t>
      </w:r>
      <w:r w:rsidRPr="00F170FF">
        <w:t xml:space="preserve"> in mind in interpreting s. 102 of the </w:t>
      </w:r>
      <w:r w:rsidRPr="00F170FF">
        <w:rPr>
          <w:i/>
        </w:rPr>
        <w:t>Act respecting administrative justice</w:t>
      </w:r>
      <w:r w:rsidRPr="00F170FF">
        <w:t xml:space="preserve">, this does not have the effect of removing the issue from the ATQ’s jurisdiction and expertise. Rather, it shows that the </w:t>
      </w:r>
      <w:r w:rsidRPr="00F170FF">
        <w:rPr>
          <w:i/>
        </w:rPr>
        <w:t xml:space="preserve">Act respecting the </w:t>
      </w:r>
      <w:proofErr w:type="spellStart"/>
      <w:r w:rsidRPr="00F170FF">
        <w:rPr>
          <w:i/>
        </w:rPr>
        <w:t>Barreau</w:t>
      </w:r>
      <w:proofErr w:type="spellEnd"/>
      <w:r w:rsidRPr="00F170FF">
        <w:rPr>
          <w:i/>
        </w:rPr>
        <w:t xml:space="preserve"> du Québec</w:t>
      </w:r>
      <w:r w:rsidRPr="00F170FF">
        <w:t xml:space="preserve"> has a close connection to the ATQ’s function. Moreover, s. 128(2)(a)(5) of that Act, which grants the Minister the right to be represented by a person who is not an advocate, refers expressly to the ATQ and establishes a procedural rule that applies in proceedings before it.</w:t>
      </w:r>
    </w:p>
    <w:p w:rsidR="00D51D7B" w:rsidRPr="00F170FF" w:rsidRDefault="00D51D7B" w:rsidP="00935044">
      <w:pPr>
        <w:pStyle w:val="SCCNormalDoubleSpacing"/>
        <w:widowControl w:val="0"/>
        <w:spacing w:before="480" w:after="480"/>
      </w:pPr>
      <w:r w:rsidRPr="00F170FF">
        <w:lastRenderedPageBreak/>
        <w:tab/>
        <w:t xml:space="preserve">The issue to be resolved in this case is not a question that is of central importance to the legal system as a whole and lies outside the ATQ’s specialized area of expertise; if it were, that would rebut the presumption in favour of the reasonableness standard. The </w:t>
      </w:r>
      <w:proofErr w:type="spellStart"/>
      <w:r w:rsidRPr="00F170FF">
        <w:t>Barreau’s</w:t>
      </w:r>
      <w:proofErr w:type="spellEnd"/>
      <w:r w:rsidRPr="00F170FF">
        <w:t xml:space="preserve"> role in regulating the representation of others before a court or tribunal is of obvious importance, but this does not mean that every question touching on this subject is automatically one of central importance to the legal system as a whole. The issue in this case concerns only the scope of a narrow exception that was established by the Quebec legislature in order to allow the Minister to be represented by a person who is not an advocate in certain proceedings before the ATQ’s social affairs division. Moreover, the interpretation of s. 102 of the </w:t>
      </w:r>
      <w:r w:rsidRPr="00F170FF">
        <w:rPr>
          <w:i/>
        </w:rPr>
        <w:t>Act respecting administrative justice</w:t>
      </w:r>
      <w:r w:rsidRPr="00F170FF">
        <w:t xml:space="preserve"> falls squarely within the ATQ’s expertise. The presumption in favour of the reasonableness standard is therefore not rebutted, as the legislature intended the ATQ to be able to decide any question related to proceedings pertaining to social aid, including the issue in this case. </w:t>
      </w:r>
    </w:p>
    <w:p w:rsidR="00D51D7B" w:rsidRPr="00F170FF" w:rsidRDefault="00D51D7B" w:rsidP="00935044">
      <w:pPr>
        <w:pStyle w:val="SCCNormalDoubleSpacing"/>
        <w:widowControl w:val="0"/>
        <w:spacing w:before="480" w:after="480"/>
      </w:pPr>
      <w:r w:rsidRPr="00F170FF">
        <w:tab/>
        <w:t xml:space="preserve">The ATQ’s conclusion on the scope of s. 102 of the </w:t>
      </w:r>
      <w:r w:rsidRPr="00F170FF">
        <w:rPr>
          <w:i/>
        </w:rPr>
        <w:t>Act respecting administrative justice</w:t>
      </w:r>
      <w:r w:rsidRPr="00F170FF">
        <w:t xml:space="preserve"> is reasonable. That section grants the Minister a right to “be represented”. Read in the grammatical and ordinary sense of its words, it grants the Minister the right to be represented before the social affairs division of the ATQ both for the purpose of preparing and drawing up motions and other written proceedings and for that of oral representation. This interpretation, according to which the Minister’s representative may do everything that is needed for the representation of others before the ATQ, is also consistent with the broader context of the legislation and with the </w:t>
      </w:r>
      <w:r w:rsidRPr="00F170FF">
        <w:lastRenderedPageBreak/>
        <w:t>legislature’s intent, in particular its intention to promote the introduction of non</w:t>
      </w:r>
      <w:r w:rsidR="00312D9E" w:rsidRPr="00F170FF">
        <w:noBreakHyphen/>
      </w:r>
      <w:r w:rsidRPr="00F170FF">
        <w:t>judicial processes into administrative justice. The legislative history of the exception for the Minister is also relevant, and it confirms what the legislature intended in this regard.</w:t>
      </w:r>
    </w:p>
    <w:p w:rsidR="00D51D7B" w:rsidRPr="00F170FF" w:rsidRDefault="00D51D7B" w:rsidP="00935044">
      <w:pPr>
        <w:pStyle w:val="SCCNormalDoubleSpacing"/>
        <w:widowControl w:val="0"/>
        <w:spacing w:before="480" w:after="480"/>
      </w:pPr>
      <w:r w:rsidRPr="00F170FF">
        <w:tab/>
        <w:t xml:space="preserve">Although s. 102 of the </w:t>
      </w:r>
      <w:r w:rsidRPr="00F170FF">
        <w:rPr>
          <w:i/>
        </w:rPr>
        <w:t>Act respecting administrative justice</w:t>
      </w:r>
      <w:r w:rsidRPr="00F170FF">
        <w:t xml:space="preserve"> authorizes a person who is not an advocate to represent the Minister in writing, it does not conflict with s. 128(1) of the </w:t>
      </w:r>
      <w:r w:rsidRPr="00F170FF">
        <w:rPr>
          <w:i/>
        </w:rPr>
        <w:t xml:space="preserve">Act respecting the </w:t>
      </w:r>
      <w:proofErr w:type="spellStart"/>
      <w:r w:rsidRPr="00F170FF">
        <w:rPr>
          <w:i/>
        </w:rPr>
        <w:t>Barreau</w:t>
      </w:r>
      <w:proofErr w:type="spellEnd"/>
      <w:r w:rsidRPr="00F170FF">
        <w:rPr>
          <w:i/>
        </w:rPr>
        <w:t xml:space="preserve"> du Québec</w:t>
      </w:r>
      <w:r w:rsidRPr="00F170FF">
        <w:t>, which gives practising advocates and solicitors the exclusive right to prepare and draw up documents for use in a court or tribun</w:t>
      </w:r>
      <w:r w:rsidR="00312D9E" w:rsidRPr="00F170FF">
        <w:t>al.</w:t>
      </w:r>
      <w:r w:rsidR="00675108" w:rsidRPr="00F170FF">
        <w:t xml:space="preserve"> </w:t>
      </w:r>
      <w:r w:rsidRPr="00F170FF">
        <w:t xml:space="preserve">This “conflict” is resolved by s. 129(b) of the </w:t>
      </w:r>
      <w:r w:rsidRPr="00F170FF">
        <w:rPr>
          <w:i/>
        </w:rPr>
        <w:t xml:space="preserve">Act respecting the </w:t>
      </w:r>
      <w:proofErr w:type="spellStart"/>
      <w:r w:rsidRPr="00F170FF">
        <w:rPr>
          <w:i/>
        </w:rPr>
        <w:t>Barreau</w:t>
      </w:r>
      <w:proofErr w:type="spellEnd"/>
      <w:r w:rsidRPr="00F170FF">
        <w:rPr>
          <w:i/>
        </w:rPr>
        <w:t xml:space="preserve"> du Québec</w:t>
      </w:r>
      <w:r w:rsidRPr="00F170FF">
        <w:t xml:space="preserve">, which provides that s. 128 of that Act neither limits nor restricts rights that are specifically defined and granted to any person by any public or private law. The Minister’s right under s. 102 of the </w:t>
      </w:r>
      <w:r w:rsidRPr="00F170FF">
        <w:rPr>
          <w:i/>
        </w:rPr>
        <w:t>Act respecting administrative justice</w:t>
      </w:r>
      <w:r w:rsidRPr="00F170FF">
        <w:t xml:space="preserve"> to be represented by a person of his or her choice is thus not diminished in the least by s. 128 of the</w:t>
      </w:r>
      <w:r w:rsidRPr="00F170FF">
        <w:rPr>
          <w:i/>
        </w:rPr>
        <w:t xml:space="preserve"> Act respecting the </w:t>
      </w:r>
      <w:proofErr w:type="spellStart"/>
      <w:r w:rsidRPr="00F170FF">
        <w:rPr>
          <w:i/>
        </w:rPr>
        <w:t>Barreau</w:t>
      </w:r>
      <w:proofErr w:type="spellEnd"/>
      <w:r w:rsidRPr="00F170FF">
        <w:rPr>
          <w:i/>
        </w:rPr>
        <w:t xml:space="preserve"> du Québec</w:t>
      </w:r>
      <w:r w:rsidRPr="00F170FF">
        <w:t>.</w:t>
      </w:r>
    </w:p>
    <w:p w:rsidR="00D51D7B" w:rsidRPr="00F170FF" w:rsidRDefault="00D51D7B" w:rsidP="00935044">
      <w:pPr>
        <w:pStyle w:val="SCCNormalDoubleSpacing"/>
        <w:widowControl w:val="0"/>
        <w:spacing w:before="480" w:after="480"/>
      </w:pPr>
      <w:r w:rsidRPr="00F170FF">
        <w:tab/>
      </w:r>
      <w:r w:rsidRPr="00F170FF">
        <w:rPr>
          <w:i/>
          <w:iCs/>
        </w:rPr>
        <w:t xml:space="preserve">Per </w:t>
      </w:r>
      <w:proofErr w:type="spellStart"/>
      <w:r w:rsidRPr="00246A9D">
        <w:rPr>
          <w:bCs/>
        </w:rPr>
        <w:t>Côté</w:t>
      </w:r>
      <w:proofErr w:type="spellEnd"/>
      <w:r w:rsidR="00312D9E" w:rsidRPr="00F170FF">
        <w:t> </w:t>
      </w:r>
      <w:r w:rsidRPr="00F170FF">
        <w:t xml:space="preserve">J. (dissenting): Whenever a question relates to the representation of others by a person who is not an advocate, it is necessary to interpret and apply the </w:t>
      </w:r>
      <w:r w:rsidRPr="00F170FF">
        <w:rPr>
          <w:i/>
        </w:rPr>
        <w:t xml:space="preserve">Act respecting the </w:t>
      </w:r>
      <w:proofErr w:type="spellStart"/>
      <w:r w:rsidRPr="00F170FF">
        <w:rPr>
          <w:i/>
        </w:rPr>
        <w:t>Barreau</w:t>
      </w:r>
      <w:proofErr w:type="spellEnd"/>
      <w:r w:rsidRPr="00F170FF">
        <w:rPr>
          <w:i/>
        </w:rPr>
        <w:t xml:space="preserve"> du Québec</w:t>
      </w:r>
      <w:r w:rsidRPr="00F170FF">
        <w:t xml:space="preserve"> and, </w:t>
      </w:r>
      <w:proofErr w:type="spellStart"/>
      <w:r w:rsidRPr="00F170FF">
        <w:t>subsidiarily</w:t>
      </w:r>
      <w:proofErr w:type="spellEnd"/>
      <w:r w:rsidRPr="00F170FF">
        <w:t xml:space="preserve">, any related legislation that sets out how the exceptions provided for in the </w:t>
      </w:r>
      <w:r w:rsidRPr="00F170FF">
        <w:rPr>
          <w:i/>
        </w:rPr>
        <w:t xml:space="preserve">Act respecting the </w:t>
      </w:r>
      <w:proofErr w:type="spellStart"/>
      <w:r w:rsidRPr="00F170FF">
        <w:rPr>
          <w:i/>
        </w:rPr>
        <w:t>Barreau</w:t>
      </w:r>
      <w:proofErr w:type="spellEnd"/>
      <w:r w:rsidRPr="00F170FF">
        <w:rPr>
          <w:i/>
        </w:rPr>
        <w:t xml:space="preserve"> du Québec </w:t>
      </w:r>
      <w:r w:rsidRPr="00F170FF">
        <w:t xml:space="preserve">are to operate. The issue in this case is a question of central importance to the legal system as a whole and lies outside the ATQ’s specialized area of expertise. It therefore falls within an established category of questions to which the correctness standard applies. Because of the impact that an inconsistent application of </w:t>
      </w:r>
      <w:r w:rsidR="00312D9E" w:rsidRPr="00F170FF">
        <w:t>ss. </w:t>
      </w:r>
      <w:r w:rsidRPr="00F170FF">
        <w:t xml:space="preserve">128 and 129 of the </w:t>
      </w:r>
      <w:r w:rsidRPr="00F170FF">
        <w:rPr>
          <w:i/>
        </w:rPr>
        <w:t xml:space="preserve">Act </w:t>
      </w:r>
      <w:r w:rsidRPr="00F170FF">
        <w:rPr>
          <w:i/>
        </w:rPr>
        <w:lastRenderedPageBreak/>
        <w:t xml:space="preserve">respecting the </w:t>
      </w:r>
      <w:proofErr w:type="spellStart"/>
      <w:r w:rsidRPr="00F170FF">
        <w:rPr>
          <w:i/>
        </w:rPr>
        <w:t>Barreau</w:t>
      </w:r>
      <w:proofErr w:type="spellEnd"/>
      <w:r w:rsidRPr="00F170FF">
        <w:rPr>
          <w:i/>
        </w:rPr>
        <w:t xml:space="preserve"> du Québec</w:t>
      </w:r>
      <w:r w:rsidRPr="00F170FF">
        <w:t xml:space="preserve"> could have on the administration of justice as a whole, only one interpretation of these provisions is possible.</w:t>
      </w:r>
    </w:p>
    <w:p w:rsidR="00D51D7B" w:rsidRPr="00F170FF" w:rsidRDefault="00D51D7B" w:rsidP="00935044">
      <w:pPr>
        <w:pStyle w:val="SCCNormalDoubleSpacing"/>
        <w:widowControl w:val="0"/>
        <w:spacing w:before="480" w:after="480"/>
      </w:pPr>
      <w:r w:rsidRPr="00F170FF">
        <w:tab/>
        <w:t xml:space="preserve">Because the question before the ATQ necessarily involved the interpretation of the </w:t>
      </w:r>
      <w:r w:rsidRPr="00F170FF">
        <w:rPr>
          <w:i/>
        </w:rPr>
        <w:t xml:space="preserve">Act respecting the </w:t>
      </w:r>
      <w:proofErr w:type="spellStart"/>
      <w:r w:rsidRPr="00F170FF">
        <w:rPr>
          <w:i/>
        </w:rPr>
        <w:t>Barreau</w:t>
      </w:r>
      <w:proofErr w:type="spellEnd"/>
      <w:r w:rsidRPr="00F170FF">
        <w:rPr>
          <w:i/>
        </w:rPr>
        <w:t xml:space="preserve"> du Québec</w:t>
      </w:r>
      <w:r w:rsidRPr="00F170FF">
        <w:t xml:space="preserve">, the presumption in favour of the reasonableness standard does not apply. Furthermore, that presumption can be rebutted by a contextual analysis based on the </w:t>
      </w:r>
      <w:r w:rsidRPr="00F170FF">
        <w:rPr>
          <w:i/>
        </w:rPr>
        <w:t xml:space="preserve">Dunsmuir </w:t>
      </w:r>
      <w:r w:rsidRPr="00F170FF">
        <w:t xml:space="preserve">factors, which means that it is the correctness standard that must be applied. Although the ATQ is protected by a strong privative clause, it was considering a question of law that had nothing to do with the purpose of the ATQ’s social affairs division. The </w:t>
      </w:r>
      <w:r w:rsidRPr="00F170FF">
        <w:rPr>
          <w:i/>
        </w:rPr>
        <w:t xml:space="preserve">Act respecting the </w:t>
      </w:r>
      <w:proofErr w:type="spellStart"/>
      <w:r w:rsidRPr="00F170FF">
        <w:rPr>
          <w:i/>
        </w:rPr>
        <w:t>Barreau</w:t>
      </w:r>
      <w:proofErr w:type="spellEnd"/>
      <w:r w:rsidRPr="00F170FF">
        <w:rPr>
          <w:i/>
        </w:rPr>
        <w:t xml:space="preserve"> du Québec</w:t>
      </w:r>
      <w:r w:rsidRPr="00F170FF">
        <w:t xml:space="preserve"> is not the ATQ’s enabling statute, nor is it a statute that has a close connection to the ATQ’s function and with which it has particular familiarity. Deference is thus not warranted here.</w:t>
      </w:r>
    </w:p>
    <w:p w:rsidR="00D51D7B" w:rsidRPr="00F170FF" w:rsidRDefault="00D51D7B" w:rsidP="00935044">
      <w:pPr>
        <w:pStyle w:val="SCCNormalDoubleSpacing"/>
        <w:widowControl w:val="0"/>
        <w:spacing w:before="480" w:after="480"/>
      </w:pPr>
      <w:r w:rsidRPr="00F170FF">
        <w:tab/>
        <w:t xml:space="preserve">A conclusion that the Minister can have a person who is neither an advocate nor a solicitor prepare and draw up a written proceeding or other similar document that is intended for use in a case before the ATQ’s social affairs division is based on an interpretation that is inconsistent with the words of the statutes in question and with the intention of the legislature. Such an interpretation also disregards the object of the </w:t>
      </w:r>
      <w:r w:rsidRPr="00F170FF">
        <w:rPr>
          <w:i/>
        </w:rPr>
        <w:t xml:space="preserve">Act respecting the </w:t>
      </w:r>
      <w:proofErr w:type="spellStart"/>
      <w:r w:rsidRPr="00F170FF">
        <w:rPr>
          <w:i/>
        </w:rPr>
        <w:t>Barreau</w:t>
      </w:r>
      <w:proofErr w:type="spellEnd"/>
      <w:r w:rsidRPr="00F170FF">
        <w:rPr>
          <w:i/>
        </w:rPr>
        <w:t xml:space="preserve"> du Québec</w:t>
      </w:r>
      <w:r w:rsidRPr="00F170FF">
        <w:t xml:space="preserve">. Section 102 of the </w:t>
      </w:r>
      <w:r w:rsidRPr="00F170FF">
        <w:rPr>
          <w:i/>
        </w:rPr>
        <w:t xml:space="preserve">Act respecting administrative justice </w:t>
      </w:r>
      <w:r w:rsidRPr="00F170FF">
        <w:t>does not grant the Minister the right to have recourse for that purpose to the services of a person who is neither an advocate nor a solicitor.</w:t>
      </w:r>
    </w:p>
    <w:p w:rsidR="00D51D7B" w:rsidRPr="00F170FF" w:rsidRDefault="00D51D7B" w:rsidP="00935044">
      <w:pPr>
        <w:pStyle w:val="SCCNormalDoubleSpacing"/>
        <w:widowControl w:val="0"/>
        <w:spacing w:before="480" w:after="480"/>
      </w:pPr>
      <w:r w:rsidRPr="00F170FF">
        <w:tab/>
        <w:t xml:space="preserve">The exception to the monopoly on practice of advocates that is provided </w:t>
      </w:r>
      <w:r w:rsidRPr="00F170FF">
        <w:lastRenderedPageBreak/>
        <w:t xml:space="preserve">for in s. 102 of the </w:t>
      </w:r>
      <w:r w:rsidRPr="00F170FF">
        <w:rPr>
          <w:i/>
        </w:rPr>
        <w:t>Act respecting administrative justice</w:t>
      </w:r>
      <w:r w:rsidRPr="00F170FF">
        <w:t xml:space="preserve"> and the one provided for in s. 128(2)(a)(5) of the </w:t>
      </w:r>
      <w:r w:rsidRPr="00F170FF">
        <w:rPr>
          <w:i/>
        </w:rPr>
        <w:t xml:space="preserve">Act respecting the </w:t>
      </w:r>
      <w:proofErr w:type="spellStart"/>
      <w:r w:rsidRPr="00F170FF">
        <w:rPr>
          <w:i/>
        </w:rPr>
        <w:t>Barreau</w:t>
      </w:r>
      <w:proofErr w:type="spellEnd"/>
      <w:r w:rsidRPr="00F170FF">
        <w:rPr>
          <w:i/>
        </w:rPr>
        <w:t xml:space="preserve"> du Québec</w:t>
      </w:r>
      <w:r w:rsidRPr="00F170FF">
        <w:t xml:space="preserve"> were enacted simultaneously for purposes of concordance. The word “represented” used in these two provisions must therefore be understood to have the same meaning in both of them. Whereas </w:t>
      </w:r>
      <w:proofErr w:type="spellStart"/>
      <w:r w:rsidRPr="00F170FF">
        <w:t>sub</w:t>
      </w:r>
      <w:r w:rsidR="00312D9E" w:rsidRPr="00F170FF">
        <w:t>paras</w:t>
      </w:r>
      <w:proofErr w:type="spellEnd"/>
      <w:r w:rsidR="00312D9E" w:rsidRPr="00F170FF">
        <w:t>. </w:t>
      </w:r>
      <w:r w:rsidRPr="00F170FF">
        <w:t xml:space="preserve">(3), (5) and (7) of </w:t>
      </w:r>
      <w:r w:rsidR="00675108" w:rsidRPr="00F170FF">
        <w:t>s. </w:t>
      </w:r>
      <w:r w:rsidRPr="00F170FF">
        <w:t xml:space="preserve">128(2)(a) of the </w:t>
      </w:r>
      <w:r w:rsidRPr="00F170FF">
        <w:rPr>
          <w:i/>
        </w:rPr>
        <w:t xml:space="preserve">Act respecting the </w:t>
      </w:r>
      <w:proofErr w:type="spellStart"/>
      <w:r w:rsidRPr="00F170FF">
        <w:rPr>
          <w:i/>
        </w:rPr>
        <w:t>Barreau</w:t>
      </w:r>
      <w:proofErr w:type="spellEnd"/>
      <w:r w:rsidRPr="00F170FF">
        <w:rPr>
          <w:i/>
        </w:rPr>
        <w:t xml:space="preserve"> du Québec</w:t>
      </w:r>
      <w:r w:rsidRPr="00F170FF">
        <w:t xml:space="preserve"> establish exceptions that authorize people who are not advocates to plead or act for others before the ATQ’s social affairs division in proceedings specified in them, s. 102 of the </w:t>
      </w:r>
      <w:r w:rsidRPr="00F170FF">
        <w:rPr>
          <w:i/>
        </w:rPr>
        <w:t>Act respecting administrative justice</w:t>
      </w:r>
      <w:r w:rsidRPr="00F170FF">
        <w:t xml:space="preserve"> has a different and complementary purpose, namely to indicate who may represent the parties to whom those exceptions apply, including the Minister, in such proceedings and to limit the scope of such representation. This interpretation is supported by the fact that, when the legislature established the exceptions provided for in s. 128(2</w:t>
      </w:r>
      <w:proofErr w:type="gramStart"/>
      <w:r w:rsidRPr="00F170FF">
        <w:t>)(</w:t>
      </w:r>
      <w:proofErr w:type="gramEnd"/>
      <w:r w:rsidRPr="00F170FF">
        <w:t xml:space="preserve">a) of the </w:t>
      </w:r>
      <w:r w:rsidRPr="00F170FF">
        <w:rPr>
          <w:i/>
        </w:rPr>
        <w:t xml:space="preserve">Act respecting the </w:t>
      </w:r>
      <w:proofErr w:type="spellStart"/>
      <w:r w:rsidRPr="00F170FF">
        <w:rPr>
          <w:i/>
        </w:rPr>
        <w:t>Barreau</w:t>
      </w:r>
      <w:proofErr w:type="spellEnd"/>
      <w:r w:rsidRPr="00F170FF">
        <w:rPr>
          <w:i/>
        </w:rPr>
        <w:t xml:space="preserve"> du Québec</w:t>
      </w:r>
      <w:r w:rsidRPr="00F170FF">
        <w:t>, it also amended the relevant related statutes to indicate how the exceptions it had just established would operate. Section 128(2</w:t>
      </w:r>
      <w:proofErr w:type="gramStart"/>
      <w:r w:rsidRPr="00F170FF">
        <w:t>)(</w:t>
      </w:r>
      <w:proofErr w:type="gramEnd"/>
      <w:r w:rsidRPr="00F170FF">
        <w:t xml:space="preserve">a)(5) of the </w:t>
      </w:r>
      <w:r w:rsidRPr="00F170FF">
        <w:rPr>
          <w:i/>
        </w:rPr>
        <w:t xml:space="preserve">Act respecting the </w:t>
      </w:r>
      <w:proofErr w:type="spellStart"/>
      <w:r w:rsidRPr="00F170FF">
        <w:rPr>
          <w:i/>
        </w:rPr>
        <w:t>Barreau</w:t>
      </w:r>
      <w:proofErr w:type="spellEnd"/>
      <w:r w:rsidRPr="00F170FF">
        <w:rPr>
          <w:i/>
        </w:rPr>
        <w:t xml:space="preserve"> du Québec</w:t>
      </w:r>
      <w:r w:rsidRPr="00F170FF">
        <w:t xml:space="preserve"> and s. 102 of the </w:t>
      </w:r>
      <w:r w:rsidRPr="00F170FF">
        <w:rPr>
          <w:i/>
        </w:rPr>
        <w:t xml:space="preserve">Act respecting administrative justice </w:t>
      </w:r>
      <w:r w:rsidRPr="00F170FF">
        <w:t>are an example of this.</w:t>
      </w:r>
    </w:p>
    <w:p w:rsidR="00D51D7B" w:rsidRPr="00F170FF" w:rsidRDefault="00D51D7B" w:rsidP="00935044">
      <w:pPr>
        <w:pStyle w:val="SCCNormalDoubleSpacing"/>
        <w:widowControl w:val="0"/>
        <w:spacing w:before="480" w:after="480"/>
      </w:pPr>
      <w:r w:rsidRPr="00F170FF">
        <w:tab/>
        <w:t xml:space="preserve">The legislature’s intention in enacting s. 129(b) of the </w:t>
      </w:r>
      <w:r w:rsidRPr="00F170FF">
        <w:rPr>
          <w:i/>
        </w:rPr>
        <w:t xml:space="preserve">Act respecting the </w:t>
      </w:r>
      <w:proofErr w:type="spellStart"/>
      <w:r w:rsidRPr="00F170FF">
        <w:rPr>
          <w:i/>
        </w:rPr>
        <w:t>Barreau</w:t>
      </w:r>
      <w:proofErr w:type="spellEnd"/>
      <w:r w:rsidRPr="00F170FF">
        <w:rPr>
          <w:i/>
        </w:rPr>
        <w:t xml:space="preserve"> du Québec</w:t>
      </w:r>
      <w:r w:rsidRPr="00F170FF">
        <w:t xml:space="preserve"> was to preserve its ability to establish exceptions to the rules set out in s. 128 of that Act</w:t>
      </w:r>
      <w:r w:rsidRPr="00F170FF">
        <w:rPr>
          <w:i/>
        </w:rPr>
        <w:t xml:space="preserve"> </w:t>
      </w:r>
      <w:r w:rsidRPr="00F170FF">
        <w:t xml:space="preserve">in other statutes. But what it did in enacting s. 102 of the </w:t>
      </w:r>
      <w:r w:rsidRPr="00F170FF">
        <w:rPr>
          <w:i/>
        </w:rPr>
        <w:t>Act respecting administrative justice</w:t>
      </w:r>
      <w:r w:rsidRPr="00F170FF">
        <w:t xml:space="preserve"> was merely to specify how the exception it had just established under s. 128(2)(a) of the </w:t>
      </w:r>
      <w:r w:rsidRPr="00F170FF">
        <w:rPr>
          <w:i/>
        </w:rPr>
        <w:t xml:space="preserve">Act respecting the </w:t>
      </w:r>
      <w:proofErr w:type="spellStart"/>
      <w:r w:rsidRPr="00F170FF">
        <w:rPr>
          <w:i/>
        </w:rPr>
        <w:t>Barreau</w:t>
      </w:r>
      <w:proofErr w:type="spellEnd"/>
      <w:r w:rsidRPr="00F170FF">
        <w:rPr>
          <w:i/>
        </w:rPr>
        <w:t xml:space="preserve"> du Québec</w:t>
      </w:r>
      <w:r w:rsidRPr="00F170FF">
        <w:t xml:space="preserve"> would operate. Had the legislature so intended, it could also have accompanied the exclusive </w:t>
      </w:r>
      <w:r w:rsidRPr="00F170FF">
        <w:lastRenderedPageBreak/>
        <w:t>power of advocates and solicitors under s. 128(1</w:t>
      </w:r>
      <w:proofErr w:type="gramStart"/>
      <w:r w:rsidRPr="00F170FF">
        <w:t>)(</w:t>
      </w:r>
      <w:proofErr w:type="gramEnd"/>
      <w:r w:rsidRPr="00F170FF">
        <w:t>b) “to prepare and draw up a notice, motion, proceeding or other similar document intended for use in a case before the courts” with an exception for people other than advocates, which it in fact did in s. 128(2)(a). That it omitted to do so must be viewed as a relevant factor in determining the legislature’s actual intent. It may be tempting to reach a different conclusion, particularly because it may seem simpler if a single person can both represent the Minister before a tribunal and prepare and draw up for him or her the written proceedings needed for that purpose. But the pursuit of simpler solutions is not a principle of statutory interpretation. Legislation must be interpreted in accordance with the relevant principles and applied, not changed.</w:t>
      </w:r>
    </w:p>
    <w:p w:rsidR="00A149DF" w:rsidRPr="00F170FF" w:rsidRDefault="002E6705" w:rsidP="00935044">
      <w:pPr>
        <w:pStyle w:val="SCCNormalDoubleSpacing"/>
        <w:widowControl w:val="0"/>
        <w:spacing w:after="720" w:line="240" w:lineRule="auto"/>
        <w:rPr>
          <w:b/>
        </w:rPr>
      </w:pPr>
      <w:r w:rsidRPr="00F170FF">
        <w:rPr>
          <w:b/>
        </w:rPr>
        <w:t>Cases Cited</w:t>
      </w:r>
    </w:p>
    <w:p w:rsidR="00C021FF" w:rsidRPr="00F170FF" w:rsidRDefault="004F5D8D" w:rsidP="00935044">
      <w:pPr>
        <w:pStyle w:val="SCCNormalDoubleSpacing"/>
        <w:widowControl w:val="0"/>
        <w:spacing w:after="720" w:line="240" w:lineRule="auto"/>
      </w:pPr>
      <w:r w:rsidRPr="00F170FF">
        <w:t>By Brown</w:t>
      </w:r>
      <w:r w:rsidR="0075508E" w:rsidRPr="00F170FF">
        <w:t> </w:t>
      </w:r>
      <w:r w:rsidRPr="00F170FF">
        <w:t xml:space="preserve">J. </w:t>
      </w:r>
    </w:p>
    <w:p w:rsidR="00A149DF" w:rsidRPr="00F170FF" w:rsidRDefault="002E6705" w:rsidP="00935044">
      <w:pPr>
        <w:pStyle w:val="SCCNormalDoubleSpacing"/>
        <w:widowControl w:val="0"/>
        <w:spacing w:before="480" w:after="480"/>
        <w:rPr>
          <w:lang w:val="en-US"/>
        </w:rPr>
      </w:pPr>
      <w:r w:rsidRPr="00F170FF">
        <w:tab/>
      </w:r>
      <w:r w:rsidR="00D67AC8" w:rsidRPr="00D67AC8">
        <w:rPr>
          <w:b/>
        </w:rPr>
        <w:t>Distinguished:</w:t>
      </w:r>
      <w:r w:rsidR="00D67AC8" w:rsidRPr="00D67AC8">
        <w:rPr>
          <w:i/>
        </w:rPr>
        <w:t xml:space="preserve"> </w:t>
      </w:r>
      <w:proofErr w:type="spellStart"/>
      <w:r w:rsidR="00D67AC8" w:rsidRPr="00F170FF">
        <w:rPr>
          <w:i/>
        </w:rPr>
        <w:t>Lévis</w:t>
      </w:r>
      <w:proofErr w:type="spellEnd"/>
      <w:r w:rsidR="00D67AC8" w:rsidRPr="00F170FF">
        <w:rPr>
          <w:i/>
        </w:rPr>
        <w:t xml:space="preserve"> (City) v. </w:t>
      </w:r>
      <w:proofErr w:type="spellStart"/>
      <w:r w:rsidR="00D67AC8" w:rsidRPr="00F170FF">
        <w:rPr>
          <w:i/>
        </w:rPr>
        <w:t>Fraternité</w:t>
      </w:r>
      <w:proofErr w:type="spellEnd"/>
      <w:r w:rsidR="00D67AC8" w:rsidRPr="00F170FF">
        <w:rPr>
          <w:i/>
        </w:rPr>
        <w:t xml:space="preserve"> des </w:t>
      </w:r>
      <w:proofErr w:type="spellStart"/>
      <w:r w:rsidR="00D67AC8" w:rsidRPr="00F170FF">
        <w:rPr>
          <w:i/>
        </w:rPr>
        <w:t>policiers</w:t>
      </w:r>
      <w:proofErr w:type="spellEnd"/>
      <w:r w:rsidR="00D67AC8" w:rsidRPr="00F170FF">
        <w:rPr>
          <w:i/>
        </w:rPr>
        <w:t xml:space="preserve"> de </w:t>
      </w:r>
      <w:proofErr w:type="spellStart"/>
      <w:r w:rsidR="00D67AC8" w:rsidRPr="00F170FF">
        <w:rPr>
          <w:i/>
        </w:rPr>
        <w:t>Lévis</w:t>
      </w:r>
      <w:proofErr w:type="spellEnd"/>
      <w:r w:rsidR="00D67AC8" w:rsidRPr="00F170FF">
        <w:rPr>
          <w:i/>
        </w:rPr>
        <w:t xml:space="preserve"> Inc.</w:t>
      </w:r>
      <w:r w:rsidR="00D67AC8" w:rsidRPr="00F170FF">
        <w:t>, 2007 SCC 14, [2007] 1 S.C.R. 591;</w:t>
      </w:r>
      <w:r w:rsidR="00D67AC8">
        <w:t xml:space="preserve"> </w:t>
      </w:r>
      <w:r w:rsidR="00D67AC8" w:rsidRPr="00D67AC8">
        <w:rPr>
          <w:b/>
        </w:rPr>
        <w:t xml:space="preserve">considered: </w:t>
      </w:r>
      <w:r w:rsidR="00D67AC8" w:rsidRPr="00F170FF">
        <w:rPr>
          <w:i/>
          <w:lang w:val="en-US"/>
        </w:rPr>
        <w:t>Fortin v. Chrétien</w:t>
      </w:r>
      <w:r w:rsidR="00D67AC8" w:rsidRPr="00F170FF">
        <w:rPr>
          <w:lang w:val="en-US"/>
        </w:rPr>
        <w:t>, 2001 SCC 45, [2001] 2 S.C.R. 500;</w:t>
      </w:r>
      <w:r w:rsidR="00830D87" w:rsidRPr="00F170FF">
        <w:t xml:space="preserve"> </w:t>
      </w:r>
      <w:r w:rsidR="00830D87" w:rsidRPr="00F170FF">
        <w:rPr>
          <w:b/>
          <w:lang w:val="en-US"/>
        </w:rPr>
        <w:t>r</w:t>
      </w:r>
      <w:r w:rsidRPr="00F170FF">
        <w:rPr>
          <w:b/>
          <w:lang w:val="en-US"/>
        </w:rPr>
        <w:t>eferred to:</w:t>
      </w:r>
      <w:r w:rsidR="00BD0E9E" w:rsidRPr="00F170FF">
        <w:rPr>
          <w:lang w:val="en-US"/>
        </w:rPr>
        <w:t xml:space="preserve"> </w:t>
      </w:r>
      <w:r w:rsidR="00396C7B" w:rsidRPr="00F170FF">
        <w:rPr>
          <w:i/>
          <w:lang w:val="en-US"/>
        </w:rPr>
        <w:t>Ontario (Community Safety and Correctional Services) v. Ontario (Information and Privacy Commissioner)</w:t>
      </w:r>
      <w:r w:rsidR="00396C7B" w:rsidRPr="00F170FF">
        <w:rPr>
          <w:lang w:val="en-US"/>
        </w:rPr>
        <w:t>, 2014 SCC 31</w:t>
      </w:r>
      <w:r w:rsidR="00011B78" w:rsidRPr="00F170FF">
        <w:rPr>
          <w:lang w:val="en-US"/>
        </w:rPr>
        <w:t xml:space="preserve">, </w:t>
      </w:r>
      <w:r w:rsidR="00396C7B" w:rsidRPr="00F170FF">
        <w:rPr>
          <w:lang w:val="en-US"/>
        </w:rPr>
        <w:t xml:space="preserve">[2014] 1 S.C.R. 674; </w:t>
      </w:r>
      <w:r w:rsidR="00D67AC8" w:rsidRPr="00F170FF">
        <w:rPr>
          <w:i/>
          <w:lang w:val="en-US"/>
        </w:rPr>
        <w:t>Dunsmuir v. New Brunswick</w:t>
      </w:r>
      <w:r w:rsidR="00D67AC8" w:rsidRPr="00F170FF">
        <w:rPr>
          <w:lang w:val="en-US"/>
        </w:rPr>
        <w:t xml:space="preserve">, 2008 SCC 9, [2008] 1 S.C.R. 190; </w:t>
      </w:r>
      <w:r w:rsidR="00D67AC8" w:rsidRPr="00F170FF">
        <w:rPr>
          <w:i/>
          <w:lang w:val="en-US"/>
        </w:rPr>
        <w:t>Alberta (Information and Privacy Commissioner) v. Alberta Teachers’ Association</w:t>
      </w:r>
      <w:r w:rsidR="00D67AC8" w:rsidRPr="00F170FF">
        <w:rPr>
          <w:lang w:val="en-US"/>
        </w:rPr>
        <w:t>, 2011 SCC 61, [2011] 3 S.C.R. 654;</w:t>
      </w:r>
      <w:r w:rsidR="00D67AC8">
        <w:rPr>
          <w:lang w:val="en-US"/>
        </w:rPr>
        <w:t xml:space="preserve"> </w:t>
      </w:r>
      <w:r w:rsidR="00F819E9" w:rsidRPr="00F170FF">
        <w:rPr>
          <w:i/>
        </w:rPr>
        <w:t xml:space="preserve">Harvey v. </w:t>
      </w:r>
      <w:proofErr w:type="spellStart"/>
      <w:r w:rsidR="00F819E9" w:rsidRPr="00F170FF">
        <w:rPr>
          <w:i/>
        </w:rPr>
        <w:t>Guerreiro</w:t>
      </w:r>
      <w:proofErr w:type="spellEnd"/>
      <w:r w:rsidR="00F819E9" w:rsidRPr="00F170FF">
        <w:t xml:space="preserve">, [2005] R.J.Q. 1817; </w:t>
      </w:r>
      <w:r w:rsidR="00F819E9" w:rsidRPr="00F170FF">
        <w:rPr>
          <w:i/>
        </w:rPr>
        <w:t>P.S. v. Québec (</w:t>
      </w:r>
      <w:proofErr w:type="spellStart"/>
      <w:r w:rsidR="00F819E9" w:rsidRPr="00F170FF">
        <w:rPr>
          <w:i/>
        </w:rPr>
        <w:t>Emploi</w:t>
      </w:r>
      <w:proofErr w:type="spellEnd"/>
      <w:r w:rsidR="00F819E9" w:rsidRPr="00F170FF">
        <w:rPr>
          <w:i/>
        </w:rPr>
        <w:t xml:space="preserve"> et </w:t>
      </w:r>
      <w:proofErr w:type="spellStart"/>
      <w:r w:rsidR="00F819E9" w:rsidRPr="00F170FF">
        <w:rPr>
          <w:i/>
        </w:rPr>
        <w:t>Solidarité</w:t>
      </w:r>
      <w:proofErr w:type="spellEnd"/>
      <w:r w:rsidR="00F819E9" w:rsidRPr="00F170FF">
        <w:rPr>
          <w:i/>
        </w:rPr>
        <w:t xml:space="preserve"> </w:t>
      </w:r>
      <w:proofErr w:type="spellStart"/>
      <w:r w:rsidR="00F819E9" w:rsidRPr="00F170FF">
        <w:rPr>
          <w:i/>
        </w:rPr>
        <w:t>sociale</w:t>
      </w:r>
      <w:proofErr w:type="spellEnd"/>
      <w:r w:rsidR="00F819E9" w:rsidRPr="00F170FF">
        <w:rPr>
          <w:i/>
        </w:rPr>
        <w:t>)</w:t>
      </w:r>
      <w:r w:rsidR="00F819E9" w:rsidRPr="00F170FF">
        <w:t xml:space="preserve">, 2010 QCTAQ 11404, 2010 </w:t>
      </w:r>
      <w:proofErr w:type="spellStart"/>
      <w:r w:rsidR="00F819E9" w:rsidRPr="00F170FF">
        <w:t>CanLII</w:t>
      </w:r>
      <w:proofErr w:type="spellEnd"/>
      <w:r w:rsidR="00F819E9" w:rsidRPr="00F170FF">
        <w:t xml:space="preserve"> 70683; </w:t>
      </w:r>
      <w:r w:rsidR="002D4429" w:rsidRPr="00F170FF">
        <w:rPr>
          <w:i/>
          <w:lang w:val="en-US"/>
        </w:rPr>
        <w:t>Alberta (Information and Privacy Commissioner) v. University of Calgary</w:t>
      </w:r>
      <w:r w:rsidR="002D4429" w:rsidRPr="00F170FF">
        <w:rPr>
          <w:lang w:val="en-US"/>
        </w:rPr>
        <w:t xml:space="preserve">, 2016 SCC 53, [2016] 2 S.C.R. </w:t>
      </w:r>
      <w:r w:rsidR="002D4429" w:rsidRPr="00F170FF">
        <w:rPr>
          <w:lang w:val="en-US"/>
        </w:rPr>
        <w:lastRenderedPageBreak/>
        <w:t xml:space="preserve">555; </w:t>
      </w:r>
      <w:proofErr w:type="spellStart"/>
      <w:r w:rsidR="002D4429" w:rsidRPr="00F170FF">
        <w:rPr>
          <w:i/>
          <w:lang w:val="en-US"/>
        </w:rPr>
        <w:t>Bélanger</w:t>
      </w:r>
      <w:proofErr w:type="spellEnd"/>
      <w:r w:rsidR="002D4429" w:rsidRPr="00F170FF">
        <w:rPr>
          <w:i/>
          <w:lang w:val="en-US"/>
        </w:rPr>
        <w:t xml:space="preserve"> v. Saint</w:t>
      </w:r>
      <w:r w:rsidR="00312D9E" w:rsidRPr="00F170FF">
        <w:rPr>
          <w:i/>
          <w:lang w:val="en-US"/>
        </w:rPr>
        <w:noBreakHyphen/>
      </w:r>
      <w:r w:rsidR="002D4429" w:rsidRPr="00F170FF">
        <w:rPr>
          <w:i/>
          <w:lang w:val="en-US"/>
        </w:rPr>
        <w:t>Marcel (</w:t>
      </w:r>
      <w:proofErr w:type="spellStart"/>
      <w:r w:rsidR="002D4429" w:rsidRPr="00F170FF">
        <w:rPr>
          <w:i/>
          <w:lang w:val="en-US"/>
        </w:rPr>
        <w:t>Municipalité</w:t>
      </w:r>
      <w:proofErr w:type="spellEnd"/>
      <w:r w:rsidR="002D4429" w:rsidRPr="00F170FF">
        <w:rPr>
          <w:i/>
          <w:lang w:val="en-US"/>
        </w:rPr>
        <w:t>)</w:t>
      </w:r>
      <w:r w:rsidR="002D4429" w:rsidRPr="00F170FF">
        <w:rPr>
          <w:lang w:val="en-US"/>
        </w:rPr>
        <w:t xml:space="preserve">, 2013 QCTAQ 01912, 2013 </w:t>
      </w:r>
      <w:proofErr w:type="spellStart"/>
      <w:r w:rsidR="002D4429" w:rsidRPr="00F170FF">
        <w:rPr>
          <w:lang w:val="en-US"/>
        </w:rPr>
        <w:t>CanLII</w:t>
      </w:r>
      <w:proofErr w:type="spellEnd"/>
      <w:r w:rsidR="002D4429" w:rsidRPr="00F170FF">
        <w:rPr>
          <w:lang w:val="en-US"/>
        </w:rPr>
        <w:t xml:space="preserve"> 5734; </w:t>
      </w:r>
      <w:r w:rsidR="00BC553D" w:rsidRPr="00F170FF">
        <w:rPr>
          <w:i/>
        </w:rPr>
        <w:t>Wilson v. Atomic Energy of Canada Ltd.</w:t>
      </w:r>
      <w:r w:rsidR="00BC553D" w:rsidRPr="00F170FF">
        <w:t xml:space="preserve">, 2016 SCC 29, [2016] 1 S.C.R. 770; </w:t>
      </w:r>
      <w:proofErr w:type="spellStart"/>
      <w:r w:rsidR="00752A1C" w:rsidRPr="00F170FF">
        <w:rPr>
          <w:i/>
          <w:lang w:val="en-US"/>
        </w:rPr>
        <w:t>Mouvement</w:t>
      </w:r>
      <w:proofErr w:type="spellEnd"/>
      <w:r w:rsidR="00752A1C" w:rsidRPr="00F170FF">
        <w:rPr>
          <w:i/>
          <w:lang w:val="en-US"/>
        </w:rPr>
        <w:t xml:space="preserve"> </w:t>
      </w:r>
      <w:proofErr w:type="spellStart"/>
      <w:r w:rsidR="00752A1C" w:rsidRPr="00F170FF">
        <w:rPr>
          <w:i/>
          <w:lang w:val="en-US"/>
        </w:rPr>
        <w:t>laïque</w:t>
      </w:r>
      <w:proofErr w:type="spellEnd"/>
      <w:r w:rsidR="00752A1C" w:rsidRPr="00F170FF">
        <w:rPr>
          <w:i/>
          <w:lang w:val="en-US"/>
        </w:rPr>
        <w:t xml:space="preserve"> </w:t>
      </w:r>
      <w:proofErr w:type="spellStart"/>
      <w:r w:rsidR="00752A1C" w:rsidRPr="00F170FF">
        <w:rPr>
          <w:i/>
          <w:lang w:val="en-US"/>
        </w:rPr>
        <w:t>québécois</w:t>
      </w:r>
      <w:proofErr w:type="spellEnd"/>
      <w:r w:rsidR="00752A1C" w:rsidRPr="00F170FF">
        <w:rPr>
          <w:i/>
          <w:lang w:val="en-US"/>
        </w:rPr>
        <w:t xml:space="preserve"> v. Saguenay (City)</w:t>
      </w:r>
      <w:r w:rsidR="00752A1C" w:rsidRPr="00F170FF">
        <w:rPr>
          <w:lang w:val="en-US"/>
        </w:rPr>
        <w:t xml:space="preserve">, 2015 SCC 16, [2015] 2 </w:t>
      </w:r>
      <w:r w:rsidR="00FA79E1" w:rsidRPr="00F170FF">
        <w:rPr>
          <w:lang w:val="en-US"/>
        </w:rPr>
        <w:t>S</w:t>
      </w:r>
      <w:r w:rsidR="00752A1C" w:rsidRPr="00F170FF">
        <w:rPr>
          <w:lang w:val="en-US"/>
        </w:rPr>
        <w:t xml:space="preserve">.C.R. 3; </w:t>
      </w:r>
      <w:r w:rsidR="00091AB1" w:rsidRPr="00F170FF">
        <w:rPr>
          <w:i/>
          <w:lang w:val="en-US"/>
        </w:rPr>
        <w:t>Edmonton (City) v. Edmonton East (</w:t>
      </w:r>
      <w:proofErr w:type="spellStart"/>
      <w:r w:rsidR="00091AB1" w:rsidRPr="00F170FF">
        <w:rPr>
          <w:i/>
          <w:lang w:val="en-US"/>
        </w:rPr>
        <w:t>Capilano</w:t>
      </w:r>
      <w:proofErr w:type="spellEnd"/>
      <w:r w:rsidR="00091AB1" w:rsidRPr="00F170FF">
        <w:rPr>
          <w:i/>
          <w:lang w:val="en-US"/>
        </w:rPr>
        <w:t xml:space="preserve">) Shopping </w:t>
      </w:r>
      <w:proofErr w:type="spellStart"/>
      <w:r w:rsidR="00091AB1" w:rsidRPr="00F170FF">
        <w:rPr>
          <w:i/>
          <w:lang w:val="en-US"/>
        </w:rPr>
        <w:t>Centres</w:t>
      </w:r>
      <w:proofErr w:type="spellEnd"/>
      <w:r w:rsidR="00091AB1" w:rsidRPr="00F170FF">
        <w:rPr>
          <w:i/>
          <w:lang w:val="en-US"/>
        </w:rPr>
        <w:t xml:space="preserve"> Ltd.</w:t>
      </w:r>
      <w:r w:rsidR="00091AB1" w:rsidRPr="00F170FF">
        <w:rPr>
          <w:lang w:val="en-US"/>
        </w:rPr>
        <w:t>, 2016 SCC 47, [2016] 2 S.C.R. 293;</w:t>
      </w:r>
      <w:r w:rsidR="00BC553D" w:rsidRPr="00F170FF">
        <w:rPr>
          <w:lang w:val="en-US"/>
        </w:rPr>
        <w:t xml:space="preserve"> </w:t>
      </w:r>
      <w:r w:rsidR="00011B78" w:rsidRPr="00F170FF">
        <w:rPr>
          <w:i/>
          <w:lang w:val="en-US"/>
        </w:rPr>
        <w:t>Rogers Communications Inc. v. Society of Composers, Authors and Music Publishers of Canada</w:t>
      </w:r>
      <w:r w:rsidR="00011B78" w:rsidRPr="00F170FF">
        <w:rPr>
          <w:lang w:val="en-US"/>
        </w:rPr>
        <w:t>, 2012 SCC 35, [2012] 2 S.C.R. 283</w:t>
      </w:r>
      <w:r w:rsidR="000C3E7F" w:rsidRPr="00F170FF">
        <w:rPr>
          <w:lang w:val="en-US"/>
        </w:rPr>
        <w:t xml:space="preserve">; </w:t>
      </w:r>
      <w:proofErr w:type="spellStart"/>
      <w:r w:rsidR="006031E8" w:rsidRPr="00F170FF">
        <w:rPr>
          <w:i/>
          <w:lang w:val="en-US"/>
        </w:rPr>
        <w:t>Okwuobi</w:t>
      </w:r>
      <w:proofErr w:type="spellEnd"/>
      <w:r w:rsidR="006031E8" w:rsidRPr="00F170FF">
        <w:rPr>
          <w:i/>
          <w:lang w:val="en-US"/>
        </w:rPr>
        <w:t xml:space="preserve"> v. Lester B. Pearson School Board</w:t>
      </w:r>
      <w:r w:rsidR="006031E8" w:rsidRPr="00F170FF">
        <w:rPr>
          <w:lang w:val="en-US"/>
        </w:rPr>
        <w:t xml:space="preserve">, 2005 </w:t>
      </w:r>
      <w:r w:rsidR="00F55E27" w:rsidRPr="00F170FF">
        <w:rPr>
          <w:lang w:val="en-US"/>
        </w:rPr>
        <w:t>S</w:t>
      </w:r>
      <w:r w:rsidR="00BC553D" w:rsidRPr="00F170FF">
        <w:rPr>
          <w:lang w:val="en-US"/>
        </w:rPr>
        <w:t>C</w:t>
      </w:r>
      <w:r w:rsidR="00F55E27" w:rsidRPr="00F170FF">
        <w:rPr>
          <w:lang w:val="en-US"/>
        </w:rPr>
        <w:t>C</w:t>
      </w:r>
      <w:r w:rsidR="006031E8" w:rsidRPr="00F170FF">
        <w:rPr>
          <w:lang w:val="en-US"/>
        </w:rPr>
        <w:t xml:space="preserve"> 16, </w:t>
      </w:r>
      <w:r w:rsidR="00BC553D" w:rsidRPr="00F170FF">
        <w:rPr>
          <w:lang w:val="en-US"/>
        </w:rPr>
        <w:t>[2005] 1 S</w:t>
      </w:r>
      <w:r w:rsidR="006031E8" w:rsidRPr="00F170FF">
        <w:rPr>
          <w:lang w:val="en-US"/>
        </w:rPr>
        <w:t>.C.</w:t>
      </w:r>
      <w:r w:rsidR="00BC553D" w:rsidRPr="00F170FF">
        <w:rPr>
          <w:lang w:val="en-US"/>
        </w:rPr>
        <w:t>R</w:t>
      </w:r>
      <w:r w:rsidR="006031E8" w:rsidRPr="00F170FF">
        <w:rPr>
          <w:lang w:val="en-US"/>
        </w:rPr>
        <w:t xml:space="preserve">. </w:t>
      </w:r>
      <w:r w:rsidR="00F55E27" w:rsidRPr="00F170FF">
        <w:rPr>
          <w:lang w:val="en-US"/>
        </w:rPr>
        <w:t>257;</w:t>
      </w:r>
      <w:r w:rsidR="00E77F84" w:rsidRPr="00F170FF">
        <w:rPr>
          <w:lang w:val="en-US"/>
        </w:rPr>
        <w:t xml:space="preserve"> </w:t>
      </w:r>
      <w:r w:rsidR="00AA5067" w:rsidRPr="00F170FF">
        <w:rPr>
          <w:i/>
        </w:rPr>
        <w:t>Bell ExpressVu L</w:t>
      </w:r>
      <w:r w:rsidR="00246A9D">
        <w:rPr>
          <w:i/>
        </w:rPr>
        <w:t>imi</w:t>
      </w:r>
      <w:r w:rsidR="00AA5067" w:rsidRPr="00F170FF">
        <w:rPr>
          <w:i/>
        </w:rPr>
        <w:t>t</w:t>
      </w:r>
      <w:r w:rsidR="00246A9D">
        <w:rPr>
          <w:i/>
        </w:rPr>
        <w:t>e</w:t>
      </w:r>
      <w:r w:rsidR="00AA5067" w:rsidRPr="00F170FF">
        <w:rPr>
          <w:i/>
        </w:rPr>
        <w:t xml:space="preserve">d </w:t>
      </w:r>
      <w:r w:rsidR="00AA5067" w:rsidRPr="00F170FF">
        <w:rPr>
          <w:i/>
          <w:lang w:val="en-US"/>
        </w:rPr>
        <w:t>Partnership v. Rex</w:t>
      </w:r>
      <w:r w:rsidR="00AA5067" w:rsidRPr="00F170FF">
        <w:rPr>
          <w:lang w:val="en-US"/>
        </w:rPr>
        <w:t xml:space="preserve">, 2002 SCC 42, [2002] 2 S.C.R. 559; </w:t>
      </w:r>
      <w:r w:rsidR="004328F3" w:rsidRPr="00F170FF">
        <w:rPr>
          <w:i/>
          <w:lang w:val="en-US"/>
        </w:rPr>
        <w:t>Rizzo &amp; Rizzo Shoes Ltd.</w:t>
      </w:r>
      <w:r w:rsidR="00AA5067" w:rsidRPr="00F170FF">
        <w:rPr>
          <w:i/>
          <w:lang w:val="en-US"/>
        </w:rPr>
        <w:t xml:space="preserve"> (Re)</w:t>
      </w:r>
      <w:r w:rsidR="00AA5067" w:rsidRPr="00F170FF">
        <w:rPr>
          <w:lang w:val="en-US"/>
        </w:rPr>
        <w:t xml:space="preserve">, [1998] 1 S.C.R. 27. </w:t>
      </w:r>
    </w:p>
    <w:p w:rsidR="00FF1FD2" w:rsidRPr="00F170FF" w:rsidRDefault="00FF1FD2" w:rsidP="00935044">
      <w:pPr>
        <w:pStyle w:val="SCCNormalDoubleSpacing"/>
        <w:widowControl w:val="0"/>
        <w:spacing w:after="720" w:line="240" w:lineRule="auto"/>
        <w:rPr>
          <w:lang w:val="en-US"/>
        </w:rPr>
      </w:pPr>
      <w:r w:rsidRPr="00F170FF">
        <w:rPr>
          <w:lang w:val="en-US"/>
        </w:rPr>
        <w:t xml:space="preserve">By </w:t>
      </w:r>
      <w:proofErr w:type="spellStart"/>
      <w:r w:rsidRPr="00F170FF">
        <w:rPr>
          <w:lang w:val="en-US"/>
        </w:rPr>
        <w:t>Côté</w:t>
      </w:r>
      <w:proofErr w:type="spellEnd"/>
      <w:r w:rsidR="0075508E" w:rsidRPr="00F170FF">
        <w:rPr>
          <w:lang w:val="en-US"/>
        </w:rPr>
        <w:t> </w:t>
      </w:r>
      <w:r w:rsidRPr="00F170FF">
        <w:rPr>
          <w:lang w:val="en-US"/>
        </w:rPr>
        <w:t>J. (dissenting)</w:t>
      </w:r>
    </w:p>
    <w:p w:rsidR="00951B20" w:rsidRPr="00F170FF" w:rsidRDefault="00FF1FD2" w:rsidP="00935044">
      <w:pPr>
        <w:pStyle w:val="SCCNormalDoubleSpacing"/>
        <w:widowControl w:val="0"/>
        <w:spacing w:before="480" w:after="480"/>
        <w:rPr>
          <w:lang w:val="en-US"/>
        </w:rPr>
      </w:pPr>
      <w:r w:rsidRPr="00F170FF">
        <w:rPr>
          <w:lang w:val="en-US"/>
        </w:rPr>
        <w:tab/>
      </w:r>
      <w:proofErr w:type="spellStart"/>
      <w:r w:rsidRPr="00F170FF">
        <w:rPr>
          <w:i/>
          <w:lang w:val="en-US"/>
        </w:rPr>
        <w:t>Mouvement</w:t>
      </w:r>
      <w:proofErr w:type="spellEnd"/>
      <w:r w:rsidRPr="00F170FF">
        <w:rPr>
          <w:i/>
          <w:lang w:val="en-US"/>
        </w:rPr>
        <w:t xml:space="preserve"> </w:t>
      </w:r>
      <w:proofErr w:type="spellStart"/>
      <w:r w:rsidRPr="00F170FF">
        <w:rPr>
          <w:i/>
          <w:lang w:val="en-US"/>
        </w:rPr>
        <w:t>laïque</w:t>
      </w:r>
      <w:proofErr w:type="spellEnd"/>
      <w:r w:rsidRPr="00F170FF">
        <w:rPr>
          <w:i/>
          <w:lang w:val="en-US"/>
        </w:rPr>
        <w:t xml:space="preserve"> </w:t>
      </w:r>
      <w:proofErr w:type="spellStart"/>
      <w:r w:rsidRPr="00F170FF">
        <w:rPr>
          <w:i/>
          <w:lang w:val="en-US"/>
        </w:rPr>
        <w:t>québécois</w:t>
      </w:r>
      <w:proofErr w:type="spellEnd"/>
      <w:r w:rsidRPr="00F170FF">
        <w:rPr>
          <w:i/>
          <w:lang w:val="en-US"/>
        </w:rPr>
        <w:t xml:space="preserve"> v. Saguenay (City)</w:t>
      </w:r>
      <w:r w:rsidRPr="00F170FF">
        <w:rPr>
          <w:lang w:val="en-US"/>
        </w:rPr>
        <w:t xml:space="preserve">, 2015 SCC 16, [2015] 2 S.C.R. 3; </w:t>
      </w:r>
      <w:r w:rsidR="0040456E" w:rsidRPr="00F170FF">
        <w:rPr>
          <w:i/>
          <w:lang w:val="en-US"/>
        </w:rPr>
        <w:t>Fortin v. Chrétien</w:t>
      </w:r>
      <w:r w:rsidR="0040456E" w:rsidRPr="00F170FF">
        <w:rPr>
          <w:lang w:val="en-US"/>
        </w:rPr>
        <w:t xml:space="preserve">, 2001 SCC 45, [2001] 2 S.C.R. 500; </w:t>
      </w:r>
      <w:r w:rsidR="00C660A3" w:rsidRPr="00F170FF">
        <w:rPr>
          <w:i/>
          <w:lang w:val="en-US"/>
        </w:rPr>
        <w:t>Dunsmuir v. New Brunswick</w:t>
      </w:r>
      <w:r w:rsidR="00C660A3" w:rsidRPr="00F170FF">
        <w:rPr>
          <w:lang w:val="en-US"/>
        </w:rPr>
        <w:t xml:space="preserve">, 2008 SCC 9, [2008] 1 S.C.R. 190; </w:t>
      </w:r>
      <w:r w:rsidR="00AF6D18" w:rsidRPr="00F170FF">
        <w:rPr>
          <w:i/>
          <w:lang w:val="en-US"/>
        </w:rPr>
        <w:t>Reference re Secession of Quebec</w:t>
      </w:r>
      <w:r w:rsidR="00AF6D18" w:rsidRPr="00F170FF">
        <w:rPr>
          <w:lang w:val="en-US"/>
        </w:rPr>
        <w:t>, [1998] 2 S.C.R. 217</w:t>
      </w:r>
      <w:r w:rsidR="00FA4EFE" w:rsidRPr="00F170FF">
        <w:rPr>
          <w:lang w:val="en-US"/>
        </w:rPr>
        <w:t xml:space="preserve">; </w:t>
      </w:r>
      <w:r w:rsidR="00C660A3" w:rsidRPr="00F170FF">
        <w:rPr>
          <w:i/>
          <w:lang w:val="en-US"/>
        </w:rPr>
        <w:t xml:space="preserve">Canada (Director of Investigation and Research) v. </w:t>
      </w:r>
      <w:proofErr w:type="spellStart"/>
      <w:r w:rsidR="00C660A3" w:rsidRPr="00F170FF">
        <w:rPr>
          <w:i/>
          <w:lang w:val="en-US"/>
        </w:rPr>
        <w:t>Southam</w:t>
      </w:r>
      <w:proofErr w:type="spellEnd"/>
      <w:r w:rsidR="00C660A3" w:rsidRPr="00F170FF">
        <w:rPr>
          <w:i/>
          <w:lang w:val="en-US"/>
        </w:rPr>
        <w:t xml:space="preserve"> Inc.</w:t>
      </w:r>
      <w:r w:rsidR="00C660A3" w:rsidRPr="00F170FF">
        <w:rPr>
          <w:lang w:val="en-US"/>
        </w:rPr>
        <w:t>, [1997] 1 S.C.R. 748;</w:t>
      </w:r>
      <w:r w:rsidR="000A43A8" w:rsidRPr="00F170FF">
        <w:rPr>
          <w:i/>
          <w:lang w:val="en-US"/>
        </w:rPr>
        <w:t xml:space="preserve"> </w:t>
      </w:r>
      <w:r w:rsidR="00FA4EFE" w:rsidRPr="00F170FF">
        <w:rPr>
          <w:i/>
          <w:lang w:val="en-US"/>
        </w:rPr>
        <w:t>Toronto (City) Board of Education v. O.S.S.T.F., District 15</w:t>
      </w:r>
      <w:r w:rsidR="00FA4EFE" w:rsidRPr="00F170FF">
        <w:rPr>
          <w:lang w:val="en-US"/>
        </w:rPr>
        <w:t>, [1997] 1 S.C.R. 487</w:t>
      </w:r>
      <w:r w:rsidR="00147513" w:rsidRPr="00F170FF">
        <w:rPr>
          <w:lang w:val="en-US"/>
        </w:rPr>
        <w:t xml:space="preserve">; </w:t>
      </w:r>
      <w:r w:rsidR="00897F4A" w:rsidRPr="00F170FF">
        <w:rPr>
          <w:i/>
          <w:lang w:val="en-US"/>
        </w:rPr>
        <w:t>Canadian Broadcasting Cor</w:t>
      </w:r>
      <w:r w:rsidR="00312D9E" w:rsidRPr="00F170FF">
        <w:rPr>
          <w:i/>
          <w:lang w:val="en-US"/>
        </w:rPr>
        <w:t>p. </w:t>
      </w:r>
      <w:r w:rsidR="00897F4A" w:rsidRPr="00F170FF">
        <w:rPr>
          <w:i/>
          <w:lang w:val="en-US"/>
        </w:rPr>
        <w:t>v. Canada (</w:t>
      </w:r>
      <w:proofErr w:type="spellStart"/>
      <w:r w:rsidR="00897F4A" w:rsidRPr="00F170FF">
        <w:rPr>
          <w:i/>
          <w:lang w:val="en-US"/>
        </w:rPr>
        <w:t>Labour</w:t>
      </w:r>
      <w:proofErr w:type="spellEnd"/>
      <w:r w:rsidR="00897F4A" w:rsidRPr="00F170FF">
        <w:rPr>
          <w:i/>
          <w:lang w:val="en-US"/>
        </w:rPr>
        <w:t xml:space="preserve"> Relations Board)</w:t>
      </w:r>
      <w:r w:rsidR="00897F4A" w:rsidRPr="00F170FF">
        <w:rPr>
          <w:lang w:val="en-US"/>
        </w:rPr>
        <w:t xml:space="preserve">, [1995] 1 S.C.R. 157; </w:t>
      </w:r>
      <w:r w:rsidR="00FA4EFE" w:rsidRPr="00F170FF">
        <w:rPr>
          <w:i/>
          <w:lang w:val="en-US"/>
        </w:rPr>
        <w:t>9175</w:t>
      </w:r>
      <w:r w:rsidR="00312D9E" w:rsidRPr="00F170FF">
        <w:rPr>
          <w:i/>
          <w:lang w:val="en-US"/>
        </w:rPr>
        <w:noBreakHyphen/>
      </w:r>
      <w:r w:rsidR="00FA4EFE" w:rsidRPr="00F170FF">
        <w:rPr>
          <w:i/>
          <w:lang w:val="en-US"/>
        </w:rPr>
        <w:t>1503</w:t>
      </w:r>
      <w:r w:rsidR="00FA4EFE" w:rsidRPr="00F170FF">
        <w:rPr>
          <w:lang w:val="en-US"/>
        </w:rPr>
        <w:t xml:space="preserve"> </w:t>
      </w:r>
      <w:r w:rsidR="00F67A46" w:rsidRPr="00F170FF">
        <w:rPr>
          <w:i/>
          <w:lang w:val="en-US"/>
        </w:rPr>
        <w:t xml:space="preserve">Québec </w:t>
      </w:r>
      <w:proofErr w:type="spellStart"/>
      <w:r w:rsidR="00F67A46" w:rsidRPr="00F170FF">
        <w:rPr>
          <w:i/>
          <w:lang w:val="en-US"/>
        </w:rPr>
        <w:t>inc.</w:t>
      </w:r>
      <w:proofErr w:type="spellEnd"/>
      <w:r w:rsidR="00F67A46" w:rsidRPr="00F170FF">
        <w:rPr>
          <w:i/>
          <w:lang w:val="en-US"/>
        </w:rPr>
        <w:t xml:space="preserve"> v. Montréal (Ville)</w:t>
      </w:r>
      <w:r w:rsidR="00F67A46" w:rsidRPr="00F170FF">
        <w:rPr>
          <w:lang w:val="en-US"/>
        </w:rPr>
        <w:t>, 2012</w:t>
      </w:r>
      <w:r w:rsidR="00147513" w:rsidRPr="00F170FF">
        <w:rPr>
          <w:lang w:val="en-US"/>
        </w:rPr>
        <w:t xml:space="preserve"> QCTAQ</w:t>
      </w:r>
      <w:r w:rsidR="00C96224" w:rsidRPr="00F170FF">
        <w:rPr>
          <w:lang w:val="en-US"/>
        </w:rPr>
        <w:t xml:space="preserve"> 07491,</w:t>
      </w:r>
      <w:r w:rsidR="00147513" w:rsidRPr="00F170FF">
        <w:rPr>
          <w:lang w:val="en-US"/>
        </w:rPr>
        <w:t xml:space="preserve"> 2012 </w:t>
      </w:r>
      <w:proofErr w:type="spellStart"/>
      <w:r w:rsidR="00147513" w:rsidRPr="00F170FF">
        <w:rPr>
          <w:lang w:val="en-US"/>
        </w:rPr>
        <w:t>CanLII</w:t>
      </w:r>
      <w:proofErr w:type="spellEnd"/>
      <w:r w:rsidR="00147513" w:rsidRPr="00F170FF">
        <w:rPr>
          <w:lang w:val="en-US"/>
        </w:rPr>
        <w:t xml:space="preserve"> 48176</w:t>
      </w:r>
      <w:r w:rsidR="00F67A46" w:rsidRPr="00F170FF">
        <w:t xml:space="preserve">; </w:t>
      </w:r>
      <w:r w:rsidR="00F67A46" w:rsidRPr="00F170FF">
        <w:rPr>
          <w:i/>
        </w:rPr>
        <w:t xml:space="preserve">117437 Canada </w:t>
      </w:r>
      <w:proofErr w:type="spellStart"/>
      <w:r w:rsidR="00F67A46" w:rsidRPr="00F170FF">
        <w:rPr>
          <w:i/>
        </w:rPr>
        <w:t>inc.</w:t>
      </w:r>
      <w:proofErr w:type="spellEnd"/>
      <w:r w:rsidR="00F67A46" w:rsidRPr="00F170FF">
        <w:rPr>
          <w:i/>
        </w:rPr>
        <w:t xml:space="preserve"> v. </w:t>
      </w:r>
      <w:proofErr w:type="spellStart"/>
      <w:r w:rsidR="00F67A46" w:rsidRPr="00F170FF">
        <w:rPr>
          <w:i/>
        </w:rPr>
        <w:t>Lévis</w:t>
      </w:r>
      <w:proofErr w:type="spellEnd"/>
      <w:r w:rsidR="00F67A46" w:rsidRPr="00F170FF">
        <w:rPr>
          <w:i/>
        </w:rPr>
        <w:t xml:space="preserve"> (Ville)</w:t>
      </w:r>
      <w:r w:rsidR="00F67A46" w:rsidRPr="00F170FF">
        <w:t xml:space="preserve">, 2014 QCTAQ 0159, 2014 </w:t>
      </w:r>
      <w:proofErr w:type="spellStart"/>
      <w:r w:rsidR="00F67A46" w:rsidRPr="00F170FF">
        <w:t>CanLII</w:t>
      </w:r>
      <w:proofErr w:type="spellEnd"/>
      <w:r w:rsidR="00F67A46" w:rsidRPr="00F170FF">
        <w:t xml:space="preserve"> 1318;</w:t>
      </w:r>
      <w:r w:rsidR="00F710A6" w:rsidRPr="00F170FF">
        <w:t xml:space="preserve"> </w:t>
      </w:r>
      <w:r w:rsidR="00147513" w:rsidRPr="00F170FF">
        <w:rPr>
          <w:i/>
          <w:lang w:val="en-US"/>
        </w:rPr>
        <w:t>Canadian National Railway Co. v. Canada (Attorney General)</w:t>
      </w:r>
      <w:r w:rsidR="00147513" w:rsidRPr="00F170FF">
        <w:rPr>
          <w:lang w:val="en-US"/>
        </w:rPr>
        <w:t xml:space="preserve">, 2014 SCC 40, [2014] 2 S.C.R. 135; </w:t>
      </w:r>
      <w:r w:rsidR="00147513" w:rsidRPr="00F170FF">
        <w:rPr>
          <w:i/>
          <w:lang w:val="en-US"/>
        </w:rPr>
        <w:t>Alberta (Information and Privacy Commissioner) v. Alberta Teachers’ Association</w:t>
      </w:r>
      <w:r w:rsidR="00147513" w:rsidRPr="00F170FF">
        <w:rPr>
          <w:lang w:val="en-US"/>
        </w:rPr>
        <w:t xml:space="preserve">, 2011 SCC 61, [2011] 3 S.C.R. 654; </w:t>
      </w:r>
      <w:r w:rsidR="00802B9C" w:rsidRPr="00F170FF">
        <w:rPr>
          <w:i/>
          <w:lang w:val="en-US"/>
        </w:rPr>
        <w:t xml:space="preserve">McLean v. British </w:t>
      </w:r>
      <w:r w:rsidR="00802B9C" w:rsidRPr="00F170FF">
        <w:rPr>
          <w:i/>
          <w:lang w:val="en-US"/>
        </w:rPr>
        <w:lastRenderedPageBreak/>
        <w:t>Columbia (Securities Commission)</w:t>
      </w:r>
      <w:r w:rsidR="00802B9C" w:rsidRPr="00F170FF">
        <w:rPr>
          <w:lang w:val="en-US"/>
        </w:rPr>
        <w:t xml:space="preserve">, 2013 SCC 67, </w:t>
      </w:r>
      <w:r w:rsidR="00802B9C" w:rsidRPr="00F170FF">
        <w:t xml:space="preserve">[2013] 3 S.C.R. 895; </w:t>
      </w:r>
      <w:r w:rsidR="00802B9C" w:rsidRPr="00F170FF">
        <w:rPr>
          <w:i/>
          <w:lang w:val="en-US"/>
        </w:rPr>
        <w:t>Rogers Communications Inc. v. Society of Composers, Authors and Music Publishers of Canada</w:t>
      </w:r>
      <w:r w:rsidR="00802B9C" w:rsidRPr="00F170FF">
        <w:rPr>
          <w:lang w:val="en-US"/>
        </w:rPr>
        <w:t xml:space="preserve">, 2012 SCC 35, [2012] 2 S.C.R. 283; </w:t>
      </w:r>
      <w:r w:rsidR="00802B9C" w:rsidRPr="00F170FF">
        <w:rPr>
          <w:i/>
          <w:lang w:val="en-US"/>
        </w:rPr>
        <w:t>Edmonton (City) v. Edmonton East (</w:t>
      </w:r>
      <w:proofErr w:type="spellStart"/>
      <w:r w:rsidR="00802B9C" w:rsidRPr="00F170FF">
        <w:rPr>
          <w:i/>
          <w:lang w:val="en-US"/>
        </w:rPr>
        <w:t>Capilano</w:t>
      </w:r>
      <w:proofErr w:type="spellEnd"/>
      <w:r w:rsidR="00802B9C" w:rsidRPr="00F170FF">
        <w:rPr>
          <w:i/>
          <w:lang w:val="en-US"/>
        </w:rPr>
        <w:t xml:space="preserve">) Shopping </w:t>
      </w:r>
      <w:proofErr w:type="spellStart"/>
      <w:r w:rsidR="00802B9C" w:rsidRPr="00F170FF">
        <w:rPr>
          <w:i/>
          <w:lang w:val="en-US"/>
        </w:rPr>
        <w:t>Centres</w:t>
      </w:r>
      <w:proofErr w:type="spellEnd"/>
      <w:r w:rsidR="00802B9C" w:rsidRPr="00F170FF">
        <w:rPr>
          <w:i/>
          <w:lang w:val="en-US"/>
        </w:rPr>
        <w:t xml:space="preserve"> Ltd.</w:t>
      </w:r>
      <w:r w:rsidR="00802B9C" w:rsidRPr="00F170FF">
        <w:rPr>
          <w:lang w:val="en-US"/>
        </w:rPr>
        <w:t>,</w:t>
      </w:r>
      <w:r w:rsidR="00802B9C" w:rsidRPr="00F170FF">
        <w:rPr>
          <w:i/>
          <w:lang w:val="en-US"/>
        </w:rPr>
        <w:t xml:space="preserve"> </w:t>
      </w:r>
      <w:r w:rsidR="00802B9C" w:rsidRPr="00F170FF">
        <w:rPr>
          <w:lang w:val="en-US"/>
        </w:rPr>
        <w:t xml:space="preserve">2016 </w:t>
      </w:r>
      <w:r w:rsidR="003D611B" w:rsidRPr="00F170FF">
        <w:rPr>
          <w:lang w:val="en-US"/>
        </w:rPr>
        <w:t>SC</w:t>
      </w:r>
      <w:r w:rsidR="00802B9C" w:rsidRPr="00F170FF">
        <w:rPr>
          <w:lang w:val="en-US"/>
        </w:rPr>
        <w:t xml:space="preserve">C 47, </w:t>
      </w:r>
      <w:r w:rsidR="003D611B" w:rsidRPr="00F170FF">
        <w:rPr>
          <w:lang w:val="en-US"/>
        </w:rPr>
        <w:t>[2016] 2 S</w:t>
      </w:r>
      <w:r w:rsidR="00802B9C" w:rsidRPr="00F170FF">
        <w:rPr>
          <w:lang w:val="en-US"/>
        </w:rPr>
        <w:t>.C.</w:t>
      </w:r>
      <w:r w:rsidR="003D611B" w:rsidRPr="00F170FF">
        <w:rPr>
          <w:lang w:val="en-US"/>
        </w:rPr>
        <w:t>R</w:t>
      </w:r>
      <w:r w:rsidR="00802B9C" w:rsidRPr="00F170FF">
        <w:rPr>
          <w:lang w:val="en-US"/>
        </w:rPr>
        <w:t>. 293</w:t>
      </w:r>
      <w:r w:rsidR="003D611B" w:rsidRPr="00F170FF">
        <w:rPr>
          <w:lang w:val="en-US"/>
        </w:rPr>
        <w:t>;</w:t>
      </w:r>
      <w:r w:rsidR="00802B9C" w:rsidRPr="00F170FF">
        <w:rPr>
          <w:lang w:val="en-US"/>
        </w:rPr>
        <w:t xml:space="preserve"> </w:t>
      </w:r>
      <w:r w:rsidR="00147513" w:rsidRPr="00F170FF">
        <w:rPr>
          <w:i/>
          <w:lang w:val="en-US"/>
        </w:rPr>
        <w:t>Packer v. Packer</w:t>
      </w:r>
      <w:r w:rsidR="00147513" w:rsidRPr="00F170FF">
        <w:rPr>
          <w:lang w:val="en-US"/>
        </w:rPr>
        <w:t xml:space="preserve">, [1953] 2 All E.R. 127; </w:t>
      </w:r>
      <w:r w:rsidR="008339E7" w:rsidRPr="00F170FF">
        <w:rPr>
          <w:i/>
        </w:rPr>
        <w:t>Bell ExpressVu L</w:t>
      </w:r>
      <w:r w:rsidR="00246A9D">
        <w:rPr>
          <w:i/>
        </w:rPr>
        <w:t>imi</w:t>
      </w:r>
      <w:r w:rsidR="008339E7" w:rsidRPr="00F170FF">
        <w:rPr>
          <w:i/>
        </w:rPr>
        <w:t>t</w:t>
      </w:r>
      <w:r w:rsidR="00246A9D">
        <w:rPr>
          <w:i/>
        </w:rPr>
        <w:t>e</w:t>
      </w:r>
      <w:r w:rsidR="008339E7" w:rsidRPr="00F170FF">
        <w:rPr>
          <w:i/>
        </w:rPr>
        <w:t xml:space="preserve">d </w:t>
      </w:r>
      <w:r w:rsidR="008339E7" w:rsidRPr="00F170FF">
        <w:rPr>
          <w:i/>
          <w:lang w:val="en-US"/>
        </w:rPr>
        <w:t>Partnership v. Rex</w:t>
      </w:r>
      <w:r w:rsidR="008339E7" w:rsidRPr="00F170FF">
        <w:rPr>
          <w:lang w:val="en-US"/>
        </w:rPr>
        <w:t xml:space="preserve">, 2002 SCC 42, [2002] 2 S.C.R. 559; </w:t>
      </w:r>
      <w:r w:rsidR="008339E7" w:rsidRPr="00F170FF">
        <w:rPr>
          <w:i/>
          <w:lang w:val="en-US"/>
        </w:rPr>
        <w:t>Rizzo &amp; Rizzo Shoes Ltd. (Re)</w:t>
      </w:r>
      <w:r w:rsidR="008339E7" w:rsidRPr="00F170FF">
        <w:rPr>
          <w:lang w:val="en-US"/>
        </w:rPr>
        <w:t xml:space="preserve">, [1998] 1 S.C.R. 27; </w:t>
      </w:r>
      <w:proofErr w:type="spellStart"/>
      <w:r w:rsidR="00325B12" w:rsidRPr="00F170FF">
        <w:rPr>
          <w:i/>
          <w:lang w:val="en-US"/>
        </w:rPr>
        <w:t>Agraira</w:t>
      </w:r>
      <w:proofErr w:type="spellEnd"/>
      <w:r w:rsidR="00325B12" w:rsidRPr="00F170FF">
        <w:rPr>
          <w:i/>
          <w:lang w:val="en-US"/>
        </w:rPr>
        <w:t xml:space="preserve"> v. Canada (Public Safety and Emergency Preparedness)</w:t>
      </w:r>
      <w:r w:rsidR="00325B12" w:rsidRPr="00F170FF">
        <w:rPr>
          <w:lang w:val="en-US"/>
        </w:rPr>
        <w:t xml:space="preserve">, 2013 SCC 36, [2013] 2 S.C.R. 559; </w:t>
      </w:r>
      <w:r w:rsidR="00325B12" w:rsidRPr="00F170FF">
        <w:rPr>
          <w:i/>
          <w:lang w:val="en-US"/>
        </w:rPr>
        <w:t xml:space="preserve">Finney v. </w:t>
      </w:r>
      <w:proofErr w:type="spellStart"/>
      <w:r w:rsidR="00325B12" w:rsidRPr="00F170FF">
        <w:rPr>
          <w:i/>
          <w:lang w:val="en-US"/>
        </w:rPr>
        <w:t>Barreau</w:t>
      </w:r>
      <w:proofErr w:type="spellEnd"/>
      <w:r w:rsidR="00325B12" w:rsidRPr="00F170FF">
        <w:rPr>
          <w:i/>
          <w:lang w:val="en-US"/>
        </w:rPr>
        <w:t xml:space="preserve"> du Québec</w:t>
      </w:r>
      <w:r w:rsidR="00325B12" w:rsidRPr="00F170FF">
        <w:rPr>
          <w:lang w:val="en-US"/>
        </w:rPr>
        <w:t xml:space="preserve">, </w:t>
      </w:r>
      <w:r w:rsidR="00A50B4B" w:rsidRPr="00F170FF">
        <w:rPr>
          <w:lang w:val="en-US"/>
        </w:rPr>
        <w:t xml:space="preserve">2004 </w:t>
      </w:r>
      <w:r w:rsidR="00325B12" w:rsidRPr="00F170FF">
        <w:rPr>
          <w:lang w:val="en-US"/>
        </w:rPr>
        <w:t>S</w:t>
      </w:r>
      <w:r w:rsidR="00A50B4B" w:rsidRPr="00F170FF">
        <w:rPr>
          <w:lang w:val="en-US"/>
        </w:rPr>
        <w:t>C</w:t>
      </w:r>
      <w:r w:rsidR="00325B12" w:rsidRPr="00F170FF">
        <w:rPr>
          <w:lang w:val="en-US"/>
        </w:rPr>
        <w:t>C 36</w:t>
      </w:r>
      <w:r w:rsidR="00A50B4B" w:rsidRPr="00F170FF">
        <w:rPr>
          <w:lang w:val="en-US"/>
        </w:rPr>
        <w:t xml:space="preserve">, [2004] 2 S.C.R. 17; </w:t>
      </w:r>
      <w:proofErr w:type="spellStart"/>
      <w:r w:rsidR="00AF2E30">
        <w:rPr>
          <w:i/>
          <w:lang w:val="en-US"/>
        </w:rPr>
        <w:t>Pharmascience</w:t>
      </w:r>
      <w:proofErr w:type="spellEnd"/>
      <w:r w:rsidR="00AF2E30">
        <w:rPr>
          <w:i/>
          <w:lang w:val="en-US"/>
        </w:rPr>
        <w:t xml:space="preserve"> I</w:t>
      </w:r>
      <w:r w:rsidR="00CD0181" w:rsidRPr="00F170FF">
        <w:rPr>
          <w:i/>
          <w:lang w:val="en-US"/>
        </w:rPr>
        <w:t xml:space="preserve">nc. v. </w:t>
      </w:r>
      <w:proofErr w:type="spellStart"/>
      <w:r w:rsidR="00CD0181" w:rsidRPr="00F170FF">
        <w:rPr>
          <w:i/>
          <w:lang w:val="en-US"/>
        </w:rPr>
        <w:t>Binet</w:t>
      </w:r>
      <w:proofErr w:type="spellEnd"/>
      <w:r w:rsidR="00CD0181" w:rsidRPr="00F170FF">
        <w:rPr>
          <w:lang w:val="en-US"/>
        </w:rPr>
        <w:t>, 2006 SCC 48, [2006] 2 S.C.R. 513;</w:t>
      </w:r>
      <w:r w:rsidR="00057688" w:rsidRPr="00F170FF">
        <w:rPr>
          <w:i/>
          <w:lang w:val="en-US"/>
        </w:rPr>
        <w:t xml:space="preserve"> Tremblay v. Québec (Tribunal des professions)</w:t>
      </w:r>
      <w:r w:rsidR="00057688" w:rsidRPr="00F170FF">
        <w:rPr>
          <w:lang w:val="en-US"/>
        </w:rPr>
        <w:t>, 2006 QCC</w:t>
      </w:r>
      <w:r w:rsidR="00632BAE" w:rsidRPr="00F170FF">
        <w:rPr>
          <w:lang w:val="en-US"/>
        </w:rPr>
        <w:t>A 1441, 61 Admin. L.R. (4th) 67.</w:t>
      </w:r>
    </w:p>
    <w:p w:rsidR="003B215F" w:rsidRPr="00F170FF" w:rsidRDefault="002E6705" w:rsidP="00935044">
      <w:pPr>
        <w:pStyle w:val="SCCNormalDoubleSpacing"/>
        <w:widowControl w:val="0"/>
        <w:spacing w:after="720" w:line="240" w:lineRule="auto"/>
      </w:pPr>
      <w:r w:rsidRPr="00F170FF">
        <w:rPr>
          <w:b/>
        </w:rPr>
        <w:t>Statutes and Regulations Cite</w:t>
      </w:r>
      <w:r w:rsidR="00A41805" w:rsidRPr="00F170FF">
        <w:rPr>
          <w:b/>
        </w:rPr>
        <w:t>d</w:t>
      </w:r>
    </w:p>
    <w:p w:rsidR="000C42AE" w:rsidRPr="00F170FF" w:rsidRDefault="000C42AE" w:rsidP="00935044">
      <w:pPr>
        <w:pStyle w:val="SCCNormalDoubleSpacing"/>
        <w:widowControl w:val="0"/>
        <w:spacing w:after="240" w:line="240" w:lineRule="auto"/>
        <w:ind w:left="547" w:hanging="547"/>
        <w:rPr>
          <w:lang w:val="en-US"/>
        </w:rPr>
      </w:pPr>
      <w:r w:rsidRPr="00F170FF">
        <w:rPr>
          <w:i/>
        </w:rPr>
        <w:t>Act respecting administrative justice</w:t>
      </w:r>
      <w:r w:rsidRPr="00F170FF">
        <w:t>, CQLR, c.</w:t>
      </w:r>
      <w:r w:rsidR="007A0C4B" w:rsidRPr="00F170FF">
        <w:t> </w:t>
      </w:r>
      <w:r w:rsidRPr="00F170FF">
        <w:t>J</w:t>
      </w:r>
      <w:r w:rsidR="00312D9E" w:rsidRPr="00F170FF">
        <w:noBreakHyphen/>
      </w:r>
      <w:r w:rsidRPr="00F170FF">
        <w:t xml:space="preserve">3, </w:t>
      </w:r>
      <w:r w:rsidR="00312D9E" w:rsidRPr="00F170FF">
        <w:t>ss. </w:t>
      </w:r>
      <w:r w:rsidRPr="00F170FF">
        <w:rPr>
          <w:lang w:val="en-US"/>
        </w:rPr>
        <w:t xml:space="preserve">1, </w:t>
      </w:r>
      <w:r w:rsidR="00782CF2" w:rsidRPr="00F170FF">
        <w:rPr>
          <w:lang w:val="en-US"/>
        </w:rPr>
        <w:t xml:space="preserve">14, </w:t>
      </w:r>
      <w:r w:rsidRPr="00F170FF">
        <w:rPr>
          <w:lang w:val="en-US"/>
        </w:rPr>
        <w:t>15, 18, 102, 154, 158.</w:t>
      </w:r>
    </w:p>
    <w:p w:rsidR="000C42AE" w:rsidRPr="00F170FF" w:rsidRDefault="000C42AE" w:rsidP="00935044">
      <w:pPr>
        <w:pStyle w:val="SCCNormalDoubleSpacing"/>
        <w:widowControl w:val="0"/>
        <w:spacing w:after="240" w:line="240" w:lineRule="auto"/>
        <w:ind w:left="547" w:hanging="547"/>
        <w:rPr>
          <w:lang w:val="en-US"/>
        </w:rPr>
      </w:pPr>
      <w:r w:rsidRPr="00F170FF">
        <w:rPr>
          <w:i/>
        </w:rPr>
        <w:t>Act respecting occupational health and safety</w:t>
      </w:r>
      <w:r w:rsidR="007A0C4B" w:rsidRPr="00F170FF">
        <w:t>, S.Q. 1979, c. </w:t>
      </w:r>
      <w:r w:rsidRPr="00F170FF">
        <w:t xml:space="preserve">63, </w:t>
      </w:r>
      <w:r w:rsidR="00312D9E" w:rsidRPr="00F170FF">
        <w:t>ss. </w:t>
      </w:r>
      <w:r w:rsidRPr="00F170FF">
        <w:t xml:space="preserve">274, 283. </w:t>
      </w:r>
    </w:p>
    <w:p w:rsidR="005E4DF4" w:rsidRPr="00F170FF" w:rsidRDefault="005E4DF4" w:rsidP="00935044">
      <w:pPr>
        <w:pStyle w:val="SCCNormalDoubleSpacing"/>
        <w:widowControl w:val="0"/>
        <w:spacing w:after="240" w:line="240" w:lineRule="auto"/>
        <w:ind w:left="547" w:hanging="547"/>
        <w:rPr>
          <w:lang w:val="en-US"/>
        </w:rPr>
      </w:pPr>
      <w:r w:rsidRPr="00F170FF">
        <w:rPr>
          <w:i/>
        </w:rPr>
        <w:t xml:space="preserve">Act respecting the </w:t>
      </w:r>
      <w:proofErr w:type="spellStart"/>
      <w:r w:rsidRPr="00F170FF">
        <w:rPr>
          <w:i/>
        </w:rPr>
        <w:t>Barreau</w:t>
      </w:r>
      <w:proofErr w:type="spellEnd"/>
      <w:r w:rsidRPr="00F170FF">
        <w:rPr>
          <w:i/>
        </w:rPr>
        <w:t xml:space="preserve"> du Qu</w:t>
      </w:r>
      <w:proofErr w:type="spellStart"/>
      <w:r w:rsidRPr="00F170FF">
        <w:rPr>
          <w:i/>
          <w:lang w:val="en-US"/>
        </w:rPr>
        <w:t>ébec</w:t>
      </w:r>
      <w:proofErr w:type="spellEnd"/>
      <w:r w:rsidR="007A0C4B" w:rsidRPr="00F170FF">
        <w:rPr>
          <w:lang w:val="en-US"/>
        </w:rPr>
        <w:t>, CQLR, c. </w:t>
      </w:r>
      <w:r w:rsidRPr="00F170FF">
        <w:rPr>
          <w:lang w:val="en-US"/>
        </w:rPr>
        <w:t>B</w:t>
      </w:r>
      <w:r w:rsidR="00312D9E" w:rsidRPr="00F170FF">
        <w:rPr>
          <w:lang w:val="en-US"/>
        </w:rPr>
        <w:noBreakHyphen/>
      </w:r>
      <w:r w:rsidRPr="00F170FF">
        <w:rPr>
          <w:lang w:val="en-US"/>
        </w:rPr>
        <w:t xml:space="preserve">1, </w:t>
      </w:r>
      <w:r w:rsidR="00312D9E" w:rsidRPr="00F170FF">
        <w:rPr>
          <w:lang w:val="en-US"/>
        </w:rPr>
        <w:t>ss. </w:t>
      </w:r>
      <w:r w:rsidRPr="00F170FF">
        <w:rPr>
          <w:lang w:val="en-US"/>
        </w:rPr>
        <w:t>128, 129</w:t>
      </w:r>
      <w:r w:rsidR="00782CF2" w:rsidRPr="00F170FF">
        <w:rPr>
          <w:lang w:val="en-US"/>
        </w:rPr>
        <w:t>, 141</w:t>
      </w:r>
      <w:r w:rsidRPr="00F170FF">
        <w:rPr>
          <w:lang w:val="en-US"/>
        </w:rPr>
        <w:t>.</w:t>
      </w:r>
    </w:p>
    <w:p w:rsidR="000C42AE" w:rsidRPr="00F170FF" w:rsidRDefault="000C42AE" w:rsidP="00935044">
      <w:pPr>
        <w:pStyle w:val="SCCNormalDoubleSpacing"/>
        <w:widowControl w:val="0"/>
        <w:spacing w:after="240" w:line="240" w:lineRule="auto"/>
        <w:ind w:left="547" w:hanging="547"/>
      </w:pPr>
      <w:r w:rsidRPr="00F170FF">
        <w:rPr>
          <w:i/>
        </w:rPr>
        <w:t xml:space="preserve">Act respecting the Commission des affaires </w:t>
      </w:r>
      <w:proofErr w:type="spellStart"/>
      <w:r w:rsidRPr="00F170FF">
        <w:rPr>
          <w:i/>
        </w:rPr>
        <w:t>sociales</w:t>
      </w:r>
      <w:proofErr w:type="spellEnd"/>
      <w:r w:rsidRPr="00F170FF">
        <w:t xml:space="preserve">, R.S.Q., </w:t>
      </w:r>
      <w:r w:rsidR="007A0C4B" w:rsidRPr="00F170FF">
        <w:t>c. </w:t>
      </w:r>
      <w:r w:rsidRPr="00F170FF">
        <w:t>C</w:t>
      </w:r>
      <w:r w:rsidR="00312D9E" w:rsidRPr="00F170FF">
        <w:noBreakHyphen/>
      </w:r>
      <w:r w:rsidRPr="00F170FF">
        <w:t>34 [re</w:t>
      </w:r>
      <w:r w:rsidR="00312D9E" w:rsidRPr="00F170FF">
        <w:t>p. </w:t>
      </w:r>
      <w:r w:rsidRPr="00F170FF">
        <w:t>1997, c. 43, s. 184], s.</w:t>
      </w:r>
      <w:r w:rsidR="007A0C4B" w:rsidRPr="00F170FF">
        <w:t> </w:t>
      </w:r>
      <w:r w:rsidRPr="00F170FF">
        <w:t>38.</w:t>
      </w:r>
    </w:p>
    <w:p w:rsidR="000C42AE" w:rsidRPr="00F170FF" w:rsidRDefault="000C42AE" w:rsidP="00935044">
      <w:pPr>
        <w:pStyle w:val="SCCNormalDoubleSpacing"/>
        <w:widowControl w:val="0"/>
        <w:spacing w:after="240" w:line="240" w:lineRule="auto"/>
        <w:ind w:left="547" w:hanging="547"/>
      </w:pPr>
      <w:r w:rsidRPr="00F170FF">
        <w:rPr>
          <w:i/>
        </w:rPr>
        <w:t>Act respecting the implementation of the Act respecting administrative justice</w:t>
      </w:r>
      <w:r w:rsidRPr="00F170FF">
        <w:t>, S.Q. 1997, c.</w:t>
      </w:r>
      <w:r w:rsidR="007A0C4B" w:rsidRPr="00F170FF">
        <w:t> </w:t>
      </w:r>
      <w:r w:rsidRPr="00F170FF">
        <w:t xml:space="preserve">43. </w:t>
      </w:r>
    </w:p>
    <w:p w:rsidR="000C42AE" w:rsidRPr="00F170FF" w:rsidRDefault="005E4DF4" w:rsidP="00935044">
      <w:pPr>
        <w:pStyle w:val="SCCNormalDoubleSpacing"/>
        <w:widowControl w:val="0"/>
        <w:spacing w:after="240" w:line="240" w:lineRule="auto"/>
        <w:ind w:left="547" w:hanging="547"/>
        <w:rPr>
          <w:lang w:val="fr-CA"/>
        </w:rPr>
      </w:pPr>
      <w:proofErr w:type="spellStart"/>
      <w:r w:rsidRPr="00F170FF">
        <w:rPr>
          <w:i/>
          <w:lang w:val="fr-CA"/>
        </w:rPr>
        <w:t>Act</w:t>
      </w:r>
      <w:proofErr w:type="spellEnd"/>
      <w:r w:rsidRPr="00F170FF">
        <w:rPr>
          <w:i/>
          <w:lang w:val="fr-CA"/>
        </w:rPr>
        <w:t xml:space="preserve"> </w:t>
      </w:r>
      <w:proofErr w:type="spellStart"/>
      <w:r w:rsidRPr="00F170FF">
        <w:rPr>
          <w:i/>
          <w:lang w:val="fr-CA"/>
        </w:rPr>
        <w:t>respecting</w:t>
      </w:r>
      <w:proofErr w:type="spellEnd"/>
      <w:r w:rsidRPr="00F170FF">
        <w:rPr>
          <w:i/>
          <w:lang w:val="fr-CA"/>
        </w:rPr>
        <w:t xml:space="preserve"> the Régie du logement</w:t>
      </w:r>
      <w:r w:rsidRPr="00F170FF">
        <w:rPr>
          <w:lang w:val="fr-CA"/>
        </w:rPr>
        <w:t>, CQLR, c. R</w:t>
      </w:r>
      <w:r w:rsidR="00312D9E" w:rsidRPr="00F170FF">
        <w:rPr>
          <w:lang w:val="fr-CA"/>
        </w:rPr>
        <w:noBreakHyphen/>
      </w:r>
      <w:r w:rsidRPr="00F170FF">
        <w:rPr>
          <w:lang w:val="fr-CA"/>
        </w:rPr>
        <w:t xml:space="preserve">8.1, </w:t>
      </w:r>
      <w:proofErr w:type="spellStart"/>
      <w:r w:rsidR="00312D9E" w:rsidRPr="00F170FF">
        <w:rPr>
          <w:lang w:val="fr-CA"/>
        </w:rPr>
        <w:t>ss</w:t>
      </w:r>
      <w:proofErr w:type="spellEnd"/>
      <w:r w:rsidR="00312D9E" w:rsidRPr="00F170FF">
        <w:rPr>
          <w:lang w:val="fr-CA"/>
        </w:rPr>
        <w:t>. </w:t>
      </w:r>
      <w:r w:rsidRPr="00F170FF">
        <w:rPr>
          <w:lang w:val="fr-CA"/>
        </w:rPr>
        <w:t xml:space="preserve">72, 74, 91. </w:t>
      </w:r>
    </w:p>
    <w:p w:rsidR="001B5ED3" w:rsidRPr="00F170FF" w:rsidRDefault="001B5ED3" w:rsidP="00935044">
      <w:pPr>
        <w:pStyle w:val="SCCNormalDoubleSpacing"/>
        <w:widowControl w:val="0"/>
        <w:spacing w:after="240" w:line="240" w:lineRule="auto"/>
        <w:ind w:left="547" w:hanging="547"/>
        <w:rPr>
          <w:lang w:val="en-US"/>
        </w:rPr>
      </w:pPr>
      <w:r w:rsidRPr="00F170FF">
        <w:rPr>
          <w:i/>
          <w:lang w:val="en-US"/>
        </w:rPr>
        <w:t>Act to amend the Bar Act</w:t>
      </w:r>
      <w:r w:rsidRPr="00F170FF">
        <w:rPr>
          <w:lang w:val="en-US"/>
        </w:rPr>
        <w:t xml:space="preserve">, S.Q. 1973, c. 44, </w:t>
      </w:r>
      <w:r w:rsidR="00675108" w:rsidRPr="00F170FF">
        <w:rPr>
          <w:lang w:val="en-US"/>
        </w:rPr>
        <w:t>s. </w:t>
      </w:r>
      <w:r w:rsidRPr="00F170FF">
        <w:rPr>
          <w:lang w:val="en-US"/>
        </w:rPr>
        <w:t>72.</w:t>
      </w:r>
    </w:p>
    <w:p w:rsidR="00CF3F47" w:rsidRPr="00F170FF" w:rsidRDefault="00CF3F47" w:rsidP="00935044">
      <w:pPr>
        <w:pStyle w:val="SCCNormalDoubleSpacing"/>
        <w:widowControl w:val="0"/>
        <w:spacing w:after="240" w:line="240" w:lineRule="auto"/>
        <w:ind w:left="547" w:hanging="547"/>
        <w:rPr>
          <w:lang w:val="en-US"/>
        </w:rPr>
      </w:pPr>
      <w:r w:rsidRPr="00F170FF">
        <w:rPr>
          <w:i/>
          <w:lang w:val="en-US"/>
        </w:rPr>
        <w:t>Act to amend various legislation</w:t>
      </w:r>
      <w:r w:rsidR="00675108" w:rsidRPr="00F170FF">
        <w:rPr>
          <w:lang w:val="en-US"/>
        </w:rPr>
        <w:t>, S.Q. 1984, c. </w:t>
      </w:r>
      <w:r w:rsidRPr="00F170FF">
        <w:rPr>
          <w:lang w:val="en-US"/>
        </w:rPr>
        <w:t xml:space="preserve">27, </w:t>
      </w:r>
      <w:r w:rsidR="00312D9E" w:rsidRPr="00F170FF">
        <w:rPr>
          <w:lang w:val="en-US"/>
        </w:rPr>
        <w:t>ss. </w:t>
      </w:r>
      <w:r w:rsidRPr="00F170FF">
        <w:rPr>
          <w:lang w:val="en-US"/>
        </w:rPr>
        <w:t xml:space="preserve">49, 51. </w:t>
      </w:r>
    </w:p>
    <w:p w:rsidR="000C42AE" w:rsidRPr="00F170FF" w:rsidRDefault="000C42AE" w:rsidP="00935044">
      <w:pPr>
        <w:pStyle w:val="SCCNormalDoubleSpacing"/>
        <w:widowControl w:val="0"/>
        <w:spacing w:after="240" w:line="240" w:lineRule="auto"/>
        <w:ind w:left="547" w:hanging="547"/>
      </w:pPr>
      <w:r w:rsidRPr="00F170FF">
        <w:rPr>
          <w:i/>
        </w:rPr>
        <w:t>A</w:t>
      </w:r>
      <w:r w:rsidR="005E4DF4" w:rsidRPr="00F170FF">
        <w:rPr>
          <w:i/>
        </w:rPr>
        <w:t xml:space="preserve">ct to establish the </w:t>
      </w:r>
      <w:proofErr w:type="spellStart"/>
      <w:r w:rsidR="005E4DF4" w:rsidRPr="00F170FF">
        <w:rPr>
          <w:i/>
        </w:rPr>
        <w:t>Régie</w:t>
      </w:r>
      <w:proofErr w:type="spellEnd"/>
      <w:r w:rsidR="005E4DF4" w:rsidRPr="00F170FF">
        <w:rPr>
          <w:i/>
        </w:rPr>
        <w:t xml:space="preserve"> du </w:t>
      </w:r>
      <w:proofErr w:type="spellStart"/>
      <w:r w:rsidR="005E4DF4" w:rsidRPr="00F170FF">
        <w:rPr>
          <w:i/>
        </w:rPr>
        <w:t>lo</w:t>
      </w:r>
      <w:r w:rsidRPr="00F170FF">
        <w:rPr>
          <w:i/>
        </w:rPr>
        <w:t>gement</w:t>
      </w:r>
      <w:proofErr w:type="spellEnd"/>
      <w:r w:rsidRPr="00F170FF">
        <w:rPr>
          <w:i/>
        </w:rPr>
        <w:t xml:space="preserve"> and to amend the Civil Code and other legislation</w:t>
      </w:r>
      <w:r w:rsidRPr="00F170FF">
        <w:t xml:space="preserve">, S.Q. 1979, </w:t>
      </w:r>
      <w:r w:rsidR="00675108" w:rsidRPr="00F170FF">
        <w:t>c. </w:t>
      </w:r>
      <w:r w:rsidR="00782CF2" w:rsidRPr="00F170FF">
        <w:t xml:space="preserve">48, </w:t>
      </w:r>
      <w:r w:rsidR="00312D9E" w:rsidRPr="00F170FF">
        <w:t>ss. </w:t>
      </w:r>
      <w:r w:rsidRPr="00F170FF">
        <w:t xml:space="preserve">72, 127. </w:t>
      </w:r>
    </w:p>
    <w:p w:rsidR="000C42AE" w:rsidRPr="00F170FF" w:rsidRDefault="000C42AE" w:rsidP="00935044">
      <w:pPr>
        <w:pStyle w:val="SCCNormalDoubleSpacing"/>
        <w:widowControl w:val="0"/>
        <w:spacing w:after="240" w:line="240" w:lineRule="auto"/>
        <w:ind w:left="547" w:hanging="547"/>
      </w:pPr>
      <w:r w:rsidRPr="00F170FF">
        <w:rPr>
          <w:i/>
        </w:rPr>
        <w:t>Interpretation Act</w:t>
      </w:r>
      <w:r w:rsidRPr="00F170FF">
        <w:t>, CQLR, c.</w:t>
      </w:r>
      <w:r w:rsidR="007A0C4B" w:rsidRPr="00F170FF">
        <w:t> </w:t>
      </w:r>
      <w:r w:rsidRPr="00F170FF">
        <w:t>I</w:t>
      </w:r>
      <w:r w:rsidR="00312D9E" w:rsidRPr="00F170FF">
        <w:noBreakHyphen/>
      </w:r>
      <w:r w:rsidRPr="00F170FF">
        <w:t>16, s</w:t>
      </w:r>
      <w:r w:rsidR="00AF2E30">
        <w:t>s</w:t>
      </w:r>
      <w:r w:rsidRPr="00F170FF">
        <w:t>. 41</w:t>
      </w:r>
      <w:r w:rsidR="00782CF2" w:rsidRPr="00F170FF">
        <w:t>, 41.1</w:t>
      </w:r>
      <w:r w:rsidRPr="00F170FF">
        <w:t>.</w:t>
      </w:r>
    </w:p>
    <w:p w:rsidR="000C42AE" w:rsidRPr="00F170FF" w:rsidRDefault="000C42AE" w:rsidP="00935044">
      <w:pPr>
        <w:pStyle w:val="SCCNormalDoubleSpacing"/>
        <w:widowControl w:val="0"/>
        <w:spacing w:after="240" w:line="240" w:lineRule="auto"/>
        <w:ind w:left="547" w:hanging="547"/>
        <w:rPr>
          <w:lang w:val="en-US"/>
        </w:rPr>
      </w:pPr>
      <w:r w:rsidRPr="00F170FF">
        <w:rPr>
          <w:i/>
          <w:lang w:val="en-US"/>
        </w:rPr>
        <w:lastRenderedPageBreak/>
        <w:t>Law Society Act, 1999</w:t>
      </w:r>
      <w:r w:rsidR="007A0C4B" w:rsidRPr="00F170FF">
        <w:rPr>
          <w:lang w:val="en-US"/>
        </w:rPr>
        <w:t>, S.N.L. 1999, c. </w:t>
      </w:r>
      <w:r w:rsidRPr="00F170FF">
        <w:rPr>
          <w:lang w:val="en-US"/>
        </w:rPr>
        <w:t>L</w:t>
      </w:r>
      <w:r w:rsidR="00312D9E" w:rsidRPr="00F170FF">
        <w:rPr>
          <w:lang w:val="en-US"/>
        </w:rPr>
        <w:noBreakHyphen/>
      </w:r>
      <w:r w:rsidR="007A0C4B" w:rsidRPr="00F170FF">
        <w:rPr>
          <w:lang w:val="en-US"/>
        </w:rPr>
        <w:t>9.1, s. </w:t>
      </w:r>
      <w:r w:rsidRPr="00F170FF">
        <w:rPr>
          <w:lang w:val="en-US"/>
        </w:rPr>
        <w:t>2(2</w:t>
      </w:r>
      <w:proofErr w:type="gramStart"/>
      <w:r w:rsidRPr="00F170FF">
        <w:rPr>
          <w:lang w:val="en-US"/>
        </w:rPr>
        <w:t>)(</w:t>
      </w:r>
      <w:proofErr w:type="gramEnd"/>
      <w:r w:rsidRPr="00F170FF">
        <w:rPr>
          <w:lang w:val="en-US"/>
        </w:rPr>
        <w:t xml:space="preserve">b), (c)(ii). </w:t>
      </w:r>
    </w:p>
    <w:p w:rsidR="000C42AE" w:rsidRPr="00F170FF" w:rsidRDefault="000C42AE" w:rsidP="00935044">
      <w:pPr>
        <w:pStyle w:val="SCCNormalDoubleSpacing"/>
        <w:widowControl w:val="0"/>
        <w:spacing w:after="240" w:line="240" w:lineRule="auto"/>
        <w:ind w:left="547" w:hanging="547"/>
        <w:rPr>
          <w:lang w:val="en-US"/>
        </w:rPr>
      </w:pPr>
      <w:r w:rsidRPr="00F170FF">
        <w:rPr>
          <w:i/>
          <w:lang w:val="en-US"/>
        </w:rPr>
        <w:t>Legal Profession Act</w:t>
      </w:r>
      <w:r w:rsidRPr="00F170FF">
        <w:rPr>
          <w:lang w:val="en-US"/>
        </w:rPr>
        <w:t>, C.C.S.M., c.</w:t>
      </w:r>
      <w:r w:rsidR="007A0C4B" w:rsidRPr="00F170FF">
        <w:rPr>
          <w:lang w:val="en-US"/>
        </w:rPr>
        <w:t> </w:t>
      </w:r>
      <w:r w:rsidRPr="00F170FF">
        <w:rPr>
          <w:lang w:val="en-US"/>
        </w:rPr>
        <w:t>L107, s.</w:t>
      </w:r>
      <w:r w:rsidR="007A0C4B" w:rsidRPr="00F170FF">
        <w:rPr>
          <w:lang w:val="en-US"/>
        </w:rPr>
        <w:t> </w:t>
      </w:r>
      <w:r w:rsidRPr="00F170FF">
        <w:rPr>
          <w:lang w:val="en-US"/>
        </w:rPr>
        <w:t>20(2</w:t>
      </w:r>
      <w:proofErr w:type="gramStart"/>
      <w:r w:rsidRPr="00F170FF">
        <w:rPr>
          <w:lang w:val="en-US"/>
        </w:rPr>
        <w:t>)(</w:t>
      </w:r>
      <w:proofErr w:type="gramEnd"/>
      <w:r w:rsidRPr="00F170FF">
        <w:rPr>
          <w:lang w:val="en-US"/>
        </w:rPr>
        <w:t>b), (3)(a)(ii).</w:t>
      </w:r>
    </w:p>
    <w:p w:rsidR="000C42AE" w:rsidRPr="00F170FF" w:rsidRDefault="000C42AE" w:rsidP="00935044">
      <w:pPr>
        <w:pStyle w:val="SCCNormalDoubleSpacing"/>
        <w:widowControl w:val="0"/>
        <w:spacing w:after="240" w:line="240" w:lineRule="auto"/>
        <w:ind w:left="547" w:hanging="547"/>
        <w:rPr>
          <w:lang w:val="en-US"/>
        </w:rPr>
      </w:pPr>
      <w:r w:rsidRPr="00F170FF">
        <w:rPr>
          <w:i/>
          <w:lang w:val="en-US"/>
        </w:rPr>
        <w:t>Legal Profession Act</w:t>
      </w:r>
      <w:r w:rsidRPr="00F170FF">
        <w:rPr>
          <w:lang w:val="en-US"/>
        </w:rPr>
        <w:t xml:space="preserve">, </w:t>
      </w:r>
      <w:r w:rsidR="003C5B76" w:rsidRPr="00F170FF">
        <w:rPr>
          <w:lang w:val="en-US"/>
        </w:rPr>
        <w:t>R.S.N.W</w:t>
      </w:r>
      <w:r w:rsidRPr="00F170FF">
        <w:rPr>
          <w:lang w:val="en-US"/>
        </w:rPr>
        <w:t>.</w:t>
      </w:r>
      <w:r w:rsidR="003C5B76" w:rsidRPr="00F170FF">
        <w:rPr>
          <w:lang w:val="en-US"/>
        </w:rPr>
        <w:t>T</w:t>
      </w:r>
      <w:r w:rsidRPr="00F170FF">
        <w:rPr>
          <w:lang w:val="en-US"/>
        </w:rPr>
        <w:t>. 1988, c.</w:t>
      </w:r>
      <w:r w:rsidR="0075508E" w:rsidRPr="00F170FF">
        <w:rPr>
          <w:lang w:val="en-US"/>
        </w:rPr>
        <w:t> </w:t>
      </w:r>
      <w:r w:rsidRPr="00F170FF">
        <w:rPr>
          <w:lang w:val="en-US"/>
        </w:rPr>
        <w:t>L</w:t>
      </w:r>
      <w:r w:rsidR="00312D9E" w:rsidRPr="00F170FF">
        <w:rPr>
          <w:lang w:val="en-US"/>
        </w:rPr>
        <w:noBreakHyphen/>
      </w:r>
      <w:r w:rsidRPr="00F170FF">
        <w:rPr>
          <w:lang w:val="en-US"/>
        </w:rPr>
        <w:t>2, s</w:t>
      </w:r>
      <w:r w:rsidR="0075508E" w:rsidRPr="00F170FF">
        <w:rPr>
          <w:lang w:val="en-US"/>
        </w:rPr>
        <w:t>. </w:t>
      </w:r>
      <w:r w:rsidR="0083574F" w:rsidRPr="00F170FF">
        <w:rPr>
          <w:lang w:val="en-US"/>
        </w:rPr>
        <w:t xml:space="preserve">1 “practice of law” </w:t>
      </w:r>
      <w:r w:rsidR="00312D9E" w:rsidRPr="00F170FF">
        <w:rPr>
          <w:lang w:val="en-US"/>
        </w:rPr>
        <w:t>paras. </w:t>
      </w:r>
      <w:r w:rsidRPr="00F170FF">
        <w:rPr>
          <w:lang w:val="en-US"/>
        </w:rPr>
        <w:t>(</w:t>
      </w:r>
      <w:proofErr w:type="gramStart"/>
      <w:r w:rsidRPr="00F170FF">
        <w:rPr>
          <w:lang w:val="en-US"/>
        </w:rPr>
        <w:t>a</w:t>
      </w:r>
      <w:proofErr w:type="gramEnd"/>
      <w:r w:rsidRPr="00F170FF">
        <w:rPr>
          <w:lang w:val="en-US"/>
        </w:rPr>
        <w:t>), (b)</w:t>
      </w:r>
      <w:r w:rsidR="009D1CBA" w:rsidRPr="00F170FF">
        <w:rPr>
          <w:lang w:val="en-US"/>
        </w:rPr>
        <w:t>(ii)</w:t>
      </w:r>
      <w:r w:rsidRPr="00F170FF">
        <w:rPr>
          <w:lang w:val="en-US"/>
        </w:rPr>
        <w:t xml:space="preserve">. </w:t>
      </w:r>
    </w:p>
    <w:p w:rsidR="000C42AE" w:rsidRPr="00F170FF" w:rsidRDefault="000C42AE" w:rsidP="00935044">
      <w:pPr>
        <w:pStyle w:val="SCCNormalDoubleSpacing"/>
        <w:widowControl w:val="0"/>
        <w:spacing w:after="240" w:line="240" w:lineRule="auto"/>
        <w:ind w:left="547" w:hanging="547"/>
        <w:rPr>
          <w:lang w:val="en-US"/>
        </w:rPr>
      </w:pPr>
      <w:r w:rsidRPr="00F170FF">
        <w:rPr>
          <w:i/>
          <w:lang w:val="en-US"/>
        </w:rPr>
        <w:t>Legal Profession Act</w:t>
      </w:r>
      <w:r w:rsidRPr="00F170FF">
        <w:rPr>
          <w:lang w:val="en-US"/>
        </w:rPr>
        <w:t xml:space="preserve">, R.S.N.W.T. (Nu.) </w:t>
      </w:r>
      <w:r w:rsidR="0075508E" w:rsidRPr="00F170FF">
        <w:rPr>
          <w:lang w:val="en-US"/>
        </w:rPr>
        <w:t>1988, c. </w:t>
      </w:r>
      <w:r w:rsidRPr="00F170FF">
        <w:rPr>
          <w:lang w:val="en-US"/>
        </w:rPr>
        <w:t>L</w:t>
      </w:r>
      <w:r w:rsidR="00312D9E" w:rsidRPr="00F170FF">
        <w:rPr>
          <w:lang w:val="en-US"/>
        </w:rPr>
        <w:noBreakHyphen/>
      </w:r>
      <w:r w:rsidRPr="00F170FF">
        <w:rPr>
          <w:lang w:val="en-US"/>
        </w:rPr>
        <w:t>2, s.</w:t>
      </w:r>
      <w:r w:rsidR="0075508E" w:rsidRPr="00F170FF">
        <w:rPr>
          <w:lang w:val="en-US"/>
        </w:rPr>
        <w:t> </w:t>
      </w:r>
      <w:r w:rsidRPr="00F170FF">
        <w:rPr>
          <w:lang w:val="en-US"/>
        </w:rPr>
        <w:t>1</w:t>
      </w:r>
      <w:r w:rsidR="00F93E82" w:rsidRPr="00F170FF">
        <w:rPr>
          <w:lang w:val="en-US"/>
        </w:rPr>
        <w:t xml:space="preserve"> “practice of law” </w:t>
      </w:r>
      <w:r w:rsidR="00312D9E" w:rsidRPr="00F170FF">
        <w:rPr>
          <w:lang w:val="en-US"/>
        </w:rPr>
        <w:t>paras. </w:t>
      </w:r>
      <w:r w:rsidRPr="00F170FF">
        <w:rPr>
          <w:lang w:val="en-US"/>
        </w:rPr>
        <w:t>(</w:t>
      </w:r>
      <w:proofErr w:type="gramStart"/>
      <w:r w:rsidRPr="00F170FF">
        <w:rPr>
          <w:lang w:val="en-US"/>
        </w:rPr>
        <w:t>a</w:t>
      </w:r>
      <w:proofErr w:type="gramEnd"/>
      <w:r w:rsidRPr="00F170FF">
        <w:rPr>
          <w:lang w:val="en-US"/>
        </w:rPr>
        <w:t>), (b)</w:t>
      </w:r>
      <w:r w:rsidR="009D1CBA" w:rsidRPr="00F170FF">
        <w:rPr>
          <w:lang w:val="en-US"/>
        </w:rPr>
        <w:t>(ii)</w:t>
      </w:r>
      <w:r w:rsidRPr="00F170FF">
        <w:rPr>
          <w:lang w:val="en-US"/>
        </w:rPr>
        <w:t>.</w:t>
      </w:r>
    </w:p>
    <w:p w:rsidR="000C42AE" w:rsidRPr="00F170FF" w:rsidRDefault="000C42AE" w:rsidP="00935044">
      <w:pPr>
        <w:pStyle w:val="SCCNormalDoubleSpacing"/>
        <w:widowControl w:val="0"/>
        <w:spacing w:after="240" w:line="240" w:lineRule="auto"/>
        <w:ind w:left="547" w:hanging="547"/>
        <w:rPr>
          <w:lang w:val="en-US"/>
        </w:rPr>
      </w:pPr>
      <w:r w:rsidRPr="00F170FF">
        <w:rPr>
          <w:i/>
          <w:lang w:val="en-US"/>
        </w:rPr>
        <w:t>Legal Profession Act</w:t>
      </w:r>
      <w:r w:rsidRPr="00F170FF">
        <w:rPr>
          <w:lang w:val="en-US"/>
        </w:rPr>
        <w:t>, R.S.P.E.I. 1988, c.</w:t>
      </w:r>
      <w:r w:rsidR="0075508E" w:rsidRPr="00F170FF">
        <w:rPr>
          <w:lang w:val="en-US"/>
        </w:rPr>
        <w:t> </w:t>
      </w:r>
      <w:r w:rsidRPr="00F170FF">
        <w:rPr>
          <w:lang w:val="en-US"/>
        </w:rPr>
        <w:t>L</w:t>
      </w:r>
      <w:r w:rsidR="00312D9E" w:rsidRPr="00F170FF">
        <w:rPr>
          <w:lang w:val="en-US"/>
        </w:rPr>
        <w:noBreakHyphen/>
      </w:r>
      <w:r w:rsidRPr="00F170FF">
        <w:rPr>
          <w:lang w:val="en-US"/>
        </w:rPr>
        <w:t>6</w:t>
      </w:r>
      <w:r w:rsidR="0075508E" w:rsidRPr="00F170FF">
        <w:rPr>
          <w:lang w:val="en-US"/>
        </w:rPr>
        <w:t>.1, s. </w:t>
      </w:r>
      <w:r w:rsidRPr="00F170FF">
        <w:rPr>
          <w:lang w:val="en-US"/>
        </w:rPr>
        <w:t>21(1</w:t>
      </w:r>
      <w:proofErr w:type="gramStart"/>
      <w:r w:rsidRPr="00F170FF">
        <w:rPr>
          <w:lang w:val="en-US"/>
        </w:rPr>
        <w:t>)(</w:t>
      </w:r>
      <w:proofErr w:type="gramEnd"/>
      <w:r w:rsidRPr="00F170FF">
        <w:rPr>
          <w:lang w:val="en-US"/>
        </w:rPr>
        <w:t xml:space="preserve">d), (e). </w:t>
      </w:r>
    </w:p>
    <w:p w:rsidR="000C42AE" w:rsidRPr="00F170FF" w:rsidRDefault="000C42AE" w:rsidP="00935044">
      <w:pPr>
        <w:pStyle w:val="SCCNormalDoubleSpacing"/>
        <w:widowControl w:val="0"/>
        <w:spacing w:after="240" w:line="240" w:lineRule="auto"/>
        <w:ind w:left="547" w:hanging="547"/>
        <w:rPr>
          <w:lang w:val="en-US"/>
        </w:rPr>
      </w:pPr>
      <w:r w:rsidRPr="00F170FF">
        <w:rPr>
          <w:i/>
          <w:lang w:val="en-US"/>
        </w:rPr>
        <w:t>Legal Profession Act</w:t>
      </w:r>
      <w:r w:rsidR="0075508E" w:rsidRPr="00F170FF">
        <w:rPr>
          <w:lang w:val="en-US"/>
        </w:rPr>
        <w:t>, R.S.Y. 2002, c. </w:t>
      </w:r>
      <w:r w:rsidRPr="00F170FF">
        <w:rPr>
          <w:lang w:val="en-US"/>
        </w:rPr>
        <w:t>134</w:t>
      </w:r>
      <w:r w:rsidR="0075508E" w:rsidRPr="00F170FF">
        <w:rPr>
          <w:lang w:val="en-US"/>
        </w:rPr>
        <w:t>, s. </w:t>
      </w:r>
      <w:r w:rsidRPr="00F170FF">
        <w:rPr>
          <w:lang w:val="en-US"/>
        </w:rPr>
        <w:t>1(1)</w:t>
      </w:r>
      <w:r w:rsidR="003C5B76" w:rsidRPr="00F170FF">
        <w:rPr>
          <w:lang w:val="en-US"/>
        </w:rPr>
        <w:t xml:space="preserve"> “practice of law” </w:t>
      </w:r>
      <w:r w:rsidR="00312D9E" w:rsidRPr="00F170FF">
        <w:rPr>
          <w:lang w:val="en-US"/>
        </w:rPr>
        <w:t>paras. </w:t>
      </w:r>
      <w:r w:rsidRPr="00F170FF">
        <w:rPr>
          <w:lang w:val="en-US"/>
        </w:rPr>
        <w:t>(</w:t>
      </w:r>
      <w:proofErr w:type="gramStart"/>
      <w:r w:rsidRPr="00F170FF">
        <w:rPr>
          <w:lang w:val="en-US"/>
        </w:rPr>
        <w:t>a</w:t>
      </w:r>
      <w:proofErr w:type="gramEnd"/>
      <w:r w:rsidRPr="00F170FF">
        <w:rPr>
          <w:lang w:val="en-US"/>
        </w:rPr>
        <w:t>), (b)(ii).</w:t>
      </w:r>
    </w:p>
    <w:p w:rsidR="000C42AE" w:rsidRPr="00F170FF" w:rsidRDefault="000C42AE" w:rsidP="00935044">
      <w:pPr>
        <w:pStyle w:val="SCCNormalDoubleSpacing"/>
        <w:widowControl w:val="0"/>
        <w:spacing w:after="240" w:line="240" w:lineRule="auto"/>
        <w:ind w:left="547" w:hanging="547"/>
        <w:rPr>
          <w:lang w:val="fr-CA"/>
        </w:rPr>
      </w:pPr>
      <w:r w:rsidRPr="00F170FF">
        <w:rPr>
          <w:i/>
          <w:lang w:val="en-US"/>
        </w:rPr>
        <w:t>Legal Profession Act</w:t>
      </w:r>
      <w:r w:rsidRPr="00F170FF">
        <w:rPr>
          <w:lang w:val="en-US"/>
        </w:rPr>
        <w:t>, S.B.C. 1998, c.</w:t>
      </w:r>
      <w:r w:rsidR="0075508E" w:rsidRPr="00F170FF">
        <w:rPr>
          <w:lang w:val="en-US"/>
        </w:rPr>
        <w:t> </w:t>
      </w:r>
      <w:r w:rsidRPr="00F170FF">
        <w:rPr>
          <w:lang w:val="en-US"/>
        </w:rPr>
        <w:t xml:space="preserve">9, </w:t>
      </w:r>
      <w:r w:rsidR="00F93E82" w:rsidRPr="00F170FF">
        <w:rPr>
          <w:lang w:val="en-US"/>
        </w:rPr>
        <w:t>s.</w:t>
      </w:r>
      <w:r w:rsidR="0075508E" w:rsidRPr="00F170FF">
        <w:rPr>
          <w:lang w:val="en-US"/>
        </w:rPr>
        <w:t> </w:t>
      </w:r>
      <w:r w:rsidR="00F93E82" w:rsidRPr="00F170FF">
        <w:rPr>
          <w:lang w:val="en-US"/>
        </w:rPr>
        <w:t xml:space="preserve">1(1) “practice of law” </w:t>
      </w:r>
      <w:r w:rsidR="00312D9E" w:rsidRPr="00F170FF">
        <w:rPr>
          <w:lang w:val="en-US"/>
        </w:rPr>
        <w:t>paras. </w:t>
      </w:r>
      <w:r w:rsidRPr="00F170FF">
        <w:rPr>
          <w:lang w:val="fr-CA"/>
        </w:rPr>
        <w:t>(</w:t>
      </w:r>
      <w:proofErr w:type="gramStart"/>
      <w:r w:rsidRPr="00F170FF">
        <w:rPr>
          <w:lang w:val="fr-CA"/>
        </w:rPr>
        <w:t>a</w:t>
      </w:r>
      <w:proofErr w:type="gramEnd"/>
      <w:r w:rsidRPr="00F170FF">
        <w:rPr>
          <w:lang w:val="fr-CA"/>
        </w:rPr>
        <w:t>),</w:t>
      </w:r>
      <w:r w:rsidR="00246A9D">
        <w:rPr>
          <w:lang w:val="fr-CA"/>
        </w:rPr>
        <w:t xml:space="preserve"> </w:t>
      </w:r>
      <w:r w:rsidRPr="00F170FF">
        <w:rPr>
          <w:lang w:val="fr-CA"/>
        </w:rPr>
        <w:t>(b).</w:t>
      </w:r>
    </w:p>
    <w:p w:rsidR="00EE4F50" w:rsidRPr="00F170FF" w:rsidRDefault="000C42AE" w:rsidP="00935044">
      <w:pPr>
        <w:pStyle w:val="SCCNormalDoubleSpacing"/>
        <w:widowControl w:val="0"/>
        <w:spacing w:after="720" w:line="240" w:lineRule="auto"/>
        <w:ind w:left="547" w:hanging="547"/>
        <w:rPr>
          <w:lang w:val="fr-CA"/>
        </w:rPr>
      </w:pPr>
      <w:r w:rsidRPr="00F170FF">
        <w:rPr>
          <w:i/>
          <w:lang w:val="fr-CA"/>
        </w:rPr>
        <w:t>Professional Code</w:t>
      </w:r>
      <w:r w:rsidR="0075508E" w:rsidRPr="00F170FF">
        <w:rPr>
          <w:lang w:val="fr-CA"/>
        </w:rPr>
        <w:t>, CQLR, c. </w:t>
      </w:r>
      <w:r w:rsidRPr="00F170FF">
        <w:rPr>
          <w:lang w:val="fr-CA"/>
        </w:rPr>
        <w:t>C</w:t>
      </w:r>
      <w:r w:rsidR="00312D9E" w:rsidRPr="00F170FF">
        <w:rPr>
          <w:lang w:val="fr-CA"/>
        </w:rPr>
        <w:noBreakHyphen/>
      </w:r>
      <w:r w:rsidRPr="00F170FF">
        <w:rPr>
          <w:lang w:val="fr-CA"/>
        </w:rPr>
        <w:t xml:space="preserve">26, </w:t>
      </w:r>
      <w:proofErr w:type="spellStart"/>
      <w:r w:rsidR="00312D9E" w:rsidRPr="00F170FF">
        <w:rPr>
          <w:lang w:val="fr-CA"/>
        </w:rPr>
        <w:t>ss</w:t>
      </w:r>
      <w:proofErr w:type="spellEnd"/>
      <w:r w:rsidR="00312D9E" w:rsidRPr="00F170FF">
        <w:rPr>
          <w:lang w:val="fr-CA"/>
        </w:rPr>
        <w:t>. </w:t>
      </w:r>
      <w:r w:rsidRPr="00F170FF">
        <w:rPr>
          <w:lang w:val="fr-CA"/>
        </w:rPr>
        <w:t>23</w:t>
      </w:r>
      <w:r w:rsidR="00B51B69" w:rsidRPr="00F170FF">
        <w:rPr>
          <w:lang w:val="fr-CA"/>
        </w:rPr>
        <w:t>, 26</w:t>
      </w:r>
      <w:r w:rsidRPr="00F170FF">
        <w:rPr>
          <w:lang w:val="fr-CA"/>
        </w:rPr>
        <w:t>.</w:t>
      </w:r>
    </w:p>
    <w:p w:rsidR="002E6705" w:rsidRPr="00F170FF" w:rsidRDefault="002E6705" w:rsidP="00935044">
      <w:pPr>
        <w:pStyle w:val="SCCNormalDoubleSpacing"/>
        <w:widowControl w:val="0"/>
        <w:spacing w:after="720" w:line="240" w:lineRule="auto"/>
        <w:rPr>
          <w:b/>
          <w:lang w:val="fr-CA"/>
        </w:rPr>
      </w:pPr>
      <w:proofErr w:type="spellStart"/>
      <w:r w:rsidRPr="00F170FF">
        <w:rPr>
          <w:b/>
          <w:lang w:val="fr-CA"/>
        </w:rPr>
        <w:t>Authors</w:t>
      </w:r>
      <w:proofErr w:type="spellEnd"/>
      <w:r w:rsidRPr="00F170FF">
        <w:rPr>
          <w:b/>
          <w:lang w:val="fr-CA"/>
        </w:rPr>
        <w:t xml:space="preserve"> </w:t>
      </w:r>
      <w:proofErr w:type="spellStart"/>
      <w:r w:rsidRPr="00F170FF">
        <w:rPr>
          <w:b/>
          <w:lang w:val="fr-CA"/>
        </w:rPr>
        <w:t>Cited</w:t>
      </w:r>
      <w:proofErr w:type="spellEnd"/>
    </w:p>
    <w:p w:rsidR="00AE590F" w:rsidRPr="00F170FF" w:rsidRDefault="00AE590F" w:rsidP="00935044">
      <w:pPr>
        <w:pStyle w:val="SCCNormalDoubleSpacing"/>
        <w:widowControl w:val="0"/>
        <w:spacing w:after="240" w:line="240" w:lineRule="auto"/>
        <w:ind w:left="540" w:hanging="540"/>
        <w:rPr>
          <w:lang w:val="fr-CA"/>
        </w:rPr>
      </w:pPr>
      <w:r w:rsidRPr="00F170FF">
        <w:rPr>
          <w:lang w:val="fr-CA"/>
        </w:rPr>
        <w:t xml:space="preserve">Cornu, Gérard, </w:t>
      </w:r>
      <w:proofErr w:type="spellStart"/>
      <w:r w:rsidRPr="00F170FF">
        <w:rPr>
          <w:lang w:val="fr-CA"/>
        </w:rPr>
        <w:t>dir</w:t>
      </w:r>
      <w:proofErr w:type="spellEnd"/>
      <w:r w:rsidRPr="00F170FF">
        <w:rPr>
          <w:lang w:val="fr-CA"/>
        </w:rPr>
        <w:t xml:space="preserve">. </w:t>
      </w:r>
      <w:r w:rsidRPr="00F170FF">
        <w:rPr>
          <w:i/>
          <w:lang w:val="fr-CA"/>
        </w:rPr>
        <w:t>Vocabulaire juridique</w:t>
      </w:r>
      <w:r w:rsidRPr="00F170FF">
        <w:rPr>
          <w:lang w:val="fr-CA"/>
        </w:rPr>
        <w:t>, 10</w:t>
      </w:r>
      <w:r w:rsidRPr="00F170FF">
        <w:rPr>
          <w:vertAlign w:val="superscript"/>
          <w:lang w:val="fr-CA"/>
        </w:rPr>
        <w:t>e</w:t>
      </w:r>
      <w:r w:rsidRPr="00F170FF">
        <w:rPr>
          <w:lang w:val="fr-CA"/>
        </w:rPr>
        <w:t xml:space="preserve"> éd. Paris</w:t>
      </w:r>
      <w:r w:rsidR="00312D9E" w:rsidRPr="00F170FF">
        <w:rPr>
          <w:lang w:val="fr-CA"/>
        </w:rPr>
        <w:t>:</w:t>
      </w:r>
      <w:r w:rsidRPr="00F170FF">
        <w:rPr>
          <w:lang w:val="fr-CA"/>
        </w:rPr>
        <w:t xml:space="preserve"> Presses universitaires de France, 2014, “</w:t>
      </w:r>
      <w:r w:rsidRPr="00F170FF">
        <w:rPr>
          <w:i/>
          <w:lang w:val="fr-CA"/>
        </w:rPr>
        <w:t>représenter</w:t>
      </w:r>
      <w:r w:rsidRPr="00F170FF">
        <w:rPr>
          <w:lang w:val="fr-CA"/>
        </w:rPr>
        <w:t xml:space="preserve">”. </w:t>
      </w:r>
    </w:p>
    <w:p w:rsidR="00702809" w:rsidRPr="00F170FF" w:rsidRDefault="00702809" w:rsidP="00935044">
      <w:pPr>
        <w:pStyle w:val="SCCNormalDoubleSpacing"/>
        <w:widowControl w:val="0"/>
        <w:spacing w:after="240" w:line="240" w:lineRule="auto"/>
        <w:ind w:left="540" w:hanging="540"/>
        <w:rPr>
          <w:lang w:val="en-US"/>
        </w:rPr>
      </w:pPr>
      <w:r w:rsidRPr="00F170FF">
        <w:rPr>
          <w:lang w:val="fr-CA"/>
        </w:rPr>
        <w:t>Côté, Pierre</w:t>
      </w:r>
      <w:r w:rsidR="00312D9E" w:rsidRPr="00F170FF">
        <w:rPr>
          <w:lang w:val="fr-CA"/>
        </w:rPr>
        <w:noBreakHyphen/>
      </w:r>
      <w:r w:rsidRPr="00F170FF">
        <w:rPr>
          <w:lang w:val="fr-CA"/>
        </w:rPr>
        <w:t xml:space="preserve">André, in collaboration </w:t>
      </w:r>
      <w:proofErr w:type="spellStart"/>
      <w:r w:rsidRPr="00F170FF">
        <w:rPr>
          <w:lang w:val="fr-CA"/>
        </w:rPr>
        <w:t>with</w:t>
      </w:r>
      <w:proofErr w:type="spellEnd"/>
      <w:r w:rsidRPr="00F170FF">
        <w:rPr>
          <w:lang w:val="fr-CA"/>
        </w:rPr>
        <w:t xml:space="preserve"> Stéphane </w:t>
      </w:r>
      <w:proofErr w:type="spellStart"/>
      <w:r w:rsidRPr="00F170FF">
        <w:rPr>
          <w:lang w:val="fr-CA"/>
        </w:rPr>
        <w:t>Beaulac</w:t>
      </w:r>
      <w:proofErr w:type="spellEnd"/>
      <w:r w:rsidRPr="00F170FF">
        <w:rPr>
          <w:lang w:val="fr-CA"/>
        </w:rPr>
        <w:t xml:space="preserve"> and Mathieu </w:t>
      </w:r>
      <w:proofErr w:type="spellStart"/>
      <w:r w:rsidRPr="00F170FF">
        <w:rPr>
          <w:lang w:val="fr-CA"/>
        </w:rPr>
        <w:t>Devinat</w:t>
      </w:r>
      <w:proofErr w:type="spellEnd"/>
      <w:r w:rsidRPr="00F170FF">
        <w:rPr>
          <w:lang w:val="fr-CA"/>
        </w:rPr>
        <w:t xml:space="preserve">. </w:t>
      </w:r>
      <w:r w:rsidRPr="00F170FF">
        <w:rPr>
          <w:i/>
          <w:lang w:val="en-US"/>
        </w:rPr>
        <w:t>The Interpretation of Legislation in Canada</w:t>
      </w:r>
      <w:r w:rsidRPr="00F170FF">
        <w:rPr>
          <w:lang w:val="en-US"/>
        </w:rPr>
        <w:t>, 4th ed. Toronto: Carswell, 2011.</w:t>
      </w:r>
    </w:p>
    <w:p w:rsidR="00AE590F" w:rsidRPr="00F170FF" w:rsidRDefault="00AE590F" w:rsidP="00935044">
      <w:pPr>
        <w:pStyle w:val="SCCNormalDoubleSpacing"/>
        <w:widowControl w:val="0"/>
        <w:spacing w:after="240" w:line="240" w:lineRule="auto"/>
        <w:ind w:left="540" w:hanging="540"/>
        <w:rPr>
          <w:lang w:val="en-US"/>
        </w:rPr>
      </w:pPr>
      <w:proofErr w:type="gramStart"/>
      <w:r w:rsidRPr="00F170FF">
        <w:rPr>
          <w:lang w:val="fr-CA"/>
        </w:rPr>
        <w:t>de</w:t>
      </w:r>
      <w:proofErr w:type="gramEnd"/>
      <w:r w:rsidRPr="00F170FF">
        <w:rPr>
          <w:lang w:val="fr-CA"/>
        </w:rPr>
        <w:t xml:space="preserve"> </w:t>
      </w:r>
      <w:proofErr w:type="spellStart"/>
      <w:r w:rsidRPr="00F170FF">
        <w:rPr>
          <w:lang w:val="fr-CA"/>
        </w:rPr>
        <w:t>Kovachich</w:t>
      </w:r>
      <w:proofErr w:type="spellEnd"/>
      <w:r w:rsidRPr="00F170FF">
        <w:rPr>
          <w:lang w:val="fr-CA"/>
        </w:rPr>
        <w:t xml:space="preserve">, Hélène. “Le Tribunal administratif du Québec au passé, au présent et au futur”, dans Service de la formation continue du Barreau du Québec, </w:t>
      </w:r>
      <w:r w:rsidR="00312D9E" w:rsidRPr="00F170FF">
        <w:rPr>
          <w:lang w:val="fr-CA"/>
        </w:rPr>
        <w:t>vol. </w:t>
      </w:r>
      <w:r w:rsidRPr="00F170FF">
        <w:rPr>
          <w:lang w:val="fr-CA"/>
        </w:rPr>
        <w:t xml:space="preserve">363, </w:t>
      </w:r>
      <w:r w:rsidRPr="00F170FF">
        <w:rPr>
          <w:i/>
          <w:lang w:val="fr-CA"/>
        </w:rPr>
        <w:t>Le TAQ d’hier, d’aujourd’hui et de demain —</w:t>
      </w:r>
      <w:r w:rsidRPr="00F170FF">
        <w:rPr>
          <w:lang w:val="fr-CA"/>
        </w:rPr>
        <w:t xml:space="preserve"> </w:t>
      </w:r>
      <w:r w:rsidRPr="00F170FF">
        <w:rPr>
          <w:i/>
          <w:lang w:val="fr-CA"/>
        </w:rPr>
        <w:t>15</w:t>
      </w:r>
      <w:r w:rsidRPr="00F170FF">
        <w:rPr>
          <w:i/>
          <w:vertAlign w:val="superscript"/>
          <w:lang w:val="fr-CA"/>
        </w:rPr>
        <w:t>e</w:t>
      </w:r>
      <w:r w:rsidR="005652F0">
        <w:rPr>
          <w:i/>
          <w:lang w:val="fr-CA"/>
        </w:rPr>
        <w:t> </w:t>
      </w:r>
      <w:r w:rsidRPr="00F170FF">
        <w:rPr>
          <w:i/>
          <w:lang w:val="fr-CA"/>
        </w:rPr>
        <w:t>anniversaire du TAQ</w:t>
      </w:r>
      <w:r w:rsidRPr="00F170FF">
        <w:rPr>
          <w:lang w:val="fr-CA"/>
        </w:rPr>
        <w:t xml:space="preserve">. </w:t>
      </w:r>
      <w:proofErr w:type="spellStart"/>
      <w:r w:rsidRPr="00F170FF">
        <w:rPr>
          <w:lang w:val="en-US"/>
        </w:rPr>
        <w:t>Cowansville</w:t>
      </w:r>
      <w:proofErr w:type="spellEnd"/>
      <w:r w:rsidR="00246A9D">
        <w:rPr>
          <w:lang w:val="en-US"/>
        </w:rPr>
        <w:t>,</w:t>
      </w:r>
      <w:r w:rsidRPr="00F170FF">
        <w:rPr>
          <w:lang w:val="en-US"/>
        </w:rPr>
        <w:t xml:space="preserve"> </w:t>
      </w:r>
      <w:proofErr w:type="spellStart"/>
      <w:proofErr w:type="gramStart"/>
      <w:r w:rsidRPr="00F170FF">
        <w:rPr>
          <w:lang w:val="en-US"/>
        </w:rPr>
        <w:t>Qué</w:t>
      </w:r>
      <w:proofErr w:type="spellEnd"/>
      <w:r w:rsidRPr="00F170FF">
        <w:rPr>
          <w:lang w:val="en-US"/>
        </w:rPr>
        <w:t>.:</w:t>
      </w:r>
      <w:proofErr w:type="gramEnd"/>
      <w:r w:rsidRPr="00F170FF">
        <w:rPr>
          <w:lang w:val="en-US"/>
        </w:rPr>
        <w:t xml:space="preserve"> </w:t>
      </w:r>
      <w:proofErr w:type="spellStart"/>
      <w:r w:rsidRPr="00F170FF">
        <w:rPr>
          <w:lang w:val="en-US"/>
        </w:rPr>
        <w:t>Yvon</w:t>
      </w:r>
      <w:proofErr w:type="spellEnd"/>
      <w:r w:rsidRPr="00F170FF">
        <w:rPr>
          <w:lang w:val="en-US"/>
        </w:rPr>
        <w:t xml:space="preserve"> </w:t>
      </w:r>
      <w:proofErr w:type="spellStart"/>
      <w:r w:rsidRPr="00F170FF">
        <w:rPr>
          <w:lang w:val="en-US"/>
        </w:rPr>
        <w:t>Blais</w:t>
      </w:r>
      <w:proofErr w:type="spellEnd"/>
      <w:r w:rsidRPr="00F170FF">
        <w:rPr>
          <w:lang w:val="en-US"/>
        </w:rPr>
        <w:t xml:space="preserve">, 2013, 1. </w:t>
      </w:r>
    </w:p>
    <w:p w:rsidR="00AA5067" w:rsidRPr="00F170FF" w:rsidRDefault="00AA5067" w:rsidP="00935044">
      <w:pPr>
        <w:pStyle w:val="SCCNormalDoubleSpacing"/>
        <w:widowControl w:val="0"/>
        <w:spacing w:after="240" w:line="240" w:lineRule="auto"/>
        <w:ind w:left="540" w:hanging="540"/>
        <w:rPr>
          <w:lang w:val="en-US"/>
        </w:rPr>
      </w:pPr>
      <w:proofErr w:type="spellStart"/>
      <w:r w:rsidRPr="00F170FF">
        <w:rPr>
          <w:lang w:val="en-US"/>
        </w:rPr>
        <w:t>Driedger</w:t>
      </w:r>
      <w:proofErr w:type="spellEnd"/>
      <w:r w:rsidRPr="00F170FF">
        <w:rPr>
          <w:lang w:val="en-US"/>
        </w:rPr>
        <w:t xml:space="preserve">, Elmer A. </w:t>
      </w:r>
      <w:r w:rsidRPr="00F170FF">
        <w:rPr>
          <w:i/>
          <w:lang w:val="en-US"/>
        </w:rPr>
        <w:t>Construction of Statutes</w:t>
      </w:r>
      <w:r w:rsidRPr="00F170FF">
        <w:rPr>
          <w:lang w:val="en-US"/>
        </w:rPr>
        <w:t>, 2nd ed. Toronto: Butterworths, 1983.</w:t>
      </w:r>
    </w:p>
    <w:p w:rsidR="009A59FF" w:rsidRPr="00F170FF" w:rsidRDefault="009A59FF" w:rsidP="00935044">
      <w:pPr>
        <w:pStyle w:val="SCCNormalDoubleSpacing"/>
        <w:widowControl w:val="0"/>
        <w:spacing w:after="240" w:line="240" w:lineRule="auto"/>
        <w:ind w:left="540" w:hanging="540"/>
        <w:rPr>
          <w:lang w:val="fr-CA"/>
        </w:rPr>
      </w:pPr>
      <w:r w:rsidRPr="00F170FF">
        <w:rPr>
          <w:lang w:val="fr-CA"/>
        </w:rPr>
        <w:t xml:space="preserve">Lemieux, Denis, avec la collaboration de Marjolaine Paré. </w:t>
      </w:r>
      <w:r w:rsidRPr="00F170FF">
        <w:rPr>
          <w:i/>
          <w:lang w:val="fr-CA"/>
        </w:rPr>
        <w:t>Justice administrative</w:t>
      </w:r>
      <w:r w:rsidR="00312D9E" w:rsidRPr="00F170FF">
        <w:rPr>
          <w:i/>
          <w:lang w:val="fr-CA"/>
        </w:rPr>
        <w:t>:</w:t>
      </w:r>
      <w:r w:rsidRPr="00F170FF">
        <w:rPr>
          <w:i/>
          <w:lang w:val="fr-CA"/>
        </w:rPr>
        <w:t xml:space="preserve"> Loi commentée</w:t>
      </w:r>
      <w:r w:rsidRPr="00F170FF">
        <w:rPr>
          <w:lang w:val="fr-CA"/>
        </w:rPr>
        <w:t>, 3</w:t>
      </w:r>
      <w:r w:rsidRPr="00F170FF">
        <w:rPr>
          <w:vertAlign w:val="superscript"/>
          <w:lang w:val="fr-CA"/>
        </w:rPr>
        <w:t>e</w:t>
      </w:r>
      <w:r w:rsidR="007A0C4B" w:rsidRPr="00F170FF">
        <w:rPr>
          <w:vertAlign w:val="superscript"/>
          <w:lang w:val="fr-CA"/>
        </w:rPr>
        <w:t> </w:t>
      </w:r>
      <w:r w:rsidRPr="00F170FF">
        <w:rPr>
          <w:lang w:val="fr-CA"/>
        </w:rPr>
        <w:t xml:space="preserve">éd. Brossard, </w:t>
      </w:r>
      <w:proofErr w:type="spellStart"/>
      <w:r w:rsidRPr="00F170FF">
        <w:rPr>
          <w:lang w:val="fr-CA"/>
        </w:rPr>
        <w:t>Qué</w:t>
      </w:r>
      <w:proofErr w:type="spellEnd"/>
      <w:r w:rsidRPr="00F170FF">
        <w:rPr>
          <w:lang w:val="fr-CA"/>
        </w:rPr>
        <w:t xml:space="preserve">.: Publications CCH, 2009. </w:t>
      </w:r>
    </w:p>
    <w:p w:rsidR="00F81761" w:rsidRPr="00F170FF" w:rsidRDefault="003A3207" w:rsidP="00935044">
      <w:pPr>
        <w:pStyle w:val="SCCNormalDoubleSpacing"/>
        <w:widowControl w:val="0"/>
        <w:spacing w:after="240" w:line="240" w:lineRule="auto"/>
        <w:ind w:left="540" w:hanging="540"/>
        <w:rPr>
          <w:lang w:val="fr-CA"/>
        </w:rPr>
      </w:pPr>
      <w:proofErr w:type="spellStart"/>
      <w:r w:rsidRPr="00F170FF">
        <w:rPr>
          <w:lang w:val="fr-CA"/>
        </w:rPr>
        <w:t>Que</w:t>
      </w:r>
      <w:r w:rsidR="00F81761" w:rsidRPr="00F170FF">
        <w:rPr>
          <w:lang w:val="fr-CA"/>
        </w:rPr>
        <w:t>bec</w:t>
      </w:r>
      <w:proofErr w:type="spellEnd"/>
      <w:r w:rsidR="00F81761" w:rsidRPr="00F170FF">
        <w:rPr>
          <w:lang w:val="fr-CA"/>
        </w:rPr>
        <w:t>. Assemblée nationale.</w:t>
      </w:r>
      <w:r w:rsidR="00AE590F" w:rsidRPr="00F170FF">
        <w:rPr>
          <w:lang w:val="fr-CA"/>
        </w:rPr>
        <w:t xml:space="preserve"> Commission des institutions. “</w:t>
      </w:r>
      <w:r w:rsidR="00F81761" w:rsidRPr="00F170FF">
        <w:rPr>
          <w:lang w:val="fr-CA"/>
        </w:rPr>
        <w:t>Consultation générale dans le cadre</w:t>
      </w:r>
      <w:r w:rsidR="007A0C4B" w:rsidRPr="00F170FF">
        <w:rPr>
          <w:lang w:val="fr-CA"/>
        </w:rPr>
        <w:t xml:space="preserve"> de l’étude du projet de loi n</w:t>
      </w:r>
      <w:r w:rsidR="007A0C4B" w:rsidRPr="00F170FF">
        <w:rPr>
          <w:vertAlign w:val="superscript"/>
          <w:lang w:val="fr-CA"/>
        </w:rPr>
        <w:t>o</w:t>
      </w:r>
      <w:r w:rsidR="007A0C4B" w:rsidRPr="00F170FF">
        <w:rPr>
          <w:lang w:val="fr-CA"/>
        </w:rPr>
        <w:t> </w:t>
      </w:r>
      <w:r w:rsidR="00F81761" w:rsidRPr="00F170FF">
        <w:rPr>
          <w:lang w:val="fr-CA"/>
        </w:rPr>
        <w:t>130 — Loi</w:t>
      </w:r>
      <w:r w:rsidR="00AE590F" w:rsidRPr="00F170FF">
        <w:rPr>
          <w:lang w:val="fr-CA"/>
        </w:rPr>
        <w:t xml:space="preserve"> sur la justice administrative”</w:t>
      </w:r>
      <w:r w:rsidR="00F81761" w:rsidRPr="00F170FF">
        <w:rPr>
          <w:lang w:val="fr-CA"/>
        </w:rPr>
        <w:t xml:space="preserve">, </w:t>
      </w:r>
      <w:r w:rsidR="00F81761" w:rsidRPr="00F170FF">
        <w:rPr>
          <w:i/>
          <w:lang w:val="fr-CA"/>
        </w:rPr>
        <w:t>Journal des débats de la Commission permanente des institutions</w:t>
      </w:r>
      <w:r w:rsidR="00F81761" w:rsidRPr="00F170FF">
        <w:rPr>
          <w:lang w:val="fr-CA"/>
        </w:rPr>
        <w:t xml:space="preserve">, </w:t>
      </w:r>
      <w:r w:rsidR="00312D9E" w:rsidRPr="00F170FF">
        <w:rPr>
          <w:lang w:val="fr-CA"/>
        </w:rPr>
        <w:t>vol. </w:t>
      </w:r>
      <w:r w:rsidR="00F81761" w:rsidRPr="00F170FF">
        <w:rPr>
          <w:lang w:val="fr-CA"/>
        </w:rPr>
        <w:t>34, n</w:t>
      </w:r>
      <w:r w:rsidR="007A0C4B" w:rsidRPr="00F170FF">
        <w:rPr>
          <w:vertAlign w:val="superscript"/>
          <w:lang w:val="fr-CA"/>
        </w:rPr>
        <w:t>o</w:t>
      </w:r>
      <w:r w:rsidR="00F81761" w:rsidRPr="00F170FF">
        <w:rPr>
          <w:lang w:val="fr-CA"/>
        </w:rPr>
        <w:t> 64, 1</w:t>
      </w:r>
      <w:r w:rsidR="00F81761" w:rsidRPr="00F170FF">
        <w:rPr>
          <w:vertAlign w:val="superscript"/>
          <w:lang w:val="fr-CA"/>
        </w:rPr>
        <w:t>re</w:t>
      </w:r>
      <w:r w:rsidR="007A0C4B" w:rsidRPr="00F170FF">
        <w:rPr>
          <w:lang w:val="fr-CA"/>
        </w:rPr>
        <w:t> </w:t>
      </w:r>
      <w:proofErr w:type="spellStart"/>
      <w:proofErr w:type="gramStart"/>
      <w:r w:rsidR="00F81761" w:rsidRPr="00F170FF">
        <w:rPr>
          <w:lang w:val="fr-CA"/>
        </w:rPr>
        <w:t>sess</w:t>
      </w:r>
      <w:proofErr w:type="spellEnd"/>
      <w:r w:rsidR="00F81761" w:rsidRPr="00F170FF">
        <w:rPr>
          <w:lang w:val="fr-CA"/>
        </w:rPr>
        <w:t>.,</w:t>
      </w:r>
      <w:proofErr w:type="gramEnd"/>
      <w:r w:rsidR="00F81761" w:rsidRPr="00F170FF">
        <w:rPr>
          <w:lang w:val="fr-CA"/>
        </w:rPr>
        <w:t xml:space="preserve"> 35</w:t>
      </w:r>
      <w:r w:rsidR="00F81761" w:rsidRPr="00F170FF">
        <w:rPr>
          <w:vertAlign w:val="superscript"/>
          <w:lang w:val="fr-CA"/>
        </w:rPr>
        <w:t>e</w:t>
      </w:r>
      <w:r w:rsidR="007A0C4B" w:rsidRPr="00F170FF">
        <w:rPr>
          <w:lang w:val="fr-CA"/>
        </w:rPr>
        <w:t> </w:t>
      </w:r>
      <w:proofErr w:type="spellStart"/>
      <w:r w:rsidR="007A0C4B" w:rsidRPr="00F170FF">
        <w:rPr>
          <w:lang w:val="fr-CA"/>
        </w:rPr>
        <w:t>lég</w:t>
      </w:r>
      <w:proofErr w:type="spellEnd"/>
      <w:r w:rsidR="007A0C4B" w:rsidRPr="00F170FF">
        <w:rPr>
          <w:lang w:val="fr-CA"/>
        </w:rPr>
        <w:t>., 6 </w:t>
      </w:r>
      <w:r w:rsidR="00F81761" w:rsidRPr="00F170FF">
        <w:rPr>
          <w:lang w:val="fr-CA"/>
        </w:rPr>
        <w:t xml:space="preserve">février 1996. </w:t>
      </w:r>
    </w:p>
    <w:p w:rsidR="00C02B91" w:rsidRPr="00F170FF" w:rsidRDefault="00E90F6C" w:rsidP="00935044">
      <w:pPr>
        <w:pStyle w:val="SCCNormalDoubleSpacing"/>
        <w:widowControl w:val="0"/>
        <w:spacing w:after="720" w:line="240" w:lineRule="auto"/>
        <w:ind w:left="547" w:hanging="547"/>
        <w:rPr>
          <w:lang w:val="fr-CA"/>
        </w:rPr>
      </w:pPr>
      <w:proofErr w:type="spellStart"/>
      <w:r w:rsidRPr="00F170FF">
        <w:rPr>
          <w:lang w:val="fr-CA"/>
        </w:rPr>
        <w:t>Que</w:t>
      </w:r>
      <w:r w:rsidR="00C02B91" w:rsidRPr="00F170FF">
        <w:rPr>
          <w:lang w:val="fr-CA"/>
        </w:rPr>
        <w:t>bec</w:t>
      </w:r>
      <w:proofErr w:type="spellEnd"/>
      <w:r w:rsidR="00C02B91" w:rsidRPr="00F170FF">
        <w:rPr>
          <w:lang w:val="fr-CA"/>
        </w:rPr>
        <w:t xml:space="preserve">. Assemblée nationale. </w:t>
      </w:r>
      <w:r w:rsidR="00C02B91" w:rsidRPr="00F170FF">
        <w:rPr>
          <w:i/>
          <w:lang w:val="fr-CA"/>
        </w:rPr>
        <w:t>Journal des débats</w:t>
      </w:r>
      <w:r w:rsidR="00C02B91" w:rsidRPr="00F170FF">
        <w:rPr>
          <w:lang w:val="fr-CA"/>
        </w:rPr>
        <w:t xml:space="preserve">, </w:t>
      </w:r>
      <w:r w:rsidR="00312D9E" w:rsidRPr="00F170FF">
        <w:rPr>
          <w:lang w:val="fr-CA"/>
        </w:rPr>
        <w:t>vol. </w:t>
      </w:r>
      <w:r w:rsidR="00C02B91" w:rsidRPr="00F170FF">
        <w:rPr>
          <w:lang w:val="fr-CA"/>
        </w:rPr>
        <w:t>27, n</w:t>
      </w:r>
      <w:r w:rsidR="00C02B91" w:rsidRPr="00F170FF">
        <w:rPr>
          <w:vertAlign w:val="superscript"/>
          <w:lang w:val="fr-CA"/>
        </w:rPr>
        <w:t>o</w:t>
      </w:r>
      <w:r w:rsidR="0075508E" w:rsidRPr="00F170FF">
        <w:rPr>
          <w:lang w:val="fr-CA"/>
        </w:rPr>
        <w:t> </w:t>
      </w:r>
      <w:r w:rsidR="00C02B91" w:rsidRPr="00F170FF">
        <w:rPr>
          <w:lang w:val="fr-CA"/>
        </w:rPr>
        <w:t>107, 4</w:t>
      </w:r>
      <w:r w:rsidR="00C02B91" w:rsidRPr="00F170FF">
        <w:rPr>
          <w:vertAlign w:val="superscript"/>
          <w:lang w:val="fr-CA"/>
        </w:rPr>
        <w:t>e</w:t>
      </w:r>
      <w:r w:rsidR="0075508E" w:rsidRPr="00F170FF">
        <w:rPr>
          <w:lang w:val="fr-CA"/>
        </w:rPr>
        <w:t> </w:t>
      </w:r>
      <w:proofErr w:type="spellStart"/>
      <w:proofErr w:type="gramStart"/>
      <w:r w:rsidR="00C02B91" w:rsidRPr="00F170FF">
        <w:rPr>
          <w:lang w:val="fr-CA"/>
        </w:rPr>
        <w:t>sess</w:t>
      </w:r>
      <w:proofErr w:type="spellEnd"/>
      <w:r w:rsidR="00C02B91" w:rsidRPr="00F170FF">
        <w:rPr>
          <w:lang w:val="fr-CA"/>
        </w:rPr>
        <w:t>.,</w:t>
      </w:r>
      <w:proofErr w:type="gramEnd"/>
      <w:r w:rsidR="00C02B91" w:rsidRPr="00F170FF">
        <w:rPr>
          <w:lang w:val="fr-CA"/>
        </w:rPr>
        <w:t xml:space="preserve"> 32</w:t>
      </w:r>
      <w:r w:rsidR="00C02B91" w:rsidRPr="00F170FF">
        <w:rPr>
          <w:vertAlign w:val="superscript"/>
          <w:lang w:val="fr-CA"/>
        </w:rPr>
        <w:t>e</w:t>
      </w:r>
      <w:r w:rsidR="0075508E" w:rsidRPr="00F170FF">
        <w:rPr>
          <w:lang w:val="fr-CA"/>
        </w:rPr>
        <w:t> </w:t>
      </w:r>
      <w:proofErr w:type="spellStart"/>
      <w:r w:rsidR="0075508E" w:rsidRPr="00F170FF">
        <w:rPr>
          <w:lang w:val="fr-CA"/>
        </w:rPr>
        <w:t>lég</w:t>
      </w:r>
      <w:proofErr w:type="spellEnd"/>
      <w:r w:rsidR="0075508E" w:rsidRPr="00F170FF">
        <w:rPr>
          <w:lang w:val="fr-CA"/>
        </w:rPr>
        <w:t>., 14 </w:t>
      </w:r>
      <w:r w:rsidR="00C02B91" w:rsidRPr="00F170FF">
        <w:rPr>
          <w:lang w:val="fr-CA"/>
        </w:rPr>
        <w:t xml:space="preserve">juin 1984, </w:t>
      </w:r>
      <w:r w:rsidR="00312D9E" w:rsidRPr="00F170FF">
        <w:rPr>
          <w:lang w:val="fr-CA"/>
        </w:rPr>
        <w:t>p. </w:t>
      </w:r>
      <w:r w:rsidR="00C02B91" w:rsidRPr="00F170FF">
        <w:rPr>
          <w:lang w:val="fr-CA"/>
        </w:rPr>
        <w:t xml:space="preserve">7095. </w:t>
      </w:r>
    </w:p>
    <w:p w:rsidR="00656313" w:rsidRPr="00F170FF" w:rsidRDefault="009B57B3" w:rsidP="00935044">
      <w:pPr>
        <w:pStyle w:val="SCCNormalDoubleSpacing"/>
        <w:widowControl w:val="0"/>
        <w:spacing w:before="480" w:after="480"/>
      </w:pPr>
      <w:r w:rsidRPr="00F170FF">
        <w:rPr>
          <w:lang w:val="fr-CA"/>
        </w:rPr>
        <w:lastRenderedPageBreak/>
        <w:tab/>
      </w:r>
      <w:r w:rsidRPr="00F170FF">
        <w:t xml:space="preserve">APPEAL from a judgment of the </w:t>
      </w:r>
      <w:r w:rsidR="00901BF7" w:rsidRPr="00F170FF">
        <w:t xml:space="preserve">Quebec </w:t>
      </w:r>
      <w:r w:rsidRPr="00F170FF">
        <w:t>Co</w:t>
      </w:r>
      <w:r w:rsidR="00C37EA3" w:rsidRPr="00F170FF">
        <w:t>urt of Appeal</w:t>
      </w:r>
      <w:r w:rsidR="00AD258F" w:rsidRPr="00F170FF">
        <w:t xml:space="preserve"> (</w:t>
      </w:r>
      <w:proofErr w:type="spellStart"/>
      <w:r w:rsidR="00AD258F" w:rsidRPr="00F170FF">
        <w:t>Bich</w:t>
      </w:r>
      <w:proofErr w:type="spellEnd"/>
      <w:r w:rsidR="00AD258F" w:rsidRPr="00F170FF">
        <w:t xml:space="preserve">, </w:t>
      </w:r>
      <w:r w:rsidR="0075508E" w:rsidRPr="00F170FF">
        <w:t>Morin and Bouchard </w:t>
      </w:r>
      <w:r w:rsidR="0083400E" w:rsidRPr="00F170FF">
        <w:t>JJ.A.)</w:t>
      </w:r>
      <w:r w:rsidR="00C37EA3" w:rsidRPr="00F170FF">
        <w:t xml:space="preserve">, </w:t>
      </w:r>
      <w:r w:rsidR="00901BF7" w:rsidRPr="00F170FF">
        <w:t xml:space="preserve">2016 QCCA 536, </w:t>
      </w:r>
      <w:r w:rsidR="0083400E" w:rsidRPr="00F170FF">
        <w:rPr>
          <w:lang w:val="en-US"/>
        </w:rPr>
        <w:t>[2016] AZ</w:t>
      </w:r>
      <w:r w:rsidR="00312D9E" w:rsidRPr="00F170FF">
        <w:rPr>
          <w:lang w:val="en-US"/>
        </w:rPr>
        <w:noBreakHyphen/>
      </w:r>
      <w:r w:rsidR="0083400E" w:rsidRPr="00F170FF">
        <w:rPr>
          <w:lang w:val="en-US"/>
        </w:rPr>
        <w:t>51267764, [2016] J.Q. n</w:t>
      </w:r>
      <w:r w:rsidR="0083400E" w:rsidRPr="00F170FF">
        <w:rPr>
          <w:vertAlign w:val="superscript"/>
          <w:lang w:val="en-US"/>
        </w:rPr>
        <w:t>o</w:t>
      </w:r>
      <w:r w:rsidR="0075508E" w:rsidRPr="00F170FF">
        <w:rPr>
          <w:vertAlign w:val="superscript"/>
          <w:lang w:val="en-US"/>
        </w:rPr>
        <w:t> </w:t>
      </w:r>
      <w:r w:rsidR="0083400E" w:rsidRPr="00F170FF">
        <w:rPr>
          <w:lang w:val="en-US"/>
        </w:rPr>
        <w:t xml:space="preserve">2576 (QL), 2016 </w:t>
      </w:r>
      <w:proofErr w:type="spellStart"/>
      <w:r w:rsidR="0083400E" w:rsidRPr="00F170FF">
        <w:rPr>
          <w:lang w:val="en-US"/>
        </w:rPr>
        <w:t>CarswellQue</w:t>
      </w:r>
      <w:proofErr w:type="spellEnd"/>
      <w:r w:rsidR="0083400E" w:rsidRPr="00F170FF">
        <w:rPr>
          <w:lang w:val="en-US"/>
        </w:rPr>
        <w:t xml:space="preserve"> 2440 (WL Can.), </w:t>
      </w:r>
      <w:r w:rsidR="00985707" w:rsidRPr="00F170FF">
        <w:t>setting aside a decision of</w:t>
      </w:r>
      <w:r w:rsidR="00B56AE1" w:rsidRPr="00F170FF">
        <w:t xml:space="preserve"> </w:t>
      </w:r>
      <w:proofErr w:type="spellStart"/>
      <w:r w:rsidR="0075508E" w:rsidRPr="00F170FF">
        <w:t>Gendreau</w:t>
      </w:r>
      <w:proofErr w:type="spellEnd"/>
      <w:r w:rsidR="0075508E" w:rsidRPr="00F170FF">
        <w:t> </w:t>
      </w:r>
      <w:r w:rsidR="00901BF7" w:rsidRPr="00F170FF">
        <w:t>J.,</w:t>
      </w:r>
      <w:r w:rsidR="00AD6FDD" w:rsidRPr="00F170FF">
        <w:t xml:space="preserve"> 2014 QCCS 2226, [2014] AZ</w:t>
      </w:r>
      <w:r w:rsidR="00312D9E" w:rsidRPr="00F170FF">
        <w:noBreakHyphen/>
      </w:r>
      <w:r w:rsidR="00AD6FDD" w:rsidRPr="00F170FF">
        <w:t>51076682, [2014] J.Q. n</w:t>
      </w:r>
      <w:r w:rsidR="00AD6FDD" w:rsidRPr="00F170FF">
        <w:rPr>
          <w:vertAlign w:val="superscript"/>
        </w:rPr>
        <w:t>o</w:t>
      </w:r>
      <w:r w:rsidR="0075508E" w:rsidRPr="00F170FF">
        <w:rPr>
          <w:vertAlign w:val="superscript"/>
        </w:rPr>
        <w:t> </w:t>
      </w:r>
      <w:r w:rsidR="00AD6FDD" w:rsidRPr="00F170FF">
        <w:t>4819</w:t>
      </w:r>
      <w:r w:rsidR="00901BF7" w:rsidRPr="00F170FF">
        <w:t xml:space="preserve"> </w:t>
      </w:r>
      <w:r w:rsidR="00AD6FDD" w:rsidRPr="00F170FF">
        <w:t xml:space="preserve">(QL), 2014 </w:t>
      </w:r>
      <w:proofErr w:type="spellStart"/>
      <w:r w:rsidR="00AD6FDD" w:rsidRPr="00F170FF">
        <w:t>CarswellQue</w:t>
      </w:r>
      <w:proofErr w:type="spellEnd"/>
      <w:r w:rsidR="00AD6FDD" w:rsidRPr="00F170FF">
        <w:t xml:space="preserve"> 4955 (WL Can.), </w:t>
      </w:r>
      <w:r w:rsidR="00433ED0" w:rsidRPr="00F170FF">
        <w:t>granting motions for judicial review of decisions</w:t>
      </w:r>
      <w:r w:rsidR="00B023D2" w:rsidRPr="00F170FF">
        <w:t xml:space="preserve"> of</w:t>
      </w:r>
      <w:r w:rsidR="005C0612" w:rsidRPr="00F170FF">
        <w:t xml:space="preserve"> the Administrative Tribunal of Qu</w:t>
      </w:r>
      <w:r w:rsidR="00D67112" w:rsidRPr="00F170FF">
        <w:rPr>
          <w:lang w:val="en-US"/>
        </w:rPr>
        <w:t>é</w:t>
      </w:r>
      <w:proofErr w:type="spellStart"/>
      <w:r w:rsidR="005C0612" w:rsidRPr="00F170FF">
        <w:t>bec</w:t>
      </w:r>
      <w:proofErr w:type="spellEnd"/>
      <w:r w:rsidR="00B023D2" w:rsidRPr="00F170FF">
        <w:t>,</w:t>
      </w:r>
      <w:r w:rsidR="00577519" w:rsidRPr="00F170FF">
        <w:t xml:space="preserve"> </w:t>
      </w:r>
      <w:r w:rsidR="00577519" w:rsidRPr="00F170FF">
        <w:rPr>
          <w:lang w:val="en-US"/>
        </w:rPr>
        <w:t>2012 QCTAQ 12689,</w:t>
      </w:r>
      <w:r w:rsidR="007B69E0" w:rsidRPr="00F170FF">
        <w:rPr>
          <w:lang w:val="en-US"/>
        </w:rPr>
        <w:t xml:space="preserve"> 2013 </w:t>
      </w:r>
      <w:proofErr w:type="spellStart"/>
      <w:r w:rsidR="007B69E0" w:rsidRPr="00F170FF">
        <w:rPr>
          <w:lang w:val="en-US"/>
        </w:rPr>
        <w:t>CanLII</w:t>
      </w:r>
      <w:proofErr w:type="spellEnd"/>
      <w:r w:rsidR="007B69E0" w:rsidRPr="00F170FF">
        <w:rPr>
          <w:lang w:val="en-US"/>
        </w:rPr>
        <w:t xml:space="preserve"> 2328, </w:t>
      </w:r>
      <w:r w:rsidR="00577519" w:rsidRPr="00F170FF">
        <w:rPr>
          <w:lang w:val="en-US"/>
        </w:rPr>
        <w:t>[2012] AZ</w:t>
      </w:r>
      <w:r w:rsidR="00312D9E" w:rsidRPr="00F170FF">
        <w:rPr>
          <w:lang w:val="en-US"/>
        </w:rPr>
        <w:noBreakHyphen/>
      </w:r>
      <w:r w:rsidR="00577519" w:rsidRPr="00F170FF">
        <w:rPr>
          <w:lang w:val="en-US"/>
        </w:rPr>
        <w:t>50928694, 2013 LNQCTAQ 3 (QL)</w:t>
      </w:r>
      <w:r w:rsidR="00295DE5" w:rsidRPr="00F170FF">
        <w:rPr>
          <w:lang w:val="en-US"/>
        </w:rPr>
        <w:t xml:space="preserve">, </w:t>
      </w:r>
      <w:r w:rsidR="00447EF1" w:rsidRPr="00F170FF">
        <w:rPr>
          <w:lang w:val="en-US"/>
        </w:rPr>
        <w:t xml:space="preserve">and </w:t>
      </w:r>
      <w:r w:rsidR="00295DE5" w:rsidRPr="00F170FF">
        <w:rPr>
          <w:lang w:val="en-US"/>
        </w:rPr>
        <w:t xml:space="preserve">2012 QCTAQ 12713, </w:t>
      </w:r>
      <w:r w:rsidR="00D421D6" w:rsidRPr="00F170FF">
        <w:rPr>
          <w:lang w:val="en-US"/>
        </w:rPr>
        <w:t xml:space="preserve">2013 </w:t>
      </w:r>
      <w:proofErr w:type="spellStart"/>
      <w:r w:rsidR="00D421D6" w:rsidRPr="00F170FF">
        <w:rPr>
          <w:lang w:val="en-US"/>
        </w:rPr>
        <w:t>CanLII</w:t>
      </w:r>
      <w:proofErr w:type="spellEnd"/>
      <w:r w:rsidR="00D421D6" w:rsidRPr="00F170FF">
        <w:rPr>
          <w:lang w:val="en-US"/>
        </w:rPr>
        <w:t xml:space="preserve"> 9887, </w:t>
      </w:r>
      <w:r w:rsidR="00295DE5" w:rsidRPr="00F170FF">
        <w:rPr>
          <w:lang w:val="en-US"/>
        </w:rPr>
        <w:t>[2012] AZ</w:t>
      </w:r>
      <w:r w:rsidR="00312D9E" w:rsidRPr="00F170FF">
        <w:rPr>
          <w:lang w:val="en-US"/>
        </w:rPr>
        <w:noBreakHyphen/>
      </w:r>
      <w:r w:rsidR="00295DE5" w:rsidRPr="00F170FF">
        <w:rPr>
          <w:lang w:val="en-US"/>
        </w:rPr>
        <w:t>50928693</w:t>
      </w:r>
      <w:r w:rsidR="00D421D6" w:rsidRPr="00F170FF">
        <w:rPr>
          <w:lang w:val="en-US"/>
        </w:rPr>
        <w:t>.</w:t>
      </w:r>
      <w:r w:rsidR="00830D87" w:rsidRPr="00F170FF">
        <w:rPr>
          <w:lang w:val="en-US"/>
        </w:rPr>
        <w:t xml:space="preserve"> </w:t>
      </w:r>
      <w:r w:rsidR="005C0612" w:rsidRPr="00F170FF">
        <w:t>Appeal</w:t>
      </w:r>
      <w:r w:rsidR="00135547" w:rsidRPr="00F170FF">
        <w:t xml:space="preserve"> </w:t>
      </w:r>
      <w:r w:rsidR="00830D87" w:rsidRPr="00F170FF">
        <w:t>dismissed, C</w:t>
      </w:r>
      <w:proofErr w:type="spellStart"/>
      <w:r w:rsidR="00830D87" w:rsidRPr="00F170FF">
        <w:rPr>
          <w:lang w:val="en-US"/>
        </w:rPr>
        <w:t>ôté</w:t>
      </w:r>
      <w:proofErr w:type="spellEnd"/>
      <w:r w:rsidR="00830D87" w:rsidRPr="00F170FF">
        <w:rPr>
          <w:lang w:val="en-US"/>
        </w:rPr>
        <w:t xml:space="preserve"> J. dissenting</w:t>
      </w:r>
      <w:r w:rsidR="00135547" w:rsidRPr="00F170FF">
        <w:t xml:space="preserve">. </w:t>
      </w:r>
    </w:p>
    <w:p w:rsidR="00FA40DE" w:rsidRPr="00F170FF" w:rsidRDefault="00CF31C9" w:rsidP="00935044">
      <w:pPr>
        <w:pStyle w:val="SCCNormalDoubleSpacing"/>
        <w:widowControl w:val="0"/>
        <w:spacing w:before="480" w:after="480"/>
      </w:pPr>
      <w:r w:rsidRPr="00F170FF">
        <w:rPr>
          <w:rStyle w:val="SCCCounselNameChar"/>
        </w:rPr>
        <w:tab/>
        <w:t>Michel Paradis</w:t>
      </w:r>
      <w:r w:rsidRPr="00F170FF">
        <w:rPr>
          <w:rStyle w:val="SCCCounselSeparatorChar"/>
        </w:rPr>
        <w:t xml:space="preserve">, </w:t>
      </w:r>
      <w:r w:rsidRPr="00F170FF">
        <w:rPr>
          <w:rStyle w:val="SCCCounselNameChar"/>
        </w:rPr>
        <w:t>Sylvie Champagne</w:t>
      </w:r>
      <w:r w:rsidRPr="00F170FF">
        <w:rPr>
          <w:rStyle w:val="SCCCounselSeparatorChar"/>
        </w:rPr>
        <w:t xml:space="preserve"> and </w:t>
      </w:r>
      <w:r w:rsidRPr="00F170FF">
        <w:rPr>
          <w:rStyle w:val="SCCCounselNameChar"/>
        </w:rPr>
        <w:t>Gaston Gauthier</w:t>
      </w:r>
      <w:r w:rsidRPr="00F170FF">
        <w:rPr>
          <w:rStyle w:val="SCCCounselPartyRoleChar"/>
        </w:rPr>
        <w:t>, for the appellant.</w:t>
      </w:r>
    </w:p>
    <w:p w:rsidR="00FA40DE" w:rsidRPr="00F170FF" w:rsidRDefault="00CF31C9" w:rsidP="00935044">
      <w:pPr>
        <w:pStyle w:val="SCCNormalDoubleSpacing"/>
        <w:widowControl w:val="0"/>
        <w:spacing w:before="480" w:after="480"/>
      </w:pPr>
      <w:r w:rsidRPr="00F170FF">
        <w:rPr>
          <w:rStyle w:val="SCCCounselNameChar"/>
        </w:rPr>
        <w:tab/>
        <w:t>Alexandre Ouellet</w:t>
      </w:r>
      <w:r w:rsidRPr="00F170FF">
        <w:rPr>
          <w:rStyle w:val="SCCCounselPartyRoleChar"/>
        </w:rPr>
        <w:t>, for the respondent.</w:t>
      </w:r>
    </w:p>
    <w:p w:rsidR="00FA40DE" w:rsidRPr="00F170FF" w:rsidRDefault="00CF31C9" w:rsidP="00935044">
      <w:pPr>
        <w:pStyle w:val="SCCNormalDoubleSpacing"/>
        <w:widowControl w:val="0"/>
        <w:spacing w:before="480" w:after="480"/>
      </w:pPr>
      <w:r w:rsidRPr="00F170FF">
        <w:rPr>
          <w:rStyle w:val="SCCCounselNameChar"/>
        </w:rPr>
        <w:tab/>
      </w:r>
      <w:r w:rsidR="00340F56" w:rsidRPr="00F170FF">
        <w:rPr>
          <w:rStyle w:val="SCCCounselNameChar"/>
          <w:i w:val="0"/>
        </w:rPr>
        <w:t>No one appeared for</w:t>
      </w:r>
      <w:r w:rsidRPr="00F170FF">
        <w:rPr>
          <w:rStyle w:val="SCCCounselPartyRoleChar"/>
        </w:rPr>
        <w:t xml:space="preserve"> the intervener </w:t>
      </w:r>
      <w:r w:rsidR="00340F56" w:rsidRPr="00F170FF">
        <w:rPr>
          <w:rStyle w:val="SCCCounselPartyRoleChar"/>
        </w:rPr>
        <w:t>the Administrative Tribunal of Qu</w:t>
      </w:r>
      <w:r w:rsidR="00A75D9D" w:rsidRPr="00F170FF">
        <w:rPr>
          <w:rStyle w:val="SCCCounselPartyRoleChar"/>
          <w:lang w:val="en-US"/>
        </w:rPr>
        <w:t>é</w:t>
      </w:r>
      <w:proofErr w:type="spellStart"/>
      <w:r w:rsidR="00340F56" w:rsidRPr="00F170FF">
        <w:rPr>
          <w:rStyle w:val="SCCCounselPartyRoleChar"/>
        </w:rPr>
        <w:t>bec</w:t>
      </w:r>
      <w:proofErr w:type="spellEnd"/>
      <w:r w:rsidRPr="00F170FF">
        <w:rPr>
          <w:rStyle w:val="SCCCounselPartyRoleChar"/>
        </w:rPr>
        <w:t>.</w:t>
      </w:r>
    </w:p>
    <w:p w:rsidR="00FA40DE" w:rsidRPr="00F170FF" w:rsidRDefault="00CF31C9" w:rsidP="00935044">
      <w:pPr>
        <w:pStyle w:val="SCCNormalDoubleSpacing"/>
        <w:widowControl w:val="0"/>
        <w:spacing w:before="480" w:after="480"/>
        <w:rPr>
          <w:lang w:val="fr-CA"/>
        </w:rPr>
      </w:pPr>
      <w:r w:rsidRPr="00F170FF">
        <w:rPr>
          <w:rStyle w:val="SCCCounselNameChar"/>
        </w:rPr>
        <w:tab/>
      </w:r>
      <w:r w:rsidRPr="00F170FF">
        <w:rPr>
          <w:rStyle w:val="SCCCounselNameChar"/>
          <w:lang w:val="fr-CA"/>
        </w:rPr>
        <w:t xml:space="preserve">François </w:t>
      </w:r>
      <w:proofErr w:type="spellStart"/>
      <w:r w:rsidRPr="00F170FF">
        <w:rPr>
          <w:rStyle w:val="SCCCounselNameChar"/>
          <w:lang w:val="fr-CA"/>
        </w:rPr>
        <w:t>Barette</w:t>
      </w:r>
      <w:proofErr w:type="spellEnd"/>
      <w:r w:rsidRPr="00F170FF">
        <w:rPr>
          <w:rStyle w:val="SCCCounselSeparatorChar"/>
          <w:lang w:val="fr-CA"/>
        </w:rPr>
        <w:t xml:space="preserve">, </w:t>
      </w:r>
      <w:proofErr w:type="spellStart"/>
      <w:r w:rsidRPr="00F170FF">
        <w:rPr>
          <w:rStyle w:val="SCCCounselNameChar"/>
          <w:lang w:val="fr-CA"/>
        </w:rPr>
        <w:t>Érik</w:t>
      </w:r>
      <w:proofErr w:type="spellEnd"/>
      <w:r w:rsidRPr="00F170FF">
        <w:rPr>
          <w:rStyle w:val="SCCCounselNameChar"/>
          <w:lang w:val="fr-CA"/>
        </w:rPr>
        <w:t xml:space="preserve"> Morissette</w:t>
      </w:r>
      <w:r w:rsidRPr="00F170FF">
        <w:rPr>
          <w:rStyle w:val="SCCCounselSeparatorChar"/>
          <w:lang w:val="fr-CA"/>
        </w:rPr>
        <w:t xml:space="preserve"> and </w:t>
      </w:r>
      <w:r w:rsidRPr="00F170FF">
        <w:rPr>
          <w:rStyle w:val="SCCCounselNameChar"/>
          <w:lang w:val="fr-CA"/>
        </w:rPr>
        <w:t>Maxime</w:t>
      </w:r>
      <w:r w:rsidR="00312D9E" w:rsidRPr="00F170FF">
        <w:rPr>
          <w:rStyle w:val="SCCCounselNameChar"/>
          <w:lang w:val="fr-CA"/>
        </w:rPr>
        <w:noBreakHyphen/>
      </w:r>
      <w:r w:rsidRPr="00F170FF">
        <w:rPr>
          <w:rStyle w:val="SCCCounselNameChar"/>
          <w:lang w:val="fr-CA"/>
        </w:rPr>
        <w:t xml:space="preserve">Arnaud </w:t>
      </w:r>
      <w:proofErr w:type="spellStart"/>
      <w:r w:rsidRPr="00F170FF">
        <w:rPr>
          <w:rStyle w:val="SCCCounselNameChar"/>
          <w:lang w:val="fr-CA"/>
        </w:rPr>
        <w:t>Keable</w:t>
      </w:r>
      <w:proofErr w:type="spellEnd"/>
      <w:r w:rsidRPr="00F170FF">
        <w:rPr>
          <w:rStyle w:val="SCCCounselPartyRoleChar"/>
          <w:lang w:val="fr-CA"/>
        </w:rPr>
        <w:t xml:space="preserve">, for the </w:t>
      </w:r>
      <w:proofErr w:type="spellStart"/>
      <w:r w:rsidRPr="00F170FF">
        <w:rPr>
          <w:rStyle w:val="SCCCounselPartyRoleChar"/>
          <w:lang w:val="fr-CA"/>
        </w:rPr>
        <w:t>intervener</w:t>
      </w:r>
      <w:proofErr w:type="spellEnd"/>
      <w:r w:rsidRPr="00F170FF">
        <w:rPr>
          <w:rStyle w:val="SCCCounselPartyRoleChar"/>
          <w:lang w:val="fr-CA"/>
        </w:rPr>
        <w:t xml:space="preserve"> Ordre des comptables professionnels agréés du Québec.</w:t>
      </w:r>
    </w:p>
    <w:p w:rsidR="00FA40DE" w:rsidRDefault="00CF31C9" w:rsidP="00935044">
      <w:pPr>
        <w:pStyle w:val="SCCNormalDoubleSpacing"/>
        <w:widowControl w:val="0"/>
        <w:spacing w:before="480" w:after="480"/>
        <w:rPr>
          <w:rStyle w:val="SCCCounselPartyRoleChar"/>
        </w:rPr>
      </w:pPr>
      <w:r w:rsidRPr="00F170FF">
        <w:rPr>
          <w:rStyle w:val="SCCCounselNameChar"/>
          <w:lang w:val="fr-CA"/>
        </w:rPr>
        <w:tab/>
      </w:r>
      <w:r w:rsidR="0075508E" w:rsidRPr="00F170FF">
        <w:rPr>
          <w:rStyle w:val="SCCCounselNameChar"/>
        </w:rPr>
        <w:t>Dominic </w:t>
      </w:r>
      <w:r w:rsidRPr="00F170FF">
        <w:rPr>
          <w:rStyle w:val="SCCCounselNameChar"/>
        </w:rPr>
        <w:t>C</w:t>
      </w:r>
      <w:r w:rsidR="00A86884" w:rsidRPr="00F170FF">
        <w:rPr>
          <w:rStyle w:val="SCCCounselNameChar"/>
        </w:rPr>
        <w:t>.</w:t>
      </w:r>
      <w:r w:rsidRPr="00F170FF">
        <w:rPr>
          <w:rStyle w:val="SCCCounselNameChar"/>
        </w:rPr>
        <w:t xml:space="preserve"> </w:t>
      </w:r>
      <w:proofErr w:type="spellStart"/>
      <w:r w:rsidRPr="00F170FF">
        <w:rPr>
          <w:rStyle w:val="SCCCounselNameChar"/>
        </w:rPr>
        <w:t>Belley</w:t>
      </w:r>
      <w:proofErr w:type="spellEnd"/>
      <w:r w:rsidRPr="00F170FF">
        <w:rPr>
          <w:rStyle w:val="SCCCounselPartyRoleChar"/>
        </w:rPr>
        <w:t xml:space="preserve">, for the intervener </w:t>
      </w:r>
      <w:r w:rsidR="00937053" w:rsidRPr="00F170FF">
        <w:rPr>
          <w:rStyle w:val="SCCCounselPartyRoleChar"/>
        </w:rPr>
        <w:t xml:space="preserve">the </w:t>
      </w:r>
      <w:r w:rsidRPr="00F170FF">
        <w:rPr>
          <w:rStyle w:val="SCCCounselPartyRoleChar"/>
        </w:rPr>
        <w:t xml:space="preserve">Chartered Professional Accountants </w:t>
      </w:r>
      <w:r w:rsidR="00E90F6C" w:rsidRPr="00F170FF">
        <w:rPr>
          <w:rStyle w:val="SCCCounselPartyRoleChar"/>
        </w:rPr>
        <w:t xml:space="preserve">of </w:t>
      </w:r>
      <w:r w:rsidRPr="00F170FF">
        <w:rPr>
          <w:rStyle w:val="SCCCounselPartyRoleChar"/>
        </w:rPr>
        <w:t>Canada.</w:t>
      </w:r>
    </w:p>
    <w:p w:rsidR="00290916" w:rsidRDefault="005B79B3" w:rsidP="00935044">
      <w:pPr>
        <w:pStyle w:val="SCCNormalDoubleSpacing"/>
        <w:widowControl w:val="0"/>
        <w:spacing w:before="480" w:after="480"/>
      </w:pPr>
      <w:r>
        <w:tab/>
      </w:r>
      <w:r w:rsidR="00290916">
        <w:t xml:space="preserve">English version of the </w:t>
      </w:r>
      <w:r w:rsidR="00290916" w:rsidRPr="00A61588">
        <w:t xml:space="preserve">judgment of </w:t>
      </w:r>
      <w:proofErr w:type="spellStart"/>
      <w:r w:rsidR="00290916">
        <w:t>McLachlin</w:t>
      </w:r>
      <w:proofErr w:type="spellEnd"/>
      <w:r w:rsidR="00290916">
        <w:t> C.J.</w:t>
      </w:r>
      <w:r w:rsidR="00290916" w:rsidRPr="001A6961">
        <w:t xml:space="preserve"> </w:t>
      </w:r>
      <w:r w:rsidR="00290916">
        <w:t xml:space="preserve">and </w:t>
      </w:r>
      <w:proofErr w:type="spellStart"/>
      <w:r w:rsidR="00290916">
        <w:t>Abella</w:t>
      </w:r>
      <w:proofErr w:type="spellEnd"/>
      <w:r w:rsidR="00290916">
        <w:t xml:space="preserve">, </w:t>
      </w:r>
      <w:proofErr w:type="spellStart"/>
      <w:r w:rsidR="00290916">
        <w:t>Moldaver</w:t>
      </w:r>
      <w:proofErr w:type="spellEnd"/>
      <w:r w:rsidR="00290916">
        <w:t xml:space="preserve">, </w:t>
      </w:r>
      <w:proofErr w:type="spellStart"/>
      <w:r w:rsidR="00290916">
        <w:t>Karakatsanis</w:t>
      </w:r>
      <w:proofErr w:type="spellEnd"/>
      <w:r w:rsidR="00290916">
        <w:t xml:space="preserve">, Wagner, </w:t>
      </w:r>
      <w:proofErr w:type="spellStart"/>
      <w:r w:rsidR="00290916">
        <w:t>Gascon</w:t>
      </w:r>
      <w:proofErr w:type="spellEnd"/>
      <w:r w:rsidR="00290916">
        <w:t xml:space="preserve">, Brown and </w:t>
      </w:r>
      <w:proofErr w:type="gramStart"/>
      <w:r w:rsidR="00290916">
        <w:t>Rowe  JJ</w:t>
      </w:r>
      <w:proofErr w:type="gramEnd"/>
      <w:r w:rsidR="00290916">
        <w:t>.</w:t>
      </w:r>
      <w:r w:rsidR="00290916" w:rsidRPr="00A61588">
        <w:t xml:space="preserve"> </w:t>
      </w:r>
      <w:proofErr w:type="gramStart"/>
      <w:r w:rsidR="00290916" w:rsidRPr="00A61588">
        <w:t>delivered</w:t>
      </w:r>
      <w:proofErr w:type="gramEnd"/>
      <w:r w:rsidR="00290916" w:rsidRPr="00A61588">
        <w:t xml:space="preserve"> by</w:t>
      </w:r>
    </w:p>
    <w:p w:rsidR="00290916" w:rsidRPr="00062B76" w:rsidRDefault="00290916" w:rsidP="00935044">
      <w:pPr>
        <w:pStyle w:val="JudgeJuge"/>
        <w:widowControl w:val="0"/>
        <w:spacing w:before="480"/>
        <w:rPr>
          <w:lang w:val="en-CA"/>
        </w:rPr>
      </w:pPr>
      <w:r w:rsidRPr="00062B76">
        <w:rPr>
          <w:lang w:val="en-CA"/>
        </w:rPr>
        <w:lastRenderedPageBreak/>
        <w:tab/>
        <w:t xml:space="preserve">Brown J. — </w:t>
      </w:r>
    </w:p>
    <w:p w:rsidR="00290916" w:rsidRPr="00062B76" w:rsidRDefault="00290916" w:rsidP="00935044">
      <w:pPr>
        <w:pStyle w:val="Title1LevelTitre1Niveau-AltL"/>
        <w:widowControl w:val="0"/>
        <w:numPr>
          <w:ilvl w:val="0"/>
          <w:numId w:val="8"/>
        </w:numPr>
        <w:rPr>
          <w:rFonts w:cs="Times New Roman"/>
        </w:rPr>
      </w:pPr>
      <w:r w:rsidRPr="00062B76">
        <w:rPr>
          <w:rFonts w:cs="Times New Roman"/>
        </w:rPr>
        <w:t>Introduction</w:t>
      </w:r>
    </w:p>
    <w:p w:rsidR="00290916" w:rsidRPr="00062B76" w:rsidRDefault="00290916" w:rsidP="00935044">
      <w:pPr>
        <w:pStyle w:val="ParaNoNdepar-AltN"/>
        <w:widowControl w:val="0"/>
        <w:rPr>
          <w:rFonts w:cs="Times New Roman"/>
          <w:lang w:val="en-CA"/>
        </w:rPr>
      </w:pPr>
      <w:r w:rsidRPr="00062B76">
        <w:rPr>
          <w:rFonts w:cs="Times New Roman"/>
          <w:lang w:val="en-CA"/>
        </w:rPr>
        <w:t xml:space="preserve">This appeal concerns the statutory right of the Minister of Employment and Social Solidarity (“Minister”) to “be represented” before the social affairs division of the Administrative Tribunal of Québec (“ATQ”) by a person who is not an advocate. In particular, the Court must determine whether it was reasonable for the ATQ to conclude that a person who is not an advocate may, on the Minister’s behalf, prepare, draw up and sign motions or other written proceedings intended for use in certain proceedings before that tribunal. For the reasons that follow, I am of the view that it was reasonable for the ATQ to conclude that, under the </w:t>
      </w:r>
      <w:r w:rsidRPr="00062B76">
        <w:rPr>
          <w:rFonts w:cs="Times New Roman"/>
          <w:i/>
          <w:lang w:val="en-CA"/>
        </w:rPr>
        <w:t>Act respecting administrative justice</w:t>
      </w:r>
      <w:r w:rsidRPr="00062B76">
        <w:rPr>
          <w:rFonts w:cs="Times New Roman"/>
          <w:lang w:val="en-CA"/>
        </w:rPr>
        <w:t>, CQLR, c. J</w:t>
      </w:r>
      <w:r w:rsidRPr="00062B76">
        <w:rPr>
          <w:rFonts w:cs="Times New Roman"/>
          <w:lang w:val="en-CA"/>
        </w:rPr>
        <w:noBreakHyphen/>
        <w:t>3, a person who is not an advocate may, in certain proceedings, do everything that is needed for the representation of the Minister before that tribunal’s social affairs division</w:t>
      </w:r>
      <w:r w:rsidRPr="00062B76">
        <w:rPr>
          <w:rFonts w:cs="Times New Roman"/>
          <w:i/>
          <w:lang w:val="en-CA"/>
        </w:rPr>
        <w:t xml:space="preserve"> </w:t>
      </w:r>
      <w:r w:rsidRPr="00062B76">
        <w:rPr>
          <w:rFonts w:cs="Times New Roman"/>
          <w:lang w:val="en-CA"/>
        </w:rPr>
        <w:t xml:space="preserve">and that this power is not in conflict with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w:t>
      </w:r>
      <w:r w:rsidRPr="00062B76">
        <w:rPr>
          <w:rFonts w:cs="Times New Roman"/>
          <w:i/>
          <w:lang w:val="en-CA"/>
        </w:rPr>
        <w:t xml:space="preserve"> </w:t>
      </w:r>
      <w:r w:rsidRPr="00062B76">
        <w:rPr>
          <w:rFonts w:cs="Times New Roman"/>
          <w:lang w:val="en-CA"/>
        </w:rPr>
        <w:t>CQLR, c. B</w:t>
      </w:r>
      <w:r w:rsidRPr="00062B76">
        <w:rPr>
          <w:rFonts w:cs="Times New Roman"/>
          <w:lang w:val="en-CA"/>
        </w:rPr>
        <w:noBreakHyphen/>
        <w:t>1.</w:t>
      </w:r>
    </w:p>
    <w:p w:rsidR="00290916" w:rsidRPr="00062B76" w:rsidRDefault="00290916" w:rsidP="00935044">
      <w:pPr>
        <w:pStyle w:val="Title1LevelTitre1Niveau-AltL"/>
        <w:widowControl w:val="0"/>
        <w:numPr>
          <w:ilvl w:val="0"/>
          <w:numId w:val="8"/>
        </w:numPr>
        <w:rPr>
          <w:rFonts w:cs="Times New Roman"/>
        </w:rPr>
      </w:pPr>
      <w:r w:rsidRPr="00062B76">
        <w:rPr>
          <w:rFonts w:cs="Times New Roman"/>
        </w:rPr>
        <w:t>Overview of the Facts and the Decisions Below</w:t>
      </w:r>
    </w:p>
    <w:p w:rsidR="00290916" w:rsidRPr="00062B76" w:rsidRDefault="00290916" w:rsidP="00935044">
      <w:pPr>
        <w:pStyle w:val="Title2LevelTitre2Niveau"/>
        <w:widowControl w:val="0"/>
        <w:numPr>
          <w:ilvl w:val="1"/>
          <w:numId w:val="8"/>
        </w:numPr>
        <w:rPr>
          <w:rFonts w:cs="Times New Roman"/>
        </w:rPr>
      </w:pPr>
      <w:r w:rsidRPr="00062B76">
        <w:rPr>
          <w:rFonts w:cs="Times New Roman"/>
        </w:rPr>
        <w:t>Facts</w:t>
      </w:r>
    </w:p>
    <w:p w:rsidR="00290916" w:rsidRPr="00062B76" w:rsidRDefault="00290916" w:rsidP="00935044">
      <w:pPr>
        <w:pStyle w:val="ParaNoNdepar-AltN"/>
        <w:widowControl w:val="0"/>
        <w:rPr>
          <w:rFonts w:cs="Times New Roman"/>
          <w:lang w:val="en-CA"/>
        </w:rPr>
      </w:pPr>
      <w:r w:rsidRPr="00062B76">
        <w:rPr>
          <w:rFonts w:cs="Times New Roman"/>
          <w:lang w:val="en-CA"/>
        </w:rPr>
        <w:t xml:space="preserve">The ATQ is a tribunal established by the </w:t>
      </w:r>
      <w:r w:rsidRPr="00062B76">
        <w:rPr>
          <w:rFonts w:cs="Times New Roman"/>
          <w:i/>
          <w:lang w:val="en-CA"/>
        </w:rPr>
        <w:t>Act respecting administrative justice</w:t>
      </w:r>
      <w:r w:rsidRPr="00062B76">
        <w:rPr>
          <w:rFonts w:cs="Times New Roman"/>
          <w:lang w:val="en-CA"/>
        </w:rPr>
        <w:t xml:space="preserve">. Its function is to make determinations in respect of various proceedings brought against administrative authorities in Quebec (s. 14 of the </w:t>
      </w:r>
      <w:r w:rsidRPr="00062B76">
        <w:rPr>
          <w:rFonts w:cs="Times New Roman"/>
          <w:i/>
          <w:lang w:val="en-CA"/>
        </w:rPr>
        <w:t xml:space="preserve">Act respecting administrative </w:t>
      </w:r>
      <w:r w:rsidRPr="00062B76">
        <w:rPr>
          <w:rFonts w:cs="Times New Roman"/>
          <w:i/>
          <w:lang w:val="en-CA"/>
        </w:rPr>
        <w:lastRenderedPageBreak/>
        <w:t>justice</w:t>
      </w:r>
      <w:r w:rsidRPr="00062B76">
        <w:rPr>
          <w:rFonts w:cs="Times New Roman"/>
          <w:lang w:val="en-CA"/>
        </w:rPr>
        <w:t xml:space="preserve">). The social affairs division of the ATQ is responsible for making determinations in respect of proceedings pertaining, </w:t>
      </w:r>
      <w:r w:rsidRPr="00062B76">
        <w:rPr>
          <w:rFonts w:cs="Times New Roman"/>
          <w:i/>
          <w:lang w:val="en-CA"/>
        </w:rPr>
        <w:t>inter alia</w:t>
      </w:r>
      <w:r w:rsidRPr="00062B76">
        <w:rPr>
          <w:rFonts w:cs="Times New Roman"/>
          <w:lang w:val="en-CA"/>
        </w:rPr>
        <w:t xml:space="preserve">, to matters of income security or support, and of social aid and allowances (s. 18 of the </w:t>
      </w:r>
      <w:r w:rsidRPr="00062B76">
        <w:rPr>
          <w:rFonts w:cs="Times New Roman"/>
          <w:i/>
          <w:lang w:val="en-CA"/>
        </w:rPr>
        <w:t>Act respecting administrative justice</w:t>
      </w:r>
      <w:r w:rsidRPr="00062B76">
        <w:rPr>
          <w:rFonts w:cs="Times New Roman"/>
          <w:lang w:val="en-CA"/>
        </w:rPr>
        <w:t xml:space="preserve">). The ATQ may, on an application and on certain conditions, review any decision it has made (s. 154 of the </w:t>
      </w:r>
      <w:r w:rsidRPr="00062B76">
        <w:rPr>
          <w:rFonts w:cs="Times New Roman"/>
          <w:i/>
          <w:lang w:val="en-CA"/>
        </w:rPr>
        <w:t>Act respecting administrative justice</w:t>
      </w:r>
      <w:r w:rsidRPr="00062B76">
        <w:rPr>
          <w:rFonts w:cs="Times New Roman"/>
          <w:lang w:val="en-CA"/>
        </w:rPr>
        <w:t>).</w:t>
      </w:r>
    </w:p>
    <w:p w:rsidR="00290916" w:rsidRPr="00062B76" w:rsidRDefault="00290916" w:rsidP="00935044">
      <w:pPr>
        <w:pStyle w:val="ParaNoNdepar-AltN"/>
        <w:widowControl w:val="0"/>
        <w:rPr>
          <w:rFonts w:cs="Times New Roman"/>
          <w:lang w:val="en-CA"/>
        </w:rPr>
      </w:pPr>
      <w:r w:rsidRPr="00062B76">
        <w:rPr>
          <w:rFonts w:cs="Times New Roman"/>
          <w:lang w:val="en-CA"/>
        </w:rPr>
        <w:t xml:space="preserve">In January and February 2011, the ATQ’s social affairs division made decisions on the granting of social aid in two cases in which the opposing parties were the Minister and individuals. The Minister subsequently applied for a review of those two decisions under s. 154 of the </w:t>
      </w:r>
      <w:r w:rsidRPr="00062B76">
        <w:rPr>
          <w:rFonts w:cs="Times New Roman"/>
          <w:i/>
          <w:lang w:val="en-CA"/>
        </w:rPr>
        <w:t>Act respecting administrative justice</w:t>
      </w:r>
      <w:r w:rsidRPr="00062B76">
        <w:rPr>
          <w:rFonts w:cs="Times New Roman"/>
          <w:lang w:val="en-CA"/>
        </w:rPr>
        <w:t xml:space="preserve">, presenting to the ATQ motions for review that had been prepared, drawn up, signed and filed in the Minister’s name by a person who was not an advocate. In </w:t>
      </w:r>
      <w:r>
        <w:rPr>
          <w:rFonts w:cs="Times New Roman"/>
          <w:lang w:val="en-CA"/>
        </w:rPr>
        <w:t xml:space="preserve">both </w:t>
      </w:r>
      <w:r w:rsidRPr="00062B76">
        <w:rPr>
          <w:rFonts w:cs="Times New Roman"/>
          <w:lang w:val="en-CA"/>
        </w:rPr>
        <w:t>those cases, the individual</w:t>
      </w:r>
      <w:r>
        <w:rPr>
          <w:rFonts w:cs="Times New Roman"/>
          <w:lang w:val="en-CA"/>
        </w:rPr>
        <w:t>s</w:t>
      </w:r>
      <w:r w:rsidRPr="00062B76">
        <w:rPr>
          <w:rFonts w:cs="Times New Roman"/>
          <w:lang w:val="en-CA"/>
        </w:rPr>
        <w:t xml:space="preserve"> in question brought a motion to dismiss on the ground that the Minister’s written proceedings had not been prepared by a practising advocate entered on the Roll of the Order of the </w:t>
      </w:r>
      <w:proofErr w:type="spellStart"/>
      <w:r w:rsidRPr="00062B76">
        <w:rPr>
          <w:rFonts w:cs="Times New Roman"/>
          <w:lang w:val="en-CA"/>
        </w:rPr>
        <w:t>Barreau</w:t>
      </w:r>
      <w:proofErr w:type="spellEnd"/>
      <w:r w:rsidRPr="00062B76">
        <w:rPr>
          <w:rFonts w:cs="Times New Roman"/>
          <w:lang w:val="en-CA"/>
        </w:rPr>
        <w:t xml:space="preserve"> du Québec.</w:t>
      </w:r>
    </w:p>
    <w:p w:rsidR="00290916" w:rsidRPr="00062B76" w:rsidRDefault="00290916" w:rsidP="00935044">
      <w:pPr>
        <w:pStyle w:val="ParaNoNdepar-AltN"/>
        <w:widowControl w:val="0"/>
        <w:rPr>
          <w:rFonts w:cs="Times New Roman"/>
          <w:lang w:val="en-CA"/>
        </w:rPr>
      </w:pPr>
      <w:r w:rsidRPr="00062B76">
        <w:rPr>
          <w:rFonts w:cs="Times New Roman"/>
          <w:lang w:val="en-CA"/>
        </w:rPr>
        <w:t xml:space="preserve">The </w:t>
      </w:r>
      <w:proofErr w:type="spellStart"/>
      <w:r w:rsidRPr="00062B76">
        <w:rPr>
          <w:rFonts w:cs="Times New Roman"/>
          <w:lang w:val="en-CA"/>
        </w:rPr>
        <w:t>Barreau</w:t>
      </w:r>
      <w:proofErr w:type="spellEnd"/>
      <w:r w:rsidRPr="00062B76">
        <w:rPr>
          <w:rFonts w:cs="Times New Roman"/>
          <w:lang w:val="en-CA"/>
        </w:rPr>
        <w:t xml:space="preserve"> du Québec intervened in the proceedings before the ATQ and in the courts below to present its interpretation of the scope of the Minister’s right to be represented before the ATQ’s social affairs division, and it was granted leave to be substituted for the individual litigants in this Court. The Minister has been represented by the Attorney General of Quebec in this Court and in the courts below. </w:t>
      </w:r>
    </w:p>
    <w:p w:rsidR="00290916" w:rsidRPr="00062B76" w:rsidRDefault="00290916" w:rsidP="00935044">
      <w:pPr>
        <w:pStyle w:val="Title2LevelTitre2Niveau"/>
        <w:widowControl w:val="0"/>
        <w:numPr>
          <w:ilvl w:val="1"/>
          <w:numId w:val="8"/>
        </w:numPr>
        <w:rPr>
          <w:rFonts w:cs="Times New Roman"/>
        </w:rPr>
      </w:pPr>
      <w:r w:rsidRPr="00062B76">
        <w:rPr>
          <w:rFonts w:cs="Times New Roman"/>
        </w:rPr>
        <w:t>Legislative Provisions</w:t>
      </w:r>
    </w:p>
    <w:p w:rsidR="00290916" w:rsidRPr="00062B76" w:rsidRDefault="00290916" w:rsidP="00935044">
      <w:pPr>
        <w:pStyle w:val="Title3LevelTitre3Niveau"/>
        <w:widowControl w:val="0"/>
        <w:numPr>
          <w:ilvl w:val="2"/>
          <w:numId w:val="8"/>
        </w:numPr>
        <w:rPr>
          <w:rFonts w:cs="Times New Roman"/>
        </w:rPr>
      </w:pPr>
      <w:r w:rsidRPr="00062B76">
        <w:rPr>
          <w:rFonts w:cs="Times New Roman"/>
          <w:i/>
        </w:rPr>
        <w:lastRenderedPageBreak/>
        <w:t xml:space="preserve">Act respecting the </w:t>
      </w:r>
      <w:proofErr w:type="spellStart"/>
      <w:r w:rsidRPr="00062B76">
        <w:rPr>
          <w:rFonts w:cs="Times New Roman"/>
          <w:i/>
        </w:rPr>
        <w:t>Barreau</w:t>
      </w:r>
      <w:proofErr w:type="spellEnd"/>
      <w:r w:rsidRPr="00062B76">
        <w:rPr>
          <w:rFonts w:cs="Times New Roman"/>
          <w:i/>
        </w:rPr>
        <w:t xml:space="preserve"> du Québec</w:t>
      </w:r>
    </w:p>
    <w:p w:rsidR="00290916" w:rsidRPr="00062B76" w:rsidRDefault="00290916" w:rsidP="00935044">
      <w:pPr>
        <w:pStyle w:val="ParaNoNdepar-AltN"/>
        <w:widowControl w:val="0"/>
        <w:rPr>
          <w:rFonts w:cs="Times New Roman"/>
          <w:lang w:val="en-CA"/>
        </w:rPr>
      </w:pPr>
      <w:r w:rsidRPr="00062B76">
        <w:rPr>
          <w:rFonts w:cs="Times New Roman"/>
          <w:lang w:val="en-CA"/>
        </w:rPr>
        <w:t xml:space="preserve">The right to represent others before a court or tribunal is generally reserved to lawyers. In Quebec, the provision of legal services is governed by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Section 128 of that Act provides that certain activities, including preparing and drawing up motions and other written proceedings, are the “exclusive prerogative” of advocates and solicitors. It reserves “plead[</w:t>
      </w:r>
      <w:proofErr w:type="spellStart"/>
      <w:r w:rsidRPr="00062B76">
        <w:rPr>
          <w:rFonts w:cs="Times New Roman"/>
          <w:lang w:val="en-CA"/>
        </w:rPr>
        <w:t>ing</w:t>
      </w:r>
      <w:proofErr w:type="spellEnd"/>
      <w:r w:rsidRPr="00062B76">
        <w:rPr>
          <w:rFonts w:cs="Times New Roman"/>
          <w:lang w:val="en-CA"/>
        </w:rPr>
        <w:t>] or act[</w:t>
      </w:r>
      <w:proofErr w:type="spellStart"/>
      <w:r w:rsidRPr="00062B76">
        <w:rPr>
          <w:rFonts w:cs="Times New Roman"/>
          <w:lang w:val="en-CA"/>
        </w:rPr>
        <w:t>ing</w:t>
      </w:r>
      <w:proofErr w:type="spellEnd"/>
      <w:r w:rsidRPr="00062B76">
        <w:rPr>
          <w:rFonts w:cs="Times New Roman"/>
          <w:lang w:val="en-CA"/>
        </w:rPr>
        <w:t>]” before courts or tribunals to practising advocates:</w:t>
      </w:r>
    </w:p>
    <w:p w:rsidR="00290916" w:rsidRPr="00DF6E66" w:rsidRDefault="00290916" w:rsidP="00935044">
      <w:pPr>
        <w:pStyle w:val="Citation-AltC"/>
        <w:widowControl w:val="0"/>
        <w:spacing w:after="240"/>
        <w:ind w:hanging="1166"/>
        <w:contextualSpacing w:val="0"/>
        <w:rPr>
          <w:u w:val="single"/>
          <w:lang w:val="en-CA"/>
        </w:rPr>
      </w:pPr>
      <w:r>
        <w:rPr>
          <w:b/>
          <w:lang w:val="en-CA"/>
        </w:rPr>
        <w:tab/>
      </w:r>
      <w:r w:rsidRPr="00AF2E30">
        <w:rPr>
          <w:b/>
          <w:lang w:val="en-CA"/>
        </w:rPr>
        <w:t>128.</w:t>
      </w:r>
      <w:r w:rsidRPr="00AF2E30">
        <w:rPr>
          <w:lang w:val="en-CA"/>
        </w:rPr>
        <w:t xml:space="preserve"> (1)</w:t>
      </w:r>
      <w:r w:rsidRPr="00AF2E30">
        <w:rPr>
          <w:lang w:val="en-CA"/>
        </w:rPr>
        <w:tab/>
      </w:r>
      <w:proofErr w:type="gramStart"/>
      <w:r w:rsidRPr="00DF6E66">
        <w:rPr>
          <w:u w:val="single"/>
          <w:lang w:val="en-CA"/>
        </w:rPr>
        <w:t>The</w:t>
      </w:r>
      <w:proofErr w:type="gramEnd"/>
      <w:r w:rsidRPr="00DF6E66">
        <w:rPr>
          <w:u w:val="single"/>
          <w:lang w:val="en-CA"/>
        </w:rPr>
        <w:t xml:space="preserve"> following acts, performed for others, shall be the exclusive prerogative of the practising advocate or solicitor:</w:t>
      </w:r>
    </w:p>
    <w:p w:rsidR="00290916" w:rsidRPr="00062B76" w:rsidRDefault="00290916" w:rsidP="00935044">
      <w:pPr>
        <w:pStyle w:val="Citation-AltC"/>
        <w:widowControl w:val="0"/>
        <w:tabs>
          <w:tab w:val="left" w:pos="1620"/>
        </w:tabs>
        <w:spacing w:after="240"/>
        <w:ind w:hanging="1166"/>
        <w:contextualSpacing w:val="0"/>
        <w:rPr>
          <w:lang w:val="en-CA"/>
        </w:rPr>
      </w:pPr>
      <w:r w:rsidRPr="00062B76">
        <w:rPr>
          <w:i/>
          <w:lang w:val="en-CA"/>
        </w:rPr>
        <w:tab/>
        <w:t>(a)</w:t>
      </w:r>
      <w:r w:rsidRPr="00062B76">
        <w:rPr>
          <w:lang w:val="en-CA"/>
        </w:rPr>
        <w:tab/>
      </w:r>
      <w:proofErr w:type="gramStart"/>
      <w:r w:rsidRPr="00062B76">
        <w:rPr>
          <w:lang w:val="en-CA"/>
        </w:rPr>
        <w:t>to</w:t>
      </w:r>
      <w:proofErr w:type="gramEnd"/>
      <w:r w:rsidRPr="00062B76">
        <w:rPr>
          <w:lang w:val="en-CA"/>
        </w:rPr>
        <w:t xml:space="preserve"> give legal advice and consultations on legal matters; </w:t>
      </w:r>
    </w:p>
    <w:p w:rsidR="00290916" w:rsidRPr="00DF6E66" w:rsidRDefault="00290916" w:rsidP="00935044">
      <w:pPr>
        <w:pStyle w:val="Citation-AltC"/>
        <w:widowControl w:val="0"/>
        <w:tabs>
          <w:tab w:val="left" w:pos="1620"/>
        </w:tabs>
        <w:spacing w:after="240"/>
        <w:ind w:hanging="1166"/>
        <w:contextualSpacing w:val="0"/>
        <w:rPr>
          <w:u w:val="single"/>
          <w:lang w:val="en-CA"/>
        </w:rPr>
      </w:pPr>
      <w:r w:rsidRPr="00062B76">
        <w:rPr>
          <w:i/>
          <w:lang w:val="en-CA"/>
        </w:rPr>
        <w:tab/>
      </w:r>
      <w:r w:rsidRPr="00AF2E30">
        <w:rPr>
          <w:i/>
          <w:lang w:val="en-CA"/>
        </w:rPr>
        <w:t>(b)</w:t>
      </w:r>
      <w:r w:rsidRPr="00AF2E30">
        <w:rPr>
          <w:lang w:val="en-CA"/>
        </w:rPr>
        <w:tab/>
      </w:r>
      <w:proofErr w:type="gramStart"/>
      <w:r w:rsidRPr="00DF6E66">
        <w:rPr>
          <w:u w:val="single"/>
          <w:lang w:val="en-CA"/>
        </w:rPr>
        <w:t>to</w:t>
      </w:r>
      <w:proofErr w:type="gramEnd"/>
      <w:r w:rsidRPr="00062B76">
        <w:rPr>
          <w:u w:val="single"/>
          <w:lang w:val="en-CA"/>
        </w:rPr>
        <w:t xml:space="preserve"> prepare and draw up a notice, motion, proceeding or other similar document intended for use in a case before the </w:t>
      </w:r>
      <w:r w:rsidRPr="00DF6E66">
        <w:rPr>
          <w:u w:val="single"/>
          <w:lang w:val="en-CA"/>
        </w:rPr>
        <w:t>courts;</w:t>
      </w:r>
    </w:p>
    <w:p w:rsidR="00290916" w:rsidRPr="00062B76" w:rsidRDefault="00290916" w:rsidP="00935044">
      <w:pPr>
        <w:pStyle w:val="Citation-AltC"/>
        <w:widowControl w:val="0"/>
        <w:tabs>
          <w:tab w:val="left" w:pos="1620"/>
        </w:tabs>
        <w:spacing w:after="240"/>
        <w:ind w:hanging="1166"/>
        <w:contextualSpacing w:val="0"/>
        <w:rPr>
          <w:lang w:val="en-CA"/>
        </w:rPr>
      </w:pPr>
      <w:r w:rsidRPr="00062B76">
        <w:rPr>
          <w:i/>
          <w:lang w:val="en-CA"/>
        </w:rPr>
        <w:tab/>
        <w:t>(c)</w:t>
      </w:r>
      <w:r w:rsidRPr="00062B76">
        <w:rPr>
          <w:lang w:val="en-CA"/>
        </w:rPr>
        <w:tab/>
        <w:t>to prepare and draw up an agreement, petition, by</w:t>
      </w:r>
      <w:r w:rsidRPr="00062B76">
        <w:rPr>
          <w:lang w:val="en-CA"/>
        </w:rPr>
        <w:noBreakHyphen/>
        <w:t>law, resolution or other similar document relating to the constitution, organization, reorganization or winding</w:t>
      </w:r>
      <w:r w:rsidRPr="00062B76">
        <w:rPr>
          <w:lang w:val="en-CA"/>
        </w:rPr>
        <w:noBreakHyphen/>
        <w:t>up of a legal person governed by federal or provincial laws respecting legal persons, or the amalgamation of several legal persons or the surrender of a charter.</w:t>
      </w:r>
    </w:p>
    <w:p w:rsidR="00290916" w:rsidRPr="00062B76" w:rsidRDefault="00290916" w:rsidP="00935044">
      <w:pPr>
        <w:pStyle w:val="Citation-AltC"/>
        <w:widowControl w:val="0"/>
        <w:tabs>
          <w:tab w:val="left" w:pos="1620"/>
        </w:tabs>
        <w:spacing w:after="240"/>
        <w:ind w:hanging="1166"/>
        <w:contextualSpacing w:val="0"/>
        <w:rPr>
          <w:u w:val="single"/>
          <w:lang w:val="en-CA"/>
        </w:rPr>
      </w:pPr>
      <w:r w:rsidRPr="00062B76">
        <w:rPr>
          <w:lang w:val="en-CA"/>
        </w:rPr>
        <w:tab/>
      </w:r>
      <w:r w:rsidRPr="00AF2E30">
        <w:rPr>
          <w:lang w:val="en-CA"/>
        </w:rPr>
        <w:t>(2)</w:t>
      </w:r>
      <w:r w:rsidRPr="00AF2E30">
        <w:rPr>
          <w:lang w:val="en-CA"/>
        </w:rPr>
        <w:tab/>
      </w:r>
      <w:r w:rsidRPr="00DF6E66">
        <w:rPr>
          <w:u w:val="single"/>
          <w:lang w:val="en-CA"/>
        </w:rPr>
        <w:t>The</w:t>
      </w:r>
      <w:r w:rsidRPr="00062B76">
        <w:rPr>
          <w:u w:val="single"/>
          <w:lang w:val="en-CA"/>
        </w:rPr>
        <w:t xml:space="preserve"> following acts, performed for others, shall be the exclusive prerogative of the practising advocate and not of the solicitor:</w:t>
      </w:r>
    </w:p>
    <w:p w:rsidR="00290916" w:rsidRPr="00062B76" w:rsidRDefault="00290916" w:rsidP="00935044">
      <w:pPr>
        <w:pStyle w:val="Citation-AltC"/>
        <w:widowControl w:val="0"/>
        <w:tabs>
          <w:tab w:val="left" w:pos="1620"/>
        </w:tabs>
        <w:spacing w:after="240"/>
        <w:ind w:hanging="1166"/>
        <w:contextualSpacing w:val="0"/>
        <w:rPr>
          <w:lang w:val="en-CA"/>
        </w:rPr>
      </w:pPr>
      <w:r w:rsidRPr="00062B76">
        <w:rPr>
          <w:i/>
          <w:lang w:val="en-CA"/>
        </w:rPr>
        <w:tab/>
      </w:r>
      <w:r w:rsidRPr="00AF2E30">
        <w:rPr>
          <w:i/>
          <w:lang w:val="en-CA"/>
        </w:rPr>
        <w:t>(a)</w:t>
      </w:r>
      <w:r w:rsidRPr="00AF2E30">
        <w:rPr>
          <w:lang w:val="en-CA"/>
        </w:rPr>
        <w:tab/>
      </w:r>
      <w:proofErr w:type="gramStart"/>
      <w:r w:rsidRPr="00DF6E66">
        <w:rPr>
          <w:u w:val="single"/>
          <w:lang w:val="en-CA"/>
        </w:rPr>
        <w:t>to</w:t>
      </w:r>
      <w:proofErr w:type="gramEnd"/>
      <w:r w:rsidRPr="00062B76">
        <w:rPr>
          <w:u w:val="single"/>
          <w:lang w:val="en-CA"/>
        </w:rPr>
        <w:t xml:space="preserve"> plead or act before any tribunal, except before:</w:t>
      </w:r>
      <w:r w:rsidRPr="00062B76">
        <w:rPr>
          <w:lang w:val="en-CA"/>
        </w:rPr>
        <w:t xml:space="preserve"> </w:t>
      </w:r>
    </w:p>
    <w:p w:rsidR="00290916" w:rsidRPr="00062B76" w:rsidRDefault="00290916" w:rsidP="00935044">
      <w:pPr>
        <w:pStyle w:val="Citation-AltC"/>
        <w:widowControl w:val="0"/>
        <w:tabs>
          <w:tab w:val="left" w:pos="1620"/>
        </w:tabs>
        <w:spacing w:after="240"/>
        <w:ind w:hanging="1166"/>
        <w:contextualSpacing w:val="0"/>
        <w:rPr>
          <w:lang w:val="en-CA"/>
        </w:rPr>
      </w:pPr>
      <w:r w:rsidRPr="00062B76">
        <w:rPr>
          <w:lang w:val="en-CA"/>
        </w:rPr>
        <w:tab/>
        <w:t>(1)</w:t>
      </w:r>
      <w:r w:rsidRPr="00062B76">
        <w:rPr>
          <w:lang w:val="en-CA"/>
        </w:rPr>
        <w:tab/>
      </w:r>
      <w:proofErr w:type="gramStart"/>
      <w:r w:rsidRPr="00062B76">
        <w:rPr>
          <w:lang w:val="en-CA"/>
        </w:rPr>
        <w:t>a</w:t>
      </w:r>
      <w:proofErr w:type="gramEnd"/>
      <w:r w:rsidRPr="00062B76">
        <w:rPr>
          <w:lang w:val="en-CA"/>
        </w:rPr>
        <w:t xml:space="preserve"> conciliation officer or an arbitrator of disputes or grievances, within the meaning of the Labour Code (chapter C</w:t>
      </w:r>
      <w:r w:rsidRPr="00062B76">
        <w:rPr>
          <w:lang w:val="en-CA"/>
        </w:rPr>
        <w:noBreakHyphen/>
        <w:t xml:space="preserve">27); </w:t>
      </w:r>
    </w:p>
    <w:p w:rsidR="00290916" w:rsidRPr="00062B76" w:rsidRDefault="00290916" w:rsidP="00935044">
      <w:pPr>
        <w:pStyle w:val="Citation-AltC"/>
        <w:widowControl w:val="0"/>
        <w:tabs>
          <w:tab w:val="left" w:pos="1620"/>
        </w:tabs>
        <w:spacing w:after="240"/>
        <w:ind w:hanging="1166"/>
        <w:contextualSpacing w:val="0"/>
        <w:rPr>
          <w:lang w:val="en-CA"/>
        </w:rPr>
      </w:pPr>
      <w:r w:rsidRPr="00062B76">
        <w:rPr>
          <w:lang w:val="en-CA"/>
        </w:rPr>
        <w:tab/>
        <w:t>(2)</w:t>
      </w:r>
      <w:r w:rsidRPr="00062B76">
        <w:rPr>
          <w:lang w:val="en-CA"/>
        </w:rPr>
        <w:tab/>
      </w:r>
      <w:proofErr w:type="gramStart"/>
      <w:r w:rsidRPr="00062B76">
        <w:rPr>
          <w:lang w:val="en-CA"/>
        </w:rPr>
        <w:t>the</w:t>
      </w:r>
      <w:proofErr w:type="gramEnd"/>
      <w:r w:rsidRPr="00062B76">
        <w:rPr>
          <w:lang w:val="en-CA"/>
        </w:rPr>
        <w:t xml:space="preserve"> Administrative Labour Tribunal; </w:t>
      </w:r>
    </w:p>
    <w:p w:rsidR="00290916" w:rsidRPr="00062B76" w:rsidRDefault="00290916" w:rsidP="00935044">
      <w:pPr>
        <w:pStyle w:val="Citation-AltC"/>
        <w:widowControl w:val="0"/>
        <w:tabs>
          <w:tab w:val="left" w:pos="1620"/>
        </w:tabs>
        <w:spacing w:after="240"/>
        <w:ind w:hanging="1166"/>
        <w:contextualSpacing w:val="0"/>
        <w:rPr>
          <w:lang w:val="en-CA"/>
        </w:rPr>
      </w:pPr>
      <w:r w:rsidRPr="00062B76">
        <w:rPr>
          <w:lang w:val="en-CA"/>
        </w:rPr>
        <w:tab/>
        <w:t>(3)</w:t>
      </w:r>
      <w:r w:rsidRPr="00062B76">
        <w:rPr>
          <w:lang w:val="en-CA"/>
        </w:rPr>
        <w:tab/>
        <w:t xml:space="preserve">the Commission des </w:t>
      </w:r>
      <w:proofErr w:type="spellStart"/>
      <w:r w:rsidRPr="00062B76">
        <w:rPr>
          <w:lang w:val="en-CA"/>
        </w:rPr>
        <w:t>normes</w:t>
      </w:r>
      <w:proofErr w:type="spellEnd"/>
      <w:r w:rsidRPr="00062B76">
        <w:rPr>
          <w:lang w:val="en-CA"/>
        </w:rPr>
        <w:t xml:space="preserve">, de </w:t>
      </w:r>
      <w:proofErr w:type="spellStart"/>
      <w:r w:rsidRPr="00062B76">
        <w:rPr>
          <w:lang w:val="en-CA"/>
        </w:rPr>
        <w:t>l’équité</w:t>
      </w:r>
      <w:proofErr w:type="spellEnd"/>
      <w:r w:rsidRPr="00062B76">
        <w:rPr>
          <w:lang w:val="en-CA"/>
        </w:rPr>
        <w:t xml:space="preserve">, de la santé et de la </w:t>
      </w:r>
      <w:proofErr w:type="spellStart"/>
      <w:r w:rsidRPr="00062B76">
        <w:rPr>
          <w:lang w:val="en-CA"/>
        </w:rPr>
        <w:t>sécurité</w:t>
      </w:r>
      <w:proofErr w:type="spellEnd"/>
      <w:r w:rsidRPr="00062B76">
        <w:rPr>
          <w:lang w:val="en-CA"/>
        </w:rPr>
        <w:t xml:space="preserve"> du travail established by the Act respecting occupati</w:t>
      </w:r>
      <w:r>
        <w:rPr>
          <w:lang w:val="en-CA"/>
        </w:rPr>
        <w:t>onal health and safety (chapter </w:t>
      </w:r>
      <w:r w:rsidRPr="00062B76">
        <w:rPr>
          <w:lang w:val="en-CA"/>
        </w:rPr>
        <w:t>S</w:t>
      </w:r>
      <w:r w:rsidRPr="00062B76">
        <w:rPr>
          <w:lang w:val="en-CA"/>
        </w:rPr>
        <w:noBreakHyphen/>
        <w:t>2.1), a review board established under the Wor</w:t>
      </w:r>
      <w:r>
        <w:rPr>
          <w:lang w:val="en-CA"/>
        </w:rPr>
        <w:t>kers’ Compensation Act (chapter </w:t>
      </w:r>
      <w:r w:rsidRPr="00062B76">
        <w:rPr>
          <w:lang w:val="en-CA"/>
        </w:rPr>
        <w:t>A</w:t>
      </w:r>
      <w:r w:rsidRPr="00062B76">
        <w:rPr>
          <w:lang w:val="en-CA"/>
        </w:rPr>
        <w:noBreakHyphen/>
        <w:t xml:space="preserve">3) or the social affairs division of the Administrative Tribunal of Québec, instituted under the Act respecting </w:t>
      </w:r>
      <w:r>
        <w:rPr>
          <w:lang w:val="en-CA"/>
        </w:rPr>
        <w:lastRenderedPageBreak/>
        <w:t>administrative justice (chapter </w:t>
      </w:r>
      <w:r w:rsidRPr="00062B76">
        <w:rPr>
          <w:lang w:val="en-CA"/>
        </w:rPr>
        <w:t>J</w:t>
      </w:r>
      <w:r w:rsidRPr="00062B76">
        <w:rPr>
          <w:lang w:val="en-CA"/>
        </w:rPr>
        <w:noBreakHyphen/>
        <w:t>3), in the case of a proceeding pertaining to compensation for rescuers and victims of crime, a p</w:t>
      </w:r>
      <w:r>
        <w:rPr>
          <w:lang w:val="en-CA"/>
        </w:rPr>
        <w:t>roceeding brought under section </w:t>
      </w:r>
      <w:r w:rsidRPr="00062B76">
        <w:rPr>
          <w:lang w:val="en-CA"/>
        </w:rPr>
        <w:t>65 of the Workers’ Compensation Act or a proceed</w:t>
      </w:r>
      <w:r>
        <w:rPr>
          <w:lang w:val="en-CA"/>
        </w:rPr>
        <w:t>ing brought under section </w:t>
      </w:r>
      <w:r w:rsidRPr="00062B76">
        <w:rPr>
          <w:lang w:val="en-CA"/>
        </w:rPr>
        <w:t>12 of the Act respecting indemnities for victims of asbestosis and silicosis</w:t>
      </w:r>
      <w:r>
        <w:rPr>
          <w:lang w:val="en-CA"/>
        </w:rPr>
        <w:t xml:space="preserve"> in mines and quarries (chapter </w:t>
      </w:r>
      <w:r w:rsidRPr="00062B76">
        <w:rPr>
          <w:lang w:val="en-CA"/>
        </w:rPr>
        <w:t>I</w:t>
      </w:r>
      <w:r w:rsidRPr="00062B76">
        <w:rPr>
          <w:lang w:val="en-CA"/>
        </w:rPr>
        <w:noBreakHyphen/>
        <w:t xml:space="preserve">7); </w:t>
      </w:r>
    </w:p>
    <w:p w:rsidR="00290916" w:rsidRPr="00062B76" w:rsidRDefault="00290916" w:rsidP="00935044">
      <w:pPr>
        <w:pStyle w:val="Citation-AltC"/>
        <w:widowControl w:val="0"/>
        <w:tabs>
          <w:tab w:val="left" w:pos="1620"/>
        </w:tabs>
        <w:spacing w:after="240"/>
        <w:ind w:hanging="1166"/>
        <w:contextualSpacing w:val="0"/>
      </w:pPr>
      <w:r w:rsidRPr="00062B76">
        <w:rPr>
          <w:lang w:val="en-CA"/>
        </w:rPr>
        <w:tab/>
      </w:r>
      <w:r w:rsidRPr="00062B76">
        <w:t>(4)</w:t>
      </w:r>
      <w:r w:rsidRPr="00062B76">
        <w:tab/>
        <w:t xml:space="preserve">the Régie du logement </w:t>
      </w:r>
      <w:proofErr w:type="spellStart"/>
      <w:r w:rsidRPr="00062B76">
        <w:t>established</w:t>
      </w:r>
      <w:proofErr w:type="spellEnd"/>
      <w:r w:rsidRPr="00062B76">
        <w:t xml:space="preserve"> </w:t>
      </w:r>
      <w:proofErr w:type="spellStart"/>
      <w:r w:rsidRPr="00062B76">
        <w:t>under</w:t>
      </w:r>
      <w:proofErr w:type="spellEnd"/>
      <w:r w:rsidRPr="00062B76">
        <w:t xml:space="preserve"> the </w:t>
      </w:r>
      <w:proofErr w:type="spellStart"/>
      <w:r w:rsidRPr="00062B76">
        <w:t>Act</w:t>
      </w:r>
      <w:proofErr w:type="spellEnd"/>
      <w:r w:rsidRPr="00062B76">
        <w:t xml:space="preserve"> </w:t>
      </w:r>
      <w:proofErr w:type="spellStart"/>
      <w:r w:rsidRPr="00062B76">
        <w:t>respecting</w:t>
      </w:r>
      <w:proofErr w:type="spellEnd"/>
      <w:r w:rsidRPr="00062B76">
        <w:t xml:space="preserve"> the Régie du logement (</w:t>
      </w:r>
      <w:proofErr w:type="spellStart"/>
      <w:r w:rsidRPr="00062B76">
        <w:t>chapter</w:t>
      </w:r>
      <w:proofErr w:type="spellEnd"/>
      <w:r w:rsidRPr="00062B76">
        <w:t xml:space="preserve"> R</w:t>
      </w:r>
      <w:r w:rsidRPr="00062B76">
        <w:noBreakHyphen/>
        <w:t xml:space="preserve">8.1); </w:t>
      </w:r>
    </w:p>
    <w:p w:rsidR="00290916" w:rsidRPr="00062B76" w:rsidRDefault="00290916" w:rsidP="00935044">
      <w:pPr>
        <w:pStyle w:val="Citation-AltC"/>
        <w:widowControl w:val="0"/>
        <w:tabs>
          <w:tab w:val="left" w:pos="1620"/>
        </w:tabs>
        <w:spacing w:after="240"/>
        <w:ind w:hanging="1166"/>
        <w:contextualSpacing w:val="0"/>
        <w:rPr>
          <w:u w:val="single"/>
          <w:lang w:val="en-CA"/>
        </w:rPr>
      </w:pPr>
      <w:r w:rsidRPr="00062B76">
        <w:rPr>
          <w:b/>
        </w:rPr>
        <w:tab/>
      </w:r>
      <w:r w:rsidRPr="00AF2E30">
        <w:rPr>
          <w:b/>
          <w:lang w:val="en-CA"/>
        </w:rPr>
        <w:t>(</w:t>
      </w:r>
      <w:r w:rsidRPr="00AF2E30">
        <w:rPr>
          <w:lang w:val="en-CA"/>
        </w:rPr>
        <w:t>5)</w:t>
      </w:r>
      <w:r w:rsidRPr="00AF2E30">
        <w:rPr>
          <w:lang w:val="en-CA"/>
        </w:rPr>
        <w:tab/>
      </w:r>
      <w:r w:rsidRPr="00DF6E66">
        <w:rPr>
          <w:u w:val="single"/>
          <w:lang w:val="en-CA"/>
        </w:rPr>
        <w:t>the</w:t>
      </w:r>
      <w:r w:rsidRPr="00062B76">
        <w:rPr>
          <w:u w:val="single"/>
          <w:lang w:val="en-CA"/>
        </w:rPr>
        <w:t xml:space="preserve"> social affairs division of the Administrative Tribunal of Québec, to the extent that the Minister of Employment and Social Solidarity or a body which is his </w:t>
      </w:r>
      <w:proofErr w:type="spellStart"/>
      <w:r w:rsidRPr="00062B76">
        <w:rPr>
          <w:u w:val="single"/>
          <w:lang w:val="en-CA"/>
        </w:rPr>
        <w:t>delegatee</w:t>
      </w:r>
      <w:proofErr w:type="spellEnd"/>
      <w:r w:rsidRPr="00062B76">
        <w:rPr>
          <w:u w:val="single"/>
          <w:lang w:val="en-CA"/>
        </w:rPr>
        <w:t xml:space="preserve"> as regards the application of the Individual and Family Assistance Act (chapter</w:t>
      </w:r>
      <w:r>
        <w:rPr>
          <w:u w:val="single"/>
          <w:lang w:val="en-CA"/>
        </w:rPr>
        <w:t> </w:t>
      </w:r>
      <w:r w:rsidRPr="00062B76">
        <w:rPr>
          <w:u w:val="single"/>
          <w:lang w:val="en-CA"/>
        </w:rPr>
        <w:t>A</w:t>
      </w:r>
      <w:r w:rsidRPr="00062B76">
        <w:rPr>
          <w:u w:val="single"/>
          <w:lang w:val="en-CA"/>
        </w:rPr>
        <w:noBreakHyphen/>
        <w:t xml:space="preserve">13.1.1) is to be represented to plead or act in his or its name; </w:t>
      </w:r>
    </w:p>
    <w:p w:rsidR="00290916" w:rsidRPr="00062B76" w:rsidRDefault="00290916" w:rsidP="00935044">
      <w:pPr>
        <w:pStyle w:val="Citation-AltC"/>
        <w:widowControl w:val="0"/>
        <w:tabs>
          <w:tab w:val="left" w:pos="1620"/>
        </w:tabs>
        <w:spacing w:after="240"/>
        <w:ind w:hanging="1166"/>
        <w:contextualSpacing w:val="0"/>
        <w:rPr>
          <w:lang w:val="en-CA"/>
        </w:rPr>
      </w:pPr>
      <w:r w:rsidRPr="00062B76">
        <w:rPr>
          <w:lang w:val="en-CA"/>
        </w:rPr>
        <w:tab/>
        <w:t>(6)</w:t>
      </w:r>
      <w:r w:rsidRPr="00062B76">
        <w:rPr>
          <w:lang w:val="en-CA"/>
        </w:rPr>
        <w:tab/>
      </w:r>
      <w:proofErr w:type="gramStart"/>
      <w:r w:rsidRPr="00062B76">
        <w:rPr>
          <w:lang w:val="en-CA"/>
        </w:rPr>
        <w:t>an</w:t>
      </w:r>
      <w:proofErr w:type="gramEnd"/>
      <w:r w:rsidRPr="00062B76">
        <w:rPr>
          <w:lang w:val="en-CA"/>
        </w:rPr>
        <w:t xml:space="preserve"> arbitration officer, a conciliation officer, a council of arbitration or an investigator within the meaning of the Act respecting labour relations, vocational training and workforce management in the</w:t>
      </w:r>
      <w:r>
        <w:rPr>
          <w:lang w:val="en-CA"/>
        </w:rPr>
        <w:t xml:space="preserve"> construction industry (chapter </w:t>
      </w:r>
      <w:r w:rsidRPr="00062B76">
        <w:rPr>
          <w:lang w:val="en-CA"/>
        </w:rPr>
        <w:t>R</w:t>
      </w:r>
      <w:r w:rsidRPr="00062B76">
        <w:rPr>
          <w:lang w:val="en-CA"/>
        </w:rPr>
        <w:noBreakHyphen/>
        <w:t xml:space="preserve">20); </w:t>
      </w:r>
    </w:p>
    <w:p w:rsidR="00290916" w:rsidRPr="00062B76" w:rsidRDefault="00290916" w:rsidP="00935044">
      <w:pPr>
        <w:pStyle w:val="Citation-AltC"/>
        <w:widowControl w:val="0"/>
        <w:tabs>
          <w:tab w:val="left" w:pos="1620"/>
        </w:tabs>
        <w:spacing w:after="240"/>
        <w:ind w:hanging="1166"/>
        <w:contextualSpacing w:val="0"/>
        <w:rPr>
          <w:lang w:val="en-CA"/>
        </w:rPr>
      </w:pPr>
      <w:r w:rsidRPr="00062B76">
        <w:rPr>
          <w:lang w:val="en-CA"/>
        </w:rPr>
        <w:tab/>
        <w:t>(7)</w:t>
      </w:r>
      <w:r w:rsidRPr="00062B76">
        <w:rPr>
          <w:lang w:val="en-CA"/>
        </w:rPr>
        <w:tab/>
        <w:t>in matters of immigration, the social affairs division of the Administrative Tribunal of Québec, in the case and subject to the conditions set out in</w:t>
      </w:r>
      <w:r>
        <w:rPr>
          <w:lang w:val="en-CA"/>
        </w:rPr>
        <w:t xml:space="preserve"> the third paragraph of section </w:t>
      </w:r>
      <w:r w:rsidRPr="00062B76">
        <w:rPr>
          <w:lang w:val="en-CA"/>
        </w:rPr>
        <w:t xml:space="preserve">102 of the Act respecting administrative justice; </w:t>
      </w:r>
    </w:p>
    <w:p w:rsidR="00290916" w:rsidRPr="00062B76" w:rsidRDefault="00290916" w:rsidP="00935044">
      <w:pPr>
        <w:pStyle w:val="Citation-AltC"/>
        <w:widowControl w:val="0"/>
        <w:tabs>
          <w:tab w:val="left" w:pos="1620"/>
        </w:tabs>
        <w:spacing w:after="240"/>
        <w:ind w:hanging="1166"/>
        <w:contextualSpacing w:val="0"/>
        <w:rPr>
          <w:lang w:val="en-CA"/>
        </w:rPr>
      </w:pPr>
      <w:r w:rsidRPr="00062B76">
        <w:rPr>
          <w:i/>
          <w:lang w:val="en-CA"/>
        </w:rPr>
        <w:tab/>
        <w:t>(b)</w:t>
      </w:r>
      <w:r w:rsidRPr="00062B76">
        <w:rPr>
          <w:lang w:val="en-CA"/>
        </w:rPr>
        <w:tab/>
      </w:r>
      <w:proofErr w:type="gramStart"/>
      <w:r w:rsidRPr="00062B76">
        <w:rPr>
          <w:lang w:val="en-CA"/>
        </w:rPr>
        <w:t>to</w:t>
      </w:r>
      <w:proofErr w:type="gramEnd"/>
      <w:r w:rsidRPr="00062B76">
        <w:rPr>
          <w:lang w:val="en-CA"/>
        </w:rPr>
        <w:t xml:space="preserve"> prepare and draw up a will or codicil or a discharge or any contract or document, except leases, affecting immovable property and requiring registration or cancellation of a registration in Québec; </w:t>
      </w:r>
    </w:p>
    <w:p w:rsidR="00290916" w:rsidRPr="00062B76" w:rsidRDefault="00290916" w:rsidP="00935044">
      <w:pPr>
        <w:pStyle w:val="Citation-AltC"/>
        <w:widowControl w:val="0"/>
        <w:tabs>
          <w:tab w:val="left" w:pos="1620"/>
        </w:tabs>
        <w:spacing w:after="240"/>
        <w:ind w:hanging="1166"/>
        <w:contextualSpacing w:val="0"/>
        <w:rPr>
          <w:lang w:val="en-CA"/>
        </w:rPr>
      </w:pPr>
      <w:r w:rsidRPr="00062B76">
        <w:rPr>
          <w:i/>
          <w:lang w:val="en-CA"/>
        </w:rPr>
        <w:tab/>
        <w:t>(c)</w:t>
      </w:r>
      <w:r w:rsidRPr="00062B76">
        <w:rPr>
          <w:lang w:val="en-CA"/>
        </w:rPr>
        <w:tab/>
      </w:r>
      <w:proofErr w:type="gramStart"/>
      <w:r w:rsidRPr="00062B76">
        <w:rPr>
          <w:lang w:val="en-CA"/>
        </w:rPr>
        <w:t>to</w:t>
      </w:r>
      <w:proofErr w:type="gramEnd"/>
      <w:r w:rsidRPr="00062B76">
        <w:rPr>
          <w:lang w:val="en-CA"/>
        </w:rPr>
        <w:t xml:space="preserve"> prepare, draw up and file the declaration of value of an estate, required by the taxation laws; this paragraph </w:t>
      </w:r>
      <w:r w:rsidRPr="00062B76">
        <w:rPr>
          <w:i/>
          <w:lang w:val="en-CA"/>
        </w:rPr>
        <w:t>c</w:t>
      </w:r>
      <w:r w:rsidRPr="00062B76">
        <w:rPr>
          <w:lang w:val="en-CA"/>
        </w:rPr>
        <w:t xml:space="preserve"> shall not apply to legal persons authorized by law to act as liquidators of successions or as trustees; </w:t>
      </w:r>
    </w:p>
    <w:p w:rsidR="00290916" w:rsidRPr="00062B76" w:rsidRDefault="00290916" w:rsidP="00935044">
      <w:pPr>
        <w:pStyle w:val="Citation-AltC"/>
        <w:widowControl w:val="0"/>
        <w:tabs>
          <w:tab w:val="left" w:pos="1620"/>
        </w:tabs>
        <w:spacing w:after="240"/>
        <w:ind w:hanging="1166"/>
        <w:contextualSpacing w:val="0"/>
        <w:rPr>
          <w:lang w:val="en-CA"/>
        </w:rPr>
      </w:pPr>
      <w:r w:rsidRPr="00062B76">
        <w:rPr>
          <w:i/>
          <w:lang w:val="en-CA"/>
        </w:rPr>
        <w:tab/>
        <w:t>(d)</w:t>
      </w:r>
      <w:r w:rsidRPr="00062B76">
        <w:rPr>
          <w:lang w:val="en-CA"/>
        </w:rPr>
        <w:tab/>
      </w:r>
      <w:proofErr w:type="gramStart"/>
      <w:r w:rsidRPr="00062B76">
        <w:rPr>
          <w:lang w:val="en-CA"/>
        </w:rPr>
        <w:t>to</w:t>
      </w:r>
      <w:proofErr w:type="gramEnd"/>
      <w:r w:rsidRPr="00062B76">
        <w:rPr>
          <w:lang w:val="en-CA"/>
        </w:rPr>
        <w:t xml:space="preserve"> prepare and draw up a document or proceeding, for registration as prescribed by law, of a person or partnership carrying on a business or operating an industry; </w:t>
      </w:r>
    </w:p>
    <w:p w:rsidR="00290916" w:rsidRPr="00062B76" w:rsidRDefault="00290916" w:rsidP="00935044">
      <w:pPr>
        <w:pStyle w:val="Citation-AltC"/>
        <w:widowControl w:val="0"/>
        <w:tabs>
          <w:tab w:val="left" w:pos="1620"/>
        </w:tabs>
        <w:ind w:hanging="1166"/>
        <w:contextualSpacing w:val="0"/>
        <w:rPr>
          <w:lang w:val="en-CA"/>
        </w:rPr>
      </w:pPr>
      <w:r w:rsidRPr="00062B76">
        <w:rPr>
          <w:i/>
          <w:lang w:val="en-CA"/>
        </w:rPr>
        <w:tab/>
        <w:t>(e)</w:t>
      </w:r>
      <w:r w:rsidRPr="00062B76">
        <w:rPr>
          <w:lang w:val="en-CA"/>
        </w:rPr>
        <w:tab/>
      </w:r>
      <w:proofErr w:type="gramStart"/>
      <w:r w:rsidRPr="00062B76">
        <w:rPr>
          <w:lang w:val="en-CA"/>
        </w:rPr>
        <w:t>to</w:t>
      </w:r>
      <w:proofErr w:type="gramEnd"/>
      <w:r w:rsidRPr="00062B76">
        <w:rPr>
          <w:lang w:val="en-CA"/>
        </w:rPr>
        <w:t xml:space="preserve"> make collections or make any claim with costs or to imply that judicial proceedings will be taken.</w:t>
      </w:r>
    </w:p>
    <w:p w:rsidR="00290916" w:rsidRPr="00062B76" w:rsidRDefault="00290916" w:rsidP="00935044">
      <w:pPr>
        <w:pStyle w:val="ContinueParaSuitedupar-AltP"/>
        <w:widowControl w:val="0"/>
        <w:spacing w:before="720"/>
        <w:ind w:left="274"/>
        <w:rPr>
          <w:rFonts w:cs="Times New Roman"/>
          <w:lang w:val="en-CA"/>
        </w:rPr>
      </w:pPr>
      <w:r w:rsidRPr="00062B76">
        <w:rPr>
          <w:rFonts w:cs="Times New Roman"/>
          <w:lang w:val="en-CA"/>
        </w:rPr>
        <w:t xml:space="preserve">However,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establishes certain exceptions to the monopoly on practice of advocates and gives the Minister the right “to be represented to plead or act in his . . . name” before the social affairs division of the </w:t>
      </w:r>
      <w:r w:rsidRPr="00062B76">
        <w:rPr>
          <w:rFonts w:cs="Times New Roman"/>
          <w:lang w:val="en-CA"/>
        </w:rPr>
        <w:lastRenderedPageBreak/>
        <w:t>ATQ (s. </w:t>
      </w:r>
      <w:r w:rsidRPr="00062B76">
        <w:rPr>
          <w:rFonts w:cs="Times New Roman"/>
          <w:szCs w:val="24"/>
          <w:lang w:val="en-CA"/>
        </w:rPr>
        <w:t>128(2)(a)(</w:t>
      </w:r>
      <w:r w:rsidRPr="00062B76">
        <w:rPr>
          <w:rFonts w:cs="Times New Roman"/>
          <w:szCs w:val="24"/>
          <w:lang w:val="en-CA" w:eastAsia="fr-CA"/>
        </w:rPr>
        <w:t>5))</w:t>
      </w:r>
      <w:r w:rsidRPr="00062B76">
        <w:rPr>
          <w:rFonts w:cs="Times New Roman"/>
          <w:szCs w:val="24"/>
          <w:lang w:val="en-CA"/>
        </w:rPr>
        <w:t>. Fur</w:t>
      </w:r>
      <w:r w:rsidRPr="00062B76">
        <w:rPr>
          <w:rFonts w:cs="Times New Roman"/>
          <w:lang w:val="en-CA"/>
        </w:rPr>
        <w:t xml:space="preserve">ther, s. 129(b) provides that s. 128 does not limit rights that are specifically defined and granted to any person by another law: </w:t>
      </w:r>
    </w:p>
    <w:p w:rsidR="00290916" w:rsidRPr="00062B76" w:rsidRDefault="00290916" w:rsidP="00935044">
      <w:pPr>
        <w:pStyle w:val="Citation-AltC"/>
        <w:widowControl w:val="0"/>
        <w:tabs>
          <w:tab w:val="left" w:pos="1620"/>
        </w:tabs>
        <w:spacing w:after="240"/>
        <w:ind w:hanging="1166"/>
        <w:contextualSpacing w:val="0"/>
        <w:rPr>
          <w:szCs w:val="24"/>
          <w:lang w:val="en-CA" w:eastAsia="fr-CA"/>
        </w:rPr>
      </w:pPr>
      <w:r w:rsidRPr="00062B76">
        <w:rPr>
          <w:b/>
          <w:szCs w:val="24"/>
          <w:lang w:val="en-CA" w:eastAsia="fr-CA"/>
        </w:rPr>
        <w:tab/>
        <w:t>129.</w:t>
      </w:r>
      <w:r w:rsidRPr="00062B76">
        <w:rPr>
          <w:szCs w:val="24"/>
          <w:lang w:val="en-CA" w:eastAsia="fr-CA"/>
        </w:rPr>
        <w:tab/>
        <w:t>None of the provisions of section 128 shall limit or restrict:</w:t>
      </w:r>
    </w:p>
    <w:p w:rsidR="00290916" w:rsidRPr="00062B76" w:rsidRDefault="00290916" w:rsidP="00935044">
      <w:pPr>
        <w:pStyle w:val="Citation-AltC"/>
        <w:widowControl w:val="0"/>
        <w:tabs>
          <w:tab w:val="left" w:pos="1620"/>
        </w:tabs>
        <w:spacing w:after="240"/>
        <w:ind w:hanging="1166"/>
        <w:contextualSpacing w:val="0"/>
        <w:rPr>
          <w:szCs w:val="24"/>
          <w:lang w:val="en-CA" w:eastAsia="fr-CA"/>
        </w:rPr>
      </w:pPr>
      <w:r w:rsidRPr="00062B76">
        <w:rPr>
          <w:i/>
          <w:szCs w:val="24"/>
          <w:lang w:val="en-CA" w:eastAsia="fr-CA"/>
        </w:rPr>
        <w:tab/>
        <w:t>(a)</w:t>
      </w:r>
      <w:r w:rsidRPr="00062B76">
        <w:rPr>
          <w:szCs w:val="24"/>
          <w:lang w:val="en-CA" w:eastAsia="fr-CA"/>
        </w:rPr>
        <w:tab/>
      </w:r>
      <w:proofErr w:type="gramStart"/>
      <w:r w:rsidRPr="00062B76">
        <w:rPr>
          <w:szCs w:val="24"/>
          <w:lang w:val="en-CA" w:eastAsia="fr-CA"/>
        </w:rPr>
        <w:t>the</w:t>
      </w:r>
      <w:proofErr w:type="gramEnd"/>
      <w:r w:rsidRPr="00062B76">
        <w:rPr>
          <w:szCs w:val="24"/>
          <w:lang w:val="en-CA" w:eastAsia="fr-CA"/>
        </w:rPr>
        <w:t xml:space="preserve"> right of an advocate to perform any other act not expressly forbidden by this Act or the by</w:t>
      </w:r>
      <w:r w:rsidRPr="00062B76">
        <w:rPr>
          <w:szCs w:val="24"/>
          <w:lang w:val="en-CA" w:eastAsia="fr-CA"/>
        </w:rPr>
        <w:noBreakHyphen/>
        <w:t>laws of the Bar;</w:t>
      </w:r>
    </w:p>
    <w:p w:rsidR="00290916" w:rsidRPr="00062B76" w:rsidRDefault="00290916" w:rsidP="00935044">
      <w:pPr>
        <w:pStyle w:val="Citation-AltC"/>
        <w:widowControl w:val="0"/>
        <w:tabs>
          <w:tab w:val="left" w:pos="1620"/>
        </w:tabs>
        <w:spacing w:after="240"/>
        <w:ind w:hanging="1166"/>
        <w:contextualSpacing w:val="0"/>
        <w:rPr>
          <w:szCs w:val="24"/>
          <w:u w:val="single"/>
          <w:lang w:val="en-CA" w:eastAsia="fr-CA"/>
        </w:rPr>
      </w:pPr>
      <w:r w:rsidRPr="00062B76">
        <w:rPr>
          <w:i/>
          <w:szCs w:val="24"/>
          <w:lang w:val="en-CA" w:eastAsia="fr-CA"/>
        </w:rPr>
        <w:tab/>
      </w:r>
      <w:r w:rsidRPr="00AF2E30">
        <w:rPr>
          <w:i/>
          <w:szCs w:val="24"/>
          <w:lang w:val="en-CA" w:eastAsia="fr-CA"/>
        </w:rPr>
        <w:t>(b)</w:t>
      </w:r>
      <w:r w:rsidRPr="00AF2E30">
        <w:rPr>
          <w:szCs w:val="24"/>
          <w:lang w:val="en-CA" w:eastAsia="fr-CA"/>
        </w:rPr>
        <w:tab/>
      </w:r>
      <w:proofErr w:type="gramStart"/>
      <w:r w:rsidRPr="00062B76">
        <w:rPr>
          <w:szCs w:val="24"/>
          <w:u w:val="single"/>
          <w:lang w:val="en-CA" w:eastAsia="fr-CA"/>
        </w:rPr>
        <w:t>the</w:t>
      </w:r>
      <w:proofErr w:type="gramEnd"/>
      <w:r w:rsidRPr="00062B76">
        <w:rPr>
          <w:szCs w:val="24"/>
          <w:u w:val="single"/>
          <w:lang w:val="en-CA" w:eastAsia="fr-CA"/>
        </w:rPr>
        <w:t xml:space="preserve"> rights specifically defined and granted to any person by any public or private law;</w:t>
      </w:r>
    </w:p>
    <w:p w:rsidR="00290916" w:rsidRPr="00062B76" w:rsidRDefault="00290916" w:rsidP="00935044">
      <w:pPr>
        <w:pStyle w:val="Citation-AltC"/>
        <w:widowControl w:val="0"/>
        <w:tabs>
          <w:tab w:val="left" w:pos="1620"/>
        </w:tabs>
        <w:spacing w:after="240"/>
        <w:ind w:hanging="1166"/>
        <w:contextualSpacing w:val="0"/>
        <w:rPr>
          <w:szCs w:val="24"/>
          <w:lang w:val="en-CA" w:eastAsia="fr-CA"/>
        </w:rPr>
      </w:pPr>
      <w:r w:rsidRPr="00062B76">
        <w:rPr>
          <w:i/>
          <w:szCs w:val="24"/>
          <w:lang w:val="en-CA" w:eastAsia="fr-CA"/>
        </w:rPr>
        <w:tab/>
        <w:t>(c)</w:t>
      </w:r>
      <w:r w:rsidRPr="00062B76">
        <w:rPr>
          <w:szCs w:val="24"/>
          <w:lang w:val="en-CA" w:eastAsia="fr-CA"/>
        </w:rPr>
        <w:tab/>
      </w:r>
      <w:proofErr w:type="gramStart"/>
      <w:r w:rsidRPr="00062B76">
        <w:rPr>
          <w:szCs w:val="24"/>
          <w:lang w:val="en-CA" w:eastAsia="fr-CA"/>
        </w:rPr>
        <w:t>the</w:t>
      </w:r>
      <w:proofErr w:type="gramEnd"/>
      <w:r w:rsidRPr="00062B76">
        <w:rPr>
          <w:szCs w:val="24"/>
          <w:lang w:val="en-CA" w:eastAsia="fr-CA"/>
        </w:rPr>
        <w:t xml:space="preserve"> right of public or private bodies to be represented by their officers, except for the purpose of pleading, before any organization having a quasi</w:t>
      </w:r>
      <w:r w:rsidRPr="00062B76">
        <w:rPr>
          <w:szCs w:val="24"/>
          <w:lang w:val="en-CA" w:eastAsia="fr-CA"/>
        </w:rPr>
        <w:noBreakHyphen/>
        <w:t>judicial function;</w:t>
      </w:r>
    </w:p>
    <w:p w:rsidR="00290916" w:rsidRPr="00062B76" w:rsidRDefault="00290916" w:rsidP="00935044">
      <w:pPr>
        <w:pStyle w:val="Citation-AltC"/>
        <w:widowControl w:val="0"/>
        <w:tabs>
          <w:tab w:val="left" w:pos="1620"/>
        </w:tabs>
        <w:spacing w:after="240"/>
        <w:ind w:hanging="1166"/>
        <w:contextualSpacing w:val="0"/>
        <w:rPr>
          <w:szCs w:val="24"/>
          <w:lang w:val="en-CA" w:eastAsia="fr-CA"/>
        </w:rPr>
      </w:pPr>
      <w:r w:rsidRPr="00062B76">
        <w:rPr>
          <w:i/>
          <w:szCs w:val="24"/>
          <w:lang w:val="en-CA" w:eastAsia="fr-CA"/>
        </w:rPr>
        <w:tab/>
        <w:t>(d)</w:t>
      </w:r>
      <w:r w:rsidRPr="00062B76">
        <w:rPr>
          <w:szCs w:val="24"/>
          <w:lang w:val="en-CA" w:eastAsia="fr-CA"/>
        </w:rPr>
        <w:tab/>
        <w:t>the right of secretaries or assistant</w:t>
      </w:r>
      <w:r w:rsidRPr="00062B76">
        <w:rPr>
          <w:szCs w:val="24"/>
          <w:lang w:val="en-CA" w:eastAsia="fr-CA"/>
        </w:rPr>
        <w:noBreakHyphen/>
        <w:t>secretaries of legal persons established for a private interest or in the public interest to draw up the minutes of meetings of directors or shareholders and all other documents which they are authorized to draw up in virtue of federal or provincial laws;</w:t>
      </w:r>
    </w:p>
    <w:p w:rsidR="00290916" w:rsidRPr="00062B76" w:rsidRDefault="00290916" w:rsidP="00935044">
      <w:pPr>
        <w:pStyle w:val="Citation-AltC"/>
        <w:widowControl w:val="0"/>
        <w:tabs>
          <w:tab w:val="left" w:pos="1620"/>
        </w:tabs>
        <w:ind w:hanging="1166"/>
        <w:contextualSpacing w:val="0"/>
        <w:rPr>
          <w:lang w:val="en-CA"/>
        </w:rPr>
      </w:pPr>
      <w:r w:rsidRPr="00062B76">
        <w:rPr>
          <w:i/>
          <w:szCs w:val="24"/>
          <w:lang w:val="en-CA" w:eastAsia="fr-CA"/>
        </w:rPr>
        <w:tab/>
        <w:t>(e)</w:t>
      </w:r>
      <w:r w:rsidRPr="00062B76">
        <w:rPr>
          <w:szCs w:val="24"/>
          <w:lang w:val="en-CA" w:eastAsia="fr-CA"/>
        </w:rPr>
        <w:tab/>
        <w:t xml:space="preserve">the right of a practising notary to perform the acts therein set forth except </w:t>
      </w:r>
      <w:r>
        <w:rPr>
          <w:szCs w:val="24"/>
          <w:lang w:val="en-CA" w:eastAsia="fr-CA"/>
        </w:rPr>
        <w:t>those contemplated in paragraph </w:t>
      </w:r>
      <w:r w:rsidRPr="00062B76">
        <w:rPr>
          <w:i/>
          <w:szCs w:val="24"/>
          <w:lang w:val="en-CA" w:eastAsia="fr-CA"/>
        </w:rPr>
        <w:t>b</w:t>
      </w:r>
      <w:r w:rsidRPr="00062B76">
        <w:rPr>
          <w:szCs w:val="24"/>
          <w:lang w:val="en-CA" w:eastAsia="fr-CA"/>
        </w:rPr>
        <w:t xml:space="preserve"> of subsection 1, other than in non</w:t>
      </w:r>
      <w:r w:rsidRPr="00062B76">
        <w:rPr>
          <w:szCs w:val="24"/>
          <w:lang w:val="en-CA" w:eastAsia="fr-CA"/>
        </w:rPr>
        <w:noBreakHyphen/>
        <w:t xml:space="preserve">contentious matters, and in paragraphs </w:t>
      </w:r>
      <w:r w:rsidRPr="00062B76">
        <w:rPr>
          <w:i/>
          <w:szCs w:val="24"/>
          <w:lang w:val="en-CA" w:eastAsia="fr-CA"/>
        </w:rPr>
        <w:t>a</w:t>
      </w:r>
      <w:r w:rsidRPr="00062B76">
        <w:rPr>
          <w:szCs w:val="24"/>
          <w:lang w:val="en-CA" w:eastAsia="fr-CA"/>
        </w:rPr>
        <w:t xml:space="preserve"> and </w:t>
      </w:r>
      <w:r w:rsidRPr="00062B76">
        <w:rPr>
          <w:i/>
          <w:szCs w:val="24"/>
          <w:lang w:val="en-CA" w:eastAsia="fr-CA"/>
        </w:rPr>
        <w:t xml:space="preserve">e </w:t>
      </w:r>
      <w:r w:rsidRPr="00062B76">
        <w:rPr>
          <w:szCs w:val="24"/>
          <w:lang w:val="en-CA" w:eastAsia="fr-CA"/>
        </w:rPr>
        <w:t>of subsection 2; but a practising notary may imply that judicial proceedings will be taken.</w:t>
      </w:r>
    </w:p>
    <w:p w:rsidR="00290916" w:rsidRPr="00062B76" w:rsidRDefault="00290916" w:rsidP="00935044">
      <w:pPr>
        <w:pStyle w:val="Title3LevelTitre3Niveau"/>
        <w:widowControl w:val="0"/>
        <w:numPr>
          <w:ilvl w:val="2"/>
          <w:numId w:val="8"/>
        </w:numPr>
        <w:spacing w:before="720" w:after="480"/>
        <w:rPr>
          <w:rFonts w:cs="Times New Roman"/>
          <w:i/>
        </w:rPr>
      </w:pPr>
      <w:r w:rsidRPr="00062B76">
        <w:rPr>
          <w:rFonts w:cs="Times New Roman"/>
          <w:i/>
        </w:rPr>
        <w:t>Act respecting administrative justice</w:t>
      </w:r>
    </w:p>
    <w:p w:rsidR="00290916" w:rsidRPr="00062B76" w:rsidRDefault="00290916" w:rsidP="00935044">
      <w:pPr>
        <w:pStyle w:val="ParaNoNdepar-AltN"/>
        <w:widowControl w:val="0"/>
        <w:rPr>
          <w:rFonts w:cs="Times New Roman"/>
          <w:lang w:val="en-CA"/>
        </w:rPr>
      </w:pPr>
      <w:r w:rsidRPr="00062B76">
        <w:rPr>
          <w:rFonts w:cs="Times New Roman"/>
          <w:lang w:val="en-CA"/>
        </w:rPr>
        <w:t xml:space="preserve">The second paragraph of s. 102 of the </w:t>
      </w:r>
      <w:r w:rsidRPr="00062B76">
        <w:rPr>
          <w:rFonts w:cs="Times New Roman"/>
          <w:i/>
          <w:lang w:val="en-CA"/>
        </w:rPr>
        <w:t>Act respecting administrative justice</w:t>
      </w:r>
      <w:r w:rsidRPr="00062B76">
        <w:rPr>
          <w:rFonts w:cs="Times New Roman"/>
          <w:lang w:val="en-CA"/>
        </w:rPr>
        <w:t xml:space="preserve"> grants the Minister the right to “be represented by the person of his . . . choice before the social affairs division” of the ATQ:</w:t>
      </w:r>
    </w:p>
    <w:p w:rsidR="00290916" w:rsidRPr="00062B76" w:rsidRDefault="00290916" w:rsidP="00935044">
      <w:pPr>
        <w:pStyle w:val="Citation-AltC"/>
        <w:widowControl w:val="0"/>
        <w:tabs>
          <w:tab w:val="left" w:pos="1620"/>
        </w:tabs>
        <w:spacing w:after="240"/>
        <w:ind w:hanging="1166"/>
        <w:contextualSpacing w:val="0"/>
        <w:rPr>
          <w:szCs w:val="24"/>
          <w:lang w:val="en-CA" w:eastAsia="fr-CA"/>
        </w:rPr>
      </w:pPr>
      <w:r w:rsidRPr="00062B76">
        <w:rPr>
          <w:b/>
          <w:szCs w:val="24"/>
          <w:lang w:val="en-CA" w:eastAsia="fr-CA"/>
        </w:rPr>
        <w:tab/>
        <w:t>102.</w:t>
      </w:r>
      <w:r w:rsidRPr="00062B76">
        <w:rPr>
          <w:szCs w:val="24"/>
          <w:lang w:val="en-CA" w:eastAsia="fr-CA"/>
        </w:rPr>
        <w:tab/>
        <w:t>The parties may be represented by the person of their choice before the social affairs division, in the case of a proceeding pertaining to compensation for rescuers and victims of crime, a proceeding under section 65 of the Workmen’s Compensation Act (chapter A</w:t>
      </w:r>
      <w:r w:rsidRPr="00062B76">
        <w:rPr>
          <w:szCs w:val="24"/>
          <w:lang w:val="en-CA" w:eastAsia="fr-CA"/>
        </w:rPr>
        <w:noBreakHyphen/>
        <w:t>3) or a proceeding under section 12 of the Act respecting indemnities for victims of asbestosis and silicosis in mines and quarries (chapter I</w:t>
      </w:r>
      <w:r w:rsidRPr="00062B76">
        <w:rPr>
          <w:szCs w:val="24"/>
          <w:lang w:val="en-CA" w:eastAsia="fr-CA"/>
        </w:rPr>
        <w:noBreakHyphen/>
        <w:t xml:space="preserve">7); however, a professional who has been removed from the roll or declared disqualified </w:t>
      </w:r>
      <w:r w:rsidRPr="00062B76">
        <w:rPr>
          <w:szCs w:val="24"/>
          <w:lang w:val="en-CA" w:eastAsia="fr-CA"/>
        </w:rPr>
        <w:lastRenderedPageBreak/>
        <w:t>to practise, or whose right to engage in professional activities has been restricted or suspended in accordance with the Professional Code (chapter C</w:t>
      </w:r>
      <w:r w:rsidRPr="00062B76">
        <w:rPr>
          <w:szCs w:val="24"/>
          <w:lang w:val="en-CA" w:eastAsia="fr-CA"/>
        </w:rPr>
        <w:noBreakHyphen/>
        <w:t xml:space="preserve">26) or any legislation governing a profession may not act as a representative. </w:t>
      </w:r>
    </w:p>
    <w:p w:rsidR="00290916" w:rsidRPr="00062B76" w:rsidRDefault="00290916" w:rsidP="00935044">
      <w:pPr>
        <w:pStyle w:val="Citation-AltC"/>
        <w:widowControl w:val="0"/>
        <w:tabs>
          <w:tab w:val="left" w:pos="1620"/>
        </w:tabs>
        <w:spacing w:after="240"/>
        <w:ind w:hanging="1166"/>
        <w:contextualSpacing w:val="0"/>
        <w:rPr>
          <w:szCs w:val="24"/>
          <w:u w:val="single"/>
          <w:lang w:val="en-CA" w:eastAsia="fr-CA"/>
        </w:rPr>
      </w:pPr>
      <w:r w:rsidRPr="00062B76">
        <w:rPr>
          <w:szCs w:val="24"/>
          <w:lang w:val="en-CA" w:eastAsia="fr-CA"/>
        </w:rPr>
        <w:tab/>
      </w:r>
      <w:r w:rsidRPr="00062B76">
        <w:rPr>
          <w:szCs w:val="24"/>
          <w:u w:val="single"/>
          <w:lang w:val="en-CA" w:eastAsia="fr-CA"/>
        </w:rPr>
        <w:t xml:space="preserve">The Minister of Employment and Social Solidarity or a body which is the Minister’s </w:t>
      </w:r>
      <w:proofErr w:type="spellStart"/>
      <w:r w:rsidRPr="00062B76">
        <w:rPr>
          <w:szCs w:val="24"/>
          <w:u w:val="single"/>
          <w:lang w:val="en-CA" w:eastAsia="fr-CA"/>
        </w:rPr>
        <w:t>delegatee</w:t>
      </w:r>
      <w:proofErr w:type="spellEnd"/>
      <w:r w:rsidRPr="00062B76">
        <w:rPr>
          <w:szCs w:val="24"/>
          <w:u w:val="single"/>
          <w:lang w:val="en-CA" w:eastAsia="fr-CA"/>
        </w:rPr>
        <w:t xml:space="preserve"> for the purposes of the Individual and Family Assistance Act (chapter A</w:t>
      </w:r>
      <w:r w:rsidRPr="00062B76">
        <w:rPr>
          <w:szCs w:val="24"/>
          <w:u w:val="single"/>
          <w:lang w:val="en-CA" w:eastAsia="fr-CA"/>
        </w:rPr>
        <w:noBreakHyphen/>
        <w:t xml:space="preserve">13.1.1) may be represented by the person of his or its choice before the social affairs division in the case of a proceeding brought under that Act or this Act in a matter of income security or support or social aid and allowances. </w:t>
      </w:r>
    </w:p>
    <w:p w:rsidR="00290916" w:rsidRPr="00062B76" w:rsidRDefault="00290916" w:rsidP="00935044">
      <w:pPr>
        <w:pStyle w:val="Citation-AltC"/>
        <w:widowControl w:val="0"/>
        <w:tabs>
          <w:tab w:val="left" w:pos="1620"/>
        </w:tabs>
        <w:ind w:hanging="1166"/>
        <w:contextualSpacing w:val="0"/>
        <w:rPr>
          <w:lang w:val="en-CA"/>
        </w:rPr>
      </w:pPr>
      <w:r w:rsidRPr="00062B76">
        <w:rPr>
          <w:szCs w:val="24"/>
          <w:lang w:val="en-CA" w:eastAsia="fr-CA"/>
        </w:rPr>
        <w:tab/>
        <w:t>The applicant may, before the social affairs division in the case of a proceeding in a matter of immigration, be represented by a relative or by a non</w:t>
      </w:r>
      <w:r w:rsidRPr="00062B76">
        <w:rPr>
          <w:szCs w:val="24"/>
          <w:lang w:val="en-CA" w:eastAsia="fr-CA"/>
        </w:rPr>
        <w:noBreakHyphen/>
        <w:t>profit organization devoted to the defense or interests of immigrants, if he is unable to be present himself by reason of absence from Québec. In the latter case, the mandatary must provide the Tribunal with a mandate in writing, signed by the person represented, indicating the gratuitous nature of the mandate.</w:t>
      </w:r>
    </w:p>
    <w:p w:rsidR="00290916" w:rsidRPr="00062B76" w:rsidRDefault="00290916" w:rsidP="00935044">
      <w:pPr>
        <w:pStyle w:val="Title2LevelTitre2Niveau"/>
        <w:widowControl w:val="0"/>
        <w:numPr>
          <w:ilvl w:val="1"/>
          <w:numId w:val="8"/>
        </w:numPr>
        <w:spacing w:before="720" w:after="480"/>
        <w:rPr>
          <w:rFonts w:cs="Times New Roman"/>
        </w:rPr>
      </w:pPr>
      <w:r w:rsidRPr="00062B76">
        <w:rPr>
          <w:rFonts w:cs="Times New Roman"/>
        </w:rPr>
        <w:t>Judicial History</w:t>
      </w:r>
    </w:p>
    <w:p w:rsidR="00290916" w:rsidRPr="00062B76" w:rsidRDefault="00290916" w:rsidP="00935044">
      <w:pPr>
        <w:pStyle w:val="Title3LevelTitre3Niveau"/>
        <w:widowControl w:val="0"/>
        <w:numPr>
          <w:ilvl w:val="2"/>
          <w:numId w:val="8"/>
        </w:numPr>
        <w:spacing w:before="0"/>
        <w:rPr>
          <w:rFonts w:cs="Times New Roman"/>
        </w:rPr>
      </w:pPr>
      <w:r w:rsidRPr="00062B76">
        <w:rPr>
          <w:rFonts w:cs="Times New Roman"/>
        </w:rPr>
        <w:t xml:space="preserve">Decisions of the ATQ — 2012 QCTAQ 12713, 2013 </w:t>
      </w:r>
      <w:proofErr w:type="spellStart"/>
      <w:r w:rsidRPr="00062B76">
        <w:rPr>
          <w:rFonts w:cs="Times New Roman"/>
        </w:rPr>
        <w:t>CanLII</w:t>
      </w:r>
      <w:proofErr w:type="spellEnd"/>
      <w:r w:rsidRPr="00062B76">
        <w:rPr>
          <w:rFonts w:cs="Times New Roman"/>
        </w:rPr>
        <w:t xml:space="preserve"> 9887, and 2012 QCTAQ 12689, 2013 </w:t>
      </w:r>
      <w:proofErr w:type="spellStart"/>
      <w:r w:rsidRPr="00062B76">
        <w:rPr>
          <w:rFonts w:cs="Times New Roman"/>
        </w:rPr>
        <w:t>CanLII</w:t>
      </w:r>
      <w:proofErr w:type="spellEnd"/>
      <w:r w:rsidRPr="00062B76">
        <w:rPr>
          <w:rFonts w:cs="Times New Roman"/>
        </w:rPr>
        <w:t xml:space="preserve"> 2328</w:t>
      </w:r>
    </w:p>
    <w:p w:rsidR="00290916" w:rsidRPr="00062B76" w:rsidRDefault="00290916" w:rsidP="00935044">
      <w:pPr>
        <w:pStyle w:val="ParaNoNdepar-AltN"/>
        <w:widowControl w:val="0"/>
        <w:rPr>
          <w:rFonts w:cs="Times New Roman"/>
          <w:lang w:val="en-CA"/>
        </w:rPr>
      </w:pPr>
      <w:r w:rsidRPr="00062B76">
        <w:rPr>
          <w:rFonts w:cs="Times New Roman"/>
          <w:lang w:val="en-CA"/>
        </w:rPr>
        <w:t xml:space="preserve">The ATQ dismissed the two motions to dismiss concerning the motions for review that had been filed in the Minister’s name. It concluded that a person representing the Minister who is not an advocate has the power to prepare motions for review under s. 102 of the </w:t>
      </w:r>
      <w:r w:rsidRPr="00062B76">
        <w:rPr>
          <w:rFonts w:cs="Times New Roman"/>
          <w:i/>
          <w:lang w:val="en-CA"/>
        </w:rPr>
        <w:t>Act respecting administrative justice</w:t>
      </w:r>
      <w:r w:rsidRPr="00062B76">
        <w:rPr>
          <w:rFonts w:cs="Times New Roman"/>
          <w:lang w:val="en-CA"/>
        </w:rPr>
        <w:t xml:space="preserve"> and that this power is not limited by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because the Minister’s right to be represented for the purpose of “plead[</w:t>
      </w:r>
      <w:proofErr w:type="spellStart"/>
      <w:r w:rsidRPr="00062B76">
        <w:rPr>
          <w:rFonts w:cs="Times New Roman"/>
          <w:lang w:val="en-CA"/>
        </w:rPr>
        <w:t>ing</w:t>
      </w:r>
      <w:proofErr w:type="spellEnd"/>
      <w:r w:rsidRPr="00062B76">
        <w:rPr>
          <w:rFonts w:cs="Times New Roman"/>
          <w:lang w:val="en-CA"/>
        </w:rPr>
        <w:t>] or act[</w:t>
      </w:r>
      <w:proofErr w:type="spellStart"/>
      <w:r w:rsidRPr="00062B76">
        <w:rPr>
          <w:rFonts w:cs="Times New Roman"/>
          <w:lang w:val="en-CA"/>
        </w:rPr>
        <w:t>ing</w:t>
      </w:r>
      <w:proofErr w:type="spellEnd"/>
      <w:r w:rsidRPr="00062B76">
        <w:rPr>
          <w:rFonts w:cs="Times New Roman"/>
          <w:lang w:val="en-CA"/>
        </w:rPr>
        <w:t xml:space="preserve">]” under s. 128(2)(a)(5) of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encompasses both oral and written representation (2012 QCTAQ 12689, at paras. 20</w:t>
      </w:r>
      <w:r w:rsidRPr="00062B76">
        <w:rPr>
          <w:rFonts w:cs="Times New Roman"/>
          <w:lang w:val="en-CA"/>
        </w:rPr>
        <w:noBreakHyphen/>
        <w:t xml:space="preserve">26). Moreover, s. 102 of the </w:t>
      </w:r>
      <w:r w:rsidRPr="00062B76">
        <w:rPr>
          <w:rFonts w:cs="Times New Roman"/>
          <w:i/>
          <w:lang w:val="en-CA"/>
        </w:rPr>
        <w:t>Act respecting administrative justice</w:t>
      </w:r>
      <w:r w:rsidRPr="00062B76">
        <w:rPr>
          <w:rFonts w:cs="Times New Roman"/>
          <w:lang w:val="en-CA"/>
        </w:rPr>
        <w:t xml:space="preserve"> must be interpreted in light of s. 129(b) of the </w:t>
      </w:r>
      <w:r w:rsidRPr="00062B76">
        <w:rPr>
          <w:rFonts w:cs="Times New Roman"/>
          <w:i/>
          <w:lang w:val="en-CA"/>
        </w:rPr>
        <w:t xml:space="preserve">Act </w:t>
      </w:r>
      <w:r w:rsidRPr="00062B76">
        <w:rPr>
          <w:rFonts w:cs="Times New Roman"/>
          <w:i/>
          <w:lang w:val="en-CA"/>
        </w:rPr>
        <w:lastRenderedPageBreak/>
        <w:t xml:space="preserve">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and the wording of s. 102 is broader than that of s. 128(2)(a)(5) of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(2012 QCTAQ 12689, at paras. 28</w:t>
      </w:r>
      <w:r w:rsidRPr="00062B76">
        <w:rPr>
          <w:rFonts w:cs="Times New Roman"/>
          <w:lang w:val="en-CA"/>
        </w:rPr>
        <w:noBreakHyphen/>
        <w:t>29). The ATQ concluded that the power of a person who is not an advocate to represent the Minister under s. 102 includes all acts that are normally within the prerogative of an advocate who represents a client before a court or tribunal, including drawing up and preparing motions or other written proceedings.</w:t>
      </w:r>
    </w:p>
    <w:p w:rsidR="00290916" w:rsidRPr="00062B76" w:rsidRDefault="00290916" w:rsidP="00935044">
      <w:pPr>
        <w:pStyle w:val="Title3LevelTitre3Niveau"/>
        <w:widowControl w:val="0"/>
        <w:numPr>
          <w:ilvl w:val="2"/>
          <w:numId w:val="8"/>
        </w:numPr>
        <w:rPr>
          <w:rFonts w:cs="Times New Roman"/>
        </w:rPr>
      </w:pPr>
      <w:r w:rsidRPr="00062B76">
        <w:rPr>
          <w:rFonts w:cs="Times New Roman"/>
        </w:rPr>
        <w:t>Judgment of the Quebec Superior Court — 2014 QCCS 2226</w:t>
      </w:r>
    </w:p>
    <w:p w:rsidR="00290916" w:rsidRPr="00062B76" w:rsidRDefault="00290916" w:rsidP="00935044">
      <w:pPr>
        <w:pStyle w:val="ParaNoNdepar-AltN"/>
        <w:widowControl w:val="0"/>
        <w:rPr>
          <w:rFonts w:cs="Times New Roman"/>
          <w:lang w:val="en-CA"/>
        </w:rPr>
      </w:pPr>
      <w:r w:rsidRPr="00062B76">
        <w:rPr>
          <w:rFonts w:cs="Times New Roman"/>
          <w:lang w:val="en-CA"/>
        </w:rPr>
        <w:t xml:space="preserve">The individuals involved in the cases before the ATQ applied, with the </w:t>
      </w:r>
      <w:proofErr w:type="spellStart"/>
      <w:r w:rsidRPr="00062B76">
        <w:rPr>
          <w:rFonts w:cs="Times New Roman"/>
          <w:lang w:val="en-CA"/>
        </w:rPr>
        <w:t>Barreau’s</w:t>
      </w:r>
      <w:proofErr w:type="spellEnd"/>
      <w:r w:rsidRPr="00062B76">
        <w:rPr>
          <w:rFonts w:cs="Times New Roman"/>
          <w:lang w:val="en-CA"/>
        </w:rPr>
        <w:t xml:space="preserve"> support, to the Quebec Superior Court for judicial review of the ATQ’s decisions. The Superior Court began by considering the standard of review, and it concluded that the standard applicable to the ATQ’s decisions was correctness. It noted that there was a privative clause, but decided that the question before it created a conflict between the </w:t>
      </w:r>
      <w:r w:rsidRPr="00062B76">
        <w:rPr>
          <w:rFonts w:cs="Times New Roman"/>
          <w:i/>
          <w:lang w:val="en-CA"/>
        </w:rPr>
        <w:t>Act respecting administrative justice</w:t>
      </w:r>
      <w:r w:rsidRPr="00062B76">
        <w:rPr>
          <w:rFonts w:cs="Times New Roman"/>
          <w:lang w:val="en-CA"/>
        </w:rPr>
        <w:t xml:space="preserve"> and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a statute of public order. In its view, the fundamental issue concerned the interpretation of the exception established by s. 128(2</w:t>
      </w:r>
      <w:proofErr w:type="gramStart"/>
      <w:r w:rsidRPr="00062B76">
        <w:rPr>
          <w:rFonts w:cs="Times New Roman"/>
          <w:lang w:val="en-CA"/>
        </w:rPr>
        <w:t>)(</w:t>
      </w:r>
      <w:proofErr w:type="gramEnd"/>
      <w:r w:rsidRPr="00062B76">
        <w:rPr>
          <w:rFonts w:cs="Times New Roman"/>
          <w:lang w:val="en-CA"/>
        </w:rPr>
        <w:t>a)(5)</w:t>
      </w:r>
      <w:r w:rsidRPr="00062B76">
        <w:rPr>
          <w:rFonts w:cs="Times New Roman"/>
          <w:sz w:val="22"/>
          <w:lang w:val="en-CA" w:eastAsia="fr-CA"/>
        </w:rPr>
        <w:t xml:space="preserve"> of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The Superior Court found that this issue was [</w:t>
      </w:r>
      <w:r w:rsidRPr="00062B76">
        <w:rPr>
          <w:rFonts w:cs="Times New Roman"/>
          <w:smallCaps/>
          <w:lang w:val="en-CA"/>
        </w:rPr>
        <w:t>translation</w:t>
      </w:r>
      <w:r w:rsidRPr="00062B76">
        <w:rPr>
          <w:rFonts w:cs="Times New Roman"/>
          <w:lang w:val="en-CA"/>
        </w:rPr>
        <w:t>] “outside the context of the ATQ’s exclusi</w:t>
      </w:r>
      <w:r w:rsidR="00AF2E30">
        <w:rPr>
          <w:rFonts w:cs="Times New Roman"/>
          <w:lang w:val="en-CA"/>
        </w:rPr>
        <w:t>ve jurisdiction” (para. 33 (</w:t>
      </w:r>
      <w:proofErr w:type="spellStart"/>
      <w:r w:rsidR="00AF2E30">
        <w:rPr>
          <w:rFonts w:cs="Times New Roman"/>
          <w:lang w:val="en-CA"/>
        </w:rPr>
        <w:t>Can</w:t>
      </w:r>
      <w:r w:rsidRPr="00062B76">
        <w:rPr>
          <w:rFonts w:cs="Times New Roman"/>
          <w:lang w:val="en-CA"/>
        </w:rPr>
        <w:t>LII</w:t>
      </w:r>
      <w:proofErr w:type="spellEnd"/>
      <w:r w:rsidRPr="00062B76">
        <w:rPr>
          <w:rFonts w:cs="Times New Roman"/>
          <w:lang w:val="en-CA"/>
        </w:rPr>
        <w:t xml:space="preserve">)) and that such an exception to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must be interpreted “narrowly, consistently and uniformly” (para. 37). In its view, the ATQ “has no special expertise or experience in this area” (para. 35).</w:t>
      </w:r>
    </w:p>
    <w:p w:rsidR="00290916" w:rsidRPr="00062B76" w:rsidRDefault="00290916" w:rsidP="00935044">
      <w:pPr>
        <w:pStyle w:val="ParaNoNdepar-AltN"/>
        <w:widowControl w:val="0"/>
        <w:rPr>
          <w:rFonts w:cs="Times New Roman"/>
          <w:lang w:val="en-CA"/>
        </w:rPr>
      </w:pPr>
      <w:r w:rsidRPr="00062B76">
        <w:rPr>
          <w:rFonts w:cs="Times New Roman"/>
          <w:lang w:val="en-CA"/>
        </w:rPr>
        <w:t>On the scope of the “represent[</w:t>
      </w:r>
      <w:proofErr w:type="spellStart"/>
      <w:r w:rsidRPr="00062B76">
        <w:rPr>
          <w:rFonts w:cs="Times New Roman"/>
          <w:lang w:val="en-CA"/>
        </w:rPr>
        <w:t>ation</w:t>
      </w:r>
      <w:proofErr w:type="spellEnd"/>
      <w:r w:rsidRPr="00062B76">
        <w:rPr>
          <w:rFonts w:cs="Times New Roman"/>
          <w:lang w:val="en-CA"/>
        </w:rPr>
        <w:t xml:space="preserve">]” provided for in s. 102 of the </w:t>
      </w:r>
      <w:r w:rsidRPr="00062B76">
        <w:rPr>
          <w:rFonts w:cs="Times New Roman"/>
          <w:i/>
          <w:lang w:val="en-CA"/>
        </w:rPr>
        <w:t xml:space="preserve">Act </w:t>
      </w:r>
      <w:r w:rsidRPr="00062B76">
        <w:rPr>
          <w:rFonts w:cs="Times New Roman"/>
          <w:i/>
          <w:lang w:val="en-CA"/>
        </w:rPr>
        <w:lastRenderedPageBreak/>
        <w:t>respecting administrative justice</w:t>
      </w:r>
      <w:r w:rsidRPr="00062B76">
        <w:rPr>
          <w:rFonts w:cs="Times New Roman"/>
          <w:lang w:val="en-CA"/>
        </w:rPr>
        <w:t xml:space="preserve">, the Superior Court focused its analysis on s. 128 of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which distinguishes two classes of activities: “</w:t>
      </w:r>
      <w:proofErr w:type="spellStart"/>
      <w:r w:rsidRPr="00062B76">
        <w:rPr>
          <w:rFonts w:cs="Times New Roman"/>
          <w:lang w:val="en-CA"/>
        </w:rPr>
        <w:t>prepar</w:t>
      </w:r>
      <w:proofErr w:type="spellEnd"/>
      <w:r w:rsidRPr="00062B76">
        <w:rPr>
          <w:rFonts w:cs="Times New Roman"/>
          <w:lang w:val="en-CA"/>
        </w:rPr>
        <w:t>[</w:t>
      </w:r>
      <w:proofErr w:type="spellStart"/>
      <w:r w:rsidRPr="00062B76">
        <w:rPr>
          <w:rFonts w:cs="Times New Roman"/>
          <w:lang w:val="en-CA"/>
        </w:rPr>
        <w:t>ing</w:t>
      </w:r>
      <w:proofErr w:type="spellEnd"/>
      <w:r w:rsidRPr="00062B76">
        <w:rPr>
          <w:rFonts w:cs="Times New Roman"/>
          <w:lang w:val="en-CA"/>
        </w:rPr>
        <w:t>] and draw[</w:t>
      </w:r>
      <w:proofErr w:type="spellStart"/>
      <w:r w:rsidRPr="00062B76">
        <w:rPr>
          <w:rFonts w:cs="Times New Roman"/>
          <w:lang w:val="en-CA"/>
        </w:rPr>
        <w:t>ing</w:t>
      </w:r>
      <w:proofErr w:type="spellEnd"/>
      <w:r w:rsidRPr="00062B76">
        <w:rPr>
          <w:rFonts w:cs="Times New Roman"/>
          <w:lang w:val="en-CA"/>
        </w:rPr>
        <w:t>] up” documents intended for use before the courts, which is dealt with in s. 128(1), and “plead[</w:t>
      </w:r>
      <w:proofErr w:type="spellStart"/>
      <w:r w:rsidRPr="00062B76">
        <w:rPr>
          <w:rFonts w:cs="Times New Roman"/>
          <w:lang w:val="en-CA"/>
        </w:rPr>
        <w:t>ing</w:t>
      </w:r>
      <w:proofErr w:type="spellEnd"/>
      <w:r w:rsidRPr="00062B76">
        <w:rPr>
          <w:rFonts w:cs="Times New Roman"/>
          <w:lang w:val="en-CA"/>
        </w:rPr>
        <w:t>] or act[</w:t>
      </w:r>
      <w:proofErr w:type="spellStart"/>
      <w:r w:rsidRPr="00062B76">
        <w:rPr>
          <w:rFonts w:cs="Times New Roman"/>
          <w:lang w:val="en-CA"/>
        </w:rPr>
        <w:t>ing</w:t>
      </w:r>
      <w:proofErr w:type="spellEnd"/>
      <w:r w:rsidRPr="00062B76">
        <w:rPr>
          <w:rFonts w:cs="Times New Roman"/>
          <w:lang w:val="en-CA"/>
        </w:rPr>
        <w:t>] before any tribunal”, which is dealt with in s. 128(2). This second class has seven exceptions, one of which is the Minister’s right under s. 128(2</w:t>
      </w:r>
      <w:proofErr w:type="gramStart"/>
      <w:r w:rsidRPr="00062B76">
        <w:rPr>
          <w:rFonts w:cs="Times New Roman"/>
          <w:lang w:val="en-CA"/>
        </w:rPr>
        <w:t>)(</w:t>
      </w:r>
      <w:proofErr w:type="gramEnd"/>
      <w:r w:rsidRPr="00062B76">
        <w:rPr>
          <w:rFonts w:cs="Times New Roman"/>
          <w:lang w:val="en-CA"/>
        </w:rPr>
        <w:t>a)(5) to be represented by a person who is not an advocate for the purpose of pleading or acting before the social affairs division of the ATQ. The first class, on the other hand, the one that includes the preparation and drawing up of motions, [</w:t>
      </w:r>
      <w:r w:rsidRPr="00062B76">
        <w:rPr>
          <w:rFonts w:cs="Times New Roman"/>
          <w:smallCaps/>
          <w:lang w:val="en-CA"/>
        </w:rPr>
        <w:t>translation</w:t>
      </w:r>
      <w:r w:rsidRPr="00062B76">
        <w:rPr>
          <w:rFonts w:cs="Times New Roman"/>
          <w:lang w:val="en-CA"/>
        </w:rPr>
        <w:t xml:space="preserve">] “has no exceptions” (para. 45). On this basis, the Superior Court concluded that the power of a person chosen to represent the Minister who is not an advocate, “which must be narrowly construed, can concern only the power to plead or act before the ATQ’s social affairs division, that is, [s. 128(2)] of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(para. 47), and that the act of “plead[</w:t>
      </w:r>
      <w:proofErr w:type="spellStart"/>
      <w:r w:rsidRPr="00062B76">
        <w:rPr>
          <w:rFonts w:cs="Times New Roman"/>
          <w:lang w:val="en-CA"/>
        </w:rPr>
        <w:t>ing</w:t>
      </w:r>
      <w:proofErr w:type="spellEnd"/>
      <w:r w:rsidRPr="00062B76">
        <w:rPr>
          <w:rFonts w:cs="Times New Roman"/>
          <w:lang w:val="en-CA"/>
        </w:rPr>
        <w:t>] or act[</w:t>
      </w:r>
      <w:proofErr w:type="spellStart"/>
      <w:r w:rsidRPr="00062B76">
        <w:rPr>
          <w:rFonts w:cs="Times New Roman"/>
          <w:lang w:val="en-CA"/>
        </w:rPr>
        <w:t>ing</w:t>
      </w:r>
      <w:proofErr w:type="spellEnd"/>
      <w:r w:rsidRPr="00062B76">
        <w:rPr>
          <w:rFonts w:cs="Times New Roman"/>
          <w:lang w:val="en-CA"/>
        </w:rPr>
        <w:t xml:space="preserve">]” before a court or tribunal does not include the preparation and drawing up of motions. On the subject of s. 129(b) of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which concerns rights that are “specifically defined and granted” by any other law, the Superior Court was of the view that the only </w:t>
      </w:r>
      <w:r w:rsidRPr="00062B76">
        <w:rPr>
          <w:rFonts w:cs="Times New Roman"/>
          <w:i/>
          <w:lang w:val="en-CA"/>
        </w:rPr>
        <w:t>specific</w:t>
      </w:r>
      <w:r w:rsidRPr="00062B76">
        <w:rPr>
          <w:rFonts w:cs="Times New Roman"/>
          <w:lang w:val="en-CA"/>
        </w:rPr>
        <w:t xml:space="preserve"> right granted to the Minister is based on s. 128(2)(a)(5) of that Act. </w:t>
      </w:r>
    </w:p>
    <w:p w:rsidR="00290916" w:rsidRPr="00062B76" w:rsidRDefault="00290916" w:rsidP="00935044">
      <w:pPr>
        <w:pStyle w:val="ParaNoNdepar-AltN"/>
        <w:widowControl w:val="0"/>
        <w:rPr>
          <w:rFonts w:cs="Times New Roman"/>
          <w:lang w:val="en-CA"/>
        </w:rPr>
      </w:pPr>
      <w:r w:rsidRPr="00062B76">
        <w:rPr>
          <w:rFonts w:cs="Times New Roman"/>
          <w:lang w:val="en-CA"/>
        </w:rPr>
        <w:t xml:space="preserve">In short, the Superior Court held that a person chosen by the Minister to represent him or her who is not an advocate may plead or act orally before the ATQ’s social affairs division, but that only an advocate or a solicitor may prepare and draw up the related written proceedings. It accordingly dismissed the motions for review filed </w:t>
      </w:r>
      <w:r w:rsidRPr="00062B76">
        <w:rPr>
          <w:rFonts w:cs="Times New Roman"/>
          <w:lang w:val="en-CA"/>
        </w:rPr>
        <w:lastRenderedPageBreak/>
        <w:t>in the Minister’s name in the two cases in question, declaring them to be null.</w:t>
      </w:r>
    </w:p>
    <w:p w:rsidR="00290916" w:rsidRPr="00062B76" w:rsidRDefault="00290916" w:rsidP="00935044">
      <w:pPr>
        <w:pStyle w:val="Title3LevelTitre3Niveau"/>
        <w:widowControl w:val="0"/>
        <w:numPr>
          <w:ilvl w:val="2"/>
          <w:numId w:val="8"/>
        </w:numPr>
        <w:rPr>
          <w:rFonts w:cs="Times New Roman"/>
        </w:rPr>
      </w:pPr>
      <w:r w:rsidRPr="00062B76">
        <w:rPr>
          <w:rFonts w:cs="Times New Roman"/>
        </w:rPr>
        <w:t>Judgment of the Quebec Court of Appeal — 2016 QCCA 536</w:t>
      </w:r>
    </w:p>
    <w:p w:rsidR="00290916" w:rsidRPr="00062B76" w:rsidRDefault="00290916" w:rsidP="00935044">
      <w:pPr>
        <w:pStyle w:val="ParaNoNdepar-AltN"/>
        <w:widowControl w:val="0"/>
        <w:rPr>
          <w:rFonts w:cs="Times New Roman"/>
          <w:lang w:val="en-CA"/>
        </w:rPr>
      </w:pPr>
      <w:r w:rsidRPr="00062B76">
        <w:rPr>
          <w:rFonts w:cs="Times New Roman"/>
          <w:lang w:val="en-CA"/>
        </w:rPr>
        <w:t>The Attorney General of Quebec appealed the Superior Court’s judgment to the Quebec Court of Appeal, arguing that the Superior Court had erred on the standard of review and on the scope of the Minister’s right to be represented by a person of his or her choice. The Court of Appeal allowed the appeal and set aside the Superior Court’s judgment.</w:t>
      </w:r>
    </w:p>
    <w:p w:rsidR="00290916" w:rsidRPr="00062B76" w:rsidRDefault="00290916" w:rsidP="00935044">
      <w:pPr>
        <w:pStyle w:val="ParaNoNdepar-AltN"/>
        <w:widowControl w:val="0"/>
        <w:rPr>
          <w:rFonts w:cs="Times New Roman"/>
          <w:lang w:val="en-CA"/>
        </w:rPr>
      </w:pPr>
      <w:r w:rsidRPr="00062B76">
        <w:rPr>
          <w:rFonts w:cs="Times New Roman"/>
          <w:lang w:val="en-CA"/>
        </w:rPr>
        <w:t xml:space="preserve">On the standard of review, the Court of Appeal was of the view that the Superior Court had erred in applying the correctness standard. It noted that the ATQ is protected by a privative clause, that it has exclusive jurisdiction over social aid and that s. 15 of the </w:t>
      </w:r>
      <w:r w:rsidRPr="00062B76">
        <w:rPr>
          <w:rFonts w:cs="Times New Roman"/>
          <w:i/>
          <w:lang w:val="en-CA"/>
        </w:rPr>
        <w:t>Act respecting administrative justice</w:t>
      </w:r>
      <w:r w:rsidRPr="00062B76">
        <w:rPr>
          <w:rFonts w:cs="Times New Roman"/>
          <w:lang w:val="en-CA"/>
        </w:rPr>
        <w:t xml:space="preserve"> authorizes it “to decide any question of law or fact necessary for the exercise of its jurisdiction” (para. 31 (</w:t>
      </w:r>
      <w:proofErr w:type="spellStart"/>
      <w:r w:rsidRPr="00062B76">
        <w:rPr>
          <w:rFonts w:cs="Times New Roman"/>
          <w:lang w:val="en-CA"/>
        </w:rPr>
        <w:t>CanLII</w:t>
      </w:r>
      <w:proofErr w:type="spellEnd"/>
      <w:r w:rsidRPr="00062B76">
        <w:rPr>
          <w:rFonts w:cs="Times New Roman"/>
          <w:lang w:val="en-CA"/>
        </w:rPr>
        <w:t xml:space="preserve">)). Citing </w:t>
      </w:r>
      <w:r w:rsidRPr="00062B76">
        <w:rPr>
          <w:rFonts w:cs="Times New Roman"/>
          <w:i/>
          <w:lang w:val="en-CA"/>
        </w:rPr>
        <w:t>Ontario (Community Safety and Correctional Services) v. Ontario (Information and Privacy Commissioner)</w:t>
      </w:r>
      <w:r w:rsidRPr="00062B76">
        <w:rPr>
          <w:rFonts w:cs="Times New Roman"/>
          <w:lang w:val="en-CA"/>
        </w:rPr>
        <w:t>, 2014 SCC 31, [2014] 1 S.C.R. 674, the Court of Appeal held that the fact that the ATQ had to [</w:t>
      </w:r>
      <w:r w:rsidRPr="00062B76">
        <w:rPr>
          <w:rFonts w:cs="Times New Roman"/>
          <w:smallCaps/>
          <w:lang w:val="en-CA"/>
        </w:rPr>
        <w:t>translation</w:t>
      </w:r>
      <w:r w:rsidRPr="00062B76">
        <w:rPr>
          <w:rFonts w:cs="Times New Roman"/>
          <w:lang w:val="en-CA"/>
        </w:rPr>
        <w:t xml:space="preserve">] “bear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in mind” in interpreting s. 102 of the </w:t>
      </w:r>
      <w:r w:rsidRPr="00062B76">
        <w:rPr>
          <w:rFonts w:cs="Times New Roman"/>
          <w:i/>
          <w:lang w:val="en-CA"/>
        </w:rPr>
        <w:t>Act respecting administrative justice</w:t>
      </w:r>
      <w:r w:rsidRPr="00062B76">
        <w:rPr>
          <w:rFonts w:cs="Times New Roman"/>
          <w:lang w:val="en-CA"/>
        </w:rPr>
        <w:t xml:space="preserve"> did not have the effect of removing the issue from the tribunal’s jurisdiction (para. 32). The issue the ATQ had to resolve “is not a question of general law that is of central importance to the legal system as a whole and lies outside its specialized area of expertise” (para. 34).</w:t>
      </w:r>
    </w:p>
    <w:p w:rsidR="00290916" w:rsidRPr="00062B76" w:rsidRDefault="00290916" w:rsidP="00935044">
      <w:pPr>
        <w:pStyle w:val="ParaNoNdepar-AltN"/>
        <w:widowControl w:val="0"/>
        <w:rPr>
          <w:rFonts w:cs="Times New Roman"/>
          <w:lang w:val="en-CA"/>
        </w:rPr>
      </w:pPr>
      <w:r w:rsidRPr="00062B76">
        <w:rPr>
          <w:rFonts w:cs="Times New Roman"/>
          <w:lang w:val="en-CA"/>
        </w:rPr>
        <w:lastRenderedPageBreak/>
        <w:t xml:space="preserve">The Court of Appeal also expressed the view that the Superior Court had erred in reversing the ATQ’s decisions. It identified two possible interpretations of the Minister’s right to be represented by a person who is not an advocate — one based on the extension of this right by a 1973 legislative amendment that had added the word “act” to the word “plead” in s. 128 of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and the other based on s. 129 of that Act — and both of them led to the same result, that a person representing the Minister who is not an advocate </w:t>
      </w:r>
      <w:r w:rsidRPr="00062B76">
        <w:rPr>
          <w:rFonts w:cs="Times New Roman"/>
          <w:i/>
          <w:lang w:val="en-CA"/>
        </w:rPr>
        <w:t>may</w:t>
      </w:r>
      <w:r w:rsidRPr="00062B76">
        <w:rPr>
          <w:rFonts w:cs="Times New Roman"/>
          <w:lang w:val="en-CA"/>
        </w:rPr>
        <w:t xml:space="preserve"> prepare, draw up and sign motions or written proceedings intended for use before the ATQ’s social affairs division. The Court of Appeal concluded that, regardless of the applicable standard of review, the decisions of the ATQ, which had in fact combined these two possible interpretations, were acceptable. </w:t>
      </w:r>
    </w:p>
    <w:p w:rsidR="00290916" w:rsidRPr="00062B76" w:rsidRDefault="00290916" w:rsidP="00935044">
      <w:pPr>
        <w:pStyle w:val="Title1LevelTitre1Niveau-AltL"/>
        <w:widowControl w:val="0"/>
        <w:numPr>
          <w:ilvl w:val="0"/>
          <w:numId w:val="8"/>
        </w:numPr>
        <w:rPr>
          <w:rFonts w:cs="Times New Roman"/>
        </w:rPr>
      </w:pPr>
      <w:r w:rsidRPr="00062B76">
        <w:rPr>
          <w:rFonts w:cs="Times New Roman"/>
        </w:rPr>
        <w:t>Analysis</w:t>
      </w:r>
    </w:p>
    <w:p w:rsidR="00290916" w:rsidRPr="00062B76" w:rsidRDefault="00290916" w:rsidP="00935044">
      <w:pPr>
        <w:pStyle w:val="Title2LevelTitre2Niveau"/>
        <w:widowControl w:val="0"/>
        <w:numPr>
          <w:ilvl w:val="1"/>
          <w:numId w:val="8"/>
        </w:numPr>
        <w:rPr>
          <w:rFonts w:cs="Times New Roman"/>
        </w:rPr>
      </w:pPr>
      <w:r w:rsidRPr="00062B76">
        <w:rPr>
          <w:rFonts w:cs="Times New Roman"/>
        </w:rPr>
        <w:t>Standard of Review</w:t>
      </w:r>
    </w:p>
    <w:p w:rsidR="00290916" w:rsidRPr="00062B76" w:rsidRDefault="00290916" w:rsidP="00935044">
      <w:pPr>
        <w:pStyle w:val="ParaNoNdepar-AltN"/>
        <w:widowControl w:val="0"/>
        <w:rPr>
          <w:rFonts w:cs="Times New Roman"/>
          <w:lang w:val="en-CA"/>
        </w:rPr>
      </w:pPr>
      <w:r w:rsidRPr="00062B76">
        <w:rPr>
          <w:rFonts w:cs="Times New Roman"/>
          <w:lang w:val="en-CA"/>
        </w:rPr>
        <w:t xml:space="preserve">The first issue is that of the applicable standard of review. The reason why the Superior Court and the Court of Appeal did not apply the same standard is that they characterized the subject matter of the case differently. In my view, this difference between the courts below stems from the fact that they approached their analysis of the question before them from different perspectives. The Superior Court found that the statutory interpretation issue pertained primarily to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whereas the Court of Appeal considered that issue from the standpoint of s. 102 of the </w:t>
      </w:r>
      <w:r w:rsidRPr="00062B76">
        <w:rPr>
          <w:rFonts w:cs="Times New Roman"/>
          <w:i/>
          <w:lang w:val="en-CA"/>
        </w:rPr>
        <w:t>Act respecting administrative justice</w:t>
      </w:r>
      <w:r w:rsidRPr="00062B76">
        <w:rPr>
          <w:rFonts w:cs="Times New Roman"/>
          <w:lang w:val="en-CA"/>
        </w:rPr>
        <w:t xml:space="preserve">. With all due respect, I consider the </w:t>
      </w:r>
      <w:r w:rsidRPr="00062B76">
        <w:rPr>
          <w:rFonts w:cs="Times New Roman"/>
          <w:lang w:val="en-CA"/>
        </w:rPr>
        <w:lastRenderedPageBreak/>
        <w:t xml:space="preserve">latter approach to be the correct one. As I will explain, as a result of s. 129(b) of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s. 128 of that Act in no way limits the scope of s. 102 of the </w:t>
      </w:r>
      <w:r w:rsidRPr="00062B76">
        <w:rPr>
          <w:rFonts w:cs="Times New Roman"/>
          <w:i/>
          <w:lang w:val="en-CA"/>
        </w:rPr>
        <w:t>Act respecting administrative justice</w:t>
      </w:r>
      <w:r w:rsidRPr="00062B76">
        <w:rPr>
          <w:rFonts w:cs="Times New Roman"/>
          <w:lang w:val="en-CA"/>
        </w:rPr>
        <w:t>. The central issue before the ATQ had been whether the Minister’s right to “be represented” that is provided for in s. 102 includes the preparation and drawing up of written proceedings or motions intended for use before the ATQ’s social affairs division. The applicable standard in this regard is reasonableness.</w:t>
      </w:r>
    </w:p>
    <w:p w:rsidR="00290916" w:rsidRPr="00062B76" w:rsidRDefault="00290916" w:rsidP="00935044">
      <w:pPr>
        <w:pStyle w:val="ParaNoNdepar-AltN"/>
        <w:widowControl w:val="0"/>
        <w:rPr>
          <w:rFonts w:cs="Times New Roman"/>
          <w:lang w:val="en-CA"/>
        </w:rPr>
      </w:pPr>
      <w:r w:rsidRPr="00062B76">
        <w:rPr>
          <w:rFonts w:cs="Times New Roman"/>
          <w:lang w:val="en-CA"/>
        </w:rPr>
        <w:t>Unless the jurisprudence already contains a satisfactory determination of the applicable standard of review (</w:t>
      </w:r>
      <w:r w:rsidRPr="00062B76">
        <w:rPr>
          <w:rFonts w:cs="Times New Roman"/>
          <w:i/>
          <w:lang w:val="en-CA"/>
        </w:rPr>
        <w:t>Dunsmuir v. New Brunswick</w:t>
      </w:r>
      <w:r w:rsidRPr="00062B76">
        <w:rPr>
          <w:rFonts w:cs="Times New Roman"/>
          <w:lang w:val="en-CA"/>
        </w:rPr>
        <w:t>, 2008 SCC 9, [2008] 1 S.C.R. 190, at para. 62), a court must presume, in reviewing a decision in which a specialized administrative tribunal has interpreted and applied its enabling statute or a statute with a close connection to its function, that the reasonableness standard applies (</w:t>
      </w:r>
      <w:r w:rsidRPr="00062B76">
        <w:rPr>
          <w:rFonts w:cs="Times New Roman"/>
          <w:i/>
          <w:lang w:val="en-CA"/>
        </w:rPr>
        <w:t>Alberta (Information and Privacy Commissioner) v. Alberta Teachers’ Association</w:t>
      </w:r>
      <w:r w:rsidRPr="00062B76">
        <w:rPr>
          <w:rFonts w:cs="Times New Roman"/>
          <w:lang w:val="en-CA"/>
        </w:rPr>
        <w:t xml:space="preserve">, 2011 SCC 61, [2011] 3 S.C.R. 654, at para. 34). In the instant case, there is no satisfactory precedent. The decision cited by the </w:t>
      </w:r>
      <w:proofErr w:type="spellStart"/>
      <w:r w:rsidRPr="00062B76">
        <w:rPr>
          <w:rFonts w:cs="Times New Roman"/>
          <w:lang w:val="en-CA"/>
        </w:rPr>
        <w:t>Barreau</w:t>
      </w:r>
      <w:proofErr w:type="spellEnd"/>
      <w:r w:rsidRPr="00062B76">
        <w:rPr>
          <w:rFonts w:cs="Times New Roman"/>
          <w:lang w:val="en-CA"/>
        </w:rPr>
        <w:t xml:space="preserve"> on this point (</w:t>
      </w:r>
      <w:r w:rsidRPr="00062B76">
        <w:rPr>
          <w:rFonts w:cs="Times New Roman"/>
          <w:i/>
          <w:lang w:val="en-CA"/>
        </w:rPr>
        <w:t xml:space="preserve">Harvey v. </w:t>
      </w:r>
      <w:proofErr w:type="spellStart"/>
      <w:r w:rsidRPr="00062B76">
        <w:rPr>
          <w:rFonts w:cs="Times New Roman"/>
          <w:i/>
          <w:lang w:val="en-CA"/>
        </w:rPr>
        <w:t>Guerreiro</w:t>
      </w:r>
      <w:proofErr w:type="spellEnd"/>
      <w:r w:rsidRPr="00062B76">
        <w:rPr>
          <w:rFonts w:cs="Times New Roman"/>
          <w:lang w:val="en-CA"/>
        </w:rPr>
        <w:t xml:space="preserve">, [2005] R.J.Q. 1817 (C.Q.)) is not applicable, as it concerned provisions of the </w:t>
      </w:r>
      <w:r w:rsidRPr="00062B76">
        <w:rPr>
          <w:rFonts w:cs="Times New Roman"/>
          <w:i/>
          <w:lang w:val="en-CA"/>
        </w:rPr>
        <w:t xml:space="preserve">Act respecting the </w:t>
      </w:r>
      <w:proofErr w:type="spellStart"/>
      <w:r w:rsidRPr="00062B76">
        <w:rPr>
          <w:rFonts w:cs="Times New Roman"/>
          <w:i/>
          <w:lang w:val="en-CA"/>
        </w:rPr>
        <w:t>Régie</w:t>
      </w:r>
      <w:proofErr w:type="spellEnd"/>
      <w:r w:rsidRPr="00062B76">
        <w:rPr>
          <w:rFonts w:cs="Times New Roman"/>
          <w:i/>
          <w:lang w:val="en-CA"/>
        </w:rPr>
        <w:t xml:space="preserve"> du </w:t>
      </w:r>
      <w:proofErr w:type="spellStart"/>
      <w:r w:rsidRPr="00062B76">
        <w:rPr>
          <w:rFonts w:cs="Times New Roman"/>
          <w:i/>
          <w:lang w:val="en-CA"/>
        </w:rPr>
        <w:t>logement</w:t>
      </w:r>
      <w:proofErr w:type="spellEnd"/>
      <w:r w:rsidRPr="00062B76">
        <w:rPr>
          <w:rFonts w:cs="Times New Roman"/>
          <w:lang w:val="en-CA"/>
        </w:rPr>
        <w:t>, CQLR, c. R</w:t>
      </w:r>
      <w:r w:rsidRPr="00062B76">
        <w:rPr>
          <w:rFonts w:cs="Times New Roman"/>
          <w:lang w:val="en-CA"/>
        </w:rPr>
        <w:noBreakHyphen/>
        <w:t>8.1, ss. 72 and 74, that differed from the ones at issue here and appeared in a statute that included a weaker privative clause than the one that applies to the ATQ (</w:t>
      </w:r>
      <w:r w:rsidRPr="00062B76">
        <w:rPr>
          <w:rFonts w:cs="Times New Roman"/>
          <w:i/>
          <w:lang w:val="en-CA"/>
        </w:rPr>
        <w:t>ibid.</w:t>
      </w:r>
      <w:r w:rsidRPr="00062B76">
        <w:rPr>
          <w:rFonts w:cs="Times New Roman"/>
          <w:lang w:val="en-CA"/>
        </w:rPr>
        <w:t xml:space="preserve">, s. 91; compare s. 158 of the </w:t>
      </w:r>
      <w:r w:rsidRPr="00062B76">
        <w:rPr>
          <w:rFonts w:cs="Times New Roman"/>
          <w:i/>
          <w:lang w:val="en-CA"/>
        </w:rPr>
        <w:t>Act respecting administrative justice</w:t>
      </w:r>
      <w:r w:rsidRPr="00062B76">
        <w:rPr>
          <w:rFonts w:cs="Times New Roman"/>
          <w:lang w:val="en-CA"/>
        </w:rPr>
        <w:t xml:space="preserve">). </w:t>
      </w:r>
    </w:p>
    <w:p w:rsidR="00290916" w:rsidRPr="00062B76" w:rsidRDefault="00290916" w:rsidP="00935044">
      <w:pPr>
        <w:pStyle w:val="ParaNoNdepar-AltN"/>
        <w:widowControl w:val="0"/>
        <w:rPr>
          <w:rFonts w:cs="Times New Roman"/>
          <w:lang w:val="en-CA"/>
        </w:rPr>
      </w:pPr>
      <w:r w:rsidRPr="00062B76">
        <w:rPr>
          <w:rFonts w:cs="Times New Roman"/>
          <w:lang w:val="en-CA"/>
        </w:rPr>
        <w:t xml:space="preserve">The reasonableness standard must therefore be presumed to apply, given </w:t>
      </w:r>
      <w:r w:rsidRPr="00062B76">
        <w:rPr>
          <w:rFonts w:cs="Times New Roman"/>
          <w:lang w:val="en-CA"/>
        </w:rPr>
        <w:lastRenderedPageBreak/>
        <w:t xml:space="preserve">that the central issue entails the interpretation of s. 102 of the </w:t>
      </w:r>
      <w:r w:rsidRPr="00062B76">
        <w:rPr>
          <w:rFonts w:cs="Times New Roman"/>
          <w:i/>
          <w:lang w:val="en-CA"/>
        </w:rPr>
        <w:t>Act respecting administrative justice</w:t>
      </w:r>
      <w:r w:rsidRPr="00062B76">
        <w:rPr>
          <w:rFonts w:cs="Times New Roman"/>
          <w:lang w:val="en-CA"/>
        </w:rPr>
        <w:t xml:space="preserve">, which is in the ATQ’s enabling statute and which sets out procedural rules that apply in proceedings before it. It is true that, as the Court of Appeal put it, the ATQ had to bear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w:t>
      </w:r>
      <w:r w:rsidRPr="00062B76">
        <w:rPr>
          <w:rFonts w:cs="Times New Roman"/>
          <w:smallCaps/>
          <w:lang w:val="en-CA"/>
        </w:rPr>
        <w:t>translation</w:t>
      </w:r>
      <w:r w:rsidRPr="00062B76">
        <w:rPr>
          <w:rFonts w:cs="Times New Roman"/>
          <w:lang w:val="en-CA"/>
        </w:rPr>
        <w:t xml:space="preserve">] “in mind” in interpreting s. 102. But this does not have the effect of removing the issue from the ATQ’s jurisdiction and expertise; quite the contrary. It instead shows that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has a “close connection” to the ATQ’s function. Indeed, s. 128(2</w:t>
      </w:r>
      <w:proofErr w:type="gramStart"/>
      <w:r w:rsidRPr="00062B76">
        <w:rPr>
          <w:rFonts w:cs="Times New Roman"/>
          <w:lang w:val="en-CA"/>
        </w:rPr>
        <w:t>)(</w:t>
      </w:r>
      <w:proofErr w:type="gramEnd"/>
      <w:r w:rsidRPr="00062B76">
        <w:rPr>
          <w:rFonts w:cs="Times New Roman"/>
          <w:lang w:val="en-CA"/>
        </w:rPr>
        <w:t xml:space="preserve">a)(5) of that Act refers expressly to the ATQ and establishes a procedural rule that applies in proceedings before it. Moreover, the ATQ clearly has to refer to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often in the performance of its function. As the Attorney General pointed out in this Court, the ATQ has had to interpret ss. 128 and 129 of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in many recent decisions, and it had to decide the very question that is raised in this appeal in </w:t>
      </w:r>
      <w:r w:rsidRPr="00062B76">
        <w:rPr>
          <w:rFonts w:cs="Times New Roman"/>
          <w:i/>
          <w:lang w:val="en-CA"/>
        </w:rPr>
        <w:t>P.S. v. Québec (</w:t>
      </w:r>
      <w:proofErr w:type="spellStart"/>
      <w:r w:rsidRPr="00062B76">
        <w:rPr>
          <w:rFonts w:cs="Times New Roman"/>
          <w:i/>
          <w:lang w:val="en-CA"/>
        </w:rPr>
        <w:t>Emploi</w:t>
      </w:r>
      <w:proofErr w:type="spellEnd"/>
      <w:r w:rsidRPr="00062B76">
        <w:rPr>
          <w:rFonts w:cs="Times New Roman"/>
          <w:i/>
          <w:lang w:val="en-CA"/>
        </w:rPr>
        <w:t xml:space="preserve"> et </w:t>
      </w:r>
      <w:proofErr w:type="spellStart"/>
      <w:r w:rsidRPr="00062B76">
        <w:rPr>
          <w:rFonts w:cs="Times New Roman"/>
          <w:i/>
          <w:lang w:val="en-CA"/>
        </w:rPr>
        <w:t>Solidarité</w:t>
      </w:r>
      <w:proofErr w:type="spellEnd"/>
      <w:r w:rsidRPr="00062B76">
        <w:rPr>
          <w:rFonts w:cs="Times New Roman"/>
          <w:i/>
          <w:lang w:val="en-CA"/>
        </w:rPr>
        <w:t xml:space="preserve"> </w:t>
      </w:r>
      <w:proofErr w:type="spellStart"/>
      <w:r w:rsidRPr="00062B76">
        <w:rPr>
          <w:rFonts w:cs="Times New Roman"/>
          <w:i/>
          <w:lang w:val="en-CA"/>
        </w:rPr>
        <w:t>sociale</w:t>
      </w:r>
      <w:proofErr w:type="spellEnd"/>
      <w:r w:rsidRPr="00062B76">
        <w:rPr>
          <w:rFonts w:cs="Times New Roman"/>
          <w:i/>
          <w:lang w:val="en-CA"/>
        </w:rPr>
        <w:t>)</w:t>
      </w:r>
      <w:r w:rsidRPr="00062B76">
        <w:rPr>
          <w:rFonts w:cs="Times New Roman"/>
          <w:lang w:val="en-CA"/>
        </w:rPr>
        <w:t xml:space="preserve">, 2010 QCTAQ 11404, 2010 </w:t>
      </w:r>
      <w:proofErr w:type="spellStart"/>
      <w:r w:rsidRPr="00062B76">
        <w:rPr>
          <w:rFonts w:cs="Times New Roman"/>
          <w:lang w:val="en-CA"/>
        </w:rPr>
        <w:t>CanLII</w:t>
      </w:r>
      <w:proofErr w:type="spellEnd"/>
      <w:r w:rsidRPr="00062B76">
        <w:rPr>
          <w:rFonts w:cs="Times New Roman"/>
          <w:lang w:val="en-CA"/>
        </w:rPr>
        <w:t xml:space="preserve"> 70683.</w:t>
      </w:r>
    </w:p>
    <w:p w:rsidR="00290916" w:rsidRPr="00062B76" w:rsidRDefault="00290916" w:rsidP="00935044">
      <w:pPr>
        <w:pStyle w:val="ParaNoNdepar-AltN"/>
        <w:widowControl w:val="0"/>
        <w:rPr>
          <w:rFonts w:cs="Times New Roman"/>
          <w:lang w:val="en-CA"/>
        </w:rPr>
      </w:pPr>
      <w:r w:rsidRPr="00062B76">
        <w:rPr>
          <w:rFonts w:cs="Times New Roman"/>
          <w:lang w:val="en-CA"/>
        </w:rPr>
        <w:t xml:space="preserve">The </w:t>
      </w:r>
      <w:proofErr w:type="spellStart"/>
      <w:r w:rsidRPr="00062B76">
        <w:rPr>
          <w:rFonts w:cs="Times New Roman"/>
          <w:lang w:val="en-CA"/>
        </w:rPr>
        <w:t>Barreau</w:t>
      </w:r>
      <w:proofErr w:type="spellEnd"/>
      <w:r w:rsidRPr="00062B76">
        <w:rPr>
          <w:rFonts w:cs="Times New Roman"/>
          <w:lang w:val="en-CA"/>
        </w:rPr>
        <w:t xml:space="preserve"> nonetheless argues that the issue to be resolved in the case at bar is a question that is of central importance to the legal system as a whole and lies outside the ATQ’s specialized area of expertise, which in its view rebuts the presumption in favour of the reasonableness standard. In so arguing, the </w:t>
      </w:r>
      <w:proofErr w:type="spellStart"/>
      <w:r w:rsidRPr="00062B76">
        <w:rPr>
          <w:rFonts w:cs="Times New Roman"/>
          <w:lang w:val="en-CA"/>
        </w:rPr>
        <w:t>Barreau</w:t>
      </w:r>
      <w:proofErr w:type="spellEnd"/>
      <w:r w:rsidRPr="00062B76">
        <w:rPr>
          <w:rFonts w:cs="Times New Roman"/>
          <w:lang w:val="en-CA"/>
        </w:rPr>
        <w:t xml:space="preserve"> likens that issue to the one related to solicitor</w:t>
      </w:r>
      <w:r w:rsidRPr="00062B76">
        <w:rPr>
          <w:rFonts w:cs="Times New Roman"/>
          <w:lang w:val="en-CA"/>
        </w:rPr>
        <w:noBreakHyphen/>
        <w:t xml:space="preserve">client privilege that this Court found to be a question of central importance to the legal system as a whole in </w:t>
      </w:r>
      <w:r w:rsidRPr="00062B76">
        <w:rPr>
          <w:rFonts w:cs="Times New Roman"/>
          <w:i/>
          <w:lang w:val="en-CA"/>
        </w:rPr>
        <w:t>Alberta (Information and Privacy Commissioner) v. University of Calgary</w:t>
      </w:r>
      <w:r w:rsidRPr="00062B76">
        <w:rPr>
          <w:rFonts w:cs="Times New Roman"/>
          <w:lang w:val="en-CA"/>
        </w:rPr>
        <w:t xml:space="preserve">, 2016 SCC 53, [2016] 2 S.C.R. </w:t>
      </w:r>
      <w:r w:rsidRPr="00062B76">
        <w:rPr>
          <w:rFonts w:cs="Times New Roman"/>
          <w:lang w:val="en-CA"/>
        </w:rPr>
        <w:lastRenderedPageBreak/>
        <w:t xml:space="preserve">555. The </w:t>
      </w:r>
      <w:proofErr w:type="spellStart"/>
      <w:r w:rsidRPr="00062B76">
        <w:rPr>
          <w:rFonts w:cs="Times New Roman"/>
          <w:lang w:val="en-CA"/>
        </w:rPr>
        <w:t>Barreau</w:t>
      </w:r>
      <w:proofErr w:type="spellEnd"/>
      <w:r w:rsidRPr="00062B76">
        <w:rPr>
          <w:rFonts w:cs="Times New Roman"/>
          <w:lang w:val="en-CA"/>
        </w:rPr>
        <w:t xml:space="preserve"> submits that the scope of the exceptions that authorize parties to have recourse to the services of persons who are not advocates in proceedings before a court or tribunal is of similar importance.</w:t>
      </w:r>
    </w:p>
    <w:p w:rsidR="00290916" w:rsidRPr="00062B76" w:rsidRDefault="00290916" w:rsidP="00935044">
      <w:pPr>
        <w:pStyle w:val="ParaNoNdepar-AltN"/>
        <w:widowControl w:val="0"/>
        <w:rPr>
          <w:rFonts w:cs="Times New Roman"/>
          <w:lang w:val="en-CA"/>
        </w:rPr>
      </w:pPr>
      <w:r w:rsidRPr="00062B76">
        <w:rPr>
          <w:rFonts w:cs="Times New Roman"/>
          <w:lang w:val="en-CA"/>
        </w:rPr>
        <w:t xml:space="preserve">It is true that the </w:t>
      </w:r>
      <w:proofErr w:type="spellStart"/>
      <w:r w:rsidRPr="00062B76">
        <w:rPr>
          <w:rFonts w:cs="Times New Roman"/>
          <w:lang w:val="en-CA"/>
        </w:rPr>
        <w:t>Barreau’s</w:t>
      </w:r>
      <w:proofErr w:type="spellEnd"/>
      <w:r w:rsidRPr="00062B76">
        <w:rPr>
          <w:rFonts w:cs="Times New Roman"/>
          <w:lang w:val="en-CA"/>
        </w:rPr>
        <w:t xml:space="preserve"> role in regulating the representation of others before a court or tribunal is of obvious importance (</w:t>
      </w:r>
      <w:r w:rsidRPr="00062B76">
        <w:rPr>
          <w:rFonts w:cs="Times New Roman"/>
          <w:i/>
          <w:lang w:val="en-CA"/>
        </w:rPr>
        <w:t>Fortin v. Chrétien</w:t>
      </w:r>
      <w:r w:rsidRPr="00062B76">
        <w:rPr>
          <w:rFonts w:cs="Times New Roman"/>
          <w:lang w:val="en-CA"/>
        </w:rPr>
        <w:t xml:space="preserve">, 2001 SCC 45, [2001] 2 S.C.R. 500, at para. 21), but this does not mean that every question touching on this subject is automatically one of central importance to the legal system as a whole. In the instant case, what the ATQ had to do was not to determine the overall scope of the monopoly of advocates on the provision of legal services. Rather, it had to determine the scope of a narrow exception that had been established by the Quebec legislature in order to allow the Minister to be represented by a person who is not an advocate in certain proceedings before the ATQ’s social affairs division. The impact of this case is limited, and in the final analysis, the issue quite simply does not come close to being a question of central importance to the legal system as a whole. Moreover, the interpretation of s. 102 of the </w:t>
      </w:r>
      <w:r w:rsidRPr="00062B76">
        <w:rPr>
          <w:rFonts w:cs="Times New Roman"/>
          <w:i/>
          <w:lang w:val="en-CA"/>
        </w:rPr>
        <w:t>Act respecting administrative justice</w:t>
      </w:r>
      <w:r w:rsidRPr="00062B76">
        <w:rPr>
          <w:rFonts w:cs="Times New Roman"/>
          <w:lang w:val="en-CA"/>
        </w:rPr>
        <w:t xml:space="preserve"> falls squarely within the ATQ’s expertise.</w:t>
      </w:r>
    </w:p>
    <w:p w:rsidR="00290916" w:rsidRPr="00062B76" w:rsidRDefault="00290916" w:rsidP="00935044">
      <w:pPr>
        <w:pStyle w:val="ParaNoNdepar-AltN"/>
        <w:widowControl w:val="0"/>
        <w:rPr>
          <w:rFonts w:cs="Times New Roman"/>
          <w:lang w:val="en-CA"/>
        </w:rPr>
      </w:pPr>
      <w:r w:rsidRPr="00062B76">
        <w:rPr>
          <w:rFonts w:cs="Times New Roman"/>
          <w:lang w:val="en-CA"/>
        </w:rPr>
        <w:t xml:space="preserve">Furthermore, and with all due respect, I disagree with the opinion expressed by my colleague </w:t>
      </w:r>
      <w:proofErr w:type="spellStart"/>
      <w:r w:rsidRPr="00062B76">
        <w:rPr>
          <w:rFonts w:cs="Times New Roman"/>
          <w:lang w:val="en-CA"/>
        </w:rPr>
        <w:t>Côté</w:t>
      </w:r>
      <w:proofErr w:type="spellEnd"/>
      <w:r w:rsidRPr="00062B76">
        <w:rPr>
          <w:rFonts w:cs="Times New Roman"/>
          <w:lang w:val="en-CA"/>
        </w:rPr>
        <w:t> J. at para</w:t>
      </w:r>
      <w:r w:rsidR="00AF2E30">
        <w:rPr>
          <w:rFonts w:cs="Times New Roman"/>
          <w:lang w:val="en-CA"/>
        </w:rPr>
        <w:t>.</w:t>
      </w:r>
      <w:r w:rsidRPr="00062B76">
        <w:rPr>
          <w:rFonts w:cs="Times New Roman"/>
          <w:lang w:val="en-CA"/>
        </w:rPr>
        <w:t xml:space="preserve"> 52 of her reasons that the ATQ could render inconsistent decisions on the subject of the exceptions that authorize litigants to have recourse to the services of people who are not advocates. The opposite is in fact true, as the ATQ’s recent decisions with regard to such exceptions are consistent (see for </w:t>
      </w:r>
      <w:r w:rsidRPr="00062B76">
        <w:rPr>
          <w:rFonts w:cs="Times New Roman"/>
          <w:lang w:val="en-CA"/>
        </w:rPr>
        <w:lastRenderedPageBreak/>
        <w:t xml:space="preserve">example </w:t>
      </w:r>
      <w:proofErr w:type="spellStart"/>
      <w:r w:rsidRPr="00062B76">
        <w:rPr>
          <w:rFonts w:cs="Times New Roman"/>
          <w:i/>
          <w:lang w:val="en-CA"/>
        </w:rPr>
        <w:t>Bélanger</w:t>
      </w:r>
      <w:proofErr w:type="spellEnd"/>
      <w:r w:rsidRPr="00062B76">
        <w:rPr>
          <w:rFonts w:cs="Times New Roman"/>
          <w:i/>
          <w:lang w:val="en-CA"/>
        </w:rPr>
        <w:t xml:space="preserve"> v. Saint</w:t>
      </w:r>
      <w:r w:rsidRPr="00062B76">
        <w:rPr>
          <w:rFonts w:cs="Times New Roman"/>
          <w:i/>
          <w:lang w:val="en-CA"/>
        </w:rPr>
        <w:noBreakHyphen/>
        <w:t>Marcel (</w:t>
      </w:r>
      <w:proofErr w:type="spellStart"/>
      <w:r w:rsidRPr="00062B76">
        <w:rPr>
          <w:rFonts w:cs="Times New Roman"/>
          <w:i/>
          <w:lang w:val="en-CA"/>
        </w:rPr>
        <w:t>Municipalité</w:t>
      </w:r>
      <w:proofErr w:type="spellEnd"/>
      <w:r w:rsidRPr="00062B76">
        <w:rPr>
          <w:rFonts w:cs="Times New Roman"/>
          <w:i/>
          <w:lang w:val="en-CA"/>
        </w:rPr>
        <w:t>)</w:t>
      </w:r>
      <w:r w:rsidRPr="00062B76">
        <w:rPr>
          <w:rFonts w:cs="Times New Roman"/>
          <w:lang w:val="en-CA"/>
        </w:rPr>
        <w:t xml:space="preserve">, 2013 QCTAQ 01912, 2013 </w:t>
      </w:r>
      <w:proofErr w:type="spellStart"/>
      <w:r w:rsidRPr="00062B76">
        <w:rPr>
          <w:rFonts w:cs="Times New Roman"/>
          <w:lang w:val="en-CA"/>
        </w:rPr>
        <w:t>CanLII</w:t>
      </w:r>
      <w:proofErr w:type="spellEnd"/>
      <w:r w:rsidRPr="00062B76">
        <w:rPr>
          <w:rFonts w:cs="Times New Roman"/>
          <w:lang w:val="en-CA"/>
        </w:rPr>
        <w:t xml:space="preserve"> 5734; </w:t>
      </w:r>
      <w:r w:rsidRPr="00062B76">
        <w:rPr>
          <w:rFonts w:cs="Times New Roman"/>
          <w:i/>
          <w:lang w:val="en-CA"/>
        </w:rPr>
        <w:t>P.S.</w:t>
      </w:r>
      <w:r w:rsidRPr="00062B76">
        <w:rPr>
          <w:rFonts w:cs="Times New Roman"/>
          <w:lang w:val="en-CA"/>
        </w:rPr>
        <w:t>; and the two decisions in the instant case). No one is suggesting here that there is any divergence in the ATQ’s decisions on the question before us. In addition, the importance my colleague attaches to the mere possibility of the ATQ rendering conflicting decisions on this point is contrary to this Court’s recent jurisprudence (</w:t>
      </w:r>
      <w:r w:rsidRPr="00062B76">
        <w:rPr>
          <w:rFonts w:cs="Times New Roman"/>
          <w:i/>
          <w:lang w:val="en-CA"/>
        </w:rPr>
        <w:t>Wilson v. Atomic Energy of Canada Ltd.</w:t>
      </w:r>
      <w:r w:rsidRPr="00062B76">
        <w:rPr>
          <w:rFonts w:cs="Times New Roman"/>
          <w:lang w:val="en-CA"/>
        </w:rPr>
        <w:t>, 2016 SCC 29, [2016] 1 S.C.R. 770, at para. 17).</w:t>
      </w:r>
    </w:p>
    <w:p w:rsidR="00290916" w:rsidRPr="00062B76" w:rsidRDefault="00290916" w:rsidP="00935044">
      <w:pPr>
        <w:pStyle w:val="ParaNoNdepar-AltN"/>
        <w:widowControl w:val="0"/>
        <w:rPr>
          <w:rFonts w:cs="Times New Roman"/>
          <w:lang w:val="en-CA"/>
        </w:rPr>
      </w:pPr>
      <w:r w:rsidRPr="00062B76">
        <w:rPr>
          <w:rFonts w:cs="Times New Roman"/>
          <w:lang w:val="en-CA"/>
        </w:rPr>
        <w:t xml:space="preserve">The </w:t>
      </w:r>
      <w:proofErr w:type="spellStart"/>
      <w:r w:rsidRPr="00062B76">
        <w:rPr>
          <w:rFonts w:cs="Times New Roman"/>
          <w:lang w:val="en-CA"/>
        </w:rPr>
        <w:t>Barreau</w:t>
      </w:r>
      <w:proofErr w:type="spellEnd"/>
      <w:r w:rsidRPr="00062B76">
        <w:rPr>
          <w:rFonts w:cs="Times New Roman"/>
          <w:lang w:val="en-CA"/>
        </w:rPr>
        <w:t xml:space="preserve"> also argues, citing </w:t>
      </w:r>
      <w:proofErr w:type="spellStart"/>
      <w:r w:rsidRPr="00062B76">
        <w:rPr>
          <w:rFonts w:cs="Times New Roman"/>
          <w:i/>
          <w:lang w:val="en-CA"/>
        </w:rPr>
        <w:t>Lévis</w:t>
      </w:r>
      <w:proofErr w:type="spellEnd"/>
      <w:r w:rsidRPr="00062B76">
        <w:rPr>
          <w:rFonts w:cs="Times New Roman"/>
          <w:i/>
          <w:lang w:val="en-CA"/>
        </w:rPr>
        <w:t xml:space="preserve"> (City) v. </w:t>
      </w:r>
      <w:proofErr w:type="spellStart"/>
      <w:r w:rsidRPr="00062B76">
        <w:rPr>
          <w:rFonts w:cs="Times New Roman"/>
          <w:i/>
          <w:lang w:val="en-CA"/>
        </w:rPr>
        <w:t>Fraternité</w:t>
      </w:r>
      <w:proofErr w:type="spellEnd"/>
      <w:r w:rsidRPr="00062B76">
        <w:rPr>
          <w:rFonts w:cs="Times New Roman"/>
          <w:i/>
          <w:lang w:val="en-CA"/>
        </w:rPr>
        <w:t xml:space="preserve"> des </w:t>
      </w:r>
      <w:proofErr w:type="spellStart"/>
      <w:r w:rsidRPr="00062B76">
        <w:rPr>
          <w:rFonts w:cs="Times New Roman"/>
          <w:i/>
          <w:lang w:val="en-CA"/>
        </w:rPr>
        <w:t>policiers</w:t>
      </w:r>
      <w:proofErr w:type="spellEnd"/>
      <w:r w:rsidRPr="00062B76">
        <w:rPr>
          <w:rFonts w:cs="Times New Roman"/>
          <w:i/>
          <w:lang w:val="en-CA"/>
        </w:rPr>
        <w:t xml:space="preserve"> de </w:t>
      </w:r>
      <w:proofErr w:type="spellStart"/>
      <w:r w:rsidRPr="00062B76">
        <w:rPr>
          <w:rFonts w:cs="Times New Roman"/>
          <w:i/>
          <w:lang w:val="en-CA"/>
        </w:rPr>
        <w:t>Lévis</w:t>
      </w:r>
      <w:proofErr w:type="spellEnd"/>
      <w:r w:rsidRPr="00062B76">
        <w:rPr>
          <w:rFonts w:cs="Times New Roman"/>
          <w:i/>
          <w:lang w:val="en-CA"/>
        </w:rPr>
        <w:t xml:space="preserve"> Inc.</w:t>
      </w:r>
      <w:r w:rsidRPr="00062B76">
        <w:rPr>
          <w:rFonts w:cs="Times New Roman"/>
          <w:lang w:val="en-CA"/>
        </w:rPr>
        <w:t xml:space="preserve">, 2007 SCC 14, [2007] 1 S.C.R. 591, that the issue the ATQ had to resolve entails an assessment of the compatibility of the </w:t>
      </w:r>
      <w:r w:rsidRPr="00062B76">
        <w:rPr>
          <w:rFonts w:cs="Times New Roman"/>
          <w:i/>
          <w:lang w:val="en-CA"/>
        </w:rPr>
        <w:t xml:space="preserve">Act respecting administrative justice </w:t>
      </w:r>
      <w:r w:rsidRPr="00062B76">
        <w:rPr>
          <w:rFonts w:cs="Times New Roman"/>
          <w:lang w:val="en-CA"/>
        </w:rPr>
        <w:t xml:space="preserve">and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a question to which the standard of correctness should apply.</w:t>
      </w:r>
    </w:p>
    <w:p w:rsidR="00290916" w:rsidRPr="00062B76" w:rsidRDefault="00290916" w:rsidP="00935044">
      <w:pPr>
        <w:pStyle w:val="ParaNoNdepar-AltN"/>
        <w:widowControl w:val="0"/>
        <w:rPr>
          <w:rFonts w:cs="Times New Roman"/>
          <w:lang w:val="en-CA"/>
        </w:rPr>
      </w:pPr>
      <w:proofErr w:type="spellStart"/>
      <w:r w:rsidRPr="00062B76">
        <w:rPr>
          <w:rFonts w:cs="Times New Roman"/>
          <w:i/>
          <w:lang w:val="en-CA"/>
        </w:rPr>
        <w:t>Lévis</w:t>
      </w:r>
      <w:proofErr w:type="spellEnd"/>
      <w:r w:rsidRPr="00062B76">
        <w:rPr>
          <w:rFonts w:cs="Times New Roman"/>
          <w:i/>
          <w:lang w:val="en-CA"/>
        </w:rPr>
        <w:t xml:space="preserve"> </w:t>
      </w:r>
      <w:r w:rsidRPr="00062B76">
        <w:rPr>
          <w:rFonts w:cs="Times New Roman"/>
          <w:lang w:val="en-CA"/>
        </w:rPr>
        <w:t xml:space="preserve">is of no assistance to the </w:t>
      </w:r>
      <w:proofErr w:type="spellStart"/>
      <w:r w:rsidRPr="00062B76">
        <w:rPr>
          <w:rFonts w:cs="Times New Roman"/>
          <w:lang w:val="en-CA"/>
        </w:rPr>
        <w:t>Barreau</w:t>
      </w:r>
      <w:proofErr w:type="spellEnd"/>
      <w:r w:rsidRPr="00062B76">
        <w:rPr>
          <w:rFonts w:cs="Times New Roman"/>
          <w:lang w:val="en-CA"/>
        </w:rPr>
        <w:t xml:space="preserve">. In it, the Court was dealing with a decision of a grievance arbitrator who had had to consider two statutes that were actually in conflict in that each of them provided for different consequences for criminal conduct by municipal police officers in </w:t>
      </w:r>
      <w:r w:rsidR="00AF2E30">
        <w:rPr>
          <w:rFonts w:cs="Times New Roman"/>
          <w:lang w:val="en-CA"/>
        </w:rPr>
        <w:t>Quebec. On the one hand, s. 119</w:t>
      </w:r>
      <w:r w:rsidRPr="00062B76">
        <w:rPr>
          <w:rFonts w:cs="Times New Roman"/>
          <w:lang w:val="en-CA"/>
        </w:rPr>
        <w:t xml:space="preserve"> para. 2 of the </w:t>
      </w:r>
      <w:r w:rsidRPr="00062B76">
        <w:rPr>
          <w:rFonts w:cs="Times New Roman"/>
          <w:i/>
          <w:lang w:val="en-CA"/>
        </w:rPr>
        <w:t>Police Act</w:t>
      </w:r>
      <w:r w:rsidRPr="00062B76">
        <w:rPr>
          <w:rFonts w:cs="Times New Roman"/>
          <w:lang w:val="en-CA"/>
        </w:rPr>
        <w:t>, R.S.Q., c. P</w:t>
      </w:r>
      <w:r w:rsidRPr="00062B76">
        <w:rPr>
          <w:rFonts w:cs="Times New Roman"/>
          <w:lang w:val="en-CA"/>
        </w:rPr>
        <w:noBreakHyphen/>
        <w:t xml:space="preserve">13.1, provided for the dismissal of any police officer who was convicted of a serious criminal offence unless the officer showed that specific circumstances justified another sanction. On the other hand, s. 116(6) of the </w:t>
      </w:r>
      <w:r w:rsidRPr="00062B76">
        <w:rPr>
          <w:rFonts w:cs="Times New Roman"/>
          <w:i/>
          <w:lang w:val="en-CA"/>
        </w:rPr>
        <w:t>Cities and Towns Act</w:t>
      </w:r>
      <w:r w:rsidRPr="00062B76">
        <w:rPr>
          <w:rFonts w:cs="Times New Roman"/>
          <w:lang w:val="en-CA"/>
        </w:rPr>
        <w:t>, R.S.Q., c. C</w:t>
      </w:r>
      <w:r w:rsidRPr="00062B76">
        <w:rPr>
          <w:rFonts w:cs="Times New Roman"/>
          <w:lang w:val="en-CA"/>
        </w:rPr>
        <w:noBreakHyphen/>
        <w:t xml:space="preserve">19, provided that any person convicted of a similar type of offence was disqualified from municipal employment, and under it there was </w:t>
      </w:r>
      <w:r w:rsidRPr="00062B76">
        <w:rPr>
          <w:rFonts w:cs="Times New Roman"/>
          <w:lang w:val="en-CA"/>
        </w:rPr>
        <w:lastRenderedPageBreak/>
        <w:t xml:space="preserve">no exception. The Court applied the correctness standard to the issue of the “compatibility” of the two statutes (para. 23).  </w:t>
      </w:r>
    </w:p>
    <w:p w:rsidR="00290916" w:rsidRPr="00062B76" w:rsidRDefault="00290916" w:rsidP="00935044">
      <w:pPr>
        <w:pStyle w:val="ParaNoNdepar-AltN"/>
        <w:widowControl w:val="0"/>
        <w:rPr>
          <w:rFonts w:cs="Times New Roman"/>
          <w:lang w:val="en-CA"/>
        </w:rPr>
      </w:pPr>
      <w:r w:rsidRPr="00062B76">
        <w:rPr>
          <w:rFonts w:cs="Times New Roman"/>
          <w:lang w:val="en-CA"/>
        </w:rPr>
        <w:t xml:space="preserve">In the case at bar, however, the issue does not concern the compatibility of two conflicting statutes. As I will explain, as a result of s. 129(b) of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there is no conflict between s. 102 of the </w:t>
      </w:r>
      <w:r w:rsidRPr="00062B76">
        <w:rPr>
          <w:rFonts w:cs="Times New Roman"/>
          <w:i/>
          <w:lang w:val="en-CA"/>
        </w:rPr>
        <w:t>Act respecting administrative justice</w:t>
      </w:r>
      <w:r w:rsidRPr="00062B76">
        <w:rPr>
          <w:rFonts w:cs="Times New Roman"/>
          <w:lang w:val="en-CA"/>
        </w:rPr>
        <w:t xml:space="preserve"> and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Section 102 grants the Minister a right to be represented before the ATQ’s social affairs division</w:t>
      </w:r>
      <w:r w:rsidRPr="00062B76">
        <w:rPr>
          <w:rFonts w:eastAsia="Times New Roman" w:cs="Times New Roman"/>
          <w:szCs w:val="20"/>
          <w:lang w:val="en-CA" w:eastAsia="en-CA"/>
        </w:rPr>
        <w:t xml:space="preserve"> </w:t>
      </w:r>
      <w:r w:rsidRPr="00062B76">
        <w:rPr>
          <w:rFonts w:cs="Times New Roman"/>
          <w:lang w:val="en-CA"/>
        </w:rPr>
        <w:t xml:space="preserve">by a person who is not an advocate, and s. 129(b) confirms that such exceptions are acceptable under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w:t>
      </w:r>
    </w:p>
    <w:p w:rsidR="00290916" w:rsidRPr="00062B76" w:rsidRDefault="00290916" w:rsidP="00935044">
      <w:pPr>
        <w:pStyle w:val="ParaNoNdepar-AltN"/>
        <w:widowControl w:val="0"/>
        <w:rPr>
          <w:rFonts w:cs="Times New Roman"/>
          <w:lang w:val="en-CA"/>
        </w:rPr>
      </w:pPr>
      <w:r w:rsidRPr="00062B76">
        <w:rPr>
          <w:rFonts w:cs="Times New Roman"/>
          <w:lang w:val="en-CA"/>
        </w:rPr>
        <w:t>Finally, the Court recently reiterated that the presumption in favour of the reasonableness standard can sometimes be rebutted “where a contextual analysis reveals that the legislature clearly intended not to protect the tribunal’s jurisdiction in relation to certain matters” (</w:t>
      </w:r>
      <w:proofErr w:type="spellStart"/>
      <w:r w:rsidRPr="00062B76">
        <w:rPr>
          <w:rFonts w:cs="Times New Roman"/>
          <w:i/>
          <w:lang w:val="en-CA"/>
        </w:rPr>
        <w:t>Mouvement</w:t>
      </w:r>
      <w:proofErr w:type="spellEnd"/>
      <w:r w:rsidRPr="00062B76">
        <w:rPr>
          <w:rFonts w:cs="Times New Roman"/>
          <w:i/>
          <w:lang w:val="en-CA"/>
        </w:rPr>
        <w:t xml:space="preserve"> </w:t>
      </w:r>
      <w:proofErr w:type="spellStart"/>
      <w:r w:rsidRPr="00062B76">
        <w:rPr>
          <w:rFonts w:cs="Times New Roman"/>
          <w:i/>
          <w:lang w:val="en-CA"/>
        </w:rPr>
        <w:t>laïque</w:t>
      </w:r>
      <w:proofErr w:type="spellEnd"/>
      <w:r w:rsidRPr="00062B76">
        <w:rPr>
          <w:rFonts w:cs="Times New Roman"/>
          <w:i/>
          <w:lang w:val="en-CA"/>
        </w:rPr>
        <w:t xml:space="preserve"> </w:t>
      </w:r>
      <w:proofErr w:type="spellStart"/>
      <w:r w:rsidRPr="00062B76">
        <w:rPr>
          <w:rFonts w:cs="Times New Roman"/>
          <w:i/>
          <w:lang w:val="en-CA"/>
        </w:rPr>
        <w:t>québécois</w:t>
      </w:r>
      <w:proofErr w:type="spellEnd"/>
      <w:r w:rsidRPr="00062B76">
        <w:rPr>
          <w:rFonts w:cs="Times New Roman"/>
          <w:i/>
          <w:lang w:val="en-CA"/>
        </w:rPr>
        <w:t xml:space="preserve"> v. Saguenay (City)</w:t>
      </w:r>
      <w:r w:rsidRPr="00062B76">
        <w:rPr>
          <w:rFonts w:cs="Times New Roman"/>
          <w:lang w:val="en-CA"/>
        </w:rPr>
        <w:t xml:space="preserve">, 2015 SCC 16, [2015] 2 S.C.R. 3, at para. 46; see also </w:t>
      </w:r>
      <w:r w:rsidRPr="00062B76">
        <w:rPr>
          <w:rFonts w:cs="Times New Roman"/>
          <w:i/>
          <w:lang w:val="en-CA"/>
        </w:rPr>
        <w:t>Edmonton (City) v. Edmonton East (</w:t>
      </w:r>
      <w:proofErr w:type="spellStart"/>
      <w:r w:rsidRPr="00062B76">
        <w:rPr>
          <w:rFonts w:cs="Times New Roman"/>
          <w:i/>
          <w:lang w:val="en-CA"/>
        </w:rPr>
        <w:t>Capilano</w:t>
      </w:r>
      <w:proofErr w:type="spellEnd"/>
      <w:r w:rsidRPr="00062B76">
        <w:rPr>
          <w:rFonts w:cs="Times New Roman"/>
          <w:i/>
          <w:lang w:val="en-CA"/>
        </w:rPr>
        <w:t>) Shopping Centres Ltd.</w:t>
      </w:r>
      <w:r w:rsidRPr="00062B76">
        <w:rPr>
          <w:rFonts w:cs="Times New Roman"/>
          <w:lang w:val="en-CA"/>
        </w:rPr>
        <w:t>, 2016 SCC 47,</w:t>
      </w:r>
      <w:r w:rsidRPr="00062B76">
        <w:rPr>
          <w:rFonts w:cs="Times New Roman"/>
          <w:i/>
          <w:lang w:val="en-CA"/>
        </w:rPr>
        <w:t xml:space="preserve"> </w:t>
      </w:r>
      <w:r w:rsidRPr="00062B76">
        <w:rPr>
          <w:rFonts w:cs="Times New Roman"/>
          <w:lang w:val="en-CA"/>
        </w:rPr>
        <w:t xml:space="preserve">[2016] 2 S.C.R. 293, at para. 32; </w:t>
      </w:r>
      <w:r w:rsidRPr="00062B76">
        <w:rPr>
          <w:rFonts w:cs="Times New Roman"/>
          <w:i/>
          <w:iCs/>
          <w:lang w:val="en-CA"/>
        </w:rPr>
        <w:t>Rogers Communications Inc. v. Society of Composers, Authors and Music Publishers of Canada</w:t>
      </w:r>
      <w:r w:rsidRPr="00062B76">
        <w:rPr>
          <w:rFonts w:cs="Times New Roman"/>
          <w:lang w:val="en-CA"/>
        </w:rPr>
        <w:t xml:space="preserve">, 2012 SCC 35, [2012] 2 S.C.R. 283, at para. 16). That being said, the presumption is not rebutted in the instant case. </w:t>
      </w:r>
      <w:r>
        <w:rPr>
          <w:rFonts w:cs="Times New Roman"/>
          <w:lang w:val="en-CA"/>
        </w:rPr>
        <w:t xml:space="preserve">Aside from the foregoing </w:t>
      </w:r>
      <w:r w:rsidRPr="00062B76">
        <w:rPr>
          <w:rFonts w:cs="Times New Roman"/>
          <w:lang w:val="en-CA"/>
        </w:rPr>
        <w:t>(in paras. 14 et seq.)</w:t>
      </w:r>
      <w:r>
        <w:rPr>
          <w:rFonts w:cs="Times New Roman"/>
          <w:lang w:val="en-CA"/>
        </w:rPr>
        <w:t>, t</w:t>
      </w:r>
      <w:r w:rsidRPr="00062B76">
        <w:rPr>
          <w:rFonts w:cs="Times New Roman"/>
          <w:lang w:val="en-CA"/>
        </w:rPr>
        <w:t xml:space="preserve">he </w:t>
      </w:r>
      <w:proofErr w:type="spellStart"/>
      <w:r w:rsidRPr="00062B76">
        <w:rPr>
          <w:rFonts w:cs="Times New Roman"/>
          <w:lang w:val="en-CA"/>
        </w:rPr>
        <w:t>Barreau</w:t>
      </w:r>
      <w:proofErr w:type="spellEnd"/>
      <w:r w:rsidRPr="00062B76">
        <w:rPr>
          <w:rFonts w:cs="Times New Roman"/>
          <w:lang w:val="en-CA"/>
        </w:rPr>
        <w:t xml:space="preserve"> advances no</w:t>
      </w:r>
      <w:r>
        <w:rPr>
          <w:rFonts w:cs="Times New Roman"/>
          <w:lang w:val="en-CA"/>
        </w:rPr>
        <w:t xml:space="preserve"> other</w:t>
      </w:r>
      <w:r w:rsidRPr="00062B76">
        <w:rPr>
          <w:rFonts w:cs="Times New Roman"/>
          <w:lang w:val="en-CA"/>
        </w:rPr>
        <w:t xml:space="preserve"> arguments in this regard</w:t>
      </w:r>
      <w:r>
        <w:rPr>
          <w:rFonts w:cs="Times New Roman"/>
          <w:lang w:val="en-CA"/>
        </w:rPr>
        <w:t>.</w:t>
      </w:r>
      <w:r w:rsidRPr="00062B76">
        <w:rPr>
          <w:rFonts w:cs="Times New Roman"/>
          <w:lang w:val="en-CA"/>
        </w:rPr>
        <w:t xml:space="preserve"> This Court has pointed out in the past that the ATQ is a “</w:t>
      </w:r>
      <w:r w:rsidR="00246A9D">
        <w:rPr>
          <w:rFonts w:cs="Times New Roman"/>
          <w:lang w:val="en-CA"/>
        </w:rPr>
        <w:t xml:space="preserve">highly </w:t>
      </w:r>
      <w:r w:rsidRPr="00062B76">
        <w:rPr>
          <w:rFonts w:cs="Times New Roman"/>
          <w:lang w:val="en-CA"/>
        </w:rPr>
        <w:t>sophisticated” administrative tribunal, “similar in many ways to Canadian courts of law” (</w:t>
      </w:r>
      <w:proofErr w:type="spellStart"/>
      <w:r w:rsidRPr="00062B76">
        <w:rPr>
          <w:rFonts w:cs="Times New Roman"/>
          <w:i/>
          <w:lang w:val="en-CA"/>
        </w:rPr>
        <w:t>Okwuobi</w:t>
      </w:r>
      <w:proofErr w:type="spellEnd"/>
      <w:r w:rsidRPr="00062B76">
        <w:rPr>
          <w:rFonts w:cs="Times New Roman"/>
          <w:i/>
          <w:lang w:val="en-CA"/>
        </w:rPr>
        <w:t xml:space="preserve"> v. Lester B. Pearson School Board</w:t>
      </w:r>
      <w:r w:rsidRPr="00062B76">
        <w:rPr>
          <w:rFonts w:cs="Times New Roman"/>
          <w:lang w:val="en-CA"/>
        </w:rPr>
        <w:t xml:space="preserve">, </w:t>
      </w:r>
      <w:r w:rsidRPr="00062B76">
        <w:rPr>
          <w:rFonts w:cs="Times New Roman"/>
          <w:lang w:val="en-CA"/>
        </w:rPr>
        <w:lastRenderedPageBreak/>
        <w:t xml:space="preserve">2005 SCC 16, [2005] 1 S.C.R. 257, at para. 23). Its enabling statute authorizes it to “decide any question of law or fact necessary for the exercise of its jurisdiction” (s. 15 of the </w:t>
      </w:r>
      <w:r w:rsidRPr="00062B76">
        <w:rPr>
          <w:rFonts w:cs="Times New Roman"/>
          <w:i/>
          <w:lang w:val="en-CA"/>
        </w:rPr>
        <w:t>Act respecting administrative justice</w:t>
      </w:r>
      <w:r w:rsidRPr="00062B76">
        <w:rPr>
          <w:rFonts w:cs="Times New Roman"/>
          <w:lang w:val="en-CA"/>
        </w:rPr>
        <w:t xml:space="preserve">), and its jurisdiction includes proceedings pertaining to the granting of social aid (s. 18 of the </w:t>
      </w:r>
      <w:r w:rsidRPr="00062B76">
        <w:rPr>
          <w:rFonts w:cs="Times New Roman"/>
          <w:i/>
          <w:lang w:val="en-CA"/>
        </w:rPr>
        <w:t>Act respecting administrative justice</w:t>
      </w:r>
      <w:r w:rsidRPr="00062B76">
        <w:rPr>
          <w:rFonts w:cs="Times New Roman"/>
          <w:lang w:val="en-CA"/>
        </w:rPr>
        <w:t>). It is therefore clear that the legislature intended the ATQ to be able to decide any question related to proceedings pertaining to social aid, including any question related to the Minister’s right to “be represented” before the social affairs division.</w:t>
      </w:r>
    </w:p>
    <w:p w:rsidR="00290916" w:rsidRPr="00062B76" w:rsidRDefault="00290916" w:rsidP="00935044">
      <w:pPr>
        <w:pStyle w:val="ParaNoNdepar-AltN"/>
        <w:widowControl w:val="0"/>
        <w:rPr>
          <w:rFonts w:cs="Times New Roman"/>
          <w:lang w:val="en-CA"/>
        </w:rPr>
      </w:pPr>
      <w:r w:rsidRPr="00062B76">
        <w:rPr>
          <w:rFonts w:cs="Times New Roman"/>
          <w:lang w:val="en-CA"/>
        </w:rPr>
        <w:t>I therefore agree with the Court of Appeal and the Attorney General that the standard of review applicable to the ATQ’s decisions is reasonableness.</w:t>
      </w:r>
    </w:p>
    <w:p w:rsidR="00290916" w:rsidRPr="00062B76" w:rsidRDefault="00290916" w:rsidP="00935044">
      <w:pPr>
        <w:pStyle w:val="Title2LevelTitre2Niveau"/>
        <w:widowControl w:val="0"/>
        <w:numPr>
          <w:ilvl w:val="1"/>
          <w:numId w:val="8"/>
        </w:numPr>
        <w:rPr>
          <w:rFonts w:cs="Times New Roman"/>
        </w:rPr>
      </w:pPr>
      <w:r w:rsidRPr="00062B76">
        <w:rPr>
          <w:rFonts w:cs="Times New Roman"/>
        </w:rPr>
        <w:t xml:space="preserve">Minister’s Right to Be Represented by a Person of His or Her Choice </w:t>
      </w:r>
    </w:p>
    <w:p w:rsidR="00290916" w:rsidRPr="00062B76" w:rsidRDefault="00290916" w:rsidP="00935044">
      <w:pPr>
        <w:pStyle w:val="ParaNoNdepar-AltN"/>
        <w:widowControl w:val="0"/>
        <w:rPr>
          <w:rFonts w:cs="Times New Roman"/>
          <w:lang w:val="en-CA"/>
        </w:rPr>
      </w:pPr>
      <w:r w:rsidRPr="00062B76">
        <w:rPr>
          <w:rFonts w:cs="Times New Roman"/>
          <w:lang w:val="en-CA"/>
        </w:rPr>
        <w:t xml:space="preserve">Section 102 of the </w:t>
      </w:r>
      <w:r w:rsidRPr="00062B76">
        <w:rPr>
          <w:rFonts w:cs="Times New Roman"/>
          <w:i/>
          <w:lang w:val="en-CA"/>
        </w:rPr>
        <w:t>Act respecting administrative justice</w:t>
      </w:r>
      <w:r w:rsidRPr="00062B76">
        <w:rPr>
          <w:rFonts w:cs="Times New Roman"/>
          <w:lang w:val="en-CA"/>
        </w:rPr>
        <w:t xml:space="preserve"> grants the Minister the right to “be represented by the person of </w:t>
      </w:r>
      <w:proofErr w:type="gramStart"/>
      <w:r w:rsidRPr="00062B76">
        <w:rPr>
          <w:rFonts w:cs="Times New Roman"/>
          <w:lang w:val="en-CA"/>
        </w:rPr>
        <w:t>his .</w:t>
      </w:r>
      <w:proofErr w:type="gramEnd"/>
      <w:r w:rsidRPr="00062B76">
        <w:rPr>
          <w:rFonts w:cs="Times New Roman"/>
          <w:lang w:val="en-CA"/>
        </w:rPr>
        <w:t xml:space="preserve"> . . choice before the social affairs division in the case of a proceeding brought under [the </w:t>
      </w:r>
      <w:r w:rsidRPr="00062B76">
        <w:rPr>
          <w:rFonts w:cs="Times New Roman"/>
          <w:i/>
          <w:lang w:val="en-CA"/>
        </w:rPr>
        <w:t>Individual and Family Assistance Act</w:t>
      </w:r>
      <w:r w:rsidRPr="00062B76">
        <w:rPr>
          <w:rFonts w:cs="Times New Roman"/>
          <w:lang w:val="en-CA"/>
        </w:rPr>
        <w:t>, CQLR, c. A</w:t>
      </w:r>
      <w:r w:rsidRPr="00062B76">
        <w:rPr>
          <w:rFonts w:cs="Times New Roman"/>
          <w:lang w:val="en-CA"/>
        </w:rPr>
        <w:noBreakHyphen/>
        <w:t xml:space="preserve">13.1.1] or [the </w:t>
      </w:r>
      <w:r w:rsidRPr="00062B76">
        <w:rPr>
          <w:rFonts w:cs="Times New Roman"/>
          <w:i/>
          <w:lang w:val="en-CA"/>
        </w:rPr>
        <w:t>Act respecting administrative justice</w:t>
      </w:r>
      <w:r w:rsidRPr="00062B76">
        <w:rPr>
          <w:rFonts w:cs="Times New Roman"/>
          <w:lang w:val="en-CA"/>
        </w:rPr>
        <w:t>] in a matter of income security or support or social aid and allowances”. As I explained above, this appeal concerns the scope of this right to “be represented”, and what must be determined is whether it was reasonable for the ATQ to conclude that the right in question includes, in addition to oral representation, the preparation and drawing up of motions or other written proceedings. In my view, the ATQ’s conclusion is reasonable, as it falls within “a range of possible, acceptable outcomes which are defensible in respect of the facts and law” (</w:t>
      </w:r>
      <w:r w:rsidRPr="00062B76">
        <w:rPr>
          <w:rFonts w:cs="Times New Roman"/>
          <w:i/>
          <w:lang w:val="en-CA"/>
        </w:rPr>
        <w:t>Dunsmuir</w:t>
      </w:r>
      <w:r w:rsidRPr="00062B76">
        <w:rPr>
          <w:rFonts w:cs="Times New Roman"/>
          <w:lang w:val="en-CA"/>
        </w:rPr>
        <w:t xml:space="preserve">, at para. 47), including in respect of the </w:t>
      </w:r>
      <w:r w:rsidRPr="00062B76">
        <w:rPr>
          <w:rFonts w:cs="Times New Roman"/>
          <w:lang w:val="en-CA"/>
        </w:rPr>
        <w:lastRenderedPageBreak/>
        <w:t>applicable principles of interpretation.</w:t>
      </w:r>
    </w:p>
    <w:p w:rsidR="00290916" w:rsidRPr="00062B76" w:rsidRDefault="00290916" w:rsidP="00935044">
      <w:pPr>
        <w:pStyle w:val="ParaNoNdepar-AltN"/>
        <w:widowControl w:val="0"/>
        <w:rPr>
          <w:rFonts w:cs="Times New Roman"/>
          <w:lang w:val="en-CA"/>
        </w:rPr>
      </w:pPr>
      <w:r w:rsidRPr="00062B76">
        <w:rPr>
          <w:rFonts w:cs="Times New Roman"/>
          <w:lang w:val="en-CA"/>
        </w:rPr>
        <w:t>The words of an Act are to be read in their entire context and in their grammatical and ordinary sense harmoniously with the scheme of the Act, the object of the Act and the intention of the legislature (</w:t>
      </w:r>
      <w:r w:rsidRPr="00062B76">
        <w:rPr>
          <w:rFonts w:cs="Times New Roman"/>
          <w:i/>
          <w:lang w:val="en-CA"/>
        </w:rPr>
        <w:t>Bell ExpressVu Limited Partnership v. Rex</w:t>
      </w:r>
      <w:r w:rsidRPr="00062B76">
        <w:rPr>
          <w:rFonts w:cs="Times New Roman"/>
          <w:lang w:val="en-CA"/>
        </w:rPr>
        <w:t xml:space="preserve">, 2002 SCC 42, [2002] 2 S.C.R. 559, at para. 26, and </w:t>
      </w:r>
      <w:r w:rsidRPr="00062B76">
        <w:rPr>
          <w:rFonts w:cs="Times New Roman"/>
          <w:i/>
          <w:lang w:val="en-CA"/>
        </w:rPr>
        <w:t>Rizzo &amp; Rizzo Shoes Ltd. (Re)</w:t>
      </w:r>
      <w:r w:rsidRPr="00062B76">
        <w:rPr>
          <w:rFonts w:cs="Times New Roman"/>
          <w:lang w:val="en-CA"/>
        </w:rPr>
        <w:t>,</w:t>
      </w:r>
      <w:r w:rsidRPr="00062B76">
        <w:rPr>
          <w:rFonts w:cs="Times New Roman"/>
          <w:i/>
          <w:lang w:val="en-CA"/>
        </w:rPr>
        <w:t xml:space="preserve"> </w:t>
      </w:r>
      <w:r w:rsidRPr="00062B76">
        <w:rPr>
          <w:rFonts w:cs="Times New Roman"/>
          <w:lang w:val="en-CA"/>
        </w:rPr>
        <w:t>[1998] 1 S.C.R. 27, at para. 21, quoting E. A. </w:t>
      </w:r>
      <w:proofErr w:type="spellStart"/>
      <w:r w:rsidRPr="00062B76">
        <w:rPr>
          <w:rFonts w:cs="Times New Roman"/>
          <w:lang w:val="en-CA"/>
        </w:rPr>
        <w:t>Driedger</w:t>
      </w:r>
      <w:proofErr w:type="spellEnd"/>
      <w:r w:rsidRPr="00062B76">
        <w:rPr>
          <w:rFonts w:cs="Times New Roman"/>
          <w:lang w:val="en-CA"/>
        </w:rPr>
        <w:t xml:space="preserve">, </w:t>
      </w:r>
      <w:r w:rsidRPr="00062B76">
        <w:rPr>
          <w:rFonts w:cs="Times New Roman"/>
          <w:i/>
          <w:lang w:val="en-CA"/>
        </w:rPr>
        <w:t>Construction of Statutes</w:t>
      </w:r>
      <w:r w:rsidRPr="00062B76">
        <w:rPr>
          <w:rFonts w:cs="Times New Roman"/>
          <w:lang w:val="en-CA"/>
        </w:rPr>
        <w:t xml:space="preserve"> (2nd ed. 1983), at p. 87). The interpretation of Quebec legislation is also governed by ss. 41 and 41.1 of the </w:t>
      </w:r>
      <w:r w:rsidRPr="00062B76">
        <w:rPr>
          <w:rFonts w:cs="Times New Roman"/>
          <w:i/>
          <w:lang w:val="en-CA"/>
        </w:rPr>
        <w:t>Interpretation Act</w:t>
      </w:r>
      <w:r w:rsidRPr="00062B76">
        <w:rPr>
          <w:rFonts w:cs="Times New Roman"/>
          <w:lang w:val="en-CA"/>
        </w:rPr>
        <w:t>,</w:t>
      </w:r>
      <w:r w:rsidRPr="00062B76">
        <w:rPr>
          <w:rFonts w:cs="Times New Roman"/>
          <w:i/>
          <w:lang w:val="en-CA"/>
        </w:rPr>
        <w:t xml:space="preserve"> </w:t>
      </w:r>
      <w:r w:rsidRPr="00062B76">
        <w:rPr>
          <w:rFonts w:cs="Times New Roman"/>
          <w:lang w:val="en-CA"/>
        </w:rPr>
        <w:t>CQLR, c. I</w:t>
      </w:r>
      <w:r w:rsidRPr="00062B76">
        <w:rPr>
          <w:rFonts w:cs="Times New Roman"/>
          <w:lang w:val="en-CA"/>
        </w:rPr>
        <w:noBreakHyphen/>
        <w:t>16:</w:t>
      </w:r>
    </w:p>
    <w:p w:rsidR="00290916" w:rsidRPr="00062B76" w:rsidRDefault="00290916" w:rsidP="00935044">
      <w:pPr>
        <w:pStyle w:val="Citation-AltC"/>
        <w:widowControl w:val="0"/>
        <w:tabs>
          <w:tab w:val="left" w:pos="1800"/>
        </w:tabs>
        <w:spacing w:after="240"/>
        <w:ind w:hanging="1166"/>
        <w:contextualSpacing w:val="0"/>
        <w:rPr>
          <w:lang w:val="en-CA" w:eastAsia="fr-CA"/>
        </w:rPr>
      </w:pPr>
      <w:r w:rsidRPr="00062B76">
        <w:rPr>
          <w:b/>
          <w:lang w:val="en-CA" w:eastAsia="fr-CA"/>
        </w:rPr>
        <w:tab/>
        <w:t>41.</w:t>
      </w:r>
      <w:r w:rsidRPr="00062B76">
        <w:rPr>
          <w:lang w:val="en-CA" w:eastAsia="fr-CA"/>
        </w:rPr>
        <w:tab/>
      </w:r>
      <w:r w:rsidRPr="00062B76">
        <w:rPr>
          <w:szCs w:val="24"/>
          <w:lang w:val="en-CA" w:eastAsia="fr-CA"/>
        </w:rPr>
        <w:t>Every</w:t>
      </w:r>
      <w:r w:rsidRPr="00062B76">
        <w:rPr>
          <w:lang w:val="en-CA" w:eastAsia="fr-CA"/>
        </w:rPr>
        <w:t xml:space="preserve"> provision of an Act is deemed to be enacted for the recognition of rights, the imposition of obligations or the furtherance of the exercise of rights, or for the remedying of some injustice or the securing of some benefit.</w:t>
      </w:r>
    </w:p>
    <w:p w:rsidR="00290916" w:rsidRPr="00062B76" w:rsidRDefault="00290916" w:rsidP="00935044">
      <w:pPr>
        <w:pStyle w:val="Citation-AltC"/>
        <w:widowControl w:val="0"/>
        <w:tabs>
          <w:tab w:val="left" w:pos="1890"/>
        </w:tabs>
        <w:spacing w:after="240"/>
        <w:ind w:hanging="1166"/>
        <w:contextualSpacing w:val="0"/>
        <w:rPr>
          <w:szCs w:val="24"/>
          <w:lang w:val="en-CA" w:eastAsia="fr-CA"/>
        </w:rPr>
      </w:pPr>
      <w:r w:rsidRPr="00062B76">
        <w:rPr>
          <w:szCs w:val="24"/>
          <w:lang w:val="en-CA" w:eastAsia="fr-CA"/>
        </w:rPr>
        <w:tab/>
        <w:t xml:space="preserve">Such statute shall receive such fair, large and liberal construction as will ensure the </w:t>
      </w:r>
      <w:r w:rsidRPr="00062B76">
        <w:rPr>
          <w:lang w:val="en-CA" w:eastAsia="fr-CA"/>
        </w:rPr>
        <w:t>attainment</w:t>
      </w:r>
      <w:r w:rsidRPr="00062B76">
        <w:rPr>
          <w:szCs w:val="24"/>
          <w:lang w:val="en-CA" w:eastAsia="fr-CA"/>
        </w:rPr>
        <w:t xml:space="preserve"> of its object and the carrying out of its provisions, according to their true intent, meaning and spirit.</w:t>
      </w:r>
    </w:p>
    <w:p w:rsidR="00290916" w:rsidRPr="00062B76" w:rsidRDefault="00290916" w:rsidP="00935044">
      <w:pPr>
        <w:pStyle w:val="Citation-AltC"/>
        <w:widowControl w:val="0"/>
        <w:tabs>
          <w:tab w:val="left" w:pos="1800"/>
        </w:tabs>
        <w:ind w:hanging="1166"/>
        <w:contextualSpacing w:val="0"/>
        <w:rPr>
          <w:lang w:val="en-CA"/>
        </w:rPr>
      </w:pPr>
      <w:r w:rsidRPr="00062B76">
        <w:rPr>
          <w:b/>
          <w:szCs w:val="24"/>
          <w:lang w:val="en-CA" w:eastAsia="fr-CA"/>
        </w:rPr>
        <w:tab/>
        <w:t>41.1.</w:t>
      </w:r>
      <w:r w:rsidRPr="00062B76">
        <w:rPr>
          <w:b/>
          <w:szCs w:val="24"/>
          <w:lang w:val="en-CA" w:eastAsia="fr-CA"/>
        </w:rPr>
        <w:tab/>
      </w:r>
      <w:r w:rsidRPr="00062B76">
        <w:rPr>
          <w:szCs w:val="24"/>
          <w:lang w:val="en-CA" w:eastAsia="fr-CA"/>
        </w:rPr>
        <w:t>The provisions of an Act are construed by one another, ascribing to each provision the meaning which results from the whole Act and which gives effect to the provision.</w:t>
      </w:r>
    </w:p>
    <w:p w:rsidR="00290916" w:rsidRPr="00062B76" w:rsidRDefault="00290916" w:rsidP="00935044">
      <w:pPr>
        <w:pStyle w:val="ParaNoNdepar-AltN"/>
        <w:widowControl w:val="0"/>
        <w:spacing w:after="720"/>
        <w:rPr>
          <w:rFonts w:cs="Times New Roman"/>
          <w:lang w:val="en-CA"/>
        </w:rPr>
      </w:pPr>
      <w:r w:rsidRPr="00062B76">
        <w:rPr>
          <w:rFonts w:cs="Times New Roman"/>
          <w:lang w:val="en-CA"/>
        </w:rPr>
        <w:t xml:space="preserve">Section 102 of the </w:t>
      </w:r>
      <w:r w:rsidRPr="00062B76">
        <w:rPr>
          <w:rFonts w:cs="Times New Roman"/>
          <w:i/>
          <w:lang w:val="en-CA"/>
        </w:rPr>
        <w:t>Act respecting administrative justice</w:t>
      </w:r>
      <w:r w:rsidRPr="00062B76">
        <w:rPr>
          <w:rFonts w:cs="Times New Roman"/>
          <w:lang w:val="en-CA"/>
        </w:rPr>
        <w:t xml:space="preserve"> grants the Minister a right to “be represented”. I am of the view that, in the legal context, the ordinary sense of the verb “represent” normally covers </w:t>
      </w:r>
      <w:r w:rsidRPr="00062B76">
        <w:rPr>
          <w:rFonts w:cs="Times New Roman"/>
          <w:i/>
          <w:lang w:val="en-CA"/>
        </w:rPr>
        <w:t>all</w:t>
      </w:r>
      <w:r w:rsidRPr="00062B76">
        <w:rPr>
          <w:rFonts w:cs="Times New Roman"/>
          <w:lang w:val="en-CA"/>
        </w:rPr>
        <w:t xml:space="preserve"> aspects of the representation of others before a court or tribunal. For example, </w:t>
      </w:r>
      <w:proofErr w:type="spellStart"/>
      <w:r w:rsidRPr="00062B76">
        <w:rPr>
          <w:rFonts w:cs="Times New Roman"/>
          <w:lang w:val="en-CA"/>
        </w:rPr>
        <w:t>Cornu</w:t>
      </w:r>
      <w:proofErr w:type="spellEnd"/>
      <w:r w:rsidRPr="00062B76">
        <w:rPr>
          <w:rFonts w:cs="Times New Roman"/>
          <w:lang w:val="en-CA"/>
        </w:rPr>
        <w:t xml:space="preserve"> gives the following definition of “</w:t>
      </w:r>
      <w:proofErr w:type="spellStart"/>
      <w:r w:rsidRPr="00062B76">
        <w:rPr>
          <w:rFonts w:cs="Times New Roman"/>
          <w:i/>
          <w:lang w:val="en-CA"/>
        </w:rPr>
        <w:t>représenter</w:t>
      </w:r>
      <w:proofErr w:type="spellEnd"/>
      <w:r w:rsidRPr="00062B76">
        <w:rPr>
          <w:rFonts w:cs="Times New Roman"/>
          <w:lang w:val="en-CA"/>
        </w:rPr>
        <w:t>” (“represent”): [</w:t>
      </w:r>
      <w:r w:rsidRPr="00062B76">
        <w:rPr>
          <w:rFonts w:cs="Times New Roman"/>
          <w:smallCaps/>
          <w:lang w:val="en-CA"/>
        </w:rPr>
        <w:t>translation</w:t>
      </w:r>
      <w:r w:rsidRPr="00062B76">
        <w:rPr>
          <w:rFonts w:cs="Times New Roman"/>
          <w:lang w:val="en-CA"/>
        </w:rPr>
        <w:t>] “To replace a person in the exercise of the person’s rights” (G. </w:t>
      </w:r>
      <w:proofErr w:type="spellStart"/>
      <w:r w:rsidRPr="00062B76">
        <w:rPr>
          <w:rFonts w:cs="Times New Roman"/>
          <w:lang w:val="en-CA"/>
        </w:rPr>
        <w:t>Cornu</w:t>
      </w:r>
      <w:proofErr w:type="spellEnd"/>
      <w:r w:rsidRPr="00062B76">
        <w:rPr>
          <w:rFonts w:cs="Times New Roman"/>
          <w:lang w:val="en-CA"/>
        </w:rPr>
        <w:t xml:space="preserve">, ed., </w:t>
      </w:r>
      <w:proofErr w:type="spellStart"/>
      <w:r w:rsidRPr="00062B76">
        <w:rPr>
          <w:rFonts w:cs="Times New Roman"/>
          <w:i/>
          <w:lang w:val="en-CA"/>
        </w:rPr>
        <w:t>Vocabulaire</w:t>
      </w:r>
      <w:proofErr w:type="spellEnd"/>
      <w:r w:rsidRPr="00062B76">
        <w:rPr>
          <w:rFonts w:cs="Times New Roman"/>
          <w:i/>
          <w:lang w:val="en-CA"/>
        </w:rPr>
        <w:t xml:space="preserve"> </w:t>
      </w:r>
      <w:proofErr w:type="spellStart"/>
      <w:r w:rsidRPr="00062B76">
        <w:rPr>
          <w:rFonts w:cs="Times New Roman"/>
          <w:i/>
          <w:lang w:val="en-CA"/>
        </w:rPr>
        <w:t>juridique</w:t>
      </w:r>
      <w:proofErr w:type="spellEnd"/>
      <w:r w:rsidRPr="00062B76">
        <w:rPr>
          <w:rFonts w:cs="Times New Roman"/>
          <w:lang w:val="en-CA"/>
        </w:rPr>
        <w:t xml:space="preserve"> (10th ed. 2014), at p. 905). In </w:t>
      </w:r>
      <w:r w:rsidRPr="00062B76">
        <w:rPr>
          <w:rFonts w:cs="Times New Roman"/>
          <w:lang w:val="en-CA"/>
        </w:rPr>
        <w:lastRenderedPageBreak/>
        <w:t xml:space="preserve">this sense, representation includes both oral representation, such as pleading before a tribunal, and written representation, such as preparing and drawing up written proceedings. It follows that s. 102 of the </w:t>
      </w:r>
      <w:r w:rsidRPr="00062B76">
        <w:rPr>
          <w:rFonts w:cs="Times New Roman"/>
          <w:i/>
          <w:lang w:val="en-CA"/>
        </w:rPr>
        <w:t>Act respecting administrative justice</w:t>
      </w:r>
      <w:r w:rsidRPr="00062B76">
        <w:rPr>
          <w:rFonts w:cs="Times New Roman"/>
          <w:lang w:val="en-CA"/>
        </w:rPr>
        <w:t>, read in the grammatical and ordinary sense of its words, grants the Minister the right to be represented before the social affairs division of the ATQ both for the purpose of preparing and drawing up motions and other written proceedings and for that of oral representation. This interpretation, according to which the Minister’s representative may do everything that is needed for the representation of others before the ATQ, is also consistent with the broader context of the legislation and with the legislature’s intent.</w:t>
      </w:r>
    </w:p>
    <w:p w:rsidR="00290916" w:rsidRPr="00062B76" w:rsidRDefault="00290916" w:rsidP="00935044">
      <w:pPr>
        <w:pStyle w:val="ParaNoNdepar-AltN"/>
        <w:widowControl w:val="0"/>
        <w:rPr>
          <w:rFonts w:cs="Times New Roman"/>
          <w:lang w:val="en-CA"/>
        </w:rPr>
      </w:pPr>
      <w:r w:rsidRPr="00062B76">
        <w:rPr>
          <w:rFonts w:cs="Times New Roman"/>
          <w:lang w:val="en-CA"/>
        </w:rPr>
        <w:t xml:space="preserve">Where s. 102 is located in the </w:t>
      </w:r>
      <w:r w:rsidRPr="00062B76">
        <w:rPr>
          <w:rFonts w:cs="Times New Roman"/>
          <w:i/>
          <w:lang w:val="en-CA"/>
        </w:rPr>
        <w:t>Act respecting administrative justice</w:t>
      </w:r>
      <w:r w:rsidRPr="00062B76">
        <w:rPr>
          <w:rFonts w:cs="Times New Roman"/>
          <w:lang w:val="en-CA"/>
        </w:rPr>
        <w:t xml:space="preserve"> is instructive. It is in Division II — entitled “General Provisions” — of Chapter VI of that Act, which concerns the ATQ’s rules of evidence and procedure. The subsequent divisions correspond to the various stages of a proceeding before the ATQ, from “Division III — Introductory and Preliminary Procedure” to “Division X — Appeals”. This legislative context suggests that the right provided for in s. 102 of the </w:t>
      </w:r>
      <w:r w:rsidRPr="00062B76">
        <w:rPr>
          <w:rFonts w:cs="Times New Roman"/>
          <w:i/>
          <w:lang w:val="en-CA"/>
        </w:rPr>
        <w:t>Act respecting administrative justice</w:t>
      </w:r>
      <w:r w:rsidRPr="00062B76">
        <w:rPr>
          <w:rFonts w:cs="Times New Roman"/>
          <w:lang w:val="en-CA"/>
        </w:rPr>
        <w:t xml:space="preserve"> applies at </w:t>
      </w:r>
      <w:r w:rsidRPr="00062B76">
        <w:rPr>
          <w:rFonts w:cs="Times New Roman"/>
          <w:i/>
          <w:lang w:val="en-CA"/>
        </w:rPr>
        <w:t>every</w:t>
      </w:r>
      <w:r w:rsidRPr="00062B76">
        <w:rPr>
          <w:rFonts w:cs="Times New Roman"/>
          <w:lang w:val="en-CA"/>
        </w:rPr>
        <w:t xml:space="preserve"> stage of a proceeding.</w:t>
      </w:r>
    </w:p>
    <w:p w:rsidR="00290916" w:rsidRPr="00062B76" w:rsidRDefault="00290916" w:rsidP="00935044">
      <w:pPr>
        <w:pStyle w:val="ParaNoNdepar-AltN"/>
        <w:widowControl w:val="0"/>
        <w:rPr>
          <w:rFonts w:cs="Times New Roman"/>
          <w:lang w:val="en-CA"/>
        </w:rPr>
      </w:pPr>
      <w:r w:rsidRPr="00062B76">
        <w:rPr>
          <w:rFonts w:cs="Times New Roman"/>
          <w:lang w:val="en-CA"/>
        </w:rPr>
        <w:t xml:space="preserve">It is generally the exclusive prerogative of lawyers to provide legal services for others. That monopoly is guaranteed in Quebec by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which regulates the practice of the profession of advocate. These “special rules governing the practice of the legal profession” are justified by the importance of </w:t>
      </w:r>
      <w:r w:rsidRPr="00062B76">
        <w:rPr>
          <w:rFonts w:cs="Times New Roman"/>
          <w:lang w:val="en-CA"/>
        </w:rPr>
        <w:lastRenderedPageBreak/>
        <w:t>the acts performed by advocates, by the vulnerability of the litigants who entrust their rights to them, and by the need to preserve the relationship of trust between advocates and their clients (</w:t>
      </w:r>
      <w:r w:rsidRPr="00062B76">
        <w:rPr>
          <w:rFonts w:cs="Times New Roman"/>
          <w:i/>
          <w:lang w:val="en-CA"/>
        </w:rPr>
        <w:t>Fortin</w:t>
      </w:r>
      <w:r w:rsidRPr="00062B76">
        <w:rPr>
          <w:rFonts w:cs="Times New Roman"/>
          <w:lang w:val="en-CA"/>
        </w:rPr>
        <w:t>, at para. 17). These objectives should be borne in mind when interpreting exceptions to the recognized general monopoly on practice of advocates.</w:t>
      </w:r>
    </w:p>
    <w:p w:rsidR="00290916" w:rsidRPr="00062B76" w:rsidRDefault="00290916" w:rsidP="00935044">
      <w:pPr>
        <w:pStyle w:val="ParaNoNdepar-AltN"/>
        <w:widowControl w:val="0"/>
        <w:rPr>
          <w:rFonts w:cs="Times New Roman"/>
        </w:rPr>
      </w:pPr>
      <w:r w:rsidRPr="00062B76">
        <w:rPr>
          <w:rFonts w:cs="Times New Roman"/>
          <w:lang w:val="en-CA"/>
        </w:rPr>
        <w:t xml:space="preserve">That being said, regard must also be had to the objectives of the </w:t>
      </w:r>
      <w:r w:rsidRPr="00062B76">
        <w:rPr>
          <w:rFonts w:cs="Times New Roman"/>
          <w:i/>
          <w:lang w:val="en-CA"/>
        </w:rPr>
        <w:t>Act respecting administrative justice</w:t>
      </w:r>
      <w:r w:rsidRPr="00062B76">
        <w:rPr>
          <w:rFonts w:cs="Times New Roman"/>
          <w:lang w:val="en-CA"/>
        </w:rPr>
        <w:t>, whose “</w:t>
      </w:r>
      <w:proofErr w:type="gramStart"/>
      <w:r w:rsidRPr="00062B76">
        <w:rPr>
          <w:rFonts w:cs="Times New Roman"/>
          <w:lang w:val="en-CA"/>
        </w:rPr>
        <w:t>purpose .</w:t>
      </w:r>
      <w:proofErr w:type="gramEnd"/>
      <w:r w:rsidRPr="00062B76">
        <w:rPr>
          <w:rFonts w:cs="Times New Roman"/>
          <w:lang w:val="en-CA"/>
        </w:rPr>
        <w:t xml:space="preserve"> . . is to affirm the specific character of administrative justice, to ensure its quality, promptness and accessibility and to safeguard the fundamental rights of citizens” (s. 1). </w:t>
      </w:r>
      <w:r w:rsidRPr="00062B76">
        <w:rPr>
          <w:rFonts w:cs="Times New Roman"/>
        </w:rPr>
        <w:t xml:space="preserve">The </w:t>
      </w:r>
      <w:proofErr w:type="spellStart"/>
      <w:r w:rsidRPr="00062B76">
        <w:rPr>
          <w:rFonts w:cs="Times New Roman"/>
          <w:i/>
        </w:rPr>
        <w:t>Act</w:t>
      </w:r>
      <w:proofErr w:type="spellEnd"/>
      <w:r w:rsidRPr="00062B76">
        <w:rPr>
          <w:rFonts w:cs="Times New Roman"/>
          <w:i/>
        </w:rPr>
        <w:t xml:space="preserve"> </w:t>
      </w:r>
      <w:proofErr w:type="spellStart"/>
      <w:r w:rsidRPr="00062B76">
        <w:rPr>
          <w:rFonts w:cs="Times New Roman"/>
          <w:i/>
        </w:rPr>
        <w:t>respecting</w:t>
      </w:r>
      <w:proofErr w:type="spellEnd"/>
      <w:r w:rsidRPr="00062B76">
        <w:rPr>
          <w:rFonts w:cs="Times New Roman"/>
          <w:i/>
        </w:rPr>
        <w:t xml:space="preserve"> administrative justice</w:t>
      </w:r>
      <w:r w:rsidRPr="00062B76">
        <w:rPr>
          <w:rFonts w:cs="Times New Roman"/>
        </w:rPr>
        <w:t xml:space="preserve"> </w:t>
      </w:r>
      <w:proofErr w:type="spellStart"/>
      <w:r w:rsidRPr="00062B76">
        <w:rPr>
          <w:rFonts w:cs="Times New Roman"/>
        </w:rPr>
        <w:t>favours</w:t>
      </w:r>
      <w:proofErr w:type="spellEnd"/>
      <w:r w:rsidRPr="00062B76">
        <w:rPr>
          <w:rFonts w:cs="Times New Roman"/>
        </w:rPr>
        <w:t xml:space="preserve"> administrative </w:t>
      </w:r>
      <w:proofErr w:type="spellStart"/>
      <w:r w:rsidRPr="00062B76">
        <w:rPr>
          <w:rFonts w:cs="Times New Roman"/>
        </w:rPr>
        <w:t>proceedings</w:t>
      </w:r>
      <w:proofErr w:type="spellEnd"/>
      <w:r w:rsidRPr="00062B76">
        <w:rPr>
          <w:rFonts w:cs="Times New Roman"/>
        </w:rPr>
        <w:t xml:space="preserve"> </w:t>
      </w:r>
      <w:proofErr w:type="spellStart"/>
      <w:r w:rsidRPr="00062B76">
        <w:rPr>
          <w:rFonts w:cs="Times New Roman"/>
        </w:rPr>
        <w:t>that</w:t>
      </w:r>
      <w:proofErr w:type="spellEnd"/>
      <w:r w:rsidRPr="00062B76">
        <w:rPr>
          <w:rFonts w:cs="Times New Roman"/>
        </w:rPr>
        <w:t xml:space="preserve"> are </w:t>
      </w:r>
      <w:proofErr w:type="spellStart"/>
      <w:r w:rsidRPr="00062B76">
        <w:rPr>
          <w:rFonts w:cs="Times New Roman"/>
        </w:rPr>
        <w:t>simpler</w:t>
      </w:r>
      <w:proofErr w:type="spellEnd"/>
      <w:r w:rsidRPr="00062B76">
        <w:rPr>
          <w:rFonts w:cs="Times New Roman"/>
        </w:rPr>
        <w:t xml:space="preserve">, </w:t>
      </w:r>
      <w:proofErr w:type="spellStart"/>
      <w:r w:rsidRPr="00062B76">
        <w:rPr>
          <w:rFonts w:cs="Times New Roman"/>
        </w:rPr>
        <w:t>expeditious</w:t>
      </w:r>
      <w:proofErr w:type="spellEnd"/>
      <w:r w:rsidRPr="00062B76">
        <w:rPr>
          <w:rFonts w:cs="Times New Roman"/>
        </w:rPr>
        <w:t xml:space="preserve"> and </w:t>
      </w:r>
      <w:proofErr w:type="spellStart"/>
      <w:r w:rsidRPr="00062B76">
        <w:rPr>
          <w:rFonts w:cs="Times New Roman"/>
        </w:rPr>
        <w:t>less</w:t>
      </w:r>
      <w:proofErr w:type="spellEnd"/>
      <w:r w:rsidRPr="00062B76">
        <w:rPr>
          <w:rFonts w:cs="Times New Roman"/>
        </w:rPr>
        <w:t xml:space="preserve"> </w:t>
      </w:r>
      <w:proofErr w:type="spellStart"/>
      <w:r w:rsidRPr="00062B76">
        <w:rPr>
          <w:rFonts w:cs="Times New Roman"/>
        </w:rPr>
        <w:t>costly</w:t>
      </w:r>
      <w:proofErr w:type="spellEnd"/>
      <w:r w:rsidRPr="00062B76">
        <w:rPr>
          <w:rFonts w:cs="Times New Roman"/>
        </w:rPr>
        <w:t xml:space="preserve"> for litigants (D. Lemieux, </w:t>
      </w:r>
      <w:proofErr w:type="spellStart"/>
      <w:r w:rsidRPr="00062B76">
        <w:rPr>
          <w:rFonts w:cs="Times New Roman"/>
        </w:rPr>
        <w:t>with</w:t>
      </w:r>
      <w:proofErr w:type="spellEnd"/>
      <w:r w:rsidRPr="00062B76">
        <w:rPr>
          <w:rFonts w:cs="Times New Roman"/>
        </w:rPr>
        <w:t xml:space="preserve"> M. Paré, </w:t>
      </w:r>
      <w:r w:rsidRPr="00062B76">
        <w:rPr>
          <w:rFonts w:cs="Times New Roman"/>
          <w:i/>
        </w:rPr>
        <w:t>Justice administrative: Loi commentée</w:t>
      </w:r>
      <w:r w:rsidRPr="00062B76">
        <w:rPr>
          <w:rFonts w:cs="Times New Roman"/>
        </w:rPr>
        <w:t xml:space="preserve"> (3rd </w:t>
      </w:r>
      <w:proofErr w:type="spellStart"/>
      <w:r w:rsidRPr="00062B76">
        <w:rPr>
          <w:rFonts w:cs="Times New Roman"/>
        </w:rPr>
        <w:t>ed</w:t>
      </w:r>
      <w:proofErr w:type="spellEnd"/>
      <w:r w:rsidRPr="00062B76">
        <w:rPr>
          <w:rFonts w:cs="Times New Roman"/>
        </w:rPr>
        <w:t>. 2009), at p. 47; H. de </w:t>
      </w:r>
      <w:proofErr w:type="spellStart"/>
      <w:r w:rsidRPr="00062B76">
        <w:rPr>
          <w:rFonts w:cs="Times New Roman"/>
        </w:rPr>
        <w:t>Kovachich</w:t>
      </w:r>
      <w:proofErr w:type="spellEnd"/>
      <w:r w:rsidRPr="00062B76">
        <w:rPr>
          <w:rFonts w:cs="Times New Roman"/>
        </w:rPr>
        <w:t xml:space="preserve">, “Le Tribunal administratif du Québec au passé, au présent et au futur”, in Barreau du Québec, vol. 363, </w:t>
      </w:r>
      <w:r w:rsidRPr="00062B76">
        <w:rPr>
          <w:rFonts w:cs="Times New Roman"/>
          <w:i/>
        </w:rPr>
        <w:t>Le TAQ d’hier, d’aujourd’hui et de demain — 15</w:t>
      </w:r>
      <w:r w:rsidRPr="00062B76">
        <w:rPr>
          <w:rFonts w:cs="Times New Roman"/>
          <w:i/>
          <w:vertAlign w:val="superscript"/>
        </w:rPr>
        <w:t>e</w:t>
      </w:r>
      <w:r w:rsidRPr="00062B76">
        <w:rPr>
          <w:rFonts w:cs="Times New Roman"/>
          <w:i/>
        </w:rPr>
        <w:t> anniversaire du TAQ</w:t>
      </w:r>
      <w:r w:rsidRPr="00062B76">
        <w:rPr>
          <w:rFonts w:cs="Times New Roman"/>
        </w:rPr>
        <w:t xml:space="preserve"> (2013)</w:t>
      </w:r>
      <w:r w:rsidR="00AF2E30">
        <w:rPr>
          <w:rFonts w:cs="Times New Roman"/>
        </w:rPr>
        <w:t>,</w:t>
      </w:r>
      <w:r w:rsidRPr="00062B76">
        <w:rPr>
          <w:rFonts w:cs="Times New Roman"/>
        </w:rPr>
        <w:t xml:space="preserve"> 1, at p. 33; </w:t>
      </w:r>
      <w:proofErr w:type="spellStart"/>
      <w:r w:rsidRPr="00062B76">
        <w:rPr>
          <w:rFonts w:cs="Times New Roman"/>
        </w:rPr>
        <w:t>Quebec</w:t>
      </w:r>
      <w:proofErr w:type="spellEnd"/>
      <w:r w:rsidRPr="00062B76">
        <w:rPr>
          <w:rFonts w:cs="Times New Roman"/>
        </w:rPr>
        <w:t xml:space="preserve">, National </w:t>
      </w:r>
      <w:proofErr w:type="spellStart"/>
      <w:r w:rsidRPr="00062B76">
        <w:rPr>
          <w:rFonts w:cs="Times New Roman"/>
        </w:rPr>
        <w:t>Assembly</w:t>
      </w:r>
      <w:proofErr w:type="spellEnd"/>
      <w:r w:rsidRPr="00062B76">
        <w:rPr>
          <w:rFonts w:cs="Times New Roman"/>
        </w:rPr>
        <w:t>, Commission des institutions, “Consultation générale dans le cadre de l'étude du projet de loi n</w:t>
      </w:r>
      <w:r w:rsidRPr="00062B76">
        <w:rPr>
          <w:rFonts w:cs="Times New Roman"/>
          <w:vertAlign w:val="superscript"/>
        </w:rPr>
        <w:t>o</w:t>
      </w:r>
      <w:r w:rsidRPr="00062B76">
        <w:rPr>
          <w:rFonts w:cs="Times New Roman"/>
        </w:rPr>
        <w:t xml:space="preserve"> 130 — </w:t>
      </w:r>
      <w:r w:rsidRPr="00AF2E30">
        <w:rPr>
          <w:rFonts w:cs="Times New Roman"/>
        </w:rPr>
        <w:t>Loi sur la justice administrative</w:t>
      </w:r>
      <w:r w:rsidRPr="00062B76">
        <w:rPr>
          <w:rFonts w:cs="Times New Roman"/>
        </w:rPr>
        <w:t xml:space="preserve">”, </w:t>
      </w:r>
      <w:r w:rsidRPr="00062B76">
        <w:rPr>
          <w:rFonts w:cs="Times New Roman"/>
          <w:i/>
        </w:rPr>
        <w:t>Journal des débats de la Commission permanente des institutions</w:t>
      </w:r>
      <w:r w:rsidRPr="00062B76">
        <w:rPr>
          <w:rFonts w:cs="Times New Roman"/>
        </w:rPr>
        <w:t xml:space="preserve">, vol. 34, No. 64, 1st </w:t>
      </w:r>
      <w:proofErr w:type="spellStart"/>
      <w:r w:rsidRPr="00062B76">
        <w:rPr>
          <w:rFonts w:cs="Times New Roman"/>
        </w:rPr>
        <w:t>Sess</w:t>
      </w:r>
      <w:proofErr w:type="spellEnd"/>
      <w:r w:rsidRPr="00062B76">
        <w:rPr>
          <w:rFonts w:cs="Times New Roman"/>
        </w:rPr>
        <w:t xml:space="preserve">., 35th </w:t>
      </w:r>
      <w:proofErr w:type="spellStart"/>
      <w:r w:rsidRPr="00062B76">
        <w:rPr>
          <w:rFonts w:cs="Times New Roman"/>
        </w:rPr>
        <w:t>Leg</w:t>
      </w:r>
      <w:proofErr w:type="spellEnd"/>
      <w:r w:rsidRPr="00062B76">
        <w:rPr>
          <w:rFonts w:cs="Times New Roman"/>
        </w:rPr>
        <w:t xml:space="preserve">., </w:t>
      </w:r>
      <w:proofErr w:type="spellStart"/>
      <w:r w:rsidRPr="00062B76">
        <w:rPr>
          <w:rFonts w:cs="Times New Roman"/>
        </w:rPr>
        <w:t>February</w:t>
      </w:r>
      <w:proofErr w:type="spellEnd"/>
      <w:r w:rsidRPr="00062B76">
        <w:rPr>
          <w:rFonts w:cs="Times New Roman"/>
        </w:rPr>
        <w:t> 6, 1996 (</w:t>
      </w:r>
      <w:proofErr w:type="spellStart"/>
      <w:r w:rsidRPr="00062B76">
        <w:rPr>
          <w:rFonts w:cs="Times New Roman"/>
        </w:rPr>
        <w:t>Minister</w:t>
      </w:r>
      <w:proofErr w:type="spellEnd"/>
      <w:r w:rsidRPr="00062B76">
        <w:rPr>
          <w:rFonts w:cs="Times New Roman"/>
        </w:rPr>
        <w:t xml:space="preserve"> Paul Bégin)).</w:t>
      </w:r>
    </w:p>
    <w:p w:rsidR="00290916" w:rsidRPr="00062B76" w:rsidRDefault="00290916" w:rsidP="00935044">
      <w:pPr>
        <w:pStyle w:val="ParaNoNdepar-AltN"/>
        <w:widowControl w:val="0"/>
        <w:rPr>
          <w:rFonts w:cs="Times New Roman"/>
          <w:lang w:val="en-CA"/>
        </w:rPr>
      </w:pPr>
      <w:r w:rsidRPr="00062B76">
        <w:rPr>
          <w:rFonts w:cs="Times New Roman"/>
          <w:lang w:val="en-CA"/>
        </w:rPr>
        <w:t>The legislative history of the exception for the Minister is also relevant, and it confirms what the legislature intended in this regard. Section 128(2</w:t>
      </w:r>
      <w:proofErr w:type="gramStart"/>
      <w:r w:rsidRPr="00062B76">
        <w:rPr>
          <w:rFonts w:cs="Times New Roman"/>
          <w:lang w:val="en-CA"/>
        </w:rPr>
        <w:t>)(</w:t>
      </w:r>
      <w:proofErr w:type="gramEnd"/>
      <w:r w:rsidRPr="00062B76">
        <w:rPr>
          <w:rFonts w:cs="Times New Roman"/>
          <w:lang w:val="en-CA"/>
        </w:rPr>
        <w:t xml:space="preserve">a) of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used to merely state that it was the exclusive prerogative of an advocate, and not of a solicitor, “to plead before any tribunal” for </w:t>
      </w:r>
      <w:r w:rsidRPr="00062B76">
        <w:rPr>
          <w:rFonts w:cs="Times New Roman"/>
          <w:lang w:val="en-CA"/>
        </w:rPr>
        <w:lastRenderedPageBreak/>
        <w:t>others. In 1973, the legislature added the word “act” to the word “plead”, thereby giving s. 128(2)(a) its current scope (</w:t>
      </w:r>
      <w:r w:rsidRPr="00062B76">
        <w:rPr>
          <w:rFonts w:cs="Times New Roman"/>
          <w:i/>
          <w:lang w:val="en-CA"/>
        </w:rPr>
        <w:t>An Act to amend the Bar Act</w:t>
      </w:r>
      <w:r w:rsidRPr="00062B76">
        <w:rPr>
          <w:rFonts w:cs="Times New Roman"/>
          <w:lang w:val="en-CA"/>
        </w:rPr>
        <w:t>, S.Q. 1973, c. 44, s. 72).</w:t>
      </w:r>
    </w:p>
    <w:p w:rsidR="00290916" w:rsidRPr="00062B76" w:rsidRDefault="00290916" w:rsidP="00935044">
      <w:pPr>
        <w:pStyle w:val="ParaNoNdepar-AltN"/>
        <w:widowControl w:val="0"/>
        <w:rPr>
          <w:rFonts w:cs="Times New Roman"/>
          <w:lang w:val="en-CA"/>
        </w:rPr>
      </w:pPr>
      <w:r w:rsidRPr="00062B76">
        <w:rPr>
          <w:rFonts w:cs="Times New Roman"/>
          <w:lang w:val="en-CA"/>
        </w:rPr>
        <w:t xml:space="preserve">A decade later, in 1984, the legislature established the exception for the Minister by making concurrent amendments to s. 128 of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and s. 38 of the </w:t>
      </w:r>
      <w:r w:rsidRPr="00062B76">
        <w:rPr>
          <w:rFonts w:cs="Times New Roman"/>
          <w:i/>
          <w:lang w:val="en-CA"/>
        </w:rPr>
        <w:t xml:space="preserve">Act respecting the Commission des affaires </w:t>
      </w:r>
      <w:proofErr w:type="spellStart"/>
      <w:r w:rsidRPr="00062B76">
        <w:rPr>
          <w:rFonts w:cs="Times New Roman"/>
          <w:i/>
          <w:lang w:val="en-CA"/>
        </w:rPr>
        <w:t>sociales</w:t>
      </w:r>
      <w:proofErr w:type="spellEnd"/>
      <w:r w:rsidRPr="00062B76">
        <w:rPr>
          <w:rFonts w:cs="Times New Roman"/>
          <w:lang w:val="en-CA"/>
        </w:rPr>
        <w:t>, R.S.Q., c. C</w:t>
      </w:r>
      <w:r w:rsidRPr="00062B76">
        <w:rPr>
          <w:rFonts w:cs="Times New Roman"/>
          <w:lang w:val="en-CA"/>
        </w:rPr>
        <w:noBreakHyphen/>
        <w:t xml:space="preserve">34, the predecessor of s. 102 of the </w:t>
      </w:r>
      <w:r w:rsidRPr="00062B76">
        <w:rPr>
          <w:rFonts w:cs="Times New Roman"/>
          <w:i/>
          <w:lang w:val="en-CA"/>
        </w:rPr>
        <w:t>Act respecting administrative justice</w:t>
      </w:r>
      <w:r w:rsidRPr="00062B76">
        <w:rPr>
          <w:rFonts w:cs="Times New Roman"/>
          <w:lang w:val="en-CA"/>
        </w:rPr>
        <w:t xml:space="preserve"> (</w:t>
      </w:r>
      <w:r w:rsidRPr="00062B76">
        <w:rPr>
          <w:rFonts w:cs="Times New Roman"/>
          <w:i/>
          <w:lang w:val="en-CA"/>
        </w:rPr>
        <w:t>An Act to amend var</w:t>
      </w:r>
      <w:r w:rsidR="00AF2E30">
        <w:rPr>
          <w:rFonts w:cs="Times New Roman"/>
          <w:i/>
          <w:lang w:val="en-CA"/>
        </w:rPr>
        <w:t>ious</w:t>
      </w:r>
      <w:r w:rsidRPr="00062B76">
        <w:rPr>
          <w:rFonts w:cs="Times New Roman"/>
          <w:i/>
          <w:lang w:val="en-CA"/>
        </w:rPr>
        <w:t xml:space="preserve"> legislation</w:t>
      </w:r>
      <w:r w:rsidRPr="00062B76">
        <w:rPr>
          <w:rFonts w:cs="Times New Roman"/>
          <w:lang w:val="en-CA"/>
        </w:rPr>
        <w:t>, S.Q. 1984, c. 27, ss. 49 and 51). It gave s. 128(2)(a)(5)</w:t>
      </w:r>
      <w:r w:rsidRPr="00062B76">
        <w:rPr>
          <w:rFonts w:cs="Times New Roman"/>
          <w:szCs w:val="24"/>
          <w:lang w:val="en-CA" w:eastAsia="fr-CA"/>
        </w:rPr>
        <w:t xml:space="preserve"> its current wording to the effect that the Minister was entitled “to be represented to plead or act in his . . . name” before the </w:t>
      </w:r>
      <w:r w:rsidRPr="00062B76">
        <w:rPr>
          <w:rFonts w:cs="Times New Roman"/>
          <w:lang w:val="en-CA"/>
        </w:rPr>
        <w:t xml:space="preserve">Commission des affaires </w:t>
      </w:r>
      <w:proofErr w:type="spellStart"/>
      <w:r w:rsidRPr="00062B76">
        <w:rPr>
          <w:rFonts w:cs="Times New Roman"/>
          <w:lang w:val="en-CA"/>
        </w:rPr>
        <w:t>sociales</w:t>
      </w:r>
      <w:proofErr w:type="spellEnd"/>
      <w:r w:rsidRPr="00062B76">
        <w:rPr>
          <w:rFonts w:cs="Times New Roman"/>
          <w:lang w:val="en-CA"/>
        </w:rPr>
        <w:t xml:space="preserve">, whereas s. 38 of the </w:t>
      </w:r>
      <w:r w:rsidRPr="00062B76">
        <w:rPr>
          <w:rFonts w:cs="Times New Roman"/>
          <w:i/>
          <w:lang w:val="en-CA"/>
        </w:rPr>
        <w:t xml:space="preserve">Act respecting the Commission des affaires </w:t>
      </w:r>
      <w:proofErr w:type="spellStart"/>
      <w:r w:rsidRPr="00062B76">
        <w:rPr>
          <w:rFonts w:cs="Times New Roman"/>
          <w:i/>
          <w:lang w:val="en-CA"/>
        </w:rPr>
        <w:t>sociales</w:t>
      </w:r>
      <w:proofErr w:type="spellEnd"/>
      <w:r w:rsidRPr="00062B76">
        <w:rPr>
          <w:rFonts w:cs="Times New Roman"/>
          <w:lang w:val="en-CA"/>
        </w:rPr>
        <w:t xml:space="preserve"> provided that “</w:t>
      </w:r>
      <w:r w:rsidRPr="00062B76">
        <w:rPr>
          <w:rFonts w:cs="Times New Roman"/>
          <w:u w:val="single"/>
          <w:lang w:val="en-CA"/>
        </w:rPr>
        <w:t>[a]t the proof and hearing</w:t>
      </w:r>
      <w:r w:rsidRPr="00062B76">
        <w:rPr>
          <w:rFonts w:cs="Times New Roman"/>
          <w:lang w:val="en-CA"/>
        </w:rPr>
        <w:t xml:space="preserve"> before the social aid and allowances division, the Minister . . . is entitled to be represented, </w:t>
      </w:r>
      <w:r w:rsidRPr="00062B76">
        <w:rPr>
          <w:rFonts w:cs="Times New Roman"/>
          <w:u w:val="single"/>
          <w:lang w:val="en-CA"/>
        </w:rPr>
        <w:t>to plead or act in his . . . name</w:t>
      </w:r>
      <w:r w:rsidRPr="00062B76">
        <w:rPr>
          <w:rFonts w:cs="Times New Roman"/>
          <w:lang w:val="en-CA"/>
        </w:rPr>
        <w:t>, by the person of his . . . choice”. As can be seen, therefore, similar language was used in the two pr</w:t>
      </w:r>
      <w:r w:rsidR="00C13C91">
        <w:rPr>
          <w:rFonts w:cs="Times New Roman"/>
          <w:lang w:val="en-CA"/>
        </w:rPr>
        <w:t xml:space="preserve">ovisions at that time. The then </w:t>
      </w:r>
      <w:r w:rsidRPr="00062B76">
        <w:rPr>
          <w:rFonts w:cs="Times New Roman"/>
          <w:lang w:val="en-CA"/>
        </w:rPr>
        <w:t xml:space="preserve">Minister of Manpower and Income Security explained the purpose of the amendments as follows in the National Assembly: </w:t>
      </w:r>
    </w:p>
    <w:p w:rsidR="00290916" w:rsidRPr="00062B76" w:rsidRDefault="00290916" w:rsidP="00935044">
      <w:pPr>
        <w:pStyle w:val="Citation-AltC"/>
        <w:widowControl w:val="0"/>
        <w:tabs>
          <w:tab w:val="left" w:pos="1620"/>
        </w:tabs>
        <w:spacing w:after="240"/>
        <w:ind w:hanging="1166"/>
        <w:contextualSpacing w:val="0"/>
        <w:rPr>
          <w:lang w:val="en-CA"/>
        </w:rPr>
      </w:pPr>
      <w:r w:rsidRPr="00062B76">
        <w:rPr>
          <w:lang w:val="en-CA"/>
        </w:rPr>
        <w:tab/>
      </w:r>
      <w:r w:rsidRPr="00062B76">
        <w:rPr>
          <w:lang w:val="en-CA"/>
        </w:rPr>
        <w:tab/>
        <w:t>[</w:t>
      </w:r>
      <w:r w:rsidRPr="00062B76">
        <w:rPr>
          <w:smallCaps/>
          <w:lang w:val="en-CA"/>
        </w:rPr>
        <w:t>translation</w:t>
      </w:r>
      <w:r w:rsidRPr="00062B76">
        <w:rPr>
          <w:lang w:val="en-CA"/>
        </w:rPr>
        <w:t xml:space="preserve">] What we are doing is to confirm a practice that already existed, whereby the </w:t>
      </w:r>
      <w:proofErr w:type="spellStart"/>
      <w:proofErr w:type="gramStart"/>
      <w:r w:rsidRPr="00062B76">
        <w:rPr>
          <w:lang w:val="en-CA"/>
        </w:rPr>
        <w:t>Ministère</w:t>
      </w:r>
      <w:proofErr w:type="spellEnd"/>
      <w:r w:rsidRPr="00062B76">
        <w:rPr>
          <w:lang w:val="en-CA"/>
        </w:rPr>
        <w:t> .</w:t>
      </w:r>
      <w:proofErr w:type="gramEnd"/>
      <w:r w:rsidRPr="00062B76">
        <w:rPr>
          <w:lang w:val="en-CA"/>
        </w:rPr>
        <w:t> . . was represented by persons who were not necessarily members of the bar, so they might be professionals or welfare service providers, officers who have extensive experience in the application of the Social Aid Act and very good knowledge both of its provisions and of how it works in practice or how it is applied.</w:t>
      </w:r>
    </w:p>
    <w:p w:rsidR="00290916" w:rsidRPr="00062B76" w:rsidRDefault="00290916" w:rsidP="00935044">
      <w:pPr>
        <w:pStyle w:val="Citation-AltC"/>
        <w:widowControl w:val="0"/>
        <w:tabs>
          <w:tab w:val="left" w:pos="1620"/>
        </w:tabs>
        <w:spacing w:after="240"/>
        <w:ind w:hanging="1166"/>
        <w:contextualSpacing w:val="0"/>
        <w:rPr>
          <w:lang w:val="en-CA"/>
        </w:rPr>
      </w:pPr>
      <w:r w:rsidRPr="00062B76">
        <w:rPr>
          <w:lang w:val="en-CA"/>
        </w:rPr>
        <w:tab/>
      </w:r>
      <w:r w:rsidRPr="00062B76">
        <w:rPr>
          <w:lang w:val="en-CA"/>
        </w:rPr>
        <w:tab/>
        <w:t xml:space="preserve">This also allows us to maintain another principle that we wanted to have in creating a number of commissions, like the Commission des affaires </w:t>
      </w:r>
      <w:proofErr w:type="spellStart"/>
      <w:r w:rsidRPr="00062B76">
        <w:rPr>
          <w:lang w:val="en-CA"/>
        </w:rPr>
        <w:t>sociales</w:t>
      </w:r>
      <w:proofErr w:type="spellEnd"/>
      <w:r w:rsidRPr="00062B76">
        <w:rPr>
          <w:lang w:val="en-CA"/>
        </w:rPr>
        <w:t>, to make sure we avoid “over</w:t>
      </w:r>
      <w:r w:rsidRPr="00062B76">
        <w:rPr>
          <w:lang w:val="en-CA"/>
        </w:rPr>
        <w:noBreakHyphen/>
      </w:r>
      <w:proofErr w:type="spellStart"/>
      <w:r w:rsidRPr="00062B76">
        <w:rPr>
          <w:lang w:val="en-CA"/>
        </w:rPr>
        <w:t>judicializing</w:t>
      </w:r>
      <w:proofErr w:type="spellEnd"/>
      <w:r w:rsidRPr="00062B76">
        <w:rPr>
          <w:lang w:val="en-CA"/>
        </w:rPr>
        <w:t xml:space="preserve">” these commissions, which are intended to be more open, which are ultimately </w:t>
      </w:r>
      <w:r w:rsidRPr="00062B76">
        <w:rPr>
          <w:lang w:val="en-CA"/>
        </w:rPr>
        <w:lastRenderedPageBreak/>
        <w:t>intended, I would say, to be less “straitjacketing” or less rules</w:t>
      </w:r>
      <w:r w:rsidRPr="00062B76">
        <w:rPr>
          <w:lang w:val="en-CA"/>
        </w:rPr>
        <w:noBreakHyphen/>
        <w:t xml:space="preserve">based, which means that there can be greater flexibility, it seems to us, and a reduced </w:t>
      </w:r>
      <w:proofErr w:type="spellStart"/>
      <w:r w:rsidRPr="00062B76">
        <w:rPr>
          <w:lang w:val="en-CA"/>
        </w:rPr>
        <w:t>judicialization</w:t>
      </w:r>
      <w:proofErr w:type="spellEnd"/>
      <w:r w:rsidRPr="00062B76">
        <w:rPr>
          <w:lang w:val="en-CA"/>
        </w:rPr>
        <w:t xml:space="preserve"> of these bodies. We are thus confirming, by way of Bill 84 and the amendments in it, this practice that seemed like it was going to be held to be invalid.</w:t>
      </w:r>
    </w:p>
    <w:p w:rsidR="00290916" w:rsidRPr="00062B76" w:rsidRDefault="00290916" w:rsidP="00935044">
      <w:pPr>
        <w:pStyle w:val="Citation-AltC"/>
        <w:widowControl w:val="0"/>
        <w:ind w:left="0"/>
        <w:contextualSpacing w:val="0"/>
        <w:rPr>
          <w:lang w:val="en-CA"/>
        </w:rPr>
      </w:pPr>
      <w:r w:rsidRPr="00062B76">
        <w:rPr>
          <w:lang w:val="en-CA"/>
        </w:rPr>
        <w:t xml:space="preserve">(Quebec, National Assembly, </w:t>
      </w:r>
      <w:r w:rsidRPr="00062B76">
        <w:rPr>
          <w:i/>
          <w:lang w:val="en-CA"/>
        </w:rPr>
        <w:t xml:space="preserve">Journal des </w:t>
      </w:r>
      <w:proofErr w:type="spellStart"/>
      <w:r w:rsidRPr="00062B76">
        <w:rPr>
          <w:i/>
          <w:lang w:val="en-CA"/>
        </w:rPr>
        <w:t>débats</w:t>
      </w:r>
      <w:proofErr w:type="spellEnd"/>
      <w:r w:rsidRPr="00062B76">
        <w:rPr>
          <w:lang w:val="en-CA"/>
        </w:rPr>
        <w:t>, vo</w:t>
      </w:r>
      <w:r w:rsidR="00246A9D">
        <w:rPr>
          <w:lang w:val="en-CA"/>
        </w:rPr>
        <w:t>l. 27, No. 107, 4</w:t>
      </w:r>
      <w:r w:rsidR="00246A9D" w:rsidRPr="00AF2E30">
        <w:rPr>
          <w:lang w:val="en-CA"/>
        </w:rPr>
        <w:t>th</w:t>
      </w:r>
      <w:r w:rsidR="00246A9D">
        <w:rPr>
          <w:lang w:val="en-CA"/>
        </w:rPr>
        <w:t xml:space="preserve"> </w:t>
      </w:r>
      <w:r w:rsidRPr="00062B76">
        <w:rPr>
          <w:lang w:val="en-CA"/>
        </w:rPr>
        <w:t>Sess., 32nd Leg., June 14, 1984, at p. 7095)</w:t>
      </w:r>
    </w:p>
    <w:p w:rsidR="00290916" w:rsidRPr="00062B76" w:rsidRDefault="00290916" w:rsidP="00935044">
      <w:pPr>
        <w:pStyle w:val="ContinueParaSuitedupar-AltP"/>
        <w:widowControl w:val="0"/>
        <w:rPr>
          <w:rFonts w:cs="Times New Roman"/>
          <w:lang w:val="en-CA"/>
        </w:rPr>
      </w:pPr>
      <w:r w:rsidRPr="00062B76">
        <w:rPr>
          <w:rFonts w:cs="Times New Roman"/>
          <w:lang w:val="en-CA"/>
        </w:rPr>
        <w:t xml:space="preserve">It is therefore clear that the legislature’s original intent was to permit people who are not advocates to represent the Minister before the Commission des affaires </w:t>
      </w:r>
      <w:proofErr w:type="spellStart"/>
      <w:r w:rsidRPr="00062B76">
        <w:rPr>
          <w:rFonts w:cs="Times New Roman"/>
          <w:lang w:val="en-CA"/>
        </w:rPr>
        <w:t>sociales</w:t>
      </w:r>
      <w:proofErr w:type="spellEnd"/>
      <w:r w:rsidRPr="00062B76">
        <w:rPr>
          <w:rFonts w:cs="Times New Roman"/>
          <w:lang w:val="en-CA"/>
        </w:rPr>
        <w:t xml:space="preserve"> in order to enhance the flexibility of that body and to avoid “over</w:t>
      </w:r>
      <w:r w:rsidRPr="00062B76">
        <w:rPr>
          <w:rFonts w:cs="Times New Roman"/>
          <w:lang w:val="en-CA"/>
        </w:rPr>
        <w:noBreakHyphen/>
      </w:r>
      <w:proofErr w:type="spellStart"/>
      <w:r w:rsidRPr="00062B76">
        <w:rPr>
          <w:rFonts w:cs="Times New Roman"/>
          <w:lang w:val="en-CA"/>
        </w:rPr>
        <w:t>judicializing</w:t>
      </w:r>
      <w:proofErr w:type="spellEnd"/>
      <w:r w:rsidRPr="00062B76">
        <w:rPr>
          <w:rFonts w:cs="Times New Roman"/>
          <w:lang w:val="en-CA"/>
        </w:rPr>
        <w:t>” its proceedings.</w:t>
      </w:r>
    </w:p>
    <w:p w:rsidR="00290916" w:rsidRPr="00062B76" w:rsidRDefault="00290916" w:rsidP="00935044">
      <w:pPr>
        <w:pStyle w:val="ParaNoNdepar-AltN"/>
        <w:widowControl w:val="0"/>
        <w:rPr>
          <w:rFonts w:cs="Times New Roman"/>
          <w:lang w:val="en-CA"/>
        </w:rPr>
      </w:pPr>
      <w:r w:rsidRPr="00062B76">
        <w:rPr>
          <w:rFonts w:cs="Times New Roman"/>
          <w:lang w:val="en-CA"/>
        </w:rPr>
        <w:t xml:space="preserve">The legislature enacted the </w:t>
      </w:r>
      <w:r w:rsidRPr="00062B76">
        <w:rPr>
          <w:rFonts w:cs="Times New Roman"/>
          <w:i/>
          <w:lang w:val="en-CA"/>
        </w:rPr>
        <w:t>Act respecting administrative justice</w:t>
      </w:r>
      <w:r w:rsidRPr="00062B76">
        <w:rPr>
          <w:rFonts w:cs="Times New Roman"/>
          <w:lang w:val="en-CA"/>
        </w:rPr>
        <w:t xml:space="preserve">, thereby establishing the ATQ, in 1996, and it then repealed the </w:t>
      </w:r>
      <w:r w:rsidRPr="00062B76">
        <w:rPr>
          <w:rFonts w:cs="Times New Roman"/>
          <w:i/>
          <w:lang w:val="en-CA"/>
        </w:rPr>
        <w:t xml:space="preserve">Act respecting the Commission des affaires </w:t>
      </w:r>
      <w:proofErr w:type="spellStart"/>
      <w:r w:rsidRPr="00062B76">
        <w:rPr>
          <w:rFonts w:cs="Times New Roman"/>
          <w:i/>
          <w:lang w:val="en-CA"/>
        </w:rPr>
        <w:t>sociales</w:t>
      </w:r>
      <w:proofErr w:type="spellEnd"/>
      <w:r w:rsidRPr="00062B76">
        <w:rPr>
          <w:rFonts w:cs="Times New Roman"/>
          <w:lang w:val="en-CA"/>
        </w:rPr>
        <w:t xml:space="preserve"> in 1997, at which time the Commission des affaires </w:t>
      </w:r>
      <w:proofErr w:type="spellStart"/>
      <w:r w:rsidRPr="00062B76">
        <w:rPr>
          <w:rFonts w:cs="Times New Roman"/>
          <w:lang w:val="en-CA"/>
        </w:rPr>
        <w:t>sociales</w:t>
      </w:r>
      <w:proofErr w:type="spellEnd"/>
      <w:r w:rsidRPr="00062B76">
        <w:rPr>
          <w:rFonts w:cs="Times New Roman"/>
          <w:lang w:val="en-CA"/>
        </w:rPr>
        <w:t xml:space="preserve"> became the social affairs division of the ATQ. In the explanatory notes to the </w:t>
      </w:r>
      <w:r w:rsidRPr="00062B76">
        <w:rPr>
          <w:rFonts w:cs="Times New Roman"/>
          <w:i/>
          <w:lang w:val="en-CA"/>
        </w:rPr>
        <w:t>Act respecting the implementation of the Act respecting administrative justice</w:t>
      </w:r>
      <w:r w:rsidRPr="00062B76">
        <w:rPr>
          <w:rFonts w:cs="Times New Roman"/>
          <w:lang w:val="en-CA"/>
        </w:rPr>
        <w:t>, S.Q. 1997, c. 43, the legislature again expressed its intention to promote the introduction of “non</w:t>
      </w:r>
      <w:r w:rsidRPr="00062B76">
        <w:rPr>
          <w:rFonts w:cs="Times New Roman"/>
          <w:lang w:val="en-CA"/>
        </w:rPr>
        <w:noBreakHyphen/>
        <w:t xml:space="preserve">judicial” processes into administrative justice. The exception allowing the Minister to be represented before the social affairs division was included in s. 102 of the </w:t>
      </w:r>
      <w:r w:rsidRPr="00062B76">
        <w:rPr>
          <w:rFonts w:cs="Times New Roman"/>
          <w:i/>
          <w:lang w:val="en-CA"/>
        </w:rPr>
        <w:t>Act respecting administrative justice</w:t>
      </w:r>
      <w:r w:rsidRPr="00062B76">
        <w:rPr>
          <w:rFonts w:cs="Times New Roman"/>
          <w:lang w:val="en-CA"/>
        </w:rPr>
        <w:t>, which now reads as follows:</w:t>
      </w:r>
    </w:p>
    <w:p w:rsidR="00290916" w:rsidRPr="00062B76" w:rsidRDefault="00290916" w:rsidP="00935044">
      <w:pPr>
        <w:pStyle w:val="Citation-AltC"/>
        <w:widowControl w:val="0"/>
        <w:ind w:hanging="1166"/>
        <w:contextualSpacing w:val="0"/>
        <w:rPr>
          <w:lang w:val="en-CA"/>
        </w:rPr>
      </w:pPr>
      <w:r w:rsidRPr="00062B76">
        <w:rPr>
          <w:lang w:val="en-CA" w:eastAsia="fr-CA"/>
        </w:rPr>
        <w:tab/>
      </w:r>
      <w:r w:rsidRPr="00062B76">
        <w:rPr>
          <w:lang w:val="en-CA" w:eastAsia="fr-CA"/>
        </w:rPr>
        <w:tab/>
        <w:t xml:space="preserve">The Minister of Employment and Social Solidarity or a body which is the Minister’s </w:t>
      </w:r>
      <w:proofErr w:type="spellStart"/>
      <w:r w:rsidRPr="00062B76">
        <w:rPr>
          <w:lang w:val="en-CA" w:eastAsia="fr-CA"/>
        </w:rPr>
        <w:t>delegatee</w:t>
      </w:r>
      <w:proofErr w:type="spellEnd"/>
      <w:r w:rsidRPr="00062B76">
        <w:rPr>
          <w:lang w:val="en-CA" w:eastAsia="fr-CA"/>
        </w:rPr>
        <w:t xml:space="preserve"> for the purposes of the Individual and Family Assistance Act (chapter A</w:t>
      </w:r>
      <w:r w:rsidRPr="00062B76">
        <w:rPr>
          <w:lang w:val="en-CA" w:eastAsia="fr-CA"/>
        </w:rPr>
        <w:noBreakHyphen/>
        <w:t>13.1.1) may be represented by the person of his or its choice before the social affairs division in the case of a proceeding brought under that Act or this Act in a matter of income security or support or social aid and allowances.</w:t>
      </w:r>
    </w:p>
    <w:p w:rsidR="00290916" w:rsidRPr="00062B76" w:rsidRDefault="00290916" w:rsidP="00935044">
      <w:pPr>
        <w:pStyle w:val="ParaNoNdepar-AltN"/>
        <w:widowControl w:val="0"/>
        <w:rPr>
          <w:rFonts w:cs="Times New Roman"/>
          <w:lang w:val="en-CA"/>
        </w:rPr>
      </w:pPr>
      <w:r w:rsidRPr="00062B76">
        <w:rPr>
          <w:rFonts w:cs="Times New Roman"/>
          <w:lang w:val="en-CA"/>
        </w:rPr>
        <w:lastRenderedPageBreak/>
        <w:t xml:space="preserve">As the Court of Appeal pointed out, the Minister’s right was much narrower under the former s. 38 of the </w:t>
      </w:r>
      <w:r w:rsidRPr="00062B76">
        <w:rPr>
          <w:rFonts w:cs="Times New Roman"/>
          <w:i/>
          <w:lang w:val="en-CA"/>
        </w:rPr>
        <w:t xml:space="preserve">Act respecting the Commission des affaires </w:t>
      </w:r>
      <w:proofErr w:type="spellStart"/>
      <w:r w:rsidRPr="00062B76">
        <w:rPr>
          <w:rFonts w:cs="Times New Roman"/>
          <w:i/>
          <w:lang w:val="en-CA"/>
        </w:rPr>
        <w:t>sociales</w:t>
      </w:r>
      <w:proofErr w:type="spellEnd"/>
      <w:r w:rsidRPr="00062B76">
        <w:rPr>
          <w:rFonts w:cs="Times New Roman"/>
          <w:lang w:val="en-CA"/>
        </w:rPr>
        <w:t xml:space="preserve">, which provided that the Minister could be represented by a person who is not an advocate solely </w:t>
      </w:r>
      <w:r w:rsidRPr="00062B76">
        <w:rPr>
          <w:rFonts w:cs="Times New Roman"/>
          <w:i/>
          <w:lang w:val="en-CA"/>
        </w:rPr>
        <w:t>for the purpose of acting or pleading in his or her name at the proof and hearing</w:t>
      </w:r>
      <w:r w:rsidRPr="00062B76">
        <w:rPr>
          <w:rFonts w:cs="Times New Roman"/>
          <w:lang w:val="en-CA"/>
        </w:rPr>
        <w:t xml:space="preserve">. Those constraints were eliminated with the repeal of the </w:t>
      </w:r>
      <w:r w:rsidRPr="00062B76">
        <w:rPr>
          <w:rFonts w:cs="Times New Roman"/>
          <w:i/>
          <w:lang w:val="en-CA"/>
        </w:rPr>
        <w:t xml:space="preserve">Act respecting the Commission des affaires </w:t>
      </w:r>
      <w:proofErr w:type="spellStart"/>
      <w:r w:rsidRPr="00062B76">
        <w:rPr>
          <w:rFonts w:cs="Times New Roman"/>
          <w:i/>
          <w:lang w:val="en-CA"/>
        </w:rPr>
        <w:t>sociales</w:t>
      </w:r>
      <w:proofErr w:type="spellEnd"/>
      <w:r w:rsidRPr="00062B76">
        <w:rPr>
          <w:rFonts w:cs="Times New Roman"/>
          <w:i/>
          <w:lang w:val="en-CA"/>
        </w:rPr>
        <w:t xml:space="preserve"> </w:t>
      </w:r>
      <w:r w:rsidRPr="00062B76">
        <w:rPr>
          <w:rFonts w:cs="Times New Roman"/>
          <w:lang w:val="en-CA"/>
        </w:rPr>
        <w:t xml:space="preserve">and the enactment of the </w:t>
      </w:r>
      <w:r w:rsidRPr="00062B76">
        <w:rPr>
          <w:rFonts w:cs="Times New Roman"/>
          <w:i/>
          <w:lang w:val="en-CA"/>
        </w:rPr>
        <w:t>Act respecting administrative justice</w:t>
      </w:r>
      <w:r w:rsidRPr="00062B76">
        <w:rPr>
          <w:rFonts w:cs="Times New Roman"/>
          <w:lang w:val="en-CA"/>
        </w:rPr>
        <w:t xml:space="preserve">, which simply provides that the Minister “may be represented by the person of </w:t>
      </w:r>
      <w:proofErr w:type="gramStart"/>
      <w:r w:rsidRPr="00062B76">
        <w:rPr>
          <w:rFonts w:cs="Times New Roman"/>
          <w:lang w:val="en-CA"/>
        </w:rPr>
        <w:t>his .</w:t>
      </w:r>
      <w:proofErr w:type="gramEnd"/>
      <w:r w:rsidRPr="00062B76">
        <w:rPr>
          <w:rFonts w:cs="Times New Roman"/>
          <w:lang w:val="en-CA"/>
        </w:rPr>
        <w:t xml:space="preserve"> . . choice” in certain proceedings before the social affairs division. The wording of s. 102 of the </w:t>
      </w:r>
      <w:r w:rsidRPr="00062B76">
        <w:rPr>
          <w:rFonts w:cs="Times New Roman"/>
          <w:i/>
          <w:lang w:val="en-CA"/>
        </w:rPr>
        <w:t>Act respecting administrative justice</w:t>
      </w:r>
      <w:r w:rsidRPr="00062B76">
        <w:rPr>
          <w:rFonts w:cs="Times New Roman"/>
          <w:lang w:val="en-CA"/>
        </w:rPr>
        <w:t xml:space="preserve"> has thus become broader than that of s. 128(2</w:t>
      </w:r>
      <w:proofErr w:type="gramStart"/>
      <w:r w:rsidRPr="00062B76">
        <w:rPr>
          <w:rFonts w:cs="Times New Roman"/>
          <w:lang w:val="en-CA"/>
        </w:rPr>
        <w:t>)(</w:t>
      </w:r>
      <w:proofErr w:type="gramEnd"/>
      <w:r w:rsidRPr="00062B76">
        <w:rPr>
          <w:rFonts w:cs="Times New Roman"/>
          <w:lang w:val="en-CA"/>
        </w:rPr>
        <w:t>a)(5)</w:t>
      </w:r>
      <w:r w:rsidRPr="00062B76">
        <w:rPr>
          <w:rFonts w:cs="Times New Roman"/>
          <w:sz w:val="22"/>
          <w:lang w:val="en-CA" w:eastAsia="fr-CA"/>
        </w:rPr>
        <w:t xml:space="preserve"> </w:t>
      </w:r>
      <w:r w:rsidRPr="00062B76">
        <w:rPr>
          <w:rFonts w:cs="Times New Roman"/>
          <w:szCs w:val="24"/>
          <w:lang w:val="en-CA" w:eastAsia="fr-CA"/>
        </w:rPr>
        <w:t xml:space="preserve">of the </w:t>
      </w:r>
      <w:r w:rsidRPr="00062B76">
        <w:rPr>
          <w:rFonts w:cs="Times New Roman"/>
          <w:i/>
          <w:szCs w:val="24"/>
          <w:lang w:val="en-CA" w:eastAsia="fr-CA"/>
        </w:rPr>
        <w:t xml:space="preserve">Act respecting the </w:t>
      </w:r>
      <w:proofErr w:type="spellStart"/>
      <w:r w:rsidRPr="00062B76">
        <w:rPr>
          <w:rFonts w:cs="Times New Roman"/>
          <w:i/>
          <w:szCs w:val="24"/>
          <w:lang w:val="en-CA" w:eastAsia="fr-CA"/>
        </w:rPr>
        <w:t>Barreau</w:t>
      </w:r>
      <w:proofErr w:type="spellEnd"/>
      <w:r w:rsidRPr="00062B76">
        <w:rPr>
          <w:rFonts w:cs="Times New Roman"/>
          <w:i/>
          <w:szCs w:val="24"/>
          <w:lang w:val="en-CA" w:eastAsia="fr-CA"/>
        </w:rPr>
        <w:t xml:space="preserve"> du Québec</w:t>
      </w:r>
      <w:r w:rsidRPr="00062B76">
        <w:rPr>
          <w:rFonts w:cs="Times New Roman"/>
          <w:szCs w:val="24"/>
          <w:lang w:val="en-CA"/>
        </w:rPr>
        <w:t xml:space="preserve">, </w:t>
      </w:r>
      <w:r w:rsidRPr="00062B76">
        <w:rPr>
          <w:rFonts w:cs="Times New Roman"/>
          <w:lang w:val="en-CA"/>
        </w:rPr>
        <w:t xml:space="preserve">which is limited to representation “to plead or act”. As a result, there is no longer the symmetry that existed between the wordings of the two statutes at the time of the </w:t>
      </w:r>
      <w:r w:rsidRPr="00062B76">
        <w:rPr>
          <w:rFonts w:cs="Times New Roman"/>
          <w:i/>
          <w:lang w:val="en-CA"/>
        </w:rPr>
        <w:t xml:space="preserve">Act respecting the Commission des affaires </w:t>
      </w:r>
      <w:proofErr w:type="spellStart"/>
      <w:r w:rsidRPr="00062B76">
        <w:rPr>
          <w:rFonts w:cs="Times New Roman"/>
          <w:i/>
          <w:lang w:val="en-CA"/>
        </w:rPr>
        <w:t>sociales</w:t>
      </w:r>
      <w:proofErr w:type="spellEnd"/>
      <w:r w:rsidRPr="00062B76">
        <w:rPr>
          <w:rFonts w:cs="Times New Roman"/>
          <w:lang w:val="en-CA"/>
        </w:rPr>
        <w:t>.</w:t>
      </w:r>
    </w:p>
    <w:p w:rsidR="00290916" w:rsidRPr="00062B76" w:rsidRDefault="00290916" w:rsidP="00935044">
      <w:pPr>
        <w:pStyle w:val="ParaNoNdepar-AltN"/>
        <w:widowControl w:val="0"/>
        <w:rPr>
          <w:rFonts w:cs="Times New Roman"/>
          <w:lang w:val="en-CA"/>
        </w:rPr>
      </w:pPr>
      <w:r w:rsidRPr="00062B76">
        <w:rPr>
          <w:rFonts w:cs="Times New Roman"/>
          <w:lang w:val="en-CA"/>
        </w:rPr>
        <w:t xml:space="preserve">Some might argue that the scope of s. 38 of the </w:t>
      </w:r>
      <w:r w:rsidRPr="00062B76">
        <w:rPr>
          <w:rFonts w:cs="Times New Roman"/>
          <w:i/>
          <w:lang w:val="en-CA"/>
        </w:rPr>
        <w:t xml:space="preserve">Act respecting the Commission des affaires </w:t>
      </w:r>
      <w:proofErr w:type="spellStart"/>
      <w:r w:rsidRPr="00062B76">
        <w:rPr>
          <w:rFonts w:cs="Times New Roman"/>
          <w:i/>
          <w:lang w:val="en-CA"/>
        </w:rPr>
        <w:t>sociales</w:t>
      </w:r>
      <w:proofErr w:type="spellEnd"/>
      <w:r w:rsidRPr="00062B76">
        <w:rPr>
          <w:rFonts w:cs="Times New Roman"/>
          <w:lang w:val="en-CA"/>
        </w:rPr>
        <w:t xml:space="preserve"> merely specified how s. 128(2</w:t>
      </w:r>
      <w:proofErr w:type="gramStart"/>
      <w:r w:rsidRPr="00062B76">
        <w:rPr>
          <w:rFonts w:cs="Times New Roman"/>
          <w:lang w:val="en-CA"/>
        </w:rPr>
        <w:t>)(</w:t>
      </w:r>
      <w:proofErr w:type="gramEnd"/>
      <w:r w:rsidRPr="00062B76">
        <w:rPr>
          <w:rFonts w:cs="Times New Roman"/>
          <w:lang w:val="en-CA"/>
        </w:rPr>
        <w:t xml:space="preserve">a)(5) of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was to be applied by designating who could exercise a power of representation in the case of the acts excepted from the monopoly on practice of advocates. However, s. 129(b) of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gave the legislature the power to extend the scope of s. 38 of the </w:t>
      </w:r>
      <w:r w:rsidRPr="00062B76">
        <w:rPr>
          <w:rFonts w:cs="Times New Roman"/>
          <w:i/>
          <w:lang w:val="en-CA"/>
        </w:rPr>
        <w:t xml:space="preserve">Act respecting the Commission des affaires </w:t>
      </w:r>
      <w:proofErr w:type="spellStart"/>
      <w:r w:rsidRPr="00062B76">
        <w:rPr>
          <w:rFonts w:cs="Times New Roman"/>
          <w:i/>
          <w:lang w:val="en-CA"/>
        </w:rPr>
        <w:t>sociales</w:t>
      </w:r>
      <w:proofErr w:type="spellEnd"/>
      <w:r w:rsidRPr="00062B76">
        <w:rPr>
          <w:rFonts w:cs="Times New Roman"/>
          <w:lang w:val="en-CA"/>
        </w:rPr>
        <w:t xml:space="preserve"> to include written representation. This was the very power the legislature exercised when it enacted s. 102 of the </w:t>
      </w:r>
      <w:r w:rsidRPr="00062B76">
        <w:rPr>
          <w:rFonts w:cs="Times New Roman"/>
          <w:i/>
          <w:lang w:val="en-CA"/>
        </w:rPr>
        <w:t>Act respecting administrative justice</w:t>
      </w:r>
      <w:r w:rsidRPr="00062B76">
        <w:rPr>
          <w:rFonts w:cs="Times New Roman"/>
          <w:lang w:val="en-CA"/>
        </w:rPr>
        <w:t xml:space="preserve">. The fact that the legislature did not make a concurrent </w:t>
      </w:r>
      <w:r w:rsidRPr="00062B76">
        <w:rPr>
          <w:rFonts w:cs="Times New Roman"/>
          <w:lang w:val="en-CA"/>
        </w:rPr>
        <w:lastRenderedPageBreak/>
        <w:t xml:space="preserve">amendment to s. 128 of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cannot on its own negate the clear and unequivocal intention the legislature expressed in enacting s. 102 in its current form.</w:t>
      </w:r>
    </w:p>
    <w:p w:rsidR="00290916" w:rsidRPr="00062B76" w:rsidRDefault="00290916" w:rsidP="00935044">
      <w:pPr>
        <w:pStyle w:val="ParaNoNdepar-AltN"/>
        <w:widowControl w:val="0"/>
        <w:rPr>
          <w:rFonts w:cs="Times New Roman"/>
          <w:lang w:val="en-CA"/>
        </w:rPr>
      </w:pPr>
      <w:r w:rsidRPr="00062B76">
        <w:rPr>
          <w:rFonts w:cs="Times New Roman"/>
          <w:lang w:val="en-CA"/>
        </w:rPr>
        <w:t xml:space="preserve">The Superior Court concluded, and this is what the </w:t>
      </w:r>
      <w:proofErr w:type="spellStart"/>
      <w:r w:rsidRPr="00062B76">
        <w:rPr>
          <w:rFonts w:cs="Times New Roman"/>
          <w:lang w:val="en-CA"/>
        </w:rPr>
        <w:t>Barreau</w:t>
      </w:r>
      <w:proofErr w:type="spellEnd"/>
      <w:r w:rsidRPr="00062B76">
        <w:rPr>
          <w:rFonts w:cs="Times New Roman"/>
          <w:lang w:val="en-CA"/>
        </w:rPr>
        <w:t xml:space="preserve"> argues in this case, that the right set out in s. 102 of the </w:t>
      </w:r>
      <w:r w:rsidRPr="00062B76">
        <w:rPr>
          <w:rFonts w:cs="Times New Roman"/>
          <w:i/>
          <w:lang w:val="en-CA"/>
        </w:rPr>
        <w:t>Act respecting administrative justice</w:t>
      </w:r>
      <w:r w:rsidRPr="00062B76">
        <w:rPr>
          <w:rFonts w:cs="Times New Roman"/>
          <w:lang w:val="en-CA"/>
        </w:rPr>
        <w:t xml:space="preserve"> is limited by s. 128 of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Section 128(2</w:t>
      </w:r>
      <w:proofErr w:type="gramStart"/>
      <w:r w:rsidRPr="00062B76">
        <w:rPr>
          <w:rFonts w:cs="Times New Roman"/>
          <w:lang w:val="en-CA"/>
        </w:rPr>
        <w:t>)(</w:t>
      </w:r>
      <w:proofErr w:type="gramEnd"/>
      <w:r w:rsidRPr="00062B76">
        <w:rPr>
          <w:rFonts w:cs="Times New Roman"/>
          <w:lang w:val="en-CA"/>
        </w:rPr>
        <w:t>a)(5) provides that it is the exclusive prerogative of a</w:t>
      </w:r>
      <w:r w:rsidRPr="00062B76">
        <w:rPr>
          <w:rFonts w:cs="Times New Roman"/>
          <w:b/>
          <w:lang w:val="en-CA"/>
        </w:rPr>
        <w:t xml:space="preserve"> </w:t>
      </w:r>
      <w:r w:rsidRPr="00062B76">
        <w:rPr>
          <w:rFonts w:cs="Times New Roman"/>
          <w:lang w:val="en-CA"/>
        </w:rPr>
        <w:t xml:space="preserve">practising advocate to “plead or act” for others before a tribunal, except before the ATQ’s social affairs division, to the extent that the Minister wishes “to be represented </w:t>
      </w:r>
      <w:r w:rsidRPr="00062B76">
        <w:rPr>
          <w:rFonts w:cs="Times New Roman"/>
          <w:u w:val="single"/>
          <w:lang w:val="en-CA"/>
        </w:rPr>
        <w:t>to plead or act in his . . . name</w:t>
      </w:r>
      <w:r w:rsidRPr="00062B76">
        <w:rPr>
          <w:rFonts w:cs="Times New Roman"/>
          <w:lang w:val="en-CA"/>
        </w:rPr>
        <w:t>”. Section 128(1)(b) — which states that it is the exclusive prerogative of practising advocates or solicitors to</w:t>
      </w:r>
      <w:r w:rsidRPr="00062B76">
        <w:rPr>
          <w:rFonts w:cs="Times New Roman"/>
          <w:b/>
          <w:lang w:val="en-CA"/>
        </w:rPr>
        <w:t xml:space="preserve"> </w:t>
      </w:r>
      <w:r w:rsidRPr="00062B76">
        <w:rPr>
          <w:rFonts w:cs="Times New Roman"/>
          <w:lang w:val="en-CA"/>
        </w:rPr>
        <w:t xml:space="preserve">“prepare and draw up” notices, motions, proceedings or other similar documents for others — provides for no exceptions. Moreover, s. 102 of the </w:t>
      </w:r>
      <w:r w:rsidRPr="00062B76">
        <w:rPr>
          <w:rFonts w:cs="Times New Roman"/>
          <w:i/>
          <w:lang w:val="en-CA"/>
        </w:rPr>
        <w:t>Act respecting administrative justice</w:t>
      </w:r>
      <w:r w:rsidRPr="00062B76">
        <w:rPr>
          <w:rFonts w:cs="Times New Roman"/>
          <w:lang w:val="en-CA"/>
        </w:rPr>
        <w:t xml:space="preserve"> and s. 128(2</w:t>
      </w:r>
      <w:proofErr w:type="gramStart"/>
      <w:r w:rsidRPr="00062B76">
        <w:rPr>
          <w:rFonts w:cs="Times New Roman"/>
          <w:lang w:val="en-CA"/>
        </w:rPr>
        <w:t>)(</w:t>
      </w:r>
      <w:proofErr w:type="gramEnd"/>
      <w:r w:rsidRPr="00062B76">
        <w:rPr>
          <w:rFonts w:cs="Times New Roman"/>
          <w:lang w:val="en-CA"/>
        </w:rPr>
        <w:t xml:space="preserve">a)(5) of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were enacted simultaneously by the legislature. In the </w:t>
      </w:r>
      <w:proofErr w:type="spellStart"/>
      <w:r w:rsidRPr="00062B76">
        <w:rPr>
          <w:rFonts w:cs="Times New Roman"/>
          <w:lang w:val="en-CA"/>
        </w:rPr>
        <w:t>Barreau’s</w:t>
      </w:r>
      <w:proofErr w:type="spellEnd"/>
      <w:r w:rsidRPr="00062B76">
        <w:rPr>
          <w:rFonts w:cs="Times New Roman"/>
          <w:lang w:val="en-CA"/>
        </w:rPr>
        <w:t xml:space="preserve"> opinion, this means that the right established by s. 102 of the </w:t>
      </w:r>
      <w:r w:rsidRPr="00062B76">
        <w:rPr>
          <w:rFonts w:cs="Times New Roman"/>
          <w:i/>
          <w:lang w:val="en-CA"/>
        </w:rPr>
        <w:t>Act respecting administrative justice</w:t>
      </w:r>
      <w:r w:rsidRPr="00062B76">
        <w:rPr>
          <w:rFonts w:cs="Times New Roman"/>
          <w:lang w:val="en-CA"/>
        </w:rPr>
        <w:t xml:space="preserve"> has the same scope as the one provided for in s. 128(2)(a)(5), which excludes the preparation and drawing up of motions or other written proceedings. In other words, the Minister’s right to be represented before the social affairs division by a person who is not an advocate is limited to oral representation.</w:t>
      </w:r>
    </w:p>
    <w:p w:rsidR="00290916" w:rsidRPr="00062B76" w:rsidRDefault="00290916" w:rsidP="00935044">
      <w:pPr>
        <w:pStyle w:val="ParaNoNdepar-AltN"/>
        <w:widowControl w:val="0"/>
        <w:rPr>
          <w:rFonts w:cs="Times New Roman"/>
          <w:lang w:val="en-CA"/>
        </w:rPr>
      </w:pPr>
      <w:r w:rsidRPr="00062B76">
        <w:rPr>
          <w:rFonts w:cs="Times New Roman"/>
          <w:lang w:val="en-CA"/>
        </w:rPr>
        <w:t xml:space="preserve">With respect, I agree with the ATQ that this interpretation disregards the effect of s. 129(b) of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and is inconsistent with </w:t>
      </w:r>
      <w:r w:rsidRPr="00062B76">
        <w:rPr>
          <w:rFonts w:cs="Times New Roman"/>
          <w:lang w:val="en-CA"/>
        </w:rPr>
        <w:lastRenderedPageBreak/>
        <w:t xml:space="preserve">the ordinary sense of the words used in the relevant sections and with the legislative intent. And I agree with the Court of Appeal that the ATQ’s conclusion on the scope of s. 102 of the </w:t>
      </w:r>
      <w:r w:rsidRPr="00062B76">
        <w:rPr>
          <w:rFonts w:cs="Times New Roman"/>
          <w:i/>
          <w:lang w:val="en-CA"/>
        </w:rPr>
        <w:t>Act respecting administrative justice</w:t>
      </w:r>
      <w:r w:rsidRPr="00062B76">
        <w:rPr>
          <w:rFonts w:cs="Times New Roman"/>
          <w:lang w:val="en-CA"/>
        </w:rPr>
        <w:t xml:space="preserve"> is reasonable.</w:t>
      </w:r>
    </w:p>
    <w:p w:rsidR="00290916" w:rsidRPr="00062B76" w:rsidRDefault="00290916" w:rsidP="00935044">
      <w:pPr>
        <w:pStyle w:val="ParaNoNdepar-AltN"/>
        <w:widowControl w:val="0"/>
        <w:rPr>
          <w:rFonts w:cs="Times New Roman"/>
          <w:lang w:val="en-CA"/>
        </w:rPr>
      </w:pPr>
      <w:r w:rsidRPr="00062B76">
        <w:rPr>
          <w:rFonts w:cs="Times New Roman"/>
          <w:lang w:val="en-CA"/>
        </w:rPr>
        <w:t xml:space="preserve">The </w:t>
      </w:r>
      <w:proofErr w:type="spellStart"/>
      <w:r w:rsidRPr="00062B76">
        <w:rPr>
          <w:rFonts w:cs="Times New Roman"/>
          <w:lang w:val="en-CA"/>
        </w:rPr>
        <w:t>Barreau</w:t>
      </w:r>
      <w:proofErr w:type="spellEnd"/>
      <w:r w:rsidRPr="00062B76">
        <w:rPr>
          <w:rFonts w:cs="Times New Roman"/>
          <w:lang w:val="en-CA"/>
        </w:rPr>
        <w:t xml:space="preserve"> nonetheless argues that, insofar as s. 102 of the </w:t>
      </w:r>
      <w:r w:rsidRPr="00062B76">
        <w:rPr>
          <w:rFonts w:cs="Times New Roman"/>
          <w:i/>
          <w:lang w:val="en-CA"/>
        </w:rPr>
        <w:t>Act respecting administrative justice</w:t>
      </w:r>
      <w:r w:rsidRPr="00062B76">
        <w:rPr>
          <w:rFonts w:cs="Times New Roman"/>
          <w:lang w:val="en-CA"/>
        </w:rPr>
        <w:t xml:space="preserve"> authorizes a person who is not an advocate to represent the Minister in writing, it </w:t>
      </w:r>
      <w:r w:rsidRPr="00062B76">
        <w:rPr>
          <w:rFonts w:cs="Times New Roman"/>
          <w:i/>
          <w:lang w:val="en-CA"/>
        </w:rPr>
        <w:t>conflicts with</w:t>
      </w:r>
      <w:r w:rsidRPr="00062B76">
        <w:rPr>
          <w:rFonts w:cs="Times New Roman"/>
          <w:lang w:val="en-CA"/>
        </w:rPr>
        <w:t xml:space="preserve"> s. 128(1) of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which gives practising advocates and solicitors the exclusive right to prepare and draw up documents for use in a court or tribunal.  But this “conflict” is resolved by s. 129(b) of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which provides that s. 128 of that Act neither limits nor restricts rights that are specifically defined and granted to any person by any public or private law. The Minister’s right under s. 102 of the </w:t>
      </w:r>
      <w:r w:rsidRPr="00062B76">
        <w:rPr>
          <w:rFonts w:cs="Times New Roman"/>
          <w:i/>
          <w:lang w:val="en-CA"/>
        </w:rPr>
        <w:t>Act respecting administrative justice</w:t>
      </w:r>
      <w:r w:rsidRPr="00062B76">
        <w:rPr>
          <w:rFonts w:cs="Times New Roman"/>
          <w:lang w:val="en-CA"/>
        </w:rPr>
        <w:t xml:space="preserve"> to be represented by a person of his or her choice is thus not diminished in the least by s. 128 of the</w:t>
      </w:r>
      <w:r w:rsidRPr="00062B76">
        <w:rPr>
          <w:rFonts w:cs="Times New Roman"/>
          <w:i/>
          <w:lang w:val="en-CA"/>
        </w:rPr>
        <w:t xml:space="preserve"> 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w:t>
      </w:r>
    </w:p>
    <w:p w:rsidR="00290916" w:rsidRPr="00062B76" w:rsidRDefault="00290916" w:rsidP="00935044">
      <w:pPr>
        <w:pStyle w:val="ParaNoNdepar-AltN"/>
        <w:widowControl w:val="0"/>
        <w:rPr>
          <w:rFonts w:cs="Times New Roman"/>
          <w:lang w:val="en-CA"/>
        </w:rPr>
      </w:pPr>
      <w:r w:rsidRPr="00062B76">
        <w:rPr>
          <w:rFonts w:cs="Times New Roman"/>
          <w:lang w:val="en-CA"/>
        </w:rPr>
        <w:t xml:space="preserve">Furthermore, the </w:t>
      </w:r>
      <w:proofErr w:type="spellStart"/>
      <w:r w:rsidRPr="00062B76">
        <w:rPr>
          <w:rFonts w:cs="Times New Roman"/>
          <w:lang w:val="en-CA"/>
        </w:rPr>
        <w:t>Barreau</w:t>
      </w:r>
      <w:proofErr w:type="spellEnd"/>
      <w:r w:rsidRPr="00062B76">
        <w:rPr>
          <w:rFonts w:cs="Times New Roman"/>
          <w:lang w:val="en-CA"/>
        </w:rPr>
        <w:t xml:space="preserve"> relies on </w:t>
      </w:r>
      <w:r w:rsidRPr="00062B76">
        <w:rPr>
          <w:rFonts w:cs="Times New Roman"/>
          <w:i/>
          <w:lang w:val="en-CA"/>
        </w:rPr>
        <w:t>Fortin</w:t>
      </w:r>
      <w:r w:rsidRPr="00062B76">
        <w:rPr>
          <w:rFonts w:cs="Times New Roman"/>
          <w:lang w:val="en-CA"/>
        </w:rPr>
        <w:t xml:space="preserve">, a decision in which this Court, in considering the consequences of a breach of s. 128(1) of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found that the preparation and drawing up of written proceedings and representation before a court or tribunal are two separate steps. This distinction is relevant only if it is accepted that s. 128 of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takes precedence over the </w:t>
      </w:r>
      <w:r w:rsidRPr="00062B76">
        <w:rPr>
          <w:rFonts w:cs="Times New Roman"/>
          <w:i/>
          <w:lang w:val="en-CA"/>
        </w:rPr>
        <w:t>Act respecting administrative justice</w:t>
      </w:r>
      <w:r w:rsidRPr="00062B76">
        <w:rPr>
          <w:rFonts w:cs="Times New Roman"/>
          <w:lang w:val="en-CA"/>
        </w:rPr>
        <w:t xml:space="preserve"> where the Minister’s right to be represented is concerned. As I explained above, it is my view that, as a result of s. 129(b) of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the nature of this right is </w:t>
      </w:r>
      <w:r w:rsidRPr="00062B76">
        <w:rPr>
          <w:rFonts w:cs="Times New Roman"/>
          <w:lang w:val="en-CA"/>
        </w:rPr>
        <w:lastRenderedPageBreak/>
        <w:t xml:space="preserve">instead defined in s. 102 of the </w:t>
      </w:r>
      <w:r w:rsidRPr="00062B76">
        <w:rPr>
          <w:rFonts w:cs="Times New Roman"/>
          <w:i/>
          <w:lang w:val="en-CA"/>
        </w:rPr>
        <w:t>Act respecting administrative justice</w:t>
      </w:r>
      <w:r w:rsidRPr="00062B76">
        <w:rPr>
          <w:rFonts w:cs="Times New Roman"/>
          <w:lang w:val="en-CA"/>
        </w:rPr>
        <w:t xml:space="preserve">, which grants the Minister the right to “be represented” by a person who is not an advocate. The steps identified in </w:t>
      </w:r>
      <w:r w:rsidRPr="00062B76">
        <w:rPr>
          <w:rFonts w:cs="Times New Roman"/>
          <w:i/>
          <w:lang w:val="en-CA"/>
        </w:rPr>
        <w:t xml:space="preserve">Fortin </w:t>
      </w:r>
      <w:r w:rsidRPr="00062B76">
        <w:rPr>
          <w:rFonts w:cs="Times New Roman"/>
          <w:lang w:val="en-CA"/>
        </w:rPr>
        <w:t>are both covered by the general sense of the concept of “representation”, which “includes both written and oral submissions” (</w:t>
      </w:r>
      <w:r w:rsidRPr="00062B76">
        <w:rPr>
          <w:rFonts w:cs="Times New Roman"/>
          <w:i/>
          <w:lang w:val="en-CA"/>
        </w:rPr>
        <w:t>Fortin</w:t>
      </w:r>
      <w:r w:rsidRPr="00062B76">
        <w:rPr>
          <w:rFonts w:cs="Times New Roman"/>
          <w:lang w:val="en-CA"/>
        </w:rPr>
        <w:t>, at para. 32).</w:t>
      </w:r>
    </w:p>
    <w:p w:rsidR="00290916" w:rsidRPr="00062B76" w:rsidRDefault="00290916" w:rsidP="00935044">
      <w:pPr>
        <w:pStyle w:val="ParaNoNdepar-AltN"/>
        <w:widowControl w:val="0"/>
        <w:rPr>
          <w:rFonts w:cs="Times New Roman"/>
          <w:lang w:val="en-CA"/>
        </w:rPr>
      </w:pPr>
      <w:r w:rsidRPr="00062B76">
        <w:rPr>
          <w:rFonts w:cs="Times New Roman"/>
          <w:lang w:val="en-CA"/>
        </w:rPr>
        <w:t xml:space="preserve">In the </w:t>
      </w:r>
      <w:proofErr w:type="spellStart"/>
      <w:r w:rsidRPr="00062B76">
        <w:rPr>
          <w:rFonts w:cs="Times New Roman"/>
          <w:lang w:val="en-CA"/>
        </w:rPr>
        <w:t>Barreau’s</w:t>
      </w:r>
      <w:proofErr w:type="spellEnd"/>
      <w:r w:rsidRPr="00062B76">
        <w:rPr>
          <w:rFonts w:cs="Times New Roman"/>
          <w:lang w:val="en-CA"/>
        </w:rPr>
        <w:t xml:space="preserve"> opinion, the Court of Appeal [</w:t>
      </w:r>
      <w:r w:rsidRPr="00062B76">
        <w:rPr>
          <w:rFonts w:cs="Times New Roman"/>
          <w:smallCaps/>
          <w:lang w:val="en-CA"/>
        </w:rPr>
        <w:t>translation</w:t>
      </w:r>
      <w:r w:rsidRPr="00062B76">
        <w:rPr>
          <w:rFonts w:cs="Times New Roman"/>
          <w:lang w:val="en-CA"/>
        </w:rPr>
        <w:t xml:space="preserve">] “understood, interpreted and applied” the word “represented” as used in s. 102 of the </w:t>
      </w:r>
      <w:r w:rsidRPr="00062B76">
        <w:rPr>
          <w:rFonts w:cs="Times New Roman"/>
          <w:i/>
          <w:lang w:val="en-CA"/>
        </w:rPr>
        <w:t>Act respecting administrative justice</w:t>
      </w:r>
      <w:r w:rsidRPr="00062B76">
        <w:rPr>
          <w:rFonts w:cs="Times New Roman"/>
          <w:lang w:val="en-CA"/>
        </w:rPr>
        <w:t xml:space="preserve"> differently than the same word as used in the </w:t>
      </w:r>
      <w:r w:rsidRPr="00062B76">
        <w:rPr>
          <w:rFonts w:cs="Times New Roman"/>
          <w:i/>
          <w:lang w:val="en-CA"/>
        </w:rPr>
        <w:t xml:space="preserve">Act respecting the </w:t>
      </w:r>
      <w:proofErr w:type="spellStart"/>
      <w:r w:rsidRPr="00062B76">
        <w:rPr>
          <w:rFonts w:cs="Times New Roman"/>
          <w:i/>
          <w:lang w:val="en-CA"/>
        </w:rPr>
        <w:t>Barreau</w:t>
      </w:r>
      <w:proofErr w:type="spellEnd"/>
      <w:r w:rsidRPr="00062B76">
        <w:rPr>
          <w:rFonts w:cs="Times New Roman"/>
          <w:i/>
          <w:lang w:val="en-CA"/>
        </w:rPr>
        <w:t xml:space="preserve"> du Québec</w:t>
      </w:r>
      <w:r w:rsidRPr="00062B76">
        <w:rPr>
          <w:rFonts w:cs="Times New Roman"/>
          <w:lang w:val="en-CA"/>
        </w:rPr>
        <w:t xml:space="preserve">. But it is actually the </w:t>
      </w:r>
      <w:proofErr w:type="spellStart"/>
      <w:r w:rsidRPr="00062B76">
        <w:rPr>
          <w:rFonts w:cs="Times New Roman"/>
          <w:lang w:val="en-CA"/>
        </w:rPr>
        <w:t>Barreau</w:t>
      </w:r>
      <w:proofErr w:type="spellEnd"/>
      <w:r w:rsidRPr="00062B76">
        <w:rPr>
          <w:rFonts w:cs="Times New Roman"/>
          <w:lang w:val="en-CA"/>
        </w:rPr>
        <w:t xml:space="preserve"> that is asking this Court to endorse an incoherent interpretation of the two statutes. It proposes that the same meaning be given to the word “represented” as to the words “represented </w:t>
      </w:r>
      <w:r w:rsidRPr="00062B76">
        <w:rPr>
          <w:rFonts w:cs="Times New Roman"/>
          <w:u w:val="single"/>
          <w:lang w:val="en-CA"/>
        </w:rPr>
        <w:t>to plead or act</w:t>
      </w:r>
      <w:r w:rsidRPr="00062B76">
        <w:rPr>
          <w:rFonts w:cs="Times New Roman"/>
          <w:lang w:val="en-CA"/>
        </w:rPr>
        <w:t xml:space="preserve">”, thus disregarding the restrictive effect of the underlined words and the significance of their absence from s. 102 of the </w:t>
      </w:r>
      <w:r w:rsidRPr="00062B76">
        <w:rPr>
          <w:rFonts w:cs="Times New Roman"/>
          <w:i/>
          <w:lang w:val="en-CA"/>
        </w:rPr>
        <w:t>Act respecting administrative justice</w:t>
      </w:r>
      <w:r w:rsidRPr="00062B76">
        <w:rPr>
          <w:rFonts w:cs="Times New Roman"/>
          <w:lang w:val="en-CA"/>
        </w:rPr>
        <w:t xml:space="preserve">. The </w:t>
      </w:r>
      <w:proofErr w:type="spellStart"/>
      <w:r w:rsidRPr="00062B76">
        <w:rPr>
          <w:rFonts w:cs="Times New Roman"/>
          <w:lang w:val="en-CA"/>
        </w:rPr>
        <w:t>Barreau</w:t>
      </w:r>
      <w:proofErr w:type="spellEnd"/>
      <w:r w:rsidRPr="00062B76">
        <w:rPr>
          <w:rFonts w:cs="Times New Roman"/>
          <w:lang w:val="en-CA"/>
        </w:rPr>
        <w:t xml:space="preserve"> refers to the common origin of s. 38 of the </w:t>
      </w:r>
      <w:r w:rsidRPr="00062B76">
        <w:rPr>
          <w:rFonts w:cs="Times New Roman"/>
          <w:i/>
          <w:lang w:val="en-CA"/>
        </w:rPr>
        <w:t xml:space="preserve">Act respecting the Commission des affaires </w:t>
      </w:r>
      <w:proofErr w:type="spellStart"/>
      <w:r w:rsidRPr="00062B76">
        <w:rPr>
          <w:rFonts w:cs="Times New Roman"/>
          <w:i/>
          <w:lang w:val="en-CA"/>
        </w:rPr>
        <w:t>sociales</w:t>
      </w:r>
      <w:proofErr w:type="spellEnd"/>
      <w:r w:rsidRPr="00062B76">
        <w:rPr>
          <w:rFonts w:cs="Times New Roman"/>
          <w:lang w:val="en-CA"/>
        </w:rPr>
        <w:t xml:space="preserve"> (the predecessor of s. 102 of the </w:t>
      </w:r>
      <w:r w:rsidRPr="00062B76">
        <w:rPr>
          <w:rFonts w:cs="Times New Roman"/>
          <w:i/>
          <w:lang w:val="en-CA"/>
        </w:rPr>
        <w:t>Act respecting administrative justice</w:t>
      </w:r>
      <w:r w:rsidRPr="00062B76">
        <w:rPr>
          <w:rFonts w:cs="Times New Roman"/>
          <w:lang w:val="en-CA"/>
        </w:rPr>
        <w:t>) and s. 128(2)(a)(5) and submits that the two provisions still have the same scope. This argument is based on the assumption that these two provisions originally applied only to oral representation. In my opinion, such a proposition is questionable, as it would deprive of any value the intention expressed by the legislature on several occasions to avert the “</w:t>
      </w:r>
      <w:proofErr w:type="spellStart"/>
      <w:r w:rsidRPr="00062B76">
        <w:rPr>
          <w:rFonts w:cs="Times New Roman"/>
          <w:lang w:val="en-CA"/>
        </w:rPr>
        <w:t>judicialization</w:t>
      </w:r>
      <w:proofErr w:type="spellEnd"/>
      <w:r w:rsidRPr="00062B76">
        <w:rPr>
          <w:rFonts w:cs="Times New Roman"/>
          <w:lang w:val="en-CA"/>
        </w:rPr>
        <w:t xml:space="preserve">” of administrative justice by granting the Minister the right to be represented before the ATQ by a person who is not an advocate. Even if I were to accept that assumption, I find it difficult to reconcile the </w:t>
      </w:r>
      <w:proofErr w:type="spellStart"/>
      <w:r w:rsidRPr="00062B76">
        <w:rPr>
          <w:rFonts w:cs="Times New Roman"/>
          <w:lang w:val="en-CA"/>
        </w:rPr>
        <w:t>Barreau’s</w:t>
      </w:r>
      <w:proofErr w:type="spellEnd"/>
      <w:r w:rsidRPr="00062B76">
        <w:rPr>
          <w:rFonts w:cs="Times New Roman"/>
          <w:lang w:val="en-CA"/>
        </w:rPr>
        <w:t xml:space="preserve"> argument with the </w:t>
      </w:r>
      <w:r w:rsidRPr="00062B76">
        <w:rPr>
          <w:rFonts w:cs="Times New Roman"/>
          <w:lang w:val="en-CA"/>
        </w:rPr>
        <w:lastRenderedPageBreak/>
        <w:t xml:space="preserve">deliberate choice made by the National Assembly not to repeat the words “to plead or act” in s. 102 of the </w:t>
      </w:r>
      <w:r w:rsidRPr="00062B76">
        <w:rPr>
          <w:rFonts w:cs="Times New Roman"/>
          <w:i/>
          <w:lang w:val="en-CA"/>
        </w:rPr>
        <w:t>Act respecting administrative justice</w:t>
      </w:r>
      <w:r w:rsidRPr="00062B76">
        <w:rPr>
          <w:rFonts w:cs="Times New Roman"/>
          <w:lang w:val="en-CA"/>
        </w:rPr>
        <w:t>. If the legislature “does not speak gratuitously” (see P.</w:t>
      </w:r>
      <w:r w:rsidRPr="00062B76">
        <w:rPr>
          <w:rFonts w:cs="Times New Roman"/>
          <w:lang w:val="en-CA"/>
        </w:rPr>
        <w:noBreakHyphen/>
        <w:t>A. </w:t>
      </w:r>
      <w:proofErr w:type="spellStart"/>
      <w:r w:rsidRPr="00062B76">
        <w:rPr>
          <w:rFonts w:cs="Times New Roman"/>
          <w:lang w:val="en-CA"/>
        </w:rPr>
        <w:t>Côté</w:t>
      </w:r>
      <w:proofErr w:type="spellEnd"/>
      <w:r w:rsidRPr="00062B76">
        <w:rPr>
          <w:rFonts w:cs="Times New Roman"/>
          <w:lang w:val="en-CA"/>
        </w:rPr>
        <w:t>, in collaboration with S. </w:t>
      </w:r>
      <w:proofErr w:type="spellStart"/>
      <w:r w:rsidRPr="00062B76">
        <w:rPr>
          <w:rFonts w:cs="Times New Roman"/>
          <w:lang w:val="en-CA"/>
        </w:rPr>
        <w:t>Beaulac</w:t>
      </w:r>
      <w:proofErr w:type="spellEnd"/>
      <w:r w:rsidRPr="00062B76">
        <w:rPr>
          <w:rFonts w:cs="Times New Roman"/>
          <w:lang w:val="en-CA"/>
        </w:rPr>
        <w:t xml:space="preserve"> and M. </w:t>
      </w:r>
      <w:proofErr w:type="spellStart"/>
      <w:r w:rsidRPr="00062B76">
        <w:rPr>
          <w:rFonts w:cs="Times New Roman"/>
          <w:lang w:val="en-CA"/>
        </w:rPr>
        <w:t>Devinat</w:t>
      </w:r>
      <w:proofErr w:type="spellEnd"/>
      <w:r w:rsidRPr="00062B76">
        <w:rPr>
          <w:rFonts w:cs="Times New Roman"/>
          <w:lang w:val="en-CA"/>
        </w:rPr>
        <w:t xml:space="preserve">, </w:t>
      </w:r>
      <w:r w:rsidRPr="00062B76">
        <w:rPr>
          <w:rFonts w:cs="Times New Roman"/>
          <w:i/>
          <w:lang w:val="en-CA"/>
        </w:rPr>
        <w:t>The Interpretation of Legislation in Canada</w:t>
      </w:r>
      <w:r w:rsidRPr="00062B76">
        <w:rPr>
          <w:rFonts w:cs="Times New Roman"/>
          <w:lang w:val="en-CA"/>
        </w:rPr>
        <w:t xml:space="preserve"> (4th ed. 2011), at p. 295), it must be presumed that legislative omissions are also significant and that “[t]he same word is deemed to have the same meaning in related legislation” (</w:t>
      </w:r>
      <w:r w:rsidRPr="00062B76">
        <w:rPr>
          <w:rFonts w:cs="Times New Roman"/>
          <w:i/>
          <w:lang w:val="en-CA"/>
        </w:rPr>
        <w:t>ibid.</w:t>
      </w:r>
      <w:r w:rsidRPr="00062B76">
        <w:rPr>
          <w:rFonts w:cs="Times New Roman"/>
          <w:lang w:val="en-CA"/>
        </w:rPr>
        <w:t xml:space="preserve">, at p. 368). Because the ordinary sense of the words of s. 102 of the </w:t>
      </w:r>
      <w:r w:rsidRPr="00062B76">
        <w:rPr>
          <w:rFonts w:cs="Times New Roman"/>
          <w:i/>
          <w:lang w:val="en-CA"/>
        </w:rPr>
        <w:t>Act respecting administrative justice</w:t>
      </w:r>
      <w:r w:rsidRPr="00062B76">
        <w:rPr>
          <w:rFonts w:cs="Times New Roman"/>
          <w:lang w:val="en-CA"/>
        </w:rPr>
        <w:t xml:space="preserve"> is perfectly consistent with the legislature’s intention to simplify procedure in social services cases, I cannot agree with the interpretation proposed by the </w:t>
      </w:r>
      <w:proofErr w:type="spellStart"/>
      <w:r w:rsidRPr="00062B76">
        <w:rPr>
          <w:rFonts w:cs="Times New Roman"/>
          <w:lang w:val="en-CA"/>
        </w:rPr>
        <w:t>Barreau</w:t>
      </w:r>
      <w:proofErr w:type="spellEnd"/>
      <w:r w:rsidRPr="00062B76">
        <w:rPr>
          <w:rFonts w:cs="Times New Roman"/>
          <w:lang w:val="en-CA"/>
        </w:rPr>
        <w:t>.</w:t>
      </w:r>
    </w:p>
    <w:p w:rsidR="00290916" w:rsidRPr="00062B76" w:rsidRDefault="00290916" w:rsidP="00935044">
      <w:pPr>
        <w:pStyle w:val="Title1LevelTitre1Niveau-AltL"/>
        <w:widowControl w:val="0"/>
        <w:numPr>
          <w:ilvl w:val="0"/>
          <w:numId w:val="8"/>
        </w:numPr>
        <w:rPr>
          <w:rFonts w:cs="Times New Roman"/>
        </w:rPr>
      </w:pPr>
      <w:r w:rsidRPr="00062B76">
        <w:rPr>
          <w:rFonts w:cs="Times New Roman"/>
        </w:rPr>
        <w:t>Conclusion</w:t>
      </w:r>
    </w:p>
    <w:p w:rsidR="00290916" w:rsidRPr="00062B76" w:rsidRDefault="00290916" w:rsidP="00935044">
      <w:pPr>
        <w:pStyle w:val="ParaNoNdepar-AltN"/>
        <w:widowControl w:val="0"/>
        <w:rPr>
          <w:rFonts w:cs="Times New Roman"/>
          <w:lang w:val="en-CA"/>
        </w:rPr>
      </w:pPr>
      <w:r w:rsidRPr="00062B76">
        <w:rPr>
          <w:rFonts w:cs="Times New Roman"/>
          <w:lang w:val="en-CA"/>
        </w:rPr>
        <w:t>The Court of Appeal did not err in applying the reasonableness standard, and the ATQ’s conclusion regarding the scope of the Minister’s right to be represented by a person of his or her own choice was reasonable. I would therefore dismiss the appeal, with costs.</w:t>
      </w:r>
    </w:p>
    <w:p w:rsidR="00290916" w:rsidRPr="005B79B3" w:rsidRDefault="005B79B3" w:rsidP="00935044">
      <w:pPr>
        <w:pStyle w:val="ParaNoNdepar-AltN"/>
        <w:widowControl w:val="0"/>
        <w:numPr>
          <w:ilvl w:val="0"/>
          <w:numId w:val="0"/>
        </w:numPr>
        <w:tabs>
          <w:tab w:val="left" w:pos="1166"/>
        </w:tabs>
        <w:rPr>
          <w:lang w:val="en-US"/>
        </w:rPr>
      </w:pPr>
      <w:r w:rsidRPr="00246A9D">
        <w:rPr>
          <w:lang w:val="en-CA"/>
        </w:rPr>
        <w:tab/>
      </w:r>
      <w:r w:rsidR="00290916" w:rsidRPr="005B79B3">
        <w:rPr>
          <w:lang w:val="en-US"/>
        </w:rPr>
        <w:t>English version of the reasons delivered by</w:t>
      </w:r>
    </w:p>
    <w:p w:rsidR="00290916" w:rsidRPr="00246A9D" w:rsidRDefault="005B79B3" w:rsidP="00935044">
      <w:pPr>
        <w:pStyle w:val="ParaNoNdepar-AltN"/>
        <w:widowControl w:val="0"/>
        <w:rPr>
          <w:lang w:val="en-CA"/>
        </w:rPr>
      </w:pPr>
      <w:proofErr w:type="spellStart"/>
      <w:r w:rsidRPr="005B79B3">
        <w:rPr>
          <w:rFonts w:cs="Times New Roman"/>
          <w:smallCaps/>
          <w:lang w:val="en-CA"/>
        </w:rPr>
        <w:t>Côté</w:t>
      </w:r>
      <w:proofErr w:type="spellEnd"/>
      <w:r w:rsidRPr="005B79B3">
        <w:rPr>
          <w:rFonts w:cs="Times New Roman"/>
          <w:smallCaps/>
          <w:lang w:val="en-CA"/>
        </w:rPr>
        <w:t xml:space="preserve"> J</w:t>
      </w:r>
      <w:r w:rsidRPr="005B79B3">
        <w:rPr>
          <w:rFonts w:cs="Times New Roman"/>
          <w:lang w:val="en-CA"/>
        </w:rPr>
        <w:t xml:space="preserve">. </w:t>
      </w:r>
      <w:r w:rsidR="00246A9D">
        <w:rPr>
          <w:rFonts w:cs="Times New Roman"/>
          <w:lang w:val="en-CA"/>
        </w:rPr>
        <w:t xml:space="preserve">(dissenting) </w:t>
      </w:r>
      <w:r w:rsidRPr="005B79B3">
        <w:rPr>
          <w:rFonts w:cs="Times New Roman"/>
          <w:lang w:val="en-CA"/>
        </w:rPr>
        <w:t xml:space="preserve">— </w:t>
      </w:r>
      <w:r w:rsidR="00290916" w:rsidRPr="005B79B3">
        <w:rPr>
          <w:lang w:val="en-US"/>
        </w:rPr>
        <w:t xml:space="preserve">I disagree with my colleague Brown J. on two points. </w:t>
      </w:r>
      <w:r w:rsidR="00290916" w:rsidRPr="00246A9D">
        <w:rPr>
          <w:lang w:val="en-CA"/>
        </w:rPr>
        <w:t xml:space="preserve">First, I am of the opinion that the standard of review applicable to the decisions of the Administrative Tribunal of Québec (“ATQ”) in the present case is correctness (A). Second, I conclude that only advocates or solicitors may prepare and draw up a notice, motion, proceeding or other similar document intended for use before the </w:t>
      </w:r>
      <w:r w:rsidR="00290916" w:rsidRPr="00246A9D">
        <w:rPr>
          <w:lang w:val="en-CA"/>
        </w:rPr>
        <w:lastRenderedPageBreak/>
        <w:t>ATQ’s social affairs division (B).</w:t>
      </w:r>
    </w:p>
    <w:p w:rsidR="00290916" w:rsidRPr="00C759D9" w:rsidRDefault="00290916" w:rsidP="00935044">
      <w:pPr>
        <w:pStyle w:val="Title2LevelTitre2Niveau"/>
        <w:widowControl w:val="0"/>
        <w:numPr>
          <w:ilvl w:val="1"/>
          <w:numId w:val="8"/>
        </w:numPr>
        <w:rPr>
          <w:rFonts w:cs="Times New Roman"/>
        </w:rPr>
      </w:pPr>
      <w:r w:rsidRPr="00C759D9">
        <w:rPr>
          <w:rFonts w:cs="Times New Roman"/>
        </w:rPr>
        <w:t>Standard of Review Applicable to the ATQ’s Decisions in the Present Case</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In the cases in question, the ATQ concluded that a representative of the Minister of Employment and Social Solidarity (“Minister”) has both the power to plead before its social affairs division and the power to prepare, draw up and sign written proceedings for use in a case before that division. To arrive at that conclusion, the ATQ had to interpret ss. 128 and 129 of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CQLR, c. B</w:t>
      </w:r>
      <w:r w:rsidRPr="00C759D9">
        <w:rPr>
          <w:rFonts w:cs="Times New Roman"/>
          <w:lang w:val="en-CA"/>
        </w:rPr>
        <w:noBreakHyphen/>
        <w:t xml:space="preserve">1, and s. 102 of the </w:t>
      </w:r>
      <w:r w:rsidRPr="00C759D9">
        <w:rPr>
          <w:rFonts w:cs="Times New Roman"/>
          <w:i/>
          <w:lang w:val="en-CA"/>
        </w:rPr>
        <w:t>Act respecting administrative justice</w:t>
      </w:r>
      <w:r w:rsidRPr="00C759D9">
        <w:rPr>
          <w:rFonts w:cs="Times New Roman"/>
          <w:lang w:val="en-CA"/>
        </w:rPr>
        <w:t>, CQLR, c. J</w:t>
      </w:r>
      <w:r w:rsidRPr="00C759D9">
        <w:rPr>
          <w:rFonts w:cs="Times New Roman"/>
          <w:lang w:val="en-CA"/>
        </w:rPr>
        <w:noBreakHyphen/>
        <w:t>3.</w:t>
      </w:r>
    </w:p>
    <w:p w:rsidR="00290916" w:rsidRPr="00C759D9" w:rsidRDefault="00290916" w:rsidP="00935044">
      <w:pPr>
        <w:pStyle w:val="ParaNoNdepar-AltN"/>
        <w:widowControl w:val="0"/>
        <w:rPr>
          <w:rFonts w:cs="Times New Roman"/>
          <w:lang w:val="en-CA"/>
        </w:rPr>
      </w:pPr>
      <w:r w:rsidRPr="00C759D9">
        <w:rPr>
          <w:rFonts w:cs="Times New Roman"/>
          <w:lang w:val="en-CA"/>
        </w:rPr>
        <w:t>On judicial review, the Superior Court held that the standard applicable to the ATQ’s decisions was correctness (2014 QCCS 2226, at para. 38 (</w:t>
      </w:r>
      <w:proofErr w:type="spellStart"/>
      <w:r w:rsidRPr="00C759D9">
        <w:rPr>
          <w:rFonts w:cs="Times New Roman"/>
          <w:lang w:val="en-CA"/>
        </w:rPr>
        <w:t>CanLII</w:t>
      </w:r>
      <w:proofErr w:type="spellEnd"/>
      <w:r w:rsidRPr="00C759D9">
        <w:rPr>
          <w:rFonts w:cs="Times New Roman"/>
          <w:lang w:val="en-CA"/>
        </w:rPr>
        <w:t>)). The Quebec Court of Appeal was instead of the opinion that they should be reviewed on the standard of reasonableness (2016 QCCA 536, at para. 35 (</w:t>
      </w:r>
      <w:proofErr w:type="spellStart"/>
      <w:r w:rsidRPr="00C759D9">
        <w:rPr>
          <w:rFonts w:cs="Times New Roman"/>
          <w:lang w:val="en-CA"/>
        </w:rPr>
        <w:t>CanLII</w:t>
      </w:r>
      <w:proofErr w:type="spellEnd"/>
      <w:r w:rsidRPr="00C759D9">
        <w:rPr>
          <w:rFonts w:cs="Times New Roman"/>
          <w:lang w:val="en-CA"/>
        </w:rPr>
        <w:t>)</w:t>
      </w:r>
      <w:r>
        <w:rPr>
          <w:rFonts w:cs="Times New Roman"/>
          <w:lang w:val="en-CA"/>
        </w:rPr>
        <w:t>), and my colleague Brown </w:t>
      </w:r>
      <w:r w:rsidRPr="00C759D9">
        <w:rPr>
          <w:rFonts w:cs="Times New Roman"/>
          <w:lang w:val="en-CA"/>
        </w:rPr>
        <w:t>J. is of the same view</w:t>
      </w:r>
      <w:r>
        <w:rPr>
          <w:rFonts w:cs="Times New Roman"/>
          <w:lang w:val="en-CA"/>
        </w:rPr>
        <w:t xml:space="preserve"> (</w:t>
      </w:r>
      <w:r w:rsidRPr="00C759D9">
        <w:rPr>
          <w:rFonts w:cs="Times New Roman"/>
          <w:lang w:val="en-CA"/>
        </w:rPr>
        <w:t>reasons of the majority, at para. 24). I agree with the Superior Court that the correctness standard applies in this case.</w:t>
      </w:r>
    </w:p>
    <w:p w:rsidR="00290916" w:rsidRPr="00C759D9" w:rsidRDefault="00290916" w:rsidP="00935044">
      <w:pPr>
        <w:pStyle w:val="ParaNoNdepar-AltN"/>
        <w:widowControl w:val="0"/>
        <w:rPr>
          <w:rFonts w:cs="Times New Roman"/>
          <w:lang w:val="en-CA"/>
        </w:rPr>
      </w:pPr>
      <w:r w:rsidRPr="00C759D9">
        <w:rPr>
          <w:rFonts w:cs="Times New Roman"/>
          <w:lang w:val="en-CA"/>
        </w:rPr>
        <w:t>The ATQ’s decisions are subject to judicial review, and “the choice of the applicable standard depends primarily on the nature of the questions that have been raised, which is why it is important to identify those questions correctly” (</w:t>
      </w:r>
      <w:proofErr w:type="spellStart"/>
      <w:r w:rsidRPr="00C759D9">
        <w:rPr>
          <w:rFonts w:cs="Times New Roman"/>
          <w:i/>
          <w:lang w:val="en-CA"/>
        </w:rPr>
        <w:t>Mouvement</w:t>
      </w:r>
      <w:proofErr w:type="spellEnd"/>
      <w:r w:rsidRPr="00C759D9">
        <w:rPr>
          <w:rFonts w:cs="Times New Roman"/>
          <w:i/>
          <w:lang w:val="en-CA"/>
        </w:rPr>
        <w:t xml:space="preserve"> </w:t>
      </w:r>
      <w:proofErr w:type="spellStart"/>
      <w:r w:rsidRPr="00C759D9">
        <w:rPr>
          <w:rFonts w:cs="Times New Roman"/>
          <w:i/>
          <w:lang w:val="en-CA"/>
        </w:rPr>
        <w:t>laïque</w:t>
      </w:r>
      <w:proofErr w:type="spellEnd"/>
      <w:r w:rsidRPr="00C759D9">
        <w:rPr>
          <w:rFonts w:cs="Times New Roman"/>
          <w:i/>
          <w:lang w:val="en-CA"/>
        </w:rPr>
        <w:t xml:space="preserve"> </w:t>
      </w:r>
      <w:proofErr w:type="spellStart"/>
      <w:r w:rsidRPr="00C759D9">
        <w:rPr>
          <w:rFonts w:cs="Times New Roman"/>
          <w:i/>
          <w:lang w:val="en-CA"/>
        </w:rPr>
        <w:t>québécois</w:t>
      </w:r>
      <w:proofErr w:type="spellEnd"/>
      <w:r w:rsidRPr="00C759D9">
        <w:rPr>
          <w:rFonts w:cs="Times New Roman"/>
          <w:i/>
          <w:lang w:val="en-CA"/>
        </w:rPr>
        <w:t xml:space="preserve"> v. Saguenay (City)</w:t>
      </w:r>
      <w:r w:rsidRPr="00C759D9">
        <w:rPr>
          <w:rFonts w:cs="Times New Roman"/>
          <w:lang w:val="en-CA"/>
        </w:rPr>
        <w:t>, 2015 SCC 16, [2015] 2 S.C.R. 3, at para. 45).</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In my view, the Superior Court correctly identified the question that had </w:t>
      </w:r>
      <w:r w:rsidRPr="00C759D9">
        <w:rPr>
          <w:rFonts w:cs="Times New Roman"/>
          <w:lang w:val="en-CA"/>
        </w:rPr>
        <w:lastRenderedPageBreak/>
        <w:t xml:space="preserve">been before the ATQ as one of statutory interpretation that necessarily related to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xml:space="preserve"> and its interaction with the </w:t>
      </w:r>
      <w:r w:rsidRPr="00C759D9">
        <w:rPr>
          <w:rFonts w:cs="Times New Roman"/>
          <w:i/>
          <w:lang w:val="en-CA"/>
        </w:rPr>
        <w:t>Act respecting administrative justice</w:t>
      </w:r>
      <w:r w:rsidRPr="00C759D9">
        <w:rPr>
          <w:rFonts w:cs="Times New Roman"/>
          <w:lang w:val="en-CA"/>
        </w:rPr>
        <w:t>, the ATQ’s enabling legislation (2014 QCCS 2226, at paras. 28</w:t>
      </w:r>
      <w:r w:rsidRPr="00C759D9">
        <w:rPr>
          <w:rFonts w:cs="Times New Roman"/>
          <w:lang w:val="en-CA"/>
        </w:rPr>
        <w:noBreakHyphen/>
        <w:t>34).</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Although the motions to dismiss that the ATQ had to decide required an interpretation of the word “represented” used in s. 102 of the </w:t>
      </w:r>
      <w:r w:rsidRPr="00C759D9">
        <w:rPr>
          <w:rFonts w:cs="Times New Roman"/>
          <w:i/>
          <w:lang w:val="en-CA"/>
        </w:rPr>
        <w:t>Act respecting administrative justice</w:t>
      </w:r>
      <w:r w:rsidRPr="00C759D9">
        <w:rPr>
          <w:rFonts w:cs="Times New Roman"/>
          <w:lang w:val="en-CA"/>
        </w:rPr>
        <w:t xml:space="preserve">, they were grounded in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w:t>
      </w:r>
    </w:p>
    <w:p w:rsidR="00290916" w:rsidRPr="00C759D9" w:rsidRDefault="00290916" w:rsidP="00935044">
      <w:pPr>
        <w:pStyle w:val="Citation-AltC"/>
        <w:widowControl w:val="0"/>
        <w:spacing w:after="240"/>
        <w:ind w:hanging="1166"/>
        <w:contextualSpacing w:val="0"/>
        <w:rPr>
          <w:lang w:val="en-CA"/>
        </w:rPr>
      </w:pPr>
      <w:r w:rsidRPr="00C759D9">
        <w:rPr>
          <w:lang w:val="en-CA"/>
        </w:rPr>
        <w:tab/>
        <w:t>[</w:t>
      </w:r>
      <w:r w:rsidRPr="00C759D9">
        <w:rPr>
          <w:smallCaps/>
          <w:lang w:val="en-CA"/>
        </w:rPr>
        <w:t>translation</w:t>
      </w:r>
      <w:r w:rsidRPr="00C759D9">
        <w:rPr>
          <w:lang w:val="en-CA"/>
        </w:rPr>
        <w:t>]</w:t>
      </w:r>
    </w:p>
    <w:p w:rsidR="00290916" w:rsidRPr="00C759D9" w:rsidRDefault="00290916" w:rsidP="00935044">
      <w:pPr>
        <w:pStyle w:val="Citation-AltC"/>
        <w:widowControl w:val="0"/>
        <w:tabs>
          <w:tab w:val="left" w:pos="1620"/>
        </w:tabs>
        <w:spacing w:after="240"/>
        <w:ind w:hanging="1166"/>
        <w:contextualSpacing w:val="0"/>
        <w:rPr>
          <w:lang w:val="en-CA"/>
        </w:rPr>
      </w:pPr>
      <w:r w:rsidRPr="00C759D9">
        <w:rPr>
          <w:lang w:val="en-CA"/>
        </w:rPr>
        <w:tab/>
        <w:t>4.</w:t>
      </w:r>
      <w:r w:rsidRPr="00C759D9">
        <w:rPr>
          <w:lang w:val="en-CA"/>
        </w:rPr>
        <w:tab/>
        <w:t xml:space="preserve">The said motion for review was signed on March 4, 2011 by a representative of the </w:t>
      </w:r>
      <w:proofErr w:type="spellStart"/>
      <w:r w:rsidRPr="00C759D9">
        <w:rPr>
          <w:lang w:val="en-CA"/>
        </w:rPr>
        <w:t>Ministère</w:t>
      </w:r>
      <w:proofErr w:type="spellEnd"/>
      <w:r w:rsidRPr="00C759D9">
        <w:rPr>
          <w:lang w:val="en-CA"/>
        </w:rPr>
        <w:t xml:space="preserve"> de </w:t>
      </w:r>
      <w:proofErr w:type="spellStart"/>
      <w:r w:rsidRPr="00C759D9">
        <w:rPr>
          <w:lang w:val="en-CA"/>
        </w:rPr>
        <w:t>l’Emploi</w:t>
      </w:r>
      <w:proofErr w:type="spellEnd"/>
      <w:r w:rsidRPr="00C759D9">
        <w:rPr>
          <w:lang w:val="en-CA"/>
        </w:rPr>
        <w:t xml:space="preserve"> et de la </w:t>
      </w:r>
      <w:proofErr w:type="spellStart"/>
      <w:r w:rsidRPr="00C759D9">
        <w:rPr>
          <w:lang w:val="en-CA"/>
        </w:rPr>
        <w:t>Solidarité</w:t>
      </w:r>
      <w:proofErr w:type="spellEnd"/>
      <w:r w:rsidRPr="00C759D9">
        <w:rPr>
          <w:lang w:val="en-CA"/>
        </w:rPr>
        <w:t xml:space="preserve"> </w:t>
      </w:r>
      <w:proofErr w:type="spellStart"/>
      <w:r w:rsidRPr="00C759D9">
        <w:rPr>
          <w:lang w:val="en-CA"/>
        </w:rPr>
        <w:t>sociale</w:t>
      </w:r>
      <w:proofErr w:type="spellEnd"/>
      <w:r w:rsidRPr="00C759D9">
        <w:rPr>
          <w:lang w:val="en-CA"/>
        </w:rPr>
        <w:t xml:space="preserve"> who is not a practising advocate entered on the Roll of the Order of the </w:t>
      </w:r>
      <w:proofErr w:type="spellStart"/>
      <w:r w:rsidRPr="00C759D9">
        <w:rPr>
          <w:lang w:val="en-CA"/>
        </w:rPr>
        <w:t>Barreau</w:t>
      </w:r>
      <w:proofErr w:type="spellEnd"/>
      <w:r w:rsidRPr="00C759D9">
        <w:rPr>
          <w:lang w:val="en-CA"/>
        </w:rPr>
        <w:t xml:space="preserve"> du Québec;</w:t>
      </w:r>
    </w:p>
    <w:p w:rsidR="00290916" w:rsidRPr="00C759D9" w:rsidRDefault="00290916" w:rsidP="00935044">
      <w:pPr>
        <w:pStyle w:val="Citation-AltC"/>
        <w:widowControl w:val="0"/>
        <w:tabs>
          <w:tab w:val="left" w:pos="1620"/>
        </w:tabs>
        <w:spacing w:after="240"/>
        <w:ind w:hanging="1166"/>
        <w:contextualSpacing w:val="0"/>
        <w:rPr>
          <w:lang w:val="en-CA"/>
        </w:rPr>
      </w:pPr>
      <w:r w:rsidRPr="00C759D9">
        <w:rPr>
          <w:lang w:val="en-CA"/>
        </w:rPr>
        <w:tab/>
        <w:t>5.</w:t>
      </w:r>
      <w:r w:rsidRPr="00C759D9">
        <w:rPr>
          <w:lang w:val="en-CA"/>
        </w:rPr>
        <w:tab/>
        <w:t xml:space="preserve">In addition to signing the said motion, the representative of the </w:t>
      </w:r>
      <w:proofErr w:type="spellStart"/>
      <w:r w:rsidRPr="00C759D9">
        <w:rPr>
          <w:lang w:val="en-CA"/>
        </w:rPr>
        <w:t>Ministère</w:t>
      </w:r>
      <w:proofErr w:type="spellEnd"/>
      <w:r w:rsidRPr="00C759D9">
        <w:rPr>
          <w:lang w:val="en-CA"/>
        </w:rPr>
        <w:t xml:space="preserve"> duly prepared the motion for review presented to the Tribunal, as will be shown at the hearing;</w:t>
      </w:r>
    </w:p>
    <w:p w:rsidR="00290916" w:rsidRPr="00C759D9" w:rsidRDefault="00290916" w:rsidP="00935044">
      <w:pPr>
        <w:pStyle w:val="Citation-AltC"/>
        <w:widowControl w:val="0"/>
        <w:tabs>
          <w:tab w:val="left" w:pos="1620"/>
        </w:tabs>
        <w:spacing w:after="240"/>
        <w:ind w:hanging="1166"/>
        <w:contextualSpacing w:val="0"/>
        <w:rPr>
          <w:lang w:val="en-CA"/>
        </w:rPr>
      </w:pPr>
      <w:r w:rsidRPr="00C759D9">
        <w:rPr>
          <w:lang w:val="en-CA"/>
        </w:rPr>
        <w:tab/>
        <w:t>6.</w:t>
      </w:r>
      <w:r w:rsidRPr="00C759D9">
        <w:rPr>
          <w:lang w:val="en-CA"/>
        </w:rPr>
        <w:tab/>
      </w:r>
      <w:r w:rsidRPr="00C759D9">
        <w:rPr>
          <w:u w:val="single"/>
          <w:lang w:val="en-CA"/>
        </w:rPr>
        <w:t xml:space="preserve">Under section [128(1)] of the Act respecting the </w:t>
      </w:r>
      <w:proofErr w:type="spellStart"/>
      <w:r w:rsidRPr="00C759D9">
        <w:rPr>
          <w:u w:val="single"/>
          <w:lang w:val="en-CA"/>
        </w:rPr>
        <w:t>Barreau</w:t>
      </w:r>
      <w:proofErr w:type="spellEnd"/>
      <w:r w:rsidRPr="00C759D9">
        <w:rPr>
          <w:u w:val="single"/>
          <w:lang w:val="en-CA"/>
        </w:rPr>
        <w:t xml:space="preserve"> du Québec, it is the exclusive prerogative of a practising advocate to prepare and draw up a motion or other proceeding intended for use in a case before a court or tribunal</w:t>
      </w:r>
      <w:r w:rsidRPr="00AF2E30">
        <w:rPr>
          <w:u w:val="single"/>
          <w:lang w:val="en-CA"/>
        </w:rPr>
        <w:t>;</w:t>
      </w:r>
    </w:p>
    <w:p w:rsidR="00290916" w:rsidRPr="00C759D9" w:rsidRDefault="00290916" w:rsidP="00935044">
      <w:pPr>
        <w:pStyle w:val="Citation-AltC"/>
        <w:widowControl w:val="0"/>
        <w:tabs>
          <w:tab w:val="left" w:pos="1620"/>
        </w:tabs>
        <w:spacing w:after="240"/>
        <w:ind w:hanging="1166"/>
        <w:contextualSpacing w:val="0"/>
        <w:rPr>
          <w:lang w:val="en-CA"/>
        </w:rPr>
      </w:pPr>
      <w:r w:rsidRPr="00C759D9">
        <w:rPr>
          <w:lang w:val="en-CA"/>
        </w:rPr>
        <w:tab/>
        <w:t>7.</w:t>
      </w:r>
      <w:r w:rsidRPr="00C759D9">
        <w:rPr>
          <w:lang w:val="en-CA"/>
        </w:rPr>
        <w:tab/>
        <w:t xml:space="preserve">The Act respecting the </w:t>
      </w:r>
      <w:proofErr w:type="spellStart"/>
      <w:r w:rsidRPr="00C759D9">
        <w:rPr>
          <w:lang w:val="en-CA"/>
        </w:rPr>
        <w:t>Barreau</w:t>
      </w:r>
      <w:proofErr w:type="spellEnd"/>
      <w:r w:rsidRPr="00C759D9">
        <w:rPr>
          <w:lang w:val="en-CA"/>
        </w:rPr>
        <w:t xml:space="preserve"> du Québec draws a clear distinction between the preparation and signing of proceedings for others and representation to plead or act before a court or tribunal;</w:t>
      </w:r>
    </w:p>
    <w:p w:rsidR="00290916" w:rsidRPr="00C759D9" w:rsidRDefault="00290916" w:rsidP="00935044">
      <w:pPr>
        <w:pStyle w:val="Citation-AltC"/>
        <w:widowControl w:val="0"/>
        <w:tabs>
          <w:tab w:val="left" w:pos="1620"/>
        </w:tabs>
        <w:spacing w:after="240"/>
        <w:ind w:hanging="1166"/>
        <w:contextualSpacing w:val="0"/>
        <w:rPr>
          <w:lang w:val="en-CA"/>
        </w:rPr>
      </w:pPr>
      <w:r w:rsidRPr="00C759D9">
        <w:rPr>
          <w:lang w:val="en-CA"/>
        </w:rPr>
        <w:tab/>
        <w:t>8.</w:t>
      </w:r>
      <w:r w:rsidRPr="00C759D9">
        <w:rPr>
          <w:lang w:val="en-CA"/>
        </w:rPr>
        <w:tab/>
        <w:t>Moreover, the exception provided for in section 102 of the Act respecting administrative justice to the effect that the Minister of Employment and Social Solidarity may be represented by any person of his or her choice before the Administrative Tribunal of Québec applies only to representation;</w:t>
      </w:r>
    </w:p>
    <w:p w:rsidR="00290916" w:rsidRPr="00C759D9" w:rsidRDefault="00290916" w:rsidP="00935044">
      <w:pPr>
        <w:pStyle w:val="Citation-AltC"/>
        <w:widowControl w:val="0"/>
        <w:tabs>
          <w:tab w:val="left" w:pos="1620"/>
        </w:tabs>
        <w:spacing w:after="240"/>
        <w:ind w:hanging="1166"/>
        <w:contextualSpacing w:val="0"/>
        <w:rPr>
          <w:lang w:val="en-CA"/>
        </w:rPr>
      </w:pPr>
      <w:r w:rsidRPr="00C759D9">
        <w:rPr>
          <w:lang w:val="en-CA"/>
        </w:rPr>
        <w:tab/>
        <w:t>9.</w:t>
      </w:r>
      <w:r w:rsidRPr="00C759D9">
        <w:rPr>
          <w:lang w:val="en-CA"/>
        </w:rPr>
        <w:tab/>
        <w:t xml:space="preserve">In addition, section 129 of the Act respecting the </w:t>
      </w:r>
      <w:proofErr w:type="spellStart"/>
      <w:r w:rsidRPr="00C759D9">
        <w:rPr>
          <w:lang w:val="en-CA"/>
        </w:rPr>
        <w:t>Barreau</w:t>
      </w:r>
      <w:proofErr w:type="spellEnd"/>
      <w:r w:rsidRPr="00C759D9">
        <w:rPr>
          <w:lang w:val="en-CA"/>
        </w:rPr>
        <w:t xml:space="preserve"> du Québec, </w:t>
      </w:r>
      <w:r w:rsidRPr="00C759D9">
        <w:rPr>
          <w:lang w:val="en-CA"/>
        </w:rPr>
        <w:lastRenderedPageBreak/>
        <w:t>in paragraph (b), refers specifically to the exception set out in section 102 of the Act respecting administrative justice, which clearly distinguishes the Minister’s option of being represented by any person of his or her choice;</w:t>
      </w:r>
    </w:p>
    <w:p w:rsidR="00290916" w:rsidRPr="00C759D9" w:rsidRDefault="00290916" w:rsidP="00935044">
      <w:pPr>
        <w:pStyle w:val="Citation-AltC"/>
        <w:widowControl w:val="0"/>
        <w:tabs>
          <w:tab w:val="left" w:pos="1620"/>
        </w:tabs>
        <w:spacing w:after="240"/>
        <w:ind w:hanging="1166"/>
        <w:contextualSpacing w:val="0"/>
        <w:rPr>
          <w:lang w:val="en-CA"/>
        </w:rPr>
      </w:pPr>
      <w:r w:rsidRPr="00C759D9">
        <w:rPr>
          <w:lang w:val="en-CA"/>
        </w:rPr>
        <w:tab/>
        <w:t>10.</w:t>
      </w:r>
      <w:r w:rsidRPr="00C759D9">
        <w:rPr>
          <w:lang w:val="en-CA"/>
        </w:rPr>
        <w:tab/>
      </w:r>
      <w:r w:rsidRPr="00C759D9">
        <w:rPr>
          <w:u w:val="single"/>
          <w:lang w:val="en-CA"/>
        </w:rPr>
        <w:t xml:space="preserve">Accordingly, the motion for review prepared, drawn up and signed by a representative of the Minister who is not a practising advocate is contrary to the Act respecting the </w:t>
      </w:r>
      <w:proofErr w:type="spellStart"/>
      <w:r w:rsidRPr="00C759D9">
        <w:rPr>
          <w:u w:val="single"/>
          <w:lang w:val="en-CA"/>
        </w:rPr>
        <w:t>Barreau</w:t>
      </w:r>
      <w:proofErr w:type="spellEnd"/>
      <w:r w:rsidRPr="00C759D9">
        <w:rPr>
          <w:u w:val="single"/>
          <w:lang w:val="en-CA"/>
        </w:rPr>
        <w:t xml:space="preserve"> du Québec and should be dismissed</w:t>
      </w:r>
      <w:r w:rsidRPr="00AF2E30">
        <w:rPr>
          <w:u w:val="single"/>
          <w:lang w:val="en-CA"/>
        </w:rPr>
        <w:t>;</w:t>
      </w:r>
      <w:r w:rsidRPr="00C759D9">
        <w:rPr>
          <w:lang w:val="en-CA"/>
        </w:rPr>
        <w:t xml:space="preserve"> [Emphasis added; emphasis in original deleted.]</w:t>
      </w:r>
    </w:p>
    <w:p w:rsidR="00290916" w:rsidRPr="00C759D9" w:rsidRDefault="00290916" w:rsidP="00935044">
      <w:pPr>
        <w:pStyle w:val="Citation-AltC"/>
        <w:widowControl w:val="0"/>
        <w:ind w:left="0"/>
        <w:contextualSpacing w:val="0"/>
        <w:rPr>
          <w:lang w:val="en-CA"/>
        </w:rPr>
      </w:pPr>
      <w:r w:rsidRPr="00C759D9">
        <w:rPr>
          <w:lang w:val="en-CA"/>
        </w:rPr>
        <w:t xml:space="preserve">(Motions to dismiss, reproduced in </w:t>
      </w:r>
      <w:r w:rsidRPr="00C759D9">
        <w:rPr>
          <w:rStyle w:val="solext0"/>
          <w:lang w:val="en-CA"/>
        </w:rPr>
        <w:t>2012</w:t>
      </w:r>
      <w:r w:rsidRPr="00C759D9">
        <w:rPr>
          <w:rStyle w:val="reflex3-alt"/>
          <w:lang w:val="en-CA"/>
        </w:rPr>
        <w:t xml:space="preserve"> </w:t>
      </w:r>
      <w:r w:rsidRPr="00C759D9">
        <w:rPr>
          <w:rStyle w:val="solext1"/>
          <w:lang w:val="en-CA"/>
        </w:rPr>
        <w:t>QCTAQ</w:t>
      </w:r>
      <w:r w:rsidRPr="00C759D9">
        <w:rPr>
          <w:rStyle w:val="reflex3-alt"/>
          <w:lang w:val="en-CA"/>
        </w:rPr>
        <w:t xml:space="preserve"> </w:t>
      </w:r>
      <w:r w:rsidRPr="00C759D9">
        <w:rPr>
          <w:rStyle w:val="solext2"/>
          <w:lang w:val="en-CA"/>
        </w:rPr>
        <w:t xml:space="preserve">12689, 2013 </w:t>
      </w:r>
      <w:proofErr w:type="spellStart"/>
      <w:r w:rsidRPr="00C759D9">
        <w:rPr>
          <w:rStyle w:val="solext2"/>
          <w:lang w:val="en-CA"/>
        </w:rPr>
        <w:t>CanLII</w:t>
      </w:r>
      <w:proofErr w:type="spellEnd"/>
      <w:r w:rsidRPr="00C759D9">
        <w:rPr>
          <w:rStyle w:val="solext2"/>
          <w:lang w:val="en-CA"/>
        </w:rPr>
        <w:t xml:space="preserve"> 2328, at para. 7; 2012 QCTAQ 12713, 2013 </w:t>
      </w:r>
      <w:proofErr w:type="spellStart"/>
      <w:r w:rsidRPr="00C759D9">
        <w:rPr>
          <w:rStyle w:val="solext2"/>
          <w:lang w:val="en-CA"/>
        </w:rPr>
        <w:t>CanLII</w:t>
      </w:r>
      <w:proofErr w:type="spellEnd"/>
      <w:r w:rsidRPr="00C759D9">
        <w:rPr>
          <w:rStyle w:val="solext2"/>
          <w:lang w:val="en-CA"/>
        </w:rPr>
        <w:t xml:space="preserve"> 9887, at para. 5</w:t>
      </w:r>
      <w:r w:rsidR="00AF2E30">
        <w:rPr>
          <w:rStyle w:val="solext2"/>
          <w:lang w:val="en-CA"/>
        </w:rPr>
        <w:t>.</w:t>
      </w:r>
      <w:r w:rsidRPr="00C759D9">
        <w:rPr>
          <w:rStyle w:val="solext2"/>
          <w:lang w:val="en-CA"/>
        </w:rPr>
        <w:t>)</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To decide these motions, the ATQ had to do much more than simply bear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 </w:t>
      </w:r>
      <w:r w:rsidRPr="00C759D9">
        <w:rPr>
          <w:rFonts w:cs="Times New Roman"/>
          <w:lang w:val="en-CA"/>
        </w:rPr>
        <w:t>[</w:t>
      </w:r>
      <w:r w:rsidRPr="00C759D9">
        <w:rPr>
          <w:rFonts w:cs="Times New Roman"/>
          <w:smallCaps/>
          <w:lang w:val="en-CA"/>
        </w:rPr>
        <w:t>translation</w:t>
      </w:r>
      <w:r w:rsidRPr="00C759D9">
        <w:rPr>
          <w:rFonts w:cs="Times New Roman"/>
          <w:lang w:val="en-CA"/>
        </w:rPr>
        <w:t xml:space="preserve">] “in mind”.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 </w:t>
      </w:r>
      <w:r w:rsidRPr="00C759D9">
        <w:rPr>
          <w:rFonts w:cs="Times New Roman"/>
          <w:lang w:val="en-CA"/>
        </w:rPr>
        <w:t>establishes what acts are reserved exclusively to advocates and solicitors. These reserved acts and their exceptions were provided for by the legislature to ensure the protection of the public (</w:t>
      </w:r>
      <w:r w:rsidRPr="00C759D9">
        <w:rPr>
          <w:rFonts w:cs="Times New Roman"/>
          <w:i/>
          <w:lang w:val="en-CA"/>
        </w:rPr>
        <w:t>Professional Code</w:t>
      </w:r>
      <w:r w:rsidRPr="00C759D9">
        <w:rPr>
          <w:rFonts w:cs="Times New Roman"/>
          <w:lang w:val="en-CA"/>
        </w:rPr>
        <w:t>, CQLR, c. C</w:t>
      </w:r>
      <w:r w:rsidRPr="00C759D9">
        <w:rPr>
          <w:rFonts w:cs="Times New Roman"/>
          <w:lang w:val="en-CA"/>
        </w:rPr>
        <w:noBreakHyphen/>
        <w:t xml:space="preserve">26, ss. 23 and 26; </w:t>
      </w:r>
      <w:r w:rsidRPr="00C759D9">
        <w:rPr>
          <w:rFonts w:cs="Times New Roman"/>
          <w:i/>
          <w:lang w:val="en-CA"/>
        </w:rPr>
        <w:t>Fortin v. Chrétien</w:t>
      </w:r>
      <w:r w:rsidRPr="00C759D9">
        <w:rPr>
          <w:rFonts w:cs="Times New Roman"/>
          <w:lang w:val="en-CA"/>
        </w:rPr>
        <w:t xml:space="preserve">, 2001 SCC 45, [2001] 2 S.C.R. 500, at paras. 18 and 21). This means that whenever a question relates to the representation of others by a person who is not an advocate, it is necessary to interpret and apply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xml:space="preserve"> and, </w:t>
      </w:r>
      <w:proofErr w:type="spellStart"/>
      <w:r w:rsidRPr="00C759D9">
        <w:rPr>
          <w:rFonts w:cs="Times New Roman"/>
          <w:lang w:val="en-CA"/>
        </w:rPr>
        <w:t>subsidiarily</w:t>
      </w:r>
      <w:proofErr w:type="spellEnd"/>
      <w:r w:rsidRPr="00C759D9">
        <w:rPr>
          <w:rFonts w:cs="Times New Roman"/>
          <w:lang w:val="en-CA"/>
        </w:rPr>
        <w:t xml:space="preserve">, any related legislation that sets out how the exceptions provided for in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 </w:t>
      </w:r>
      <w:r w:rsidRPr="00C759D9">
        <w:rPr>
          <w:rFonts w:cs="Times New Roman"/>
          <w:lang w:val="en-CA"/>
        </w:rPr>
        <w:t>are to operate.</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In determining what standard of review is applicable to the issue in the instant case, the Superior Court was justified in applying the principles enunciated in </w:t>
      </w:r>
      <w:r w:rsidRPr="00C759D9">
        <w:rPr>
          <w:rFonts w:cs="Times New Roman"/>
          <w:i/>
          <w:lang w:val="en-CA"/>
        </w:rPr>
        <w:t>Dunsmuir v. New Brunswick</w:t>
      </w:r>
      <w:r w:rsidRPr="00C759D9">
        <w:rPr>
          <w:rFonts w:cs="Times New Roman"/>
          <w:lang w:val="en-CA"/>
        </w:rPr>
        <w:t>, 2008 SCC 9, [2008] 1 S.C.R. 190, in which the following two possibilities were identified:</w:t>
      </w:r>
    </w:p>
    <w:p w:rsidR="00290916" w:rsidRPr="00C759D9" w:rsidRDefault="00290916" w:rsidP="00935044">
      <w:pPr>
        <w:pStyle w:val="Citation-AltC"/>
        <w:widowControl w:val="0"/>
        <w:ind w:hanging="1166"/>
        <w:contextualSpacing w:val="0"/>
        <w:rPr>
          <w:lang w:val="en-CA"/>
        </w:rPr>
      </w:pPr>
      <w:r w:rsidRPr="00C759D9">
        <w:rPr>
          <w:lang w:val="en-CA"/>
        </w:rPr>
        <w:lastRenderedPageBreak/>
        <w:tab/>
        <w:t>First, courts ascertain whether the jurisprudence has already determined in a satisfactory manner the degree of deference to be accorded with regard to a particular category of question. Second, where the first inquiry proves unfruitful, courts must proceed to an analysis of the factors making it possible to identify the proper standard of review. [para. 62]</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As was explained in </w:t>
      </w:r>
      <w:r w:rsidRPr="00C759D9">
        <w:rPr>
          <w:rFonts w:cs="Times New Roman"/>
          <w:i/>
          <w:lang w:val="en-CA"/>
        </w:rPr>
        <w:t>Dunsmuir</w:t>
      </w:r>
      <w:r w:rsidRPr="00C759D9">
        <w:rPr>
          <w:rFonts w:cs="Times New Roman"/>
          <w:lang w:val="en-CA"/>
        </w:rPr>
        <w:t>, the second possibility involves a contextual analysis of the following factors: “. . . (1) the presence or absence of a privative clause; (2) the purpose of the tribunal as determined by interpretation of enabling legislation; (3) the nature of the question at issue, and; (4) the expertise of the tribunal” (</w:t>
      </w:r>
      <w:r w:rsidRPr="00C759D9">
        <w:rPr>
          <w:rFonts w:cs="Times New Roman"/>
          <w:i/>
          <w:lang w:val="en-CA"/>
        </w:rPr>
        <w:t>Dunsmuir</w:t>
      </w:r>
      <w:r w:rsidRPr="00C759D9">
        <w:rPr>
          <w:rFonts w:cs="Times New Roman"/>
          <w:lang w:val="en-CA"/>
        </w:rPr>
        <w:t>, at para. 64).</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In the case at bar, in my view, the outcome of either of these possibilities is the same: it is the correctness standard that must be applied to the review of the ATQ’s decisions. </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First of all, it is necessary to identify the category of questions to which the issue in this case belongs.  That issue is a question of central importance to the legal system as a whole and lies outside the decision maker’s specialized area of expertise. It therefore falls within an established category of questions to which, according to </w:t>
      </w:r>
      <w:r w:rsidRPr="00C759D9">
        <w:rPr>
          <w:rFonts w:cs="Times New Roman"/>
          <w:i/>
          <w:lang w:val="en-CA"/>
        </w:rPr>
        <w:t>Dunsmuir</w:t>
      </w:r>
      <w:r w:rsidRPr="00C759D9">
        <w:rPr>
          <w:rFonts w:cs="Times New Roman"/>
          <w:lang w:val="en-CA"/>
        </w:rPr>
        <w:t xml:space="preserve">, the correctness standard applies. In my opinion, it is essential that ss. 128 and 129 of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a statute of public order, be interpreted and applied uniformly and consistently. Likewise, the exceptions that allow litigants to have recourse to the services of persons who are not advocates in proceedings before a court or tribunal must be applied uniformly and consistently. After all, the rule of law requires that there be only “one law for all” (</w:t>
      </w:r>
      <w:r w:rsidRPr="00C759D9">
        <w:rPr>
          <w:rFonts w:cs="Times New Roman"/>
          <w:i/>
          <w:lang w:val="en-CA"/>
        </w:rPr>
        <w:t xml:space="preserve">Reference re Secession </w:t>
      </w:r>
      <w:r w:rsidRPr="00C759D9">
        <w:rPr>
          <w:rFonts w:cs="Times New Roman"/>
          <w:i/>
          <w:lang w:val="en-CA"/>
        </w:rPr>
        <w:lastRenderedPageBreak/>
        <w:t>of Quebec</w:t>
      </w:r>
      <w:r w:rsidRPr="00C759D9">
        <w:rPr>
          <w:rFonts w:cs="Times New Roman"/>
          <w:lang w:val="en-CA"/>
        </w:rPr>
        <w:t xml:space="preserve">, [1998] 2 S.C.R. 217, at para. 71). This is all the more important in the context of a question that is of central importance to the legal system. How can it be accepted, for example, that the ATQ concluded in the instant case that the Minister’s representative may plead before its social affairs division and may also prepare, draw up and sign written proceedings for use in a case before that division, but that it could decide in </w:t>
      </w:r>
      <w:r w:rsidRPr="00C759D9">
        <w:rPr>
          <w:rFonts w:cs="Times New Roman"/>
          <w:iCs/>
          <w:szCs w:val="24"/>
          <w:lang w:val="en-CA"/>
        </w:rPr>
        <w:t>another case</w:t>
      </w:r>
      <w:r w:rsidRPr="00C759D9">
        <w:rPr>
          <w:rFonts w:cs="Times New Roman"/>
          <w:i/>
          <w:iCs/>
          <w:szCs w:val="24"/>
          <w:lang w:val="en-CA"/>
        </w:rPr>
        <w:t xml:space="preserve"> </w:t>
      </w:r>
      <w:r w:rsidRPr="00C759D9">
        <w:rPr>
          <w:rFonts w:cs="Times New Roman"/>
          <w:szCs w:val="24"/>
          <w:lang w:val="en-CA"/>
        </w:rPr>
        <w:t>that only an advocate may do so and that failure to comply with this legislative requirement means that the proceeding must be dismissed? To ask the question is to answer it.</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On this point, one clarification is in order in light of my colleague’s comment that I am suggesting that “the ATQ could render inconsistent decisions” and his criticism of the importance I attach “to the mere possibility of the ATQ rendering conflicting decisions” (para. 19). I am not saying that the correctness standard must be applied </w:t>
      </w:r>
      <w:r w:rsidRPr="00C759D9">
        <w:rPr>
          <w:rFonts w:cs="Times New Roman"/>
          <w:i/>
          <w:lang w:val="en-CA"/>
        </w:rPr>
        <w:t>because</w:t>
      </w:r>
      <w:r w:rsidRPr="00C759D9">
        <w:rPr>
          <w:rFonts w:cs="Times New Roman"/>
          <w:lang w:val="en-CA"/>
        </w:rPr>
        <w:t xml:space="preserve"> the ATQ could render inconsistent decisions. My colleague’s comment distorts my reasoning. Although the existence of inconsistent decisions may have the effect of making a question of law one of central importance to the legal system, such inconsistency in the case law is not required for a question to be so characterized. There are questions of law whose importance does not necessarily depend on how they are dealt with by the courts; it would be absurd to have to wait for them to result in an inconsistent application of the law before being able to review them for correctness. Therefore, at the risk of repeating myself, my reasoning is instead as follows: in accordance with the principles laid down by this Court in </w:t>
      </w:r>
      <w:r w:rsidRPr="00C759D9">
        <w:rPr>
          <w:rFonts w:cs="Times New Roman"/>
          <w:i/>
          <w:lang w:val="en-CA"/>
        </w:rPr>
        <w:t>Dunsmuir</w:t>
      </w:r>
      <w:r w:rsidRPr="00C759D9">
        <w:rPr>
          <w:rFonts w:cs="Times New Roman"/>
          <w:lang w:val="en-CA"/>
        </w:rPr>
        <w:t xml:space="preserve">, the correctness standard must be applied to questions that, like the one in the instant case, </w:t>
      </w:r>
      <w:r w:rsidRPr="00C759D9">
        <w:rPr>
          <w:rFonts w:cs="Times New Roman"/>
          <w:lang w:val="en-CA"/>
        </w:rPr>
        <w:lastRenderedPageBreak/>
        <w:t xml:space="preserve">are of central importance to the legal system (and lie outside the administrative decision maker’s specialized area of expertise), </w:t>
      </w:r>
      <w:r w:rsidRPr="00C759D9">
        <w:rPr>
          <w:rFonts w:cs="Times New Roman"/>
          <w:i/>
          <w:lang w:val="en-CA"/>
        </w:rPr>
        <w:t>because</w:t>
      </w:r>
      <w:r w:rsidRPr="00C759D9">
        <w:rPr>
          <w:rFonts w:cs="Times New Roman"/>
          <w:lang w:val="en-CA"/>
        </w:rPr>
        <w:t xml:space="preserve"> such questions require uniform and consistent answers </w:t>
      </w:r>
      <w:r w:rsidRPr="00C759D9">
        <w:rPr>
          <w:rFonts w:cs="Times New Roman"/>
          <w:i/>
          <w:lang w:val="en-CA"/>
        </w:rPr>
        <w:t>owing</w:t>
      </w:r>
      <w:r w:rsidRPr="00C759D9">
        <w:rPr>
          <w:rFonts w:cs="Times New Roman"/>
          <w:lang w:val="en-CA"/>
        </w:rPr>
        <w:t xml:space="preserve"> to their impact on the administration of justice as a whole (</w:t>
      </w:r>
      <w:r w:rsidRPr="00C759D9">
        <w:rPr>
          <w:rFonts w:cs="Times New Roman"/>
          <w:i/>
          <w:lang w:val="en-CA"/>
        </w:rPr>
        <w:t>Dunsmuir</w:t>
      </w:r>
      <w:r w:rsidRPr="00C759D9">
        <w:rPr>
          <w:rFonts w:cs="Times New Roman"/>
          <w:lang w:val="en-CA"/>
        </w:rPr>
        <w:t xml:space="preserve">, at paras. 50, 55 and 60). In my opinion, because of the impact that an inconsistent application of ss. 128 and 129 of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xml:space="preserve"> could have on the administration of justice as a whole, only one interpretation of these provisions is po</w:t>
      </w:r>
      <w:r w:rsidR="008916BB">
        <w:rPr>
          <w:rFonts w:cs="Times New Roman"/>
          <w:lang w:val="en-CA"/>
        </w:rPr>
        <w:t xml:space="preserve">ssible. </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My colleague Brown J. is of the opinion that it is the reasonableness standard that applies in this case because of the presumption in favour of the application of that standard. Even if I agreed with my colleague that that presumption applies, I would nonetheless find that it can be rebutted by a contextual analysis based on the </w:t>
      </w:r>
      <w:r w:rsidRPr="00C759D9">
        <w:rPr>
          <w:rFonts w:cs="Times New Roman"/>
          <w:i/>
          <w:lang w:val="en-CA"/>
        </w:rPr>
        <w:t xml:space="preserve">Dunsmuir </w:t>
      </w:r>
      <w:r w:rsidRPr="00C759D9">
        <w:rPr>
          <w:rFonts w:cs="Times New Roman"/>
          <w:lang w:val="en-CA"/>
        </w:rPr>
        <w:t>factors and that it is the correctness standard that must be applied. Let me explain.</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As my colleague suggests, the ATQ is protected by a strong privative clause in s. 158 of the </w:t>
      </w:r>
      <w:r w:rsidRPr="00C759D9">
        <w:rPr>
          <w:rFonts w:cs="Times New Roman"/>
          <w:i/>
          <w:lang w:val="en-CA"/>
        </w:rPr>
        <w:t>Act respecting administrative justice</w:t>
      </w:r>
      <w:r w:rsidRPr="00C759D9">
        <w:rPr>
          <w:rFonts w:cs="Times New Roman"/>
          <w:lang w:val="en-CA"/>
        </w:rPr>
        <w:t xml:space="preserve">. However, it must be remembered that, although “[t]he existence of a </w:t>
      </w:r>
      <w:proofErr w:type="gramStart"/>
      <w:r w:rsidRPr="00C759D9">
        <w:rPr>
          <w:rFonts w:cs="Times New Roman"/>
          <w:lang w:val="en-CA"/>
        </w:rPr>
        <w:t>privative .</w:t>
      </w:r>
      <w:proofErr w:type="gramEnd"/>
      <w:r w:rsidRPr="00C759D9">
        <w:rPr>
          <w:rFonts w:cs="Times New Roman"/>
          <w:lang w:val="en-CA"/>
        </w:rPr>
        <w:t> . . clause gives rise to a strong indication of review pursuant to the reasonableness standard . . . [t]his does not mean . . . that the presence of a privative clause is determinative” (</w:t>
      </w:r>
      <w:r w:rsidRPr="00C759D9">
        <w:rPr>
          <w:rFonts w:cs="Times New Roman"/>
          <w:i/>
          <w:lang w:val="en-CA"/>
        </w:rPr>
        <w:t>Dunsmuir</w:t>
      </w:r>
      <w:r w:rsidRPr="00C759D9">
        <w:rPr>
          <w:rFonts w:cs="Times New Roman"/>
          <w:lang w:val="en-CA"/>
        </w:rPr>
        <w:t>, at para. 52). In the case at bar, the existence of a privative clause is the only factor pointing to the application of the reasonableness standard, and it must give way in light of the other factors in the contextual analysis.</w:t>
      </w:r>
    </w:p>
    <w:p w:rsidR="00290916" w:rsidRPr="00C759D9" w:rsidRDefault="00290916" w:rsidP="00935044">
      <w:pPr>
        <w:pStyle w:val="ParaNoNdepar-AltN"/>
        <w:widowControl w:val="0"/>
        <w:rPr>
          <w:rFonts w:cs="Times New Roman"/>
          <w:lang w:val="en-CA"/>
        </w:rPr>
      </w:pPr>
      <w:r w:rsidRPr="00C759D9">
        <w:rPr>
          <w:rFonts w:cs="Times New Roman"/>
          <w:lang w:val="en-CA"/>
        </w:rPr>
        <w:lastRenderedPageBreak/>
        <w:t xml:space="preserve">The purpose of the ATQ’s social affairs division is set out clearly as follows in s. 18 of the </w:t>
      </w:r>
      <w:r w:rsidRPr="00C759D9">
        <w:rPr>
          <w:rFonts w:cs="Times New Roman"/>
          <w:i/>
          <w:lang w:val="en-CA"/>
        </w:rPr>
        <w:t>Act respecting administrative justice</w:t>
      </w:r>
      <w:r w:rsidRPr="00C759D9">
        <w:rPr>
          <w:rFonts w:cs="Times New Roman"/>
          <w:lang w:val="en-CA"/>
        </w:rPr>
        <w:t>: </w:t>
      </w:r>
    </w:p>
    <w:p w:rsidR="00290916" w:rsidRPr="00C759D9" w:rsidRDefault="00290916" w:rsidP="00935044">
      <w:pPr>
        <w:pStyle w:val="Citation-AltC"/>
        <w:widowControl w:val="0"/>
        <w:ind w:hanging="1166"/>
        <w:contextualSpacing w:val="0"/>
        <w:rPr>
          <w:lang w:val="en-CA"/>
        </w:rPr>
      </w:pPr>
      <w:r w:rsidRPr="00C759D9">
        <w:rPr>
          <w:lang w:val="en-CA"/>
        </w:rPr>
        <w:tab/>
        <w:t>The social affairs division is charged with making determinations in respect of the proceedings pertaining to matters of income security or support and social aid and allowances, of protection of persons whose mental state presents a danger to themselves or to others, of health services and social services, of pension plans, of compensation and of immigration, which proceedings are listed in Schedule I.</w:t>
      </w:r>
    </w:p>
    <w:p w:rsidR="00290916" w:rsidRPr="00C759D9" w:rsidRDefault="00290916" w:rsidP="00935044">
      <w:pPr>
        <w:pStyle w:val="ParaNoNdepar-AltN"/>
        <w:widowControl w:val="0"/>
        <w:rPr>
          <w:rFonts w:cs="Times New Roman"/>
          <w:lang w:val="en-CA"/>
        </w:rPr>
      </w:pPr>
      <w:r w:rsidRPr="00C759D9">
        <w:rPr>
          <w:rFonts w:cs="Times New Roman"/>
          <w:lang w:val="en-CA"/>
        </w:rPr>
        <w:t>I agree with the Superior Court that the question whether a representative of the Minister may prepare, draw up and sign written proceedings intended for use before the ATQ’s social affairs division [</w:t>
      </w:r>
      <w:r w:rsidRPr="00C759D9">
        <w:rPr>
          <w:rFonts w:cs="Times New Roman"/>
          <w:smallCaps/>
          <w:lang w:val="en-CA"/>
        </w:rPr>
        <w:t>translation</w:t>
      </w:r>
      <w:r w:rsidRPr="00C759D9">
        <w:rPr>
          <w:rFonts w:cs="Times New Roman"/>
          <w:lang w:val="en-CA"/>
        </w:rPr>
        <w:t>] “has nothing to do with s. 18 of the [</w:t>
      </w:r>
      <w:r w:rsidRPr="00C759D9">
        <w:rPr>
          <w:rFonts w:cs="Times New Roman"/>
          <w:i/>
          <w:lang w:val="en-CA"/>
        </w:rPr>
        <w:t>Act respecting administrative justice</w:t>
      </w:r>
      <w:r w:rsidRPr="00C759D9">
        <w:rPr>
          <w:rFonts w:cs="Times New Roman"/>
          <w:lang w:val="en-CA"/>
        </w:rPr>
        <w:t>]” (2014 QCCS 2226, at para. 26) and that the ATQ “has no special expertise or experience in this area” (2014 QCCS</w:t>
      </w:r>
      <w:r>
        <w:rPr>
          <w:rFonts w:cs="Times New Roman"/>
          <w:lang w:val="en-CA"/>
        </w:rPr>
        <w:t xml:space="preserve"> 2226</w:t>
      </w:r>
      <w:r w:rsidRPr="00C759D9">
        <w:rPr>
          <w:rFonts w:cs="Times New Roman"/>
          <w:lang w:val="en-CA"/>
        </w:rPr>
        <w:t>, at para. 35).  </w:t>
      </w:r>
    </w:p>
    <w:p w:rsidR="00290916" w:rsidRPr="00C759D9" w:rsidRDefault="00290916" w:rsidP="00935044">
      <w:pPr>
        <w:pStyle w:val="ParaNoNdepar-AltN"/>
        <w:widowControl w:val="0"/>
        <w:rPr>
          <w:rFonts w:cs="Times New Roman"/>
          <w:lang w:val="en-CA"/>
        </w:rPr>
      </w:pPr>
      <w:r w:rsidRPr="00C759D9">
        <w:rPr>
          <w:rFonts w:cs="Times New Roman"/>
          <w:lang w:val="en-CA"/>
        </w:rPr>
        <w:t>Furthermore, there is no doubt that the ATQ was considering a question of law. Such a question relates to “what the correct legal test is”, not to “what actually took place between the parties” or “whether the facts satisfy the legal tests” (</w:t>
      </w:r>
      <w:r w:rsidRPr="00C759D9">
        <w:rPr>
          <w:rFonts w:cs="Times New Roman"/>
          <w:i/>
          <w:lang w:val="en-CA"/>
        </w:rPr>
        <w:t xml:space="preserve">Canada (Director of Investigation and Research) v. </w:t>
      </w:r>
      <w:proofErr w:type="spellStart"/>
      <w:r w:rsidRPr="00C759D9">
        <w:rPr>
          <w:rFonts w:cs="Times New Roman"/>
          <w:i/>
          <w:lang w:val="en-CA"/>
        </w:rPr>
        <w:t>Southam</w:t>
      </w:r>
      <w:proofErr w:type="spellEnd"/>
      <w:r w:rsidRPr="00C759D9">
        <w:rPr>
          <w:rFonts w:cs="Times New Roman"/>
          <w:i/>
          <w:lang w:val="en-CA"/>
        </w:rPr>
        <w:t xml:space="preserve"> Inc.</w:t>
      </w:r>
      <w:r w:rsidRPr="00C759D9">
        <w:rPr>
          <w:rFonts w:cs="Times New Roman"/>
          <w:lang w:val="en-CA"/>
        </w:rPr>
        <w:t>, [1997] 1 S.C.R. 748, at para. 35).</w:t>
      </w:r>
    </w:p>
    <w:p w:rsidR="00290916" w:rsidRPr="00C759D9" w:rsidRDefault="00290916" w:rsidP="00935044">
      <w:pPr>
        <w:pStyle w:val="ParaNoNdepar-AltN"/>
        <w:widowControl w:val="0"/>
        <w:rPr>
          <w:rFonts w:cs="Times New Roman"/>
          <w:lang w:val="en-CA"/>
        </w:rPr>
      </w:pPr>
      <w:r w:rsidRPr="00C759D9">
        <w:rPr>
          <w:rFonts w:cs="Times New Roman"/>
          <w:lang w:val="en-CA"/>
        </w:rPr>
        <w:t>It is well established that “[d]</w:t>
      </w:r>
      <w:proofErr w:type="spellStart"/>
      <w:r w:rsidRPr="00C759D9">
        <w:rPr>
          <w:rFonts w:cs="Times New Roman"/>
          <w:lang w:val="en-CA"/>
        </w:rPr>
        <w:t>eference</w:t>
      </w:r>
      <w:proofErr w:type="spellEnd"/>
      <w:r w:rsidRPr="00C759D9">
        <w:rPr>
          <w:rFonts w:cs="Times New Roman"/>
          <w:lang w:val="en-CA"/>
        </w:rPr>
        <w:t xml:space="preserve"> will usually result where a tribunal is interpreting its own statute </w:t>
      </w:r>
      <w:r w:rsidRPr="00C759D9">
        <w:rPr>
          <w:rFonts w:cs="Times New Roman"/>
          <w:u w:val="single"/>
          <w:lang w:val="en-CA"/>
        </w:rPr>
        <w:t>or statutes closely connected to its function, with which it will have particular familiarity</w:t>
      </w:r>
      <w:r w:rsidRPr="00C759D9">
        <w:rPr>
          <w:rFonts w:cs="Times New Roman"/>
          <w:lang w:val="en-CA"/>
        </w:rPr>
        <w:t>” (</w:t>
      </w:r>
      <w:r w:rsidRPr="00C759D9">
        <w:rPr>
          <w:rFonts w:cs="Times New Roman"/>
          <w:i/>
          <w:lang w:val="en-CA"/>
        </w:rPr>
        <w:t>Dunsmuir</w:t>
      </w:r>
      <w:r w:rsidRPr="00C759D9">
        <w:rPr>
          <w:rFonts w:cs="Times New Roman"/>
          <w:lang w:val="en-CA"/>
        </w:rPr>
        <w:t xml:space="preserve">, at para. 54 (emphasis added)). But that </w:t>
      </w:r>
      <w:r w:rsidRPr="00C759D9">
        <w:rPr>
          <w:rFonts w:cs="Times New Roman"/>
          <w:lang w:val="en-CA"/>
        </w:rPr>
        <w:lastRenderedPageBreak/>
        <w:t>is not the case here.</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which is of course not the ATQ’s enabling statute, is also not a statute that has a close connection to that tribunal’s function and with which it has particular familiarity. It cannot be argued that, in this case, “the external statute is intimately connected with the mandate of the tribunal and is encountered frequently as a result” (</w:t>
      </w:r>
      <w:r w:rsidRPr="00C759D9">
        <w:rPr>
          <w:rFonts w:cs="Times New Roman"/>
          <w:i/>
          <w:lang w:val="en-CA"/>
        </w:rPr>
        <w:t>Toronto (City) Board of Education v. O.S.S.T.F., District 15</w:t>
      </w:r>
      <w:r w:rsidRPr="00C759D9">
        <w:rPr>
          <w:rFonts w:cs="Times New Roman"/>
          <w:lang w:val="en-CA"/>
        </w:rPr>
        <w:t xml:space="preserve">, [1997] 1 S.C.R. 487, at para. 39). </w:t>
      </w:r>
      <w:proofErr w:type="spellStart"/>
      <w:r w:rsidRPr="00C759D9">
        <w:rPr>
          <w:rFonts w:cs="Times New Roman"/>
          <w:lang w:val="en-CA"/>
        </w:rPr>
        <w:t>Iacobucci</w:t>
      </w:r>
      <w:proofErr w:type="spellEnd"/>
      <w:r w:rsidRPr="00C759D9">
        <w:rPr>
          <w:rFonts w:cs="Times New Roman"/>
          <w:lang w:val="en-CA"/>
        </w:rPr>
        <w:t xml:space="preserve"> J. said the following in this regard in </w:t>
      </w:r>
      <w:r w:rsidRPr="00C759D9">
        <w:rPr>
          <w:rFonts w:cs="Times New Roman"/>
          <w:i/>
          <w:lang w:val="en-CA"/>
        </w:rPr>
        <w:t>Canadian Broadcasting Corp. v. Canada (Labour Relations Board)</w:t>
      </w:r>
      <w:r w:rsidRPr="00C759D9">
        <w:rPr>
          <w:rFonts w:cs="Times New Roman"/>
          <w:lang w:val="en-CA"/>
        </w:rPr>
        <w:t xml:space="preserve">, [1995] 1 S.C.R. 157, at para. 48: </w:t>
      </w:r>
    </w:p>
    <w:p w:rsidR="00290916" w:rsidRPr="00C759D9" w:rsidRDefault="00290916" w:rsidP="00935044">
      <w:pPr>
        <w:pStyle w:val="Citation-AltC"/>
        <w:widowControl w:val="0"/>
        <w:tabs>
          <w:tab w:val="left" w:pos="1620"/>
        </w:tabs>
        <w:ind w:hanging="1166"/>
        <w:contextualSpacing w:val="0"/>
        <w:rPr>
          <w:lang w:val="en-CA"/>
        </w:rPr>
      </w:pPr>
      <w:r w:rsidRPr="00C759D9">
        <w:rPr>
          <w:lang w:val="en-CA"/>
        </w:rPr>
        <w:tab/>
      </w:r>
      <w:r w:rsidRPr="00C759D9">
        <w:rPr>
          <w:lang w:val="en-CA"/>
        </w:rPr>
        <w:tab/>
        <w:t xml:space="preserve">As a general rule, </w:t>
      </w:r>
      <w:r w:rsidRPr="00C759D9">
        <w:rPr>
          <w:u w:val="single"/>
          <w:lang w:val="en-CA"/>
        </w:rPr>
        <w:t>I accept the proposition that curial deference need not be shown to an administrative tribunal in its interpretation of a general public statute other than its constituting legislation, although I would leave open the possibility that, in cases where the external statute is linked to the tribunal’s mandate and is frequently encountered by it, a measure of deference may be appropriate</w:t>
      </w:r>
      <w:r w:rsidRPr="00222468">
        <w:rPr>
          <w:lang w:val="en-CA"/>
        </w:rPr>
        <w:t>.</w:t>
      </w:r>
      <w:r w:rsidRPr="00C759D9">
        <w:rPr>
          <w:lang w:val="en-CA"/>
        </w:rPr>
        <w:t xml:space="preserve"> However, this does not mean that every time an administrative tribunal encounters an external statute in the course of its determination, the decision as a whole becomes open to review on a standard of correctness. If that were the case, it would substantially expand the scope of reviewability of administrative decisi</w:t>
      </w:r>
      <w:r w:rsidR="00246A9D">
        <w:rPr>
          <w:lang w:val="en-CA"/>
        </w:rPr>
        <w:t>ons, and unjustifiably so.</w:t>
      </w:r>
      <w:r w:rsidRPr="00C759D9">
        <w:rPr>
          <w:lang w:val="en-CA"/>
        </w:rPr>
        <w:t xml:space="preserve"> [Emphasis added.]</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On this point, it should be noted that “the provisions of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xml:space="preserve"> relating to the practice of the profession of advocate are provisions of public order, in that they are designed to protect the general interest” (</w:t>
      </w:r>
      <w:r w:rsidRPr="00C759D9">
        <w:rPr>
          <w:rFonts w:cs="Times New Roman"/>
          <w:i/>
          <w:lang w:val="en-CA"/>
        </w:rPr>
        <w:t>Fortin</w:t>
      </w:r>
      <w:r w:rsidRPr="00C759D9">
        <w:rPr>
          <w:rFonts w:cs="Times New Roman"/>
          <w:lang w:val="en-CA"/>
        </w:rPr>
        <w:t xml:space="preserve">, at para. 21). Also, as I mentioned above,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xml:space="preserve"> does not have a connection to the function of the ATQ’s social affairs division. Finally, it cannot be said that the ATQ has particular familiarity with that Act. My </w:t>
      </w:r>
      <w:r w:rsidRPr="00C759D9">
        <w:rPr>
          <w:rFonts w:cs="Times New Roman"/>
          <w:lang w:val="en-CA"/>
        </w:rPr>
        <w:lastRenderedPageBreak/>
        <w:t xml:space="preserve">colleague suggests that it does, however, on the basis that “the ATQ has had to interpret ss. 128 and 129 of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xml:space="preserve"> in many recent decisions, and it had to decide the very question that is raised in this appeal in </w:t>
      </w:r>
      <w:r w:rsidRPr="00C759D9">
        <w:rPr>
          <w:rFonts w:cs="Times New Roman"/>
          <w:i/>
          <w:lang w:val="en-CA"/>
        </w:rPr>
        <w:t>P.S. v. Québec (</w:t>
      </w:r>
      <w:proofErr w:type="spellStart"/>
      <w:r w:rsidRPr="00C759D9">
        <w:rPr>
          <w:rFonts w:cs="Times New Roman"/>
          <w:i/>
          <w:lang w:val="en-CA"/>
        </w:rPr>
        <w:t>Emploi</w:t>
      </w:r>
      <w:proofErr w:type="spellEnd"/>
      <w:r w:rsidRPr="00C759D9">
        <w:rPr>
          <w:rFonts w:cs="Times New Roman"/>
          <w:i/>
          <w:lang w:val="en-CA"/>
        </w:rPr>
        <w:t xml:space="preserve"> et </w:t>
      </w:r>
      <w:proofErr w:type="spellStart"/>
      <w:r w:rsidRPr="00C759D9">
        <w:rPr>
          <w:rFonts w:cs="Times New Roman"/>
          <w:i/>
          <w:lang w:val="en-CA"/>
        </w:rPr>
        <w:t>Solidarité</w:t>
      </w:r>
      <w:proofErr w:type="spellEnd"/>
      <w:r w:rsidRPr="00C759D9">
        <w:rPr>
          <w:rFonts w:cs="Times New Roman"/>
          <w:i/>
          <w:lang w:val="en-CA"/>
        </w:rPr>
        <w:t xml:space="preserve"> </w:t>
      </w:r>
      <w:proofErr w:type="spellStart"/>
      <w:r w:rsidRPr="00C759D9">
        <w:rPr>
          <w:rFonts w:cs="Times New Roman"/>
          <w:i/>
          <w:lang w:val="en-CA"/>
        </w:rPr>
        <w:t>social</w:t>
      </w:r>
      <w:r>
        <w:rPr>
          <w:rFonts w:cs="Times New Roman"/>
          <w:i/>
          <w:lang w:val="en-CA"/>
        </w:rPr>
        <w:t>e</w:t>
      </w:r>
      <w:proofErr w:type="spellEnd"/>
      <w:r w:rsidRPr="00C759D9">
        <w:rPr>
          <w:rFonts w:cs="Times New Roman"/>
          <w:i/>
          <w:lang w:val="en-CA"/>
        </w:rPr>
        <w:t>)</w:t>
      </w:r>
      <w:r w:rsidRPr="00C759D9">
        <w:rPr>
          <w:rFonts w:cs="Times New Roman"/>
          <w:lang w:val="en-CA"/>
        </w:rPr>
        <w:t xml:space="preserve">, 2010 QCTAQ 11404, 2010 </w:t>
      </w:r>
      <w:proofErr w:type="spellStart"/>
      <w:r w:rsidRPr="00C759D9">
        <w:rPr>
          <w:rFonts w:cs="Times New Roman"/>
          <w:lang w:val="en-CA"/>
        </w:rPr>
        <w:t>CanLII</w:t>
      </w:r>
      <w:proofErr w:type="spellEnd"/>
      <w:r w:rsidRPr="00C759D9">
        <w:rPr>
          <w:rFonts w:cs="Times New Roman"/>
          <w:lang w:val="en-CA"/>
        </w:rPr>
        <w:t xml:space="preserve"> 70683” (para. 16). But I would note that the ATQ did not interpret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xml:space="preserve"> in all the decisions in question. For example, in </w:t>
      </w:r>
      <w:r w:rsidRPr="00C759D9">
        <w:rPr>
          <w:rFonts w:cs="Times New Roman"/>
          <w:i/>
          <w:iCs/>
          <w:szCs w:val="24"/>
          <w:lang w:val="en-CA"/>
        </w:rPr>
        <w:t>9175</w:t>
      </w:r>
      <w:r w:rsidRPr="00C759D9">
        <w:rPr>
          <w:rFonts w:cs="Times New Roman"/>
          <w:i/>
          <w:iCs/>
          <w:szCs w:val="24"/>
          <w:lang w:val="en-CA"/>
        </w:rPr>
        <w:noBreakHyphen/>
        <w:t xml:space="preserve">1503 Québec </w:t>
      </w:r>
      <w:proofErr w:type="spellStart"/>
      <w:r w:rsidRPr="00C759D9">
        <w:rPr>
          <w:rFonts w:cs="Times New Roman"/>
          <w:i/>
          <w:iCs/>
          <w:szCs w:val="24"/>
          <w:lang w:val="en-CA"/>
        </w:rPr>
        <w:t>inc.</w:t>
      </w:r>
      <w:proofErr w:type="spellEnd"/>
      <w:r w:rsidRPr="00C759D9">
        <w:rPr>
          <w:rFonts w:cs="Times New Roman"/>
          <w:i/>
          <w:iCs/>
          <w:szCs w:val="24"/>
          <w:lang w:val="en-CA"/>
        </w:rPr>
        <w:t xml:space="preserve"> v</w:t>
      </w:r>
      <w:r w:rsidRPr="00C759D9">
        <w:rPr>
          <w:rFonts w:cs="Times New Roman"/>
          <w:i/>
          <w:szCs w:val="24"/>
          <w:lang w:val="en-CA"/>
        </w:rPr>
        <w:t>.</w:t>
      </w:r>
      <w:r w:rsidRPr="00C759D9">
        <w:rPr>
          <w:rFonts w:cs="Times New Roman"/>
          <w:szCs w:val="24"/>
          <w:lang w:val="en-CA"/>
        </w:rPr>
        <w:t xml:space="preserve"> </w:t>
      </w:r>
      <w:r w:rsidRPr="00C759D9">
        <w:rPr>
          <w:rFonts w:cs="Times New Roman"/>
          <w:i/>
          <w:iCs/>
          <w:szCs w:val="24"/>
          <w:lang w:val="en-CA"/>
        </w:rPr>
        <w:t>Montréal (Ville)</w:t>
      </w:r>
      <w:r w:rsidRPr="00C759D9">
        <w:rPr>
          <w:rFonts w:cs="Times New Roman"/>
          <w:szCs w:val="24"/>
          <w:lang w:val="en-CA"/>
        </w:rPr>
        <w:t>, 2012 QCTAQ 07491</w:t>
      </w:r>
      <w:r w:rsidRPr="00C759D9">
        <w:rPr>
          <w:rFonts w:cs="Times New Roman"/>
          <w:lang w:val="en-CA"/>
        </w:rPr>
        <w:t xml:space="preserve">, 2012 </w:t>
      </w:r>
      <w:proofErr w:type="spellStart"/>
      <w:r w:rsidRPr="00C759D9">
        <w:rPr>
          <w:rFonts w:cs="Times New Roman"/>
          <w:lang w:val="en-CA"/>
        </w:rPr>
        <w:t>CanLII</w:t>
      </w:r>
      <w:proofErr w:type="spellEnd"/>
      <w:r w:rsidRPr="00C759D9">
        <w:rPr>
          <w:rFonts w:cs="Times New Roman"/>
          <w:lang w:val="en-CA"/>
        </w:rPr>
        <w:t xml:space="preserve"> 48176, the ATQ did not even rule on the argument based on that Act, as it decided the motion on other grounds. Similarly, in </w:t>
      </w:r>
      <w:r w:rsidRPr="00C759D9">
        <w:rPr>
          <w:rFonts w:cs="Times New Roman"/>
          <w:i/>
          <w:lang w:val="en-CA"/>
        </w:rPr>
        <w:t xml:space="preserve">117437 Canada </w:t>
      </w:r>
      <w:proofErr w:type="spellStart"/>
      <w:r w:rsidRPr="00C759D9">
        <w:rPr>
          <w:rFonts w:cs="Times New Roman"/>
          <w:i/>
          <w:lang w:val="en-CA"/>
        </w:rPr>
        <w:t>inc.</w:t>
      </w:r>
      <w:proofErr w:type="spellEnd"/>
      <w:r w:rsidRPr="00C759D9">
        <w:rPr>
          <w:rFonts w:cs="Times New Roman"/>
          <w:i/>
          <w:lang w:val="en-CA"/>
        </w:rPr>
        <w:t xml:space="preserve"> v. </w:t>
      </w:r>
      <w:proofErr w:type="spellStart"/>
      <w:r w:rsidRPr="00C759D9">
        <w:rPr>
          <w:rFonts w:cs="Times New Roman"/>
          <w:i/>
          <w:lang w:val="en-CA"/>
        </w:rPr>
        <w:t>Lévis</w:t>
      </w:r>
      <w:proofErr w:type="spellEnd"/>
      <w:r w:rsidRPr="00C759D9">
        <w:rPr>
          <w:rFonts w:cs="Times New Roman"/>
          <w:i/>
          <w:lang w:val="en-CA"/>
        </w:rPr>
        <w:t xml:space="preserve"> (Ville)</w:t>
      </w:r>
      <w:r w:rsidRPr="00C759D9">
        <w:rPr>
          <w:rFonts w:cs="Times New Roman"/>
          <w:lang w:val="en-CA"/>
        </w:rPr>
        <w:t xml:space="preserve">, 2014 QCTAQ 0159, 2014 </w:t>
      </w:r>
      <w:proofErr w:type="spellStart"/>
      <w:r w:rsidRPr="00C759D9">
        <w:rPr>
          <w:rFonts w:cs="Times New Roman"/>
          <w:lang w:val="en-CA"/>
        </w:rPr>
        <w:t>CanLII</w:t>
      </w:r>
      <w:proofErr w:type="spellEnd"/>
      <w:r w:rsidRPr="00C759D9">
        <w:rPr>
          <w:rFonts w:cs="Times New Roman"/>
          <w:lang w:val="en-CA"/>
        </w:rPr>
        <w:t xml:space="preserve"> 1318, at para. 32, the ATQ even considered it necessary to make it clear [</w:t>
      </w:r>
      <w:r w:rsidRPr="00C759D9">
        <w:rPr>
          <w:rFonts w:cs="Times New Roman"/>
          <w:smallCaps/>
          <w:lang w:val="en-CA"/>
        </w:rPr>
        <w:t>translation</w:t>
      </w:r>
      <w:r w:rsidRPr="00C759D9">
        <w:rPr>
          <w:rFonts w:cs="Times New Roman"/>
          <w:lang w:val="en-CA"/>
        </w:rPr>
        <w:t xml:space="preserve">] “that what we must do is not to express an opinion or make a policy or declaratory decision on the application of sections 128 and 129 [of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xml:space="preserve">]”. Although I will not comment on each of the ATQ decisions to which my colleague refers, suffice it to say that, in my view, those decisions do not establish that the ATQ has “particular familiarity” with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w:t>
      </w:r>
    </w:p>
    <w:p w:rsidR="00290916" w:rsidRPr="00C759D9" w:rsidRDefault="00290916" w:rsidP="00935044">
      <w:pPr>
        <w:pStyle w:val="ParaNoNdepar-AltN"/>
        <w:widowControl w:val="0"/>
        <w:rPr>
          <w:rFonts w:cs="Times New Roman"/>
          <w:lang w:val="en-CA"/>
        </w:rPr>
      </w:pPr>
      <w:r w:rsidRPr="00C759D9">
        <w:rPr>
          <w:rFonts w:cs="Times New Roman"/>
          <w:lang w:val="en-CA"/>
        </w:rPr>
        <w:t>Moreover, it is well established that the presumption in favour of the reasonableness standard does not apply when “the question at issue falls into one of the categories to which the correctness standard applies”, including “questions of law that are of central importance to the legal system as a whole and that are outside of the adjudicator’s expertise” (</w:t>
      </w:r>
      <w:r w:rsidRPr="00C759D9">
        <w:rPr>
          <w:rFonts w:cs="Times New Roman"/>
          <w:i/>
          <w:lang w:val="en-CA"/>
        </w:rPr>
        <w:t>Canadian National Railway Co. v. Canada (Attorney General)</w:t>
      </w:r>
      <w:r w:rsidRPr="00C759D9">
        <w:rPr>
          <w:rFonts w:cs="Times New Roman"/>
          <w:lang w:val="en-CA"/>
        </w:rPr>
        <w:t xml:space="preserve">, 2014 SCC 40, [2014] 2 S.C.R. 135, at para. 55); </w:t>
      </w:r>
      <w:r w:rsidRPr="00C759D9">
        <w:rPr>
          <w:rFonts w:cs="Times New Roman"/>
          <w:i/>
          <w:lang w:val="en-CA"/>
        </w:rPr>
        <w:t>Dunsmuir</w:t>
      </w:r>
      <w:r w:rsidRPr="00C759D9">
        <w:rPr>
          <w:rFonts w:cs="Times New Roman"/>
          <w:lang w:val="en-CA"/>
        </w:rPr>
        <w:t xml:space="preserve">, at para. 55; </w:t>
      </w:r>
      <w:r w:rsidRPr="00C759D9">
        <w:rPr>
          <w:rFonts w:cs="Times New Roman"/>
          <w:i/>
          <w:lang w:val="en-CA"/>
        </w:rPr>
        <w:t>Alberta (Information and Privacy Commissioner) v. Alberta Teachers’ Association</w:t>
      </w:r>
      <w:r w:rsidRPr="00C759D9">
        <w:rPr>
          <w:rFonts w:cs="Times New Roman"/>
          <w:lang w:val="en-CA"/>
        </w:rPr>
        <w:t xml:space="preserve">, </w:t>
      </w:r>
      <w:r w:rsidRPr="00C759D9">
        <w:rPr>
          <w:rFonts w:cs="Times New Roman"/>
          <w:lang w:val="en-CA"/>
        </w:rPr>
        <w:lastRenderedPageBreak/>
        <w:t>2011 SCC 61, [2011] 3 S.C.R. 654, at paras. 30 and 34). This Court has held that, “[b]</w:t>
      </w:r>
      <w:proofErr w:type="spellStart"/>
      <w:r w:rsidRPr="00C759D9">
        <w:rPr>
          <w:rFonts w:cs="Times New Roman"/>
          <w:lang w:val="en-CA"/>
        </w:rPr>
        <w:t>ecause</w:t>
      </w:r>
      <w:proofErr w:type="spellEnd"/>
      <w:r w:rsidRPr="00C759D9">
        <w:rPr>
          <w:rFonts w:cs="Times New Roman"/>
          <w:lang w:val="en-CA"/>
        </w:rPr>
        <w:t xml:space="preserve"> of their impact on the administration of justice as a whole, such questions require uniform and consistent answers” (</w:t>
      </w:r>
      <w:r w:rsidRPr="00C759D9">
        <w:rPr>
          <w:rFonts w:cs="Times New Roman"/>
          <w:i/>
          <w:lang w:val="en-CA"/>
        </w:rPr>
        <w:t>Dunsmuir</w:t>
      </w:r>
      <w:r w:rsidRPr="00C759D9">
        <w:rPr>
          <w:rFonts w:cs="Times New Roman"/>
          <w:lang w:val="en-CA"/>
        </w:rPr>
        <w:t>, at para. 60). The objective in applying the correctness standard is to ensure “just decisions and [avoid] inconsistent and unauthorized application of law” (</w:t>
      </w:r>
      <w:r w:rsidRPr="00C759D9">
        <w:rPr>
          <w:rFonts w:cs="Times New Roman"/>
          <w:i/>
          <w:lang w:val="en-CA"/>
        </w:rPr>
        <w:t>Dunsmuir</w:t>
      </w:r>
      <w:r w:rsidRPr="00C759D9">
        <w:rPr>
          <w:rFonts w:cs="Times New Roman"/>
          <w:lang w:val="en-CA"/>
        </w:rPr>
        <w:t>, at para. 50).</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In short, because the question before the ATQ necessarily involved the interpretation of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xml:space="preserve">, I conclude that the presumption in favour of the reasonableness standard does not apply. My conclusion that the ATQ had before it a question of central importance to the legal system would also suffice to rebut the presumption.  </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It is true that there has as yet been no precedent in which this Court rebutted the presumption in favour of the reasonableness standard on the basis of the factors of the contextual analysis from </w:t>
      </w:r>
      <w:r w:rsidRPr="00C759D9">
        <w:rPr>
          <w:rFonts w:cs="Times New Roman"/>
          <w:i/>
          <w:lang w:val="en-CA"/>
        </w:rPr>
        <w:t>Dunsmuir</w:t>
      </w:r>
      <w:r w:rsidRPr="00C759D9">
        <w:rPr>
          <w:rFonts w:cs="Times New Roman"/>
          <w:lang w:val="en-CA"/>
        </w:rPr>
        <w:t>. However, this cannot have the effect of calling into question a clear rule that the Court has reaffirmed on several occasions: a contextual analysis may rebut the presumption in favour of the reasonableness standard (</w:t>
      </w:r>
      <w:r w:rsidRPr="00C759D9">
        <w:rPr>
          <w:rFonts w:cs="Times New Roman"/>
          <w:i/>
          <w:lang w:val="en-CA"/>
        </w:rPr>
        <w:t>McLean v. British Columbia (Securities Commission)</w:t>
      </w:r>
      <w:r w:rsidRPr="00C759D9">
        <w:rPr>
          <w:rFonts w:cs="Times New Roman"/>
          <w:lang w:val="en-CA"/>
        </w:rPr>
        <w:t xml:space="preserve">, 2013 SCC 67, [2013] 3 S.C.R. 895, at para. 22; </w:t>
      </w:r>
      <w:r w:rsidRPr="00C759D9">
        <w:rPr>
          <w:rFonts w:cs="Times New Roman"/>
          <w:i/>
          <w:lang w:val="en-CA"/>
        </w:rPr>
        <w:t>Rogers Communications Inc. v. Society of Composers, Authors and Music Publishers of Canada</w:t>
      </w:r>
      <w:r w:rsidRPr="00C759D9">
        <w:rPr>
          <w:rFonts w:cs="Times New Roman"/>
          <w:lang w:val="en-CA"/>
        </w:rPr>
        <w:t xml:space="preserve">, 2012 SCC 35, [2012] 2 S.C.R. 283, at para. 16; </w:t>
      </w:r>
      <w:proofErr w:type="spellStart"/>
      <w:r w:rsidRPr="00C759D9">
        <w:rPr>
          <w:rFonts w:cs="Times New Roman"/>
          <w:i/>
          <w:lang w:val="en-CA"/>
        </w:rPr>
        <w:t>Mouvement</w:t>
      </w:r>
      <w:proofErr w:type="spellEnd"/>
      <w:r w:rsidRPr="00C759D9">
        <w:rPr>
          <w:rFonts w:cs="Times New Roman"/>
          <w:i/>
          <w:lang w:val="en-CA"/>
        </w:rPr>
        <w:t xml:space="preserve"> </w:t>
      </w:r>
      <w:proofErr w:type="spellStart"/>
      <w:r w:rsidRPr="00C759D9">
        <w:rPr>
          <w:rFonts w:cs="Times New Roman"/>
          <w:i/>
          <w:lang w:val="en-CA"/>
        </w:rPr>
        <w:t>laïque</w:t>
      </w:r>
      <w:proofErr w:type="spellEnd"/>
      <w:r w:rsidRPr="00C759D9">
        <w:rPr>
          <w:rFonts w:cs="Times New Roman"/>
          <w:lang w:val="en-CA"/>
        </w:rPr>
        <w:t xml:space="preserve">, at para. 46; </w:t>
      </w:r>
      <w:r w:rsidRPr="00C759D9">
        <w:rPr>
          <w:rFonts w:cs="Times New Roman"/>
          <w:i/>
          <w:lang w:val="en-CA"/>
        </w:rPr>
        <w:t>Edmonton (City) v. Edmonton East (</w:t>
      </w:r>
      <w:proofErr w:type="spellStart"/>
      <w:r w:rsidRPr="00C759D9">
        <w:rPr>
          <w:rFonts w:cs="Times New Roman"/>
          <w:i/>
          <w:lang w:val="en-CA"/>
        </w:rPr>
        <w:t>Capilano</w:t>
      </w:r>
      <w:proofErr w:type="spellEnd"/>
      <w:r w:rsidRPr="00C759D9">
        <w:rPr>
          <w:rFonts w:cs="Times New Roman"/>
          <w:i/>
          <w:lang w:val="en-CA"/>
        </w:rPr>
        <w:t>) Shopping Centres Ltd.</w:t>
      </w:r>
      <w:r w:rsidRPr="00C759D9">
        <w:rPr>
          <w:rFonts w:cs="Times New Roman"/>
          <w:lang w:val="en-CA"/>
        </w:rPr>
        <w:t>,</w:t>
      </w:r>
      <w:r w:rsidRPr="00C759D9">
        <w:rPr>
          <w:rFonts w:cs="Times New Roman"/>
          <w:i/>
          <w:lang w:val="en-CA"/>
        </w:rPr>
        <w:t xml:space="preserve"> </w:t>
      </w:r>
      <w:r w:rsidRPr="00C759D9">
        <w:rPr>
          <w:rFonts w:cs="Times New Roman"/>
          <w:lang w:val="en-CA"/>
        </w:rPr>
        <w:t xml:space="preserve">2016 SCC 47, [2016] 2 S.C.R. 293, at para. 32). </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The absence of a precedent in which the outcome of the contextual analysis </w:t>
      </w:r>
      <w:r w:rsidRPr="00C759D9">
        <w:rPr>
          <w:rFonts w:cs="Times New Roman"/>
          <w:lang w:val="en-CA"/>
        </w:rPr>
        <w:lastRenderedPageBreak/>
        <w:t xml:space="preserve">has served to rebut the presumption cannot prevent this Court from applying the principles from </w:t>
      </w:r>
      <w:r w:rsidRPr="00C759D9">
        <w:rPr>
          <w:rFonts w:cs="Times New Roman"/>
          <w:i/>
          <w:lang w:val="en-CA"/>
        </w:rPr>
        <w:t>Dunsmuir</w:t>
      </w:r>
      <w:r w:rsidRPr="00C759D9">
        <w:rPr>
          <w:rFonts w:cs="Times New Roman"/>
          <w:lang w:val="en-CA"/>
        </w:rPr>
        <w:t xml:space="preserve">. In this regard, I endorse the following comment by </w:t>
      </w:r>
      <w:r w:rsidR="00222468">
        <w:rPr>
          <w:rFonts w:cs="Times New Roman"/>
          <w:lang w:val="en-CA"/>
        </w:rPr>
        <w:t>L</w:t>
      </w:r>
      <w:r w:rsidRPr="00C759D9">
        <w:rPr>
          <w:rFonts w:cs="Times New Roman"/>
          <w:lang w:val="en-CA"/>
        </w:rPr>
        <w:t>ord Denning:</w:t>
      </w:r>
    </w:p>
    <w:p w:rsidR="00290916" w:rsidRPr="00C759D9" w:rsidRDefault="00290916" w:rsidP="00935044">
      <w:pPr>
        <w:pStyle w:val="Citation-AltC"/>
        <w:widowControl w:val="0"/>
        <w:spacing w:after="240"/>
        <w:ind w:hanging="1166"/>
        <w:contextualSpacing w:val="0"/>
        <w:rPr>
          <w:lang w:val="en-CA"/>
        </w:rPr>
      </w:pPr>
      <w:r w:rsidRPr="00C759D9">
        <w:rPr>
          <w:lang w:val="en-CA"/>
        </w:rPr>
        <w:tab/>
        <w:t xml:space="preserve">What is the argument on the other side? Only </w:t>
      </w:r>
      <w:proofErr w:type="gramStart"/>
      <w:r w:rsidRPr="00C759D9">
        <w:rPr>
          <w:lang w:val="en-CA"/>
        </w:rPr>
        <w:t>this, that</w:t>
      </w:r>
      <w:proofErr w:type="gramEnd"/>
      <w:r w:rsidRPr="00C759D9">
        <w:rPr>
          <w:lang w:val="en-CA"/>
        </w:rPr>
        <w:t xml:space="preserve"> no case has been found in which it has been done before. That argument does not appeal to me in the least. If we never do anything which has not been done before, we shall never get anywhere. The law will stand still while the rest of the world goes on, and that will be bad for both.</w:t>
      </w:r>
    </w:p>
    <w:p w:rsidR="00290916" w:rsidRPr="00C759D9" w:rsidRDefault="00290916" w:rsidP="00935044">
      <w:pPr>
        <w:pStyle w:val="Citation-AltC"/>
        <w:widowControl w:val="0"/>
        <w:ind w:hanging="1076"/>
        <w:contextualSpacing w:val="0"/>
        <w:rPr>
          <w:lang w:val="en-CA"/>
        </w:rPr>
      </w:pPr>
      <w:r w:rsidRPr="00C759D9">
        <w:rPr>
          <w:lang w:val="en-CA"/>
        </w:rPr>
        <w:t>(</w:t>
      </w:r>
      <w:r w:rsidRPr="00C759D9">
        <w:rPr>
          <w:i/>
          <w:lang w:val="en-CA"/>
        </w:rPr>
        <w:t>Packer v. Packer</w:t>
      </w:r>
      <w:r w:rsidRPr="00C759D9">
        <w:rPr>
          <w:lang w:val="en-CA"/>
        </w:rPr>
        <w:t>, [1953] 2 All E.R. 127</w:t>
      </w:r>
      <w:r w:rsidR="00222468">
        <w:rPr>
          <w:lang w:val="en-CA"/>
        </w:rPr>
        <w:t xml:space="preserve"> (C.A.)</w:t>
      </w:r>
      <w:r w:rsidRPr="00C759D9">
        <w:rPr>
          <w:lang w:val="en-CA"/>
        </w:rPr>
        <w:t xml:space="preserve">, at p. 129) </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In my opinion, the presumption in favour of the reasonableness standard must not be sanctified to such an extent that we lose sight of the fact that it is rebuttable. </w:t>
      </w:r>
    </w:p>
    <w:p w:rsidR="00290916" w:rsidRPr="00C759D9" w:rsidRDefault="00290916" w:rsidP="00935044">
      <w:pPr>
        <w:pStyle w:val="Title2LevelTitre2Niveau"/>
        <w:widowControl w:val="0"/>
        <w:numPr>
          <w:ilvl w:val="1"/>
          <w:numId w:val="8"/>
        </w:numPr>
        <w:rPr>
          <w:rFonts w:cs="Times New Roman"/>
        </w:rPr>
      </w:pPr>
      <w:r w:rsidRPr="00C759D9">
        <w:rPr>
          <w:rFonts w:cs="Times New Roman"/>
        </w:rPr>
        <w:t>Scope of the Minister’s Right to Be Represented by a Person of His or Her Choice</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The Attorney General of Quebec submits that the Minister can have a person who is neither an advocate nor a solicitor prepare and draw up a written proceeding or other similar document that is intended for use in a case before the ATQ’s social affairs division. She argues that the Minister has been granted this right by s. 102 of the </w:t>
      </w:r>
      <w:r w:rsidRPr="00C759D9">
        <w:rPr>
          <w:rFonts w:cs="Times New Roman"/>
          <w:i/>
          <w:lang w:val="en-CA"/>
        </w:rPr>
        <w:t>Act respecting administrative justice</w:t>
      </w:r>
      <w:r w:rsidRPr="00C759D9">
        <w:rPr>
          <w:rFonts w:cs="Times New Roman"/>
          <w:lang w:val="en-CA"/>
        </w:rPr>
        <w:t>, the second paragraph of which provides that the Minister “may be represented by the person of his . . . choice before the social affairs division” in certain cases.</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Such an interpretation is inconsistent with the words of the statutes in question and with the intention of the legislature. It also disregards the object of the </w:t>
      </w:r>
      <w:r w:rsidRPr="00C759D9">
        <w:rPr>
          <w:rFonts w:cs="Times New Roman"/>
          <w:i/>
          <w:lang w:val="en-CA"/>
        </w:rPr>
        <w:t xml:space="preserve">Act </w:t>
      </w:r>
      <w:r w:rsidRPr="00C759D9">
        <w:rPr>
          <w:rFonts w:cs="Times New Roman"/>
          <w:i/>
          <w:lang w:val="en-CA"/>
        </w:rPr>
        <w:lastRenderedPageBreak/>
        <w:t xml:space="preserve">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xml:space="preserve">. I am of the view that only an advocate or a solicitor may prepare and draw up a notice, motion, proceeding or other similar document intended for use in a case before the ATQ’s social affairs division. In my opinion, s. 102 of the </w:t>
      </w:r>
      <w:r w:rsidRPr="00C759D9">
        <w:rPr>
          <w:rFonts w:cs="Times New Roman"/>
          <w:i/>
          <w:lang w:val="en-CA"/>
        </w:rPr>
        <w:t xml:space="preserve">Act respecting administrative justice </w:t>
      </w:r>
      <w:r w:rsidRPr="00C759D9">
        <w:rPr>
          <w:rFonts w:cs="Times New Roman"/>
          <w:lang w:val="en-CA"/>
        </w:rPr>
        <w:t>does not grant the Minister the right to have recourse for that purpose to the services of a person who is neither an advocate nor a solicitor.</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My colleague Brown J., on the other hand, concludes that the Minister’s right to be represented by a person of his or her choice extends to the preparation and drawing up of motions and other written proceedings. However, as he correctly notes, “[t]he words of an Act are to be read in their entire context and in their grammatical and ordinary sense harmoniously with the scheme of the Act, the object of the Act and the intention of the legislature” (para. 26, citing </w:t>
      </w:r>
      <w:r w:rsidRPr="00C759D9">
        <w:rPr>
          <w:rFonts w:cs="Times New Roman"/>
          <w:i/>
          <w:lang w:val="en-CA"/>
        </w:rPr>
        <w:t>Bell ExpressVu L</w:t>
      </w:r>
      <w:r w:rsidR="00246A9D">
        <w:rPr>
          <w:rFonts w:cs="Times New Roman"/>
          <w:i/>
          <w:lang w:val="en-CA"/>
        </w:rPr>
        <w:t>imi</w:t>
      </w:r>
      <w:r w:rsidRPr="00C759D9">
        <w:rPr>
          <w:rFonts w:cs="Times New Roman"/>
          <w:i/>
          <w:lang w:val="en-CA"/>
        </w:rPr>
        <w:t>t</w:t>
      </w:r>
      <w:r w:rsidR="00246A9D">
        <w:rPr>
          <w:rFonts w:cs="Times New Roman"/>
          <w:i/>
          <w:lang w:val="en-CA"/>
        </w:rPr>
        <w:t>e</w:t>
      </w:r>
      <w:r w:rsidRPr="00C759D9">
        <w:rPr>
          <w:rFonts w:cs="Times New Roman"/>
          <w:i/>
          <w:lang w:val="en-CA"/>
        </w:rPr>
        <w:t>d Partnership v. Rex</w:t>
      </w:r>
      <w:r w:rsidRPr="00C759D9">
        <w:rPr>
          <w:rFonts w:cs="Times New Roman"/>
          <w:lang w:val="en-CA"/>
        </w:rPr>
        <w:t xml:space="preserve">, 2002 SCC 42, [2002] 2 S.C.R. 559, at para. 26, and </w:t>
      </w:r>
      <w:r w:rsidRPr="00C759D9">
        <w:rPr>
          <w:rFonts w:cs="Times New Roman"/>
          <w:i/>
          <w:lang w:val="en-CA"/>
        </w:rPr>
        <w:t>Rizzo &amp; Rizzo Shoes Ltd. (Re)</w:t>
      </w:r>
      <w:r w:rsidRPr="00C759D9">
        <w:rPr>
          <w:rFonts w:cs="Times New Roman"/>
          <w:lang w:val="en-CA"/>
        </w:rPr>
        <w:t>, [1998] 1 S.C.R. 27, at para. 21, quoting E. A. </w:t>
      </w:r>
      <w:proofErr w:type="spellStart"/>
      <w:r w:rsidRPr="00C759D9">
        <w:rPr>
          <w:rFonts w:cs="Times New Roman"/>
          <w:lang w:val="en-CA"/>
        </w:rPr>
        <w:t>Driedger</w:t>
      </w:r>
      <w:proofErr w:type="spellEnd"/>
      <w:r w:rsidRPr="00C759D9">
        <w:rPr>
          <w:rFonts w:cs="Times New Roman"/>
          <w:lang w:val="en-CA"/>
        </w:rPr>
        <w:t xml:space="preserve">, </w:t>
      </w:r>
      <w:r w:rsidRPr="00C759D9">
        <w:rPr>
          <w:rFonts w:cs="Times New Roman"/>
          <w:i/>
          <w:lang w:val="en-CA"/>
        </w:rPr>
        <w:t>Construction of Statutes</w:t>
      </w:r>
      <w:r w:rsidRPr="00C759D9">
        <w:rPr>
          <w:rFonts w:cs="Times New Roman"/>
          <w:lang w:val="en-CA"/>
        </w:rPr>
        <w:t xml:space="preserve"> (2nd ed. 1983), at p. 87). In my opinion, and with all due respect, he overlooks some factors that, properly considered, call for a different interpretation and conclusion on the subject of the scope of the Minister’s right to be represented by a person of his or her choice.</w:t>
      </w:r>
    </w:p>
    <w:p w:rsidR="00290916" w:rsidRPr="00C759D9" w:rsidRDefault="00290916" w:rsidP="00935044">
      <w:pPr>
        <w:pStyle w:val="ParaNoNdepar-AltN"/>
        <w:widowControl w:val="0"/>
        <w:rPr>
          <w:rFonts w:cs="Times New Roman"/>
          <w:lang w:val="en-CA"/>
        </w:rPr>
      </w:pPr>
      <w:r w:rsidRPr="00C759D9">
        <w:rPr>
          <w:rFonts w:cs="Times New Roman"/>
          <w:lang w:val="en-CA"/>
        </w:rPr>
        <w:t>The words of an Act are to be read in their entire context.</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In my colleague’s opinion, this Court must interpret the word “represented” used in s. 102 of the </w:t>
      </w:r>
      <w:r w:rsidRPr="00C759D9">
        <w:rPr>
          <w:rFonts w:cs="Times New Roman"/>
          <w:i/>
          <w:lang w:val="en-CA"/>
        </w:rPr>
        <w:t>Act respecting administrative justice</w:t>
      </w:r>
      <w:r w:rsidRPr="00C759D9">
        <w:rPr>
          <w:rFonts w:cs="Times New Roman"/>
          <w:lang w:val="en-CA"/>
        </w:rPr>
        <w:t xml:space="preserve"> as including the preparation </w:t>
      </w:r>
      <w:r w:rsidRPr="00C759D9">
        <w:rPr>
          <w:rFonts w:cs="Times New Roman"/>
          <w:lang w:val="en-CA"/>
        </w:rPr>
        <w:lastRenderedPageBreak/>
        <w:t xml:space="preserve">and drawing up of motions and other written proceedings. But as the Court of Appeal noted in this case, at para. 63, the exception to the monopoly on practice of advocates that is provided for in s. 102 of the </w:t>
      </w:r>
      <w:r w:rsidRPr="00C759D9">
        <w:rPr>
          <w:rFonts w:cs="Times New Roman"/>
          <w:i/>
          <w:lang w:val="en-CA"/>
        </w:rPr>
        <w:t>Act respecting administrative justice</w:t>
      </w:r>
      <w:r w:rsidRPr="00C759D9">
        <w:rPr>
          <w:rFonts w:cs="Times New Roman"/>
          <w:lang w:val="en-CA"/>
        </w:rPr>
        <w:t xml:space="preserve"> and the one provided for in s. 128(2)(a)(5) of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xml:space="preserve"> were enacted at the same time: </w:t>
      </w:r>
    </w:p>
    <w:p w:rsidR="00290916" w:rsidRPr="00C759D9" w:rsidRDefault="00290916" w:rsidP="00935044">
      <w:pPr>
        <w:pStyle w:val="Citation-AltC"/>
        <w:widowControl w:val="0"/>
        <w:tabs>
          <w:tab w:val="left" w:pos="1530"/>
        </w:tabs>
        <w:spacing w:after="240"/>
        <w:ind w:hanging="1166"/>
        <w:contextualSpacing w:val="0"/>
        <w:rPr>
          <w:lang w:val="en-CA"/>
        </w:rPr>
      </w:pPr>
      <w:r w:rsidRPr="00C759D9">
        <w:rPr>
          <w:lang w:val="en-CA"/>
        </w:rPr>
        <w:tab/>
      </w:r>
      <w:r w:rsidRPr="00C759D9">
        <w:rPr>
          <w:lang w:val="en-CA"/>
        </w:rPr>
        <w:tab/>
        <w:t>[</w:t>
      </w:r>
      <w:r w:rsidRPr="00C759D9">
        <w:rPr>
          <w:smallCaps/>
          <w:lang w:val="en-CA"/>
        </w:rPr>
        <w:t>translation</w:t>
      </w:r>
      <w:r w:rsidRPr="00C759D9">
        <w:rPr>
          <w:lang w:val="en-CA"/>
        </w:rPr>
        <w:t xml:space="preserve">] On June 20, 1984, concurrent amendments were made to section 128 [of the </w:t>
      </w:r>
      <w:r w:rsidRPr="00C759D9">
        <w:rPr>
          <w:i/>
          <w:lang w:val="en-CA"/>
        </w:rPr>
        <w:t xml:space="preserve">Act respecting the </w:t>
      </w:r>
      <w:proofErr w:type="spellStart"/>
      <w:r w:rsidRPr="00C759D9">
        <w:rPr>
          <w:i/>
          <w:lang w:val="en-CA"/>
        </w:rPr>
        <w:t>Barreau</w:t>
      </w:r>
      <w:proofErr w:type="spellEnd"/>
      <w:r w:rsidRPr="00C759D9">
        <w:rPr>
          <w:i/>
          <w:lang w:val="en-CA"/>
        </w:rPr>
        <w:t xml:space="preserve"> du Québec</w:t>
      </w:r>
      <w:r w:rsidRPr="00C759D9">
        <w:rPr>
          <w:lang w:val="en-CA"/>
        </w:rPr>
        <w:t xml:space="preserve">] and section 38 of the </w:t>
      </w:r>
      <w:r w:rsidRPr="00C759D9">
        <w:rPr>
          <w:i/>
          <w:lang w:val="en-CA"/>
        </w:rPr>
        <w:t xml:space="preserve">Act respecting the Commission des affaires </w:t>
      </w:r>
      <w:proofErr w:type="spellStart"/>
      <w:r w:rsidRPr="00C759D9">
        <w:rPr>
          <w:i/>
          <w:lang w:val="en-CA"/>
        </w:rPr>
        <w:t>sociales</w:t>
      </w:r>
      <w:proofErr w:type="spellEnd"/>
      <w:r w:rsidRPr="00C759D9">
        <w:rPr>
          <w:lang w:val="en-CA"/>
        </w:rPr>
        <w:t xml:space="preserve"> [R.S.Q., c. </w:t>
      </w:r>
      <w:r w:rsidR="00222468">
        <w:rPr>
          <w:lang w:val="en-CA"/>
        </w:rPr>
        <w:t>C-</w:t>
      </w:r>
      <w:r w:rsidRPr="00C759D9">
        <w:rPr>
          <w:lang w:val="en-CA"/>
        </w:rPr>
        <w:t xml:space="preserve">34] (the predecessor of section 102 [of the </w:t>
      </w:r>
      <w:r w:rsidRPr="00C759D9">
        <w:rPr>
          <w:i/>
          <w:lang w:val="en-CA"/>
        </w:rPr>
        <w:t>Act respecting administrative justice</w:t>
      </w:r>
      <w:r w:rsidRPr="00C759D9">
        <w:rPr>
          <w:lang w:val="en-CA"/>
        </w:rPr>
        <w:t xml:space="preserve">]) to authorize the Minister to be represented before the Commission des affaires </w:t>
      </w:r>
      <w:proofErr w:type="spellStart"/>
      <w:r w:rsidRPr="00C759D9">
        <w:rPr>
          <w:lang w:val="en-CA"/>
        </w:rPr>
        <w:t>sociales</w:t>
      </w:r>
      <w:proofErr w:type="spellEnd"/>
      <w:r w:rsidRPr="00C759D9">
        <w:rPr>
          <w:lang w:val="en-CA"/>
        </w:rPr>
        <w:t xml:space="preserve"> by persons who are not necessarily members of the </w:t>
      </w:r>
      <w:proofErr w:type="spellStart"/>
      <w:r w:rsidRPr="00C759D9">
        <w:rPr>
          <w:lang w:val="en-CA"/>
        </w:rPr>
        <w:t>Barreau</w:t>
      </w:r>
      <w:proofErr w:type="spellEnd"/>
      <w:r w:rsidRPr="00C759D9">
        <w:rPr>
          <w:lang w:val="en-CA"/>
        </w:rPr>
        <w:t>:</w:t>
      </w:r>
    </w:p>
    <w:p w:rsidR="00290916" w:rsidRPr="00C759D9" w:rsidRDefault="00290916" w:rsidP="00935044">
      <w:pPr>
        <w:pStyle w:val="Citation-AltC"/>
        <w:widowControl w:val="0"/>
        <w:spacing w:after="240"/>
        <w:ind w:left="1440" w:hanging="1440"/>
        <w:contextualSpacing w:val="0"/>
        <w:rPr>
          <w:lang w:val="en-CA"/>
        </w:rPr>
      </w:pPr>
      <w:r w:rsidRPr="00C759D9">
        <w:rPr>
          <w:lang w:val="en-CA"/>
        </w:rPr>
        <w:tab/>
        <w:t xml:space="preserve">Act respecting the </w:t>
      </w:r>
      <w:proofErr w:type="spellStart"/>
      <w:r w:rsidRPr="00C759D9">
        <w:rPr>
          <w:lang w:val="en-CA"/>
        </w:rPr>
        <w:t>Barreau</w:t>
      </w:r>
      <w:proofErr w:type="spellEnd"/>
      <w:r w:rsidRPr="00C759D9">
        <w:rPr>
          <w:lang w:val="en-CA"/>
        </w:rPr>
        <w:t xml:space="preserve"> du Québec [as amended by the </w:t>
      </w:r>
      <w:r w:rsidRPr="00C759D9">
        <w:rPr>
          <w:i/>
          <w:lang w:val="en-CA"/>
        </w:rPr>
        <w:t>Act to amend various legislation</w:t>
      </w:r>
      <w:r w:rsidRPr="00C759D9">
        <w:rPr>
          <w:lang w:val="en-CA"/>
        </w:rPr>
        <w:t>, S.Q. 1984, c. 27, s. 49]</w:t>
      </w:r>
    </w:p>
    <w:p w:rsidR="00290916" w:rsidRPr="00C759D9" w:rsidRDefault="00290916" w:rsidP="00935044">
      <w:pPr>
        <w:pStyle w:val="Citation-AltC"/>
        <w:widowControl w:val="0"/>
        <w:spacing w:after="240"/>
        <w:ind w:left="1440" w:hanging="1440"/>
        <w:contextualSpacing w:val="0"/>
        <w:jc w:val="center"/>
        <w:rPr>
          <w:lang w:val="en-CA"/>
        </w:rPr>
      </w:pPr>
      <w:r w:rsidRPr="00C759D9">
        <w:rPr>
          <w:lang w:val="en-CA"/>
        </w:rPr>
        <w:t>. . .</w:t>
      </w:r>
    </w:p>
    <w:p w:rsidR="00290916" w:rsidRPr="00C759D9" w:rsidRDefault="00290916" w:rsidP="00935044">
      <w:pPr>
        <w:pStyle w:val="Citation-AltC"/>
        <w:widowControl w:val="0"/>
        <w:spacing w:after="240"/>
        <w:ind w:left="1440" w:hanging="1440"/>
        <w:contextualSpacing w:val="0"/>
        <w:rPr>
          <w:lang w:val="en-CA"/>
        </w:rPr>
      </w:pPr>
      <w:r w:rsidRPr="00C759D9">
        <w:rPr>
          <w:b/>
          <w:lang w:val="en-CA"/>
        </w:rPr>
        <w:tab/>
        <w:t>49.</w:t>
      </w:r>
      <w:r w:rsidRPr="00C759D9">
        <w:rPr>
          <w:lang w:val="en-CA"/>
        </w:rPr>
        <w:t xml:space="preserve"> Section 128 of the said Act is amended by adding, after subparagraph 4 of paragraph </w:t>
      </w:r>
      <w:proofErr w:type="gramStart"/>
      <w:r w:rsidRPr="00C759D9">
        <w:rPr>
          <w:i/>
          <w:lang w:val="en-CA"/>
        </w:rPr>
        <w:t>a</w:t>
      </w:r>
      <w:r w:rsidRPr="00C759D9">
        <w:rPr>
          <w:lang w:val="en-CA"/>
        </w:rPr>
        <w:t xml:space="preserve"> of</w:t>
      </w:r>
      <w:proofErr w:type="gramEnd"/>
      <w:r w:rsidRPr="00C759D9">
        <w:rPr>
          <w:lang w:val="en-CA"/>
        </w:rPr>
        <w:t xml:space="preserve"> subsection 2, the following subparagraphs:</w:t>
      </w:r>
    </w:p>
    <w:p w:rsidR="00290916" w:rsidRPr="00C759D9" w:rsidRDefault="00290916" w:rsidP="00935044">
      <w:pPr>
        <w:pStyle w:val="Citation-AltC"/>
        <w:widowControl w:val="0"/>
        <w:tabs>
          <w:tab w:val="left" w:pos="1980"/>
        </w:tabs>
        <w:spacing w:after="240"/>
        <w:ind w:left="1440" w:hanging="1440"/>
        <w:contextualSpacing w:val="0"/>
        <w:rPr>
          <w:lang w:val="en-CA"/>
        </w:rPr>
      </w:pPr>
      <w:r w:rsidRPr="00C759D9">
        <w:rPr>
          <w:lang w:val="en-CA"/>
        </w:rPr>
        <w:tab/>
      </w:r>
      <w:r w:rsidRPr="00C759D9">
        <w:rPr>
          <w:lang w:val="en-CA"/>
        </w:rPr>
        <w:tab/>
        <w:t xml:space="preserve">“(5) the social aid and allowances division of the Commission des affaires </w:t>
      </w:r>
      <w:proofErr w:type="spellStart"/>
      <w:r w:rsidRPr="00C759D9">
        <w:rPr>
          <w:lang w:val="en-CA"/>
        </w:rPr>
        <w:t>sociales</w:t>
      </w:r>
      <w:proofErr w:type="spellEnd"/>
      <w:r w:rsidRPr="00C759D9">
        <w:rPr>
          <w:lang w:val="en-CA"/>
        </w:rPr>
        <w:t>, to the extent that the Minister of Manpower and Income Security or a body which has entered into an agreement in accordance with section 35 of the Social Aid Act (R.S.Q., chapter A</w:t>
      </w:r>
      <w:r w:rsidRPr="00C759D9">
        <w:rPr>
          <w:lang w:val="en-CA"/>
        </w:rPr>
        <w:noBreakHyphen/>
        <w:t>16) is to be represented to plead or act in his or its name;”;</w:t>
      </w:r>
    </w:p>
    <w:p w:rsidR="00290916" w:rsidRPr="00C759D9" w:rsidRDefault="00290916" w:rsidP="00935044">
      <w:pPr>
        <w:pStyle w:val="Citation-AltC"/>
        <w:widowControl w:val="0"/>
        <w:spacing w:after="240"/>
        <w:ind w:left="1440" w:hanging="1440"/>
        <w:contextualSpacing w:val="0"/>
        <w:jc w:val="center"/>
        <w:rPr>
          <w:lang w:val="en-CA"/>
        </w:rPr>
      </w:pPr>
      <w:r w:rsidRPr="00C759D9">
        <w:rPr>
          <w:lang w:val="en-CA"/>
        </w:rPr>
        <w:t>. . .</w:t>
      </w:r>
    </w:p>
    <w:p w:rsidR="00290916" w:rsidRPr="00C759D9" w:rsidRDefault="00290916" w:rsidP="00935044">
      <w:pPr>
        <w:pStyle w:val="Citation-AltC"/>
        <w:widowControl w:val="0"/>
        <w:spacing w:after="240"/>
        <w:ind w:left="1440" w:hanging="1440"/>
        <w:contextualSpacing w:val="0"/>
        <w:rPr>
          <w:lang w:val="en-CA"/>
        </w:rPr>
      </w:pPr>
      <w:r w:rsidRPr="00C759D9">
        <w:rPr>
          <w:lang w:val="en-CA"/>
        </w:rPr>
        <w:tab/>
        <w:t xml:space="preserve">Act respecting the Commission des affaires </w:t>
      </w:r>
      <w:proofErr w:type="spellStart"/>
      <w:r w:rsidRPr="00C759D9">
        <w:rPr>
          <w:lang w:val="en-CA"/>
        </w:rPr>
        <w:t>sociales</w:t>
      </w:r>
      <w:proofErr w:type="spellEnd"/>
      <w:r w:rsidRPr="00C759D9">
        <w:rPr>
          <w:lang w:val="en-CA"/>
        </w:rPr>
        <w:t xml:space="preserve"> [as amended by the </w:t>
      </w:r>
      <w:r w:rsidRPr="00C759D9">
        <w:rPr>
          <w:i/>
          <w:lang w:val="en-CA"/>
        </w:rPr>
        <w:t>Act to amend various legislation</w:t>
      </w:r>
      <w:r w:rsidRPr="00C759D9">
        <w:rPr>
          <w:lang w:val="en-CA"/>
        </w:rPr>
        <w:t>, s. 51]</w:t>
      </w:r>
    </w:p>
    <w:p w:rsidR="00290916" w:rsidRPr="00C759D9" w:rsidRDefault="00290916" w:rsidP="00935044">
      <w:pPr>
        <w:pStyle w:val="Citation-AltC"/>
        <w:widowControl w:val="0"/>
        <w:spacing w:after="240"/>
        <w:ind w:left="1440" w:hanging="1440"/>
        <w:contextualSpacing w:val="0"/>
        <w:rPr>
          <w:lang w:val="en-CA"/>
        </w:rPr>
      </w:pPr>
      <w:r w:rsidRPr="00C759D9">
        <w:rPr>
          <w:b/>
          <w:lang w:val="en-CA"/>
        </w:rPr>
        <w:tab/>
        <w:t>51.</w:t>
      </w:r>
      <w:r w:rsidRPr="00C759D9">
        <w:rPr>
          <w:lang w:val="en-CA"/>
        </w:rPr>
        <w:t xml:space="preserve"> Section 38 of the Act respecting the Commission des affaires </w:t>
      </w:r>
      <w:proofErr w:type="spellStart"/>
      <w:r w:rsidRPr="00C759D9">
        <w:rPr>
          <w:lang w:val="en-CA"/>
        </w:rPr>
        <w:t>sociales</w:t>
      </w:r>
      <w:proofErr w:type="spellEnd"/>
      <w:r w:rsidRPr="00C759D9">
        <w:rPr>
          <w:lang w:val="en-CA"/>
        </w:rPr>
        <w:t xml:space="preserve"> (R.S.Q., chapter C</w:t>
      </w:r>
      <w:r w:rsidRPr="00C759D9">
        <w:rPr>
          <w:lang w:val="en-CA"/>
        </w:rPr>
        <w:noBreakHyphen/>
        <w:t>34) is amended by adding, at the end, the following paragraph:</w:t>
      </w:r>
    </w:p>
    <w:p w:rsidR="00290916" w:rsidRPr="00C759D9" w:rsidRDefault="00290916" w:rsidP="00935044">
      <w:pPr>
        <w:pStyle w:val="Citation-AltC"/>
        <w:widowControl w:val="0"/>
        <w:tabs>
          <w:tab w:val="left" w:pos="1980"/>
        </w:tabs>
        <w:ind w:left="1440" w:hanging="1440"/>
        <w:contextualSpacing w:val="0"/>
        <w:rPr>
          <w:lang w:val="en-CA"/>
        </w:rPr>
      </w:pPr>
      <w:r w:rsidRPr="00C759D9">
        <w:rPr>
          <w:lang w:val="en-CA"/>
        </w:rPr>
        <w:tab/>
      </w:r>
      <w:r w:rsidRPr="00C759D9">
        <w:rPr>
          <w:lang w:val="en-CA"/>
        </w:rPr>
        <w:tab/>
        <w:t xml:space="preserve">“At the proof and hearing before the social aid and allowances division, the Minister of Manpower and Income Security or a body which has entered into an agreement in accordance with section 35 of </w:t>
      </w:r>
      <w:r w:rsidRPr="00C759D9">
        <w:rPr>
          <w:lang w:val="en-CA"/>
        </w:rPr>
        <w:lastRenderedPageBreak/>
        <w:t>the Social Aid Act is entitled to be represented, to plead or act in his or its name, by the person of his or its choice.” [Footnotes omitted.]</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These amendments, which were made simultaneously for purposes of concordance, form part of the entire context of the relevant provisions. In my view, the word “represented” used in s. 102 of the </w:t>
      </w:r>
      <w:r w:rsidRPr="00C759D9">
        <w:rPr>
          <w:rFonts w:cs="Times New Roman"/>
          <w:i/>
          <w:lang w:val="en-CA"/>
        </w:rPr>
        <w:t>Act respecting administrative justice</w:t>
      </w:r>
      <w:r w:rsidRPr="00C759D9">
        <w:rPr>
          <w:rFonts w:cs="Times New Roman"/>
          <w:lang w:val="en-CA"/>
        </w:rPr>
        <w:t xml:space="preserve"> must therefore be understood to have the same meaning as the word “represented” used in s. 128(2)(</w:t>
      </w:r>
      <w:r w:rsidRPr="00222468">
        <w:rPr>
          <w:rFonts w:cs="Times New Roman"/>
          <w:lang w:val="en-CA"/>
        </w:rPr>
        <w:t>a</w:t>
      </w:r>
      <w:r w:rsidRPr="00C759D9">
        <w:rPr>
          <w:rFonts w:cs="Times New Roman"/>
          <w:lang w:val="en-CA"/>
        </w:rPr>
        <w:t xml:space="preserve">)(5) of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It cannot be concluded from the entire context that the legislature intended otherwise.</w:t>
      </w:r>
    </w:p>
    <w:p w:rsidR="00290916" w:rsidRPr="00C759D9" w:rsidRDefault="00290916" w:rsidP="00935044">
      <w:pPr>
        <w:pStyle w:val="ParaNoNdepar-AltN"/>
        <w:widowControl w:val="0"/>
        <w:rPr>
          <w:rFonts w:cs="Times New Roman"/>
          <w:lang w:val="en-CA"/>
        </w:rPr>
      </w:pPr>
      <w:r w:rsidRPr="00C759D9">
        <w:rPr>
          <w:rFonts w:cs="Times New Roman"/>
          <w:lang w:val="en-CA"/>
        </w:rPr>
        <w:t>As Professor Pierre</w:t>
      </w:r>
      <w:r w:rsidRPr="00C759D9">
        <w:rPr>
          <w:rFonts w:cs="Times New Roman"/>
          <w:lang w:val="en-CA"/>
        </w:rPr>
        <w:noBreakHyphen/>
        <w:t xml:space="preserve">André </w:t>
      </w:r>
      <w:proofErr w:type="spellStart"/>
      <w:r w:rsidRPr="00C759D9">
        <w:rPr>
          <w:rFonts w:cs="Times New Roman"/>
          <w:lang w:val="en-CA"/>
        </w:rPr>
        <w:t>Côté</w:t>
      </w:r>
      <w:proofErr w:type="spellEnd"/>
      <w:r w:rsidRPr="00C759D9">
        <w:rPr>
          <w:rFonts w:cs="Times New Roman"/>
          <w:lang w:val="en-CA"/>
        </w:rPr>
        <w:t xml:space="preserve"> explains, it must be presumed that there is some coherence in enactments of the same legislature:</w:t>
      </w:r>
    </w:p>
    <w:p w:rsidR="00290916" w:rsidRPr="00C759D9" w:rsidRDefault="00290916" w:rsidP="00935044">
      <w:pPr>
        <w:pStyle w:val="Citation-AltC"/>
        <w:widowControl w:val="0"/>
        <w:spacing w:after="240"/>
        <w:ind w:hanging="1166"/>
        <w:contextualSpacing w:val="0"/>
        <w:rPr>
          <w:lang w:val="en-CA"/>
        </w:rPr>
      </w:pPr>
      <w:r w:rsidRPr="00C759D9">
        <w:rPr>
          <w:lang w:val="en-CA"/>
        </w:rPr>
        <w:tab/>
      </w:r>
      <w:r w:rsidRPr="00C759D9">
        <w:rPr>
          <w:lang w:val="en-CA"/>
        </w:rPr>
        <w:tab/>
        <w:t xml:space="preserve">Different enactments of the same legislature are deemed to be as consistent as the provisions of a single enactment. All the legislation of a legislature is deemed to make up a coherent system. Thus, interpretations favouring harmony between statutes should prevail over those favouring conflict, because the former are presumed to better represent the thought of the legislature. </w:t>
      </w:r>
    </w:p>
    <w:p w:rsidR="00290916" w:rsidRPr="00C759D9" w:rsidRDefault="00290916" w:rsidP="00935044">
      <w:pPr>
        <w:pStyle w:val="Citation-AltC"/>
        <w:widowControl w:val="0"/>
        <w:spacing w:after="240"/>
        <w:ind w:hanging="1166"/>
        <w:contextualSpacing w:val="0"/>
        <w:rPr>
          <w:lang w:val="en-CA"/>
        </w:rPr>
      </w:pPr>
      <w:r w:rsidRPr="00C759D9">
        <w:rPr>
          <w:lang w:val="en-CA"/>
        </w:rPr>
        <w:tab/>
      </w:r>
      <w:r w:rsidRPr="00C759D9">
        <w:rPr>
          <w:lang w:val="en-CA"/>
        </w:rPr>
        <w:tab/>
        <w:t xml:space="preserve">This presumption of coherence in enactments of the same legislature is even stronger when they relate to the same subject matter, </w:t>
      </w:r>
      <w:r w:rsidRPr="00C759D9">
        <w:rPr>
          <w:i/>
          <w:lang w:val="en-CA"/>
        </w:rPr>
        <w:t>in </w:t>
      </w:r>
      <w:proofErr w:type="spellStart"/>
      <w:r w:rsidRPr="00C759D9">
        <w:rPr>
          <w:i/>
          <w:lang w:val="en-CA"/>
        </w:rPr>
        <w:t>pari</w:t>
      </w:r>
      <w:proofErr w:type="spellEnd"/>
      <w:r w:rsidRPr="00C759D9">
        <w:rPr>
          <w:i/>
          <w:lang w:val="en-CA"/>
        </w:rPr>
        <w:t xml:space="preserve"> </w:t>
      </w:r>
      <w:proofErr w:type="spellStart"/>
      <w:r w:rsidRPr="00C759D9">
        <w:rPr>
          <w:i/>
          <w:lang w:val="en-CA"/>
        </w:rPr>
        <w:t>materia</w:t>
      </w:r>
      <w:proofErr w:type="spellEnd"/>
      <w:r w:rsidRPr="00C759D9">
        <w:rPr>
          <w:lang w:val="en-CA"/>
        </w:rPr>
        <w:t>. When conflicts between statutes do arise, however, they should be resolved in such a way as to re</w:t>
      </w:r>
      <w:r w:rsidRPr="00C759D9">
        <w:rPr>
          <w:lang w:val="en-CA"/>
        </w:rPr>
        <w:noBreakHyphen/>
        <w:t>establish the desired harmony.</w:t>
      </w:r>
      <w:r w:rsidR="00246A9D">
        <w:rPr>
          <w:lang w:val="en-CA"/>
        </w:rPr>
        <w:t xml:space="preserve"> [Footnotes omitted.]</w:t>
      </w:r>
    </w:p>
    <w:p w:rsidR="00290916" w:rsidRPr="00C759D9" w:rsidRDefault="00290916" w:rsidP="00935044">
      <w:pPr>
        <w:pStyle w:val="Citation-AltC"/>
        <w:widowControl w:val="0"/>
        <w:ind w:left="0"/>
        <w:contextualSpacing w:val="0"/>
        <w:rPr>
          <w:lang w:val="en-CA"/>
        </w:rPr>
      </w:pPr>
      <w:r w:rsidRPr="00C759D9">
        <w:rPr>
          <w:lang w:val="en-CA"/>
        </w:rPr>
        <w:t>(P.</w:t>
      </w:r>
      <w:r w:rsidRPr="00C759D9">
        <w:rPr>
          <w:lang w:val="en-CA"/>
        </w:rPr>
        <w:noBreakHyphen/>
        <w:t>A. </w:t>
      </w:r>
      <w:proofErr w:type="spellStart"/>
      <w:r w:rsidRPr="00C759D9">
        <w:rPr>
          <w:lang w:val="en-CA"/>
        </w:rPr>
        <w:t>Côté</w:t>
      </w:r>
      <w:proofErr w:type="spellEnd"/>
      <w:r w:rsidRPr="00C759D9">
        <w:rPr>
          <w:lang w:val="en-CA"/>
        </w:rPr>
        <w:t>, in collaboration with S. </w:t>
      </w:r>
      <w:proofErr w:type="spellStart"/>
      <w:r w:rsidRPr="00C759D9">
        <w:rPr>
          <w:lang w:val="en-CA"/>
        </w:rPr>
        <w:t>Beaulac</w:t>
      </w:r>
      <w:proofErr w:type="spellEnd"/>
      <w:r w:rsidRPr="00C759D9">
        <w:rPr>
          <w:lang w:val="en-CA"/>
        </w:rPr>
        <w:t xml:space="preserve"> and M. </w:t>
      </w:r>
      <w:proofErr w:type="spellStart"/>
      <w:r w:rsidRPr="00C759D9">
        <w:rPr>
          <w:lang w:val="en-CA"/>
        </w:rPr>
        <w:t>Devinat</w:t>
      </w:r>
      <w:proofErr w:type="spellEnd"/>
      <w:r w:rsidRPr="00C759D9">
        <w:rPr>
          <w:lang w:val="en-CA"/>
        </w:rPr>
        <w:t xml:space="preserve">, </w:t>
      </w:r>
      <w:r w:rsidRPr="00C759D9">
        <w:rPr>
          <w:i/>
          <w:lang w:val="en-CA"/>
        </w:rPr>
        <w:t>The Interpretation of Legislation in Canada</w:t>
      </w:r>
      <w:r w:rsidRPr="00C759D9">
        <w:rPr>
          <w:lang w:val="en-CA"/>
        </w:rPr>
        <w:t xml:space="preserve"> (4th ed. 2011), at p. 365)</w:t>
      </w:r>
    </w:p>
    <w:p w:rsidR="00290916" w:rsidRPr="00C759D9" w:rsidRDefault="00290916" w:rsidP="00935044">
      <w:pPr>
        <w:pStyle w:val="ParaNoNdepar-AltN"/>
        <w:widowControl w:val="0"/>
        <w:rPr>
          <w:rFonts w:cs="Times New Roman"/>
          <w:lang w:val="en-CA"/>
        </w:rPr>
      </w:pPr>
      <w:r w:rsidRPr="00C759D9">
        <w:rPr>
          <w:rFonts w:cs="Times New Roman"/>
          <w:lang w:val="en-CA"/>
        </w:rPr>
        <w:t>When analyzing the entire context of a statue, it is also necessary to review and take into account the structure of the statute.</w:t>
      </w:r>
    </w:p>
    <w:p w:rsidR="00290916" w:rsidRPr="00C759D9" w:rsidRDefault="00290916" w:rsidP="00935044">
      <w:pPr>
        <w:pStyle w:val="ParaNoNdepar-AltN"/>
        <w:widowControl w:val="0"/>
        <w:rPr>
          <w:rFonts w:cs="Times New Roman"/>
          <w:lang w:val="en-CA"/>
        </w:rPr>
      </w:pPr>
      <w:r w:rsidRPr="00C759D9">
        <w:rPr>
          <w:rFonts w:cs="Times New Roman"/>
          <w:lang w:val="en-CA"/>
        </w:rPr>
        <w:lastRenderedPageBreak/>
        <w:t xml:space="preserve">To begin with, s. 128 of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 </w:t>
      </w:r>
      <w:r w:rsidRPr="00C759D9">
        <w:rPr>
          <w:rFonts w:cs="Times New Roman"/>
          <w:lang w:val="en-CA"/>
        </w:rPr>
        <w:t>addresses two separate steps in proceedings before a court or tribunal (</w:t>
      </w:r>
      <w:r w:rsidRPr="00C759D9">
        <w:rPr>
          <w:rFonts w:cs="Times New Roman"/>
          <w:i/>
          <w:lang w:val="en-CA"/>
        </w:rPr>
        <w:t>Fortin</w:t>
      </w:r>
      <w:r w:rsidRPr="00C759D9">
        <w:rPr>
          <w:rFonts w:cs="Times New Roman"/>
          <w:lang w:val="en-CA"/>
        </w:rPr>
        <w:t>, at paras. 30</w:t>
      </w:r>
      <w:r w:rsidRPr="00C759D9">
        <w:rPr>
          <w:rFonts w:cs="Times New Roman"/>
          <w:lang w:val="en-CA"/>
        </w:rPr>
        <w:noBreakHyphen/>
        <w:t>32). First, s. 128(1) concerns acts performed for others that are the exclusive prerogative of a practising advocate or a solicitor. These acts include the exercise of the power “to prepare and draw up a notice, motion, proceeding or other similar document intended for use in a case before the courts” (s. 128(1</w:t>
      </w:r>
      <w:proofErr w:type="gramStart"/>
      <w:r w:rsidRPr="00C759D9">
        <w:rPr>
          <w:rFonts w:cs="Times New Roman"/>
          <w:lang w:val="en-CA"/>
        </w:rPr>
        <w:t>)(</w:t>
      </w:r>
      <w:proofErr w:type="gramEnd"/>
      <w:r w:rsidRPr="00C759D9">
        <w:rPr>
          <w:rFonts w:cs="Times New Roman"/>
          <w:lang w:val="en-CA"/>
        </w:rPr>
        <w:t>b)). Second, s. 128(2) concerns acts performed for others that are the exclusive prerogative of a practising advocate and not of a solicitor. They include the exercise of the power “to plead or act before any tribunal, except before . . . the social affairs division of the Administrative Tribunal of Québec, to the extent that the Minister of Employment and Social Solidarity . . . is to be represented to plead or act in his . . . name” (s. 128(2)(a)(5)).</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I would, moreover, note in passing that, as the </w:t>
      </w:r>
      <w:proofErr w:type="spellStart"/>
      <w:r w:rsidRPr="00C759D9">
        <w:rPr>
          <w:rFonts w:cs="Times New Roman"/>
          <w:lang w:val="en-CA"/>
        </w:rPr>
        <w:t>Barreau</w:t>
      </w:r>
      <w:proofErr w:type="spellEnd"/>
      <w:r w:rsidRPr="00C759D9">
        <w:rPr>
          <w:rFonts w:cs="Times New Roman"/>
          <w:lang w:val="en-CA"/>
        </w:rPr>
        <w:t xml:space="preserve"> points out, this distinction between the act of preparing and drawing up on the one hand and that of representing before a tribunal on the other is also made in other Canadian statutes regulating the practice of the legal profession: </w:t>
      </w:r>
      <w:r w:rsidRPr="00C759D9">
        <w:rPr>
          <w:rFonts w:cs="Times New Roman"/>
          <w:i/>
          <w:lang w:val="en-CA"/>
        </w:rPr>
        <w:t>Legal Profession Act</w:t>
      </w:r>
      <w:r w:rsidRPr="00C759D9">
        <w:rPr>
          <w:rFonts w:cs="Times New Roman"/>
          <w:lang w:val="en-CA"/>
        </w:rPr>
        <w:t xml:space="preserve">, S.B.C. 1998, </w:t>
      </w:r>
      <w:r w:rsidR="00222468">
        <w:rPr>
          <w:rFonts w:cs="Times New Roman"/>
          <w:lang w:val="en-CA"/>
        </w:rPr>
        <w:t>c. 9, s. 1(1) “practice of law”</w:t>
      </w:r>
      <w:r w:rsidRPr="00C759D9">
        <w:rPr>
          <w:rFonts w:cs="Times New Roman"/>
          <w:lang w:val="en-CA"/>
        </w:rPr>
        <w:t xml:space="preserve"> paras. (a) and (b); </w:t>
      </w:r>
      <w:r w:rsidRPr="00C759D9">
        <w:rPr>
          <w:rFonts w:cs="Times New Roman"/>
          <w:i/>
          <w:lang w:val="en-CA"/>
        </w:rPr>
        <w:t>Legal Profession Act</w:t>
      </w:r>
      <w:r w:rsidRPr="00C759D9">
        <w:rPr>
          <w:rFonts w:cs="Times New Roman"/>
          <w:lang w:val="en-CA"/>
        </w:rPr>
        <w:t>, R.S.P.E.I. 1988, c. L</w:t>
      </w:r>
      <w:r w:rsidRPr="00C759D9">
        <w:rPr>
          <w:rFonts w:cs="Times New Roman"/>
          <w:lang w:val="en-CA"/>
        </w:rPr>
        <w:noBreakHyphen/>
        <w:t xml:space="preserve">6.1, s. 21(1)(d) and (e); </w:t>
      </w:r>
      <w:r w:rsidRPr="00C759D9">
        <w:rPr>
          <w:rFonts w:cs="Times New Roman"/>
          <w:i/>
          <w:lang w:val="en-CA"/>
        </w:rPr>
        <w:t>Legal Profession Act</w:t>
      </w:r>
      <w:r w:rsidRPr="00C759D9">
        <w:rPr>
          <w:rFonts w:cs="Times New Roman"/>
          <w:lang w:val="en-CA"/>
        </w:rPr>
        <w:t xml:space="preserve">, C.C.S.M., c. L107, s. 20(2)(b) and (3)(a)(ii); </w:t>
      </w:r>
      <w:r w:rsidRPr="00C759D9">
        <w:rPr>
          <w:rFonts w:cs="Times New Roman"/>
          <w:i/>
          <w:lang w:val="en-CA"/>
        </w:rPr>
        <w:t>Legal Profession Act</w:t>
      </w:r>
      <w:r w:rsidRPr="00C759D9">
        <w:rPr>
          <w:rFonts w:cs="Times New Roman"/>
          <w:lang w:val="en-CA"/>
        </w:rPr>
        <w:t>, R.S.N.W.T. (Nu.) 1988,</w:t>
      </w:r>
      <w:r w:rsidR="00222468">
        <w:rPr>
          <w:rFonts w:cs="Times New Roman"/>
          <w:lang w:val="en-CA"/>
        </w:rPr>
        <w:t xml:space="preserve"> c. L</w:t>
      </w:r>
      <w:r w:rsidR="00222468">
        <w:rPr>
          <w:rFonts w:cs="Times New Roman"/>
          <w:lang w:val="en-CA"/>
        </w:rPr>
        <w:noBreakHyphen/>
        <w:t>2, s. 1 “practice of law”</w:t>
      </w:r>
      <w:r w:rsidRPr="00C759D9">
        <w:rPr>
          <w:rFonts w:cs="Times New Roman"/>
          <w:lang w:val="en-CA"/>
        </w:rPr>
        <w:t xml:space="preserve"> paras. (a) and (b)(ii); </w:t>
      </w:r>
      <w:r w:rsidRPr="00C759D9">
        <w:rPr>
          <w:rFonts w:cs="Times New Roman"/>
          <w:i/>
          <w:lang w:val="en-CA"/>
        </w:rPr>
        <w:t>Law Society Act, 1999</w:t>
      </w:r>
      <w:r w:rsidRPr="00C759D9">
        <w:rPr>
          <w:rFonts w:cs="Times New Roman"/>
          <w:lang w:val="en-CA"/>
        </w:rPr>
        <w:t>, S.N.L. 1999, c. L</w:t>
      </w:r>
      <w:r w:rsidRPr="00C759D9">
        <w:rPr>
          <w:rFonts w:cs="Times New Roman"/>
          <w:lang w:val="en-CA"/>
        </w:rPr>
        <w:noBreakHyphen/>
        <w:t xml:space="preserve">9.1, s. 2(2)(b) and (c)(ii); </w:t>
      </w:r>
      <w:r w:rsidRPr="00C759D9">
        <w:rPr>
          <w:rFonts w:cs="Times New Roman"/>
          <w:i/>
          <w:lang w:val="en-CA"/>
        </w:rPr>
        <w:t>Legal Profession Act</w:t>
      </w:r>
      <w:r w:rsidRPr="00C759D9">
        <w:rPr>
          <w:rFonts w:cs="Times New Roman"/>
          <w:lang w:val="en-CA"/>
        </w:rPr>
        <w:t>, R.S.N.W.T. 1988,</w:t>
      </w:r>
      <w:r w:rsidR="00222468">
        <w:rPr>
          <w:rFonts w:cs="Times New Roman"/>
          <w:lang w:val="en-CA"/>
        </w:rPr>
        <w:t xml:space="preserve"> c. L</w:t>
      </w:r>
      <w:r w:rsidR="00222468">
        <w:rPr>
          <w:rFonts w:cs="Times New Roman"/>
          <w:lang w:val="en-CA"/>
        </w:rPr>
        <w:noBreakHyphen/>
        <w:t>2, s. 1 “practice of law”</w:t>
      </w:r>
      <w:r w:rsidRPr="00C759D9">
        <w:rPr>
          <w:rFonts w:cs="Times New Roman"/>
          <w:lang w:val="en-CA"/>
        </w:rPr>
        <w:t xml:space="preserve"> paras. (a) and (b)(ii); </w:t>
      </w:r>
      <w:r w:rsidRPr="00C759D9">
        <w:rPr>
          <w:rFonts w:cs="Times New Roman"/>
          <w:i/>
          <w:lang w:val="en-CA"/>
        </w:rPr>
        <w:t>Legal Profession Act</w:t>
      </w:r>
      <w:r w:rsidRPr="00C759D9">
        <w:rPr>
          <w:rFonts w:cs="Times New Roman"/>
          <w:lang w:val="en-CA"/>
        </w:rPr>
        <w:t>, R.S.Y. 2002, c. 134, s. 1(1) “practice of law” paras. (</w:t>
      </w:r>
      <w:proofErr w:type="gramStart"/>
      <w:r w:rsidRPr="00C759D9">
        <w:rPr>
          <w:rFonts w:cs="Times New Roman"/>
          <w:lang w:val="en-CA"/>
        </w:rPr>
        <w:t>a</w:t>
      </w:r>
      <w:proofErr w:type="gramEnd"/>
      <w:r w:rsidRPr="00C759D9">
        <w:rPr>
          <w:rFonts w:cs="Times New Roman"/>
          <w:lang w:val="en-CA"/>
        </w:rPr>
        <w:t>) and (b)(ii).</w:t>
      </w:r>
    </w:p>
    <w:p w:rsidR="00290916" w:rsidRPr="00C759D9" w:rsidRDefault="00290916" w:rsidP="00935044">
      <w:pPr>
        <w:pStyle w:val="ParaNoNdepar-AltN"/>
        <w:widowControl w:val="0"/>
        <w:rPr>
          <w:rFonts w:cs="Times New Roman"/>
          <w:lang w:val="en-CA"/>
        </w:rPr>
      </w:pPr>
      <w:r w:rsidRPr="00C759D9">
        <w:rPr>
          <w:rFonts w:cs="Times New Roman"/>
          <w:lang w:val="en-CA"/>
        </w:rPr>
        <w:lastRenderedPageBreak/>
        <w:t>According to the presumption of consistent expression, “when different terms are used in a single piece of legislation, they must be understood to have different meanings”, and “[</w:t>
      </w:r>
      <w:proofErr w:type="spellStart"/>
      <w:r w:rsidRPr="00C759D9">
        <w:rPr>
          <w:rFonts w:cs="Times New Roman"/>
          <w:lang w:val="en-CA"/>
        </w:rPr>
        <w:t>i</w:t>
      </w:r>
      <w:proofErr w:type="spellEnd"/>
      <w:r w:rsidRPr="00C759D9">
        <w:rPr>
          <w:rFonts w:cs="Times New Roman"/>
          <w:lang w:val="en-CA"/>
        </w:rPr>
        <w:t>]f Parliament has chosen to use different terms, it must have done so intentionally in order to indicate different meanings” (</w:t>
      </w:r>
      <w:proofErr w:type="spellStart"/>
      <w:r w:rsidRPr="00C759D9">
        <w:rPr>
          <w:rFonts w:cs="Times New Roman"/>
          <w:i/>
          <w:lang w:val="en-CA"/>
        </w:rPr>
        <w:t>Agraira</w:t>
      </w:r>
      <w:proofErr w:type="spellEnd"/>
      <w:r w:rsidRPr="00C759D9">
        <w:rPr>
          <w:rFonts w:cs="Times New Roman"/>
          <w:i/>
          <w:lang w:val="en-CA"/>
        </w:rPr>
        <w:t xml:space="preserve"> v. Canada (Public Safety and Emergency Preparedness)</w:t>
      </w:r>
      <w:r w:rsidRPr="00C759D9">
        <w:rPr>
          <w:rFonts w:cs="Times New Roman"/>
          <w:lang w:val="en-CA"/>
        </w:rPr>
        <w:t xml:space="preserve">, 2013 SCC 36, [2013] 2 S.C.R. 559, at para. 81). As a result, it cannot be argued that the word “represented” used in s. 128(2)(a)(5) of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xml:space="preserve"> has the same meaning as the words “prepare and draw up” used in s. 128(1)(b) of the same Act. Furthermore, given that, as I explained above, the word “represented” used in s. 128(2)(a)(5) of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xml:space="preserve"> must be understood to have the same meaning as the same word used in s. 102 of the </w:t>
      </w:r>
      <w:r w:rsidRPr="00C759D9">
        <w:rPr>
          <w:rFonts w:cs="Times New Roman"/>
          <w:i/>
          <w:lang w:val="en-CA"/>
        </w:rPr>
        <w:t>Act respecting administrative justice</w:t>
      </w:r>
      <w:r w:rsidRPr="00C759D9">
        <w:rPr>
          <w:rFonts w:cs="Times New Roman"/>
          <w:lang w:val="en-CA"/>
        </w:rPr>
        <w:t xml:space="preserve">, it necessarily follows that the word “represented” used in s. 102 of the </w:t>
      </w:r>
      <w:r w:rsidRPr="00C759D9">
        <w:rPr>
          <w:rFonts w:cs="Times New Roman"/>
          <w:i/>
          <w:lang w:val="en-CA"/>
        </w:rPr>
        <w:t>Act respecting administrative justice</w:t>
      </w:r>
      <w:r w:rsidRPr="00C759D9">
        <w:rPr>
          <w:rFonts w:cs="Times New Roman"/>
          <w:lang w:val="en-CA"/>
        </w:rPr>
        <w:t xml:space="preserve"> does not have the same meaning as the words “prepare and draw up” used in s. 128(1)(b) of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xml:space="preserve">. </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Next, unlike my colleague, I see nothing in the location of s. 102 within Chapter VI of Title II of the </w:t>
      </w:r>
      <w:r w:rsidRPr="00C759D9">
        <w:rPr>
          <w:rFonts w:cs="Times New Roman"/>
          <w:i/>
          <w:lang w:val="en-CA"/>
        </w:rPr>
        <w:t>Act respecting administrative justice</w:t>
      </w:r>
      <w:r w:rsidRPr="00C759D9">
        <w:rPr>
          <w:rFonts w:cs="Times New Roman"/>
          <w:lang w:val="en-CA"/>
        </w:rPr>
        <w:t xml:space="preserve"> that indicates that the word “represented” includes the preparation and drawing up of motions or other written proceedings. That chapter, as I mentioned above, concerns the ATQ’s rules of evidence and procedure.</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It is perfectly logical for a provision concerned strictly with oral representation to be located in Chapter VI’s “Division II — General Provisions”, given </w:t>
      </w:r>
      <w:r w:rsidRPr="00C759D9">
        <w:rPr>
          <w:rFonts w:cs="Times New Roman"/>
          <w:lang w:val="en-CA"/>
        </w:rPr>
        <w:lastRenderedPageBreak/>
        <w:t>that it is relevant to several of that chapter’s subsequent divisions. The Minister might have to be represented for the purposes of a case management conference (Division III.1), a conciliation session (Division IV) or a pre</w:t>
      </w:r>
      <w:r w:rsidRPr="00C759D9">
        <w:rPr>
          <w:rFonts w:cs="Times New Roman"/>
          <w:lang w:val="en-CA"/>
        </w:rPr>
        <w:noBreakHyphen/>
        <w:t xml:space="preserve">hearing conference (Division V), as well as at a hearing (Division VI). Where s. 102 is located in the </w:t>
      </w:r>
      <w:r w:rsidRPr="00C759D9">
        <w:rPr>
          <w:rFonts w:cs="Times New Roman"/>
          <w:i/>
          <w:lang w:val="en-CA"/>
        </w:rPr>
        <w:t>Act respecting administrative justice</w:t>
      </w:r>
      <w:r w:rsidRPr="00C759D9">
        <w:rPr>
          <w:rFonts w:cs="Times New Roman"/>
          <w:lang w:val="en-CA"/>
        </w:rPr>
        <w:t xml:space="preserve"> therefore does not necessarily mean that it applies to all the divisions of Chapter VI. In my view, the location of s. 102 simply spares the legislature from having to reiterate the Minister’s right to be represented orally in each of the relevant divisions.</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Moreover, contrary to what my colleague is suggesting, I do not think that s. 129 of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xml:space="preserve"> makes it possible to reconcile that Act with the </w:t>
      </w:r>
      <w:r w:rsidRPr="00C759D9">
        <w:rPr>
          <w:rFonts w:cs="Times New Roman"/>
          <w:i/>
          <w:lang w:val="en-CA"/>
        </w:rPr>
        <w:t>Act respecting administrative justice</w:t>
      </w:r>
      <w:r w:rsidRPr="00C759D9">
        <w:rPr>
          <w:rFonts w:cs="Times New Roman"/>
          <w:lang w:val="en-CA"/>
        </w:rPr>
        <w:t xml:space="preserve">. </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Section 129(b) provides that “[n]one of the provisions of section 128 shall limit or </w:t>
      </w:r>
      <w:proofErr w:type="gramStart"/>
      <w:r w:rsidRPr="00C759D9">
        <w:rPr>
          <w:rFonts w:cs="Times New Roman"/>
          <w:lang w:val="en-CA"/>
        </w:rPr>
        <w:t>restrict .</w:t>
      </w:r>
      <w:proofErr w:type="gramEnd"/>
      <w:r w:rsidRPr="00C759D9">
        <w:rPr>
          <w:rFonts w:cs="Times New Roman"/>
          <w:lang w:val="en-CA"/>
        </w:rPr>
        <w:t xml:space="preserve"> . . the rights </w:t>
      </w:r>
      <w:r w:rsidRPr="00C759D9">
        <w:rPr>
          <w:rFonts w:cs="Times New Roman"/>
          <w:u w:val="single"/>
          <w:lang w:val="en-CA"/>
        </w:rPr>
        <w:t>specifically defined and granted</w:t>
      </w:r>
      <w:r w:rsidRPr="00C759D9">
        <w:rPr>
          <w:rFonts w:cs="Times New Roman"/>
          <w:lang w:val="en-CA"/>
        </w:rPr>
        <w:t xml:space="preserve"> to any person by any public or private law”. It thus establishes an exception to the rules set out in s. 128, one whose source lies in another law that grants a specifically defined right. </w:t>
      </w:r>
    </w:p>
    <w:p w:rsidR="00290916" w:rsidRPr="00C759D9" w:rsidRDefault="00290916" w:rsidP="00935044">
      <w:pPr>
        <w:pStyle w:val="ParaNoNdepar-AltN"/>
        <w:widowControl w:val="0"/>
        <w:spacing w:before="240"/>
        <w:rPr>
          <w:rFonts w:cs="Times New Roman"/>
          <w:lang w:val="en-CA"/>
        </w:rPr>
      </w:pPr>
      <w:r w:rsidRPr="00C759D9">
        <w:rPr>
          <w:rFonts w:cs="Times New Roman"/>
          <w:lang w:val="en-CA"/>
        </w:rPr>
        <w:t xml:space="preserve">My colleague finds that s. 102 of the </w:t>
      </w:r>
      <w:r w:rsidRPr="00C759D9">
        <w:rPr>
          <w:rFonts w:cs="Times New Roman"/>
          <w:i/>
          <w:lang w:val="en-CA"/>
        </w:rPr>
        <w:t>Act respecting administrative justice</w:t>
      </w:r>
      <w:r w:rsidRPr="00C759D9">
        <w:rPr>
          <w:rFonts w:cs="Times New Roman"/>
          <w:lang w:val="en-CA"/>
        </w:rPr>
        <w:t xml:space="preserve"> grants the Minister a “specifically defined” right within the meaning of s. 129(b) of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In my view, however, it cannot be said that s. 102 of the </w:t>
      </w:r>
      <w:r w:rsidRPr="00C759D9">
        <w:rPr>
          <w:rFonts w:cs="Times New Roman"/>
          <w:i/>
          <w:lang w:val="en-CA"/>
        </w:rPr>
        <w:t>Act respecting administrative justice</w:t>
      </w:r>
      <w:r w:rsidRPr="00C759D9">
        <w:rPr>
          <w:rFonts w:cs="Times New Roman"/>
          <w:lang w:val="en-CA"/>
        </w:rPr>
        <w:t xml:space="preserve"> grants a specifically defined right. When the legislature has </w:t>
      </w:r>
      <w:r w:rsidRPr="00C759D9">
        <w:rPr>
          <w:rFonts w:cs="Times New Roman"/>
          <w:lang w:val="en-CA"/>
        </w:rPr>
        <w:lastRenderedPageBreak/>
        <w:t xml:space="preserve">intended to establish such exceptions to the monopoly on practice of advocates in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it has done so expressly, either in the various subparagraphs of s. 128(2)(a) or in s. 129 itself, including para</w:t>
      </w:r>
      <w:r w:rsidR="00222468">
        <w:rPr>
          <w:rFonts w:cs="Times New Roman"/>
          <w:lang w:val="en-CA"/>
        </w:rPr>
        <w:t>.</w:t>
      </w:r>
      <w:r w:rsidRPr="00C759D9">
        <w:rPr>
          <w:rFonts w:cs="Times New Roman"/>
          <w:lang w:val="en-CA"/>
        </w:rPr>
        <w:t xml:space="preserve"> (e), which establishes an exception for notaries:</w:t>
      </w:r>
    </w:p>
    <w:p w:rsidR="00290916" w:rsidRPr="00C759D9" w:rsidRDefault="00290916" w:rsidP="00935044">
      <w:pPr>
        <w:pStyle w:val="Citation-AltC"/>
        <w:widowControl w:val="0"/>
        <w:spacing w:after="240"/>
        <w:ind w:hanging="1166"/>
        <w:contextualSpacing w:val="0"/>
        <w:rPr>
          <w:lang w:val="en-CA"/>
        </w:rPr>
      </w:pPr>
      <w:r w:rsidRPr="00C759D9">
        <w:rPr>
          <w:b/>
          <w:lang w:val="en-CA"/>
        </w:rPr>
        <w:tab/>
        <w:t>129.</w:t>
      </w:r>
      <w:r w:rsidRPr="00C759D9">
        <w:rPr>
          <w:lang w:val="en-CA"/>
        </w:rPr>
        <w:t xml:space="preserve"> None of the provisions of section 128 shall limit or restrict:</w:t>
      </w:r>
    </w:p>
    <w:p w:rsidR="00290916" w:rsidRPr="00C759D9" w:rsidRDefault="00290916" w:rsidP="00935044">
      <w:pPr>
        <w:pStyle w:val="Citation-AltC"/>
        <w:widowControl w:val="0"/>
        <w:spacing w:after="240"/>
        <w:ind w:hanging="1166"/>
        <w:contextualSpacing w:val="0"/>
        <w:jc w:val="center"/>
        <w:rPr>
          <w:lang w:val="en-CA"/>
        </w:rPr>
      </w:pPr>
      <w:r w:rsidRPr="00C759D9">
        <w:rPr>
          <w:lang w:val="en-CA"/>
        </w:rPr>
        <w:t>. . .</w:t>
      </w:r>
    </w:p>
    <w:p w:rsidR="00290916" w:rsidRPr="00C759D9" w:rsidRDefault="00290916" w:rsidP="00935044">
      <w:pPr>
        <w:pStyle w:val="Citation-AltC"/>
        <w:widowControl w:val="0"/>
        <w:tabs>
          <w:tab w:val="left" w:pos="1440"/>
        </w:tabs>
        <w:ind w:hanging="1166"/>
        <w:contextualSpacing w:val="0"/>
        <w:rPr>
          <w:lang w:val="en-CA"/>
        </w:rPr>
      </w:pPr>
      <w:r w:rsidRPr="00C759D9">
        <w:rPr>
          <w:i/>
          <w:lang w:val="en-CA"/>
        </w:rPr>
        <w:tab/>
      </w:r>
      <w:r w:rsidRPr="00C759D9">
        <w:rPr>
          <w:i/>
          <w:lang w:val="en-CA"/>
        </w:rPr>
        <w:tab/>
        <w:t xml:space="preserve">(e) </w:t>
      </w:r>
      <w:r w:rsidRPr="00C759D9">
        <w:rPr>
          <w:lang w:val="en-CA"/>
        </w:rPr>
        <w:t>the right of a practising notary to perform the acts therein set forth except those contemplated in paragraph </w:t>
      </w:r>
      <w:r w:rsidRPr="00C759D9">
        <w:rPr>
          <w:i/>
          <w:lang w:val="en-CA"/>
        </w:rPr>
        <w:t>b</w:t>
      </w:r>
      <w:r w:rsidRPr="00C759D9">
        <w:rPr>
          <w:lang w:val="en-CA"/>
        </w:rPr>
        <w:t xml:space="preserve"> of subsection 1, other than in non</w:t>
      </w:r>
      <w:r w:rsidRPr="00C759D9">
        <w:rPr>
          <w:lang w:val="en-CA"/>
        </w:rPr>
        <w:noBreakHyphen/>
        <w:t>contentious matters, and in paragraphs </w:t>
      </w:r>
      <w:r w:rsidRPr="00C759D9">
        <w:rPr>
          <w:i/>
          <w:lang w:val="en-CA"/>
        </w:rPr>
        <w:t>a</w:t>
      </w:r>
      <w:r w:rsidRPr="00C759D9">
        <w:rPr>
          <w:lang w:val="en-CA"/>
        </w:rPr>
        <w:t xml:space="preserve"> and </w:t>
      </w:r>
      <w:r w:rsidRPr="00C759D9">
        <w:rPr>
          <w:i/>
          <w:lang w:val="en-CA"/>
        </w:rPr>
        <w:t>e</w:t>
      </w:r>
      <w:r w:rsidRPr="00C759D9">
        <w:rPr>
          <w:lang w:val="en-CA"/>
        </w:rPr>
        <w:t xml:space="preserve"> of subsection 2; but a practising notary may imply that judicial proceedings will be taken.</w:t>
      </w:r>
    </w:p>
    <w:p w:rsidR="00290916" w:rsidRPr="00C759D9" w:rsidRDefault="00290916" w:rsidP="00935044">
      <w:pPr>
        <w:pStyle w:val="ContinueParaSuitedupar-AltP"/>
        <w:widowControl w:val="0"/>
        <w:rPr>
          <w:rFonts w:cs="Times New Roman"/>
          <w:lang w:val="en-CA"/>
        </w:rPr>
      </w:pPr>
      <w:r w:rsidRPr="00C759D9">
        <w:rPr>
          <w:rFonts w:cs="Times New Roman"/>
          <w:lang w:val="en-CA"/>
        </w:rPr>
        <w:t xml:space="preserve">The only other place in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xml:space="preserve"> where such an exception can be found is s. 141, which authorizes members of the </w:t>
      </w:r>
      <w:proofErr w:type="spellStart"/>
      <w:r w:rsidRPr="00C759D9">
        <w:rPr>
          <w:rFonts w:cs="Times New Roman"/>
          <w:lang w:val="en-CA"/>
        </w:rPr>
        <w:t>Ordre</w:t>
      </w:r>
      <w:proofErr w:type="spellEnd"/>
      <w:r w:rsidRPr="00C759D9">
        <w:rPr>
          <w:rFonts w:cs="Times New Roman"/>
          <w:lang w:val="en-CA"/>
        </w:rPr>
        <w:t xml:space="preserve"> des </w:t>
      </w:r>
      <w:proofErr w:type="spellStart"/>
      <w:r w:rsidRPr="00C759D9">
        <w:rPr>
          <w:rFonts w:cs="Times New Roman"/>
          <w:lang w:val="en-CA"/>
        </w:rPr>
        <w:t>comptables</w:t>
      </w:r>
      <w:proofErr w:type="spellEnd"/>
      <w:r w:rsidRPr="00C759D9">
        <w:rPr>
          <w:rFonts w:cs="Times New Roman"/>
          <w:lang w:val="en-CA"/>
        </w:rPr>
        <w:t xml:space="preserve"> </w:t>
      </w:r>
      <w:proofErr w:type="spellStart"/>
      <w:r w:rsidRPr="00C759D9">
        <w:rPr>
          <w:rFonts w:cs="Times New Roman"/>
          <w:lang w:val="en-CA"/>
        </w:rPr>
        <w:t>professionnels</w:t>
      </w:r>
      <w:proofErr w:type="spellEnd"/>
      <w:r w:rsidRPr="00C759D9">
        <w:rPr>
          <w:rFonts w:cs="Times New Roman"/>
          <w:lang w:val="en-CA"/>
        </w:rPr>
        <w:t xml:space="preserve"> </w:t>
      </w:r>
      <w:proofErr w:type="spellStart"/>
      <w:r w:rsidRPr="00C759D9">
        <w:rPr>
          <w:rFonts w:cs="Times New Roman"/>
          <w:lang w:val="en-CA"/>
        </w:rPr>
        <w:t>agréés</w:t>
      </w:r>
      <w:proofErr w:type="spellEnd"/>
      <w:r w:rsidRPr="00C759D9">
        <w:rPr>
          <w:rFonts w:cs="Times New Roman"/>
          <w:lang w:val="en-CA"/>
        </w:rPr>
        <w:t xml:space="preserve"> du Québec “to prepare and give notices of appeal to the Minister of Revenue of Québec and the Minister of National Revenue of Canada and to discuss with them and their representatives the merits of the assessments imposed upon their clients with respect to taxation”. Such exceptions to the monopoly on practice of advocates are detailed and specific, as would be expected of a provision granting “specifically defined” rights within the meaning of s. 129(b) of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In my view, it is instead the </w:t>
      </w:r>
      <w:proofErr w:type="spellStart"/>
      <w:r w:rsidRPr="00C759D9">
        <w:rPr>
          <w:rFonts w:cs="Times New Roman"/>
          <w:lang w:val="en-CA"/>
        </w:rPr>
        <w:t>Barreau’s</w:t>
      </w:r>
      <w:proofErr w:type="spellEnd"/>
      <w:r w:rsidRPr="00C759D9">
        <w:rPr>
          <w:rFonts w:cs="Times New Roman"/>
          <w:lang w:val="en-CA"/>
        </w:rPr>
        <w:t xml:space="preserve"> position that must be adopted in order to arrive at a harmonious interpretation of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xml:space="preserve"> and the </w:t>
      </w:r>
      <w:r w:rsidRPr="00C759D9">
        <w:rPr>
          <w:rFonts w:cs="Times New Roman"/>
          <w:i/>
          <w:lang w:val="en-CA"/>
        </w:rPr>
        <w:t>Act respecting administrative justice</w:t>
      </w:r>
      <w:r w:rsidRPr="00C759D9">
        <w:rPr>
          <w:rFonts w:cs="Times New Roman"/>
          <w:lang w:val="en-CA"/>
        </w:rPr>
        <w:t xml:space="preserve"> that maintains consistency </w:t>
      </w:r>
      <w:r w:rsidRPr="00C759D9">
        <w:rPr>
          <w:rFonts w:cs="Times New Roman"/>
          <w:lang w:val="en-CA"/>
        </w:rPr>
        <w:lastRenderedPageBreak/>
        <w:t xml:space="preserve">between these two statutes: whereas </w:t>
      </w:r>
      <w:proofErr w:type="spellStart"/>
      <w:r w:rsidRPr="00C759D9">
        <w:rPr>
          <w:rFonts w:cs="Times New Roman"/>
          <w:lang w:val="en-CA"/>
        </w:rPr>
        <w:t>subparas</w:t>
      </w:r>
      <w:proofErr w:type="spellEnd"/>
      <w:r w:rsidRPr="00C759D9">
        <w:rPr>
          <w:rFonts w:cs="Times New Roman"/>
          <w:lang w:val="en-CA"/>
        </w:rPr>
        <w:t xml:space="preserve">. (3), (5) and (7) of s. 128(2)(a) of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xml:space="preserve"> establish exceptions that authorize people who are not advocates to plead or act for others before the ATQ’s</w:t>
      </w:r>
      <w:r w:rsidRPr="00C759D9">
        <w:rPr>
          <w:rFonts w:eastAsia="Times New Roman" w:cs="Times New Roman"/>
          <w:szCs w:val="20"/>
          <w:lang w:val="en-CA" w:eastAsia="en-CA"/>
        </w:rPr>
        <w:t xml:space="preserve"> </w:t>
      </w:r>
      <w:r w:rsidRPr="00C759D9">
        <w:rPr>
          <w:rFonts w:cs="Times New Roman"/>
          <w:lang w:val="en-CA"/>
        </w:rPr>
        <w:t xml:space="preserve">social affairs division in proceedings specified in them, s. 102 of the </w:t>
      </w:r>
      <w:r w:rsidRPr="00C759D9">
        <w:rPr>
          <w:rFonts w:cs="Times New Roman"/>
          <w:i/>
          <w:lang w:val="en-CA"/>
        </w:rPr>
        <w:t>Act respecting administrative justice</w:t>
      </w:r>
      <w:r w:rsidRPr="00C759D9">
        <w:rPr>
          <w:rFonts w:cs="Times New Roman"/>
          <w:lang w:val="en-CA"/>
        </w:rPr>
        <w:t xml:space="preserve"> has a different and complementary purpose, namely to indicate who may represent the parties to whom those exceptions apply, including the Minister, in such proceedings and to limit the scope of such representation.</w:t>
      </w:r>
    </w:p>
    <w:p w:rsidR="00290916" w:rsidRPr="00C759D9" w:rsidRDefault="00290916" w:rsidP="00935044">
      <w:pPr>
        <w:pStyle w:val="ParaNoNdepar-AltN"/>
        <w:widowControl w:val="0"/>
        <w:rPr>
          <w:rFonts w:cs="Times New Roman"/>
          <w:lang w:val="en-CA"/>
        </w:rPr>
      </w:pPr>
      <w:r w:rsidRPr="00C759D9">
        <w:rPr>
          <w:rFonts w:cs="Times New Roman"/>
          <w:lang w:val="en-CA"/>
        </w:rPr>
        <w:t>This interpretation is supported by the fact that, when the legislature established the exceptions provided for in s. 128(2</w:t>
      </w:r>
      <w:proofErr w:type="gramStart"/>
      <w:r w:rsidRPr="00C759D9">
        <w:rPr>
          <w:rFonts w:cs="Times New Roman"/>
          <w:lang w:val="en-CA"/>
        </w:rPr>
        <w:t>)(</w:t>
      </w:r>
      <w:proofErr w:type="gramEnd"/>
      <w:r w:rsidRPr="00C759D9">
        <w:rPr>
          <w:rFonts w:cs="Times New Roman"/>
          <w:lang w:val="en-CA"/>
        </w:rPr>
        <w:t xml:space="preserve">a) of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it also amended the relevant related statutes to indicate how the exceptions it had just established would operate. As I mentioned above, s. 128(2</w:t>
      </w:r>
      <w:proofErr w:type="gramStart"/>
      <w:r w:rsidRPr="00C759D9">
        <w:rPr>
          <w:rFonts w:cs="Times New Roman"/>
          <w:lang w:val="en-CA"/>
        </w:rPr>
        <w:t>)(</w:t>
      </w:r>
      <w:proofErr w:type="gramEnd"/>
      <w:r w:rsidRPr="00C759D9">
        <w:rPr>
          <w:rFonts w:cs="Times New Roman"/>
          <w:lang w:val="en-CA"/>
        </w:rPr>
        <w:t xml:space="preserve">a)(5) of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xml:space="preserve"> and s. 102 of the </w:t>
      </w:r>
      <w:r w:rsidRPr="00C759D9">
        <w:rPr>
          <w:rFonts w:cs="Times New Roman"/>
          <w:i/>
          <w:lang w:val="en-CA"/>
        </w:rPr>
        <w:t xml:space="preserve">Act respecting administrative justice </w:t>
      </w:r>
      <w:r w:rsidRPr="00C759D9">
        <w:rPr>
          <w:rFonts w:cs="Times New Roman"/>
          <w:lang w:val="en-CA"/>
        </w:rPr>
        <w:t>clearly illustrate this point. And here are two more examples.</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When the legislature added the exception provided for in s. 128(2)(a)(3) of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xml:space="preserve">, it also amended the </w:t>
      </w:r>
      <w:r w:rsidRPr="00C759D9">
        <w:rPr>
          <w:rFonts w:cs="Times New Roman"/>
          <w:i/>
          <w:lang w:val="en-CA"/>
        </w:rPr>
        <w:t xml:space="preserve">Act respecting the Commission des affaires </w:t>
      </w:r>
      <w:proofErr w:type="spellStart"/>
      <w:r w:rsidRPr="00C759D9">
        <w:rPr>
          <w:rFonts w:cs="Times New Roman"/>
          <w:i/>
          <w:lang w:val="en-CA"/>
        </w:rPr>
        <w:t>sociales</w:t>
      </w:r>
      <w:proofErr w:type="spellEnd"/>
      <w:r w:rsidRPr="00C759D9">
        <w:rPr>
          <w:rFonts w:cs="Times New Roman"/>
          <w:lang w:val="en-CA"/>
        </w:rPr>
        <w:t xml:space="preserve">, R.S.Q., c. </w:t>
      </w:r>
      <w:r w:rsidR="00222468">
        <w:rPr>
          <w:rFonts w:cs="Times New Roman"/>
          <w:lang w:val="en-CA"/>
        </w:rPr>
        <w:t>C-</w:t>
      </w:r>
      <w:r w:rsidRPr="00C759D9">
        <w:rPr>
          <w:rFonts w:cs="Times New Roman"/>
          <w:lang w:val="en-CA"/>
        </w:rPr>
        <w:t xml:space="preserve">34, to specify how the exception would operate: </w:t>
      </w:r>
    </w:p>
    <w:p w:rsidR="00290916" w:rsidRPr="00C759D9" w:rsidRDefault="00290916" w:rsidP="00935044">
      <w:pPr>
        <w:pStyle w:val="Citation-AltC"/>
        <w:widowControl w:val="0"/>
        <w:spacing w:after="480"/>
        <w:ind w:hanging="1166"/>
        <w:contextualSpacing w:val="0"/>
        <w:rPr>
          <w:lang w:val="en-CA"/>
        </w:rPr>
      </w:pPr>
      <w:r w:rsidRPr="00C759D9">
        <w:rPr>
          <w:i/>
          <w:lang w:val="en-CA"/>
        </w:rPr>
        <w:t>An Act respecting occupational health and safety</w:t>
      </w:r>
      <w:r w:rsidRPr="00C759D9">
        <w:rPr>
          <w:lang w:val="en-CA"/>
        </w:rPr>
        <w:t>, S.Q. 1979, c. 63</w:t>
      </w:r>
    </w:p>
    <w:p w:rsidR="00290916" w:rsidRPr="00C759D9" w:rsidRDefault="00290916" w:rsidP="00935044">
      <w:pPr>
        <w:pStyle w:val="Citation-AltC"/>
        <w:widowControl w:val="0"/>
        <w:tabs>
          <w:tab w:val="left" w:pos="1440"/>
        </w:tabs>
        <w:spacing w:after="240"/>
        <w:ind w:hanging="1166"/>
        <w:contextualSpacing w:val="0"/>
        <w:rPr>
          <w:lang w:val="en-CA"/>
        </w:rPr>
      </w:pPr>
      <w:r w:rsidRPr="00C759D9">
        <w:rPr>
          <w:lang w:val="en-CA"/>
        </w:rPr>
        <w:tab/>
      </w:r>
      <w:r w:rsidRPr="00C759D9">
        <w:rPr>
          <w:lang w:val="en-CA"/>
        </w:rPr>
        <w:tab/>
      </w:r>
      <w:r w:rsidRPr="00C759D9">
        <w:rPr>
          <w:b/>
          <w:lang w:val="en-CA"/>
        </w:rPr>
        <w:t>274.</w:t>
      </w:r>
      <w:r w:rsidRPr="00C759D9">
        <w:rPr>
          <w:lang w:val="en-CA"/>
        </w:rPr>
        <w:t xml:space="preserve"> Section 128 of the Act respecting the </w:t>
      </w:r>
      <w:proofErr w:type="spellStart"/>
      <w:r w:rsidRPr="00C759D9">
        <w:rPr>
          <w:lang w:val="en-CA"/>
        </w:rPr>
        <w:t>Barreau</w:t>
      </w:r>
      <w:proofErr w:type="spellEnd"/>
      <w:r w:rsidRPr="00C759D9">
        <w:rPr>
          <w:lang w:val="en-CA"/>
        </w:rPr>
        <w:t xml:space="preserve"> du </w:t>
      </w:r>
      <w:proofErr w:type="gramStart"/>
      <w:r w:rsidRPr="00C759D9">
        <w:rPr>
          <w:lang w:val="en-CA"/>
        </w:rPr>
        <w:t>Québec .</w:t>
      </w:r>
      <w:proofErr w:type="gramEnd"/>
      <w:r w:rsidRPr="00C759D9">
        <w:rPr>
          <w:lang w:val="en-CA"/>
        </w:rPr>
        <w:t> . . is again amended by replacing subparagraph 4 of paragraph </w:t>
      </w:r>
      <w:r w:rsidRPr="00C759D9">
        <w:rPr>
          <w:i/>
          <w:lang w:val="en-CA"/>
        </w:rPr>
        <w:t>a</w:t>
      </w:r>
      <w:r w:rsidRPr="00C759D9">
        <w:rPr>
          <w:lang w:val="en-CA"/>
        </w:rPr>
        <w:t xml:space="preserve"> of subsection 2 by the following subparagraph:</w:t>
      </w:r>
    </w:p>
    <w:p w:rsidR="00290916" w:rsidRPr="00C759D9" w:rsidRDefault="00290916" w:rsidP="00935044">
      <w:pPr>
        <w:pStyle w:val="Citation-AltC"/>
        <w:widowControl w:val="0"/>
        <w:tabs>
          <w:tab w:val="left" w:pos="1440"/>
        </w:tabs>
        <w:spacing w:after="240"/>
        <w:ind w:hanging="1166"/>
        <w:contextualSpacing w:val="0"/>
        <w:rPr>
          <w:lang w:val="en-CA"/>
        </w:rPr>
      </w:pPr>
      <w:r w:rsidRPr="00C759D9">
        <w:rPr>
          <w:lang w:val="en-CA"/>
        </w:rPr>
        <w:lastRenderedPageBreak/>
        <w:tab/>
      </w:r>
      <w:r w:rsidRPr="00C759D9">
        <w:rPr>
          <w:lang w:val="en-CA"/>
        </w:rPr>
        <w:tab/>
        <w:t xml:space="preserve">“(4) [now (3)] the Commission de la santé et de la </w:t>
      </w:r>
      <w:proofErr w:type="spellStart"/>
      <w:r w:rsidRPr="00C759D9">
        <w:rPr>
          <w:lang w:val="en-CA"/>
        </w:rPr>
        <w:t>sécurité</w:t>
      </w:r>
      <w:proofErr w:type="spellEnd"/>
      <w:r w:rsidRPr="00C759D9">
        <w:rPr>
          <w:lang w:val="en-CA"/>
        </w:rPr>
        <w:t xml:space="preserve"> du travail, a review board established pursuant to the Act respecting occupational health and safety (1979, c. 63), or the workmen’s compensation division of the Commission des affaires </w:t>
      </w:r>
      <w:proofErr w:type="spellStart"/>
      <w:r w:rsidRPr="00C759D9">
        <w:rPr>
          <w:lang w:val="en-CA"/>
        </w:rPr>
        <w:t>sociales</w:t>
      </w:r>
      <w:proofErr w:type="spellEnd"/>
      <w:r w:rsidRPr="00C759D9">
        <w:rPr>
          <w:lang w:val="en-CA"/>
        </w:rPr>
        <w:t xml:space="preserve"> established pursuant to the Act respecting the Commission des affaires </w:t>
      </w:r>
      <w:proofErr w:type="spellStart"/>
      <w:r w:rsidRPr="00C759D9">
        <w:rPr>
          <w:lang w:val="en-CA"/>
        </w:rPr>
        <w:t>sociales</w:t>
      </w:r>
      <w:proofErr w:type="spellEnd"/>
      <w:r w:rsidRPr="00C759D9">
        <w:rPr>
          <w:lang w:val="en-CA"/>
        </w:rPr>
        <w:t xml:space="preserve"> (R.S.Q., c. C</w:t>
      </w:r>
      <w:r w:rsidRPr="00C759D9">
        <w:rPr>
          <w:lang w:val="en-CA"/>
        </w:rPr>
        <w:noBreakHyphen/>
        <w:t>34).”</w:t>
      </w:r>
    </w:p>
    <w:p w:rsidR="00290916" w:rsidRPr="00C759D9" w:rsidRDefault="00290916" w:rsidP="00935044">
      <w:pPr>
        <w:pStyle w:val="Citation-AltC"/>
        <w:widowControl w:val="0"/>
        <w:spacing w:after="240"/>
        <w:contextualSpacing w:val="0"/>
        <w:jc w:val="center"/>
        <w:rPr>
          <w:lang w:val="en-CA"/>
        </w:rPr>
      </w:pPr>
      <w:r w:rsidRPr="00C759D9">
        <w:rPr>
          <w:lang w:val="en-CA"/>
        </w:rPr>
        <w:t>. . .</w:t>
      </w:r>
    </w:p>
    <w:p w:rsidR="00290916" w:rsidRPr="00C759D9" w:rsidRDefault="00290916" w:rsidP="00935044">
      <w:pPr>
        <w:pStyle w:val="Citation-AltC"/>
        <w:widowControl w:val="0"/>
        <w:tabs>
          <w:tab w:val="left" w:pos="1440"/>
        </w:tabs>
        <w:spacing w:after="240"/>
        <w:ind w:hanging="1166"/>
        <w:contextualSpacing w:val="0"/>
        <w:rPr>
          <w:lang w:val="en-CA"/>
        </w:rPr>
      </w:pPr>
      <w:r w:rsidRPr="00C759D9">
        <w:rPr>
          <w:lang w:val="en-CA"/>
        </w:rPr>
        <w:tab/>
      </w:r>
      <w:r w:rsidRPr="00C759D9">
        <w:rPr>
          <w:lang w:val="en-CA"/>
        </w:rPr>
        <w:tab/>
      </w:r>
      <w:r w:rsidRPr="00C759D9">
        <w:rPr>
          <w:b/>
          <w:lang w:val="en-CA"/>
        </w:rPr>
        <w:t>283.</w:t>
      </w:r>
      <w:r w:rsidRPr="00C759D9">
        <w:rPr>
          <w:lang w:val="en-CA"/>
        </w:rPr>
        <w:t xml:space="preserve"> Section 38 of the [</w:t>
      </w:r>
      <w:r w:rsidRPr="00C759D9">
        <w:rPr>
          <w:i/>
          <w:lang w:val="en-CA"/>
        </w:rPr>
        <w:t xml:space="preserve">Act respecting the Commission des affaires </w:t>
      </w:r>
      <w:proofErr w:type="spellStart"/>
      <w:r w:rsidRPr="00C759D9">
        <w:rPr>
          <w:i/>
          <w:lang w:val="en-CA"/>
        </w:rPr>
        <w:t>sociales</w:t>
      </w:r>
      <w:proofErr w:type="spellEnd"/>
      <w:r w:rsidRPr="00C759D9">
        <w:rPr>
          <w:lang w:val="en-CA"/>
        </w:rPr>
        <w:t xml:space="preserve">] is amended by adding, at the end, the following paragraph: </w:t>
      </w:r>
    </w:p>
    <w:p w:rsidR="00290916" w:rsidRPr="00C759D9" w:rsidRDefault="00290916" w:rsidP="00935044">
      <w:pPr>
        <w:pStyle w:val="Citation-AltC"/>
        <w:widowControl w:val="0"/>
        <w:tabs>
          <w:tab w:val="left" w:pos="1440"/>
        </w:tabs>
        <w:ind w:hanging="1166"/>
        <w:contextualSpacing w:val="0"/>
        <w:rPr>
          <w:lang w:val="en-CA"/>
        </w:rPr>
      </w:pPr>
      <w:r w:rsidRPr="00C759D9">
        <w:rPr>
          <w:lang w:val="en-CA"/>
        </w:rPr>
        <w:tab/>
      </w:r>
      <w:r w:rsidRPr="00C759D9">
        <w:rPr>
          <w:lang w:val="en-CA"/>
        </w:rPr>
        <w:tab/>
        <w:t>“At the proof and hearing before the workmen’s compensation division, each party is entitled to be assisted by the person of his choice.”</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Similarly, when the legislature added the exception provided for in s. 128(2)(a)(4) of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it specified how that exception would operate:</w:t>
      </w:r>
    </w:p>
    <w:p w:rsidR="00290916" w:rsidRPr="00C759D9" w:rsidRDefault="00290916" w:rsidP="00935044">
      <w:pPr>
        <w:pStyle w:val="Citation-AltC"/>
        <w:widowControl w:val="0"/>
        <w:spacing w:after="480"/>
        <w:ind w:left="0"/>
        <w:contextualSpacing w:val="0"/>
        <w:rPr>
          <w:lang w:val="en-CA"/>
        </w:rPr>
      </w:pPr>
      <w:r w:rsidRPr="00C759D9">
        <w:rPr>
          <w:i/>
          <w:lang w:val="en-CA"/>
        </w:rPr>
        <w:t xml:space="preserve">An Act to establish the </w:t>
      </w:r>
      <w:proofErr w:type="spellStart"/>
      <w:r w:rsidRPr="00C759D9">
        <w:rPr>
          <w:i/>
          <w:lang w:val="en-CA"/>
        </w:rPr>
        <w:t>Régie</w:t>
      </w:r>
      <w:proofErr w:type="spellEnd"/>
      <w:r w:rsidRPr="00C759D9">
        <w:rPr>
          <w:i/>
          <w:lang w:val="en-CA"/>
        </w:rPr>
        <w:t xml:space="preserve"> du </w:t>
      </w:r>
      <w:proofErr w:type="spellStart"/>
      <w:r w:rsidRPr="00C759D9">
        <w:rPr>
          <w:i/>
          <w:lang w:val="en-CA"/>
        </w:rPr>
        <w:t>logement</w:t>
      </w:r>
      <w:proofErr w:type="spellEnd"/>
      <w:r w:rsidRPr="00C759D9">
        <w:rPr>
          <w:i/>
          <w:lang w:val="en-CA"/>
        </w:rPr>
        <w:t xml:space="preserve"> and to amend the Civil Code and other legislation</w:t>
      </w:r>
      <w:r w:rsidRPr="00C759D9">
        <w:rPr>
          <w:lang w:val="en-CA"/>
        </w:rPr>
        <w:t>, S.Q. 1979, c. 48</w:t>
      </w:r>
    </w:p>
    <w:p w:rsidR="00290916" w:rsidRPr="00C759D9" w:rsidRDefault="00290916" w:rsidP="00935044">
      <w:pPr>
        <w:pStyle w:val="Citation-AltC"/>
        <w:widowControl w:val="0"/>
        <w:tabs>
          <w:tab w:val="left" w:pos="1440"/>
        </w:tabs>
        <w:spacing w:after="240"/>
        <w:ind w:hanging="1166"/>
        <w:contextualSpacing w:val="0"/>
        <w:rPr>
          <w:lang w:val="en-CA"/>
        </w:rPr>
      </w:pPr>
      <w:r w:rsidRPr="00C759D9">
        <w:rPr>
          <w:lang w:val="en-CA"/>
        </w:rPr>
        <w:tab/>
      </w:r>
      <w:r w:rsidRPr="00C759D9">
        <w:rPr>
          <w:lang w:val="en-CA"/>
        </w:rPr>
        <w:tab/>
      </w:r>
      <w:r w:rsidRPr="00C759D9">
        <w:rPr>
          <w:b/>
          <w:lang w:val="en-CA"/>
        </w:rPr>
        <w:t>72.</w:t>
      </w:r>
      <w:r w:rsidRPr="00C759D9">
        <w:rPr>
          <w:lang w:val="en-CA"/>
        </w:rPr>
        <w:t xml:space="preserve"> A natural person may be represented by his consort, or by an advocate. </w:t>
      </w:r>
    </w:p>
    <w:p w:rsidR="00290916" w:rsidRPr="00C759D9" w:rsidRDefault="00290916" w:rsidP="00935044">
      <w:pPr>
        <w:pStyle w:val="Citation-AltC"/>
        <w:widowControl w:val="0"/>
        <w:tabs>
          <w:tab w:val="left" w:pos="1440"/>
        </w:tabs>
        <w:spacing w:after="240"/>
        <w:ind w:hanging="1166"/>
        <w:contextualSpacing w:val="0"/>
        <w:rPr>
          <w:lang w:val="en-CA"/>
        </w:rPr>
      </w:pPr>
      <w:r w:rsidRPr="00C759D9">
        <w:rPr>
          <w:lang w:val="en-CA"/>
        </w:rPr>
        <w:tab/>
      </w:r>
      <w:r w:rsidRPr="00C759D9">
        <w:rPr>
          <w:lang w:val="en-CA"/>
        </w:rPr>
        <w:tab/>
        <w:t xml:space="preserve">If a natural person cannot appear himself by reason of illness, distance or any other cause considered sufficient by a commissioner, he may also be represented by a person related to him by blood or by marriage or, if there is no such person in the municipality, by a friend. </w:t>
      </w:r>
    </w:p>
    <w:p w:rsidR="00290916" w:rsidRPr="00C759D9" w:rsidRDefault="00290916" w:rsidP="00935044">
      <w:pPr>
        <w:pStyle w:val="Citation-AltC"/>
        <w:widowControl w:val="0"/>
        <w:tabs>
          <w:tab w:val="left" w:pos="1440"/>
        </w:tabs>
        <w:spacing w:after="240"/>
        <w:ind w:hanging="1166"/>
        <w:contextualSpacing w:val="0"/>
        <w:rPr>
          <w:lang w:val="en-CA"/>
        </w:rPr>
      </w:pPr>
      <w:r w:rsidRPr="00C759D9">
        <w:rPr>
          <w:lang w:val="en-CA"/>
        </w:rPr>
        <w:tab/>
      </w:r>
      <w:r w:rsidRPr="00C759D9">
        <w:rPr>
          <w:lang w:val="en-CA"/>
        </w:rPr>
        <w:tab/>
        <w:t>A corporation may be represented by an officer, a director, an employee exclusively employed by it, or by an advocate.</w:t>
      </w:r>
    </w:p>
    <w:p w:rsidR="00290916" w:rsidRPr="00C759D9" w:rsidRDefault="00290916" w:rsidP="00935044">
      <w:pPr>
        <w:pStyle w:val="Citation-AltC"/>
        <w:widowControl w:val="0"/>
        <w:spacing w:after="240"/>
        <w:contextualSpacing w:val="0"/>
        <w:jc w:val="center"/>
        <w:rPr>
          <w:lang w:val="en-CA"/>
        </w:rPr>
      </w:pPr>
      <w:r w:rsidRPr="00C759D9">
        <w:rPr>
          <w:lang w:val="en-CA"/>
        </w:rPr>
        <w:t>. . .</w:t>
      </w:r>
    </w:p>
    <w:p w:rsidR="00290916" w:rsidRPr="00C759D9" w:rsidRDefault="00290916" w:rsidP="00935044">
      <w:pPr>
        <w:pStyle w:val="Citation-AltC"/>
        <w:widowControl w:val="0"/>
        <w:tabs>
          <w:tab w:val="left" w:pos="1440"/>
        </w:tabs>
        <w:spacing w:after="240"/>
        <w:ind w:hanging="1166"/>
        <w:contextualSpacing w:val="0"/>
        <w:rPr>
          <w:lang w:val="en-CA"/>
        </w:rPr>
      </w:pPr>
      <w:r w:rsidRPr="00C759D9">
        <w:rPr>
          <w:lang w:val="en-CA"/>
        </w:rPr>
        <w:tab/>
      </w:r>
      <w:r w:rsidRPr="00C759D9">
        <w:rPr>
          <w:lang w:val="en-CA"/>
        </w:rPr>
        <w:tab/>
      </w:r>
      <w:r w:rsidRPr="00C759D9">
        <w:rPr>
          <w:b/>
          <w:lang w:val="en-CA"/>
        </w:rPr>
        <w:t>127.</w:t>
      </w:r>
      <w:r w:rsidRPr="00C759D9">
        <w:rPr>
          <w:lang w:val="en-CA"/>
        </w:rPr>
        <w:t xml:space="preserve"> Section 128 of the Act respecting the </w:t>
      </w:r>
      <w:proofErr w:type="spellStart"/>
      <w:r w:rsidRPr="00C759D9">
        <w:rPr>
          <w:lang w:val="en-CA"/>
        </w:rPr>
        <w:t>Barreau</w:t>
      </w:r>
      <w:proofErr w:type="spellEnd"/>
      <w:r w:rsidRPr="00C759D9">
        <w:rPr>
          <w:lang w:val="en-CA"/>
        </w:rPr>
        <w:t xml:space="preserve"> du </w:t>
      </w:r>
      <w:proofErr w:type="gramStart"/>
      <w:r w:rsidRPr="00C759D9">
        <w:rPr>
          <w:lang w:val="en-CA"/>
        </w:rPr>
        <w:t>Québec .</w:t>
      </w:r>
      <w:proofErr w:type="gramEnd"/>
      <w:r w:rsidRPr="00C759D9">
        <w:rPr>
          <w:lang w:val="en-CA"/>
        </w:rPr>
        <w:t> . . is again amended by adding, at the end of paragraph </w:t>
      </w:r>
      <w:r w:rsidRPr="00C759D9">
        <w:rPr>
          <w:i/>
          <w:lang w:val="en-CA"/>
        </w:rPr>
        <w:t>a</w:t>
      </w:r>
      <w:r w:rsidRPr="00C759D9">
        <w:rPr>
          <w:lang w:val="en-CA"/>
        </w:rPr>
        <w:t xml:space="preserve"> of subsection 2, the following subparagraph: </w:t>
      </w:r>
    </w:p>
    <w:p w:rsidR="00290916" w:rsidRPr="00C759D9" w:rsidRDefault="00290916" w:rsidP="00935044">
      <w:pPr>
        <w:pStyle w:val="Citation-AltC"/>
        <w:widowControl w:val="0"/>
        <w:tabs>
          <w:tab w:val="left" w:pos="1440"/>
        </w:tabs>
        <w:ind w:hanging="1166"/>
        <w:rPr>
          <w:lang w:val="en-CA"/>
        </w:rPr>
      </w:pPr>
      <w:r w:rsidRPr="00C759D9">
        <w:rPr>
          <w:lang w:val="en-CA"/>
        </w:rPr>
        <w:tab/>
      </w:r>
      <w:r w:rsidRPr="00C759D9">
        <w:rPr>
          <w:lang w:val="en-CA"/>
        </w:rPr>
        <w:tab/>
        <w:t xml:space="preserve">“5. [now (4)] The </w:t>
      </w:r>
      <w:proofErr w:type="spellStart"/>
      <w:r w:rsidRPr="00C759D9">
        <w:rPr>
          <w:lang w:val="en-CA"/>
        </w:rPr>
        <w:t>Régie</w:t>
      </w:r>
      <w:proofErr w:type="spellEnd"/>
      <w:r w:rsidRPr="00C759D9">
        <w:rPr>
          <w:lang w:val="en-CA"/>
        </w:rPr>
        <w:t xml:space="preserve"> du </w:t>
      </w:r>
      <w:proofErr w:type="spellStart"/>
      <w:r w:rsidRPr="00C759D9">
        <w:rPr>
          <w:lang w:val="en-CA"/>
        </w:rPr>
        <w:t>logement</w:t>
      </w:r>
      <w:proofErr w:type="spellEnd"/>
      <w:r w:rsidRPr="00C759D9">
        <w:rPr>
          <w:lang w:val="en-CA"/>
        </w:rPr>
        <w:t xml:space="preserve"> established under the Act to establish the </w:t>
      </w:r>
      <w:proofErr w:type="spellStart"/>
      <w:r w:rsidRPr="00C759D9">
        <w:rPr>
          <w:lang w:val="en-CA"/>
        </w:rPr>
        <w:t>Régie</w:t>
      </w:r>
      <w:proofErr w:type="spellEnd"/>
      <w:r w:rsidRPr="00C759D9">
        <w:rPr>
          <w:lang w:val="en-CA"/>
        </w:rPr>
        <w:t xml:space="preserve"> du </w:t>
      </w:r>
      <w:proofErr w:type="spellStart"/>
      <w:r w:rsidRPr="00C759D9">
        <w:rPr>
          <w:lang w:val="en-CA"/>
        </w:rPr>
        <w:t>logement</w:t>
      </w:r>
      <w:proofErr w:type="spellEnd"/>
      <w:r w:rsidRPr="00C759D9">
        <w:rPr>
          <w:lang w:val="en-CA"/>
        </w:rPr>
        <w:t xml:space="preserve"> and to amend the Civil Code and other legislation (1979, c. 48).”</w:t>
      </w:r>
    </w:p>
    <w:p w:rsidR="00290916" w:rsidRPr="00C759D9" w:rsidRDefault="00290916" w:rsidP="00935044">
      <w:pPr>
        <w:pStyle w:val="ParaNoNdepar-AltN"/>
        <w:widowControl w:val="0"/>
        <w:rPr>
          <w:rFonts w:cs="Times New Roman"/>
          <w:lang w:val="en-CA"/>
        </w:rPr>
      </w:pPr>
      <w:r w:rsidRPr="00C759D9">
        <w:rPr>
          <w:rFonts w:cs="Times New Roman"/>
          <w:lang w:val="en-CA"/>
        </w:rPr>
        <w:lastRenderedPageBreak/>
        <w:t xml:space="preserve">The legislature’s intention in enacting s. 129(b) of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xml:space="preserve"> was clearly to preserve its ability to establish exceptions to the rules set out in s. 128 of that Act</w:t>
      </w:r>
      <w:r w:rsidRPr="00C759D9">
        <w:rPr>
          <w:rFonts w:cs="Times New Roman"/>
          <w:i/>
          <w:lang w:val="en-CA"/>
        </w:rPr>
        <w:t xml:space="preserve"> </w:t>
      </w:r>
      <w:r w:rsidRPr="00C759D9">
        <w:rPr>
          <w:rFonts w:cs="Times New Roman"/>
          <w:lang w:val="en-CA"/>
        </w:rPr>
        <w:t xml:space="preserve">in other statutes. But what it did in enacting s. 102 of the </w:t>
      </w:r>
      <w:r w:rsidRPr="00C759D9">
        <w:rPr>
          <w:rFonts w:cs="Times New Roman"/>
          <w:i/>
          <w:lang w:val="en-CA"/>
        </w:rPr>
        <w:t>Act respecting administrative justice</w:t>
      </w:r>
      <w:r w:rsidRPr="00C759D9">
        <w:rPr>
          <w:rFonts w:cs="Times New Roman"/>
          <w:lang w:val="en-CA"/>
        </w:rPr>
        <w:t xml:space="preserve"> was merely to specify how the exception it had just established under s. 128(2)(a) of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xml:space="preserve"> would operate.</w:t>
      </w:r>
    </w:p>
    <w:p w:rsidR="00290916" w:rsidRPr="00C759D9" w:rsidRDefault="00290916" w:rsidP="00935044">
      <w:pPr>
        <w:pStyle w:val="ParaNoNdepar-AltN"/>
        <w:widowControl w:val="0"/>
        <w:rPr>
          <w:rFonts w:cs="Times New Roman"/>
          <w:lang w:val="en-CA"/>
        </w:rPr>
      </w:pPr>
      <w:r w:rsidRPr="00C759D9">
        <w:rPr>
          <w:rFonts w:cs="Times New Roman"/>
          <w:lang w:val="en-CA"/>
        </w:rPr>
        <w:t>The legislature does not speak in vain. My colleague’s response to this is that “it must be presumed that legislative omissions are also significant” (para. 40). I agree with him on this point: had the legislature intended to do so, it could also have accompanied the exclusive power of advocates and solicitors under s. 128(1</w:t>
      </w:r>
      <w:proofErr w:type="gramStart"/>
      <w:r w:rsidRPr="00C759D9">
        <w:rPr>
          <w:rFonts w:cs="Times New Roman"/>
          <w:lang w:val="en-CA"/>
        </w:rPr>
        <w:t>)(</w:t>
      </w:r>
      <w:proofErr w:type="gramEnd"/>
      <w:r w:rsidRPr="00C759D9">
        <w:rPr>
          <w:rFonts w:cs="Times New Roman"/>
          <w:lang w:val="en-CA"/>
        </w:rPr>
        <w:t>b) “to prepare and draw up a notice, motion, proceeding or other similar document intended for use in a case before the courts” with an exception for people other than advocates, which it in fact did in s. 128(2)(a). This omission is indeed telling.</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I cannot, as my colleague suggests in para. 35 of his reasons, accept an interpretation that disregards the fact that the legislature, contrary to its past practice, omitted to make a concurrent amendment to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In my opinion, that omission by the legislature is not inconsequential. It must be viewed as a relevant factor in determining the legislature’s actual intent.</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I therefore conclude that the legislature did not intend to change the scope of s. 102 of the </w:t>
      </w:r>
      <w:r w:rsidRPr="00C759D9">
        <w:rPr>
          <w:rFonts w:cs="Times New Roman"/>
          <w:i/>
          <w:lang w:val="en-CA"/>
        </w:rPr>
        <w:t>Act respecting administrative justice.</w:t>
      </w:r>
      <w:r w:rsidRPr="00C759D9">
        <w:rPr>
          <w:rFonts w:cs="Times New Roman"/>
          <w:lang w:val="en-CA"/>
        </w:rPr>
        <w:t xml:space="preserve"> This interpretation is not only consistent with the language and context of the statute, but it also ensures that the </w:t>
      </w:r>
      <w:r w:rsidRPr="00C759D9">
        <w:rPr>
          <w:rFonts w:cs="Times New Roman"/>
          <w:i/>
          <w:lang w:val="en-CA"/>
        </w:rPr>
        <w:t xml:space="preserve">Act </w:t>
      </w:r>
      <w:r w:rsidRPr="00C759D9">
        <w:rPr>
          <w:rFonts w:cs="Times New Roman"/>
          <w:i/>
          <w:lang w:val="en-CA"/>
        </w:rPr>
        <w:lastRenderedPageBreak/>
        <w:t>respecting administrative justice</w:t>
      </w:r>
      <w:r w:rsidRPr="00C759D9">
        <w:rPr>
          <w:rFonts w:cs="Times New Roman"/>
          <w:lang w:val="en-CA"/>
        </w:rPr>
        <w:t xml:space="preserve"> does not conflict with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 </w:t>
      </w:r>
      <w:r w:rsidRPr="00C759D9">
        <w:rPr>
          <w:rFonts w:cs="Times New Roman"/>
          <w:lang w:val="en-CA"/>
        </w:rPr>
        <w:t>— a statute of public order.</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Finally, with all due respect, I am of the view that my colleague’s interpretation disregards the object of 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The </w:t>
      </w:r>
      <w:r w:rsidRPr="00C759D9">
        <w:rPr>
          <w:rFonts w:cs="Times New Roman"/>
          <w:i/>
          <w:lang w:val="en-CA"/>
        </w:rPr>
        <w:t>Interpretation Act</w:t>
      </w:r>
      <w:r w:rsidRPr="00C759D9">
        <w:rPr>
          <w:rFonts w:cs="Times New Roman"/>
          <w:lang w:val="en-CA"/>
        </w:rPr>
        <w:t>, CQLR, c. I</w:t>
      </w:r>
      <w:r w:rsidRPr="00C759D9">
        <w:rPr>
          <w:rFonts w:cs="Times New Roman"/>
          <w:lang w:val="en-CA"/>
        </w:rPr>
        <w:noBreakHyphen/>
        <w:t>16, provides that “[e]very provision of an Act is deemed to be enacted for the recognition of rights, the imposition of obligations or the furtherance of the exercise of rights, or for the remedying of some injustice or the securing of some benefit”, and that “[s]</w:t>
      </w:r>
      <w:proofErr w:type="spellStart"/>
      <w:r w:rsidRPr="00C759D9">
        <w:rPr>
          <w:rFonts w:cs="Times New Roman"/>
          <w:lang w:val="en-CA"/>
        </w:rPr>
        <w:t>uch</w:t>
      </w:r>
      <w:proofErr w:type="spellEnd"/>
      <w:r w:rsidRPr="00C759D9">
        <w:rPr>
          <w:rFonts w:cs="Times New Roman"/>
          <w:lang w:val="en-CA"/>
        </w:rPr>
        <w:t xml:space="preserve"> statute shall receive such fair, large and liberal construction as will ensure the attainment of its object and the carrying out of its provisions, according to their true intent, meaning and spirit” (s. 41).</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The </w:t>
      </w:r>
      <w:r w:rsidRPr="00C759D9">
        <w:rPr>
          <w:rFonts w:cs="Times New Roman"/>
          <w:i/>
          <w:lang w:val="en-CA"/>
        </w:rPr>
        <w:t>Professional Code</w:t>
      </w:r>
      <w:r w:rsidRPr="00C759D9">
        <w:rPr>
          <w:rFonts w:cs="Times New Roman"/>
          <w:lang w:val="en-CA"/>
        </w:rPr>
        <w:t xml:space="preserve"> provides that “[t]</w:t>
      </w:r>
      <w:proofErr w:type="gramStart"/>
      <w:r w:rsidRPr="00C759D9">
        <w:rPr>
          <w:rFonts w:cs="Times New Roman"/>
          <w:lang w:val="en-CA"/>
        </w:rPr>
        <w:t>he</w:t>
      </w:r>
      <w:proofErr w:type="gramEnd"/>
      <w:r w:rsidRPr="00C759D9">
        <w:rPr>
          <w:rFonts w:cs="Times New Roman"/>
          <w:lang w:val="en-CA"/>
        </w:rPr>
        <w:t xml:space="preserve"> principal function of each order shall be to ensure the protection of the public” (s. 23). In </w:t>
      </w:r>
      <w:r w:rsidRPr="00C759D9">
        <w:rPr>
          <w:rFonts w:cs="Times New Roman"/>
          <w:i/>
          <w:lang w:val="en-CA"/>
        </w:rPr>
        <w:t xml:space="preserve">Finney v.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xml:space="preserve">, 2004 SCC 36, [2004] 2 S.C.R. 17, this Court confirmed that the </w:t>
      </w:r>
      <w:proofErr w:type="spellStart"/>
      <w:r w:rsidRPr="00C759D9">
        <w:rPr>
          <w:rFonts w:cs="Times New Roman"/>
          <w:lang w:val="en-CA"/>
        </w:rPr>
        <w:t>Barreau’s</w:t>
      </w:r>
      <w:proofErr w:type="spellEnd"/>
      <w:r w:rsidRPr="00C759D9">
        <w:rPr>
          <w:rFonts w:cs="Times New Roman"/>
          <w:lang w:val="en-CA"/>
        </w:rPr>
        <w:t xml:space="preserve"> primary objective is to protect the public and that the purpose for its being given a monopoly over the practice of the profession was “to recognize the social importance of the role of the lawyer in a democratic society founded on the rule of law” (para. 17). In </w:t>
      </w:r>
      <w:r w:rsidRPr="00C759D9">
        <w:rPr>
          <w:rFonts w:cs="Times New Roman"/>
          <w:i/>
          <w:lang w:val="en-CA"/>
        </w:rPr>
        <w:t>Fortin</w:t>
      </w:r>
      <w:r w:rsidRPr="00C759D9">
        <w:rPr>
          <w:rFonts w:cs="Times New Roman"/>
          <w:lang w:val="en-CA"/>
        </w:rPr>
        <w:t>, the Court noted that “[t]he special rules governing the practice of the legal profession are justified by the importance of the acts that advocates engage in, the vulnerability of the litigants who entrust their rights to them, and the need to preserve the relationship of trust between advocates and their clients” (para. 17).</w:t>
      </w:r>
    </w:p>
    <w:p w:rsidR="00290916" w:rsidRPr="00C759D9" w:rsidRDefault="00290916" w:rsidP="00935044">
      <w:pPr>
        <w:pStyle w:val="ParaNoNdepar-AltN"/>
        <w:widowControl w:val="0"/>
        <w:rPr>
          <w:rFonts w:cs="Times New Roman"/>
        </w:rPr>
      </w:pPr>
      <w:r w:rsidRPr="00C759D9">
        <w:rPr>
          <w:rFonts w:cs="Times New Roman"/>
          <w:lang w:val="en-CA"/>
        </w:rPr>
        <w:lastRenderedPageBreak/>
        <w:t xml:space="preserve">The </w:t>
      </w:r>
      <w:r w:rsidRPr="00C759D9">
        <w:rPr>
          <w:rFonts w:cs="Times New Roman"/>
          <w:i/>
          <w:lang w:val="en-CA"/>
        </w:rPr>
        <w:t xml:space="preserve">Act respecting the </w:t>
      </w:r>
      <w:proofErr w:type="spellStart"/>
      <w:r w:rsidRPr="00C759D9">
        <w:rPr>
          <w:rFonts w:cs="Times New Roman"/>
          <w:i/>
          <w:lang w:val="en-CA"/>
        </w:rPr>
        <w:t>Barreau</w:t>
      </w:r>
      <w:proofErr w:type="spellEnd"/>
      <w:r w:rsidRPr="00C759D9">
        <w:rPr>
          <w:rFonts w:cs="Times New Roman"/>
          <w:i/>
          <w:lang w:val="en-CA"/>
        </w:rPr>
        <w:t xml:space="preserve"> du Québec</w:t>
      </w:r>
      <w:r w:rsidRPr="00C759D9">
        <w:rPr>
          <w:rFonts w:cs="Times New Roman"/>
          <w:lang w:val="en-CA"/>
        </w:rPr>
        <w:t xml:space="preserve"> must therefore receive such fair, large and liberal construction as will ensure the fulfilment of its principal function, protecting the public (see </w:t>
      </w:r>
      <w:proofErr w:type="spellStart"/>
      <w:r w:rsidRPr="00C759D9">
        <w:rPr>
          <w:rFonts w:cs="Times New Roman"/>
          <w:i/>
          <w:lang w:val="en-CA"/>
        </w:rPr>
        <w:t>Pharmascience</w:t>
      </w:r>
      <w:proofErr w:type="spellEnd"/>
      <w:r w:rsidRPr="00C759D9">
        <w:rPr>
          <w:rFonts w:cs="Times New Roman"/>
          <w:i/>
          <w:lang w:val="en-CA"/>
        </w:rPr>
        <w:t xml:space="preserve"> Inc. v. </w:t>
      </w:r>
      <w:proofErr w:type="spellStart"/>
      <w:r w:rsidRPr="00C759D9">
        <w:rPr>
          <w:rFonts w:cs="Times New Roman"/>
          <w:i/>
          <w:lang w:val="en-CA"/>
        </w:rPr>
        <w:t>Binet</w:t>
      </w:r>
      <w:proofErr w:type="spellEnd"/>
      <w:r w:rsidRPr="00C759D9">
        <w:rPr>
          <w:rFonts w:cs="Times New Roman"/>
          <w:lang w:val="en-CA"/>
        </w:rPr>
        <w:t>, 2006 SCC 48, [2006] 2 S.C.R. 513, at para. </w:t>
      </w:r>
      <w:r w:rsidRPr="00C759D9">
        <w:rPr>
          <w:rFonts w:cs="Times New Roman"/>
        </w:rPr>
        <w:t xml:space="preserve">35; </w:t>
      </w:r>
      <w:r w:rsidRPr="00C759D9">
        <w:rPr>
          <w:rFonts w:cs="Times New Roman"/>
          <w:i/>
        </w:rPr>
        <w:t>Tremblay v. Québec (Tribunal des professions)</w:t>
      </w:r>
      <w:r w:rsidRPr="00C759D9">
        <w:rPr>
          <w:rFonts w:cs="Times New Roman"/>
        </w:rPr>
        <w:t>, 2006 QCCA 1441, 61 Admin. L.R. (4th) 67, at para. 42).</w:t>
      </w:r>
    </w:p>
    <w:p w:rsidR="00290916" w:rsidRPr="00C759D9" w:rsidRDefault="00290916" w:rsidP="00935044">
      <w:pPr>
        <w:pStyle w:val="ParaNoNdepar-AltN"/>
        <w:widowControl w:val="0"/>
        <w:rPr>
          <w:rFonts w:cs="Times New Roman"/>
          <w:lang w:val="en-CA"/>
        </w:rPr>
      </w:pPr>
      <w:r w:rsidRPr="00C759D9">
        <w:rPr>
          <w:rFonts w:cs="Times New Roman"/>
          <w:lang w:val="en-CA"/>
        </w:rPr>
        <w:t>In my view, such a construction supports my conclusion that only an advocate or a solicitor may prepare and draw up a notice, motion, proceeding or other similar document intended for use in a case before the ATQ’s social affairs division.</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The Court of Appeal instead gave precedence to the access to justice objective of the </w:t>
      </w:r>
      <w:r w:rsidRPr="00C759D9">
        <w:rPr>
          <w:rFonts w:cs="Times New Roman"/>
          <w:i/>
          <w:lang w:val="en-CA"/>
        </w:rPr>
        <w:t>Act respecting administrative justice</w:t>
      </w:r>
      <w:r w:rsidRPr="00C759D9">
        <w:rPr>
          <w:rFonts w:cs="Times New Roman"/>
          <w:lang w:val="en-CA"/>
        </w:rPr>
        <w:t xml:space="preserve"> (2016 QCCA 536, at para. 51). On this point, I find it appropriate to recall the explanation this Court gave in </w:t>
      </w:r>
      <w:r w:rsidRPr="00C759D9">
        <w:rPr>
          <w:rFonts w:cs="Times New Roman"/>
          <w:i/>
          <w:lang w:val="en-CA"/>
        </w:rPr>
        <w:t>Fortin</w:t>
      </w:r>
      <w:r w:rsidRPr="00C759D9">
        <w:rPr>
          <w:rFonts w:cs="Times New Roman"/>
          <w:lang w:val="en-CA"/>
        </w:rPr>
        <w:t xml:space="preserve">, at para. 48: </w:t>
      </w:r>
    </w:p>
    <w:p w:rsidR="00290916" w:rsidRPr="00C759D9" w:rsidRDefault="00290916" w:rsidP="00935044">
      <w:pPr>
        <w:pStyle w:val="Citation-AltC"/>
        <w:widowControl w:val="0"/>
        <w:ind w:hanging="1166"/>
        <w:contextualSpacing w:val="0"/>
        <w:rPr>
          <w:lang w:val="en-CA"/>
        </w:rPr>
      </w:pPr>
      <w:r w:rsidRPr="00C759D9">
        <w:rPr>
          <w:lang w:val="en-CA"/>
        </w:rPr>
        <w:tab/>
        <w:t xml:space="preserve">It is a mistake to believe that access to justice in Canada is furthered by allowing people to use proceedings prepared or drawn up by persons who are not members of the </w:t>
      </w:r>
      <w:proofErr w:type="spellStart"/>
      <w:r w:rsidRPr="00C759D9">
        <w:rPr>
          <w:lang w:val="en-CA"/>
        </w:rPr>
        <w:t>Barreau</w:t>
      </w:r>
      <w:proofErr w:type="spellEnd"/>
      <w:r w:rsidRPr="00C759D9">
        <w:rPr>
          <w:lang w:val="en-CA"/>
        </w:rPr>
        <w:t>, or persons who have been struck off the Roll as a result of a breach of professional standards, and who claim to be capable of providing good quality service. On the contrary, it may often be adverse to litigants’ own interests to exercise that freedom.</w:t>
      </w:r>
    </w:p>
    <w:p w:rsidR="00290916" w:rsidRPr="00C759D9" w:rsidRDefault="00290916" w:rsidP="00935044">
      <w:pPr>
        <w:pStyle w:val="Title2LevelTitre2Niveau"/>
        <w:widowControl w:val="0"/>
        <w:numPr>
          <w:ilvl w:val="1"/>
          <w:numId w:val="8"/>
        </w:numPr>
        <w:spacing w:before="0"/>
        <w:rPr>
          <w:rFonts w:cs="Times New Roman"/>
        </w:rPr>
      </w:pPr>
      <w:r w:rsidRPr="00C759D9">
        <w:rPr>
          <w:rFonts w:cs="Times New Roman"/>
        </w:rPr>
        <w:t>Conclusion</w:t>
      </w:r>
    </w:p>
    <w:p w:rsidR="00290916" w:rsidRPr="00C759D9" w:rsidRDefault="00290916" w:rsidP="00935044">
      <w:pPr>
        <w:pStyle w:val="ParaNoNdepar-AltN"/>
        <w:widowControl w:val="0"/>
        <w:rPr>
          <w:rFonts w:cs="Times New Roman"/>
          <w:lang w:val="en-CA"/>
        </w:rPr>
      </w:pPr>
      <w:r w:rsidRPr="00C759D9">
        <w:rPr>
          <w:rFonts w:cs="Times New Roman"/>
          <w:lang w:val="en-CA"/>
        </w:rPr>
        <w:t xml:space="preserve">It may be tempting to prefer the consequences of the interpretation endorsed by my colleague Brown J., particularly because it may seem simpler if a </w:t>
      </w:r>
      <w:r w:rsidRPr="00C759D9">
        <w:rPr>
          <w:rFonts w:cs="Times New Roman"/>
          <w:lang w:val="en-CA"/>
        </w:rPr>
        <w:lastRenderedPageBreak/>
        <w:t>single person can both represent the Minister before a tribunal and prepare and draw up for him or her the written proceedings needed for that purpose. However, it hardly seems necessary to say that the pursuit of simpler solutions is not a principle of statutory interpretation. Our role is to interpret legislation in accordance with the relevant principles and to apply it, not to change it.</w:t>
      </w:r>
    </w:p>
    <w:p w:rsidR="00290916" w:rsidRPr="00C759D9" w:rsidRDefault="00290916" w:rsidP="00935044">
      <w:pPr>
        <w:pStyle w:val="ParaNoNdepar-AltN"/>
        <w:widowControl w:val="0"/>
        <w:rPr>
          <w:rFonts w:cs="Times New Roman"/>
          <w:lang w:val="en-CA"/>
        </w:rPr>
      </w:pPr>
      <w:r w:rsidRPr="00C759D9">
        <w:rPr>
          <w:rFonts w:cs="Times New Roman"/>
          <w:lang w:val="en-CA"/>
        </w:rPr>
        <w:t>In my view, the Court of Appeal erred in applying the reasonableness standard of review. It also erred in interpreting the scope of the Minister’s right to be represented by a person of his or her choice. I would allow the appeal and grant the motions for judicial review. Because the written proceedings were invalid “</w:t>
      </w:r>
      <w:r w:rsidRPr="00C759D9">
        <w:rPr>
          <w:rFonts w:cs="Times New Roman"/>
          <w:i/>
          <w:lang w:val="en-CA"/>
        </w:rPr>
        <w:t>ab initio</w:t>
      </w:r>
      <w:r w:rsidRPr="00C759D9">
        <w:rPr>
          <w:rFonts w:cs="Times New Roman"/>
          <w:lang w:val="en-CA"/>
        </w:rPr>
        <w:t>”, I would declare that the motions for review filed with the ATQ in the cases in question are null and must be dismissed.</w:t>
      </w:r>
    </w:p>
    <w:p w:rsidR="009B57B3" w:rsidRPr="00F170FF" w:rsidRDefault="009B57B3" w:rsidP="00935044">
      <w:pPr>
        <w:pStyle w:val="SCCNormalDoubleSpacing"/>
        <w:widowControl w:val="0"/>
        <w:spacing w:before="480" w:after="480"/>
        <w:rPr>
          <w:i/>
          <w:lang w:val="en-US"/>
        </w:rPr>
      </w:pPr>
      <w:r w:rsidRPr="00F170FF">
        <w:tab/>
      </w:r>
      <w:r w:rsidR="00830D87" w:rsidRPr="00F170FF">
        <w:rPr>
          <w:i/>
          <w:lang w:val="en-US"/>
        </w:rPr>
        <w:t xml:space="preserve">Appeal dismissed with costs, </w:t>
      </w:r>
      <w:proofErr w:type="spellStart"/>
      <w:r w:rsidR="00830D87" w:rsidRPr="00F170FF">
        <w:rPr>
          <w:smallCaps/>
          <w:lang w:val="en-US"/>
        </w:rPr>
        <w:t>Côté</w:t>
      </w:r>
      <w:proofErr w:type="spellEnd"/>
      <w:r w:rsidR="005652F0">
        <w:rPr>
          <w:smallCaps/>
          <w:lang w:val="en-US"/>
        </w:rPr>
        <w:t> </w:t>
      </w:r>
      <w:r w:rsidR="00830D87" w:rsidRPr="00F170FF">
        <w:rPr>
          <w:smallCaps/>
          <w:lang w:val="en-US"/>
        </w:rPr>
        <w:t>J.</w:t>
      </w:r>
      <w:r w:rsidR="00830D87" w:rsidRPr="00F170FF">
        <w:rPr>
          <w:i/>
          <w:lang w:val="en-US"/>
        </w:rPr>
        <w:t xml:space="preserve"> dissenting.</w:t>
      </w:r>
    </w:p>
    <w:p w:rsidR="00FA40DE" w:rsidRPr="00F170FF" w:rsidRDefault="00CF31C9" w:rsidP="00935044">
      <w:pPr>
        <w:pStyle w:val="SCCLawFirm"/>
        <w:widowControl w:val="0"/>
        <w:spacing w:before="480" w:after="480"/>
        <w:rPr>
          <w:lang w:val="fr-CA"/>
        </w:rPr>
      </w:pPr>
      <w:r w:rsidRPr="00F170FF">
        <w:rPr>
          <w:lang w:val="en-US"/>
        </w:rPr>
        <w:tab/>
      </w:r>
      <w:r w:rsidRPr="00F170FF">
        <w:rPr>
          <w:lang w:val="fr-CA"/>
        </w:rPr>
        <w:t>Solicitor</w:t>
      </w:r>
      <w:r w:rsidR="00FE6507" w:rsidRPr="00F170FF">
        <w:rPr>
          <w:lang w:val="fr-CA"/>
        </w:rPr>
        <w:t>s</w:t>
      </w:r>
      <w:r w:rsidR="00135547" w:rsidRPr="00F170FF">
        <w:rPr>
          <w:lang w:val="fr-CA"/>
        </w:rPr>
        <w:t xml:space="preserve"> for the </w:t>
      </w:r>
      <w:proofErr w:type="spellStart"/>
      <w:r w:rsidR="00135547" w:rsidRPr="00F170FF">
        <w:rPr>
          <w:lang w:val="fr-CA"/>
        </w:rPr>
        <w:t>appellant</w:t>
      </w:r>
      <w:proofErr w:type="spellEnd"/>
      <w:r w:rsidR="00135547" w:rsidRPr="00F170FF">
        <w:rPr>
          <w:lang w:val="fr-CA"/>
        </w:rPr>
        <w:t>:</w:t>
      </w:r>
      <w:r w:rsidR="007A0C4B" w:rsidRPr="00F170FF">
        <w:rPr>
          <w:lang w:val="fr-CA"/>
        </w:rPr>
        <w:t> </w:t>
      </w:r>
      <w:proofErr w:type="spellStart"/>
      <w:r w:rsidR="00D8615E" w:rsidRPr="00F170FF">
        <w:rPr>
          <w:lang w:val="fr-CA"/>
        </w:rPr>
        <w:t>Jolicoeur</w:t>
      </w:r>
      <w:proofErr w:type="spellEnd"/>
      <w:r w:rsidR="00D8615E" w:rsidRPr="00F170FF">
        <w:rPr>
          <w:lang w:val="fr-CA"/>
        </w:rPr>
        <w:t xml:space="preserve"> </w:t>
      </w:r>
      <w:proofErr w:type="spellStart"/>
      <w:r w:rsidR="00D8615E" w:rsidRPr="00F170FF">
        <w:rPr>
          <w:lang w:val="fr-CA"/>
        </w:rPr>
        <w:t>Lacasse</w:t>
      </w:r>
      <w:proofErr w:type="spellEnd"/>
      <w:r w:rsidRPr="00F170FF">
        <w:rPr>
          <w:lang w:val="fr-CA"/>
        </w:rPr>
        <w:t>, Québec</w:t>
      </w:r>
      <w:r w:rsidR="00FF5C35" w:rsidRPr="00F170FF">
        <w:rPr>
          <w:lang w:val="fr-CA"/>
        </w:rPr>
        <w:t>; Barreau du Québec, Montréal</w:t>
      </w:r>
      <w:r w:rsidRPr="00F170FF">
        <w:rPr>
          <w:lang w:val="fr-CA"/>
        </w:rPr>
        <w:t>.</w:t>
      </w:r>
    </w:p>
    <w:p w:rsidR="00FA40DE" w:rsidRPr="00F170FF" w:rsidRDefault="00CF31C9" w:rsidP="00935044">
      <w:pPr>
        <w:pStyle w:val="SCCLawFirm"/>
        <w:widowControl w:val="0"/>
        <w:spacing w:before="480" w:after="480"/>
        <w:rPr>
          <w:lang w:val="fr-CA"/>
        </w:rPr>
      </w:pPr>
      <w:r w:rsidRPr="00F170FF">
        <w:rPr>
          <w:lang w:val="fr-CA"/>
        </w:rPr>
        <w:tab/>
        <w:t>Solicitor</w:t>
      </w:r>
      <w:r w:rsidR="00FE6507" w:rsidRPr="00F170FF">
        <w:rPr>
          <w:lang w:val="fr-CA"/>
        </w:rPr>
        <w:t>s</w:t>
      </w:r>
      <w:r w:rsidR="007A0C4B" w:rsidRPr="00F170FF">
        <w:rPr>
          <w:lang w:val="fr-CA"/>
        </w:rPr>
        <w:t xml:space="preserve"> for the </w:t>
      </w:r>
      <w:proofErr w:type="spellStart"/>
      <w:r w:rsidR="007A0C4B" w:rsidRPr="00F170FF">
        <w:rPr>
          <w:lang w:val="fr-CA"/>
        </w:rPr>
        <w:t>respondent</w:t>
      </w:r>
      <w:proofErr w:type="spellEnd"/>
      <w:r w:rsidR="007A0C4B" w:rsidRPr="00F170FF">
        <w:rPr>
          <w:lang w:val="fr-CA"/>
        </w:rPr>
        <w:t>: </w:t>
      </w:r>
      <w:r w:rsidR="00E6139D" w:rsidRPr="00F170FF">
        <w:rPr>
          <w:lang w:val="fr-CA"/>
        </w:rPr>
        <w:t>Lavoie</w:t>
      </w:r>
      <w:r w:rsidRPr="00F170FF">
        <w:rPr>
          <w:lang w:val="fr-CA"/>
        </w:rPr>
        <w:t xml:space="preserve"> Rousseau</w:t>
      </w:r>
      <w:r w:rsidR="00E6139D" w:rsidRPr="00F170FF">
        <w:rPr>
          <w:lang w:val="fr-CA"/>
        </w:rPr>
        <w:t xml:space="preserve"> (Justice</w:t>
      </w:r>
      <w:r w:rsidR="00312D9E" w:rsidRPr="00F170FF">
        <w:rPr>
          <w:lang w:val="fr-CA"/>
        </w:rPr>
        <w:noBreakHyphen/>
      </w:r>
      <w:r w:rsidR="00E6139D" w:rsidRPr="00F170FF">
        <w:rPr>
          <w:lang w:val="fr-CA"/>
        </w:rPr>
        <w:t>Québec)</w:t>
      </w:r>
      <w:r w:rsidRPr="00F170FF">
        <w:rPr>
          <w:lang w:val="fr-CA"/>
        </w:rPr>
        <w:t>, Québec.</w:t>
      </w:r>
    </w:p>
    <w:p w:rsidR="00FA40DE" w:rsidRPr="00F170FF" w:rsidRDefault="00E6139D" w:rsidP="00935044">
      <w:pPr>
        <w:pStyle w:val="SCCLawFirm"/>
        <w:widowControl w:val="0"/>
        <w:spacing w:before="480" w:after="480"/>
        <w:rPr>
          <w:lang w:val="fr-CA"/>
        </w:rPr>
      </w:pPr>
      <w:r w:rsidRPr="00F170FF">
        <w:rPr>
          <w:lang w:val="fr-CA"/>
        </w:rPr>
        <w:tab/>
        <w:t>Solicitors</w:t>
      </w:r>
      <w:r w:rsidR="00CF31C9" w:rsidRPr="00F170FF">
        <w:rPr>
          <w:lang w:val="fr-CA"/>
        </w:rPr>
        <w:t xml:space="preserve"> for the </w:t>
      </w:r>
      <w:proofErr w:type="spellStart"/>
      <w:r w:rsidR="00CF31C9" w:rsidRPr="00F170FF">
        <w:rPr>
          <w:lang w:val="fr-CA"/>
        </w:rPr>
        <w:t>intervener</w:t>
      </w:r>
      <w:proofErr w:type="spellEnd"/>
      <w:r w:rsidR="00CF31C9" w:rsidRPr="00F170FF">
        <w:rPr>
          <w:lang w:val="fr-CA"/>
        </w:rPr>
        <w:t xml:space="preserve"> Ordre des comptables professionnels agréés du Québec</w:t>
      </w:r>
      <w:r w:rsidR="007A0C4B" w:rsidRPr="00F170FF">
        <w:rPr>
          <w:lang w:val="fr-CA"/>
        </w:rPr>
        <w:t>: </w:t>
      </w:r>
      <w:proofErr w:type="spellStart"/>
      <w:r w:rsidRPr="00F170FF">
        <w:rPr>
          <w:lang w:val="fr-CA"/>
        </w:rPr>
        <w:t>Fasken</w:t>
      </w:r>
      <w:proofErr w:type="spellEnd"/>
      <w:r w:rsidRPr="00F170FF">
        <w:rPr>
          <w:lang w:val="fr-CA"/>
        </w:rPr>
        <w:t xml:space="preserve"> Martineau </w:t>
      </w:r>
      <w:proofErr w:type="spellStart"/>
      <w:r w:rsidRPr="00F170FF">
        <w:rPr>
          <w:lang w:val="fr-CA"/>
        </w:rPr>
        <w:t>DuMoulin</w:t>
      </w:r>
      <w:proofErr w:type="spellEnd"/>
      <w:r w:rsidR="00CF31C9" w:rsidRPr="00F170FF">
        <w:rPr>
          <w:lang w:val="fr-CA"/>
        </w:rPr>
        <w:t>, Montréal.</w:t>
      </w:r>
    </w:p>
    <w:p w:rsidR="009B57B3" w:rsidRPr="00F170FF" w:rsidRDefault="00CF31C9" w:rsidP="00935044">
      <w:pPr>
        <w:pStyle w:val="SCCLawFirm"/>
        <w:widowControl w:val="0"/>
        <w:rPr>
          <w:lang w:val="en-US"/>
        </w:rPr>
      </w:pPr>
      <w:r w:rsidRPr="00F170FF">
        <w:rPr>
          <w:lang w:val="fr-CA"/>
        </w:rPr>
        <w:tab/>
      </w:r>
      <w:r w:rsidR="00E6139D" w:rsidRPr="00F170FF">
        <w:t xml:space="preserve">Solicitors for the intervener </w:t>
      </w:r>
      <w:r w:rsidR="00937053" w:rsidRPr="00F170FF">
        <w:t xml:space="preserve">the </w:t>
      </w:r>
      <w:r w:rsidRPr="00F170FF">
        <w:t xml:space="preserve">Chartered Professional Accountants </w:t>
      </w:r>
      <w:r w:rsidR="00ED5AE9" w:rsidRPr="00F170FF">
        <w:t xml:space="preserve">of </w:t>
      </w:r>
      <w:r w:rsidRPr="00F170FF">
        <w:lastRenderedPageBreak/>
        <w:t>Canada:</w:t>
      </w:r>
      <w:r w:rsidR="007A0C4B" w:rsidRPr="00F170FF">
        <w:t> </w:t>
      </w:r>
      <w:r w:rsidR="00E6139D" w:rsidRPr="00F170FF">
        <w:t>Norton Rose Fulbright Canada</w:t>
      </w:r>
      <w:r w:rsidRPr="00F170FF">
        <w:t>, Montré</w:t>
      </w:r>
      <w:r w:rsidR="00312D9E" w:rsidRPr="00F170FF">
        <w:t>al. </w:t>
      </w:r>
    </w:p>
    <w:sectPr w:rsidR="009B57B3" w:rsidRPr="00F170FF"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BD" w:rsidRDefault="00197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BD" w:rsidRDefault="001972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BD" w:rsidRDefault="00197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BD" w:rsidRDefault="001972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BD" w:rsidRDefault="00197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0863A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4"/>
  </w:num>
  <w:num w:numId="5">
    <w:abstractNumId w:val="5"/>
  </w:num>
  <w:num w:numId="6">
    <w:abstractNumId w:val="6"/>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1B78"/>
    <w:rsid w:val="00025198"/>
    <w:rsid w:val="000457E1"/>
    <w:rsid w:val="00047082"/>
    <w:rsid w:val="00057688"/>
    <w:rsid w:val="000578A3"/>
    <w:rsid w:val="00061C27"/>
    <w:rsid w:val="000648CC"/>
    <w:rsid w:val="00080917"/>
    <w:rsid w:val="000823E5"/>
    <w:rsid w:val="000911CF"/>
    <w:rsid w:val="00091AB1"/>
    <w:rsid w:val="000A43A8"/>
    <w:rsid w:val="000A5A33"/>
    <w:rsid w:val="000A6214"/>
    <w:rsid w:val="000C3E7F"/>
    <w:rsid w:val="000C42AE"/>
    <w:rsid w:val="000C59B8"/>
    <w:rsid w:val="000C6AF0"/>
    <w:rsid w:val="00102947"/>
    <w:rsid w:val="00104F33"/>
    <w:rsid w:val="00111DE2"/>
    <w:rsid w:val="00116B38"/>
    <w:rsid w:val="00132793"/>
    <w:rsid w:val="00135406"/>
    <w:rsid w:val="00135547"/>
    <w:rsid w:val="00135972"/>
    <w:rsid w:val="001426A9"/>
    <w:rsid w:val="00144147"/>
    <w:rsid w:val="00147513"/>
    <w:rsid w:val="00154D7C"/>
    <w:rsid w:val="001570B0"/>
    <w:rsid w:val="0015752C"/>
    <w:rsid w:val="00157737"/>
    <w:rsid w:val="00165277"/>
    <w:rsid w:val="00170592"/>
    <w:rsid w:val="00186351"/>
    <w:rsid w:val="00195D83"/>
    <w:rsid w:val="001972BD"/>
    <w:rsid w:val="001A00C1"/>
    <w:rsid w:val="001B33E0"/>
    <w:rsid w:val="001B4573"/>
    <w:rsid w:val="001B4AC5"/>
    <w:rsid w:val="001B5ED3"/>
    <w:rsid w:val="001C779F"/>
    <w:rsid w:val="001D2AC1"/>
    <w:rsid w:val="001D4E88"/>
    <w:rsid w:val="001E5F89"/>
    <w:rsid w:val="00220FC2"/>
    <w:rsid w:val="002222F4"/>
    <w:rsid w:val="00222468"/>
    <w:rsid w:val="00224FC0"/>
    <w:rsid w:val="00225EA4"/>
    <w:rsid w:val="00226EAF"/>
    <w:rsid w:val="00230E57"/>
    <w:rsid w:val="00231F3A"/>
    <w:rsid w:val="00234199"/>
    <w:rsid w:val="002406EE"/>
    <w:rsid w:val="00243EC8"/>
    <w:rsid w:val="00246A9D"/>
    <w:rsid w:val="00264120"/>
    <w:rsid w:val="00270D93"/>
    <w:rsid w:val="002745CC"/>
    <w:rsid w:val="00290916"/>
    <w:rsid w:val="00295DE5"/>
    <w:rsid w:val="002B081F"/>
    <w:rsid w:val="002B7924"/>
    <w:rsid w:val="002D28C3"/>
    <w:rsid w:val="002D39A4"/>
    <w:rsid w:val="002D4429"/>
    <w:rsid w:val="002E6705"/>
    <w:rsid w:val="002E692B"/>
    <w:rsid w:val="002F4CE8"/>
    <w:rsid w:val="00301D08"/>
    <w:rsid w:val="0030329A"/>
    <w:rsid w:val="0031086F"/>
    <w:rsid w:val="00312D9E"/>
    <w:rsid w:val="0031414C"/>
    <w:rsid w:val="00314E01"/>
    <w:rsid w:val="0032089D"/>
    <w:rsid w:val="00325B12"/>
    <w:rsid w:val="003310DE"/>
    <w:rsid w:val="003323B0"/>
    <w:rsid w:val="00340F56"/>
    <w:rsid w:val="0035169A"/>
    <w:rsid w:val="0035259D"/>
    <w:rsid w:val="00364B18"/>
    <w:rsid w:val="00396C7B"/>
    <w:rsid w:val="003A125D"/>
    <w:rsid w:val="003A1775"/>
    <w:rsid w:val="003A3207"/>
    <w:rsid w:val="003A4C70"/>
    <w:rsid w:val="003B215F"/>
    <w:rsid w:val="003B6B6F"/>
    <w:rsid w:val="003C5B76"/>
    <w:rsid w:val="003C799C"/>
    <w:rsid w:val="003D0399"/>
    <w:rsid w:val="003D611B"/>
    <w:rsid w:val="003E1C71"/>
    <w:rsid w:val="003F0F20"/>
    <w:rsid w:val="003F327B"/>
    <w:rsid w:val="0040456E"/>
    <w:rsid w:val="00406166"/>
    <w:rsid w:val="0040704B"/>
    <w:rsid w:val="00410A55"/>
    <w:rsid w:val="00411300"/>
    <w:rsid w:val="00415417"/>
    <w:rsid w:val="00426659"/>
    <w:rsid w:val="004328F3"/>
    <w:rsid w:val="00433ED0"/>
    <w:rsid w:val="00447EF1"/>
    <w:rsid w:val="00450352"/>
    <w:rsid w:val="00454BDB"/>
    <w:rsid w:val="004564AD"/>
    <w:rsid w:val="00464800"/>
    <w:rsid w:val="00465132"/>
    <w:rsid w:val="00480C90"/>
    <w:rsid w:val="0048396F"/>
    <w:rsid w:val="00493C18"/>
    <w:rsid w:val="004A600C"/>
    <w:rsid w:val="004A6118"/>
    <w:rsid w:val="004B0972"/>
    <w:rsid w:val="004C478D"/>
    <w:rsid w:val="004E2C26"/>
    <w:rsid w:val="004E570B"/>
    <w:rsid w:val="004F36FF"/>
    <w:rsid w:val="004F37C9"/>
    <w:rsid w:val="004F5D8D"/>
    <w:rsid w:val="00505404"/>
    <w:rsid w:val="005125A8"/>
    <w:rsid w:val="0052024F"/>
    <w:rsid w:val="00521AE8"/>
    <w:rsid w:val="00527180"/>
    <w:rsid w:val="0054201E"/>
    <w:rsid w:val="00555291"/>
    <w:rsid w:val="005652F0"/>
    <w:rsid w:val="00566AD1"/>
    <w:rsid w:val="00577519"/>
    <w:rsid w:val="00583EDE"/>
    <w:rsid w:val="005A3E5A"/>
    <w:rsid w:val="005A6079"/>
    <w:rsid w:val="005B79B3"/>
    <w:rsid w:val="005C0612"/>
    <w:rsid w:val="005E4698"/>
    <w:rsid w:val="005E4DF4"/>
    <w:rsid w:val="006031E8"/>
    <w:rsid w:val="00610539"/>
    <w:rsid w:val="00610EE4"/>
    <w:rsid w:val="00613969"/>
    <w:rsid w:val="00625C35"/>
    <w:rsid w:val="00632BAE"/>
    <w:rsid w:val="00656313"/>
    <w:rsid w:val="006565F4"/>
    <w:rsid w:val="00675108"/>
    <w:rsid w:val="00684CC0"/>
    <w:rsid w:val="00684EEA"/>
    <w:rsid w:val="006911DE"/>
    <w:rsid w:val="006963BC"/>
    <w:rsid w:val="0069689B"/>
    <w:rsid w:val="006A1551"/>
    <w:rsid w:val="006B5FF5"/>
    <w:rsid w:val="006F30AF"/>
    <w:rsid w:val="00701759"/>
    <w:rsid w:val="00702809"/>
    <w:rsid w:val="00705C15"/>
    <w:rsid w:val="0071600E"/>
    <w:rsid w:val="007208D1"/>
    <w:rsid w:val="00733724"/>
    <w:rsid w:val="00747288"/>
    <w:rsid w:val="00747DD3"/>
    <w:rsid w:val="00752A1C"/>
    <w:rsid w:val="007549C8"/>
    <w:rsid w:val="00754A0B"/>
    <w:rsid w:val="0075508E"/>
    <w:rsid w:val="00766D14"/>
    <w:rsid w:val="00767A0F"/>
    <w:rsid w:val="007802D1"/>
    <w:rsid w:val="00782CF2"/>
    <w:rsid w:val="00784C53"/>
    <w:rsid w:val="007876A4"/>
    <w:rsid w:val="007A05F6"/>
    <w:rsid w:val="007A0C4B"/>
    <w:rsid w:val="007B4BE1"/>
    <w:rsid w:val="007B69E0"/>
    <w:rsid w:val="007B6F4A"/>
    <w:rsid w:val="007C4A35"/>
    <w:rsid w:val="007D0005"/>
    <w:rsid w:val="007D0E2B"/>
    <w:rsid w:val="007E1C47"/>
    <w:rsid w:val="007E337A"/>
    <w:rsid w:val="007E5C70"/>
    <w:rsid w:val="007F2FF5"/>
    <w:rsid w:val="007F3F08"/>
    <w:rsid w:val="00802B9C"/>
    <w:rsid w:val="00804CC6"/>
    <w:rsid w:val="00812866"/>
    <w:rsid w:val="00815821"/>
    <w:rsid w:val="00817190"/>
    <w:rsid w:val="00820EE5"/>
    <w:rsid w:val="008260E2"/>
    <w:rsid w:val="00830D87"/>
    <w:rsid w:val="008322BD"/>
    <w:rsid w:val="008339E7"/>
    <w:rsid w:val="00833E0A"/>
    <w:rsid w:val="0083400E"/>
    <w:rsid w:val="00834F73"/>
    <w:rsid w:val="0083574F"/>
    <w:rsid w:val="00841180"/>
    <w:rsid w:val="00846F21"/>
    <w:rsid w:val="00863812"/>
    <w:rsid w:val="00864CF8"/>
    <w:rsid w:val="00872819"/>
    <w:rsid w:val="00874914"/>
    <w:rsid w:val="00887E66"/>
    <w:rsid w:val="00887EB0"/>
    <w:rsid w:val="00890105"/>
    <w:rsid w:val="00891422"/>
    <w:rsid w:val="008916BB"/>
    <w:rsid w:val="00892E1A"/>
    <w:rsid w:val="00897F4A"/>
    <w:rsid w:val="008A3F29"/>
    <w:rsid w:val="008B5790"/>
    <w:rsid w:val="008B660A"/>
    <w:rsid w:val="008C01DA"/>
    <w:rsid w:val="008C1361"/>
    <w:rsid w:val="008F3B70"/>
    <w:rsid w:val="008F78E9"/>
    <w:rsid w:val="00901BF7"/>
    <w:rsid w:val="00911989"/>
    <w:rsid w:val="00916642"/>
    <w:rsid w:val="009179F9"/>
    <w:rsid w:val="00933E5E"/>
    <w:rsid w:val="00935044"/>
    <w:rsid w:val="00935218"/>
    <w:rsid w:val="009366D7"/>
    <w:rsid w:val="00937053"/>
    <w:rsid w:val="009403F3"/>
    <w:rsid w:val="009406AF"/>
    <w:rsid w:val="00945EE1"/>
    <w:rsid w:val="00951B20"/>
    <w:rsid w:val="009530A1"/>
    <w:rsid w:val="009555B7"/>
    <w:rsid w:val="009567AA"/>
    <w:rsid w:val="00967374"/>
    <w:rsid w:val="009768DD"/>
    <w:rsid w:val="00985707"/>
    <w:rsid w:val="009A343A"/>
    <w:rsid w:val="009A59FF"/>
    <w:rsid w:val="009B09C9"/>
    <w:rsid w:val="009B295B"/>
    <w:rsid w:val="009B2F23"/>
    <w:rsid w:val="009B57B3"/>
    <w:rsid w:val="009C5B92"/>
    <w:rsid w:val="009C61DC"/>
    <w:rsid w:val="009D1CBA"/>
    <w:rsid w:val="009D2920"/>
    <w:rsid w:val="009D5AEB"/>
    <w:rsid w:val="009F0E33"/>
    <w:rsid w:val="00A030CE"/>
    <w:rsid w:val="00A149DF"/>
    <w:rsid w:val="00A1755C"/>
    <w:rsid w:val="00A21B90"/>
    <w:rsid w:val="00A41805"/>
    <w:rsid w:val="00A42DCD"/>
    <w:rsid w:val="00A435A6"/>
    <w:rsid w:val="00A50B4B"/>
    <w:rsid w:val="00A52AFB"/>
    <w:rsid w:val="00A548CB"/>
    <w:rsid w:val="00A5521C"/>
    <w:rsid w:val="00A643E7"/>
    <w:rsid w:val="00A73C38"/>
    <w:rsid w:val="00A75D9D"/>
    <w:rsid w:val="00A80019"/>
    <w:rsid w:val="00A80741"/>
    <w:rsid w:val="00A86884"/>
    <w:rsid w:val="00A958C3"/>
    <w:rsid w:val="00AA07A5"/>
    <w:rsid w:val="00AA5067"/>
    <w:rsid w:val="00AB670D"/>
    <w:rsid w:val="00AD258F"/>
    <w:rsid w:val="00AD6FDD"/>
    <w:rsid w:val="00AE4535"/>
    <w:rsid w:val="00AE590F"/>
    <w:rsid w:val="00AF0201"/>
    <w:rsid w:val="00AF03C5"/>
    <w:rsid w:val="00AF2E30"/>
    <w:rsid w:val="00AF65B2"/>
    <w:rsid w:val="00AF6D18"/>
    <w:rsid w:val="00B000D8"/>
    <w:rsid w:val="00B00F75"/>
    <w:rsid w:val="00B023D2"/>
    <w:rsid w:val="00B145B6"/>
    <w:rsid w:val="00B279EB"/>
    <w:rsid w:val="00B50C81"/>
    <w:rsid w:val="00B51B69"/>
    <w:rsid w:val="00B557F8"/>
    <w:rsid w:val="00B56AE1"/>
    <w:rsid w:val="00B815FC"/>
    <w:rsid w:val="00B93FBC"/>
    <w:rsid w:val="00BA7DA0"/>
    <w:rsid w:val="00BB2EE4"/>
    <w:rsid w:val="00BC2108"/>
    <w:rsid w:val="00BC21C6"/>
    <w:rsid w:val="00BC553D"/>
    <w:rsid w:val="00BD0E9E"/>
    <w:rsid w:val="00BD1BEC"/>
    <w:rsid w:val="00BD32FF"/>
    <w:rsid w:val="00BF04C3"/>
    <w:rsid w:val="00C02092"/>
    <w:rsid w:val="00C021FF"/>
    <w:rsid w:val="00C02B91"/>
    <w:rsid w:val="00C051E3"/>
    <w:rsid w:val="00C13C91"/>
    <w:rsid w:val="00C14E82"/>
    <w:rsid w:val="00C16DBB"/>
    <w:rsid w:val="00C24D91"/>
    <w:rsid w:val="00C32F28"/>
    <w:rsid w:val="00C37EA3"/>
    <w:rsid w:val="00C53F14"/>
    <w:rsid w:val="00C600CF"/>
    <w:rsid w:val="00C6084F"/>
    <w:rsid w:val="00C62A66"/>
    <w:rsid w:val="00C660A3"/>
    <w:rsid w:val="00C71458"/>
    <w:rsid w:val="00C7496A"/>
    <w:rsid w:val="00C77613"/>
    <w:rsid w:val="00C82240"/>
    <w:rsid w:val="00C828E7"/>
    <w:rsid w:val="00C82EF4"/>
    <w:rsid w:val="00C86719"/>
    <w:rsid w:val="00C910E3"/>
    <w:rsid w:val="00C921DD"/>
    <w:rsid w:val="00C96224"/>
    <w:rsid w:val="00CA6391"/>
    <w:rsid w:val="00CC1EB7"/>
    <w:rsid w:val="00CC34BD"/>
    <w:rsid w:val="00CD0181"/>
    <w:rsid w:val="00CE161A"/>
    <w:rsid w:val="00CE2E54"/>
    <w:rsid w:val="00CE3171"/>
    <w:rsid w:val="00CF1601"/>
    <w:rsid w:val="00CF31C9"/>
    <w:rsid w:val="00CF3F47"/>
    <w:rsid w:val="00D0172F"/>
    <w:rsid w:val="00D068A7"/>
    <w:rsid w:val="00D1191A"/>
    <w:rsid w:val="00D17476"/>
    <w:rsid w:val="00D214C7"/>
    <w:rsid w:val="00D32086"/>
    <w:rsid w:val="00D357A5"/>
    <w:rsid w:val="00D37A3F"/>
    <w:rsid w:val="00D421D6"/>
    <w:rsid w:val="00D4431D"/>
    <w:rsid w:val="00D4667A"/>
    <w:rsid w:val="00D506F4"/>
    <w:rsid w:val="00D508A3"/>
    <w:rsid w:val="00D51D7B"/>
    <w:rsid w:val="00D63A1C"/>
    <w:rsid w:val="00D65C37"/>
    <w:rsid w:val="00D67112"/>
    <w:rsid w:val="00D67AC8"/>
    <w:rsid w:val="00D7516F"/>
    <w:rsid w:val="00D8579F"/>
    <w:rsid w:val="00D8615E"/>
    <w:rsid w:val="00D91902"/>
    <w:rsid w:val="00D94487"/>
    <w:rsid w:val="00D95F8E"/>
    <w:rsid w:val="00DA0590"/>
    <w:rsid w:val="00DA1FEC"/>
    <w:rsid w:val="00DA3EBE"/>
    <w:rsid w:val="00DB7BEA"/>
    <w:rsid w:val="00DC1739"/>
    <w:rsid w:val="00DC1788"/>
    <w:rsid w:val="00DE319C"/>
    <w:rsid w:val="00DE6F06"/>
    <w:rsid w:val="00DF0CA8"/>
    <w:rsid w:val="00DF2B48"/>
    <w:rsid w:val="00DF49A7"/>
    <w:rsid w:val="00E07EE2"/>
    <w:rsid w:val="00E07FD1"/>
    <w:rsid w:val="00E176D8"/>
    <w:rsid w:val="00E24573"/>
    <w:rsid w:val="00E25E1E"/>
    <w:rsid w:val="00E25EAE"/>
    <w:rsid w:val="00E27EE7"/>
    <w:rsid w:val="00E35404"/>
    <w:rsid w:val="00E45109"/>
    <w:rsid w:val="00E47B7A"/>
    <w:rsid w:val="00E56A44"/>
    <w:rsid w:val="00E60269"/>
    <w:rsid w:val="00E6139D"/>
    <w:rsid w:val="00E77932"/>
    <w:rsid w:val="00E77F84"/>
    <w:rsid w:val="00E90F6C"/>
    <w:rsid w:val="00E97830"/>
    <w:rsid w:val="00EC6C1A"/>
    <w:rsid w:val="00ED5AE9"/>
    <w:rsid w:val="00EE4F50"/>
    <w:rsid w:val="00EE643C"/>
    <w:rsid w:val="00EF0683"/>
    <w:rsid w:val="00EF69D2"/>
    <w:rsid w:val="00EF766E"/>
    <w:rsid w:val="00F0070C"/>
    <w:rsid w:val="00F00EB7"/>
    <w:rsid w:val="00F170FF"/>
    <w:rsid w:val="00F24AAB"/>
    <w:rsid w:val="00F36AB6"/>
    <w:rsid w:val="00F37A09"/>
    <w:rsid w:val="00F409CE"/>
    <w:rsid w:val="00F4379D"/>
    <w:rsid w:val="00F50D2D"/>
    <w:rsid w:val="00F55E27"/>
    <w:rsid w:val="00F56C8B"/>
    <w:rsid w:val="00F66810"/>
    <w:rsid w:val="00F67A46"/>
    <w:rsid w:val="00F710A6"/>
    <w:rsid w:val="00F81761"/>
    <w:rsid w:val="00F819E9"/>
    <w:rsid w:val="00F846D9"/>
    <w:rsid w:val="00F84DF4"/>
    <w:rsid w:val="00F85C97"/>
    <w:rsid w:val="00F93E82"/>
    <w:rsid w:val="00F97AB3"/>
    <w:rsid w:val="00FA40DE"/>
    <w:rsid w:val="00FA4EFE"/>
    <w:rsid w:val="00FA79E1"/>
    <w:rsid w:val="00FB11FA"/>
    <w:rsid w:val="00FB37D2"/>
    <w:rsid w:val="00FC0F05"/>
    <w:rsid w:val="00FC4EFB"/>
    <w:rsid w:val="00FD068D"/>
    <w:rsid w:val="00FD4F28"/>
    <w:rsid w:val="00FE6507"/>
    <w:rsid w:val="00FE6784"/>
    <w:rsid w:val="00FF1FD2"/>
    <w:rsid w:val="00FF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NoSpacing">
    <w:name w:val="No Spacing"/>
    <w:uiPriority w:val="1"/>
    <w:rsid w:val="00290916"/>
    <w:rPr>
      <w:sz w:val="24"/>
    </w:rPr>
  </w:style>
  <w:style w:type="paragraph" w:customStyle="1" w:styleId="SCCLsocOtherPartyRoleSeparator">
    <w:name w:val="SCC.Lsoc.OtherPartyRoleSeparator"/>
    <w:basedOn w:val="Normal"/>
    <w:next w:val="Normal"/>
    <w:link w:val="SCCLsocOtherPartyRoleSeparatorChar"/>
    <w:rsid w:val="00290916"/>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290916"/>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290916"/>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290916"/>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290916"/>
    <w:rPr>
      <w:b/>
      <w:sz w:val="24"/>
    </w:rPr>
  </w:style>
  <w:style w:type="table" w:styleId="TableGrid">
    <w:name w:val="Table Grid"/>
    <w:basedOn w:val="TableNormal"/>
    <w:uiPriority w:val="59"/>
    <w:rsid w:val="002909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90916"/>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290916"/>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290916"/>
    <w:pPr>
      <w:tabs>
        <w:tab w:val="left" w:pos="1166"/>
      </w:tabs>
      <w:spacing w:after="480" w:line="480" w:lineRule="auto"/>
    </w:pPr>
    <w:rPr>
      <w:smallCaps/>
      <w:sz w:val="24"/>
      <w:lang w:val="fr-CA"/>
    </w:rPr>
  </w:style>
  <w:style w:type="paragraph" w:customStyle="1" w:styleId="ParaNoNdepar-AltN">
    <w:name w:val="Para. No. / Nº de par. - Alt N"/>
    <w:qFormat/>
    <w:rsid w:val="00290916"/>
    <w:pPr>
      <w:numPr>
        <w:numId w:val="6"/>
      </w:numPr>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290916"/>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90916"/>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90916"/>
    <w:pPr>
      <w:numPr>
        <w:ilvl w:val="2"/>
      </w:numPr>
      <w:outlineLvl w:val="2"/>
    </w:pPr>
  </w:style>
  <w:style w:type="paragraph" w:customStyle="1" w:styleId="Title4LevelTitre4Niveau">
    <w:name w:val="Title 4 Level / Titre 4 Niveau"/>
    <w:basedOn w:val="Title3LevelTitre3Niveau"/>
    <w:next w:val="ParaNoNdepar-AltN"/>
    <w:uiPriority w:val="4"/>
    <w:qFormat/>
    <w:rsid w:val="00290916"/>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290916"/>
    <w:pPr>
      <w:numPr>
        <w:ilvl w:val="4"/>
      </w:numPr>
      <w:outlineLvl w:val="4"/>
    </w:pPr>
  </w:style>
  <w:style w:type="paragraph" w:customStyle="1" w:styleId="TitleTitre-AltT">
    <w:name w:val="Title / Titre - Alt T"/>
    <w:next w:val="ParaNoNdepar-AltN"/>
    <w:uiPriority w:val="3"/>
    <w:qFormat/>
    <w:rsid w:val="00290916"/>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290916"/>
    <w:pPr>
      <w:numPr>
        <w:ilvl w:val="5"/>
      </w:numPr>
      <w:outlineLvl w:val="5"/>
    </w:pPr>
    <w:rPr>
      <w:i/>
      <w:u w:val="none"/>
    </w:rPr>
  </w:style>
  <w:style w:type="paragraph" w:styleId="FootnoteText">
    <w:name w:val="footnote text"/>
    <w:basedOn w:val="Normal"/>
    <w:link w:val="FootnoteTextChar"/>
    <w:uiPriority w:val="99"/>
    <w:unhideWhenUsed/>
    <w:rsid w:val="00290916"/>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290916"/>
  </w:style>
  <w:style w:type="character" w:styleId="FootnoteReference">
    <w:name w:val="footnote reference"/>
    <w:basedOn w:val="DefaultParagraphFont"/>
    <w:uiPriority w:val="99"/>
    <w:semiHidden/>
    <w:unhideWhenUsed/>
    <w:rsid w:val="00290916"/>
    <w:rPr>
      <w:vertAlign w:val="superscript"/>
    </w:rPr>
  </w:style>
  <w:style w:type="character" w:styleId="Emphasis">
    <w:name w:val="Emphasis"/>
    <w:basedOn w:val="DefaultParagraphFont"/>
    <w:uiPriority w:val="20"/>
    <w:qFormat/>
    <w:rsid w:val="00290916"/>
    <w:rPr>
      <w:i/>
      <w:iCs/>
    </w:rPr>
  </w:style>
  <w:style w:type="character" w:styleId="CommentReference">
    <w:name w:val="annotation reference"/>
    <w:basedOn w:val="DefaultParagraphFont"/>
    <w:uiPriority w:val="99"/>
    <w:semiHidden/>
    <w:unhideWhenUsed/>
    <w:rsid w:val="00290916"/>
    <w:rPr>
      <w:sz w:val="16"/>
      <w:szCs w:val="16"/>
    </w:rPr>
  </w:style>
  <w:style w:type="paragraph" w:styleId="CommentText">
    <w:name w:val="annotation text"/>
    <w:basedOn w:val="Normal"/>
    <w:link w:val="CommentTextChar"/>
    <w:uiPriority w:val="99"/>
    <w:semiHidden/>
    <w:unhideWhenUsed/>
    <w:rsid w:val="00290916"/>
    <w:rPr>
      <w:sz w:val="20"/>
      <w:lang w:val="fr-CA"/>
    </w:rPr>
  </w:style>
  <w:style w:type="character" w:customStyle="1" w:styleId="CommentTextChar">
    <w:name w:val="Comment Text Char"/>
    <w:basedOn w:val="DefaultParagraphFont"/>
    <w:link w:val="CommentText"/>
    <w:uiPriority w:val="99"/>
    <w:semiHidden/>
    <w:rsid w:val="00290916"/>
    <w:rPr>
      <w:lang w:val="fr-CA"/>
    </w:rPr>
  </w:style>
  <w:style w:type="paragraph" w:styleId="CommentSubject">
    <w:name w:val="annotation subject"/>
    <w:basedOn w:val="CommentText"/>
    <w:next w:val="CommentText"/>
    <w:link w:val="CommentSubjectChar"/>
    <w:uiPriority w:val="99"/>
    <w:semiHidden/>
    <w:unhideWhenUsed/>
    <w:rsid w:val="00290916"/>
    <w:rPr>
      <w:b/>
      <w:bCs/>
    </w:rPr>
  </w:style>
  <w:style w:type="character" w:customStyle="1" w:styleId="CommentSubjectChar">
    <w:name w:val="Comment Subject Char"/>
    <w:basedOn w:val="CommentTextChar"/>
    <w:link w:val="CommentSubject"/>
    <w:uiPriority w:val="99"/>
    <w:semiHidden/>
    <w:rsid w:val="00290916"/>
    <w:rPr>
      <w:b/>
      <w:bCs/>
      <w:lang w:val="fr-CA"/>
    </w:rPr>
  </w:style>
  <w:style w:type="paragraph" w:styleId="Revision">
    <w:name w:val="Revision"/>
    <w:hidden/>
    <w:uiPriority w:val="99"/>
    <w:semiHidden/>
    <w:rsid w:val="00290916"/>
    <w:rPr>
      <w:sz w:val="24"/>
      <w:lang w:val="fr-CA"/>
    </w:rPr>
  </w:style>
  <w:style w:type="character" w:customStyle="1" w:styleId="reflex3-alt">
    <w:name w:val="reflex3-alt"/>
    <w:basedOn w:val="DefaultParagraphFont"/>
    <w:rsid w:val="00290916"/>
  </w:style>
  <w:style w:type="character" w:customStyle="1" w:styleId="solext0">
    <w:name w:val="solext0"/>
    <w:basedOn w:val="DefaultParagraphFont"/>
    <w:rsid w:val="00290916"/>
  </w:style>
  <w:style w:type="character" w:customStyle="1" w:styleId="solext1">
    <w:name w:val="solext1"/>
    <w:basedOn w:val="DefaultParagraphFont"/>
    <w:rsid w:val="00290916"/>
  </w:style>
  <w:style w:type="character" w:customStyle="1" w:styleId="solext2">
    <w:name w:val="solext2"/>
    <w:basedOn w:val="DefaultParagraphFont"/>
    <w:rsid w:val="00290916"/>
  </w:style>
  <w:style w:type="paragraph" w:styleId="ListBullet">
    <w:name w:val="List Bullet"/>
    <w:basedOn w:val="Normal"/>
    <w:uiPriority w:val="99"/>
    <w:unhideWhenUsed/>
    <w:rsid w:val="00290916"/>
    <w:pPr>
      <w:numPr>
        <w:numId w:val="9"/>
      </w:numPr>
      <w:contextualSpacing/>
    </w:pPr>
    <w:rPr>
      <w:lang w:val="fr-CA"/>
    </w:rPr>
  </w:style>
  <w:style w:type="table" w:customStyle="1" w:styleId="TableGrid1">
    <w:name w:val="Table Grid1"/>
    <w:basedOn w:val="TableNormal"/>
    <w:next w:val="TableGrid"/>
    <w:uiPriority w:val="59"/>
    <w:rsid w:val="0029091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0823E5"/>
    <w:rPr>
      <w:lang w:val="en-CA"/>
    </w:rPr>
  </w:style>
  <w:style w:type="paragraph" w:customStyle="1" w:styleId="SCCLsocPrefix">
    <w:name w:val="SCC.Lsoc.Prefix"/>
    <w:basedOn w:val="Normal"/>
    <w:next w:val="Normal"/>
    <w:link w:val="SCCLsocPrefixChar"/>
    <w:rsid w:val="000823E5"/>
    <w:rPr>
      <w:rFonts w:eastAsiaTheme="minorHAnsi" w:cstheme="minorBidi"/>
      <w:b/>
      <w:smallCaps/>
      <w:szCs w:val="24"/>
      <w:lang w:eastAsia="en-US"/>
    </w:rPr>
  </w:style>
  <w:style w:type="character" w:customStyle="1" w:styleId="SCCLsocPrefixChar">
    <w:name w:val="SCC.Lsoc.Prefix Char"/>
    <w:basedOn w:val="DefaultParagraphFont"/>
    <w:link w:val="SCCLsocPrefix"/>
    <w:rsid w:val="000823E5"/>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29849-48AE-42A7-A16A-CB9CC253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17630</Words>
  <Characters>88386</Characters>
  <Application>Microsoft Office Word</Application>
  <DocSecurity>0</DocSecurity>
  <Lines>736</Lines>
  <Paragraphs>211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2017-11-16T15:44:00Z</dcterms:created>
  <dcterms:modified xsi:type="dcterms:W3CDTF">2018-02-14T18:21:00Z</dcterms:modified>
</cp:coreProperties>
</file>