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7A" w:rsidRPr="00D7327A" w:rsidRDefault="00D7327A" w:rsidP="00D7327A">
      <w:pPr>
        <w:tabs>
          <w:tab w:val="center" w:pos="4680"/>
          <w:tab w:val="right" w:pos="9360"/>
        </w:tabs>
        <w:jc w:val="center"/>
        <w:rPr>
          <w:rFonts w:eastAsiaTheme="minorHAnsi" w:cstheme="minorBidi"/>
          <w:szCs w:val="24"/>
          <w:lang w:eastAsia="en-US"/>
        </w:rPr>
      </w:pPr>
      <w:r w:rsidRPr="00D7327A">
        <w:rPr>
          <w:rFonts w:eastAsiaTheme="minorHAnsi" w:cstheme="minorBidi"/>
          <w:szCs w:val="24"/>
          <w:lang w:eastAsia="en-US"/>
        </w:rPr>
        <w:ptab w:relativeTo="margin" w:alignment="center" w:leader="none"/>
      </w:r>
      <w:r w:rsidRPr="00D7327A">
        <w:rPr>
          <w:rFonts w:eastAsiaTheme="minorHAnsi" w:cstheme="minorBidi"/>
          <w:szCs w:val="24"/>
          <w:lang w:eastAsia="en-US"/>
        </w:rPr>
        <w:t xml:space="preserve"> </w:t>
      </w:r>
      <w:r w:rsidRPr="00D7327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64.65pt" o:ole="">
            <v:imagedata r:id="rId8" o:title=""/>
          </v:shape>
          <o:OLEObject Type="Embed" ProgID="Presentations.Drawing.13" ShapeID="_x0000_i1025" DrawAspect="Content" ObjectID="_1594448993" r:id="rId9"/>
        </w:object>
      </w:r>
      <w:r w:rsidRPr="00D7327A">
        <w:rPr>
          <w:rFonts w:eastAsiaTheme="minorHAnsi" w:cstheme="minorBidi"/>
          <w:szCs w:val="24"/>
          <w:lang w:eastAsia="en-US"/>
        </w:rPr>
        <w:t xml:space="preserve"> </w:t>
      </w:r>
      <w:r w:rsidRPr="00D7327A">
        <w:rPr>
          <w:rFonts w:eastAsiaTheme="minorHAnsi" w:cstheme="minorBidi"/>
          <w:szCs w:val="24"/>
          <w:lang w:eastAsia="en-US"/>
        </w:rPr>
        <w:ptab w:relativeTo="margin" w:alignment="right" w:leader="none"/>
      </w:r>
    </w:p>
    <w:p w:rsidR="00D7327A" w:rsidRPr="00D7327A" w:rsidRDefault="00D7327A" w:rsidP="00D7327A">
      <w:pPr>
        <w:tabs>
          <w:tab w:val="center" w:pos="4680"/>
          <w:tab w:val="right" w:pos="9360"/>
        </w:tabs>
        <w:rPr>
          <w:rFonts w:eastAsiaTheme="minorHAnsi" w:cstheme="minorBidi"/>
          <w:szCs w:val="24"/>
          <w:lang w:eastAsia="en-US"/>
        </w:rPr>
      </w:pPr>
    </w:p>
    <w:p w:rsidR="00D7327A" w:rsidRPr="00D7327A" w:rsidRDefault="00D7327A" w:rsidP="00D7327A">
      <w:pPr>
        <w:jc w:val="center"/>
        <w:rPr>
          <w:rFonts w:eastAsiaTheme="minorHAnsi" w:cstheme="minorBidi"/>
          <w:b/>
          <w:szCs w:val="24"/>
          <w:lang w:eastAsia="en-US"/>
        </w:rPr>
      </w:pPr>
      <w:r w:rsidRPr="00D7327A">
        <w:rPr>
          <w:rFonts w:eastAsiaTheme="minorHAnsi" w:cstheme="minorBidi"/>
          <w:b/>
          <w:szCs w:val="24"/>
          <w:lang w:eastAsia="en-US"/>
        </w:rPr>
        <w:t>SUPREME COURT OF CANADA</w:t>
      </w:r>
    </w:p>
    <w:p w:rsidR="00D7327A" w:rsidRPr="00D7327A" w:rsidRDefault="00D7327A" w:rsidP="00D7327A">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680"/>
        <w:gridCol w:w="4896"/>
      </w:tblGrid>
      <w:tr w:rsidR="00D7327A" w:rsidRPr="00D7327A" w:rsidTr="004945EF">
        <w:trPr>
          <w:cantSplit/>
        </w:trPr>
        <w:tc>
          <w:tcPr>
            <w:tcW w:w="4680" w:type="dxa"/>
          </w:tcPr>
          <w:p w:rsidR="00D7327A" w:rsidRPr="00D7327A" w:rsidRDefault="00D7327A" w:rsidP="00D7327A">
            <w:r w:rsidRPr="00D7327A">
              <w:rPr>
                <w:b/>
                <w:smallCaps/>
                <w:lang w:val="fr-CA"/>
              </w:rPr>
              <w:t>Citation:</w:t>
            </w:r>
            <w:r w:rsidRPr="00D7327A">
              <w:rPr>
                <w:lang w:val="fr-CA"/>
              </w:rPr>
              <w:t xml:space="preserve"> Deloitte &amp; Touche </w:t>
            </w:r>
            <w:r w:rsidRPr="00D7327A">
              <w:rPr>
                <w:i/>
                <w:lang w:val="fr-CA"/>
              </w:rPr>
              <w:t>v.</w:t>
            </w:r>
            <w:r w:rsidRPr="00D7327A">
              <w:rPr>
                <w:lang w:val="fr-CA"/>
              </w:rPr>
              <w:t xml:space="preserve"> Livent Inc. </w:t>
            </w:r>
            <w:r w:rsidRPr="00D7327A">
              <w:t>(Receiver of), 2017 SCC 63</w:t>
            </w:r>
          </w:p>
        </w:tc>
        <w:tc>
          <w:tcPr>
            <w:tcW w:w="4896" w:type="dxa"/>
          </w:tcPr>
          <w:p w:rsidR="00D7327A" w:rsidRPr="00D7327A" w:rsidRDefault="00D7327A" w:rsidP="00D7327A">
            <w:r w:rsidRPr="00D7327A">
              <w:rPr>
                <w:b/>
                <w:smallCaps/>
              </w:rPr>
              <w:t>Appeal Heard:</w:t>
            </w:r>
            <w:r w:rsidRPr="00D7327A">
              <w:t xml:space="preserve"> February 15, 2017</w:t>
            </w:r>
          </w:p>
          <w:p w:rsidR="00D7327A" w:rsidRPr="00D7327A" w:rsidRDefault="00D7327A" w:rsidP="00D7327A">
            <w:r w:rsidRPr="00D7327A">
              <w:rPr>
                <w:b/>
                <w:smallCaps/>
              </w:rPr>
              <w:t>Judgment Rendered:</w:t>
            </w:r>
            <w:r w:rsidRPr="00D7327A">
              <w:t xml:space="preserve"> December 20, 2017</w:t>
            </w:r>
          </w:p>
          <w:p w:rsidR="00D7327A" w:rsidRPr="00D7327A" w:rsidRDefault="00D7327A" w:rsidP="00D7327A">
            <w:r w:rsidRPr="00D7327A">
              <w:rPr>
                <w:b/>
                <w:smallCaps/>
              </w:rPr>
              <w:t>Docket:</w:t>
            </w:r>
            <w:r w:rsidRPr="00D7327A">
              <w:t xml:space="preserve"> 36875</w:t>
            </w:r>
          </w:p>
        </w:tc>
      </w:tr>
    </w:tbl>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b/>
          <w:smallCaps/>
          <w:szCs w:val="24"/>
          <w:lang w:eastAsia="en-US"/>
        </w:rPr>
      </w:pPr>
      <w:r w:rsidRPr="00D7327A">
        <w:rPr>
          <w:rFonts w:eastAsiaTheme="minorHAnsi" w:cstheme="minorBidi"/>
          <w:b/>
          <w:smallCaps/>
          <w:szCs w:val="24"/>
          <w:lang w:eastAsia="en-US"/>
        </w:rPr>
        <w:t>Between:</w:t>
      </w:r>
    </w:p>
    <w:p w:rsidR="00D7327A" w:rsidRPr="00D7327A" w:rsidRDefault="00D7327A" w:rsidP="00D7327A">
      <w:pPr>
        <w:rPr>
          <w:rFonts w:eastAsiaTheme="minorHAnsi" w:cstheme="minorBidi"/>
          <w:szCs w:val="24"/>
          <w:lang w:eastAsia="en-US"/>
        </w:rPr>
      </w:pPr>
    </w:p>
    <w:p w:rsidR="00D7327A" w:rsidRPr="00D7327A" w:rsidRDefault="00D7327A" w:rsidP="00D7327A">
      <w:pPr>
        <w:jc w:val="center"/>
        <w:rPr>
          <w:rFonts w:eastAsiaTheme="minorHAnsi" w:cstheme="minorBidi"/>
          <w:b/>
          <w:szCs w:val="24"/>
          <w:lang w:eastAsia="en-US"/>
        </w:rPr>
      </w:pPr>
      <w:r w:rsidRPr="00D7327A">
        <w:rPr>
          <w:rFonts w:eastAsiaTheme="minorHAnsi" w:cstheme="minorBidi"/>
          <w:b/>
          <w:szCs w:val="24"/>
          <w:lang w:eastAsia="en-US"/>
        </w:rPr>
        <w:t xml:space="preserve">Deloitte &amp; </w:t>
      </w:r>
      <w:proofErr w:type="spellStart"/>
      <w:r w:rsidRPr="00D7327A">
        <w:rPr>
          <w:rFonts w:eastAsiaTheme="minorHAnsi" w:cstheme="minorBidi"/>
          <w:b/>
          <w:szCs w:val="24"/>
          <w:lang w:eastAsia="en-US"/>
        </w:rPr>
        <w:t>Touche</w:t>
      </w:r>
      <w:proofErr w:type="spellEnd"/>
      <w:r w:rsidRPr="00D7327A">
        <w:rPr>
          <w:rFonts w:eastAsiaTheme="minorHAnsi" w:cstheme="minorBidi"/>
          <w:b/>
          <w:szCs w:val="24"/>
          <w:lang w:eastAsia="en-US"/>
        </w:rPr>
        <w:t xml:space="preserve"> (now continued as Deloitte LLP)</w:t>
      </w:r>
    </w:p>
    <w:p w:rsidR="00D7327A" w:rsidRPr="00D7327A" w:rsidRDefault="00D7327A" w:rsidP="00D7327A">
      <w:pPr>
        <w:jc w:val="center"/>
        <w:rPr>
          <w:rFonts w:eastAsiaTheme="minorHAnsi" w:cstheme="minorBidi"/>
          <w:szCs w:val="24"/>
          <w:lang w:eastAsia="en-US"/>
        </w:rPr>
      </w:pPr>
      <w:r w:rsidRPr="00D7327A">
        <w:rPr>
          <w:rFonts w:eastAsiaTheme="minorHAnsi" w:cstheme="minorBidi"/>
          <w:szCs w:val="24"/>
          <w:lang w:eastAsia="en-US"/>
        </w:rPr>
        <w:t>Appellant</w:t>
      </w:r>
    </w:p>
    <w:p w:rsidR="00D7327A" w:rsidRPr="00D7327A" w:rsidRDefault="00D7327A" w:rsidP="00D7327A">
      <w:pPr>
        <w:rPr>
          <w:rFonts w:eastAsiaTheme="minorHAnsi" w:cstheme="minorBidi"/>
          <w:szCs w:val="24"/>
          <w:lang w:eastAsia="en-US"/>
        </w:rPr>
      </w:pPr>
    </w:p>
    <w:p w:rsidR="00D7327A" w:rsidRPr="00D7327A" w:rsidRDefault="00D7327A" w:rsidP="00D7327A">
      <w:pPr>
        <w:jc w:val="center"/>
        <w:rPr>
          <w:rFonts w:eastAsiaTheme="minorHAnsi" w:cstheme="minorBidi"/>
          <w:szCs w:val="24"/>
          <w:lang w:eastAsia="en-US"/>
        </w:rPr>
      </w:pPr>
      <w:proofErr w:type="gramStart"/>
      <w:r w:rsidRPr="00D7327A">
        <w:rPr>
          <w:rFonts w:eastAsiaTheme="minorHAnsi" w:cstheme="minorBidi"/>
          <w:szCs w:val="24"/>
          <w:lang w:eastAsia="en-US"/>
        </w:rPr>
        <w:t>and</w:t>
      </w:r>
      <w:proofErr w:type="gramEnd"/>
    </w:p>
    <w:p w:rsidR="00D7327A" w:rsidRPr="00D7327A" w:rsidRDefault="00D7327A" w:rsidP="00D7327A">
      <w:pPr>
        <w:rPr>
          <w:rFonts w:eastAsiaTheme="minorHAnsi" w:cstheme="minorBidi"/>
          <w:szCs w:val="24"/>
          <w:lang w:eastAsia="en-US"/>
        </w:rPr>
      </w:pPr>
    </w:p>
    <w:p w:rsidR="00D7327A" w:rsidRPr="00D7327A" w:rsidRDefault="00D7327A" w:rsidP="00D7327A">
      <w:pPr>
        <w:jc w:val="center"/>
        <w:rPr>
          <w:rFonts w:eastAsiaTheme="minorHAnsi" w:cstheme="minorBidi"/>
          <w:b/>
          <w:szCs w:val="24"/>
          <w:lang w:eastAsia="en-US"/>
        </w:rPr>
      </w:pPr>
      <w:r w:rsidRPr="00D7327A">
        <w:rPr>
          <w:rFonts w:eastAsiaTheme="minorHAnsi" w:cstheme="minorBidi"/>
          <w:b/>
          <w:szCs w:val="24"/>
          <w:lang w:eastAsia="en-US"/>
        </w:rPr>
        <w:t xml:space="preserve">Livent Inc., through its special receiver and manager Roman </w:t>
      </w:r>
      <w:proofErr w:type="spellStart"/>
      <w:r w:rsidRPr="00D7327A">
        <w:rPr>
          <w:rFonts w:eastAsiaTheme="minorHAnsi" w:cstheme="minorBidi"/>
          <w:b/>
          <w:szCs w:val="24"/>
          <w:lang w:eastAsia="en-US"/>
        </w:rPr>
        <w:t>Doroniuk</w:t>
      </w:r>
      <w:proofErr w:type="spellEnd"/>
    </w:p>
    <w:p w:rsidR="00D7327A" w:rsidRPr="00D7327A" w:rsidRDefault="00D7327A" w:rsidP="00D7327A">
      <w:pPr>
        <w:jc w:val="center"/>
        <w:rPr>
          <w:rFonts w:eastAsiaTheme="minorHAnsi" w:cstheme="minorBidi"/>
          <w:szCs w:val="24"/>
          <w:lang w:eastAsia="en-US"/>
        </w:rPr>
      </w:pPr>
      <w:r w:rsidRPr="00D7327A">
        <w:rPr>
          <w:rFonts w:eastAsiaTheme="minorHAnsi" w:cstheme="minorBidi"/>
          <w:szCs w:val="24"/>
          <w:lang w:eastAsia="en-US"/>
        </w:rPr>
        <w:t>Respondent</w:t>
      </w:r>
    </w:p>
    <w:p w:rsidR="00D7327A" w:rsidRPr="00D7327A" w:rsidRDefault="00D7327A" w:rsidP="00D7327A">
      <w:pPr>
        <w:rPr>
          <w:rFonts w:eastAsiaTheme="minorHAnsi" w:cstheme="minorBidi"/>
          <w:szCs w:val="24"/>
          <w:lang w:eastAsia="en-US"/>
        </w:rPr>
      </w:pPr>
    </w:p>
    <w:p w:rsidR="00D7327A" w:rsidRPr="00D7327A" w:rsidRDefault="00D7327A" w:rsidP="00D7327A">
      <w:pPr>
        <w:jc w:val="center"/>
        <w:rPr>
          <w:rFonts w:eastAsiaTheme="minorHAnsi" w:cstheme="minorBidi"/>
          <w:szCs w:val="24"/>
          <w:lang w:eastAsia="en-US"/>
        </w:rPr>
      </w:pPr>
      <w:r w:rsidRPr="00D7327A">
        <w:rPr>
          <w:rFonts w:eastAsiaTheme="minorHAnsi" w:cstheme="minorBidi"/>
          <w:szCs w:val="24"/>
          <w:lang w:eastAsia="en-US"/>
        </w:rPr>
        <w:t xml:space="preserve">- </w:t>
      </w:r>
      <w:proofErr w:type="gramStart"/>
      <w:r w:rsidRPr="00D7327A">
        <w:rPr>
          <w:rFonts w:eastAsiaTheme="minorHAnsi" w:cstheme="minorBidi"/>
          <w:szCs w:val="24"/>
          <w:lang w:eastAsia="en-US"/>
        </w:rPr>
        <w:t>and</w:t>
      </w:r>
      <w:proofErr w:type="gramEnd"/>
      <w:r w:rsidRPr="00D7327A">
        <w:rPr>
          <w:rFonts w:eastAsiaTheme="minorHAnsi" w:cstheme="minorBidi"/>
          <w:szCs w:val="24"/>
          <w:lang w:eastAsia="en-US"/>
        </w:rPr>
        <w:t xml:space="preserve"> -</w:t>
      </w:r>
    </w:p>
    <w:p w:rsidR="00D7327A" w:rsidRPr="00D7327A" w:rsidRDefault="00D7327A" w:rsidP="00D7327A">
      <w:pPr>
        <w:rPr>
          <w:rFonts w:eastAsiaTheme="minorHAnsi" w:cstheme="minorBidi"/>
          <w:szCs w:val="24"/>
          <w:lang w:eastAsia="en-US"/>
        </w:rPr>
      </w:pPr>
    </w:p>
    <w:p w:rsidR="00D7327A" w:rsidRPr="00D7327A" w:rsidRDefault="00D7327A" w:rsidP="00D7327A">
      <w:pPr>
        <w:jc w:val="center"/>
        <w:rPr>
          <w:rFonts w:eastAsiaTheme="minorHAnsi" w:cstheme="minorBidi"/>
          <w:b/>
          <w:szCs w:val="24"/>
          <w:lang w:eastAsia="en-US"/>
        </w:rPr>
      </w:pPr>
      <w:r w:rsidRPr="00D7327A">
        <w:rPr>
          <w:rFonts w:eastAsiaTheme="minorHAnsi" w:cstheme="minorBidi"/>
          <w:b/>
          <w:szCs w:val="24"/>
          <w:lang w:eastAsia="en-US"/>
        </w:rPr>
        <w:t xml:space="preserve">Canadian Coalition for Good Governance and </w:t>
      </w:r>
      <w:proofErr w:type="gramStart"/>
      <w:r w:rsidRPr="00D7327A">
        <w:rPr>
          <w:rFonts w:eastAsiaTheme="minorHAnsi" w:cstheme="minorBidi"/>
          <w:b/>
          <w:szCs w:val="24"/>
          <w:lang w:eastAsia="en-US"/>
        </w:rPr>
        <w:t>Chartered</w:t>
      </w:r>
      <w:r w:rsidR="001F26AB">
        <w:rPr>
          <w:rFonts w:eastAsiaTheme="minorHAnsi" w:cstheme="minorBidi"/>
          <w:b/>
          <w:szCs w:val="24"/>
          <w:lang w:eastAsia="en-US"/>
        </w:rPr>
        <w:t xml:space="preserve"> </w:t>
      </w:r>
      <w:r w:rsidRPr="00D7327A">
        <w:rPr>
          <w:rFonts w:eastAsiaTheme="minorHAnsi" w:cstheme="minorBidi"/>
          <w:b/>
          <w:szCs w:val="24"/>
          <w:lang w:eastAsia="en-US"/>
        </w:rPr>
        <w:t> Professional</w:t>
      </w:r>
      <w:proofErr w:type="gramEnd"/>
      <w:r w:rsidRPr="00D7327A">
        <w:rPr>
          <w:rFonts w:eastAsiaTheme="minorHAnsi" w:cstheme="minorBidi"/>
          <w:b/>
          <w:szCs w:val="24"/>
          <w:lang w:eastAsia="en-US"/>
        </w:rPr>
        <w:t> Accountants of Canada</w:t>
      </w:r>
    </w:p>
    <w:p w:rsidR="00D7327A" w:rsidRPr="00D7327A" w:rsidRDefault="00D7327A" w:rsidP="00D7327A">
      <w:pPr>
        <w:jc w:val="center"/>
        <w:rPr>
          <w:rFonts w:eastAsiaTheme="minorHAnsi" w:cstheme="minorBidi"/>
          <w:szCs w:val="24"/>
          <w:lang w:eastAsia="en-US"/>
        </w:rPr>
      </w:pPr>
      <w:r w:rsidRPr="00D7327A">
        <w:rPr>
          <w:rFonts w:eastAsiaTheme="minorHAnsi" w:cstheme="minorBidi"/>
          <w:szCs w:val="24"/>
          <w:lang w:eastAsia="en-US"/>
        </w:rPr>
        <w:t>Interveners</w:t>
      </w: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r w:rsidRPr="00D7327A">
        <w:rPr>
          <w:rFonts w:eastAsiaTheme="minorHAnsi" w:cstheme="minorBidi"/>
          <w:b/>
          <w:smallCaps/>
          <w:szCs w:val="24"/>
          <w:lang w:eastAsia="en-US"/>
        </w:rPr>
        <w:t>Coram:</w:t>
      </w:r>
      <w:r w:rsidRPr="00D7327A">
        <w:rPr>
          <w:rFonts w:eastAsiaTheme="minorHAnsi" w:cstheme="minorBidi"/>
          <w:szCs w:val="24"/>
          <w:lang w:eastAsia="en-US"/>
        </w:rPr>
        <w:t xml:space="preserve"> McLachlin C.J. and Karakatsanis, Wagner, Gascon, Côté, Brown and Rowe JJ.</w:t>
      </w:r>
    </w:p>
    <w:p w:rsidR="00D7327A" w:rsidRPr="00D7327A" w:rsidRDefault="00D7327A" w:rsidP="00D7327A">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7327A" w:rsidRPr="00D7327A" w:rsidTr="004945EF">
        <w:trPr>
          <w:cantSplit/>
        </w:trPr>
        <w:tc>
          <w:tcPr>
            <w:tcW w:w="3618" w:type="dxa"/>
          </w:tcPr>
          <w:p w:rsidR="00D7327A" w:rsidRPr="00D7327A" w:rsidRDefault="00D7327A" w:rsidP="00D7327A">
            <w:pPr>
              <w:rPr>
                <w:b/>
                <w:smallCaps/>
              </w:rPr>
            </w:pPr>
            <w:r w:rsidRPr="00D7327A">
              <w:rPr>
                <w:b/>
                <w:smallCaps/>
              </w:rPr>
              <w:t>Joint Reasons for Judgment:</w:t>
            </w:r>
          </w:p>
          <w:p w:rsidR="00D7327A" w:rsidRPr="00D7327A" w:rsidRDefault="00D7327A" w:rsidP="00D7327A">
            <w:r w:rsidRPr="00D7327A">
              <w:t>(paras. 1 to 115)</w:t>
            </w:r>
          </w:p>
        </w:tc>
        <w:tc>
          <w:tcPr>
            <w:tcW w:w="5958" w:type="dxa"/>
          </w:tcPr>
          <w:p w:rsidR="00D7327A" w:rsidRPr="00D7327A" w:rsidRDefault="00D7327A" w:rsidP="00D7327A">
            <w:r w:rsidRPr="00D7327A">
              <w:t>Gascon and Brown JJ. (Karakatsanis and Rowe JJ. concurring)</w:t>
            </w:r>
          </w:p>
        </w:tc>
      </w:tr>
    </w:tbl>
    <w:p w:rsidR="00D7327A" w:rsidRPr="00D7327A" w:rsidRDefault="00D7327A" w:rsidP="00D7327A">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7327A" w:rsidRPr="00D7327A" w:rsidTr="004945EF">
        <w:trPr>
          <w:cantSplit/>
        </w:trPr>
        <w:tc>
          <w:tcPr>
            <w:tcW w:w="3618" w:type="dxa"/>
          </w:tcPr>
          <w:p w:rsidR="00D7327A" w:rsidRPr="00D7327A" w:rsidRDefault="00D7327A" w:rsidP="00D7327A">
            <w:pPr>
              <w:rPr>
                <w:b/>
                <w:smallCaps/>
              </w:rPr>
            </w:pPr>
            <w:r w:rsidRPr="00D7327A">
              <w:rPr>
                <w:b/>
                <w:smallCaps/>
              </w:rPr>
              <w:t>Reasons Dissenting in Part:</w:t>
            </w:r>
          </w:p>
          <w:p w:rsidR="00D7327A" w:rsidRPr="00D7327A" w:rsidRDefault="00D7327A" w:rsidP="00D7327A">
            <w:r w:rsidRPr="00D7327A">
              <w:t>(paras. 116 to 178)</w:t>
            </w:r>
          </w:p>
        </w:tc>
        <w:tc>
          <w:tcPr>
            <w:tcW w:w="5958" w:type="dxa"/>
          </w:tcPr>
          <w:p w:rsidR="00D7327A" w:rsidRPr="00D7327A" w:rsidRDefault="00D7327A" w:rsidP="00D7327A">
            <w:r w:rsidRPr="00D7327A">
              <w:t>McLachlin C.J. (Wagner and Côté JJ. concurring)</w:t>
            </w:r>
          </w:p>
        </w:tc>
      </w:tr>
    </w:tbl>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r w:rsidRPr="00D7327A">
        <w:rPr>
          <w:rFonts w:eastAsiaTheme="minorHAnsi" w:cstheme="minorBidi"/>
          <w:b/>
          <w:smallCaps/>
          <w:szCs w:val="24"/>
          <w:lang w:eastAsia="en-US"/>
        </w:rPr>
        <w:t>Note:</w:t>
      </w:r>
      <w:r w:rsidRPr="00D7327A">
        <w:rPr>
          <w:rFonts w:eastAsiaTheme="minorHAnsi" w:cstheme="minorBidi"/>
          <w:szCs w:val="24"/>
          <w:lang w:eastAsia="en-US"/>
        </w:rPr>
        <w:t xml:space="preserve"> This document is subject to editorial revision before its reproduction in final form in the </w:t>
      </w:r>
      <w:r w:rsidRPr="00D7327A">
        <w:rPr>
          <w:rFonts w:eastAsiaTheme="minorHAnsi" w:cstheme="minorBidi"/>
          <w:i/>
          <w:szCs w:val="24"/>
          <w:lang w:eastAsia="en-US"/>
        </w:rPr>
        <w:t>Canada Supreme Court Reports</w:t>
      </w:r>
      <w:r w:rsidRPr="00D7327A">
        <w:rPr>
          <w:rFonts w:eastAsiaTheme="minorHAnsi" w:cstheme="minorBidi"/>
          <w:szCs w:val="24"/>
          <w:lang w:eastAsia="en-US"/>
        </w:rPr>
        <w:t>.</w:t>
      </w:r>
    </w:p>
    <w:p w:rsidR="00D7327A" w:rsidRPr="00D7327A" w:rsidRDefault="00D7327A" w:rsidP="00D7327A">
      <w:pPr>
        <w:rPr>
          <w:rFonts w:eastAsiaTheme="minorHAnsi" w:cstheme="minorBidi"/>
          <w:szCs w:val="24"/>
          <w:lang w:eastAsia="en-US"/>
        </w:rPr>
      </w:pPr>
    </w:p>
    <w:p w:rsidR="00D7327A" w:rsidRPr="00D7327A" w:rsidRDefault="00D7327A" w:rsidP="00D7327A">
      <w:pPr>
        <w:rPr>
          <w:rFonts w:eastAsiaTheme="minorHAnsi" w:cstheme="minorBidi"/>
          <w:szCs w:val="24"/>
          <w:lang w:eastAsia="en-US"/>
        </w:rPr>
      </w:pPr>
      <w:r w:rsidRPr="00D7327A">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2FE98762" wp14:editId="2CFB8F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B43D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7327A" w:rsidRPr="00D7327A" w:rsidRDefault="00D7327A">
      <w:pPr>
        <w:rPr>
          <w:rStyle w:val="SCCAppellantForRunningHeadChar"/>
          <w:lang w:val="en-US"/>
        </w:rPr>
      </w:pPr>
      <w:r w:rsidRPr="00D7327A">
        <w:rPr>
          <w:rStyle w:val="SCCAppellantForRunningHeadChar"/>
          <w:lang w:val="en-US"/>
        </w:rPr>
        <w:lastRenderedPageBreak/>
        <w:br w:type="page"/>
      </w:r>
    </w:p>
    <w:p w:rsidR="008322BD" w:rsidRPr="004C79F4" w:rsidRDefault="000F1DDF" w:rsidP="002011A6">
      <w:pPr>
        <w:spacing w:after="720"/>
        <w:jc w:val="both"/>
        <w:rPr>
          <w:lang w:val="fr-CA"/>
        </w:rPr>
      </w:pPr>
      <w:proofErr w:type="spellStart"/>
      <w:r w:rsidRPr="004C79F4">
        <w:rPr>
          <w:rStyle w:val="SCCAppellantForRunningHeadChar"/>
          <w:lang w:val="fr-CA"/>
        </w:rPr>
        <w:t>deloitte</w:t>
      </w:r>
      <w:proofErr w:type="spellEnd"/>
      <w:r w:rsidRPr="004C79F4">
        <w:rPr>
          <w:rStyle w:val="SCCAppellantForRunningHeadChar"/>
          <w:lang w:val="fr-CA"/>
        </w:rPr>
        <w:t xml:space="preserve"> &amp;</w:t>
      </w:r>
      <w:r w:rsidR="00035080" w:rsidRPr="004C79F4">
        <w:rPr>
          <w:rStyle w:val="SCCAppellantForRunningHeadChar"/>
          <w:lang w:val="fr-CA"/>
        </w:rPr>
        <w:t xml:space="preserve"> t</w:t>
      </w:r>
      <w:r w:rsidR="008F78E9" w:rsidRPr="004C79F4">
        <w:rPr>
          <w:rStyle w:val="SCCAppellantForRunningHeadChar"/>
          <w:lang w:val="fr-CA"/>
        </w:rPr>
        <w:t>ouche</w:t>
      </w:r>
      <w:r w:rsidR="00480C90" w:rsidRPr="004C79F4">
        <w:rPr>
          <w:lang w:val="fr-CA"/>
        </w:rPr>
        <w:t xml:space="preserve"> </w:t>
      </w:r>
      <w:r w:rsidR="009B57B3" w:rsidRPr="004C79F4">
        <w:rPr>
          <w:i/>
          <w:lang w:val="fr-CA"/>
        </w:rPr>
        <w:t>v.</w:t>
      </w:r>
      <w:r w:rsidR="00B000D8" w:rsidRPr="004C79F4">
        <w:rPr>
          <w:lang w:val="fr-CA"/>
        </w:rPr>
        <w:t xml:space="preserve"> </w:t>
      </w:r>
      <w:proofErr w:type="spellStart"/>
      <w:r w:rsidR="00035080" w:rsidRPr="004C79F4">
        <w:rPr>
          <w:rStyle w:val="SCCRespondentForRunningHeadChar"/>
          <w:lang w:val="fr-CA"/>
        </w:rPr>
        <w:t>l</w:t>
      </w:r>
      <w:r w:rsidR="008F78E9" w:rsidRPr="004C79F4">
        <w:rPr>
          <w:rStyle w:val="SCCRespondentForRunningHeadChar"/>
          <w:lang w:val="fr-CA"/>
        </w:rPr>
        <w:t>ivent</w:t>
      </w:r>
      <w:proofErr w:type="spellEnd"/>
      <w:r w:rsidR="008F78E9" w:rsidRPr="004C79F4">
        <w:rPr>
          <w:rStyle w:val="SCCRespondentForRunningHeadChar"/>
          <w:lang w:val="fr-CA"/>
        </w:rPr>
        <w:t xml:space="preserve"> </w:t>
      </w:r>
      <w:proofErr w:type="spellStart"/>
      <w:r w:rsidR="00035080" w:rsidRPr="004C79F4">
        <w:rPr>
          <w:rStyle w:val="SCCRespondentForRunningHeadChar"/>
          <w:lang w:val="fr-CA"/>
        </w:rPr>
        <w:t>inc.</w:t>
      </w:r>
      <w:proofErr w:type="spellEnd"/>
    </w:p>
    <w:p w:rsidR="002729BF" w:rsidRPr="004C79F4" w:rsidRDefault="00035080">
      <w:pPr>
        <w:pStyle w:val="SCCLsocLastPartyInRole"/>
      </w:pPr>
      <w:r w:rsidRPr="004C79F4">
        <w:t xml:space="preserve">Deloitte &amp; </w:t>
      </w:r>
      <w:proofErr w:type="spellStart"/>
      <w:r w:rsidRPr="004C79F4">
        <w:t>Touche</w:t>
      </w:r>
      <w:proofErr w:type="spellEnd"/>
      <w:r w:rsidR="006120D0" w:rsidRPr="004C79F4">
        <w:t xml:space="preserve"> (now continued as Deloitte LLP)</w:t>
      </w:r>
      <w:r w:rsidRPr="004C79F4">
        <w:rPr>
          <w:rStyle w:val="SCCLsocPartyRole"/>
        </w:rPr>
        <w:tab/>
        <w:t>Appellant</w:t>
      </w:r>
    </w:p>
    <w:p w:rsidR="002729BF" w:rsidRPr="004C79F4" w:rsidRDefault="00035080">
      <w:pPr>
        <w:pStyle w:val="SCCLsocVersus"/>
      </w:pPr>
      <w:proofErr w:type="gramStart"/>
      <w:r w:rsidRPr="004C79F4">
        <w:t>v</w:t>
      </w:r>
      <w:proofErr w:type="gramEnd"/>
      <w:r w:rsidRPr="004C79F4">
        <w:t>.</w:t>
      </w:r>
    </w:p>
    <w:p w:rsidR="00035080" w:rsidRPr="004C79F4" w:rsidRDefault="006120D0" w:rsidP="00035080">
      <w:pPr>
        <w:pStyle w:val="SCCLsocParty"/>
      </w:pPr>
      <w:r w:rsidRPr="004C79F4">
        <w:t>Livent Inc., through its special r</w:t>
      </w:r>
      <w:r w:rsidR="00035080" w:rsidRPr="004C79F4">
        <w:t xml:space="preserve">eceiver and </w:t>
      </w:r>
    </w:p>
    <w:p w:rsidR="002729BF" w:rsidRPr="004C79F4" w:rsidRDefault="006120D0">
      <w:pPr>
        <w:pStyle w:val="SCCLsocLastPartyInRole"/>
      </w:pPr>
      <w:proofErr w:type="gramStart"/>
      <w:r w:rsidRPr="004C79F4">
        <w:t>m</w:t>
      </w:r>
      <w:r w:rsidR="00035080" w:rsidRPr="004C79F4">
        <w:t>anager</w:t>
      </w:r>
      <w:proofErr w:type="gramEnd"/>
      <w:r w:rsidR="00035080" w:rsidRPr="004C79F4">
        <w:t xml:space="preserve"> Roman </w:t>
      </w:r>
      <w:proofErr w:type="spellStart"/>
      <w:r w:rsidR="00035080" w:rsidRPr="004C79F4">
        <w:t>Doroniuk</w:t>
      </w:r>
      <w:proofErr w:type="spellEnd"/>
      <w:r w:rsidR="00035080" w:rsidRPr="004C79F4">
        <w:rPr>
          <w:rStyle w:val="SCCLsocPartyRole"/>
        </w:rPr>
        <w:tab/>
        <w:t>Respondent</w:t>
      </w:r>
    </w:p>
    <w:p w:rsidR="002729BF" w:rsidRPr="004C79F4" w:rsidRDefault="00035080">
      <w:pPr>
        <w:pStyle w:val="SCCLsocOtherPartySeparator"/>
      </w:pPr>
      <w:proofErr w:type="gramStart"/>
      <w:r w:rsidRPr="004C79F4">
        <w:t>and</w:t>
      </w:r>
      <w:proofErr w:type="gramEnd"/>
    </w:p>
    <w:p w:rsidR="002729BF" w:rsidRPr="004C79F4" w:rsidRDefault="00035080">
      <w:pPr>
        <w:pStyle w:val="SCCLsocParty"/>
      </w:pPr>
      <w:r w:rsidRPr="004C79F4">
        <w:t xml:space="preserve">Canadian Coalition </w:t>
      </w:r>
      <w:r w:rsidR="00215C3B" w:rsidRPr="004C79F4">
        <w:t>for Good Governance and</w:t>
      </w:r>
    </w:p>
    <w:p w:rsidR="002729BF" w:rsidRPr="004C79F4" w:rsidRDefault="00035080">
      <w:pPr>
        <w:pStyle w:val="SCCLsocLastPartyInRole"/>
      </w:pPr>
      <w:r w:rsidRPr="004C79F4">
        <w:t>Chartered Professional Accountants of Canada</w:t>
      </w:r>
      <w:r w:rsidRPr="004C79F4">
        <w:rPr>
          <w:rStyle w:val="SCCLsocPartyRole"/>
        </w:rPr>
        <w:tab/>
        <w:t>Interveners</w:t>
      </w:r>
    </w:p>
    <w:p w:rsidR="00426659" w:rsidRPr="004C79F4" w:rsidRDefault="00426659" w:rsidP="002011A6">
      <w:pPr>
        <w:spacing w:after="720"/>
        <w:jc w:val="both"/>
        <w:rPr>
          <w:b/>
        </w:rPr>
      </w:pPr>
      <w:r w:rsidRPr="004C79F4">
        <w:rPr>
          <w:b/>
        </w:rPr>
        <w:t xml:space="preserve">Indexed as: </w:t>
      </w:r>
      <w:r w:rsidRPr="004C79F4">
        <w:rPr>
          <w:rStyle w:val="SCCAppellantForIndexChar"/>
        </w:rPr>
        <w:t xml:space="preserve">Deloitte &amp; </w:t>
      </w:r>
      <w:proofErr w:type="spellStart"/>
      <w:r w:rsidRPr="004C79F4">
        <w:rPr>
          <w:rStyle w:val="SCCAppellantForIndexChar"/>
        </w:rPr>
        <w:t>Touche</w:t>
      </w:r>
      <w:proofErr w:type="spellEnd"/>
      <w:r w:rsidRPr="004C79F4">
        <w:rPr>
          <w:b/>
        </w:rPr>
        <w:t xml:space="preserve"> </w:t>
      </w:r>
      <w:r w:rsidRPr="004C79F4">
        <w:rPr>
          <w:b/>
          <w:i/>
        </w:rPr>
        <w:t>v.</w:t>
      </w:r>
      <w:r w:rsidRPr="004C79F4">
        <w:rPr>
          <w:b/>
        </w:rPr>
        <w:t xml:space="preserve"> </w:t>
      </w:r>
      <w:r w:rsidRPr="004C79F4">
        <w:rPr>
          <w:rStyle w:val="SCCRespondentForIndexChar"/>
        </w:rPr>
        <w:t>Livent Inc.</w:t>
      </w:r>
      <w:r w:rsidR="00A84B86" w:rsidRPr="004C79F4">
        <w:rPr>
          <w:rStyle w:val="SCCRespondentForIndexChar"/>
        </w:rPr>
        <w:t xml:space="preserve"> (Receiver of)</w:t>
      </w:r>
    </w:p>
    <w:p w:rsidR="00426659" w:rsidRPr="004C79F4" w:rsidRDefault="00AE4535" w:rsidP="002011A6">
      <w:pPr>
        <w:pStyle w:val="SCCSystemYear"/>
        <w:spacing w:after="720"/>
        <w:jc w:val="both"/>
      </w:pPr>
      <w:r w:rsidRPr="004C79F4">
        <w:t>2017</w:t>
      </w:r>
      <w:r w:rsidR="003D0399" w:rsidRPr="004C79F4">
        <w:t xml:space="preserve"> </w:t>
      </w:r>
      <w:r w:rsidR="00426659" w:rsidRPr="004C79F4">
        <w:t>SCC </w:t>
      </w:r>
      <w:r w:rsidR="00105472" w:rsidRPr="004C79F4">
        <w:t>63</w:t>
      </w:r>
    </w:p>
    <w:p w:rsidR="008322BD" w:rsidRPr="004C79F4" w:rsidRDefault="00AA6BFF" w:rsidP="002011A6">
      <w:pPr>
        <w:spacing w:after="720"/>
        <w:jc w:val="both"/>
      </w:pPr>
      <w:r w:rsidRPr="004C79F4">
        <w:t xml:space="preserve">File No.: </w:t>
      </w:r>
      <w:r w:rsidR="009B57B3" w:rsidRPr="004C79F4">
        <w:t>36875.</w:t>
      </w:r>
    </w:p>
    <w:p w:rsidR="008322BD" w:rsidRPr="004C79F4" w:rsidRDefault="003C3525" w:rsidP="002011A6">
      <w:pPr>
        <w:spacing w:after="720"/>
        <w:jc w:val="both"/>
      </w:pPr>
      <w:r w:rsidRPr="004C79F4">
        <w:t>2017: February </w:t>
      </w:r>
      <w:r w:rsidR="00AE4535" w:rsidRPr="004C79F4">
        <w:t>15</w:t>
      </w:r>
      <w:r w:rsidR="009B57B3" w:rsidRPr="004C79F4">
        <w:t xml:space="preserve">; </w:t>
      </w:r>
      <w:r w:rsidRPr="004C79F4">
        <w:t>2017: December </w:t>
      </w:r>
      <w:r w:rsidR="00D3547D" w:rsidRPr="004C79F4">
        <w:t>2</w:t>
      </w:r>
      <w:r w:rsidR="00F25640" w:rsidRPr="004C79F4">
        <w:t>0</w:t>
      </w:r>
      <w:r w:rsidR="009B57B3" w:rsidRPr="004C79F4">
        <w:t>.</w:t>
      </w:r>
    </w:p>
    <w:p w:rsidR="008322BD" w:rsidRPr="004C79F4" w:rsidRDefault="00C93F2E" w:rsidP="002011A6">
      <w:pPr>
        <w:spacing w:after="720"/>
        <w:jc w:val="both"/>
      </w:pPr>
      <w:r w:rsidRPr="004C79F4">
        <w:t xml:space="preserve">Present: </w:t>
      </w:r>
      <w:r w:rsidR="009B57B3" w:rsidRPr="004C79F4">
        <w:t>McLachlin C.J. and Karakatsanis, Wagner, Gascon, Côté, Brown and Rowe JJ.</w:t>
      </w:r>
    </w:p>
    <w:p w:rsidR="008322BD" w:rsidRPr="004C79F4" w:rsidRDefault="00656313" w:rsidP="002011A6">
      <w:pPr>
        <w:pStyle w:val="SCCLowerCourtNameLowercase"/>
        <w:spacing w:after="720" w:line="240" w:lineRule="auto"/>
      </w:pPr>
      <w:r w:rsidRPr="004C79F4">
        <w:t>o</w:t>
      </w:r>
      <w:r w:rsidR="00170592" w:rsidRPr="004C79F4">
        <w:t>n</w:t>
      </w:r>
      <w:r w:rsidR="00224FC0" w:rsidRPr="004C79F4">
        <w:t xml:space="preserve"> </w:t>
      </w:r>
      <w:r w:rsidRPr="004C79F4">
        <w:t>a</w:t>
      </w:r>
      <w:r w:rsidR="00170592" w:rsidRPr="004C79F4">
        <w:t>ppeal</w:t>
      </w:r>
      <w:r w:rsidR="00224FC0" w:rsidRPr="004C79F4">
        <w:t xml:space="preserve"> </w:t>
      </w:r>
      <w:r w:rsidR="00170592" w:rsidRPr="004C79F4">
        <w:t>from</w:t>
      </w:r>
      <w:r w:rsidR="009567AA" w:rsidRPr="004C79F4">
        <w:t xml:space="preserve"> the</w:t>
      </w:r>
      <w:r w:rsidR="00224FC0" w:rsidRPr="004C79F4">
        <w:t xml:space="preserve"> </w:t>
      </w:r>
      <w:r w:rsidR="009B57B3" w:rsidRPr="004C79F4">
        <w:t xml:space="preserve">court of appeal for </w:t>
      </w:r>
      <w:proofErr w:type="spellStart"/>
      <w:r w:rsidR="009B57B3" w:rsidRPr="004C79F4">
        <w:t>ontario</w:t>
      </w:r>
      <w:proofErr w:type="spellEnd"/>
    </w:p>
    <w:p w:rsidR="00F25640" w:rsidRPr="004C79F4" w:rsidRDefault="00F25640" w:rsidP="00633C48">
      <w:pPr>
        <w:pStyle w:val="SCCNormalDoubleSpacing"/>
        <w:spacing w:before="480" w:after="480"/>
        <w:rPr>
          <w:i/>
        </w:rPr>
      </w:pPr>
      <w:r w:rsidRPr="004C79F4">
        <w:tab/>
      </w:r>
      <w:r w:rsidRPr="004C79F4">
        <w:rPr>
          <w:i/>
        </w:rPr>
        <w:t>Torts — Duty of care — Negligence — Negligent misrepresentation — Auditor failing to discover fraud by company</w:t>
      </w:r>
      <w:r w:rsidR="009138AE" w:rsidRPr="004C79F4">
        <w:rPr>
          <w:i/>
        </w:rPr>
        <w:t>’</w:t>
      </w:r>
      <w:r w:rsidRPr="004C79F4">
        <w:rPr>
          <w:i/>
        </w:rPr>
        <w:t>s directors and company incurring losses</w:t>
      </w:r>
      <w:r w:rsidRPr="004C79F4">
        <w:t xml:space="preserve"> — </w:t>
      </w:r>
      <w:r w:rsidRPr="004C79F4">
        <w:rPr>
          <w:i/>
        </w:rPr>
        <w:t>Proper application of analytical framework for establishing tort liability in cases of negligent misrepresentation or performance of service by auditor —</w:t>
      </w:r>
      <w:r w:rsidRPr="004C79F4">
        <w:t xml:space="preserve"> </w:t>
      </w:r>
      <w:r w:rsidRPr="004C79F4">
        <w:rPr>
          <w:i/>
        </w:rPr>
        <w:t>Whether auditor breaching duty of care and therefore liable for company</w:t>
      </w:r>
      <w:r w:rsidR="009138AE" w:rsidRPr="004C79F4">
        <w:rPr>
          <w:i/>
        </w:rPr>
        <w:t>’</w:t>
      </w:r>
      <w:r w:rsidRPr="004C79F4">
        <w:rPr>
          <w:i/>
        </w:rPr>
        <w:t>s losses — Appropriate date from which to calculate quantum of damages.</w:t>
      </w:r>
    </w:p>
    <w:p w:rsidR="00F25640" w:rsidRPr="004C79F4" w:rsidRDefault="00C203C9" w:rsidP="00633C48">
      <w:pPr>
        <w:pStyle w:val="SCCNormalDoubleSpacing"/>
        <w:spacing w:before="480" w:after="480"/>
      </w:pPr>
      <w:r w:rsidRPr="004C79F4">
        <w:tab/>
      </w:r>
      <w:r w:rsidR="00F25640" w:rsidRPr="004C79F4">
        <w:t xml:space="preserve">Livent produced and staged performances in theatres that it owned in Canada and the U.S., with its shares listed on Canadian and U.S. stock exchanges. To enhance </w:t>
      </w:r>
      <w:proofErr w:type="spellStart"/>
      <w:r w:rsidR="00F25640" w:rsidRPr="004C79F4">
        <w:t>Livent</w:t>
      </w:r>
      <w:r w:rsidR="009138AE" w:rsidRPr="004C79F4">
        <w:t>’</w:t>
      </w:r>
      <w:r w:rsidR="00F25640" w:rsidRPr="004C79F4">
        <w:t>s</w:t>
      </w:r>
      <w:proofErr w:type="spellEnd"/>
      <w:r w:rsidR="00F25640" w:rsidRPr="004C79F4">
        <w:t xml:space="preserve"> success, its directors manipulated the company</w:t>
      </w:r>
      <w:r w:rsidR="009138AE" w:rsidRPr="004C79F4">
        <w:t>’</w:t>
      </w:r>
      <w:r w:rsidR="00F25640" w:rsidRPr="004C79F4">
        <w:t>s financial records.</w:t>
      </w:r>
      <w:r w:rsidR="00E1423D" w:rsidRPr="004C79F4">
        <w:t xml:space="preserve"> </w:t>
      </w:r>
      <w:r w:rsidRPr="004C79F4">
        <w:t xml:space="preserve">Deloitte was </w:t>
      </w:r>
      <w:proofErr w:type="spellStart"/>
      <w:r w:rsidRPr="004C79F4">
        <w:t>Livent</w:t>
      </w:r>
      <w:r w:rsidR="009138AE" w:rsidRPr="004C79F4">
        <w:t>’</w:t>
      </w:r>
      <w:r w:rsidRPr="004C79F4">
        <w:t>s</w:t>
      </w:r>
      <w:proofErr w:type="spellEnd"/>
      <w:r w:rsidRPr="004C79F4">
        <w:t xml:space="preserve"> auditor</w:t>
      </w:r>
      <w:r w:rsidR="00F25640" w:rsidRPr="004C79F4">
        <w:t>.</w:t>
      </w:r>
      <w:r w:rsidR="00E1423D" w:rsidRPr="004C79F4">
        <w:t xml:space="preserve"> </w:t>
      </w:r>
      <w:r w:rsidRPr="004C79F4">
        <w:t>Deloitte never uncovered the fraud</w:t>
      </w:r>
      <w:r w:rsidR="00F25640" w:rsidRPr="004C79F4">
        <w:t>. In</w:t>
      </w:r>
      <w:r w:rsidRPr="004C79F4">
        <w:t xml:space="preserve"> August 1997, however, Deloitte</w:t>
      </w:r>
      <w:r w:rsidR="00F25640" w:rsidRPr="004C79F4">
        <w:t xml:space="preserve"> identified irregularities in the </w:t>
      </w:r>
      <w:r w:rsidRPr="004C79F4">
        <w:t xml:space="preserve">reporting of </w:t>
      </w:r>
      <w:r w:rsidR="00F25640" w:rsidRPr="004C79F4">
        <w:t>prof</w:t>
      </w:r>
      <w:r w:rsidRPr="004C79F4">
        <w:t>it from an asset sale. Deloitte</w:t>
      </w:r>
      <w:r w:rsidR="00F25640" w:rsidRPr="004C79F4">
        <w:t xml:space="preserve"> did not resign. Instead, for the purpose of helpi</w:t>
      </w:r>
      <w:r w:rsidRPr="004C79F4">
        <w:t>ng Livent to solicit investment</w:t>
      </w:r>
      <w:r w:rsidR="00F25640" w:rsidRPr="004C79F4">
        <w:t>, Deloitte</w:t>
      </w:r>
      <w:r w:rsidRPr="004C79F4">
        <w:t xml:space="preserve"> helped prepare, and approved, a press release issued in September 1997,</w:t>
      </w:r>
      <w:r w:rsidR="00F25640" w:rsidRPr="004C79F4">
        <w:t xml:space="preserve"> which misrepresented </w:t>
      </w:r>
      <w:r w:rsidRPr="004C79F4">
        <w:t>the basis for the reporting of the</w:t>
      </w:r>
      <w:r w:rsidR="00F25640" w:rsidRPr="004C79F4">
        <w:t xml:space="preserve"> profit. In</w:t>
      </w:r>
      <w:r w:rsidRPr="004C79F4">
        <w:t xml:space="preserve"> October 1997, Deloitte provided a comfort letter for a public offering.</w:t>
      </w:r>
      <w:r w:rsidR="00E1423D" w:rsidRPr="004C79F4">
        <w:t xml:space="preserve"> </w:t>
      </w:r>
      <w:r w:rsidRPr="004C79F4">
        <w:t xml:space="preserve">It also prepared </w:t>
      </w:r>
      <w:proofErr w:type="spellStart"/>
      <w:r w:rsidRPr="004C79F4">
        <w:t>Livent</w:t>
      </w:r>
      <w:r w:rsidR="009138AE" w:rsidRPr="004C79F4">
        <w:t>’</w:t>
      </w:r>
      <w:r w:rsidRPr="004C79F4">
        <w:t>s</w:t>
      </w:r>
      <w:proofErr w:type="spellEnd"/>
      <w:r w:rsidRPr="004C79F4">
        <w:t xml:space="preserve"> 1997 audit, which it</w:t>
      </w:r>
      <w:r w:rsidR="00F25640" w:rsidRPr="004C79F4">
        <w:t xml:space="preserve"> finalized in April 1998.</w:t>
      </w:r>
      <w:r w:rsidR="00E1423D" w:rsidRPr="004C79F4">
        <w:t xml:space="preserve"> </w:t>
      </w:r>
      <w:r w:rsidRPr="004C79F4">
        <w:t>New equity investors later discovered the fraud</w:t>
      </w:r>
      <w:r w:rsidR="00F25640" w:rsidRPr="004C79F4">
        <w:t>. A subsequent investigation and re</w:t>
      </w:r>
      <w:r w:rsidR="00144572">
        <w:noBreakHyphen/>
      </w:r>
      <w:r w:rsidR="00F25640" w:rsidRPr="004C79F4">
        <w:t>audit resulted in restated financial reports.</w:t>
      </w:r>
      <w:r w:rsidR="00E1423D" w:rsidRPr="004C79F4">
        <w:t xml:space="preserve"> </w:t>
      </w:r>
      <w:r w:rsidR="00F25640" w:rsidRPr="004C79F4">
        <w:t xml:space="preserve">Livent </w:t>
      </w:r>
      <w:r w:rsidRPr="004C79F4">
        <w:t>filed for insolvency protection in November 1998. It sold its assets and went into receivership in 1999</w:t>
      </w:r>
      <w:r w:rsidR="009138AE" w:rsidRPr="004C79F4">
        <w:t xml:space="preserve">. </w:t>
      </w:r>
      <w:r w:rsidRPr="004C79F4">
        <w:t>Livent sued Deloitte later in tort and contract</w:t>
      </w:r>
      <w:r w:rsidR="00F25640" w:rsidRPr="004C79F4">
        <w:t>.</w:t>
      </w:r>
    </w:p>
    <w:p w:rsidR="00F25640" w:rsidRPr="004C79F4" w:rsidRDefault="00C203C9" w:rsidP="00633C48">
      <w:pPr>
        <w:pStyle w:val="SCCNormalDoubleSpacing"/>
        <w:spacing w:before="480" w:after="480"/>
      </w:pPr>
      <w:r w:rsidRPr="004C79F4">
        <w:tab/>
      </w:r>
      <w:r w:rsidR="00F25640" w:rsidRPr="004C79F4">
        <w:rPr>
          <w:lang w:val="en-US"/>
        </w:rPr>
        <w:t xml:space="preserve">The trial judge held that Deloitte owed a duty of care to provide accurate information to </w:t>
      </w:r>
      <w:proofErr w:type="spellStart"/>
      <w:r w:rsidR="00F25640" w:rsidRPr="004C79F4">
        <w:rPr>
          <w:lang w:val="en-US"/>
        </w:rPr>
        <w:t>Livent</w:t>
      </w:r>
      <w:r w:rsidR="009138AE" w:rsidRPr="004C79F4">
        <w:rPr>
          <w:lang w:val="en-US"/>
        </w:rPr>
        <w:t>’</w:t>
      </w:r>
      <w:r w:rsidR="00F25640" w:rsidRPr="004C79F4">
        <w:rPr>
          <w:lang w:val="en-US"/>
        </w:rPr>
        <w:t>s</w:t>
      </w:r>
      <w:proofErr w:type="spellEnd"/>
      <w:r w:rsidR="00F25640" w:rsidRPr="004C79F4">
        <w:rPr>
          <w:lang w:val="en-US"/>
        </w:rPr>
        <w:t xml:space="preserve"> shareholders. He held that Deloitte failed to meet the standard </w:t>
      </w:r>
      <w:r w:rsidRPr="004C79F4">
        <w:rPr>
          <w:lang w:val="en-US"/>
        </w:rPr>
        <w:t>of care under this duty</w:t>
      </w:r>
      <w:r w:rsidR="00F25640" w:rsidRPr="004C79F4">
        <w:rPr>
          <w:lang w:val="en-US"/>
        </w:rPr>
        <w:t xml:space="preserve">, either when it failed to discover the fraud and act on that discovery in August 1997, or when it signed off on </w:t>
      </w:r>
      <w:proofErr w:type="spellStart"/>
      <w:r w:rsidR="00F25640" w:rsidRPr="004C79F4">
        <w:rPr>
          <w:lang w:val="en-US"/>
        </w:rPr>
        <w:t>Livent</w:t>
      </w:r>
      <w:r w:rsidR="009138AE" w:rsidRPr="004C79F4">
        <w:rPr>
          <w:lang w:val="en-US"/>
        </w:rPr>
        <w:t>’</w:t>
      </w:r>
      <w:r w:rsidR="00F25640" w:rsidRPr="004C79F4">
        <w:rPr>
          <w:lang w:val="en-US"/>
        </w:rPr>
        <w:t>s</w:t>
      </w:r>
      <w:proofErr w:type="spellEnd"/>
      <w:r w:rsidR="00F25640" w:rsidRPr="004C79F4">
        <w:rPr>
          <w:lang w:val="en-US"/>
        </w:rPr>
        <w:t xml:space="preserve"> 1997 financial statements in April 1998. The trial judge held that the measure of damages was the dif</w:t>
      </w:r>
      <w:r w:rsidRPr="004C79F4">
        <w:rPr>
          <w:lang w:val="en-US"/>
        </w:rPr>
        <w:t xml:space="preserve">ference between </w:t>
      </w:r>
      <w:proofErr w:type="spellStart"/>
      <w:r w:rsidRPr="004C79F4">
        <w:rPr>
          <w:lang w:val="en-US"/>
        </w:rPr>
        <w:t>Livent</w:t>
      </w:r>
      <w:r w:rsidR="009138AE" w:rsidRPr="004C79F4">
        <w:rPr>
          <w:lang w:val="en-US"/>
        </w:rPr>
        <w:t>’</w:t>
      </w:r>
      <w:r w:rsidRPr="004C79F4">
        <w:rPr>
          <w:lang w:val="en-US"/>
        </w:rPr>
        <w:t>s</w:t>
      </w:r>
      <w:proofErr w:type="spellEnd"/>
      <w:r w:rsidRPr="004C79F4">
        <w:rPr>
          <w:lang w:val="en-US"/>
        </w:rPr>
        <w:t xml:space="preserve"> value </w:t>
      </w:r>
      <w:r w:rsidR="00F25640" w:rsidRPr="004C79F4">
        <w:rPr>
          <w:lang w:val="en-US"/>
        </w:rPr>
        <w:t>on</w:t>
      </w:r>
      <w:r w:rsidRPr="004C79F4">
        <w:rPr>
          <w:lang w:val="en-US"/>
        </w:rPr>
        <w:t xml:space="preserve"> </w:t>
      </w:r>
      <w:r w:rsidR="00F25640" w:rsidRPr="004C79F4">
        <w:rPr>
          <w:lang w:val="en-US"/>
        </w:rPr>
        <w:t xml:space="preserve">the date on which Deloitte should have resigned and </w:t>
      </w:r>
      <w:proofErr w:type="spellStart"/>
      <w:r w:rsidR="00F25640" w:rsidRPr="004C79F4">
        <w:rPr>
          <w:lang w:val="en-US"/>
        </w:rPr>
        <w:t>Livent</w:t>
      </w:r>
      <w:r w:rsidR="009138AE" w:rsidRPr="004C79F4">
        <w:rPr>
          <w:lang w:val="en-US"/>
        </w:rPr>
        <w:t>’</w:t>
      </w:r>
      <w:r w:rsidR="00F25640" w:rsidRPr="004C79F4">
        <w:rPr>
          <w:lang w:val="en-US"/>
        </w:rPr>
        <w:t>s</w:t>
      </w:r>
      <w:proofErr w:type="spellEnd"/>
      <w:r w:rsidR="00F25640" w:rsidRPr="004C79F4">
        <w:rPr>
          <w:lang w:val="en-US"/>
        </w:rPr>
        <w:t xml:space="preserve"> va</w:t>
      </w:r>
      <w:r w:rsidRPr="004C79F4">
        <w:rPr>
          <w:lang w:val="en-US"/>
        </w:rPr>
        <w:t>lue at the time of insolvency</w:t>
      </w:r>
      <w:r w:rsidR="00F25640" w:rsidRPr="004C79F4">
        <w:rPr>
          <w:lang w:val="en-US"/>
        </w:rPr>
        <w:t xml:space="preserve">. He reduced this </w:t>
      </w:r>
      <w:r w:rsidRPr="004C79F4">
        <w:rPr>
          <w:lang w:val="en-US"/>
        </w:rPr>
        <w:t xml:space="preserve">by 25 percent to account for </w:t>
      </w:r>
      <w:r w:rsidR="00F25640" w:rsidRPr="004C79F4">
        <w:rPr>
          <w:lang w:val="en-US"/>
        </w:rPr>
        <w:t>continge</w:t>
      </w:r>
      <w:r w:rsidRPr="004C79F4">
        <w:rPr>
          <w:lang w:val="en-US"/>
        </w:rPr>
        <w:t>ncies or trading losses</w:t>
      </w:r>
      <w:r w:rsidR="00F25640" w:rsidRPr="004C79F4">
        <w:rPr>
          <w:lang w:val="en-US"/>
        </w:rPr>
        <w:t>, which he held were too remote to make Deloitte liable. The trial judge consequently awarded damages to Livent for breach of its duty of care, and alternatively for breach of contract, in the amount of</w:t>
      </w:r>
      <w:r w:rsidR="00144572">
        <w:rPr>
          <w:lang w:val="en-US"/>
        </w:rPr>
        <w:t xml:space="preserve"> $</w:t>
      </w:r>
      <w:r w:rsidR="00F25640" w:rsidRPr="004C79F4">
        <w:rPr>
          <w:lang w:val="en-US"/>
        </w:rPr>
        <w:t xml:space="preserve">84,750,000. </w:t>
      </w:r>
      <w:r w:rsidR="00F25640" w:rsidRPr="004C79F4">
        <w:t>The Court of Appeal upheld the tri</w:t>
      </w:r>
      <w:r w:rsidRPr="004C79F4">
        <w:t>al judge</w:t>
      </w:r>
      <w:r w:rsidR="009138AE" w:rsidRPr="004C79F4">
        <w:t>’</w:t>
      </w:r>
      <w:r w:rsidRPr="004C79F4">
        <w:t>s award and dismissed Deloitte</w:t>
      </w:r>
      <w:r w:rsidR="009138AE" w:rsidRPr="004C79F4">
        <w:t>’</w:t>
      </w:r>
      <w:r w:rsidRPr="004C79F4">
        <w:t xml:space="preserve">s appeal and </w:t>
      </w:r>
      <w:proofErr w:type="spellStart"/>
      <w:r w:rsidRPr="004C79F4">
        <w:t>Livent</w:t>
      </w:r>
      <w:r w:rsidR="009138AE" w:rsidRPr="004C79F4">
        <w:t>’</w:t>
      </w:r>
      <w:r w:rsidRPr="004C79F4">
        <w:t>s</w:t>
      </w:r>
      <w:proofErr w:type="spellEnd"/>
      <w:r w:rsidR="00F25640" w:rsidRPr="004C79F4">
        <w:t xml:space="preserve"> cross</w:t>
      </w:r>
      <w:r w:rsidR="00144572">
        <w:noBreakHyphen/>
      </w:r>
      <w:r w:rsidR="00F25640" w:rsidRPr="004C79F4">
        <w:t>appeal.</w:t>
      </w:r>
    </w:p>
    <w:p w:rsidR="00F25640" w:rsidRPr="004C79F4" w:rsidRDefault="00633C48" w:rsidP="00633C48">
      <w:pPr>
        <w:pStyle w:val="SCCNormalDoubleSpacing"/>
        <w:spacing w:before="480" w:after="480"/>
      </w:pPr>
      <w:r w:rsidRPr="004C79F4">
        <w:tab/>
      </w:r>
      <w:r w:rsidR="00F25640" w:rsidRPr="004C79F4">
        <w:rPr>
          <w:i/>
        </w:rPr>
        <w:t>Held</w:t>
      </w:r>
      <w:r w:rsidR="003C3525" w:rsidRPr="004C79F4">
        <w:t xml:space="preserve"> (McLachlin </w:t>
      </w:r>
      <w:r w:rsidR="00F25640" w:rsidRPr="004C79F4">
        <w:t xml:space="preserve">C.J. and </w:t>
      </w:r>
      <w:r w:rsidR="008A75DB" w:rsidRPr="004C79F4">
        <w:t xml:space="preserve">Wagner and </w:t>
      </w:r>
      <w:r w:rsidR="00F25640" w:rsidRPr="004C79F4">
        <w:t>C</w:t>
      </w:r>
      <w:r w:rsidR="003C3525" w:rsidRPr="004C79F4">
        <w:t>ôté </w:t>
      </w:r>
      <w:r w:rsidR="00F25640" w:rsidRPr="004C79F4">
        <w:t>J</w:t>
      </w:r>
      <w:r w:rsidR="008A75DB" w:rsidRPr="004C79F4">
        <w:t>J</w:t>
      </w:r>
      <w:r w:rsidR="00F25640" w:rsidRPr="004C79F4">
        <w:t>. dissenting in part): The appeal should be allowed in p</w:t>
      </w:r>
      <w:r w:rsidR="00144572">
        <w:t>art. </w:t>
      </w:r>
    </w:p>
    <w:p w:rsidR="00F25640" w:rsidRPr="004C79F4" w:rsidRDefault="00633C48" w:rsidP="00633C48">
      <w:pPr>
        <w:pStyle w:val="SCCNormalDoubleSpacing"/>
        <w:spacing w:before="480" w:after="480"/>
        <w:rPr>
          <w:rFonts w:eastAsiaTheme="minorHAnsi"/>
        </w:rPr>
      </w:pPr>
      <w:r w:rsidRPr="004C79F4">
        <w:rPr>
          <w:i/>
        </w:rPr>
        <w:tab/>
      </w:r>
      <w:r w:rsidR="00F25640" w:rsidRPr="004C79F4">
        <w:rPr>
          <w:i/>
        </w:rPr>
        <w:t>Per</w:t>
      </w:r>
      <w:r w:rsidR="00F25640" w:rsidRPr="004C79F4">
        <w:t xml:space="preserve"> </w:t>
      </w:r>
      <w:r w:rsidR="00F25640" w:rsidRPr="004C79F4">
        <w:rPr>
          <w:rStyle w:val="SCCCoramChar"/>
          <w:rFonts w:cs="Times New Roman"/>
        </w:rPr>
        <w:t xml:space="preserve">Karakatsanis, </w:t>
      </w:r>
      <w:r w:rsidR="00F25640" w:rsidRPr="004C79F4">
        <w:rPr>
          <w:rStyle w:val="SCCCoramChar"/>
          <w:rFonts w:cs="Times New Roman"/>
          <w:b/>
        </w:rPr>
        <w:t>Gascon</w:t>
      </w:r>
      <w:r w:rsidR="00F25640" w:rsidRPr="004C79F4">
        <w:rPr>
          <w:rStyle w:val="SCCCoramChar"/>
          <w:rFonts w:cs="Times New Roman"/>
        </w:rPr>
        <w:t>,</w:t>
      </w:r>
      <w:r w:rsidR="00F25640" w:rsidRPr="004C79F4">
        <w:rPr>
          <w:rStyle w:val="SCCCoramChar"/>
          <w:rFonts w:cs="Times New Roman"/>
          <w:b/>
        </w:rPr>
        <w:t xml:space="preserve"> Brown</w:t>
      </w:r>
      <w:r w:rsidR="00F25640" w:rsidRPr="004C79F4">
        <w:rPr>
          <w:rStyle w:val="SCCCoramChar"/>
          <w:rFonts w:cs="Times New Roman"/>
        </w:rPr>
        <w:t xml:space="preserve"> and Rowe JJ.: </w:t>
      </w:r>
      <w:r w:rsidR="00C203C9" w:rsidRPr="004C79F4">
        <w:rPr>
          <w:rStyle w:val="SCCCoramChar"/>
          <w:rFonts w:cs="Times New Roman"/>
        </w:rPr>
        <w:t>The general</w:t>
      </w:r>
      <w:r w:rsidR="00522DA9" w:rsidRPr="004C79F4">
        <w:rPr>
          <w:rStyle w:val="SCCCoramChar"/>
          <w:rFonts w:cs="Times New Roman"/>
        </w:rPr>
        <w:t xml:space="preserve"> framework </w:t>
      </w:r>
      <w:r w:rsidR="00F25640" w:rsidRPr="004C79F4">
        <w:t>set out in</w:t>
      </w:r>
      <w:r w:rsidR="00F25640" w:rsidRPr="004C79F4">
        <w:rPr>
          <w:i/>
        </w:rPr>
        <w:t xml:space="preserve"> </w:t>
      </w:r>
      <w:proofErr w:type="spellStart"/>
      <w:r w:rsidR="00F25640" w:rsidRPr="004C79F4">
        <w:rPr>
          <w:i/>
        </w:rPr>
        <w:t>Anns</w:t>
      </w:r>
      <w:proofErr w:type="spellEnd"/>
      <w:r w:rsidR="00F25640" w:rsidRPr="004C79F4">
        <w:rPr>
          <w:i/>
        </w:rPr>
        <w:t xml:space="preserve"> v. London Borough of Merton</w:t>
      </w:r>
      <w:r w:rsidR="00F25640" w:rsidRPr="004C79F4">
        <w:t xml:space="preserve">, [1977] 2 All E.R. 492 (H.L.), and later refined in </w:t>
      </w:r>
      <w:r w:rsidR="00F25640" w:rsidRPr="004C79F4">
        <w:rPr>
          <w:i/>
        </w:rPr>
        <w:t>Cooper v. Hobart</w:t>
      </w:r>
      <w:r w:rsidR="00F25640" w:rsidRPr="004C79F4">
        <w:t xml:space="preserve">, 2001 SCC 79, [2001] 3 S.C.R. 537, </w:t>
      </w:r>
      <w:r w:rsidR="00F25640" w:rsidRPr="004C79F4">
        <w:rPr>
          <w:rStyle w:val="SCCCoramChar"/>
          <w:rFonts w:cs="Times New Roman"/>
        </w:rPr>
        <w:t>applies</w:t>
      </w:r>
      <w:r w:rsidR="00C203C9" w:rsidRPr="004C79F4">
        <w:rPr>
          <w:rStyle w:val="SCCCoramChar"/>
          <w:rFonts w:cs="Times New Roman"/>
        </w:rPr>
        <w:t xml:space="preserve"> </w:t>
      </w:r>
      <w:r w:rsidR="00F25640" w:rsidRPr="004C79F4">
        <w:rPr>
          <w:rStyle w:val="SCCCoramChar"/>
          <w:rFonts w:cs="Times New Roman"/>
        </w:rPr>
        <w:t>in cases of p</w:t>
      </w:r>
      <w:r w:rsidR="00C203C9" w:rsidRPr="004C79F4">
        <w:rPr>
          <w:rStyle w:val="SCCCoramChar"/>
          <w:rFonts w:cs="Times New Roman"/>
        </w:rPr>
        <w:t>ure economic loss arising from an auditor</w:t>
      </w:r>
      <w:r w:rsidR="009138AE" w:rsidRPr="004C79F4">
        <w:rPr>
          <w:rStyle w:val="SCCCoramChar"/>
          <w:rFonts w:cs="Times New Roman"/>
        </w:rPr>
        <w:t>’</w:t>
      </w:r>
      <w:r w:rsidR="00C203C9" w:rsidRPr="004C79F4">
        <w:rPr>
          <w:rStyle w:val="SCCCoramChar"/>
          <w:rFonts w:cs="Times New Roman"/>
        </w:rPr>
        <w:t>s</w:t>
      </w:r>
      <w:r w:rsidR="00F25640" w:rsidRPr="004C79F4">
        <w:rPr>
          <w:rStyle w:val="SCCCoramChar"/>
          <w:rFonts w:cs="Times New Roman"/>
        </w:rPr>
        <w:t xml:space="preserve"> negligent misrepresentati</w:t>
      </w:r>
      <w:r w:rsidR="00C203C9" w:rsidRPr="004C79F4">
        <w:rPr>
          <w:rStyle w:val="SCCCoramChar"/>
          <w:rFonts w:cs="Times New Roman"/>
        </w:rPr>
        <w:t>on or performance of a service</w:t>
      </w:r>
      <w:r w:rsidR="00F25640" w:rsidRPr="004C79F4">
        <w:rPr>
          <w:lang w:val="en-US"/>
        </w:rPr>
        <w:t xml:space="preserve">. </w:t>
      </w:r>
      <w:r w:rsidR="00C203C9" w:rsidRPr="004C79F4">
        <w:t xml:space="preserve">Comprising two stages, the </w:t>
      </w:r>
      <w:proofErr w:type="spellStart"/>
      <w:r w:rsidR="00F25640" w:rsidRPr="004C79F4">
        <w:rPr>
          <w:i/>
        </w:rPr>
        <w:t>Anns</w:t>
      </w:r>
      <w:proofErr w:type="spellEnd"/>
      <w:r w:rsidR="00F25640" w:rsidRPr="004C79F4">
        <w:rPr>
          <w:i/>
        </w:rPr>
        <w:t>/Cooper</w:t>
      </w:r>
      <w:r w:rsidR="00C203C9" w:rsidRPr="004C79F4">
        <w:t xml:space="preserve"> framework asks</w:t>
      </w:r>
      <w:r w:rsidR="00F25640" w:rsidRPr="004C79F4">
        <w:t xml:space="preserve"> whether a </w:t>
      </w:r>
      <w:r w:rsidR="00F25640" w:rsidRPr="004C79F4">
        <w:rPr>
          <w:i/>
        </w:rPr>
        <w:t xml:space="preserve">prima facie </w:t>
      </w:r>
      <w:r w:rsidR="00F25640" w:rsidRPr="004C79F4">
        <w:t xml:space="preserve">duty of </w:t>
      </w:r>
      <w:r w:rsidR="00C203C9" w:rsidRPr="004C79F4">
        <w:t>care exists between the parties, and</w:t>
      </w:r>
      <w:r w:rsidR="00F25640" w:rsidRPr="004C79F4">
        <w:t xml:space="preserve"> if so, whether there are any residual policy considerations that may negate the imposition of a duty of</w:t>
      </w:r>
      <w:r w:rsidR="00343DE0" w:rsidRPr="004C79F4">
        <w:t xml:space="preserve"> care</w:t>
      </w:r>
      <w:r w:rsidR="00F25640" w:rsidRPr="004C79F4">
        <w:t xml:space="preserve">. </w:t>
      </w:r>
      <w:r w:rsidR="00466264" w:rsidRPr="004C79F4">
        <w:t>At the first stage,</w:t>
      </w:r>
      <w:r w:rsidR="00F25640" w:rsidRPr="004C79F4">
        <w:t xml:space="preserve"> a </w:t>
      </w:r>
      <w:r w:rsidR="00F25640" w:rsidRPr="004C79F4">
        <w:rPr>
          <w:i/>
        </w:rPr>
        <w:t xml:space="preserve">prima facie </w:t>
      </w:r>
      <w:r w:rsidR="00F25640" w:rsidRPr="004C79F4">
        <w:t xml:space="preserve">duty of care is </w:t>
      </w:r>
      <w:r w:rsidR="00466264" w:rsidRPr="004C79F4">
        <w:t xml:space="preserve">recognized where proximity and reasonable foreseeability of injury </w:t>
      </w:r>
      <w:r w:rsidR="00F25640" w:rsidRPr="004C79F4">
        <w:t>are established.</w:t>
      </w:r>
      <w:r w:rsidR="00466264" w:rsidRPr="004C79F4">
        <w:t xml:space="preserve"> </w:t>
      </w:r>
      <w:r w:rsidR="00F25640" w:rsidRPr="004C79F4">
        <w:rPr>
          <w:rFonts w:eastAsiaTheme="minorHAnsi"/>
        </w:rPr>
        <w:t>When</w:t>
      </w:r>
      <w:r w:rsidR="00466264" w:rsidRPr="004C79F4">
        <w:rPr>
          <w:rFonts w:eastAsiaTheme="minorHAnsi"/>
        </w:rPr>
        <w:t xml:space="preserve"> a</w:t>
      </w:r>
      <w:r w:rsidR="00F25640" w:rsidRPr="004C79F4">
        <w:rPr>
          <w:rFonts w:eastAsiaTheme="minorHAnsi"/>
        </w:rPr>
        <w:t xml:space="preserve">ssessing proximity, </w:t>
      </w:r>
      <w:r w:rsidR="00466264" w:rsidRPr="004C79F4">
        <w:rPr>
          <w:lang w:val="en"/>
        </w:rPr>
        <w:t>if</w:t>
      </w:r>
      <w:r w:rsidR="00F25640" w:rsidRPr="004C79F4">
        <w:rPr>
          <w:lang w:val="en"/>
        </w:rPr>
        <w:t xml:space="preserve"> a relationship falls within a previously established category, or is analogous to one, then the requisite close and</w:t>
      </w:r>
      <w:r w:rsidR="00466264" w:rsidRPr="004C79F4">
        <w:rPr>
          <w:lang w:val="en"/>
        </w:rPr>
        <w:t xml:space="preserve"> direct relationship is shown. If</w:t>
      </w:r>
      <w:r w:rsidR="00F25640" w:rsidRPr="004C79F4">
        <w:rPr>
          <w:lang w:val="en"/>
        </w:rPr>
        <w:t xml:space="preserve"> a risk of reasonably fores</w:t>
      </w:r>
      <w:r w:rsidR="00466264" w:rsidRPr="004C79F4">
        <w:rPr>
          <w:lang w:val="en"/>
        </w:rPr>
        <w:t>eeable injury can also be shown,</w:t>
      </w:r>
      <w:r w:rsidR="00F25640" w:rsidRPr="004C79F4">
        <w:rPr>
          <w:lang w:val="en"/>
        </w:rPr>
        <w:t xml:space="preserve"> the first stage of the </w:t>
      </w:r>
      <w:proofErr w:type="spellStart"/>
      <w:r w:rsidR="00F25640" w:rsidRPr="004C79F4">
        <w:rPr>
          <w:i/>
          <w:lang w:val="en"/>
        </w:rPr>
        <w:t>Anns</w:t>
      </w:r>
      <w:proofErr w:type="spellEnd"/>
      <w:r w:rsidR="00F25640" w:rsidRPr="004C79F4">
        <w:rPr>
          <w:i/>
          <w:lang w:val="en"/>
        </w:rPr>
        <w:t>/Cooper</w:t>
      </w:r>
      <w:r w:rsidR="00F25640" w:rsidRPr="004C79F4">
        <w:rPr>
          <w:lang w:val="en"/>
        </w:rPr>
        <w:t xml:space="preserve"> framework is complete and a d</w:t>
      </w:r>
      <w:r w:rsidR="00466264" w:rsidRPr="004C79F4">
        <w:rPr>
          <w:lang w:val="en"/>
        </w:rPr>
        <w:t>uty of care may be identified</w:t>
      </w:r>
      <w:r w:rsidR="00F25640" w:rsidRPr="004C79F4">
        <w:rPr>
          <w:lang w:val="en"/>
        </w:rPr>
        <w:t>. In such circumstances, the second stage of the framework will seldom be engaged because any residual policy considerations will have already been taken into account when the proximate rela</w:t>
      </w:r>
      <w:r w:rsidR="00466264" w:rsidRPr="004C79F4">
        <w:rPr>
          <w:lang w:val="en"/>
        </w:rPr>
        <w:t>tionship was first identified</w:t>
      </w:r>
      <w:r w:rsidR="00F25640" w:rsidRPr="004C79F4">
        <w:rPr>
          <w:lang w:val="en"/>
        </w:rPr>
        <w:t xml:space="preserve">. </w:t>
      </w:r>
    </w:p>
    <w:p w:rsidR="00F25640" w:rsidRPr="004C79F4" w:rsidRDefault="00633C48" w:rsidP="00633C48">
      <w:pPr>
        <w:pStyle w:val="SCCNormalDoubleSpacing"/>
        <w:spacing w:before="480" w:after="480"/>
        <w:rPr>
          <w:lang w:val="en"/>
        </w:rPr>
      </w:pPr>
      <w:r w:rsidRPr="004C79F4">
        <w:rPr>
          <w:lang w:val="en"/>
        </w:rPr>
        <w:tab/>
      </w:r>
      <w:r w:rsidR="00F25640" w:rsidRPr="004C79F4">
        <w:rPr>
          <w:lang w:val="en"/>
        </w:rPr>
        <w:t xml:space="preserve">Where an established proximate relationship cannot be found, courts must undertake a full proximity analysis. To determine whether the close and direct relationship </w:t>
      </w:r>
      <w:r w:rsidR="00522DA9" w:rsidRPr="004C79F4">
        <w:rPr>
          <w:lang w:val="en"/>
        </w:rPr>
        <w:t>exists,</w:t>
      </w:r>
      <w:r w:rsidR="00F25640" w:rsidRPr="004C79F4">
        <w:rPr>
          <w:lang w:val="en"/>
        </w:rPr>
        <w:t xml:space="preserve"> courts must examine all relevant factors </w:t>
      </w:r>
      <w:r w:rsidR="00522DA9" w:rsidRPr="004C79F4">
        <w:rPr>
          <w:lang w:val="en"/>
        </w:rPr>
        <w:t>arising from the relationshi</w:t>
      </w:r>
      <w:r w:rsidR="00144572">
        <w:rPr>
          <w:lang w:val="en"/>
        </w:rPr>
        <w:t xml:space="preserve">p. </w:t>
      </w:r>
      <w:r w:rsidR="00F25640" w:rsidRPr="004C79F4">
        <w:rPr>
          <w:lang w:val="en"/>
        </w:rPr>
        <w:t>In cases of pure economic loss arising from negligent misrepresentation or performance of a service, two factors are determinative in the proximity analysis: the defendant</w:t>
      </w:r>
      <w:r w:rsidR="009138AE" w:rsidRPr="004C79F4">
        <w:rPr>
          <w:lang w:val="en"/>
        </w:rPr>
        <w:t>’</w:t>
      </w:r>
      <w:r w:rsidR="00F25640" w:rsidRPr="004C79F4">
        <w:rPr>
          <w:lang w:val="en"/>
        </w:rPr>
        <w:t>s undertaking and the plaintiff</w:t>
      </w:r>
      <w:r w:rsidR="009138AE" w:rsidRPr="004C79F4">
        <w:rPr>
          <w:lang w:val="en"/>
        </w:rPr>
        <w:t>’</w:t>
      </w:r>
      <w:r w:rsidR="00F25640" w:rsidRPr="004C79F4">
        <w:rPr>
          <w:lang w:val="en"/>
        </w:rPr>
        <w:t>s reliance. Where the defendant undertakes to provide a representation or service in circumstances that invite the plaintiff</w:t>
      </w:r>
      <w:r w:rsidR="009138AE" w:rsidRPr="004C79F4">
        <w:rPr>
          <w:lang w:val="en"/>
        </w:rPr>
        <w:t>’</w:t>
      </w:r>
      <w:r w:rsidR="00F25640" w:rsidRPr="004C79F4">
        <w:rPr>
          <w:lang w:val="en"/>
        </w:rPr>
        <w:t>s reasonable reliance, the defendant becomes obl</w:t>
      </w:r>
      <w:r w:rsidR="00522DA9" w:rsidRPr="004C79F4">
        <w:rPr>
          <w:lang w:val="en"/>
        </w:rPr>
        <w:t>igated to take reasonable care and the</w:t>
      </w:r>
      <w:r w:rsidR="00F25640" w:rsidRPr="004C79F4">
        <w:rPr>
          <w:lang w:val="en"/>
        </w:rPr>
        <w:t xml:space="preserve"> plaintiff has a right to rely o</w:t>
      </w:r>
      <w:r w:rsidR="00522DA9" w:rsidRPr="004C79F4">
        <w:rPr>
          <w:lang w:val="en"/>
        </w:rPr>
        <w:t>n the defendant</w:t>
      </w:r>
      <w:r w:rsidR="009138AE" w:rsidRPr="004C79F4">
        <w:rPr>
          <w:lang w:val="en"/>
        </w:rPr>
        <w:t>’</w:t>
      </w:r>
      <w:r w:rsidR="00522DA9" w:rsidRPr="004C79F4">
        <w:rPr>
          <w:lang w:val="en"/>
        </w:rPr>
        <w:t xml:space="preserve">s undertaking. </w:t>
      </w:r>
      <w:r w:rsidR="00F25640" w:rsidRPr="004C79F4">
        <w:rPr>
          <w:lang w:val="en"/>
        </w:rPr>
        <w:t>These</w:t>
      </w:r>
      <w:r w:rsidR="00F25640" w:rsidRPr="004C79F4">
        <w:t xml:space="preserve"> </w:t>
      </w:r>
      <w:r w:rsidR="00F25640" w:rsidRPr="004C79F4">
        <w:rPr>
          <w:lang w:val="en"/>
        </w:rPr>
        <w:t>corollary rights and obligations create a relationship of proximity</w:t>
      </w:r>
      <w:r w:rsidR="00522DA9" w:rsidRPr="004C79F4">
        <w:rPr>
          <w:lang w:val="en"/>
        </w:rPr>
        <w:t xml:space="preserve">. </w:t>
      </w:r>
      <w:r w:rsidR="00F25640" w:rsidRPr="004C79F4">
        <w:rPr>
          <w:lang w:val="en"/>
        </w:rPr>
        <w:t>Any relian</w:t>
      </w:r>
      <w:r w:rsidR="00522DA9" w:rsidRPr="004C79F4">
        <w:rPr>
          <w:lang w:val="en"/>
        </w:rPr>
        <w:t>ce on the part of the plaintiff,</w:t>
      </w:r>
      <w:r w:rsidR="00F25640" w:rsidRPr="004C79F4">
        <w:rPr>
          <w:lang w:val="en"/>
        </w:rPr>
        <w:t xml:space="preserve"> which falls outside of the scope of the defendant</w:t>
      </w:r>
      <w:r w:rsidR="009138AE" w:rsidRPr="004C79F4">
        <w:rPr>
          <w:lang w:val="en"/>
        </w:rPr>
        <w:t>’</w:t>
      </w:r>
      <w:r w:rsidR="00F25640" w:rsidRPr="004C79F4">
        <w:rPr>
          <w:lang w:val="en"/>
        </w:rPr>
        <w:t>s undertaking</w:t>
      </w:r>
      <w:r w:rsidR="00522DA9" w:rsidRPr="004C79F4">
        <w:t>,</w:t>
      </w:r>
      <w:r w:rsidR="00F25640" w:rsidRPr="004C79F4">
        <w:rPr>
          <w:lang w:val="en"/>
        </w:rPr>
        <w:t xml:space="preserve"> necessarily falls outside the scope of the proximate relationship and, therefore, of</w:t>
      </w:r>
      <w:r w:rsidR="00522DA9" w:rsidRPr="004C79F4">
        <w:rPr>
          <w:lang w:val="en"/>
        </w:rPr>
        <w:t xml:space="preserve"> the defendant</w:t>
      </w:r>
      <w:r w:rsidR="009138AE" w:rsidRPr="004C79F4">
        <w:rPr>
          <w:lang w:val="en"/>
        </w:rPr>
        <w:t>’</w:t>
      </w:r>
      <w:r w:rsidR="00522DA9" w:rsidRPr="004C79F4">
        <w:rPr>
          <w:lang w:val="en"/>
        </w:rPr>
        <w:t>s duty of care</w:t>
      </w:r>
      <w:r w:rsidR="00F25640" w:rsidRPr="004C79F4">
        <w:rPr>
          <w:lang w:val="en"/>
        </w:rPr>
        <w:t>. This properly limits liability on the basis that the defendant cannot be liable for a risk of injury against which he</w:t>
      </w:r>
      <w:r w:rsidR="00522DA9" w:rsidRPr="004C79F4">
        <w:rPr>
          <w:lang w:val="en"/>
        </w:rPr>
        <w:t xml:space="preserve"> did not undertake to protect</w:t>
      </w:r>
      <w:r w:rsidR="00F25640" w:rsidRPr="004C79F4">
        <w:rPr>
          <w:lang w:val="en"/>
        </w:rPr>
        <w:t xml:space="preserve">. </w:t>
      </w:r>
    </w:p>
    <w:p w:rsidR="00F25640" w:rsidRPr="004C79F4" w:rsidRDefault="00633C48" w:rsidP="00633C48">
      <w:pPr>
        <w:pStyle w:val="SCCNormalDoubleSpacing"/>
        <w:spacing w:before="480" w:after="480"/>
        <w:rPr>
          <w:lang w:val="en"/>
        </w:rPr>
      </w:pPr>
      <w:r w:rsidRPr="004C79F4">
        <w:rPr>
          <w:rFonts w:eastAsiaTheme="minorEastAsia"/>
          <w:szCs w:val="22"/>
          <w:lang w:val="en" w:eastAsia="en-US"/>
        </w:rPr>
        <w:tab/>
      </w:r>
      <w:r w:rsidR="00522DA9" w:rsidRPr="004C79F4">
        <w:t>As for a</w:t>
      </w:r>
      <w:r w:rsidR="00F25640" w:rsidRPr="004C79F4">
        <w:t xml:space="preserve">ssessing reasonable foreseeability in the </w:t>
      </w:r>
      <w:r w:rsidR="00F25640" w:rsidRPr="004C79F4">
        <w:rPr>
          <w:i/>
        </w:rPr>
        <w:t>prima facie</w:t>
      </w:r>
      <w:r w:rsidR="00522DA9" w:rsidRPr="004C79F4">
        <w:t xml:space="preserve"> duty of care analysis, this</w:t>
      </w:r>
      <w:r w:rsidR="00F25640" w:rsidRPr="004C79F4">
        <w:t xml:space="preserve"> </w:t>
      </w:r>
      <w:r w:rsidR="00F25640" w:rsidRPr="004C79F4">
        <w:rPr>
          <w:lang w:val="en"/>
        </w:rPr>
        <w:t>entails asking</w:t>
      </w:r>
      <w:r w:rsidR="00F25640" w:rsidRPr="004C79F4">
        <w:t xml:space="preserve"> whether an injury to the plaintiff was a reasonably foreseeable consequence </w:t>
      </w:r>
      <w:r w:rsidR="00522DA9" w:rsidRPr="004C79F4">
        <w:t>of the defendant</w:t>
      </w:r>
      <w:r w:rsidR="009138AE" w:rsidRPr="004C79F4">
        <w:t>’</w:t>
      </w:r>
      <w:r w:rsidR="00522DA9" w:rsidRPr="004C79F4">
        <w:t>s negligence</w:t>
      </w:r>
      <w:r w:rsidR="00F25640" w:rsidRPr="004C79F4">
        <w:t xml:space="preserve">. </w:t>
      </w:r>
      <w:r w:rsidR="00522DA9" w:rsidRPr="004C79F4">
        <w:t>R</w:t>
      </w:r>
      <w:r w:rsidR="00F25640" w:rsidRPr="004C79F4">
        <w:t>easonable foreseeability concerns the likelihood of injury arising fr</w:t>
      </w:r>
      <w:r w:rsidR="00522DA9" w:rsidRPr="004C79F4">
        <w:t>om the defendant</w:t>
      </w:r>
      <w:r w:rsidR="009138AE" w:rsidRPr="004C79F4">
        <w:t>’</w:t>
      </w:r>
      <w:r w:rsidR="00522DA9" w:rsidRPr="004C79F4">
        <w:t>s negligence</w:t>
      </w:r>
      <w:r w:rsidR="00F25640" w:rsidRPr="004C79F4">
        <w:t xml:space="preserve">. </w:t>
      </w:r>
      <w:r w:rsidR="00522DA9" w:rsidRPr="004C79F4">
        <w:t>I</w:t>
      </w:r>
      <w:r w:rsidR="00F25640" w:rsidRPr="004C79F4">
        <w:t>n cases of negligent misrepresentation or performance of a service, the proximate relationship infor</w:t>
      </w:r>
      <w:r w:rsidR="00522DA9" w:rsidRPr="004C79F4">
        <w:t>ms the foreseeability inquiry. The purpose underlying the undertaking and the</w:t>
      </w:r>
      <w:r w:rsidR="00F25640" w:rsidRPr="004C79F4">
        <w:t xml:space="preserve"> corresponding reli</w:t>
      </w:r>
      <w:r w:rsidR="00522DA9" w:rsidRPr="004C79F4">
        <w:t>ance limits the type of injury that</w:t>
      </w:r>
      <w:r w:rsidR="00F25640" w:rsidRPr="004C79F4">
        <w:t xml:space="preserve"> could be reasonably foreseen to result from the defendant</w:t>
      </w:r>
      <w:r w:rsidR="009138AE" w:rsidRPr="004C79F4">
        <w:t>’</w:t>
      </w:r>
      <w:r w:rsidR="00F25640" w:rsidRPr="004C79F4">
        <w:t xml:space="preserve">s negligence. </w:t>
      </w:r>
      <w:r w:rsidR="00522DA9" w:rsidRPr="004C79F4">
        <w:t>A</w:t>
      </w:r>
      <w:r w:rsidR="00F25640" w:rsidRPr="004C79F4">
        <w:t>n injury to the plaintiff will be reasonably foreseeable if the defendant should have reasonably foreseen that the plaintiff would rely on his or her representation and such reliance would, in the particular circumstances o</w:t>
      </w:r>
      <w:r w:rsidR="00522DA9" w:rsidRPr="004C79F4">
        <w:t>f the case, be reasonable</w:t>
      </w:r>
      <w:r w:rsidR="00F25640" w:rsidRPr="004C79F4">
        <w:t>. Both the reasonableness and the reasonable foreseeability of the plaintiff</w:t>
      </w:r>
      <w:r w:rsidR="009138AE" w:rsidRPr="004C79F4">
        <w:t>’</w:t>
      </w:r>
      <w:r w:rsidR="00F25640" w:rsidRPr="004C79F4">
        <w:t xml:space="preserve">s reliance will be determined by the relationship of </w:t>
      </w:r>
      <w:r w:rsidR="00522DA9" w:rsidRPr="004C79F4">
        <w:t>proximity between the parties</w:t>
      </w:r>
      <w:r w:rsidR="00F25640" w:rsidRPr="004C79F4">
        <w:t>.</w:t>
      </w:r>
    </w:p>
    <w:p w:rsidR="00F25640" w:rsidRPr="004C79F4" w:rsidRDefault="00633C48" w:rsidP="00633C48">
      <w:pPr>
        <w:pStyle w:val="SCCNormalDoubleSpacing"/>
        <w:spacing w:before="480" w:after="480"/>
      </w:pPr>
      <w:r w:rsidRPr="004C79F4">
        <w:rPr>
          <w:rFonts w:eastAsiaTheme="minorEastAsia"/>
          <w:szCs w:val="22"/>
          <w:lang w:val="en" w:eastAsia="en-US"/>
        </w:rPr>
        <w:tab/>
      </w:r>
      <w:r w:rsidR="00522DA9" w:rsidRPr="004C79F4">
        <w:t>At the second stage</w:t>
      </w:r>
      <w:r w:rsidR="00F25640" w:rsidRPr="004C79F4">
        <w:t xml:space="preserve"> of the </w:t>
      </w:r>
      <w:proofErr w:type="spellStart"/>
      <w:r w:rsidR="00F25640" w:rsidRPr="004C79F4">
        <w:rPr>
          <w:i/>
        </w:rPr>
        <w:t>Anns</w:t>
      </w:r>
      <w:proofErr w:type="spellEnd"/>
      <w:r w:rsidR="00F25640" w:rsidRPr="004C79F4">
        <w:rPr>
          <w:i/>
        </w:rPr>
        <w:t xml:space="preserve">/Cooper </w:t>
      </w:r>
      <w:r w:rsidR="00522DA9" w:rsidRPr="004C79F4">
        <w:t>framework,</w:t>
      </w:r>
      <w:r w:rsidR="00F25640" w:rsidRPr="004C79F4">
        <w:t xml:space="preserve"> the </w:t>
      </w:r>
      <w:r w:rsidR="00522DA9" w:rsidRPr="004C79F4">
        <w:t>question is whether there are residual policy considerations</w:t>
      </w:r>
      <w:r w:rsidR="00F25640" w:rsidRPr="004C79F4">
        <w:t xml:space="preserve"> outside the relationship of the parties that may negate the imposition of a duty of care. </w:t>
      </w:r>
      <w:r w:rsidR="00522DA9" w:rsidRPr="004C79F4">
        <w:t>This stage is</w:t>
      </w:r>
      <w:r w:rsidR="00F25640" w:rsidRPr="004C79F4">
        <w:t xml:space="preserve"> not concerned with the relationship between the parties, but with the effect of recognizing a duty of care on other legal obligations, the legal syst</w:t>
      </w:r>
      <w:r w:rsidR="00522DA9" w:rsidRPr="004C79F4">
        <w:t>em and society more generally</w:t>
      </w:r>
      <w:r w:rsidR="00F25640" w:rsidRPr="004C79F4">
        <w:t xml:space="preserve">. </w:t>
      </w:r>
      <w:r w:rsidR="00522DA9" w:rsidRPr="004C79F4">
        <w:t xml:space="preserve">Factors </w:t>
      </w:r>
      <w:r w:rsidR="000C7113" w:rsidRPr="004C79F4">
        <w:t xml:space="preserve">to be considered include </w:t>
      </w:r>
      <w:r w:rsidR="00F25640" w:rsidRPr="004C79F4">
        <w:t>whether th</w:t>
      </w:r>
      <w:r w:rsidR="00522DA9" w:rsidRPr="004C79F4">
        <w:t>e law already provides a remedy, t</w:t>
      </w:r>
      <w:r w:rsidR="00F25640" w:rsidRPr="004C79F4">
        <w:t>he spectre of unlimited l</w:t>
      </w:r>
      <w:r w:rsidR="00522DA9" w:rsidRPr="004C79F4">
        <w:t>iability to an unlimited class and</w:t>
      </w:r>
      <w:r w:rsidR="00F25640" w:rsidRPr="004C79F4">
        <w:t xml:space="preserve"> </w:t>
      </w:r>
      <w:r w:rsidR="00522DA9" w:rsidRPr="004C79F4">
        <w:t>whether there are o</w:t>
      </w:r>
      <w:r w:rsidR="00F25640" w:rsidRPr="004C79F4">
        <w:t xml:space="preserve">ther reasons of broad policy that suggest that the duty of </w:t>
      </w:r>
      <w:r w:rsidR="00522DA9" w:rsidRPr="004C79F4">
        <w:t>care should not be recognized</w:t>
      </w:r>
      <w:r w:rsidR="00F25640" w:rsidRPr="004C79F4">
        <w:t xml:space="preserve">. The place within the </w:t>
      </w:r>
      <w:proofErr w:type="spellStart"/>
      <w:r w:rsidR="00F25640" w:rsidRPr="004C79F4">
        <w:rPr>
          <w:i/>
        </w:rPr>
        <w:t>Anns</w:t>
      </w:r>
      <w:proofErr w:type="spellEnd"/>
      <w:r w:rsidR="00F25640" w:rsidRPr="004C79F4">
        <w:rPr>
          <w:i/>
        </w:rPr>
        <w:t>/Cooper</w:t>
      </w:r>
      <w:r w:rsidR="00F25640" w:rsidRPr="004C79F4">
        <w:t xml:space="preserve"> framework of this policy inquiry is significant. It follows the proximity and foreseeability inquiries. The policy inquiry assesses whether, despite the proximate re</w:t>
      </w:r>
      <w:r w:rsidR="00522DA9" w:rsidRPr="004C79F4">
        <w:t>lationship between the parties and</w:t>
      </w:r>
      <w:r w:rsidR="00F25640" w:rsidRPr="004C79F4">
        <w:t xml:space="preserve"> the reasonably foreseeable quality of the plaintiff</w:t>
      </w:r>
      <w:r w:rsidR="009138AE" w:rsidRPr="004C79F4">
        <w:t>’</w:t>
      </w:r>
      <w:r w:rsidR="00F25640" w:rsidRPr="004C79F4">
        <w:t>s injury, the defendant should nonetheles</w:t>
      </w:r>
      <w:r w:rsidR="00522DA9" w:rsidRPr="004C79F4">
        <w:t>s be insulated from liability</w:t>
      </w:r>
      <w:r w:rsidR="00F25640" w:rsidRPr="004C79F4">
        <w:t>. That it would limit liability in the face of findings of both proximity and reasonable foreseeability makes plain how narr</w:t>
      </w:r>
      <w:r w:rsidR="00522DA9" w:rsidRPr="004C79F4">
        <w:t>owly it should be relied upon</w:t>
      </w:r>
      <w:r w:rsidR="00F25640" w:rsidRPr="004C79F4">
        <w:t>.</w:t>
      </w:r>
    </w:p>
    <w:p w:rsidR="00F25640" w:rsidRPr="004C79F4" w:rsidRDefault="00633C48" w:rsidP="00633C48">
      <w:pPr>
        <w:pStyle w:val="SCCNormalDoubleSpacing"/>
        <w:spacing w:before="480" w:after="480"/>
      </w:pPr>
      <w:r w:rsidRPr="004C79F4">
        <w:tab/>
      </w:r>
      <w:r w:rsidR="00522DA9" w:rsidRPr="004C79F4">
        <w:t>No proximate relationship has previously been established</w:t>
      </w:r>
      <w:r w:rsidR="00F25640" w:rsidRPr="004C79F4">
        <w:t xml:space="preserve"> as between an auditor and its client for the purposes of soliciting investment. </w:t>
      </w:r>
      <w:r w:rsidR="00522DA9" w:rsidRPr="004C79F4">
        <w:t>This case therefore requires</w:t>
      </w:r>
      <w:r w:rsidR="00F25640" w:rsidRPr="004C79F4">
        <w:t xml:space="preserve"> a full proximity analysis. </w:t>
      </w:r>
      <w:r w:rsidR="00522DA9" w:rsidRPr="004C79F4">
        <w:t>From August to October</w:t>
      </w:r>
      <w:r w:rsidR="00F25640" w:rsidRPr="004C79F4">
        <w:t xml:space="preserve"> 1997, the services which Deloitte provided to Livent — particularly its ongoing</w:t>
      </w:r>
      <w:r w:rsidR="00522DA9" w:rsidRPr="004C79F4">
        <w:t xml:space="preserve"> assistance in relation to the press release</w:t>
      </w:r>
      <w:r w:rsidR="00F25640" w:rsidRPr="004C79F4">
        <w:t xml:space="preserve"> and the provision o</w:t>
      </w:r>
      <w:r w:rsidR="00522DA9" w:rsidRPr="004C79F4">
        <w:t>f the comfort letter</w:t>
      </w:r>
      <w:r w:rsidR="00F25640" w:rsidRPr="004C79F4">
        <w:t xml:space="preserve"> — were undertaken for the purpose of helping Livent to solicit investment. Given this undertaking, Livent was entitled to rely upon Deloitte to carry out these </w:t>
      </w:r>
      <w:r w:rsidR="00522DA9" w:rsidRPr="004C79F4">
        <w:t>services with reasonable care. I</w:t>
      </w:r>
      <w:r w:rsidR="00F25640" w:rsidRPr="004C79F4">
        <w:t>t follows that a relationship of proxim</w:t>
      </w:r>
      <w:r w:rsidR="00522DA9" w:rsidRPr="004C79F4">
        <w:t>ity arose but only</w:t>
      </w:r>
      <w:r w:rsidR="00F25640" w:rsidRPr="004C79F4">
        <w:t xml:space="preserve"> in respect of the content of Deloitte</w:t>
      </w:r>
      <w:r w:rsidR="009138AE" w:rsidRPr="004C79F4">
        <w:t>’</w:t>
      </w:r>
      <w:r w:rsidR="00F25640" w:rsidRPr="004C79F4">
        <w:t xml:space="preserve">s undertaking. </w:t>
      </w:r>
      <w:r w:rsidR="00522DA9" w:rsidRPr="004C79F4">
        <w:t>L</w:t>
      </w:r>
      <w:r w:rsidR="00F25640" w:rsidRPr="004C79F4">
        <w:t xml:space="preserve">osses outside the scope of this undertaking are </w:t>
      </w:r>
      <w:r w:rsidR="00522DA9" w:rsidRPr="004C79F4">
        <w:t xml:space="preserve">not recoverable from Deloitte. </w:t>
      </w:r>
      <w:r w:rsidR="00F25640" w:rsidRPr="004C79F4">
        <w:t xml:space="preserve">With respect to the press </w:t>
      </w:r>
      <w:r w:rsidR="00522DA9" w:rsidRPr="004C79F4">
        <w:t>release and the comfort letter,</w:t>
      </w:r>
      <w:r w:rsidR="00F25640" w:rsidRPr="004C79F4">
        <w:t xml:space="preserve"> Deloitte never undertook to assist </w:t>
      </w:r>
      <w:proofErr w:type="spellStart"/>
      <w:r w:rsidR="00F25640" w:rsidRPr="004C79F4">
        <w:t>Livent</w:t>
      </w:r>
      <w:r w:rsidR="009138AE" w:rsidRPr="004C79F4">
        <w:t>’</w:t>
      </w:r>
      <w:r w:rsidR="00F25640" w:rsidRPr="004C79F4">
        <w:t>s</w:t>
      </w:r>
      <w:proofErr w:type="spellEnd"/>
      <w:r w:rsidR="00F25640" w:rsidRPr="004C79F4">
        <w:t xml:space="preserve"> shareholders in overseeing management; it cannot therefore be held liable for failing to take reasonable ca</w:t>
      </w:r>
      <w:r w:rsidR="00522DA9" w:rsidRPr="004C79F4">
        <w:t>re to assist such oversight. G</w:t>
      </w:r>
      <w:r w:rsidR="00F25640" w:rsidRPr="004C79F4">
        <w:t>iven that Livent had no right to rely on Deloitte</w:t>
      </w:r>
      <w:r w:rsidR="009138AE" w:rsidRPr="004C79F4">
        <w:t>’</w:t>
      </w:r>
      <w:r w:rsidR="00F25640" w:rsidRPr="004C79F4">
        <w:t xml:space="preserve">s representations for a purpose other than that for which Deloitte undertook to act, </w:t>
      </w:r>
      <w:proofErr w:type="spellStart"/>
      <w:r w:rsidR="00F25640" w:rsidRPr="004C79F4">
        <w:t>Livent</w:t>
      </w:r>
      <w:r w:rsidR="009138AE" w:rsidRPr="004C79F4">
        <w:t>’</w:t>
      </w:r>
      <w:r w:rsidR="00F25640" w:rsidRPr="004C79F4">
        <w:t>s</w:t>
      </w:r>
      <w:proofErr w:type="spellEnd"/>
      <w:r w:rsidR="00F25640" w:rsidRPr="004C79F4">
        <w:t xml:space="preserve"> reliance was neither reasonable nor reasonably foreseeable. Conseque</w:t>
      </w:r>
      <w:r w:rsidR="00522DA9" w:rsidRPr="004C79F4">
        <w:t xml:space="preserve">ntly, the increase in </w:t>
      </w:r>
      <w:proofErr w:type="spellStart"/>
      <w:r w:rsidR="00522DA9" w:rsidRPr="004C79F4">
        <w:t>Livent</w:t>
      </w:r>
      <w:r w:rsidR="009138AE" w:rsidRPr="004C79F4">
        <w:t>’</w:t>
      </w:r>
      <w:r w:rsidR="00522DA9" w:rsidRPr="004C79F4">
        <w:t>s</w:t>
      </w:r>
      <w:proofErr w:type="spellEnd"/>
      <w:r w:rsidR="00522DA9" w:rsidRPr="004C79F4">
        <w:t xml:space="preserve"> losses or liquidation deficit, which arose from that reliance,</w:t>
      </w:r>
      <w:r w:rsidR="00F25640" w:rsidRPr="004C79F4">
        <w:t xml:space="preserve"> was not a </w:t>
      </w:r>
      <w:r w:rsidR="00522DA9" w:rsidRPr="004C79F4">
        <w:t>reasonably foreseeable injury.</w:t>
      </w:r>
      <w:r w:rsidR="00E1423D" w:rsidRPr="004C79F4">
        <w:t xml:space="preserve"> </w:t>
      </w:r>
      <w:r w:rsidR="00522DA9" w:rsidRPr="004C79F4">
        <w:t>Because</w:t>
      </w:r>
      <w:r w:rsidR="00F25640" w:rsidRPr="004C79F4">
        <w:t xml:space="preserve"> no </w:t>
      </w:r>
      <w:r w:rsidR="00F25640" w:rsidRPr="004C79F4">
        <w:rPr>
          <w:i/>
        </w:rPr>
        <w:t>prima facie</w:t>
      </w:r>
      <w:r w:rsidR="00522DA9" w:rsidRPr="004C79F4">
        <w:t xml:space="preserve"> duty of care arose,</w:t>
      </w:r>
      <w:r w:rsidR="00F25640" w:rsidRPr="004C79F4">
        <w:t xml:space="preserve"> there is no need to consider residual policy considerations. </w:t>
      </w:r>
    </w:p>
    <w:p w:rsidR="00F25640" w:rsidRPr="004C79F4" w:rsidRDefault="00F25640" w:rsidP="00633C48">
      <w:pPr>
        <w:pStyle w:val="SCCNormalDoubleSpacing"/>
        <w:spacing w:before="480" w:after="480"/>
      </w:pPr>
      <w:r w:rsidRPr="004C79F4">
        <w:tab/>
      </w:r>
      <w:r w:rsidR="00522DA9" w:rsidRPr="004C79F4">
        <w:rPr>
          <w:rFonts w:eastAsiaTheme="minorHAnsi"/>
        </w:rPr>
        <w:t xml:space="preserve">However, the Court has already recognized </w:t>
      </w:r>
      <w:r w:rsidRPr="004C79F4">
        <w:rPr>
          <w:rFonts w:eastAsiaTheme="minorHAnsi"/>
        </w:rPr>
        <w:t>that</w:t>
      </w:r>
      <w:r w:rsidR="00522DA9" w:rsidRPr="004C79F4">
        <w:rPr>
          <w:rFonts w:eastAsiaTheme="minorHAnsi"/>
        </w:rPr>
        <w:t xml:space="preserve"> a duty is</w:t>
      </w:r>
      <w:r w:rsidRPr="004C79F4">
        <w:rPr>
          <w:rFonts w:eastAsiaTheme="minorHAnsi"/>
        </w:rPr>
        <w:t xml:space="preserve"> owed by an auditor in preparing a statutory audit</w:t>
      </w:r>
      <w:r w:rsidRPr="004C79F4" w:rsidDel="00976387">
        <w:rPr>
          <w:rFonts w:eastAsiaTheme="minorHAnsi"/>
        </w:rPr>
        <w:t xml:space="preserve"> </w:t>
      </w:r>
      <w:r w:rsidR="00522DA9" w:rsidRPr="004C79F4">
        <w:rPr>
          <w:rFonts w:eastAsiaTheme="minorHAnsi"/>
        </w:rPr>
        <w:t>and</w:t>
      </w:r>
      <w:r w:rsidRPr="004C79F4">
        <w:t xml:space="preserve"> </w:t>
      </w:r>
      <w:r w:rsidR="00522DA9" w:rsidRPr="004C79F4">
        <w:rPr>
          <w:rFonts w:eastAsiaTheme="minorHAnsi"/>
        </w:rPr>
        <w:t xml:space="preserve">that a claim by </w:t>
      </w:r>
      <w:r w:rsidRPr="004C79F4">
        <w:rPr>
          <w:rFonts w:eastAsiaTheme="minorHAnsi"/>
        </w:rPr>
        <w:t>a corporation for losses resulting from a n</w:t>
      </w:r>
      <w:r w:rsidR="00522DA9" w:rsidRPr="004C79F4">
        <w:rPr>
          <w:rFonts w:eastAsiaTheme="minorHAnsi"/>
        </w:rPr>
        <w:t xml:space="preserve">egligent statutory audit could </w:t>
      </w:r>
      <w:r w:rsidRPr="004C79F4">
        <w:rPr>
          <w:rFonts w:eastAsiaTheme="minorHAnsi"/>
        </w:rPr>
        <w:t>succeed</w:t>
      </w:r>
      <w:r w:rsidR="00522DA9" w:rsidRPr="004C79F4">
        <w:rPr>
          <w:rFonts w:eastAsiaTheme="minorHAnsi"/>
        </w:rPr>
        <w:t xml:space="preserve">. </w:t>
      </w:r>
      <w:r w:rsidR="00522DA9" w:rsidRPr="004C79F4">
        <w:t>A</w:t>
      </w:r>
      <w:r w:rsidRPr="004C79F4">
        <w:t xml:space="preserve"> </w:t>
      </w:r>
      <w:r w:rsidRPr="004C79F4">
        <w:rPr>
          <w:rFonts w:eastAsiaTheme="minorHAnsi"/>
        </w:rPr>
        <w:t xml:space="preserve">statutory audit is prepared to allow shareholders to collectively </w:t>
      </w:r>
      <w:r w:rsidR="00522DA9" w:rsidRPr="004C79F4">
        <w:t>s</w:t>
      </w:r>
      <w:r w:rsidRPr="004C79F4">
        <w:t xml:space="preserve">upervise management and to </w:t>
      </w:r>
      <w:r w:rsidR="00522DA9" w:rsidRPr="004C79F4">
        <w:t>take decisions with respect to the</w:t>
      </w:r>
      <w:r w:rsidRPr="004C79F4">
        <w:t xml:space="preserve"> </w:t>
      </w:r>
      <w:r w:rsidRPr="004C79F4">
        <w:rPr>
          <w:rFonts w:eastAsiaTheme="minorHAnsi"/>
        </w:rPr>
        <w:t xml:space="preserve">overall </w:t>
      </w:r>
      <w:r w:rsidRPr="004C79F4">
        <w:t xml:space="preserve">administration of the </w:t>
      </w:r>
      <w:r w:rsidR="00522DA9" w:rsidRPr="004C79F4">
        <w:t>corporation.</w:t>
      </w:r>
      <w:r w:rsidRPr="004C79F4">
        <w:t xml:space="preserve"> This describes precisely the function which </w:t>
      </w:r>
      <w:proofErr w:type="spellStart"/>
      <w:r w:rsidRPr="004C79F4">
        <w:t>Livent</w:t>
      </w:r>
      <w:r w:rsidR="009138AE" w:rsidRPr="004C79F4">
        <w:t>’</w:t>
      </w:r>
      <w:r w:rsidRPr="004C79F4">
        <w:t>s</w:t>
      </w:r>
      <w:proofErr w:type="spellEnd"/>
      <w:r w:rsidRPr="004C79F4">
        <w:t xml:space="preserve"> shareholders were unable to discharge b</w:t>
      </w:r>
      <w:r w:rsidR="00522DA9" w:rsidRPr="004C79F4">
        <w:t>y reason of Deloitte</w:t>
      </w:r>
      <w:r w:rsidR="009138AE" w:rsidRPr="004C79F4">
        <w:t>’</w:t>
      </w:r>
      <w:r w:rsidR="00522DA9" w:rsidRPr="004C79F4">
        <w:t>s negligent 1997 audit</w:t>
      </w:r>
      <w:r w:rsidRPr="004C79F4">
        <w:t>.</w:t>
      </w:r>
      <w:r w:rsidR="00E1423D" w:rsidRPr="004C79F4">
        <w:t xml:space="preserve"> </w:t>
      </w:r>
      <w:r w:rsidR="00522DA9" w:rsidRPr="004C79F4">
        <w:rPr>
          <w:lang w:val="en"/>
        </w:rPr>
        <w:t>Deloitte</w:t>
      </w:r>
      <w:r w:rsidRPr="004C79F4">
        <w:rPr>
          <w:lang w:val="en"/>
        </w:rPr>
        <w:t xml:space="preserve"> did not alter the purpose for which it</w:t>
      </w:r>
      <w:r w:rsidR="00522DA9" w:rsidRPr="004C79F4">
        <w:rPr>
          <w:lang w:val="en"/>
        </w:rPr>
        <w:t xml:space="preserve"> undertook to provide the 1997 a</w:t>
      </w:r>
      <w:r w:rsidRPr="004C79F4">
        <w:rPr>
          <w:lang w:val="en"/>
        </w:rPr>
        <w:t xml:space="preserve">udit or disclaim liability in relation to that purpose. </w:t>
      </w:r>
      <w:r w:rsidR="00522DA9" w:rsidRPr="004C79F4">
        <w:t>Therefore,</w:t>
      </w:r>
      <w:r w:rsidRPr="004C79F4">
        <w:t xml:space="preserve"> proximity is established in relation to the statutory audit, on the basis of the previously re</w:t>
      </w:r>
      <w:r w:rsidR="00522DA9" w:rsidRPr="004C79F4">
        <w:t>cognized proximate relationshi</w:t>
      </w:r>
      <w:r w:rsidR="00144572">
        <w:t>p. </w:t>
      </w:r>
      <w:r w:rsidR="00522DA9" w:rsidRPr="004C79F4">
        <w:t>In addition,</w:t>
      </w:r>
      <w:r w:rsidRPr="004C79F4">
        <w:t xml:space="preserve"> the type of injury Livent suffered was a reasonably foreseeable consequence of Deloitte</w:t>
      </w:r>
      <w:r w:rsidR="009138AE" w:rsidRPr="004C79F4">
        <w:t>’</w:t>
      </w:r>
      <w:r w:rsidR="00522DA9" w:rsidRPr="004C79F4">
        <w:t>s negligence. Through the 1997 a</w:t>
      </w:r>
      <w:r w:rsidRPr="004C79F4">
        <w:t xml:space="preserve">udit, Deloitte undertook to assist </w:t>
      </w:r>
      <w:proofErr w:type="spellStart"/>
      <w:r w:rsidRPr="004C79F4">
        <w:t>Livent</w:t>
      </w:r>
      <w:r w:rsidR="009138AE" w:rsidRPr="004C79F4">
        <w:t>’</w:t>
      </w:r>
      <w:r w:rsidRPr="004C79F4">
        <w:t>s</w:t>
      </w:r>
      <w:proofErr w:type="spellEnd"/>
      <w:r w:rsidRPr="004C79F4">
        <w:t xml:space="preserve"> shareholders in </w:t>
      </w:r>
      <w:r w:rsidRPr="004C79F4">
        <w:rPr>
          <w:lang w:val="en"/>
        </w:rPr>
        <w:t>scrutinizing management conduct</w:t>
      </w:r>
      <w:r w:rsidRPr="004C79F4">
        <w:t xml:space="preserve">. By negligently conducting the audit, and impairing </w:t>
      </w:r>
      <w:proofErr w:type="spellStart"/>
      <w:r w:rsidRPr="004C79F4">
        <w:t>Livent</w:t>
      </w:r>
      <w:r w:rsidR="009138AE" w:rsidRPr="004C79F4">
        <w:t>’</w:t>
      </w:r>
      <w:r w:rsidRPr="004C79F4">
        <w:t>s</w:t>
      </w:r>
      <w:proofErr w:type="spellEnd"/>
      <w:r w:rsidRPr="004C79F4">
        <w:t xml:space="preserve"> shareholders</w:t>
      </w:r>
      <w:r w:rsidR="009138AE" w:rsidRPr="004C79F4">
        <w:t>’</w:t>
      </w:r>
      <w:r w:rsidRPr="004C79F4">
        <w:t xml:space="preserve"> ability to oversee management, Deloitte exposed Livent to reasonabl</w:t>
      </w:r>
      <w:r w:rsidR="00522DA9" w:rsidRPr="004C79F4">
        <w:t>y foreseeable risks, including losses</w:t>
      </w:r>
      <w:r w:rsidRPr="004C79F4">
        <w:t xml:space="preserve"> that would have been avoided with a proper audit.</w:t>
      </w:r>
      <w:r w:rsidR="00E1423D" w:rsidRPr="004C79F4">
        <w:t xml:space="preserve"> </w:t>
      </w:r>
      <w:r w:rsidR="00522DA9" w:rsidRPr="004C79F4">
        <w:t>Because proximity is</w:t>
      </w:r>
      <w:r w:rsidRPr="004C79F4">
        <w:t xml:space="preserve"> based on a p</w:t>
      </w:r>
      <w:r w:rsidR="00522DA9" w:rsidRPr="004C79F4">
        <w:t>reviously recognized category, there is no need to</w:t>
      </w:r>
      <w:r w:rsidRPr="004C79F4">
        <w:t xml:space="preserve"> consider r</w:t>
      </w:r>
      <w:r w:rsidR="00522DA9" w:rsidRPr="004C79F4">
        <w:t>esidual policy considerations.</w:t>
      </w:r>
      <w:r w:rsidRPr="004C79F4">
        <w:t xml:space="preserve"> Deloitte owed Livent a d</w:t>
      </w:r>
      <w:r w:rsidR="00522DA9" w:rsidRPr="004C79F4">
        <w:t>uty of care, which it breached.</w:t>
      </w:r>
      <w:r w:rsidRPr="004C79F4">
        <w:t xml:space="preserve"> </w:t>
      </w:r>
      <w:r w:rsidR="00522DA9" w:rsidRPr="004C79F4">
        <w:rPr>
          <w:rStyle w:val="SCCCoramChar"/>
          <w:rFonts w:cs="Times New Roman"/>
        </w:rPr>
        <w:t xml:space="preserve">Deloitte cannot rely on either the </w:t>
      </w:r>
      <w:proofErr w:type="spellStart"/>
      <w:r w:rsidR="00522DA9" w:rsidRPr="004C79F4">
        <w:rPr>
          <w:rStyle w:val="SCCCoramChar"/>
          <w:rFonts w:cs="Times New Roman"/>
        </w:rPr>
        <w:t>defence</w:t>
      </w:r>
      <w:proofErr w:type="spellEnd"/>
      <w:r w:rsidR="00522DA9" w:rsidRPr="004C79F4">
        <w:rPr>
          <w:rStyle w:val="SCCCoramChar"/>
          <w:rFonts w:cs="Times New Roman"/>
        </w:rPr>
        <w:t xml:space="preserve"> </w:t>
      </w:r>
      <w:r w:rsidRPr="004C79F4">
        <w:rPr>
          <w:rStyle w:val="SCCCoramChar"/>
          <w:rFonts w:cs="Times New Roman"/>
        </w:rPr>
        <w:t>of illegality or</w:t>
      </w:r>
      <w:r w:rsidR="00522DA9" w:rsidRPr="004C79F4">
        <w:rPr>
          <w:rStyle w:val="SCCCoramChar"/>
          <w:rFonts w:cs="Times New Roman"/>
        </w:rPr>
        <w:t xml:space="preserve"> of contributory fault, because</w:t>
      </w:r>
      <w:r w:rsidRPr="004C79F4">
        <w:rPr>
          <w:rStyle w:val="SCCCoramChar"/>
          <w:rFonts w:cs="Times New Roman"/>
        </w:rPr>
        <w:t xml:space="preserve"> t</w:t>
      </w:r>
      <w:r w:rsidR="00522DA9" w:rsidRPr="004C79F4">
        <w:rPr>
          <w:rStyle w:val="SCCCoramChar"/>
          <w:rFonts w:cs="Times New Roman"/>
        </w:rPr>
        <w:t xml:space="preserve">he fraudulent acts of </w:t>
      </w:r>
      <w:proofErr w:type="spellStart"/>
      <w:r w:rsidR="00522DA9" w:rsidRPr="004C79F4">
        <w:rPr>
          <w:rStyle w:val="SCCCoramChar"/>
          <w:rFonts w:cs="Times New Roman"/>
        </w:rPr>
        <w:t>Livent</w:t>
      </w:r>
      <w:r w:rsidR="009138AE" w:rsidRPr="004C79F4">
        <w:rPr>
          <w:rStyle w:val="SCCCoramChar"/>
          <w:rFonts w:cs="Times New Roman"/>
        </w:rPr>
        <w:t>’</w:t>
      </w:r>
      <w:r w:rsidR="00522DA9" w:rsidRPr="004C79F4">
        <w:rPr>
          <w:rStyle w:val="SCCCoramChar"/>
          <w:rFonts w:cs="Times New Roman"/>
        </w:rPr>
        <w:t>s</w:t>
      </w:r>
      <w:proofErr w:type="spellEnd"/>
      <w:r w:rsidR="00522DA9" w:rsidRPr="004C79F4">
        <w:rPr>
          <w:rStyle w:val="SCCCoramChar"/>
          <w:rFonts w:cs="Times New Roman"/>
        </w:rPr>
        <w:t xml:space="preserve"> </w:t>
      </w:r>
      <w:r w:rsidRPr="004C79F4">
        <w:rPr>
          <w:rStyle w:val="SCCCoramChar"/>
          <w:rFonts w:cs="Times New Roman"/>
        </w:rPr>
        <w:t>directors</w:t>
      </w:r>
      <w:r w:rsidR="00522DA9" w:rsidRPr="004C79F4">
        <w:rPr>
          <w:rStyle w:val="SCCCoramChar"/>
          <w:rFonts w:cs="Times New Roman"/>
        </w:rPr>
        <w:t xml:space="preserve"> cannot</w:t>
      </w:r>
      <w:r w:rsidRPr="004C79F4">
        <w:rPr>
          <w:rStyle w:val="SCCCoramChar"/>
          <w:rFonts w:cs="Times New Roman"/>
        </w:rPr>
        <w:t xml:space="preserve"> be attributed to the corporation. </w:t>
      </w:r>
    </w:p>
    <w:p w:rsidR="00F25640" w:rsidRPr="004C79F4" w:rsidRDefault="00633C48" w:rsidP="00633C48">
      <w:pPr>
        <w:pStyle w:val="SCCNormalDoubleSpacing"/>
        <w:spacing w:before="480" w:after="480"/>
        <w:rPr>
          <w:rStyle w:val="SCCCoramChar"/>
          <w:rFonts w:cs="Times New Roman"/>
        </w:rPr>
      </w:pPr>
      <w:r w:rsidRPr="004C79F4">
        <w:tab/>
      </w:r>
      <w:r w:rsidR="00522DA9" w:rsidRPr="004C79F4">
        <w:t>R</w:t>
      </w:r>
      <w:r w:rsidR="00F25640" w:rsidRPr="004C79F4">
        <w:t xml:space="preserve">emoteness is not a bar to </w:t>
      </w:r>
      <w:proofErr w:type="spellStart"/>
      <w:r w:rsidR="00F25640" w:rsidRPr="004C79F4">
        <w:t>Livent</w:t>
      </w:r>
      <w:r w:rsidR="009138AE" w:rsidRPr="004C79F4">
        <w:t>’</w:t>
      </w:r>
      <w:r w:rsidR="00F25640" w:rsidRPr="004C79F4">
        <w:t>s</w:t>
      </w:r>
      <w:proofErr w:type="spellEnd"/>
      <w:r w:rsidR="00F25640" w:rsidRPr="004C79F4">
        <w:t xml:space="preserve"> recovery.</w:t>
      </w:r>
      <w:r w:rsidR="00E1423D" w:rsidRPr="004C79F4">
        <w:t xml:space="preserve"> </w:t>
      </w:r>
      <w:r w:rsidR="00522DA9" w:rsidRPr="004C79F4">
        <w:t>R</w:t>
      </w:r>
      <w:r w:rsidR="00F25640" w:rsidRPr="004C79F4">
        <w:t xml:space="preserve">emoteness </w:t>
      </w:r>
      <w:r w:rsidR="00522DA9" w:rsidRPr="004C79F4">
        <w:t>examines whether t</w:t>
      </w:r>
      <w:r w:rsidR="00F25640" w:rsidRPr="004C79F4">
        <w:t xml:space="preserve">he harm is too unrelated to the wrongful conduct to hold the defendant fairly liable. </w:t>
      </w:r>
      <w:r w:rsidR="00522DA9" w:rsidRPr="004C79F4">
        <w:t>It</w:t>
      </w:r>
      <w:r w:rsidR="00F25640" w:rsidRPr="004C79F4">
        <w:t xml:space="preserve"> overlaps conceptually with the reas</w:t>
      </w:r>
      <w:r w:rsidR="00522DA9" w:rsidRPr="004C79F4">
        <w:t>onable foreseeability analysis but t</w:t>
      </w:r>
      <w:r w:rsidR="00F25640" w:rsidRPr="004C79F4">
        <w:t xml:space="preserve">he duty </w:t>
      </w:r>
      <w:r w:rsidR="00705D75">
        <w:t xml:space="preserve">of care </w:t>
      </w:r>
      <w:r w:rsidR="00F25640" w:rsidRPr="004C79F4">
        <w:t>analysis is concerned with the type of injury that is reasonably foreseeable as flowing from the defendant</w:t>
      </w:r>
      <w:r w:rsidR="009138AE" w:rsidRPr="004C79F4">
        <w:t>’</w:t>
      </w:r>
      <w:r w:rsidR="00F25640" w:rsidRPr="004C79F4">
        <w:t>s conduct</w:t>
      </w:r>
      <w:r w:rsidR="00F25640" w:rsidRPr="004C79F4">
        <w:rPr>
          <w:lang w:val="en-US"/>
        </w:rPr>
        <w:t>,</w:t>
      </w:r>
      <w:r w:rsidR="00F25640" w:rsidRPr="004C79F4">
        <w:t xml:space="preserve"> whereas the remoteness analysis is concerned with the actual injury suffered by the plaintiff. </w:t>
      </w:r>
      <w:r w:rsidR="00522DA9" w:rsidRPr="004C79F4">
        <w:t>However,</w:t>
      </w:r>
      <w:r w:rsidR="00F25640" w:rsidRPr="004C79F4">
        <w:t xml:space="preserve"> the loss here — stemming from Deloitte</w:t>
      </w:r>
      <w:r w:rsidR="009138AE" w:rsidRPr="004C79F4">
        <w:t>’</w:t>
      </w:r>
      <w:r w:rsidR="00F25640" w:rsidRPr="004C79F4">
        <w:t xml:space="preserve">s failure to fulfill the specific undertaking it made to </w:t>
      </w:r>
      <w:r w:rsidR="00522DA9" w:rsidRPr="004C79F4">
        <w:t>Livent in relation to the 1997 audit</w:t>
      </w:r>
      <w:r w:rsidR="00F25640" w:rsidRPr="004C79F4">
        <w:t xml:space="preserve"> — was reasonably foreseeable. </w:t>
      </w:r>
    </w:p>
    <w:p w:rsidR="00F25640" w:rsidRPr="004C79F4" w:rsidRDefault="00633C48" w:rsidP="00633C48">
      <w:pPr>
        <w:pStyle w:val="SCCNormalDoubleSpacing"/>
        <w:spacing w:before="480" w:after="480"/>
        <w:rPr>
          <w:rStyle w:val="SCCCoramChar"/>
          <w:rFonts w:cs="Times New Roman"/>
        </w:rPr>
      </w:pPr>
      <w:r w:rsidRPr="004C79F4">
        <w:rPr>
          <w:rStyle w:val="SCCCoramChar"/>
          <w:rFonts w:cs="Times New Roman"/>
        </w:rPr>
        <w:tab/>
      </w:r>
      <w:r w:rsidR="00F25640" w:rsidRPr="004C79F4">
        <w:rPr>
          <w:rStyle w:val="SCCCoramChar"/>
          <w:rFonts w:cs="Times New Roman"/>
        </w:rPr>
        <w:t xml:space="preserve">The trial judge assessed </w:t>
      </w:r>
      <w:proofErr w:type="spellStart"/>
      <w:r w:rsidR="00F25640" w:rsidRPr="004C79F4">
        <w:rPr>
          <w:rStyle w:val="SCCCoramChar"/>
          <w:rFonts w:cs="Times New Roman"/>
        </w:rPr>
        <w:t>Livent</w:t>
      </w:r>
      <w:r w:rsidR="009138AE" w:rsidRPr="004C79F4">
        <w:rPr>
          <w:rStyle w:val="SCCCoramChar"/>
          <w:rFonts w:cs="Times New Roman"/>
        </w:rPr>
        <w:t>’</w:t>
      </w:r>
      <w:r w:rsidR="00F25640" w:rsidRPr="004C79F4">
        <w:rPr>
          <w:rStyle w:val="SCCCoramChar"/>
          <w:rFonts w:cs="Times New Roman"/>
        </w:rPr>
        <w:t>s</w:t>
      </w:r>
      <w:proofErr w:type="spellEnd"/>
      <w:r w:rsidR="00F25640" w:rsidRPr="004C79F4">
        <w:rPr>
          <w:rStyle w:val="SCCCoramChar"/>
          <w:rFonts w:cs="Times New Roman"/>
        </w:rPr>
        <w:t xml:space="preserve"> damages following the 1997 audit at</w:t>
      </w:r>
      <w:r w:rsidR="00144572">
        <w:rPr>
          <w:rStyle w:val="SCCCoramChar"/>
          <w:rFonts w:cs="Times New Roman"/>
        </w:rPr>
        <w:t> $</w:t>
      </w:r>
      <w:r w:rsidR="00522DA9" w:rsidRPr="004C79F4">
        <w:rPr>
          <w:rStyle w:val="SCCCoramChar"/>
          <w:rFonts w:cs="Times New Roman"/>
        </w:rPr>
        <w:t>53.9 million</w:t>
      </w:r>
      <w:r w:rsidR="00F25640" w:rsidRPr="004C79F4">
        <w:rPr>
          <w:rStyle w:val="SCCCoramChar"/>
          <w:rFonts w:cs="Times New Roman"/>
        </w:rPr>
        <w:t>. Applying the trial judge</w:t>
      </w:r>
      <w:r w:rsidR="009138AE" w:rsidRPr="004C79F4">
        <w:rPr>
          <w:rStyle w:val="SCCCoramChar"/>
          <w:rFonts w:cs="Times New Roman"/>
        </w:rPr>
        <w:t>’</w:t>
      </w:r>
      <w:r w:rsidR="00F25640" w:rsidRPr="004C79F4">
        <w:rPr>
          <w:rStyle w:val="SCCCoramChar"/>
          <w:rFonts w:cs="Times New Roman"/>
        </w:rPr>
        <w:t>s 25 percent contingency reduction to this amount results in a final damages assessment of</w:t>
      </w:r>
      <w:r w:rsidR="00144572">
        <w:rPr>
          <w:rStyle w:val="SCCCoramChar"/>
          <w:rFonts w:cs="Times New Roman"/>
        </w:rPr>
        <w:t> $</w:t>
      </w:r>
      <w:r w:rsidR="00F25640" w:rsidRPr="004C79F4">
        <w:rPr>
          <w:rStyle w:val="SCCCoramChar"/>
          <w:rFonts w:cs="Times New Roman"/>
        </w:rPr>
        <w:t>40,425,000. This is the amount for which Deloitte is liable.</w:t>
      </w:r>
      <w:r w:rsidR="00F25640" w:rsidRPr="004C79F4" w:rsidDel="00C92570">
        <w:rPr>
          <w:rStyle w:val="SCCCoramChar"/>
          <w:rFonts w:cs="Times New Roman"/>
        </w:rPr>
        <w:t xml:space="preserve"> </w:t>
      </w:r>
      <w:r w:rsidR="00F25640" w:rsidRPr="004C79F4">
        <w:rPr>
          <w:rStyle w:val="SCCCoramChar"/>
          <w:rFonts w:cs="Times New Roman"/>
        </w:rPr>
        <w:t>At trial, Livent conceded that its losses for negligent performance of a service or breach</w:t>
      </w:r>
      <w:r w:rsidR="000C7113" w:rsidRPr="004C79F4">
        <w:rPr>
          <w:rStyle w:val="SCCCoramChar"/>
          <w:rFonts w:cs="Times New Roman"/>
        </w:rPr>
        <w:t xml:space="preserve"> of contract would be identic</w:t>
      </w:r>
      <w:r w:rsidR="00144572">
        <w:rPr>
          <w:rStyle w:val="SCCCoramChar"/>
          <w:rFonts w:cs="Times New Roman"/>
        </w:rPr>
        <w:t>al. </w:t>
      </w:r>
      <w:r w:rsidR="00F25640" w:rsidRPr="004C79F4">
        <w:rPr>
          <w:rStyle w:val="SCCCoramChar"/>
          <w:rFonts w:cs="Times New Roman"/>
        </w:rPr>
        <w:t xml:space="preserve">Therefore, the same quantum of liability </w:t>
      </w:r>
      <w:r w:rsidR="000C7113" w:rsidRPr="004C79F4">
        <w:rPr>
          <w:rStyle w:val="SCCCoramChar"/>
          <w:rFonts w:cs="Times New Roman"/>
        </w:rPr>
        <w:t>applies for Deloitte</w:t>
      </w:r>
      <w:r w:rsidR="009138AE" w:rsidRPr="004C79F4">
        <w:rPr>
          <w:rStyle w:val="SCCCoramChar"/>
          <w:rFonts w:cs="Times New Roman"/>
        </w:rPr>
        <w:t>’</w:t>
      </w:r>
      <w:r w:rsidR="000C7113" w:rsidRPr="004C79F4">
        <w:rPr>
          <w:rStyle w:val="SCCCoramChar"/>
          <w:rFonts w:cs="Times New Roman"/>
        </w:rPr>
        <w:t>s</w:t>
      </w:r>
      <w:r w:rsidR="00F25640" w:rsidRPr="004C79F4">
        <w:rPr>
          <w:rStyle w:val="SCCCoramChar"/>
          <w:rFonts w:cs="Times New Roman"/>
        </w:rPr>
        <w:t xml:space="preserve"> concurrent claim in breach of contract.</w:t>
      </w:r>
      <w:r w:rsidR="00F25640" w:rsidRPr="004C79F4" w:rsidDel="0078099A">
        <w:rPr>
          <w:rStyle w:val="SCCCoramChar"/>
          <w:rFonts w:cs="Times New Roman"/>
        </w:rPr>
        <w:t xml:space="preserve"> </w:t>
      </w:r>
    </w:p>
    <w:p w:rsidR="003816A0" w:rsidRPr="004C79F4" w:rsidRDefault="003C3525" w:rsidP="003C3525">
      <w:pPr>
        <w:pStyle w:val="SCCNormalDoubleSpacing"/>
        <w:spacing w:before="480" w:after="480"/>
      </w:pPr>
      <w:r w:rsidRPr="004C79F4">
        <w:rPr>
          <w:i/>
        </w:rPr>
        <w:tab/>
      </w:r>
      <w:r w:rsidR="003816A0" w:rsidRPr="004C79F4">
        <w:rPr>
          <w:i/>
        </w:rPr>
        <w:t>Per</w:t>
      </w:r>
      <w:r w:rsidR="003816A0" w:rsidRPr="004C79F4">
        <w:t xml:space="preserve"> </w:t>
      </w:r>
      <w:r w:rsidRPr="004C79F4">
        <w:rPr>
          <w:b/>
        </w:rPr>
        <w:t>McLachlin </w:t>
      </w:r>
      <w:r w:rsidR="003816A0" w:rsidRPr="004C79F4">
        <w:t xml:space="preserve">C.J. </w:t>
      </w:r>
      <w:r w:rsidRPr="004C79F4">
        <w:t xml:space="preserve">and </w:t>
      </w:r>
      <w:r w:rsidR="008A75DB" w:rsidRPr="004C79F4">
        <w:t xml:space="preserve">Wagner and </w:t>
      </w:r>
      <w:r w:rsidRPr="004C79F4">
        <w:t>Côté </w:t>
      </w:r>
      <w:r w:rsidR="003816A0" w:rsidRPr="004C79F4">
        <w:t>J</w:t>
      </w:r>
      <w:r w:rsidR="008A75DB" w:rsidRPr="004C79F4">
        <w:t>J</w:t>
      </w:r>
      <w:r w:rsidR="003816A0" w:rsidRPr="004C79F4">
        <w:t>. (</w:t>
      </w:r>
      <w:proofErr w:type="gramStart"/>
      <w:r w:rsidR="003816A0" w:rsidRPr="004C79F4">
        <w:t>dissenting</w:t>
      </w:r>
      <w:proofErr w:type="gramEnd"/>
      <w:r w:rsidR="003816A0" w:rsidRPr="004C79F4">
        <w:t xml:space="preserve"> in part): Deloitte owed a duty of care to Livent, which it breached when it failed to discover and expose </w:t>
      </w:r>
      <w:proofErr w:type="spellStart"/>
      <w:r w:rsidR="003816A0" w:rsidRPr="004C79F4">
        <w:t>Livent</w:t>
      </w:r>
      <w:r w:rsidR="009138AE" w:rsidRPr="004C79F4">
        <w:t>’</w:t>
      </w:r>
      <w:r w:rsidR="003816A0" w:rsidRPr="004C79F4">
        <w:t>s</w:t>
      </w:r>
      <w:proofErr w:type="spellEnd"/>
      <w:r w:rsidR="003816A0" w:rsidRPr="004C79F4">
        <w:t xml:space="preserve"> fraud in the </w:t>
      </w:r>
      <w:r w:rsidR="003816A0" w:rsidRPr="004C79F4">
        <w:rPr>
          <w:rStyle w:val="SCCCoramChar"/>
          <w:rFonts w:cs="Times New Roman"/>
        </w:rPr>
        <w:t>audited</w:t>
      </w:r>
      <w:r w:rsidR="003816A0" w:rsidRPr="004C79F4">
        <w:t xml:space="preserve"> </w:t>
      </w:r>
      <w:r w:rsidR="00522DA9" w:rsidRPr="004C79F4">
        <w:t xml:space="preserve">statements. However, </w:t>
      </w:r>
      <w:r w:rsidR="003816A0" w:rsidRPr="004C79F4">
        <w:t xml:space="preserve">Deloitte is </w:t>
      </w:r>
      <w:r w:rsidR="00522DA9" w:rsidRPr="004C79F4">
        <w:t>not</w:t>
      </w:r>
      <w:r w:rsidR="003816A0" w:rsidRPr="004C79F4">
        <w:t xml:space="preserve"> liable for the loss that befell L</w:t>
      </w:r>
      <w:r w:rsidR="00522DA9" w:rsidRPr="004C79F4">
        <w:t>ivent</w:t>
      </w:r>
      <w:r w:rsidR="003816A0" w:rsidRPr="004C79F4">
        <w:t xml:space="preserve">. The claim in tort must be dismissed. The result is the same with respect to </w:t>
      </w:r>
      <w:proofErr w:type="spellStart"/>
      <w:r w:rsidR="003816A0" w:rsidRPr="004C79F4">
        <w:t>Livent</w:t>
      </w:r>
      <w:r w:rsidR="009138AE" w:rsidRPr="004C79F4">
        <w:t>’</w:t>
      </w:r>
      <w:r w:rsidR="003816A0" w:rsidRPr="004C79F4">
        <w:t>s</w:t>
      </w:r>
      <w:proofErr w:type="spellEnd"/>
      <w:r w:rsidR="003816A0" w:rsidRPr="004C79F4">
        <w:t xml:space="preserve"> action in contract</w:t>
      </w:r>
      <w:r w:rsidR="00FC1A09" w:rsidRPr="004C79F4">
        <w:t>.</w:t>
      </w:r>
    </w:p>
    <w:p w:rsidR="003816A0" w:rsidRPr="004C79F4" w:rsidRDefault="003C3525" w:rsidP="003C3525">
      <w:pPr>
        <w:pStyle w:val="SCCNormalDoubleSpacing"/>
        <w:spacing w:before="480" w:after="480"/>
      </w:pPr>
      <w:r w:rsidRPr="004C79F4">
        <w:tab/>
      </w:r>
      <w:r w:rsidR="003816A0" w:rsidRPr="004C79F4">
        <w:t xml:space="preserve">Courts have provided two doctrinal approaches for limiting recovery of pure economic loss flowing from negligent </w:t>
      </w:r>
      <w:r w:rsidR="00522DA9" w:rsidRPr="004C79F4">
        <w:t>misstatement. The first is to hold</w:t>
      </w:r>
      <w:r w:rsidR="003816A0" w:rsidRPr="004C79F4">
        <w:t xml:space="preserve"> that the scope of the duty of care of the advice</w:t>
      </w:r>
      <w:r w:rsidR="00144572">
        <w:noBreakHyphen/>
      </w:r>
      <w:r w:rsidR="003816A0" w:rsidRPr="004C79F4">
        <w:t>giver does not cover the l</w:t>
      </w:r>
      <w:r w:rsidR="00522DA9" w:rsidRPr="004C79F4">
        <w:t>oss claimed. The second is to hold</w:t>
      </w:r>
      <w:r w:rsidR="003816A0" w:rsidRPr="004C79F4">
        <w:t xml:space="preserve"> that the loss is too remote from the negligent act and thus was not legally caused by that act. </w:t>
      </w:r>
      <w:r w:rsidR="00522DA9" w:rsidRPr="004C79F4">
        <w:t>Both inquiries</w:t>
      </w:r>
      <w:r w:rsidR="003816A0" w:rsidRPr="004C79F4">
        <w:t xml:space="preserve"> invoke similar considerations</w:t>
      </w:r>
      <w:r w:rsidR="00522DA9" w:rsidRPr="004C79F4">
        <w:t xml:space="preserve"> </w:t>
      </w:r>
      <w:r w:rsidR="003816A0" w:rsidRPr="004C79F4">
        <w:t xml:space="preserve">and arrive at the same point. </w:t>
      </w:r>
      <w:r w:rsidR="00522DA9" w:rsidRPr="004C79F4">
        <w:t>The remotenes</w:t>
      </w:r>
      <w:r w:rsidR="003816A0" w:rsidRPr="004C79F4">
        <w:t>s inquiry looks at the wrongdoing and its proximity to the loss claimed. The factors to be considered are not closed. The advice</w:t>
      </w:r>
      <w:r w:rsidR="00144572">
        <w:noBreakHyphen/>
      </w:r>
      <w:r w:rsidR="003816A0" w:rsidRPr="004C79F4">
        <w:t>giver</w:t>
      </w:r>
      <w:r w:rsidR="009138AE" w:rsidRPr="004C79F4">
        <w:t>’</w:t>
      </w:r>
      <w:r w:rsidR="003816A0" w:rsidRPr="004C79F4">
        <w:t>s knowledge of the claimant</w:t>
      </w:r>
      <w:r w:rsidR="009138AE" w:rsidRPr="004C79F4">
        <w:t>’</w:t>
      </w:r>
      <w:r w:rsidR="003816A0" w:rsidRPr="004C79F4">
        <w:t>s circumstances, the reasonable expectations arising from the relationship, and the presence of intervening factors that led to the loss may figure in the analysis. The scope of the duty of care inquiry looks to the relationship between the defendant</w:t>
      </w:r>
      <w:r w:rsidR="009138AE" w:rsidRPr="004C79F4">
        <w:t>’</w:t>
      </w:r>
      <w:r w:rsidR="003816A0" w:rsidRPr="004C79F4">
        <w:t>s advice and the plaintiff</w:t>
      </w:r>
      <w:r w:rsidR="009138AE" w:rsidRPr="004C79F4">
        <w:t>’</w:t>
      </w:r>
      <w:r w:rsidR="003816A0" w:rsidRPr="004C79F4">
        <w:t>s lo</w:t>
      </w:r>
      <w:r w:rsidR="00144572">
        <w:t xml:space="preserve">ss. </w:t>
      </w:r>
      <w:r w:rsidR="003816A0" w:rsidRPr="004C79F4">
        <w:t xml:space="preserve">It asks if that relationship was proximate. In cases of economic loss, it </w:t>
      </w:r>
      <w:proofErr w:type="spellStart"/>
      <w:r w:rsidR="003816A0" w:rsidRPr="004C79F4">
        <w:t>inquires</w:t>
      </w:r>
      <w:proofErr w:type="spellEnd"/>
      <w:r w:rsidR="003816A0" w:rsidRPr="004C79F4">
        <w:t xml:space="preserve"> into the purpose for which the advice was given and asks whether a reasonable person would have expected, or foreseen, that negligent advice would lead to the loss in question by virtue of the plaintiff</w:t>
      </w:r>
      <w:r w:rsidR="009138AE" w:rsidRPr="004C79F4">
        <w:t>’</w:t>
      </w:r>
      <w:r w:rsidR="003816A0" w:rsidRPr="004C79F4">
        <w:t xml:space="preserve">s reliance on the advice. </w:t>
      </w:r>
    </w:p>
    <w:p w:rsidR="003816A0" w:rsidRPr="004C79F4" w:rsidRDefault="003C3525" w:rsidP="003C3525">
      <w:pPr>
        <w:pStyle w:val="SCCNormalDoubleSpacing"/>
        <w:spacing w:before="480" w:after="480"/>
      </w:pPr>
      <w:r w:rsidRPr="004C79F4">
        <w:tab/>
      </w:r>
      <w:r w:rsidR="00522DA9" w:rsidRPr="004C79F4">
        <w:t>The</w:t>
      </w:r>
      <w:r w:rsidR="003816A0" w:rsidRPr="004C79F4">
        <w:t xml:space="preserve"> duty of care </w:t>
      </w:r>
      <w:r w:rsidR="00522DA9" w:rsidRPr="004C79F4">
        <w:t>inquiry leads</w:t>
      </w:r>
      <w:r w:rsidR="003816A0" w:rsidRPr="004C79F4">
        <w:t xml:space="preserve"> to the two</w:t>
      </w:r>
      <w:r w:rsidR="00144572">
        <w:noBreakHyphen/>
      </w:r>
      <w:r w:rsidR="00522DA9" w:rsidRPr="004C79F4">
        <w:t xml:space="preserve">part </w:t>
      </w:r>
      <w:r w:rsidR="003816A0" w:rsidRPr="004C79F4">
        <w:t>test set out in</w:t>
      </w:r>
      <w:r w:rsidR="003816A0" w:rsidRPr="004C79F4">
        <w:rPr>
          <w:i/>
        </w:rPr>
        <w:t xml:space="preserve"> </w:t>
      </w:r>
      <w:proofErr w:type="spellStart"/>
      <w:r w:rsidR="003816A0" w:rsidRPr="004C79F4">
        <w:rPr>
          <w:i/>
        </w:rPr>
        <w:t>Anns</w:t>
      </w:r>
      <w:proofErr w:type="spellEnd"/>
      <w:r w:rsidR="003816A0" w:rsidRPr="004C79F4">
        <w:rPr>
          <w:i/>
        </w:rPr>
        <w:t xml:space="preserve"> v. London Borough of Merton</w:t>
      </w:r>
      <w:r w:rsidR="003816A0" w:rsidRPr="004C79F4">
        <w:t xml:space="preserve">, [1977] 2 All E.R. 492 (H.L.). The first </w:t>
      </w:r>
      <w:r w:rsidR="00522DA9" w:rsidRPr="004C79F4">
        <w:t>part</w:t>
      </w:r>
      <w:r w:rsidR="003816A0" w:rsidRPr="004C79F4">
        <w:t xml:space="preserve"> of the test asks whether there is proximity, or a sufficiently close relationship, between the parties. It focuses on the connection between the defendant</w:t>
      </w:r>
      <w:r w:rsidR="009138AE" w:rsidRPr="004C79F4">
        <w:t>’</w:t>
      </w:r>
      <w:r w:rsidR="003816A0" w:rsidRPr="004C79F4">
        <w:t xml:space="preserve">s undertaking </w:t>
      </w:r>
      <w:r w:rsidR="00522DA9" w:rsidRPr="004C79F4">
        <w:t>or statement</w:t>
      </w:r>
      <w:r w:rsidR="003816A0" w:rsidRPr="004C79F4">
        <w:t xml:space="preserve"> and the loss claimed. The purpose for which the statement was made is pivotal, and is a matter of fact to be determined on the evidence adduced at tri</w:t>
      </w:r>
      <w:r w:rsidR="00144572">
        <w:t>al. </w:t>
      </w:r>
    </w:p>
    <w:p w:rsidR="003816A0" w:rsidRPr="004C79F4" w:rsidRDefault="003C3525" w:rsidP="003C3525">
      <w:pPr>
        <w:pStyle w:val="SCCNormalDoubleSpacing"/>
        <w:spacing w:before="480" w:after="480"/>
      </w:pPr>
      <w:r w:rsidRPr="004C79F4">
        <w:tab/>
      </w:r>
      <w:r w:rsidR="003816A0" w:rsidRPr="004C79F4">
        <w:t xml:space="preserve">In this case, three purposes of </w:t>
      </w:r>
      <w:proofErr w:type="spellStart"/>
      <w:r w:rsidR="003816A0" w:rsidRPr="004C79F4">
        <w:t>Livent</w:t>
      </w:r>
      <w:r w:rsidR="009138AE" w:rsidRPr="004C79F4">
        <w:t>’</w:t>
      </w:r>
      <w:r w:rsidR="003816A0" w:rsidRPr="004C79F4">
        <w:t>s</w:t>
      </w:r>
      <w:proofErr w:type="spellEnd"/>
      <w:r w:rsidR="003816A0" w:rsidRPr="004C79F4">
        <w:t xml:space="preserve"> audit statements are discernable: (1)</w:t>
      </w:r>
      <w:r w:rsidR="00E1423D" w:rsidRPr="004C79F4">
        <w:t> </w:t>
      </w:r>
      <w:r w:rsidR="003816A0" w:rsidRPr="004C79F4">
        <w:t xml:space="preserve">to report accurately on </w:t>
      </w:r>
      <w:proofErr w:type="spellStart"/>
      <w:r w:rsidR="003816A0" w:rsidRPr="004C79F4">
        <w:t>Livent</w:t>
      </w:r>
      <w:r w:rsidR="009138AE" w:rsidRPr="004C79F4">
        <w:t>’</w:t>
      </w:r>
      <w:r w:rsidR="003816A0" w:rsidRPr="004C79F4">
        <w:t>s</w:t>
      </w:r>
      <w:proofErr w:type="spellEnd"/>
      <w:r w:rsidR="003816A0" w:rsidRPr="004C79F4">
        <w:t xml:space="preserve"> finances and provide it with audit opinions on which it could rely for the purpose of attracting investment; (2)</w:t>
      </w:r>
      <w:r w:rsidR="00E1423D" w:rsidRPr="004C79F4">
        <w:t> </w:t>
      </w:r>
      <w:r w:rsidR="003816A0" w:rsidRPr="004C79F4">
        <w:t>to uncover errors or wrongdoing for the purpose of enabling Livent itself to correct or otherwise respond to the misfeasance; and (3)</w:t>
      </w:r>
      <w:r w:rsidR="00E1423D" w:rsidRPr="004C79F4">
        <w:t> </w:t>
      </w:r>
      <w:r w:rsidR="003816A0" w:rsidRPr="004C79F4">
        <w:t xml:space="preserve">to provide audit reports on which </w:t>
      </w:r>
      <w:proofErr w:type="spellStart"/>
      <w:r w:rsidR="003816A0" w:rsidRPr="004C79F4">
        <w:t>Livent</w:t>
      </w:r>
      <w:r w:rsidR="009138AE" w:rsidRPr="004C79F4">
        <w:t>’</w:t>
      </w:r>
      <w:r w:rsidR="003816A0" w:rsidRPr="004C79F4">
        <w:t>s</w:t>
      </w:r>
      <w:proofErr w:type="spellEnd"/>
      <w:r w:rsidR="003816A0" w:rsidRPr="004C79F4">
        <w:t xml:space="preserve"> shareholders could rely to supervise </w:t>
      </w:r>
      <w:proofErr w:type="spellStart"/>
      <w:r w:rsidR="00522DA9" w:rsidRPr="004C79F4">
        <w:t>Livent</w:t>
      </w:r>
      <w:r w:rsidR="009138AE" w:rsidRPr="004C79F4">
        <w:t>’</w:t>
      </w:r>
      <w:r w:rsidR="003816A0" w:rsidRPr="004C79F4">
        <w:t>s</w:t>
      </w:r>
      <w:proofErr w:type="spellEnd"/>
      <w:r w:rsidR="003816A0" w:rsidRPr="004C79F4">
        <w:t xml:space="preserve"> management. The scope of Deloitte</w:t>
      </w:r>
      <w:r w:rsidR="009138AE" w:rsidRPr="004C79F4">
        <w:t>’</w:t>
      </w:r>
      <w:r w:rsidR="003816A0" w:rsidRPr="004C79F4">
        <w:t>s duty of care is defined solely by these purposes.</w:t>
      </w:r>
      <w:r w:rsidR="00E1423D" w:rsidRPr="004C79F4">
        <w:t xml:space="preserve"> </w:t>
      </w:r>
    </w:p>
    <w:p w:rsidR="003816A0" w:rsidRPr="004C79F4" w:rsidRDefault="003C3525" w:rsidP="003C3525">
      <w:pPr>
        <w:pStyle w:val="SCCNormalDoubleSpacing"/>
        <w:spacing w:before="480" w:after="480"/>
      </w:pPr>
      <w:r w:rsidRPr="004C79F4">
        <w:tab/>
      </w:r>
      <w:r w:rsidR="003816A0" w:rsidRPr="004C79F4">
        <w:t>Deloitte</w:t>
      </w:r>
      <w:r w:rsidR="009138AE" w:rsidRPr="004C79F4">
        <w:t>’</w:t>
      </w:r>
      <w:r w:rsidR="00522DA9" w:rsidRPr="004C79F4">
        <w:t>s wrongful act did not deprive</w:t>
      </w:r>
      <w:r w:rsidR="003816A0" w:rsidRPr="004C79F4">
        <w:t xml:space="preserve"> Livent of the ability to attract investment capit</w:t>
      </w:r>
      <w:r w:rsidR="00144572">
        <w:t>al. </w:t>
      </w:r>
      <w:r w:rsidR="00522DA9" w:rsidRPr="004C79F4">
        <w:t>I</w:t>
      </w:r>
      <w:r w:rsidR="003816A0" w:rsidRPr="004C79F4">
        <w:t>n fact, Livent attracted a great deal of capital on the strength of Deloitte</w:t>
      </w:r>
      <w:r w:rsidR="009138AE" w:rsidRPr="004C79F4">
        <w:t>’</w:t>
      </w:r>
      <w:r w:rsidR="003816A0" w:rsidRPr="004C79F4">
        <w:t>s statements. Likewise, Deloitte</w:t>
      </w:r>
      <w:r w:rsidR="009138AE" w:rsidRPr="004C79F4">
        <w:t>’</w:t>
      </w:r>
      <w:r w:rsidR="00522DA9" w:rsidRPr="004C79F4">
        <w:t>s wrongful act did not prevent</w:t>
      </w:r>
      <w:r w:rsidR="003816A0" w:rsidRPr="004C79F4">
        <w:t xml:space="preserve"> Livent from detecting misfeasance in the company</w:t>
      </w:r>
      <w:r w:rsidR="009138AE" w:rsidRPr="004C79F4">
        <w:t>’</w:t>
      </w:r>
      <w:r w:rsidR="003816A0" w:rsidRPr="004C79F4">
        <w:t>s management</w:t>
      </w:r>
      <w:r w:rsidR="00522DA9" w:rsidRPr="004C79F4">
        <w:t>,</w:t>
      </w:r>
      <w:r w:rsidR="003816A0" w:rsidRPr="004C79F4">
        <w:t xml:space="preserve"> whic</w:t>
      </w:r>
      <w:r w:rsidR="00522DA9" w:rsidRPr="004C79F4">
        <w:t>h Livent</w:t>
      </w:r>
      <w:r w:rsidR="003816A0" w:rsidRPr="004C79F4">
        <w:t xml:space="preserve"> would have corrected had </w:t>
      </w:r>
      <w:r w:rsidR="00522DA9" w:rsidRPr="004C79F4">
        <w:t>it</w:t>
      </w:r>
      <w:r w:rsidR="003816A0" w:rsidRPr="004C79F4">
        <w:t xml:space="preserve"> known. </w:t>
      </w:r>
      <w:r w:rsidR="00522DA9" w:rsidRPr="004C79F4">
        <w:t>Finally,</w:t>
      </w:r>
      <w:r w:rsidR="003816A0" w:rsidRPr="004C79F4">
        <w:t xml:space="preserve"> Livent did not prove that Deloitte</w:t>
      </w:r>
      <w:r w:rsidR="009138AE" w:rsidRPr="004C79F4">
        <w:t>’</w:t>
      </w:r>
      <w:r w:rsidR="003816A0" w:rsidRPr="004C79F4">
        <w:t xml:space="preserve">s wrongdoing </w:t>
      </w:r>
      <w:r w:rsidR="00522DA9" w:rsidRPr="004C79F4">
        <w:t>prevented its</w:t>
      </w:r>
      <w:r w:rsidR="003816A0" w:rsidRPr="004C79F4">
        <w:t xml:space="preserve"> shareholders from exercising </w:t>
      </w:r>
      <w:r w:rsidR="00522DA9" w:rsidRPr="004C79F4">
        <w:t>s</w:t>
      </w:r>
      <w:r w:rsidR="003816A0" w:rsidRPr="004C79F4">
        <w:t>upervision in a ma</w:t>
      </w:r>
      <w:r w:rsidR="00522DA9" w:rsidRPr="004C79F4">
        <w:t>nner that would have ended the company</w:t>
      </w:r>
      <w:r w:rsidR="009138AE" w:rsidRPr="004C79F4">
        <w:t>’</w:t>
      </w:r>
      <w:r w:rsidR="00522DA9" w:rsidRPr="004C79F4">
        <w:t>s</w:t>
      </w:r>
      <w:r w:rsidR="003816A0" w:rsidRPr="004C79F4">
        <w:t xml:space="preserve"> loss</w:t>
      </w:r>
      <w:r w:rsidR="00144572">
        <w:noBreakHyphen/>
      </w:r>
      <w:r w:rsidR="003816A0" w:rsidRPr="004C79F4">
        <w:t xml:space="preserve">creating activities at an earlier date. </w:t>
      </w:r>
      <w:r w:rsidR="00522DA9" w:rsidRPr="004C79F4">
        <w:t>T</w:t>
      </w:r>
      <w:r w:rsidR="003816A0" w:rsidRPr="004C79F4">
        <w:t xml:space="preserve">he trial judge did not find that </w:t>
      </w:r>
      <w:proofErr w:type="spellStart"/>
      <w:r w:rsidR="003816A0" w:rsidRPr="004C79F4">
        <w:t>Livent</w:t>
      </w:r>
      <w:r w:rsidR="009138AE" w:rsidRPr="004C79F4">
        <w:t>’</w:t>
      </w:r>
      <w:r w:rsidR="003816A0" w:rsidRPr="004C79F4">
        <w:t>s</w:t>
      </w:r>
      <w:proofErr w:type="spellEnd"/>
      <w:r w:rsidR="003816A0" w:rsidRPr="004C79F4">
        <w:t xml:space="preserve"> shareholders relied on Deloitte</w:t>
      </w:r>
      <w:r w:rsidR="009138AE" w:rsidRPr="004C79F4">
        <w:t>’</w:t>
      </w:r>
      <w:r w:rsidR="003816A0" w:rsidRPr="004C79F4">
        <w:t xml:space="preserve">s negligent audit statements, or that had they received and relied on accurate statements, they would have acted in a way that would have prevented Livent from carrying on business and diminishing its assets in the period between the issuance of the relevant statements and </w:t>
      </w:r>
      <w:proofErr w:type="spellStart"/>
      <w:r w:rsidR="003816A0" w:rsidRPr="004C79F4">
        <w:t>Livent</w:t>
      </w:r>
      <w:r w:rsidR="009138AE" w:rsidRPr="004C79F4">
        <w:t>’</w:t>
      </w:r>
      <w:r w:rsidR="003816A0" w:rsidRPr="004C79F4">
        <w:t>s</w:t>
      </w:r>
      <w:proofErr w:type="spellEnd"/>
      <w:r w:rsidR="003816A0" w:rsidRPr="004C79F4">
        <w:t xml:space="preserve"> insolvency. Crucially, the trial judge did not ask whether the shareholders ha</w:t>
      </w:r>
      <w:r w:rsidR="00522DA9" w:rsidRPr="004C79F4">
        <w:t xml:space="preserve">d in fact relied on the audits </w:t>
      </w:r>
      <w:r w:rsidR="003816A0" w:rsidRPr="004C79F4">
        <w:t>and</w:t>
      </w:r>
      <w:r w:rsidR="00522DA9" w:rsidRPr="004C79F4">
        <w:t xml:space="preserve"> h</w:t>
      </w:r>
      <w:r w:rsidR="003816A0" w:rsidRPr="004C79F4">
        <w:t>e did not ask whether, if they had relied, this reliance prevented them from taking steps to alter course. Finally, he did not ask whether these actions, had they been taken, would have prevented the losses that Livent built up during the seven</w:t>
      </w:r>
      <w:r w:rsidR="00144572">
        <w:noBreakHyphen/>
      </w:r>
      <w:r w:rsidR="003816A0" w:rsidRPr="004C79F4">
        <w:t xml:space="preserve">month period in question. If the trial judge had asked these questions, he would have been obliged to answer them in the negative, since Livent offered no proof to support affirmative answers. As a result, the factual basis for establishing loss on the basis of shareholder supervision was entirely lacking. </w:t>
      </w:r>
    </w:p>
    <w:p w:rsidR="003816A0" w:rsidRPr="004C79F4" w:rsidRDefault="003C3525" w:rsidP="003C3525">
      <w:pPr>
        <w:pStyle w:val="SCCNormalDoubleSpacing"/>
        <w:spacing w:before="480" w:after="480"/>
      </w:pPr>
      <w:r w:rsidRPr="004C79F4">
        <w:tab/>
      </w:r>
      <w:r w:rsidR="00522DA9" w:rsidRPr="004C79F4">
        <w:t>The majority suggests</w:t>
      </w:r>
      <w:r w:rsidR="003816A0" w:rsidRPr="004C79F4">
        <w:t xml:space="preserve"> that, had Deloitte provided sound audit reports, </w:t>
      </w:r>
      <w:proofErr w:type="spellStart"/>
      <w:r w:rsidR="003816A0" w:rsidRPr="004C79F4">
        <w:t>Livent</w:t>
      </w:r>
      <w:r w:rsidR="009138AE" w:rsidRPr="004C79F4">
        <w:t>’</w:t>
      </w:r>
      <w:r w:rsidR="003816A0" w:rsidRPr="004C79F4">
        <w:t>s</w:t>
      </w:r>
      <w:proofErr w:type="spellEnd"/>
      <w:r w:rsidR="003816A0" w:rsidRPr="004C79F4">
        <w:t xml:space="preserve"> shareholders and management may have made decisions that would have limited the company</w:t>
      </w:r>
      <w:r w:rsidR="009138AE" w:rsidRPr="004C79F4">
        <w:t>’</w:t>
      </w:r>
      <w:r w:rsidR="003816A0" w:rsidRPr="004C79F4">
        <w:t>s losses. While this may be true, it is not enough to rely on unproven assertions to define the scope of the duty of care and to subsequently demonstrate causation.</w:t>
      </w:r>
      <w:r w:rsidR="00E1423D" w:rsidRPr="004C79F4">
        <w:t xml:space="preserve"> </w:t>
      </w:r>
      <w:r w:rsidR="00522DA9" w:rsidRPr="004C79F4">
        <w:t>The majority</w:t>
      </w:r>
      <w:r w:rsidR="009138AE" w:rsidRPr="004C79F4">
        <w:t>’</w:t>
      </w:r>
      <w:r w:rsidR="00522DA9" w:rsidRPr="004C79F4">
        <w:t>s</w:t>
      </w:r>
      <w:r w:rsidR="003816A0" w:rsidRPr="004C79F4">
        <w:t xml:space="preserve"> approach suggests that an auditor will generally become the underwriter for any losses suffered by a client following a negligent audit report. This, notwithstanding subsequent decisions — reliant or capricious — made by the client</w:t>
      </w:r>
      <w:r w:rsidR="009138AE" w:rsidRPr="004C79F4">
        <w:t>’</w:t>
      </w:r>
      <w:r w:rsidR="003816A0" w:rsidRPr="004C79F4">
        <w:t xml:space="preserve">s shareholders. </w:t>
      </w:r>
      <w:r w:rsidR="00522DA9" w:rsidRPr="004C79F4">
        <w:t>However,</w:t>
      </w:r>
      <w:r w:rsidR="003816A0" w:rsidRPr="004C79F4">
        <w:t xml:space="preserve"> </w:t>
      </w:r>
      <w:r w:rsidR="00522DA9" w:rsidRPr="004C79F4">
        <w:t>reliance cannot be presumed; it</w:t>
      </w:r>
      <w:r w:rsidR="003816A0" w:rsidRPr="004C79F4">
        <w:t xml:space="preserve"> must be proved. </w:t>
      </w:r>
    </w:p>
    <w:p w:rsidR="003816A0" w:rsidRPr="004C79F4" w:rsidRDefault="003816A0" w:rsidP="003C3525">
      <w:pPr>
        <w:pStyle w:val="SCCNormalDoubleSpacing"/>
        <w:spacing w:before="480" w:after="480"/>
      </w:pPr>
      <w:r w:rsidRPr="004C79F4">
        <w:tab/>
        <w:t>Because t</w:t>
      </w:r>
      <w:r w:rsidR="00522DA9" w:rsidRPr="004C79F4">
        <w:t>he loss at issue has</w:t>
      </w:r>
      <w:r w:rsidRPr="004C79F4">
        <w:t xml:space="preserve"> not been shown to fall within the sco</w:t>
      </w:r>
      <w:r w:rsidR="00522DA9" w:rsidRPr="004C79F4">
        <w:t>pe of Deloitte</w:t>
      </w:r>
      <w:r w:rsidR="009138AE" w:rsidRPr="004C79F4">
        <w:t>’</w:t>
      </w:r>
      <w:r w:rsidR="00522DA9" w:rsidRPr="004C79F4">
        <w:t>s duty of care, t</w:t>
      </w:r>
      <w:r w:rsidRPr="004C79F4">
        <w:t xml:space="preserve">he first step of the </w:t>
      </w:r>
      <w:proofErr w:type="spellStart"/>
      <w:r w:rsidRPr="004C79F4">
        <w:rPr>
          <w:i/>
        </w:rPr>
        <w:t>Anns</w:t>
      </w:r>
      <w:proofErr w:type="spellEnd"/>
      <w:r w:rsidRPr="004C79F4">
        <w:t xml:space="preserve"> test is not established. </w:t>
      </w:r>
      <w:r w:rsidR="00522DA9" w:rsidRPr="004C79F4">
        <w:t>It is therefore</w:t>
      </w:r>
      <w:r w:rsidRPr="004C79F4">
        <w:t xml:space="preserve"> unnecessary to go on to ask whether </w:t>
      </w:r>
      <w:r w:rsidRPr="004C79F4">
        <w:rPr>
          <w:i/>
        </w:rPr>
        <w:t>prima facie</w:t>
      </w:r>
      <w:r w:rsidRPr="004C79F4">
        <w:t xml:space="preserve"> liability is negated by policy considerations unrelated to the relationship between the parties. However, were it necessary to do so, the policy considerations of unfair allocation of loss and indeterminacy would preclude imposing liability on </w:t>
      </w:r>
      <w:proofErr w:type="gramStart"/>
      <w:r w:rsidRPr="004C79F4">
        <w:t>Deloitte.</w:t>
      </w:r>
      <w:proofErr w:type="gramEnd"/>
      <w:r w:rsidRPr="004C79F4" w:rsidDel="000D4D0C">
        <w:t xml:space="preserve"> </w:t>
      </w:r>
    </w:p>
    <w:p w:rsidR="007E1C47" w:rsidRPr="004C79F4" w:rsidRDefault="002E6705" w:rsidP="00F25640">
      <w:pPr>
        <w:pStyle w:val="SCCNormalDoubleSpacing"/>
        <w:spacing w:before="480" w:after="480"/>
        <w:rPr>
          <w:b/>
        </w:rPr>
      </w:pPr>
      <w:r w:rsidRPr="004C79F4">
        <w:rPr>
          <w:b/>
        </w:rPr>
        <w:t>Cases Cited</w:t>
      </w:r>
    </w:p>
    <w:p w:rsidR="00F25640" w:rsidRPr="004C79F4" w:rsidRDefault="003C3525" w:rsidP="00F25640">
      <w:pPr>
        <w:pStyle w:val="SCCNormalDoubleSpacing"/>
        <w:spacing w:after="720" w:line="240" w:lineRule="auto"/>
      </w:pPr>
      <w:r w:rsidRPr="004C79F4">
        <w:t>By Gascon and Brown </w:t>
      </w:r>
      <w:r w:rsidR="00F25640" w:rsidRPr="004C79F4">
        <w:t xml:space="preserve">JJ. </w:t>
      </w:r>
    </w:p>
    <w:p w:rsidR="00F25640" w:rsidRPr="004C79F4" w:rsidRDefault="00F25640" w:rsidP="00F25640">
      <w:pPr>
        <w:pStyle w:val="SCCNormalDoubleSpacing"/>
        <w:spacing w:before="480" w:after="480"/>
        <w:rPr>
          <w:i/>
        </w:rPr>
      </w:pPr>
      <w:r w:rsidRPr="004C79F4">
        <w:tab/>
      </w:r>
      <w:r w:rsidR="00E6140A">
        <w:rPr>
          <w:b/>
        </w:rPr>
        <w:t>A</w:t>
      </w:r>
      <w:r w:rsidR="00E6140A" w:rsidRPr="004C79F4">
        <w:rPr>
          <w:b/>
        </w:rPr>
        <w:t>pplied:</w:t>
      </w:r>
      <w:r w:rsidR="00E6140A" w:rsidRPr="004C79F4">
        <w:t xml:space="preserve"> </w:t>
      </w:r>
      <w:r w:rsidR="00E6140A" w:rsidRPr="004C79F4">
        <w:rPr>
          <w:i/>
        </w:rPr>
        <w:t>Hercules Managements Ltd. v. Ernst &amp; Young</w:t>
      </w:r>
      <w:r w:rsidR="00E6140A" w:rsidRPr="004C79F4">
        <w:t xml:space="preserve">, [1997] 2 S.C.R. 165; </w:t>
      </w:r>
      <w:r w:rsidR="008104FA" w:rsidRPr="004C79F4">
        <w:rPr>
          <w:b/>
        </w:rPr>
        <w:t>distinguished:</w:t>
      </w:r>
      <w:r w:rsidR="008104FA" w:rsidRPr="004C79F4">
        <w:t xml:space="preserve"> </w:t>
      </w:r>
      <w:r w:rsidR="008104FA" w:rsidRPr="004C79F4">
        <w:rPr>
          <w:i/>
        </w:rPr>
        <w:t>South Australia Asset Management Cor</w:t>
      </w:r>
      <w:r w:rsidR="008104FA">
        <w:rPr>
          <w:i/>
        </w:rPr>
        <w:t>p. </w:t>
      </w:r>
      <w:r w:rsidR="008104FA" w:rsidRPr="004C79F4">
        <w:rPr>
          <w:i/>
        </w:rPr>
        <w:t>v. York Montague Ltd.</w:t>
      </w:r>
      <w:r w:rsidR="008104FA" w:rsidRPr="004C79F4">
        <w:t xml:space="preserve">, [1997] A.C. 191; </w:t>
      </w:r>
      <w:r w:rsidR="008104FA" w:rsidRPr="004C79F4">
        <w:rPr>
          <w:i/>
        </w:rPr>
        <w:t>Canadian Dredge &amp; Dock Co. v. The Queen</w:t>
      </w:r>
      <w:r w:rsidR="008104FA" w:rsidRPr="004C79F4">
        <w:t xml:space="preserve">, [1985] 1 S.C.R. 662; </w:t>
      </w:r>
      <w:r w:rsidR="008104FA" w:rsidRPr="004C79F4">
        <w:rPr>
          <w:i/>
        </w:rPr>
        <w:t xml:space="preserve">Hart Building Supplies Ltd. v. Deloitte &amp; </w:t>
      </w:r>
      <w:proofErr w:type="spellStart"/>
      <w:r w:rsidR="008104FA" w:rsidRPr="004C79F4">
        <w:rPr>
          <w:i/>
        </w:rPr>
        <w:t>Touche</w:t>
      </w:r>
      <w:proofErr w:type="spellEnd"/>
      <w:r w:rsidR="008104FA" w:rsidRPr="004C79F4">
        <w:t>, 2004 BCSC 55, 41 C.C.L.T. (3d) 240;</w:t>
      </w:r>
      <w:r w:rsidR="008104FA">
        <w:t xml:space="preserve"> </w:t>
      </w:r>
      <w:r w:rsidR="008104FA" w:rsidRPr="008104FA">
        <w:rPr>
          <w:b/>
        </w:rPr>
        <w:t>e</w:t>
      </w:r>
      <w:r w:rsidRPr="004C79F4">
        <w:rPr>
          <w:b/>
        </w:rPr>
        <w:t>xplained:</w:t>
      </w:r>
      <w:r w:rsidR="00633C48" w:rsidRPr="004C79F4">
        <w:t xml:space="preserve"> </w:t>
      </w:r>
      <w:proofErr w:type="spellStart"/>
      <w:r w:rsidRPr="004C79F4">
        <w:rPr>
          <w:i/>
        </w:rPr>
        <w:t>Anns</w:t>
      </w:r>
      <w:proofErr w:type="spellEnd"/>
      <w:r w:rsidRPr="004C79F4">
        <w:rPr>
          <w:i/>
        </w:rPr>
        <w:t xml:space="preserve"> v. London Borough of Merton</w:t>
      </w:r>
      <w:r w:rsidRPr="004C79F4">
        <w:t>, [1977] 2 All E.R. 492;</w:t>
      </w:r>
      <w:r w:rsidRPr="004C79F4">
        <w:rPr>
          <w:i/>
        </w:rPr>
        <w:t xml:space="preserve"> Cooper v. Hobart</w:t>
      </w:r>
      <w:r w:rsidRPr="004C79F4">
        <w:t xml:space="preserve">, 2001 SCC 79, [2001] 3 S.C.R. 537; </w:t>
      </w:r>
      <w:r w:rsidRPr="004C79F4">
        <w:rPr>
          <w:b/>
        </w:rPr>
        <w:t>referred to:</w:t>
      </w:r>
      <w:r w:rsidRPr="004C79F4">
        <w:t xml:space="preserve"> </w:t>
      </w:r>
      <w:r w:rsidRPr="004C79F4">
        <w:rPr>
          <w:i/>
        </w:rPr>
        <w:t>Bow Valley Husky (Bermuda) Ltd. v. Saint John Shipbuilding Ltd.</w:t>
      </w:r>
      <w:r w:rsidRPr="004C79F4">
        <w:t xml:space="preserve">, [1997] 3 S.C.R. 1210; </w:t>
      </w:r>
      <w:r w:rsidRPr="004C79F4">
        <w:rPr>
          <w:i/>
        </w:rPr>
        <w:t xml:space="preserve">Canadian National Railway Co. v. </w:t>
      </w:r>
      <w:proofErr w:type="spellStart"/>
      <w:r w:rsidRPr="004C79F4">
        <w:rPr>
          <w:i/>
        </w:rPr>
        <w:t>Norsk</w:t>
      </w:r>
      <w:proofErr w:type="spellEnd"/>
      <w:r w:rsidRPr="004C79F4">
        <w:rPr>
          <w:i/>
        </w:rPr>
        <w:t xml:space="preserve"> Pacific Steamship Co.</w:t>
      </w:r>
      <w:r w:rsidRPr="004C79F4">
        <w:t xml:space="preserve">, [1992] 1 S.C.R. 1021; </w:t>
      </w:r>
      <w:r w:rsidRPr="004C79F4">
        <w:rPr>
          <w:i/>
        </w:rPr>
        <w:t>Kamloops (City) v. Nielsen</w:t>
      </w:r>
      <w:r w:rsidRPr="004C79F4">
        <w:t xml:space="preserve">, [1984] 2 S.C.R. 2; </w:t>
      </w:r>
      <w:r w:rsidRPr="004C79F4">
        <w:rPr>
          <w:i/>
        </w:rPr>
        <w:t>Haig v. Bamford</w:t>
      </w:r>
      <w:r w:rsidRPr="004C79F4">
        <w:t xml:space="preserve">, [1977] 1 S.C.R. 466; </w:t>
      </w:r>
      <w:r w:rsidRPr="004C79F4">
        <w:rPr>
          <w:i/>
        </w:rPr>
        <w:t>Edwards v. Law Society of Upper Canada</w:t>
      </w:r>
      <w:r w:rsidRPr="004C79F4">
        <w:t xml:space="preserve">, 2001 SCC 80, [2001] 3 S.C.R. 562; </w:t>
      </w:r>
      <w:proofErr w:type="spellStart"/>
      <w:r w:rsidRPr="004C79F4">
        <w:rPr>
          <w:i/>
        </w:rPr>
        <w:t>Odhavji</w:t>
      </w:r>
      <w:proofErr w:type="spellEnd"/>
      <w:r w:rsidRPr="004C79F4">
        <w:rPr>
          <w:i/>
        </w:rPr>
        <w:t xml:space="preserve"> Estate v. Woodhouse</w:t>
      </w:r>
      <w:r w:rsidRPr="004C79F4">
        <w:t xml:space="preserve">, 2003 SCC 69, [2003] 3 S.C.R. 263; </w:t>
      </w:r>
      <w:r w:rsidRPr="004C79F4">
        <w:rPr>
          <w:i/>
        </w:rPr>
        <w:t>Childs v. Desormeaux</w:t>
      </w:r>
      <w:r w:rsidRPr="004C79F4">
        <w:t xml:space="preserve">, 2006 SCC 18, [2006] 1 S.C.R. 643; </w:t>
      </w:r>
      <w:r w:rsidRPr="004C79F4">
        <w:rPr>
          <w:i/>
        </w:rPr>
        <w:t>Hill v. Hamilton</w:t>
      </w:r>
      <w:r w:rsidR="00144572">
        <w:rPr>
          <w:i/>
        </w:rPr>
        <w:noBreakHyphen/>
      </w:r>
      <w:r w:rsidRPr="004C79F4">
        <w:rPr>
          <w:i/>
        </w:rPr>
        <w:t>Wentworth Regional Police Services Board</w:t>
      </w:r>
      <w:r w:rsidRPr="004C79F4">
        <w:t xml:space="preserve">, 2007 SCC 41, [2007] 3 S.C.R. 129; </w:t>
      </w:r>
      <w:proofErr w:type="spellStart"/>
      <w:r w:rsidRPr="004C79F4">
        <w:rPr>
          <w:i/>
        </w:rPr>
        <w:t>Fullowka</w:t>
      </w:r>
      <w:proofErr w:type="spellEnd"/>
      <w:r w:rsidRPr="004C79F4">
        <w:rPr>
          <w:i/>
        </w:rPr>
        <w:t xml:space="preserve"> v. Pinkerton</w:t>
      </w:r>
      <w:r w:rsidR="009138AE" w:rsidRPr="004C79F4">
        <w:rPr>
          <w:i/>
        </w:rPr>
        <w:t>’</w:t>
      </w:r>
      <w:r w:rsidRPr="004C79F4">
        <w:rPr>
          <w:i/>
        </w:rPr>
        <w:t>s of Canada Ltd.</w:t>
      </w:r>
      <w:r w:rsidRPr="004C79F4">
        <w:t xml:space="preserve">, 2010 SCC 5, [2010] 1 S.C.R. 132; </w:t>
      </w:r>
      <w:proofErr w:type="spellStart"/>
      <w:r w:rsidRPr="004C79F4">
        <w:rPr>
          <w:i/>
        </w:rPr>
        <w:t>Saadati</w:t>
      </w:r>
      <w:proofErr w:type="spellEnd"/>
      <w:r w:rsidRPr="004C79F4">
        <w:rPr>
          <w:i/>
        </w:rPr>
        <w:t xml:space="preserve"> v. Moorhead</w:t>
      </w:r>
      <w:r w:rsidRPr="004C79F4">
        <w:t xml:space="preserve">, 2017 SCC 28, [2017] 1 S.C.R. 543; </w:t>
      </w:r>
      <w:r w:rsidRPr="004C79F4">
        <w:rPr>
          <w:i/>
        </w:rPr>
        <w:t>Donoghue v. Stevenson</w:t>
      </w:r>
      <w:r w:rsidRPr="004C79F4">
        <w:t xml:space="preserve">, [1932] A.C. 562; </w:t>
      </w:r>
      <w:proofErr w:type="spellStart"/>
      <w:r w:rsidRPr="004C79F4">
        <w:rPr>
          <w:i/>
        </w:rPr>
        <w:t>Caparo</w:t>
      </w:r>
      <w:proofErr w:type="spellEnd"/>
      <w:r w:rsidRPr="004C79F4">
        <w:rPr>
          <w:i/>
        </w:rPr>
        <w:t xml:space="preserve"> Industries plc. v. </w:t>
      </w:r>
      <w:proofErr w:type="spellStart"/>
      <w:r w:rsidRPr="004C79F4">
        <w:rPr>
          <w:i/>
        </w:rPr>
        <w:t>Dickman</w:t>
      </w:r>
      <w:proofErr w:type="spellEnd"/>
      <w:r w:rsidRPr="004C79F4">
        <w:t xml:space="preserve">, [1990] 1 All E.R. 568; </w:t>
      </w:r>
      <w:proofErr w:type="spellStart"/>
      <w:r w:rsidRPr="004C79F4">
        <w:rPr>
          <w:i/>
        </w:rPr>
        <w:t>Glanzer</w:t>
      </w:r>
      <w:proofErr w:type="spellEnd"/>
      <w:r w:rsidRPr="004C79F4">
        <w:rPr>
          <w:i/>
        </w:rPr>
        <w:t xml:space="preserve"> v. Shepard</w:t>
      </w:r>
      <w:r w:rsidRPr="004C79F4">
        <w:t xml:space="preserve">, 135 N.E. 275 (1922); </w:t>
      </w:r>
      <w:proofErr w:type="spellStart"/>
      <w:r w:rsidRPr="004C79F4">
        <w:rPr>
          <w:i/>
        </w:rPr>
        <w:t>Ultramares</w:t>
      </w:r>
      <w:proofErr w:type="spellEnd"/>
      <w:r w:rsidRPr="004C79F4">
        <w:rPr>
          <w:i/>
        </w:rPr>
        <w:t xml:space="preserve"> Cor</w:t>
      </w:r>
      <w:r w:rsidR="00144572">
        <w:rPr>
          <w:i/>
        </w:rPr>
        <w:t>p. </w:t>
      </w:r>
      <w:r w:rsidRPr="004C79F4">
        <w:rPr>
          <w:i/>
        </w:rPr>
        <w:t xml:space="preserve">v. </w:t>
      </w:r>
      <w:proofErr w:type="spellStart"/>
      <w:r w:rsidRPr="004C79F4">
        <w:rPr>
          <w:i/>
        </w:rPr>
        <w:t>Touche</w:t>
      </w:r>
      <w:proofErr w:type="spellEnd"/>
      <w:r w:rsidRPr="004C79F4">
        <w:t xml:space="preserve">, 174 N.E. 441 (1931); </w:t>
      </w:r>
      <w:r w:rsidRPr="004C79F4">
        <w:rPr>
          <w:i/>
        </w:rPr>
        <w:t xml:space="preserve">Yuen Kun </w:t>
      </w:r>
      <w:proofErr w:type="spellStart"/>
      <w:r w:rsidRPr="004C79F4">
        <w:rPr>
          <w:i/>
        </w:rPr>
        <w:t>Yeu</w:t>
      </w:r>
      <w:proofErr w:type="spellEnd"/>
      <w:r w:rsidRPr="004C79F4">
        <w:rPr>
          <w:i/>
        </w:rPr>
        <w:t xml:space="preserve"> v. Attorney</w:t>
      </w:r>
      <w:r w:rsidR="00144572">
        <w:rPr>
          <w:i/>
        </w:rPr>
        <w:noBreakHyphen/>
      </w:r>
      <w:r w:rsidRPr="004C79F4">
        <w:rPr>
          <w:i/>
        </w:rPr>
        <w:t>General of Hong Kong</w:t>
      </w:r>
      <w:r w:rsidRPr="004C79F4">
        <w:t xml:space="preserve">, [1988] 1 A.C. 175; </w:t>
      </w:r>
      <w:r w:rsidRPr="004C79F4">
        <w:rPr>
          <w:i/>
        </w:rPr>
        <w:t>Edgeworth Construction Ltd. v. N. D. Lea &amp; Associates Ltd.</w:t>
      </w:r>
      <w:r w:rsidRPr="004C79F4">
        <w:t xml:space="preserve">, [1993] 3 S.C.R. 206; </w:t>
      </w:r>
      <w:r w:rsidRPr="004C79F4">
        <w:rPr>
          <w:i/>
        </w:rPr>
        <w:t>Gross v. Great</w:t>
      </w:r>
      <w:r w:rsidR="00144572">
        <w:rPr>
          <w:i/>
        </w:rPr>
        <w:noBreakHyphen/>
      </w:r>
      <w:r w:rsidRPr="004C79F4">
        <w:rPr>
          <w:i/>
        </w:rPr>
        <w:t>West Life Assurance Co.</w:t>
      </w:r>
      <w:r w:rsidRPr="004C79F4">
        <w:t xml:space="preserve">, 2002 ABCA 37, 299 A.R. 142; </w:t>
      </w:r>
      <w:r w:rsidRPr="004C79F4">
        <w:rPr>
          <w:i/>
        </w:rPr>
        <w:t xml:space="preserve">Mustapha v. </w:t>
      </w:r>
      <w:proofErr w:type="spellStart"/>
      <w:r w:rsidRPr="004C79F4">
        <w:rPr>
          <w:i/>
        </w:rPr>
        <w:t>Culligan</w:t>
      </w:r>
      <w:proofErr w:type="spellEnd"/>
      <w:r w:rsidRPr="004C79F4">
        <w:rPr>
          <w:i/>
        </w:rPr>
        <w:t xml:space="preserve"> of Canada Ltd.</w:t>
      </w:r>
      <w:r w:rsidRPr="004C79F4">
        <w:t xml:space="preserve">, 2008 SCC 27, [2008] 2 S.C.R. 114; </w:t>
      </w:r>
      <w:r w:rsidRPr="004C79F4">
        <w:rPr>
          <w:i/>
        </w:rPr>
        <w:t xml:space="preserve">Overseas Tankship (U.K.) Ltd. v. </w:t>
      </w:r>
      <w:proofErr w:type="spellStart"/>
      <w:r w:rsidRPr="004C79F4">
        <w:rPr>
          <w:i/>
        </w:rPr>
        <w:t>Morts</w:t>
      </w:r>
      <w:proofErr w:type="spellEnd"/>
      <w:r w:rsidRPr="004C79F4">
        <w:rPr>
          <w:i/>
        </w:rPr>
        <w:t xml:space="preserve"> Dock &amp; Engineering Co.</w:t>
      </w:r>
      <w:r w:rsidRPr="004C79F4">
        <w:t xml:space="preserve">, [1961] A.C. 388; </w:t>
      </w:r>
      <w:r w:rsidRPr="004C79F4">
        <w:rPr>
          <w:i/>
        </w:rPr>
        <w:t>Hughes</w:t>
      </w:r>
      <w:r w:rsidR="00144572">
        <w:rPr>
          <w:i/>
        </w:rPr>
        <w:noBreakHyphen/>
      </w:r>
      <w:r w:rsidRPr="004C79F4">
        <w:rPr>
          <w:i/>
        </w:rPr>
        <w:t>Holland v. BPE Solicitors</w:t>
      </w:r>
      <w:r w:rsidRPr="004C79F4">
        <w:t xml:space="preserve">, [2017] UKSC 21, [2017] 2 W.L.R. 1029; </w:t>
      </w:r>
      <w:proofErr w:type="spellStart"/>
      <w:r w:rsidRPr="004C79F4">
        <w:rPr>
          <w:i/>
        </w:rPr>
        <w:t>Nykredit</w:t>
      </w:r>
      <w:proofErr w:type="spellEnd"/>
      <w:r w:rsidRPr="004C79F4">
        <w:rPr>
          <w:i/>
        </w:rPr>
        <w:t xml:space="preserve"> Mortgage Bank plc. v. Edward Erdman Group Ltd. (</w:t>
      </w:r>
      <w:r w:rsidR="00144572">
        <w:rPr>
          <w:i/>
        </w:rPr>
        <w:t>No. </w:t>
      </w:r>
      <w:r w:rsidRPr="004C79F4">
        <w:rPr>
          <w:i/>
        </w:rPr>
        <w:t>2)</w:t>
      </w:r>
      <w:r w:rsidRPr="004C79F4">
        <w:t xml:space="preserve">, [1997] 1 W.L.R. 1627; </w:t>
      </w:r>
      <w:r w:rsidRPr="004C79F4">
        <w:rPr>
          <w:i/>
        </w:rPr>
        <w:t xml:space="preserve">Platform Home Loans Ltd. v. </w:t>
      </w:r>
      <w:proofErr w:type="spellStart"/>
      <w:r w:rsidRPr="004C79F4">
        <w:rPr>
          <w:i/>
        </w:rPr>
        <w:t>Oyston</w:t>
      </w:r>
      <w:proofErr w:type="spellEnd"/>
      <w:r w:rsidRPr="004C79F4">
        <w:rPr>
          <w:i/>
        </w:rPr>
        <w:t xml:space="preserve"> Shipways Ltd.</w:t>
      </w:r>
      <w:r w:rsidRPr="004C79F4">
        <w:t xml:space="preserve">, [2000] 2 A.C. 190; </w:t>
      </w:r>
      <w:r w:rsidRPr="004C79F4">
        <w:rPr>
          <w:i/>
        </w:rPr>
        <w:t>Clements v. Clements</w:t>
      </w:r>
      <w:r w:rsidRPr="004C79F4">
        <w:t xml:space="preserve">, 2012 SCC 32, [2012] 2 S.C.R. 181; </w:t>
      </w:r>
      <w:r w:rsidRPr="004C79F4">
        <w:rPr>
          <w:i/>
        </w:rPr>
        <w:t>Rainbow Industrial Caterers Ltd. v. Canadian National Railway Co.</w:t>
      </w:r>
      <w:r w:rsidRPr="004C79F4">
        <w:t xml:space="preserve">, [1991] 3 S.C.R. 3; </w:t>
      </w:r>
      <w:r w:rsidRPr="004C79F4">
        <w:rPr>
          <w:i/>
        </w:rPr>
        <w:t>Hall v. Hebert</w:t>
      </w:r>
      <w:r w:rsidRPr="004C79F4">
        <w:t xml:space="preserve">, [1993] 2 S.C.R. 159; </w:t>
      </w:r>
      <w:r w:rsidRPr="004C79F4">
        <w:rPr>
          <w:i/>
        </w:rPr>
        <w:t xml:space="preserve">British Columbia v. </w:t>
      </w:r>
      <w:proofErr w:type="spellStart"/>
      <w:r w:rsidRPr="004C79F4">
        <w:rPr>
          <w:i/>
        </w:rPr>
        <w:t>Zastowny</w:t>
      </w:r>
      <w:proofErr w:type="spellEnd"/>
      <w:r w:rsidRPr="004C79F4">
        <w:t xml:space="preserve">, 2008 SCC 4, [2008] 1 S.C.R. 27; </w:t>
      </w:r>
      <w:r w:rsidRPr="004C79F4">
        <w:rPr>
          <w:i/>
        </w:rPr>
        <w:t>Stone &amp; Rolls Ltd. (in liquidation) v. Moore Stephens</w:t>
      </w:r>
      <w:r w:rsidRPr="004C79F4">
        <w:t xml:space="preserve">, [2009] UKHL 39, [2009] 1 A.C. 1391; </w:t>
      </w:r>
      <w:r w:rsidRPr="004C79F4">
        <w:rPr>
          <w:i/>
        </w:rPr>
        <w:t>373409 Alberta Ltd. (Receiver of) v. Bank of Montreal</w:t>
      </w:r>
      <w:r w:rsidRPr="004C79F4">
        <w:t xml:space="preserve">, 2002 SCC 81, [2002] 4 S.C.R. 312; </w:t>
      </w:r>
      <w:proofErr w:type="spellStart"/>
      <w:r w:rsidRPr="004C79F4">
        <w:rPr>
          <w:i/>
        </w:rPr>
        <w:t>Bilta</w:t>
      </w:r>
      <w:proofErr w:type="spellEnd"/>
      <w:r w:rsidRPr="004C79F4">
        <w:rPr>
          <w:i/>
        </w:rPr>
        <w:t xml:space="preserve"> (U.K.) Ltd. (in liquidation) v. </w:t>
      </w:r>
      <w:proofErr w:type="spellStart"/>
      <w:r w:rsidRPr="004C79F4">
        <w:rPr>
          <w:i/>
        </w:rPr>
        <w:t>Nazir</w:t>
      </w:r>
      <w:proofErr w:type="spellEnd"/>
      <w:r w:rsidRPr="004C79F4">
        <w:rPr>
          <w:i/>
        </w:rPr>
        <w:t xml:space="preserve"> (</w:t>
      </w:r>
      <w:r w:rsidR="00144572">
        <w:rPr>
          <w:i/>
        </w:rPr>
        <w:t>No. </w:t>
      </w:r>
      <w:r w:rsidRPr="004C79F4">
        <w:rPr>
          <w:i/>
        </w:rPr>
        <w:t>2)</w:t>
      </w:r>
      <w:r w:rsidRPr="004C79F4">
        <w:t>, [2015] UKSC 23, [2016] A.C. 1.</w:t>
      </w:r>
      <w:r w:rsidRPr="004C79F4">
        <w:rPr>
          <w:i/>
        </w:rPr>
        <w:t xml:space="preserve"> </w:t>
      </w:r>
    </w:p>
    <w:p w:rsidR="00F25640" w:rsidRPr="004C79F4" w:rsidRDefault="008A75DB" w:rsidP="00F25640">
      <w:pPr>
        <w:pStyle w:val="SCCNormalDoubleSpacing"/>
        <w:spacing w:after="720" w:line="240" w:lineRule="auto"/>
      </w:pPr>
      <w:r w:rsidRPr="004C79F4">
        <w:t xml:space="preserve">By McLachlin C.J. </w:t>
      </w:r>
      <w:r w:rsidR="00F25640" w:rsidRPr="004C79F4">
        <w:t xml:space="preserve">(dissenting in part) </w:t>
      </w:r>
    </w:p>
    <w:p w:rsidR="00F25640" w:rsidRPr="004C79F4" w:rsidRDefault="00F25640" w:rsidP="002011A6">
      <w:pPr>
        <w:pStyle w:val="SCCNormalDoubleSpacing"/>
        <w:spacing w:before="480" w:after="480"/>
      </w:pPr>
      <w:r w:rsidRPr="004C79F4">
        <w:tab/>
      </w:r>
      <w:proofErr w:type="spellStart"/>
      <w:r w:rsidRPr="004C79F4">
        <w:rPr>
          <w:i/>
        </w:rPr>
        <w:t>Caparo</w:t>
      </w:r>
      <w:proofErr w:type="spellEnd"/>
      <w:r w:rsidRPr="004C79F4">
        <w:rPr>
          <w:i/>
        </w:rPr>
        <w:t xml:space="preserve"> Industries plc. v. </w:t>
      </w:r>
      <w:proofErr w:type="spellStart"/>
      <w:r w:rsidRPr="004C79F4">
        <w:rPr>
          <w:i/>
        </w:rPr>
        <w:t>Dickman</w:t>
      </w:r>
      <w:proofErr w:type="spellEnd"/>
      <w:r w:rsidRPr="004C79F4">
        <w:t xml:space="preserve">, [1990] 1 All E.R. 568; </w:t>
      </w:r>
      <w:proofErr w:type="spellStart"/>
      <w:r w:rsidRPr="004C79F4">
        <w:rPr>
          <w:i/>
        </w:rPr>
        <w:t>Ultramares</w:t>
      </w:r>
      <w:proofErr w:type="spellEnd"/>
      <w:r w:rsidRPr="004C79F4">
        <w:rPr>
          <w:i/>
        </w:rPr>
        <w:t xml:space="preserve"> Cor</w:t>
      </w:r>
      <w:r w:rsidR="00144572">
        <w:rPr>
          <w:i/>
        </w:rPr>
        <w:t>p. </w:t>
      </w:r>
      <w:r w:rsidRPr="004C79F4">
        <w:rPr>
          <w:i/>
        </w:rPr>
        <w:t xml:space="preserve">v. </w:t>
      </w:r>
      <w:proofErr w:type="spellStart"/>
      <w:r w:rsidRPr="004C79F4">
        <w:rPr>
          <w:i/>
        </w:rPr>
        <w:t>Touche</w:t>
      </w:r>
      <w:proofErr w:type="spellEnd"/>
      <w:r w:rsidRPr="004C79F4">
        <w:t xml:space="preserve">, 174 N.E. 441 (1931); </w:t>
      </w:r>
      <w:r w:rsidRPr="004C79F4">
        <w:rPr>
          <w:i/>
        </w:rPr>
        <w:t>D</w:t>
      </w:r>
      <w:r w:rsidR="009138AE" w:rsidRPr="004C79F4">
        <w:rPr>
          <w:i/>
        </w:rPr>
        <w:t>’</w:t>
      </w:r>
      <w:r w:rsidRPr="004C79F4">
        <w:rPr>
          <w:i/>
        </w:rPr>
        <w:t>Amato v. Badger</w:t>
      </w:r>
      <w:r w:rsidRPr="004C79F4">
        <w:t xml:space="preserve">, [1996] 2 S.C.R. 1071; </w:t>
      </w:r>
      <w:r w:rsidRPr="004C79F4">
        <w:rPr>
          <w:i/>
        </w:rPr>
        <w:t>Hercules Managements Ltd. v. Ernst &amp; Young</w:t>
      </w:r>
      <w:r w:rsidRPr="004C79F4">
        <w:t xml:space="preserve">, [1997] 2 S.C.R. 165; </w:t>
      </w:r>
      <w:r w:rsidRPr="004C79F4">
        <w:rPr>
          <w:i/>
        </w:rPr>
        <w:t xml:space="preserve">Canadian National Railway Co. v. </w:t>
      </w:r>
      <w:proofErr w:type="spellStart"/>
      <w:r w:rsidRPr="004C79F4">
        <w:rPr>
          <w:i/>
        </w:rPr>
        <w:t>Norsk</w:t>
      </w:r>
      <w:proofErr w:type="spellEnd"/>
      <w:r w:rsidRPr="004C79F4">
        <w:rPr>
          <w:i/>
        </w:rPr>
        <w:t xml:space="preserve"> Pacific Steamship Co.</w:t>
      </w:r>
      <w:r w:rsidRPr="004C79F4">
        <w:t xml:space="preserve">, [1992] 1 S.C.R. 1021; </w:t>
      </w:r>
      <w:r w:rsidRPr="004C79F4">
        <w:rPr>
          <w:i/>
        </w:rPr>
        <w:t>R. v. Imperial Tobacco Canada Ltd.</w:t>
      </w:r>
      <w:r w:rsidRPr="004C79F4">
        <w:t xml:space="preserve">, 2011 SCC 42, [2011] 3 S.C.R. 45; </w:t>
      </w:r>
      <w:r w:rsidRPr="004C79F4">
        <w:rPr>
          <w:i/>
        </w:rPr>
        <w:t>Cooper v. Hobart</w:t>
      </w:r>
      <w:r w:rsidRPr="004C79F4">
        <w:t xml:space="preserve">, 2001 SCC 79, [2001] 3 S.C.R. 537; </w:t>
      </w:r>
      <w:r w:rsidRPr="004C79F4">
        <w:rPr>
          <w:i/>
        </w:rPr>
        <w:t xml:space="preserve">BG </w:t>
      </w:r>
      <w:proofErr w:type="spellStart"/>
      <w:r w:rsidRPr="004C79F4">
        <w:rPr>
          <w:i/>
        </w:rPr>
        <w:t>Checo</w:t>
      </w:r>
      <w:proofErr w:type="spellEnd"/>
      <w:r w:rsidRPr="004C79F4">
        <w:rPr>
          <w:i/>
        </w:rPr>
        <w:t xml:space="preserve"> International Ltd. v. British Columbia Hydro and Power Authority</w:t>
      </w:r>
      <w:r w:rsidRPr="004C79F4">
        <w:t xml:space="preserve">, [1993] 1 S.C.R. 12; </w:t>
      </w:r>
      <w:r w:rsidRPr="004C79F4">
        <w:rPr>
          <w:i/>
        </w:rPr>
        <w:t>South Australia Asset Management Cor</w:t>
      </w:r>
      <w:r w:rsidR="00144572">
        <w:rPr>
          <w:i/>
        </w:rPr>
        <w:t>p. </w:t>
      </w:r>
      <w:r w:rsidRPr="004C79F4">
        <w:rPr>
          <w:i/>
        </w:rPr>
        <w:t>v. York Montague Ltd.</w:t>
      </w:r>
      <w:r w:rsidRPr="004C79F4">
        <w:t xml:space="preserve">, [1996] 3 All E.R. 365; </w:t>
      </w:r>
      <w:r w:rsidRPr="004C79F4">
        <w:rPr>
          <w:i/>
        </w:rPr>
        <w:t>Hughes</w:t>
      </w:r>
      <w:r w:rsidR="00144572">
        <w:rPr>
          <w:i/>
        </w:rPr>
        <w:noBreakHyphen/>
      </w:r>
      <w:r w:rsidRPr="004C79F4">
        <w:rPr>
          <w:i/>
        </w:rPr>
        <w:t>Holland v. BPE Solicitors</w:t>
      </w:r>
      <w:r w:rsidRPr="004C79F4">
        <w:t xml:space="preserve">, [2017] UKSC 21, [2017] 2 W.L.R. 1029; </w:t>
      </w:r>
      <w:r w:rsidRPr="004C79F4">
        <w:rPr>
          <w:i/>
        </w:rPr>
        <w:t>Hogarth v. Rocky Mountain Slate Inc.</w:t>
      </w:r>
      <w:r w:rsidRPr="004C79F4">
        <w:t xml:space="preserve">, 2013 ABCA 57, 542 A.R. 289; </w:t>
      </w:r>
      <w:r w:rsidRPr="004C79F4">
        <w:rPr>
          <w:i/>
        </w:rPr>
        <w:t xml:space="preserve">Wightman v. </w:t>
      </w:r>
      <w:proofErr w:type="spellStart"/>
      <w:r w:rsidRPr="004C79F4">
        <w:rPr>
          <w:i/>
        </w:rPr>
        <w:t>Widdrington</w:t>
      </w:r>
      <w:proofErr w:type="spellEnd"/>
      <w:r w:rsidRPr="004C79F4">
        <w:rPr>
          <w:i/>
        </w:rPr>
        <w:t xml:space="preserve"> (Succession)</w:t>
      </w:r>
      <w:r w:rsidRPr="004C79F4">
        <w:t xml:space="preserve">, 2013 QCCA 1187; </w:t>
      </w:r>
      <w:r w:rsidRPr="004C79F4">
        <w:rPr>
          <w:i/>
        </w:rPr>
        <w:t xml:space="preserve">Platform Home Loans Ltd. v. </w:t>
      </w:r>
      <w:proofErr w:type="spellStart"/>
      <w:r w:rsidRPr="004C79F4">
        <w:rPr>
          <w:i/>
        </w:rPr>
        <w:t>Oyston</w:t>
      </w:r>
      <w:proofErr w:type="spellEnd"/>
      <w:r w:rsidRPr="004C79F4">
        <w:rPr>
          <w:i/>
        </w:rPr>
        <w:t xml:space="preserve"> Shipways Ltd.</w:t>
      </w:r>
      <w:r w:rsidRPr="004C79F4">
        <w:t xml:space="preserve">, [1999] 1 All E.R. 833; </w:t>
      </w:r>
      <w:r w:rsidRPr="004C79F4">
        <w:rPr>
          <w:i/>
        </w:rPr>
        <w:t xml:space="preserve">Mustapha v. </w:t>
      </w:r>
      <w:proofErr w:type="spellStart"/>
      <w:r w:rsidRPr="004C79F4">
        <w:rPr>
          <w:i/>
        </w:rPr>
        <w:t>Culligan</w:t>
      </w:r>
      <w:proofErr w:type="spellEnd"/>
      <w:r w:rsidRPr="004C79F4">
        <w:rPr>
          <w:i/>
        </w:rPr>
        <w:t xml:space="preserve"> of Canada Ltd.</w:t>
      </w:r>
      <w:r w:rsidRPr="004C79F4">
        <w:t xml:space="preserve">, 2008 SCC 27, [2008] 2 S.C.R. 114; </w:t>
      </w:r>
      <w:r w:rsidRPr="004C79F4">
        <w:rPr>
          <w:i/>
        </w:rPr>
        <w:t xml:space="preserve">Citadel General Assurance Co. v. </w:t>
      </w:r>
      <w:proofErr w:type="spellStart"/>
      <w:r w:rsidRPr="004C79F4">
        <w:rPr>
          <w:i/>
        </w:rPr>
        <w:t>Vytlingam</w:t>
      </w:r>
      <w:proofErr w:type="spellEnd"/>
      <w:r w:rsidRPr="004C79F4">
        <w:t xml:space="preserve">, 2007 SCC 46, [2007] 3 S.C.R. 373; </w:t>
      </w:r>
      <w:r w:rsidRPr="004C79F4">
        <w:rPr>
          <w:i/>
        </w:rPr>
        <w:t xml:space="preserve">Westmount (City) v. </w:t>
      </w:r>
      <w:proofErr w:type="spellStart"/>
      <w:r w:rsidRPr="004C79F4">
        <w:rPr>
          <w:i/>
        </w:rPr>
        <w:t>Rossy</w:t>
      </w:r>
      <w:proofErr w:type="spellEnd"/>
      <w:r w:rsidRPr="004C79F4">
        <w:t xml:space="preserve">, 2012 SCC 30, [2012] 2 S.C.R. 136; </w:t>
      </w:r>
      <w:proofErr w:type="spellStart"/>
      <w:r w:rsidRPr="004C79F4">
        <w:rPr>
          <w:i/>
        </w:rPr>
        <w:t>Anns</w:t>
      </w:r>
      <w:proofErr w:type="spellEnd"/>
      <w:r w:rsidRPr="004C79F4">
        <w:rPr>
          <w:i/>
        </w:rPr>
        <w:t xml:space="preserve"> v. London Borough of Merton</w:t>
      </w:r>
      <w:r w:rsidRPr="004C79F4">
        <w:t xml:space="preserve">, [1977] 2 All E.R. 492; </w:t>
      </w:r>
      <w:r w:rsidRPr="004C79F4">
        <w:rPr>
          <w:i/>
        </w:rPr>
        <w:t xml:space="preserve">Sutherland Shire Council v. </w:t>
      </w:r>
      <w:proofErr w:type="spellStart"/>
      <w:r w:rsidRPr="004C79F4">
        <w:rPr>
          <w:i/>
        </w:rPr>
        <w:t>Heyman</w:t>
      </w:r>
      <w:proofErr w:type="spellEnd"/>
      <w:r w:rsidRPr="004C79F4">
        <w:t xml:space="preserve"> (1985), 60 A.L.R. 1; </w:t>
      </w:r>
      <w:r w:rsidRPr="004C79F4">
        <w:rPr>
          <w:i/>
        </w:rPr>
        <w:t xml:space="preserve">Overseas Tankship (U.K.) Ltd. v. </w:t>
      </w:r>
      <w:proofErr w:type="spellStart"/>
      <w:r w:rsidRPr="004C79F4">
        <w:rPr>
          <w:i/>
        </w:rPr>
        <w:t>Morts</w:t>
      </w:r>
      <w:proofErr w:type="spellEnd"/>
      <w:r w:rsidRPr="004C79F4">
        <w:rPr>
          <w:i/>
        </w:rPr>
        <w:t xml:space="preserve"> Dock &amp; Engineering Co.</w:t>
      </w:r>
      <w:r w:rsidRPr="004C79F4">
        <w:t xml:space="preserve">, [1961] A.C. 388; </w:t>
      </w:r>
      <w:r w:rsidRPr="004C79F4">
        <w:rPr>
          <w:i/>
        </w:rPr>
        <w:t>Candler v. Crane Christmas &amp; Co.</w:t>
      </w:r>
      <w:r w:rsidRPr="004C79F4">
        <w:t xml:space="preserve">, [1951] 1 All E.R. 426; </w:t>
      </w:r>
      <w:r w:rsidRPr="004C79F4">
        <w:rPr>
          <w:i/>
        </w:rPr>
        <w:t>Burns v. Homer Street Development Limited Partnership</w:t>
      </w:r>
      <w:r w:rsidRPr="004C79F4">
        <w:t xml:space="preserve">, 2016 BCCA 371, 91 B.C.L.R. (5th) 383; </w:t>
      </w:r>
      <w:proofErr w:type="spellStart"/>
      <w:r w:rsidRPr="004C79F4">
        <w:rPr>
          <w:i/>
        </w:rPr>
        <w:t>Aneco</w:t>
      </w:r>
      <w:proofErr w:type="spellEnd"/>
      <w:r w:rsidRPr="004C79F4">
        <w:rPr>
          <w:i/>
        </w:rPr>
        <w:t xml:space="preserve"> Reinsurance Underwriting Ltd. (in liquidation) v. Johnson &amp; Higgins Ltd.</w:t>
      </w:r>
      <w:r w:rsidRPr="004C79F4">
        <w:t xml:space="preserve">, [2001] UKHL 51, [2001] 2 All E.R. (Comm.) 929; </w:t>
      </w:r>
      <w:r w:rsidRPr="004C79F4">
        <w:rPr>
          <w:i/>
        </w:rPr>
        <w:t xml:space="preserve">Canadian Imperial Bank of Commerce v. Deloitte &amp; </w:t>
      </w:r>
      <w:proofErr w:type="spellStart"/>
      <w:r w:rsidRPr="004C79F4">
        <w:rPr>
          <w:i/>
        </w:rPr>
        <w:t>Touche</w:t>
      </w:r>
      <w:proofErr w:type="spellEnd"/>
      <w:r w:rsidRPr="004C79F4">
        <w:t xml:space="preserve">, 2016 ONCA 922, 133 O.R. (3d) 561; </w:t>
      </w:r>
      <w:proofErr w:type="spellStart"/>
      <w:r w:rsidRPr="004C79F4">
        <w:rPr>
          <w:i/>
        </w:rPr>
        <w:t>Temseel</w:t>
      </w:r>
      <w:proofErr w:type="spellEnd"/>
      <w:r w:rsidRPr="004C79F4">
        <w:rPr>
          <w:i/>
        </w:rPr>
        <w:t xml:space="preserve"> Holdings Ltd. v. </w:t>
      </w:r>
      <w:proofErr w:type="spellStart"/>
      <w:r w:rsidRPr="004C79F4">
        <w:rPr>
          <w:i/>
        </w:rPr>
        <w:t>Beaumonts</w:t>
      </w:r>
      <w:proofErr w:type="spellEnd"/>
      <w:r w:rsidRPr="004C79F4">
        <w:rPr>
          <w:i/>
        </w:rPr>
        <w:t xml:space="preserve"> Chartered Accountants</w:t>
      </w:r>
      <w:r w:rsidRPr="004C79F4">
        <w:t xml:space="preserve">, [2002] EWHC 2642 (Comm.), [2003] P.N.L.R. 27; </w:t>
      </w:r>
      <w:r w:rsidRPr="004C79F4">
        <w:rPr>
          <w:i/>
        </w:rPr>
        <w:t xml:space="preserve">B.D.C. Ltd. v. </w:t>
      </w:r>
      <w:proofErr w:type="spellStart"/>
      <w:r w:rsidRPr="004C79F4">
        <w:rPr>
          <w:i/>
        </w:rPr>
        <w:t>Hofstrand</w:t>
      </w:r>
      <w:proofErr w:type="spellEnd"/>
      <w:r w:rsidRPr="004C79F4">
        <w:rPr>
          <w:i/>
        </w:rPr>
        <w:t xml:space="preserve"> Farms Ltd.</w:t>
      </w:r>
      <w:r w:rsidRPr="004C79F4">
        <w:t xml:space="preserve">, [1986] 1 S.C.R. 228; </w:t>
      </w:r>
      <w:proofErr w:type="spellStart"/>
      <w:r w:rsidRPr="004C79F4">
        <w:rPr>
          <w:i/>
        </w:rPr>
        <w:t>Asamera</w:t>
      </w:r>
      <w:proofErr w:type="spellEnd"/>
      <w:r w:rsidRPr="004C79F4">
        <w:rPr>
          <w:i/>
        </w:rPr>
        <w:t xml:space="preserve"> Oil Cor</w:t>
      </w:r>
      <w:r w:rsidR="00144572">
        <w:rPr>
          <w:i/>
        </w:rPr>
        <w:t>p. </w:t>
      </w:r>
      <w:r w:rsidRPr="004C79F4">
        <w:rPr>
          <w:i/>
        </w:rPr>
        <w:t>v. Sea Oil &amp; General Corp.</w:t>
      </w:r>
      <w:r w:rsidRPr="004C79F4">
        <w:t xml:space="preserve">, [1979] 1 S.C.R. 633. </w:t>
      </w:r>
    </w:p>
    <w:p w:rsidR="003B215F" w:rsidRPr="004C79F4" w:rsidRDefault="002E6705" w:rsidP="002011A6">
      <w:pPr>
        <w:pStyle w:val="SCCNormalDoubleSpacing"/>
        <w:spacing w:after="720" w:line="240" w:lineRule="auto"/>
      </w:pPr>
      <w:r w:rsidRPr="004C79F4">
        <w:rPr>
          <w:b/>
        </w:rPr>
        <w:t>Statutes and Regulations Cite</w:t>
      </w:r>
      <w:r w:rsidR="00A41805" w:rsidRPr="004C79F4">
        <w:rPr>
          <w:b/>
        </w:rPr>
        <w:t>d</w:t>
      </w:r>
    </w:p>
    <w:p w:rsidR="00064CDA" w:rsidRPr="004C79F4" w:rsidRDefault="00BF6A41" w:rsidP="00064CDA">
      <w:pPr>
        <w:pStyle w:val="SCCNormalDoubleSpacing"/>
        <w:spacing w:after="240" w:line="240" w:lineRule="auto"/>
        <w:ind w:left="540" w:hanging="540"/>
      </w:pPr>
      <w:r w:rsidRPr="004C79F4">
        <w:rPr>
          <w:i/>
        </w:rPr>
        <w:t>Business Corporations Act</w:t>
      </w:r>
      <w:r w:rsidR="00B51EC7" w:rsidRPr="004C79F4">
        <w:t>, R.S.O. 1990, c.</w:t>
      </w:r>
      <w:r w:rsidR="002011A6" w:rsidRPr="004C79F4">
        <w:t> </w:t>
      </w:r>
      <w:r w:rsidR="00B51EC7" w:rsidRPr="004C79F4">
        <w:t>B.</w:t>
      </w:r>
      <w:r w:rsidRPr="004C79F4">
        <w:t>16</w:t>
      </w:r>
      <w:r w:rsidR="00B51EC7" w:rsidRPr="004C79F4">
        <w:t xml:space="preserve">, </w:t>
      </w:r>
      <w:r w:rsidR="00797F66" w:rsidRPr="004C79F4">
        <w:t xml:space="preserve">Part XII, </w:t>
      </w:r>
      <w:r w:rsidR="00144572">
        <w:t>ss. </w:t>
      </w:r>
      <w:r w:rsidR="00B51EC7" w:rsidRPr="004C79F4">
        <w:t>153, 154.</w:t>
      </w:r>
    </w:p>
    <w:p w:rsidR="00064CDA" w:rsidRPr="004C79F4" w:rsidRDefault="00064CDA" w:rsidP="00064CDA">
      <w:pPr>
        <w:pStyle w:val="SCCNormalDoubleSpacing"/>
        <w:spacing w:after="240" w:line="240" w:lineRule="auto"/>
        <w:ind w:left="540" w:hanging="540"/>
        <w:rPr>
          <w:i/>
        </w:rPr>
      </w:pPr>
      <w:r w:rsidRPr="004C79F4">
        <w:rPr>
          <w:i/>
        </w:rPr>
        <w:t>Companies</w:t>
      </w:r>
      <w:r w:rsidR="009138AE" w:rsidRPr="004C79F4">
        <w:rPr>
          <w:i/>
        </w:rPr>
        <w:t>’</w:t>
      </w:r>
      <w:r w:rsidRPr="004C79F4">
        <w:rPr>
          <w:i/>
        </w:rPr>
        <w:t xml:space="preserve"> Creditors Arrangement Act</w:t>
      </w:r>
      <w:r w:rsidRPr="004C79F4">
        <w:t xml:space="preserve">, </w:t>
      </w:r>
      <w:r w:rsidR="003C3525" w:rsidRPr="004C79F4">
        <w:t>R.S.C. 1985, c. </w:t>
      </w:r>
      <w:r w:rsidRPr="004C79F4">
        <w:t>C</w:t>
      </w:r>
      <w:r w:rsidR="00144572">
        <w:noBreakHyphen/>
      </w:r>
      <w:r w:rsidRPr="004C79F4">
        <w:t>36.</w:t>
      </w:r>
    </w:p>
    <w:p w:rsidR="001F4CEA" w:rsidRPr="004C79F4" w:rsidRDefault="001F4CEA" w:rsidP="002011A6">
      <w:pPr>
        <w:pStyle w:val="SCCNormalDoubleSpacing"/>
        <w:spacing w:after="240" w:line="240" w:lineRule="auto"/>
        <w:ind w:left="540" w:hanging="540"/>
      </w:pPr>
      <w:r w:rsidRPr="004C79F4">
        <w:rPr>
          <w:i/>
        </w:rPr>
        <w:t>Corporations Act</w:t>
      </w:r>
      <w:r w:rsidR="002011A6" w:rsidRPr="004C79F4">
        <w:t xml:space="preserve">, </w:t>
      </w:r>
      <w:r w:rsidR="00FC1A09" w:rsidRPr="004C79F4">
        <w:t>R.S.M. 1987, c. </w:t>
      </w:r>
      <w:r w:rsidR="00064CDA" w:rsidRPr="004C79F4">
        <w:t>C225.</w:t>
      </w:r>
    </w:p>
    <w:p w:rsidR="00BF6A41" w:rsidRPr="004C79F4" w:rsidRDefault="00240CDF" w:rsidP="002011A6">
      <w:pPr>
        <w:pStyle w:val="SCCNormalDoubleSpacing"/>
        <w:spacing w:after="720" w:line="240" w:lineRule="auto"/>
        <w:ind w:left="547" w:hanging="547"/>
      </w:pPr>
      <w:r w:rsidRPr="004C79F4">
        <w:rPr>
          <w:i/>
        </w:rPr>
        <w:t>Negligence Act</w:t>
      </w:r>
      <w:r w:rsidRPr="004C79F4">
        <w:t>, R.S.O. 1990, c.</w:t>
      </w:r>
      <w:r w:rsidR="002011A6" w:rsidRPr="004C79F4">
        <w:t> </w:t>
      </w:r>
      <w:r w:rsidRPr="004C79F4">
        <w:t>N.1, s.</w:t>
      </w:r>
      <w:r w:rsidR="002011A6" w:rsidRPr="004C79F4">
        <w:t> </w:t>
      </w:r>
      <w:r w:rsidRPr="004C79F4">
        <w:t>3</w:t>
      </w:r>
      <w:r w:rsidR="00A237BC" w:rsidRPr="004C79F4">
        <w:t>.</w:t>
      </w:r>
    </w:p>
    <w:p w:rsidR="002E6705" w:rsidRPr="004C79F4" w:rsidRDefault="002E6705" w:rsidP="002011A6">
      <w:pPr>
        <w:pStyle w:val="SCCNormalDoubleSpacing"/>
        <w:spacing w:after="720" w:line="240" w:lineRule="auto"/>
        <w:rPr>
          <w:b/>
        </w:rPr>
      </w:pPr>
      <w:r w:rsidRPr="004C79F4">
        <w:rPr>
          <w:b/>
        </w:rPr>
        <w:t>Authors Cited</w:t>
      </w:r>
    </w:p>
    <w:p w:rsidR="00541F17" w:rsidRPr="004C79F4" w:rsidRDefault="00541F17" w:rsidP="002011A6">
      <w:pPr>
        <w:pStyle w:val="SCCNormalDoubleSpacing"/>
        <w:spacing w:after="240" w:line="240" w:lineRule="auto"/>
        <w:ind w:left="547" w:hanging="547"/>
      </w:pPr>
      <w:proofErr w:type="spellStart"/>
      <w:r w:rsidRPr="004C79F4">
        <w:t>Beever</w:t>
      </w:r>
      <w:proofErr w:type="spellEnd"/>
      <w:r w:rsidRPr="004C79F4">
        <w:t xml:space="preserve">, Allan. </w:t>
      </w:r>
      <w:r w:rsidRPr="004C79F4">
        <w:rPr>
          <w:i/>
        </w:rPr>
        <w:t>Rediscovering the Law of Negligence</w:t>
      </w:r>
      <w:r w:rsidRPr="004C79F4">
        <w:t>. Oxford: Hart, 2007.</w:t>
      </w:r>
    </w:p>
    <w:p w:rsidR="00541F17" w:rsidRPr="004C79F4" w:rsidRDefault="00541F17" w:rsidP="002011A6">
      <w:pPr>
        <w:pStyle w:val="SCCNormalDoubleSpacing"/>
        <w:spacing w:after="240" w:line="240" w:lineRule="auto"/>
        <w:ind w:left="547" w:hanging="547"/>
      </w:pPr>
      <w:r w:rsidRPr="004C79F4">
        <w:rPr>
          <w:i/>
        </w:rPr>
        <w:t>Black</w:t>
      </w:r>
      <w:r w:rsidR="009138AE" w:rsidRPr="004C79F4">
        <w:rPr>
          <w:i/>
        </w:rPr>
        <w:t>’</w:t>
      </w:r>
      <w:r w:rsidRPr="004C79F4">
        <w:rPr>
          <w:i/>
        </w:rPr>
        <w:t>s Law Dictionary</w:t>
      </w:r>
      <w:r w:rsidRPr="004C79F4">
        <w:t>, 10th ed. by Bryan A. Garner, ed. St. Paul, Minn.: Thomson Reuters, 2014, “indeterminate”.</w:t>
      </w:r>
    </w:p>
    <w:p w:rsidR="00541F17" w:rsidRPr="004C79F4" w:rsidRDefault="00541F17" w:rsidP="002011A6">
      <w:pPr>
        <w:pStyle w:val="SCCNormalDoubleSpacing"/>
        <w:spacing w:after="240" w:line="240" w:lineRule="auto"/>
        <w:ind w:left="547" w:hanging="547"/>
      </w:pPr>
      <w:proofErr w:type="spellStart"/>
      <w:r w:rsidRPr="004C79F4">
        <w:t>Blom</w:t>
      </w:r>
      <w:proofErr w:type="spellEnd"/>
      <w:r w:rsidRPr="004C79F4">
        <w:t xml:space="preserve">, </w:t>
      </w:r>
      <w:proofErr w:type="spellStart"/>
      <w:r w:rsidRPr="004C79F4">
        <w:t>Joost</w:t>
      </w:r>
      <w:proofErr w:type="spellEnd"/>
      <w:r w:rsidRPr="004C79F4">
        <w:t xml:space="preserve">. “Do We Really Need the </w:t>
      </w:r>
      <w:proofErr w:type="spellStart"/>
      <w:r w:rsidRPr="004C79F4">
        <w:rPr>
          <w:i/>
        </w:rPr>
        <w:t>Anns</w:t>
      </w:r>
      <w:proofErr w:type="spellEnd"/>
      <w:r w:rsidRPr="004C79F4">
        <w:t xml:space="preserve"> Test for Duty of Care in Negligence?” (2016), 53 </w:t>
      </w:r>
      <w:r w:rsidRPr="004C79F4">
        <w:rPr>
          <w:i/>
        </w:rPr>
        <w:t>Alta. L. Rev.</w:t>
      </w:r>
      <w:r w:rsidRPr="004C79F4">
        <w:t xml:space="preserve"> 895. </w:t>
      </w:r>
    </w:p>
    <w:p w:rsidR="00541F17" w:rsidRPr="004C79F4" w:rsidRDefault="00541F17" w:rsidP="002011A6">
      <w:pPr>
        <w:pStyle w:val="SCCNormalDoubleSpacing"/>
        <w:spacing w:after="240" w:line="240" w:lineRule="auto"/>
        <w:ind w:left="547" w:hanging="547"/>
      </w:pPr>
      <w:proofErr w:type="spellStart"/>
      <w:r w:rsidRPr="004C79F4">
        <w:t>Hohfeld</w:t>
      </w:r>
      <w:proofErr w:type="spellEnd"/>
      <w:r w:rsidRPr="004C79F4">
        <w:t xml:space="preserve">, Wesley Newcomb. “Some Fundamental Legal Conceptions as Applied in Judicial Reasoning” (1913), 23 </w:t>
      </w:r>
      <w:r w:rsidRPr="004C79F4">
        <w:rPr>
          <w:i/>
        </w:rPr>
        <w:t>Yale L.J.</w:t>
      </w:r>
      <w:r w:rsidRPr="004C79F4">
        <w:t xml:space="preserve"> 16.</w:t>
      </w:r>
    </w:p>
    <w:p w:rsidR="00541F17" w:rsidRPr="004C79F4" w:rsidRDefault="00541F17" w:rsidP="002011A6">
      <w:pPr>
        <w:pStyle w:val="SCCNormalDoubleSpacing"/>
        <w:spacing w:after="240" w:line="240" w:lineRule="auto"/>
        <w:ind w:left="547" w:hanging="547"/>
      </w:pPr>
      <w:r w:rsidRPr="004C79F4">
        <w:t xml:space="preserve">Jutras, Daniel. “Civil Law and Pure Economic Loss: What Are We Missing?” (1987), 12 </w:t>
      </w:r>
      <w:r w:rsidRPr="004C79F4">
        <w:rPr>
          <w:i/>
        </w:rPr>
        <w:t>Can. Bus. L.J.</w:t>
      </w:r>
      <w:r w:rsidRPr="004C79F4">
        <w:t xml:space="preserve"> 295.</w:t>
      </w:r>
    </w:p>
    <w:p w:rsidR="00541F17" w:rsidRPr="004C79F4" w:rsidRDefault="00541F17" w:rsidP="002011A6">
      <w:pPr>
        <w:pStyle w:val="SCCNormalDoubleSpacing"/>
        <w:spacing w:after="240" w:line="240" w:lineRule="auto"/>
        <w:ind w:left="547" w:hanging="547"/>
      </w:pPr>
      <w:proofErr w:type="spellStart"/>
      <w:r w:rsidRPr="004C79F4">
        <w:t>Klar</w:t>
      </w:r>
      <w:proofErr w:type="spellEnd"/>
      <w:r w:rsidR="00144572">
        <w:t>, Lewis </w:t>
      </w:r>
      <w:r w:rsidRPr="004C79F4">
        <w:t>N., an</w:t>
      </w:r>
      <w:r w:rsidR="00144572">
        <w:t>d Cameron </w:t>
      </w:r>
      <w:r w:rsidR="001A6C5B" w:rsidRPr="004C79F4">
        <w:t xml:space="preserve">S. </w:t>
      </w:r>
      <w:r w:rsidRPr="004C79F4">
        <w:t xml:space="preserve">G. Jefferies. </w:t>
      </w:r>
      <w:r w:rsidRPr="004C79F4">
        <w:rPr>
          <w:i/>
        </w:rPr>
        <w:t>Tort Law</w:t>
      </w:r>
      <w:r w:rsidRPr="004C79F4">
        <w:t>, 6th ed. Toronto: Thomson Reuters, 2017.</w:t>
      </w:r>
    </w:p>
    <w:p w:rsidR="00541F17" w:rsidRPr="004C79F4" w:rsidRDefault="00541F17" w:rsidP="002011A6">
      <w:pPr>
        <w:pStyle w:val="SCCNormalDoubleSpacing"/>
        <w:spacing w:after="240" w:line="240" w:lineRule="auto"/>
        <w:ind w:left="547" w:hanging="547"/>
      </w:pPr>
      <w:r w:rsidRPr="004C79F4">
        <w:t>Linden, Al</w:t>
      </w:r>
      <w:r w:rsidR="002011A6" w:rsidRPr="004C79F4">
        <w:t>len </w:t>
      </w:r>
      <w:r w:rsidRPr="004C79F4">
        <w:t xml:space="preserve">M., and Bruce </w:t>
      </w:r>
      <w:proofErr w:type="spellStart"/>
      <w:r w:rsidRPr="004C79F4">
        <w:t>Feldthusen</w:t>
      </w:r>
      <w:proofErr w:type="spellEnd"/>
      <w:r w:rsidRPr="004C79F4">
        <w:t xml:space="preserve">. </w:t>
      </w:r>
      <w:r w:rsidRPr="004C79F4">
        <w:rPr>
          <w:i/>
        </w:rPr>
        <w:t>Canadian Tort Law</w:t>
      </w:r>
      <w:r w:rsidRPr="004C79F4">
        <w:t>, 8th ed. Markham, Ont.: LexisNexis, 2006.</w:t>
      </w:r>
    </w:p>
    <w:p w:rsidR="00541F17" w:rsidRPr="004C79F4" w:rsidRDefault="00541F17" w:rsidP="002011A6">
      <w:pPr>
        <w:pStyle w:val="SCCNormalDoubleSpacing"/>
        <w:spacing w:after="240" w:line="240" w:lineRule="auto"/>
        <w:ind w:left="547" w:hanging="547"/>
      </w:pPr>
      <w:r w:rsidRPr="004C79F4">
        <w:t>MacPherson, Darcy</w:t>
      </w:r>
      <w:r w:rsidR="002011A6" w:rsidRPr="004C79F4">
        <w:t> </w:t>
      </w:r>
      <w:r w:rsidRPr="004C79F4">
        <w:t xml:space="preserve">L. “Emaciating the Statutory Audit — A Comment on </w:t>
      </w:r>
      <w:r w:rsidRPr="004C79F4">
        <w:rPr>
          <w:i/>
        </w:rPr>
        <w:t xml:space="preserve">Hart Building Supplies Ltd. v. Deloitte &amp; </w:t>
      </w:r>
      <w:proofErr w:type="spellStart"/>
      <w:r w:rsidRPr="004C79F4">
        <w:rPr>
          <w:i/>
        </w:rPr>
        <w:t>Touche</w:t>
      </w:r>
      <w:proofErr w:type="spellEnd"/>
      <w:r w:rsidRPr="004C79F4">
        <w:t xml:space="preserve">” (2005), 41 </w:t>
      </w:r>
      <w:r w:rsidRPr="004C79F4">
        <w:rPr>
          <w:i/>
        </w:rPr>
        <w:t>Can. Bus. L.J.</w:t>
      </w:r>
      <w:r w:rsidRPr="004C79F4">
        <w:t xml:space="preserve"> 471.</w:t>
      </w:r>
    </w:p>
    <w:p w:rsidR="00541F17" w:rsidRPr="004C79F4" w:rsidRDefault="00541F17" w:rsidP="002011A6">
      <w:pPr>
        <w:pStyle w:val="SCCNormalDoubleSpacing"/>
        <w:spacing w:after="240" w:line="240" w:lineRule="auto"/>
        <w:ind w:left="547" w:hanging="547"/>
      </w:pPr>
      <w:proofErr w:type="spellStart"/>
      <w:r w:rsidRPr="004C79F4">
        <w:t>Tushnet</w:t>
      </w:r>
      <w:proofErr w:type="spellEnd"/>
      <w:r w:rsidRPr="004C79F4">
        <w:t xml:space="preserve">, </w:t>
      </w:r>
      <w:r w:rsidR="002011A6" w:rsidRPr="004C79F4">
        <w:t>Mark </w:t>
      </w:r>
      <w:r w:rsidRPr="004C79F4">
        <w:t xml:space="preserve">V. “Defending the Indeterminacy Thesis”, in Brian Bix, ed., </w:t>
      </w:r>
      <w:r w:rsidRPr="004C79F4">
        <w:rPr>
          <w:i/>
        </w:rPr>
        <w:t>Analyzing Law: New Essays in Legal Theory</w:t>
      </w:r>
      <w:r w:rsidRPr="004C79F4">
        <w:t>. Oxford: Clarendon Press, 1998, 223.</w:t>
      </w:r>
    </w:p>
    <w:p w:rsidR="00541F17" w:rsidRPr="004C79F4" w:rsidRDefault="00541F17" w:rsidP="002011A6">
      <w:pPr>
        <w:pStyle w:val="SCCNormalDoubleSpacing"/>
        <w:spacing w:after="240" w:line="240" w:lineRule="auto"/>
        <w:ind w:left="547" w:hanging="547"/>
      </w:pPr>
      <w:proofErr w:type="spellStart"/>
      <w:r w:rsidRPr="004C79F4">
        <w:t>Waddams</w:t>
      </w:r>
      <w:proofErr w:type="spellEnd"/>
      <w:r w:rsidR="001A6C5B" w:rsidRPr="004C79F4">
        <w:t>, S.</w:t>
      </w:r>
      <w:r w:rsidR="002011A6" w:rsidRPr="004C79F4">
        <w:t> </w:t>
      </w:r>
      <w:r w:rsidRPr="004C79F4">
        <w:t xml:space="preserve">M. </w:t>
      </w:r>
      <w:r w:rsidRPr="004C79F4">
        <w:rPr>
          <w:i/>
        </w:rPr>
        <w:t>The Law of Damages</w:t>
      </w:r>
      <w:r w:rsidRPr="004C79F4">
        <w:t xml:space="preserve">, 5th ed. Toronto: Canada Law Book, 2012. </w:t>
      </w:r>
    </w:p>
    <w:p w:rsidR="00541F17" w:rsidRPr="004C79F4" w:rsidRDefault="00541F17" w:rsidP="002011A6">
      <w:pPr>
        <w:pStyle w:val="SCCNormalDoubleSpacing"/>
        <w:spacing w:after="720" w:line="240" w:lineRule="auto"/>
        <w:ind w:left="547" w:hanging="547"/>
      </w:pPr>
      <w:proofErr w:type="spellStart"/>
      <w:r w:rsidRPr="004C79F4">
        <w:t>Weinrib</w:t>
      </w:r>
      <w:proofErr w:type="spellEnd"/>
      <w:r w:rsidRPr="004C79F4">
        <w:t>, Ernest</w:t>
      </w:r>
      <w:r w:rsidR="002011A6" w:rsidRPr="004C79F4">
        <w:t> </w:t>
      </w:r>
      <w:r w:rsidRPr="004C79F4">
        <w:t xml:space="preserve">J. “The Disintegration of Duty” (2006), 31 </w:t>
      </w:r>
      <w:r w:rsidRPr="004C79F4">
        <w:rPr>
          <w:i/>
        </w:rPr>
        <w:t>Adv. Q.</w:t>
      </w:r>
      <w:r w:rsidRPr="004C79F4">
        <w:t xml:space="preserve"> 212.</w:t>
      </w:r>
    </w:p>
    <w:p w:rsidR="00656313" w:rsidRPr="004C79F4" w:rsidRDefault="00AA6BFF" w:rsidP="002011A6">
      <w:pPr>
        <w:pStyle w:val="SCCNormalDoubleSpacing"/>
        <w:spacing w:before="480" w:after="480"/>
      </w:pPr>
      <w:r w:rsidRPr="004C79F4">
        <w:tab/>
      </w:r>
      <w:r w:rsidR="009B57B3" w:rsidRPr="004C79F4">
        <w:t xml:space="preserve">APPEAL from a judgment of the </w:t>
      </w:r>
      <w:r w:rsidRPr="004C79F4">
        <w:t xml:space="preserve">Ontario </w:t>
      </w:r>
      <w:r w:rsidR="009B57B3" w:rsidRPr="004C79F4">
        <w:t xml:space="preserve">Court of Appeal </w:t>
      </w:r>
      <w:r w:rsidRPr="004C79F4">
        <w:t>(</w:t>
      </w:r>
      <w:r w:rsidR="002011A6" w:rsidRPr="004C79F4">
        <w:t>Strathy </w:t>
      </w:r>
      <w:r w:rsidR="00323520" w:rsidRPr="004C79F4">
        <w:t xml:space="preserve">C.J. and Blair and </w:t>
      </w:r>
      <w:proofErr w:type="spellStart"/>
      <w:r w:rsidR="00323520" w:rsidRPr="004C79F4">
        <w:t>Lauwers</w:t>
      </w:r>
      <w:proofErr w:type="spellEnd"/>
      <w:r w:rsidR="002011A6" w:rsidRPr="004C79F4">
        <w:t> </w:t>
      </w:r>
      <w:r w:rsidR="00323520" w:rsidRPr="004C79F4">
        <w:t>JJ.A.</w:t>
      </w:r>
      <w:r w:rsidRPr="004C79F4">
        <w:t>)</w:t>
      </w:r>
      <w:r w:rsidR="00323520" w:rsidRPr="004C79F4">
        <w:t xml:space="preserve">, 2016 ONCA 11, 128 O.R. (3d) 225, </w:t>
      </w:r>
      <w:r w:rsidR="00A84B86" w:rsidRPr="004C79F4">
        <w:t xml:space="preserve">393 D.L.R. (4th) 1, </w:t>
      </w:r>
      <w:r w:rsidR="00A52DD8" w:rsidRPr="004C79F4">
        <w:t xml:space="preserve">342 O.A.C. 201, </w:t>
      </w:r>
      <w:r w:rsidR="007C4339" w:rsidRPr="004C79F4">
        <w:t xml:space="preserve">52 B.L.R. (5th) 225, 31 C.B.R. (6th) 205, 24 C.C.L.T. (4th) 177, [2016] O.J. </w:t>
      </w:r>
      <w:r w:rsidR="00144572">
        <w:t>No. </w:t>
      </w:r>
      <w:r w:rsidR="007C4339" w:rsidRPr="004C79F4">
        <w:t xml:space="preserve">51 (QL), 2016 </w:t>
      </w:r>
      <w:proofErr w:type="spellStart"/>
      <w:r w:rsidR="007C4339" w:rsidRPr="004C79F4">
        <w:t>CarswellOnt</w:t>
      </w:r>
      <w:proofErr w:type="spellEnd"/>
      <w:r w:rsidR="007C4339" w:rsidRPr="004C79F4">
        <w:t xml:space="preserve"> 122 (WL Can.), </w:t>
      </w:r>
      <w:r w:rsidR="00A84B86" w:rsidRPr="004C79F4">
        <w:t xml:space="preserve">affirming a decision </w:t>
      </w:r>
      <w:r w:rsidR="003F3615">
        <w:t xml:space="preserve">of </w:t>
      </w:r>
      <w:proofErr w:type="spellStart"/>
      <w:r w:rsidR="00A84B86" w:rsidRPr="004C79F4">
        <w:t>Gans</w:t>
      </w:r>
      <w:proofErr w:type="spellEnd"/>
      <w:r w:rsidR="00611FCE" w:rsidRPr="004C79F4">
        <w:t> </w:t>
      </w:r>
      <w:r w:rsidR="00A84B86" w:rsidRPr="004C79F4">
        <w:t xml:space="preserve">J., 2014 ONSC 2176, </w:t>
      </w:r>
      <w:r w:rsidR="0065564F" w:rsidRPr="004C79F4">
        <w:t xml:space="preserve">11 C.B.R. (6th) 12, </w:t>
      </w:r>
      <w:r w:rsidR="00A84B86" w:rsidRPr="004C79F4">
        <w:t xml:space="preserve">10 C.C.L.T. (4th) 182, </w:t>
      </w:r>
      <w:r w:rsidR="002F337E" w:rsidRPr="004C79F4">
        <w:t xml:space="preserve">26 B.L.R. (5th) 15, </w:t>
      </w:r>
      <w:r w:rsidR="00A52DD8" w:rsidRPr="004C79F4">
        <w:t xml:space="preserve">[2014] O.J. </w:t>
      </w:r>
      <w:r w:rsidR="00144572">
        <w:t>No. </w:t>
      </w:r>
      <w:r w:rsidR="00A52DD8" w:rsidRPr="004C79F4">
        <w:t xml:space="preserve">1635 (QL), 2014 </w:t>
      </w:r>
      <w:proofErr w:type="spellStart"/>
      <w:r w:rsidR="00A52DD8" w:rsidRPr="004C79F4">
        <w:t>CarswellOnt</w:t>
      </w:r>
      <w:proofErr w:type="spellEnd"/>
      <w:r w:rsidR="00A52DD8" w:rsidRPr="004C79F4">
        <w:t xml:space="preserve"> 4365</w:t>
      </w:r>
      <w:r w:rsidR="00611FCE" w:rsidRPr="004C79F4">
        <w:t xml:space="preserve"> (WL Can.). Appeal </w:t>
      </w:r>
      <w:r w:rsidR="00CE16DD" w:rsidRPr="004C79F4">
        <w:t>allowed in part</w:t>
      </w:r>
      <w:r w:rsidR="002011A6" w:rsidRPr="004C79F4">
        <w:t xml:space="preserve">, </w:t>
      </w:r>
      <w:r w:rsidR="00CE16DD" w:rsidRPr="004C79F4">
        <w:t xml:space="preserve">McLachlin C.J. and </w:t>
      </w:r>
      <w:r w:rsidR="008A75DB" w:rsidRPr="004C79F4">
        <w:t xml:space="preserve">Wagner and </w:t>
      </w:r>
      <w:r w:rsidR="00E1423D" w:rsidRPr="004C79F4">
        <w:t>Côté </w:t>
      </w:r>
      <w:r w:rsidR="00CE16DD" w:rsidRPr="004C79F4">
        <w:t>J</w:t>
      </w:r>
      <w:r w:rsidR="008A75DB" w:rsidRPr="004C79F4">
        <w:t>J</w:t>
      </w:r>
      <w:r w:rsidR="00CE16DD" w:rsidRPr="004C79F4">
        <w:t xml:space="preserve">. </w:t>
      </w:r>
      <w:proofErr w:type="gramStart"/>
      <w:r w:rsidR="00DE76D5" w:rsidRPr="004C79F4">
        <w:t>dissenting</w:t>
      </w:r>
      <w:proofErr w:type="gramEnd"/>
      <w:r w:rsidR="005C52D9" w:rsidRPr="004C79F4">
        <w:t xml:space="preserve"> in part</w:t>
      </w:r>
      <w:r w:rsidR="00611FCE" w:rsidRPr="004C79F4">
        <w:t>.</w:t>
      </w:r>
    </w:p>
    <w:p w:rsidR="002729BF" w:rsidRPr="004C79F4" w:rsidRDefault="00035080" w:rsidP="002011A6">
      <w:pPr>
        <w:pStyle w:val="SCCNormalDoubleSpacing"/>
        <w:spacing w:before="480" w:after="480"/>
      </w:pPr>
      <w:r w:rsidRPr="004C79F4">
        <w:rPr>
          <w:rStyle w:val="SCCCounselNameChar"/>
        </w:rPr>
        <w:tab/>
        <w:t>Peter</w:t>
      </w:r>
      <w:r w:rsidR="002011A6" w:rsidRPr="004C79F4">
        <w:rPr>
          <w:rStyle w:val="SCCCounselNameChar"/>
        </w:rPr>
        <w:t> </w:t>
      </w:r>
      <w:r w:rsidRPr="004C79F4">
        <w:rPr>
          <w:rStyle w:val="SCCCounselNameChar"/>
        </w:rPr>
        <w:t>H. Griffin</w:t>
      </w:r>
      <w:r w:rsidRPr="004C79F4">
        <w:rPr>
          <w:rStyle w:val="SCCCounselSeparatorChar"/>
        </w:rPr>
        <w:t xml:space="preserve">, </w:t>
      </w:r>
      <w:r w:rsidRPr="004C79F4">
        <w:rPr>
          <w:rStyle w:val="SCCCounselNameChar"/>
        </w:rPr>
        <w:t>Matthew Fleming</w:t>
      </w:r>
      <w:r w:rsidRPr="004C79F4">
        <w:rPr>
          <w:rStyle w:val="SCCCounselNameChar"/>
          <w:i w:val="0"/>
        </w:rPr>
        <w:t>,</w:t>
      </w:r>
      <w:r w:rsidRPr="004C79F4">
        <w:rPr>
          <w:rStyle w:val="SCCCounselNameChar"/>
        </w:rPr>
        <w:t xml:space="preserve"> Scott </w:t>
      </w:r>
      <w:proofErr w:type="spellStart"/>
      <w:r w:rsidRPr="004C79F4">
        <w:rPr>
          <w:rStyle w:val="SCCCounselNameChar"/>
        </w:rPr>
        <w:t>Rollwagen</w:t>
      </w:r>
      <w:proofErr w:type="spellEnd"/>
      <w:r w:rsidRPr="004C79F4">
        <w:rPr>
          <w:rStyle w:val="SCCCounselSeparatorChar"/>
        </w:rPr>
        <w:t xml:space="preserve"> and </w:t>
      </w:r>
      <w:r w:rsidRPr="004C79F4">
        <w:rPr>
          <w:rStyle w:val="SCCCounselNameChar"/>
        </w:rPr>
        <w:t xml:space="preserve">Nina </w:t>
      </w:r>
      <w:proofErr w:type="spellStart"/>
      <w:r w:rsidRPr="004C79F4">
        <w:rPr>
          <w:rStyle w:val="SCCCounselNameChar"/>
        </w:rPr>
        <w:t>Bombier</w:t>
      </w:r>
      <w:proofErr w:type="spellEnd"/>
      <w:r w:rsidRPr="004C79F4">
        <w:rPr>
          <w:rStyle w:val="SCCCounselPartyRoleChar"/>
        </w:rPr>
        <w:t>, for the appellant.</w:t>
      </w:r>
    </w:p>
    <w:p w:rsidR="002729BF" w:rsidRPr="004C79F4" w:rsidRDefault="00035080" w:rsidP="002011A6">
      <w:pPr>
        <w:pStyle w:val="SCCNormalDoubleSpacing"/>
        <w:spacing w:before="480" w:after="480"/>
      </w:pPr>
      <w:r w:rsidRPr="004C79F4">
        <w:rPr>
          <w:rStyle w:val="SCCCounselNameChar"/>
        </w:rPr>
        <w:tab/>
        <w:t>Peter F.</w:t>
      </w:r>
      <w:r w:rsidR="00611FCE" w:rsidRPr="004C79F4">
        <w:rPr>
          <w:rStyle w:val="SCCCounselNameChar"/>
        </w:rPr>
        <w:t> </w:t>
      </w:r>
      <w:r w:rsidR="002011A6" w:rsidRPr="004C79F4">
        <w:rPr>
          <w:rStyle w:val="SCCCounselNameChar"/>
        </w:rPr>
        <w:t>C. </w:t>
      </w:r>
      <w:r w:rsidRPr="004C79F4">
        <w:rPr>
          <w:rStyle w:val="SCCCounselNameChar"/>
        </w:rPr>
        <w:t>Howard</w:t>
      </w:r>
      <w:r w:rsidRPr="004C79F4">
        <w:rPr>
          <w:rStyle w:val="SCCCounselSeparatorChar"/>
        </w:rPr>
        <w:t xml:space="preserve">, </w:t>
      </w:r>
      <w:r w:rsidRPr="004C79F4">
        <w:rPr>
          <w:rStyle w:val="SCCCounselNameChar"/>
        </w:rPr>
        <w:t>Patrick O</w:t>
      </w:r>
      <w:r w:rsidR="009138AE" w:rsidRPr="004C79F4">
        <w:rPr>
          <w:rStyle w:val="SCCCounselNameChar"/>
        </w:rPr>
        <w:t>’</w:t>
      </w:r>
      <w:r w:rsidRPr="004C79F4">
        <w:rPr>
          <w:rStyle w:val="SCCCounselNameChar"/>
        </w:rPr>
        <w:t>Kelly</w:t>
      </w:r>
      <w:r w:rsidRPr="004C79F4">
        <w:rPr>
          <w:rStyle w:val="SCCCounselNameChar"/>
          <w:i w:val="0"/>
        </w:rPr>
        <w:t>,</w:t>
      </w:r>
      <w:r w:rsidRPr="004C79F4">
        <w:rPr>
          <w:rStyle w:val="SCCCounselNameChar"/>
        </w:rPr>
        <w:t xml:space="preserve"> </w:t>
      </w:r>
      <w:r w:rsidR="00611FCE" w:rsidRPr="004C79F4">
        <w:rPr>
          <w:rStyle w:val="SCCCounselNameChar"/>
        </w:rPr>
        <w:t xml:space="preserve">Nicholas </w:t>
      </w:r>
      <w:proofErr w:type="spellStart"/>
      <w:r w:rsidR="00611FCE" w:rsidRPr="004C79F4">
        <w:rPr>
          <w:rStyle w:val="SCCCounselNameChar"/>
        </w:rPr>
        <w:t>McHaffie</w:t>
      </w:r>
      <w:proofErr w:type="spellEnd"/>
      <w:r w:rsidR="00611FCE" w:rsidRPr="004C79F4">
        <w:rPr>
          <w:rStyle w:val="SCCCounselNameChar"/>
        </w:rPr>
        <w:t xml:space="preserve"> </w:t>
      </w:r>
      <w:r w:rsidR="00611FCE" w:rsidRPr="004C79F4">
        <w:rPr>
          <w:rStyle w:val="SCCCounselSeparatorChar"/>
        </w:rPr>
        <w:t>and</w:t>
      </w:r>
      <w:r w:rsidR="00611FCE" w:rsidRPr="004C79F4">
        <w:rPr>
          <w:rStyle w:val="SCCCounselNameChar"/>
        </w:rPr>
        <w:t xml:space="preserve"> </w:t>
      </w:r>
      <w:r w:rsidRPr="004C79F4">
        <w:rPr>
          <w:rStyle w:val="SCCCounselNameChar"/>
        </w:rPr>
        <w:t xml:space="preserve">Aaron </w:t>
      </w:r>
      <w:proofErr w:type="spellStart"/>
      <w:r w:rsidRPr="004C79F4">
        <w:rPr>
          <w:rStyle w:val="SCCCounselNameChar"/>
        </w:rPr>
        <w:t>Kreaden</w:t>
      </w:r>
      <w:proofErr w:type="spellEnd"/>
      <w:r w:rsidRPr="004C79F4">
        <w:rPr>
          <w:rStyle w:val="SCCCounselPartyRoleChar"/>
        </w:rPr>
        <w:t>, for the respondent.</w:t>
      </w:r>
    </w:p>
    <w:p w:rsidR="002729BF" w:rsidRPr="004C79F4" w:rsidRDefault="00035080" w:rsidP="002011A6">
      <w:pPr>
        <w:pStyle w:val="SCCNormalDoubleSpacing"/>
        <w:spacing w:before="480" w:after="480"/>
      </w:pPr>
      <w:r w:rsidRPr="004C79F4">
        <w:rPr>
          <w:rStyle w:val="SCCCounselNameChar"/>
        </w:rPr>
        <w:tab/>
        <w:t xml:space="preserve">Markus </w:t>
      </w:r>
      <w:proofErr w:type="spellStart"/>
      <w:r w:rsidRPr="004C79F4">
        <w:rPr>
          <w:rStyle w:val="SCCCounselNameChar"/>
        </w:rPr>
        <w:t>Koehnen</w:t>
      </w:r>
      <w:proofErr w:type="spellEnd"/>
      <w:r w:rsidRPr="004C79F4">
        <w:rPr>
          <w:rStyle w:val="SCCCounselSeparatorChar"/>
        </w:rPr>
        <w:t xml:space="preserve">, </w:t>
      </w:r>
      <w:r w:rsidR="000D5C80" w:rsidRPr="004C79F4">
        <w:rPr>
          <w:rStyle w:val="SCCCounselNameChar"/>
        </w:rPr>
        <w:t xml:space="preserve">David </w:t>
      </w:r>
      <w:r w:rsidRPr="004C79F4">
        <w:rPr>
          <w:rStyle w:val="SCCCounselNameChar"/>
        </w:rPr>
        <w:t>Kent</w:t>
      </w:r>
      <w:r w:rsidRPr="004C79F4">
        <w:rPr>
          <w:rStyle w:val="SCCCounselSeparatorChar"/>
        </w:rPr>
        <w:t xml:space="preserve"> and </w:t>
      </w:r>
      <w:r w:rsidRPr="004C79F4">
        <w:rPr>
          <w:rStyle w:val="SCCCounselNameChar"/>
        </w:rPr>
        <w:t>Jeffrey Levine</w:t>
      </w:r>
      <w:r w:rsidRPr="004C79F4">
        <w:rPr>
          <w:rStyle w:val="SCCCounselPartyRoleChar"/>
        </w:rPr>
        <w:t xml:space="preserve">, for the intervener </w:t>
      </w:r>
      <w:r w:rsidR="00611FCE" w:rsidRPr="004C79F4">
        <w:rPr>
          <w:rStyle w:val="SCCCounselPartyRoleChar"/>
        </w:rPr>
        <w:t xml:space="preserve">the </w:t>
      </w:r>
      <w:r w:rsidRPr="004C79F4">
        <w:rPr>
          <w:rStyle w:val="SCCCounselPartyRoleChar"/>
        </w:rPr>
        <w:t>Canadian Coalition for Good Governance.</w:t>
      </w:r>
    </w:p>
    <w:p w:rsidR="002729BF" w:rsidRDefault="00035080" w:rsidP="002011A6">
      <w:pPr>
        <w:pStyle w:val="SCCNormalDoubleSpacing"/>
        <w:spacing w:before="480" w:after="480"/>
        <w:rPr>
          <w:rStyle w:val="SCCCounselPartyRoleChar"/>
        </w:rPr>
      </w:pPr>
      <w:r w:rsidRPr="004C79F4">
        <w:rPr>
          <w:rStyle w:val="SCCCounselNameChar"/>
        </w:rPr>
        <w:tab/>
        <w:t>Guy</w:t>
      </w:r>
      <w:r w:rsidR="002011A6" w:rsidRPr="004C79F4">
        <w:rPr>
          <w:rStyle w:val="SCCCounselNameChar"/>
        </w:rPr>
        <w:t> </w:t>
      </w:r>
      <w:r w:rsidRPr="004C79F4">
        <w:rPr>
          <w:rStyle w:val="SCCCounselNameChar"/>
        </w:rPr>
        <w:t>J. Pratte</w:t>
      </w:r>
      <w:r w:rsidR="000D5C80" w:rsidRPr="004C79F4">
        <w:rPr>
          <w:rStyle w:val="SCCCounselNameChar"/>
          <w:i w:val="0"/>
        </w:rPr>
        <w:t>,</w:t>
      </w:r>
      <w:r w:rsidR="000D5C80" w:rsidRPr="004C79F4">
        <w:rPr>
          <w:rStyle w:val="SCCCounselNameChar"/>
        </w:rPr>
        <w:t xml:space="preserve"> Nadia Effendi</w:t>
      </w:r>
      <w:r w:rsidRPr="004C79F4">
        <w:rPr>
          <w:rStyle w:val="SCCCounselSeparatorChar"/>
        </w:rPr>
        <w:t xml:space="preserve"> and </w:t>
      </w:r>
      <w:r w:rsidRPr="004C79F4">
        <w:rPr>
          <w:rStyle w:val="SCCCounselNameChar"/>
        </w:rPr>
        <w:t xml:space="preserve">Duncan </w:t>
      </w:r>
      <w:r w:rsidR="000D5C80" w:rsidRPr="004C79F4">
        <w:rPr>
          <w:rStyle w:val="SCCCounselNameChar"/>
        </w:rPr>
        <w:t xml:space="preserve">A. W. </w:t>
      </w:r>
      <w:r w:rsidRPr="004C79F4">
        <w:rPr>
          <w:rStyle w:val="SCCCounselNameChar"/>
        </w:rPr>
        <w:t>Ault</w:t>
      </w:r>
      <w:r w:rsidRPr="004C79F4">
        <w:rPr>
          <w:rStyle w:val="SCCCounselPartyRoleChar"/>
        </w:rPr>
        <w:t>, for the intervener Chartered Professional Accountants of Canada.</w:t>
      </w:r>
    </w:p>
    <w:p w:rsidR="00D7327A" w:rsidRDefault="00D7327A" w:rsidP="002011A6">
      <w:pPr>
        <w:pStyle w:val="SCCNormalDoubleSpacing"/>
        <w:spacing w:before="480" w:after="480"/>
        <w:rPr>
          <w:rStyle w:val="SCCCounselPartyRoleChar"/>
        </w:rPr>
      </w:pPr>
    </w:p>
    <w:p w:rsidR="00D7327A" w:rsidRDefault="00D7327A" w:rsidP="00D7327A">
      <w:r w:rsidRPr="00E60956">
        <w:rPr>
          <w:lang w:val="en-US"/>
        </w:rPr>
        <w:t xml:space="preserve">The judgment of </w:t>
      </w:r>
      <w:r>
        <w:rPr>
          <w:lang w:val="en-US"/>
        </w:rPr>
        <w:t>Karakatsanis, Gascon, Brown and Rowe JJ.</w:t>
      </w:r>
      <w:r w:rsidRPr="00EE0D10">
        <w:t xml:space="preserve"> </w:t>
      </w:r>
      <w:proofErr w:type="gramStart"/>
      <w:r w:rsidRPr="00EE0D10">
        <w:t>was</w:t>
      </w:r>
      <w:proofErr w:type="gramEnd"/>
      <w:r w:rsidRPr="00EE0D10">
        <w:t xml:space="preserve"> delivered by</w:t>
      </w:r>
    </w:p>
    <w:p w:rsidR="00D7327A" w:rsidRDefault="00D7327A" w:rsidP="00D7327A"/>
    <w:p w:rsidR="00D7327A" w:rsidRPr="00E72124" w:rsidRDefault="00D7327A" w:rsidP="00D7327A">
      <w:pPr>
        <w:pStyle w:val="JudgeJuge"/>
      </w:pPr>
      <w:r w:rsidRPr="00E72124">
        <w:tab/>
        <w:t xml:space="preserve">Gascon and Brown JJ.  — </w:t>
      </w:r>
    </w:p>
    <w:p w:rsidR="00D7327A" w:rsidRPr="00E72124" w:rsidRDefault="00D7327A" w:rsidP="00D7327A">
      <w:pPr>
        <w:pStyle w:val="Title1LevelTitre1Niveau-AltL"/>
        <w:numPr>
          <w:ilvl w:val="0"/>
          <w:numId w:val="8"/>
        </w:numPr>
        <w:rPr>
          <w:rFonts w:cs="Times New Roman"/>
        </w:rPr>
      </w:pPr>
      <w:r w:rsidRPr="00E72124">
        <w:rPr>
          <w:rFonts w:cs="Times New Roman"/>
        </w:rPr>
        <w:t>Introduction</w:t>
      </w:r>
    </w:p>
    <w:p w:rsidR="00D7327A" w:rsidRPr="00E72124" w:rsidRDefault="00D7327A" w:rsidP="00D7327A">
      <w:pPr>
        <w:pStyle w:val="ParaNoNdepar-AltN"/>
        <w:rPr>
          <w:rFonts w:cs="Times New Roman"/>
        </w:rPr>
      </w:pPr>
      <w:r w:rsidRPr="00E72124">
        <w:rPr>
          <w:rFonts w:cs="Times New Roman"/>
        </w:rPr>
        <w:t xml:space="preserve">This appeal provides the Court with an opportunity to affirm the analytical framework by which liability may be imposed in cases of negligent misrepresentation or performance of a service by an auditor. </w:t>
      </w:r>
    </w:p>
    <w:p w:rsidR="00D7327A" w:rsidRPr="00E72124" w:rsidRDefault="00D7327A" w:rsidP="00D7327A">
      <w:pPr>
        <w:pStyle w:val="ParaNoNdepar-AltN"/>
        <w:rPr>
          <w:rFonts w:cs="Times New Roman"/>
        </w:rPr>
      </w:pPr>
      <w:r w:rsidRPr="00E72124">
        <w:rPr>
          <w:rFonts w:cs="Times New Roman"/>
        </w:rPr>
        <w:t xml:space="preserve">There is substantial agreement between us and the Chief Justice. We agree on the general analytical framework governing negligent misrepresentation claims (Chief Justice’s reasons, at paras. 146-147). And we agree that Deloitte &amp; </w:t>
      </w:r>
      <w:proofErr w:type="spellStart"/>
      <w:r w:rsidRPr="00E72124">
        <w:rPr>
          <w:rFonts w:cs="Times New Roman"/>
        </w:rPr>
        <w:t>Touche</w:t>
      </w:r>
      <w:proofErr w:type="spellEnd"/>
      <w:r w:rsidRPr="00E72124">
        <w:rPr>
          <w:rFonts w:cs="Times New Roman"/>
        </w:rPr>
        <w:t xml:space="preserve"> (now Deloitte LLP) should not be liable for its corporate client Livent Inc.’s increase in liquidation deficit which followed Deloitte’s provision of negligent services in relation to the solicitation of investment. </w:t>
      </w:r>
    </w:p>
    <w:p w:rsidR="00D7327A" w:rsidRPr="00E72124" w:rsidRDefault="00D7327A" w:rsidP="00D7327A">
      <w:pPr>
        <w:pStyle w:val="ParaNoNdepar-AltN"/>
        <w:rPr>
          <w:rFonts w:cs="Times New Roman"/>
        </w:rPr>
      </w:pPr>
      <w:r w:rsidRPr="00E72124">
        <w:rPr>
          <w:rFonts w:cs="Times New Roman"/>
        </w:rPr>
        <w:t xml:space="preserve">We conclude, however, that Deloitte should be liable for the increase in </w:t>
      </w:r>
      <w:proofErr w:type="spellStart"/>
      <w:r w:rsidRPr="00E72124">
        <w:rPr>
          <w:rFonts w:cs="Times New Roman"/>
        </w:rPr>
        <w:t>Livent’s</w:t>
      </w:r>
      <w:proofErr w:type="spellEnd"/>
      <w:r w:rsidRPr="00E72124">
        <w:rPr>
          <w:rFonts w:cs="Times New Roman"/>
        </w:rPr>
        <w:t xml:space="preserve"> liquidation deficit which followed the statutory audit. In </w:t>
      </w:r>
      <w:r w:rsidRPr="00E72124">
        <w:rPr>
          <w:rFonts w:cs="Times New Roman"/>
          <w:i/>
        </w:rPr>
        <w:t>H</w:t>
      </w:r>
      <w:r w:rsidRPr="00E72124">
        <w:rPr>
          <w:rFonts w:eastAsiaTheme="minorHAnsi" w:cs="Times New Roman"/>
          <w:i/>
        </w:rPr>
        <w:t>ercules Managements Ltd. v. Ernst &amp; Young</w:t>
      </w:r>
      <w:r w:rsidRPr="00E72124">
        <w:rPr>
          <w:rFonts w:eastAsiaTheme="minorHAnsi" w:cs="Times New Roman"/>
        </w:rPr>
        <w:t xml:space="preserve">, [1997] 2 S.C.R. 165, this Court recognized that a statutory audit is prepared to allow shareholders to collectively </w:t>
      </w:r>
      <w:r w:rsidRPr="00E72124">
        <w:rPr>
          <w:rFonts w:cs="Times New Roman"/>
        </w:rPr>
        <w:t xml:space="preserve">“supervise management and to take decisions with respect to matters concerning the proper overall administration of the </w:t>
      </w:r>
      <w:proofErr w:type="spellStart"/>
      <w:r w:rsidRPr="00E72124">
        <w:rPr>
          <w:rFonts w:cs="Times New Roman"/>
        </w:rPr>
        <w:t>corporatio</w:t>
      </w:r>
      <w:proofErr w:type="spellEnd"/>
      <w:r w:rsidRPr="00E72124">
        <w:rPr>
          <w:rFonts w:cs="Times New Roman"/>
        </w:rPr>
        <w:t xml:space="preserve">[n]” which permits “the shareholders, acting as a group, to safeguard the interests of the </w:t>
      </w:r>
      <w:proofErr w:type="spellStart"/>
      <w:r w:rsidRPr="00E72124">
        <w:rPr>
          <w:rFonts w:cs="Times New Roman"/>
        </w:rPr>
        <w:t>corporatio</w:t>
      </w:r>
      <w:proofErr w:type="spellEnd"/>
      <w:r w:rsidRPr="00E72124">
        <w:rPr>
          <w:rFonts w:cs="Times New Roman"/>
        </w:rPr>
        <w:t xml:space="preserve">[n]” (para. 56 (emphasis deleted)). This describes precisely the function which </w:t>
      </w:r>
      <w:proofErr w:type="spellStart"/>
      <w:r w:rsidRPr="00E72124">
        <w:rPr>
          <w:rFonts w:cs="Times New Roman"/>
        </w:rPr>
        <w:t>Livent’s</w:t>
      </w:r>
      <w:proofErr w:type="spellEnd"/>
      <w:r w:rsidRPr="00E72124">
        <w:rPr>
          <w:rFonts w:cs="Times New Roman"/>
        </w:rPr>
        <w:t xml:space="preserve"> shareholders were unable to discharge by reason of Deloitte’s negligence. As a consequence, </w:t>
      </w:r>
      <w:proofErr w:type="spellStart"/>
      <w:r w:rsidRPr="00E72124">
        <w:rPr>
          <w:rFonts w:cs="Times New Roman"/>
        </w:rPr>
        <w:t>Livent’s</w:t>
      </w:r>
      <w:proofErr w:type="spellEnd"/>
      <w:r w:rsidRPr="00E72124">
        <w:rPr>
          <w:rFonts w:cs="Times New Roman"/>
        </w:rPr>
        <w:t xml:space="preserve"> corporate life was artificially prolonged, resulting in the interim deterioration of its finances. There was a sufficient evidentiary basis for liability based on impaired shareholder supervision. Application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coupled with the basis for auditor liability specifically identified by this Court in </w:t>
      </w:r>
      <w:r w:rsidRPr="00E72124">
        <w:rPr>
          <w:rFonts w:cs="Times New Roman"/>
          <w:i/>
        </w:rPr>
        <w:t>Hercules</w:t>
      </w:r>
      <w:r w:rsidRPr="00E72124">
        <w:rPr>
          <w:rFonts w:cs="Times New Roman"/>
        </w:rPr>
        <w:t xml:space="preserve">, would lead us to uphold the trial judge’s finding of liability in relation to the negligently prepared statutory audit. </w:t>
      </w:r>
    </w:p>
    <w:p w:rsidR="00D7327A" w:rsidRPr="00E72124" w:rsidRDefault="00D7327A" w:rsidP="00D7327A">
      <w:pPr>
        <w:pStyle w:val="ParaNoNdepar-AltN"/>
        <w:rPr>
          <w:rFonts w:cs="Times New Roman"/>
        </w:rPr>
      </w:pPr>
      <w:r w:rsidRPr="00E72124">
        <w:rPr>
          <w:rFonts w:cs="Times New Roman"/>
        </w:rPr>
        <w:t>As a result, we would allow the appeal from the decision of the Ontario Court of Appeal, 2016 ONCA 11, 128 O.R. (3d) 225, but only in part.</w:t>
      </w:r>
    </w:p>
    <w:p w:rsidR="00D7327A" w:rsidRPr="00E72124" w:rsidRDefault="00D7327A" w:rsidP="00D7327A">
      <w:pPr>
        <w:pStyle w:val="Title1LevelTitre1Niveau-AltL"/>
        <w:rPr>
          <w:rFonts w:cs="Times New Roman"/>
        </w:rPr>
      </w:pPr>
      <w:r w:rsidRPr="00E72124">
        <w:rPr>
          <w:rFonts w:cs="Times New Roman"/>
        </w:rPr>
        <w:t>Facts and Judicial History</w:t>
      </w:r>
    </w:p>
    <w:p w:rsidR="00D7327A" w:rsidRPr="00E72124" w:rsidRDefault="00D7327A" w:rsidP="00D7327A">
      <w:pPr>
        <w:pStyle w:val="ParaNoNdepar-AltN"/>
        <w:rPr>
          <w:rFonts w:cs="Times New Roman"/>
        </w:rPr>
      </w:pPr>
      <w:r w:rsidRPr="00E72124">
        <w:rPr>
          <w:rFonts w:cs="Times New Roman"/>
        </w:rPr>
        <w:t xml:space="preserve">We generally agree with the facts and judicial history set out by the Chief Justice in her reasons. In particular, she correctly identifies the trial judge’s core finding that Deloitte’s conduct fell below the standard of care on two occasions: “. . . either when it failed to discover the fraud and act on that discovery in August 1997, or when it signed off on </w:t>
      </w:r>
      <w:proofErr w:type="spellStart"/>
      <w:r w:rsidRPr="00E72124">
        <w:rPr>
          <w:rFonts w:cs="Times New Roman"/>
        </w:rPr>
        <w:t>Livent’s</w:t>
      </w:r>
      <w:proofErr w:type="spellEnd"/>
      <w:r w:rsidRPr="00E72124">
        <w:rPr>
          <w:rFonts w:cs="Times New Roman"/>
        </w:rPr>
        <w:t xml:space="preserve"> 1997 financial statements in April 1998” (Chief Justice’s reasons, at para. 127; trial reasons, 2014 ONSC 2176, 10 C.C.L.T. (4th) 182, at paras. 241-42). We, like the Chief Justice, do not dispute these core findings. Some further elaboration upon them is, however, helpful.</w:t>
      </w:r>
    </w:p>
    <w:p w:rsidR="00D7327A" w:rsidRPr="00E72124" w:rsidRDefault="00D7327A" w:rsidP="00D7327A">
      <w:pPr>
        <w:pStyle w:val="ParaNoNdepar-AltN"/>
        <w:rPr>
          <w:rFonts w:cs="Times New Roman"/>
        </w:rPr>
      </w:pPr>
      <w:r w:rsidRPr="00E72124">
        <w:rPr>
          <w:rFonts w:cs="Times New Roman"/>
        </w:rPr>
        <w:t xml:space="preserve">The trial judge’s findings of negligence can be divided into two separate events: (1) Deloitte’s approval of a 1997 press release (“Press Release”) and provision of a comfort letter (“Comfort Letter”); and (2) Deloitte’s preparation and approval of the 1997 clean audit opinion (“1997 Audit”). We would not label all of these documents “audit statements”. Indeed, collapsing the distinctions between these documents obfuscates a proper duty of care analysis. </w:t>
      </w:r>
    </w:p>
    <w:p w:rsidR="00D7327A" w:rsidRPr="00E72124" w:rsidRDefault="00D7327A" w:rsidP="00D7327A">
      <w:pPr>
        <w:pStyle w:val="ParaNoNdepar-AltN"/>
        <w:rPr>
          <w:rFonts w:cs="Times New Roman"/>
        </w:rPr>
      </w:pPr>
      <w:r w:rsidRPr="00E72124">
        <w:rPr>
          <w:rFonts w:cs="Times New Roman"/>
        </w:rPr>
        <w:t xml:space="preserve">Livent asserts that it detrimentally relied on Deloitte in each of these events, which impaired its ability to oversee its operations. Specifically, Livent says that, had Deloitte been prudent in relation to these representations, </w:t>
      </w:r>
      <w:proofErr w:type="spellStart"/>
      <w:r w:rsidRPr="00E72124">
        <w:rPr>
          <w:rFonts w:cs="Times New Roman"/>
        </w:rPr>
        <w:t>Livent’s</w:t>
      </w:r>
      <w:proofErr w:type="spellEnd"/>
      <w:r w:rsidRPr="00E72124">
        <w:rPr>
          <w:rFonts w:cs="Times New Roman"/>
        </w:rPr>
        <w:t xml:space="preserve"> life would not have been artificially extended and that, in turn, it would have suffered less corporate loss (calculated as the increase in the deficit between its liabilities and assets at the time of its liquidation): trial reasons, at paras. 23-25, citing </w:t>
      </w:r>
      <w:proofErr w:type="spellStart"/>
      <w:r w:rsidRPr="00E72124">
        <w:rPr>
          <w:rFonts w:cs="Times New Roman"/>
        </w:rPr>
        <w:t>Livent’s</w:t>
      </w:r>
      <w:proofErr w:type="spellEnd"/>
      <w:r w:rsidRPr="00E72124">
        <w:rPr>
          <w:rFonts w:cs="Times New Roman"/>
        </w:rPr>
        <w:t xml:space="preserve"> amended statement of claim, at paras. 210 and 212. A detailed recounting of the events pertaining to these two representations is, therefore, critical to the negligence analysis in this case.</w:t>
      </w:r>
    </w:p>
    <w:p w:rsidR="00D7327A" w:rsidRPr="00E72124" w:rsidRDefault="00D7327A" w:rsidP="00D7327A">
      <w:pPr>
        <w:pStyle w:val="Title2LevelTitre2Niveau"/>
        <w:numPr>
          <w:ilvl w:val="1"/>
          <w:numId w:val="12"/>
        </w:numPr>
        <w:rPr>
          <w:rFonts w:cs="Times New Roman"/>
        </w:rPr>
      </w:pPr>
      <w:r w:rsidRPr="00E72124">
        <w:rPr>
          <w:rFonts w:cs="Times New Roman"/>
        </w:rPr>
        <w:t>Primary Negligence Finding: The Press Release and Comfort Letter (August to October 1997)</w:t>
      </w:r>
    </w:p>
    <w:p w:rsidR="00D7327A" w:rsidRPr="00E72124" w:rsidRDefault="00D7327A" w:rsidP="00D7327A">
      <w:pPr>
        <w:pStyle w:val="ParaNoNdepar-AltN"/>
        <w:rPr>
          <w:rFonts w:cs="Times New Roman"/>
        </w:rPr>
      </w:pPr>
      <w:r w:rsidRPr="00E72124">
        <w:rPr>
          <w:rFonts w:cs="Times New Roman"/>
        </w:rPr>
        <w:t>Chronologically, the first representations found by the trial judge to be negligence causing compensable harm were the Press Release and Comfort Letter.</w:t>
      </w:r>
    </w:p>
    <w:p w:rsidR="00D7327A" w:rsidRPr="00E72124" w:rsidRDefault="00D7327A" w:rsidP="00D7327A">
      <w:pPr>
        <w:pStyle w:val="ParaNoNdepar-AltN"/>
        <w:rPr>
          <w:rFonts w:cs="Times New Roman"/>
        </w:rPr>
      </w:pPr>
      <w:r w:rsidRPr="00E72124">
        <w:rPr>
          <w:rFonts w:cs="Times New Roman"/>
        </w:rPr>
        <w:t xml:space="preserve">The Comfort Letter pertains to an agreement whereby Dundee Realty Corp. sought to purchase the air rights above </w:t>
      </w:r>
      <w:proofErr w:type="spellStart"/>
      <w:r w:rsidRPr="00E72124">
        <w:rPr>
          <w:rFonts w:cs="Times New Roman"/>
        </w:rPr>
        <w:t>Livent’s</w:t>
      </w:r>
      <w:proofErr w:type="spellEnd"/>
      <w:r w:rsidRPr="00E72124">
        <w:rPr>
          <w:rFonts w:cs="Times New Roman"/>
        </w:rPr>
        <w:t xml:space="preserve"> </w:t>
      </w:r>
      <w:proofErr w:type="spellStart"/>
      <w:r w:rsidRPr="00E72124">
        <w:rPr>
          <w:rFonts w:cs="Times New Roman"/>
        </w:rPr>
        <w:t>Pantages</w:t>
      </w:r>
      <w:proofErr w:type="spellEnd"/>
      <w:r w:rsidRPr="00E72124">
        <w:rPr>
          <w:rFonts w:cs="Times New Roman"/>
        </w:rPr>
        <w:t xml:space="preserve"> Theatre and adjacent lands (“Air Rights Agreement”). Deloitte audited the accounting and reporting relating to that purchase, and identified irregularities in the accounting for the reporting of profit. Ultimately, Livent and Deloitte disagreed about the irregularities, which left Deloitte with a choice between resigning (and reporting those irregularities to regulatory authorities and the next auditor), and remaining (thereby effectively capitulating to </w:t>
      </w:r>
      <w:proofErr w:type="spellStart"/>
      <w:r w:rsidRPr="00E72124">
        <w:rPr>
          <w:rFonts w:cs="Times New Roman"/>
        </w:rPr>
        <w:t>Livent’s</w:t>
      </w:r>
      <w:proofErr w:type="spellEnd"/>
      <w:r w:rsidRPr="00E72124">
        <w:rPr>
          <w:rFonts w:cs="Times New Roman"/>
        </w:rPr>
        <w:t xml:space="preserve"> views on how the irregularities should be reported). Deloitte, negligently, chose the latter route. It did not resign or inform anyone of the accounting irregularities. Instead, it helped prepare, and approved, the Press Release of September 2, 1997, which misrepresented the basis for the reporting of profit arising from the Air Rights Agreement.</w:t>
      </w:r>
    </w:p>
    <w:p w:rsidR="00D7327A" w:rsidRPr="00E72124" w:rsidRDefault="00D7327A" w:rsidP="00D7327A">
      <w:pPr>
        <w:pStyle w:val="ParaNoNdepar-AltN"/>
        <w:rPr>
          <w:rFonts w:cs="Times New Roman"/>
        </w:rPr>
      </w:pPr>
      <w:r w:rsidRPr="00E72124">
        <w:rPr>
          <w:rFonts w:cs="Times New Roman"/>
        </w:rPr>
        <w:t>Further, that Press Release was issued “on the eve of a public offering for which [Deloitte] was going to have to provide a comfort letter” (trial reasons, at para. 193). As a result, Deloitte — again, negligently — provided the Comfort Letter on October 10, 1997, in support of the U.S. $125 million debenture underwriting. The purpose</w:t>
      </w:r>
      <w:r w:rsidRPr="00E72124">
        <w:rPr>
          <w:rFonts w:cs="Times New Roman"/>
          <w:i/>
        </w:rPr>
        <w:t xml:space="preserve"> </w:t>
      </w:r>
      <w:r w:rsidRPr="00E72124">
        <w:rPr>
          <w:rFonts w:cs="Times New Roman"/>
        </w:rPr>
        <w:t xml:space="preserve">underlying the Press Release and the Comfort Letter is critical. It was not to inform </w:t>
      </w:r>
      <w:r w:rsidRPr="00E72124">
        <w:rPr>
          <w:rFonts w:cs="Times New Roman"/>
          <w:i/>
        </w:rPr>
        <w:t xml:space="preserve">Livent </w:t>
      </w:r>
      <w:r w:rsidRPr="00E72124">
        <w:rPr>
          <w:rFonts w:cs="Times New Roman"/>
        </w:rPr>
        <w:t xml:space="preserve">of its own financial position, but rather, to inform </w:t>
      </w:r>
      <w:r w:rsidRPr="00E72124">
        <w:rPr>
          <w:rFonts w:cs="Times New Roman"/>
          <w:i/>
        </w:rPr>
        <w:t>investors</w:t>
      </w:r>
      <w:r w:rsidRPr="00E72124">
        <w:rPr>
          <w:rFonts w:cs="Times New Roman"/>
        </w:rPr>
        <w:t xml:space="preserve"> of </w:t>
      </w:r>
      <w:proofErr w:type="spellStart"/>
      <w:r w:rsidRPr="00E72124">
        <w:rPr>
          <w:rFonts w:cs="Times New Roman"/>
        </w:rPr>
        <w:t>Livent’s</w:t>
      </w:r>
      <w:proofErr w:type="spellEnd"/>
      <w:r w:rsidRPr="00E72124">
        <w:rPr>
          <w:rFonts w:cs="Times New Roman"/>
        </w:rPr>
        <w:t xml:space="preserve"> financial position, furnishing “comfort” in respect of their investment (despite one of Deloitte’s senior partners’ express acknowledgment that Deloitte was in no position “to provide </w:t>
      </w:r>
      <w:r w:rsidRPr="00E72124">
        <w:rPr>
          <w:rFonts w:cs="Times New Roman"/>
          <w:u w:val="single"/>
        </w:rPr>
        <w:t>any comfort</w:t>
      </w:r>
      <w:r w:rsidRPr="00E72124">
        <w:rPr>
          <w:rFonts w:cs="Times New Roman"/>
        </w:rPr>
        <w:t xml:space="preserve"> to any regulators, underwriters or audit committee members as to the interim financial statement’s conformity with GAAP”) (trial reasons, at para. 178 (emphasis added; emphasis in original deleted)). Casting “professional skepticism, if not GAAS, aside” (para. 209), Deloitte approved the Press Release and Comfort Letter — all, seemingly, to maintain its profitable relationship with Livent.</w:t>
      </w:r>
    </w:p>
    <w:p w:rsidR="00D7327A" w:rsidRPr="00E72124" w:rsidRDefault="00D7327A" w:rsidP="00D7327A">
      <w:pPr>
        <w:pStyle w:val="ParaNoNdepar-AltN"/>
        <w:rPr>
          <w:rFonts w:cs="Times New Roman"/>
        </w:rPr>
      </w:pPr>
      <w:r w:rsidRPr="00E72124">
        <w:rPr>
          <w:rFonts w:cs="Times New Roman"/>
        </w:rPr>
        <w:t xml:space="preserve">Given the foregoing, the trial judge assessed </w:t>
      </w:r>
      <w:proofErr w:type="spellStart"/>
      <w:r w:rsidRPr="00E72124">
        <w:rPr>
          <w:rFonts w:cs="Times New Roman"/>
        </w:rPr>
        <w:t>Livent’s</w:t>
      </w:r>
      <w:proofErr w:type="spellEnd"/>
      <w:r w:rsidRPr="00E72124">
        <w:rPr>
          <w:rFonts w:cs="Times New Roman"/>
        </w:rPr>
        <w:t xml:space="preserve"> injury as of a “measurement date” of August 31, 1997, i.e., the date on which Deloitte would, acting reasonably, have resigned. The trial judge also reduced </w:t>
      </w:r>
      <w:proofErr w:type="spellStart"/>
      <w:r w:rsidRPr="00E72124">
        <w:rPr>
          <w:rFonts w:cs="Times New Roman"/>
        </w:rPr>
        <w:t>Livent’s</w:t>
      </w:r>
      <w:proofErr w:type="spellEnd"/>
      <w:r w:rsidRPr="00E72124">
        <w:rPr>
          <w:rFonts w:cs="Times New Roman"/>
        </w:rPr>
        <w:t xml:space="preserve"> damages by 25 percent, however, for “contingencies” said to represent the amount Livent would have lost, even without Deloitte’s negligence.</w:t>
      </w:r>
    </w:p>
    <w:p w:rsidR="00D7327A" w:rsidRPr="00E72124" w:rsidRDefault="00D7327A" w:rsidP="00D7327A">
      <w:pPr>
        <w:pStyle w:val="ParaNoNdepar-AltN"/>
        <w:rPr>
          <w:rFonts w:cs="Times New Roman"/>
        </w:rPr>
      </w:pPr>
      <w:r w:rsidRPr="00E72124">
        <w:rPr>
          <w:rFonts w:cs="Times New Roman"/>
        </w:rPr>
        <w:t>Deloitte appeals the trial judge’s award of damages, which amounts to the measure of damages (75 percent of damages overall) that he estimated to have arisen after the date on which Deloitte should have resigned.</w:t>
      </w:r>
    </w:p>
    <w:p w:rsidR="00D7327A" w:rsidRPr="00E72124" w:rsidRDefault="00D7327A" w:rsidP="00D7327A">
      <w:pPr>
        <w:pStyle w:val="Title2LevelTitre2Niveau"/>
        <w:numPr>
          <w:ilvl w:val="1"/>
          <w:numId w:val="12"/>
        </w:numPr>
        <w:rPr>
          <w:rFonts w:cs="Times New Roman"/>
        </w:rPr>
      </w:pPr>
      <w:r w:rsidRPr="00E72124">
        <w:rPr>
          <w:rFonts w:cs="Times New Roman"/>
        </w:rPr>
        <w:t>Alternative Negligence Finding: The 1997 Audit (April 1998)</w:t>
      </w:r>
    </w:p>
    <w:p w:rsidR="00D7327A" w:rsidRPr="00E72124" w:rsidRDefault="00D7327A" w:rsidP="00D7327A">
      <w:pPr>
        <w:pStyle w:val="ParaNoNdepar-AltN"/>
        <w:rPr>
          <w:rFonts w:cs="Times New Roman"/>
        </w:rPr>
      </w:pPr>
      <w:r w:rsidRPr="00E72124">
        <w:rPr>
          <w:rFonts w:cs="Times New Roman"/>
        </w:rPr>
        <w:t xml:space="preserve">In the alternative, the trial judge held that, if Deloitte reasonably refrained from resigning in August or September of 1997, it was negligent in preparing the 1997 Audit which was finalized in April 1998. That audit, which lacked “independent thought”, essentially tracked the statutory audit for 1996 (“1996 Audit”), despite (1) Livent now presenting inordinate risk given its “more than . . . modest history of aggressive, if not questionable, accounting practices” (trial reasons, at para. 211); and (2) Deloitte discovering, before the audit was completed, that Livent had intentionally deceived it as to the nature of its contractual dealings underlying the Air Rights Agreement. Somehow, this latter discovery of deliberate deception — after which “all hell broke loose” (para. 213) — was not enough to persuade Deloitte to terminate its engagement with Livent, despite all of its testifying senior partners acknowledging that “their collective professional skepticism would have been at the highest level” at this time (para. 214), and despite </w:t>
      </w:r>
      <w:proofErr w:type="spellStart"/>
      <w:r w:rsidRPr="00E72124">
        <w:rPr>
          <w:rFonts w:cs="Times New Roman"/>
        </w:rPr>
        <w:t>Livent’s</w:t>
      </w:r>
      <w:proofErr w:type="spellEnd"/>
      <w:r w:rsidRPr="00E72124">
        <w:rPr>
          <w:rFonts w:cs="Times New Roman"/>
        </w:rPr>
        <w:t xml:space="preserve"> after-the-fact explanation for this deception “</w:t>
      </w:r>
      <w:proofErr w:type="gramStart"/>
      <w:r w:rsidRPr="00E72124">
        <w:rPr>
          <w:rFonts w:cs="Times New Roman"/>
        </w:rPr>
        <w:t>ma[</w:t>
      </w:r>
      <w:proofErr w:type="gramEnd"/>
      <w:r w:rsidRPr="00E72124">
        <w:rPr>
          <w:rFonts w:cs="Times New Roman"/>
        </w:rPr>
        <w:t xml:space="preserve">king] no sense, whatsoever” (para. 234(5)). Deloitte’s willingness to succumb to </w:t>
      </w:r>
      <w:proofErr w:type="spellStart"/>
      <w:r w:rsidRPr="00E72124">
        <w:rPr>
          <w:rFonts w:cs="Times New Roman"/>
        </w:rPr>
        <w:t>Livent’s</w:t>
      </w:r>
      <w:proofErr w:type="spellEnd"/>
      <w:r w:rsidRPr="00E72124">
        <w:rPr>
          <w:rFonts w:cs="Times New Roman"/>
        </w:rPr>
        <w:t xml:space="preserve"> transparently fraudulent demands left the trial judge “breathless” (para. 238) and was “beyond [his] comprehension” (para. 239).</w:t>
      </w:r>
    </w:p>
    <w:p w:rsidR="00D7327A" w:rsidRPr="00E72124" w:rsidRDefault="00D7327A" w:rsidP="00D7327A">
      <w:pPr>
        <w:pStyle w:val="ParaNoNdepar-AltN"/>
        <w:rPr>
          <w:rFonts w:cs="Times New Roman"/>
        </w:rPr>
      </w:pPr>
      <w:r w:rsidRPr="00E72124">
        <w:rPr>
          <w:rFonts w:cs="Times New Roman"/>
        </w:rPr>
        <w:t xml:space="preserve">Given the foregoing, the trial judge also assessed </w:t>
      </w:r>
      <w:proofErr w:type="spellStart"/>
      <w:r w:rsidRPr="00E72124">
        <w:rPr>
          <w:rFonts w:cs="Times New Roman"/>
        </w:rPr>
        <w:t>Livent’s</w:t>
      </w:r>
      <w:proofErr w:type="spellEnd"/>
      <w:r w:rsidRPr="00E72124">
        <w:rPr>
          <w:rFonts w:cs="Times New Roman"/>
        </w:rPr>
        <w:t xml:space="preserve"> injury as of an “alternative” measurement date of March 31, 1998, i.e., the date on which Deloitte would, acting reasonably, have provided a prudent audit opinion (trial reasons, at para. 306, fn. 188, and para. 369, fn. 228).</w:t>
      </w:r>
    </w:p>
    <w:p w:rsidR="00D7327A" w:rsidRPr="00E72124" w:rsidRDefault="00D7327A" w:rsidP="00D7327A">
      <w:pPr>
        <w:pStyle w:val="ParaNoNdepar-AltN"/>
        <w:rPr>
          <w:rFonts w:cs="Times New Roman"/>
        </w:rPr>
      </w:pPr>
      <w:r w:rsidRPr="00E72124">
        <w:rPr>
          <w:rFonts w:cs="Times New Roman"/>
        </w:rPr>
        <w:t xml:space="preserve">We reiterate that the </w:t>
      </w:r>
      <w:r w:rsidRPr="00E72124">
        <w:rPr>
          <w:rFonts w:cs="Times New Roman"/>
          <w:i/>
        </w:rPr>
        <w:t xml:space="preserve">purpose </w:t>
      </w:r>
      <w:r w:rsidRPr="00E72124">
        <w:rPr>
          <w:rFonts w:cs="Times New Roman"/>
        </w:rPr>
        <w:t xml:space="preserve">of the representation is critical. Unlike the Press Release and Comfort Letter (which were intended to inform </w:t>
      </w:r>
      <w:r w:rsidRPr="00E72124">
        <w:rPr>
          <w:rFonts w:cs="Times New Roman"/>
          <w:i/>
        </w:rPr>
        <w:t>investors</w:t>
      </w:r>
      <w:r w:rsidRPr="00E72124">
        <w:rPr>
          <w:rFonts w:cs="Times New Roman"/>
        </w:rPr>
        <w:t xml:space="preserve"> of </w:t>
      </w:r>
      <w:proofErr w:type="spellStart"/>
      <w:r w:rsidRPr="00E72124">
        <w:rPr>
          <w:rFonts w:cs="Times New Roman"/>
        </w:rPr>
        <w:t>Livent’s</w:t>
      </w:r>
      <w:proofErr w:type="spellEnd"/>
      <w:r w:rsidRPr="00E72124">
        <w:rPr>
          <w:rFonts w:cs="Times New Roman"/>
        </w:rPr>
        <w:t xml:space="preserve"> financial position), the 1997 Audit was intended to inform </w:t>
      </w:r>
      <w:r w:rsidRPr="00E72124">
        <w:rPr>
          <w:rFonts w:cs="Times New Roman"/>
          <w:i/>
        </w:rPr>
        <w:t>Livent</w:t>
      </w:r>
      <w:r w:rsidRPr="00E72124">
        <w:rPr>
          <w:rFonts w:cs="Times New Roman"/>
        </w:rPr>
        <w:t xml:space="preserve"> of its own financial position for various purposes, including, most importantly, shareholder oversight of management.</w:t>
      </w:r>
    </w:p>
    <w:p w:rsidR="00D7327A" w:rsidRPr="00E72124" w:rsidRDefault="00D7327A" w:rsidP="00D7327A">
      <w:pPr>
        <w:pStyle w:val="Title1LevelTitre1Niveau-AltL"/>
        <w:rPr>
          <w:rFonts w:cs="Times New Roman"/>
        </w:rPr>
      </w:pPr>
      <w:r w:rsidRPr="00E72124">
        <w:rPr>
          <w:rFonts w:cs="Times New Roman"/>
        </w:rPr>
        <w:t>Analysis</w:t>
      </w:r>
    </w:p>
    <w:p w:rsidR="00D7327A" w:rsidRPr="00E72124" w:rsidRDefault="00D7327A" w:rsidP="00D7327A">
      <w:pPr>
        <w:pStyle w:val="Title2LevelTitre2Niveau"/>
        <w:rPr>
          <w:rFonts w:cs="Times New Roman"/>
        </w:rPr>
      </w:pPr>
      <w:r w:rsidRPr="00E72124">
        <w:rPr>
          <w:rFonts w:cs="Times New Roman"/>
        </w:rPr>
        <w:t>Duty of Care</w:t>
      </w:r>
    </w:p>
    <w:p w:rsidR="00D7327A" w:rsidRPr="00E72124" w:rsidRDefault="00D7327A" w:rsidP="00D7327A">
      <w:pPr>
        <w:pStyle w:val="ParaNoNdepar-AltN"/>
        <w:rPr>
          <w:rFonts w:cs="Times New Roman"/>
        </w:rPr>
      </w:pPr>
      <w:r w:rsidRPr="00E72124">
        <w:rPr>
          <w:rFonts w:cs="Times New Roman"/>
        </w:rPr>
        <w:t xml:space="preserve">Traditionally, the test from </w:t>
      </w:r>
      <w:proofErr w:type="spellStart"/>
      <w:r w:rsidRPr="00E72124">
        <w:rPr>
          <w:rFonts w:cs="Times New Roman"/>
          <w:i/>
        </w:rPr>
        <w:t>Anns</w:t>
      </w:r>
      <w:proofErr w:type="spellEnd"/>
      <w:r w:rsidRPr="00E72124">
        <w:rPr>
          <w:rFonts w:cs="Times New Roman"/>
          <w:i/>
        </w:rPr>
        <w:t xml:space="preserve"> v. London Borough of Merton</w:t>
      </w:r>
      <w:r w:rsidRPr="00E72124">
        <w:rPr>
          <w:rFonts w:cs="Times New Roman"/>
        </w:rPr>
        <w:t>, [1977] 2 All E.R. 492 (H.L.), governed the duty analysis in decisions of this Court addressing claims for pure economic loss (</w:t>
      </w:r>
      <w:r w:rsidRPr="00E72124">
        <w:rPr>
          <w:rFonts w:eastAsiaTheme="minorHAnsi" w:cs="Times New Roman"/>
          <w:i/>
        </w:rPr>
        <w:t>Hercules</w:t>
      </w:r>
      <w:r w:rsidRPr="00E72124">
        <w:rPr>
          <w:rFonts w:eastAsiaTheme="minorHAnsi" w:cs="Times New Roman"/>
        </w:rPr>
        <w:t xml:space="preserve">; </w:t>
      </w:r>
      <w:r w:rsidRPr="00E72124">
        <w:rPr>
          <w:rFonts w:cs="Times New Roman"/>
          <w:i/>
        </w:rPr>
        <w:t>Bow Valley Husky (Bermuda) Ltd. v. Saint John Shipbuilding Ltd.</w:t>
      </w:r>
      <w:r w:rsidRPr="00E72124">
        <w:rPr>
          <w:rFonts w:cs="Times New Roman"/>
        </w:rPr>
        <w:t xml:space="preserve">, [1997] 3 S.C.R. 1210; </w:t>
      </w:r>
      <w:r w:rsidRPr="00E72124">
        <w:rPr>
          <w:rFonts w:cs="Times New Roman"/>
          <w:i/>
        </w:rPr>
        <w:t xml:space="preserve">Canadian National Railway Co. v. </w:t>
      </w:r>
      <w:proofErr w:type="spellStart"/>
      <w:r w:rsidRPr="00E72124">
        <w:rPr>
          <w:rFonts w:cs="Times New Roman"/>
          <w:i/>
        </w:rPr>
        <w:t>Norsk</w:t>
      </w:r>
      <w:proofErr w:type="spellEnd"/>
      <w:r w:rsidRPr="00E72124">
        <w:rPr>
          <w:rFonts w:cs="Times New Roman"/>
          <w:i/>
        </w:rPr>
        <w:t xml:space="preserve"> Pacific Steamship Co.</w:t>
      </w:r>
      <w:r w:rsidRPr="00E72124">
        <w:rPr>
          <w:rFonts w:cs="Times New Roman"/>
        </w:rPr>
        <w:t xml:space="preserve">, [1992] 1 S.C.R. 1021). Significantly, however,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for establishing tort liability in Canada has since been refined. In </w:t>
      </w:r>
      <w:r w:rsidRPr="00E72124">
        <w:rPr>
          <w:rFonts w:cs="Times New Roman"/>
          <w:i/>
        </w:rPr>
        <w:t>Cooper v. Hobart</w:t>
      </w:r>
      <w:r w:rsidRPr="00E72124">
        <w:rPr>
          <w:rFonts w:cs="Times New Roman"/>
        </w:rPr>
        <w:t xml:space="preserve">, 2001 SCC 79, [2001] 3 S.C.R. 537, this Court provided greater certainty to the law of tort by clarifying the factors which may be considered at each stage of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While the resulting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has yet to be applied by this Court in a case of auditor’s negligence, we adopt this statement of La Forest J. for the Court in </w:t>
      </w:r>
      <w:r w:rsidRPr="00E72124">
        <w:rPr>
          <w:rFonts w:cs="Times New Roman"/>
          <w:i/>
        </w:rPr>
        <w:t>Hercules</w:t>
      </w:r>
      <w:r w:rsidRPr="00E72124">
        <w:rPr>
          <w:rFonts w:cs="Times New Roman"/>
        </w:rPr>
        <w:t xml:space="preserve">: </w:t>
      </w:r>
      <w:r w:rsidRPr="00E72124">
        <w:rPr>
          <w:rFonts w:cs="Times New Roman"/>
          <w:lang w:val="en"/>
        </w:rPr>
        <w:t xml:space="preserve">“. . . to create a ‘pocket’ of negligent misrepresentation cases . . . in which the existence of a duty of care is determined differently from other negligence cases would, in my view, be incorrect” (para. 21).  </w:t>
      </w:r>
    </w:p>
    <w:p w:rsidR="00D7327A" w:rsidRPr="00E72124" w:rsidRDefault="00D7327A" w:rsidP="00D7327A">
      <w:pPr>
        <w:pStyle w:val="ParaNoNdepar-AltN"/>
        <w:rPr>
          <w:rFonts w:cs="Times New Roman"/>
        </w:rPr>
      </w:pPr>
      <w:r w:rsidRPr="00E72124">
        <w:rPr>
          <w:rFonts w:cs="Times New Roman"/>
        </w:rPr>
        <w:t xml:space="preserve">We turn, therefore, to consider the test for establishing tort liability, beginning with this Court’s decision in </w:t>
      </w:r>
      <w:r w:rsidRPr="00E72124">
        <w:rPr>
          <w:rFonts w:cs="Times New Roman"/>
          <w:i/>
        </w:rPr>
        <w:t>Hercules</w:t>
      </w:r>
      <w:r w:rsidRPr="00E72124">
        <w:rPr>
          <w:rFonts w:cs="Times New Roman"/>
        </w:rPr>
        <w:t xml:space="preserve">, and the proper application of the general </w:t>
      </w:r>
      <w:proofErr w:type="spellStart"/>
      <w:r w:rsidRPr="00E72124">
        <w:rPr>
          <w:rFonts w:cs="Times New Roman"/>
          <w:i/>
        </w:rPr>
        <w:t>Anns</w:t>
      </w:r>
      <w:proofErr w:type="spellEnd"/>
      <w:r w:rsidRPr="00E72124">
        <w:rPr>
          <w:rFonts w:cs="Times New Roman"/>
          <w:i/>
        </w:rPr>
        <w:t>/Cooper</w:t>
      </w:r>
      <w:r w:rsidRPr="00E72124">
        <w:rPr>
          <w:rFonts w:cs="Times New Roman"/>
        </w:rPr>
        <w:t xml:space="preserve"> framework to cases of auditors’ liability.</w:t>
      </w:r>
    </w:p>
    <w:p w:rsidR="00D7327A" w:rsidRPr="00E72124" w:rsidRDefault="00D7327A" w:rsidP="00D7327A">
      <w:pPr>
        <w:pStyle w:val="Title3LevelTitre3Niveau"/>
        <w:rPr>
          <w:rFonts w:cs="Times New Roman"/>
        </w:rPr>
      </w:pPr>
      <w:r w:rsidRPr="00E72124">
        <w:rPr>
          <w:rFonts w:cs="Times New Roman"/>
          <w:i/>
        </w:rPr>
        <w:t>Hercules</w:t>
      </w:r>
      <w:r w:rsidRPr="00E72124">
        <w:rPr>
          <w:rFonts w:cs="Times New Roman"/>
        </w:rPr>
        <w:t xml:space="preserve">: The </w:t>
      </w:r>
      <w:proofErr w:type="spellStart"/>
      <w:r w:rsidRPr="00E72124">
        <w:rPr>
          <w:rFonts w:cs="Times New Roman"/>
          <w:i/>
        </w:rPr>
        <w:t>Anns</w:t>
      </w:r>
      <w:proofErr w:type="spellEnd"/>
      <w:r w:rsidRPr="00E72124">
        <w:rPr>
          <w:rFonts w:cs="Times New Roman"/>
          <w:i/>
        </w:rPr>
        <w:t xml:space="preserve"> </w:t>
      </w:r>
      <w:r w:rsidRPr="00E72124">
        <w:rPr>
          <w:rFonts w:cs="Times New Roman"/>
        </w:rPr>
        <w:t>Test</w:t>
      </w:r>
    </w:p>
    <w:p w:rsidR="00D7327A" w:rsidRPr="00E72124" w:rsidRDefault="00D7327A" w:rsidP="00D7327A">
      <w:pPr>
        <w:pStyle w:val="ParaNoNdepar-AltN"/>
        <w:tabs>
          <w:tab w:val="clear" w:pos="1152"/>
          <w:tab w:val="left" w:pos="1166"/>
        </w:tabs>
        <w:rPr>
          <w:rFonts w:cs="Times New Roman"/>
        </w:rPr>
      </w:pPr>
      <w:r w:rsidRPr="00E72124">
        <w:rPr>
          <w:rFonts w:eastAsiaTheme="minorHAnsi" w:cs="Times New Roman"/>
        </w:rPr>
        <w:t xml:space="preserve">In </w:t>
      </w:r>
      <w:r w:rsidRPr="00E72124">
        <w:rPr>
          <w:rFonts w:eastAsiaTheme="minorHAnsi" w:cs="Times New Roman"/>
          <w:i/>
        </w:rPr>
        <w:t>Hercules</w:t>
      </w:r>
      <w:r w:rsidRPr="00E72124">
        <w:rPr>
          <w:rFonts w:eastAsiaTheme="minorHAnsi" w:cs="Times New Roman"/>
        </w:rPr>
        <w:t>, this Court recognized a duty owed by an auditor in preparing a statutory audit</w:t>
      </w:r>
      <w:r w:rsidRPr="00E72124" w:rsidDel="00976387">
        <w:rPr>
          <w:rFonts w:eastAsiaTheme="minorHAnsi" w:cs="Times New Roman"/>
        </w:rPr>
        <w:t xml:space="preserve"> </w:t>
      </w:r>
      <w:r w:rsidRPr="00E72124">
        <w:rPr>
          <w:rFonts w:eastAsiaTheme="minorHAnsi" w:cs="Times New Roman"/>
        </w:rPr>
        <w:t>of its corporate client. While the Court dismissed the plaintiff shareholders’ claim for lost personal investments, it consistently maintained that a claim by the corporation itself for its own losses resulting from a negligent statutory audit could have succeeded (paras. 58-59; see also paras. 1 and 60-64):</w:t>
      </w:r>
    </w:p>
    <w:p w:rsidR="00D7327A" w:rsidRPr="00E72124" w:rsidRDefault="00D7327A" w:rsidP="00D7327A">
      <w:pPr>
        <w:pStyle w:val="Citation-AltC"/>
      </w:pPr>
      <w:r w:rsidRPr="00E72124">
        <w:tab/>
        <w:t>All the participants in this appeal . . . raised the issue of whether the appellants’ claims in respect of the losses they suffered in their existing shareholdings through their alleged inability to oversee management of the corporations ought to have been brought as a derivative action . . . .</w:t>
      </w:r>
    </w:p>
    <w:p w:rsidR="00D7327A" w:rsidRPr="00E72124" w:rsidRDefault="00D7327A" w:rsidP="00D7327A">
      <w:pPr>
        <w:pStyle w:val="Citation-AltC"/>
      </w:pPr>
    </w:p>
    <w:p w:rsidR="00D7327A" w:rsidRPr="00E72124" w:rsidRDefault="00D7327A" w:rsidP="00D7327A">
      <w:pPr>
        <w:pStyle w:val="Citation-AltC"/>
      </w:pPr>
      <w:r w:rsidRPr="00E72124">
        <w:tab/>
        <w:t xml:space="preserve">. . . </w:t>
      </w:r>
      <w:proofErr w:type="gramStart"/>
      <w:r w:rsidRPr="00E72124">
        <w:t>if</w:t>
      </w:r>
      <w:proofErr w:type="gramEnd"/>
      <w:r w:rsidRPr="00E72124">
        <w:t xml:space="preserve"> an action is to be brought in respect of such losses, it must be brought either by the corporation itself (through management) or by way of a derivative action.</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duty analysis in </w:t>
      </w:r>
      <w:r w:rsidRPr="00E72124">
        <w:rPr>
          <w:rFonts w:cs="Times New Roman"/>
          <w:i/>
        </w:rPr>
        <w:t>Hercules</w:t>
      </w:r>
      <w:r w:rsidRPr="00E72124">
        <w:rPr>
          <w:rFonts w:cs="Times New Roman"/>
        </w:rPr>
        <w:t xml:space="preserve"> entailed applying the then-current test for recognizing a duty of care in Canadian negligence law: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Comprising two stages,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asked (1) whether a </w:t>
      </w:r>
      <w:r w:rsidRPr="00E72124">
        <w:rPr>
          <w:rFonts w:cs="Times New Roman"/>
          <w:i/>
        </w:rPr>
        <w:t xml:space="preserve">prima facie </w:t>
      </w:r>
      <w:r w:rsidRPr="00E72124">
        <w:rPr>
          <w:rFonts w:cs="Times New Roman"/>
        </w:rPr>
        <w:t>duty of care exists between the parties; and (2) if so, whether there are any residual policy considerations which should negate or limit the scope of the duty, the class of persons to whom it is owed or the damages to which a breach of it may give rise (</w:t>
      </w:r>
      <w:r w:rsidRPr="00E72124">
        <w:rPr>
          <w:rFonts w:cs="Times New Roman"/>
          <w:i/>
        </w:rPr>
        <w:t>Hercules</w:t>
      </w:r>
      <w:r w:rsidRPr="00E72124">
        <w:rPr>
          <w:rFonts w:cs="Times New Roman"/>
        </w:rPr>
        <w:t xml:space="preserve">, at para. 20; </w:t>
      </w:r>
      <w:r w:rsidRPr="00E72124">
        <w:rPr>
          <w:rFonts w:cs="Times New Roman"/>
          <w:i/>
        </w:rPr>
        <w:t>Kamloops (City) v. Nielsen</w:t>
      </w:r>
      <w:r w:rsidRPr="00E72124">
        <w:rPr>
          <w:rFonts w:cs="Times New Roman"/>
        </w:rPr>
        <w:t xml:space="preserve">, [1984] 2 S.C.R. 2, at pp. 10-11; </w:t>
      </w:r>
      <w:proofErr w:type="spellStart"/>
      <w:r w:rsidRPr="00E72124">
        <w:rPr>
          <w:rFonts w:cs="Times New Roman"/>
          <w:i/>
        </w:rPr>
        <w:t>Norsk</w:t>
      </w:r>
      <w:proofErr w:type="spellEnd"/>
      <w:r w:rsidRPr="00E72124">
        <w:rPr>
          <w:rFonts w:cs="Times New Roman"/>
        </w:rPr>
        <w:t xml:space="preserve">, at p. 1155; </w:t>
      </w:r>
      <w:r w:rsidRPr="00E72124">
        <w:rPr>
          <w:rFonts w:cs="Times New Roman"/>
          <w:i/>
        </w:rPr>
        <w:t>Bow Valley</w:t>
      </w:r>
      <w:r w:rsidRPr="00E72124">
        <w:rPr>
          <w:rFonts w:cs="Times New Roman"/>
        </w:rPr>
        <w:t>, at para. 47).</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Under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a </w:t>
      </w:r>
      <w:r w:rsidRPr="00E72124">
        <w:rPr>
          <w:rFonts w:cs="Times New Roman"/>
          <w:i/>
        </w:rPr>
        <w:t xml:space="preserve">prima facie </w:t>
      </w:r>
      <w:r w:rsidRPr="00E72124">
        <w:rPr>
          <w:rFonts w:cs="Times New Roman"/>
        </w:rPr>
        <w:t>duty of care is recognized where a “sufficiently close relationship between the plaintiff and the defendant” exists such that “in the reasonable contemplation of the [defendant], carelessness on its part may cause damage to the [plaintiff]” (</w:t>
      </w:r>
      <w:r w:rsidRPr="00E72124">
        <w:rPr>
          <w:rFonts w:cs="Times New Roman"/>
          <w:i/>
        </w:rPr>
        <w:t>Hercules</w:t>
      </w:r>
      <w:r w:rsidRPr="00E72124">
        <w:rPr>
          <w:rFonts w:cs="Times New Roman"/>
        </w:rPr>
        <w:t xml:space="preserve">, at para. 22; </w:t>
      </w:r>
      <w:r w:rsidRPr="00E72124">
        <w:rPr>
          <w:rFonts w:cs="Times New Roman"/>
          <w:i/>
        </w:rPr>
        <w:t>Kamloops</w:t>
      </w:r>
      <w:r w:rsidRPr="00E72124">
        <w:rPr>
          <w:rFonts w:cs="Times New Roman"/>
        </w:rPr>
        <w:t xml:space="preserve">, at p. 10). In other words, where injury to the plaintiff is a reasonably foreseeable consequence of the defendant’s negligence, a duty of care would, </w:t>
      </w:r>
      <w:r w:rsidRPr="00E72124">
        <w:rPr>
          <w:rFonts w:cs="Times New Roman"/>
          <w:i/>
        </w:rPr>
        <w:t>prima facie</w:t>
      </w:r>
      <w:r w:rsidRPr="00E72124">
        <w:rPr>
          <w:rFonts w:cs="Times New Roman"/>
        </w:rPr>
        <w:t>, arise. This relationship, where present, was labelled one of “proximity” (</w:t>
      </w:r>
      <w:r w:rsidRPr="00E72124">
        <w:rPr>
          <w:rFonts w:cs="Times New Roman"/>
          <w:i/>
        </w:rPr>
        <w:t>ibid.</w:t>
      </w:r>
      <w:r w:rsidRPr="00E72124">
        <w:rPr>
          <w:rFonts w:cs="Times New Roman"/>
        </w:rPr>
        <w:t xml:space="preserve">). In </w:t>
      </w:r>
      <w:r w:rsidRPr="00E72124">
        <w:rPr>
          <w:rFonts w:cs="Times New Roman"/>
          <w:i/>
        </w:rPr>
        <w:t>Hercules</w:t>
      </w:r>
      <w:r w:rsidRPr="00E72124">
        <w:rPr>
          <w:rFonts w:cs="Times New Roman"/>
        </w:rPr>
        <w:t xml:space="preserve">, the Court provided greater particularity to the test of reasonable foreseeability which established proximity under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in the context of claims for pure economic loss </w:t>
      </w:r>
      <w:r w:rsidRPr="00E72124">
        <w:rPr>
          <w:rFonts w:cs="Times New Roman"/>
          <w:lang w:val="en"/>
        </w:rPr>
        <w:t>arising from negligent misrepresentation or performance of a service</w:t>
      </w:r>
      <w:r w:rsidRPr="00E72124">
        <w:rPr>
          <w:rFonts w:cs="Times New Roman"/>
        </w:rPr>
        <w:t xml:space="preserve">. Specifically, it stated that proximity would inhere in a relationship where two criteria are met: (1) that the defendant should reasonably foresee that the plaintiff will rely on his or her representation; and (2) that the plaintiff’s reliance would, in the circumstances of the case, be reasonable. The Court explained that considering the plaintiff’s </w:t>
      </w:r>
      <w:r w:rsidRPr="00E72124">
        <w:rPr>
          <w:rFonts w:cs="Times New Roman"/>
          <w:i/>
        </w:rPr>
        <w:t>reliance</w:t>
      </w:r>
      <w:r w:rsidRPr="00E72124">
        <w:rPr>
          <w:rFonts w:cs="Times New Roman"/>
        </w:rPr>
        <w:t xml:space="preserve"> within the test for the reasonable foreseeability of injury did not “abandon the basic tenets underlying the [</w:t>
      </w:r>
      <w:proofErr w:type="spellStart"/>
      <w:r w:rsidRPr="00E72124">
        <w:rPr>
          <w:rFonts w:cs="Times New Roman"/>
          <w:i/>
        </w:rPr>
        <w:t>Anns</w:t>
      </w:r>
      <w:proofErr w:type="spellEnd"/>
      <w:r w:rsidRPr="00E72124">
        <w:rPr>
          <w:rFonts w:cs="Times New Roman"/>
        </w:rPr>
        <w:t xml:space="preserve">] formula” (para. 25). Rather, as the plaintiff’s injury in cases of pure economic loss </w:t>
      </w:r>
      <w:r w:rsidRPr="00E72124">
        <w:rPr>
          <w:rFonts w:cs="Times New Roman"/>
          <w:lang w:val="en"/>
        </w:rPr>
        <w:t>arising from negligent misrepresentation or performance of a service</w:t>
      </w:r>
      <w:r w:rsidRPr="00E72124">
        <w:rPr>
          <w:rFonts w:cs="Times New Roman"/>
        </w:rPr>
        <w:t xml:space="preserve"> stems from his or her detrimental reliance, the reasonableness of that reliance informs the determination of whether his or her injury is reasonably foreseeable (paras. 25-26).  Where, therefore,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was applied to cases of negligent misrepresentation, reasonable foreseeability of injury alone, as arising from reasonable reliance, was sufficient to establish a proximate relationship supporting a </w:t>
      </w:r>
      <w:r w:rsidRPr="00E72124">
        <w:rPr>
          <w:rFonts w:cs="Times New Roman"/>
          <w:i/>
        </w:rPr>
        <w:t xml:space="preserve">prima facie </w:t>
      </w:r>
      <w:r w:rsidRPr="00E72124">
        <w:rPr>
          <w:rFonts w:cs="Times New Roman"/>
        </w:rPr>
        <w:t>duty of care (</w:t>
      </w:r>
      <w:r w:rsidRPr="00E72124">
        <w:rPr>
          <w:rFonts w:cs="Times New Roman"/>
          <w:i/>
        </w:rPr>
        <w:t>Hercules</w:t>
      </w:r>
      <w:r w:rsidRPr="00E72124">
        <w:rPr>
          <w:rFonts w:cs="Times New Roman"/>
        </w:rPr>
        <w:t xml:space="preserve">, at paras. 25 and 27; </w:t>
      </w:r>
      <w:proofErr w:type="spellStart"/>
      <w:r w:rsidRPr="00E72124">
        <w:rPr>
          <w:rFonts w:cs="Times New Roman"/>
          <w:i/>
        </w:rPr>
        <w:t>Norsk</w:t>
      </w:r>
      <w:proofErr w:type="spellEnd"/>
      <w:r w:rsidRPr="00E72124">
        <w:rPr>
          <w:rFonts w:cs="Times New Roman"/>
        </w:rPr>
        <w:t xml:space="preserve">, at p. 1154; </w:t>
      </w:r>
      <w:r w:rsidRPr="00E72124">
        <w:rPr>
          <w:rFonts w:cs="Times New Roman"/>
          <w:i/>
        </w:rPr>
        <w:t>Bow Valley</w:t>
      </w:r>
      <w:r w:rsidRPr="00E72124">
        <w:rPr>
          <w:rFonts w:cs="Times New Roman"/>
        </w:rPr>
        <w:t>, at para. 61).</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w:t>
      </w:r>
      <w:proofErr w:type="spellStart"/>
      <w:r w:rsidRPr="00E72124">
        <w:rPr>
          <w:rFonts w:cs="Times New Roman"/>
          <w:i/>
        </w:rPr>
        <w:t>Anns</w:t>
      </w:r>
      <w:proofErr w:type="spellEnd"/>
      <w:r w:rsidRPr="00E72124">
        <w:rPr>
          <w:rFonts w:cs="Times New Roman"/>
        </w:rPr>
        <w:t xml:space="preserve"> test thereby set a low threshold at the first stage, imposing duties in relation to a nearly limitless class of persons who might rely on representations for nearly limitless purposes. Indeed, as this Court stated in </w:t>
      </w:r>
      <w:r w:rsidRPr="00E72124">
        <w:rPr>
          <w:rFonts w:cs="Times New Roman"/>
          <w:i/>
        </w:rPr>
        <w:t>Hercules</w:t>
      </w:r>
      <w:r w:rsidRPr="00E72124">
        <w:rPr>
          <w:rFonts w:cs="Times New Roman"/>
        </w:rPr>
        <w:t>, “[</w:t>
      </w:r>
      <w:proofErr w:type="spellStart"/>
      <w:r w:rsidRPr="00E72124">
        <w:rPr>
          <w:rFonts w:cs="Times New Roman"/>
        </w:rPr>
        <w:t>i</w:t>
      </w:r>
      <w:proofErr w:type="spellEnd"/>
      <w:r w:rsidRPr="00E72124">
        <w:rPr>
          <w:rFonts w:cs="Times New Roman"/>
        </w:rPr>
        <w:t xml:space="preserve">]n modern commercial society, the fact that audit reports will be relied on by many different people (e.g., shareholders, creditors, potential takeover bidders, investors, etc.) for a wide variety of purposes will almost always be reasonably foreseeable to auditors themselves” (para. 32). For that reason — that is, because of the low “foreseeability” threshold for establishing a </w:t>
      </w:r>
      <w:r w:rsidRPr="00E72124">
        <w:rPr>
          <w:rFonts w:cs="Times New Roman"/>
          <w:i/>
        </w:rPr>
        <w:t>prima facie</w:t>
      </w:r>
      <w:r w:rsidRPr="00E72124">
        <w:rPr>
          <w:rFonts w:cs="Times New Roman"/>
        </w:rPr>
        <w:t xml:space="preserve"> duty of care at the first stage of the </w:t>
      </w:r>
      <w:proofErr w:type="spellStart"/>
      <w:r w:rsidRPr="00E72124">
        <w:rPr>
          <w:rFonts w:cs="Times New Roman"/>
          <w:i/>
        </w:rPr>
        <w:t>Anns</w:t>
      </w:r>
      <w:proofErr w:type="spellEnd"/>
      <w:r w:rsidRPr="00E72124">
        <w:rPr>
          <w:rFonts w:cs="Times New Roman"/>
        </w:rPr>
        <w:t xml:space="preserve"> test — the Court looked to the second stage of the </w:t>
      </w:r>
      <w:proofErr w:type="spellStart"/>
      <w:r w:rsidRPr="00E72124">
        <w:rPr>
          <w:rFonts w:cs="Times New Roman"/>
          <w:i/>
        </w:rPr>
        <w:t>Anns</w:t>
      </w:r>
      <w:proofErr w:type="spellEnd"/>
      <w:r w:rsidRPr="00E72124">
        <w:rPr>
          <w:rFonts w:cs="Times New Roman"/>
        </w:rPr>
        <w:t xml:space="preserve"> test to negate or narrow the duty on the basis of the “policy consideration” of indeterminacy. It was here that the Court looked to the identity of the plaintiffs and the purpose of the audit opinion to deny liability for investment and devaluation losses of individual shareholders (paras. 27-28; see also </w:t>
      </w:r>
      <w:r w:rsidRPr="00E72124">
        <w:rPr>
          <w:rFonts w:cs="Times New Roman"/>
          <w:i/>
        </w:rPr>
        <w:t>Haig v. Bamford</w:t>
      </w:r>
      <w:r w:rsidRPr="00E72124">
        <w:rPr>
          <w:rFonts w:cs="Times New Roman"/>
        </w:rPr>
        <w:t xml:space="preserve">, [1977] 1 S.C.R. 466). Specifically, the Court found that one of the purposes of a statutory audit — </w:t>
      </w:r>
      <w:r w:rsidRPr="00E72124">
        <w:rPr>
          <w:rFonts w:eastAsiaTheme="minorHAnsi" w:cs="Times New Roman"/>
        </w:rPr>
        <w:t>that is, to “</w:t>
      </w:r>
      <w:proofErr w:type="spellStart"/>
      <w:r w:rsidRPr="00E72124">
        <w:rPr>
          <w:rFonts w:eastAsiaTheme="minorHAnsi" w:cs="Times New Roman"/>
        </w:rPr>
        <w:t>allo</w:t>
      </w:r>
      <w:proofErr w:type="spellEnd"/>
      <w:r w:rsidRPr="00E72124">
        <w:rPr>
          <w:rFonts w:eastAsiaTheme="minorHAnsi" w:cs="Times New Roman"/>
        </w:rPr>
        <w:t xml:space="preserve">[w] shareholders, </w:t>
      </w:r>
      <w:r w:rsidRPr="00E72124">
        <w:rPr>
          <w:rFonts w:eastAsiaTheme="minorHAnsi" w:cs="Times New Roman"/>
          <w:i/>
        </w:rPr>
        <w:t>as a group</w:t>
      </w:r>
      <w:r w:rsidRPr="00E72124">
        <w:rPr>
          <w:rFonts w:eastAsiaTheme="minorHAnsi" w:cs="Times New Roman"/>
        </w:rPr>
        <w:t xml:space="preserve">, to supervise management and to take decisions with respect to matters concerning the proper overall administration </w:t>
      </w:r>
      <w:r w:rsidRPr="00E72124">
        <w:rPr>
          <w:rFonts w:eastAsiaTheme="minorHAnsi" w:cs="Times New Roman"/>
          <w:i/>
        </w:rPr>
        <w:t xml:space="preserve">of the </w:t>
      </w:r>
      <w:proofErr w:type="spellStart"/>
      <w:r w:rsidRPr="00E72124">
        <w:rPr>
          <w:rFonts w:eastAsiaTheme="minorHAnsi" w:cs="Times New Roman"/>
          <w:i/>
        </w:rPr>
        <w:t>corporatio</w:t>
      </w:r>
      <w:proofErr w:type="spellEnd"/>
      <w:r w:rsidRPr="00E72124">
        <w:rPr>
          <w:rFonts w:eastAsiaTheme="minorHAnsi" w:cs="Times New Roman"/>
        </w:rPr>
        <w:t>[</w:t>
      </w:r>
      <w:r w:rsidRPr="00E72124">
        <w:rPr>
          <w:rFonts w:eastAsiaTheme="minorHAnsi" w:cs="Times New Roman"/>
          <w:i/>
        </w:rPr>
        <w:t>n</w:t>
      </w:r>
      <w:r w:rsidRPr="00E72124">
        <w:rPr>
          <w:rFonts w:eastAsiaTheme="minorHAnsi" w:cs="Times New Roman"/>
        </w:rPr>
        <w:t xml:space="preserve">]” (para. 56 (emphasis in original)) — would have permitted the corporate client to recover its own losses at the time of receivership had the claim been brought in the corporation’s name. As we will explain, </w:t>
      </w:r>
      <w:proofErr w:type="spellStart"/>
      <w:r w:rsidRPr="00E72124">
        <w:rPr>
          <w:rFonts w:eastAsiaTheme="minorHAnsi" w:cs="Times New Roman"/>
        </w:rPr>
        <w:t>Livent’s</w:t>
      </w:r>
      <w:proofErr w:type="spellEnd"/>
      <w:r w:rsidRPr="00E72124">
        <w:rPr>
          <w:rFonts w:eastAsiaTheme="minorHAnsi" w:cs="Times New Roman"/>
        </w:rPr>
        <w:t xml:space="preserve"> injury following the 1997 Audit is precisely the type of injury described in </w:t>
      </w:r>
      <w:r w:rsidRPr="00E72124">
        <w:rPr>
          <w:rFonts w:eastAsiaTheme="minorHAnsi" w:cs="Times New Roman"/>
          <w:i/>
        </w:rPr>
        <w:t>Hercules</w:t>
      </w:r>
      <w:r w:rsidRPr="00E72124">
        <w:rPr>
          <w:rFonts w:eastAsiaTheme="minorHAnsi" w:cs="Times New Roman"/>
        </w:rPr>
        <w:t xml:space="preserve"> as being compensable.</w:t>
      </w:r>
    </w:p>
    <w:p w:rsidR="00D7327A" w:rsidRPr="00E72124" w:rsidRDefault="00D7327A" w:rsidP="00D7327A">
      <w:pPr>
        <w:pStyle w:val="Title3LevelTitre3Niveau"/>
        <w:rPr>
          <w:rFonts w:cs="Times New Roman"/>
        </w:rPr>
      </w:pPr>
      <w:r w:rsidRPr="00E72124">
        <w:rPr>
          <w:rFonts w:cs="Times New Roman"/>
          <w:i/>
        </w:rPr>
        <w:t>Cooper</w:t>
      </w:r>
      <w:r w:rsidRPr="00E72124">
        <w:rPr>
          <w:rFonts w:cs="Times New Roman"/>
        </w:rPr>
        <w:t xml:space="preserve">: Refining the </w:t>
      </w:r>
      <w:proofErr w:type="spellStart"/>
      <w:r w:rsidRPr="00E72124">
        <w:rPr>
          <w:rFonts w:cs="Times New Roman"/>
          <w:i/>
        </w:rPr>
        <w:t>Anns</w:t>
      </w:r>
      <w:proofErr w:type="spellEnd"/>
      <w:r w:rsidRPr="00E72124">
        <w:rPr>
          <w:rFonts w:cs="Times New Roman"/>
          <w:i/>
        </w:rPr>
        <w:t xml:space="preserve"> </w:t>
      </w:r>
      <w:r w:rsidRPr="00E72124">
        <w:rPr>
          <w:rFonts w:cs="Times New Roman"/>
        </w:rPr>
        <w:t>Test</w:t>
      </w:r>
    </w:p>
    <w:p w:rsidR="00D7327A" w:rsidRPr="00E72124" w:rsidRDefault="00D7327A" w:rsidP="00D7327A">
      <w:pPr>
        <w:pStyle w:val="ParaNoNdepar-AltN"/>
        <w:tabs>
          <w:tab w:val="clear" w:pos="1152"/>
          <w:tab w:val="left" w:pos="1166"/>
        </w:tabs>
        <w:rPr>
          <w:rFonts w:cs="Times New Roman"/>
        </w:rPr>
      </w:pPr>
      <w:r w:rsidRPr="00E72124">
        <w:rPr>
          <w:rFonts w:eastAsiaTheme="minorHAnsi" w:cs="Times New Roman"/>
        </w:rPr>
        <w:t xml:space="preserve">While this Court’s holding in </w:t>
      </w:r>
      <w:r w:rsidRPr="00E72124">
        <w:rPr>
          <w:rFonts w:eastAsiaTheme="minorHAnsi" w:cs="Times New Roman"/>
          <w:i/>
        </w:rPr>
        <w:t>Hercules</w:t>
      </w:r>
      <w:r w:rsidRPr="00E72124">
        <w:rPr>
          <w:rFonts w:eastAsiaTheme="minorHAnsi" w:cs="Times New Roman"/>
        </w:rPr>
        <w:t xml:space="preserve"> remains binding authority governing an auditor’s duty of care in relation to a statutory audit, the framework by which that duty is imposed has since been refined. In the companion cases of </w:t>
      </w:r>
      <w:r w:rsidRPr="00E72124">
        <w:rPr>
          <w:rFonts w:eastAsiaTheme="minorHAnsi" w:cs="Times New Roman"/>
          <w:i/>
        </w:rPr>
        <w:t xml:space="preserve">Cooper </w:t>
      </w:r>
      <w:r w:rsidRPr="00E72124">
        <w:rPr>
          <w:rFonts w:eastAsiaTheme="minorHAnsi" w:cs="Times New Roman"/>
        </w:rPr>
        <w:t xml:space="preserve">and </w:t>
      </w:r>
      <w:r w:rsidRPr="00E72124">
        <w:rPr>
          <w:rFonts w:eastAsiaTheme="minorHAnsi" w:cs="Times New Roman"/>
          <w:i/>
        </w:rPr>
        <w:t>Edwards v. Law Society of Upper Canada</w:t>
      </w:r>
      <w:r w:rsidRPr="00E72124">
        <w:rPr>
          <w:rFonts w:eastAsiaTheme="minorHAnsi" w:cs="Times New Roman"/>
        </w:rPr>
        <w:t xml:space="preserve">, 2001 SCC 80, [2001] 3 S.C.R. 562, this Court revised the </w:t>
      </w:r>
      <w:proofErr w:type="spellStart"/>
      <w:r w:rsidRPr="00E72124">
        <w:rPr>
          <w:rFonts w:eastAsiaTheme="minorHAnsi" w:cs="Times New Roman"/>
          <w:i/>
        </w:rPr>
        <w:t>Anns</w:t>
      </w:r>
      <w:proofErr w:type="spellEnd"/>
      <w:r w:rsidRPr="00E72124">
        <w:rPr>
          <w:rFonts w:eastAsiaTheme="minorHAnsi" w:cs="Times New Roman"/>
          <w:i/>
        </w:rPr>
        <w:t xml:space="preserve"> </w:t>
      </w:r>
      <w:r w:rsidRPr="00E72124">
        <w:rPr>
          <w:rFonts w:eastAsiaTheme="minorHAnsi" w:cs="Times New Roman"/>
        </w:rPr>
        <w:t>test by distinguishing more clearly between foreseeability and proximity, and by placing greater emphasis on a more demanding first stage of the two-stage analysis (</w:t>
      </w:r>
      <w:r w:rsidRPr="00E72124">
        <w:rPr>
          <w:rFonts w:eastAsiaTheme="minorHAnsi" w:cs="Times New Roman"/>
          <w:i/>
        </w:rPr>
        <w:t>Cooper</w:t>
      </w:r>
      <w:r w:rsidRPr="00E72124">
        <w:rPr>
          <w:rFonts w:eastAsiaTheme="minorHAnsi" w:cs="Times New Roman"/>
        </w:rPr>
        <w:t xml:space="preserve">, at para. 30). While, therefore, we rely on </w:t>
      </w:r>
      <w:r w:rsidRPr="00E72124">
        <w:rPr>
          <w:rFonts w:eastAsiaTheme="minorHAnsi" w:cs="Times New Roman"/>
          <w:i/>
        </w:rPr>
        <w:t>Hercules</w:t>
      </w:r>
      <w:r w:rsidRPr="00E72124">
        <w:rPr>
          <w:rFonts w:eastAsiaTheme="minorHAnsi" w:cs="Times New Roman"/>
        </w:rPr>
        <w:t xml:space="preserve"> for the general proposition that an auditor may owe its client a duty of care in relation to a particular undertaking, it is the </w:t>
      </w:r>
      <w:proofErr w:type="spellStart"/>
      <w:r w:rsidRPr="00E72124">
        <w:rPr>
          <w:rFonts w:eastAsiaTheme="minorHAnsi" w:cs="Times New Roman"/>
          <w:i/>
        </w:rPr>
        <w:t>Anns</w:t>
      </w:r>
      <w:proofErr w:type="spellEnd"/>
      <w:r w:rsidRPr="00E72124">
        <w:rPr>
          <w:rFonts w:eastAsiaTheme="minorHAnsi" w:cs="Times New Roman"/>
          <w:i/>
        </w:rPr>
        <w:t xml:space="preserve">/Cooper </w:t>
      </w:r>
      <w:r w:rsidRPr="00E72124">
        <w:rPr>
          <w:rFonts w:eastAsiaTheme="minorHAnsi" w:cs="Times New Roman"/>
        </w:rPr>
        <w:t>framework to which we must have reference in identifying a principled basis for imposing liability. And, properly applied, that</w:t>
      </w:r>
      <w:r w:rsidRPr="00E72124">
        <w:rPr>
          <w:rFonts w:eastAsiaTheme="minorHAnsi" w:cs="Times New Roman"/>
          <w:i/>
        </w:rPr>
        <w:t xml:space="preserve"> </w:t>
      </w:r>
      <w:r w:rsidRPr="00E72124">
        <w:rPr>
          <w:rFonts w:eastAsiaTheme="minorHAnsi" w:cs="Times New Roman"/>
        </w:rPr>
        <w:t xml:space="preserve">framework will rarely, if ever, give rise to a </w:t>
      </w:r>
      <w:r w:rsidRPr="00E72124">
        <w:rPr>
          <w:rFonts w:eastAsiaTheme="minorHAnsi" w:cs="Times New Roman"/>
          <w:i/>
        </w:rPr>
        <w:t xml:space="preserve">prima facie </w:t>
      </w:r>
      <w:r w:rsidRPr="00E72124">
        <w:rPr>
          <w:rFonts w:eastAsiaTheme="minorHAnsi" w:cs="Times New Roman"/>
        </w:rPr>
        <w:t>duty of care that could result in indeterminate liability. Accordingly, and with great respect for contrary views, there is no reason to resort to the second stage in order to negate all liability in this case.</w:t>
      </w:r>
      <w:r w:rsidRPr="00E72124" w:rsidDel="002A0445">
        <w:rPr>
          <w:rFonts w:eastAsiaTheme="minorHAnsi" w:cs="Times New Roman"/>
        </w:rPr>
        <w:t xml:space="preserve"> </w:t>
      </w:r>
    </w:p>
    <w:p w:rsidR="00D7327A" w:rsidRPr="00E72124" w:rsidRDefault="00D7327A" w:rsidP="00D7327A">
      <w:pPr>
        <w:pStyle w:val="Title4LevelTitre4Niveau"/>
        <w:tabs>
          <w:tab w:val="clear" w:pos="900"/>
          <w:tab w:val="num" w:pos="1206"/>
        </w:tabs>
        <w:rPr>
          <w:rFonts w:cs="Times New Roman"/>
        </w:rPr>
      </w:pPr>
      <w:r w:rsidRPr="00E72124">
        <w:rPr>
          <w:rFonts w:cs="Times New Roman"/>
        </w:rPr>
        <w:t>Stage One: Prima Facie Duty of Care</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w:t>
      </w:r>
      <w:r w:rsidRPr="00E72124">
        <w:rPr>
          <w:rFonts w:cs="Times New Roman"/>
          <w:i/>
        </w:rPr>
        <w:t>Cooper</w:t>
      </w:r>
      <w:r w:rsidRPr="00E72124">
        <w:rPr>
          <w:rFonts w:cs="Times New Roman"/>
        </w:rPr>
        <w:t xml:space="preserve">, this Court recognized that “foreseeability alone” is not enough to establish a </w:t>
      </w:r>
      <w:r w:rsidRPr="00E72124">
        <w:rPr>
          <w:rFonts w:cs="Times New Roman"/>
          <w:i/>
        </w:rPr>
        <w:t xml:space="preserve">prima facie </w:t>
      </w:r>
      <w:r w:rsidRPr="00E72124">
        <w:rPr>
          <w:rFonts w:cs="Times New Roman"/>
        </w:rPr>
        <w:t xml:space="preserve">duty of care (para. 22; see also </w:t>
      </w:r>
      <w:r w:rsidRPr="00E72124">
        <w:rPr>
          <w:rFonts w:cs="Times New Roman"/>
          <w:i/>
        </w:rPr>
        <w:t>Edwards</w:t>
      </w:r>
      <w:r w:rsidRPr="00E72124">
        <w:rPr>
          <w:rFonts w:cs="Times New Roman"/>
        </w:rPr>
        <w:t xml:space="preserve">, at para. 9). In doing so, it signalled a shift from the </w:t>
      </w:r>
      <w:proofErr w:type="spellStart"/>
      <w:r w:rsidRPr="00E72124">
        <w:rPr>
          <w:rFonts w:cs="Times New Roman"/>
          <w:i/>
        </w:rPr>
        <w:t>Anns</w:t>
      </w:r>
      <w:proofErr w:type="spellEnd"/>
      <w:r w:rsidRPr="00E72124">
        <w:rPr>
          <w:rFonts w:cs="Times New Roman"/>
          <w:i/>
        </w:rPr>
        <w:t xml:space="preserve"> </w:t>
      </w:r>
      <w:r w:rsidRPr="00E72124">
        <w:rPr>
          <w:rFonts w:cs="Times New Roman"/>
        </w:rPr>
        <w:t xml:space="preserve">test, which had grounded the recognition of a </w:t>
      </w:r>
      <w:r w:rsidRPr="00E72124">
        <w:rPr>
          <w:rFonts w:cs="Times New Roman"/>
          <w:i/>
        </w:rPr>
        <w:t xml:space="preserve">prima facie </w:t>
      </w:r>
      <w:r w:rsidRPr="00E72124">
        <w:rPr>
          <w:rFonts w:cs="Times New Roman"/>
        </w:rPr>
        <w:t>duty upon mere foreseeability of injury (</w:t>
      </w:r>
      <w:r w:rsidRPr="00E72124">
        <w:rPr>
          <w:rFonts w:cs="Times New Roman"/>
          <w:i/>
        </w:rPr>
        <w:t>Hercules</w:t>
      </w:r>
      <w:r w:rsidRPr="00E72124">
        <w:rPr>
          <w:rFonts w:cs="Times New Roman"/>
        </w:rPr>
        <w:t xml:space="preserve">, at paras. 25 and 27; </w:t>
      </w:r>
      <w:proofErr w:type="spellStart"/>
      <w:r w:rsidRPr="00E72124">
        <w:rPr>
          <w:rFonts w:cs="Times New Roman"/>
          <w:i/>
        </w:rPr>
        <w:t>Norsk</w:t>
      </w:r>
      <w:proofErr w:type="spellEnd"/>
      <w:r w:rsidRPr="00E72124">
        <w:rPr>
          <w:rFonts w:cs="Times New Roman"/>
        </w:rPr>
        <w:t xml:space="preserve">, at p. 1154; </w:t>
      </w:r>
      <w:r w:rsidRPr="00E72124">
        <w:rPr>
          <w:rFonts w:cs="Times New Roman"/>
          <w:i/>
        </w:rPr>
        <w:t>Bow Valley</w:t>
      </w:r>
      <w:r w:rsidRPr="00E72124">
        <w:rPr>
          <w:rFonts w:cs="Times New Roman"/>
        </w:rPr>
        <w:t xml:space="preserve">, at para. 61). After </w:t>
      </w:r>
      <w:r w:rsidRPr="00E72124">
        <w:rPr>
          <w:rFonts w:cs="Times New Roman"/>
          <w:i/>
        </w:rPr>
        <w:t>Cooper</w:t>
      </w:r>
      <w:r w:rsidRPr="00E72124">
        <w:rPr>
          <w:rFonts w:cs="Times New Roman"/>
        </w:rPr>
        <w:t xml:space="preserve">, the first stage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would require “something more” (</w:t>
      </w:r>
      <w:r w:rsidRPr="00E72124">
        <w:rPr>
          <w:rFonts w:cs="Times New Roman"/>
          <w:i/>
        </w:rPr>
        <w:t>Cooper</w:t>
      </w:r>
      <w:r w:rsidRPr="00E72124">
        <w:rPr>
          <w:rFonts w:cs="Times New Roman"/>
        </w:rPr>
        <w:t>,</w:t>
      </w:r>
      <w:r w:rsidRPr="00E72124">
        <w:rPr>
          <w:rFonts w:cs="Times New Roman"/>
          <w:i/>
        </w:rPr>
        <w:t xml:space="preserve"> </w:t>
      </w:r>
      <w:r w:rsidRPr="00E72124">
        <w:rPr>
          <w:rFonts w:cs="Times New Roman"/>
        </w:rPr>
        <w:t xml:space="preserve">at para. 29). That “something more” is </w:t>
      </w:r>
      <w:r w:rsidRPr="00E72124">
        <w:rPr>
          <w:rFonts w:cs="Times New Roman"/>
          <w:i/>
        </w:rPr>
        <w:t>proximity</w:t>
      </w:r>
      <w:r w:rsidRPr="00E72124">
        <w:rPr>
          <w:rFonts w:cs="Times New Roman"/>
        </w:rPr>
        <w:t xml:space="preserve"> (</w:t>
      </w:r>
      <w:proofErr w:type="spellStart"/>
      <w:r w:rsidRPr="00E72124">
        <w:rPr>
          <w:rFonts w:cs="Times New Roman"/>
          <w:i/>
        </w:rPr>
        <w:t>Odhavji</w:t>
      </w:r>
      <w:proofErr w:type="spellEnd"/>
      <w:r w:rsidRPr="00E72124">
        <w:rPr>
          <w:rFonts w:cs="Times New Roman"/>
          <w:i/>
        </w:rPr>
        <w:t xml:space="preserve"> Estate v. Woodhouse</w:t>
      </w:r>
      <w:r w:rsidRPr="00E72124">
        <w:rPr>
          <w:rFonts w:cs="Times New Roman"/>
        </w:rPr>
        <w:t>,</w:t>
      </w:r>
      <w:r w:rsidRPr="00E72124">
        <w:rPr>
          <w:rFonts w:cs="Times New Roman"/>
          <w:i/>
        </w:rPr>
        <w:t xml:space="preserve"> </w:t>
      </w:r>
      <w:r w:rsidRPr="00E72124">
        <w:rPr>
          <w:rFonts w:cs="Times New Roman"/>
        </w:rPr>
        <w:t xml:space="preserve">2003 SCC 69, [2003] 3 S.C.R. 263, at paras. 47-48; </w:t>
      </w:r>
      <w:r w:rsidRPr="00E72124">
        <w:rPr>
          <w:rFonts w:cs="Times New Roman"/>
          <w:i/>
        </w:rPr>
        <w:t>Childs v. Desormeaux</w:t>
      </w:r>
      <w:r w:rsidRPr="00E72124">
        <w:rPr>
          <w:rFonts w:cs="Times New Roman"/>
        </w:rPr>
        <w:t xml:space="preserve">, 2006 SCC 18, [2006] 1 S.C.R. 643, at para. 12; </w:t>
      </w:r>
      <w:r w:rsidRPr="00E72124">
        <w:rPr>
          <w:rFonts w:cs="Times New Roman"/>
          <w:i/>
        </w:rPr>
        <w:t>Hill v. Hamilton-Wentworth Regional Police Services Board</w:t>
      </w:r>
      <w:r w:rsidRPr="00E72124">
        <w:rPr>
          <w:rFonts w:cs="Times New Roman"/>
        </w:rPr>
        <w:t xml:space="preserve">, 2007 SCC 41, [2007] 3 S.C.R. 129, at para. 23; and </w:t>
      </w:r>
      <w:proofErr w:type="spellStart"/>
      <w:r w:rsidRPr="00E72124">
        <w:rPr>
          <w:rFonts w:cs="Times New Roman"/>
          <w:i/>
        </w:rPr>
        <w:t>Fullowka</w:t>
      </w:r>
      <w:proofErr w:type="spellEnd"/>
      <w:r w:rsidRPr="00E72124">
        <w:rPr>
          <w:rFonts w:cs="Times New Roman"/>
          <w:i/>
        </w:rPr>
        <w:t xml:space="preserve"> v. Pinkerton’s of Canada Ltd.</w:t>
      </w:r>
      <w:r w:rsidRPr="00E72124">
        <w:rPr>
          <w:rFonts w:cs="Times New Roman"/>
        </w:rPr>
        <w:t xml:space="preserve">, 2010 SCC 5, [2010] 1 S.C.R. 132, at para. 18).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w:t>
      </w:r>
      <w:r w:rsidRPr="00E72124">
        <w:rPr>
          <w:rFonts w:cs="Times New Roman"/>
          <w:i/>
        </w:rPr>
        <w:t>Cooper</w:t>
      </w:r>
      <w:r w:rsidRPr="00E72124">
        <w:rPr>
          <w:rFonts w:cs="Times New Roman"/>
        </w:rPr>
        <w:t xml:space="preserve">, the Court did not indicate whether proximity or reasonable foreseeability should be assessed first. In cases of negligent misrepresentation or performance of a service, however, proximity will be more usefully considered before foreseeability. What the defendant reasonably foresees as flowing from his or her negligence depends upon the characteristics of his or her relationship with the plaintiff, and specifically, in such cases, the purpose of the defendant’s undertaking.  That said, both proximity and foreseeability of injury merit further reflection.  </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Proximity</w:t>
      </w:r>
    </w:p>
    <w:p w:rsidR="00D7327A" w:rsidRPr="00E72124" w:rsidRDefault="00D7327A" w:rsidP="00D7327A">
      <w:pPr>
        <w:pStyle w:val="ParaNoNdepar-AltN"/>
        <w:tabs>
          <w:tab w:val="clear" w:pos="1152"/>
          <w:tab w:val="left" w:pos="1166"/>
        </w:tabs>
        <w:spacing w:before="240"/>
        <w:rPr>
          <w:rFonts w:cs="Times New Roman"/>
          <w:lang w:val="en"/>
        </w:rPr>
      </w:pPr>
      <w:r w:rsidRPr="00E72124">
        <w:rPr>
          <w:rFonts w:cs="Times New Roman"/>
          <w:lang w:val="en"/>
        </w:rPr>
        <w:t xml:space="preserve">Assessing proximity in the </w:t>
      </w:r>
      <w:r w:rsidRPr="00E72124">
        <w:rPr>
          <w:rFonts w:cs="Times New Roman"/>
          <w:i/>
          <w:lang w:val="en"/>
        </w:rPr>
        <w:t xml:space="preserve">prima facie </w:t>
      </w:r>
      <w:r w:rsidRPr="00E72124">
        <w:rPr>
          <w:rFonts w:cs="Times New Roman"/>
          <w:lang w:val="en"/>
        </w:rPr>
        <w:t>duty of care</w:t>
      </w:r>
      <w:r w:rsidRPr="00E72124">
        <w:rPr>
          <w:rFonts w:cs="Times New Roman"/>
          <w:i/>
          <w:lang w:val="en"/>
        </w:rPr>
        <w:t xml:space="preserve"> </w:t>
      </w:r>
      <w:r w:rsidRPr="00E72124">
        <w:rPr>
          <w:rFonts w:cs="Times New Roman"/>
          <w:lang w:val="en"/>
        </w:rPr>
        <w:t>analysis entails asking whether the parties are in such a “close and direct” relationship that it would be “just and fair having regard to that relationship to impose a duty of care in law” (</w:t>
      </w:r>
      <w:r w:rsidRPr="00E72124">
        <w:rPr>
          <w:rFonts w:cs="Times New Roman"/>
          <w:i/>
          <w:lang w:val="en"/>
        </w:rPr>
        <w:t>Cooper</w:t>
      </w:r>
      <w:r w:rsidRPr="00E72124">
        <w:rPr>
          <w:rFonts w:cs="Times New Roman"/>
          <w:lang w:val="en"/>
        </w:rPr>
        <w:t xml:space="preserve">, at paras. 32 and 34). </w:t>
      </w:r>
    </w:p>
    <w:p w:rsidR="00D7327A" w:rsidRPr="00E72124" w:rsidRDefault="00D7327A" w:rsidP="00D7327A">
      <w:pPr>
        <w:pStyle w:val="ParaNoNdepar-AltN"/>
        <w:tabs>
          <w:tab w:val="clear" w:pos="1152"/>
          <w:tab w:val="left" w:pos="1166"/>
        </w:tabs>
        <w:rPr>
          <w:rFonts w:cs="Times New Roman"/>
          <w:lang w:val="en"/>
        </w:rPr>
      </w:pPr>
      <w:r w:rsidRPr="00E72124">
        <w:rPr>
          <w:rFonts w:cs="Times New Roman"/>
          <w:lang w:val="en"/>
        </w:rPr>
        <w:t xml:space="preserve">Under the </w:t>
      </w:r>
      <w:proofErr w:type="spellStart"/>
      <w:r w:rsidRPr="00E72124">
        <w:rPr>
          <w:rFonts w:cs="Times New Roman"/>
          <w:i/>
          <w:lang w:val="en"/>
        </w:rPr>
        <w:t>Anns</w:t>
      </w:r>
      <w:proofErr w:type="spellEnd"/>
      <w:r w:rsidRPr="00E72124">
        <w:rPr>
          <w:rFonts w:cs="Times New Roman"/>
          <w:i/>
          <w:lang w:val="en"/>
        </w:rPr>
        <w:t xml:space="preserve"> </w:t>
      </w:r>
      <w:r w:rsidRPr="00E72124">
        <w:rPr>
          <w:rFonts w:cs="Times New Roman"/>
          <w:lang w:val="en"/>
        </w:rPr>
        <w:t>test, proximity did not, “in and of itself, provide a principled basis on which to make a legal determination” (</w:t>
      </w:r>
      <w:r w:rsidRPr="00E72124">
        <w:rPr>
          <w:rFonts w:cs="Times New Roman"/>
          <w:i/>
          <w:lang w:val="en"/>
        </w:rPr>
        <w:t>Hercules</w:t>
      </w:r>
      <w:r w:rsidRPr="00E72124">
        <w:rPr>
          <w:rFonts w:cs="Times New Roman"/>
          <w:lang w:val="en"/>
        </w:rPr>
        <w:t>, at para. 23). Rather, proximity was a “label” which expressed nothing more than a “result, judgment or conclusion” (</w:t>
      </w:r>
      <w:r w:rsidRPr="00E72124">
        <w:rPr>
          <w:rFonts w:cs="Times New Roman"/>
          <w:i/>
          <w:lang w:val="en"/>
        </w:rPr>
        <w:t>ibid.</w:t>
      </w:r>
      <w:r w:rsidRPr="00E72124">
        <w:rPr>
          <w:rFonts w:cs="Times New Roman"/>
          <w:lang w:val="en"/>
        </w:rPr>
        <w:t xml:space="preserve">), where mere reasonable foreseeability of injury could be shown. While, under the </w:t>
      </w:r>
      <w:proofErr w:type="spellStart"/>
      <w:r w:rsidRPr="00E72124">
        <w:rPr>
          <w:rFonts w:cs="Times New Roman"/>
          <w:i/>
          <w:lang w:val="en"/>
        </w:rPr>
        <w:t>Anns</w:t>
      </w:r>
      <w:proofErr w:type="spellEnd"/>
      <w:r w:rsidRPr="00E72124">
        <w:rPr>
          <w:rFonts w:cs="Times New Roman"/>
          <w:i/>
          <w:lang w:val="en"/>
        </w:rPr>
        <w:t xml:space="preserve">/Cooper </w:t>
      </w:r>
      <w:r w:rsidRPr="00E72124">
        <w:rPr>
          <w:rFonts w:cs="Times New Roman"/>
          <w:lang w:val="en"/>
        </w:rPr>
        <w:t>framework, the proximity analysis has become more analytically robust, this descriptive component remains. By this, we mean that the term “proximity” is still used, in part, as a shorthand description of those categories of relationships in which proximity has already been found to exist (</w:t>
      </w:r>
      <w:r w:rsidRPr="00E72124">
        <w:rPr>
          <w:rFonts w:cs="Times New Roman"/>
          <w:i/>
          <w:lang w:val="en"/>
        </w:rPr>
        <w:t>Cooper</w:t>
      </w:r>
      <w:r w:rsidRPr="00E72124">
        <w:rPr>
          <w:rFonts w:cs="Times New Roman"/>
          <w:lang w:val="en"/>
        </w:rPr>
        <w:t xml:space="preserve">, at para. 23). If a relationship falls within a previously established category, or is analogous to one, then the requisite close and direct relationship is shown. So long, then, as a risk of reasonably foreseeable injury can also be shown — or has already been shown through an analogous precedent — the first stage of the </w:t>
      </w:r>
      <w:proofErr w:type="spellStart"/>
      <w:r w:rsidRPr="00E72124">
        <w:rPr>
          <w:rFonts w:cs="Times New Roman"/>
          <w:i/>
          <w:lang w:val="en"/>
        </w:rPr>
        <w:t>Anns</w:t>
      </w:r>
      <w:proofErr w:type="spellEnd"/>
      <w:r w:rsidRPr="00E72124">
        <w:rPr>
          <w:rFonts w:cs="Times New Roman"/>
          <w:i/>
          <w:lang w:val="en"/>
        </w:rPr>
        <w:t>/Cooper</w:t>
      </w:r>
      <w:r w:rsidRPr="00E72124">
        <w:rPr>
          <w:rFonts w:cs="Times New Roman"/>
          <w:lang w:val="en"/>
        </w:rPr>
        <w:t xml:space="preserve"> framework is complete and a duty of care may be identified (</w:t>
      </w:r>
      <w:r w:rsidRPr="00E72124">
        <w:rPr>
          <w:rFonts w:cs="Times New Roman"/>
          <w:i/>
          <w:lang w:val="en"/>
        </w:rPr>
        <w:t>ibid.</w:t>
      </w:r>
      <w:r w:rsidRPr="00E72124">
        <w:rPr>
          <w:rFonts w:cs="Times New Roman"/>
          <w:lang w:val="en"/>
        </w:rPr>
        <w:t xml:space="preserve">, at para. 36). In such circumstances, the second stage of the </w:t>
      </w:r>
      <w:proofErr w:type="spellStart"/>
      <w:r w:rsidRPr="00E72124">
        <w:rPr>
          <w:rFonts w:cs="Times New Roman"/>
          <w:i/>
          <w:lang w:val="en"/>
        </w:rPr>
        <w:t>Anns</w:t>
      </w:r>
      <w:proofErr w:type="spellEnd"/>
      <w:r w:rsidRPr="00E72124">
        <w:rPr>
          <w:rFonts w:cs="Times New Roman"/>
          <w:i/>
          <w:lang w:val="en"/>
        </w:rPr>
        <w:t xml:space="preserve">/Cooper </w:t>
      </w:r>
      <w:r w:rsidRPr="00E72124">
        <w:rPr>
          <w:rFonts w:cs="Times New Roman"/>
          <w:lang w:val="en"/>
        </w:rPr>
        <w:t>framework will seldom be engaged because any residual policy considerations will have already been taken into account when the proximate relationship was first identified (</w:t>
      </w:r>
      <w:r w:rsidRPr="00E72124">
        <w:rPr>
          <w:rFonts w:cs="Times New Roman"/>
          <w:i/>
          <w:lang w:val="en"/>
        </w:rPr>
        <w:t>ibid.</w:t>
      </w:r>
      <w:r w:rsidRPr="00E72124">
        <w:rPr>
          <w:rFonts w:cs="Times New Roman"/>
          <w:lang w:val="en"/>
        </w:rPr>
        <w:t xml:space="preserve">, at para. 39; </w:t>
      </w:r>
      <w:r w:rsidRPr="00E72124">
        <w:rPr>
          <w:rFonts w:cs="Times New Roman"/>
          <w:i/>
          <w:lang w:val="en"/>
        </w:rPr>
        <w:t>Edwards</w:t>
      </w:r>
      <w:r w:rsidRPr="00E72124">
        <w:rPr>
          <w:rFonts w:cs="Times New Roman"/>
          <w:lang w:val="en"/>
        </w:rPr>
        <w:t>, at para. 10).</w:t>
      </w:r>
    </w:p>
    <w:p w:rsidR="00D7327A" w:rsidRPr="00E72124" w:rsidRDefault="00D7327A" w:rsidP="00D7327A">
      <w:pPr>
        <w:pStyle w:val="ParaNoNdepar-AltN"/>
        <w:tabs>
          <w:tab w:val="clear" w:pos="1152"/>
          <w:tab w:val="left" w:pos="1166"/>
        </w:tabs>
        <w:rPr>
          <w:rFonts w:cs="Times New Roman"/>
          <w:lang w:val="en"/>
        </w:rPr>
      </w:pPr>
      <w:r w:rsidRPr="00E72124">
        <w:rPr>
          <w:rFonts w:cs="Times New Roman"/>
          <w:lang w:val="en"/>
        </w:rPr>
        <w:t xml:space="preserve">This Court has on occasion defined previously established categories of proximity in broad terms. In </w:t>
      </w:r>
      <w:r w:rsidRPr="00E72124">
        <w:rPr>
          <w:rFonts w:cs="Times New Roman"/>
          <w:i/>
          <w:lang w:val="en"/>
        </w:rPr>
        <w:t>Hill</w:t>
      </w:r>
      <w:r w:rsidRPr="00E72124">
        <w:rPr>
          <w:rFonts w:cs="Times New Roman"/>
          <w:lang w:val="en"/>
        </w:rPr>
        <w:t>, for example, the Court listed “[t]he duty of care of the motorist to other users of the highway; the duty of care of the doctor to his patient; the duty of care of the solicitor to her client” (para. 25). Proximate relationships will not always, however, be identified so generally. In particular, whether proximity exists between two parties at large, or whether it inheres only for particular purposes or in relation to particular actions, will depend upon the nature of the particular relationship at issue (</w:t>
      </w:r>
      <w:r w:rsidRPr="00E72124">
        <w:rPr>
          <w:rFonts w:cs="Times New Roman"/>
          <w:i/>
          <w:lang w:val="en"/>
        </w:rPr>
        <w:t>ibid.</w:t>
      </w:r>
      <w:r w:rsidRPr="00E72124">
        <w:rPr>
          <w:rFonts w:cs="Times New Roman"/>
          <w:lang w:val="en"/>
        </w:rPr>
        <w:t xml:space="preserve">, at para. 27; </w:t>
      </w:r>
      <w:r w:rsidRPr="00E72124">
        <w:rPr>
          <w:rFonts w:cs="Times New Roman"/>
          <w:i/>
          <w:lang w:val="en"/>
        </w:rPr>
        <w:t>Haig</w:t>
      </w:r>
      <w:r w:rsidRPr="00E72124">
        <w:rPr>
          <w:rFonts w:cs="Times New Roman"/>
          <w:lang w:val="en"/>
        </w:rPr>
        <w:t>, at p. 479). Indeed, and as we explain below, factors which support recognizing “novel” proximate relationships do so based upon the characteristics of the parties’ relationship and the circumstances of each particular case (</w:t>
      </w:r>
      <w:r w:rsidRPr="00E72124">
        <w:rPr>
          <w:rFonts w:cs="Times New Roman"/>
          <w:i/>
          <w:lang w:val="en"/>
        </w:rPr>
        <w:t>Cooper</w:t>
      </w:r>
      <w:r w:rsidRPr="00E72124">
        <w:rPr>
          <w:rFonts w:cs="Times New Roman"/>
          <w:lang w:val="en"/>
        </w:rPr>
        <w:t xml:space="preserve">, at paras. 34-35). </w:t>
      </w:r>
    </w:p>
    <w:p w:rsidR="00D7327A" w:rsidRPr="00E72124" w:rsidRDefault="00D7327A" w:rsidP="00D7327A">
      <w:pPr>
        <w:pStyle w:val="ParaNoNdepar-AltN"/>
        <w:tabs>
          <w:tab w:val="clear" w:pos="1152"/>
          <w:tab w:val="left" w:pos="1166"/>
        </w:tabs>
        <w:rPr>
          <w:rFonts w:cs="Times New Roman"/>
        </w:rPr>
      </w:pPr>
      <w:r w:rsidRPr="00E72124">
        <w:rPr>
          <w:rFonts w:cs="Times New Roman"/>
          <w:lang w:val="en"/>
        </w:rPr>
        <w:t xml:space="preserve">It follows that, where a party seeks to base a finding of proximity upon a previously established or analogous category, a court should be attentive to the particular factors which justified recognizing that prior category in order to determine whether the relationship at issue is, in fact, truly the same as or analogous to that which was previously recognized. </w:t>
      </w:r>
      <w:r w:rsidRPr="00E72124">
        <w:rPr>
          <w:rFonts w:cs="Times New Roman"/>
        </w:rPr>
        <w:t>And, by corollary, courts should avoid identifying established categories in an overly broad manner because, again, residual policy considerations are not considered where proximity is found on the basis of an established category (</w:t>
      </w:r>
      <w:r w:rsidRPr="00E72124">
        <w:rPr>
          <w:rFonts w:cs="Times New Roman"/>
          <w:i/>
        </w:rPr>
        <w:t>Cooper</w:t>
      </w:r>
      <w:r w:rsidRPr="00E72124">
        <w:rPr>
          <w:rFonts w:cs="Times New Roman"/>
        </w:rPr>
        <w:t>, at para. 39). Analytically, this makes sense. For a court to have previously recognized a proximate relationship, second-stage residual policy considerations must already have been taken into account. When, therefore, a court relies on an established category of proximity, it follows “that there are no overriding policy considerations that would [negate] the duty of care” (</w:t>
      </w:r>
      <w:r w:rsidRPr="00E72124">
        <w:rPr>
          <w:rFonts w:cs="Times New Roman"/>
          <w:i/>
          <w:lang w:val="en"/>
        </w:rPr>
        <w:t>ibid.</w:t>
      </w:r>
      <w:r w:rsidRPr="00E72124">
        <w:rPr>
          <w:rFonts w:cs="Times New Roman"/>
        </w:rPr>
        <w:t xml:space="preserve">). A consequence of this approach, however, is that a finding of proximity based upon a previously established or analogous category must be grounded not merely upon the identity of the parties, but upon examination of the particular relationship at issue in each case. Otherwise, courts risk recognizing </w:t>
      </w:r>
      <w:r w:rsidRPr="00E72124">
        <w:rPr>
          <w:rFonts w:cs="Times New Roman"/>
          <w:i/>
        </w:rPr>
        <w:t xml:space="preserve">prima facie </w:t>
      </w:r>
      <w:r w:rsidRPr="00E72124">
        <w:rPr>
          <w:rFonts w:cs="Times New Roman"/>
        </w:rPr>
        <w:t>duties of care without any examination of pertinent second-stage residual policy considerations.</w:t>
      </w:r>
    </w:p>
    <w:p w:rsidR="00D7327A" w:rsidRPr="00E72124" w:rsidRDefault="00D7327A" w:rsidP="00D7327A">
      <w:pPr>
        <w:pStyle w:val="ParaNoNdepar-AltN"/>
        <w:tabs>
          <w:tab w:val="clear" w:pos="1152"/>
          <w:tab w:val="left" w:pos="1166"/>
        </w:tabs>
        <w:spacing w:before="240"/>
        <w:rPr>
          <w:rFonts w:cs="Times New Roman"/>
          <w:lang w:val="en"/>
        </w:rPr>
      </w:pPr>
      <w:r w:rsidRPr="00E72124">
        <w:rPr>
          <w:rFonts w:cs="Times New Roman"/>
          <w:lang w:val="en"/>
        </w:rPr>
        <w:t xml:space="preserve">Where an established proximate relationship cannot be found, courts must undertake a </w:t>
      </w:r>
      <w:r w:rsidRPr="00E72124">
        <w:rPr>
          <w:rFonts w:cs="Times New Roman"/>
        </w:rPr>
        <w:t xml:space="preserve">full </w:t>
      </w:r>
      <w:r w:rsidRPr="00E72124">
        <w:rPr>
          <w:rFonts w:cs="Times New Roman"/>
          <w:lang w:val="en"/>
        </w:rPr>
        <w:t>proximity analysis. To determine whether the “‘close and direct’ relationship which is the hallmark of the common law duty of care” exists (</w:t>
      </w:r>
      <w:proofErr w:type="spellStart"/>
      <w:r w:rsidRPr="00E72124">
        <w:rPr>
          <w:rFonts w:cs="Times New Roman"/>
          <w:i/>
          <w:lang w:val="en"/>
        </w:rPr>
        <w:t>Saadati</w:t>
      </w:r>
      <w:proofErr w:type="spellEnd"/>
      <w:r w:rsidRPr="00E72124">
        <w:rPr>
          <w:rFonts w:cs="Times New Roman"/>
          <w:i/>
          <w:lang w:val="en"/>
        </w:rPr>
        <w:t xml:space="preserve"> v. Moorhead</w:t>
      </w:r>
      <w:r w:rsidRPr="00E72124">
        <w:rPr>
          <w:rFonts w:cs="Times New Roman"/>
          <w:lang w:val="en"/>
        </w:rPr>
        <w:t xml:space="preserve">, 2017 SCC 28, [2017] 1 S.C.R. 543, at para. 24, citing </w:t>
      </w:r>
      <w:r w:rsidRPr="00E72124">
        <w:rPr>
          <w:rFonts w:cs="Times New Roman"/>
          <w:i/>
          <w:lang w:val="en"/>
        </w:rPr>
        <w:t>Cooper</w:t>
      </w:r>
      <w:r w:rsidRPr="00E72124">
        <w:rPr>
          <w:rFonts w:cs="Times New Roman"/>
          <w:lang w:val="en"/>
        </w:rPr>
        <w:t xml:space="preserve">, at para. 32, and </w:t>
      </w:r>
      <w:r w:rsidRPr="00E72124">
        <w:rPr>
          <w:rFonts w:cs="Times New Roman"/>
          <w:i/>
          <w:lang w:val="en"/>
        </w:rPr>
        <w:t>Donoghue v. Stevenson</w:t>
      </w:r>
      <w:r w:rsidRPr="00E72124">
        <w:rPr>
          <w:rFonts w:cs="Times New Roman"/>
          <w:lang w:val="en"/>
        </w:rPr>
        <w:t xml:space="preserve">, [1932] A.C. 562 (H.L.), at pp. 580-81), courts must examine all relevant “factors arising from the </w:t>
      </w:r>
      <w:r w:rsidRPr="00E72124">
        <w:rPr>
          <w:rFonts w:cs="Times New Roman"/>
          <w:i/>
          <w:lang w:val="en"/>
        </w:rPr>
        <w:t>relationship</w:t>
      </w:r>
      <w:r w:rsidRPr="00E72124">
        <w:rPr>
          <w:rFonts w:cs="Times New Roman"/>
          <w:lang w:val="en"/>
        </w:rPr>
        <w:t xml:space="preserve"> between the plaintiff and the defendant” (</w:t>
      </w:r>
      <w:r w:rsidRPr="00E72124">
        <w:rPr>
          <w:rFonts w:cs="Times New Roman"/>
          <w:i/>
          <w:lang w:val="en"/>
        </w:rPr>
        <w:t>Cooper</w:t>
      </w:r>
      <w:r w:rsidRPr="00E72124">
        <w:rPr>
          <w:rFonts w:cs="Times New Roman"/>
          <w:lang w:val="en"/>
        </w:rPr>
        <w:t xml:space="preserve">, at para. 30 (emphasis in original); </w:t>
      </w:r>
      <w:r w:rsidRPr="00E72124">
        <w:rPr>
          <w:rFonts w:cs="Times New Roman"/>
          <w:i/>
          <w:lang w:val="en"/>
        </w:rPr>
        <w:t>Edwards</w:t>
      </w:r>
      <w:r w:rsidRPr="00E72124">
        <w:rPr>
          <w:rFonts w:cs="Times New Roman"/>
          <w:lang w:val="en"/>
        </w:rPr>
        <w:t xml:space="preserve">, at para. 9; </w:t>
      </w:r>
      <w:r w:rsidRPr="00E72124">
        <w:rPr>
          <w:rFonts w:cs="Times New Roman"/>
          <w:i/>
          <w:lang w:val="en"/>
        </w:rPr>
        <w:t>Childs</w:t>
      </w:r>
      <w:r w:rsidRPr="00E72124">
        <w:rPr>
          <w:rFonts w:cs="Times New Roman"/>
          <w:lang w:val="en"/>
        </w:rPr>
        <w:t>,</w:t>
      </w:r>
      <w:r w:rsidRPr="00E72124">
        <w:rPr>
          <w:rFonts w:cs="Times New Roman"/>
          <w:i/>
          <w:lang w:val="en"/>
        </w:rPr>
        <w:t xml:space="preserve"> </w:t>
      </w:r>
      <w:r w:rsidRPr="00E72124">
        <w:rPr>
          <w:rFonts w:cs="Times New Roman"/>
          <w:lang w:val="en"/>
        </w:rPr>
        <w:t xml:space="preserve">at para. 24; </w:t>
      </w:r>
      <w:proofErr w:type="spellStart"/>
      <w:r w:rsidRPr="00E72124">
        <w:rPr>
          <w:rFonts w:cs="Times New Roman"/>
          <w:i/>
          <w:lang w:val="en"/>
        </w:rPr>
        <w:t>Odhavji</w:t>
      </w:r>
      <w:proofErr w:type="spellEnd"/>
      <w:r w:rsidRPr="00E72124">
        <w:rPr>
          <w:rFonts w:cs="Times New Roman"/>
          <w:lang w:val="en"/>
        </w:rPr>
        <w:t xml:space="preserve">, at para. 50; </w:t>
      </w:r>
      <w:r w:rsidRPr="00E72124">
        <w:rPr>
          <w:rFonts w:cs="Times New Roman"/>
          <w:i/>
          <w:lang w:val="en"/>
        </w:rPr>
        <w:t>Hill</w:t>
      </w:r>
      <w:r w:rsidRPr="00E72124">
        <w:rPr>
          <w:rFonts w:cs="Times New Roman"/>
          <w:lang w:val="en"/>
        </w:rPr>
        <w:t>,</w:t>
      </w:r>
      <w:r w:rsidRPr="00E72124">
        <w:rPr>
          <w:rFonts w:cs="Times New Roman"/>
          <w:i/>
          <w:lang w:val="en"/>
        </w:rPr>
        <w:t xml:space="preserve"> </w:t>
      </w:r>
      <w:r w:rsidRPr="00E72124">
        <w:rPr>
          <w:rFonts w:cs="Times New Roman"/>
          <w:lang w:val="en"/>
        </w:rPr>
        <w:t xml:space="preserve">at para. 24; </w:t>
      </w:r>
      <w:proofErr w:type="spellStart"/>
      <w:r w:rsidRPr="00E72124">
        <w:rPr>
          <w:rFonts w:cs="Times New Roman"/>
          <w:i/>
          <w:lang w:val="en"/>
        </w:rPr>
        <w:t>Fullowka</w:t>
      </w:r>
      <w:proofErr w:type="spellEnd"/>
      <w:r w:rsidRPr="00E72124">
        <w:rPr>
          <w:rFonts w:cs="Times New Roman"/>
          <w:lang w:val="en"/>
        </w:rPr>
        <w:t>,</w:t>
      </w:r>
      <w:r w:rsidRPr="00E72124">
        <w:rPr>
          <w:rFonts w:cs="Times New Roman"/>
          <w:i/>
          <w:lang w:val="en"/>
        </w:rPr>
        <w:t xml:space="preserve"> </w:t>
      </w:r>
      <w:r w:rsidRPr="00E72124">
        <w:rPr>
          <w:rFonts w:cs="Times New Roman"/>
          <w:lang w:val="en"/>
        </w:rPr>
        <w:t>at para. 26;</w:t>
      </w:r>
      <w:r w:rsidRPr="00E72124">
        <w:rPr>
          <w:rFonts w:cs="Times New Roman"/>
          <w:i/>
          <w:lang w:val="en"/>
        </w:rPr>
        <w:t xml:space="preserve"> </w:t>
      </w:r>
      <w:proofErr w:type="spellStart"/>
      <w:r w:rsidRPr="00E72124">
        <w:rPr>
          <w:rFonts w:cs="Times New Roman"/>
          <w:i/>
          <w:lang w:val="en"/>
        </w:rPr>
        <w:t>Saadati</w:t>
      </w:r>
      <w:proofErr w:type="spellEnd"/>
      <w:r w:rsidRPr="00E72124">
        <w:rPr>
          <w:rFonts w:cs="Times New Roman"/>
          <w:lang w:val="en"/>
        </w:rPr>
        <w:t>, at para. 24). While these factors are diverse and depend on the circumstances of each case (</w:t>
      </w:r>
      <w:r w:rsidRPr="00E72124">
        <w:rPr>
          <w:rFonts w:cs="Times New Roman"/>
          <w:i/>
          <w:lang w:val="en"/>
        </w:rPr>
        <w:t>Cooper</w:t>
      </w:r>
      <w:r w:rsidRPr="00E72124">
        <w:rPr>
          <w:rFonts w:cs="Times New Roman"/>
          <w:lang w:val="en"/>
        </w:rPr>
        <w:t>, at para. 35), this Court has maintained that they include “expectations, representations, reliance, and the property or other interests involved” (</w:t>
      </w:r>
      <w:r w:rsidRPr="00E72124">
        <w:rPr>
          <w:rFonts w:cs="Times New Roman"/>
          <w:i/>
          <w:lang w:val="en"/>
        </w:rPr>
        <w:t>ibid.</w:t>
      </w:r>
      <w:r w:rsidRPr="00E72124">
        <w:rPr>
          <w:rFonts w:cs="Times New Roman"/>
          <w:lang w:val="en"/>
        </w:rPr>
        <w:t xml:space="preserve">, at para. 34; </w:t>
      </w:r>
      <w:proofErr w:type="spellStart"/>
      <w:r w:rsidRPr="00E72124">
        <w:rPr>
          <w:rFonts w:cs="Times New Roman"/>
          <w:i/>
          <w:lang w:val="en"/>
        </w:rPr>
        <w:t>Odhavji</w:t>
      </w:r>
      <w:proofErr w:type="spellEnd"/>
      <w:r w:rsidRPr="00E72124">
        <w:rPr>
          <w:rFonts w:cs="Times New Roman"/>
          <w:lang w:val="en"/>
        </w:rPr>
        <w:t xml:space="preserve">, at para. 50; </w:t>
      </w:r>
      <w:proofErr w:type="spellStart"/>
      <w:r w:rsidRPr="00E72124">
        <w:rPr>
          <w:rFonts w:cs="Times New Roman"/>
          <w:i/>
          <w:lang w:val="en"/>
        </w:rPr>
        <w:t>Fullowka</w:t>
      </w:r>
      <w:proofErr w:type="spellEnd"/>
      <w:r w:rsidRPr="00E72124">
        <w:rPr>
          <w:rFonts w:cs="Times New Roman"/>
          <w:lang w:val="en"/>
        </w:rPr>
        <w:t>, at para. 26) as well as any statutory obligations (</w:t>
      </w:r>
      <w:r w:rsidRPr="00E72124">
        <w:rPr>
          <w:rFonts w:cs="Times New Roman"/>
          <w:i/>
          <w:lang w:val="en"/>
        </w:rPr>
        <w:t>Cooper</w:t>
      </w:r>
      <w:r w:rsidRPr="00E72124">
        <w:rPr>
          <w:rFonts w:cs="Times New Roman"/>
          <w:lang w:val="en"/>
        </w:rPr>
        <w:t xml:space="preserve">, at para. 38; </w:t>
      </w:r>
      <w:r w:rsidRPr="00E72124">
        <w:rPr>
          <w:rFonts w:cs="Times New Roman"/>
          <w:i/>
          <w:lang w:val="en"/>
        </w:rPr>
        <w:t>Edwards</w:t>
      </w:r>
      <w:r w:rsidRPr="00E72124">
        <w:rPr>
          <w:rFonts w:cs="Times New Roman"/>
          <w:lang w:val="en"/>
        </w:rPr>
        <w:t xml:space="preserve">, at paras. 9 and 13; </w:t>
      </w:r>
      <w:proofErr w:type="spellStart"/>
      <w:r w:rsidRPr="00E72124">
        <w:rPr>
          <w:rFonts w:cs="Times New Roman"/>
          <w:i/>
          <w:lang w:val="en"/>
        </w:rPr>
        <w:t>Odhavji</w:t>
      </w:r>
      <w:proofErr w:type="spellEnd"/>
      <w:r w:rsidRPr="00E72124">
        <w:rPr>
          <w:rFonts w:cs="Times New Roman"/>
          <w:lang w:val="en"/>
        </w:rPr>
        <w:t xml:space="preserve">, at para. 56). </w:t>
      </w:r>
    </w:p>
    <w:p w:rsidR="00D7327A" w:rsidRPr="00E72124" w:rsidRDefault="00D7327A" w:rsidP="00D7327A">
      <w:pPr>
        <w:pStyle w:val="ParaNoNdepar-AltN"/>
        <w:tabs>
          <w:tab w:val="clear" w:pos="1152"/>
          <w:tab w:val="left" w:pos="1166"/>
        </w:tabs>
        <w:rPr>
          <w:rFonts w:cs="Times New Roman"/>
          <w:i/>
          <w:iCs/>
          <w:lang w:val="en-US"/>
        </w:rPr>
      </w:pPr>
      <w:r w:rsidRPr="00E72124">
        <w:rPr>
          <w:rFonts w:cs="Times New Roman"/>
          <w:lang w:val="en"/>
        </w:rPr>
        <w:t xml:space="preserve">In cases of pure economic loss arising from negligent misrepresentation or performance of a service, two factors are determinative in the proximity analysis: the defendant’s undertaking and the plaintiff’s reliance. Where the defendant undertakes to provide a representation or service in circumstances that invite the plaintiff’s reasonable reliance, the defendant becomes obligated to take reasonable care. And, the plaintiff has a right to rely on the defendant’s undertaking to do so (W. N. </w:t>
      </w:r>
      <w:proofErr w:type="spellStart"/>
      <w:r w:rsidRPr="00E72124">
        <w:rPr>
          <w:rFonts w:cs="Times New Roman"/>
          <w:lang w:val="en"/>
        </w:rPr>
        <w:t>Hohfeld</w:t>
      </w:r>
      <w:proofErr w:type="spellEnd"/>
      <w:r w:rsidRPr="00E72124">
        <w:rPr>
          <w:rFonts w:cs="Times New Roman"/>
          <w:lang w:val="en"/>
        </w:rPr>
        <w:t xml:space="preserve">, “Some Fundamental Legal Conceptions as Applied in Judicial Reasoning” (1913), 23 </w:t>
      </w:r>
      <w:r w:rsidRPr="00E72124">
        <w:rPr>
          <w:rFonts w:cs="Times New Roman"/>
          <w:i/>
          <w:lang w:val="en"/>
        </w:rPr>
        <w:t>Yale L.J.</w:t>
      </w:r>
      <w:r w:rsidRPr="00E72124">
        <w:rPr>
          <w:rFonts w:cs="Times New Roman"/>
          <w:lang w:val="en"/>
        </w:rPr>
        <w:t xml:space="preserve"> 16, at pp. 49-50). These corollary rights and obligations create a relationship of proximity (</w:t>
      </w:r>
      <w:r w:rsidRPr="00E72124">
        <w:rPr>
          <w:rFonts w:cs="Times New Roman"/>
          <w:i/>
          <w:lang w:val="en"/>
        </w:rPr>
        <w:t>Haig</w:t>
      </w:r>
      <w:r w:rsidRPr="00E72124">
        <w:rPr>
          <w:rFonts w:cs="Times New Roman"/>
          <w:lang w:val="en"/>
        </w:rPr>
        <w:t>, at p. 477;</w:t>
      </w:r>
      <w:r w:rsidRPr="00E72124">
        <w:rPr>
          <w:rFonts w:cs="Times New Roman"/>
          <w:i/>
          <w:lang w:val="en"/>
        </w:rPr>
        <w:t xml:space="preserve"> </w:t>
      </w:r>
      <w:proofErr w:type="spellStart"/>
      <w:r w:rsidRPr="00E72124">
        <w:rPr>
          <w:rFonts w:cs="Times New Roman"/>
          <w:i/>
          <w:iCs/>
          <w:lang w:val="en-US"/>
        </w:rPr>
        <w:t>Caparo</w:t>
      </w:r>
      <w:proofErr w:type="spellEnd"/>
      <w:r w:rsidRPr="00E72124">
        <w:rPr>
          <w:rFonts w:cs="Times New Roman"/>
          <w:i/>
          <w:iCs/>
          <w:lang w:val="en-US"/>
        </w:rPr>
        <w:t xml:space="preserve"> Industries plc. v. </w:t>
      </w:r>
      <w:proofErr w:type="spellStart"/>
      <w:r w:rsidRPr="00E72124">
        <w:rPr>
          <w:rFonts w:cs="Times New Roman"/>
          <w:i/>
          <w:iCs/>
          <w:lang w:val="en-US"/>
        </w:rPr>
        <w:t>Dickman</w:t>
      </w:r>
      <w:proofErr w:type="spellEnd"/>
      <w:r w:rsidRPr="00E72124">
        <w:rPr>
          <w:rFonts w:cs="Times New Roman"/>
          <w:iCs/>
          <w:lang w:val="en-US"/>
        </w:rPr>
        <w:t>,</w:t>
      </w:r>
      <w:r w:rsidRPr="00E72124">
        <w:rPr>
          <w:rFonts w:cs="Times New Roman"/>
          <w:i/>
          <w:iCs/>
          <w:lang w:val="en-US"/>
        </w:rPr>
        <w:t xml:space="preserve"> </w:t>
      </w:r>
      <w:r w:rsidRPr="00E72124">
        <w:rPr>
          <w:rFonts w:cs="Times New Roman"/>
          <w:lang w:val="en-US"/>
        </w:rPr>
        <w:t>[1990] 1 All E.R. 568 (H.L.), at pp. 637-38</w:t>
      </w:r>
      <w:r w:rsidRPr="00E72124">
        <w:rPr>
          <w:rFonts w:cs="Times New Roman"/>
          <w:lang w:val="en"/>
        </w:rPr>
        <w:t xml:space="preserve">; </w:t>
      </w:r>
      <w:proofErr w:type="spellStart"/>
      <w:r w:rsidRPr="00E72124">
        <w:rPr>
          <w:rFonts w:cs="Times New Roman"/>
          <w:i/>
          <w:lang w:val="en"/>
        </w:rPr>
        <w:t>Glanzer</w:t>
      </w:r>
      <w:proofErr w:type="spellEnd"/>
      <w:r w:rsidRPr="00E72124">
        <w:rPr>
          <w:rFonts w:cs="Times New Roman"/>
          <w:i/>
          <w:lang w:val="en"/>
        </w:rPr>
        <w:t xml:space="preserve"> v. Shepard</w:t>
      </w:r>
      <w:r w:rsidRPr="00E72124">
        <w:rPr>
          <w:rFonts w:cs="Times New Roman"/>
          <w:lang w:val="en"/>
        </w:rPr>
        <w:t xml:space="preserve">, 135 N.E. 275 (N.Y. 1922) at pp. 275-76; </w:t>
      </w:r>
      <w:proofErr w:type="spellStart"/>
      <w:r w:rsidRPr="00E72124">
        <w:rPr>
          <w:rFonts w:cs="Times New Roman"/>
          <w:i/>
          <w:lang w:val="en"/>
        </w:rPr>
        <w:t>Ultramares</w:t>
      </w:r>
      <w:proofErr w:type="spellEnd"/>
      <w:r w:rsidRPr="00E72124">
        <w:rPr>
          <w:rFonts w:cs="Times New Roman"/>
          <w:lang w:val="en"/>
        </w:rPr>
        <w:t xml:space="preserve"> </w:t>
      </w:r>
      <w:r w:rsidRPr="00E72124">
        <w:rPr>
          <w:rFonts w:cs="Times New Roman"/>
          <w:i/>
          <w:lang w:val="en"/>
        </w:rPr>
        <w:t xml:space="preserve">Corp. v. </w:t>
      </w:r>
      <w:proofErr w:type="spellStart"/>
      <w:r w:rsidRPr="00E72124">
        <w:rPr>
          <w:rFonts w:cs="Times New Roman"/>
          <w:i/>
          <w:lang w:val="en"/>
        </w:rPr>
        <w:t>Touche</w:t>
      </w:r>
      <w:proofErr w:type="spellEnd"/>
      <w:r w:rsidRPr="00E72124">
        <w:rPr>
          <w:rFonts w:cs="Times New Roman"/>
          <w:lang w:val="en"/>
        </w:rPr>
        <w:t>,</w:t>
      </w:r>
      <w:r w:rsidRPr="00E72124">
        <w:rPr>
          <w:rFonts w:cs="Times New Roman"/>
          <w:i/>
          <w:lang w:val="en"/>
        </w:rPr>
        <w:t xml:space="preserve"> </w:t>
      </w:r>
      <w:r w:rsidRPr="00E72124">
        <w:rPr>
          <w:rFonts w:cs="Times New Roman"/>
          <w:lang w:val="en"/>
        </w:rPr>
        <w:t xml:space="preserve">174 N.E. 441 (N.Y. 1931), at pp. 445-46; E. J. </w:t>
      </w:r>
      <w:proofErr w:type="spellStart"/>
      <w:r w:rsidRPr="00E72124">
        <w:rPr>
          <w:rFonts w:cs="Times New Roman"/>
          <w:lang w:val="en"/>
        </w:rPr>
        <w:t>Weinrib</w:t>
      </w:r>
      <w:proofErr w:type="spellEnd"/>
      <w:r w:rsidRPr="00E72124">
        <w:rPr>
          <w:rFonts w:cs="Times New Roman"/>
          <w:lang w:val="en"/>
        </w:rPr>
        <w:t xml:space="preserve">, “The Disintegration of Duty” (2006), 31 </w:t>
      </w:r>
      <w:r w:rsidRPr="00E72124">
        <w:rPr>
          <w:rFonts w:cs="Times New Roman"/>
          <w:i/>
          <w:lang w:val="en"/>
        </w:rPr>
        <w:t xml:space="preserve">Adv. Q. </w:t>
      </w:r>
      <w:r w:rsidRPr="00E72124">
        <w:rPr>
          <w:rFonts w:cs="Times New Roman"/>
          <w:lang w:val="en"/>
        </w:rPr>
        <w:t>212, at p. 230).</w:t>
      </w:r>
    </w:p>
    <w:p w:rsidR="00D7327A" w:rsidRPr="00E72124" w:rsidRDefault="00D7327A" w:rsidP="00D7327A">
      <w:pPr>
        <w:pStyle w:val="ParaNoNdepar-AltN"/>
        <w:tabs>
          <w:tab w:val="clear" w:pos="1152"/>
          <w:tab w:val="left" w:pos="1166"/>
        </w:tabs>
        <w:rPr>
          <w:rFonts w:cs="Times New Roman"/>
          <w:lang w:val="en"/>
        </w:rPr>
      </w:pPr>
      <w:r w:rsidRPr="00E72124">
        <w:rPr>
          <w:rFonts w:cs="Times New Roman"/>
          <w:lang w:val="en"/>
        </w:rPr>
        <w:t xml:space="preserve">Rights, like duties, are, however, not limitless. Any reliance on the part of the plaintiff which falls outside of the scope of the defendant’s undertaking of responsibility </w:t>
      </w:r>
      <w:r w:rsidRPr="00E72124">
        <w:rPr>
          <w:rFonts w:cs="Times New Roman"/>
        </w:rPr>
        <w:t>—</w:t>
      </w:r>
      <w:r w:rsidRPr="00E72124">
        <w:rPr>
          <w:rFonts w:cs="Times New Roman"/>
          <w:lang w:val="en"/>
        </w:rPr>
        <w:t xml:space="preserve"> that is, of the purpose for which the representation was made or the service was undertaken </w:t>
      </w:r>
      <w:r w:rsidRPr="00E72124">
        <w:rPr>
          <w:rFonts w:cs="Times New Roman"/>
        </w:rPr>
        <w:t>—</w:t>
      </w:r>
      <w:r w:rsidRPr="00E72124">
        <w:rPr>
          <w:rFonts w:cs="Times New Roman"/>
          <w:lang w:val="en"/>
        </w:rPr>
        <w:t xml:space="preserve"> necessarily falls outside the scope of the proximate relationship and, therefore, of the defendant’s duty of care (</w:t>
      </w:r>
      <w:proofErr w:type="spellStart"/>
      <w:r w:rsidRPr="00E72124">
        <w:rPr>
          <w:rFonts w:cs="Times New Roman"/>
          <w:lang w:val="en"/>
        </w:rPr>
        <w:t>Weinrib</w:t>
      </w:r>
      <w:proofErr w:type="spellEnd"/>
      <w:r w:rsidRPr="00E72124">
        <w:rPr>
          <w:rFonts w:cs="Times New Roman"/>
          <w:lang w:val="en"/>
        </w:rPr>
        <w:t xml:space="preserve">; A. </w:t>
      </w:r>
      <w:proofErr w:type="spellStart"/>
      <w:r w:rsidRPr="00E72124">
        <w:rPr>
          <w:rFonts w:cs="Times New Roman"/>
          <w:lang w:val="en"/>
        </w:rPr>
        <w:t>Beever</w:t>
      </w:r>
      <w:proofErr w:type="spellEnd"/>
      <w:r w:rsidRPr="00E72124">
        <w:rPr>
          <w:rFonts w:cs="Times New Roman"/>
          <w:lang w:val="en"/>
        </w:rPr>
        <w:t xml:space="preserve">, </w:t>
      </w:r>
      <w:r w:rsidRPr="00E72124">
        <w:rPr>
          <w:rFonts w:cs="Times New Roman"/>
          <w:i/>
          <w:lang w:val="en"/>
        </w:rPr>
        <w:t>Rediscovering the Law of Negligence</w:t>
      </w:r>
      <w:r w:rsidRPr="00E72124">
        <w:rPr>
          <w:rFonts w:cs="Times New Roman"/>
          <w:lang w:val="en"/>
        </w:rPr>
        <w:t xml:space="preserve"> (2007), at pp. 293-94). This principle, also referred to as the “end and aim” rule, properly limits liability on the basis that the defendant cannot be liable for a risk of injury against which he did not undertake to protect (</w:t>
      </w:r>
      <w:proofErr w:type="spellStart"/>
      <w:r w:rsidRPr="00E72124">
        <w:rPr>
          <w:rFonts w:cs="Times New Roman"/>
          <w:i/>
          <w:lang w:val="en"/>
        </w:rPr>
        <w:t>Glanzer</w:t>
      </w:r>
      <w:proofErr w:type="spellEnd"/>
      <w:r w:rsidRPr="00E72124">
        <w:rPr>
          <w:rFonts w:cs="Times New Roman"/>
          <w:lang w:val="en"/>
        </w:rPr>
        <w:t xml:space="preserve">, at pp. 275 and 277; </w:t>
      </w:r>
      <w:proofErr w:type="spellStart"/>
      <w:r w:rsidRPr="00E72124">
        <w:rPr>
          <w:rFonts w:cs="Times New Roman"/>
          <w:i/>
          <w:lang w:val="en"/>
        </w:rPr>
        <w:t>Ultramares</w:t>
      </w:r>
      <w:proofErr w:type="spellEnd"/>
      <w:r w:rsidRPr="00E72124">
        <w:rPr>
          <w:rFonts w:cs="Times New Roman"/>
          <w:lang w:val="en"/>
        </w:rPr>
        <w:t xml:space="preserve">, at pp. 445-46; </w:t>
      </w:r>
      <w:r w:rsidRPr="00E72124">
        <w:rPr>
          <w:rFonts w:cs="Times New Roman"/>
          <w:i/>
          <w:lang w:val="en"/>
        </w:rPr>
        <w:t>Haig</w:t>
      </w:r>
      <w:r w:rsidRPr="00E72124">
        <w:rPr>
          <w:rFonts w:cs="Times New Roman"/>
          <w:lang w:val="en"/>
        </w:rPr>
        <w:t xml:space="preserve">, at p. 482). By assessing all relevant factors arising from the relationship between the parties, the proximity analysis not only determines the </w:t>
      </w:r>
      <w:r w:rsidRPr="00E72124">
        <w:rPr>
          <w:rFonts w:cs="Times New Roman"/>
          <w:i/>
          <w:lang w:val="en"/>
        </w:rPr>
        <w:t>existence</w:t>
      </w:r>
      <w:r w:rsidRPr="00E72124">
        <w:rPr>
          <w:rFonts w:cs="Times New Roman"/>
          <w:lang w:val="en"/>
        </w:rPr>
        <w:t xml:space="preserve"> of a relationship of proximity, but also delineates the </w:t>
      </w:r>
      <w:r w:rsidRPr="00E72124">
        <w:rPr>
          <w:rFonts w:cs="Times New Roman"/>
          <w:i/>
          <w:lang w:val="en"/>
        </w:rPr>
        <w:t xml:space="preserve">scope </w:t>
      </w:r>
      <w:r w:rsidRPr="00E72124">
        <w:rPr>
          <w:rFonts w:cs="Times New Roman"/>
          <w:lang w:val="en"/>
        </w:rPr>
        <w:t>of the rights and duties which flow from that relationship. In short, it furnishes not only a “principled basis upon which to draw the line between those to whom the duty is owed and those to whom it is not” (</w:t>
      </w:r>
      <w:proofErr w:type="spellStart"/>
      <w:r w:rsidRPr="00E72124">
        <w:rPr>
          <w:rFonts w:cs="Times New Roman"/>
          <w:i/>
          <w:lang w:val="en"/>
        </w:rPr>
        <w:t>Fullowka</w:t>
      </w:r>
      <w:proofErr w:type="spellEnd"/>
      <w:r w:rsidRPr="00E72124">
        <w:rPr>
          <w:rFonts w:cs="Times New Roman"/>
          <w:lang w:val="en"/>
        </w:rPr>
        <w:t>, at para. 70), but also a principled delineation of the scope of such duty, based upon the purpose for which the defendant undertakes responsibility. As we will explain, these principled limits are essential to determining the type of injury that was a reasonably foreseeable consequence of the defendant’s negligence.</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Reasonable Foreseeability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Assessing reasonable foreseeability in the </w:t>
      </w:r>
      <w:r w:rsidRPr="00E72124">
        <w:rPr>
          <w:rFonts w:cs="Times New Roman"/>
          <w:i/>
        </w:rPr>
        <w:t xml:space="preserve">prima facie </w:t>
      </w:r>
      <w:r w:rsidRPr="00E72124">
        <w:rPr>
          <w:rFonts w:cs="Times New Roman"/>
        </w:rPr>
        <w:t xml:space="preserve">duty of care analysis </w:t>
      </w:r>
      <w:r w:rsidRPr="00E72124">
        <w:rPr>
          <w:rFonts w:cs="Times New Roman"/>
          <w:lang w:val="en"/>
        </w:rPr>
        <w:t>entails asking</w:t>
      </w:r>
      <w:r w:rsidRPr="00E72124">
        <w:rPr>
          <w:rFonts w:cs="Times New Roman"/>
        </w:rPr>
        <w:t xml:space="preserve"> whether an injury to the plaintiff was a reasonably foreseeable consequence of the defendant’s negligence (</w:t>
      </w:r>
      <w:r w:rsidRPr="00E72124">
        <w:rPr>
          <w:rFonts w:cs="Times New Roman"/>
          <w:i/>
        </w:rPr>
        <w:t>Cooper</w:t>
      </w:r>
      <w:r w:rsidRPr="00E72124">
        <w:rPr>
          <w:rFonts w:cs="Times New Roman"/>
        </w:rPr>
        <w:t>, at para. 30).</w:t>
      </w:r>
    </w:p>
    <w:p w:rsidR="00D7327A" w:rsidRPr="00E72124" w:rsidRDefault="00D7327A" w:rsidP="00D7327A">
      <w:pPr>
        <w:pStyle w:val="ParaNoNdepar-AltN"/>
        <w:tabs>
          <w:tab w:val="clear" w:pos="1152"/>
          <w:tab w:val="left" w:pos="1166"/>
        </w:tabs>
        <w:rPr>
          <w:rFonts w:cs="Times New Roman"/>
        </w:rPr>
      </w:pPr>
      <w:r w:rsidRPr="00E72124">
        <w:rPr>
          <w:rFonts w:cs="Times New Roman"/>
        </w:rPr>
        <w:t>Broadly speaking, reasonable foreseeability concerns the likelihood of injury arising from the defendant’s negligence (</w:t>
      </w:r>
      <w:r w:rsidRPr="00E72124">
        <w:rPr>
          <w:rFonts w:cs="Times New Roman"/>
          <w:i/>
        </w:rPr>
        <w:t>Donoghue</w:t>
      </w:r>
      <w:r w:rsidRPr="00E72124">
        <w:rPr>
          <w:rFonts w:cs="Times New Roman"/>
        </w:rPr>
        <w:t xml:space="preserve">, at p. 580). This inquiry is not amenable to, and does not require, actuarial precision. The jurisprudence gives content, however, to the foreseeability inquiry, providing courts with guidance. In the abstract, a defendant’s negligent misrepresentation or performance of a service could potentially give rise to innumerable injuries tangentially cascading from the originally contemplated service. This was so in </w:t>
      </w:r>
      <w:r w:rsidRPr="00E72124">
        <w:rPr>
          <w:rFonts w:cs="Times New Roman"/>
          <w:i/>
        </w:rPr>
        <w:t>Hercules</w:t>
      </w:r>
      <w:r w:rsidRPr="00E72124">
        <w:rPr>
          <w:rFonts w:cs="Times New Roman"/>
        </w:rPr>
        <w:t>, where the Court recognized that an auditor’s statement could be relied upon by a potentially limitless number of individuals (e.g., shareholders or takeover bidders), for a potentially limitless array of purposes (e.g.</w:t>
      </w:r>
      <w:r w:rsidRPr="00E72124">
        <w:rPr>
          <w:rFonts w:cs="Times New Roman"/>
          <w:lang w:val="en"/>
        </w:rPr>
        <w:t xml:space="preserve">, </w:t>
      </w:r>
      <w:r w:rsidRPr="00E72124">
        <w:rPr>
          <w:rFonts w:cs="Times New Roman"/>
        </w:rPr>
        <w:t>investments or takeover bids), any of which could result in various foreseeable injuries.</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As we have already observed, however, reasonable foreseeability of injury is no longer the sole consideration at the first stage of the </w:t>
      </w:r>
      <w:proofErr w:type="spellStart"/>
      <w:r w:rsidRPr="00E72124">
        <w:rPr>
          <w:rFonts w:cs="Times New Roman"/>
          <w:i/>
        </w:rPr>
        <w:t>Anns</w:t>
      </w:r>
      <w:proofErr w:type="spellEnd"/>
      <w:r w:rsidRPr="00E72124">
        <w:rPr>
          <w:rFonts w:cs="Times New Roman"/>
          <w:i/>
        </w:rPr>
        <w:t>/Cooper</w:t>
      </w:r>
      <w:r w:rsidRPr="00E72124">
        <w:rPr>
          <w:rFonts w:cs="Times New Roman"/>
        </w:rPr>
        <w:t xml:space="preserve"> framework. Since </w:t>
      </w:r>
      <w:r w:rsidRPr="00E72124">
        <w:rPr>
          <w:rFonts w:cs="Times New Roman"/>
          <w:i/>
        </w:rPr>
        <w:t>Cooper</w:t>
      </w:r>
      <w:r w:rsidRPr="00E72124">
        <w:rPr>
          <w:rFonts w:cs="Times New Roman"/>
        </w:rPr>
        <w:t xml:space="preserve">, both reasonable foreseeability </w:t>
      </w:r>
      <w:r w:rsidRPr="00E72124">
        <w:rPr>
          <w:rFonts w:cs="Times New Roman"/>
          <w:i/>
        </w:rPr>
        <w:t xml:space="preserve">and proximity </w:t>
      </w:r>
      <w:r w:rsidRPr="00E72124">
        <w:rPr>
          <w:rFonts w:cs="Times New Roman"/>
        </w:rPr>
        <w:t xml:space="preserve">— the latter expressed in </w:t>
      </w:r>
      <w:r w:rsidRPr="00E72124">
        <w:rPr>
          <w:rFonts w:cs="Times New Roman"/>
          <w:i/>
        </w:rPr>
        <w:t xml:space="preserve">Cooper </w:t>
      </w:r>
      <w:r w:rsidRPr="00E72124">
        <w:rPr>
          <w:rFonts w:cs="Times New Roman"/>
        </w:rPr>
        <w:t xml:space="preserve">as a distinct and more demanding hurdle than reasonable foreseeability — must be proven in order to establish a </w:t>
      </w:r>
      <w:r w:rsidRPr="00E72124">
        <w:rPr>
          <w:rFonts w:cs="Times New Roman"/>
          <w:i/>
        </w:rPr>
        <w:t xml:space="preserve">prima facie </w:t>
      </w:r>
      <w:r w:rsidRPr="00E72124">
        <w:rPr>
          <w:rFonts w:cs="Times New Roman"/>
        </w:rPr>
        <w:t>duty of care. And, in cases of negligent misrepresentation or performance of a service, the proximate relationship — grounded in the defendant’s undertaking and the plaintiff’s reliance — informs the foreseeability inquiry. Meaning, the purpose underlying that undertaking and that corresponding reliance limits the type of injury which could be reasonably foreseen to result from the defendant’s negligence.</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As a matter of first principles, it must be borne in mind that an injury to the plaintiff in this sort of </w:t>
      </w:r>
      <w:proofErr w:type="spellStart"/>
      <w:r w:rsidRPr="00E72124">
        <w:rPr>
          <w:rFonts w:cs="Times New Roman"/>
        </w:rPr>
        <w:t>case</w:t>
      </w:r>
      <w:proofErr w:type="spellEnd"/>
      <w:r w:rsidRPr="00E72124">
        <w:rPr>
          <w:rFonts w:cs="Times New Roman"/>
        </w:rPr>
        <w:t xml:space="preserve"> flows from the fact that he or she detrimentally relied on the defendant’s undertaking, whether it take the form of a representation or the performance of a service.  It follows that an injury to the plaintiff will be reasonably foreseeable if (1) the defendant should have reasonably foreseen that the plaintiff would rely on his or her representation; and (2) such reliance would, in the particular circumstances of the case, be reasonable (</w:t>
      </w:r>
      <w:r w:rsidRPr="00E72124">
        <w:rPr>
          <w:rFonts w:cs="Times New Roman"/>
          <w:i/>
        </w:rPr>
        <w:t>Hercules</w:t>
      </w:r>
      <w:r w:rsidRPr="00E72124">
        <w:rPr>
          <w:rFonts w:cs="Times New Roman"/>
        </w:rPr>
        <w:t>, at para. 27). Both the reasonableness and the reasonable foreseeability of the plaintiff’s reliance will be determined by the relationship of proximity between the parties; a plaintiff has a right to rely on a defendant to act with reasonable care for the particular purpose of the defendant’s undertaking, and his or her reliance on the defendant for that purpose is therefore both reasonable and reasonably foreseeable. But a plaintiff has no right to rely on a defendant for any</w:t>
      </w:r>
      <w:r w:rsidRPr="00E72124">
        <w:rPr>
          <w:rFonts w:cs="Times New Roman"/>
          <w:i/>
        </w:rPr>
        <w:t xml:space="preserve"> </w:t>
      </w:r>
      <w:r w:rsidRPr="00E72124">
        <w:rPr>
          <w:rFonts w:cs="Times New Roman"/>
        </w:rPr>
        <w:t>other purpose, because such reliance would fall outside the scope of the defendant’s undertaking.  As such, any consequent injury could not have been reasonably foreseeable.</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We add this. Under the </w:t>
      </w:r>
      <w:proofErr w:type="spellStart"/>
      <w:r w:rsidRPr="00E72124">
        <w:rPr>
          <w:rFonts w:cs="Times New Roman"/>
          <w:i/>
        </w:rPr>
        <w:t>Anns</w:t>
      </w:r>
      <w:proofErr w:type="spellEnd"/>
      <w:r w:rsidRPr="00E72124">
        <w:rPr>
          <w:rFonts w:cs="Times New Roman"/>
        </w:rPr>
        <w:t xml:space="preserve"> test, the Court recognized that auditors may owe a </w:t>
      </w:r>
      <w:r w:rsidRPr="00E72124">
        <w:rPr>
          <w:rFonts w:cs="Times New Roman"/>
          <w:i/>
        </w:rPr>
        <w:t xml:space="preserve">prima facie </w:t>
      </w:r>
      <w:r w:rsidRPr="00E72124">
        <w:rPr>
          <w:rFonts w:cs="Times New Roman"/>
        </w:rPr>
        <w:t>duty of care to an innumerable number of parties on the basis of reasonable foreseeability alone (</w:t>
      </w:r>
      <w:r w:rsidRPr="00E72124">
        <w:rPr>
          <w:rFonts w:cs="Times New Roman"/>
          <w:i/>
        </w:rPr>
        <w:t>Hercules</w:t>
      </w:r>
      <w:r w:rsidRPr="00E72124">
        <w:rPr>
          <w:rFonts w:cs="Times New Roman"/>
        </w:rPr>
        <w:t xml:space="preserve">, at para. 32). We acknowledge that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when applied to cases of negligent misrepresentation, will give rise to a far narrower scope of reasonably foreseeable injuries and, therefore, a narrower range of </w:t>
      </w:r>
      <w:r w:rsidRPr="00E72124">
        <w:rPr>
          <w:rFonts w:cs="Times New Roman"/>
          <w:i/>
        </w:rPr>
        <w:t xml:space="preserve">prima facie </w:t>
      </w:r>
      <w:r w:rsidRPr="00E72124">
        <w:rPr>
          <w:rFonts w:cs="Times New Roman"/>
        </w:rPr>
        <w:t xml:space="preserve">duties of care. This is no indictment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analysis. Rather, it was the very purpose and effect of this Court’s instruction in </w:t>
      </w:r>
      <w:r w:rsidRPr="00E72124">
        <w:rPr>
          <w:rFonts w:cs="Times New Roman"/>
          <w:i/>
        </w:rPr>
        <w:t xml:space="preserve">Cooper </w:t>
      </w:r>
      <w:r w:rsidRPr="00E72124">
        <w:rPr>
          <w:rFonts w:cs="Times New Roman"/>
        </w:rPr>
        <w:t xml:space="preserve">that “something </w:t>
      </w:r>
      <w:r w:rsidRPr="00E72124">
        <w:rPr>
          <w:rFonts w:cs="Times New Roman"/>
          <w:i/>
        </w:rPr>
        <w:t>more</w:t>
      </w:r>
      <w:r w:rsidRPr="00E72124">
        <w:rPr>
          <w:rFonts w:cs="Times New Roman"/>
        </w:rPr>
        <w:t>”</w:t>
      </w:r>
      <w:r w:rsidRPr="00E72124">
        <w:rPr>
          <w:rFonts w:cs="Times New Roman"/>
          <w:i/>
        </w:rPr>
        <w:t xml:space="preserve"> </w:t>
      </w:r>
      <w:r w:rsidRPr="00E72124">
        <w:rPr>
          <w:rFonts w:cs="Times New Roman"/>
        </w:rPr>
        <w:t xml:space="preserve">than mere foreseeability is required at the first stage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By requiring examination of the relationship between the parties as we have just discussed, </w:t>
      </w:r>
      <w:r w:rsidRPr="00E72124">
        <w:rPr>
          <w:rFonts w:cs="Times New Roman"/>
          <w:i/>
        </w:rPr>
        <w:t>Cooper</w:t>
      </w:r>
      <w:r w:rsidRPr="00E72124">
        <w:rPr>
          <w:rFonts w:cs="Times New Roman"/>
        </w:rPr>
        <w:t xml:space="preserve"> gave Canadian courts a more complete array of legal tools to determine whether it is “just and fair” to impose a </w:t>
      </w:r>
      <w:r w:rsidRPr="00E72124">
        <w:rPr>
          <w:rFonts w:cs="Times New Roman"/>
          <w:i/>
        </w:rPr>
        <w:t xml:space="preserve">prima facie </w:t>
      </w:r>
      <w:r w:rsidRPr="00E72124">
        <w:rPr>
          <w:rFonts w:cs="Times New Roman"/>
        </w:rPr>
        <w:t xml:space="preserve">duty of care. </w:t>
      </w:r>
    </w:p>
    <w:p w:rsidR="00D7327A" w:rsidRPr="00E72124" w:rsidRDefault="00D7327A" w:rsidP="00D7327A">
      <w:pPr>
        <w:pStyle w:val="Title4LevelTitre4Niveau"/>
        <w:tabs>
          <w:tab w:val="clear" w:pos="900"/>
          <w:tab w:val="num" w:pos="1206"/>
        </w:tabs>
        <w:rPr>
          <w:rFonts w:cs="Times New Roman"/>
        </w:rPr>
      </w:pPr>
      <w:r w:rsidRPr="00E72124">
        <w:rPr>
          <w:rFonts w:cs="Times New Roman"/>
        </w:rPr>
        <w:t>Stage Two: Residual Policy Considerations</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Where a </w:t>
      </w:r>
      <w:r w:rsidRPr="00E72124">
        <w:rPr>
          <w:rFonts w:cs="Times New Roman"/>
          <w:i/>
        </w:rPr>
        <w:t xml:space="preserve">prima facie </w:t>
      </w:r>
      <w:r w:rsidRPr="00E72124">
        <w:rPr>
          <w:rFonts w:cs="Times New Roman"/>
        </w:rPr>
        <w:t xml:space="preserve">duty of care is recognized on the basis of proximity and reasonable foreseeability, the analysis advances to stage two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Here, the question is whether there are “residual policy considerations” outside the relationship of the parties that may negate the imposition of a duty of care (</w:t>
      </w:r>
      <w:r w:rsidRPr="00E72124">
        <w:rPr>
          <w:rFonts w:cs="Times New Roman"/>
          <w:i/>
        </w:rPr>
        <w:t>Cooper</w:t>
      </w:r>
      <w:r w:rsidRPr="00E72124">
        <w:rPr>
          <w:rFonts w:cs="Times New Roman"/>
        </w:rPr>
        <w:t xml:space="preserve">, at para. 30; </w:t>
      </w:r>
      <w:r w:rsidRPr="00E72124">
        <w:rPr>
          <w:rFonts w:cs="Times New Roman"/>
          <w:i/>
        </w:rPr>
        <w:t>Edwards</w:t>
      </w:r>
      <w:r w:rsidRPr="00E72124">
        <w:rPr>
          <w:rFonts w:cs="Times New Roman"/>
        </w:rPr>
        <w:t xml:space="preserve">, at para. 10; </w:t>
      </w:r>
      <w:proofErr w:type="spellStart"/>
      <w:r w:rsidRPr="00E72124">
        <w:rPr>
          <w:rFonts w:cs="Times New Roman"/>
          <w:i/>
        </w:rPr>
        <w:t>Odhavji</w:t>
      </w:r>
      <w:proofErr w:type="spellEnd"/>
      <w:r w:rsidRPr="00E72124">
        <w:rPr>
          <w:rFonts w:cs="Times New Roman"/>
        </w:rPr>
        <w:t xml:space="preserve">, at para. 51). </w:t>
      </w:r>
    </w:p>
    <w:p w:rsidR="00D7327A" w:rsidRPr="00E72124" w:rsidRDefault="00D7327A" w:rsidP="00D7327A">
      <w:pPr>
        <w:pStyle w:val="ParaNoNdepar-AltN"/>
        <w:tabs>
          <w:tab w:val="clear" w:pos="1152"/>
          <w:tab w:val="left" w:pos="1166"/>
        </w:tabs>
        <w:rPr>
          <w:rFonts w:cs="Times New Roman"/>
        </w:rPr>
      </w:pPr>
      <w:r w:rsidRPr="00E72124">
        <w:rPr>
          <w:rFonts w:cs="Times New Roman"/>
        </w:rPr>
        <w:t>By “residual”, we mean that such considerations “are not concerned with the relationship between the parties [already considered at stage one], but with the effect of recognizing a duty of care on other legal obligations, the legal system and society more generally”</w:t>
      </w:r>
      <w:r w:rsidRPr="00E72124">
        <w:rPr>
          <w:rFonts w:cs="Times New Roman"/>
          <w:i/>
        </w:rPr>
        <w:t xml:space="preserve"> </w:t>
      </w:r>
      <w:r w:rsidRPr="00E72124">
        <w:rPr>
          <w:rFonts w:cs="Times New Roman"/>
        </w:rPr>
        <w:t>(</w:t>
      </w:r>
      <w:r w:rsidRPr="00E72124">
        <w:rPr>
          <w:rFonts w:cs="Times New Roman"/>
          <w:i/>
        </w:rPr>
        <w:t>Cooper</w:t>
      </w:r>
      <w:r w:rsidRPr="00E72124">
        <w:rPr>
          <w:rFonts w:cs="Times New Roman"/>
        </w:rPr>
        <w:t xml:space="preserve">, at para. 37; see also </w:t>
      </w:r>
      <w:r w:rsidRPr="00E72124">
        <w:rPr>
          <w:rFonts w:cs="Times New Roman"/>
          <w:i/>
        </w:rPr>
        <w:t>Edwards</w:t>
      </w:r>
      <w:r w:rsidRPr="00E72124">
        <w:rPr>
          <w:rFonts w:cs="Times New Roman"/>
        </w:rPr>
        <w:t xml:space="preserve">, at para. 10).  To the extent, therefore, that stage one of the </w:t>
      </w:r>
      <w:r w:rsidRPr="00E72124">
        <w:rPr>
          <w:rFonts w:cs="Times New Roman"/>
          <w:i/>
        </w:rPr>
        <w:t xml:space="preserve">prima facie </w:t>
      </w:r>
      <w:r w:rsidRPr="00E72124">
        <w:rPr>
          <w:rFonts w:cs="Times New Roman"/>
        </w:rPr>
        <w:t xml:space="preserve">duty of care is said to engage “policy” considerations arising from the relationship between the parties — i.e., the recognition that it is sound “policy” to only hold defendants liable for negligence when they are in a proximate relationship with the plaintiff and when the injury suffered was reasonably foreseeable (see </w:t>
      </w:r>
      <w:r w:rsidRPr="00E72124">
        <w:rPr>
          <w:rFonts w:cs="Times New Roman"/>
          <w:i/>
        </w:rPr>
        <w:t>Cooper</w:t>
      </w:r>
      <w:r w:rsidRPr="00E72124">
        <w:rPr>
          <w:rFonts w:cs="Times New Roman"/>
        </w:rPr>
        <w:t>, at para. 25) — such “policy” considerations are not revisited at stage two (</w:t>
      </w:r>
      <w:r w:rsidRPr="00E72124">
        <w:rPr>
          <w:rFonts w:cs="Times New Roman"/>
          <w:i/>
          <w:lang w:val="en"/>
        </w:rPr>
        <w:t>ibid.</w:t>
      </w:r>
      <w:r w:rsidRPr="00E72124">
        <w:rPr>
          <w:rFonts w:cs="Times New Roman"/>
          <w:lang w:val="en"/>
        </w:rPr>
        <w:t xml:space="preserve">, </w:t>
      </w:r>
      <w:r w:rsidRPr="00E72124">
        <w:rPr>
          <w:rFonts w:cs="Times New Roman"/>
        </w:rPr>
        <w:t xml:space="preserve">at para. 28). Indeed such </w:t>
      </w:r>
      <w:r w:rsidRPr="00E72124">
        <w:rPr>
          <w:rFonts w:cs="Times New Roman"/>
          <w:i/>
        </w:rPr>
        <w:t>re</w:t>
      </w:r>
      <w:r w:rsidRPr="00E72124">
        <w:rPr>
          <w:rFonts w:cs="Times New Roman"/>
        </w:rPr>
        <w:t>consideration would be both redundant and analytically confusing (</w:t>
      </w:r>
      <w:proofErr w:type="gramStart"/>
      <w:r w:rsidRPr="00E72124">
        <w:rPr>
          <w:rFonts w:cs="Times New Roman"/>
          <w:i/>
          <w:lang w:val="en"/>
        </w:rPr>
        <w:t>ibid.</w:t>
      </w:r>
      <w:r w:rsidRPr="00E72124">
        <w:rPr>
          <w:rFonts w:cs="Times New Roman"/>
          <w:lang w:val="en"/>
        </w:rPr>
        <w:t>,</w:t>
      </w:r>
      <w:proofErr w:type="gramEnd"/>
      <w:r w:rsidRPr="00E72124">
        <w:rPr>
          <w:rFonts w:cs="Times New Roman"/>
          <w:lang w:val="en"/>
        </w:rPr>
        <w:t xml:space="preserve"> </w:t>
      </w:r>
      <w:r w:rsidRPr="00E72124">
        <w:rPr>
          <w:rFonts w:cs="Times New Roman"/>
        </w:rPr>
        <w:t xml:space="preserve">at para. 29). </w:t>
      </w:r>
    </w:p>
    <w:p w:rsidR="00D7327A" w:rsidRPr="00E72124" w:rsidRDefault="00D7327A" w:rsidP="00D7327A">
      <w:pPr>
        <w:pStyle w:val="ParaNoNdepar-AltN"/>
        <w:rPr>
          <w:rFonts w:cs="Times New Roman"/>
        </w:rPr>
      </w:pPr>
      <w:r w:rsidRPr="00E72124">
        <w:rPr>
          <w:rFonts w:cs="Times New Roman"/>
          <w:i/>
        </w:rPr>
        <w:t>Cooper</w:t>
      </w:r>
      <w:r w:rsidRPr="00E72124">
        <w:rPr>
          <w:rFonts w:cs="Times New Roman"/>
        </w:rPr>
        <w:t xml:space="preserve">, and in particular, its strict delineation between “factors arising from the </w:t>
      </w:r>
      <w:r w:rsidRPr="00E72124">
        <w:rPr>
          <w:rFonts w:cs="Times New Roman"/>
          <w:i/>
        </w:rPr>
        <w:t>relationship</w:t>
      </w:r>
      <w:r w:rsidRPr="00E72124">
        <w:rPr>
          <w:rFonts w:cs="Times New Roman"/>
        </w:rPr>
        <w:t xml:space="preserve"> [between the parties]” (para. 30 (emphasis in original)) and factors that “are not concerned with the relationship between the parties” (para. 37) has impacted the stage at which certain factors are considered within the </w:t>
      </w:r>
      <w:proofErr w:type="spellStart"/>
      <w:r w:rsidRPr="00E72124">
        <w:rPr>
          <w:rFonts w:cs="Times New Roman"/>
          <w:i/>
        </w:rPr>
        <w:t>Anns</w:t>
      </w:r>
      <w:proofErr w:type="spellEnd"/>
      <w:r w:rsidRPr="00E72124">
        <w:rPr>
          <w:rFonts w:cs="Times New Roman"/>
          <w:i/>
        </w:rPr>
        <w:t>/Cooper</w:t>
      </w:r>
      <w:r w:rsidRPr="00E72124">
        <w:rPr>
          <w:rFonts w:cs="Times New Roman"/>
        </w:rPr>
        <w:t xml:space="preserve"> framework. For example, principles that were traditionally considered at the second stage of the </w:t>
      </w:r>
      <w:proofErr w:type="spellStart"/>
      <w:r w:rsidRPr="00E72124">
        <w:rPr>
          <w:rFonts w:cs="Times New Roman"/>
          <w:i/>
        </w:rPr>
        <w:t>Anns</w:t>
      </w:r>
      <w:proofErr w:type="spellEnd"/>
      <w:r w:rsidRPr="00E72124">
        <w:rPr>
          <w:rFonts w:cs="Times New Roman"/>
        </w:rPr>
        <w:t xml:space="preserve"> test in cases of negligent misrepresentation, such as (1) whether the defendant knew the identity of the plaintiff or the class of plaintiffs who would rely on its representation; and (2) whether the reliance losses claimed by the plaintiff stem from the particular transaction in respect of which the statement at issue was made (</w:t>
      </w:r>
      <w:r w:rsidRPr="00E72124">
        <w:rPr>
          <w:rFonts w:cs="Times New Roman"/>
          <w:i/>
        </w:rPr>
        <w:t>Hercules</w:t>
      </w:r>
      <w:r w:rsidRPr="00E72124">
        <w:rPr>
          <w:rFonts w:cs="Times New Roman"/>
        </w:rPr>
        <w:t xml:space="preserve">, at paras. 27 and 40; </w:t>
      </w:r>
      <w:r w:rsidRPr="00E72124">
        <w:rPr>
          <w:rFonts w:cs="Times New Roman"/>
          <w:i/>
        </w:rPr>
        <w:t>Bow Valley</w:t>
      </w:r>
      <w:r w:rsidRPr="00E72124">
        <w:rPr>
          <w:rFonts w:cs="Times New Roman"/>
        </w:rPr>
        <w:t xml:space="preserve">, at paras. 55-56), are no longer considered at the second stage. This is because, as we have explained, these factors arise from the </w:t>
      </w:r>
      <w:r w:rsidRPr="00E72124">
        <w:rPr>
          <w:rFonts w:cs="Times New Roman"/>
          <w:i/>
        </w:rPr>
        <w:t>relationship</w:t>
      </w:r>
      <w:r w:rsidRPr="00E72124">
        <w:rPr>
          <w:rFonts w:cs="Times New Roman"/>
        </w:rPr>
        <w:t xml:space="preserve"> between the parties and are, therefore, properly accounted for under the first stage proximity and reasonable foreseeability analysis.</w:t>
      </w:r>
    </w:p>
    <w:p w:rsidR="00D7327A" w:rsidRPr="00E72124" w:rsidRDefault="00D7327A" w:rsidP="00D7327A">
      <w:pPr>
        <w:pStyle w:val="ParaNoNdepar-AltN"/>
        <w:rPr>
          <w:rFonts w:cs="Times New Roman"/>
        </w:rPr>
      </w:pPr>
      <w:r w:rsidRPr="00E72124">
        <w:rPr>
          <w:rFonts w:cs="Times New Roman"/>
        </w:rPr>
        <w:t xml:space="preserve">What, then, remains to be considered at the second stage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In </w:t>
      </w:r>
      <w:r w:rsidRPr="00E72124">
        <w:rPr>
          <w:rFonts w:cs="Times New Roman"/>
          <w:i/>
        </w:rPr>
        <w:t>Cooper</w:t>
      </w:r>
      <w:r w:rsidRPr="00E72124">
        <w:rPr>
          <w:rFonts w:cs="Times New Roman"/>
        </w:rPr>
        <w:t xml:space="preserve">, this Court identified factors which are external to the relationship between the parties, including (1) whether the law already provides a remedy; (2) whether recognition of the duty of care creates “the spectre of unlimited liability to an unlimited class”; and (3) whether there are “other reasons of broad policy that suggest that the duty of care should not be recognized” (para. 37). In this way, the residual policy inquiry is a normative inquiry. It asks whether it would be better, for reasons relating to legal or doctrinal order, or reasons arising from other societal concerns, not to recognize a duty of care in a given case. </w:t>
      </w:r>
    </w:p>
    <w:p w:rsidR="00D7327A" w:rsidRPr="00E72124" w:rsidRDefault="00D7327A" w:rsidP="00D7327A">
      <w:pPr>
        <w:pStyle w:val="ParaNoNdepar-AltN"/>
        <w:rPr>
          <w:rFonts w:cs="Times New Roman"/>
        </w:rPr>
      </w:pPr>
      <w:r w:rsidRPr="00E72124">
        <w:rPr>
          <w:rFonts w:cs="Times New Roman"/>
        </w:rPr>
        <w:t xml:space="preserve">The place within the </w:t>
      </w:r>
      <w:proofErr w:type="spellStart"/>
      <w:r w:rsidRPr="00E72124">
        <w:rPr>
          <w:rFonts w:cs="Times New Roman"/>
          <w:i/>
        </w:rPr>
        <w:t>Anns</w:t>
      </w:r>
      <w:proofErr w:type="spellEnd"/>
      <w:r w:rsidRPr="00E72124">
        <w:rPr>
          <w:rFonts w:cs="Times New Roman"/>
          <w:i/>
        </w:rPr>
        <w:t>/Cooper</w:t>
      </w:r>
      <w:r w:rsidRPr="00E72124">
        <w:rPr>
          <w:rFonts w:cs="Times New Roman"/>
        </w:rPr>
        <w:t xml:space="preserve"> framework of this policy inquiry is significant. It follows the proximity and foreseeability inquiries. The policy inquiry assesses whether, </w:t>
      </w:r>
      <w:r w:rsidRPr="00E72124">
        <w:rPr>
          <w:rFonts w:cs="Times New Roman"/>
          <w:i/>
        </w:rPr>
        <w:t>despite</w:t>
      </w:r>
      <w:r w:rsidRPr="00E72124">
        <w:rPr>
          <w:rFonts w:cs="Times New Roman"/>
        </w:rPr>
        <w:t xml:space="preserve"> the proximate relationship between the parties, and </w:t>
      </w:r>
      <w:r w:rsidRPr="00E72124">
        <w:rPr>
          <w:rFonts w:cs="Times New Roman"/>
          <w:i/>
        </w:rPr>
        <w:t>despite</w:t>
      </w:r>
      <w:r w:rsidRPr="00E72124">
        <w:rPr>
          <w:rFonts w:cs="Times New Roman"/>
        </w:rPr>
        <w:t xml:space="preserve"> the reasonably foreseeable quality of the plaintiff’s injury, the defendant should nonetheless be insulated from liability (</w:t>
      </w:r>
      <w:r w:rsidRPr="00E72124">
        <w:rPr>
          <w:rFonts w:cs="Times New Roman"/>
          <w:i/>
        </w:rPr>
        <w:t>Cooper</w:t>
      </w:r>
      <w:r w:rsidRPr="00E72124">
        <w:rPr>
          <w:rFonts w:cs="Times New Roman"/>
        </w:rPr>
        <w:t xml:space="preserve">, at para. 30; </w:t>
      </w:r>
      <w:proofErr w:type="spellStart"/>
      <w:r w:rsidRPr="00E72124">
        <w:rPr>
          <w:rFonts w:cs="Times New Roman"/>
          <w:i/>
        </w:rPr>
        <w:t>Odhavji</w:t>
      </w:r>
      <w:proofErr w:type="spellEnd"/>
      <w:r w:rsidRPr="00E72124">
        <w:rPr>
          <w:rFonts w:cs="Times New Roman"/>
        </w:rPr>
        <w:t>, at para. 51). That it would limit liability in the face of findings of both proximity and reasonable foreseeability makes plain how narrowly it should be relied upon (</w:t>
      </w:r>
      <w:r w:rsidRPr="00E72124">
        <w:rPr>
          <w:rFonts w:cs="Times New Roman"/>
          <w:i/>
        </w:rPr>
        <w:t>Cooper</w:t>
      </w:r>
      <w:r w:rsidRPr="00E72124">
        <w:rPr>
          <w:rFonts w:cs="Times New Roman"/>
        </w:rPr>
        <w:t>,</w:t>
      </w:r>
      <w:r w:rsidRPr="00E72124">
        <w:rPr>
          <w:rFonts w:cs="Times New Roman"/>
          <w:i/>
        </w:rPr>
        <w:t xml:space="preserve"> </w:t>
      </w:r>
      <w:r w:rsidRPr="00E72124">
        <w:rPr>
          <w:rFonts w:cs="Times New Roman"/>
        </w:rPr>
        <w:t xml:space="preserve">at para. 30, citing </w:t>
      </w:r>
      <w:r w:rsidRPr="00E72124">
        <w:rPr>
          <w:rFonts w:cs="Times New Roman"/>
          <w:i/>
        </w:rPr>
        <w:t xml:space="preserve">Yuen Kun </w:t>
      </w:r>
      <w:proofErr w:type="spellStart"/>
      <w:r w:rsidRPr="00E72124">
        <w:rPr>
          <w:rFonts w:cs="Times New Roman"/>
          <w:i/>
        </w:rPr>
        <w:t>Yeu</w:t>
      </w:r>
      <w:proofErr w:type="spellEnd"/>
      <w:r w:rsidRPr="00E72124">
        <w:rPr>
          <w:rFonts w:cs="Times New Roman"/>
          <w:i/>
        </w:rPr>
        <w:t xml:space="preserve"> v. Attorney-General of Hong Kong</w:t>
      </w:r>
      <w:r w:rsidRPr="00E72124">
        <w:rPr>
          <w:rFonts w:cs="Times New Roman"/>
        </w:rPr>
        <w:t xml:space="preserve">, [1988] 1 A.C. 175 (P.C.); </w:t>
      </w:r>
      <w:r w:rsidRPr="00E72124">
        <w:rPr>
          <w:rFonts w:cs="Times New Roman"/>
          <w:i/>
        </w:rPr>
        <w:t>Edgeworth Construction Ltd. v. N.D. Lea &amp; Associates Ltd.</w:t>
      </w:r>
      <w:r w:rsidRPr="00E72124">
        <w:rPr>
          <w:rFonts w:cs="Times New Roman"/>
        </w:rPr>
        <w:t>, [1993] 3 S.C.R. 206, at p. 218). Only in rare cases — such as those concerning decisions of governmental policy (</w:t>
      </w:r>
      <w:r w:rsidRPr="00E72124">
        <w:rPr>
          <w:rFonts w:cs="Times New Roman"/>
          <w:i/>
        </w:rPr>
        <w:t>Cooper</w:t>
      </w:r>
      <w:r w:rsidRPr="00E72124">
        <w:rPr>
          <w:rFonts w:cs="Times New Roman"/>
          <w:lang w:val="en"/>
        </w:rPr>
        <w:t xml:space="preserve">, </w:t>
      </w:r>
      <w:r w:rsidRPr="00E72124">
        <w:rPr>
          <w:rFonts w:cs="Times New Roman"/>
        </w:rPr>
        <w:t>at paras. 38 and 53) or quasi-judicial bodies (</w:t>
      </w:r>
      <w:r w:rsidRPr="00E72124">
        <w:rPr>
          <w:rFonts w:cs="Times New Roman"/>
          <w:i/>
        </w:rPr>
        <w:t>ibid</w:t>
      </w:r>
      <w:r w:rsidRPr="00E72124">
        <w:rPr>
          <w:rFonts w:cs="Times New Roman"/>
        </w:rPr>
        <w:t xml:space="preserve">., at para. 52; </w:t>
      </w:r>
      <w:r w:rsidRPr="00E72124">
        <w:rPr>
          <w:rFonts w:cs="Times New Roman"/>
          <w:i/>
        </w:rPr>
        <w:t>Edwards</w:t>
      </w:r>
      <w:r w:rsidRPr="00E72124">
        <w:rPr>
          <w:rFonts w:cs="Times New Roman"/>
        </w:rPr>
        <w:t xml:space="preserve">, at para. 19) — should liability be denied when a defendant’s negligence causes reasonably foreseeable injury to a plaintiff with whom he or she shares a close and direct relationship. In light of the above, the stage at which certain factors are considered in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 xml:space="preserve">framework is material.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this case, the Chief Justice finds that, if it were necessary to proceed to the second stage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she would insulate Deloitte from liability based on the residual policy consideration of indeterminacy (para. 166). We concede that indeterminate liability may, in some cases, be a legitimate residual policy consideration (</w:t>
      </w:r>
      <w:r w:rsidRPr="00E72124">
        <w:rPr>
          <w:rFonts w:cs="Times New Roman"/>
          <w:i/>
        </w:rPr>
        <w:t>Cooper</w:t>
      </w:r>
      <w:r w:rsidRPr="00E72124">
        <w:rPr>
          <w:rFonts w:cs="Times New Roman"/>
        </w:rPr>
        <w:t xml:space="preserve">, at paras. 37 and 54; </w:t>
      </w:r>
      <w:r w:rsidRPr="00E72124">
        <w:rPr>
          <w:rFonts w:cs="Times New Roman"/>
          <w:i/>
        </w:rPr>
        <w:t>Hercules</w:t>
      </w:r>
      <w:r w:rsidRPr="00E72124">
        <w:rPr>
          <w:rFonts w:cs="Times New Roman"/>
        </w:rPr>
        <w:t>, at para. 31). In our view, however, rarely, if ever, should a concern for indeterminate liability persist after a properly applied proximity and foreseeability analysis (</w:t>
      </w:r>
      <w:proofErr w:type="spellStart"/>
      <w:r w:rsidRPr="00E72124">
        <w:rPr>
          <w:rFonts w:cs="Times New Roman"/>
          <w:i/>
        </w:rPr>
        <w:t>Saadati</w:t>
      </w:r>
      <w:proofErr w:type="spellEnd"/>
      <w:r w:rsidRPr="00E72124">
        <w:rPr>
          <w:rFonts w:cs="Times New Roman"/>
        </w:rPr>
        <w:t xml:space="preserve">, at para. 34; </w:t>
      </w:r>
      <w:proofErr w:type="spellStart"/>
      <w:r w:rsidRPr="00E72124">
        <w:rPr>
          <w:rFonts w:cs="Times New Roman"/>
          <w:i/>
        </w:rPr>
        <w:t>Fullowka</w:t>
      </w:r>
      <w:proofErr w:type="spellEnd"/>
      <w:r w:rsidRPr="00E72124">
        <w:rPr>
          <w:rFonts w:cs="Times New Roman"/>
        </w:rPr>
        <w:t xml:space="preserve">, at para. 70). Robust application of stage one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should almost always obviate concerns for indeterminate liability. This follows from an appreciation of what indeterminate liability, as a concept, actually means.</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Indeterminate liability is liability of a specific </w:t>
      </w:r>
      <w:r w:rsidRPr="00E72124">
        <w:rPr>
          <w:rFonts w:cs="Times New Roman"/>
          <w:i/>
        </w:rPr>
        <w:t>character</w:t>
      </w:r>
      <w:r w:rsidRPr="00E72124">
        <w:rPr>
          <w:rFonts w:cs="Times New Roman"/>
        </w:rPr>
        <w:t xml:space="preserve">, not of a specific </w:t>
      </w:r>
      <w:r w:rsidRPr="00E72124">
        <w:rPr>
          <w:rFonts w:cs="Times New Roman"/>
          <w:i/>
        </w:rPr>
        <w:t>amount</w:t>
      </w:r>
      <w:r w:rsidRPr="00E72124">
        <w:rPr>
          <w:rFonts w:cs="Times New Roman"/>
        </w:rPr>
        <w:t>. In particular, indeterminate liability should not be confused with significant liability (</w:t>
      </w:r>
      <w:r w:rsidRPr="00E72124">
        <w:rPr>
          <w:rFonts w:cs="Times New Roman"/>
          <w:i/>
        </w:rPr>
        <w:t>Gross v. Great-West Life Assurance Co.</w:t>
      </w:r>
      <w:r w:rsidRPr="00E72124">
        <w:rPr>
          <w:rFonts w:cs="Times New Roman"/>
        </w:rPr>
        <w:t>, 2002 ABCA 37, 299 A.R. 142, at para. 38). Certain activities — like flying commercial aircraft, manufacturing pharmaceutical drugs, or auditing a large corporation — may well give rise to significant liability. But such liability arises from the nature of the defendant’s undertakings and of the severe but reasonably foreseeable scale of injury that can result where such undertakings are negligently performed. This explains the significant compensation which these high risk undertakings typically attract. It also explains why contractual disclaimers limiting liability may often be warranted (</w:t>
      </w:r>
      <w:r w:rsidRPr="00E72124">
        <w:rPr>
          <w:rFonts w:cs="Times New Roman"/>
          <w:i/>
        </w:rPr>
        <w:t>Edgeworth</w:t>
      </w:r>
      <w:r w:rsidRPr="00E72124">
        <w:rPr>
          <w:rFonts w:cs="Times New Roman"/>
        </w:rPr>
        <w:t>, at p. 220). In contrast, the liability arising from these “high risk” undertakings may only be characterized as “indeterminate” if the scope of such liability is impossible to ascertain (</w:t>
      </w:r>
      <w:r w:rsidRPr="00E72124">
        <w:rPr>
          <w:rFonts w:cs="Times New Roman"/>
          <w:i/>
        </w:rPr>
        <w:t>Black’s Law Dictionary</w:t>
      </w:r>
      <w:r w:rsidRPr="00E72124">
        <w:rPr>
          <w:rFonts w:cs="Times New Roman"/>
        </w:rPr>
        <w:t xml:space="preserve"> (10th ed. 2014), </w:t>
      </w:r>
      <w:r w:rsidRPr="00E72124">
        <w:rPr>
          <w:rFonts w:cs="Times New Roman"/>
          <w:i/>
        </w:rPr>
        <w:t xml:space="preserve">sub </w:t>
      </w:r>
      <w:proofErr w:type="spellStart"/>
      <w:r w:rsidRPr="00E72124">
        <w:rPr>
          <w:rFonts w:cs="Times New Roman"/>
          <w:i/>
        </w:rPr>
        <w:t>verbo</w:t>
      </w:r>
      <w:proofErr w:type="spellEnd"/>
      <w:r w:rsidRPr="00E72124">
        <w:rPr>
          <w:rFonts w:cs="Times New Roman"/>
        </w:rPr>
        <w:t xml:space="preserve"> “indeterminate”). In other words, liability is truly “indeterminate” if “the accepted sources of law and the accepted methods of working with those sources such as deduction and analogy — are insufficient to resolve the question” (M. V. </w:t>
      </w:r>
      <w:proofErr w:type="spellStart"/>
      <w:r w:rsidRPr="00E72124">
        <w:rPr>
          <w:rFonts w:cs="Times New Roman"/>
        </w:rPr>
        <w:t>Tushnet</w:t>
      </w:r>
      <w:proofErr w:type="spellEnd"/>
      <w:r w:rsidRPr="00E72124">
        <w:rPr>
          <w:rFonts w:cs="Times New Roman"/>
        </w:rPr>
        <w:t xml:space="preserve">, “Defending the Indeterminacy Thesis”, in B. Bix, ed., </w:t>
      </w:r>
      <w:r w:rsidRPr="00E72124">
        <w:rPr>
          <w:rFonts w:cs="Times New Roman"/>
          <w:i/>
        </w:rPr>
        <w:t>Analyzing Law: New Essays in Legal Theory</w:t>
      </w:r>
      <w:r w:rsidRPr="00E72124">
        <w:rPr>
          <w:rFonts w:cs="Times New Roman"/>
        </w:rPr>
        <w:t xml:space="preserve"> (1998), 223, at pp. 224-25). More specifically, there are three pertinent aspects to so-called “indeterminacy” in these cases:  (1) value indeterminacy (“liability in an indeterminate amount”); (2) temporal indeterminacy (“liability . . . for an indeterminate time”); and (3) claimant indeterminacy (“liability . . . to an indeterminate class”): </w:t>
      </w:r>
      <w:r w:rsidRPr="00E72124">
        <w:rPr>
          <w:rFonts w:cs="Times New Roman"/>
          <w:i/>
        </w:rPr>
        <w:t>Hercules</w:t>
      </w:r>
      <w:r w:rsidRPr="00E72124">
        <w:rPr>
          <w:rFonts w:cs="Times New Roman"/>
        </w:rPr>
        <w:t xml:space="preserve">, at para. 31, citing </w:t>
      </w:r>
      <w:proofErr w:type="spellStart"/>
      <w:r w:rsidRPr="00E72124">
        <w:rPr>
          <w:rFonts w:cs="Times New Roman"/>
          <w:i/>
        </w:rPr>
        <w:t>Ultramares</w:t>
      </w:r>
      <w:proofErr w:type="spellEnd"/>
      <w:r w:rsidRPr="00E72124">
        <w:rPr>
          <w:rFonts w:cs="Times New Roman"/>
        </w:rPr>
        <w:t>, at p. 444. Naturally, when a claim has value, temporal, and claimant indeterminacy, our legal tools are insufficient to resolve the quantum of infinite damages that will flow from such a claim.</w:t>
      </w:r>
    </w:p>
    <w:p w:rsidR="00D7327A" w:rsidRPr="00E72124" w:rsidRDefault="00D7327A" w:rsidP="00D7327A">
      <w:pPr>
        <w:pStyle w:val="ParaNoNdepar-AltN"/>
        <w:rPr>
          <w:rFonts w:cs="Times New Roman"/>
        </w:rPr>
      </w:pPr>
      <w:r w:rsidRPr="00E72124">
        <w:rPr>
          <w:rFonts w:cs="Times New Roman"/>
        </w:rPr>
        <w:t xml:space="preserve">All this said, it would be very difficult for liability of an indeterminate character, so understood, to survive a robust analysis of proximity and foreseeability at the first stage of the </w:t>
      </w:r>
      <w:proofErr w:type="spellStart"/>
      <w:r w:rsidRPr="00E72124">
        <w:rPr>
          <w:rFonts w:cs="Times New Roman"/>
          <w:i/>
        </w:rPr>
        <w:t>Anns</w:t>
      </w:r>
      <w:proofErr w:type="spellEnd"/>
      <w:r w:rsidRPr="00E72124">
        <w:rPr>
          <w:rFonts w:cs="Times New Roman"/>
          <w:i/>
        </w:rPr>
        <w:t>/Cooper</w:t>
      </w:r>
      <w:r w:rsidRPr="00E72124">
        <w:rPr>
          <w:rFonts w:cs="Times New Roman"/>
        </w:rPr>
        <w:t xml:space="preserve"> framework. In cases of negligent misrepresentation or performance of a service, the requisite proximity analysis will address claimant indeterminacy because the class of claimants is </w:t>
      </w:r>
      <w:r w:rsidRPr="00E72124">
        <w:rPr>
          <w:rFonts w:cs="Times New Roman"/>
          <w:i/>
        </w:rPr>
        <w:t>determinate</w:t>
      </w:r>
      <w:r w:rsidRPr="00E72124">
        <w:rPr>
          <w:rFonts w:cs="Times New Roman"/>
        </w:rPr>
        <w:t xml:space="preserve">, including only those in respect of whom the defendant undertook to act. Likewise, foreseeability, which is constrained by the purpose of the undertaking in question, should address concerns about value indeterminacy, because the value of damages is limited — that is, </w:t>
      </w:r>
      <w:r w:rsidRPr="00E72124">
        <w:rPr>
          <w:rFonts w:cs="Times New Roman"/>
          <w:i/>
        </w:rPr>
        <w:t xml:space="preserve">determined </w:t>
      </w:r>
      <w:r w:rsidRPr="00E72124">
        <w:rPr>
          <w:rFonts w:cs="Times New Roman"/>
        </w:rPr>
        <w:t>— by the reasonably foreseeable quality of the injury (</w:t>
      </w:r>
      <w:r w:rsidRPr="00E72124">
        <w:rPr>
          <w:rFonts w:cs="Times New Roman"/>
          <w:i/>
        </w:rPr>
        <w:t>Hercules</w:t>
      </w:r>
      <w:r w:rsidRPr="00E72124">
        <w:rPr>
          <w:rFonts w:cs="Times New Roman"/>
        </w:rPr>
        <w:t xml:space="preserve">, at para. 32). Finally, proximity and foreseeability should both address temporal indeterminacy since the longer the period of time over which injury is said to have occurred, the less likely the defendant undertook to protect against it and the less foreseeable the injury, taken as a whole. Hence Cardozo C.J.’s statement in the oft-cited </w:t>
      </w:r>
      <w:proofErr w:type="spellStart"/>
      <w:r w:rsidRPr="00E72124">
        <w:rPr>
          <w:rFonts w:cs="Times New Roman"/>
          <w:i/>
        </w:rPr>
        <w:t>Ultramares</w:t>
      </w:r>
      <w:proofErr w:type="spellEnd"/>
      <w:r w:rsidRPr="00E72124">
        <w:rPr>
          <w:rFonts w:cs="Times New Roman"/>
          <w:i/>
        </w:rPr>
        <w:t xml:space="preserve"> </w:t>
      </w:r>
      <w:r w:rsidRPr="00E72124">
        <w:rPr>
          <w:rFonts w:cs="Times New Roman"/>
        </w:rPr>
        <w:t xml:space="preserve">decision that a duty which gives rise to indeterminacy “enkindle[s] doubt whether a flaw may not exist in the implication of a duty that exposes to these consequences” (p. 444; see also </w:t>
      </w:r>
      <w:proofErr w:type="spellStart"/>
      <w:r w:rsidRPr="00E72124">
        <w:rPr>
          <w:rFonts w:cs="Times New Roman"/>
        </w:rPr>
        <w:t>Weinrib</w:t>
      </w:r>
      <w:proofErr w:type="spellEnd"/>
      <w:r w:rsidRPr="00E72124">
        <w:rPr>
          <w:rFonts w:cs="Times New Roman"/>
        </w:rPr>
        <w:t xml:space="preserve">, at p. 231; </w:t>
      </w:r>
      <w:proofErr w:type="spellStart"/>
      <w:r w:rsidRPr="00E72124">
        <w:rPr>
          <w:rFonts w:cs="Times New Roman"/>
        </w:rPr>
        <w:t>Beever</w:t>
      </w:r>
      <w:proofErr w:type="spellEnd"/>
      <w:r w:rsidRPr="00E72124">
        <w:rPr>
          <w:rFonts w:cs="Times New Roman"/>
        </w:rPr>
        <w:t xml:space="preserve">, at p. 275). In other words, a finding of indeterminate liability at the damages stage strongly suggests that a legal error occurred at the duty stage, since a finding of a </w:t>
      </w:r>
      <w:r w:rsidRPr="00E72124">
        <w:rPr>
          <w:rFonts w:cs="Times New Roman"/>
          <w:i/>
        </w:rPr>
        <w:t>prima facie</w:t>
      </w:r>
      <w:r w:rsidRPr="00E72124">
        <w:rPr>
          <w:rFonts w:cs="Times New Roman"/>
        </w:rPr>
        <w:t xml:space="preserve"> duty of indeterminate scope underlies the resulting indeterminate liability.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We would add one final point. Indeterminate liability is a residual policy consideration, nothing more. The presence of indeterminacy need not be dispositive of liability in all cases. To approach the analysis otherwise would transform indeterminate liability from a policy </w:t>
      </w:r>
      <w:r w:rsidRPr="00E72124">
        <w:rPr>
          <w:rFonts w:cs="Times New Roman"/>
          <w:i/>
        </w:rPr>
        <w:t>consideration</w:t>
      </w:r>
      <w:r w:rsidRPr="00E72124">
        <w:rPr>
          <w:rFonts w:cs="Times New Roman"/>
        </w:rPr>
        <w:t xml:space="preserve"> into a policy </w:t>
      </w:r>
      <w:r w:rsidRPr="00E72124">
        <w:rPr>
          <w:rFonts w:cs="Times New Roman"/>
          <w:i/>
        </w:rPr>
        <w:t>veto</w:t>
      </w:r>
      <w:r w:rsidRPr="00E72124">
        <w:rPr>
          <w:rFonts w:cs="Times New Roman"/>
        </w:rPr>
        <w:t>. While indeterminacy may militate against liability, other policy considerations — such as the immense profit margins that “high risk” actors often benefit from, or the extent to which “high risk” actors voluntarily assume the risk of indeterminate liability — may ultimately justify maintaining that liability, despite its indeterminacy (</w:t>
      </w:r>
      <w:proofErr w:type="spellStart"/>
      <w:r w:rsidRPr="00E72124">
        <w:rPr>
          <w:rFonts w:cs="Times New Roman"/>
        </w:rPr>
        <w:t>Beever</w:t>
      </w:r>
      <w:proofErr w:type="spellEnd"/>
      <w:r w:rsidRPr="00E72124">
        <w:rPr>
          <w:rFonts w:cs="Times New Roman"/>
        </w:rPr>
        <w:t>, at p. 293). Even, therefore, in the rare case where indeterminate liability survives the proximity and foreseeability inquiries, it is not automatic that such indeterminacy will necessarily govern (</w:t>
      </w:r>
      <w:proofErr w:type="spellStart"/>
      <w:r w:rsidRPr="00E72124">
        <w:rPr>
          <w:rFonts w:cs="Times New Roman"/>
          <w:i/>
        </w:rPr>
        <w:t>Fullowka</w:t>
      </w:r>
      <w:proofErr w:type="spellEnd"/>
      <w:r w:rsidRPr="00E72124">
        <w:rPr>
          <w:rFonts w:cs="Times New Roman"/>
        </w:rPr>
        <w:t>,</w:t>
      </w:r>
      <w:r w:rsidRPr="00E72124">
        <w:rPr>
          <w:rFonts w:cs="Times New Roman"/>
          <w:i/>
        </w:rPr>
        <w:t xml:space="preserve"> </w:t>
      </w:r>
      <w:r w:rsidRPr="00E72124">
        <w:rPr>
          <w:rFonts w:cs="Times New Roman"/>
        </w:rPr>
        <w:t xml:space="preserve">at para. 70). Indeed, </w:t>
      </w:r>
      <w:r w:rsidRPr="00E72124">
        <w:rPr>
          <w:rFonts w:eastAsiaTheme="minorHAnsi" w:cs="Times New Roman"/>
        </w:rPr>
        <w:t xml:space="preserve">any so-called “indeterminate liability” which survives stage one of the </w:t>
      </w:r>
      <w:proofErr w:type="spellStart"/>
      <w:r w:rsidRPr="00E72124">
        <w:rPr>
          <w:rFonts w:eastAsiaTheme="minorHAnsi" w:cs="Times New Roman"/>
          <w:i/>
        </w:rPr>
        <w:t>Anns</w:t>
      </w:r>
      <w:proofErr w:type="spellEnd"/>
      <w:r w:rsidRPr="00E72124">
        <w:rPr>
          <w:rFonts w:eastAsiaTheme="minorHAnsi" w:cs="Times New Roman"/>
          <w:i/>
        </w:rPr>
        <w:t xml:space="preserve">/Cooper </w:t>
      </w:r>
      <w:r w:rsidRPr="00E72124">
        <w:rPr>
          <w:rFonts w:eastAsiaTheme="minorHAnsi" w:cs="Times New Roman"/>
        </w:rPr>
        <w:t xml:space="preserve">framework presumably arises from the risk against which the defendant voluntarily undertook to protect the plaintiff and, therefore, may justly and fairly result in liability. </w:t>
      </w:r>
    </w:p>
    <w:p w:rsidR="00D7327A" w:rsidRPr="00E72124" w:rsidRDefault="00D7327A" w:rsidP="00D7327A">
      <w:pPr>
        <w:pStyle w:val="Title2LevelTitre2Niveau"/>
        <w:rPr>
          <w:rFonts w:cs="Times New Roman"/>
        </w:rPr>
      </w:pPr>
      <w:r w:rsidRPr="00E72124">
        <w:rPr>
          <w:rFonts w:cs="Times New Roman"/>
        </w:rPr>
        <w:t>Application</w:t>
      </w:r>
    </w:p>
    <w:p w:rsidR="00D7327A" w:rsidRPr="00E72124" w:rsidRDefault="00D7327A" w:rsidP="00D7327A">
      <w:pPr>
        <w:pStyle w:val="ParaNoNdepar-AltN"/>
        <w:tabs>
          <w:tab w:val="clear" w:pos="1152"/>
          <w:tab w:val="left" w:pos="1166"/>
        </w:tabs>
        <w:rPr>
          <w:rFonts w:cs="Times New Roman"/>
        </w:rPr>
      </w:pPr>
      <w:r w:rsidRPr="00E72124">
        <w:rPr>
          <w:rFonts w:cs="Times New Roman"/>
        </w:rPr>
        <w:t>Having set out the proper legal framework for establishing liability in cases of pure economic loss arising from negligent misrepresentation or performance of a service, we turn now to apply that framework to the trial judge’s two findings of negligence in this case.</w:t>
      </w:r>
    </w:p>
    <w:p w:rsidR="00D7327A" w:rsidRPr="00E72124" w:rsidRDefault="00D7327A" w:rsidP="00D7327A">
      <w:pPr>
        <w:pStyle w:val="ParaNoNdepar-AltN"/>
        <w:rPr>
          <w:rFonts w:cs="Times New Roman"/>
        </w:rPr>
      </w:pPr>
      <w:r w:rsidRPr="00E72124">
        <w:rPr>
          <w:rFonts w:cs="Times New Roman"/>
        </w:rPr>
        <w:t xml:space="preserve">In summary, at the first stage of the </w:t>
      </w:r>
      <w:proofErr w:type="spellStart"/>
      <w:r w:rsidRPr="00E72124">
        <w:rPr>
          <w:rFonts w:cs="Times New Roman"/>
          <w:i/>
        </w:rPr>
        <w:t>Anns</w:t>
      </w:r>
      <w:proofErr w:type="spellEnd"/>
      <w:r w:rsidRPr="00E72124">
        <w:rPr>
          <w:rFonts w:cs="Times New Roman"/>
        </w:rPr>
        <w:t>/</w:t>
      </w:r>
      <w:r w:rsidRPr="00E72124">
        <w:rPr>
          <w:rFonts w:cs="Times New Roman"/>
          <w:i/>
        </w:rPr>
        <w:t xml:space="preserve">Cooper </w:t>
      </w:r>
      <w:r w:rsidRPr="00E72124">
        <w:rPr>
          <w:rFonts w:cs="Times New Roman"/>
        </w:rPr>
        <w:t>framework, a duty of care is established where proximity and reasonably foreseeability of injury are found. In our view, Deloitte’s undertakings in relation to soliciting investment, and the 1997 Audit, gave rise to proximate relationships. The purpose of those undertakings, in turn, determines the type</w:t>
      </w:r>
      <w:r w:rsidRPr="00E72124">
        <w:rPr>
          <w:rFonts w:cs="Times New Roman"/>
          <w:i/>
        </w:rPr>
        <w:t xml:space="preserve"> </w:t>
      </w:r>
      <w:r w:rsidRPr="00E72124">
        <w:rPr>
          <w:rFonts w:cs="Times New Roman"/>
        </w:rPr>
        <w:t>of injury</w:t>
      </w:r>
      <w:r w:rsidRPr="00E72124">
        <w:rPr>
          <w:rFonts w:cs="Times New Roman"/>
          <w:i/>
        </w:rPr>
        <w:t xml:space="preserve"> </w:t>
      </w:r>
      <w:r w:rsidRPr="00E72124">
        <w:rPr>
          <w:rFonts w:cs="Times New Roman"/>
        </w:rPr>
        <w:t xml:space="preserve">that was reasonably foreseeable as a result of </w:t>
      </w:r>
      <w:proofErr w:type="spellStart"/>
      <w:r w:rsidRPr="00E72124">
        <w:rPr>
          <w:rFonts w:cs="Times New Roman"/>
        </w:rPr>
        <w:t>Livent’s</w:t>
      </w:r>
      <w:proofErr w:type="spellEnd"/>
      <w:r w:rsidRPr="00E72124">
        <w:rPr>
          <w:rFonts w:cs="Times New Roman"/>
        </w:rPr>
        <w:t xml:space="preserve"> reliance. Livent relied on the 1997 Audit for the purpose it was provided. Thus, a resulting injury was reasonably foreseeable. The same cannot be said, however, in respect of Deloitte’s negligent assistance in soliciting investment.</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At the second stage of the </w:t>
      </w:r>
      <w:proofErr w:type="spellStart"/>
      <w:r w:rsidRPr="00E72124">
        <w:rPr>
          <w:rFonts w:cs="Times New Roman"/>
          <w:i/>
        </w:rPr>
        <w:t>Anns</w:t>
      </w:r>
      <w:proofErr w:type="spellEnd"/>
      <w:r w:rsidRPr="00E72124">
        <w:rPr>
          <w:rFonts w:cs="Times New Roman"/>
        </w:rPr>
        <w:t>/</w:t>
      </w:r>
      <w:r w:rsidRPr="00E72124">
        <w:rPr>
          <w:rFonts w:cs="Times New Roman"/>
          <w:i/>
        </w:rPr>
        <w:t xml:space="preserve">Cooper </w:t>
      </w:r>
      <w:r w:rsidRPr="00E72124">
        <w:rPr>
          <w:rFonts w:cs="Times New Roman"/>
        </w:rPr>
        <w:t>framework, residual policy considerations may negate Deloitte’s duty of care. But none apply to the negligent provision of the 1997 Audit.</w:t>
      </w:r>
    </w:p>
    <w:p w:rsidR="00D7327A" w:rsidRPr="00E72124" w:rsidRDefault="00D7327A" w:rsidP="00D7327A">
      <w:pPr>
        <w:pStyle w:val="Title3LevelTitre3Niveau"/>
        <w:rPr>
          <w:rFonts w:cs="Times New Roman"/>
        </w:rPr>
      </w:pPr>
      <w:r w:rsidRPr="00E72124">
        <w:rPr>
          <w:rFonts w:cs="Times New Roman"/>
        </w:rPr>
        <w:t>Solicitation of Investment (August to October 1997)</w:t>
      </w:r>
    </w:p>
    <w:p w:rsidR="00D7327A" w:rsidRPr="00E72124" w:rsidRDefault="00D7327A" w:rsidP="00D7327A">
      <w:pPr>
        <w:pStyle w:val="Title4LevelTitre4Niveau"/>
        <w:tabs>
          <w:tab w:val="clear" w:pos="900"/>
          <w:tab w:val="num" w:pos="1206"/>
        </w:tabs>
        <w:rPr>
          <w:rFonts w:cs="Times New Roman"/>
        </w:rPr>
      </w:pPr>
      <w:r w:rsidRPr="00E72124">
        <w:rPr>
          <w:rFonts w:cs="Times New Roman"/>
        </w:rPr>
        <w:t>Prima Facie Duty of Care</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Proximity</w:t>
      </w:r>
    </w:p>
    <w:p w:rsidR="00D7327A" w:rsidRPr="00E72124" w:rsidRDefault="00D7327A" w:rsidP="00D7327A">
      <w:pPr>
        <w:pStyle w:val="ParaNoNdepar-AltN"/>
        <w:tabs>
          <w:tab w:val="clear" w:pos="1152"/>
          <w:tab w:val="left" w:pos="1166"/>
        </w:tabs>
        <w:rPr>
          <w:rFonts w:cs="Times New Roman"/>
        </w:rPr>
      </w:pPr>
      <w:r w:rsidRPr="00E72124">
        <w:rPr>
          <w:rFonts w:cs="Times New Roman"/>
        </w:rPr>
        <w:t>The proximity analysis first asks whether the relationship at issue falls within, or is analogous to, a previously recognized category of proximity (</w:t>
      </w:r>
      <w:r w:rsidRPr="00E72124">
        <w:rPr>
          <w:rFonts w:cs="Times New Roman"/>
          <w:i/>
        </w:rPr>
        <w:t>Cooper</w:t>
      </w:r>
      <w:r w:rsidRPr="00E72124">
        <w:rPr>
          <w:rFonts w:cs="Times New Roman"/>
        </w:rPr>
        <w:t xml:space="preserve">, at para. 36; </w:t>
      </w:r>
      <w:r w:rsidRPr="00E72124">
        <w:rPr>
          <w:rFonts w:cs="Times New Roman"/>
          <w:i/>
        </w:rPr>
        <w:t>Edwards</w:t>
      </w:r>
      <w:r w:rsidRPr="00E72124">
        <w:rPr>
          <w:rFonts w:cs="Times New Roman"/>
        </w:rPr>
        <w:t>, at para. 9).</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w:t>
      </w:r>
      <w:r w:rsidRPr="00E72124">
        <w:rPr>
          <w:rFonts w:cs="Times New Roman"/>
          <w:i/>
        </w:rPr>
        <w:t>Hercules</w:t>
      </w:r>
      <w:r w:rsidRPr="00E72124">
        <w:rPr>
          <w:rFonts w:cs="Times New Roman"/>
        </w:rPr>
        <w:t xml:space="preserve">, this Court found that an auditor may be in a proximate relationship with its corporate client sufficient to give rise to a duty of care. That proximate relationship was not, however, between an auditor and its client at large. Rather, the recognized relationship was limited to the preparation of a statutory audit (para. 14).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this case, the asserted proximate relationship is not so narrow in scope. Livent claims that Deloitte owed it a duty of care in relation both to (1) the preparation of the 1997 Audit; and (2) the approval of the Press Release and preparation of the Comfort Letter. We see it as vital to the resolution of this case to distinguish between these two sets of documents.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mere fact that proximity has been recognized as existing between an auditor and its client for </w:t>
      </w:r>
      <w:r w:rsidRPr="00E72124">
        <w:rPr>
          <w:rFonts w:cs="Times New Roman"/>
          <w:i/>
        </w:rPr>
        <w:t xml:space="preserve">one </w:t>
      </w:r>
      <w:r w:rsidRPr="00E72124">
        <w:rPr>
          <w:rFonts w:cs="Times New Roman"/>
        </w:rPr>
        <w:t xml:space="preserve">purpose is insufficient to conclude that proximity exists between the same parties for </w:t>
      </w:r>
      <w:r w:rsidRPr="00E72124">
        <w:rPr>
          <w:rFonts w:cs="Times New Roman"/>
          <w:i/>
        </w:rPr>
        <w:t xml:space="preserve">all </w:t>
      </w:r>
      <w:r w:rsidRPr="00E72124">
        <w:rPr>
          <w:rFonts w:cs="Times New Roman"/>
        </w:rPr>
        <w:t xml:space="preserve">purposes. As discussed above, an overly broad characterization of an established category of proximity which fails to consider the scope of activity in respect of which proximity was previously recognized, risks a premature imposition of a </w:t>
      </w:r>
      <w:r w:rsidRPr="00E72124">
        <w:rPr>
          <w:rFonts w:cs="Times New Roman"/>
          <w:i/>
        </w:rPr>
        <w:t xml:space="preserve">prima facie </w:t>
      </w:r>
      <w:r w:rsidRPr="00E72124">
        <w:rPr>
          <w:rFonts w:cs="Times New Roman"/>
        </w:rPr>
        <w:t xml:space="preserve">duty of care. In our respectful view, this very error impairs the reasons of the trial judge and the Court of Appeal. This approach is fundamentally inconsistent with the framework set out by this Court in </w:t>
      </w:r>
      <w:r w:rsidRPr="00E72124">
        <w:rPr>
          <w:rFonts w:cs="Times New Roman"/>
          <w:i/>
        </w:rPr>
        <w:t>Cooper</w:t>
      </w:r>
      <w:r w:rsidRPr="00E72124">
        <w:rPr>
          <w:rFonts w:cs="Times New Roman"/>
        </w:rPr>
        <w:t xml:space="preserve">. For this reason, we do not agree that this Court has previously established a proximate relationship as between an auditor and its client for the purposes of soliciting investment. In these circumstances, we must undertake a full proximity analysis.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As we have indicated above, the full proximity analysis in cases of negligent misrepresentation is focussed upon the purpose of the defendant’s undertaking and the plaintiff’s reliance. From August to October of 1997, the services which Deloitte provided to Livent — particularly its ongoing assistance in relation to the Press Release and the provision of the Comfort Letter — were undertaken for the purpose of helping Livent to solicit investment. Given this undertaking, Livent was entitled to rely upon Deloitte to carry out these services with reasonable care. From this, it follows that a relationship of proximity arose </w:t>
      </w:r>
      <w:r w:rsidRPr="00E72124">
        <w:rPr>
          <w:rFonts w:cs="Times New Roman"/>
          <w:i/>
        </w:rPr>
        <w:t>in respect of the content of Deloitte’s undertaking</w:t>
      </w:r>
      <w:r w:rsidRPr="00E72124">
        <w:rPr>
          <w:rFonts w:cs="Times New Roman"/>
        </w:rPr>
        <w:t xml:space="preserve">. Deloitte’s undertaking did </w:t>
      </w:r>
      <w:r w:rsidRPr="00E72124">
        <w:rPr>
          <w:rFonts w:cs="Times New Roman"/>
          <w:i/>
        </w:rPr>
        <w:t>not</w:t>
      </w:r>
      <w:r w:rsidRPr="00E72124">
        <w:rPr>
          <w:rFonts w:cs="Times New Roman"/>
        </w:rPr>
        <w:t xml:space="preserve"> entitle Livent to rely on Deloitte’s services and representations for </w:t>
      </w:r>
      <w:r w:rsidRPr="00E72124">
        <w:rPr>
          <w:rFonts w:cs="Times New Roman"/>
          <w:i/>
        </w:rPr>
        <w:t>all</w:t>
      </w:r>
      <w:r w:rsidRPr="00E72124">
        <w:rPr>
          <w:rFonts w:cs="Times New Roman"/>
        </w:rPr>
        <w:t xml:space="preserve"> possible</w:t>
      </w:r>
      <w:r w:rsidRPr="00E72124">
        <w:rPr>
          <w:rFonts w:cs="Times New Roman"/>
          <w:i/>
        </w:rPr>
        <w:t xml:space="preserve"> </w:t>
      </w:r>
      <w:r w:rsidRPr="00E72124">
        <w:rPr>
          <w:rFonts w:cs="Times New Roman"/>
        </w:rPr>
        <w:t>purposes. Rather, the “close and direct” relationship which obligated Deloitte to act with reasonable care was limited to the purpose for which Deloitte undertook to act. In this regard, we agree with the Chief Justice that “[l]</w:t>
      </w:r>
      <w:proofErr w:type="spellStart"/>
      <w:r w:rsidRPr="00E72124">
        <w:rPr>
          <w:rFonts w:cs="Times New Roman"/>
        </w:rPr>
        <w:t>oss</w:t>
      </w:r>
      <w:proofErr w:type="spellEnd"/>
      <w:r w:rsidRPr="00E72124">
        <w:rPr>
          <w:rFonts w:cs="Times New Roman"/>
        </w:rPr>
        <w:t xml:space="preserve"> that results from [</w:t>
      </w:r>
      <w:proofErr w:type="spellStart"/>
      <w:r w:rsidRPr="00E72124">
        <w:rPr>
          <w:rFonts w:cs="Times New Roman"/>
        </w:rPr>
        <w:t>Livent’s</w:t>
      </w:r>
      <w:proofErr w:type="spellEnd"/>
      <w:r w:rsidRPr="00E72124">
        <w:rPr>
          <w:rFonts w:cs="Times New Roman"/>
        </w:rPr>
        <w:t xml:space="preserve">] inability to attract </w:t>
      </w:r>
      <w:proofErr w:type="gramStart"/>
      <w:r w:rsidRPr="00E72124">
        <w:rPr>
          <w:rFonts w:cs="Times New Roman"/>
        </w:rPr>
        <w:t>investment .</w:t>
      </w:r>
      <w:proofErr w:type="gramEnd"/>
      <w:r w:rsidRPr="00E72124">
        <w:rPr>
          <w:rFonts w:cs="Times New Roman"/>
        </w:rPr>
        <w:t> . . may fall within the scope of Deloitte’s duty of care”, though only in relation to the Press Release and Comfort Letter (para. 153).</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Reasonable Foreseeability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Having established a relationship of proximity for the purpose of soliciting investment, Livent asserts that the increase in its liquidation deficit beginning in the fall of 1997 was a reasonably foreseeable consequence of Deloitte’s negligence, because “[t]he false financial picture that ought not to have been certified by Deloitte” was relied upon by Livent to artificially extend its solvency (R.F., at para. 108). In other words, had Deloitte resigned rather than continued to assist Livent in soliciting investment, Livent would have known its actual finances and avoided their interim deterioration. In our view, however, this type of injury was not a reasonably foreseeable consequence of Deloitte’s negligent assistance in soliciting investment. This follows from our earlier observations about how the scope of the parties’ proximate relationship limits the type of injuries that are reasonably foreseeable.</w:t>
      </w:r>
    </w:p>
    <w:p w:rsidR="00D7327A" w:rsidRPr="00E72124" w:rsidRDefault="00D7327A" w:rsidP="00D7327A">
      <w:pPr>
        <w:pStyle w:val="ParaNoNdepar-AltN"/>
        <w:tabs>
          <w:tab w:val="clear" w:pos="1152"/>
          <w:tab w:val="left" w:pos="1166"/>
        </w:tabs>
        <w:rPr>
          <w:rFonts w:cs="Times New Roman"/>
        </w:rPr>
      </w:pPr>
      <w:r w:rsidRPr="00E72124">
        <w:rPr>
          <w:rFonts w:cs="Times New Roman"/>
        </w:rPr>
        <w:t>In cases of negligent misrepresentation or performance of a service, a plaintiff’s injury will be reasonably foreseeable where (1) the defendant should reasonably foresee that the plaintiff will rely on his or her representation; and (2) reliance by the plaintiff would, in the particular circumstances of the case, be reasonable (</w:t>
      </w:r>
      <w:r w:rsidRPr="00E72124">
        <w:rPr>
          <w:rFonts w:cs="Times New Roman"/>
          <w:i/>
        </w:rPr>
        <w:t>Hercules</w:t>
      </w:r>
      <w:r w:rsidRPr="00E72124">
        <w:rPr>
          <w:rFonts w:cs="Times New Roman"/>
        </w:rPr>
        <w:t xml:space="preserve">, at para. 27). Whether reliance is reasonable and reasonably foreseeable will turn on whether the plaintiff had a right to rely on the defendant </w:t>
      </w:r>
      <w:r w:rsidRPr="00E72124">
        <w:rPr>
          <w:rFonts w:cs="Times New Roman"/>
          <w:i/>
        </w:rPr>
        <w:t>for that purpose</w:t>
      </w:r>
      <w:r w:rsidRPr="00E72124">
        <w:rPr>
          <w:rFonts w:cs="Times New Roman"/>
        </w:rPr>
        <w:t xml:space="preserve">. Here, Livent argues that it detrimentally relied on Deloitte’s services and representations to artificially extend the life of the corporation. This reliance is not, however, tied to the solicitation of investment, but was a matter of oversight of management. Phrased in terms of Deloitte’s undertaking, during the fall of 1997 Deloitte undertook to assist Livent in soliciting investment, not in oversight of management. Losses related to this undertaking — for example, an inability to solicit investment because of Deloitte’s negligence — may be recoverable from Deloitte. But losses outside the scope of this undertaking, including those claimed here relating to a lack of oversight of management extending </w:t>
      </w:r>
      <w:proofErr w:type="spellStart"/>
      <w:r w:rsidRPr="00E72124">
        <w:rPr>
          <w:rFonts w:cs="Times New Roman"/>
        </w:rPr>
        <w:t>Livent’s</w:t>
      </w:r>
      <w:proofErr w:type="spellEnd"/>
      <w:r w:rsidRPr="00E72124">
        <w:rPr>
          <w:rFonts w:cs="Times New Roman"/>
        </w:rPr>
        <w:t xml:space="preserve"> solvency, are not recoverable from Deloitte. Simply put, Deloitte never undertook, in preparing the Comfort Letter, to assist </w:t>
      </w:r>
      <w:proofErr w:type="spellStart"/>
      <w:r w:rsidRPr="00E72124">
        <w:rPr>
          <w:rFonts w:cs="Times New Roman"/>
        </w:rPr>
        <w:t>Livent’s</w:t>
      </w:r>
      <w:proofErr w:type="spellEnd"/>
      <w:r w:rsidRPr="00E72124">
        <w:rPr>
          <w:rFonts w:cs="Times New Roman"/>
        </w:rPr>
        <w:t xml:space="preserve"> shareholders in overseeing management; it cannot therefore be held liable for failing to take reasonable care to assist such oversight.  And, given that Livent had no right to rely on Deloitte’s representations for a purpose other than that for which Deloitte undertook to act, </w:t>
      </w:r>
      <w:proofErr w:type="spellStart"/>
      <w:r w:rsidRPr="00E72124">
        <w:rPr>
          <w:rFonts w:cs="Times New Roman"/>
        </w:rPr>
        <w:t>Livent’s</w:t>
      </w:r>
      <w:proofErr w:type="spellEnd"/>
      <w:r w:rsidRPr="00E72124">
        <w:rPr>
          <w:rFonts w:cs="Times New Roman"/>
        </w:rPr>
        <w:t xml:space="preserve"> reliance was neither reasonable nor reasonably foreseeable. Consequently, the increase in </w:t>
      </w:r>
      <w:proofErr w:type="spellStart"/>
      <w:r w:rsidRPr="00E72124">
        <w:rPr>
          <w:rFonts w:cs="Times New Roman"/>
        </w:rPr>
        <w:t>Livent’s</w:t>
      </w:r>
      <w:proofErr w:type="spellEnd"/>
      <w:r w:rsidRPr="00E72124">
        <w:rPr>
          <w:rFonts w:cs="Times New Roman"/>
        </w:rPr>
        <w:t xml:space="preserve"> liquidation deficit which arose from its reliance on the Press Release and Comfort Letter was not a reasonably foreseeable injury.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This is not to say that Livent had no resources for oversight at the time Deloitte assisted in soliciting investment. Indeed, for internal oversight purposes, Livent could reasonably rely on Deloitte’s 1996 Audit. Unlike the Comfort Letter, the 1996 Audit was prepared for the purpose of assisting shareholder oversight of management. As a consequence, its negligent preparation could result in reasonably foreseeable injury flowing from the shareholders’ inability to oversee management. The trial judge, however, made a finding of fact that any negligence in Deloitte’s preparation of the 1996 Audit caused no injury to Livent. As this finding has not been cross-appealed by Livent, we make no further comment on it. </w:t>
      </w:r>
    </w:p>
    <w:p w:rsidR="00D7327A" w:rsidRPr="00E72124" w:rsidRDefault="00D7327A" w:rsidP="00D7327A">
      <w:pPr>
        <w:pStyle w:val="Title4LevelTitre4Niveau"/>
        <w:tabs>
          <w:tab w:val="clear" w:pos="900"/>
          <w:tab w:val="num" w:pos="1206"/>
        </w:tabs>
        <w:rPr>
          <w:rFonts w:cs="Times New Roman"/>
        </w:rPr>
      </w:pPr>
      <w:r w:rsidRPr="00E72124">
        <w:rPr>
          <w:rFonts w:cs="Times New Roman"/>
        </w:rPr>
        <w:t>Residual Policy Considerations</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Having concluded that no </w:t>
      </w:r>
      <w:r w:rsidRPr="00E72124">
        <w:rPr>
          <w:rFonts w:cs="Times New Roman"/>
          <w:i/>
        </w:rPr>
        <w:t xml:space="preserve">prima facie </w:t>
      </w:r>
      <w:r w:rsidRPr="00E72124">
        <w:rPr>
          <w:rFonts w:cs="Times New Roman"/>
        </w:rPr>
        <w:t xml:space="preserve">duty of care arose in respect of Deloitte’s assistance in soliciting investment and the resulting increase in </w:t>
      </w:r>
      <w:proofErr w:type="spellStart"/>
      <w:r w:rsidRPr="00E72124">
        <w:rPr>
          <w:rFonts w:cs="Times New Roman"/>
        </w:rPr>
        <w:t>Livent’s</w:t>
      </w:r>
      <w:proofErr w:type="spellEnd"/>
      <w:r w:rsidRPr="00E72124">
        <w:rPr>
          <w:rFonts w:cs="Times New Roman"/>
        </w:rPr>
        <w:t xml:space="preserve"> liquidation deficit, there is no need to consider residual policy considerations.</w:t>
      </w:r>
    </w:p>
    <w:p w:rsidR="00D7327A" w:rsidRPr="00E72124" w:rsidRDefault="00D7327A" w:rsidP="00D7327A">
      <w:pPr>
        <w:pStyle w:val="Title3LevelTitre3Niveau"/>
        <w:rPr>
          <w:rFonts w:cs="Times New Roman"/>
        </w:rPr>
      </w:pPr>
      <w:r w:rsidRPr="00E72124">
        <w:rPr>
          <w:rFonts w:cs="Times New Roman"/>
        </w:rPr>
        <w:t>1997 Clean Audit Opinion (April 1998)</w:t>
      </w:r>
    </w:p>
    <w:p w:rsidR="00D7327A" w:rsidRPr="00E72124" w:rsidRDefault="00D7327A" w:rsidP="00D7327A">
      <w:pPr>
        <w:pStyle w:val="Title4LevelTitre4Niveau"/>
        <w:tabs>
          <w:tab w:val="clear" w:pos="900"/>
          <w:tab w:val="num" w:pos="1206"/>
        </w:tabs>
        <w:rPr>
          <w:rFonts w:cs="Times New Roman"/>
        </w:rPr>
      </w:pPr>
      <w:r w:rsidRPr="00E72124">
        <w:rPr>
          <w:rFonts w:cs="Times New Roman"/>
        </w:rPr>
        <w:t>Prima Facie Duty of Care</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Proximity</w:t>
      </w:r>
    </w:p>
    <w:p w:rsidR="00D7327A" w:rsidRPr="00E72124" w:rsidRDefault="00D7327A" w:rsidP="00D7327A">
      <w:pPr>
        <w:pStyle w:val="ParaNoNdepar-AltN"/>
        <w:rPr>
          <w:rFonts w:cs="Times New Roman"/>
        </w:rPr>
      </w:pPr>
      <w:r w:rsidRPr="00E72124">
        <w:rPr>
          <w:rFonts w:cs="Times New Roman"/>
        </w:rPr>
        <w:t xml:space="preserve">This Court has previously established that an auditor owes its corporate client a duty of care in the preparation of a statutory audit. It follows that the established proximate relationship in </w:t>
      </w:r>
      <w:r w:rsidRPr="00E72124">
        <w:rPr>
          <w:rFonts w:cs="Times New Roman"/>
          <w:i/>
        </w:rPr>
        <w:t xml:space="preserve">Hercules </w:t>
      </w:r>
      <w:r w:rsidRPr="00E72124">
        <w:rPr>
          <w:rFonts w:cs="Times New Roman"/>
        </w:rPr>
        <w:t xml:space="preserve">will be dispositive of the existence of a duty of care in this case, unless the purpose of Deloitte’s undertaking to prepare such an audit in this case can be distinguished from the undertaking in </w:t>
      </w:r>
      <w:r w:rsidRPr="00E72124">
        <w:rPr>
          <w:rFonts w:cs="Times New Roman"/>
          <w:i/>
        </w:rPr>
        <w:t>Hercules</w:t>
      </w:r>
      <w:r w:rsidRPr="00E72124">
        <w:rPr>
          <w:rFonts w:cs="Times New Roman"/>
        </w:rPr>
        <w:t>. As we will show, it cannot.</w:t>
      </w:r>
    </w:p>
    <w:p w:rsidR="00D7327A" w:rsidRPr="00E72124" w:rsidRDefault="00D7327A" w:rsidP="00D7327A">
      <w:pPr>
        <w:pStyle w:val="ParaNoNdepar-AltN"/>
        <w:rPr>
          <w:rFonts w:cs="Times New Roman"/>
        </w:rPr>
      </w:pPr>
      <w:r w:rsidRPr="00E72124">
        <w:rPr>
          <w:rFonts w:cs="Times New Roman"/>
        </w:rPr>
        <w:t xml:space="preserve">In </w:t>
      </w:r>
      <w:r w:rsidRPr="00E72124">
        <w:rPr>
          <w:rFonts w:cs="Times New Roman"/>
          <w:i/>
        </w:rPr>
        <w:t>Hercules</w:t>
      </w:r>
      <w:r w:rsidRPr="00E72124">
        <w:rPr>
          <w:rFonts w:cs="Times New Roman"/>
        </w:rPr>
        <w:t xml:space="preserve">, at para. 48, this Court cited Lord Oliver’s statement in </w:t>
      </w:r>
      <w:proofErr w:type="spellStart"/>
      <w:r w:rsidRPr="00E72124">
        <w:rPr>
          <w:rFonts w:cs="Times New Roman"/>
          <w:i/>
        </w:rPr>
        <w:t>Caparo</w:t>
      </w:r>
      <w:proofErr w:type="spellEnd"/>
      <w:r w:rsidRPr="00E72124">
        <w:rPr>
          <w:rFonts w:cs="Times New Roman"/>
        </w:rPr>
        <w:t xml:space="preserve">, at p. 583, identifying the purposes of a statutory audit: </w:t>
      </w:r>
    </w:p>
    <w:p w:rsidR="00D7327A" w:rsidRPr="00E72124" w:rsidRDefault="00D7327A" w:rsidP="00D7327A">
      <w:pPr>
        <w:pStyle w:val="Citation-AltC"/>
      </w:pPr>
      <w:r w:rsidRPr="00E72124">
        <w:t xml:space="preserve">It is the auditors’ function </w:t>
      </w:r>
      <w:r w:rsidRPr="00E72124">
        <w:rPr>
          <w:lang w:val="en"/>
        </w:rPr>
        <w:t xml:space="preserve">to ensure, so far as possible, that the financial information as to the company’s affairs prepared by the directors accurately reflects the company’s position in order first, </w:t>
      </w:r>
      <w:r w:rsidRPr="00E72124">
        <w:rPr>
          <w:u w:val="single"/>
          <w:lang w:val="en"/>
        </w:rPr>
        <w:t xml:space="preserve">to protect the company itself from the consequences of undetected errors or, possibly, wrongdoing . . . and, second, to provide shareholders with reliable intelligence for the purpose of enabling them to </w:t>
      </w:r>
      <w:proofErr w:type="spellStart"/>
      <w:r w:rsidRPr="00E72124">
        <w:rPr>
          <w:u w:val="single"/>
          <w:lang w:val="en"/>
        </w:rPr>
        <w:t>scrutinise</w:t>
      </w:r>
      <w:proofErr w:type="spellEnd"/>
      <w:r w:rsidRPr="00E72124">
        <w:rPr>
          <w:u w:val="single"/>
          <w:lang w:val="en"/>
        </w:rPr>
        <w:t xml:space="preserve"> the conduct of the company’s affairs and to exercise their collective powers to reward or control or remove those to whom that conduct has been confided.</w:t>
      </w:r>
      <w:r w:rsidRPr="00E72124">
        <w:rPr>
          <w:lang w:val="en"/>
        </w:rPr>
        <w:t xml:space="preserve"> [Emphasis added; emphasis in original deleted.]</w:t>
      </w:r>
    </w:p>
    <w:p w:rsidR="00D7327A" w:rsidRPr="00E72124" w:rsidRDefault="00D7327A" w:rsidP="00D7327A">
      <w:pPr>
        <w:pStyle w:val="ParaNoNdepar-AltN"/>
        <w:rPr>
          <w:rFonts w:cs="Times New Roman"/>
        </w:rPr>
      </w:pPr>
      <w:r w:rsidRPr="00E72124">
        <w:rPr>
          <w:rFonts w:cs="Times New Roman"/>
        </w:rPr>
        <w:t>These purposes, according to La Forest J., were no different under the statutory audit provisions in Manitoba’s</w:t>
      </w:r>
      <w:r w:rsidRPr="00E72124">
        <w:rPr>
          <w:rFonts w:cs="Times New Roman"/>
          <w:i/>
        </w:rPr>
        <w:t xml:space="preserve"> Corporations Act</w:t>
      </w:r>
      <w:r w:rsidRPr="00E72124">
        <w:rPr>
          <w:rFonts w:cs="Times New Roman"/>
        </w:rPr>
        <w:t xml:space="preserve">, R.S.M. 1987, c. C225, which were at issue in </w:t>
      </w:r>
      <w:r w:rsidRPr="00E72124">
        <w:rPr>
          <w:rFonts w:cs="Times New Roman"/>
          <w:i/>
        </w:rPr>
        <w:t>Hercules</w:t>
      </w:r>
      <w:r w:rsidRPr="00E72124">
        <w:rPr>
          <w:rFonts w:cs="Times New Roman"/>
        </w:rPr>
        <w:t>. Regarding the second purpose, this Court stated that a statutory audit was necessary to “</w:t>
      </w:r>
      <w:r w:rsidRPr="00E72124">
        <w:rPr>
          <w:rFonts w:cs="Times New Roman"/>
          <w:lang w:val="en"/>
        </w:rPr>
        <w:t>permit the shareholders, as a body, to make decisions as to the manner in which they want the corporation to be managed, to assess the performance of the directors and officers, and to decide whether or not they wish to retain the existing management or to have them replaced” (</w:t>
      </w:r>
      <w:r w:rsidRPr="00E72124">
        <w:rPr>
          <w:rFonts w:cs="Times New Roman"/>
          <w:i/>
          <w:lang w:val="en"/>
        </w:rPr>
        <w:t>Hercules</w:t>
      </w:r>
      <w:r w:rsidRPr="00E72124">
        <w:rPr>
          <w:rFonts w:cs="Times New Roman"/>
          <w:lang w:val="en"/>
        </w:rPr>
        <w:t>, at para. 49). The purpose of the audited reports then “was, precisely, to assist the collectivity of shareholders of the audited companies in their task of overseeing management” (</w:t>
      </w:r>
      <w:r w:rsidRPr="00E72124">
        <w:rPr>
          <w:rFonts w:cs="Times New Roman"/>
          <w:i/>
          <w:lang w:val="en"/>
        </w:rPr>
        <w:t>ibid.</w:t>
      </w:r>
      <w:r w:rsidRPr="00E72124">
        <w:rPr>
          <w:rFonts w:cs="Times New Roman"/>
          <w:lang w:val="en"/>
        </w:rPr>
        <w:t>).</w:t>
      </w:r>
    </w:p>
    <w:p w:rsidR="00D7327A" w:rsidRPr="00E72124" w:rsidRDefault="00D7327A" w:rsidP="00D7327A">
      <w:pPr>
        <w:pStyle w:val="ParaNoNdepar-AltN"/>
        <w:rPr>
          <w:rFonts w:cs="Times New Roman"/>
        </w:rPr>
      </w:pPr>
      <w:r w:rsidRPr="00E72124">
        <w:rPr>
          <w:rFonts w:cs="Times New Roman"/>
          <w:lang w:val="en"/>
        </w:rPr>
        <w:t xml:space="preserve">No party before us has suggested that the purposes for which a statutory audit is prepared, and which have been recognized in Canadian law for 20 years, have changed. These purposes are consistent with the governing statute in this case: Ontario’s </w:t>
      </w:r>
      <w:r w:rsidRPr="00E72124">
        <w:rPr>
          <w:rFonts w:cs="Times New Roman"/>
          <w:i/>
          <w:lang w:val="en"/>
        </w:rPr>
        <w:t>Business Corporations Act</w:t>
      </w:r>
      <w:r w:rsidRPr="00E72124">
        <w:rPr>
          <w:rFonts w:cs="Times New Roman"/>
          <w:lang w:val="en"/>
        </w:rPr>
        <w:t>, R.S.O. 1990, c. B.16 (“</w:t>
      </w:r>
      <w:r w:rsidRPr="00E72124">
        <w:rPr>
          <w:rFonts w:cs="Times New Roman"/>
          <w:i/>
          <w:lang w:val="en"/>
        </w:rPr>
        <w:t>OBCA</w:t>
      </w:r>
      <w:r w:rsidRPr="00E72124">
        <w:rPr>
          <w:rFonts w:cs="Times New Roman"/>
          <w:lang w:val="en"/>
        </w:rPr>
        <w:t xml:space="preserve">”). In particular, ss. 153 and 154 of the </w:t>
      </w:r>
      <w:r w:rsidRPr="00E72124">
        <w:rPr>
          <w:rFonts w:cs="Times New Roman"/>
          <w:i/>
          <w:lang w:val="en"/>
        </w:rPr>
        <w:t>OBCA</w:t>
      </w:r>
      <w:r w:rsidRPr="00E72124">
        <w:rPr>
          <w:rFonts w:cs="Times New Roman"/>
          <w:lang w:val="en"/>
        </w:rPr>
        <w:t xml:space="preserve"> require Deloitte, as </w:t>
      </w:r>
      <w:proofErr w:type="spellStart"/>
      <w:r w:rsidRPr="00E72124">
        <w:rPr>
          <w:rFonts w:cs="Times New Roman"/>
          <w:lang w:val="en"/>
        </w:rPr>
        <w:t>Livent’s</w:t>
      </w:r>
      <w:proofErr w:type="spellEnd"/>
      <w:r w:rsidRPr="00E72124">
        <w:rPr>
          <w:rFonts w:cs="Times New Roman"/>
          <w:lang w:val="en"/>
        </w:rPr>
        <w:t xml:space="preserve"> auditor, to examine </w:t>
      </w:r>
      <w:proofErr w:type="spellStart"/>
      <w:r w:rsidRPr="00E72124">
        <w:rPr>
          <w:rFonts w:cs="Times New Roman"/>
          <w:lang w:val="en"/>
        </w:rPr>
        <w:t>Livent’s</w:t>
      </w:r>
      <w:proofErr w:type="spellEnd"/>
      <w:r w:rsidRPr="00E72124">
        <w:rPr>
          <w:rFonts w:cs="Times New Roman"/>
          <w:lang w:val="en"/>
        </w:rPr>
        <w:t xml:space="preserve"> financial statements in order for </w:t>
      </w:r>
      <w:proofErr w:type="spellStart"/>
      <w:r w:rsidRPr="00E72124">
        <w:rPr>
          <w:rFonts w:cs="Times New Roman"/>
          <w:lang w:val="en"/>
        </w:rPr>
        <w:t>Livent’s</w:t>
      </w:r>
      <w:proofErr w:type="spellEnd"/>
      <w:r w:rsidRPr="00E72124">
        <w:rPr>
          <w:rFonts w:cs="Times New Roman"/>
          <w:lang w:val="en"/>
        </w:rPr>
        <w:t xml:space="preserve"> directors to fulfill their obligation to place a yearly statutory audit before its shareholders at the annual general meeting. And, while the engagement letters between Deloitte and Livent indicated that the detection of fraud was not guaranteed even where Deloitte acted with all reasonable care, they did not disclaim liability for negligently failing to uncover fraud. Thus, in our view, Deloitte did not alter the purpose for which it undertook to provide the 1997 Audit or disclaim liability in relation to that purpose.</w:t>
      </w:r>
    </w:p>
    <w:p w:rsidR="00D7327A" w:rsidRPr="00E72124" w:rsidRDefault="00D7327A" w:rsidP="00D7327A">
      <w:pPr>
        <w:pStyle w:val="ParaNoNdepar-AltN"/>
        <w:rPr>
          <w:rFonts w:cs="Times New Roman"/>
        </w:rPr>
      </w:pPr>
      <w:r w:rsidRPr="00E72124">
        <w:rPr>
          <w:rFonts w:cs="Times New Roman"/>
        </w:rPr>
        <w:t xml:space="preserve">Given the foregoing, no basis exists for distinguishing the purpose of the statutory audit in this case from the purpose which underlay the statutory audit in </w:t>
      </w:r>
      <w:r w:rsidRPr="00E72124">
        <w:rPr>
          <w:rFonts w:cs="Times New Roman"/>
          <w:i/>
        </w:rPr>
        <w:t>Hercules</w:t>
      </w:r>
      <w:r w:rsidRPr="00E72124">
        <w:rPr>
          <w:rFonts w:cs="Times New Roman"/>
        </w:rPr>
        <w:t>.</w:t>
      </w:r>
      <w:r w:rsidRPr="00E72124">
        <w:rPr>
          <w:rFonts w:cs="Times New Roman"/>
          <w:i/>
        </w:rPr>
        <w:t xml:space="preserve"> </w:t>
      </w:r>
      <w:r w:rsidRPr="00E72124">
        <w:rPr>
          <w:rFonts w:cs="Times New Roman"/>
        </w:rPr>
        <w:t>It follows that proximity is established between Livent and Deloitte in relation to the statutory audit, on the basis of the previously recognized proximate relationship identified by this Court.</w:t>
      </w:r>
    </w:p>
    <w:p w:rsidR="00D7327A" w:rsidRPr="00E72124" w:rsidRDefault="00D7327A" w:rsidP="00D7327A">
      <w:pPr>
        <w:pStyle w:val="Title5LevelTitre5Niveau"/>
        <w:tabs>
          <w:tab w:val="clear" w:pos="1440"/>
          <w:tab w:val="num" w:pos="1728"/>
        </w:tabs>
        <w:rPr>
          <w:rFonts w:cs="Times New Roman"/>
        </w:rPr>
      </w:pPr>
      <w:r w:rsidRPr="00E72124">
        <w:rPr>
          <w:rFonts w:cs="Times New Roman"/>
        </w:rPr>
        <w:t>Reasonable Foreseeability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Livent says that the increase in its liquidation deficit was a reasonably foreseeable consequence of Deloitte’s negligent audit, because the audit preserved a false financial picture upon which Livent relied to artificially extend its solvency and delay filing for bankruptcy. In other words, if Deloitte had taken reasonable care in auditing Livent, then Livent would have discovered the fraud and avoided the interim deterioration of its assets.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our view, this type of injury was a reasonably foreseeable consequence of Deloitte’s negligent audit. The purpose of the 1997 Audit was, as this Court described in </w:t>
      </w:r>
      <w:r w:rsidRPr="00E72124">
        <w:rPr>
          <w:rFonts w:cs="Times New Roman"/>
          <w:i/>
        </w:rPr>
        <w:t>Hercules</w:t>
      </w:r>
      <w:r w:rsidRPr="00E72124">
        <w:rPr>
          <w:rFonts w:cs="Times New Roman"/>
        </w:rPr>
        <w:t>, two-fold: (1) to protect the company from the consequences of undetected errors and wrongdoing; and (2) to provide shareholders with reliable intelligence enabling oversight (</w:t>
      </w:r>
      <w:r w:rsidRPr="00E72124">
        <w:rPr>
          <w:rFonts w:cs="Times New Roman"/>
          <w:lang w:val="en"/>
        </w:rPr>
        <w:t xml:space="preserve">para. 48, citing </w:t>
      </w:r>
      <w:proofErr w:type="spellStart"/>
      <w:r w:rsidRPr="00E72124">
        <w:rPr>
          <w:rFonts w:cs="Times New Roman"/>
          <w:i/>
          <w:lang w:val="en"/>
        </w:rPr>
        <w:t>Caparo</w:t>
      </w:r>
      <w:proofErr w:type="spellEnd"/>
      <w:r w:rsidRPr="00E72124">
        <w:rPr>
          <w:rFonts w:cs="Times New Roman"/>
          <w:lang w:val="en"/>
        </w:rPr>
        <w:t>, at p. 583</w:t>
      </w:r>
      <w:r w:rsidRPr="00E72124">
        <w:rPr>
          <w:rFonts w:cs="Times New Roman"/>
        </w:rPr>
        <w:t xml:space="preserve">). Those purposes, as we have already described in our discussion of proximity generally, inform the scope of reasonably foreseeable injury. Specifically, at the time Deloitte undertook to provide the 1997 Audit, Livent was entitled to rely on Deloitte to take reasonable care in doing so for these recognized purposes. </w:t>
      </w:r>
      <w:proofErr w:type="spellStart"/>
      <w:r w:rsidRPr="00E72124">
        <w:rPr>
          <w:rFonts w:cs="Times New Roman"/>
        </w:rPr>
        <w:t>Livent’s</w:t>
      </w:r>
      <w:proofErr w:type="spellEnd"/>
      <w:r w:rsidRPr="00E72124">
        <w:rPr>
          <w:rFonts w:cs="Times New Roman"/>
        </w:rPr>
        <w:t xml:space="preserve"> reliance on Deloitte for the purpose of overseeing the conduct of management was therefore both reasonable</w:t>
      </w:r>
      <w:r w:rsidRPr="00E72124">
        <w:rPr>
          <w:rFonts w:cs="Times New Roman"/>
          <w:i/>
        </w:rPr>
        <w:t xml:space="preserve"> </w:t>
      </w:r>
      <w:r w:rsidRPr="00E72124">
        <w:rPr>
          <w:rFonts w:cs="Times New Roman"/>
        </w:rPr>
        <w:t xml:space="preserve">and reasonably foreseeable. And, as </w:t>
      </w:r>
      <w:proofErr w:type="spellStart"/>
      <w:r w:rsidRPr="00E72124">
        <w:rPr>
          <w:rFonts w:cs="Times New Roman"/>
        </w:rPr>
        <w:t>Livent’s</w:t>
      </w:r>
      <w:proofErr w:type="spellEnd"/>
      <w:r w:rsidRPr="00E72124">
        <w:rPr>
          <w:rFonts w:cs="Times New Roman"/>
        </w:rPr>
        <w:t xml:space="preserve"> injury arises from its detrimental reliance, the injury linked to that reliance is itself reasonably</w:t>
      </w:r>
      <w:r w:rsidRPr="00E72124">
        <w:rPr>
          <w:rFonts w:cs="Times New Roman"/>
          <w:i/>
        </w:rPr>
        <w:t xml:space="preserve"> </w:t>
      </w:r>
      <w:r w:rsidRPr="00E72124">
        <w:rPr>
          <w:rFonts w:cs="Times New Roman"/>
        </w:rPr>
        <w:t>foreseeable.</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It follows that the type of injury Livent suffered here was a reasonably foreseeable consequence of Deloitte’s negligence. Through the 1997 Audit, Deloitte undertook to assist </w:t>
      </w:r>
      <w:proofErr w:type="spellStart"/>
      <w:r w:rsidRPr="00E72124">
        <w:rPr>
          <w:rFonts w:cs="Times New Roman"/>
        </w:rPr>
        <w:t>Livent’s</w:t>
      </w:r>
      <w:proofErr w:type="spellEnd"/>
      <w:r w:rsidRPr="00E72124">
        <w:rPr>
          <w:rFonts w:cs="Times New Roman"/>
        </w:rPr>
        <w:t xml:space="preserve"> shareholders in </w:t>
      </w:r>
      <w:r w:rsidRPr="00E72124">
        <w:rPr>
          <w:rFonts w:cs="Times New Roman"/>
          <w:lang w:val="en"/>
        </w:rPr>
        <w:t>scrutinizing management conduct</w:t>
      </w:r>
      <w:r w:rsidRPr="00E72124">
        <w:rPr>
          <w:rFonts w:cs="Times New Roman"/>
        </w:rPr>
        <w:t xml:space="preserve">. By negligently conducting the audit, and impairing </w:t>
      </w:r>
      <w:proofErr w:type="spellStart"/>
      <w:r w:rsidRPr="00E72124">
        <w:rPr>
          <w:rFonts w:cs="Times New Roman"/>
        </w:rPr>
        <w:t>Livent’s</w:t>
      </w:r>
      <w:proofErr w:type="spellEnd"/>
      <w:r w:rsidRPr="00E72124">
        <w:rPr>
          <w:rFonts w:cs="Times New Roman"/>
        </w:rPr>
        <w:t xml:space="preserve"> shareholders’ ability to oversee management, Deloitte exposed Livent to reasonably foreseeable risks, including “business losses” that would have been avoided with a proper audit. Indeed, the risk of injury flowing from undetected fraud is </w:t>
      </w:r>
      <w:r w:rsidRPr="00E72124">
        <w:rPr>
          <w:rFonts w:cs="Times New Roman"/>
          <w:i/>
        </w:rPr>
        <w:t>precisely</w:t>
      </w:r>
      <w:r w:rsidRPr="00E72124">
        <w:rPr>
          <w:rFonts w:cs="Times New Roman"/>
        </w:rPr>
        <w:t xml:space="preserve"> the type of injury statutory audits seek to avoid. </w:t>
      </w:r>
    </w:p>
    <w:p w:rsidR="00D7327A" w:rsidRPr="00E72124" w:rsidRDefault="00D7327A" w:rsidP="00D7327A">
      <w:pPr>
        <w:pStyle w:val="ParaNoNdepar-AltN"/>
        <w:rPr>
          <w:rFonts w:cs="Times New Roman"/>
        </w:rPr>
      </w:pPr>
      <w:r w:rsidRPr="00E72124">
        <w:rPr>
          <w:rFonts w:cs="Times New Roman"/>
        </w:rPr>
        <w:t xml:space="preserve">We add one final point in this regard. In </w:t>
      </w:r>
      <w:r w:rsidRPr="00E72124">
        <w:rPr>
          <w:rFonts w:cs="Times New Roman"/>
          <w:i/>
        </w:rPr>
        <w:t xml:space="preserve">Hercules </w:t>
      </w:r>
      <w:r w:rsidRPr="00E72124">
        <w:rPr>
          <w:rFonts w:cs="Times New Roman"/>
        </w:rPr>
        <w:t xml:space="preserve">(at para. 48), this Court cited </w:t>
      </w:r>
      <w:proofErr w:type="spellStart"/>
      <w:r w:rsidRPr="00E72124">
        <w:rPr>
          <w:rFonts w:cs="Times New Roman"/>
          <w:i/>
        </w:rPr>
        <w:t>Caparo</w:t>
      </w:r>
      <w:proofErr w:type="spellEnd"/>
      <w:r w:rsidRPr="00E72124">
        <w:rPr>
          <w:rFonts w:cs="Times New Roman"/>
          <w:i/>
        </w:rPr>
        <w:t xml:space="preserve"> </w:t>
      </w:r>
      <w:r w:rsidRPr="00E72124">
        <w:rPr>
          <w:rFonts w:cs="Times New Roman"/>
        </w:rPr>
        <w:t xml:space="preserve">for the proposition that statutory audits are conducted, in part, “to provide shareholders with reliable intelligence for the purpose of enabling them to scrutinise the conduct of the company’s affairs”. If subsequent business decisions that would not have survived such scrutiny do not fall within the scope of an auditor’s duty of care, one wonders what injury, if any, could result in liability for a negligent audit with respect to this recognized auditing purpose. Corporate scrutiny connotes both </w:t>
      </w:r>
      <w:r w:rsidRPr="00E72124">
        <w:rPr>
          <w:rFonts w:cs="Times New Roman"/>
          <w:i/>
        </w:rPr>
        <w:t xml:space="preserve">knowledge </w:t>
      </w:r>
      <w:r w:rsidRPr="00E72124">
        <w:rPr>
          <w:rFonts w:cs="Times New Roman"/>
        </w:rPr>
        <w:t xml:space="preserve">of problems within the corporation, and </w:t>
      </w:r>
      <w:r w:rsidRPr="00E72124">
        <w:rPr>
          <w:rFonts w:cs="Times New Roman"/>
          <w:i/>
        </w:rPr>
        <w:t xml:space="preserve">decisions </w:t>
      </w:r>
      <w:r w:rsidRPr="00E72124">
        <w:rPr>
          <w:rFonts w:cs="Times New Roman"/>
        </w:rPr>
        <w:t>reflecting an appreciation of those problems.  Indeed, it is only by acting on the knowledge contained in an audit that is the product of reasonable care that corporation’s avoid losses that would have otherwise occurred without that audit.</w:t>
      </w:r>
    </w:p>
    <w:p w:rsidR="00D7327A" w:rsidRPr="00E72124" w:rsidRDefault="00D7327A" w:rsidP="00D7327A">
      <w:pPr>
        <w:pStyle w:val="Title4LevelTitre4Niveau"/>
        <w:numPr>
          <w:ilvl w:val="3"/>
          <w:numId w:val="8"/>
        </w:numPr>
        <w:tabs>
          <w:tab w:val="clear" w:pos="1206"/>
          <w:tab w:val="num" w:pos="900"/>
          <w:tab w:val="num" w:pos="1152"/>
        </w:tabs>
        <w:ind w:left="1152"/>
        <w:rPr>
          <w:rFonts w:cs="Times New Roman"/>
        </w:rPr>
      </w:pPr>
      <w:r w:rsidRPr="00E72124">
        <w:rPr>
          <w:rFonts w:cs="Times New Roman"/>
        </w:rPr>
        <w:tab/>
        <w:t>Residual Policy Considerations</w:t>
      </w:r>
    </w:p>
    <w:p w:rsidR="00D7327A" w:rsidRPr="00E72124" w:rsidRDefault="00D7327A" w:rsidP="00D7327A">
      <w:pPr>
        <w:pStyle w:val="ParaNoNdepar-AltN"/>
        <w:tabs>
          <w:tab w:val="clear" w:pos="1152"/>
          <w:tab w:val="left" w:pos="1166"/>
        </w:tabs>
        <w:rPr>
          <w:rFonts w:cs="Times New Roman"/>
        </w:rPr>
      </w:pPr>
      <w:r w:rsidRPr="00E72124">
        <w:rPr>
          <w:rFonts w:cs="Times New Roman"/>
        </w:rPr>
        <w:t>Having found a proximate relationship based on a previously recognized category, we need not consider residual policy considerations to negate or limit the scope of the duty of care (</w:t>
      </w:r>
      <w:r w:rsidRPr="00E72124">
        <w:rPr>
          <w:rFonts w:cs="Times New Roman"/>
          <w:i/>
        </w:rPr>
        <w:t>Cooper</w:t>
      </w:r>
      <w:r w:rsidRPr="00E72124">
        <w:rPr>
          <w:rFonts w:cs="Times New Roman"/>
        </w:rPr>
        <w:t xml:space="preserve">, at para. 39). Nonetheless, as the Chief Justice finds, in the alternative, that the policy consideration of indeterminate liability would deny recovery in this case (paras. 165-166), it is useful to examine how the established proximate relationship engaged in this case precludes indeterminate liability.  </w:t>
      </w:r>
    </w:p>
    <w:p w:rsidR="00D7327A" w:rsidRPr="00E72124" w:rsidRDefault="00D7327A" w:rsidP="00D7327A">
      <w:pPr>
        <w:pStyle w:val="ParaNoNdepar-AltN"/>
        <w:tabs>
          <w:tab w:val="clear" w:pos="1152"/>
          <w:tab w:val="left" w:pos="1166"/>
        </w:tabs>
        <w:rPr>
          <w:rFonts w:cs="Times New Roman"/>
        </w:rPr>
      </w:pPr>
      <w:r w:rsidRPr="00E72124">
        <w:rPr>
          <w:rFonts w:cs="Times New Roman"/>
        </w:rPr>
        <w:t>As discussed, the character of indeterminacy in these cases has three pertinent aspects: (1) temporal; (2) claimant; and (3) value (</w:t>
      </w:r>
      <w:r w:rsidRPr="00E72124">
        <w:rPr>
          <w:rFonts w:cs="Times New Roman"/>
          <w:i/>
        </w:rPr>
        <w:t>Hercules</w:t>
      </w:r>
      <w:r w:rsidRPr="00E72124">
        <w:rPr>
          <w:rFonts w:cs="Times New Roman"/>
        </w:rPr>
        <w:t xml:space="preserve">, at para. 31, citing </w:t>
      </w:r>
      <w:proofErr w:type="spellStart"/>
      <w:r w:rsidRPr="00E72124">
        <w:rPr>
          <w:rFonts w:cs="Times New Roman"/>
          <w:i/>
        </w:rPr>
        <w:t>Ultramares</w:t>
      </w:r>
      <w:proofErr w:type="spellEnd"/>
      <w:r w:rsidRPr="00E72124">
        <w:rPr>
          <w:rFonts w:cs="Times New Roman"/>
        </w:rPr>
        <w:t xml:space="preserve">, at p. 444). None of them arise here, consistent with our earlier observation that a robust application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will usually, if not always, preclude the imposition of liability that is in any way indeterminate (</w:t>
      </w:r>
      <w:proofErr w:type="spellStart"/>
      <w:r w:rsidRPr="00E72124">
        <w:rPr>
          <w:rFonts w:cs="Times New Roman"/>
          <w:i/>
        </w:rPr>
        <w:t>Saadati</w:t>
      </w:r>
      <w:proofErr w:type="spellEnd"/>
      <w:r w:rsidRPr="00E72124">
        <w:rPr>
          <w:rFonts w:cs="Times New Roman"/>
        </w:rPr>
        <w:t xml:space="preserve">, at para. 34; </w:t>
      </w:r>
      <w:proofErr w:type="spellStart"/>
      <w:r w:rsidRPr="00E72124">
        <w:rPr>
          <w:rFonts w:cs="Times New Roman"/>
          <w:i/>
        </w:rPr>
        <w:t>Fullowka</w:t>
      </w:r>
      <w:proofErr w:type="spellEnd"/>
      <w:r w:rsidRPr="00E72124">
        <w:rPr>
          <w:rFonts w:cs="Times New Roman"/>
        </w:rPr>
        <w:t xml:space="preserve">, at para. 70).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Here, as to temporal indeterminacy, any suggestion that Livent could recover indefinitely from the negligent preparation of the 1997 Audit fundamentally mischaracterizes the scope of </w:t>
      </w:r>
      <w:r w:rsidRPr="00E72124">
        <w:rPr>
          <w:rFonts w:cs="Times New Roman"/>
          <w:i/>
        </w:rPr>
        <w:t>annual</w:t>
      </w:r>
      <w:r w:rsidRPr="00E72124">
        <w:rPr>
          <w:rFonts w:cs="Times New Roman"/>
        </w:rPr>
        <w:t xml:space="preserve"> statutory audits. The injury flowing from the 1997 Audit could not be assessed over an </w:t>
      </w:r>
      <w:r w:rsidRPr="00E72124">
        <w:rPr>
          <w:rFonts w:cs="Times New Roman"/>
          <w:i/>
        </w:rPr>
        <w:t xml:space="preserve">indeterminate </w:t>
      </w:r>
      <w:r w:rsidRPr="00E72124">
        <w:rPr>
          <w:rFonts w:cs="Times New Roman"/>
        </w:rPr>
        <w:t>time window. Rather, statutory audits must occur annually (</w:t>
      </w:r>
      <w:r w:rsidRPr="00E72124">
        <w:rPr>
          <w:rFonts w:cs="Times New Roman"/>
          <w:i/>
        </w:rPr>
        <w:t>OBCA</w:t>
      </w:r>
      <w:r w:rsidRPr="00E72124">
        <w:rPr>
          <w:rFonts w:cs="Times New Roman"/>
        </w:rPr>
        <w:t>, s. 154). As a result, the liability that could attach to one year’s negligent audit could not extend beyond the following year’s audit, which would effectively supersede the prior year’s audit as the factual and legal cause of the injury alleged. Put simply, the time window during which liability might flow from a single negligent statutory audit is not indeterminate. It is one year.</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Regarding claimant indeterminacy, the class of claimants here could not be further from </w:t>
      </w:r>
      <w:r w:rsidRPr="00E72124">
        <w:rPr>
          <w:rFonts w:cs="Times New Roman"/>
          <w:i/>
        </w:rPr>
        <w:t>indeterminate</w:t>
      </w:r>
      <w:r w:rsidRPr="00E72124">
        <w:rPr>
          <w:rFonts w:cs="Times New Roman"/>
        </w:rPr>
        <w:t xml:space="preserve">: it represents one single claimant — Livent. In </w:t>
      </w:r>
      <w:r w:rsidRPr="00E72124">
        <w:rPr>
          <w:rFonts w:cs="Times New Roman"/>
          <w:i/>
        </w:rPr>
        <w:t>Hercules</w:t>
      </w:r>
      <w:r w:rsidRPr="00E72124">
        <w:rPr>
          <w:rFonts w:cs="Times New Roman"/>
        </w:rPr>
        <w:t>, this Court noted that “audit reports will be relied on by many different people (e.g., shareholders, creditors, potential take-over bidders, investors, etc.)” (para. 32). That claim gave rise to indeterminate liability because the class of claimants (the “many different people”) was indeterminate. For example, any number of investors could rely on an audit to inform their investment decisions. This case, in contrast, is entirely distinguishable. The fact of a single potential claimant raises no concern of claimant indeterminacy.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We note, parenthetically, that Deloitte characterizes </w:t>
      </w:r>
      <w:proofErr w:type="spellStart"/>
      <w:r w:rsidRPr="00E72124">
        <w:rPr>
          <w:rFonts w:cs="Times New Roman"/>
        </w:rPr>
        <w:t>Livent’s</w:t>
      </w:r>
      <w:proofErr w:type="spellEnd"/>
      <w:r w:rsidRPr="00E72124">
        <w:rPr>
          <w:rFonts w:cs="Times New Roman"/>
        </w:rPr>
        <w:t xml:space="preserve"> claim as, in reality (that is, in light of its insolvency), a claim by its various stakeholders. But this submission conflates the plaintiff, Livent, with the stakeholders who may benefit from the success of </w:t>
      </w:r>
      <w:proofErr w:type="spellStart"/>
      <w:r w:rsidRPr="00E72124">
        <w:rPr>
          <w:rFonts w:cs="Times New Roman"/>
        </w:rPr>
        <w:t>Livent’s</w:t>
      </w:r>
      <w:proofErr w:type="spellEnd"/>
      <w:r w:rsidRPr="00E72124">
        <w:rPr>
          <w:rFonts w:cs="Times New Roman"/>
        </w:rPr>
        <w:t xml:space="preserve"> claim, thereby disregarding </w:t>
      </w:r>
      <w:proofErr w:type="spellStart"/>
      <w:r w:rsidRPr="00E72124">
        <w:rPr>
          <w:rFonts w:cs="Times New Roman"/>
        </w:rPr>
        <w:t>Livent’s</w:t>
      </w:r>
      <w:proofErr w:type="spellEnd"/>
      <w:r w:rsidRPr="00E72124">
        <w:rPr>
          <w:rFonts w:cs="Times New Roman"/>
        </w:rPr>
        <w:t xml:space="preserve"> separate corporate personality. More importantly, it directly contradicts this Court’s holding in </w:t>
      </w:r>
      <w:r w:rsidRPr="00E72124">
        <w:rPr>
          <w:rFonts w:cs="Times New Roman"/>
          <w:i/>
        </w:rPr>
        <w:t xml:space="preserve">Hercules </w:t>
      </w:r>
      <w:r w:rsidRPr="00E72124">
        <w:rPr>
          <w:rFonts w:cs="Times New Roman"/>
        </w:rPr>
        <w:t xml:space="preserve">that a derivative action — which, too, could benefit various stakeholders — is the appropriate vehicle for a claim regarding a negligent statutory audit (paras. 1 and 58-64).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absence of temporal and claimant indeterminacy in turn explains the absence of value indeterminacy in this case. Here, </w:t>
      </w:r>
      <w:proofErr w:type="spellStart"/>
      <w:r w:rsidRPr="00E72124">
        <w:rPr>
          <w:rFonts w:cs="Times New Roman"/>
        </w:rPr>
        <w:t>Livent’s</w:t>
      </w:r>
      <w:proofErr w:type="spellEnd"/>
      <w:r w:rsidRPr="00E72124">
        <w:rPr>
          <w:rFonts w:cs="Times New Roman"/>
        </w:rPr>
        <w:t xml:space="preserve"> improvident use of investment funds could not result in liability of an </w:t>
      </w:r>
      <w:r w:rsidRPr="00E72124">
        <w:rPr>
          <w:rFonts w:cs="Times New Roman"/>
          <w:i/>
        </w:rPr>
        <w:t xml:space="preserve">indeterminate </w:t>
      </w:r>
      <w:r w:rsidRPr="00E72124">
        <w:rPr>
          <w:rFonts w:cs="Times New Roman"/>
        </w:rPr>
        <w:t xml:space="preserve">value. Rather, the liability in this case could not exceed the losses of a single corporation. When undertaking to audit Livent, Deloitte must have known that Livent was a substantial corporation, and in turn, that it could suffer large financial losses if misinformed by its auditor. But </w:t>
      </w:r>
      <w:r w:rsidRPr="00E72124">
        <w:rPr>
          <w:rFonts w:cs="Times New Roman"/>
          <w:i/>
        </w:rPr>
        <w:t>significant</w:t>
      </w:r>
      <w:r w:rsidRPr="00E72124">
        <w:rPr>
          <w:rFonts w:cs="Times New Roman"/>
        </w:rPr>
        <w:t xml:space="preserve"> liability is distinct from </w:t>
      </w:r>
      <w:r w:rsidRPr="00E72124">
        <w:rPr>
          <w:rFonts w:cs="Times New Roman"/>
          <w:i/>
        </w:rPr>
        <w:t>indeterminate</w:t>
      </w:r>
      <w:r w:rsidRPr="00E72124">
        <w:rPr>
          <w:rFonts w:cs="Times New Roman"/>
        </w:rPr>
        <w:t xml:space="preserve"> liability (</w:t>
      </w:r>
      <w:r w:rsidRPr="00E72124">
        <w:rPr>
          <w:rFonts w:cs="Times New Roman"/>
          <w:i/>
        </w:rPr>
        <w:t>Gross</w:t>
      </w:r>
      <w:r w:rsidRPr="00E72124">
        <w:rPr>
          <w:rFonts w:cs="Times New Roman"/>
        </w:rPr>
        <w:t xml:space="preserve">, at para. 38). Put differently, Deloitte was, indeed, “able to gauge the scale of its potential liability” before undertaking the 1997 Audit (Chief Justice’s reasons, at para. 176). This is a far cry from the limitless potential quantum of lost investments by innumerable third parties relying on audit statements for their own investment decisions (see </w:t>
      </w:r>
      <w:r w:rsidRPr="00E72124">
        <w:rPr>
          <w:rFonts w:cs="Times New Roman"/>
          <w:i/>
        </w:rPr>
        <w:t>Hercules</w:t>
      </w:r>
      <w:r w:rsidRPr="00E72124">
        <w:rPr>
          <w:rFonts w:cs="Times New Roman"/>
        </w:rPr>
        <w:t xml:space="preserve">, at para. 32). The concern that Deloitte did not know “the scope of [its] liability at the time [it took] on [its] engagement” with Livent (Chief Justice’s reasons, at para. 176) conflates </w:t>
      </w:r>
      <w:r w:rsidRPr="00E72124">
        <w:rPr>
          <w:rFonts w:cs="Times New Roman"/>
          <w:i/>
        </w:rPr>
        <w:t xml:space="preserve">indeterminate </w:t>
      </w:r>
      <w:r w:rsidRPr="00E72124">
        <w:rPr>
          <w:rFonts w:cs="Times New Roman"/>
        </w:rPr>
        <w:t xml:space="preserve">liability with </w:t>
      </w:r>
      <w:r w:rsidRPr="00E72124">
        <w:rPr>
          <w:rFonts w:cs="Times New Roman"/>
          <w:i/>
        </w:rPr>
        <w:t xml:space="preserve">undetermined </w:t>
      </w:r>
      <w:r w:rsidRPr="00E72124">
        <w:rPr>
          <w:rFonts w:cs="Times New Roman"/>
        </w:rPr>
        <w:t>liability.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Chief Justice describes the liability sought to be imposed here as “indeterminate” because </w:t>
      </w:r>
      <w:proofErr w:type="spellStart"/>
      <w:r w:rsidRPr="00E72124">
        <w:rPr>
          <w:rFonts w:cs="Times New Roman"/>
        </w:rPr>
        <w:t>Livent’s</w:t>
      </w:r>
      <w:proofErr w:type="spellEnd"/>
      <w:r w:rsidRPr="00E72124">
        <w:rPr>
          <w:rFonts w:cs="Times New Roman"/>
        </w:rPr>
        <w:t xml:space="preserve"> reliance purportedly fell outside the scope of Deloitte’s undertaking (para. 170). We disagree. To the contrary, value indeterminacy is limited by the purposes for which the audit was prepared, and </w:t>
      </w:r>
      <w:proofErr w:type="spellStart"/>
      <w:r w:rsidRPr="00E72124">
        <w:rPr>
          <w:rFonts w:cs="Times New Roman"/>
        </w:rPr>
        <w:t>Livent’s</w:t>
      </w:r>
      <w:proofErr w:type="spellEnd"/>
      <w:r w:rsidRPr="00E72124">
        <w:rPr>
          <w:rFonts w:cs="Times New Roman"/>
        </w:rPr>
        <w:t xml:space="preserve"> reliance fell squarely within that purpose. In </w:t>
      </w:r>
      <w:r w:rsidRPr="00E72124">
        <w:rPr>
          <w:rFonts w:cs="Times New Roman"/>
          <w:i/>
        </w:rPr>
        <w:t>Hercules</w:t>
      </w:r>
      <w:r w:rsidRPr="00E72124">
        <w:rPr>
          <w:rFonts w:cs="Times New Roman"/>
        </w:rPr>
        <w:t xml:space="preserve">, this Court rejected a claim by investors because they might use audit reports for a “collateral or unintended purpose” (para. 38), thereby giving rise to indeterminate liability (since the variety of purposes to which an audit may be put is potentially limitless). But that is not the case here. The 1997 Audit was prepared for the express purpose of oversight of management by </w:t>
      </w:r>
      <w:proofErr w:type="spellStart"/>
      <w:r w:rsidRPr="00E72124">
        <w:rPr>
          <w:rFonts w:cs="Times New Roman"/>
        </w:rPr>
        <w:t>Livent’s</w:t>
      </w:r>
      <w:proofErr w:type="spellEnd"/>
      <w:r w:rsidRPr="00E72124">
        <w:rPr>
          <w:rFonts w:cs="Times New Roman"/>
        </w:rPr>
        <w:t xml:space="preserve"> shareholders, and the loss at issue flowed from those shareholders’ inability to conduct that oversight. It follows that the purposes underlying the 1997 Audit — of which, as we have explained, there are only two — do not give rise to potential indeterminacy, and by corollary, relate to potential losses that, too, are not indeterminate. This is not a case where, for example, an unknown third-party relied on an audit to launch a takeover bid — a purpose outside the scope of the audit (</w:t>
      </w:r>
      <w:r w:rsidRPr="00E72124">
        <w:rPr>
          <w:rFonts w:cs="Times New Roman"/>
          <w:i/>
        </w:rPr>
        <w:t>Hercules</w:t>
      </w:r>
      <w:r w:rsidRPr="00E72124">
        <w:rPr>
          <w:rFonts w:cs="Times New Roman"/>
        </w:rPr>
        <w:t>, at para. 32). Rather, this is a case in which an established purpose of the audit was undermined, and where losses predictably flowed from that failed purpose (</w:t>
      </w:r>
      <w:r w:rsidRPr="00E72124">
        <w:rPr>
          <w:rFonts w:cs="Times New Roman"/>
          <w:i/>
        </w:rPr>
        <w:t>Haig</w:t>
      </w:r>
      <w:r w:rsidRPr="00E72124">
        <w:rPr>
          <w:rFonts w:cs="Times New Roman"/>
        </w:rPr>
        <w:t xml:space="preserve">, at pp. 478-79). </w:t>
      </w:r>
    </w:p>
    <w:p w:rsidR="00D7327A" w:rsidRPr="00E72124" w:rsidDel="00242A74" w:rsidRDefault="00D7327A" w:rsidP="00D7327A">
      <w:pPr>
        <w:pStyle w:val="ParaNoNdepar-AltN"/>
        <w:tabs>
          <w:tab w:val="clear" w:pos="1152"/>
          <w:tab w:val="left" w:pos="1166"/>
        </w:tabs>
        <w:rPr>
          <w:rFonts w:cs="Times New Roman"/>
        </w:rPr>
      </w:pPr>
      <w:r w:rsidRPr="00E72124">
        <w:rPr>
          <w:rFonts w:cs="Times New Roman"/>
        </w:rPr>
        <w:t xml:space="preserve">Here, </w:t>
      </w:r>
      <w:r w:rsidRPr="00E72124">
        <w:rPr>
          <w:rFonts w:cs="Times New Roman"/>
          <w:i/>
        </w:rPr>
        <w:t>one</w:t>
      </w:r>
      <w:r w:rsidRPr="00E72124">
        <w:rPr>
          <w:rFonts w:cs="Times New Roman"/>
        </w:rPr>
        <w:t xml:space="preserve"> claimant (Livent) is suing Deloitte for failing to satisfy one of </w:t>
      </w:r>
      <w:r w:rsidRPr="00E72124">
        <w:rPr>
          <w:rFonts w:cs="Times New Roman"/>
          <w:i/>
        </w:rPr>
        <w:t xml:space="preserve">two </w:t>
      </w:r>
      <w:r w:rsidRPr="00E72124">
        <w:rPr>
          <w:rFonts w:cs="Times New Roman"/>
        </w:rPr>
        <w:t xml:space="preserve">auditing purposes (oversight of management) which would have been superseded by an audit </w:t>
      </w:r>
      <w:r w:rsidRPr="00E72124">
        <w:rPr>
          <w:rFonts w:cs="Times New Roman"/>
          <w:i/>
        </w:rPr>
        <w:t xml:space="preserve">one </w:t>
      </w:r>
      <w:r w:rsidRPr="00E72124">
        <w:rPr>
          <w:rFonts w:cs="Times New Roman"/>
        </w:rPr>
        <w:t xml:space="preserve">year later. No indeterminate liability arises in this context. </w:t>
      </w:r>
      <w:r w:rsidRPr="00E72124" w:rsidDel="00242A74">
        <w:rPr>
          <w:rFonts w:cs="Times New Roman"/>
        </w:rPr>
        <w:t xml:space="preserve">In this regard, La Forest J.’s remarks for this Court in </w:t>
      </w:r>
      <w:r w:rsidRPr="00E72124" w:rsidDel="00242A74">
        <w:rPr>
          <w:rFonts w:cs="Times New Roman"/>
          <w:i/>
        </w:rPr>
        <w:t xml:space="preserve">Hercules </w:t>
      </w:r>
      <w:r w:rsidRPr="00E72124">
        <w:rPr>
          <w:rFonts w:cs="Times New Roman"/>
        </w:rPr>
        <w:t xml:space="preserve">(at para. 37) </w:t>
      </w:r>
      <w:r w:rsidRPr="00E72124" w:rsidDel="00242A74">
        <w:rPr>
          <w:rFonts w:cs="Times New Roman"/>
        </w:rPr>
        <w:t>are apposite</w:t>
      </w:r>
      <w:r w:rsidRPr="00E72124">
        <w:rPr>
          <w:rFonts w:cs="Times New Roman"/>
        </w:rPr>
        <w:t>:</w:t>
      </w:r>
      <w:r w:rsidRPr="00E72124" w:rsidDel="00242A74">
        <w:rPr>
          <w:rFonts w:cs="Times New Roman"/>
        </w:rPr>
        <w:t xml:space="preserve"> </w:t>
      </w:r>
    </w:p>
    <w:p w:rsidR="00D7327A" w:rsidRPr="00E72124" w:rsidRDefault="00D7327A" w:rsidP="00D7327A">
      <w:pPr>
        <w:pStyle w:val="Citation-AltC"/>
      </w:pPr>
      <w:r w:rsidRPr="00E72124" w:rsidDel="00242A74">
        <w:t>. . . in cases where the defendant knows the identity of the plaintiff (or of a class of plaintiffs) and where the defendant’s statements are used for the specific purpose or transaction for which they were made, policy considerations surrounding indeterminate liability will not be of any concern since the scope of liability can readily be circumscribed.</w:t>
      </w:r>
    </w:p>
    <w:p w:rsidR="00D7327A" w:rsidRPr="00E72124" w:rsidRDefault="00D7327A" w:rsidP="00D7327A">
      <w:pPr>
        <w:pStyle w:val="ParaNoNdepar-AltN"/>
        <w:rPr>
          <w:rFonts w:cs="Times New Roman"/>
        </w:rPr>
      </w:pPr>
      <w:r w:rsidRPr="00E72124">
        <w:rPr>
          <w:rFonts w:cs="Times New Roman"/>
        </w:rPr>
        <w:t xml:space="preserve">The lack of indeterminacy here between Deloitte (an auditor) and Livent (its corporate client) is unsurprising given (1) this Court’s recognition in </w:t>
      </w:r>
      <w:r w:rsidRPr="00E72124">
        <w:rPr>
          <w:rFonts w:cs="Times New Roman"/>
          <w:i/>
        </w:rPr>
        <w:t xml:space="preserve">Hercules </w:t>
      </w:r>
      <w:r w:rsidRPr="00E72124">
        <w:rPr>
          <w:rFonts w:cs="Times New Roman"/>
        </w:rPr>
        <w:t xml:space="preserve">that a duty of care exists between an auditor and its corporate client in relation to a statutory audit; and (2) this Court’s direction in </w:t>
      </w:r>
      <w:r w:rsidRPr="00E72124">
        <w:rPr>
          <w:rFonts w:cs="Times New Roman"/>
          <w:i/>
        </w:rPr>
        <w:t>Cooper</w:t>
      </w:r>
      <w:r w:rsidRPr="00E72124">
        <w:rPr>
          <w:rFonts w:cs="Times New Roman"/>
        </w:rPr>
        <w:t xml:space="preserve"> that the second stage of the </w:t>
      </w:r>
      <w:proofErr w:type="spellStart"/>
      <w:r w:rsidRPr="00E72124">
        <w:rPr>
          <w:rFonts w:cs="Times New Roman"/>
          <w:i/>
        </w:rPr>
        <w:t>Anns</w:t>
      </w:r>
      <w:proofErr w:type="spellEnd"/>
      <w:r w:rsidRPr="00E72124">
        <w:rPr>
          <w:rFonts w:cs="Times New Roman"/>
          <w:i/>
        </w:rPr>
        <w:t xml:space="preserve">/Cooper </w:t>
      </w:r>
      <w:r w:rsidRPr="00E72124">
        <w:rPr>
          <w:rFonts w:cs="Times New Roman"/>
        </w:rPr>
        <w:t>framework need not be considered where a previously recognized proximate relationship exists.</w:t>
      </w:r>
    </w:p>
    <w:p w:rsidR="00D7327A" w:rsidRPr="00E72124" w:rsidRDefault="00D7327A" w:rsidP="00D7327A">
      <w:pPr>
        <w:pStyle w:val="Title4LevelTitre4Niveau"/>
        <w:numPr>
          <w:ilvl w:val="3"/>
          <w:numId w:val="8"/>
        </w:numPr>
        <w:tabs>
          <w:tab w:val="clear" w:pos="1206"/>
          <w:tab w:val="num" w:pos="900"/>
          <w:tab w:val="num" w:pos="1152"/>
        </w:tabs>
        <w:ind w:left="1152"/>
        <w:rPr>
          <w:rFonts w:cs="Times New Roman"/>
        </w:rPr>
      </w:pPr>
      <w:r w:rsidRPr="00E72124">
        <w:rPr>
          <w:rFonts w:cs="Times New Roman"/>
        </w:rPr>
        <w:tab/>
        <w:t>Remoteness</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Chief Justice says that Deloitte’s complete immunity from liability would similarly flow from a remoteness analysis (para. 173). We disagree. </w:t>
      </w:r>
    </w:p>
    <w:p w:rsidR="00D7327A" w:rsidRPr="00E72124" w:rsidRDefault="00D7327A" w:rsidP="00D7327A">
      <w:pPr>
        <w:pStyle w:val="ParaNoNdepar-AltN"/>
        <w:rPr>
          <w:rFonts w:cs="Times New Roman"/>
        </w:rPr>
      </w:pPr>
      <w:r w:rsidRPr="00E72124">
        <w:rPr>
          <w:rFonts w:cs="Times New Roman"/>
          <w:bCs/>
        </w:rPr>
        <w:t>In a successful negligence action, a plaintiff must demonstrate that (1) the defendant owed him or her a duty of care; (2) the defendant’s behaviour breached the standard of care; (3) the plaintiff sustained damage; and (4) the damage was caused, in fact and in law, by the defendant’s breach (</w:t>
      </w:r>
      <w:r w:rsidRPr="00E72124">
        <w:rPr>
          <w:rFonts w:cs="Times New Roman"/>
          <w:bCs/>
          <w:i/>
        </w:rPr>
        <w:t xml:space="preserve">Mustapha v. </w:t>
      </w:r>
      <w:proofErr w:type="spellStart"/>
      <w:r w:rsidRPr="00E72124">
        <w:rPr>
          <w:rFonts w:cs="Times New Roman"/>
          <w:bCs/>
          <w:i/>
        </w:rPr>
        <w:t>Culligan</w:t>
      </w:r>
      <w:proofErr w:type="spellEnd"/>
      <w:r w:rsidRPr="00E72124">
        <w:rPr>
          <w:rFonts w:cs="Times New Roman"/>
          <w:bCs/>
          <w:i/>
        </w:rPr>
        <w:t xml:space="preserve"> of Canada Ltd.</w:t>
      </w:r>
      <w:r w:rsidRPr="00E72124">
        <w:rPr>
          <w:rFonts w:cs="Times New Roman"/>
          <w:bCs/>
        </w:rPr>
        <w:t xml:space="preserve">, 2008 SCC 27, [2008] 2 S.C.R. 114, at para. 3; </w:t>
      </w:r>
      <w:proofErr w:type="spellStart"/>
      <w:r w:rsidRPr="00E72124">
        <w:rPr>
          <w:rFonts w:cs="Times New Roman"/>
          <w:bCs/>
          <w:i/>
        </w:rPr>
        <w:t>Saadati</w:t>
      </w:r>
      <w:proofErr w:type="spellEnd"/>
      <w:r w:rsidRPr="00E72124">
        <w:rPr>
          <w:rFonts w:cs="Times New Roman"/>
          <w:bCs/>
        </w:rPr>
        <w:t xml:space="preserve">, at para. 13). The principle of remoteness, or legal causation, examines whether </w:t>
      </w:r>
      <w:r w:rsidRPr="00E72124">
        <w:rPr>
          <w:rFonts w:cs="Times New Roman"/>
        </w:rPr>
        <w:t>“the harm [is] too unrelated to the wrongful conduct to hold the defendant fairly liable” (</w:t>
      </w:r>
      <w:r w:rsidRPr="00E72124">
        <w:rPr>
          <w:rFonts w:cs="Times New Roman"/>
          <w:i/>
          <w:iCs/>
        </w:rPr>
        <w:t>Mustapha</w:t>
      </w:r>
      <w:r w:rsidRPr="00E72124">
        <w:rPr>
          <w:rFonts w:cs="Times New Roman"/>
        </w:rPr>
        <w:t xml:space="preserve">, at para. 12, citing A.M. Linden and B. </w:t>
      </w:r>
      <w:proofErr w:type="spellStart"/>
      <w:r w:rsidRPr="00E72124">
        <w:rPr>
          <w:rFonts w:cs="Times New Roman"/>
        </w:rPr>
        <w:t>Feldthusen</w:t>
      </w:r>
      <w:proofErr w:type="spellEnd"/>
      <w:r w:rsidRPr="00E72124">
        <w:rPr>
          <w:rFonts w:cs="Times New Roman"/>
        </w:rPr>
        <w:t xml:space="preserve">, </w:t>
      </w:r>
      <w:r w:rsidRPr="00E72124">
        <w:rPr>
          <w:rFonts w:cs="Times New Roman"/>
          <w:i/>
        </w:rPr>
        <w:t>Canadian Tort Law</w:t>
      </w:r>
      <w:r w:rsidRPr="00E72124">
        <w:rPr>
          <w:rFonts w:cs="Times New Roman"/>
        </w:rPr>
        <w:t xml:space="preserve"> (8th ed. 2006), at p. 360; see also </w:t>
      </w:r>
      <w:proofErr w:type="spellStart"/>
      <w:r w:rsidRPr="00E72124">
        <w:rPr>
          <w:rFonts w:cs="Times New Roman"/>
          <w:i/>
        </w:rPr>
        <w:t>Saadati</w:t>
      </w:r>
      <w:proofErr w:type="spellEnd"/>
      <w:r w:rsidRPr="00E72124">
        <w:rPr>
          <w:rFonts w:cs="Times New Roman"/>
        </w:rPr>
        <w:t>, at para. 34). It is trite law that “it is the foresight of the reasonable man which alone can determine responsibility” (</w:t>
      </w:r>
      <w:r w:rsidRPr="00E72124">
        <w:rPr>
          <w:rFonts w:cs="Times New Roman"/>
          <w:i/>
        </w:rPr>
        <w:t>Mustapha</w:t>
      </w:r>
      <w:r w:rsidRPr="00E72124">
        <w:rPr>
          <w:rFonts w:cs="Times New Roman"/>
        </w:rPr>
        <w:t xml:space="preserve">, at paras. 11-13, citing </w:t>
      </w:r>
      <w:r w:rsidRPr="00E72124">
        <w:rPr>
          <w:rFonts w:cs="Times New Roman"/>
          <w:i/>
        </w:rPr>
        <w:t xml:space="preserve">Overseas Tankship (U.K.) Ltd. v. </w:t>
      </w:r>
      <w:proofErr w:type="spellStart"/>
      <w:r w:rsidRPr="00E72124">
        <w:rPr>
          <w:rFonts w:cs="Times New Roman"/>
          <w:i/>
        </w:rPr>
        <w:t>Morts</w:t>
      </w:r>
      <w:proofErr w:type="spellEnd"/>
      <w:r w:rsidRPr="00E72124">
        <w:rPr>
          <w:rFonts w:cs="Times New Roman"/>
          <w:i/>
        </w:rPr>
        <w:t xml:space="preserve"> Dock &amp; Engineering Co.</w:t>
      </w:r>
      <w:r w:rsidRPr="00E72124">
        <w:rPr>
          <w:rFonts w:cs="Times New Roman"/>
        </w:rPr>
        <w:t>,</w:t>
      </w:r>
      <w:r w:rsidRPr="00E72124">
        <w:rPr>
          <w:rFonts w:cs="Times New Roman"/>
          <w:i/>
        </w:rPr>
        <w:t xml:space="preserve"> </w:t>
      </w:r>
      <w:r w:rsidRPr="00E72124">
        <w:rPr>
          <w:rFonts w:cs="Times New Roman"/>
        </w:rPr>
        <w:t xml:space="preserve">[1961] A.C. 388 (P.C.), at p. 424). Therefore, injury will be sufficiently related to the wrongful conduct if it is a reasonably foreseeable consequence of that conduct.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We acknowledge that remoteness, so understood, overlaps conceptually with the reasonable foreseeability analysis conducted in the </w:t>
      </w:r>
      <w:r w:rsidRPr="00E72124">
        <w:rPr>
          <w:rFonts w:cs="Times New Roman"/>
          <w:i/>
        </w:rPr>
        <w:t xml:space="preserve">prima facie </w:t>
      </w:r>
      <w:r w:rsidRPr="00E72124">
        <w:rPr>
          <w:rFonts w:cs="Times New Roman"/>
        </w:rPr>
        <w:t>duty of care analysis (</w:t>
      </w:r>
      <w:r w:rsidRPr="00E72124">
        <w:rPr>
          <w:rFonts w:cs="Times New Roman"/>
          <w:i/>
        </w:rPr>
        <w:t>Mustapha</w:t>
      </w:r>
      <w:r w:rsidRPr="00E72124">
        <w:rPr>
          <w:rFonts w:cs="Times New Roman"/>
        </w:rPr>
        <w:t>,</w:t>
      </w:r>
      <w:r w:rsidRPr="00E72124">
        <w:rPr>
          <w:rFonts w:cs="Times New Roman"/>
          <w:i/>
        </w:rPr>
        <w:t xml:space="preserve"> </w:t>
      </w:r>
      <w:r w:rsidRPr="00E72124">
        <w:rPr>
          <w:rFonts w:cs="Times New Roman"/>
        </w:rPr>
        <w:t xml:space="preserve">at para. 15). But the two are distinct: the duty analysis is concerned with </w:t>
      </w:r>
      <w:r w:rsidRPr="00E72124">
        <w:rPr>
          <w:rFonts w:cs="Times New Roman"/>
          <w:i/>
        </w:rPr>
        <w:t>the</w:t>
      </w:r>
      <w:r w:rsidRPr="00E72124">
        <w:rPr>
          <w:rFonts w:cs="Times New Roman"/>
        </w:rPr>
        <w:t xml:space="preserve"> </w:t>
      </w:r>
      <w:r w:rsidRPr="00E72124">
        <w:rPr>
          <w:rFonts w:cs="Times New Roman"/>
          <w:i/>
        </w:rPr>
        <w:t>type</w:t>
      </w:r>
      <w:r w:rsidRPr="00E72124">
        <w:rPr>
          <w:rFonts w:cs="Times New Roman"/>
        </w:rPr>
        <w:t xml:space="preserve"> </w:t>
      </w:r>
      <w:r w:rsidRPr="00E72124">
        <w:rPr>
          <w:rFonts w:cs="Times New Roman"/>
          <w:i/>
        </w:rPr>
        <w:t>of</w:t>
      </w:r>
      <w:r w:rsidRPr="00E72124">
        <w:rPr>
          <w:rFonts w:cs="Times New Roman"/>
        </w:rPr>
        <w:t xml:space="preserve"> </w:t>
      </w:r>
      <w:r w:rsidRPr="00E72124">
        <w:rPr>
          <w:rFonts w:cs="Times New Roman"/>
          <w:i/>
        </w:rPr>
        <w:t xml:space="preserve">injury </w:t>
      </w:r>
      <w:r w:rsidRPr="00E72124">
        <w:rPr>
          <w:rFonts w:cs="Times New Roman"/>
        </w:rPr>
        <w:t xml:space="preserve">that is reasonably foreseeable as flowing from the defendant’s conduct, whereas the remoteness analysis is concerned with the reasonable foreseeability of </w:t>
      </w:r>
      <w:r w:rsidRPr="00E72124">
        <w:rPr>
          <w:rFonts w:cs="Times New Roman"/>
          <w:i/>
        </w:rPr>
        <w:t>the actual injury</w:t>
      </w:r>
      <w:r w:rsidRPr="00E72124">
        <w:rPr>
          <w:rFonts w:cs="Times New Roman"/>
        </w:rPr>
        <w:t xml:space="preserve"> suffered by the plaintiff (L. N. </w:t>
      </w:r>
      <w:proofErr w:type="spellStart"/>
      <w:r w:rsidRPr="00E72124">
        <w:rPr>
          <w:rFonts w:cs="Times New Roman"/>
        </w:rPr>
        <w:t>Klar</w:t>
      </w:r>
      <w:proofErr w:type="spellEnd"/>
      <w:r w:rsidRPr="00E72124">
        <w:rPr>
          <w:rFonts w:cs="Times New Roman"/>
        </w:rPr>
        <w:t xml:space="preserve"> and C. S. G. Jefferies, </w:t>
      </w:r>
      <w:r w:rsidRPr="00E72124">
        <w:rPr>
          <w:rFonts w:cs="Times New Roman"/>
          <w:i/>
        </w:rPr>
        <w:t>Tort Law</w:t>
      </w:r>
      <w:r w:rsidRPr="00E72124">
        <w:rPr>
          <w:rFonts w:cs="Times New Roman"/>
        </w:rPr>
        <w:t xml:space="preserve">, (6th ed. 2017), at p. 565: “Remoteness questions deal with how far liability should extend in reference to </w:t>
      </w:r>
      <w:r w:rsidRPr="00E72124">
        <w:rPr>
          <w:rFonts w:cs="Times New Roman"/>
          <w:u w:val="single"/>
        </w:rPr>
        <w:t>injuries caused to the plaintiff</w:t>
      </w:r>
      <w:r w:rsidRPr="00E72124">
        <w:rPr>
          <w:rFonts w:cs="Times New Roman"/>
        </w:rPr>
        <w:t xml:space="preserve">, once a duty relationship . . .[has] been established” (emphasis added)).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Remoteness, at its core, turns on the reasonable foreseeability of the actual injury suffered by the plaintiff. But, and as we have explained, the loss here — stemming from Deloitte’s failure to fulfill the specific undertaking it made to Livent — </w:t>
      </w:r>
      <w:r w:rsidRPr="00E72124">
        <w:rPr>
          <w:rFonts w:cs="Times New Roman"/>
          <w:i/>
        </w:rPr>
        <w:t>was</w:t>
      </w:r>
      <w:r w:rsidRPr="00E72124">
        <w:rPr>
          <w:rFonts w:cs="Times New Roman"/>
        </w:rPr>
        <w:t xml:space="preserve"> reasonably foreseeable. It follows that remoteness is not a bar to </w:t>
      </w:r>
      <w:proofErr w:type="spellStart"/>
      <w:r w:rsidRPr="00E72124">
        <w:rPr>
          <w:rFonts w:cs="Times New Roman"/>
        </w:rPr>
        <w:t>Livent’s</w:t>
      </w:r>
      <w:proofErr w:type="spellEnd"/>
      <w:r w:rsidRPr="00E72124">
        <w:rPr>
          <w:rFonts w:cs="Times New Roman"/>
        </w:rPr>
        <w:t xml:space="preserve"> recovery.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Nonetheless, the Chief Justice holds that </w:t>
      </w:r>
      <w:proofErr w:type="spellStart"/>
      <w:r w:rsidRPr="00E72124">
        <w:rPr>
          <w:rFonts w:cs="Times New Roman"/>
        </w:rPr>
        <w:t>Livent’s</w:t>
      </w:r>
      <w:proofErr w:type="spellEnd"/>
      <w:r w:rsidRPr="00E72124">
        <w:rPr>
          <w:rFonts w:cs="Times New Roman"/>
        </w:rPr>
        <w:t xml:space="preserve"> loss is too remote because it cannot be attributed to its shareholders’ reliance on the 1997 Audit for the purpose of overseeing management. Specifically, she says that “Livent did not prove and the trial judge did not find that </w:t>
      </w:r>
      <w:proofErr w:type="spellStart"/>
      <w:r w:rsidRPr="00E72124">
        <w:rPr>
          <w:rFonts w:cs="Times New Roman"/>
        </w:rPr>
        <w:t>Livent’s</w:t>
      </w:r>
      <w:proofErr w:type="spellEnd"/>
      <w:r w:rsidRPr="00E72124">
        <w:rPr>
          <w:rFonts w:cs="Times New Roman"/>
        </w:rPr>
        <w:t xml:space="preserve"> shareholders relied on Deloitte’s negligent audit statements, or that had they received and relied on accurate statements, they would have acted in a way that would have prevented Livent from carrying on business and diminishing its assets” (para. 159). With respect, we see the matter differently. In its amended statement of claim, Livent advanced its theory of impaired shareholder reliance (A.R., vol. III, at p. 112):</w:t>
      </w:r>
    </w:p>
    <w:p w:rsidR="00D7327A" w:rsidRPr="00E72124" w:rsidRDefault="00D7327A" w:rsidP="00D7327A">
      <w:pPr>
        <w:pStyle w:val="Citation-AltC"/>
      </w:pPr>
      <w:r w:rsidRPr="00E72124">
        <w:tab/>
        <w:t xml:space="preserve">As a consequence of the Auditors’ breaches of duty, they missed repeated opportunities to uncover and reveal the accounting irregularities and errors being orchestrated by </w:t>
      </w:r>
      <w:proofErr w:type="spellStart"/>
      <w:r w:rsidRPr="00E72124">
        <w:t>Drabinsky</w:t>
      </w:r>
      <w:proofErr w:type="spellEnd"/>
      <w:r w:rsidRPr="00E72124">
        <w:t xml:space="preserve"> and Gottlieb. Consequently, </w:t>
      </w:r>
      <w:r w:rsidRPr="00E72124">
        <w:rPr>
          <w:u w:val="single"/>
        </w:rPr>
        <w:t xml:space="preserve">the Livent Stakeholders were deprived of the opportunity to exercise their collective will by, inter alia, ousting </w:t>
      </w:r>
      <w:proofErr w:type="spellStart"/>
      <w:r w:rsidRPr="00E72124">
        <w:rPr>
          <w:u w:val="single"/>
        </w:rPr>
        <w:t>Drabinsky</w:t>
      </w:r>
      <w:proofErr w:type="spellEnd"/>
      <w:r w:rsidRPr="00E72124">
        <w:rPr>
          <w:u w:val="single"/>
        </w:rPr>
        <w:t xml:space="preserve"> and Gottlieb thereby avoiding further losses,</w:t>
      </w:r>
      <w:r w:rsidRPr="00E72124">
        <w:t xml:space="preserve"> damages and liabilities incurred by Livent and the Livent Stakeholders. [Emphasis added.]</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Similarly, when the trial judge summarized </w:t>
      </w:r>
      <w:proofErr w:type="spellStart"/>
      <w:r w:rsidRPr="00E72124">
        <w:rPr>
          <w:rFonts w:cs="Times New Roman"/>
        </w:rPr>
        <w:t>Livent’s</w:t>
      </w:r>
      <w:proofErr w:type="spellEnd"/>
      <w:r w:rsidRPr="00E72124">
        <w:rPr>
          <w:rFonts w:cs="Times New Roman"/>
        </w:rPr>
        <w:t xml:space="preserve"> position at trial, he wrote (at para. 23): </w:t>
      </w:r>
    </w:p>
    <w:p w:rsidR="00D7327A" w:rsidRPr="00E72124" w:rsidRDefault="00D7327A" w:rsidP="00D7327A">
      <w:pPr>
        <w:pStyle w:val="Citation-AltC"/>
      </w:pPr>
      <w:r w:rsidRPr="00E72124">
        <w:t xml:space="preserve">[Deloitte’s] alleged negligent issuance of unqualified opinions, in turn, </w:t>
      </w:r>
      <w:r w:rsidRPr="00E72124">
        <w:rPr>
          <w:u w:val="single"/>
        </w:rPr>
        <w:t>deprived the honest directors and shareholders of the opportunity to put a stop to the fraud,</w:t>
      </w:r>
      <w:r w:rsidRPr="00E72124">
        <w:t xml:space="preserve"> and the losses eventually caused to the company by the fraud, at an earlier date. [Emphasis added.]</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trial judge accepted this theory: “I believe that the honest directors and innocent shareholders in this case were entitled to rely on Deloitte’s audits to discharge their supervisory task” (para. 341). Nonetheless, the Chief Justice would deny liability because, in her view, “Livent offered no proof to support” the assertion that its shareholders would have called management to account had they received a non-negligent audit in March of 1998 (para. 161). But this is </w:t>
      </w:r>
      <w:r w:rsidRPr="00E72124">
        <w:rPr>
          <w:rFonts w:cs="Times New Roman"/>
          <w:i/>
        </w:rPr>
        <w:t>precisely</w:t>
      </w:r>
      <w:r w:rsidRPr="00E72124">
        <w:rPr>
          <w:rFonts w:cs="Times New Roman"/>
        </w:rPr>
        <w:t xml:space="preserve"> what the record shows. On November 18, 1998, Livent received a prudently prepared audit of its restated 1997 financial statements. This prudent audit disclosed a “significant, if not staggering” difference in reported income (trial reasons, at para. 15). Specifically, the prudent audit uncovered an additional loss of over $50 million during the 1997 fiscal year. </w:t>
      </w:r>
    </w:p>
    <w:p w:rsidR="00D7327A" w:rsidRPr="00E72124" w:rsidRDefault="00D7327A" w:rsidP="00D7327A">
      <w:pPr>
        <w:pStyle w:val="ParaNoNdepar-AltN"/>
        <w:tabs>
          <w:tab w:val="clear" w:pos="1152"/>
          <w:tab w:val="left" w:pos="1166"/>
        </w:tabs>
        <w:rPr>
          <w:rFonts w:cs="Times New Roman"/>
        </w:rPr>
      </w:pPr>
      <w:proofErr w:type="spellStart"/>
      <w:r w:rsidRPr="00E72124">
        <w:rPr>
          <w:rFonts w:cs="Times New Roman"/>
        </w:rPr>
        <w:t>Livent’s</w:t>
      </w:r>
      <w:proofErr w:type="spellEnd"/>
      <w:r w:rsidRPr="00E72124">
        <w:rPr>
          <w:rFonts w:cs="Times New Roman"/>
        </w:rPr>
        <w:t xml:space="preserve"> response upon receipt of this audit report is telling and, in our view, belies any suggestion that informed shareholder scrutiny would have permitted Livent to act in any manner other than expected. </w:t>
      </w:r>
      <w:r w:rsidRPr="00E72124">
        <w:rPr>
          <w:rFonts w:cs="Times New Roman"/>
          <w:i/>
        </w:rPr>
        <w:t>That same day</w:t>
      </w:r>
      <w:r w:rsidRPr="00E72124">
        <w:rPr>
          <w:rFonts w:cs="Times New Roman"/>
        </w:rPr>
        <w:t>, “</w:t>
      </w:r>
      <w:proofErr w:type="spellStart"/>
      <w:r w:rsidRPr="00E72124">
        <w:rPr>
          <w:rFonts w:cs="Times New Roman"/>
        </w:rPr>
        <w:t>Drabinsky</w:t>
      </w:r>
      <w:proofErr w:type="spellEnd"/>
      <w:r w:rsidRPr="00E72124">
        <w:rPr>
          <w:rFonts w:cs="Times New Roman"/>
        </w:rPr>
        <w:t xml:space="preserve"> and Gottlieb were dismissed for cause . . . and Livent voluntarily made a petition for bankruptcy protection” in the United States (trial reasons, at para. 16). </w:t>
      </w:r>
      <w:r w:rsidRPr="00E72124">
        <w:rPr>
          <w:rFonts w:cs="Times New Roman"/>
          <w:i/>
        </w:rPr>
        <w:t>The next day</w:t>
      </w:r>
      <w:r w:rsidRPr="00E72124">
        <w:rPr>
          <w:rFonts w:cs="Times New Roman"/>
        </w:rPr>
        <w:t xml:space="preserve">, “Livent filed for protection under the </w:t>
      </w:r>
      <w:r w:rsidRPr="00E72124">
        <w:rPr>
          <w:rFonts w:cs="Times New Roman"/>
          <w:i/>
        </w:rPr>
        <w:t xml:space="preserve">Companies’ Creditors Arrangement </w:t>
      </w:r>
      <w:r w:rsidRPr="00E72124">
        <w:rPr>
          <w:rFonts w:cs="Times New Roman"/>
        </w:rPr>
        <w:t>Act, R.S.C. 1985, c. C-36 in Canada” (</w:t>
      </w:r>
      <w:r w:rsidRPr="00E72124">
        <w:rPr>
          <w:rFonts w:cs="Times New Roman"/>
          <w:i/>
          <w:lang w:val="en"/>
        </w:rPr>
        <w:t>ibid.</w:t>
      </w:r>
      <w:r w:rsidRPr="00E72124">
        <w:rPr>
          <w:rFonts w:cs="Times New Roman"/>
        </w:rPr>
        <w:t xml:space="preserve">). It is difficult to conceive of a clearer demonstration of when and how </w:t>
      </w:r>
      <w:proofErr w:type="spellStart"/>
      <w:r w:rsidRPr="00E72124">
        <w:rPr>
          <w:rFonts w:cs="Times New Roman"/>
        </w:rPr>
        <w:t>Livent’s</w:t>
      </w:r>
      <w:proofErr w:type="spellEnd"/>
      <w:r w:rsidRPr="00E72124">
        <w:rPr>
          <w:rFonts w:cs="Times New Roman"/>
        </w:rPr>
        <w:t xml:space="preserve"> shareholders would have “prevented Livent from carrying on business and diminishing its assets” had Deloitte prepared a prudent audit in March of 1998 (Chief Justice’s reasons, at para. 159).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On this record, any speculation that </w:t>
      </w:r>
      <w:proofErr w:type="spellStart"/>
      <w:r w:rsidRPr="00E72124">
        <w:rPr>
          <w:rFonts w:cs="Times New Roman"/>
        </w:rPr>
        <w:t>Livent’s</w:t>
      </w:r>
      <w:proofErr w:type="spellEnd"/>
      <w:r w:rsidRPr="00E72124">
        <w:rPr>
          <w:rFonts w:cs="Times New Roman"/>
        </w:rPr>
        <w:t xml:space="preserve"> shareholders might have done nothing in response to rampant fraud is simply unsustainable. Indeed, the similarly speculative claim that </w:t>
      </w:r>
      <w:proofErr w:type="spellStart"/>
      <w:r w:rsidRPr="00E72124">
        <w:rPr>
          <w:rFonts w:cs="Times New Roman"/>
        </w:rPr>
        <w:t>Livent’s</w:t>
      </w:r>
      <w:proofErr w:type="spellEnd"/>
      <w:r w:rsidRPr="00E72124">
        <w:rPr>
          <w:rFonts w:cs="Times New Roman"/>
        </w:rPr>
        <w:t xml:space="preserve"> shareholders might have done nothing when confronted with a notional liquidation deficit of approximately $365 million in early April 1998 (when we know that the actual liquidation deficit of $413.83 million in mid-November 1998 prompted </w:t>
      </w:r>
      <w:proofErr w:type="spellStart"/>
      <w:r w:rsidRPr="00E72124">
        <w:rPr>
          <w:rFonts w:cs="Times New Roman"/>
        </w:rPr>
        <w:t>Livent’s</w:t>
      </w:r>
      <w:proofErr w:type="spellEnd"/>
      <w:r w:rsidRPr="00E72124">
        <w:rPr>
          <w:rFonts w:cs="Times New Roman"/>
        </w:rPr>
        <w:t xml:space="preserve"> immediate petition into bankruptcy) is — also in light of this record — equally improbable.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Chief Justice, however, advances one additional basis upon which to deny Deloitte’s liability: that Deloitte should be </w:t>
      </w:r>
      <w:r w:rsidRPr="00E72124">
        <w:rPr>
          <w:rFonts w:cs="Times New Roman"/>
          <w:lang w:val="en-US"/>
        </w:rPr>
        <w:t>liable “only for the information” it provided (the audit opinion), not “for the decision[s] to be informed by it” (para. 171). This proposition does not preclude Deloitte’s liability here.</w:t>
      </w:r>
      <w:r w:rsidRPr="00E72124">
        <w:rPr>
          <w:rFonts w:cs="Times New Roman"/>
        </w:rPr>
        <w:t xml:space="preserve"> </w:t>
      </w:r>
    </w:p>
    <w:p w:rsidR="00D7327A" w:rsidRPr="00E72124" w:rsidRDefault="00D7327A" w:rsidP="00D7327A">
      <w:pPr>
        <w:pStyle w:val="Title4LevelTitre4Niveau"/>
        <w:tabs>
          <w:tab w:val="clear" w:pos="900"/>
          <w:tab w:val="num" w:pos="1206"/>
        </w:tabs>
        <w:jc w:val="both"/>
        <w:rPr>
          <w:rFonts w:cs="Times New Roman"/>
        </w:rPr>
      </w:pPr>
      <w:r w:rsidRPr="00E72124">
        <w:rPr>
          <w:rFonts w:cs="Times New Roman"/>
        </w:rPr>
        <w:t>Additional Basis for Limiting Liability: Information, Advice and the “SAAMCO Principle”</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Chief Justice seeks to limit Deloitte’s liability because it merely provided “information” to Livent, not “advice”, and, as a consequence, did not “assume responsibility for what the shareholders decide[d] to do with that information” (para. 170). In this regard, she cites (at para. 149) the following passage from </w:t>
      </w:r>
      <w:r w:rsidRPr="00E72124">
        <w:rPr>
          <w:rFonts w:cs="Times New Roman"/>
          <w:i/>
        </w:rPr>
        <w:t>Hughes-Holland v. BPE Solicitors</w:t>
      </w:r>
      <w:r w:rsidRPr="00E72124">
        <w:rPr>
          <w:rFonts w:cs="Times New Roman"/>
        </w:rPr>
        <w:t>, [2017] UKSC 21, [2017] 2 W.L.R. 1029, at para. 44:</w:t>
      </w:r>
    </w:p>
    <w:p w:rsidR="00D7327A" w:rsidRPr="00E72124" w:rsidRDefault="00D7327A" w:rsidP="00D7327A">
      <w:pPr>
        <w:pStyle w:val="Citation-AltC"/>
      </w:pPr>
      <w:r w:rsidRPr="00E72124">
        <w:rPr>
          <w:lang w:val="en-US"/>
        </w:rPr>
        <w:t xml:space="preserve">A </w:t>
      </w:r>
      <w:proofErr w:type="spellStart"/>
      <w:r w:rsidRPr="00E72124">
        <w:rPr>
          <w:lang w:val="en-US"/>
        </w:rPr>
        <w:t>valuer</w:t>
      </w:r>
      <w:proofErr w:type="spellEnd"/>
      <w:r w:rsidRPr="00E72124">
        <w:rPr>
          <w:lang w:val="en-US"/>
        </w:rPr>
        <w:t xml:space="preserve"> or a conveyancer, for example, will rarely supply more than a specific part of the material on which his client’s decision is based. He is generally no more than a provider of what Lord Hoffmann [in </w:t>
      </w:r>
      <w:r w:rsidRPr="00E72124">
        <w:rPr>
          <w:i/>
          <w:lang w:val="en-US"/>
        </w:rPr>
        <w:t>SAAMCO</w:t>
      </w:r>
      <w:r w:rsidRPr="00E72124">
        <w:rPr>
          <w:lang w:val="en-US"/>
        </w:rPr>
        <w:t>]</w:t>
      </w:r>
      <w:r w:rsidRPr="00E72124">
        <w:rPr>
          <w:i/>
          <w:lang w:val="en-US"/>
        </w:rPr>
        <w:t xml:space="preserve"> </w:t>
      </w:r>
      <w:r w:rsidRPr="00E72124">
        <w:rPr>
          <w:lang w:val="en-US"/>
        </w:rPr>
        <w:t>called “information”. At the opposite end of the spectrum, an investment adviser advising a client whether to buy a particular stock, or a financial adviser advising whether to invest self-invested pension fund in an annuity are likely, in Lord Hoffmann’s terminology, to be regarded as giving “advice”. Between these extremes, every case is likely to depend on the range of matters for which the defendant assumed responsibility and no more exact rule can be stated.</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It is true that Deloitte, as auditor, did not advise Livent on its business decisions. But it nevertheless “assumed responsibility” over providing accurate information upon which the shareholders could rely to scrutinize management conduct. Deloitte does not escape liability simply because a negligent audit, in itself, cannot cause financial harm. Audits never, in themselves, cause harm.  It is only when they are detrimentally relied upon that tangible consequences ensue.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The consequences of this line of reasoning should not be understated. By effectively limiting an auditor’s liability to the harms inherent in the negligent audit, while excluding those harms which are a reasonably foreseeable consequence of that negligent audit (i.e., an inability to oversee management), a central purpose for which a statutory audit is prepared is undercut, thereby immunizing auditors from liability for any act of negligence impairing oversight. This holding is inconsistent with the Court’s jurisprudence (which prescribes recovery for reasonably foreseeable injury, even if that injury is not technically immediate) and is in tension with </w:t>
      </w:r>
      <w:r w:rsidRPr="00E72124">
        <w:rPr>
          <w:rFonts w:cs="Times New Roman"/>
          <w:i/>
        </w:rPr>
        <w:t>Hercules</w:t>
      </w:r>
      <w:r w:rsidRPr="00E72124">
        <w:rPr>
          <w:rFonts w:cs="Times New Roman"/>
        </w:rPr>
        <w:t xml:space="preserve"> (which sought to limit auditors’ liability for statutory audits to determinate corporate claims rather than indeterminate stakeholder claims, not to insulate auditors from virtually all liability).</w:t>
      </w:r>
    </w:p>
    <w:p w:rsidR="00D7327A" w:rsidRPr="00E72124" w:rsidRDefault="00D7327A" w:rsidP="00D7327A">
      <w:pPr>
        <w:pStyle w:val="ParaNoNdepar-AltN"/>
        <w:tabs>
          <w:tab w:val="clear" w:pos="1152"/>
          <w:tab w:val="left" w:pos="1166"/>
        </w:tabs>
        <w:rPr>
          <w:rFonts w:cs="Times New Roman"/>
        </w:rPr>
      </w:pPr>
      <w:r w:rsidRPr="00E72124">
        <w:rPr>
          <w:rFonts w:cs="Times New Roman"/>
        </w:rPr>
        <w:t>The Chief Justice’s reliance on the so-called “</w:t>
      </w:r>
      <w:r w:rsidRPr="00E72124">
        <w:rPr>
          <w:rFonts w:cs="Times New Roman"/>
          <w:i/>
        </w:rPr>
        <w:t xml:space="preserve">SAAMCO </w:t>
      </w:r>
      <w:r w:rsidRPr="00E72124">
        <w:rPr>
          <w:rFonts w:cs="Times New Roman"/>
        </w:rPr>
        <w:t xml:space="preserve">principle” — derived from the House of Lords’ decision in </w:t>
      </w:r>
      <w:r w:rsidRPr="00E72124">
        <w:rPr>
          <w:rFonts w:cs="Times New Roman"/>
          <w:i/>
        </w:rPr>
        <w:t>South Australia Asset Management Corp. v. York Montague Ltd.</w:t>
      </w:r>
      <w:r w:rsidRPr="00E72124">
        <w:rPr>
          <w:rFonts w:cs="Times New Roman"/>
        </w:rPr>
        <w:t>, [1997] A.C. 191 (“</w:t>
      </w:r>
      <w:r w:rsidRPr="00E72124">
        <w:rPr>
          <w:rFonts w:cs="Times New Roman"/>
          <w:i/>
        </w:rPr>
        <w:t>SAAMCO</w:t>
      </w:r>
      <w:r w:rsidRPr="00E72124">
        <w:rPr>
          <w:rFonts w:cs="Times New Roman"/>
        </w:rPr>
        <w:t xml:space="preserve">”); see also </w:t>
      </w:r>
      <w:proofErr w:type="spellStart"/>
      <w:r w:rsidRPr="00E72124">
        <w:rPr>
          <w:rFonts w:cs="Times New Roman"/>
          <w:i/>
        </w:rPr>
        <w:t>Nykredit</w:t>
      </w:r>
      <w:proofErr w:type="spellEnd"/>
      <w:r w:rsidRPr="00E72124">
        <w:rPr>
          <w:rFonts w:cs="Times New Roman"/>
          <w:i/>
        </w:rPr>
        <w:t xml:space="preserve"> Mortgage Bank plc. v. Edward Erdman Group Ltd. (No. 2)</w:t>
      </w:r>
      <w:r w:rsidRPr="00E72124">
        <w:rPr>
          <w:rFonts w:cs="Times New Roman"/>
        </w:rPr>
        <w:t xml:space="preserve">, [1997] 1 W.L.R. 1627 (H.L.); </w:t>
      </w:r>
      <w:r w:rsidRPr="00E72124">
        <w:rPr>
          <w:rFonts w:cs="Times New Roman"/>
          <w:i/>
        </w:rPr>
        <w:t xml:space="preserve">Platform Home Loans Ltd. v. </w:t>
      </w:r>
      <w:proofErr w:type="spellStart"/>
      <w:r w:rsidRPr="00E72124">
        <w:rPr>
          <w:rFonts w:cs="Times New Roman"/>
          <w:i/>
        </w:rPr>
        <w:t>Oyston</w:t>
      </w:r>
      <w:proofErr w:type="spellEnd"/>
      <w:r w:rsidRPr="00E72124">
        <w:rPr>
          <w:rFonts w:cs="Times New Roman"/>
          <w:i/>
        </w:rPr>
        <w:t xml:space="preserve"> Shipways Ltd.</w:t>
      </w:r>
      <w:r w:rsidRPr="00E72124">
        <w:rPr>
          <w:rFonts w:cs="Times New Roman"/>
        </w:rPr>
        <w:t xml:space="preserve">, [2000] 2 A.C. 190) (H.L.); and </w:t>
      </w:r>
      <w:r w:rsidRPr="00E72124">
        <w:rPr>
          <w:rFonts w:cs="Times New Roman"/>
          <w:i/>
        </w:rPr>
        <w:t>BPE Solicitors</w:t>
      </w:r>
      <w:r w:rsidRPr="00E72124">
        <w:rPr>
          <w:rFonts w:cs="Times New Roman"/>
        </w:rPr>
        <w:t xml:space="preserve"> — is in our respectful view mistaken for the same reason as her reliance on the dichotomy between information and advice as described in </w:t>
      </w:r>
      <w:r w:rsidRPr="00E72124">
        <w:rPr>
          <w:rFonts w:cs="Times New Roman"/>
          <w:i/>
        </w:rPr>
        <w:t>BPE Solicitors</w:t>
      </w:r>
      <w:r w:rsidRPr="00E72124">
        <w:rPr>
          <w:rFonts w:cs="Times New Roman"/>
        </w:rPr>
        <w:t xml:space="preserve">. Her reliance on both U.K. decisions is premised on how Deloitte never assumed responsibility for injuries resulting from </w:t>
      </w:r>
      <w:proofErr w:type="spellStart"/>
      <w:r w:rsidRPr="00E72124">
        <w:rPr>
          <w:rFonts w:cs="Times New Roman"/>
        </w:rPr>
        <w:t>Livent’s</w:t>
      </w:r>
      <w:proofErr w:type="spellEnd"/>
      <w:r w:rsidRPr="00E72124">
        <w:rPr>
          <w:rFonts w:cs="Times New Roman"/>
        </w:rPr>
        <w:t xml:space="preserve"> operations — either because those injuries were not caused by the mere information contained in the 1997 Audit (</w:t>
      </w:r>
      <w:r w:rsidRPr="00E72124">
        <w:rPr>
          <w:rFonts w:cs="Times New Roman"/>
          <w:i/>
        </w:rPr>
        <w:t>BPE Solicitors</w:t>
      </w:r>
      <w:r w:rsidRPr="00E72124">
        <w:rPr>
          <w:rFonts w:cs="Times New Roman"/>
        </w:rPr>
        <w:t>), or because those injuries did not flow from what was incorrect in the 1997 Audit (</w:t>
      </w:r>
      <w:r w:rsidRPr="00E72124">
        <w:rPr>
          <w:rFonts w:cs="Times New Roman"/>
          <w:i/>
        </w:rPr>
        <w:t>SAAMCO</w:t>
      </w:r>
      <w:r w:rsidRPr="00E72124">
        <w:rPr>
          <w:rFonts w:cs="Times New Roman"/>
        </w:rPr>
        <w:t xml:space="preserve">). But, in assuming responsibility for informing shareholder scrutiny of management, Deloitte </w:t>
      </w:r>
      <w:r w:rsidRPr="00E72124">
        <w:rPr>
          <w:rFonts w:cs="Times New Roman"/>
          <w:i/>
        </w:rPr>
        <w:t xml:space="preserve">did </w:t>
      </w:r>
      <w:r w:rsidRPr="00E72124">
        <w:rPr>
          <w:rFonts w:cs="Times New Roman"/>
        </w:rPr>
        <w:t>assume responsibility for injuries flowing from that impaired scrutiny.</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simple terms, the </w:t>
      </w:r>
      <w:r w:rsidRPr="00E72124">
        <w:rPr>
          <w:rFonts w:cs="Times New Roman"/>
          <w:i/>
        </w:rPr>
        <w:t xml:space="preserve">SAAMCO </w:t>
      </w:r>
      <w:r w:rsidRPr="00E72124">
        <w:rPr>
          <w:rFonts w:cs="Times New Roman"/>
        </w:rPr>
        <w:t xml:space="preserve">principle denies recovery for pure economic loss where the plaintiff’s injury would still have occurred even if the defendant’s negligent misrepresentation were factually true. Rephrased as a test, the principle denies liability where an </w:t>
      </w:r>
      <w:r w:rsidRPr="00E72124">
        <w:rPr>
          <w:rFonts w:cs="Times New Roman"/>
          <w:i/>
        </w:rPr>
        <w:t xml:space="preserve">alternate </w:t>
      </w:r>
      <w:r w:rsidRPr="00E72124">
        <w:rPr>
          <w:rFonts w:cs="Times New Roman"/>
        </w:rPr>
        <w:t xml:space="preserve">cause that is </w:t>
      </w:r>
      <w:r w:rsidRPr="00E72124">
        <w:rPr>
          <w:rFonts w:cs="Times New Roman"/>
          <w:i/>
        </w:rPr>
        <w:t xml:space="preserve">unrelated </w:t>
      </w:r>
      <w:r w:rsidRPr="00E72124">
        <w:rPr>
          <w:rFonts w:cs="Times New Roman"/>
        </w:rPr>
        <w:t xml:space="preserve">to the defendant’s negligence is the true source of the plaintiff’s injury. This alternate and unrelated cause explains why the truth of the negligent misstatement has no bearing on the plaintiff’s ultimate injury (i.e., because, even with that truth, the injury would have flowed as a result of the alternate cause). Or, framed from the perspective of the duty of care, the defendant could not have undertaken to protect against injuries that would have been caused by alternate and unrelated sources. In </w:t>
      </w:r>
      <w:r w:rsidRPr="00E72124">
        <w:rPr>
          <w:rFonts w:cs="Times New Roman"/>
          <w:i/>
        </w:rPr>
        <w:t>SAAMCO</w:t>
      </w:r>
      <w:r w:rsidRPr="00E72124">
        <w:rPr>
          <w:rFonts w:cs="Times New Roman"/>
        </w:rPr>
        <w:t>, the House of Lords explained the principle with the commendably Albertan example of a mountaineer:</w:t>
      </w:r>
    </w:p>
    <w:p w:rsidR="00D7327A" w:rsidRPr="00E72124" w:rsidRDefault="00D7327A" w:rsidP="00D7327A">
      <w:pPr>
        <w:pStyle w:val="Citation-AltC"/>
      </w:pPr>
      <w:r w:rsidRPr="00E72124">
        <w:t>A mountaineer about to undertake a difficult climb is concerned about the fitness of his knee. He goes to a doctor who negligently makes a superficial examination and pronounces the knee fit. The climber goes on the expedition, which he would not have undertaken if the doctor had told him the true state of his knee. He suffers an injury which is an entirely foreseeable consequence of mountaineering but has nothing to do with his knee. [p. 213]</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In this example, the doctor’s negligent misrepresentation (the positive knee diagnosis) is a cause that is alternate and unrelated to the cause of the mountaineer’s injury (a mountaineering accident unrelated to the knee, for example, an avalanche). As a result, even had the doctor’s negligent misrepresentation been true (i.e., even if the mountaineer’s knee had been fit), the injury would still have occurred, since the fitness of his knee would not have prevented the injury caused by the avalanche. In other words, the doctor could not have undertaken to protect against an avalanche, which is unrelated to his or her diagnosis. </w:t>
      </w:r>
    </w:p>
    <w:p w:rsidR="00D7327A" w:rsidRPr="00E72124" w:rsidRDefault="00D7327A" w:rsidP="00D7327A">
      <w:pPr>
        <w:pStyle w:val="ParaNoNdepar-AltN"/>
        <w:tabs>
          <w:tab w:val="clear" w:pos="1152"/>
          <w:tab w:val="left" w:pos="1166"/>
        </w:tabs>
        <w:rPr>
          <w:rFonts w:cs="Times New Roman"/>
        </w:rPr>
      </w:pPr>
      <w:r w:rsidRPr="00E72124">
        <w:rPr>
          <w:rFonts w:cs="Times New Roman"/>
        </w:rPr>
        <w:t>Deloitte is unlike the doctor.</w:t>
      </w:r>
      <w:r w:rsidRPr="00E72124">
        <w:rPr>
          <w:rFonts w:cs="Times New Roman"/>
          <w:i/>
        </w:rPr>
        <w:t xml:space="preserve"> </w:t>
      </w:r>
      <w:r w:rsidRPr="00E72124">
        <w:rPr>
          <w:rFonts w:cs="Times New Roman"/>
        </w:rPr>
        <w:t xml:space="preserve">Deloitte’s negligence related to a statutory audit, a purpose of which is management oversight by shareholders. That oversight, in turn, informs (or is related to) subsequent business decisions by the corporation. It follows that </w:t>
      </w:r>
      <w:proofErr w:type="spellStart"/>
      <w:r w:rsidRPr="00E72124">
        <w:rPr>
          <w:rFonts w:cs="Times New Roman"/>
        </w:rPr>
        <w:t>Livent’s</w:t>
      </w:r>
      <w:proofErr w:type="spellEnd"/>
      <w:r w:rsidRPr="00E72124">
        <w:rPr>
          <w:rFonts w:cs="Times New Roman"/>
        </w:rPr>
        <w:t xml:space="preserve"> trading losses were not an alternate and unrelated cause of </w:t>
      </w:r>
      <w:proofErr w:type="spellStart"/>
      <w:r w:rsidRPr="00E72124">
        <w:rPr>
          <w:rFonts w:cs="Times New Roman"/>
        </w:rPr>
        <w:t>Livent’s</w:t>
      </w:r>
      <w:proofErr w:type="spellEnd"/>
      <w:r w:rsidRPr="00E72124">
        <w:rPr>
          <w:rFonts w:cs="Times New Roman"/>
        </w:rPr>
        <w:t xml:space="preserve"> injury. To the contrary, the shareholders’ capacity to oversee the conduct of </w:t>
      </w:r>
      <w:proofErr w:type="spellStart"/>
      <w:r w:rsidRPr="00E72124">
        <w:rPr>
          <w:rFonts w:cs="Times New Roman"/>
        </w:rPr>
        <w:t>Livent’s</w:t>
      </w:r>
      <w:proofErr w:type="spellEnd"/>
      <w:r w:rsidRPr="00E72124">
        <w:rPr>
          <w:rFonts w:cs="Times New Roman"/>
        </w:rPr>
        <w:t xml:space="preserve"> business was entirely dependent upon the statutory audit preceding that oversight. In particular, the shareholders’ reliance on that audit and the audit’s portrayal of the directors and their business ventures was a critical component of their oversight of management — which, we reiterate, was the very purpose in respect of which Deloitte undertook to act with reasonable care. </w:t>
      </w:r>
    </w:p>
    <w:p w:rsidR="00D7327A" w:rsidRPr="00E72124" w:rsidRDefault="00D7327A" w:rsidP="00D7327A">
      <w:pPr>
        <w:pStyle w:val="ParaNoNdepar-AltN"/>
        <w:tabs>
          <w:tab w:val="clear" w:pos="1152"/>
          <w:tab w:val="left" w:pos="1166"/>
        </w:tabs>
        <w:rPr>
          <w:rFonts w:cs="Times New Roman"/>
        </w:rPr>
      </w:pPr>
      <w:r w:rsidRPr="00E72124">
        <w:rPr>
          <w:rFonts w:cs="Times New Roman"/>
        </w:rPr>
        <w:t xml:space="preserve">It therefore follows from a proper understanding of the </w:t>
      </w:r>
      <w:r w:rsidRPr="00E72124">
        <w:rPr>
          <w:rFonts w:cs="Times New Roman"/>
          <w:i/>
        </w:rPr>
        <w:t xml:space="preserve">SAAMCO </w:t>
      </w:r>
      <w:r w:rsidRPr="00E72124">
        <w:rPr>
          <w:rFonts w:cs="Times New Roman"/>
        </w:rPr>
        <w:t xml:space="preserve">principle that it does not limit Deloitte’s liability in respect of the 1997 Audit. </w:t>
      </w:r>
    </w:p>
    <w:p w:rsidR="00D7327A" w:rsidRPr="00E72124" w:rsidRDefault="00D7327A" w:rsidP="00D7327A">
      <w:pPr>
        <w:pStyle w:val="ParaNoNdepar-AltN"/>
        <w:rPr>
          <w:rFonts w:cs="Times New Roman"/>
        </w:rPr>
      </w:pPr>
      <w:r w:rsidRPr="00E72124">
        <w:rPr>
          <w:rFonts w:cs="Times New Roman"/>
        </w:rPr>
        <w:t xml:space="preserve">We add, however, that a full consideration of </w:t>
      </w:r>
      <w:r w:rsidRPr="00E72124">
        <w:rPr>
          <w:rFonts w:cs="Times New Roman"/>
          <w:i/>
        </w:rPr>
        <w:t>SAAMCO</w:t>
      </w:r>
      <w:r w:rsidRPr="00E72124">
        <w:rPr>
          <w:rFonts w:cs="Times New Roman"/>
        </w:rPr>
        <w:t xml:space="preserve">’s application in Canadian law by this Court should await future cases, with greater consideration of the principle by lower courts, more comprehensive submissions by counsel, and critically, with facts more analogous to those in the </w:t>
      </w:r>
      <w:r w:rsidRPr="00E72124">
        <w:rPr>
          <w:rFonts w:cs="Times New Roman"/>
          <w:i/>
        </w:rPr>
        <w:t>SAAMCO</w:t>
      </w:r>
      <w:r w:rsidRPr="00E72124">
        <w:rPr>
          <w:rFonts w:cs="Times New Roman"/>
        </w:rPr>
        <w:t xml:space="preserve"> jurisprudence. </w:t>
      </w:r>
      <w:r w:rsidRPr="00E72124">
        <w:rPr>
          <w:rFonts w:cs="Times New Roman"/>
          <w:i/>
        </w:rPr>
        <w:t>SAAMCO</w:t>
      </w:r>
      <w:r w:rsidRPr="00E72124">
        <w:rPr>
          <w:rFonts w:cs="Times New Roman"/>
        </w:rPr>
        <w:t xml:space="preserve"> addressed whether a negligent valuator should be liable, not only for the difference between their valuation and a prudent valuation, but also for a subsequent drop in the market which exacerbated the lenders’ losses. In this specific context, the loss attributable to the negligent valuation is easily extricable; it is the difference between the negligent valuation and a prudent valuation. But the same cannot be said in the context of statutory audits, where the “cause” of future losses flowing from future commercial activity is far more complex to isolate. Indeed, as Lord </w:t>
      </w:r>
      <w:proofErr w:type="spellStart"/>
      <w:r w:rsidRPr="00E72124">
        <w:rPr>
          <w:rFonts w:cs="Times New Roman"/>
        </w:rPr>
        <w:t>Sumption</w:t>
      </w:r>
      <w:proofErr w:type="spellEnd"/>
      <w:r w:rsidRPr="00E72124">
        <w:rPr>
          <w:rFonts w:cs="Times New Roman"/>
        </w:rPr>
        <w:t xml:space="preserve"> noted in </w:t>
      </w:r>
      <w:r w:rsidRPr="00E72124">
        <w:rPr>
          <w:rFonts w:cs="Times New Roman"/>
          <w:i/>
        </w:rPr>
        <w:t>BPE Solicitors</w:t>
      </w:r>
      <w:r w:rsidRPr="00E72124">
        <w:rPr>
          <w:rFonts w:cs="Times New Roman"/>
        </w:rPr>
        <w:t xml:space="preserve"> (at para. 46):</w:t>
      </w:r>
    </w:p>
    <w:p w:rsidR="00D7327A" w:rsidRPr="00E72124" w:rsidRDefault="00D7327A" w:rsidP="00D7327A">
      <w:pPr>
        <w:pStyle w:val="Citation-AltC"/>
      </w:pPr>
      <w:r w:rsidRPr="00E72124">
        <w:t>Where the loss arises from a variety of commercial factors which it was for the claimant to identify and assess, it will commonly be difficult or impossible as well as unnecessary to quantify and strip out the financial impact of each one of them.</w:t>
      </w:r>
    </w:p>
    <w:p w:rsidR="00D7327A" w:rsidRPr="00E72124" w:rsidRDefault="00D7327A" w:rsidP="00D7327A">
      <w:pPr>
        <w:pStyle w:val="ParaNoNdepar-AltN"/>
        <w:rPr>
          <w:rFonts w:cs="Times New Roman"/>
        </w:rPr>
      </w:pPr>
      <w:r w:rsidRPr="00E72124">
        <w:rPr>
          <w:rFonts w:cs="Times New Roman"/>
        </w:rPr>
        <w:t xml:space="preserve">In any event, the </w:t>
      </w:r>
      <w:r w:rsidRPr="00E72124">
        <w:rPr>
          <w:rFonts w:cs="Times New Roman"/>
          <w:i/>
        </w:rPr>
        <w:t>SAAMCO</w:t>
      </w:r>
      <w:r w:rsidRPr="00E72124">
        <w:rPr>
          <w:rFonts w:cs="Times New Roman"/>
        </w:rPr>
        <w:t xml:space="preserve"> principle, at least in the manner the Chief Justice applies it here, conflicts with Canadian jurisprudence. Under established Canadian tort law, a defendant is liable if the plaintiff proves — in respect of causation — that the defendant caused the plaintiff’s injury in fact (</w:t>
      </w:r>
      <w:r w:rsidRPr="00E72124">
        <w:rPr>
          <w:rFonts w:cs="Times New Roman"/>
          <w:i/>
        </w:rPr>
        <w:t>Clements v. Clements</w:t>
      </w:r>
      <w:r w:rsidRPr="00E72124">
        <w:rPr>
          <w:rFonts w:cs="Times New Roman"/>
        </w:rPr>
        <w:t>, 2012 SCC 32, [2012] 2 S.C.R. 181, at para. 8) and in law (</w:t>
      </w:r>
      <w:r w:rsidRPr="00E72124">
        <w:rPr>
          <w:rFonts w:cs="Times New Roman"/>
          <w:i/>
        </w:rPr>
        <w:t>Mustapha</w:t>
      </w:r>
      <w:r w:rsidRPr="00E72124">
        <w:rPr>
          <w:rFonts w:cs="Times New Roman"/>
        </w:rPr>
        <w:t xml:space="preserve">, at paras. 12-13). As we have already explained, Livent proved both in respect of its injuries after the 1997 Audit. It follows that Deloitte is liable for </w:t>
      </w:r>
      <w:proofErr w:type="spellStart"/>
      <w:r w:rsidRPr="00E72124">
        <w:rPr>
          <w:rFonts w:cs="Times New Roman"/>
        </w:rPr>
        <w:t>Livent’s</w:t>
      </w:r>
      <w:proofErr w:type="spellEnd"/>
      <w:r w:rsidRPr="00E72124">
        <w:rPr>
          <w:rFonts w:cs="Times New Roman"/>
        </w:rPr>
        <w:t xml:space="preserve"> injuries following that audit. Admittedly, a defendant may limit its liability, even if the plaintiff proves legal and factual causation, where the defendant proves that some of the plaintiff’s injury would have still occurred without the defendant’s negligence because of alternate hypothetical causes (</w:t>
      </w:r>
      <w:r w:rsidRPr="00E72124">
        <w:rPr>
          <w:rFonts w:cs="Times New Roman"/>
          <w:i/>
        </w:rPr>
        <w:t>Rainbow Industrial Caterers Ltd. v. Canadian National Railway Co.</w:t>
      </w:r>
      <w:r w:rsidRPr="00E72124">
        <w:rPr>
          <w:rFonts w:cs="Times New Roman"/>
        </w:rPr>
        <w:t>, [1991] 3 S.C.R. 3, at pp. 15-16). But those alternate hypothetical causes were already accounted for in the trial judge’s 25 percent reduction in damages (trial reasons, at paras. 324-26). And, in so far as the Chief Justice holds that Livent failed to prove that alternate hypothetical causes did not cause the remaining 75 percent of damages, she disregards that it is Deloitte, not Livent, who bears the burden of proving that liability should be limited in this fashion (</w:t>
      </w:r>
      <w:r w:rsidRPr="00E72124">
        <w:rPr>
          <w:rFonts w:cs="Times New Roman"/>
          <w:i/>
        </w:rPr>
        <w:t>Rainbow Industrial Caterers</w:t>
      </w:r>
      <w:r w:rsidRPr="00E72124">
        <w:rPr>
          <w:rFonts w:cs="Times New Roman"/>
        </w:rPr>
        <w:t>, at pp. 15-16).</w:t>
      </w:r>
    </w:p>
    <w:p w:rsidR="00D7327A" w:rsidRPr="00E72124" w:rsidRDefault="00D7327A" w:rsidP="00D7327A">
      <w:pPr>
        <w:pStyle w:val="Title2LevelTitre2Niveau"/>
        <w:rPr>
          <w:rFonts w:cs="Times New Roman"/>
        </w:rPr>
      </w:pPr>
      <w:r w:rsidRPr="00E72124">
        <w:rPr>
          <w:rFonts w:cs="Times New Roman"/>
        </w:rPr>
        <w:t>Defences</w:t>
      </w:r>
    </w:p>
    <w:p w:rsidR="00D7327A" w:rsidRPr="00E72124" w:rsidRDefault="00D7327A" w:rsidP="00D7327A">
      <w:pPr>
        <w:pStyle w:val="ParaNoNdepar-AltN"/>
        <w:rPr>
          <w:rFonts w:cs="Times New Roman"/>
        </w:rPr>
      </w:pPr>
      <w:r w:rsidRPr="00E72124">
        <w:rPr>
          <w:rFonts w:cs="Times New Roman"/>
        </w:rPr>
        <w:t xml:space="preserve">Finally, having concluded that we would uphold the trial judge’s finding that Deloitte is liable for its negligence in relation to the statutory audit, we must consider the two defences Deloitte advanced before this Court. First, Deloitte submits that both lower courts erred in failing to find that </w:t>
      </w:r>
      <w:proofErr w:type="spellStart"/>
      <w:r w:rsidRPr="00E72124">
        <w:rPr>
          <w:rFonts w:cs="Times New Roman"/>
        </w:rPr>
        <w:t>Livent’s</w:t>
      </w:r>
      <w:proofErr w:type="spellEnd"/>
      <w:r w:rsidRPr="00E72124">
        <w:rPr>
          <w:rFonts w:cs="Times New Roman"/>
        </w:rPr>
        <w:t xml:space="preserve"> action was not barred by the defence of illegality. Secondly, Deloitte submits that, even had </w:t>
      </w:r>
      <w:proofErr w:type="spellStart"/>
      <w:r w:rsidRPr="00E72124">
        <w:rPr>
          <w:rFonts w:cs="Times New Roman"/>
        </w:rPr>
        <w:t>Livent’s</w:t>
      </w:r>
      <w:proofErr w:type="spellEnd"/>
      <w:r w:rsidRPr="00E72124">
        <w:rPr>
          <w:rFonts w:cs="Times New Roman"/>
        </w:rPr>
        <w:t xml:space="preserve"> action not been barred for illegality, Deloitte should only be liable for part of the injury due to </w:t>
      </w:r>
      <w:proofErr w:type="spellStart"/>
      <w:r w:rsidRPr="00E72124">
        <w:rPr>
          <w:rFonts w:cs="Times New Roman"/>
        </w:rPr>
        <w:t>Livent’s</w:t>
      </w:r>
      <w:proofErr w:type="spellEnd"/>
      <w:r w:rsidRPr="00E72124">
        <w:rPr>
          <w:rFonts w:cs="Times New Roman"/>
        </w:rPr>
        <w:t xml:space="preserve"> contributory fault. </w:t>
      </w:r>
    </w:p>
    <w:p w:rsidR="00D7327A" w:rsidRPr="00E72124" w:rsidRDefault="00D7327A" w:rsidP="00D7327A">
      <w:pPr>
        <w:pStyle w:val="ParaNoNdepar-AltN"/>
        <w:rPr>
          <w:rFonts w:cs="Times New Roman"/>
        </w:rPr>
      </w:pPr>
      <w:r w:rsidRPr="00E72124">
        <w:rPr>
          <w:rFonts w:cs="Times New Roman"/>
        </w:rPr>
        <w:t xml:space="preserve">Both defences rely on the applicability of the doctrine of corporate identification. As the wrongdoing at issue was not that of </w:t>
      </w:r>
      <w:proofErr w:type="spellStart"/>
      <w:r w:rsidRPr="00E72124">
        <w:rPr>
          <w:rFonts w:cs="Times New Roman"/>
        </w:rPr>
        <w:t>Livent’s</w:t>
      </w:r>
      <w:proofErr w:type="spellEnd"/>
      <w:r w:rsidRPr="00E72124">
        <w:rPr>
          <w:rFonts w:cs="Times New Roman"/>
        </w:rPr>
        <w:t xml:space="preserve"> but of its directors </w:t>
      </w:r>
      <w:proofErr w:type="spellStart"/>
      <w:r w:rsidRPr="00E72124">
        <w:rPr>
          <w:rFonts w:cs="Times New Roman"/>
        </w:rPr>
        <w:t>Drabinsky</w:t>
      </w:r>
      <w:proofErr w:type="spellEnd"/>
      <w:r w:rsidRPr="00E72124">
        <w:rPr>
          <w:rFonts w:cs="Times New Roman"/>
        </w:rPr>
        <w:t xml:space="preserve"> and Gottlieb, Deloitte cannot succeed on either defence unless it can show that the fraudulent acts of </w:t>
      </w:r>
      <w:proofErr w:type="spellStart"/>
      <w:r w:rsidRPr="00E72124">
        <w:rPr>
          <w:rFonts w:cs="Times New Roman"/>
        </w:rPr>
        <w:t>Livent’s</w:t>
      </w:r>
      <w:proofErr w:type="spellEnd"/>
      <w:r w:rsidRPr="00E72124">
        <w:rPr>
          <w:rFonts w:cs="Times New Roman"/>
        </w:rPr>
        <w:t xml:space="preserve"> employees should be attributed to the corporation. The corporate identification doctrine is not, however, a standalone principle; rather, it is a means by which acts may be attributed to a corporation for the particular purpose or defence at issue. It follows that corporate identification must be analyzed independently for each defence.</w:t>
      </w:r>
    </w:p>
    <w:p w:rsidR="00D7327A" w:rsidRPr="00E72124" w:rsidRDefault="00D7327A" w:rsidP="00D7327A">
      <w:pPr>
        <w:pStyle w:val="Title3LevelTitre3Niveau"/>
        <w:rPr>
          <w:rFonts w:cs="Times New Roman"/>
        </w:rPr>
      </w:pPr>
      <w:r w:rsidRPr="00E72124">
        <w:rPr>
          <w:rFonts w:cs="Times New Roman"/>
        </w:rPr>
        <w:t>Illegality</w:t>
      </w:r>
    </w:p>
    <w:p w:rsidR="00D7327A" w:rsidRPr="00E72124" w:rsidRDefault="00D7327A" w:rsidP="00D7327A">
      <w:pPr>
        <w:pStyle w:val="ParaNoNdepar-AltN"/>
        <w:rPr>
          <w:rFonts w:cs="Times New Roman"/>
        </w:rPr>
      </w:pPr>
      <w:r w:rsidRPr="00E72124">
        <w:rPr>
          <w:rFonts w:cs="Times New Roman"/>
        </w:rPr>
        <w:t xml:space="preserve">The defence of illegality </w:t>
      </w:r>
      <w:r w:rsidRPr="00E72124">
        <w:rPr>
          <w:rFonts w:cs="Times New Roman"/>
          <w:iCs/>
          <w:lang w:val="en"/>
        </w:rPr>
        <w:t>bars an otherwise valid action in tort on the basis that the plaintiff has engaged in illegal or immoral conduct and, therefore, should not recover (</w:t>
      </w:r>
      <w:r w:rsidRPr="00E72124">
        <w:rPr>
          <w:rFonts w:cs="Times New Roman"/>
          <w:i/>
          <w:iCs/>
          <w:lang w:val="en"/>
        </w:rPr>
        <w:t>Hall v. Hebert</w:t>
      </w:r>
      <w:r w:rsidRPr="00E72124">
        <w:rPr>
          <w:rFonts w:cs="Times New Roman"/>
          <w:iCs/>
          <w:lang w:val="en"/>
        </w:rPr>
        <w:t>,</w:t>
      </w:r>
      <w:r w:rsidRPr="00E72124">
        <w:rPr>
          <w:rFonts w:cs="Times New Roman"/>
          <w:i/>
          <w:iCs/>
          <w:lang w:val="en"/>
        </w:rPr>
        <w:t xml:space="preserve"> </w:t>
      </w:r>
      <w:r w:rsidRPr="00E72124">
        <w:rPr>
          <w:rFonts w:cs="Times New Roman"/>
          <w:iCs/>
          <w:lang w:val="en"/>
        </w:rPr>
        <w:t xml:space="preserve">[1993] 2 S.C.R. 159, at p. 169; </w:t>
      </w:r>
      <w:r w:rsidRPr="00E72124">
        <w:rPr>
          <w:rFonts w:cs="Times New Roman"/>
          <w:i/>
          <w:iCs/>
          <w:lang w:val="en"/>
        </w:rPr>
        <w:t xml:space="preserve">British Columbia v. </w:t>
      </w:r>
      <w:proofErr w:type="spellStart"/>
      <w:r w:rsidRPr="00E72124">
        <w:rPr>
          <w:rFonts w:cs="Times New Roman"/>
          <w:i/>
          <w:iCs/>
          <w:lang w:val="en"/>
        </w:rPr>
        <w:t>Zastowny</w:t>
      </w:r>
      <w:proofErr w:type="spellEnd"/>
      <w:r w:rsidRPr="00E72124">
        <w:rPr>
          <w:rFonts w:cs="Times New Roman"/>
          <w:iCs/>
          <w:lang w:val="en"/>
        </w:rPr>
        <w:t>, 2008 SCC 4, [2008] 1 S.C.R. 27, at para. 20). Grounded in public policy, it is available in very “limited” circumstances, only where it is necessary to preserve the “integrity of the justice system” (</w:t>
      </w:r>
      <w:r w:rsidRPr="00E72124">
        <w:rPr>
          <w:rFonts w:cs="Times New Roman"/>
          <w:i/>
          <w:iCs/>
          <w:lang w:val="en"/>
        </w:rPr>
        <w:t>Hall</w:t>
      </w:r>
      <w:r w:rsidRPr="00E72124">
        <w:rPr>
          <w:rFonts w:cs="Times New Roman"/>
          <w:iCs/>
          <w:lang w:val="en"/>
        </w:rPr>
        <w:t>, at pp. 179-80). And, the integrity of the justice system will only be compromised where a “</w:t>
      </w:r>
      <w:r w:rsidRPr="00E72124">
        <w:rPr>
          <w:rFonts w:cs="Times New Roman"/>
          <w:lang w:val="en"/>
        </w:rPr>
        <w:t>damage award in a civil suit would, in effect, allow a person to profit from illegal or wrongful conduct, or would permit an evasion or rebate of a penalty prescribed by the criminal law” (</w:t>
      </w:r>
      <w:r w:rsidRPr="00E72124">
        <w:rPr>
          <w:rFonts w:cs="Times New Roman"/>
          <w:i/>
          <w:lang w:val="en"/>
        </w:rPr>
        <w:t>Hall</w:t>
      </w:r>
      <w:r w:rsidRPr="00E72124">
        <w:rPr>
          <w:rFonts w:cs="Times New Roman"/>
          <w:lang w:val="en"/>
        </w:rPr>
        <w:t>,</w:t>
      </w:r>
      <w:r w:rsidRPr="00E72124">
        <w:rPr>
          <w:rFonts w:cs="Times New Roman"/>
          <w:i/>
          <w:lang w:val="en"/>
        </w:rPr>
        <w:t xml:space="preserve"> </w:t>
      </w:r>
      <w:r w:rsidRPr="00E72124">
        <w:rPr>
          <w:rFonts w:cs="Times New Roman"/>
          <w:lang w:val="en"/>
        </w:rPr>
        <w:t xml:space="preserve">at p. 169; </w:t>
      </w:r>
      <w:proofErr w:type="spellStart"/>
      <w:r w:rsidRPr="00E72124">
        <w:rPr>
          <w:rFonts w:cs="Times New Roman"/>
          <w:i/>
          <w:lang w:val="en"/>
        </w:rPr>
        <w:t>Zastowny</w:t>
      </w:r>
      <w:proofErr w:type="spellEnd"/>
      <w:r w:rsidRPr="00E72124">
        <w:rPr>
          <w:rFonts w:cs="Times New Roman"/>
          <w:lang w:val="en"/>
        </w:rPr>
        <w:t xml:space="preserve">, at para. 3). </w:t>
      </w:r>
    </w:p>
    <w:p w:rsidR="00D7327A" w:rsidRPr="00E72124" w:rsidRDefault="00D7327A" w:rsidP="00D7327A">
      <w:pPr>
        <w:pStyle w:val="ParaNoNdepar-AltN"/>
        <w:rPr>
          <w:rFonts w:cs="Times New Roman"/>
        </w:rPr>
      </w:pPr>
      <w:r w:rsidRPr="00E72124">
        <w:rPr>
          <w:rFonts w:cs="Times New Roman"/>
        </w:rPr>
        <w:t xml:space="preserve">Here, the only illegal or wrongful conduct was committed by </w:t>
      </w:r>
      <w:proofErr w:type="spellStart"/>
      <w:r w:rsidRPr="00E72124">
        <w:rPr>
          <w:rFonts w:cs="Times New Roman"/>
        </w:rPr>
        <w:t>Livent’s</w:t>
      </w:r>
      <w:proofErr w:type="spellEnd"/>
      <w:r w:rsidRPr="00E72124">
        <w:rPr>
          <w:rFonts w:cs="Times New Roman"/>
        </w:rPr>
        <w:t xml:space="preserve"> directors, </w:t>
      </w:r>
      <w:proofErr w:type="spellStart"/>
      <w:r w:rsidRPr="00E72124">
        <w:rPr>
          <w:rFonts w:cs="Times New Roman"/>
        </w:rPr>
        <w:t>Drabinsky</w:t>
      </w:r>
      <w:proofErr w:type="spellEnd"/>
      <w:r w:rsidRPr="00E72124">
        <w:rPr>
          <w:rFonts w:cs="Times New Roman"/>
        </w:rPr>
        <w:t xml:space="preserve"> and Gottlieb, and portions of management. It follows that, for Deloitte to rely on the defence of illegality, it must be able to attribute the “illegal or wrongful conduct” of certain directors and managers to Livent itself, the plaintiff in this case. </w:t>
      </w:r>
    </w:p>
    <w:p w:rsidR="00D7327A" w:rsidRPr="00E72124" w:rsidRDefault="00D7327A" w:rsidP="00D7327A">
      <w:pPr>
        <w:pStyle w:val="ParaNoNdepar-AltN"/>
        <w:rPr>
          <w:rFonts w:cs="Times New Roman"/>
        </w:rPr>
      </w:pPr>
      <w:r w:rsidRPr="00E72124">
        <w:rPr>
          <w:rFonts w:cs="Times New Roman"/>
        </w:rPr>
        <w:t xml:space="preserve">The test for corporate attribution was set out by this Court in </w:t>
      </w:r>
      <w:r w:rsidRPr="00E72124">
        <w:rPr>
          <w:rFonts w:cs="Times New Roman"/>
          <w:i/>
        </w:rPr>
        <w:t>Canadian Dredge &amp; Dock Co. v. The Queen</w:t>
      </w:r>
      <w:r w:rsidRPr="00E72124">
        <w:rPr>
          <w:rFonts w:cs="Times New Roman"/>
        </w:rPr>
        <w:t>, [1985] 1 S.C.R. 662. To attribute the fraudulent acts of an employee to its corporate employer, two conditions must be met: (1) the wrongdoer must be the directing mind of the corporation; and (2) the wrongful actions of the directing mind must have been done within the scope of his or her authority; that is, his or her actions must be performed within the sector of corporate operation assigned to him. For the purposes of this analysis, an individual will cease to be a directing mind unless the action (1) was not totally in fraud of the corporation; and (2) was by design or result partly for the benefit of the corporation (pp. 681-82 and 712-13).</w:t>
      </w:r>
    </w:p>
    <w:p w:rsidR="00D7327A" w:rsidRPr="00E72124" w:rsidRDefault="00D7327A" w:rsidP="00D7327A">
      <w:pPr>
        <w:pStyle w:val="ParaNoNdepar-AltN"/>
        <w:rPr>
          <w:rFonts w:cs="Times New Roman"/>
        </w:rPr>
      </w:pPr>
      <w:r w:rsidRPr="00E72124">
        <w:rPr>
          <w:rFonts w:cs="Times New Roman"/>
        </w:rPr>
        <w:t xml:space="preserve">At first glance, these conditions might seem to be satisfied in this case. </w:t>
      </w:r>
      <w:proofErr w:type="spellStart"/>
      <w:r w:rsidRPr="00E72124">
        <w:rPr>
          <w:rFonts w:cs="Times New Roman"/>
        </w:rPr>
        <w:t>Drabinsky</w:t>
      </w:r>
      <w:proofErr w:type="spellEnd"/>
      <w:r w:rsidRPr="00E72124">
        <w:rPr>
          <w:rFonts w:cs="Times New Roman"/>
        </w:rPr>
        <w:t xml:space="preserve"> and Gottlieb were directing minds, acting within the sector of corporate operations assigned to them, whose fraud was genuinely designed and executed in an attempt to assist Livent through the artificial extension of its life. Indeed, the application of the doctrine in this case would be consistent with the factually analogous decision in </w:t>
      </w:r>
      <w:r w:rsidRPr="00E72124">
        <w:rPr>
          <w:rFonts w:cs="Times New Roman"/>
          <w:i/>
        </w:rPr>
        <w:t xml:space="preserve">Hart Building Supplies Ltd. v. Deloitte &amp; </w:t>
      </w:r>
      <w:proofErr w:type="spellStart"/>
      <w:r w:rsidRPr="00E72124">
        <w:rPr>
          <w:rFonts w:cs="Times New Roman"/>
          <w:i/>
        </w:rPr>
        <w:t>Touche</w:t>
      </w:r>
      <w:proofErr w:type="spellEnd"/>
      <w:r w:rsidRPr="00E72124">
        <w:rPr>
          <w:rFonts w:cs="Times New Roman"/>
        </w:rPr>
        <w:t>,</w:t>
      </w:r>
      <w:r w:rsidRPr="00E72124">
        <w:rPr>
          <w:rFonts w:cs="Times New Roman"/>
          <w:i/>
        </w:rPr>
        <w:t xml:space="preserve"> </w:t>
      </w:r>
      <w:r w:rsidRPr="00E72124">
        <w:rPr>
          <w:rFonts w:cs="Times New Roman"/>
        </w:rPr>
        <w:t xml:space="preserve">2004 BCSC 55, 41 C.C.L.T. (3d) 240. There, the test laid down by this Court in </w:t>
      </w:r>
      <w:r w:rsidRPr="00E72124">
        <w:rPr>
          <w:rFonts w:cs="Times New Roman"/>
          <w:i/>
        </w:rPr>
        <w:t>Canadian Dredge</w:t>
      </w:r>
      <w:r w:rsidRPr="00E72124">
        <w:rPr>
          <w:rFonts w:cs="Times New Roman"/>
        </w:rPr>
        <w:t xml:space="preserve"> was strictly applied in the context of a civil claim for auditor’s negligence and was satisfied. The court attributed the fraudulent acts of the “alter ego and directing mind” to the auditor’s corporate client and barred recovery for the auditor’s negligent preparation of a statutory audit. </w:t>
      </w:r>
    </w:p>
    <w:p w:rsidR="00D7327A" w:rsidRPr="00E72124" w:rsidRDefault="00D7327A" w:rsidP="00D7327A">
      <w:pPr>
        <w:pStyle w:val="ParaNoNdepar-AltN"/>
        <w:rPr>
          <w:rFonts w:cs="Times New Roman"/>
        </w:rPr>
      </w:pPr>
      <w:r w:rsidRPr="00E72124">
        <w:rPr>
          <w:rFonts w:cs="Times New Roman"/>
        </w:rPr>
        <w:t xml:space="preserve">In our view, however, a strict application of this Court’s decision in </w:t>
      </w:r>
      <w:r w:rsidRPr="00E72124">
        <w:rPr>
          <w:rFonts w:cs="Times New Roman"/>
          <w:i/>
        </w:rPr>
        <w:t xml:space="preserve">Canadian Dredge </w:t>
      </w:r>
      <w:r w:rsidRPr="00E72124">
        <w:rPr>
          <w:rFonts w:cs="Times New Roman"/>
        </w:rPr>
        <w:t xml:space="preserve">was not warranted in </w:t>
      </w:r>
      <w:r w:rsidRPr="00E72124">
        <w:rPr>
          <w:rFonts w:cs="Times New Roman"/>
          <w:i/>
        </w:rPr>
        <w:t>Hart</w:t>
      </w:r>
      <w:r w:rsidRPr="00E72124">
        <w:rPr>
          <w:rFonts w:cs="Times New Roman"/>
        </w:rPr>
        <w:t xml:space="preserve">, and is not warranted here. It must be recalled that </w:t>
      </w:r>
      <w:r w:rsidRPr="00E72124">
        <w:rPr>
          <w:rFonts w:cs="Times New Roman"/>
          <w:i/>
        </w:rPr>
        <w:t>Canadian Dredge</w:t>
      </w:r>
      <w:r w:rsidRPr="00E72124">
        <w:rPr>
          <w:rFonts w:cs="Times New Roman"/>
        </w:rPr>
        <w:t xml:space="preserve"> was decided in the context of criminal liability. Accordingly, the underlying question there was who should bear the responsibility for the criminal actions of a corporation’s directing mind. Consequently, the policy factors identified therein which weigh in favour of imputing a corporation with the illegality or wrongdoing of its directing mind flow from the “social purpose” of holding a corporation responsible for the </w:t>
      </w:r>
      <w:r w:rsidRPr="00E72124">
        <w:rPr>
          <w:rFonts w:cs="Times New Roman"/>
          <w:i/>
        </w:rPr>
        <w:t xml:space="preserve">criminal </w:t>
      </w:r>
      <w:r w:rsidRPr="00E72124">
        <w:rPr>
          <w:rFonts w:cs="Times New Roman"/>
        </w:rPr>
        <w:t>acts of its employees where those acts are designed and carried out, at least in part, to benefit the corporation (</w:t>
      </w:r>
      <w:r w:rsidRPr="00E72124">
        <w:rPr>
          <w:rFonts w:cs="Times New Roman"/>
          <w:i/>
        </w:rPr>
        <w:t>Canadian Dredge</w:t>
      </w:r>
      <w:r w:rsidRPr="00E72124">
        <w:rPr>
          <w:rFonts w:cs="Times New Roman"/>
        </w:rPr>
        <w:t>, at p. 704).</w:t>
      </w:r>
    </w:p>
    <w:p w:rsidR="00D7327A" w:rsidRPr="00E72124" w:rsidRDefault="00D7327A" w:rsidP="00D7327A">
      <w:pPr>
        <w:pStyle w:val="ParaNoNdepar-AltN"/>
        <w:rPr>
          <w:rFonts w:cs="Times New Roman"/>
        </w:rPr>
      </w:pPr>
      <w:r w:rsidRPr="00E72124">
        <w:rPr>
          <w:rFonts w:cs="Times New Roman"/>
        </w:rPr>
        <w:t xml:space="preserve">However, as </w:t>
      </w:r>
      <w:proofErr w:type="spellStart"/>
      <w:r w:rsidRPr="00E72124">
        <w:rPr>
          <w:rFonts w:cs="Times New Roman"/>
        </w:rPr>
        <w:t>Estey</w:t>
      </w:r>
      <w:proofErr w:type="spellEnd"/>
      <w:r w:rsidRPr="00E72124">
        <w:rPr>
          <w:rFonts w:cs="Times New Roman"/>
        </w:rPr>
        <w:t xml:space="preserve"> J. himself recognized, the doctrine is only one of “judicial necessity” and where its application “would not provide protection of any interest in the community” or “would not advantage society by advancing law and order”, the rationale for its application “fades away” (</w:t>
      </w:r>
      <w:r w:rsidRPr="00E72124">
        <w:rPr>
          <w:rFonts w:cs="Times New Roman"/>
          <w:i/>
        </w:rPr>
        <w:t>Canadian Dredge</w:t>
      </w:r>
      <w:r w:rsidRPr="00E72124">
        <w:rPr>
          <w:rFonts w:cs="Times New Roman"/>
        </w:rPr>
        <w:t>, at pp. 707-8 and 718-19). While public policy and judicial necessity may favour imputing the corporation with the actions of its directing minds in certain criminal prosecutions, the same cannot be said of attributing the actions of a directing mind for the purposes of a civil suit in the context of an auditor’s negligent preparation of a statutory audit. As indicated above, the very purpose of a statutory audit is to provide a means by which fraud and wrongdoing may be discovered. It follows that denying liability on the basis that an individual within the corporation has engaged in the very action that the auditor was enlisted to protect against would render the statutory audit meaningless (D. L. MacPherson, “Emaciating the Statutory Audit — A Comment on</w:t>
      </w:r>
      <w:r w:rsidRPr="00E72124">
        <w:rPr>
          <w:rFonts w:cs="Times New Roman"/>
          <w:i/>
        </w:rPr>
        <w:t xml:space="preserve"> Hart Building Supplies Ltd. v. Deloitte &amp; </w:t>
      </w:r>
      <w:proofErr w:type="spellStart"/>
      <w:r w:rsidRPr="00E72124">
        <w:rPr>
          <w:rFonts w:cs="Times New Roman"/>
          <w:i/>
        </w:rPr>
        <w:t>Touche</w:t>
      </w:r>
      <w:proofErr w:type="spellEnd"/>
      <w:r w:rsidRPr="00E72124">
        <w:rPr>
          <w:rFonts w:cs="Times New Roman"/>
        </w:rPr>
        <w:t xml:space="preserve">” (2005), 41 </w:t>
      </w:r>
      <w:r w:rsidRPr="00E72124">
        <w:rPr>
          <w:rFonts w:cs="Times New Roman"/>
          <w:i/>
        </w:rPr>
        <w:t xml:space="preserve">Can. Bus. L.J. </w:t>
      </w:r>
      <w:r w:rsidRPr="00E72124">
        <w:rPr>
          <w:rFonts w:cs="Times New Roman"/>
        </w:rPr>
        <w:t>471). As Livent submitted, it would be perverse to deny auditor’s liability for negligently failing to detect fraud “where the harm [to the corporation] is likely to occur and likely to be most serious” (R.F., at para. 94).</w:t>
      </w:r>
    </w:p>
    <w:p w:rsidR="00D7327A" w:rsidRPr="00E72124" w:rsidRDefault="00D7327A" w:rsidP="00D7327A">
      <w:pPr>
        <w:pStyle w:val="ParaNoNdepar-AltN"/>
        <w:rPr>
          <w:rFonts w:cs="Times New Roman"/>
        </w:rPr>
      </w:pPr>
      <w:r w:rsidRPr="00E72124">
        <w:rPr>
          <w:rFonts w:cs="Times New Roman"/>
        </w:rPr>
        <w:t xml:space="preserve">While, therefore, this Court’s decision in </w:t>
      </w:r>
      <w:r w:rsidRPr="00E72124">
        <w:rPr>
          <w:rFonts w:cs="Times New Roman"/>
          <w:i/>
        </w:rPr>
        <w:t xml:space="preserve">Canadian Dredge </w:t>
      </w:r>
      <w:r w:rsidRPr="00E72124">
        <w:rPr>
          <w:rFonts w:cs="Times New Roman"/>
        </w:rPr>
        <w:t xml:space="preserve">remains the authoritative test for the application of the corporate identification doctrine, we would reaffirm one qualification. The principles set out in </w:t>
      </w:r>
      <w:r w:rsidRPr="00E72124">
        <w:rPr>
          <w:rFonts w:cs="Times New Roman"/>
          <w:i/>
        </w:rPr>
        <w:t xml:space="preserve">Canadian Dredge </w:t>
      </w:r>
      <w:r w:rsidRPr="00E72124">
        <w:rPr>
          <w:rFonts w:cs="Times New Roman"/>
        </w:rPr>
        <w:t xml:space="preserve">provide a </w:t>
      </w:r>
      <w:r w:rsidRPr="00E72124">
        <w:rPr>
          <w:rFonts w:cs="Times New Roman"/>
          <w:i/>
        </w:rPr>
        <w:t>sufficient</w:t>
      </w:r>
      <w:r w:rsidRPr="00E72124">
        <w:rPr>
          <w:rFonts w:cs="Times New Roman"/>
        </w:rPr>
        <w:t xml:space="preserve"> basis to find that the actions of a directing mind be attributed to a corporation, not a </w:t>
      </w:r>
      <w:r w:rsidRPr="00E72124">
        <w:rPr>
          <w:rFonts w:cs="Times New Roman"/>
          <w:i/>
        </w:rPr>
        <w:t>necessary</w:t>
      </w:r>
      <w:r w:rsidRPr="00E72124">
        <w:rPr>
          <w:rFonts w:cs="Times New Roman"/>
        </w:rPr>
        <w:t xml:space="preserve"> one (pp. 681-82). As a principle that is grounded in policy, and which only serves as a means to hold a corporation criminally responsible or to deny civil liability, courts retain the discretion to refrain from applying it where, in the circumstances of the case, it would not be in the public interest to do so. And where, as here, its application would render meaningless the very purpose for which a duty of care was recognized, such application will rarely be in the public interest. If a professional undertakes to provide a service to detect wrongdoing, the existence of that wrongdoing will not normally weigh in favour of barring civil liability for negligence through the corporate identification doctrine. (That said, we leave for another day the question of whether the same is true in the context of a “one man” corporation, where the sole director and shareholder hires the auditor to uncover the wrongful action which he, himself, carries out: </w:t>
      </w:r>
      <w:r w:rsidRPr="00E72124">
        <w:rPr>
          <w:rFonts w:cs="Times New Roman"/>
          <w:i/>
          <w:szCs w:val="24"/>
          <w:lang w:val="en-US"/>
        </w:rPr>
        <w:t>Stone &amp; Rolls Ltd. (in liquidation) v. Moore Stephens</w:t>
      </w:r>
      <w:r w:rsidRPr="00E72124">
        <w:rPr>
          <w:rFonts w:cs="Times New Roman"/>
          <w:szCs w:val="24"/>
          <w:lang w:val="en-US"/>
        </w:rPr>
        <w:t xml:space="preserve">, [2009] UKHL 39, [2009] 1 A.C. 1391; see also </w:t>
      </w:r>
      <w:r w:rsidRPr="00E72124">
        <w:rPr>
          <w:rFonts w:cs="Times New Roman"/>
          <w:i/>
        </w:rPr>
        <w:t>373409 Alberta Ltd. (Receiver of) v. Bank of Montreal</w:t>
      </w:r>
      <w:r w:rsidRPr="00E72124">
        <w:rPr>
          <w:rFonts w:cs="Times New Roman"/>
        </w:rPr>
        <w:t xml:space="preserve">, 2002 SCC 81, [2002] 4 S.C.R. 312, at para. 22; </w:t>
      </w:r>
      <w:proofErr w:type="spellStart"/>
      <w:r w:rsidRPr="00E72124">
        <w:rPr>
          <w:rFonts w:cs="Times New Roman"/>
          <w:i/>
          <w:szCs w:val="24"/>
          <w:lang w:val="en-US"/>
        </w:rPr>
        <w:t>Bilta</w:t>
      </w:r>
      <w:proofErr w:type="spellEnd"/>
      <w:r w:rsidRPr="00E72124">
        <w:rPr>
          <w:rFonts w:cs="Times New Roman"/>
          <w:i/>
          <w:szCs w:val="24"/>
          <w:lang w:val="en-US"/>
        </w:rPr>
        <w:t xml:space="preserve"> (U.K.) Ltd. (in liquidation) v. </w:t>
      </w:r>
      <w:proofErr w:type="spellStart"/>
      <w:r w:rsidRPr="00E72124">
        <w:rPr>
          <w:rFonts w:cs="Times New Roman"/>
          <w:i/>
          <w:szCs w:val="24"/>
          <w:lang w:val="en-US"/>
        </w:rPr>
        <w:t>Nazim</w:t>
      </w:r>
      <w:proofErr w:type="spellEnd"/>
      <w:r w:rsidRPr="00E72124">
        <w:rPr>
          <w:rFonts w:cs="Times New Roman"/>
          <w:i/>
          <w:szCs w:val="24"/>
          <w:lang w:val="en-US"/>
        </w:rPr>
        <w:t xml:space="preserve"> (No. 2)</w:t>
      </w:r>
      <w:r w:rsidRPr="00E72124">
        <w:rPr>
          <w:rFonts w:cs="Times New Roman"/>
          <w:szCs w:val="24"/>
          <w:lang w:val="en-US"/>
        </w:rPr>
        <w:t>, [2015] UKSC 23, [2016] A.C. 1, at para. 30.</w:t>
      </w:r>
      <w:r w:rsidRPr="00E72124">
        <w:rPr>
          <w:rFonts w:cs="Times New Roman"/>
        </w:rPr>
        <w:t>)</w:t>
      </w:r>
    </w:p>
    <w:p w:rsidR="00D7327A" w:rsidRPr="00E72124" w:rsidRDefault="00D7327A" w:rsidP="00D7327A">
      <w:pPr>
        <w:pStyle w:val="ParaNoNdepar-AltN"/>
        <w:rPr>
          <w:rFonts w:cs="Times New Roman"/>
        </w:rPr>
      </w:pPr>
      <w:r w:rsidRPr="00E72124">
        <w:rPr>
          <w:rFonts w:cs="Times New Roman"/>
        </w:rPr>
        <w:t xml:space="preserve">Finally, given the limited application of the defence of illegality, as recognized by this Court in </w:t>
      </w:r>
      <w:r w:rsidRPr="00E72124">
        <w:rPr>
          <w:rFonts w:cs="Times New Roman"/>
          <w:i/>
        </w:rPr>
        <w:t xml:space="preserve">Hall </w:t>
      </w:r>
      <w:r w:rsidRPr="00E72124">
        <w:rPr>
          <w:rFonts w:cs="Times New Roman"/>
        </w:rPr>
        <w:t xml:space="preserve">and </w:t>
      </w:r>
      <w:proofErr w:type="spellStart"/>
      <w:r w:rsidRPr="00E72124">
        <w:rPr>
          <w:rFonts w:cs="Times New Roman"/>
          <w:i/>
          <w:iCs/>
          <w:lang w:val="en"/>
        </w:rPr>
        <w:t>Zastowny</w:t>
      </w:r>
      <w:proofErr w:type="spellEnd"/>
      <w:r w:rsidRPr="00E72124">
        <w:rPr>
          <w:rFonts w:cs="Times New Roman"/>
          <w:iCs/>
          <w:lang w:val="en"/>
        </w:rPr>
        <w:t>, we find no further compelling reason to justify the use of the corporate identification doctrine in these circumstances.</w:t>
      </w:r>
    </w:p>
    <w:p w:rsidR="00D7327A" w:rsidRPr="00E72124" w:rsidRDefault="00D7327A" w:rsidP="00D7327A">
      <w:pPr>
        <w:pStyle w:val="Title3LevelTitre3Niveau"/>
        <w:rPr>
          <w:rFonts w:cs="Times New Roman"/>
        </w:rPr>
      </w:pPr>
      <w:r w:rsidRPr="00E72124">
        <w:rPr>
          <w:rFonts w:cs="Times New Roman"/>
        </w:rPr>
        <w:t>Contributory Fault</w:t>
      </w:r>
    </w:p>
    <w:p w:rsidR="00D7327A" w:rsidRPr="00E72124" w:rsidRDefault="00D7327A" w:rsidP="00D7327A">
      <w:pPr>
        <w:pStyle w:val="ParaNoNdepar-AltN"/>
        <w:rPr>
          <w:rFonts w:cs="Times New Roman"/>
        </w:rPr>
      </w:pPr>
      <w:r w:rsidRPr="00E72124">
        <w:rPr>
          <w:rFonts w:cs="Times New Roman"/>
        </w:rPr>
        <w:t xml:space="preserve">In the alternative, Deloitte submits that the Court of Appeal erred in holding Deloitte liable for the entirety of the proven loss, and specifically that Livent should have been found contributorily at fault in accordance with s. 3 of the </w:t>
      </w:r>
      <w:r w:rsidRPr="00E72124">
        <w:rPr>
          <w:rFonts w:cs="Times New Roman"/>
          <w:i/>
        </w:rPr>
        <w:t>Negligence Act</w:t>
      </w:r>
      <w:r w:rsidRPr="00E72124">
        <w:rPr>
          <w:rFonts w:cs="Times New Roman"/>
        </w:rPr>
        <w:t xml:space="preserve">, R.S.O. 1990, c. N.1: </w:t>
      </w:r>
    </w:p>
    <w:p w:rsidR="00D7327A" w:rsidRPr="00E72124" w:rsidRDefault="00D7327A" w:rsidP="00D7327A">
      <w:pPr>
        <w:pStyle w:val="Citation-AltC"/>
      </w:pPr>
      <w:r w:rsidRPr="00E72124">
        <w:tab/>
        <w:t>In any action for damages that is founded upon the fault or negligence of the defendant if fault or negligence is found on the part of the plaintiff that contributed to the damages, the court shall apportion the damages in proportion to the degree of fault or negligence found against the parties respectively.</w:t>
      </w:r>
    </w:p>
    <w:p w:rsidR="00D7327A" w:rsidRPr="00E72124" w:rsidRDefault="00D7327A" w:rsidP="00D7327A">
      <w:pPr>
        <w:pStyle w:val="ParaNoNdepar-AltN"/>
        <w:rPr>
          <w:rFonts w:cs="Times New Roman"/>
        </w:rPr>
      </w:pPr>
      <w:r w:rsidRPr="00E72124">
        <w:rPr>
          <w:rFonts w:cs="Times New Roman"/>
        </w:rPr>
        <w:t xml:space="preserve">Again, the only conduct implicating Livent in this case was committed by </w:t>
      </w:r>
      <w:proofErr w:type="spellStart"/>
      <w:r w:rsidRPr="00E72124">
        <w:rPr>
          <w:rFonts w:cs="Times New Roman"/>
        </w:rPr>
        <w:t>Livent’s</w:t>
      </w:r>
      <w:proofErr w:type="spellEnd"/>
      <w:r w:rsidRPr="00E72124">
        <w:rPr>
          <w:rFonts w:cs="Times New Roman"/>
        </w:rPr>
        <w:t xml:space="preserve"> directors, </w:t>
      </w:r>
      <w:proofErr w:type="spellStart"/>
      <w:r w:rsidRPr="00E72124">
        <w:rPr>
          <w:rFonts w:cs="Times New Roman"/>
        </w:rPr>
        <w:t>Drabinsky</w:t>
      </w:r>
      <w:proofErr w:type="spellEnd"/>
      <w:r w:rsidRPr="00E72124">
        <w:rPr>
          <w:rFonts w:cs="Times New Roman"/>
        </w:rPr>
        <w:t xml:space="preserve"> and Gottlieb, and portions of management. It follows that, for Deloitte to rely on the defence of contributory fault, it must be able to attribute the conduct of certain directors and managers to Livent itself. </w:t>
      </w:r>
    </w:p>
    <w:p w:rsidR="00D7327A" w:rsidRPr="00E72124" w:rsidRDefault="00D7327A" w:rsidP="00D7327A">
      <w:pPr>
        <w:pStyle w:val="ParaNoNdepar-AltN"/>
        <w:rPr>
          <w:rFonts w:cs="Times New Roman"/>
        </w:rPr>
      </w:pPr>
      <w:r w:rsidRPr="00E72124">
        <w:rPr>
          <w:rFonts w:cs="Times New Roman"/>
        </w:rPr>
        <w:t xml:space="preserve">Unlike the discretionary illegality doctrine, Deloitte notes that s. 3 of the </w:t>
      </w:r>
      <w:r w:rsidRPr="00E72124">
        <w:rPr>
          <w:rFonts w:cs="Times New Roman"/>
          <w:i/>
        </w:rPr>
        <w:t xml:space="preserve">Negligence Act </w:t>
      </w:r>
      <w:r w:rsidRPr="00E72124">
        <w:rPr>
          <w:rFonts w:cs="Times New Roman"/>
        </w:rPr>
        <w:t xml:space="preserve">is mandatory (“. . . the court </w:t>
      </w:r>
      <w:r w:rsidRPr="00E72124">
        <w:rPr>
          <w:rFonts w:cs="Times New Roman"/>
          <w:u w:val="single"/>
        </w:rPr>
        <w:t>shall</w:t>
      </w:r>
      <w:r w:rsidRPr="00E72124">
        <w:rPr>
          <w:rFonts w:cs="Times New Roman"/>
        </w:rPr>
        <w:t xml:space="preserve"> apportion the damages . . .”), and argues that corporate identification </w:t>
      </w:r>
      <w:r w:rsidRPr="00E72124">
        <w:rPr>
          <w:rFonts w:cs="Times New Roman"/>
          <w:i/>
        </w:rPr>
        <w:t>must</w:t>
      </w:r>
      <w:r w:rsidRPr="00E72124">
        <w:rPr>
          <w:rFonts w:cs="Times New Roman"/>
        </w:rPr>
        <w:t xml:space="preserve"> be permitted because “the application of the corporate identification doctrine must be tailored to the terms of the particular substantive rule it serves” (A.F., at para. 132, citing C.A. reasons, at para. 157). This argument, however, misunderstands what the </w:t>
      </w:r>
      <w:r w:rsidRPr="00E72124">
        <w:rPr>
          <w:rFonts w:cs="Times New Roman"/>
          <w:i/>
        </w:rPr>
        <w:t>Negligence Act</w:t>
      </w:r>
      <w:r w:rsidRPr="00E72124">
        <w:rPr>
          <w:rFonts w:cs="Times New Roman"/>
        </w:rPr>
        <w:t xml:space="preserve"> actually makes mandatory. The </w:t>
      </w:r>
      <w:r w:rsidRPr="00E72124">
        <w:rPr>
          <w:rFonts w:cs="Times New Roman"/>
          <w:i/>
        </w:rPr>
        <w:t xml:space="preserve">Negligence Act </w:t>
      </w:r>
      <w:r w:rsidRPr="00E72124">
        <w:rPr>
          <w:rFonts w:cs="Times New Roman"/>
        </w:rPr>
        <w:t xml:space="preserve">requires that a plaintiff’s fault be factored into the apportionment of damages. But corporate identification is a prerequisite to the plaintiff, Livent, being at fault. In other words, Deloitte’s claim that s. 3 of the </w:t>
      </w:r>
      <w:r w:rsidRPr="00E72124">
        <w:rPr>
          <w:rFonts w:cs="Times New Roman"/>
          <w:i/>
        </w:rPr>
        <w:t xml:space="preserve">Negligence Act </w:t>
      </w:r>
      <w:r w:rsidRPr="00E72124">
        <w:rPr>
          <w:rFonts w:cs="Times New Roman"/>
        </w:rPr>
        <w:t xml:space="preserve">requires that Livent bear its share of the fault presupposes corporate identification, in effect, putting the cart before the horse. The </w:t>
      </w:r>
      <w:r w:rsidRPr="00E72124">
        <w:rPr>
          <w:rFonts w:cs="Times New Roman"/>
          <w:i/>
        </w:rPr>
        <w:t xml:space="preserve">Negligence Act </w:t>
      </w:r>
      <w:r w:rsidRPr="00E72124">
        <w:rPr>
          <w:rFonts w:cs="Times New Roman"/>
        </w:rPr>
        <w:t>only makes contribution by a negligent plaintiff mandatory; it does not make attribution of negligence to a plaintiff mandatory.</w:t>
      </w:r>
    </w:p>
    <w:p w:rsidR="00D7327A" w:rsidRPr="00E72124" w:rsidRDefault="00D7327A" w:rsidP="00D7327A">
      <w:pPr>
        <w:pStyle w:val="ParaNoNdepar-AltN"/>
        <w:rPr>
          <w:rFonts w:cs="Times New Roman"/>
        </w:rPr>
      </w:pPr>
      <w:r w:rsidRPr="00E72124">
        <w:rPr>
          <w:rFonts w:cs="Times New Roman"/>
        </w:rPr>
        <w:t xml:space="preserve">In any event, we repeat our earlier conclusion that where, as here, the use of the corporate identification doctrine would undermine the very purpose of establishing a duty of care, it will rarely be in the public interest to apply it.  A negligent auditor cannot limit liability for its own negligence by attributing to the corporation the wrongful acts of its employees, such acts being the very conduct that the auditor undertook to uncover. Additionally, had Deloitte sought to limit its liability through apportionment, it need not have relied on the doctrine of corporate identification at all. Specifically, Deloitte could have brought third party claims against the guilty parties, </w:t>
      </w:r>
      <w:proofErr w:type="spellStart"/>
      <w:r w:rsidRPr="00E72124">
        <w:rPr>
          <w:rFonts w:cs="Times New Roman"/>
        </w:rPr>
        <w:t>Drabinsky</w:t>
      </w:r>
      <w:proofErr w:type="spellEnd"/>
      <w:r w:rsidRPr="00E72124">
        <w:rPr>
          <w:rFonts w:cs="Times New Roman"/>
        </w:rPr>
        <w:t xml:space="preserve"> and Gottlieb, for their wrongful actions. For whatever reason, it chose not to do so. Nonetheless, the availability of a third party claim against a fraudulent director weighs against the application of the doctrine. In this case, it is not in the public interest to undermine separate legal personality where the wrongdoer could have been properly named as a third party. </w:t>
      </w:r>
    </w:p>
    <w:p w:rsidR="00D7327A" w:rsidRPr="00E72124" w:rsidRDefault="00D7327A" w:rsidP="00D7327A">
      <w:pPr>
        <w:pStyle w:val="Title2LevelTitre2Niveau"/>
        <w:rPr>
          <w:rFonts w:cs="Times New Roman"/>
        </w:rPr>
      </w:pPr>
      <w:r w:rsidRPr="00E72124">
        <w:rPr>
          <w:rFonts w:cs="Times New Roman"/>
        </w:rPr>
        <w:t>Conclusion</w:t>
      </w:r>
    </w:p>
    <w:p w:rsidR="00D7327A" w:rsidRPr="00E72124" w:rsidRDefault="00D7327A" w:rsidP="00D7327A">
      <w:pPr>
        <w:pStyle w:val="ParaNoNdepar-AltN"/>
        <w:rPr>
          <w:rFonts w:cs="Times New Roman"/>
        </w:rPr>
      </w:pPr>
      <w:r w:rsidRPr="00E72124">
        <w:rPr>
          <w:rFonts w:cs="Times New Roman"/>
        </w:rPr>
        <w:t xml:space="preserve">It follows from the foregoing that we would allow the appeal, but only in part. </w:t>
      </w:r>
    </w:p>
    <w:p w:rsidR="00D7327A" w:rsidRPr="00E72124" w:rsidRDefault="00D7327A" w:rsidP="00D7327A">
      <w:pPr>
        <w:pStyle w:val="ParaNoNdepar-AltN"/>
        <w:rPr>
          <w:rFonts w:cs="Times New Roman"/>
        </w:rPr>
      </w:pPr>
      <w:r w:rsidRPr="00E72124">
        <w:rPr>
          <w:rFonts w:cs="Times New Roman"/>
        </w:rPr>
        <w:t xml:space="preserve">In our view, the trial judge and Court of Appeal erred in finding that Deloitte’s negligence in relation to the Press Release and Comfort Letter resulted in injuries that were reasonably foreseeable in light of the proximate relationship between the parties. At that time, Deloitte’s services were engaged for the purpose of soliciting investment, not management oversight. As </w:t>
      </w:r>
      <w:proofErr w:type="spellStart"/>
      <w:r w:rsidRPr="00E72124">
        <w:rPr>
          <w:rFonts w:cs="Times New Roman"/>
        </w:rPr>
        <w:t>Livent’s</w:t>
      </w:r>
      <w:proofErr w:type="spellEnd"/>
      <w:r w:rsidRPr="00E72124">
        <w:rPr>
          <w:rFonts w:cs="Times New Roman"/>
        </w:rPr>
        <w:t xml:space="preserve"> losses did not flow from a failure to solicit investment, we would deny recovery for the increase in </w:t>
      </w:r>
      <w:proofErr w:type="spellStart"/>
      <w:r w:rsidRPr="00E72124">
        <w:rPr>
          <w:rFonts w:cs="Times New Roman"/>
        </w:rPr>
        <w:t>Livent’s</w:t>
      </w:r>
      <w:proofErr w:type="spellEnd"/>
      <w:r w:rsidRPr="00E72124">
        <w:rPr>
          <w:rFonts w:cs="Times New Roman"/>
        </w:rPr>
        <w:t xml:space="preserve"> liquidation deficit beginning in the fall of 1997.</w:t>
      </w:r>
    </w:p>
    <w:p w:rsidR="00D7327A" w:rsidRPr="00E72124" w:rsidRDefault="00D7327A" w:rsidP="00D7327A">
      <w:pPr>
        <w:pStyle w:val="ParaNoNdepar-AltN"/>
        <w:rPr>
          <w:rFonts w:cs="Times New Roman"/>
        </w:rPr>
      </w:pPr>
      <w:r w:rsidRPr="00E72124">
        <w:rPr>
          <w:rFonts w:cs="Times New Roman"/>
        </w:rPr>
        <w:t xml:space="preserve">We would, however, allow recovery for the increase in </w:t>
      </w:r>
      <w:proofErr w:type="spellStart"/>
      <w:r w:rsidRPr="00E72124">
        <w:rPr>
          <w:rFonts w:cs="Times New Roman"/>
        </w:rPr>
        <w:t>Livent’s</w:t>
      </w:r>
      <w:proofErr w:type="spellEnd"/>
      <w:r w:rsidRPr="00E72124">
        <w:rPr>
          <w:rFonts w:cs="Times New Roman"/>
        </w:rPr>
        <w:t xml:space="preserve"> liquidation deficit which followed the 1997 Audit. We agree with the trial judge that “Deloitte should not have signed off on the 1997 Audit in early April 1998” (para. 242) and that the increase in </w:t>
      </w:r>
      <w:proofErr w:type="spellStart"/>
      <w:r w:rsidRPr="00E72124">
        <w:rPr>
          <w:rFonts w:cs="Times New Roman"/>
        </w:rPr>
        <w:t>Livent’s</w:t>
      </w:r>
      <w:proofErr w:type="spellEnd"/>
      <w:r w:rsidRPr="00E72124">
        <w:rPr>
          <w:rFonts w:cs="Times New Roman"/>
        </w:rPr>
        <w:t xml:space="preserve"> liquidation deficit which followed fell within the duty of care owed by Deloitte to Livent in relation to the preparation of a statutory audit, the express purpose of which was to assist Livent in management oversight.</w:t>
      </w:r>
    </w:p>
    <w:p w:rsidR="00D7327A" w:rsidRPr="00E72124" w:rsidRDefault="00D7327A" w:rsidP="00D7327A">
      <w:pPr>
        <w:pStyle w:val="ParaNoNdepar-AltN"/>
        <w:rPr>
          <w:rFonts w:cs="Times New Roman"/>
        </w:rPr>
      </w:pPr>
      <w:r w:rsidRPr="00E72124">
        <w:rPr>
          <w:rFonts w:cs="Times New Roman"/>
        </w:rPr>
        <w:t xml:space="preserve">The trial judge assessed </w:t>
      </w:r>
      <w:proofErr w:type="spellStart"/>
      <w:r w:rsidRPr="00E72124">
        <w:rPr>
          <w:rFonts w:cs="Times New Roman"/>
        </w:rPr>
        <w:t>Livent’s</w:t>
      </w:r>
      <w:proofErr w:type="spellEnd"/>
      <w:r w:rsidRPr="00E72124">
        <w:rPr>
          <w:rFonts w:cs="Times New Roman"/>
        </w:rPr>
        <w:t xml:space="preserve"> damages following the 1997 Audit at $53.9 million (para. 306, fn. 188, and para. 369, fn. 228). Applying the trial judge’s 25 percent contingency reduction to this amount results in a final damages assessment of $40,425,000. This is the amount for which Deloitte is liable.</w:t>
      </w:r>
    </w:p>
    <w:p w:rsidR="00D7327A" w:rsidRPr="00E72124" w:rsidRDefault="00D7327A" w:rsidP="00D7327A">
      <w:pPr>
        <w:pStyle w:val="ParaNoNdepar-AltN"/>
        <w:rPr>
          <w:rFonts w:eastAsiaTheme="minorHAnsi" w:cs="Times New Roman"/>
          <w:szCs w:val="24"/>
        </w:rPr>
      </w:pPr>
      <w:r w:rsidRPr="00E72124">
        <w:rPr>
          <w:rFonts w:cs="Times New Roman"/>
        </w:rPr>
        <w:t>Throughout these proceedings, the parties have primarily framed this dispute as one in negligence. Indeed, this was noted by the trial judge (at para. 47). At trial, Livent conceded that its losses for negligent performance of a service or breach of contract would be identical (</w:t>
      </w:r>
      <w:r w:rsidRPr="00E72124">
        <w:rPr>
          <w:rFonts w:cs="Times New Roman"/>
          <w:i/>
          <w:iCs/>
        </w:rPr>
        <w:t>ibid.</w:t>
      </w:r>
      <w:r w:rsidRPr="00E72124">
        <w:rPr>
          <w:rFonts w:cs="Times New Roman"/>
        </w:rPr>
        <w:t xml:space="preserve">). The trial judge agreed, finding that </w:t>
      </w:r>
      <w:proofErr w:type="spellStart"/>
      <w:r w:rsidRPr="00E72124">
        <w:rPr>
          <w:rFonts w:cs="Times New Roman"/>
        </w:rPr>
        <w:t>Livent’s</w:t>
      </w:r>
      <w:proofErr w:type="spellEnd"/>
      <w:r w:rsidRPr="00E72124">
        <w:rPr>
          <w:rFonts w:cs="Times New Roman"/>
        </w:rPr>
        <w:t xml:space="preserve"> claim in contract “succeed[</w:t>
      </w:r>
      <w:proofErr w:type="spellStart"/>
      <w:r w:rsidRPr="00E72124">
        <w:rPr>
          <w:rFonts w:cs="Times New Roman"/>
        </w:rPr>
        <w:t>ed</w:t>
      </w:r>
      <w:proofErr w:type="spellEnd"/>
      <w:proofErr w:type="gramStart"/>
      <w:r w:rsidRPr="00E72124">
        <w:rPr>
          <w:rFonts w:cs="Times New Roman"/>
        </w:rPr>
        <w:t>] .</w:t>
      </w:r>
      <w:proofErr w:type="gramEnd"/>
      <w:r w:rsidRPr="00E72124">
        <w:rPr>
          <w:rFonts w:cs="Times New Roman"/>
        </w:rPr>
        <w:t> . . for the [same] reasons” as its claim of negligent performance of a service and that the elements of its claim in contract were “incorporated by reference to the finding of ‘negligence’” (para. 243). Given the above, we would impose the same quantum of liability on Deloitte for the concurrent claim in breach of contract.</w:t>
      </w:r>
    </w:p>
    <w:p w:rsidR="00D7327A" w:rsidRPr="00E72124" w:rsidRDefault="00D7327A" w:rsidP="00D7327A">
      <w:pPr>
        <w:pStyle w:val="ParaNoNdepar-AltN"/>
        <w:rPr>
          <w:rFonts w:cs="Times New Roman"/>
        </w:rPr>
      </w:pPr>
      <w:r w:rsidRPr="00E72124">
        <w:rPr>
          <w:rFonts w:cs="Times New Roman"/>
        </w:rPr>
        <w:t xml:space="preserve">Accordingly, the appeal is allowed in part. The amount of the trial award is reduced from $84,750,000 to $40,425,000.  Livent shall have its costs throughout. </w:t>
      </w:r>
    </w:p>
    <w:p w:rsidR="00D7327A" w:rsidRDefault="00D7327A" w:rsidP="002011A6">
      <w:pPr>
        <w:pStyle w:val="SCCNormalDoubleSpacing"/>
        <w:spacing w:before="480" w:after="480"/>
        <w:rPr>
          <w:rStyle w:val="SCCCounselPartyRoleChar"/>
        </w:rPr>
      </w:pPr>
    </w:p>
    <w:p w:rsidR="00D7327A" w:rsidRDefault="00D7327A" w:rsidP="00D7327A">
      <w:r w:rsidRPr="00E040AD">
        <w:t xml:space="preserve">The reasons </w:t>
      </w:r>
      <w:r>
        <w:t xml:space="preserve">of McLachlin C.J. and Wagner and Côté JJ. </w:t>
      </w:r>
      <w:proofErr w:type="gramStart"/>
      <w:r>
        <w:t>were</w:t>
      </w:r>
      <w:proofErr w:type="gramEnd"/>
      <w:r>
        <w:t xml:space="preserve"> </w:t>
      </w:r>
      <w:r w:rsidRPr="00E040AD">
        <w:t xml:space="preserve">delivered by </w:t>
      </w:r>
    </w:p>
    <w:p w:rsidR="00D7327A" w:rsidRDefault="00D7327A" w:rsidP="00D7327A"/>
    <w:p w:rsidR="00D7327A" w:rsidRPr="004A09FF" w:rsidRDefault="00D7327A" w:rsidP="00D7327A">
      <w:pPr>
        <w:pStyle w:val="JudgeJuge"/>
      </w:pPr>
      <w:r w:rsidRPr="004A09FF">
        <w:tab/>
        <w:t xml:space="preserve">The Chief Justice — </w:t>
      </w:r>
    </w:p>
    <w:p w:rsidR="00D7327A" w:rsidRPr="004A09FF" w:rsidRDefault="00D7327A" w:rsidP="00D7327A">
      <w:pPr>
        <w:pStyle w:val="ParaNoNdepar-AltN"/>
        <w:tabs>
          <w:tab w:val="clear" w:pos="1152"/>
          <w:tab w:val="num" w:pos="1242"/>
        </w:tabs>
        <w:ind w:left="90"/>
      </w:pPr>
      <w:r w:rsidRPr="004A09FF">
        <w:t xml:space="preserve">Garth </w:t>
      </w:r>
      <w:proofErr w:type="spellStart"/>
      <w:r w:rsidRPr="004A09FF">
        <w:t>Drabinsky</w:t>
      </w:r>
      <w:proofErr w:type="spellEnd"/>
      <w:r w:rsidRPr="004A09FF">
        <w:t xml:space="preserve"> and Myron Gottlieb built a North American theatre empire that came to be known as Livent Inc. Seeking ever more spectacular success, they resorted to manipulating the company’s financial records. When the scheme came to light, Livent collapsed. Its assets were liquidated. </w:t>
      </w:r>
      <w:proofErr w:type="spellStart"/>
      <w:r w:rsidRPr="004A09FF">
        <w:t>Drabinsky</w:t>
      </w:r>
      <w:proofErr w:type="spellEnd"/>
      <w:r w:rsidRPr="004A09FF">
        <w:t xml:space="preserve"> and Gottlieb went to jail.</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This is among the many lawsuits that followed. The courts below held that Deloitte &amp; </w:t>
      </w:r>
      <w:proofErr w:type="spellStart"/>
      <w:r w:rsidRPr="004A09FF">
        <w:rPr>
          <w:rFonts w:cs="Times New Roman"/>
        </w:rPr>
        <w:t>Touche</w:t>
      </w:r>
      <w:proofErr w:type="spellEnd"/>
      <w:r w:rsidRPr="004A09FF">
        <w:rPr>
          <w:rFonts w:cs="Times New Roman"/>
        </w:rPr>
        <w:t xml:space="preserve">, a firm of accountants and </w:t>
      </w:r>
      <w:proofErr w:type="spellStart"/>
      <w:r w:rsidRPr="004A09FF">
        <w:rPr>
          <w:rFonts w:cs="Times New Roman"/>
        </w:rPr>
        <w:t>Livent’s</w:t>
      </w:r>
      <w:proofErr w:type="spellEnd"/>
      <w:r w:rsidRPr="004A09FF">
        <w:rPr>
          <w:rFonts w:cs="Times New Roman"/>
        </w:rPr>
        <w:t xml:space="preserve"> auditor, breached the duty of care it owed to Livent in failing to detect and expose </w:t>
      </w:r>
      <w:proofErr w:type="spellStart"/>
      <w:r w:rsidRPr="004A09FF">
        <w:rPr>
          <w:rFonts w:cs="Times New Roman"/>
        </w:rPr>
        <w:t>Livent’s</w:t>
      </w:r>
      <w:proofErr w:type="spellEnd"/>
      <w:r w:rsidRPr="004A09FF">
        <w:rPr>
          <w:rFonts w:cs="Times New Roman"/>
        </w:rPr>
        <w:t xml:space="preserve"> fraud, as a result of which Livent was able to continue operations and continue losing money — money it now claims from Deloitte.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I agree with the courts below that Deloitte owed a duty of care to Livent, which it breached when it failed to discover and expose </w:t>
      </w:r>
      <w:proofErr w:type="spellStart"/>
      <w:r w:rsidRPr="004A09FF">
        <w:rPr>
          <w:rFonts w:cs="Times New Roman"/>
        </w:rPr>
        <w:t>Livent’s</w:t>
      </w:r>
      <w:proofErr w:type="spellEnd"/>
      <w:r w:rsidRPr="004A09FF">
        <w:rPr>
          <w:rFonts w:cs="Times New Roman"/>
        </w:rPr>
        <w:t xml:space="preserve"> fraud in the audited statements it prepared. However, I do not agree that Deloitte is liable for virtually all the loss that befell Livent as it pursued its precipitous decline into insolvency through doomed investments. I would allow the appeal.</w:t>
      </w:r>
    </w:p>
    <w:p w:rsidR="00D7327A" w:rsidRPr="002A0461" w:rsidRDefault="00D7327A" w:rsidP="002A0461">
      <w:pPr>
        <w:pStyle w:val="Title1LevelTitre1Niveau-AltL"/>
        <w:numPr>
          <w:ilvl w:val="0"/>
          <w:numId w:val="27"/>
        </w:numPr>
        <w:rPr>
          <w:rFonts w:cs="Times New Roman"/>
        </w:rPr>
      </w:pPr>
      <w:r w:rsidRPr="002A0461">
        <w:rPr>
          <w:rFonts w:cs="Times New Roman"/>
        </w:rPr>
        <w:t>Facts</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saga that led to these proceedings began in 1989 when two would-be entertainment moguls, </w:t>
      </w:r>
      <w:proofErr w:type="spellStart"/>
      <w:r w:rsidRPr="004A09FF">
        <w:rPr>
          <w:rFonts w:cs="Times New Roman"/>
        </w:rPr>
        <w:t>Drabinsky</w:t>
      </w:r>
      <w:proofErr w:type="spellEnd"/>
      <w:r w:rsidRPr="004A09FF">
        <w:rPr>
          <w:rFonts w:cs="Times New Roman"/>
        </w:rPr>
        <w:t xml:space="preserve"> and Gottlieb, launched a takeover bid of their employer, Cineplex Odeon Corporation. When the bid failed, the pair formed </w:t>
      </w:r>
      <w:proofErr w:type="spellStart"/>
      <w:r w:rsidRPr="004A09FF">
        <w:rPr>
          <w:rFonts w:cs="Times New Roman"/>
        </w:rPr>
        <w:t>MyGar</w:t>
      </w:r>
      <w:proofErr w:type="spellEnd"/>
      <w:r w:rsidRPr="004A09FF">
        <w:rPr>
          <w:rFonts w:cs="Times New Roman"/>
        </w:rPr>
        <w:t xml:space="preserve"> Partnership, which purchased all of the assets and some of the liabilities of Cineplex’s live entertainment division. These included Toronto’s </w:t>
      </w:r>
      <w:proofErr w:type="spellStart"/>
      <w:r w:rsidRPr="004A09FF">
        <w:rPr>
          <w:rFonts w:cs="Times New Roman"/>
        </w:rPr>
        <w:t>Pantages</w:t>
      </w:r>
      <w:proofErr w:type="spellEnd"/>
      <w:r w:rsidRPr="004A09FF">
        <w:rPr>
          <w:rFonts w:cs="Times New Roman"/>
        </w:rPr>
        <w:t xml:space="preserve"> Theatre and the rights to a wildly successful show, </w:t>
      </w:r>
      <w:r w:rsidRPr="004A09FF">
        <w:rPr>
          <w:rFonts w:cs="Times New Roman"/>
          <w:i/>
        </w:rPr>
        <w:t>The Phantom of the Opera</w:t>
      </w:r>
      <w:r w:rsidRPr="004A09FF">
        <w:rPr>
          <w:rFonts w:cs="Times New Roman"/>
        </w:rPr>
        <w:t xml:space="preserve">. </w:t>
      </w:r>
      <w:proofErr w:type="spellStart"/>
      <w:r w:rsidRPr="004A09FF">
        <w:rPr>
          <w:rFonts w:cs="Times New Roman"/>
        </w:rPr>
        <w:t>MyGar</w:t>
      </w:r>
      <w:proofErr w:type="spellEnd"/>
      <w:r w:rsidRPr="004A09FF">
        <w:rPr>
          <w:rFonts w:cs="Times New Roman"/>
        </w:rPr>
        <w:t xml:space="preserve"> carried on business through its nominee corporation, Live Entertainment Corporation of Canada Inc., and both entities were rolled into Live Entertainment of Canada Inc., or Livent Inc., in 1993. Livent made its debut in Canada’s equity market with an initial public offering that year. By the end of 1995, </w:t>
      </w:r>
      <w:proofErr w:type="spellStart"/>
      <w:r w:rsidRPr="004A09FF">
        <w:rPr>
          <w:rFonts w:cs="Times New Roman"/>
        </w:rPr>
        <w:t>Livent’s</w:t>
      </w:r>
      <w:proofErr w:type="spellEnd"/>
      <w:r w:rsidRPr="004A09FF">
        <w:rPr>
          <w:rFonts w:cs="Times New Roman"/>
        </w:rPr>
        <w:t xml:space="preserve"> shares were also listed on New York’s NASDAQ exchange.</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Deloitte &amp; </w:t>
      </w:r>
      <w:proofErr w:type="spellStart"/>
      <w:r w:rsidRPr="004A09FF">
        <w:rPr>
          <w:rFonts w:cs="Times New Roman"/>
        </w:rPr>
        <w:t>Touche</w:t>
      </w:r>
      <w:proofErr w:type="spellEnd"/>
      <w:r w:rsidRPr="004A09FF">
        <w:rPr>
          <w:rFonts w:cs="Times New Roman"/>
        </w:rPr>
        <w:t xml:space="preserve"> (now Deloitte LLP) became </w:t>
      </w:r>
      <w:proofErr w:type="spellStart"/>
      <w:r w:rsidRPr="004A09FF">
        <w:rPr>
          <w:rFonts w:cs="Times New Roman"/>
        </w:rPr>
        <w:t>MyGar’s</w:t>
      </w:r>
      <w:proofErr w:type="spellEnd"/>
      <w:r w:rsidRPr="004A09FF">
        <w:rPr>
          <w:rFonts w:cs="Times New Roman"/>
        </w:rPr>
        <w:t xml:space="preserve"> auditor in 1989 and continued as auditors for </w:t>
      </w:r>
      <w:proofErr w:type="spellStart"/>
      <w:r w:rsidRPr="004A09FF">
        <w:rPr>
          <w:rFonts w:cs="Times New Roman"/>
        </w:rPr>
        <w:t>MyGar</w:t>
      </w:r>
      <w:proofErr w:type="spellEnd"/>
      <w:r w:rsidRPr="004A09FF">
        <w:rPr>
          <w:rFonts w:cs="Times New Roman"/>
        </w:rPr>
        <w:t xml:space="preserve"> and it</w:t>
      </w:r>
      <w:r w:rsidR="00734118">
        <w:rPr>
          <w:rFonts w:cs="Times New Roman"/>
        </w:rPr>
        <w:t>s</w:t>
      </w:r>
      <w:bookmarkStart w:id="0" w:name="_GoBack"/>
      <w:bookmarkEnd w:id="0"/>
      <w:r w:rsidRPr="004A09FF">
        <w:rPr>
          <w:rFonts w:cs="Times New Roman"/>
        </w:rPr>
        <w:t xml:space="preserve"> successor Livent until 1998. </w:t>
      </w:r>
    </w:p>
    <w:p w:rsidR="00D7327A" w:rsidRPr="004A09FF" w:rsidRDefault="00D7327A" w:rsidP="00D7327A">
      <w:pPr>
        <w:pStyle w:val="ParaNoNdepar-AltN"/>
        <w:tabs>
          <w:tab w:val="clear" w:pos="1152"/>
          <w:tab w:val="num" w:pos="1242"/>
        </w:tabs>
        <w:ind w:left="90"/>
        <w:rPr>
          <w:rFonts w:cs="Times New Roman"/>
        </w:rPr>
      </w:pPr>
      <w:proofErr w:type="spellStart"/>
      <w:r w:rsidRPr="004A09FF">
        <w:rPr>
          <w:rFonts w:cs="Times New Roman"/>
        </w:rPr>
        <w:t>Livent’s</w:t>
      </w:r>
      <w:proofErr w:type="spellEnd"/>
      <w:r w:rsidRPr="004A09FF">
        <w:rPr>
          <w:rFonts w:cs="Times New Roman"/>
        </w:rPr>
        <w:t xml:space="preserve"> strategy was vertical integration. Unlike other players in the live entertainment industry, it brought the entire enterprise, from production to performance, under one roof — a roof that Livent, as a proprietor of theatre properties, also owned. This was an immensely costly and risky undertaking. Livent invested in real estate in Toronto, Vancouver, New York, and Chicago. It produced and presented a string of spectacular (and therefore expensive) musicals. When its shows succeeded, Livent reaped all the rewards. When they did not, it bore the losses alone.</w:t>
      </w:r>
    </w:p>
    <w:p w:rsidR="00D7327A" w:rsidRPr="004A09FF" w:rsidRDefault="00D7327A" w:rsidP="00D7327A">
      <w:pPr>
        <w:pStyle w:val="ParaNoNdepar-AltN"/>
        <w:tabs>
          <w:tab w:val="clear" w:pos="1152"/>
          <w:tab w:val="num" w:pos="1242"/>
        </w:tabs>
        <w:ind w:left="90"/>
        <w:rPr>
          <w:rFonts w:cs="Times New Roman"/>
        </w:rPr>
      </w:pPr>
      <w:proofErr w:type="spellStart"/>
      <w:r w:rsidRPr="004A09FF">
        <w:rPr>
          <w:rFonts w:cs="Times New Roman"/>
        </w:rPr>
        <w:t>Drabinsky</w:t>
      </w:r>
      <w:proofErr w:type="spellEnd"/>
      <w:r w:rsidRPr="004A09FF">
        <w:rPr>
          <w:rFonts w:cs="Times New Roman"/>
        </w:rPr>
        <w:t xml:space="preserve"> and Gottlieb were determined to prove that their business model worked. To be sure it did, they and their associates cooked the books. They did so in four ways:</w:t>
      </w:r>
    </w:p>
    <w:p w:rsidR="00D7327A" w:rsidRPr="004A09FF" w:rsidRDefault="00D7327A" w:rsidP="00D7327A">
      <w:pPr>
        <w:pStyle w:val="ListParagraph"/>
        <w:numPr>
          <w:ilvl w:val="0"/>
          <w:numId w:val="26"/>
        </w:numPr>
        <w:spacing w:line="480" w:lineRule="auto"/>
        <w:jc w:val="both"/>
        <w:rPr>
          <w:rFonts w:cs="Times New Roman"/>
        </w:rPr>
      </w:pPr>
      <w:proofErr w:type="spellStart"/>
      <w:r w:rsidRPr="004A09FF">
        <w:rPr>
          <w:rFonts w:cs="Times New Roman"/>
        </w:rPr>
        <w:t>Drabinsky</w:t>
      </w:r>
      <w:proofErr w:type="spellEnd"/>
      <w:r w:rsidRPr="004A09FF">
        <w:rPr>
          <w:rFonts w:cs="Times New Roman"/>
        </w:rPr>
        <w:t xml:space="preserve"> and Gottlieb pocketed some $7.5 million in kickbacks in the two years before </w:t>
      </w:r>
      <w:proofErr w:type="spellStart"/>
      <w:r w:rsidRPr="004A09FF">
        <w:rPr>
          <w:rFonts w:cs="Times New Roman"/>
        </w:rPr>
        <w:t>Livent’s</w:t>
      </w:r>
      <w:proofErr w:type="spellEnd"/>
      <w:r w:rsidRPr="004A09FF">
        <w:rPr>
          <w:rFonts w:cs="Times New Roman"/>
        </w:rPr>
        <w:t xml:space="preserve"> initial public offering. These they secured by causing </w:t>
      </w:r>
      <w:proofErr w:type="spellStart"/>
      <w:r w:rsidRPr="004A09FF">
        <w:rPr>
          <w:rFonts w:cs="Times New Roman"/>
        </w:rPr>
        <w:t>MyGar</w:t>
      </w:r>
      <w:proofErr w:type="spellEnd"/>
      <w:r w:rsidRPr="004A09FF">
        <w:rPr>
          <w:rFonts w:cs="Times New Roman"/>
        </w:rPr>
        <w:t xml:space="preserve"> to pay false or inflated invoices to various contractors, who in turn directed funds to </w:t>
      </w:r>
      <w:proofErr w:type="spellStart"/>
      <w:r w:rsidRPr="004A09FF">
        <w:rPr>
          <w:rFonts w:cs="Times New Roman"/>
        </w:rPr>
        <w:t>Drabinsky</w:t>
      </w:r>
      <w:proofErr w:type="spellEnd"/>
      <w:r w:rsidRPr="004A09FF">
        <w:rPr>
          <w:rFonts w:cs="Times New Roman"/>
        </w:rPr>
        <w:t xml:space="preserve"> and Gottlieb personally or to another company they controlled. A substantial portion of the falsified expenses were booked as assets. </w:t>
      </w:r>
      <w:proofErr w:type="spellStart"/>
      <w:r w:rsidRPr="004A09FF">
        <w:rPr>
          <w:rFonts w:cs="Times New Roman"/>
        </w:rPr>
        <w:t>Drabinsky</w:t>
      </w:r>
      <w:proofErr w:type="spellEnd"/>
      <w:r w:rsidRPr="004A09FF">
        <w:rPr>
          <w:rFonts w:cs="Times New Roman"/>
        </w:rPr>
        <w:t xml:space="preserve"> and Gottlieb’s balance sheets were thus infused with fantasy as early as 1991.</w:t>
      </w:r>
    </w:p>
    <w:p w:rsidR="00D7327A" w:rsidRPr="004A09FF" w:rsidRDefault="00D7327A" w:rsidP="00D7327A">
      <w:pPr>
        <w:pStyle w:val="ListParagraph"/>
        <w:spacing w:line="480" w:lineRule="auto"/>
        <w:ind w:left="1886"/>
        <w:jc w:val="both"/>
        <w:rPr>
          <w:rFonts w:cs="Times New Roman"/>
        </w:rPr>
      </w:pPr>
    </w:p>
    <w:p w:rsidR="00D7327A" w:rsidRPr="004A09FF" w:rsidRDefault="00D7327A" w:rsidP="00D7327A">
      <w:pPr>
        <w:pStyle w:val="ListParagraph"/>
        <w:numPr>
          <w:ilvl w:val="0"/>
          <w:numId w:val="26"/>
        </w:numPr>
        <w:spacing w:line="480" w:lineRule="auto"/>
        <w:jc w:val="both"/>
        <w:rPr>
          <w:rFonts w:cs="Times New Roman"/>
        </w:rPr>
      </w:pPr>
      <w:r w:rsidRPr="004A09FF">
        <w:rPr>
          <w:rFonts w:cs="Times New Roman"/>
        </w:rPr>
        <w:t xml:space="preserve">Livent officers and employees distorted the company’s financial records by shifting expenses between accounting periods and from one activity or production to another. They doctored </w:t>
      </w:r>
      <w:proofErr w:type="spellStart"/>
      <w:r w:rsidRPr="004A09FF">
        <w:rPr>
          <w:rFonts w:cs="Times New Roman"/>
        </w:rPr>
        <w:t>Livent’s</w:t>
      </w:r>
      <w:proofErr w:type="spellEnd"/>
      <w:r w:rsidRPr="004A09FF">
        <w:rPr>
          <w:rFonts w:cs="Times New Roman"/>
        </w:rPr>
        <w:t xml:space="preserve"> accounting software to permit and conceal these manipulations.</w:t>
      </w:r>
    </w:p>
    <w:p w:rsidR="00D7327A" w:rsidRPr="004A09FF" w:rsidRDefault="00D7327A" w:rsidP="00D7327A">
      <w:pPr>
        <w:pStyle w:val="ListParagraph"/>
        <w:spacing w:line="480" w:lineRule="auto"/>
        <w:ind w:left="1886"/>
        <w:jc w:val="both"/>
        <w:rPr>
          <w:rFonts w:cs="Times New Roman"/>
        </w:rPr>
      </w:pPr>
    </w:p>
    <w:p w:rsidR="00D7327A" w:rsidRPr="004A09FF" w:rsidRDefault="00D7327A" w:rsidP="00D7327A">
      <w:pPr>
        <w:pStyle w:val="ListParagraph"/>
        <w:numPr>
          <w:ilvl w:val="0"/>
          <w:numId w:val="26"/>
        </w:numPr>
        <w:spacing w:line="480" w:lineRule="auto"/>
        <w:jc w:val="both"/>
        <w:rPr>
          <w:rFonts w:cs="Times New Roman"/>
        </w:rPr>
      </w:pPr>
      <w:r w:rsidRPr="004A09FF">
        <w:rPr>
          <w:rFonts w:cs="Times New Roman"/>
        </w:rPr>
        <w:t>Livent overstated its bottom line by extending the time over which it amortized the costs of putting on its productions and, in some periods, by avoiding amortization altogether. This it did by transferring millions of dollars of “pre-production costs” from shows to fixed assets or from one show to another, and particularly to shows that had not yet opened.</w:t>
      </w:r>
    </w:p>
    <w:p w:rsidR="00D7327A" w:rsidRPr="004A09FF" w:rsidRDefault="00D7327A" w:rsidP="00D7327A">
      <w:pPr>
        <w:pStyle w:val="ListParagraph"/>
        <w:spacing w:line="480" w:lineRule="auto"/>
        <w:ind w:left="1886"/>
        <w:jc w:val="both"/>
        <w:rPr>
          <w:rFonts w:cs="Times New Roman"/>
        </w:rPr>
      </w:pPr>
    </w:p>
    <w:p w:rsidR="00D7327A" w:rsidRPr="004A09FF" w:rsidRDefault="00D7327A" w:rsidP="00D7327A">
      <w:pPr>
        <w:pStyle w:val="ListParagraph"/>
        <w:numPr>
          <w:ilvl w:val="0"/>
          <w:numId w:val="26"/>
        </w:numPr>
        <w:spacing w:line="480" w:lineRule="auto"/>
        <w:jc w:val="both"/>
        <w:rPr>
          <w:rFonts w:cs="Times New Roman"/>
        </w:rPr>
      </w:pPr>
      <w:r w:rsidRPr="004A09FF">
        <w:rPr>
          <w:rFonts w:cs="Times New Roman"/>
        </w:rPr>
        <w:t>The company recorded imaginary revenue by entering into loan or financing agreements that it camouflaged as asset sales. Livent purported to sell various rights related to its productions and properties, but simultaneously entered into secret side agreements permitting purchasers to recover what they had paid. The revenue booked from such transactions ran well into the millions of dollars.</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Livent not only misled the markets, it also fooled its auditor. Deloitte never uncovered the company’s schemes. Livent continued to raise investment capital and reinvest it in unprofitable theatre enterprises. Deloitte’s auditors report for </w:t>
      </w:r>
      <w:proofErr w:type="spellStart"/>
      <w:r w:rsidRPr="004A09FF">
        <w:rPr>
          <w:rFonts w:cs="Times New Roman"/>
        </w:rPr>
        <w:t>Livent’s</w:t>
      </w:r>
      <w:proofErr w:type="spellEnd"/>
      <w:r w:rsidRPr="004A09FF">
        <w:rPr>
          <w:rFonts w:cs="Times New Roman"/>
        </w:rPr>
        <w:t xml:space="preserve"> Fiscal Year 1997 did not disclose the fraud and, although Deloitte objected when Gottlieb presented a misleading quarterly financial statement to the Audit Committee in August 1997, it did not resign.</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truth came to light in 1998. New equity investors appointed new management, who discovered “irregularities”. Deloitte retracted its audit opinions for 1996 and 1997. A subsequent investigation and re-audit resulted in restated financial reports. </w:t>
      </w:r>
      <w:proofErr w:type="spellStart"/>
      <w:r w:rsidRPr="004A09FF">
        <w:rPr>
          <w:rFonts w:cs="Times New Roman"/>
        </w:rPr>
        <w:t>Drabinsky</w:t>
      </w:r>
      <w:proofErr w:type="spellEnd"/>
      <w:r w:rsidRPr="004A09FF">
        <w:rPr>
          <w:rFonts w:cs="Times New Roman"/>
        </w:rPr>
        <w:t xml:space="preserve"> and Gottlieb were suspended, fired, and convicted of fraud.</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Livent filed for insolvency protection in both Canada and the United States in November 1998 and sold its assets in August 1999.  It went into receivership the following month. The trial judge found that Livent lost $113,000,000 between the time of Deloitte’s negligent failure to end its relationship with </w:t>
      </w:r>
      <w:proofErr w:type="spellStart"/>
      <w:r w:rsidRPr="004A09FF">
        <w:rPr>
          <w:rFonts w:cs="Times New Roman"/>
        </w:rPr>
        <w:t>Livent</w:t>
      </w:r>
      <w:proofErr w:type="spellEnd"/>
      <w:r w:rsidRPr="004A09FF">
        <w:rPr>
          <w:rFonts w:cs="Times New Roman"/>
        </w:rPr>
        <w:t xml:space="preserve"> and </w:t>
      </w:r>
      <w:proofErr w:type="spellStart"/>
      <w:r w:rsidRPr="004A09FF">
        <w:rPr>
          <w:rFonts w:cs="Times New Roman"/>
        </w:rPr>
        <w:t>Livent’s</w:t>
      </w:r>
      <w:proofErr w:type="spellEnd"/>
      <w:r w:rsidRPr="004A09FF">
        <w:rPr>
          <w:rFonts w:cs="Times New Roman"/>
        </w:rPr>
        <w:t xml:space="preserve"> insolvency.  He reduced that amount by 25 percent for contingencies and awarded $84,750,000 in damages. Livent seeks to recover this loss from Deloitte.</w:t>
      </w:r>
    </w:p>
    <w:p w:rsidR="00D7327A" w:rsidRPr="004A09FF" w:rsidRDefault="00D7327A" w:rsidP="00D7327A">
      <w:pPr>
        <w:pStyle w:val="Title1LevelTitre1Niveau-AltL"/>
        <w:numPr>
          <w:ilvl w:val="0"/>
          <w:numId w:val="25"/>
        </w:numPr>
        <w:rPr>
          <w:rFonts w:cs="Times New Roman"/>
        </w:rPr>
      </w:pPr>
      <w:r w:rsidRPr="004A09FF">
        <w:rPr>
          <w:rFonts w:cs="Times New Roman"/>
        </w:rPr>
        <w:t>Judicial History</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Livent sued Deloitte for $450,000,000 and other relief. It advanced concurrent claims in tort and contract; the parties agreed that the damages under either head would be the same. Livent claimed that Deloitte was responsible for every dollar Livent lost from the date of Deloitte’s breach of duty. Deloitte’s defence was that most of the losses claimed were beyond the scope of Deloitte’s legal responsibility. The courts below largely sided with Livent.</w:t>
      </w:r>
    </w:p>
    <w:p w:rsidR="00D7327A" w:rsidRPr="004A09FF" w:rsidRDefault="00D7327A" w:rsidP="00D7327A">
      <w:pPr>
        <w:pStyle w:val="Title2LevelTitre2Niveau"/>
        <w:numPr>
          <w:ilvl w:val="1"/>
          <w:numId w:val="25"/>
        </w:numPr>
        <w:jc w:val="both"/>
        <w:rPr>
          <w:rFonts w:cs="Times New Roman"/>
        </w:rPr>
      </w:pPr>
      <w:r w:rsidRPr="004A09FF">
        <w:rPr>
          <w:rFonts w:cs="Times New Roman"/>
        </w:rPr>
        <w:t>Ontario Superior Court of Justice (Commercial List) (</w:t>
      </w:r>
      <w:proofErr w:type="spellStart"/>
      <w:r w:rsidRPr="004A09FF">
        <w:rPr>
          <w:rFonts w:cs="Times New Roman"/>
        </w:rPr>
        <w:t>Gans</w:t>
      </w:r>
      <w:proofErr w:type="spellEnd"/>
      <w:r w:rsidRPr="004A09FF">
        <w:rPr>
          <w:rFonts w:cs="Times New Roman"/>
        </w:rPr>
        <w:t xml:space="preserve"> J.), 2014 ONSC 2176, 11 C.B.R. (6th) 12</w:t>
      </w:r>
    </w:p>
    <w:p w:rsidR="00D7327A" w:rsidRPr="004A09FF" w:rsidRDefault="00D7327A" w:rsidP="00D7327A">
      <w:pPr>
        <w:pStyle w:val="ParaNoNdepar-AltN"/>
        <w:tabs>
          <w:tab w:val="clear" w:pos="1152"/>
          <w:tab w:val="num" w:pos="1242"/>
        </w:tabs>
        <w:ind w:left="90"/>
        <w:rPr>
          <w:rFonts w:cs="Times New Roman"/>
          <w:bCs/>
        </w:rPr>
      </w:pPr>
      <w:r w:rsidRPr="004A09FF">
        <w:rPr>
          <w:rFonts w:cs="Times New Roman"/>
        </w:rPr>
        <w:t xml:space="preserve">The trial judge held that Deloitte owed a duty of care to provide accurate information to </w:t>
      </w:r>
      <w:proofErr w:type="spellStart"/>
      <w:r w:rsidRPr="004A09FF">
        <w:rPr>
          <w:rFonts w:cs="Times New Roman"/>
        </w:rPr>
        <w:t>Livent’s</w:t>
      </w:r>
      <w:proofErr w:type="spellEnd"/>
      <w:r w:rsidRPr="004A09FF">
        <w:rPr>
          <w:rFonts w:cs="Times New Roman"/>
        </w:rPr>
        <w:t xml:space="preserve"> shareholders. He held that the </w:t>
      </w:r>
      <w:r w:rsidRPr="004A09FF">
        <w:rPr>
          <w:rFonts w:cs="Times New Roman"/>
          <w:bCs/>
        </w:rPr>
        <w:t xml:space="preserve">standard of care under this duty required Deloitte to take steps that would have effectively cut off </w:t>
      </w:r>
      <w:proofErr w:type="spellStart"/>
      <w:r w:rsidRPr="004A09FF">
        <w:rPr>
          <w:rFonts w:cs="Times New Roman"/>
          <w:bCs/>
        </w:rPr>
        <w:t>Livent’s</w:t>
      </w:r>
      <w:proofErr w:type="spellEnd"/>
      <w:r w:rsidRPr="004A09FF">
        <w:rPr>
          <w:rFonts w:cs="Times New Roman"/>
          <w:bCs/>
        </w:rPr>
        <w:t xml:space="preserve"> access to the capital markets and forced it into formal insolvency as early as 14 months before it ultimately filed for insolvency protection. The trial judge concluded that Deloitte failed to meet this standard of care, either when it failed to discover the fraud and act on that discovery in August 1997, or when it signed off on </w:t>
      </w:r>
      <w:proofErr w:type="spellStart"/>
      <w:r w:rsidRPr="004A09FF">
        <w:rPr>
          <w:rFonts w:cs="Times New Roman"/>
          <w:bCs/>
        </w:rPr>
        <w:t>Livent’s</w:t>
      </w:r>
      <w:proofErr w:type="spellEnd"/>
      <w:r w:rsidRPr="004A09FF">
        <w:rPr>
          <w:rFonts w:cs="Times New Roman"/>
          <w:bCs/>
        </w:rPr>
        <w:t xml:space="preserve"> 1997 financial statements in April 1998.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trial judge held that the measure of damages was the difference between </w:t>
      </w:r>
      <w:proofErr w:type="spellStart"/>
      <w:r w:rsidRPr="004A09FF">
        <w:rPr>
          <w:rFonts w:cs="Times New Roman"/>
        </w:rPr>
        <w:t>Livent’s</w:t>
      </w:r>
      <w:proofErr w:type="spellEnd"/>
      <w:r w:rsidRPr="004A09FF">
        <w:rPr>
          <w:rFonts w:cs="Times New Roman"/>
        </w:rPr>
        <w:t xml:space="preserve"> value when the breach occurred, and </w:t>
      </w:r>
      <w:proofErr w:type="spellStart"/>
      <w:r w:rsidRPr="004A09FF">
        <w:rPr>
          <w:rFonts w:cs="Times New Roman"/>
        </w:rPr>
        <w:t>Livent’s</w:t>
      </w:r>
      <w:proofErr w:type="spellEnd"/>
      <w:r w:rsidRPr="004A09FF">
        <w:rPr>
          <w:rFonts w:cs="Times New Roman"/>
        </w:rPr>
        <w:t xml:space="preserve"> value at the time of insolvency ($113,000,000). He reduced this by 25 percent to account for “contingencies” or “trading losses” sustained as a result of </w:t>
      </w:r>
      <w:proofErr w:type="spellStart"/>
      <w:r w:rsidRPr="004A09FF">
        <w:rPr>
          <w:rFonts w:cs="Times New Roman"/>
        </w:rPr>
        <w:t>Livent’s</w:t>
      </w:r>
      <w:proofErr w:type="spellEnd"/>
      <w:r w:rsidRPr="004A09FF">
        <w:rPr>
          <w:rFonts w:cs="Times New Roman"/>
        </w:rPr>
        <w:t xml:space="preserve"> “unprofitable but legitimate theatre business” (paras. 324-26), which he held were too remote to make Deloitte liable.</w:t>
      </w:r>
    </w:p>
    <w:p w:rsidR="00D7327A" w:rsidRPr="004A09FF" w:rsidRDefault="00D7327A" w:rsidP="00D7327A">
      <w:pPr>
        <w:pStyle w:val="ParaNoNdepar-AltN"/>
        <w:tabs>
          <w:tab w:val="clear" w:pos="1152"/>
          <w:tab w:val="num" w:pos="1242"/>
        </w:tabs>
        <w:ind w:left="90"/>
        <w:rPr>
          <w:rFonts w:cs="Times New Roman"/>
          <w:bCs/>
        </w:rPr>
      </w:pPr>
      <w:r w:rsidRPr="004A09FF">
        <w:rPr>
          <w:rFonts w:cs="Times New Roman"/>
          <w:bCs/>
        </w:rPr>
        <w:t xml:space="preserve">The trial judge also rejected Deloitte’s submission that </w:t>
      </w:r>
      <w:proofErr w:type="spellStart"/>
      <w:r w:rsidRPr="004A09FF">
        <w:rPr>
          <w:rFonts w:cs="Times New Roman"/>
          <w:bCs/>
        </w:rPr>
        <w:t>Livent’s</w:t>
      </w:r>
      <w:proofErr w:type="spellEnd"/>
      <w:r w:rsidRPr="004A09FF">
        <w:rPr>
          <w:rFonts w:cs="Times New Roman"/>
          <w:bCs/>
        </w:rPr>
        <w:t xml:space="preserve"> recovery should be either barred by the defence of illegality, or reduced on account of contributory fault pursuant to s. 3 of the </w:t>
      </w:r>
      <w:r w:rsidRPr="004A09FF">
        <w:rPr>
          <w:rFonts w:cs="Times New Roman"/>
          <w:bCs/>
          <w:i/>
        </w:rPr>
        <w:t>Negligence Act</w:t>
      </w:r>
      <w:r w:rsidRPr="004A09FF">
        <w:rPr>
          <w:rFonts w:cs="Times New Roman"/>
          <w:bCs/>
        </w:rPr>
        <w:t xml:space="preserve">, R.S.O. 1990, c. N.1. </w:t>
      </w:r>
    </w:p>
    <w:p w:rsidR="00D7327A" w:rsidRPr="004A09FF" w:rsidRDefault="00D7327A" w:rsidP="00D7327A">
      <w:pPr>
        <w:pStyle w:val="ParaNoNdepar-AltN"/>
        <w:tabs>
          <w:tab w:val="clear" w:pos="1152"/>
          <w:tab w:val="num" w:pos="1242"/>
        </w:tabs>
        <w:ind w:left="90"/>
        <w:rPr>
          <w:rFonts w:cs="Times New Roman"/>
          <w:bCs/>
        </w:rPr>
      </w:pPr>
      <w:r w:rsidRPr="004A09FF">
        <w:rPr>
          <w:rFonts w:cs="Times New Roman"/>
          <w:bCs/>
        </w:rPr>
        <w:t>The trial judge consequently awarded damages to Livent for breach of its duty of care, and alternatively for breach of contract, in the amount of $84,750,000.</w:t>
      </w:r>
    </w:p>
    <w:p w:rsidR="00D7327A" w:rsidRPr="004A09FF" w:rsidRDefault="00D7327A" w:rsidP="00D7327A">
      <w:pPr>
        <w:pStyle w:val="Title2LevelTitre2Niveau"/>
        <w:numPr>
          <w:ilvl w:val="1"/>
          <w:numId w:val="25"/>
        </w:numPr>
        <w:jc w:val="both"/>
        <w:rPr>
          <w:rFonts w:cs="Times New Roman"/>
        </w:rPr>
      </w:pPr>
      <w:r w:rsidRPr="004A09FF">
        <w:rPr>
          <w:rFonts w:cs="Times New Roman"/>
        </w:rPr>
        <w:t xml:space="preserve">Court of Appeal for Ontario (Strathy C.J. and Blair and </w:t>
      </w:r>
      <w:proofErr w:type="spellStart"/>
      <w:r w:rsidRPr="004A09FF">
        <w:rPr>
          <w:rFonts w:cs="Times New Roman"/>
        </w:rPr>
        <w:t>Lauwers</w:t>
      </w:r>
      <w:proofErr w:type="spellEnd"/>
      <w:r w:rsidRPr="004A09FF">
        <w:rPr>
          <w:rFonts w:cs="Times New Roman"/>
        </w:rPr>
        <w:t xml:space="preserve"> JJ.A.), 2016 ONCA 11, 128 O.R. (3d) 225</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 The Court of Appeal upheld the trial judge’s award and dismissed both the appeal and cross-appeal.</w:t>
      </w:r>
    </w:p>
    <w:p w:rsidR="00D7327A" w:rsidRPr="004A09FF" w:rsidRDefault="00D7327A" w:rsidP="00D7327A">
      <w:pPr>
        <w:pStyle w:val="Title1LevelTitre1Niveau-AltL"/>
        <w:numPr>
          <w:ilvl w:val="0"/>
          <w:numId w:val="25"/>
        </w:numPr>
        <w:rPr>
          <w:rFonts w:cs="Times New Roman"/>
        </w:rPr>
      </w:pPr>
      <w:r w:rsidRPr="004A09FF">
        <w:rPr>
          <w:rFonts w:cs="Times New Roman"/>
        </w:rPr>
        <w:t>Analysis</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only issue on this appeal is whether Deloitte is liable for the lion’s share of the loss Livent sustained after it failed to detect the fraud of the company’s principals and report it in its audit statements (the total loss less a 25% discount for contingencies and </w:t>
      </w:r>
      <w:proofErr w:type="spellStart"/>
      <w:r w:rsidRPr="004A09FF">
        <w:rPr>
          <w:rFonts w:cs="Times New Roman"/>
        </w:rPr>
        <w:t>Livent’s</w:t>
      </w:r>
      <w:proofErr w:type="spellEnd"/>
      <w:r w:rsidRPr="004A09FF">
        <w:rPr>
          <w:rFonts w:cs="Times New Roman"/>
        </w:rPr>
        <w:t xml:space="preserve"> improvident investments). Livent claims that if Deloitte had reported the fraud when it should have, it would have been put out of business, which would have saved it from the loss that it suffered thereafter. Instead, it was able to continue to raise more capital and spend it in ways that decreased </w:t>
      </w:r>
      <w:proofErr w:type="spellStart"/>
      <w:r w:rsidRPr="004A09FF">
        <w:rPr>
          <w:rFonts w:cs="Times New Roman"/>
        </w:rPr>
        <w:t>Livent’s</w:t>
      </w:r>
      <w:proofErr w:type="spellEnd"/>
      <w:r w:rsidRPr="004A09FF">
        <w:rPr>
          <w:rFonts w:cs="Times New Roman"/>
        </w:rPr>
        <w:t xml:space="preserve"> net worth. Deloitte argues that it is not liable for the full extent of </w:t>
      </w:r>
      <w:proofErr w:type="spellStart"/>
      <w:r w:rsidRPr="004A09FF">
        <w:rPr>
          <w:rFonts w:cs="Times New Roman"/>
        </w:rPr>
        <w:t>Livent’s</w:t>
      </w:r>
      <w:proofErr w:type="spellEnd"/>
      <w:r w:rsidRPr="004A09FF">
        <w:rPr>
          <w:rFonts w:cs="Times New Roman"/>
        </w:rPr>
        <w:t xml:space="preserve"> pre-liquidation loss because this loss falls outside the scope of Deloitte’s duty of care, or is too “remote” from the legal cause.</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The law of negligent misstatement has limited recovery of pure economic (financial) loss for two reasons. The first reason is that it may be unfair to hold a person who makes a negligent misstatement liable for all loss incurred thereafter, where other decisions and acts contributed to that loss.  This is referred to as the fair allocation of loss principle.  The second reason is to avoid the spectre of indeterminate liability, which the law of negligence has never countenanced.</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These two reasons — one of principle and the other of policy — are complementary. They work together to ensure fair outcomes and promote predictability in the law.</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As Lord Bridge observed in </w:t>
      </w:r>
      <w:proofErr w:type="spellStart"/>
      <w:r w:rsidRPr="004A09FF">
        <w:rPr>
          <w:rFonts w:cs="Times New Roman"/>
          <w:i/>
          <w:iCs/>
        </w:rPr>
        <w:t>Caparo</w:t>
      </w:r>
      <w:proofErr w:type="spellEnd"/>
      <w:r w:rsidRPr="004A09FF">
        <w:rPr>
          <w:rFonts w:cs="Times New Roman"/>
          <w:i/>
          <w:iCs/>
        </w:rPr>
        <w:t xml:space="preserve"> Industries plc.</w:t>
      </w:r>
      <w:r w:rsidRPr="004A09FF">
        <w:rPr>
          <w:rFonts w:cs="Times New Roman"/>
        </w:rPr>
        <w:t xml:space="preserve"> </w:t>
      </w:r>
      <w:r w:rsidRPr="004A09FF">
        <w:rPr>
          <w:rFonts w:cs="Times New Roman"/>
          <w:i/>
          <w:iCs/>
        </w:rPr>
        <w:t xml:space="preserve">v. </w:t>
      </w:r>
      <w:proofErr w:type="spellStart"/>
      <w:r w:rsidRPr="004A09FF">
        <w:rPr>
          <w:rFonts w:cs="Times New Roman"/>
          <w:i/>
          <w:iCs/>
        </w:rPr>
        <w:t>Dickman</w:t>
      </w:r>
      <w:proofErr w:type="spellEnd"/>
      <w:r w:rsidRPr="004A09FF">
        <w:rPr>
          <w:rFonts w:cs="Times New Roman"/>
        </w:rPr>
        <w:t>, [1990] 1 All E.R. 568 (H.L.), at p. 576:</w:t>
      </w:r>
    </w:p>
    <w:p w:rsidR="00D7327A" w:rsidRPr="004A09FF" w:rsidRDefault="00D7327A" w:rsidP="00D7327A">
      <w:pPr>
        <w:pStyle w:val="Citation-AltC"/>
      </w:pPr>
      <w:r w:rsidRPr="004A09FF">
        <w:t>To hold the maker of the statement to be under a duty of care in respect of the accuracy of the statement to all and sundry for any purpose for which they may choose to rely on it is not only to subject him, in the classic words of Cardozo C.J., to “liability in an indeterminate amount for an indeterminate time to an indeterminate class” ([</w:t>
      </w:r>
      <w:proofErr w:type="spellStart"/>
      <w:r w:rsidRPr="004A09FF">
        <w:rPr>
          <w:i/>
          <w:iCs/>
        </w:rPr>
        <w:t>Ultramares</w:t>
      </w:r>
      <w:proofErr w:type="spellEnd"/>
      <w:r w:rsidRPr="004A09FF">
        <w:rPr>
          <w:i/>
          <w:iCs/>
        </w:rPr>
        <w:t xml:space="preserve"> Corp. v. </w:t>
      </w:r>
      <w:proofErr w:type="spellStart"/>
      <w:r w:rsidRPr="004A09FF">
        <w:rPr>
          <w:i/>
          <w:iCs/>
        </w:rPr>
        <w:t>Touche</w:t>
      </w:r>
      <w:proofErr w:type="spellEnd"/>
      <w:r w:rsidRPr="004A09FF">
        <w:t>, 174 N.E. 441 (N.Y. 1931), at p. 444]), it is also to confer on the world at large a quite unwarranted entitlement to appropriate for their own purposes the benefit of the expert knowledge or professional expertise attributed to the maker of the statement.</w:t>
      </w:r>
    </w:p>
    <w:p w:rsidR="00D7327A" w:rsidRPr="004A09FF" w:rsidRDefault="00D7327A" w:rsidP="00D7327A">
      <w:pPr>
        <w:pStyle w:val="ContinueParaSuitedupar-AltP"/>
        <w:rPr>
          <w:rFonts w:cs="Times New Roman"/>
          <w:szCs w:val="24"/>
        </w:rPr>
      </w:pPr>
      <w:r w:rsidRPr="004A09FF">
        <w:rPr>
          <w:rFonts w:cs="Times New Roman"/>
        </w:rPr>
        <w:t xml:space="preserve">See also </w:t>
      </w:r>
      <w:r w:rsidRPr="004A09FF">
        <w:rPr>
          <w:rFonts w:cs="Times New Roman"/>
          <w:i/>
        </w:rPr>
        <w:t>D’Amato</w:t>
      </w:r>
      <w:r w:rsidRPr="004A09FF">
        <w:rPr>
          <w:rFonts w:cs="Times New Roman"/>
          <w:i/>
          <w:lang w:val="en-US"/>
        </w:rPr>
        <w:t xml:space="preserve"> v. Badger</w:t>
      </w:r>
      <w:r w:rsidRPr="004A09FF">
        <w:rPr>
          <w:rFonts w:cs="Times New Roman"/>
          <w:lang w:val="en-US"/>
        </w:rPr>
        <w:t>, [1996] 2 S.C.R. 1071</w:t>
      </w:r>
      <w:r w:rsidRPr="004A09FF">
        <w:rPr>
          <w:rFonts w:cs="Times New Roman"/>
        </w:rPr>
        <w:t xml:space="preserve">, at para. 18; </w:t>
      </w:r>
      <w:r w:rsidRPr="004A09FF">
        <w:rPr>
          <w:rFonts w:cs="Times New Roman"/>
          <w:i/>
        </w:rPr>
        <w:t>Hercules Managements Ltd. v. Ernst &amp; Young</w:t>
      </w:r>
      <w:r w:rsidRPr="004A09FF">
        <w:rPr>
          <w:rFonts w:cs="Times New Roman"/>
        </w:rPr>
        <w:t xml:space="preserve">, [1997] 2 S.C.R. 165, at para. 31; </w:t>
      </w:r>
      <w:r w:rsidRPr="004A09FF">
        <w:rPr>
          <w:rFonts w:cs="Times New Roman"/>
          <w:i/>
        </w:rPr>
        <w:t xml:space="preserve">Canadian National Railway Co. v. </w:t>
      </w:r>
      <w:proofErr w:type="spellStart"/>
      <w:r w:rsidRPr="004A09FF">
        <w:rPr>
          <w:rFonts w:cs="Times New Roman"/>
          <w:i/>
        </w:rPr>
        <w:t>Norsk</w:t>
      </w:r>
      <w:proofErr w:type="spellEnd"/>
      <w:r w:rsidRPr="004A09FF">
        <w:rPr>
          <w:rFonts w:cs="Times New Roman"/>
          <w:i/>
        </w:rPr>
        <w:t xml:space="preserve"> Pacific Steamship Co.</w:t>
      </w:r>
      <w:r w:rsidRPr="004A09FF">
        <w:rPr>
          <w:rFonts w:cs="Times New Roman"/>
        </w:rPr>
        <w:t xml:space="preserve">, [1992] 1 S.C.R. 1021, at p. 1137, per McLachlin J.; </w:t>
      </w:r>
      <w:r w:rsidRPr="004A09FF">
        <w:rPr>
          <w:rFonts w:cs="Times New Roman"/>
          <w:bCs/>
          <w:i/>
        </w:rPr>
        <w:t>R. v. Imperial Tobacco Canada Ltd.</w:t>
      </w:r>
      <w:r w:rsidRPr="004A09FF">
        <w:rPr>
          <w:rFonts w:cs="Times New Roman"/>
          <w:bCs/>
        </w:rPr>
        <w:t xml:space="preserve">, 2011 SCC 42, [2011] 3 S.C.R. 45, at para. 99, quoting </w:t>
      </w:r>
      <w:r w:rsidRPr="004A09FF">
        <w:rPr>
          <w:rFonts w:cs="Times New Roman"/>
          <w:bCs/>
          <w:i/>
        </w:rPr>
        <w:t xml:space="preserve">Cooper </w:t>
      </w:r>
      <w:r w:rsidRPr="004A09FF">
        <w:rPr>
          <w:rFonts w:cs="Times New Roman"/>
          <w:i/>
          <w:szCs w:val="24"/>
        </w:rPr>
        <w:t>v. Hobart</w:t>
      </w:r>
      <w:r w:rsidRPr="004A09FF">
        <w:rPr>
          <w:rFonts w:cs="Times New Roman"/>
          <w:szCs w:val="24"/>
        </w:rPr>
        <w:t>, 2001 SCC 79, [2001] 3 S.C.R. 537, at para. 54.</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For these reasons, common law courts have rejected a simple “but for” test for recovery of economic loss for negligent misstatement: </w:t>
      </w:r>
      <w:r w:rsidRPr="004A09FF">
        <w:rPr>
          <w:rFonts w:cs="Times New Roman"/>
          <w:i/>
        </w:rPr>
        <w:t xml:space="preserve">BG </w:t>
      </w:r>
      <w:proofErr w:type="spellStart"/>
      <w:r w:rsidRPr="004A09FF">
        <w:rPr>
          <w:rFonts w:cs="Times New Roman"/>
          <w:i/>
        </w:rPr>
        <w:t>Checo</w:t>
      </w:r>
      <w:proofErr w:type="spellEnd"/>
      <w:r w:rsidRPr="004A09FF">
        <w:rPr>
          <w:rFonts w:cs="Times New Roman"/>
          <w:i/>
        </w:rPr>
        <w:t xml:space="preserve"> International Ltd. v. British Columbia Hydro and Power Authority</w:t>
      </w:r>
      <w:r w:rsidRPr="004A09FF">
        <w:rPr>
          <w:rFonts w:cs="Times New Roman"/>
        </w:rPr>
        <w:t xml:space="preserve">, [1993] 1 S.C.R. 12, at p. 44; </w:t>
      </w:r>
      <w:r w:rsidRPr="004A09FF">
        <w:rPr>
          <w:rFonts w:cs="Times New Roman"/>
          <w:i/>
        </w:rPr>
        <w:t>South Australia Asset Management Corp. v. York Montague Ltd.</w:t>
      </w:r>
      <w:r w:rsidRPr="004A09FF">
        <w:rPr>
          <w:rFonts w:cs="Times New Roman"/>
        </w:rPr>
        <w:t>, [1996] 3 All E.R. 365 (H.L.) (“</w:t>
      </w:r>
      <w:r w:rsidRPr="004A09FF">
        <w:rPr>
          <w:rFonts w:cs="Times New Roman"/>
          <w:i/>
        </w:rPr>
        <w:t>SAAMCO</w:t>
      </w:r>
      <w:r w:rsidRPr="004A09FF">
        <w:rPr>
          <w:rFonts w:cs="Times New Roman"/>
        </w:rPr>
        <w:t xml:space="preserve">”), at pp. 369-72, per Lord Hoffmann; </w:t>
      </w:r>
      <w:r w:rsidRPr="004A09FF">
        <w:rPr>
          <w:rFonts w:cs="Times New Roman"/>
          <w:i/>
        </w:rPr>
        <w:t>Hughes-Holland v. BPE Solicitors</w:t>
      </w:r>
      <w:r w:rsidRPr="004A09FF">
        <w:rPr>
          <w:rFonts w:cs="Times New Roman"/>
        </w:rPr>
        <w:t xml:space="preserve">, [2017] UKSC 21, [2017] 2 W.L.R. 1029, at para. 38, per Lord </w:t>
      </w:r>
      <w:proofErr w:type="spellStart"/>
      <w:r w:rsidRPr="004A09FF">
        <w:rPr>
          <w:rFonts w:cs="Times New Roman"/>
        </w:rPr>
        <w:t>Sumption</w:t>
      </w:r>
      <w:proofErr w:type="spellEnd"/>
      <w:r w:rsidRPr="004A09FF">
        <w:rPr>
          <w:rFonts w:cs="Times New Roman"/>
        </w:rPr>
        <w:t xml:space="preserve">; </w:t>
      </w:r>
      <w:r w:rsidRPr="004A09FF">
        <w:rPr>
          <w:rFonts w:cs="Times New Roman"/>
          <w:i/>
        </w:rPr>
        <w:t>Hogarth v. Rocky Mountain Slate Inc.</w:t>
      </w:r>
      <w:r w:rsidRPr="004A09FF">
        <w:rPr>
          <w:rFonts w:cs="Times New Roman"/>
        </w:rPr>
        <w:t xml:space="preserve">, 2013 ABCA 57, 542 A.R. 289, at paras. 37-38, per </w:t>
      </w:r>
      <w:proofErr w:type="spellStart"/>
      <w:r w:rsidRPr="004A09FF">
        <w:rPr>
          <w:rFonts w:cs="Times New Roman"/>
        </w:rPr>
        <w:t>Slatter</w:t>
      </w:r>
      <w:proofErr w:type="spellEnd"/>
      <w:r w:rsidRPr="004A09FF">
        <w:rPr>
          <w:rFonts w:cs="Times New Roman"/>
        </w:rPr>
        <w:t xml:space="preserve"> J.A.</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A “but for” test, which asks only whether the loss would not have been incurred if the wrongful act had not been committed, casts the net of liability too widely.  It would make auditors or advisors retained for limited purposes the insurers of the entire venture and all that flows from it. It would not matter that the loss would not have occurred but for other decisions (like </w:t>
      </w:r>
      <w:proofErr w:type="spellStart"/>
      <w:r w:rsidRPr="004A09FF">
        <w:rPr>
          <w:rFonts w:cs="Times New Roman"/>
        </w:rPr>
        <w:t>Livent’s</w:t>
      </w:r>
      <w:proofErr w:type="spellEnd"/>
      <w:r w:rsidRPr="004A09FF">
        <w:rPr>
          <w:rFonts w:cs="Times New Roman"/>
        </w:rPr>
        <w:t xml:space="preserve"> ill-judged investment decisions in this case). Nor would it matter that the loss was the result of a complex web of decision making, months and years after the negligent misstatement was produced. All that would be required to recover all subsequent loss from the auditors would be to show that their misstatement played a role in launching the saga of subsequent loss. This is not fair; a person giving advice for one purpose should not be held liable for how other people use that information for other purposes, or be made to carry the entire loss. And, it would lead to indeterminate liability. An auditor giving advice would never know what its exposure might be, or whether its fee is adequate to cover the risk to which it exposes itself.</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Rejection of a “but for” test for assessing recovery of economic loss is cemented in the common law. But it is worth noting that Quebec civil law also recognizes the need to limit recovery of economic loss to losses that bear a sufficient connection to the wrongful feature of the defendant’s conduct: see </w:t>
      </w:r>
      <w:r w:rsidRPr="004A09FF">
        <w:rPr>
          <w:rFonts w:cs="Times New Roman"/>
          <w:i/>
        </w:rPr>
        <w:t xml:space="preserve">Wightman v. </w:t>
      </w:r>
      <w:proofErr w:type="spellStart"/>
      <w:r w:rsidRPr="004A09FF">
        <w:rPr>
          <w:rFonts w:cs="Times New Roman"/>
          <w:i/>
        </w:rPr>
        <w:t>Widdrington</w:t>
      </w:r>
      <w:proofErr w:type="spellEnd"/>
      <w:r w:rsidRPr="004A09FF">
        <w:rPr>
          <w:rFonts w:cs="Times New Roman"/>
          <w:i/>
        </w:rPr>
        <w:t xml:space="preserve"> (Succession de)</w:t>
      </w:r>
      <w:r w:rsidRPr="004A09FF">
        <w:rPr>
          <w:rFonts w:cs="Times New Roman"/>
        </w:rPr>
        <w:t>, 2013 QCCA 1187, at paras. 229-31 and 243-46 (</w:t>
      </w:r>
      <w:proofErr w:type="spellStart"/>
      <w:r w:rsidRPr="004A09FF">
        <w:rPr>
          <w:rFonts w:cs="Times New Roman"/>
        </w:rPr>
        <w:t>CanLII</w:t>
      </w:r>
      <w:proofErr w:type="spellEnd"/>
      <w:r w:rsidRPr="004A09FF">
        <w:rPr>
          <w:rFonts w:cs="Times New Roman"/>
        </w:rPr>
        <w:t xml:space="preserve">); see also D. Jutras, “Civil Law and Pure Economic Loss: What Are We Missing?” (1987), 12 </w:t>
      </w:r>
      <w:r w:rsidRPr="004A09FF">
        <w:rPr>
          <w:rFonts w:cs="Times New Roman"/>
          <w:i/>
        </w:rPr>
        <w:t>Can. Bus. L.J.</w:t>
      </w:r>
      <w:r w:rsidRPr="004A09FF">
        <w:rPr>
          <w:rFonts w:cs="Times New Roman"/>
        </w:rPr>
        <w:t xml:space="preserve"> 295, at pp. 308-9.</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Courts have given two doctrinal explanations for limiting recovery of economic loss following from a negligent misstatement. The first is to say that the </w:t>
      </w:r>
      <w:r w:rsidRPr="004A09FF">
        <w:rPr>
          <w:rFonts w:cs="Times New Roman"/>
          <w:i/>
        </w:rPr>
        <w:t>scope of the duty of care</w:t>
      </w:r>
      <w:r w:rsidRPr="004A09FF">
        <w:rPr>
          <w:rFonts w:cs="Times New Roman"/>
        </w:rPr>
        <w:t xml:space="preserve"> of the advice-giver does not cover the loss claimed. The second is to say that the loss is</w:t>
      </w:r>
      <w:r w:rsidRPr="004A09FF">
        <w:rPr>
          <w:rFonts w:cs="Times New Roman"/>
          <w:i/>
        </w:rPr>
        <w:t xml:space="preserve"> too remote</w:t>
      </w:r>
      <w:r w:rsidRPr="004A09FF">
        <w:rPr>
          <w:rFonts w:cs="Times New Roman"/>
        </w:rPr>
        <w:t xml:space="preserve"> from the negligent act and thus was not legally caused by that act.</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While lawyers may argue over which approach is preferable, the fact once again is that they are complementary — two sides of the same coin. In fact, the inquiry into the duty of care and the inquiry into remoteness invoke similar considerations.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“scope of the duty of care” inquiry looks to the relationship between the defendant’s advice and the plaintiff’s loss. It asks if that relationship was “proximate”. In cases of economic loss, it </w:t>
      </w:r>
      <w:proofErr w:type="spellStart"/>
      <w:r w:rsidRPr="004A09FF">
        <w:rPr>
          <w:rFonts w:cs="Times New Roman"/>
        </w:rPr>
        <w:t>inquires</w:t>
      </w:r>
      <w:proofErr w:type="spellEnd"/>
      <w:r w:rsidRPr="004A09FF">
        <w:rPr>
          <w:rFonts w:cs="Times New Roman"/>
        </w:rPr>
        <w:t xml:space="preserve"> into the purpose for which the advice was given and asks whether a reasonable person would have expected, or “foreseen”, that negligent advice would lead to the loss in question by virtue of the plaintiff’s reliance on the advice: </w:t>
      </w:r>
      <w:r w:rsidRPr="004A09FF">
        <w:rPr>
          <w:rFonts w:cs="Times New Roman"/>
          <w:i/>
        </w:rPr>
        <w:t>Hercules</w:t>
      </w:r>
      <w:r w:rsidRPr="004A09FF">
        <w:rPr>
          <w:rFonts w:cs="Times New Roman"/>
        </w:rPr>
        <w:t xml:space="preserve">, at paras. 24 and 41. Put simply: Did the loss flow from the advice, or from subsequent decisions and circumstances? Thus in </w:t>
      </w:r>
      <w:proofErr w:type="spellStart"/>
      <w:r w:rsidRPr="004A09FF">
        <w:rPr>
          <w:rFonts w:cs="Times New Roman"/>
          <w:i/>
        </w:rPr>
        <w:t>Caparo</w:t>
      </w:r>
      <w:proofErr w:type="spellEnd"/>
      <w:r w:rsidRPr="004A09FF">
        <w:rPr>
          <w:rFonts w:cs="Times New Roman"/>
        </w:rPr>
        <w:t>, at p. 581,</w:t>
      </w:r>
      <w:r w:rsidRPr="004A09FF">
        <w:rPr>
          <w:rFonts w:cs="Times New Roman"/>
          <w:i/>
        </w:rPr>
        <w:t xml:space="preserve"> </w:t>
      </w:r>
      <w:r w:rsidRPr="004A09FF">
        <w:rPr>
          <w:rFonts w:cs="Times New Roman"/>
        </w:rPr>
        <w:t xml:space="preserve">Lord Bridge confirmed that the scope of the tort determines the extent of the remedy to which the injured party is entitled.  See also </w:t>
      </w:r>
      <w:r w:rsidRPr="004A09FF">
        <w:rPr>
          <w:rFonts w:cs="Times New Roman"/>
          <w:i/>
          <w:szCs w:val="24"/>
        </w:rPr>
        <w:t xml:space="preserve">Platform Home Loans </w:t>
      </w:r>
      <w:r w:rsidRPr="004A09FF">
        <w:rPr>
          <w:rFonts w:cs="Times New Roman"/>
          <w:i/>
        </w:rPr>
        <w:t xml:space="preserve">Ltd. v. </w:t>
      </w:r>
      <w:proofErr w:type="spellStart"/>
      <w:r w:rsidRPr="004A09FF">
        <w:rPr>
          <w:rFonts w:cs="Times New Roman"/>
          <w:i/>
        </w:rPr>
        <w:t>Oyston</w:t>
      </w:r>
      <w:proofErr w:type="spellEnd"/>
      <w:r w:rsidRPr="004A09FF">
        <w:rPr>
          <w:rFonts w:cs="Times New Roman"/>
          <w:i/>
        </w:rPr>
        <w:t xml:space="preserve"> Shipways Ltd.</w:t>
      </w:r>
      <w:r w:rsidRPr="004A09FF">
        <w:rPr>
          <w:rFonts w:cs="Times New Roman"/>
        </w:rPr>
        <w:t xml:space="preserve">, [1999] 1 All E.R. 833 (H.L.), at p. 847, per Lord </w:t>
      </w:r>
      <w:proofErr w:type="spellStart"/>
      <w:r w:rsidRPr="004A09FF">
        <w:rPr>
          <w:rFonts w:cs="Times New Roman"/>
        </w:rPr>
        <w:t>Hobhouse</w:t>
      </w:r>
      <w:proofErr w:type="spellEnd"/>
      <w:r w:rsidRPr="004A09FF">
        <w:rPr>
          <w:rFonts w:cs="Times New Roman"/>
          <w:szCs w:val="24"/>
        </w:rPr>
        <w:t>.</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“remoteness” approach looks at similar factors to the “scope of the duty of care” approach — all pointing to the wrongdoing and its proximity to the loss claimed. The factors to be considered are not closed. The advice-giver’s knowledge of the claimant’s circumstances, the reasonable expectations arising from the relationship, and the presence of intervening factors that led to the loss may figure in the analysis: </w:t>
      </w:r>
      <w:r w:rsidRPr="004A09FF">
        <w:rPr>
          <w:rFonts w:cs="Times New Roman"/>
          <w:i/>
        </w:rPr>
        <w:t xml:space="preserve">Mustapha v. </w:t>
      </w:r>
      <w:proofErr w:type="spellStart"/>
      <w:r w:rsidRPr="004A09FF">
        <w:rPr>
          <w:rFonts w:cs="Times New Roman"/>
          <w:i/>
        </w:rPr>
        <w:t>Culligan</w:t>
      </w:r>
      <w:proofErr w:type="spellEnd"/>
      <w:r w:rsidRPr="004A09FF">
        <w:rPr>
          <w:rFonts w:cs="Times New Roman"/>
          <w:i/>
        </w:rPr>
        <w:t xml:space="preserve"> of Canada Ltd.</w:t>
      </w:r>
      <w:r w:rsidRPr="004A09FF">
        <w:rPr>
          <w:rFonts w:cs="Times New Roman"/>
        </w:rPr>
        <w:t xml:space="preserve">, 2008 SCC 27, [2008] 2 S.C.R. 114, at paras. 12 and 14-16; </w:t>
      </w:r>
      <w:r w:rsidRPr="004A09FF">
        <w:rPr>
          <w:rFonts w:cs="Times New Roman"/>
          <w:i/>
        </w:rPr>
        <w:t xml:space="preserve">Citadel General Assurance Co. v. </w:t>
      </w:r>
      <w:proofErr w:type="spellStart"/>
      <w:r w:rsidRPr="004A09FF">
        <w:rPr>
          <w:rFonts w:cs="Times New Roman"/>
          <w:i/>
        </w:rPr>
        <w:t>Vytlingam</w:t>
      </w:r>
      <w:proofErr w:type="spellEnd"/>
      <w:r w:rsidRPr="004A09FF">
        <w:rPr>
          <w:rFonts w:cs="Times New Roman"/>
        </w:rPr>
        <w:t xml:space="preserve">, 2007 SCC 46, [2007] 3 S.C.R. 373, at para. 31; </w:t>
      </w:r>
      <w:r w:rsidRPr="004A09FF">
        <w:rPr>
          <w:rFonts w:cs="Times New Roman"/>
          <w:i/>
        </w:rPr>
        <w:t xml:space="preserve">Westmount (City) v. </w:t>
      </w:r>
      <w:proofErr w:type="spellStart"/>
      <w:r w:rsidRPr="004A09FF">
        <w:rPr>
          <w:rFonts w:cs="Times New Roman"/>
          <w:i/>
        </w:rPr>
        <w:t>Rossy</w:t>
      </w:r>
      <w:proofErr w:type="spellEnd"/>
      <w:r w:rsidRPr="004A09FF">
        <w:rPr>
          <w:rFonts w:cs="Times New Roman"/>
        </w:rPr>
        <w:t>, 2012 SCC 30, [2012] 2 S.C.R. 136, at para. 48.</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I agree with Lord </w:t>
      </w:r>
      <w:proofErr w:type="spellStart"/>
      <w:r w:rsidRPr="004A09FF">
        <w:rPr>
          <w:rFonts w:cs="Times New Roman"/>
        </w:rPr>
        <w:t>Sumption’s</w:t>
      </w:r>
      <w:proofErr w:type="spellEnd"/>
      <w:r w:rsidRPr="004A09FF">
        <w:rPr>
          <w:rFonts w:cs="Times New Roman"/>
        </w:rPr>
        <w:t xml:space="preserve"> observation in </w:t>
      </w:r>
      <w:r w:rsidRPr="004A09FF">
        <w:rPr>
          <w:rFonts w:cs="Times New Roman"/>
          <w:i/>
        </w:rPr>
        <w:t>BPE Solicitors</w:t>
      </w:r>
      <w:r w:rsidRPr="004A09FF">
        <w:rPr>
          <w:rFonts w:cs="Times New Roman"/>
        </w:rPr>
        <w:t>,</w:t>
      </w:r>
      <w:r w:rsidRPr="004A09FF">
        <w:rPr>
          <w:rFonts w:cs="Times New Roman"/>
          <w:i/>
        </w:rPr>
        <w:t xml:space="preserve"> </w:t>
      </w:r>
      <w:r w:rsidRPr="004A09FF">
        <w:rPr>
          <w:rFonts w:cs="Times New Roman"/>
        </w:rPr>
        <w:t xml:space="preserve">a recent decision from the United Kingdom Supreme Court, that however one </w:t>
      </w:r>
      <w:proofErr w:type="gramStart"/>
      <w:r w:rsidRPr="004A09FF">
        <w:rPr>
          <w:rFonts w:cs="Times New Roman"/>
        </w:rPr>
        <w:t>looks at the matter — from the perspective of the scope of the duty of care or from the perspective of remoteness — one</w:t>
      </w:r>
      <w:proofErr w:type="gramEnd"/>
      <w:r w:rsidRPr="004A09FF">
        <w:rPr>
          <w:rFonts w:cs="Times New Roman"/>
        </w:rPr>
        <w:t xml:space="preserve"> arrives at the same point. In his Lordship’s words, “[w]</w:t>
      </w:r>
      <w:proofErr w:type="spellStart"/>
      <w:r w:rsidRPr="004A09FF">
        <w:rPr>
          <w:rFonts w:cs="Times New Roman"/>
        </w:rPr>
        <w:t>hether</w:t>
      </w:r>
      <w:proofErr w:type="spellEnd"/>
      <w:r w:rsidRPr="004A09FF">
        <w:rPr>
          <w:rFonts w:cs="Times New Roman"/>
        </w:rPr>
        <w:t xml:space="preserve"> one describes the principle . . . as turning on the scope of the duty or the extent of the liability for breach of it does not alter the way in which the principle applies”: para. 38; see also L. N. </w:t>
      </w:r>
      <w:proofErr w:type="spellStart"/>
      <w:r w:rsidRPr="004A09FF">
        <w:rPr>
          <w:rFonts w:cs="Times New Roman"/>
        </w:rPr>
        <w:t>Klar</w:t>
      </w:r>
      <w:proofErr w:type="spellEnd"/>
      <w:r w:rsidRPr="004A09FF">
        <w:rPr>
          <w:rFonts w:cs="Times New Roman"/>
        </w:rPr>
        <w:t xml:space="preserve"> and C.S.G. Jefferies, </w:t>
      </w:r>
      <w:r w:rsidRPr="004A09FF">
        <w:rPr>
          <w:rFonts w:cs="Times New Roman"/>
          <w:i/>
        </w:rPr>
        <w:t>Tort Law</w:t>
      </w:r>
      <w:r w:rsidRPr="004A09FF">
        <w:rPr>
          <w:rFonts w:cs="Times New Roman"/>
        </w:rPr>
        <w:t xml:space="preserve"> (6th ed. 2017), at pp. 565-66.</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For the purposes of these reasons, I will first consider whether the losses at issue fall within the scope of Deloitte’s duty of care. This inquiry takes us to the two-part analysis for determining the existence of a duty of care and its scope prescribed in </w:t>
      </w:r>
      <w:proofErr w:type="spellStart"/>
      <w:r w:rsidRPr="004A09FF">
        <w:rPr>
          <w:rFonts w:cs="Times New Roman"/>
          <w:i/>
        </w:rPr>
        <w:t>Anns</w:t>
      </w:r>
      <w:proofErr w:type="spellEnd"/>
      <w:r w:rsidRPr="004A09FF">
        <w:rPr>
          <w:rFonts w:cs="Times New Roman"/>
          <w:i/>
        </w:rPr>
        <w:t xml:space="preserve"> v. London Borough of Merton</w:t>
      </w:r>
      <w:r w:rsidRPr="004A09FF">
        <w:rPr>
          <w:rFonts w:cs="Times New Roman"/>
        </w:rPr>
        <w:t xml:space="preserve">, [1977] 2 All E.R. 492 (H.L.) — does the relationship between the parties give rise to a </w:t>
      </w:r>
      <w:r w:rsidRPr="004A09FF">
        <w:rPr>
          <w:rFonts w:cs="Times New Roman"/>
          <w:i/>
        </w:rPr>
        <w:t xml:space="preserve">prima facie </w:t>
      </w:r>
      <w:r w:rsidRPr="004A09FF">
        <w:rPr>
          <w:rFonts w:cs="Times New Roman"/>
        </w:rPr>
        <w:t xml:space="preserve">duty of care to avoid the type of loss claimed, and, if so, is that duty </w:t>
      </w:r>
      <w:proofErr w:type="spellStart"/>
      <w:r w:rsidRPr="004A09FF">
        <w:rPr>
          <w:rFonts w:cs="Times New Roman"/>
        </w:rPr>
        <w:t>negatived</w:t>
      </w:r>
      <w:proofErr w:type="spellEnd"/>
      <w:r w:rsidRPr="004A09FF">
        <w:rPr>
          <w:rFonts w:cs="Times New Roman"/>
        </w:rPr>
        <w:t xml:space="preserve"> by policy considerations? </w:t>
      </w:r>
    </w:p>
    <w:p w:rsidR="00D7327A" w:rsidRPr="004A09FF" w:rsidRDefault="00D7327A" w:rsidP="00D7327A">
      <w:pPr>
        <w:pStyle w:val="ParaNoNdepar-AltN"/>
        <w:tabs>
          <w:tab w:val="clear" w:pos="1152"/>
          <w:tab w:val="num" w:pos="1242"/>
        </w:tabs>
        <w:ind w:left="90"/>
        <w:rPr>
          <w:rFonts w:cs="Times New Roman"/>
          <w:i/>
        </w:rPr>
      </w:pPr>
      <w:r w:rsidRPr="004A09FF">
        <w:rPr>
          <w:rFonts w:cs="Times New Roman"/>
        </w:rPr>
        <w:t xml:space="preserve">Courts in the United Kingdom have </w:t>
      </w:r>
      <w:proofErr w:type="spellStart"/>
      <w:r w:rsidRPr="004A09FF">
        <w:rPr>
          <w:rFonts w:cs="Times New Roman"/>
        </w:rPr>
        <w:t>resiled</w:t>
      </w:r>
      <w:proofErr w:type="spellEnd"/>
      <w:r w:rsidRPr="004A09FF">
        <w:rPr>
          <w:rFonts w:cs="Times New Roman"/>
        </w:rPr>
        <w:t xml:space="preserve"> from a two-step </w:t>
      </w:r>
      <w:proofErr w:type="spellStart"/>
      <w:r w:rsidRPr="004A09FF">
        <w:rPr>
          <w:rFonts w:cs="Times New Roman"/>
          <w:i/>
        </w:rPr>
        <w:t>Anns</w:t>
      </w:r>
      <w:proofErr w:type="spellEnd"/>
      <w:r w:rsidRPr="004A09FF">
        <w:rPr>
          <w:rFonts w:cs="Times New Roman"/>
        </w:rPr>
        <w:t xml:space="preserve"> test, but continue to insist that the scope of the duty of care must be carefully limited having regard to the relationship between the </w:t>
      </w:r>
      <w:proofErr w:type="gramStart"/>
      <w:r w:rsidRPr="004A09FF">
        <w:rPr>
          <w:rFonts w:cs="Times New Roman"/>
        </w:rPr>
        <w:t>defendant’s</w:t>
      </w:r>
      <w:proofErr w:type="gramEnd"/>
      <w:r w:rsidRPr="004A09FF">
        <w:rPr>
          <w:rFonts w:cs="Times New Roman"/>
        </w:rPr>
        <w:t xml:space="preserve"> conduct and the plaintiff’s injuries, context and policy. </w:t>
      </w:r>
      <w:r w:rsidRPr="004A09FF">
        <w:rPr>
          <w:rFonts w:cs="Times New Roman"/>
          <w:szCs w:val="24"/>
        </w:rPr>
        <w:t xml:space="preserve">They have insisted that there is no such thing as a duty of care in the abstract; the duty is always defined by its scope. </w:t>
      </w:r>
      <w:r w:rsidRPr="004A09FF">
        <w:rPr>
          <w:rFonts w:eastAsia="Times New Roman" w:cs="Times New Roman"/>
          <w:szCs w:val="24"/>
        </w:rPr>
        <w:t xml:space="preserve">As Lord Bridge stated in </w:t>
      </w:r>
      <w:proofErr w:type="spellStart"/>
      <w:r w:rsidRPr="004A09FF">
        <w:rPr>
          <w:rFonts w:cs="Times New Roman"/>
          <w:i/>
          <w:szCs w:val="24"/>
        </w:rPr>
        <w:t>Caparo</w:t>
      </w:r>
      <w:proofErr w:type="spellEnd"/>
      <w:r w:rsidRPr="004A09FF">
        <w:rPr>
          <w:rFonts w:cs="Times New Roman"/>
          <w:szCs w:val="24"/>
        </w:rPr>
        <w:t>, at p. 581, “[</w:t>
      </w:r>
      <w:proofErr w:type="spellStart"/>
      <w:r w:rsidRPr="004A09FF">
        <w:rPr>
          <w:rFonts w:cs="Times New Roman"/>
          <w:szCs w:val="24"/>
        </w:rPr>
        <w:t>i</w:t>
      </w:r>
      <w:proofErr w:type="spellEnd"/>
      <w:r w:rsidRPr="004A09FF">
        <w:rPr>
          <w:rFonts w:cs="Times New Roman"/>
          <w:szCs w:val="24"/>
        </w:rPr>
        <w:t xml:space="preserve">]t is never sufficient to ask simply whether A owes B a duty of care. It is always necessary to determine the scope of the duty by reference to the kind of damage from which A must take care to save B harmless”: see also </w:t>
      </w:r>
      <w:r w:rsidRPr="004A09FF">
        <w:rPr>
          <w:rFonts w:cs="Times New Roman"/>
          <w:i/>
          <w:szCs w:val="24"/>
        </w:rPr>
        <w:t>BPE Solicitors</w:t>
      </w:r>
      <w:r w:rsidRPr="004A09FF">
        <w:rPr>
          <w:rFonts w:cs="Times New Roman"/>
          <w:szCs w:val="24"/>
        </w:rPr>
        <w:t xml:space="preserve">, at paras. 21-23; </w:t>
      </w:r>
      <w:r w:rsidRPr="004A09FF">
        <w:rPr>
          <w:rFonts w:cs="Times New Roman"/>
          <w:bCs/>
          <w:i/>
          <w:szCs w:val="24"/>
        </w:rPr>
        <w:t xml:space="preserve">Sutherland Shire Council v. </w:t>
      </w:r>
      <w:proofErr w:type="spellStart"/>
      <w:r w:rsidRPr="004A09FF">
        <w:rPr>
          <w:rFonts w:cs="Times New Roman"/>
          <w:bCs/>
          <w:i/>
          <w:szCs w:val="24"/>
        </w:rPr>
        <w:t>Heyman</w:t>
      </w:r>
      <w:proofErr w:type="spellEnd"/>
      <w:r w:rsidRPr="004A09FF">
        <w:rPr>
          <w:rFonts w:cs="Times New Roman"/>
          <w:bCs/>
          <w:szCs w:val="24"/>
        </w:rPr>
        <w:t>, (1985), 60 A.L.R. 1 (H.C.), at p. 40, per Brennan J.</w:t>
      </w:r>
      <w:r w:rsidRPr="004A09FF">
        <w:rPr>
          <w:rFonts w:cs="Times New Roman"/>
          <w:szCs w:val="24"/>
        </w:rPr>
        <w:t xml:space="preserve">; </w:t>
      </w:r>
      <w:r w:rsidRPr="004A09FF">
        <w:rPr>
          <w:rFonts w:cs="Times New Roman"/>
          <w:i/>
          <w:szCs w:val="24"/>
        </w:rPr>
        <w:t>Platform Home Loans</w:t>
      </w:r>
      <w:r w:rsidRPr="004A09FF">
        <w:rPr>
          <w:rFonts w:cs="Times New Roman"/>
        </w:rPr>
        <w:t xml:space="preserve">, at p. 847, per Lord </w:t>
      </w:r>
      <w:proofErr w:type="spellStart"/>
      <w:r w:rsidRPr="004A09FF">
        <w:rPr>
          <w:rFonts w:cs="Times New Roman"/>
        </w:rPr>
        <w:t>Hobhouse</w:t>
      </w:r>
      <w:proofErr w:type="spellEnd"/>
      <w:r w:rsidRPr="004A09FF">
        <w:rPr>
          <w:rFonts w:cs="Times New Roman"/>
        </w:rPr>
        <w:t xml:space="preserve">, quoting </w:t>
      </w:r>
      <w:r w:rsidRPr="004A09FF">
        <w:rPr>
          <w:rFonts w:cs="Times New Roman"/>
          <w:i/>
        </w:rPr>
        <w:t>Overseas Tankship</w:t>
      </w:r>
      <w:r w:rsidRPr="004A09FF">
        <w:rPr>
          <w:rFonts w:cs="Times New Roman"/>
          <w:i/>
          <w:szCs w:val="24"/>
        </w:rPr>
        <w:t xml:space="preserve">, (U.K.) Ltd. v. </w:t>
      </w:r>
      <w:proofErr w:type="spellStart"/>
      <w:r w:rsidRPr="004A09FF">
        <w:rPr>
          <w:rFonts w:cs="Times New Roman"/>
          <w:i/>
          <w:szCs w:val="24"/>
        </w:rPr>
        <w:t>Morts</w:t>
      </w:r>
      <w:proofErr w:type="spellEnd"/>
      <w:r w:rsidRPr="004A09FF">
        <w:rPr>
          <w:rFonts w:cs="Times New Roman"/>
          <w:i/>
          <w:szCs w:val="24"/>
        </w:rPr>
        <w:t xml:space="preserve"> Dock &amp; Engineering Co. Ltd.</w:t>
      </w:r>
      <w:r w:rsidRPr="004A09FF">
        <w:rPr>
          <w:rFonts w:cs="Times New Roman"/>
          <w:szCs w:val="24"/>
        </w:rPr>
        <w:t xml:space="preserve"> [1961] A.C. 388 (P.C.) (“The Wagon Mound No. 1”) at p. 425; </w:t>
      </w:r>
      <w:r w:rsidRPr="004A09FF">
        <w:rPr>
          <w:rFonts w:cs="Times New Roman"/>
          <w:i/>
        </w:rPr>
        <w:t>Candler v. Crane Christmas &amp; Co.</w:t>
      </w:r>
      <w:r w:rsidRPr="004A09FF">
        <w:rPr>
          <w:rStyle w:val="reflex3-alt"/>
          <w:rFonts w:cs="Times New Roman"/>
        </w:rPr>
        <w:t>, [1951] 1 All E.R. 426 (C.A.)</w:t>
      </w:r>
      <w:r w:rsidRPr="004A09FF">
        <w:rPr>
          <w:rFonts w:cs="Times New Roman"/>
          <w:szCs w:val="24"/>
        </w:rPr>
        <w:t xml:space="preserve">, at p. 436, per Denning L.J., dissenting.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first step of the </w:t>
      </w:r>
      <w:proofErr w:type="spellStart"/>
      <w:r w:rsidRPr="004A09FF">
        <w:rPr>
          <w:rFonts w:cs="Times New Roman"/>
          <w:i/>
        </w:rPr>
        <w:t>Anns</w:t>
      </w:r>
      <w:proofErr w:type="spellEnd"/>
      <w:r w:rsidRPr="004A09FF">
        <w:rPr>
          <w:rFonts w:cs="Times New Roman"/>
          <w:i/>
        </w:rPr>
        <w:t xml:space="preserve"> </w:t>
      </w:r>
      <w:r w:rsidRPr="004A09FF">
        <w:rPr>
          <w:rFonts w:cs="Times New Roman"/>
        </w:rPr>
        <w:t xml:space="preserve">test asks whether there is proximity, or a sufficiently close relationship, between the parties. It focuses on the connection between the defendant’s undertaking (the breach of which is the wrongful act) and the loss claimed. </w:t>
      </w:r>
      <w:r w:rsidRPr="004A09FF">
        <w:rPr>
          <w:rFonts w:cs="Times New Roman"/>
          <w:szCs w:val="24"/>
        </w:rPr>
        <w:t xml:space="preserve">Did the defendant owe the plaintiff a </w:t>
      </w:r>
      <w:r w:rsidRPr="004A09FF">
        <w:rPr>
          <w:rFonts w:cs="Times New Roman"/>
          <w:i/>
          <w:szCs w:val="24"/>
        </w:rPr>
        <w:t xml:space="preserve">prima facie </w:t>
      </w:r>
      <w:r w:rsidRPr="004A09FF">
        <w:rPr>
          <w:rFonts w:cs="Times New Roman"/>
          <w:szCs w:val="24"/>
        </w:rPr>
        <w:t>duty of care to prevent the loss, having regard to, on one hand, the reasonably foreseeable consequences of the defendant’s conduct given the proximity of the parties and, on the other hand, factors concerning the relationship between the parties that negate tort liability? (</w:t>
      </w:r>
      <w:proofErr w:type="gramStart"/>
      <w:r w:rsidRPr="004A09FF">
        <w:rPr>
          <w:rFonts w:cs="Times New Roman"/>
          <w:szCs w:val="24"/>
        </w:rPr>
        <w:t>see</w:t>
      </w:r>
      <w:proofErr w:type="gramEnd"/>
      <w:r w:rsidRPr="004A09FF">
        <w:rPr>
          <w:rFonts w:cs="Times New Roman"/>
          <w:szCs w:val="24"/>
        </w:rPr>
        <w:t xml:space="preserve"> </w:t>
      </w:r>
      <w:r w:rsidRPr="004A09FF">
        <w:rPr>
          <w:rFonts w:cs="Times New Roman"/>
          <w:i/>
          <w:szCs w:val="24"/>
        </w:rPr>
        <w:t>Cooper</w:t>
      </w:r>
      <w:r w:rsidRPr="004A09FF">
        <w:rPr>
          <w:rFonts w:cs="Times New Roman"/>
          <w:szCs w:val="24"/>
        </w:rPr>
        <w:t xml:space="preserve">, at paras. 30 and 34). Questions of policy relating to the relationship between the parties should be considered at this step of the </w:t>
      </w:r>
      <w:proofErr w:type="spellStart"/>
      <w:r w:rsidRPr="004A09FF">
        <w:rPr>
          <w:rFonts w:cs="Times New Roman"/>
          <w:i/>
          <w:szCs w:val="24"/>
        </w:rPr>
        <w:t>Anns</w:t>
      </w:r>
      <w:proofErr w:type="spellEnd"/>
      <w:r w:rsidRPr="004A09FF">
        <w:rPr>
          <w:rFonts w:cs="Times New Roman"/>
          <w:i/>
          <w:szCs w:val="24"/>
        </w:rPr>
        <w:t xml:space="preserve"> </w:t>
      </w:r>
      <w:r w:rsidRPr="004A09FF">
        <w:rPr>
          <w:rFonts w:cs="Times New Roman"/>
          <w:szCs w:val="24"/>
        </w:rPr>
        <w:t xml:space="preserve">analysis: </w:t>
      </w:r>
      <w:r w:rsidRPr="004A09FF">
        <w:rPr>
          <w:rFonts w:cs="Times New Roman"/>
          <w:i/>
          <w:szCs w:val="24"/>
        </w:rPr>
        <w:t>Cooper</w:t>
      </w:r>
      <w:r w:rsidRPr="004A09FF">
        <w:rPr>
          <w:rFonts w:cs="Times New Roman"/>
          <w:szCs w:val="24"/>
        </w:rPr>
        <w:t>,</w:t>
      </w:r>
      <w:r w:rsidRPr="004A09FF">
        <w:rPr>
          <w:rFonts w:cs="Times New Roman"/>
          <w:i/>
          <w:szCs w:val="24"/>
        </w:rPr>
        <w:t xml:space="preserve"> </w:t>
      </w:r>
      <w:r w:rsidRPr="004A09FF">
        <w:rPr>
          <w:rFonts w:cs="Times New Roman"/>
          <w:szCs w:val="24"/>
        </w:rPr>
        <w:t xml:space="preserve">at para. 37.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purpose for which the statement was made (the undertaking) is pivotal in determining whether a particular type of economic loss was the reasonably foreseeable consequence of the negligence: </w:t>
      </w:r>
      <w:r w:rsidRPr="004A09FF">
        <w:rPr>
          <w:rFonts w:cs="Times New Roman"/>
          <w:i/>
        </w:rPr>
        <w:t>Hercules</w:t>
      </w:r>
      <w:r w:rsidRPr="004A09FF">
        <w:rPr>
          <w:rFonts w:cs="Times New Roman"/>
        </w:rPr>
        <w:t>, at paras. 37-40</w:t>
      </w:r>
      <w:r w:rsidRPr="004A09FF">
        <w:rPr>
          <w:rFonts w:cs="Times New Roman"/>
          <w:i/>
        </w:rPr>
        <w:t>.</w:t>
      </w:r>
      <w:r w:rsidRPr="004A09FF">
        <w:rPr>
          <w:rFonts w:cs="Times New Roman"/>
        </w:rPr>
        <w:t xml:space="preserve"> </w:t>
      </w:r>
      <w:proofErr w:type="gramStart"/>
      <w:r w:rsidRPr="004A09FF">
        <w:rPr>
          <w:rFonts w:cs="Times New Roman"/>
        </w:rPr>
        <w:t>Was</w:t>
      </w:r>
      <w:proofErr w:type="gramEnd"/>
      <w:r w:rsidRPr="004A09FF">
        <w:rPr>
          <w:rFonts w:cs="Times New Roman"/>
        </w:rPr>
        <w:t xml:space="preserve"> it made to enable the company to raise capital? If so, a loss due to failure to raise capital may be recoverable.  Was it made for the purpose of permitting shareholders to review the management of the company? If so, shareholders may recover for loss due to their inability to hold the company to account: </w:t>
      </w:r>
      <w:r w:rsidRPr="004A09FF">
        <w:rPr>
          <w:rFonts w:cs="Times New Roman"/>
          <w:i/>
        </w:rPr>
        <w:t>Hercules</w:t>
      </w:r>
      <w:r w:rsidRPr="004A09FF">
        <w:rPr>
          <w:rFonts w:cs="Times New Roman"/>
        </w:rPr>
        <w:t xml:space="preserve">, at paras. 51-57. </w:t>
      </w:r>
      <w:proofErr w:type="gramStart"/>
      <w:r w:rsidRPr="004A09FF">
        <w:rPr>
          <w:rFonts w:cs="Times New Roman"/>
        </w:rPr>
        <w:t>In</w:t>
      </w:r>
      <w:proofErr w:type="gramEnd"/>
      <w:r w:rsidRPr="004A09FF">
        <w:rPr>
          <w:rFonts w:cs="Times New Roman"/>
        </w:rPr>
        <w:t xml:space="preserve"> each case, one must determine the purpose for which the statement was made, and ask whether the loss in question is proximate, or closely connected to the failure of the defendant to fulfill that purpose.</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Where an auditor falsely or wrongfully represents that the audit statements are sound and can therefore be used for their intended purpose, this constitutes negligence, or wrongdoing.  Economic loss tied to that particular wrongdoing is recoverable; other loss is not. Whether in the United Kingdom, Quebec or the common law provinces of Canada, courts focus on the precise nature of the wrongdoing to determine what loss is recoverable.</w:t>
      </w:r>
      <w:r w:rsidRPr="004A09FF">
        <w:rPr>
          <w:rFonts w:cs="Times New Roman"/>
          <w:b/>
        </w:rPr>
        <w:t xml:space="preserve"> </w:t>
      </w:r>
      <w:r w:rsidRPr="004A09FF">
        <w:rPr>
          <w:rFonts w:cs="Times New Roman"/>
        </w:rPr>
        <w:t xml:space="preserve">As Lord </w:t>
      </w:r>
      <w:proofErr w:type="spellStart"/>
      <w:r w:rsidRPr="004A09FF">
        <w:rPr>
          <w:rFonts w:cs="Times New Roman"/>
        </w:rPr>
        <w:t>Sumption</w:t>
      </w:r>
      <w:proofErr w:type="spellEnd"/>
      <w:r w:rsidRPr="004A09FF">
        <w:rPr>
          <w:rFonts w:cs="Times New Roman"/>
        </w:rPr>
        <w:t xml:space="preserve"> explained in </w:t>
      </w:r>
      <w:r w:rsidRPr="004A09FF">
        <w:rPr>
          <w:rFonts w:cs="Times New Roman"/>
          <w:i/>
        </w:rPr>
        <w:t>BPE Solicitors</w:t>
      </w:r>
      <w:r w:rsidRPr="004A09FF">
        <w:rPr>
          <w:rFonts w:cs="Times New Roman"/>
        </w:rPr>
        <w:t xml:space="preserve">, to be a reasonably foreseeable consequence of the defendant’s wrongdoing, the economic loss claimed must have “flowed from the right thing, i.e. from the particular feature of the defendant’s conduct which made it wrongful”: para. 38. Or as Lord Hoffmann said in </w:t>
      </w:r>
      <w:r w:rsidRPr="004A09FF">
        <w:rPr>
          <w:rFonts w:cs="Times New Roman"/>
          <w:i/>
        </w:rPr>
        <w:t>SAAMCO</w:t>
      </w:r>
      <w:r w:rsidRPr="004A09FF">
        <w:rPr>
          <w:rFonts w:cs="Times New Roman"/>
        </w:rPr>
        <w:t>, at p. 371:</w:t>
      </w:r>
    </w:p>
    <w:p w:rsidR="00D7327A" w:rsidRPr="004A09FF" w:rsidRDefault="00D7327A" w:rsidP="00D7327A">
      <w:pPr>
        <w:pStyle w:val="Citation-AltC"/>
        <w:rPr>
          <w:lang w:val="en-US"/>
        </w:rPr>
      </w:pPr>
      <w:r w:rsidRPr="004A09FF">
        <w:rPr>
          <w:lang w:val="en-US"/>
        </w:rPr>
        <w:t>Normally the law limits liability to those consequences which are attributable to that which made the act wrongful. In the case of liability in negligence for providing inaccurate information, this would mean liability for the consequences of the information being inaccurate.</w:t>
      </w:r>
    </w:p>
    <w:p w:rsidR="00D7327A" w:rsidRPr="004A09FF" w:rsidRDefault="00D7327A" w:rsidP="00D7327A">
      <w:pPr>
        <w:pStyle w:val="ParaNoNdepar-AltN"/>
        <w:numPr>
          <w:ilvl w:val="0"/>
          <w:numId w:val="0"/>
        </w:numPr>
        <w:ind w:left="90"/>
        <w:rPr>
          <w:rFonts w:cs="Times New Roman"/>
        </w:rPr>
      </w:pPr>
      <w:r w:rsidRPr="004A09FF">
        <w:rPr>
          <w:rFonts w:cs="Times New Roman"/>
        </w:rPr>
        <w:t xml:space="preserve">See also: </w:t>
      </w:r>
      <w:r w:rsidRPr="004A09FF">
        <w:rPr>
          <w:rFonts w:cs="Times New Roman"/>
          <w:i/>
        </w:rPr>
        <w:t>Burns v. Homer Street Development Limited Partnership</w:t>
      </w:r>
      <w:r w:rsidRPr="004A09FF">
        <w:rPr>
          <w:rFonts w:cs="Times New Roman"/>
        </w:rPr>
        <w:t xml:space="preserve">, 2016 BCCA 371, 91 B.C.L.R. (5th) 383, at para. 106; </w:t>
      </w:r>
      <w:r w:rsidRPr="004A09FF">
        <w:rPr>
          <w:rFonts w:cs="Times New Roman"/>
          <w:i/>
        </w:rPr>
        <w:t>Hogarth</w:t>
      </w:r>
      <w:r w:rsidRPr="004A09FF">
        <w:rPr>
          <w:rFonts w:cs="Times New Roman"/>
        </w:rPr>
        <w:t>,</w:t>
      </w:r>
      <w:r w:rsidRPr="004A09FF">
        <w:rPr>
          <w:rFonts w:cs="Times New Roman"/>
          <w:i/>
        </w:rPr>
        <w:t xml:space="preserve"> </w:t>
      </w:r>
      <w:r w:rsidRPr="004A09FF">
        <w:rPr>
          <w:rFonts w:cs="Times New Roman"/>
        </w:rPr>
        <w:t xml:space="preserve">at paras. 37-38, per </w:t>
      </w:r>
      <w:proofErr w:type="spellStart"/>
      <w:r w:rsidRPr="004A09FF">
        <w:rPr>
          <w:rFonts w:cs="Times New Roman"/>
        </w:rPr>
        <w:t>Slatter</w:t>
      </w:r>
      <w:proofErr w:type="spellEnd"/>
      <w:r w:rsidRPr="004A09FF">
        <w:rPr>
          <w:rFonts w:cs="Times New Roman"/>
        </w:rPr>
        <w:t xml:space="preserve"> J.A.</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Lord </w:t>
      </w:r>
      <w:proofErr w:type="spellStart"/>
      <w:r w:rsidRPr="004A09FF">
        <w:rPr>
          <w:rFonts w:cs="Times New Roman"/>
        </w:rPr>
        <w:t>Sumption</w:t>
      </w:r>
      <w:proofErr w:type="spellEnd"/>
      <w:r w:rsidRPr="004A09FF">
        <w:rPr>
          <w:rFonts w:cs="Times New Roman"/>
        </w:rPr>
        <w:t xml:space="preserve"> pointed out in </w:t>
      </w:r>
      <w:r w:rsidRPr="004A09FF">
        <w:rPr>
          <w:rFonts w:cs="Times New Roman"/>
          <w:i/>
        </w:rPr>
        <w:t>BPE Solicitors</w:t>
      </w:r>
      <w:r w:rsidRPr="004A09FF">
        <w:rPr>
          <w:rFonts w:cs="Times New Roman"/>
        </w:rPr>
        <w:t>, at para. 44, that the scope of the duty of care and the extent of the defendant’s responsibility turns on the specific circumstances that inform the purpose for which the statement was prepared:</w:t>
      </w:r>
    </w:p>
    <w:p w:rsidR="00D7327A" w:rsidRPr="004A09FF" w:rsidRDefault="00D7327A" w:rsidP="00D7327A">
      <w:pPr>
        <w:pStyle w:val="Citation-AltC"/>
        <w:rPr>
          <w:lang w:val="en-US"/>
        </w:rPr>
      </w:pPr>
      <w:r w:rsidRPr="004A09FF">
        <w:rPr>
          <w:lang w:val="en-US"/>
        </w:rPr>
        <w:t xml:space="preserve">A </w:t>
      </w:r>
      <w:proofErr w:type="spellStart"/>
      <w:r w:rsidRPr="004A09FF">
        <w:rPr>
          <w:lang w:val="en-US"/>
        </w:rPr>
        <w:t>valuer</w:t>
      </w:r>
      <w:proofErr w:type="spellEnd"/>
      <w:r w:rsidRPr="004A09FF">
        <w:rPr>
          <w:lang w:val="en-US"/>
        </w:rPr>
        <w:t xml:space="preserve"> or a conveyancer, for example, will rarely supply more than a specific part of the material on which his client’s decision is based. He is generally no more than a provider of what Lord Hoffmann [in </w:t>
      </w:r>
      <w:r w:rsidRPr="004A09FF">
        <w:rPr>
          <w:i/>
          <w:lang w:val="en-US"/>
        </w:rPr>
        <w:t>SAAMCO</w:t>
      </w:r>
      <w:r w:rsidRPr="004A09FF">
        <w:rPr>
          <w:lang w:val="en-US"/>
        </w:rPr>
        <w:t>]</w:t>
      </w:r>
      <w:r w:rsidRPr="004A09FF">
        <w:rPr>
          <w:i/>
          <w:lang w:val="en-US"/>
        </w:rPr>
        <w:t xml:space="preserve"> </w:t>
      </w:r>
      <w:r w:rsidRPr="004A09FF">
        <w:rPr>
          <w:lang w:val="en-US"/>
        </w:rPr>
        <w:t>called “information”. At the opposite end of the spectrum, an investment adviser advising a client whether to buy a particular stock, or a financial adviser advising whether to invest self-invested pension fund in an annuity are likely, in Lord Hoffmann’s terminology, to be regarded as giving “advice”. Between these extremes, every case is likely to depend on the range of matters for which the defendant assumed responsibility and no more exact rule can be stated.</w:t>
      </w:r>
    </w:p>
    <w:p w:rsidR="00D7327A" w:rsidRPr="004A09FF" w:rsidRDefault="00D7327A" w:rsidP="00D7327A">
      <w:pPr>
        <w:pStyle w:val="ContinueParaSuitedupar-AltP"/>
        <w:rPr>
          <w:rFonts w:cs="Times New Roman"/>
          <w:lang w:val="en-US"/>
        </w:rPr>
      </w:pPr>
      <w:r w:rsidRPr="004A09FF">
        <w:rPr>
          <w:rFonts w:cs="Times New Roman"/>
          <w:lang w:val="en-US"/>
        </w:rPr>
        <w:t xml:space="preserve">See also </w:t>
      </w:r>
      <w:proofErr w:type="spellStart"/>
      <w:r w:rsidRPr="004A09FF">
        <w:rPr>
          <w:rFonts w:cs="Times New Roman"/>
          <w:i/>
          <w:lang w:val="en-US"/>
        </w:rPr>
        <w:t>Aneco</w:t>
      </w:r>
      <w:proofErr w:type="spellEnd"/>
      <w:r w:rsidRPr="004A09FF">
        <w:rPr>
          <w:rFonts w:cs="Times New Roman"/>
          <w:i/>
          <w:lang w:val="en-US"/>
        </w:rPr>
        <w:t xml:space="preserve"> Reinsurance Underwriting Ltd. (in liquidation) v. Johnson &amp; Higgins Ltd.</w:t>
      </w:r>
      <w:r w:rsidRPr="004A09FF">
        <w:rPr>
          <w:rFonts w:cs="Times New Roman"/>
          <w:lang w:val="en-US"/>
        </w:rPr>
        <w:t>,</w:t>
      </w:r>
      <w:r w:rsidRPr="004A09FF">
        <w:rPr>
          <w:rFonts w:cs="Times New Roman"/>
          <w:i/>
          <w:lang w:val="en-US"/>
        </w:rPr>
        <w:t xml:space="preserve"> </w:t>
      </w:r>
      <w:r w:rsidRPr="004A09FF">
        <w:rPr>
          <w:rFonts w:cs="Times New Roman"/>
          <w:lang w:val="en-US"/>
        </w:rPr>
        <w:t>[2001] UKHL 51, [2001] 2 All E.R. (Comm.) 929, at paras. 40-41, per Lord Steyn, and para. 66, per Lord Millett;</w:t>
      </w:r>
      <w:r w:rsidRPr="004A09FF">
        <w:rPr>
          <w:rFonts w:cs="Times New Roman"/>
          <w:i/>
          <w:lang w:val="en-US"/>
        </w:rPr>
        <w:t xml:space="preserve"> Canadian Imperial Bank of Commerce v. Deloitte &amp; </w:t>
      </w:r>
      <w:proofErr w:type="spellStart"/>
      <w:r w:rsidRPr="004A09FF">
        <w:rPr>
          <w:rFonts w:cs="Times New Roman"/>
          <w:i/>
          <w:lang w:val="en-US"/>
        </w:rPr>
        <w:t>Touche</w:t>
      </w:r>
      <w:proofErr w:type="spellEnd"/>
      <w:r w:rsidRPr="004A09FF">
        <w:rPr>
          <w:rFonts w:cs="Times New Roman"/>
          <w:lang w:val="en-US"/>
        </w:rPr>
        <w:t>, 2016 ONCA 922, 133 O.R. (3d) 561,</w:t>
      </w:r>
      <w:r w:rsidRPr="004A09FF">
        <w:rPr>
          <w:rFonts w:cs="Times New Roman"/>
          <w:i/>
          <w:lang w:val="en-US"/>
        </w:rPr>
        <w:t xml:space="preserve"> </w:t>
      </w:r>
      <w:r w:rsidRPr="004A09FF">
        <w:rPr>
          <w:rFonts w:cs="Times New Roman"/>
          <w:lang w:val="en-US"/>
        </w:rPr>
        <w:t>at paras. 46-47 and 69-71</w:t>
      </w:r>
      <w:r w:rsidRPr="004A09FF">
        <w:rPr>
          <w:rFonts w:cs="Times New Roman"/>
        </w:rPr>
        <w:t xml:space="preserve">; </w:t>
      </w:r>
      <w:proofErr w:type="spellStart"/>
      <w:r w:rsidRPr="004A09FF">
        <w:rPr>
          <w:rFonts w:cs="Times New Roman"/>
          <w:i/>
        </w:rPr>
        <w:t>Temseel</w:t>
      </w:r>
      <w:proofErr w:type="spellEnd"/>
      <w:r w:rsidRPr="004A09FF">
        <w:rPr>
          <w:rFonts w:cs="Times New Roman"/>
          <w:i/>
        </w:rPr>
        <w:t xml:space="preserve"> Holdings Ltd. v. </w:t>
      </w:r>
      <w:proofErr w:type="spellStart"/>
      <w:r w:rsidRPr="004A09FF">
        <w:rPr>
          <w:rFonts w:cs="Times New Roman"/>
          <w:i/>
        </w:rPr>
        <w:t>Beaumonts</w:t>
      </w:r>
      <w:proofErr w:type="spellEnd"/>
      <w:r w:rsidRPr="004A09FF">
        <w:rPr>
          <w:rFonts w:cs="Times New Roman"/>
          <w:i/>
        </w:rPr>
        <w:t xml:space="preserve"> Chartered Accountants</w:t>
      </w:r>
      <w:r w:rsidRPr="004A09FF">
        <w:rPr>
          <w:rFonts w:cs="Times New Roman"/>
        </w:rPr>
        <w:t xml:space="preserve">, [2002] EWHC 2642 (Comm.), </w:t>
      </w:r>
      <w:r w:rsidRPr="004A09FF">
        <w:rPr>
          <w:rFonts w:cs="Times New Roman"/>
          <w:bCs/>
          <w:lang w:val="en-US"/>
        </w:rPr>
        <w:t>[2003] P.N.L.R. 27, at paras. 22-29 and 57-62</w:t>
      </w:r>
      <w:r w:rsidRPr="004A09FF">
        <w:rPr>
          <w:rFonts w:cs="Times New Roman"/>
          <w:lang w:val="en-US"/>
        </w:rPr>
        <w:t>.</w:t>
      </w:r>
    </w:p>
    <w:p w:rsidR="00D7327A" w:rsidRPr="004A09FF" w:rsidRDefault="00D7327A" w:rsidP="00D7327A">
      <w:pPr>
        <w:pStyle w:val="ParaNoNdepar-AltN"/>
        <w:tabs>
          <w:tab w:val="clear" w:pos="1152"/>
          <w:tab w:val="num" w:pos="1242"/>
        </w:tabs>
        <w:ind w:left="90"/>
        <w:rPr>
          <w:rFonts w:cs="Times New Roman"/>
          <w:lang w:val="en-US"/>
        </w:rPr>
      </w:pPr>
      <w:r w:rsidRPr="004A09FF">
        <w:rPr>
          <w:rFonts w:cs="Times New Roman"/>
        </w:rPr>
        <w:t xml:space="preserve">The purpose for which the audit report is provided is a matter of fact based on the evidence adduced at trial: </w:t>
      </w:r>
      <w:r w:rsidRPr="004A09FF">
        <w:rPr>
          <w:rFonts w:cs="Times New Roman"/>
          <w:i/>
        </w:rPr>
        <w:t>BPE Solicitors</w:t>
      </w:r>
      <w:r w:rsidRPr="004A09FF">
        <w:rPr>
          <w:rFonts w:cs="Times New Roman"/>
        </w:rPr>
        <w:t xml:space="preserve">, at para. 44; </w:t>
      </w:r>
      <w:proofErr w:type="spellStart"/>
      <w:r w:rsidRPr="004A09FF">
        <w:rPr>
          <w:rFonts w:cs="Times New Roman"/>
          <w:i/>
        </w:rPr>
        <w:t>Aneco</w:t>
      </w:r>
      <w:proofErr w:type="spellEnd"/>
      <w:r w:rsidRPr="004A09FF">
        <w:rPr>
          <w:rFonts w:cs="Times New Roman"/>
        </w:rPr>
        <w:t>,</w:t>
      </w:r>
      <w:r w:rsidRPr="004A09FF">
        <w:rPr>
          <w:rFonts w:cs="Times New Roman"/>
          <w:i/>
        </w:rPr>
        <w:t xml:space="preserve"> </w:t>
      </w:r>
      <w:r w:rsidRPr="004A09FF">
        <w:rPr>
          <w:rFonts w:cs="Times New Roman"/>
        </w:rPr>
        <w:t xml:space="preserve">at paras. 40-41, per Lord Steyn, and para. 66, per Lord Millett; </w:t>
      </w:r>
      <w:r w:rsidRPr="004A09FF">
        <w:rPr>
          <w:rFonts w:cs="Times New Roman"/>
          <w:i/>
        </w:rPr>
        <w:t>Canadian Imperial Bank of Commerce</w:t>
      </w:r>
      <w:r w:rsidRPr="004A09FF">
        <w:rPr>
          <w:rFonts w:cs="Times New Roman"/>
        </w:rPr>
        <w:t xml:space="preserve">, at para. 47; </w:t>
      </w:r>
      <w:proofErr w:type="spellStart"/>
      <w:r w:rsidRPr="004A09FF">
        <w:rPr>
          <w:rFonts w:cs="Times New Roman"/>
          <w:i/>
        </w:rPr>
        <w:t>Temseel</w:t>
      </w:r>
      <w:proofErr w:type="spellEnd"/>
      <w:r w:rsidRPr="004A09FF">
        <w:rPr>
          <w:rFonts w:cs="Times New Roman"/>
        </w:rPr>
        <w:t>,</w:t>
      </w:r>
      <w:r w:rsidRPr="004A09FF">
        <w:rPr>
          <w:rFonts w:cs="Times New Roman"/>
          <w:i/>
        </w:rPr>
        <w:t xml:space="preserve"> </w:t>
      </w:r>
      <w:r w:rsidRPr="004A09FF">
        <w:rPr>
          <w:rFonts w:cs="Times New Roman"/>
        </w:rPr>
        <w:t xml:space="preserve">at paras. 57-62. Legal obligations imposed by statute may be relevant: </w:t>
      </w:r>
      <w:r w:rsidRPr="004A09FF">
        <w:rPr>
          <w:rFonts w:cs="Times New Roman"/>
          <w:i/>
        </w:rPr>
        <w:t>Hercules</w:t>
      </w:r>
      <w:r w:rsidRPr="004A09FF">
        <w:rPr>
          <w:rFonts w:cs="Times New Roman"/>
        </w:rPr>
        <w:t>, at para. 49.</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Against this background, I turn to the question at hand: What was the scope of the duty of care owed by Deloitte to Livent? The key to answering this question is the purpose for which Deloitte prepared the statements, which in turn defines the wrongful act — the negligent failure to provide the correct information for the intended purpose.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In this case, three purposes of </w:t>
      </w:r>
      <w:proofErr w:type="spellStart"/>
      <w:r w:rsidRPr="004A09FF">
        <w:rPr>
          <w:rFonts w:cs="Times New Roman"/>
        </w:rPr>
        <w:t>Livent’s</w:t>
      </w:r>
      <w:proofErr w:type="spellEnd"/>
      <w:r w:rsidRPr="004A09FF">
        <w:rPr>
          <w:rFonts w:cs="Times New Roman"/>
        </w:rPr>
        <w:t xml:space="preserve"> audit statements are discernable: (1) to report accurately on </w:t>
      </w:r>
      <w:proofErr w:type="spellStart"/>
      <w:r w:rsidRPr="004A09FF">
        <w:rPr>
          <w:rFonts w:cs="Times New Roman"/>
        </w:rPr>
        <w:t>Livent’s</w:t>
      </w:r>
      <w:proofErr w:type="spellEnd"/>
      <w:r w:rsidRPr="004A09FF">
        <w:rPr>
          <w:rFonts w:cs="Times New Roman"/>
        </w:rPr>
        <w:t xml:space="preserve"> finances and provide it with audit opinions on which it could rely for the purpose of attracting investment; (2) to uncover heretofore undetected errors or wrongdoing by Livent or its personnel for the purpose of enabling Livent itself to correct or otherwise respond to the misfeasance; and (3) to provide audit reports on which </w:t>
      </w:r>
      <w:proofErr w:type="spellStart"/>
      <w:r w:rsidRPr="004A09FF">
        <w:rPr>
          <w:rFonts w:cs="Times New Roman"/>
        </w:rPr>
        <w:t>Livent’s</w:t>
      </w:r>
      <w:proofErr w:type="spellEnd"/>
      <w:r w:rsidRPr="004A09FF">
        <w:rPr>
          <w:rFonts w:cs="Times New Roman"/>
        </w:rPr>
        <w:t xml:space="preserve"> shareholders could rely to supervise the company’s management (see e.g. Part XII, </w:t>
      </w:r>
      <w:r w:rsidRPr="004A09FF">
        <w:rPr>
          <w:rFonts w:cs="Times New Roman"/>
          <w:i/>
        </w:rPr>
        <w:t>Business Corporations Act</w:t>
      </w:r>
      <w:r w:rsidRPr="004A09FF">
        <w:rPr>
          <w:rFonts w:cs="Times New Roman"/>
        </w:rPr>
        <w:t>, R.S.O. 1990, c. B.16; trial reasons, at paras. 89-96 and 280). Livent was entitled to recover for losses occasioned by its own or its shareholders’ reliance on Deloitte’s audit work for these purposes.</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The scope of Deloitte’s duty of care is defined solely by these purposes.  Did its negligence prevent Livent from attracting investment? Did its negligence prevent Livent from uncovering undetected wrongdoing for the purpose of allowing Livent to correct the misfeasance? Finally, did its negligence prevent shareholders from supervising the company’s management?  Loss that results from inability to attract investment, from inability of Livent to correct undetected wrongdoing, or from inability of the shareholders to exercise their supervisory authority, may fall within the scope of Deloitte’s duty of care.</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first possibility is that Deloitte’s wrongful act deprived Livent of the ability to attract investment capital. Livent does not rely on this; in fact, Livent attracted a great deal of capital on the strength of Deloitte’s statements. Indeed, that is the essence of its complaint — if it had not been able to attract this money, it would not have been able to spend it on new theatre ventures that failed and decreased </w:t>
      </w:r>
      <w:proofErr w:type="spellStart"/>
      <w:r w:rsidRPr="004A09FF">
        <w:rPr>
          <w:rFonts w:cs="Times New Roman"/>
        </w:rPr>
        <w:t>Livent’s</w:t>
      </w:r>
      <w:proofErr w:type="spellEnd"/>
      <w:r w:rsidRPr="004A09FF">
        <w:rPr>
          <w:rFonts w:cs="Times New Roman"/>
        </w:rPr>
        <w:t xml:space="preserve"> worth. The company’s assets were not diminished by an inability to attract investment, but by </w:t>
      </w:r>
      <w:proofErr w:type="spellStart"/>
      <w:r w:rsidRPr="004A09FF">
        <w:rPr>
          <w:rFonts w:cs="Times New Roman"/>
        </w:rPr>
        <w:t>Livent’s</w:t>
      </w:r>
      <w:proofErr w:type="spellEnd"/>
      <w:r w:rsidRPr="004A09FF">
        <w:rPr>
          <w:rFonts w:cs="Times New Roman"/>
        </w:rPr>
        <w:t xml:space="preserve"> improvident management of those investments, revealed only on insolvency.</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second possibility is that the wrongful act prevented Livent — the company itself — from detecting misfeasance in the company’s management which </w:t>
      </w:r>
      <w:proofErr w:type="spellStart"/>
      <w:r w:rsidRPr="004A09FF">
        <w:rPr>
          <w:rFonts w:cs="Times New Roman"/>
        </w:rPr>
        <w:t>Livent’s</w:t>
      </w:r>
      <w:proofErr w:type="spellEnd"/>
      <w:r w:rsidRPr="004A09FF">
        <w:rPr>
          <w:rFonts w:cs="Times New Roman"/>
        </w:rPr>
        <w:t xml:space="preserve"> officials would have corrected if they had known the true state of affairs. This possibility envisions the situation where a company’s management, acting honestly and diligently, is unable to deal with internal misfeasance because the auditors negligently failed to reveal it.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This is not </w:t>
      </w:r>
      <w:proofErr w:type="spellStart"/>
      <w:r w:rsidRPr="004A09FF">
        <w:rPr>
          <w:rFonts w:cs="Times New Roman"/>
        </w:rPr>
        <w:t>Livent’s</w:t>
      </w:r>
      <w:proofErr w:type="spellEnd"/>
      <w:r w:rsidRPr="004A09FF">
        <w:rPr>
          <w:rFonts w:cs="Times New Roman"/>
        </w:rPr>
        <w:t xml:space="preserve"> situation. Livent led no evidence that its management did not know of </w:t>
      </w:r>
      <w:proofErr w:type="spellStart"/>
      <w:r w:rsidRPr="004A09FF">
        <w:rPr>
          <w:rFonts w:cs="Times New Roman"/>
        </w:rPr>
        <w:t>Drabinsky’s</w:t>
      </w:r>
      <w:proofErr w:type="spellEnd"/>
      <w:r w:rsidRPr="004A09FF">
        <w:rPr>
          <w:rFonts w:cs="Times New Roman"/>
        </w:rPr>
        <w:t xml:space="preserve"> and Gottlieb’s misfeasance; indeed, it likely could not have done so. </w:t>
      </w:r>
      <w:proofErr w:type="spellStart"/>
      <w:r w:rsidRPr="004A09FF">
        <w:rPr>
          <w:rFonts w:cs="Times New Roman"/>
        </w:rPr>
        <w:t>Drabinsky</w:t>
      </w:r>
      <w:proofErr w:type="spellEnd"/>
      <w:r w:rsidRPr="004A09FF">
        <w:rPr>
          <w:rFonts w:cs="Times New Roman"/>
        </w:rPr>
        <w:t xml:space="preserve"> and Gottlieb, the fraudsters, were themselves the management. Far from relying on the audited statements as assurance that everything was well with the company, </w:t>
      </w:r>
      <w:proofErr w:type="spellStart"/>
      <w:r w:rsidRPr="004A09FF">
        <w:rPr>
          <w:rFonts w:cs="Times New Roman"/>
        </w:rPr>
        <w:t>Drabinsky</w:t>
      </w:r>
      <w:proofErr w:type="spellEnd"/>
      <w:r w:rsidRPr="004A09FF">
        <w:rPr>
          <w:rFonts w:cs="Times New Roman"/>
        </w:rPr>
        <w:t xml:space="preserve"> and Gottlieb knew the audit reports were inaccurate. There is no evidence that anyone at a lower level of Livent management would have blown the whistle if </w:t>
      </w:r>
      <w:proofErr w:type="spellStart"/>
      <w:r w:rsidRPr="004A09FF">
        <w:rPr>
          <w:rFonts w:cs="Times New Roman"/>
        </w:rPr>
        <w:t>Livent’s</w:t>
      </w:r>
      <w:proofErr w:type="spellEnd"/>
      <w:r w:rsidRPr="004A09FF">
        <w:rPr>
          <w:rFonts w:cs="Times New Roman"/>
        </w:rPr>
        <w:t xml:space="preserve"> statements had revealed the fraud at an earlier date.</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third possibility is that Deloitte’s wrongdoing prevented </w:t>
      </w:r>
      <w:proofErr w:type="spellStart"/>
      <w:r w:rsidRPr="004A09FF">
        <w:rPr>
          <w:rFonts w:cs="Times New Roman"/>
        </w:rPr>
        <w:t>Livent’s</w:t>
      </w:r>
      <w:proofErr w:type="spellEnd"/>
      <w:r w:rsidRPr="004A09FF">
        <w:rPr>
          <w:rFonts w:cs="Times New Roman"/>
        </w:rPr>
        <w:t xml:space="preserve"> shareholders from exercising shareholder supervision in a manner that would have ended the corporation’s loss-creating activities at an earlier date. Livent argues (and my colleagues Gascon and Brown JJ. accept) that it relied on Deloitte to produce a report on the basis of which its shareholders could discharge their supervisory function, which all agree was one of the purposes for which the audited statements were prepared.  Livent argues, and my colleagues conclude, that all loss that shareholder supervision might have avoided is recoverable — including the decline in the value of the company. </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This proposition faces two difficulties.  The first is that Livent never proved, nor did the trial judge find, the elements necessary to establish it. The second is a related policy concern: to allow recovery in the absence of the required proof would be to open the door to indeterminate recovery.  I will consider each of these difficulties in turn.</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First, although the trial judge’s reasons refer to Deloitte’s duty to </w:t>
      </w:r>
      <w:proofErr w:type="spellStart"/>
      <w:r w:rsidRPr="004A09FF">
        <w:rPr>
          <w:rFonts w:cs="Times New Roman"/>
        </w:rPr>
        <w:t>Livent’s</w:t>
      </w:r>
      <w:proofErr w:type="spellEnd"/>
      <w:r w:rsidRPr="004A09FF">
        <w:rPr>
          <w:rFonts w:cs="Times New Roman"/>
        </w:rPr>
        <w:t xml:space="preserve"> shareholders as established in </w:t>
      </w:r>
      <w:r w:rsidRPr="004A09FF">
        <w:rPr>
          <w:rFonts w:cs="Times New Roman"/>
          <w:i/>
        </w:rPr>
        <w:t>Hercules</w:t>
      </w:r>
      <w:r w:rsidRPr="004A09FF">
        <w:rPr>
          <w:rFonts w:cs="Times New Roman"/>
        </w:rPr>
        <w:t xml:space="preserve">, the factual basis for liability based on impaired shareholder supervision was lacking. </w:t>
      </w:r>
      <w:proofErr w:type="spellStart"/>
      <w:r w:rsidRPr="004A09FF">
        <w:rPr>
          <w:rFonts w:cs="Times New Roman"/>
        </w:rPr>
        <w:t>Livent’s</w:t>
      </w:r>
      <w:proofErr w:type="spellEnd"/>
      <w:r w:rsidRPr="004A09FF">
        <w:rPr>
          <w:rFonts w:cs="Times New Roman"/>
        </w:rPr>
        <w:t xml:space="preserve"> theory of the case was simply that all loss as a result of improvident investments after the negligent audits was compensable, on a “but for” basis.  Livent did not prove and the trial judge did not find that </w:t>
      </w:r>
      <w:proofErr w:type="spellStart"/>
      <w:r w:rsidRPr="004A09FF">
        <w:rPr>
          <w:rFonts w:cs="Times New Roman"/>
        </w:rPr>
        <w:t>Livent’s</w:t>
      </w:r>
      <w:proofErr w:type="spellEnd"/>
      <w:r w:rsidRPr="004A09FF">
        <w:rPr>
          <w:rFonts w:cs="Times New Roman"/>
        </w:rPr>
        <w:t xml:space="preserve"> shareholders relied on Deloitte’s negligent audit statements, or that had they received and relied on accurate statements, they would have acted in a way that would have prevented Livent from carrying on business and diminishing its assets in the period between the issuance of the relevant statements and </w:t>
      </w:r>
      <w:proofErr w:type="spellStart"/>
      <w:r w:rsidRPr="004A09FF">
        <w:rPr>
          <w:rFonts w:cs="Times New Roman"/>
        </w:rPr>
        <w:t>Livent’s</w:t>
      </w:r>
      <w:proofErr w:type="spellEnd"/>
      <w:r w:rsidRPr="004A09FF">
        <w:rPr>
          <w:rFonts w:cs="Times New Roman"/>
        </w:rPr>
        <w:t xml:space="preserve"> insolvency.</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trial judge, accepting </w:t>
      </w:r>
      <w:proofErr w:type="spellStart"/>
      <w:r w:rsidRPr="004A09FF">
        <w:rPr>
          <w:rFonts w:cs="Times New Roman"/>
        </w:rPr>
        <w:t>Livent’s</w:t>
      </w:r>
      <w:proofErr w:type="spellEnd"/>
      <w:r w:rsidRPr="004A09FF">
        <w:rPr>
          <w:rFonts w:cs="Times New Roman"/>
        </w:rPr>
        <w:t xml:space="preserve"> theory of the case, held that the duty of care must be broad enough to catch all losses that would be captured by a “but for” test. He stated the following:</w:t>
      </w:r>
    </w:p>
    <w:p w:rsidR="00D7327A" w:rsidRPr="004A09FF" w:rsidRDefault="00D7327A" w:rsidP="00D7327A">
      <w:pPr>
        <w:pStyle w:val="Citation-AltC"/>
      </w:pPr>
      <w:r w:rsidRPr="004A09FF">
        <w:t xml:space="preserve">In my view, the ultimate issuance or withholding of a clean opinion is but one aspect of conducting an audit in accordance with [generally accepted auditing standards]. </w:t>
      </w:r>
      <w:r w:rsidRPr="004A09FF">
        <w:rPr>
          <w:u w:val="single"/>
        </w:rPr>
        <w:t>It is not close to being the complete embodiment of the duty of care. Indeed, if [the plaintiff’s] argument were accepted, it would preclude the applicability of the “but for” test. Instead of asking whether damages would have been sustained but for the negligent failure to detect certain errors or fraud, one would be restricted to asking whether or not damages would have been sustained but for the provision of a clean opinion.</w:t>
      </w:r>
      <w:r w:rsidRPr="004A09FF">
        <w:t xml:space="preserve"> [Emphasis added; para. 285.]</w:t>
      </w:r>
    </w:p>
    <w:p w:rsidR="00D7327A" w:rsidRPr="004A09FF" w:rsidRDefault="00D7327A" w:rsidP="00D7327A">
      <w:pPr>
        <w:pStyle w:val="Citation-AltC"/>
      </w:pP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broad view of the duty of care taken by Livent, and accepted by the trial judge meant that the trial judge failed to consider the parameters of the shareholders’ reasonable and foreseeable reliance as required in </w:t>
      </w:r>
      <w:r w:rsidRPr="004A09FF">
        <w:rPr>
          <w:rFonts w:cs="Times New Roman"/>
          <w:i/>
        </w:rPr>
        <w:t>Hercules</w:t>
      </w:r>
      <w:r w:rsidRPr="004A09FF">
        <w:rPr>
          <w:rFonts w:cs="Times New Roman"/>
        </w:rPr>
        <w:t xml:space="preserve"> when defining the scope of the duty of care with respect to losses stemming from impaired shareholder supervision. My colleagues conclude otherwise, noting that the trial judge believed that the shareholders were entitled to rely on Deloitte’s negligent audits as an indication of </w:t>
      </w:r>
      <w:proofErr w:type="spellStart"/>
      <w:r w:rsidRPr="004A09FF">
        <w:rPr>
          <w:rFonts w:cs="Times New Roman"/>
        </w:rPr>
        <w:t>Livent’s</w:t>
      </w:r>
      <w:proofErr w:type="spellEnd"/>
      <w:r w:rsidRPr="004A09FF">
        <w:rPr>
          <w:rFonts w:cs="Times New Roman"/>
        </w:rPr>
        <w:t xml:space="preserve"> health. Crucially, however, the trial judge did not ask whether the shareholders had in fact relied on the audits – a critical element to the cause of action. He did not ask whether, if they had relied, this reliance prevented them from taking steps to replace directors or officers or otherwise alter course. He did not ask whether this would have included shutting down Livent on March 31st, 1998 (or at least earlier than when it was shut down in November 1998). Finally, he did not ask whether these actions, had they been taken, would have prevented the losses that Livent built up during the seven-month period in question. If the trial judge had asked these questions, he would have been obliged to answer them in the negative, since Livent offered no proof to support affirmative answers.</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I leave aside for the purposes of this case the difficulty that the shareholders, unlike in </w:t>
      </w:r>
      <w:r w:rsidRPr="004A09FF">
        <w:rPr>
          <w:rFonts w:cs="Times New Roman"/>
          <w:i/>
        </w:rPr>
        <w:t>Hercules</w:t>
      </w:r>
      <w:r w:rsidRPr="004A09FF">
        <w:rPr>
          <w:rFonts w:cs="Times New Roman"/>
        </w:rPr>
        <w:t>, are not parties to the claim or the action. Assuming this would not pose a problem, it is possible to speculate that the necessary facts could have been proven (although given the short time period, it seems unlikely). But the more fundamental point is that Livent did not prove these matters, and that as a result, the factual basis for establishing loss on the basis of shareholder supervision was entirely lacking. The hypothetical chain of events required to establish liability on this ground completely bypasses the complexity of shareholder decision making.</w:t>
      </w:r>
    </w:p>
    <w:p w:rsidR="00D7327A" w:rsidRPr="004A09FF" w:rsidRDefault="00D7327A" w:rsidP="00D7327A">
      <w:pPr>
        <w:pStyle w:val="ParaNoNdepar-AltN"/>
        <w:tabs>
          <w:tab w:val="clear" w:pos="1152"/>
          <w:tab w:val="left" w:pos="1166"/>
          <w:tab w:val="num" w:pos="1242"/>
        </w:tabs>
        <w:ind w:left="90"/>
        <w:rPr>
          <w:rFonts w:cs="Times New Roman"/>
          <w:lang w:val="en-US"/>
        </w:rPr>
      </w:pPr>
      <w:proofErr w:type="spellStart"/>
      <w:r w:rsidRPr="004A09FF">
        <w:rPr>
          <w:rFonts w:cs="Times New Roman"/>
          <w:bCs/>
        </w:rPr>
        <w:t>Livent’s</w:t>
      </w:r>
      <w:proofErr w:type="spellEnd"/>
      <w:r w:rsidRPr="004A09FF">
        <w:rPr>
          <w:rFonts w:cs="Times New Roman"/>
          <w:bCs/>
        </w:rPr>
        <w:t xml:space="preserve"> position and the trial judge’s approach collapse the distinction between shareholder decision making, for which an auditor provides information for one purpose — holding management accountable with a view to the best interest of the company — with management decision making, for which the auditor provides information for a different purpose — responding to error and wrongdoing. Conceiving liability in this way creates a misalignment between the scope of the duty of care, the type of loss that is therein contemplated, and the actual elements that must be proven in order to make a successful claim.</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The second and related difficulty the shareholder supervision argument faces in this case is that it would lead to unfair allocation of loss and indeterminate liability for auditors’ statements, negating the duty of care: </w:t>
      </w:r>
      <w:r w:rsidRPr="004A09FF">
        <w:rPr>
          <w:rFonts w:cs="Times New Roman"/>
          <w:i/>
        </w:rPr>
        <w:t>Hercules</w:t>
      </w:r>
      <w:r w:rsidRPr="004A09FF">
        <w:rPr>
          <w:rFonts w:cs="Times New Roman"/>
        </w:rPr>
        <w:t>, at paras. 36-37.</w:t>
      </w:r>
    </w:p>
    <w:p w:rsidR="00D7327A" w:rsidRPr="004A09FF" w:rsidRDefault="00D7327A" w:rsidP="00D7327A">
      <w:pPr>
        <w:pStyle w:val="ParaNoNdepar-AltN"/>
        <w:tabs>
          <w:tab w:val="clear" w:pos="1152"/>
          <w:tab w:val="num" w:pos="1242"/>
        </w:tabs>
        <w:ind w:left="90"/>
        <w:rPr>
          <w:rFonts w:cs="Times New Roman"/>
        </w:rPr>
      </w:pPr>
      <w:proofErr w:type="spellStart"/>
      <w:r w:rsidRPr="004A09FF">
        <w:rPr>
          <w:rFonts w:cs="Times New Roman"/>
        </w:rPr>
        <w:t>Livent’s</w:t>
      </w:r>
      <w:proofErr w:type="spellEnd"/>
      <w:r w:rsidRPr="004A09FF">
        <w:rPr>
          <w:rFonts w:cs="Times New Roman"/>
        </w:rPr>
        <w:t xml:space="preserve"> position — that Deloitte is liable for all loss without proof of the elements required to advance a case based on impaired shareholder supervision — would result in an unfair allocation of loss as well as indeterminacy of damages. On the shareholder supervision theory advanced by Livent, breach of a duty owed primarily to the collectivity of shareholders (who do not advance a claim) and only derivatively to the corporation, would result in liability for every dollar that Livent spent after the point in time the shareholders became entitled to rely on the statements. The auditor would be the virtual guarantor of everything Livent — not the collectivity of shareholders to which the duty was owed — did thereafter. This would not be a fair allocation of responsibility. The same scenario would raise the spectre of indeterminate liability. Auditors would be unable to reasonably predict when they are providing services to clients what their ultimate liability would be. It would be out of their control.  No matter how bad the decisions made by the client thereafter, no matter how complex the web of dealings that led to the ultimate loss — things that cannot be foreseen in advance — the auditor would be liable for the total loss, on the basis that it would not have occurred “but for” the negligent act.</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For the foregoing reasons, I conclude that the losses at issue have not been shown to fall within the scope of Deloitte’s duty of care. The first step of the </w:t>
      </w:r>
      <w:proofErr w:type="spellStart"/>
      <w:r w:rsidRPr="004A09FF">
        <w:rPr>
          <w:rFonts w:cs="Times New Roman"/>
          <w:i/>
        </w:rPr>
        <w:t>Anns</w:t>
      </w:r>
      <w:proofErr w:type="spellEnd"/>
      <w:r w:rsidRPr="004A09FF">
        <w:rPr>
          <w:rFonts w:cs="Times New Roman"/>
          <w:i/>
        </w:rPr>
        <w:t xml:space="preserve"> </w:t>
      </w:r>
      <w:r w:rsidRPr="004A09FF">
        <w:rPr>
          <w:rFonts w:cs="Times New Roman"/>
        </w:rPr>
        <w:t xml:space="preserve">test is not established. It is unnecessary to go on to ask whether </w:t>
      </w:r>
      <w:r w:rsidRPr="004A09FF">
        <w:rPr>
          <w:rFonts w:cs="Times New Roman"/>
          <w:i/>
        </w:rPr>
        <w:t xml:space="preserve">prima facie </w:t>
      </w:r>
      <w:r w:rsidRPr="004A09FF">
        <w:rPr>
          <w:rFonts w:cs="Times New Roman"/>
        </w:rPr>
        <w:t xml:space="preserve">liability is negated by policy considerations unrelated to the relationship between the parties. However, were it necessary to do so, the policy considerations of unfair allocation of loss and indeterminacy would preclude imposing liability on </w:t>
      </w:r>
      <w:proofErr w:type="gramStart"/>
      <w:r w:rsidRPr="004A09FF">
        <w:rPr>
          <w:rFonts w:cs="Times New Roman"/>
        </w:rPr>
        <w:t>Deloitte.</w:t>
      </w:r>
      <w:proofErr w:type="gramEnd"/>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 xml:space="preserve">I add a doctrinal side-note at this point. In </w:t>
      </w:r>
      <w:r w:rsidRPr="004A09FF">
        <w:rPr>
          <w:rFonts w:cs="Times New Roman"/>
          <w:i/>
        </w:rPr>
        <w:t>Hercules</w:t>
      </w:r>
      <w:r w:rsidRPr="004A09FF">
        <w:rPr>
          <w:rFonts w:cs="Times New Roman"/>
        </w:rPr>
        <w:t>,</w:t>
      </w:r>
      <w:r w:rsidRPr="004A09FF">
        <w:rPr>
          <w:rFonts w:cs="Times New Roman"/>
          <w:i/>
        </w:rPr>
        <w:t xml:space="preserve"> </w:t>
      </w:r>
      <w:r w:rsidRPr="004A09FF">
        <w:rPr>
          <w:rFonts w:cs="Times New Roman"/>
        </w:rPr>
        <w:t xml:space="preserve">this Court, per La Forest J., held that the spectre of indeterminate loss might be a policy consideration negating liability of certain loss at the second step of the </w:t>
      </w:r>
      <w:proofErr w:type="spellStart"/>
      <w:r w:rsidRPr="004A09FF">
        <w:rPr>
          <w:rFonts w:cs="Times New Roman"/>
          <w:i/>
        </w:rPr>
        <w:t>Anns</w:t>
      </w:r>
      <w:proofErr w:type="spellEnd"/>
      <w:r w:rsidRPr="004A09FF">
        <w:rPr>
          <w:rFonts w:cs="Times New Roman"/>
          <w:i/>
        </w:rPr>
        <w:t xml:space="preserve"> </w:t>
      </w:r>
      <w:r w:rsidRPr="004A09FF">
        <w:rPr>
          <w:rFonts w:cs="Times New Roman"/>
        </w:rPr>
        <w:t xml:space="preserve">test. However, since </w:t>
      </w:r>
      <w:r w:rsidRPr="004A09FF">
        <w:rPr>
          <w:rFonts w:cs="Times New Roman"/>
          <w:i/>
        </w:rPr>
        <w:t>Cooper</w:t>
      </w:r>
      <w:r w:rsidRPr="004A09FF">
        <w:rPr>
          <w:rFonts w:cs="Times New Roman"/>
        </w:rPr>
        <w:t xml:space="preserve"> it has been clear that policy considerations relating to the relationship between the parties fall to be considered at the first step of </w:t>
      </w:r>
      <w:proofErr w:type="spellStart"/>
      <w:r w:rsidRPr="004A09FF">
        <w:rPr>
          <w:rFonts w:cs="Times New Roman"/>
          <w:i/>
        </w:rPr>
        <w:t>Anns</w:t>
      </w:r>
      <w:proofErr w:type="spellEnd"/>
      <w:r w:rsidRPr="004A09FF">
        <w:rPr>
          <w:rFonts w:cs="Times New Roman"/>
          <w:i/>
        </w:rPr>
        <w:t xml:space="preserve">. </w:t>
      </w:r>
      <w:r w:rsidRPr="004A09FF">
        <w:rPr>
          <w:rFonts w:cs="Times New Roman"/>
        </w:rPr>
        <w:t xml:space="preserve">It may not therefore be necessary to resort to the second step to consider the implications of indeterminate liability: see J. </w:t>
      </w:r>
      <w:proofErr w:type="spellStart"/>
      <w:r w:rsidRPr="004A09FF">
        <w:rPr>
          <w:rFonts w:cs="Times New Roman"/>
        </w:rPr>
        <w:t>Blom</w:t>
      </w:r>
      <w:proofErr w:type="spellEnd"/>
      <w:r w:rsidRPr="004A09FF">
        <w:rPr>
          <w:rFonts w:cs="Times New Roman"/>
        </w:rPr>
        <w:t xml:space="preserve">, “Do We Really Need the </w:t>
      </w:r>
      <w:proofErr w:type="spellStart"/>
      <w:r w:rsidRPr="004A09FF">
        <w:rPr>
          <w:rFonts w:cs="Times New Roman"/>
          <w:i/>
        </w:rPr>
        <w:t>Anns</w:t>
      </w:r>
      <w:proofErr w:type="spellEnd"/>
      <w:r w:rsidRPr="004A09FF">
        <w:rPr>
          <w:rFonts w:cs="Times New Roman"/>
          <w:i/>
        </w:rPr>
        <w:t xml:space="preserve"> </w:t>
      </w:r>
      <w:r w:rsidRPr="004A09FF">
        <w:rPr>
          <w:rFonts w:cs="Times New Roman"/>
        </w:rPr>
        <w:t xml:space="preserve">Test for Duty of Care in Negligence?” (2016), 53 </w:t>
      </w:r>
      <w:r w:rsidRPr="004A09FF">
        <w:rPr>
          <w:rFonts w:cs="Times New Roman"/>
          <w:i/>
        </w:rPr>
        <w:t>Alta. L. Rev.</w:t>
      </w:r>
      <w:r w:rsidRPr="004A09FF">
        <w:rPr>
          <w:rFonts w:cs="Times New Roman"/>
        </w:rPr>
        <w:t xml:space="preserve"> 895, at pp. 906 and 908.</w:t>
      </w:r>
    </w:p>
    <w:p w:rsidR="00D7327A" w:rsidRPr="004A09FF" w:rsidRDefault="00D7327A" w:rsidP="00D7327A">
      <w:pPr>
        <w:pStyle w:val="ParaNoNdepar-AltN"/>
        <w:tabs>
          <w:tab w:val="clear" w:pos="1152"/>
          <w:tab w:val="left" w:pos="1166"/>
          <w:tab w:val="num" w:pos="1242"/>
        </w:tabs>
        <w:ind w:left="90"/>
        <w:rPr>
          <w:rFonts w:cs="Times New Roman"/>
          <w:lang w:val="en-US"/>
        </w:rPr>
      </w:pPr>
      <w:r w:rsidRPr="004A09FF">
        <w:rPr>
          <w:rFonts w:cs="Times New Roman"/>
        </w:rPr>
        <w:t>It remains for future cases to explore the limits of an auditor’s liability for impaired shareholder supervision. Short of finding that an auditor who provides information on which shareholders will exercise their oversight powers assumes responsibility for all of the potential consequences of carrying on business, the facts as found by the trial judge do not enable us to do so here.</w:t>
      </w:r>
      <w:r w:rsidRPr="004A09FF">
        <w:rPr>
          <w:rFonts w:cs="Times New Roman"/>
          <w:lang w:val="en-US"/>
        </w:rPr>
        <w:t xml:space="preserve"> </w:t>
      </w:r>
    </w:p>
    <w:p w:rsidR="00D7327A" w:rsidRPr="004A09FF" w:rsidRDefault="00D7327A" w:rsidP="00D7327A">
      <w:pPr>
        <w:pStyle w:val="ParaNoNdepar-AltN"/>
        <w:tabs>
          <w:tab w:val="clear" w:pos="1152"/>
          <w:tab w:val="left" w:pos="1166"/>
          <w:tab w:val="num" w:pos="1242"/>
        </w:tabs>
        <w:ind w:left="90"/>
        <w:rPr>
          <w:rFonts w:cs="Times New Roman"/>
          <w:lang w:val="en-US"/>
        </w:rPr>
      </w:pPr>
      <w:proofErr w:type="spellStart"/>
      <w:r w:rsidRPr="004A09FF">
        <w:rPr>
          <w:rFonts w:cs="Times New Roman"/>
          <w:lang w:val="en-US"/>
        </w:rPr>
        <w:t>Livent’s</w:t>
      </w:r>
      <w:proofErr w:type="spellEnd"/>
      <w:r w:rsidRPr="004A09FF">
        <w:rPr>
          <w:rFonts w:cs="Times New Roman"/>
          <w:lang w:val="en-US"/>
        </w:rPr>
        <w:t xml:space="preserve"> failure to prove that any of the loss it suffered can be attributed to its shareholders’ reliance on the negligent 1997 year-end audit report for the purpose of corporate oversight is a sufficient basis on which to allow the appeal in its entirety. But there is further problematic aspect of the shareholder supervision theory on which Livent now seeks to rely. It is one of principle.</w:t>
      </w:r>
    </w:p>
    <w:p w:rsidR="00D7327A" w:rsidRPr="004A09FF" w:rsidRDefault="00D7327A" w:rsidP="00D7327A">
      <w:pPr>
        <w:pStyle w:val="ParaNoNdepar-AltN"/>
        <w:tabs>
          <w:tab w:val="clear" w:pos="1152"/>
          <w:tab w:val="left" w:pos="1166"/>
          <w:tab w:val="num" w:pos="1242"/>
        </w:tabs>
        <w:ind w:left="90"/>
        <w:rPr>
          <w:rFonts w:cs="Times New Roman"/>
          <w:lang w:val="en-US"/>
        </w:rPr>
      </w:pPr>
      <w:r w:rsidRPr="004A09FF">
        <w:rPr>
          <w:rFonts w:cs="Times New Roman"/>
          <w:lang w:val="en-US"/>
        </w:rPr>
        <w:t>As explained above, an auditor that provides a year-end report for the purpose of enabling a company’s shareholders to supervise management does not, absent proof, assume responsibility for what the shareholders decide to do with that information. The purpose of an annual audit report is to inform shareholder decision making, not to govern it. The auditor does not underwrite the entire risk associated with the shareholders’ exercise of business judgment; it is liable only for exposing shareholders to the risk of the information it has provided being wrong. Even if the whole loss would have been avoided if the auditor had met the standard of care, the company may recover in damages only that part of the loss that may be attributed to the auditor’s breach of its duty of care, which is restricted by the purpose or purposes for which it provided its opinion. The auditor is not liable for the indeterminate quantum of loss that the shareholders’ course of action (or inaction) may trigger, since determining that course of action is beyond the auditor’s undertaking of responsibility, and thus outside the scope of its duty of care. Similarly, loss that cannot be attributed to the auditor’s breach will be too remote to recover.</w:t>
      </w:r>
    </w:p>
    <w:p w:rsidR="00D7327A" w:rsidRPr="004A09FF" w:rsidRDefault="00D7327A" w:rsidP="00D7327A">
      <w:pPr>
        <w:pStyle w:val="ParaNoNdepar-AltN"/>
        <w:tabs>
          <w:tab w:val="clear" w:pos="1152"/>
          <w:tab w:val="left" w:pos="1166"/>
          <w:tab w:val="num" w:pos="1242"/>
        </w:tabs>
        <w:ind w:left="90"/>
        <w:rPr>
          <w:rFonts w:cs="Times New Roman"/>
          <w:lang w:val="en-US"/>
        </w:rPr>
      </w:pPr>
      <w:r w:rsidRPr="004A09FF">
        <w:rPr>
          <w:rFonts w:cs="Times New Roman"/>
          <w:lang w:val="en-US"/>
        </w:rPr>
        <w:t xml:space="preserve">For this reason, the language of lost opportunity is unavailing. In any case concerned with the tortious provision of information, the plaintiff may claim that, had it only known the truth, it would have had the chance to make different choices than it ultimately did. Unless the provider of information has assumed responsibility not only for the information but also for the decision to be informed by it, what the plaintiff would have done differently if it had been provided with different information is immaterial. Rather, the question is the extent to which the loss that in fact resulted may be attributed to the wrongness (i.e., the tortious quality) of the information provided. </w:t>
      </w:r>
    </w:p>
    <w:p w:rsidR="00D7327A" w:rsidRPr="004A09FF" w:rsidRDefault="00D7327A" w:rsidP="00D7327A">
      <w:pPr>
        <w:pStyle w:val="ParaNoNdepar-AltN"/>
        <w:tabs>
          <w:tab w:val="clear" w:pos="1152"/>
          <w:tab w:val="left" w:pos="1166"/>
          <w:tab w:val="num" w:pos="1242"/>
        </w:tabs>
        <w:ind w:left="90"/>
        <w:rPr>
          <w:rFonts w:cs="Times New Roman"/>
          <w:lang w:val="en-US"/>
        </w:rPr>
      </w:pPr>
      <w:r w:rsidRPr="004A09FF">
        <w:rPr>
          <w:rFonts w:cs="Times New Roman"/>
          <w:lang w:val="en-US"/>
        </w:rPr>
        <w:t xml:space="preserve">On the trial judge’s findings, Deloitte never assumed responsibility for any of the decisions — whether of </w:t>
      </w:r>
      <w:proofErr w:type="spellStart"/>
      <w:r w:rsidRPr="004A09FF">
        <w:rPr>
          <w:rFonts w:cs="Times New Roman"/>
          <w:lang w:val="en-US"/>
        </w:rPr>
        <w:t>Livent’s</w:t>
      </w:r>
      <w:proofErr w:type="spellEnd"/>
      <w:r w:rsidRPr="004A09FF">
        <w:rPr>
          <w:rFonts w:cs="Times New Roman"/>
          <w:lang w:val="en-US"/>
        </w:rPr>
        <w:t xml:space="preserve"> management or of its shareholders collectively — that may be said to have occasioned </w:t>
      </w:r>
      <w:proofErr w:type="spellStart"/>
      <w:r w:rsidRPr="004A09FF">
        <w:rPr>
          <w:rFonts w:cs="Times New Roman"/>
          <w:lang w:val="en-US"/>
        </w:rPr>
        <w:t>Livent’s</w:t>
      </w:r>
      <w:proofErr w:type="spellEnd"/>
      <w:r w:rsidRPr="004A09FF">
        <w:rPr>
          <w:rFonts w:cs="Times New Roman"/>
          <w:lang w:val="en-US"/>
        </w:rPr>
        <w:t xml:space="preserve"> loss. </w:t>
      </w:r>
      <w:r w:rsidRPr="004A09FF">
        <w:rPr>
          <w:rFonts w:cs="Times New Roman"/>
        </w:rPr>
        <w:t xml:space="preserve"> What Livent proved is that it relied on Deloitte’s clean opinions to raise funds from third parties, and that it was successful in doing so. </w:t>
      </w:r>
      <w:r w:rsidRPr="004A09FF">
        <w:rPr>
          <w:rFonts w:cs="Times New Roman"/>
          <w:lang w:val="en-US"/>
        </w:rPr>
        <w:t xml:space="preserve">Deloitte is not liable to Livent for loss arising from </w:t>
      </w:r>
      <w:proofErr w:type="spellStart"/>
      <w:r w:rsidRPr="004A09FF">
        <w:rPr>
          <w:rFonts w:cs="Times New Roman"/>
          <w:lang w:val="en-US"/>
        </w:rPr>
        <w:t>Livent’s</w:t>
      </w:r>
      <w:proofErr w:type="spellEnd"/>
      <w:r w:rsidRPr="004A09FF">
        <w:rPr>
          <w:rFonts w:cs="Times New Roman"/>
          <w:lang w:val="en-US"/>
        </w:rPr>
        <w:t xml:space="preserve"> use of these funds, even if certain of Deloitte’s opinions were prepared for the purpose of </w:t>
      </w:r>
      <w:r w:rsidRPr="004A09FF">
        <w:rPr>
          <w:rFonts w:cs="Times New Roman"/>
          <w:i/>
          <w:lang w:val="en-US"/>
        </w:rPr>
        <w:t>attracting</w:t>
      </w:r>
      <w:r w:rsidRPr="004A09FF">
        <w:rPr>
          <w:rFonts w:cs="Times New Roman"/>
          <w:lang w:val="en-US"/>
        </w:rPr>
        <w:t xml:space="preserve"> them, because Livent did not prove that Deloitte undertook responsibility for how Livent </w:t>
      </w:r>
      <w:r w:rsidRPr="004A09FF">
        <w:rPr>
          <w:rFonts w:cs="Times New Roman"/>
          <w:i/>
          <w:lang w:val="en-US"/>
        </w:rPr>
        <w:t>spent</w:t>
      </w:r>
      <w:r w:rsidRPr="004A09FF">
        <w:rPr>
          <w:rFonts w:cs="Times New Roman"/>
          <w:lang w:val="en-US"/>
        </w:rPr>
        <w:t xml:space="preserve"> them.</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rPr>
        <w:t>The foregoing analysis is based on the scope of Deloitte’s duty of care. The same result would follow on a remoteness approach to the question of liability for economic loss as a result of negligent misstatement. The question on this approach is whether the loss claimed is too remote from the wrongful act for the act to be the “legal cause” of the loss. The basic question is whether the loss is reasonably foreseeable, having regard to a variety of factors, including the relationship between the parties and the expectations that flow from it, the circumstances of the case, and other factors bearing on the connection between the wrongful act and the loss claimed including external or intervening influences. In the end, a close and proximate connection between wrongful act and the loss claimed must be established, having regard to all these things and to the purpose for which the information was furnished.</w:t>
      </w:r>
    </w:p>
    <w:p w:rsidR="00D7327A" w:rsidRPr="004A09FF" w:rsidRDefault="00D7327A" w:rsidP="00D7327A">
      <w:pPr>
        <w:pStyle w:val="ParaNoNdepar-AltN"/>
        <w:tabs>
          <w:tab w:val="clear" w:pos="1152"/>
          <w:tab w:val="num" w:pos="1242"/>
        </w:tabs>
        <w:ind w:left="90"/>
        <w:rPr>
          <w:rFonts w:cs="Times New Roman"/>
          <w:lang w:val="en-US"/>
        </w:rPr>
      </w:pPr>
      <w:r w:rsidRPr="004A09FF">
        <w:rPr>
          <w:rFonts w:cs="Times New Roman"/>
        </w:rPr>
        <w:t xml:space="preserve">It follows that Livent cannot recover the losses it claims against Deloitte. The claim in tort must be dismissed. The result is the same with respect to </w:t>
      </w:r>
      <w:proofErr w:type="spellStart"/>
      <w:r w:rsidRPr="004A09FF">
        <w:rPr>
          <w:rFonts w:cs="Times New Roman"/>
        </w:rPr>
        <w:t>Livent’s</w:t>
      </w:r>
      <w:proofErr w:type="spellEnd"/>
      <w:r w:rsidRPr="004A09FF">
        <w:rPr>
          <w:rFonts w:cs="Times New Roman"/>
        </w:rPr>
        <w:t xml:space="preserve"> action in contract; here too the losses would be too remote: see </w:t>
      </w:r>
      <w:r w:rsidRPr="004A09FF">
        <w:rPr>
          <w:rFonts w:cs="Times New Roman"/>
          <w:i/>
        </w:rPr>
        <w:t xml:space="preserve">B.D.C. Ltd. v. </w:t>
      </w:r>
      <w:proofErr w:type="spellStart"/>
      <w:r w:rsidRPr="004A09FF">
        <w:rPr>
          <w:rFonts w:cs="Times New Roman"/>
          <w:i/>
        </w:rPr>
        <w:t>Hofstrand</w:t>
      </w:r>
      <w:proofErr w:type="spellEnd"/>
      <w:r w:rsidRPr="004A09FF">
        <w:rPr>
          <w:rFonts w:cs="Times New Roman"/>
          <w:i/>
        </w:rPr>
        <w:t xml:space="preserve"> Farms Ltd</w:t>
      </w:r>
      <w:r w:rsidRPr="004A09FF">
        <w:rPr>
          <w:rFonts w:cs="Times New Roman"/>
        </w:rPr>
        <w:t xml:space="preserve">., [1986] 1 S.C.R. 228, at pp. 243-44, citing </w:t>
      </w:r>
      <w:proofErr w:type="spellStart"/>
      <w:r w:rsidRPr="004A09FF">
        <w:rPr>
          <w:rFonts w:cs="Times New Roman"/>
          <w:i/>
        </w:rPr>
        <w:t>Asamera</w:t>
      </w:r>
      <w:proofErr w:type="spellEnd"/>
      <w:r w:rsidRPr="004A09FF">
        <w:rPr>
          <w:rFonts w:cs="Times New Roman"/>
          <w:i/>
        </w:rPr>
        <w:t xml:space="preserve"> Oil Corp. Ltd. v. Sea Oil &amp; General Corp.</w:t>
      </w:r>
      <w:r w:rsidRPr="004A09FF">
        <w:rPr>
          <w:rFonts w:cs="Times New Roman"/>
        </w:rPr>
        <w:t xml:space="preserve">, [1979] 1 S.C.R. 633; S. M. </w:t>
      </w:r>
      <w:proofErr w:type="spellStart"/>
      <w:r w:rsidRPr="004A09FF">
        <w:rPr>
          <w:rFonts w:cs="Times New Roman"/>
        </w:rPr>
        <w:t>Waddams</w:t>
      </w:r>
      <w:proofErr w:type="spellEnd"/>
      <w:r w:rsidRPr="004A09FF">
        <w:rPr>
          <w:rFonts w:cs="Times New Roman"/>
        </w:rPr>
        <w:t xml:space="preserve">, </w:t>
      </w:r>
      <w:r w:rsidRPr="004A09FF">
        <w:rPr>
          <w:rFonts w:cs="Times New Roman"/>
          <w:i/>
        </w:rPr>
        <w:t>The Law of Damages</w:t>
      </w:r>
      <w:r w:rsidRPr="004A09FF">
        <w:rPr>
          <w:rFonts w:cs="Times New Roman"/>
        </w:rPr>
        <w:t xml:space="preserve"> (5th ed. 2012),</w:t>
      </w:r>
      <w:r w:rsidRPr="004A09FF">
        <w:rPr>
          <w:rFonts w:cs="Times New Roman"/>
          <w:i/>
        </w:rPr>
        <w:t xml:space="preserve"> </w:t>
      </w:r>
      <w:r w:rsidRPr="004A09FF">
        <w:rPr>
          <w:rFonts w:cs="Times New Roman"/>
        </w:rPr>
        <w:t>at §14.720. Given the trial judge’s determination, at para. 243, that the elements of the action in contract were identical to the elements of the action in tort, it follows that the trial judge’s conclusion that there was a breach in contract is erroneous.</w:t>
      </w:r>
    </w:p>
    <w:p w:rsidR="00D7327A" w:rsidRPr="004A09FF" w:rsidRDefault="00D7327A" w:rsidP="00D7327A">
      <w:pPr>
        <w:pStyle w:val="ParaNoNdepar-AltN"/>
        <w:tabs>
          <w:tab w:val="clear" w:pos="1152"/>
          <w:tab w:val="num" w:pos="1242"/>
        </w:tabs>
        <w:ind w:left="90"/>
        <w:rPr>
          <w:rFonts w:cs="Times New Roman"/>
          <w:lang w:val="en-US"/>
        </w:rPr>
      </w:pPr>
      <w:r w:rsidRPr="004A09FF">
        <w:rPr>
          <w:rFonts w:cs="Times New Roman"/>
          <w:lang w:val="en-US"/>
        </w:rPr>
        <w:t xml:space="preserve">Although in many respects I agree with Gascon and Brown JJ.’s articulation of the general framework that governs this matter, I part company with my colleagues in two key respects. First, I take the view that, for Livent to make out its claim, it must prove on the evidence the elements required to establish Deloitte’s liability on the basis of impaired shareholder supervision. My colleagues suggest that, had Deloitte provided sound audit reports, </w:t>
      </w:r>
      <w:proofErr w:type="spellStart"/>
      <w:r w:rsidRPr="004A09FF">
        <w:rPr>
          <w:rFonts w:cs="Times New Roman"/>
          <w:lang w:val="en-US"/>
        </w:rPr>
        <w:t>Livent’s</w:t>
      </w:r>
      <w:proofErr w:type="spellEnd"/>
      <w:r w:rsidRPr="004A09FF">
        <w:rPr>
          <w:rFonts w:cs="Times New Roman"/>
          <w:lang w:val="en-US"/>
        </w:rPr>
        <w:t xml:space="preserve"> shareholders and management may have made decisions that would have limited the company’s losses. While this may be true, it is not enough to rely on unproven assertions to define the scope of the duty of care and to subsequently demonstrate causation. My colleagues’ approach suggests that an auditor will generally become the underwriter for any losses suffered by a client following a negligent audit report. This, notwithstanding subsequent decisions </w:t>
      </w:r>
      <w:r w:rsidRPr="004A09FF">
        <w:rPr>
          <w:rFonts w:cs="Times New Roman"/>
        </w:rPr>
        <w:t>—</w:t>
      </w:r>
      <w:r w:rsidRPr="004A09FF">
        <w:rPr>
          <w:rFonts w:cs="Times New Roman"/>
          <w:lang w:val="en-US"/>
        </w:rPr>
        <w:t xml:space="preserve"> reliant or capricious </w:t>
      </w:r>
      <w:r w:rsidRPr="004A09FF">
        <w:rPr>
          <w:rFonts w:cs="Times New Roman"/>
        </w:rPr>
        <w:t>—</w:t>
      </w:r>
      <w:r w:rsidRPr="004A09FF">
        <w:rPr>
          <w:rFonts w:cs="Times New Roman"/>
          <w:lang w:val="en-US"/>
        </w:rPr>
        <w:t xml:space="preserve"> made by the client’s shareholders. I conclude, in contrast, that reliance cannot be presumed, but must be proved.</w:t>
      </w:r>
    </w:p>
    <w:p w:rsidR="00D7327A" w:rsidRPr="004A09FF" w:rsidRDefault="00D7327A" w:rsidP="00D7327A">
      <w:pPr>
        <w:pStyle w:val="ParaNoNdepar-AltN"/>
        <w:tabs>
          <w:tab w:val="clear" w:pos="1152"/>
          <w:tab w:val="num" w:pos="1242"/>
        </w:tabs>
        <w:ind w:left="90"/>
        <w:rPr>
          <w:rFonts w:cs="Times New Roman"/>
        </w:rPr>
      </w:pPr>
      <w:r w:rsidRPr="004A09FF">
        <w:rPr>
          <w:rFonts w:cs="Times New Roman"/>
          <w:lang w:val="en-US"/>
        </w:rPr>
        <w:t xml:space="preserve">Second, I take a different view of indeterminate liability than my colleagues. They assert that liability is not indeterminate where a reviewing court can set a value or time frame for a plaintiff’s claimed loss </w:t>
      </w:r>
      <w:r w:rsidRPr="004A09FF">
        <w:rPr>
          <w:rFonts w:cs="Times New Roman"/>
          <w:i/>
          <w:lang w:val="en-US"/>
        </w:rPr>
        <w:t>ex post facto</w:t>
      </w:r>
      <w:r w:rsidRPr="004A09FF">
        <w:rPr>
          <w:rFonts w:cs="Times New Roman"/>
          <w:lang w:val="en-US"/>
        </w:rPr>
        <w:t xml:space="preserve">. However, the common law’s policy against indeterminacy is directed at ensuring that auditors and other advisors can determine the scope of their liability at the time they take on an engagement and render their services. </w:t>
      </w:r>
      <w:r w:rsidRPr="004A09FF">
        <w:rPr>
          <w:rFonts w:cs="Times New Roman"/>
        </w:rPr>
        <w:t>The question is whether</w:t>
      </w:r>
      <w:r w:rsidRPr="004A09FF">
        <w:rPr>
          <w:rFonts w:cs="Times New Roman"/>
          <w:lang w:val="en-US"/>
        </w:rPr>
        <w:t xml:space="preserve"> an auditor or other advisor was able to gauge the scale of its potential liability </w:t>
      </w:r>
      <w:r w:rsidRPr="004A09FF">
        <w:rPr>
          <w:rFonts w:cs="Times New Roman"/>
        </w:rPr>
        <w:t>—</w:t>
      </w:r>
      <w:r w:rsidRPr="004A09FF">
        <w:rPr>
          <w:rFonts w:cs="Times New Roman"/>
          <w:lang w:val="en-US"/>
        </w:rPr>
        <w:t xml:space="preserve"> in terms of the types of losses for which it undertook responsibility </w:t>
      </w:r>
      <w:r w:rsidRPr="004A09FF">
        <w:rPr>
          <w:rFonts w:cs="Times New Roman"/>
        </w:rPr>
        <w:t>—</w:t>
      </w:r>
      <w:r w:rsidRPr="004A09FF">
        <w:rPr>
          <w:rFonts w:cs="Times New Roman"/>
          <w:lang w:val="en-US"/>
        </w:rPr>
        <w:t xml:space="preserve"> before embarking on a course of conduct</w:t>
      </w:r>
      <w:r w:rsidRPr="004A09FF">
        <w:rPr>
          <w:rFonts w:cs="Times New Roman"/>
        </w:rPr>
        <w:t>. Although Deloitte might have been in a position to identify the total net value of Livent, Livent has not proved that Deloitte bore responsibility for the myriad ways that Livent could have gone about depleting its value after receiving the auditor’s statements. This is what makes the liability identified by my colleagues indeterminate and therefore outside the scope of the duty of care.</w:t>
      </w:r>
    </w:p>
    <w:p w:rsidR="00D7327A" w:rsidRPr="004A09FF" w:rsidRDefault="00D7327A" w:rsidP="00D7327A">
      <w:pPr>
        <w:pStyle w:val="ParaNoNdepar-AltN"/>
        <w:tabs>
          <w:tab w:val="clear" w:pos="1152"/>
          <w:tab w:val="num" w:pos="1242"/>
        </w:tabs>
        <w:ind w:left="90"/>
        <w:rPr>
          <w:rFonts w:cs="Times New Roman"/>
          <w:lang w:val="en-US"/>
        </w:rPr>
      </w:pPr>
      <w:r w:rsidRPr="004A09FF">
        <w:rPr>
          <w:rFonts w:cs="Times New Roman"/>
        </w:rPr>
        <w:t xml:space="preserve">Having concluded that Deloitte is not liable for the losses claimed, it is not necessary to consider the apportionment of damages under s. 3 of the </w:t>
      </w:r>
      <w:r w:rsidRPr="004A09FF">
        <w:rPr>
          <w:rFonts w:cs="Times New Roman"/>
          <w:i/>
        </w:rPr>
        <w:t>Negligence Act</w:t>
      </w:r>
      <w:r w:rsidRPr="004A09FF">
        <w:rPr>
          <w:rFonts w:cs="Times New Roman"/>
        </w:rPr>
        <w:t>, nor is it necessary to consider whether Deloitte can raise the defence of illegality against Livent.</w:t>
      </w:r>
    </w:p>
    <w:p w:rsidR="00D7327A" w:rsidRPr="004A09FF" w:rsidRDefault="00D7327A" w:rsidP="00D7327A">
      <w:pPr>
        <w:pStyle w:val="Title1LevelTitre1Niveau-AltL"/>
        <w:numPr>
          <w:ilvl w:val="0"/>
          <w:numId w:val="25"/>
        </w:numPr>
        <w:rPr>
          <w:rFonts w:cs="Times New Roman"/>
          <w:lang w:val="en-US"/>
        </w:rPr>
      </w:pPr>
      <w:r w:rsidRPr="004A09FF">
        <w:rPr>
          <w:rFonts w:cs="Times New Roman"/>
          <w:lang w:val="en-US"/>
        </w:rPr>
        <w:t>Disposition</w:t>
      </w:r>
    </w:p>
    <w:p w:rsidR="00D7327A" w:rsidRPr="004A09FF" w:rsidRDefault="00D7327A" w:rsidP="00D7327A">
      <w:pPr>
        <w:pStyle w:val="ParaNoNdepar-AltN"/>
        <w:tabs>
          <w:tab w:val="clear" w:pos="1152"/>
          <w:tab w:val="num" w:pos="1242"/>
        </w:tabs>
        <w:ind w:left="90"/>
        <w:rPr>
          <w:rFonts w:cs="Times New Roman"/>
          <w:lang w:val="en-US"/>
        </w:rPr>
      </w:pPr>
      <w:r w:rsidRPr="004A09FF">
        <w:rPr>
          <w:rFonts w:cs="Times New Roman"/>
          <w:lang w:val="en-US"/>
        </w:rPr>
        <w:t>I would allow the appeal, with costs to Deloitte.</w:t>
      </w:r>
    </w:p>
    <w:p w:rsidR="00D7327A" w:rsidRPr="004C79F4" w:rsidRDefault="00D7327A" w:rsidP="002011A6">
      <w:pPr>
        <w:pStyle w:val="SCCNormalDoubleSpacing"/>
        <w:spacing w:before="480" w:after="480"/>
      </w:pPr>
    </w:p>
    <w:p w:rsidR="009B57B3" w:rsidRPr="004C79F4" w:rsidRDefault="003330D1" w:rsidP="002011A6">
      <w:pPr>
        <w:pStyle w:val="SCCNormalDoubleSpacing"/>
        <w:spacing w:before="480" w:after="480"/>
      </w:pPr>
      <w:r w:rsidRPr="004C79F4">
        <w:tab/>
      </w:r>
      <w:r w:rsidRPr="004C79F4">
        <w:rPr>
          <w:i/>
        </w:rPr>
        <w:t xml:space="preserve">Appeal </w:t>
      </w:r>
      <w:r w:rsidR="00CE16DD" w:rsidRPr="004C79F4">
        <w:rPr>
          <w:i/>
        </w:rPr>
        <w:t>allowed in part</w:t>
      </w:r>
      <w:r w:rsidR="00990295" w:rsidRPr="004C79F4">
        <w:rPr>
          <w:i/>
        </w:rPr>
        <w:t xml:space="preserve"> with costs</w:t>
      </w:r>
      <w:r w:rsidR="00D13E87">
        <w:rPr>
          <w:i/>
        </w:rPr>
        <w:t xml:space="preserve"> to Livent Inc. throughout</w:t>
      </w:r>
      <w:r w:rsidR="00DE76D5" w:rsidRPr="004C79F4">
        <w:rPr>
          <w:i/>
        </w:rPr>
        <w:t xml:space="preserve">, </w:t>
      </w:r>
      <w:r w:rsidR="00CE16DD" w:rsidRPr="004C79F4">
        <w:rPr>
          <w:smallCaps/>
        </w:rPr>
        <w:t>McLachlin C.J.</w:t>
      </w:r>
      <w:r w:rsidR="00CE16DD" w:rsidRPr="004C79F4">
        <w:t xml:space="preserve"> and </w:t>
      </w:r>
      <w:r w:rsidR="008A75DB" w:rsidRPr="004C79F4">
        <w:rPr>
          <w:smallCaps/>
        </w:rPr>
        <w:t>Wagner</w:t>
      </w:r>
      <w:r w:rsidR="008A75DB" w:rsidRPr="004C79F4">
        <w:t xml:space="preserve"> and </w:t>
      </w:r>
      <w:r w:rsidR="003C3525" w:rsidRPr="004C79F4">
        <w:rPr>
          <w:smallCaps/>
        </w:rPr>
        <w:t>Côté </w:t>
      </w:r>
      <w:r w:rsidR="008A75DB" w:rsidRPr="004C79F4">
        <w:rPr>
          <w:smallCaps/>
        </w:rPr>
        <w:t>J</w:t>
      </w:r>
      <w:r w:rsidR="00CE16DD" w:rsidRPr="004C79F4">
        <w:rPr>
          <w:smallCaps/>
        </w:rPr>
        <w:t>J.</w:t>
      </w:r>
      <w:r w:rsidR="00CE16DD" w:rsidRPr="004C79F4">
        <w:t xml:space="preserve"> </w:t>
      </w:r>
      <w:proofErr w:type="gramStart"/>
      <w:r w:rsidR="00DE76D5" w:rsidRPr="004C79F4">
        <w:rPr>
          <w:i/>
        </w:rPr>
        <w:t>dissenting</w:t>
      </w:r>
      <w:proofErr w:type="gramEnd"/>
      <w:r w:rsidR="005C52D9" w:rsidRPr="004C79F4">
        <w:rPr>
          <w:i/>
        </w:rPr>
        <w:t xml:space="preserve"> in part</w:t>
      </w:r>
      <w:r w:rsidRPr="004C79F4">
        <w:rPr>
          <w:i/>
        </w:rPr>
        <w:t>.</w:t>
      </w:r>
    </w:p>
    <w:p w:rsidR="003330D1" w:rsidRPr="004C79F4" w:rsidRDefault="00035080" w:rsidP="002011A6">
      <w:pPr>
        <w:pStyle w:val="SCCLawFirm"/>
        <w:spacing w:before="480" w:after="480"/>
      </w:pPr>
      <w:r w:rsidRPr="004C79F4">
        <w:tab/>
      </w:r>
      <w:r w:rsidR="003330D1" w:rsidRPr="004C79F4">
        <w:t>Solicitors for the appellant</w:t>
      </w:r>
      <w:r w:rsidR="002011A6" w:rsidRPr="004C79F4">
        <w:t>: </w:t>
      </w:r>
      <w:proofErr w:type="spellStart"/>
      <w:r w:rsidR="003330D1" w:rsidRPr="004C79F4">
        <w:t>Lenczner</w:t>
      </w:r>
      <w:proofErr w:type="spellEnd"/>
      <w:r w:rsidR="003330D1" w:rsidRPr="004C79F4">
        <w:t xml:space="preserve"> </w:t>
      </w:r>
      <w:proofErr w:type="spellStart"/>
      <w:r w:rsidR="003330D1" w:rsidRPr="004C79F4">
        <w:t>Slaght</w:t>
      </w:r>
      <w:proofErr w:type="spellEnd"/>
      <w:r w:rsidR="003330D1" w:rsidRPr="004C79F4">
        <w:t xml:space="preserve"> Royce Smith Griffin, Toronto; </w:t>
      </w:r>
      <w:proofErr w:type="spellStart"/>
      <w:r w:rsidR="003330D1" w:rsidRPr="004C79F4">
        <w:t>Dentons</w:t>
      </w:r>
      <w:proofErr w:type="spellEnd"/>
      <w:r w:rsidR="003330D1" w:rsidRPr="004C79F4">
        <w:t xml:space="preserve"> Canada, Toronto.</w:t>
      </w:r>
    </w:p>
    <w:p w:rsidR="003330D1" w:rsidRPr="004C79F4" w:rsidRDefault="003330D1" w:rsidP="002011A6">
      <w:pPr>
        <w:pStyle w:val="SCCLawFirm"/>
        <w:spacing w:before="480" w:after="480"/>
      </w:pPr>
      <w:r w:rsidRPr="004C79F4">
        <w:tab/>
        <w:t>Solicitors for the respondent</w:t>
      </w:r>
      <w:r w:rsidR="002011A6" w:rsidRPr="004C79F4">
        <w:t>: </w:t>
      </w:r>
      <w:proofErr w:type="spellStart"/>
      <w:r w:rsidRPr="004C79F4">
        <w:t>Stikeman</w:t>
      </w:r>
      <w:proofErr w:type="spellEnd"/>
      <w:r w:rsidRPr="004C79F4">
        <w:t xml:space="preserve"> Elliott, Toronto and Ottawa.</w:t>
      </w:r>
    </w:p>
    <w:p w:rsidR="003330D1" w:rsidRPr="004C79F4" w:rsidRDefault="003330D1" w:rsidP="002011A6">
      <w:pPr>
        <w:pStyle w:val="SCCLawFirm"/>
        <w:spacing w:before="480" w:after="480"/>
      </w:pPr>
      <w:r w:rsidRPr="004C79F4">
        <w:tab/>
        <w:t>Solicitors for the intervener the Canadian Coalition for Good Governance</w:t>
      </w:r>
      <w:r w:rsidR="002011A6" w:rsidRPr="004C79F4">
        <w:t>: </w:t>
      </w:r>
      <w:r w:rsidRPr="004C79F4">
        <w:t>McMillan, Toronto.</w:t>
      </w:r>
    </w:p>
    <w:p w:rsidR="003330D1" w:rsidRPr="004C79F4" w:rsidRDefault="003330D1" w:rsidP="002011A6">
      <w:pPr>
        <w:pStyle w:val="SCCLawFirm"/>
        <w:spacing w:before="480" w:after="480"/>
      </w:pPr>
      <w:r w:rsidRPr="004C79F4">
        <w:tab/>
        <w:t>Solicitors for the intervener Chartered Professional Accountants of Canada</w:t>
      </w:r>
      <w:r w:rsidR="002011A6" w:rsidRPr="004C79F4">
        <w:t>: </w:t>
      </w:r>
      <w:r w:rsidRPr="004C79F4">
        <w:t>Borden Ladner Gervais, Toronto and Ottawa.</w:t>
      </w:r>
    </w:p>
    <w:sectPr w:rsidR="003330D1" w:rsidRPr="004C79F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6" w:rsidRDefault="009C0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6" w:rsidRDefault="009C0C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6" w:rsidRDefault="009C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6" w:rsidRDefault="009C0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B6" w:rsidRDefault="009C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595311"/>
    <w:multiLevelType w:val="hybridMultilevel"/>
    <w:tmpl w:val="8C90D650"/>
    <w:lvl w:ilvl="0" w:tplc="4D644532">
      <w:start w:val="1"/>
      <w:numFmt w:val="lowerRoman"/>
      <w:lvlText w:val="%1."/>
      <w:lvlJc w:val="right"/>
      <w:pPr>
        <w:ind w:left="1886" w:hanging="360"/>
      </w:pPr>
      <w:rPr>
        <w:rFonts w:hint="default"/>
        <w:color w:val="auto"/>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58C8883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F1B5837"/>
    <w:multiLevelType w:val="hybridMultilevel"/>
    <w:tmpl w:val="EF1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2401C"/>
    <w:multiLevelType w:val="hybridMultilevel"/>
    <w:tmpl w:val="00DAE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10"/>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06"/>
          </w:tabs>
          <w:ind w:left="120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12"/>
  </w:num>
  <w:num w:numId="27">
    <w:abstractNumId w:val="1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181"/>
    <w:rsid w:val="000054C3"/>
    <w:rsid w:val="0002112C"/>
    <w:rsid w:val="00025198"/>
    <w:rsid w:val="00026D72"/>
    <w:rsid w:val="00035080"/>
    <w:rsid w:val="000421AA"/>
    <w:rsid w:val="000469B7"/>
    <w:rsid w:val="000578A3"/>
    <w:rsid w:val="00060A29"/>
    <w:rsid w:val="000648CC"/>
    <w:rsid w:val="00064CDA"/>
    <w:rsid w:val="0008718F"/>
    <w:rsid w:val="00087C5A"/>
    <w:rsid w:val="000A547F"/>
    <w:rsid w:val="000C1871"/>
    <w:rsid w:val="000C59B8"/>
    <w:rsid w:val="000C6AF0"/>
    <w:rsid w:val="000C7113"/>
    <w:rsid w:val="000D3C74"/>
    <w:rsid w:val="000D5C80"/>
    <w:rsid w:val="000E2E2F"/>
    <w:rsid w:val="000E4AF8"/>
    <w:rsid w:val="000F1DDF"/>
    <w:rsid w:val="00104F33"/>
    <w:rsid w:val="00105472"/>
    <w:rsid w:val="00111DE2"/>
    <w:rsid w:val="00116B38"/>
    <w:rsid w:val="0011736A"/>
    <w:rsid w:val="00135406"/>
    <w:rsid w:val="00135972"/>
    <w:rsid w:val="0014048D"/>
    <w:rsid w:val="001426A9"/>
    <w:rsid w:val="0014385C"/>
    <w:rsid w:val="00144572"/>
    <w:rsid w:val="001511DB"/>
    <w:rsid w:val="001549E7"/>
    <w:rsid w:val="00154D7C"/>
    <w:rsid w:val="001558F7"/>
    <w:rsid w:val="001570B0"/>
    <w:rsid w:val="0015752C"/>
    <w:rsid w:val="00157737"/>
    <w:rsid w:val="00165277"/>
    <w:rsid w:val="00170592"/>
    <w:rsid w:val="00172BAB"/>
    <w:rsid w:val="0017691E"/>
    <w:rsid w:val="0018121E"/>
    <w:rsid w:val="00186351"/>
    <w:rsid w:val="001872AC"/>
    <w:rsid w:val="00190377"/>
    <w:rsid w:val="001909B4"/>
    <w:rsid w:val="00195D83"/>
    <w:rsid w:val="001A00C1"/>
    <w:rsid w:val="001A6C5B"/>
    <w:rsid w:val="001A7097"/>
    <w:rsid w:val="001B1E41"/>
    <w:rsid w:val="001B33E0"/>
    <w:rsid w:val="001B4573"/>
    <w:rsid w:val="001C4FC7"/>
    <w:rsid w:val="001C779F"/>
    <w:rsid w:val="001D2AC1"/>
    <w:rsid w:val="001D4E88"/>
    <w:rsid w:val="001F1217"/>
    <w:rsid w:val="001F26AB"/>
    <w:rsid w:val="001F4CEA"/>
    <w:rsid w:val="002011A6"/>
    <w:rsid w:val="00215C3B"/>
    <w:rsid w:val="00215C54"/>
    <w:rsid w:val="00220FC2"/>
    <w:rsid w:val="002222F4"/>
    <w:rsid w:val="00224FC0"/>
    <w:rsid w:val="00225EA4"/>
    <w:rsid w:val="00226EAF"/>
    <w:rsid w:val="00231F3A"/>
    <w:rsid w:val="00234199"/>
    <w:rsid w:val="00234DFC"/>
    <w:rsid w:val="002406EE"/>
    <w:rsid w:val="00240CDF"/>
    <w:rsid w:val="00243EC8"/>
    <w:rsid w:val="00253648"/>
    <w:rsid w:val="00270D93"/>
    <w:rsid w:val="002729BF"/>
    <w:rsid w:val="002745CC"/>
    <w:rsid w:val="00282731"/>
    <w:rsid w:val="002909BE"/>
    <w:rsid w:val="00292D1E"/>
    <w:rsid w:val="002A0461"/>
    <w:rsid w:val="002A479C"/>
    <w:rsid w:val="002B7924"/>
    <w:rsid w:val="002C263A"/>
    <w:rsid w:val="002D1E00"/>
    <w:rsid w:val="002D28C3"/>
    <w:rsid w:val="002D39A4"/>
    <w:rsid w:val="002E4F70"/>
    <w:rsid w:val="002E6705"/>
    <w:rsid w:val="002F337E"/>
    <w:rsid w:val="00301D08"/>
    <w:rsid w:val="0030329A"/>
    <w:rsid w:val="0031086F"/>
    <w:rsid w:val="0031414C"/>
    <w:rsid w:val="003142D4"/>
    <w:rsid w:val="00314E01"/>
    <w:rsid w:val="0032089D"/>
    <w:rsid w:val="00323520"/>
    <w:rsid w:val="003310DE"/>
    <w:rsid w:val="00331C0F"/>
    <w:rsid w:val="003323B0"/>
    <w:rsid w:val="003330D1"/>
    <w:rsid w:val="003416C8"/>
    <w:rsid w:val="00343DE0"/>
    <w:rsid w:val="0035169A"/>
    <w:rsid w:val="0035259D"/>
    <w:rsid w:val="003541E8"/>
    <w:rsid w:val="00357BF1"/>
    <w:rsid w:val="00364B18"/>
    <w:rsid w:val="00374F9A"/>
    <w:rsid w:val="003816A0"/>
    <w:rsid w:val="0038692D"/>
    <w:rsid w:val="00387920"/>
    <w:rsid w:val="003A125D"/>
    <w:rsid w:val="003A4C70"/>
    <w:rsid w:val="003B215F"/>
    <w:rsid w:val="003B42B9"/>
    <w:rsid w:val="003C3525"/>
    <w:rsid w:val="003C799C"/>
    <w:rsid w:val="003D0399"/>
    <w:rsid w:val="003D6133"/>
    <w:rsid w:val="003D740E"/>
    <w:rsid w:val="003E1C71"/>
    <w:rsid w:val="003E3978"/>
    <w:rsid w:val="003F327B"/>
    <w:rsid w:val="003F3615"/>
    <w:rsid w:val="003F4314"/>
    <w:rsid w:val="00403F09"/>
    <w:rsid w:val="00406166"/>
    <w:rsid w:val="0040704B"/>
    <w:rsid w:val="00410A55"/>
    <w:rsid w:val="00411300"/>
    <w:rsid w:val="00415417"/>
    <w:rsid w:val="00421452"/>
    <w:rsid w:val="00426659"/>
    <w:rsid w:val="004276F5"/>
    <w:rsid w:val="00431EB5"/>
    <w:rsid w:val="00433A13"/>
    <w:rsid w:val="00450352"/>
    <w:rsid w:val="00454661"/>
    <w:rsid w:val="00454BDB"/>
    <w:rsid w:val="004556A1"/>
    <w:rsid w:val="0046327B"/>
    <w:rsid w:val="00464800"/>
    <w:rsid w:val="00465132"/>
    <w:rsid w:val="00466264"/>
    <w:rsid w:val="00473278"/>
    <w:rsid w:val="00480C90"/>
    <w:rsid w:val="004829EA"/>
    <w:rsid w:val="0048396F"/>
    <w:rsid w:val="00493C18"/>
    <w:rsid w:val="004A600C"/>
    <w:rsid w:val="004A6118"/>
    <w:rsid w:val="004C478D"/>
    <w:rsid w:val="004C79F4"/>
    <w:rsid w:val="004D43D0"/>
    <w:rsid w:val="004E2C26"/>
    <w:rsid w:val="004F36FF"/>
    <w:rsid w:val="00500A32"/>
    <w:rsid w:val="005020C5"/>
    <w:rsid w:val="005117C2"/>
    <w:rsid w:val="005124EA"/>
    <w:rsid w:val="005125A8"/>
    <w:rsid w:val="00513336"/>
    <w:rsid w:val="00521AE8"/>
    <w:rsid w:val="00522DA9"/>
    <w:rsid w:val="00523564"/>
    <w:rsid w:val="00527180"/>
    <w:rsid w:val="00541F17"/>
    <w:rsid w:val="0054201E"/>
    <w:rsid w:val="00543445"/>
    <w:rsid w:val="00555291"/>
    <w:rsid w:val="00561D91"/>
    <w:rsid w:val="0056624E"/>
    <w:rsid w:val="00566AD1"/>
    <w:rsid w:val="0057062B"/>
    <w:rsid w:val="005710F1"/>
    <w:rsid w:val="00583EDE"/>
    <w:rsid w:val="00595A52"/>
    <w:rsid w:val="00595E5F"/>
    <w:rsid w:val="005A49D1"/>
    <w:rsid w:val="005A6079"/>
    <w:rsid w:val="005B2355"/>
    <w:rsid w:val="005B557F"/>
    <w:rsid w:val="005C52D9"/>
    <w:rsid w:val="005E4698"/>
    <w:rsid w:val="005E7619"/>
    <w:rsid w:val="005F7D3F"/>
    <w:rsid w:val="00610539"/>
    <w:rsid w:val="00611FCE"/>
    <w:rsid w:val="006120D0"/>
    <w:rsid w:val="00613969"/>
    <w:rsid w:val="00625C35"/>
    <w:rsid w:val="00633C48"/>
    <w:rsid w:val="00634498"/>
    <w:rsid w:val="006355D3"/>
    <w:rsid w:val="00641368"/>
    <w:rsid w:val="0065564F"/>
    <w:rsid w:val="00655B37"/>
    <w:rsid w:val="00656313"/>
    <w:rsid w:val="006565F4"/>
    <w:rsid w:val="0067664E"/>
    <w:rsid w:val="00677A3B"/>
    <w:rsid w:val="0068364A"/>
    <w:rsid w:val="00684EEA"/>
    <w:rsid w:val="00691B48"/>
    <w:rsid w:val="00691B5D"/>
    <w:rsid w:val="0069689B"/>
    <w:rsid w:val="006A1551"/>
    <w:rsid w:val="006A78E6"/>
    <w:rsid w:val="006B436B"/>
    <w:rsid w:val="006B5FF5"/>
    <w:rsid w:val="006D65D1"/>
    <w:rsid w:val="006F30AF"/>
    <w:rsid w:val="00701759"/>
    <w:rsid w:val="00705C15"/>
    <w:rsid w:val="00705D75"/>
    <w:rsid w:val="00706EA9"/>
    <w:rsid w:val="0071600E"/>
    <w:rsid w:val="007208D1"/>
    <w:rsid w:val="00734118"/>
    <w:rsid w:val="0073724D"/>
    <w:rsid w:val="00741336"/>
    <w:rsid w:val="00745534"/>
    <w:rsid w:val="00747288"/>
    <w:rsid w:val="00747DD3"/>
    <w:rsid w:val="007549C8"/>
    <w:rsid w:val="00754A07"/>
    <w:rsid w:val="00754A0B"/>
    <w:rsid w:val="007641EA"/>
    <w:rsid w:val="00766D14"/>
    <w:rsid w:val="00767A0F"/>
    <w:rsid w:val="00797F66"/>
    <w:rsid w:val="007A0581"/>
    <w:rsid w:val="007A05F6"/>
    <w:rsid w:val="007A126C"/>
    <w:rsid w:val="007A6588"/>
    <w:rsid w:val="007B6F4A"/>
    <w:rsid w:val="007B7139"/>
    <w:rsid w:val="007C4339"/>
    <w:rsid w:val="007D4BCD"/>
    <w:rsid w:val="007D7FBD"/>
    <w:rsid w:val="007E1C47"/>
    <w:rsid w:val="007E1FC0"/>
    <w:rsid w:val="007E337A"/>
    <w:rsid w:val="007E4D27"/>
    <w:rsid w:val="007E51F0"/>
    <w:rsid w:val="007E5C70"/>
    <w:rsid w:val="007F2FF5"/>
    <w:rsid w:val="007F3F08"/>
    <w:rsid w:val="00804CC6"/>
    <w:rsid w:val="008104FA"/>
    <w:rsid w:val="00817190"/>
    <w:rsid w:val="00820EE5"/>
    <w:rsid w:val="008260E2"/>
    <w:rsid w:val="008322BD"/>
    <w:rsid w:val="00833E0A"/>
    <w:rsid w:val="00834F73"/>
    <w:rsid w:val="0084014A"/>
    <w:rsid w:val="0084035C"/>
    <w:rsid w:val="00854C74"/>
    <w:rsid w:val="00864CF8"/>
    <w:rsid w:val="0087135A"/>
    <w:rsid w:val="00872819"/>
    <w:rsid w:val="00874914"/>
    <w:rsid w:val="008817B3"/>
    <w:rsid w:val="00891422"/>
    <w:rsid w:val="00892E1A"/>
    <w:rsid w:val="008A3ADD"/>
    <w:rsid w:val="008A3F29"/>
    <w:rsid w:val="008A75DB"/>
    <w:rsid w:val="008B660A"/>
    <w:rsid w:val="008C01DA"/>
    <w:rsid w:val="008E7AE3"/>
    <w:rsid w:val="008F6772"/>
    <w:rsid w:val="008F78E9"/>
    <w:rsid w:val="00901630"/>
    <w:rsid w:val="009029B2"/>
    <w:rsid w:val="00911989"/>
    <w:rsid w:val="009138AE"/>
    <w:rsid w:val="009179F9"/>
    <w:rsid w:val="00927A84"/>
    <w:rsid w:val="00933E5E"/>
    <w:rsid w:val="00935218"/>
    <w:rsid w:val="0093757E"/>
    <w:rsid w:val="009403F3"/>
    <w:rsid w:val="009502DA"/>
    <w:rsid w:val="0095127C"/>
    <w:rsid w:val="0095440E"/>
    <w:rsid w:val="009555B7"/>
    <w:rsid w:val="009567AA"/>
    <w:rsid w:val="00967374"/>
    <w:rsid w:val="009731BF"/>
    <w:rsid w:val="00981445"/>
    <w:rsid w:val="00990295"/>
    <w:rsid w:val="00994819"/>
    <w:rsid w:val="009A2701"/>
    <w:rsid w:val="009A343A"/>
    <w:rsid w:val="009B2F23"/>
    <w:rsid w:val="009B57B3"/>
    <w:rsid w:val="009B7BC7"/>
    <w:rsid w:val="009C0CB6"/>
    <w:rsid w:val="009C1B63"/>
    <w:rsid w:val="009C2F56"/>
    <w:rsid w:val="009C5B92"/>
    <w:rsid w:val="009C7974"/>
    <w:rsid w:val="009D2920"/>
    <w:rsid w:val="009D5AEB"/>
    <w:rsid w:val="009E4194"/>
    <w:rsid w:val="009F0E33"/>
    <w:rsid w:val="00A030CE"/>
    <w:rsid w:val="00A06A72"/>
    <w:rsid w:val="00A149DF"/>
    <w:rsid w:val="00A1755C"/>
    <w:rsid w:val="00A21B90"/>
    <w:rsid w:val="00A237BC"/>
    <w:rsid w:val="00A31E91"/>
    <w:rsid w:val="00A3229C"/>
    <w:rsid w:val="00A41805"/>
    <w:rsid w:val="00A42DCD"/>
    <w:rsid w:val="00A451B0"/>
    <w:rsid w:val="00A52AFB"/>
    <w:rsid w:val="00A52DD8"/>
    <w:rsid w:val="00A548CB"/>
    <w:rsid w:val="00A5521C"/>
    <w:rsid w:val="00A63267"/>
    <w:rsid w:val="00A643E7"/>
    <w:rsid w:val="00A73C38"/>
    <w:rsid w:val="00A84B86"/>
    <w:rsid w:val="00AA2971"/>
    <w:rsid w:val="00AA6BFF"/>
    <w:rsid w:val="00AB670D"/>
    <w:rsid w:val="00AC36A9"/>
    <w:rsid w:val="00AD0BF6"/>
    <w:rsid w:val="00AE4535"/>
    <w:rsid w:val="00AE79B8"/>
    <w:rsid w:val="00AF03C5"/>
    <w:rsid w:val="00AF61DA"/>
    <w:rsid w:val="00AF6FFC"/>
    <w:rsid w:val="00B000D8"/>
    <w:rsid w:val="00B00F75"/>
    <w:rsid w:val="00B02A32"/>
    <w:rsid w:val="00B145B6"/>
    <w:rsid w:val="00B222DB"/>
    <w:rsid w:val="00B279EB"/>
    <w:rsid w:val="00B47435"/>
    <w:rsid w:val="00B50C81"/>
    <w:rsid w:val="00B51EC7"/>
    <w:rsid w:val="00B557F8"/>
    <w:rsid w:val="00B7383F"/>
    <w:rsid w:val="00B8031D"/>
    <w:rsid w:val="00B815FC"/>
    <w:rsid w:val="00B817BC"/>
    <w:rsid w:val="00B91030"/>
    <w:rsid w:val="00B93FBC"/>
    <w:rsid w:val="00B97931"/>
    <w:rsid w:val="00BA1643"/>
    <w:rsid w:val="00BA7DA0"/>
    <w:rsid w:val="00BB2EE4"/>
    <w:rsid w:val="00BB3F16"/>
    <w:rsid w:val="00BC2108"/>
    <w:rsid w:val="00BD0E9E"/>
    <w:rsid w:val="00BD1BEC"/>
    <w:rsid w:val="00BD32FF"/>
    <w:rsid w:val="00BD3A98"/>
    <w:rsid w:val="00BD7B53"/>
    <w:rsid w:val="00BF3C7E"/>
    <w:rsid w:val="00BF6A41"/>
    <w:rsid w:val="00C02092"/>
    <w:rsid w:val="00C110AA"/>
    <w:rsid w:val="00C203C9"/>
    <w:rsid w:val="00C24D91"/>
    <w:rsid w:val="00C3560F"/>
    <w:rsid w:val="00C53F14"/>
    <w:rsid w:val="00C600CF"/>
    <w:rsid w:val="00C6084F"/>
    <w:rsid w:val="00C62A66"/>
    <w:rsid w:val="00C662A8"/>
    <w:rsid w:val="00C71458"/>
    <w:rsid w:val="00C7650E"/>
    <w:rsid w:val="00C77613"/>
    <w:rsid w:val="00C828E7"/>
    <w:rsid w:val="00C86719"/>
    <w:rsid w:val="00C87652"/>
    <w:rsid w:val="00C914C4"/>
    <w:rsid w:val="00C921DD"/>
    <w:rsid w:val="00C93F2E"/>
    <w:rsid w:val="00CA507B"/>
    <w:rsid w:val="00CA5C08"/>
    <w:rsid w:val="00CA608A"/>
    <w:rsid w:val="00CA6391"/>
    <w:rsid w:val="00CB3770"/>
    <w:rsid w:val="00CC34BD"/>
    <w:rsid w:val="00CC4103"/>
    <w:rsid w:val="00CC6829"/>
    <w:rsid w:val="00CC7C24"/>
    <w:rsid w:val="00CE161A"/>
    <w:rsid w:val="00CE16DD"/>
    <w:rsid w:val="00CE3171"/>
    <w:rsid w:val="00CE41A8"/>
    <w:rsid w:val="00CF1601"/>
    <w:rsid w:val="00D0172F"/>
    <w:rsid w:val="00D068A7"/>
    <w:rsid w:val="00D13E87"/>
    <w:rsid w:val="00D1565B"/>
    <w:rsid w:val="00D17476"/>
    <w:rsid w:val="00D23FB4"/>
    <w:rsid w:val="00D32086"/>
    <w:rsid w:val="00D3547D"/>
    <w:rsid w:val="00D37A3F"/>
    <w:rsid w:val="00D4431D"/>
    <w:rsid w:val="00D4667A"/>
    <w:rsid w:val="00D52F3E"/>
    <w:rsid w:val="00D63A1C"/>
    <w:rsid w:val="00D643CD"/>
    <w:rsid w:val="00D7327A"/>
    <w:rsid w:val="00D7516F"/>
    <w:rsid w:val="00D77136"/>
    <w:rsid w:val="00D8579F"/>
    <w:rsid w:val="00D95F8E"/>
    <w:rsid w:val="00DA0590"/>
    <w:rsid w:val="00DB7BEA"/>
    <w:rsid w:val="00DC1739"/>
    <w:rsid w:val="00DC1788"/>
    <w:rsid w:val="00DD172C"/>
    <w:rsid w:val="00DD5483"/>
    <w:rsid w:val="00DE15C9"/>
    <w:rsid w:val="00DE1C4A"/>
    <w:rsid w:val="00DE319C"/>
    <w:rsid w:val="00DE76D5"/>
    <w:rsid w:val="00DF0034"/>
    <w:rsid w:val="00DF0CA8"/>
    <w:rsid w:val="00DF2B48"/>
    <w:rsid w:val="00DF49A7"/>
    <w:rsid w:val="00E07EE2"/>
    <w:rsid w:val="00E07FD1"/>
    <w:rsid w:val="00E138FA"/>
    <w:rsid w:val="00E1423D"/>
    <w:rsid w:val="00E15689"/>
    <w:rsid w:val="00E176D8"/>
    <w:rsid w:val="00E24573"/>
    <w:rsid w:val="00E25E1E"/>
    <w:rsid w:val="00E27EE7"/>
    <w:rsid w:val="00E312EC"/>
    <w:rsid w:val="00E34264"/>
    <w:rsid w:val="00E35404"/>
    <w:rsid w:val="00E3666E"/>
    <w:rsid w:val="00E37EF6"/>
    <w:rsid w:val="00E45109"/>
    <w:rsid w:val="00E46C27"/>
    <w:rsid w:val="00E47B7A"/>
    <w:rsid w:val="00E56A44"/>
    <w:rsid w:val="00E60269"/>
    <w:rsid w:val="00E6140A"/>
    <w:rsid w:val="00E77932"/>
    <w:rsid w:val="00E77C24"/>
    <w:rsid w:val="00E840F8"/>
    <w:rsid w:val="00E914CB"/>
    <w:rsid w:val="00E97830"/>
    <w:rsid w:val="00EA3D67"/>
    <w:rsid w:val="00EA50DA"/>
    <w:rsid w:val="00EE643C"/>
    <w:rsid w:val="00EF0683"/>
    <w:rsid w:val="00EF1957"/>
    <w:rsid w:val="00EF69D2"/>
    <w:rsid w:val="00EF766E"/>
    <w:rsid w:val="00F0070C"/>
    <w:rsid w:val="00F00EB7"/>
    <w:rsid w:val="00F25640"/>
    <w:rsid w:val="00F36AB6"/>
    <w:rsid w:val="00F37A09"/>
    <w:rsid w:val="00F409CE"/>
    <w:rsid w:val="00F4379D"/>
    <w:rsid w:val="00F50D2D"/>
    <w:rsid w:val="00F56C8B"/>
    <w:rsid w:val="00F60DC0"/>
    <w:rsid w:val="00F61197"/>
    <w:rsid w:val="00F63F93"/>
    <w:rsid w:val="00F66810"/>
    <w:rsid w:val="00F846D9"/>
    <w:rsid w:val="00F84DF4"/>
    <w:rsid w:val="00F85C97"/>
    <w:rsid w:val="00FB37D2"/>
    <w:rsid w:val="00FB5464"/>
    <w:rsid w:val="00FC1A09"/>
    <w:rsid w:val="00FC4EFB"/>
    <w:rsid w:val="00FD068D"/>
    <w:rsid w:val="00FD1681"/>
    <w:rsid w:val="00FD4F28"/>
    <w:rsid w:val="00FE1942"/>
    <w:rsid w:val="00FE6784"/>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327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7327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7327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7327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7327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7327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7327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F2564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25640"/>
    <w:rPr>
      <w:rFonts w:eastAsiaTheme="minorEastAsia" w:cstheme="minorBidi"/>
      <w:sz w:val="24"/>
      <w:szCs w:val="22"/>
      <w:lang w:eastAsia="en-US"/>
    </w:rPr>
  </w:style>
  <w:style w:type="paragraph" w:customStyle="1" w:styleId="SCCCoram">
    <w:name w:val="SCC.Coram"/>
    <w:basedOn w:val="Normal"/>
    <w:next w:val="Normal"/>
    <w:link w:val="SCCCoramChar"/>
    <w:rsid w:val="00F2564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25640"/>
    <w:rPr>
      <w:rFonts w:eastAsiaTheme="minorHAnsi" w:cstheme="minorBidi"/>
      <w:sz w:val="24"/>
      <w:szCs w:val="22"/>
      <w:lang w:val="en-US" w:eastAsia="en-US" w:bidi="en-US"/>
    </w:rPr>
  </w:style>
  <w:style w:type="character" w:customStyle="1" w:styleId="Heading3Char">
    <w:name w:val="Heading 3 Char"/>
    <w:basedOn w:val="DefaultParagraphFont"/>
    <w:link w:val="Heading3"/>
    <w:uiPriority w:val="9"/>
    <w:semiHidden/>
    <w:rsid w:val="00D7327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7327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7327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7327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7327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7327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7327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7327A"/>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D7327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7327A"/>
    <w:rPr>
      <w:b/>
      <w:sz w:val="24"/>
    </w:rPr>
  </w:style>
  <w:style w:type="table" w:styleId="TableGrid">
    <w:name w:val="Table Grid"/>
    <w:basedOn w:val="TableNormal"/>
    <w:uiPriority w:val="59"/>
    <w:rsid w:val="00D7327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7327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7327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7327A"/>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D7327A"/>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7327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7327A"/>
    <w:pPr>
      <w:numPr>
        <w:ilvl w:val="2"/>
      </w:numPr>
      <w:outlineLvl w:val="2"/>
    </w:pPr>
  </w:style>
  <w:style w:type="paragraph" w:customStyle="1" w:styleId="Title4LevelTitre4Niveau">
    <w:name w:val="Title 4 Level / Titre 4 Niveau"/>
    <w:basedOn w:val="Title3LevelTitre3Niveau"/>
    <w:next w:val="ParaNoNdepar-AltN"/>
    <w:uiPriority w:val="4"/>
    <w:qFormat/>
    <w:rsid w:val="00D7327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7327A"/>
    <w:pPr>
      <w:numPr>
        <w:ilvl w:val="4"/>
      </w:numPr>
      <w:tabs>
        <w:tab w:val="clear" w:pos="1728"/>
        <w:tab w:val="num" w:pos="1440"/>
      </w:tabs>
      <w:outlineLvl w:val="4"/>
    </w:pPr>
  </w:style>
  <w:style w:type="paragraph" w:styleId="TOC1">
    <w:name w:val="toc 1"/>
    <w:basedOn w:val="Normal"/>
    <w:next w:val="Normal"/>
    <w:autoRedefine/>
    <w:uiPriority w:val="39"/>
    <w:unhideWhenUsed/>
    <w:rsid w:val="00D7327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7327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7327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7327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7327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7327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7327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7327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7327A"/>
    <w:pPr>
      <w:numPr>
        <w:ilvl w:val="5"/>
      </w:numPr>
      <w:jc w:val="both"/>
      <w:outlineLvl w:val="5"/>
    </w:pPr>
    <w:rPr>
      <w:i/>
      <w:u w:val="none"/>
    </w:rPr>
  </w:style>
  <w:style w:type="paragraph" w:styleId="FootnoteText">
    <w:name w:val="footnote text"/>
    <w:basedOn w:val="Normal"/>
    <w:link w:val="FootnoteTextChar"/>
    <w:uiPriority w:val="99"/>
    <w:unhideWhenUsed/>
    <w:rsid w:val="00D7327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7327A"/>
  </w:style>
  <w:style w:type="character" w:styleId="FootnoteReference">
    <w:name w:val="footnote reference"/>
    <w:basedOn w:val="DefaultParagraphFont"/>
    <w:uiPriority w:val="99"/>
    <w:semiHidden/>
    <w:unhideWhenUsed/>
    <w:rsid w:val="00D7327A"/>
    <w:rPr>
      <w:vertAlign w:val="superscript"/>
    </w:rPr>
  </w:style>
  <w:style w:type="character" w:customStyle="1" w:styleId="reflex3-block">
    <w:name w:val="reflex3-block"/>
    <w:basedOn w:val="DefaultParagraphFont"/>
    <w:rsid w:val="00D7327A"/>
  </w:style>
  <w:style w:type="character" w:styleId="Hyperlink">
    <w:name w:val="Hyperlink"/>
    <w:basedOn w:val="DefaultParagraphFont"/>
    <w:uiPriority w:val="99"/>
    <w:unhideWhenUsed/>
    <w:rsid w:val="00D7327A"/>
    <w:rPr>
      <w:color w:val="0000FF" w:themeColor="hyperlink"/>
      <w:u w:val="single"/>
    </w:rPr>
  </w:style>
  <w:style w:type="character" w:customStyle="1" w:styleId="reflex3-alt">
    <w:name w:val="reflex3-alt"/>
    <w:basedOn w:val="DefaultParagraphFont"/>
    <w:rsid w:val="00D7327A"/>
  </w:style>
  <w:style w:type="character" w:styleId="CommentReference">
    <w:name w:val="annotation reference"/>
    <w:basedOn w:val="DefaultParagraphFont"/>
    <w:uiPriority w:val="99"/>
    <w:semiHidden/>
    <w:unhideWhenUsed/>
    <w:rsid w:val="00D7327A"/>
    <w:rPr>
      <w:sz w:val="16"/>
      <w:szCs w:val="16"/>
    </w:rPr>
  </w:style>
  <w:style w:type="paragraph" w:styleId="CommentText">
    <w:name w:val="annotation text"/>
    <w:basedOn w:val="Normal"/>
    <w:link w:val="CommentTextChar"/>
    <w:uiPriority w:val="99"/>
    <w:unhideWhenUsed/>
    <w:rsid w:val="00D7327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7327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7327A"/>
    <w:rPr>
      <w:b/>
      <w:bCs/>
    </w:rPr>
  </w:style>
  <w:style w:type="character" w:customStyle="1" w:styleId="CommentSubjectChar">
    <w:name w:val="Comment Subject Char"/>
    <w:basedOn w:val="CommentTextChar"/>
    <w:link w:val="CommentSubject"/>
    <w:uiPriority w:val="99"/>
    <w:semiHidden/>
    <w:rsid w:val="00D7327A"/>
    <w:rPr>
      <w:rFonts w:eastAsiaTheme="minorHAnsi" w:cstheme="minorBidi"/>
      <w:b/>
      <w:bCs/>
      <w:szCs w:val="22"/>
      <w:lang w:val="en-US" w:eastAsia="en-US" w:bidi="en-US"/>
    </w:rPr>
  </w:style>
  <w:style w:type="paragraph" w:styleId="ListParagraph">
    <w:name w:val="List Paragraph"/>
    <w:basedOn w:val="Normal"/>
    <w:uiPriority w:val="34"/>
    <w:rsid w:val="00D7327A"/>
    <w:pPr>
      <w:ind w:left="720"/>
      <w:contextualSpacing/>
    </w:pPr>
    <w:rPr>
      <w:rFonts w:eastAsiaTheme="minorHAnsi" w:cstheme="minorBidi"/>
      <w:szCs w:val="22"/>
      <w:lang w:val="en-US" w:eastAsia="en-US" w:bidi="en-US"/>
    </w:rPr>
  </w:style>
  <w:style w:type="paragraph" w:styleId="Revision">
    <w:name w:val="Revision"/>
    <w:hidden/>
    <w:uiPriority w:val="99"/>
    <w:semiHidden/>
    <w:rsid w:val="00D7327A"/>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D7327A"/>
    <w:rPr>
      <w:smallCaps/>
      <w:sz w:val="24"/>
    </w:rPr>
  </w:style>
  <w:style w:type="paragraph" w:styleId="NoSpacing">
    <w:name w:val="No Spacing"/>
    <w:uiPriority w:val="1"/>
    <w:rsid w:val="00D7327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7327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7327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732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7327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7327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7327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7327A"/>
    <w:rPr>
      <w:i/>
      <w:iCs/>
    </w:rPr>
  </w:style>
  <w:style w:type="paragraph" w:styleId="IntenseQuote">
    <w:name w:val="Intense Quote"/>
    <w:basedOn w:val="Normal"/>
    <w:next w:val="Normal"/>
    <w:link w:val="IntenseQuoteChar"/>
    <w:uiPriority w:val="30"/>
    <w:rsid w:val="00D7327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7327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7327A"/>
    <w:rPr>
      <w:i/>
      <w:iCs/>
      <w:color w:val="808080" w:themeColor="text1" w:themeTint="7F"/>
    </w:rPr>
  </w:style>
  <w:style w:type="character" w:styleId="IntenseEmphasis">
    <w:name w:val="Intense Emphasis"/>
    <w:basedOn w:val="DefaultParagraphFont"/>
    <w:uiPriority w:val="21"/>
    <w:rsid w:val="00D7327A"/>
    <w:rPr>
      <w:b/>
      <w:bCs/>
      <w:i/>
      <w:iCs/>
      <w:color w:val="4F81BD" w:themeColor="accent1"/>
    </w:rPr>
  </w:style>
  <w:style w:type="character" w:styleId="SubtleReference">
    <w:name w:val="Subtle Reference"/>
    <w:basedOn w:val="DefaultParagraphFont"/>
    <w:uiPriority w:val="31"/>
    <w:rsid w:val="00D7327A"/>
    <w:rPr>
      <w:smallCaps/>
      <w:color w:val="C0504D" w:themeColor="accent2"/>
      <w:u w:val="single"/>
    </w:rPr>
  </w:style>
  <w:style w:type="character" w:styleId="IntenseReference">
    <w:name w:val="Intense Reference"/>
    <w:basedOn w:val="DefaultParagraphFont"/>
    <w:uiPriority w:val="32"/>
    <w:rsid w:val="00D7327A"/>
    <w:rPr>
      <w:b/>
      <w:bCs/>
      <w:smallCaps/>
      <w:color w:val="C0504D" w:themeColor="accent2"/>
      <w:spacing w:val="5"/>
      <w:u w:val="single"/>
    </w:rPr>
  </w:style>
  <w:style w:type="character" w:styleId="BookTitle">
    <w:name w:val="Book Title"/>
    <w:basedOn w:val="DefaultParagraphFont"/>
    <w:uiPriority w:val="33"/>
    <w:rsid w:val="00D7327A"/>
    <w:rPr>
      <w:b/>
      <w:bCs/>
      <w:smallCaps/>
      <w:spacing w:val="5"/>
    </w:rPr>
  </w:style>
  <w:style w:type="table" w:customStyle="1" w:styleId="TableGrid2">
    <w:name w:val="Table Grid2"/>
    <w:basedOn w:val="TableNormal"/>
    <w:next w:val="TableGrid"/>
    <w:uiPriority w:val="59"/>
    <w:rsid w:val="00D7327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60625">
      <w:bodyDiv w:val="1"/>
      <w:marLeft w:val="0"/>
      <w:marRight w:val="0"/>
      <w:marTop w:val="0"/>
      <w:marBottom w:val="0"/>
      <w:divBdr>
        <w:top w:val="none" w:sz="0" w:space="0" w:color="auto"/>
        <w:left w:val="none" w:sz="0" w:space="0" w:color="auto"/>
        <w:bottom w:val="none" w:sz="0" w:space="0" w:color="auto"/>
        <w:right w:val="none" w:sz="0" w:space="0" w:color="auto"/>
      </w:divBdr>
    </w:div>
    <w:div w:id="10196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D686-2CFA-4178-81D4-D502DDBF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24728</Words>
  <Characters>129912</Characters>
  <Application>Microsoft Office Word</Application>
  <DocSecurity>0</DocSecurity>
  <Lines>1082</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2017-12-20T12:52:00Z</dcterms:created>
  <dcterms:modified xsi:type="dcterms:W3CDTF">2018-07-30T13:43:00Z</dcterms:modified>
</cp:coreProperties>
</file>