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AC7" w:rsidRDefault="007F4AC7" w:rsidP="0058663E">
      <w:pPr>
        <w:pStyle w:val="Header"/>
        <w:jc w:val="center"/>
      </w:pPr>
      <w:r>
        <w:ptab w:relativeTo="margin" w:alignment="center" w:leader="none"/>
      </w:r>
      <w:r w:rsidRPr="00F72014">
        <w:t xml:space="preserve"> </w:t>
      </w:r>
      <w:bookmarkStart w:id="0" w:name="_GoBack"/>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pt;height:64.8pt" o:ole="">
            <v:imagedata r:id="rId7" o:title=""/>
          </v:shape>
          <o:OLEObject Type="Embed" ProgID="Presentations.Drawing.13" ShapeID="_x0000_i1025" DrawAspect="Content" ObjectID="_1615030355" r:id="rId8"/>
        </w:object>
      </w:r>
      <w:bookmarkEnd w:id="0"/>
      <w:r>
        <w:t xml:space="preserve"> </w:t>
      </w:r>
      <w:r>
        <w:ptab w:relativeTo="margin" w:alignment="right" w:leader="none"/>
      </w:r>
    </w:p>
    <w:p w:rsidR="007F4AC7" w:rsidRDefault="007F4AC7" w:rsidP="007F4AC7">
      <w:pPr>
        <w:pStyle w:val="Header"/>
      </w:pPr>
    </w:p>
    <w:p w:rsidR="007F4AC7" w:rsidRPr="006B210C" w:rsidRDefault="007F4AC7" w:rsidP="007F4AC7">
      <w:pPr>
        <w:jc w:val="center"/>
        <w:rPr>
          <w:b/>
        </w:rPr>
      </w:pPr>
      <w:r w:rsidRPr="006B210C">
        <w:rPr>
          <w:b/>
        </w:rPr>
        <w:t>SUPREME COURT OF CANADA</w:t>
      </w:r>
    </w:p>
    <w:p w:rsidR="007F4AC7" w:rsidRDefault="007F4AC7" w:rsidP="007F4AC7"/>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670"/>
        <w:gridCol w:w="3960"/>
      </w:tblGrid>
      <w:tr w:rsidR="007F4AC7" w:rsidRPr="006B210C" w:rsidTr="00754E0E">
        <w:trPr>
          <w:cantSplit/>
        </w:trPr>
        <w:tc>
          <w:tcPr>
            <w:tcW w:w="5670" w:type="dxa"/>
          </w:tcPr>
          <w:p w:rsidR="007F4AC7" w:rsidRPr="008069BA" w:rsidRDefault="007F4AC7" w:rsidP="007F4AC7">
            <w:pPr>
              <w:rPr>
                <w:lang w:val="fr-CA"/>
              </w:rPr>
            </w:pPr>
            <w:r w:rsidRPr="008069BA">
              <w:rPr>
                <w:b/>
                <w:smallCaps/>
                <w:lang w:val="fr-CA"/>
              </w:rPr>
              <w:t>Citation:</w:t>
            </w:r>
            <w:r w:rsidRPr="008069BA">
              <w:rPr>
                <w:lang w:val="fr-CA"/>
              </w:rPr>
              <w:t xml:space="preserve"> R. </w:t>
            </w:r>
            <w:r w:rsidRPr="008069BA">
              <w:rPr>
                <w:i/>
                <w:lang w:val="fr-CA"/>
              </w:rPr>
              <w:t>v.</w:t>
            </w:r>
            <w:r w:rsidRPr="008069BA">
              <w:rPr>
                <w:lang w:val="fr-CA"/>
              </w:rPr>
              <w:t xml:space="preserve"> </w:t>
            </w:r>
            <w:proofErr w:type="spellStart"/>
            <w:r w:rsidRPr="008069BA">
              <w:rPr>
                <w:lang w:val="fr-CA"/>
              </w:rPr>
              <w:t>Seipp</w:t>
            </w:r>
            <w:proofErr w:type="spellEnd"/>
            <w:r w:rsidRPr="008069BA">
              <w:rPr>
                <w:lang w:val="fr-CA"/>
              </w:rPr>
              <w:t xml:space="preserve">, 2018 SCC 1, [2018] 1 S.C.R. </w:t>
            </w:r>
            <w:r>
              <w:rPr>
                <w:lang w:val="fr-CA"/>
              </w:rPr>
              <w:t>3</w:t>
            </w:r>
          </w:p>
        </w:tc>
        <w:tc>
          <w:tcPr>
            <w:tcW w:w="3960" w:type="dxa"/>
          </w:tcPr>
          <w:p w:rsidR="007F4AC7" w:rsidRDefault="007F4AC7" w:rsidP="00754E0E">
            <w:r>
              <w:rPr>
                <w:b/>
                <w:smallCaps/>
              </w:rPr>
              <w:t>Appeal heard:</w:t>
            </w:r>
            <w:r w:rsidRPr="006B210C">
              <w:t xml:space="preserve"> </w:t>
            </w:r>
            <w:r>
              <w:t>January 16, 2018</w:t>
            </w:r>
          </w:p>
          <w:p w:rsidR="007F4AC7" w:rsidRPr="006B210C" w:rsidRDefault="007F4AC7" w:rsidP="00754E0E">
            <w:r>
              <w:rPr>
                <w:b/>
                <w:smallCaps/>
              </w:rPr>
              <w:t>Judgment rendered</w:t>
            </w:r>
            <w:r w:rsidRPr="003E41F2">
              <w:rPr>
                <w:b/>
                <w:smallCaps/>
              </w:rPr>
              <w:t>:</w:t>
            </w:r>
            <w:r>
              <w:t xml:space="preserve"> January 16, 2018</w:t>
            </w:r>
          </w:p>
          <w:p w:rsidR="007F4AC7" w:rsidRPr="006B210C" w:rsidRDefault="007F4AC7" w:rsidP="00754E0E">
            <w:r w:rsidRPr="005D4B83">
              <w:rPr>
                <w:b/>
                <w:smallCaps/>
              </w:rPr>
              <w:t>Docket:</w:t>
            </w:r>
            <w:r>
              <w:t xml:space="preserve"> 37513</w:t>
            </w:r>
          </w:p>
        </w:tc>
      </w:tr>
    </w:tbl>
    <w:p w:rsidR="007F4AC7" w:rsidRPr="006B210C" w:rsidRDefault="007F4AC7" w:rsidP="007F4AC7"/>
    <w:p w:rsidR="007F4AC7" w:rsidRDefault="007F4AC7" w:rsidP="007F4AC7">
      <w:pPr>
        <w:pStyle w:val="SCCLsocPrefix"/>
      </w:pPr>
      <w:r>
        <w:t>Between:</w:t>
      </w:r>
    </w:p>
    <w:p w:rsidR="007F4AC7" w:rsidRPr="00A53D62" w:rsidRDefault="007F4AC7" w:rsidP="007F4AC7">
      <w:pPr>
        <w:jc w:val="center"/>
        <w:rPr>
          <w:b/>
        </w:rPr>
      </w:pPr>
      <w:r w:rsidRPr="00A53D62">
        <w:rPr>
          <w:b/>
        </w:rPr>
        <w:t xml:space="preserve">Jeffery Thomas Raymond </w:t>
      </w:r>
      <w:proofErr w:type="spellStart"/>
      <w:r w:rsidRPr="00A53D62">
        <w:rPr>
          <w:b/>
        </w:rPr>
        <w:t>Seipp</w:t>
      </w:r>
      <w:proofErr w:type="spellEnd"/>
    </w:p>
    <w:p w:rsidR="007F4AC7" w:rsidRDefault="007F4AC7" w:rsidP="007F4AC7">
      <w:pPr>
        <w:jc w:val="center"/>
      </w:pPr>
      <w:r>
        <w:t>Appellant</w:t>
      </w:r>
    </w:p>
    <w:p w:rsidR="007F4AC7" w:rsidRPr="005D4B83" w:rsidRDefault="007F4AC7" w:rsidP="007F4AC7">
      <w:pPr>
        <w:jc w:val="center"/>
      </w:pPr>
    </w:p>
    <w:p w:rsidR="007F4AC7" w:rsidRDefault="007F4AC7" w:rsidP="007F4AC7">
      <w:pPr>
        <w:pStyle w:val="SCCLsocVersus"/>
        <w:spacing w:after="0"/>
        <w:jc w:val="center"/>
        <w:rPr>
          <w:i w:val="0"/>
        </w:rPr>
      </w:pPr>
      <w:proofErr w:type="gramStart"/>
      <w:r>
        <w:rPr>
          <w:i w:val="0"/>
        </w:rPr>
        <w:t>a</w:t>
      </w:r>
      <w:r w:rsidRPr="007F4AC7">
        <w:rPr>
          <w:i w:val="0"/>
        </w:rPr>
        <w:t>nd</w:t>
      </w:r>
      <w:proofErr w:type="gramEnd"/>
    </w:p>
    <w:p w:rsidR="007F4AC7" w:rsidRPr="007F4AC7" w:rsidRDefault="007F4AC7" w:rsidP="007F4AC7"/>
    <w:p w:rsidR="007F4AC7" w:rsidRDefault="007F4AC7" w:rsidP="007F4AC7">
      <w:pPr>
        <w:pStyle w:val="SCCLsocParty"/>
        <w:jc w:val="center"/>
      </w:pPr>
      <w:r>
        <w:t xml:space="preserve">Her Majesty </w:t>
      </w:r>
      <w:proofErr w:type="gramStart"/>
      <w:r>
        <w:t>The</w:t>
      </w:r>
      <w:proofErr w:type="gramEnd"/>
      <w:r>
        <w:t xml:space="preserve"> Queen</w:t>
      </w:r>
    </w:p>
    <w:p w:rsidR="007F4AC7" w:rsidRDefault="007F4AC7" w:rsidP="007F4AC7">
      <w:pPr>
        <w:jc w:val="center"/>
      </w:pPr>
      <w:r>
        <w:t>Respondent</w:t>
      </w:r>
    </w:p>
    <w:p w:rsidR="007F4AC7" w:rsidRDefault="007F4AC7" w:rsidP="009A6C53">
      <w:pPr>
        <w:jc w:val="center"/>
      </w:pPr>
    </w:p>
    <w:p w:rsidR="007F4AC7" w:rsidRDefault="009A6C53" w:rsidP="009A6C53">
      <w:pPr>
        <w:pStyle w:val="ListParagraph"/>
        <w:ind w:left="0"/>
        <w:jc w:val="center"/>
      </w:pPr>
      <w:r>
        <w:t>- a</w:t>
      </w:r>
      <w:r w:rsidR="007F4AC7">
        <w:t>nd</w:t>
      </w:r>
      <w:r>
        <w:t> -</w:t>
      </w:r>
    </w:p>
    <w:p w:rsidR="007F4AC7" w:rsidRDefault="007F4AC7" w:rsidP="009A6C53">
      <w:pPr>
        <w:jc w:val="center"/>
      </w:pPr>
    </w:p>
    <w:p w:rsidR="007F4AC7" w:rsidRDefault="007F4AC7" w:rsidP="007F4AC7">
      <w:pPr>
        <w:jc w:val="center"/>
        <w:rPr>
          <w:b/>
        </w:rPr>
      </w:pPr>
      <w:r w:rsidRPr="00A53D62">
        <w:rPr>
          <w:b/>
        </w:rPr>
        <w:t>Director of Public Prosecutions</w:t>
      </w:r>
    </w:p>
    <w:p w:rsidR="007F4AC7" w:rsidRPr="00A53D62" w:rsidRDefault="007F4AC7" w:rsidP="007F4AC7">
      <w:pPr>
        <w:jc w:val="center"/>
      </w:pPr>
      <w:r w:rsidRPr="00A53D62">
        <w:t>Intervener</w:t>
      </w:r>
    </w:p>
    <w:p w:rsidR="007F4AC7" w:rsidRDefault="007F4AC7" w:rsidP="007F4AC7"/>
    <w:p w:rsidR="007F4AC7" w:rsidRPr="00A53D62" w:rsidRDefault="007F4AC7" w:rsidP="007F4AC7"/>
    <w:p w:rsidR="007F4AC7" w:rsidRPr="007470F5" w:rsidRDefault="007F4AC7" w:rsidP="007F4AC7"/>
    <w:p w:rsidR="007F4AC7" w:rsidRPr="007470F5" w:rsidRDefault="007F4AC7" w:rsidP="007F4AC7"/>
    <w:p w:rsidR="007F4AC7" w:rsidRPr="006B210C" w:rsidRDefault="007F4AC7" w:rsidP="007F4AC7"/>
    <w:p w:rsidR="007F4AC7" w:rsidRPr="006B210C" w:rsidRDefault="007F4AC7" w:rsidP="007F4AC7"/>
    <w:p w:rsidR="007F4AC7" w:rsidRPr="006B210C" w:rsidRDefault="007F4AC7" w:rsidP="007F4AC7">
      <w:r w:rsidRPr="006B210C">
        <w:rPr>
          <w:b/>
          <w:smallCaps/>
        </w:rPr>
        <w:t>Coram</w:t>
      </w:r>
      <w:r>
        <w:rPr>
          <w:b/>
          <w:smallCaps/>
        </w:rPr>
        <w:t xml:space="preserve">: </w:t>
      </w:r>
      <w:r>
        <w:t>Wagner C.J. and Abella, Moldaver, Karakatsanis, Gascon, Côté, Brown, Rowe and Martin JJ.</w:t>
      </w:r>
    </w:p>
    <w:p w:rsidR="007F4AC7" w:rsidRPr="006B210C" w:rsidRDefault="007F4AC7" w:rsidP="007F4AC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7F4AC7" w:rsidRPr="006B210C" w:rsidTr="00754E0E">
        <w:trPr>
          <w:cantSplit/>
        </w:trPr>
        <w:tc>
          <w:tcPr>
            <w:tcW w:w="3618" w:type="dxa"/>
          </w:tcPr>
          <w:p w:rsidR="007F4AC7" w:rsidRDefault="007F4AC7" w:rsidP="00754E0E">
            <w:pPr>
              <w:rPr>
                <w:b/>
                <w:smallCaps/>
              </w:rPr>
            </w:pPr>
            <w:r w:rsidRPr="006B210C">
              <w:rPr>
                <w:b/>
                <w:smallCaps/>
              </w:rPr>
              <w:t xml:space="preserve">Reasons for </w:t>
            </w:r>
            <w:r>
              <w:rPr>
                <w:b/>
                <w:smallCaps/>
              </w:rPr>
              <w:t>Judgment:</w:t>
            </w:r>
          </w:p>
          <w:p w:rsidR="007F4AC7" w:rsidRPr="006B210C" w:rsidRDefault="007F4AC7" w:rsidP="00754E0E">
            <w:r>
              <w:t>(paras. 1 to 3)</w:t>
            </w:r>
          </w:p>
        </w:tc>
        <w:tc>
          <w:tcPr>
            <w:tcW w:w="5958" w:type="dxa"/>
          </w:tcPr>
          <w:p w:rsidR="007F4AC7" w:rsidRPr="006B210C" w:rsidRDefault="007F4AC7" w:rsidP="00754E0E">
            <w:r>
              <w:t>Wagner C.J. (Abella, Moldaver, Karakatsanis, Gascon, Côté, Brown, Rowe and Martin JJ. concurring)</w:t>
            </w:r>
          </w:p>
        </w:tc>
      </w:tr>
    </w:tbl>
    <w:p w:rsidR="007F4AC7" w:rsidRDefault="007F4AC7" w:rsidP="007F4AC7"/>
    <w:p w:rsidR="007F4AC7" w:rsidRPr="006B210C" w:rsidRDefault="007F4AC7" w:rsidP="007F4AC7"/>
    <w:p w:rsidR="007F4AC7" w:rsidRPr="006B210C" w:rsidRDefault="007F4AC7" w:rsidP="007F4AC7">
      <w:r>
        <w:rPr>
          <w:noProof/>
          <w:lang w:val="en-US" w:eastAsia="en-US"/>
        </w:rPr>
        <mc:AlternateContent>
          <mc:Choice Requires="wps">
            <w:drawing>
              <wp:anchor distT="0" distB="0" distL="114300" distR="114300" simplePos="0" relativeHeight="251659264" behindDoc="0" locked="0" layoutInCell="1" allowOverlap="1" wp14:anchorId="0A0CB98B" wp14:editId="2536B123">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08971B"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7F4AC7" w:rsidRDefault="007F4AC7" w:rsidP="007F4AC7"/>
    <w:p w:rsidR="007F4AC7" w:rsidRDefault="007F4AC7" w:rsidP="003C3205">
      <w:pPr>
        <w:widowControl w:val="0"/>
        <w:spacing w:line="480" w:lineRule="auto"/>
        <w:jc w:val="both"/>
        <w:rPr>
          <w:rStyle w:val="SCCAppellantForRunningHeadChar"/>
          <w:smallCaps w:val="0"/>
        </w:rPr>
      </w:pPr>
    </w:p>
    <w:p w:rsidR="008322BD" w:rsidRPr="007569F9" w:rsidRDefault="007569F9" w:rsidP="003C3205">
      <w:pPr>
        <w:widowControl w:val="0"/>
        <w:spacing w:line="480" w:lineRule="auto"/>
        <w:jc w:val="both"/>
        <w:rPr>
          <w:smallCaps/>
        </w:rPr>
      </w:pPr>
      <w:r>
        <w:rPr>
          <w:rStyle w:val="SCCAppellantForRunningHeadChar"/>
          <w:smallCaps w:val="0"/>
        </w:rPr>
        <w:t>R</w:t>
      </w:r>
      <w:r w:rsidR="003D27C4" w:rsidRPr="007569F9">
        <w:rPr>
          <w:rStyle w:val="SCCAppellantForRunningHeadChar"/>
          <w:smallCaps w:val="0"/>
        </w:rPr>
        <w:t xml:space="preserve">. </w:t>
      </w:r>
      <w:r w:rsidR="003D27C4" w:rsidRPr="007569F9">
        <w:rPr>
          <w:i/>
        </w:rPr>
        <w:t>v.</w:t>
      </w:r>
      <w:r w:rsidR="003D27C4" w:rsidRPr="007569F9">
        <w:rPr>
          <w:smallCaps/>
        </w:rPr>
        <w:t xml:space="preserve"> </w:t>
      </w:r>
      <w:proofErr w:type="spellStart"/>
      <w:r>
        <w:rPr>
          <w:rStyle w:val="SCCAppellantForRunningHeadChar"/>
          <w:smallCaps w:val="0"/>
        </w:rPr>
        <w:t>S</w:t>
      </w:r>
      <w:r w:rsidR="008F78E9" w:rsidRPr="007569F9">
        <w:rPr>
          <w:rStyle w:val="SCCAppellantForRunningHeadChar"/>
          <w:smallCaps w:val="0"/>
        </w:rPr>
        <w:t>eipp</w:t>
      </w:r>
      <w:proofErr w:type="spellEnd"/>
      <w:r>
        <w:rPr>
          <w:rStyle w:val="SCCAppellantForRunningHeadChar"/>
          <w:smallCaps w:val="0"/>
        </w:rPr>
        <w:t xml:space="preserve">, </w:t>
      </w:r>
      <w:r>
        <w:t xml:space="preserve">2018 </w:t>
      </w:r>
      <w:r w:rsidRPr="00C02092">
        <w:t>SCC </w:t>
      </w:r>
      <w:r>
        <w:t xml:space="preserve">1, [2018] 1 S.C.R. </w:t>
      </w:r>
      <w:r w:rsidR="0030386E">
        <w:t>3</w:t>
      </w:r>
    </w:p>
    <w:p w:rsidR="00766D14" w:rsidRDefault="00766D14" w:rsidP="003C3205">
      <w:pPr>
        <w:widowControl w:val="0"/>
        <w:jc w:val="both"/>
      </w:pPr>
    </w:p>
    <w:p w:rsidR="00A149DF" w:rsidRDefault="00A149DF" w:rsidP="003C3205">
      <w:pPr>
        <w:widowControl w:val="0"/>
        <w:jc w:val="both"/>
      </w:pPr>
    </w:p>
    <w:p w:rsidR="00A149DF" w:rsidRPr="001426A9" w:rsidRDefault="00A149DF" w:rsidP="003C3205">
      <w:pPr>
        <w:widowControl w:val="0"/>
        <w:jc w:val="both"/>
      </w:pPr>
    </w:p>
    <w:p w:rsidR="0012599B" w:rsidRDefault="004367F5" w:rsidP="003C3205">
      <w:pPr>
        <w:pStyle w:val="SCCLsocLastPartyInRole"/>
        <w:widowControl w:val="0"/>
      </w:pPr>
      <w:r>
        <w:t>Jeffery Thomas Raymond Seipp</w:t>
      </w:r>
      <w:r>
        <w:rPr>
          <w:rStyle w:val="SCCLsocPartyRole"/>
        </w:rPr>
        <w:tab/>
        <w:t>Appellant</w:t>
      </w:r>
    </w:p>
    <w:p w:rsidR="0012599B" w:rsidRDefault="004367F5" w:rsidP="003C3205">
      <w:pPr>
        <w:pStyle w:val="SCCLsocVersus"/>
        <w:widowControl w:val="0"/>
      </w:pPr>
      <w:r>
        <w:lastRenderedPageBreak/>
        <w:t>v.</w:t>
      </w:r>
    </w:p>
    <w:p w:rsidR="0012599B" w:rsidRDefault="003D27C4" w:rsidP="003C3205">
      <w:pPr>
        <w:pStyle w:val="SCCLsocLastPartyInRole"/>
        <w:widowControl w:val="0"/>
      </w:pPr>
      <w:r>
        <w:t>Her Majesty T</w:t>
      </w:r>
      <w:r w:rsidR="004367F5">
        <w:t>he Queen</w:t>
      </w:r>
      <w:r w:rsidR="004367F5">
        <w:rPr>
          <w:rStyle w:val="SCCLsocPartyRole"/>
        </w:rPr>
        <w:tab/>
        <w:t>Respondent</w:t>
      </w:r>
    </w:p>
    <w:p w:rsidR="0012599B" w:rsidRDefault="004367F5" w:rsidP="003C3205">
      <w:pPr>
        <w:pStyle w:val="SCCLsocOtherPartySeparator"/>
        <w:widowControl w:val="0"/>
      </w:pPr>
      <w:r>
        <w:t>and</w:t>
      </w:r>
    </w:p>
    <w:p w:rsidR="0012599B" w:rsidRDefault="004367F5" w:rsidP="003C3205">
      <w:pPr>
        <w:pStyle w:val="SCCLsocLastPartyInRole"/>
        <w:widowControl w:val="0"/>
      </w:pPr>
      <w:r>
        <w:t>Director of Public Prosecutions</w:t>
      </w:r>
      <w:r>
        <w:rPr>
          <w:rStyle w:val="SCCLsocPartyRole"/>
        </w:rPr>
        <w:tab/>
        <w:t>Intervener</w:t>
      </w:r>
    </w:p>
    <w:p w:rsidR="00766D14" w:rsidRDefault="00766D14" w:rsidP="003C3205">
      <w:pPr>
        <w:widowControl w:val="0"/>
        <w:jc w:val="both"/>
      </w:pPr>
    </w:p>
    <w:p w:rsidR="00A149DF" w:rsidRDefault="00A149DF" w:rsidP="003C3205">
      <w:pPr>
        <w:widowControl w:val="0"/>
        <w:jc w:val="both"/>
      </w:pPr>
    </w:p>
    <w:p w:rsidR="00A149DF" w:rsidRPr="001426A9" w:rsidRDefault="00A149DF" w:rsidP="003C3205">
      <w:pPr>
        <w:widowControl w:val="0"/>
        <w:jc w:val="both"/>
      </w:pPr>
    </w:p>
    <w:p w:rsidR="00426659" w:rsidRPr="00426659" w:rsidRDefault="00426659" w:rsidP="003C3205">
      <w:pPr>
        <w:widowControl w:val="0"/>
        <w:jc w:val="both"/>
        <w:rPr>
          <w:b/>
        </w:rPr>
      </w:pPr>
      <w:r w:rsidRPr="00426659">
        <w:rPr>
          <w:b/>
        </w:rPr>
        <w:t>Indexed as</w:t>
      </w:r>
      <w:r w:rsidR="00BA47E9">
        <w:rPr>
          <w:b/>
        </w:rPr>
        <w:t>:</w:t>
      </w:r>
      <w:r w:rsidR="00BA47E9" w:rsidRPr="00BA47E9">
        <w:rPr>
          <w:rStyle w:val="SCCRespondentForIndexChar"/>
        </w:rPr>
        <w:t xml:space="preserve"> </w:t>
      </w:r>
      <w:r w:rsidR="00BA47E9">
        <w:rPr>
          <w:rStyle w:val="SCCRespondentForIndexChar"/>
        </w:rPr>
        <w:t>R.</w:t>
      </w:r>
      <w:r>
        <w:rPr>
          <w:b/>
        </w:rPr>
        <w:t xml:space="preserve"> </w:t>
      </w:r>
      <w:r w:rsidR="00BA47E9" w:rsidRPr="00426659">
        <w:rPr>
          <w:b/>
          <w:i/>
        </w:rPr>
        <w:t>v.</w:t>
      </w:r>
      <w:r w:rsidR="00BA47E9" w:rsidRPr="00426659">
        <w:rPr>
          <w:b/>
        </w:rPr>
        <w:t xml:space="preserve"> </w:t>
      </w:r>
      <w:r>
        <w:rPr>
          <w:rStyle w:val="SCCAppellantForIndexChar"/>
        </w:rPr>
        <w:t>Seipp</w:t>
      </w:r>
    </w:p>
    <w:p w:rsidR="00426659" w:rsidRDefault="00426659" w:rsidP="003C3205">
      <w:pPr>
        <w:widowControl w:val="0"/>
        <w:jc w:val="both"/>
      </w:pPr>
    </w:p>
    <w:p w:rsidR="00A149DF" w:rsidRDefault="00A149DF" w:rsidP="003C3205">
      <w:pPr>
        <w:widowControl w:val="0"/>
        <w:jc w:val="both"/>
      </w:pPr>
    </w:p>
    <w:p w:rsidR="00A149DF" w:rsidRDefault="00A149DF" w:rsidP="003C3205">
      <w:pPr>
        <w:widowControl w:val="0"/>
        <w:jc w:val="both"/>
      </w:pPr>
    </w:p>
    <w:p w:rsidR="00426659" w:rsidRPr="00C02092" w:rsidRDefault="00AE4535" w:rsidP="003C3205">
      <w:pPr>
        <w:pStyle w:val="SCCSystemYear"/>
        <w:widowControl w:val="0"/>
        <w:jc w:val="both"/>
      </w:pPr>
      <w:r>
        <w:t>2018</w:t>
      </w:r>
      <w:r w:rsidR="003D0399">
        <w:t xml:space="preserve"> </w:t>
      </w:r>
      <w:r w:rsidR="00426659" w:rsidRPr="00C02092">
        <w:t>SCC </w:t>
      </w:r>
      <w:r w:rsidR="00C140C9">
        <w:t>1</w:t>
      </w:r>
    </w:p>
    <w:p w:rsidR="00426659" w:rsidRDefault="00426659" w:rsidP="003C3205">
      <w:pPr>
        <w:widowControl w:val="0"/>
        <w:jc w:val="both"/>
      </w:pPr>
    </w:p>
    <w:p w:rsidR="00A149DF" w:rsidRDefault="00A149DF" w:rsidP="003C3205">
      <w:pPr>
        <w:widowControl w:val="0"/>
        <w:jc w:val="both"/>
      </w:pPr>
    </w:p>
    <w:p w:rsidR="00A149DF" w:rsidRDefault="00A149DF" w:rsidP="003C3205">
      <w:pPr>
        <w:widowControl w:val="0"/>
        <w:jc w:val="both"/>
      </w:pPr>
    </w:p>
    <w:p w:rsidR="008322BD" w:rsidRDefault="00BA47E9" w:rsidP="003C3205">
      <w:pPr>
        <w:widowControl w:val="0"/>
        <w:jc w:val="both"/>
      </w:pPr>
      <w:r>
        <w:t xml:space="preserve">File No.: </w:t>
      </w:r>
      <w:r w:rsidR="009B57B3">
        <w:t>37513</w:t>
      </w:r>
      <w:r w:rsidR="009B57B3" w:rsidRPr="001426A9">
        <w:t>.</w:t>
      </w:r>
    </w:p>
    <w:p w:rsidR="00E97830" w:rsidRDefault="00E97830" w:rsidP="003C3205">
      <w:pPr>
        <w:widowControl w:val="0"/>
        <w:jc w:val="both"/>
      </w:pPr>
    </w:p>
    <w:p w:rsidR="00A149DF" w:rsidRDefault="00A149DF" w:rsidP="003C3205">
      <w:pPr>
        <w:widowControl w:val="0"/>
        <w:jc w:val="both"/>
      </w:pPr>
    </w:p>
    <w:p w:rsidR="00A149DF" w:rsidRDefault="00A149DF" w:rsidP="003C3205">
      <w:pPr>
        <w:widowControl w:val="0"/>
        <w:jc w:val="both"/>
      </w:pPr>
    </w:p>
    <w:p w:rsidR="008322BD" w:rsidRDefault="00BA47E9" w:rsidP="003C3205">
      <w:pPr>
        <w:widowControl w:val="0"/>
        <w:jc w:val="both"/>
      </w:pPr>
      <w:r>
        <w:t xml:space="preserve">2018: </w:t>
      </w:r>
      <w:r w:rsidR="00AE4535">
        <w:t>January 16</w:t>
      </w:r>
      <w:r w:rsidR="009B57B3" w:rsidRPr="001426A9">
        <w:t>.</w:t>
      </w:r>
    </w:p>
    <w:p w:rsidR="00E97830" w:rsidRDefault="00E97830" w:rsidP="003C3205">
      <w:pPr>
        <w:widowControl w:val="0"/>
        <w:jc w:val="both"/>
      </w:pPr>
    </w:p>
    <w:p w:rsidR="00A149DF" w:rsidRDefault="00A149DF" w:rsidP="003C3205">
      <w:pPr>
        <w:widowControl w:val="0"/>
        <w:jc w:val="both"/>
      </w:pPr>
    </w:p>
    <w:p w:rsidR="00A149DF" w:rsidRDefault="00A149DF" w:rsidP="003C3205">
      <w:pPr>
        <w:widowControl w:val="0"/>
        <w:jc w:val="both"/>
      </w:pPr>
    </w:p>
    <w:p w:rsidR="008322BD" w:rsidRDefault="00BA47E9" w:rsidP="003C3205">
      <w:pPr>
        <w:widowControl w:val="0"/>
      </w:pPr>
      <w:r>
        <w:t xml:space="preserve">Present: </w:t>
      </w:r>
      <w:r w:rsidR="009B57B3">
        <w:t>Wagner C.J. and Abella, Moldaver, Karakatsanis, Gascon, Côté, Brown, Rowe and Martin JJ.</w:t>
      </w:r>
    </w:p>
    <w:p w:rsidR="00E97830" w:rsidRDefault="00E97830" w:rsidP="003C3205">
      <w:pPr>
        <w:widowControl w:val="0"/>
        <w:jc w:val="both"/>
      </w:pPr>
    </w:p>
    <w:p w:rsidR="006A1551" w:rsidRDefault="006A1551" w:rsidP="003C3205">
      <w:pPr>
        <w:widowControl w:val="0"/>
        <w:jc w:val="both"/>
      </w:pPr>
    </w:p>
    <w:p w:rsidR="006A1551" w:rsidRDefault="006A1551" w:rsidP="003C3205">
      <w:pPr>
        <w:widowControl w:val="0"/>
        <w:jc w:val="both"/>
      </w:pPr>
    </w:p>
    <w:p w:rsidR="008322BD" w:rsidRPr="001C779F" w:rsidRDefault="00656313" w:rsidP="003C3205">
      <w:pPr>
        <w:pStyle w:val="SCCLowerCourtNameLowercase"/>
        <w:widowControl w:val="0"/>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 xml:space="preserve">court of appeal </w:t>
      </w:r>
      <w:r w:rsidR="000E449D">
        <w:t>for british columbia</w:t>
      </w:r>
    </w:p>
    <w:p w:rsidR="003A4C70" w:rsidRPr="001426A9" w:rsidRDefault="003A4C70" w:rsidP="003C3205">
      <w:pPr>
        <w:pStyle w:val="SCCNormalDoubleSpacing"/>
        <w:widowControl w:val="0"/>
      </w:pPr>
    </w:p>
    <w:p w:rsidR="00A149DF" w:rsidRPr="00C140C9" w:rsidRDefault="009B57B3" w:rsidP="003C3205">
      <w:pPr>
        <w:pStyle w:val="SCCNormalDoubleSpacing"/>
        <w:widowControl w:val="0"/>
        <w:rPr>
          <w:i/>
        </w:rPr>
      </w:pPr>
      <w:r w:rsidRPr="00583EDE">
        <w:tab/>
      </w:r>
      <w:r w:rsidR="0004424E">
        <w:rPr>
          <w:i/>
        </w:rPr>
        <w:t>Criminal law —</w:t>
      </w:r>
      <w:r w:rsidR="00675C0E">
        <w:rPr>
          <w:i/>
        </w:rPr>
        <w:t xml:space="preserve"> Failure to stop at scene of accident </w:t>
      </w:r>
      <w:r w:rsidR="0004424E">
        <w:rPr>
          <w:i/>
        </w:rPr>
        <w:t>—</w:t>
      </w:r>
      <w:r w:rsidR="00675C0E">
        <w:rPr>
          <w:i/>
        </w:rPr>
        <w:t xml:space="preserve"> Elements </w:t>
      </w:r>
      <w:r w:rsidR="00921B8F">
        <w:rPr>
          <w:i/>
        </w:rPr>
        <w:t xml:space="preserve">of offence </w:t>
      </w:r>
      <w:r w:rsidR="0004424E">
        <w:rPr>
          <w:i/>
        </w:rPr>
        <w:t>—</w:t>
      </w:r>
      <w:r w:rsidR="00921B8F">
        <w:rPr>
          <w:i/>
        </w:rPr>
        <w:t xml:space="preserve"> Mens rea </w:t>
      </w:r>
      <w:r w:rsidR="0004424E">
        <w:rPr>
          <w:i/>
        </w:rPr>
        <w:t>—</w:t>
      </w:r>
      <w:r w:rsidR="00675C0E">
        <w:rPr>
          <w:i/>
        </w:rPr>
        <w:t xml:space="preserve"> </w:t>
      </w:r>
      <w:r w:rsidR="00921B8F">
        <w:rPr>
          <w:i/>
        </w:rPr>
        <w:t>Intent</w:t>
      </w:r>
      <w:r w:rsidR="00675C0E">
        <w:rPr>
          <w:i/>
        </w:rPr>
        <w:t xml:space="preserve"> to escape civil or criminal liability </w:t>
      </w:r>
      <w:r w:rsidR="0004424E">
        <w:rPr>
          <w:i/>
        </w:rPr>
        <w:t>—</w:t>
      </w:r>
      <w:r w:rsidR="00675C0E">
        <w:rPr>
          <w:i/>
        </w:rPr>
        <w:t xml:space="preserve"> Accused</w:t>
      </w:r>
      <w:r w:rsidR="00944AB8">
        <w:rPr>
          <w:i/>
        </w:rPr>
        <w:t xml:space="preserve"> </w:t>
      </w:r>
      <w:r w:rsidR="00105CEC">
        <w:rPr>
          <w:i/>
        </w:rPr>
        <w:t xml:space="preserve">involved in </w:t>
      </w:r>
      <w:r w:rsidR="00105CEC">
        <w:rPr>
          <w:i/>
        </w:rPr>
        <w:lastRenderedPageBreak/>
        <w:t>accident while driving stolen car and fleeing scene of accident</w:t>
      </w:r>
      <w:r w:rsidR="00675C0E">
        <w:rPr>
          <w:i/>
        </w:rPr>
        <w:t xml:space="preserve"> </w:t>
      </w:r>
      <w:r w:rsidR="0004424E">
        <w:rPr>
          <w:i/>
        </w:rPr>
        <w:t>—</w:t>
      </w:r>
      <w:r w:rsidR="00675C0E">
        <w:rPr>
          <w:i/>
        </w:rPr>
        <w:t xml:space="preserve"> Defence counsel acknowledging at trial that elements of offence of failure to stop at scene of accident proven by Crown and acc</w:t>
      </w:r>
      <w:r w:rsidR="0004424E">
        <w:rPr>
          <w:i/>
        </w:rPr>
        <w:t>used convicted of that offence —</w:t>
      </w:r>
      <w:r w:rsidR="00675C0E">
        <w:rPr>
          <w:i/>
        </w:rPr>
        <w:t xml:space="preserve"> Court of Appeal rejecting accused’s claim of ineffective assistance of counsel </w:t>
      </w:r>
      <w:r w:rsidR="000C1D30">
        <w:rPr>
          <w:i/>
        </w:rPr>
        <w:t>and holding that “</w:t>
      </w:r>
      <w:r w:rsidR="000C1D30" w:rsidRPr="000C1D30">
        <w:rPr>
          <w:i/>
        </w:rPr>
        <w:t>civil or criminal liability</w:t>
      </w:r>
      <w:r w:rsidR="000C1D30">
        <w:rPr>
          <w:i/>
        </w:rPr>
        <w:t>”</w:t>
      </w:r>
      <w:r w:rsidR="000C1D30" w:rsidRPr="000C1D30">
        <w:rPr>
          <w:i/>
        </w:rPr>
        <w:t xml:space="preserve"> should be broadly interpreted to include any liability, civil or criminal, which might properly arise from op</w:t>
      </w:r>
      <w:r w:rsidR="000C1D30">
        <w:rPr>
          <w:i/>
        </w:rPr>
        <w:t>eration of motor vehicle</w:t>
      </w:r>
      <w:r w:rsidR="000C1D30" w:rsidRPr="000C1D30">
        <w:rPr>
          <w:i/>
        </w:rPr>
        <w:t xml:space="preserve"> at time accident takes place</w:t>
      </w:r>
      <w:r w:rsidR="000C1D30">
        <w:rPr>
          <w:i/>
        </w:rPr>
        <w:t xml:space="preserve"> </w:t>
      </w:r>
      <w:r w:rsidR="0004424E">
        <w:rPr>
          <w:i/>
        </w:rPr>
        <w:t>—</w:t>
      </w:r>
      <w:r w:rsidR="00530E33">
        <w:rPr>
          <w:i/>
        </w:rPr>
        <w:t xml:space="preserve"> Court of Appeal finding that driving</w:t>
      </w:r>
      <w:r w:rsidR="00530E33" w:rsidRPr="00530E33">
        <w:rPr>
          <w:i/>
        </w:rPr>
        <w:t xml:space="preserve"> stolen car when involved in </w:t>
      </w:r>
      <w:r w:rsidR="00530E33">
        <w:rPr>
          <w:i/>
        </w:rPr>
        <w:t>accident</w:t>
      </w:r>
      <w:r w:rsidR="00530E33" w:rsidRPr="00530E33">
        <w:rPr>
          <w:i/>
        </w:rPr>
        <w:t xml:space="preserve"> and</w:t>
      </w:r>
      <w:r w:rsidR="00530E33">
        <w:rPr>
          <w:i/>
        </w:rPr>
        <w:t xml:space="preserve"> fleeing to avoid detection as driver</w:t>
      </w:r>
      <w:r w:rsidR="00530E33" w:rsidRPr="00530E33">
        <w:rPr>
          <w:i/>
        </w:rPr>
        <w:t xml:space="preserve"> is sufficiently related to event to be captured by intent of legislation</w:t>
      </w:r>
      <w:r w:rsidR="00944AB8">
        <w:rPr>
          <w:i/>
        </w:rPr>
        <w:t>, and that f</w:t>
      </w:r>
      <w:r w:rsidR="00530E33" w:rsidRPr="00530E33">
        <w:rPr>
          <w:i/>
        </w:rPr>
        <w:t xml:space="preserve">leeing to avoid arrest as driver of stolen vehicle is not </w:t>
      </w:r>
      <w:r w:rsidR="00944AB8">
        <w:rPr>
          <w:i/>
        </w:rPr>
        <w:t>“</w:t>
      </w:r>
      <w:r w:rsidR="00530E33" w:rsidRPr="00530E33">
        <w:rPr>
          <w:i/>
        </w:rPr>
        <w:t>evidence to the contrary</w:t>
      </w:r>
      <w:r w:rsidR="00944AB8">
        <w:rPr>
          <w:i/>
        </w:rPr>
        <w:t xml:space="preserve">” </w:t>
      </w:r>
      <w:r w:rsidR="0004424E">
        <w:rPr>
          <w:i/>
        </w:rPr>
        <w:t>— Conviction upheld —</w:t>
      </w:r>
      <w:r w:rsidR="00675C0E">
        <w:rPr>
          <w:i/>
        </w:rPr>
        <w:t xml:space="preserve"> Criminal Code, R.S.C. 1985, c. C-46, s. 252</w:t>
      </w:r>
      <w:r w:rsidR="00A8336D">
        <w:rPr>
          <w:i/>
        </w:rPr>
        <w:t>(1), (2)</w:t>
      </w:r>
      <w:r w:rsidR="00675C0E">
        <w:rPr>
          <w:i/>
        </w:rPr>
        <w:t>.</w:t>
      </w:r>
    </w:p>
    <w:p w:rsidR="00921B8F" w:rsidRDefault="00921B8F" w:rsidP="003C3205">
      <w:pPr>
        <w:pStyle w:val="SCCNormalDoubleSpacing"/>
        <w:widowControl w:val="0"/>
      </w:pPr>
    </w:p>
    <w:p w:rsidR="00AB61A2" w:rsidRDefault="00AB61A2" w:rsidP="003C3205">
      <w:pPr>
        <w:pStyle w:val="SCCNormalDoubleSpacing"/>
        <w:widowControl w:val="0"/>
        <w:spacing w:after="720" w:line="240" w:lineRule="auto"/>
      </w:pPr>
      <w:r w:rsidRPr="00314E01">
        <w:rPr>
          <w:b/>
        </w:rPr>
        <w:t>Statut</w:t>
      </w:r>
      <w:r w:rsidRPr="0063073D">
        <w:rPr>
          <w:b/>
        </w:rPr>
        <w:t>e</w:t>
      </w:r>
      <w:r w:rsidRPr="00314E01">
        <w:rPr>
          <w:b/>
        </w:rPr>
        <w:t>s and Regulations Cite</w:t>
      </w:r>
      <w:r>
        <w:rPr>
          <w:b/>
        </w:rPr>
        <w:t>d</w:t>
      </w:r>
    </w:p>
    <w:p w:rsidR="00AB61A2" w:rsidRPr="003C3205" w:rsidRDefault="00AB61A2" w:rsidP="003C3205">
      <w:pPr>
        <w:pStyle w:val="SCCNormalDoubleSpacing"/>
        <w:widowControl w:val="0"/>
        <w:rPr>
          <w:lang w:val="en-US"/>
        </w:rPr>
      </w:pPr>
      <w:r w:rsidRPr="003C3205">
        <w:rPr>
          <w:i/>
          <w:lang w:val="en-US"/>
        </w:rPr>
        <w:t>Criminal Code</w:t>
      </w:r>
      <w:r w:rsidRPr="003C3205">
        <w:rPr>
          <w:lang w:val="en-US"/>
        </w:rPr>
        <w:t xml:space="preserve">, R.S.C. 1985, c. C-46, </w:t>
      </w:r>
      <w:r w:rsidR="007E227A" w:rsidRPr="003C3205">
        <w:rPr>
          <w:lang w:val="en-US"/>
        </w:rPr>
        <w:t>s. 252(1).</w:t>
      </w:r>
    </w:p>
    <w:p w:rsidR="00AB61A2" w:rsidRPr="003C3205" w:rsidRDefault="00AB61A2" w:rsidP="003C3205">
      <w:pPr>
        <w:pStyle w:val="SCCNormalDoubleSpacing"/>
        <w:widowControl w:val="0"/>
        <w:rPr>
          <w:lang w:val="en-US"/>
        </w:rPr>
      </w:pPr>
    </w:p>
    <w:p w:rsidR="00656313" w:rsidRDefault="009B57B3" w:rsidP="003C3205">
      <w:pPr>
        <w:pStyle w:val="SCCNormalDoubleSpacing"/>
        <w:widowControl w:val="0"/>
      </w:pPr>
      <w:r w:rsidRPr="003C3205">
        <w:rPr>
          <w:lang w:val="en-US"/>
        </w:rPr>
        <w:tab/>
      </w:r>
      <w:r w:rsidRPr="001426A9">
        <w:t xml:space="preserve">APPEAL from a judgment of the </w:t>
      </w:r>
      <w:r w:rsidR="005C6532">
        <w:t>British Columbia Court of Appeal</w:t>
      </w:r>
      <w:r>
        <w:t xml:space="preserve"> (</w:t>
      </w:r>
      <w:r w:rsidR="005C6532">
        <w:t>Smith, Bennett and MacKenzie JJ.A.</w:t>
      </w:r>
      <w:r>
        <w:t>)</w:t>
      </w:r>
      <w:r w:rsidR="005C6532">
        <w:t xml:space="preserve">, 2017 BCCA 54, 344 C.C.C. (3d) 401, 5 M.V.R. (7th) 179, 35 C.R. (7th) 196, [2017] B.C.J. No. 176 (QL), 2017 CarswellBC 226 (WL Can.), </w:t>
      </w:r>
      <w:r w:rsidR="00E17AE9" w:rsidRPr="00675C0E">
        <w:t xml:space="preserve">affirming the conviction </w:t>
      </w:r>
      <w:r w:rsidR="005E3A2F" w:rsidRPr="00675C0E">
        <w:t xml:space="preserve">of the accused </w:t>
      </w:r>
      <w:r w:rsidR="00E17AE9" w:rsidRPr="00675C0E">
        <w:t xml:space="preserve">for </w:t>
      </w:r>
      <w:r w:rsidR="0014013F" w:rsidRPr="00675C0E">
        <w:t>failure to stop at</w:t>
      </w:r>
      <w:r w:rsidR="00E17AE9" w:rsidRPr="00675C0E">
        <w:t xml:space="preserve"> the scene of an accident</w:t>
      </w:r>
      <w:r w:rsidR="00E17AE9">
        <w:t>.</w:t>
      </w:r>
      <w:r w:rsidR="00C140C9">
        <w:t xml:space="preserve"> Appeal </w:t>
      </w:r>
      <w:r w:rsidR="000E449D" w:rsidRPr="000E449D">
        <w:t>dismissed</w:t>
      </w:r>
      <w:r w:rsidR="00C140C9">
        <w:t>.</w:t>
      </w:r>
    </w:p>
    <w:p w:rsidR="00656313" w:rsidRDefault="00656313" w:rsidP="003C3205">
      <w:pPr>
        <w:pStyle w:val="SCCNormalDoubleSpacing"/>
        <w:widowControl w:val="0"/>
      </w:pPr>
    </w:p>
    <w:p w:rsidR="0012599B" w:rsidRDefault="004367F5" w:rsidP="003C3205">
      <w:pPr>
        <w:pStyle w:val="SCCNormalDoubleSpacing"/>
        <w:widowControl w:val="0"/>
      </w:pPr>
      <w:r>
        <w:rPr>
          <w:rStyle w:val="SCCCounselNameChar"/>
        </w:rPr>
        <w:tab/>
        <w:t>Nicholas J. Preovolos</w:t>
      </w:r>
      <w:r w:rsidR="00BF79F3" w:rsidRPr="00BF79F3">
        <w:rPr>
          <w:rStyle w:val="SCCCounselNameChar"/>
          <w:i w:val="0"/>
        </w:rPr>
        <w:t xml:space="preserve">, </w:t>
      </w:r>
      <w:r w:rsidR="00BF79F3" w:rsidRPr="00BF79F3">
        <w:rPr>
          <w:rStyle w:val="SCCCounselNameChar"/>
        </w:rPr>
        <w:t>Michael Sobkin</w:t>
      </w:r>
      <w:r>
        <w:rPr>
          <w:rStyle w:val="SCCCounselSeparatorChar"/>
        </w:rPr>
        <w:t xml:space="preserve"> and </w:t>
      </w:r>
      <w:r>
        <w:rPr>
          <w:rStyle w:val="SCCCounselNameChar"/>
        </w:rPr>
        <w:t>Harry G. Stevenson</w:t>
      </w:r>
      <w:r>
        <w:rPr>
          <w:rStyle w:val="SCCCounselPartyRoleChar"/>
        </w:rPr>
        <w:t xml:space="preserve">, for the </w:t>
      </w:r>
      <w:r>
        <w:rPr>
          <w:rStyle w:val="SCCCounselPartyRoleChar"/>
        </w:rPr>
        <w:lastRenderedPageBreak/>
        <w:t>appellant.</w:t>
      </w:r>
    </w:p>
    <w:p w:rsidR="0012599B" w:rsidRDefault="0012599B" w:rsidP="003C3205">
      <w:pPr>
        <w:pStyle w:val="SCCNormalDoubleSpacing"/>
        <w:widowControl w:val="0"/>
      </w:pPr>
    </w:p>
    <w:p w:rsidR="0012599B" w:rsidRDefault="004367F5" w:rsidP="003C3205">
      <w:pPr>
        <w:pStyle w:val="SCCNormalDoubleSpacing"/>
        <w:widowControl w:val="0"/>
      </w:pPr>
      <w:r>
        <w:rPr>
          <w:rStyle w:val="SCCCounselNameChar"/>
        </w:rPr>
        <w:tab/>
        <w:t>Megan A. Street</w:t>
      </w:r>
      <w:r>
        <w:rPr>
          <w:rStyle w:val="SCCCounselPartyRoleChar"/>
        </w:rPr>
        <w:t>, for the respondent.</w:t>
      </w:r>
    </w:p>
    <w:p w:rsidR="0012599B" w:rsidRDefault="0012599B" w:rsidP="003C3205">
      <w:pPr>
        <w:pStyle w:val="SCCNormalDoubleSpacing"/>
        <w:widowControl w:val="0"/>
      </w:pPr>
    </w:p>
    <w:p w:rsidR="0012599B" w:rsidRDefault="004367F5" w:rsidP="003C3205">
      <w:pPr>
        <w:pStyle w:val="SCCNormalDoubleSpacing"/>
        <w:widowControl w:val="0"/>
        <w:rPr>
          <w:rStyle w:val="SCCCounselPartyRoleChar"/>
        </w:rPr>
      </w:pPr>
      <w:r>
        <w:rPr>
          <w:rStyle w:val="SCCCounselNameChar"/>
        </w:rPr>
        <w:tab/>
      </w:r>
      <w:r w:rsidR="00BF79F3">
        <w:rPr>
          <w:rStyle w:val="SCCCounselNameChar"/>
        </w:rPr>
        <w:t xml:space="preserve">Mark Covan </w:t>
      </w:r>
      <w:r w:rsidR="00BF79F3">
        <w:rPr>
          <w:rStyle w:val="SCCCounselSeparatorChar"/>
        </w:rPr>
        <w:t>and</w:t>
      </w:r>
      <w:r w:rsidR="00BF79F3">
        <w:rPr>
          <w:rStyle w:val="SCCCounselNameChar"/>
        </w:rPr>
        <w:t xml:space="preserve"> </w:t>
      </w:r>
      <w:r>
        <w:rPr>
          <w:rStyle w:val="SCCCounselNameChar"/>
        </w:rPr>
        <w:t>Eric Marcoux</w:t>
      </w:r>
      <w:r>
        <w:rPr>
          <w:rStyle w:val="SCCCounselPartyRoleChar"/>
        </w:rPr>
        <w:t>, for the intervener.</w:t>
      </w:r>
    </w:p>
    <w:p w:rsidR="001E605A" w:rsidRDefault="001E605A" w:rsidP="003C3205">
      <w:pPr>
        <w:pStyle w:val="SCCNormalDoubleSpacing"/>
        <w:widowControl w:val="0"/>
        <w:rPr>
          <w:rStyle w:val="SCCCounselPartyRoleChar"/>
        </w:rPr>
      </w:pPr>
    </w:p>
    <w:p w:rsidR="001E605A" w:rsidRDefault="001E605A" w:rsidP="003C3205">
      <w:pPr>
        <w:pStyle w:val="SCCNormalDoubleSpacing"/>
        <w:widowControl w:val="0"/>
      </w:pPr>
      <w:r>
        <w:rPr>
          <w:rStyle w:val="SCCCounselPartyRoleChar"/>
        </w:rPr>
        <w:tab/>
        <w:t xml:space="preserve">The judgment of </w:t>
      </w:r>
      <w:r w:rsidRPr="000E449D">
        <w:rPr>
          <w:rStyle w:val="SCCCounselPartyRoleChar"/>
        </w:rPr>
        <w:t>the Court</w:t>
      </w:r>
      <w:r>
        <w:rPr>
          <w:rStyle w:val="SCCCounselPartyRoleChar"/>
        </w:rPr>
        <w:t xml:space="preserve"> was delivered </w:t>
      </w:r>
      <w:r w:rsidR="00C140C9">
        <w:rPr>
          <w:rStyle w:val="SCCCounselPartyRoleChar"/>
        </w:rPr>
        <w:t xml:space="preserve">orally </w:t>
      </w:r>
      <w:r>
        <w:rPr>
          <w:rStyle w:val="SCCCounselPartyRoleChar"/>
        </w:rPr>
        <w:t>by</w:t>
      </w:r>
    </w:p>
    <w:p w:rsidR="0012599B" w:rsidRDefault="000E449D" w:rsidP="003C3205">
      <w:pPr>
        <w:pStyle w:val="SCCNormalDoubleSpacing"/>
        <w:widowControl w:val="0"/>
        <w:numPr>
          <w:ilvl w:val="0"/>
          <w:numId w:val="1"/>
        </w:numPr>
        <w:spacing w:before="480" w:after="480"/>
        <w:ind w:left="0" w:firstLine="0"/>
      </w:pPr>
      <w:r w:rsidRPr="000E449D">
        <w:rPr>
          <w:smallCaps/>
        </w:rPr>
        <w:t>The Chief Justice</w:t>
      </w:r>
      <w:r w:rsidR="001E605A" w:rsidRPr="003503E3">
        <w:t xml:space="preserve"> —</w:t>
      </w:r>
      <w:r w:rsidR="001E605A">
        <w:t xml:space="preserve"> </w:t>
      </w:r>
      <w:r w:rsidRPr="000E449D">
        <w:t xml:space="preserve">Mr. Seipp was convicted of the offence of failure to stop at the scene of an accident, contrary to s. 252(1) of the </w:t>
      </w:r>
      <w:r w:rsidRPr="000E449D">
        <w:rPr>
          <w:i/>
        </w:rPr>
        <w:t>Criminal Code</w:t>
      </w:r>
      <w:r w:rsidRPr="000E449D">
        <w:t>, R.S.C. 1985, c. C-46. The British Columbia Court of Appeal upheld his conviction. We would not interfere.</w:t>
      </w:r>
    </w:p>
    <w:p w:rsidR="000E449D" w:rsidRPr="00F54F74" w:rsidRDefault="000E449D" w:rsidP="003C3205">
      <w:pPr>
        <w:pStyle w:val="SCCNormalDoubleSpacing"/>
        <w:widowControl w:val="0"/>
        <w:numPr>
          <w:ilvl w:val="0"/>
          <w:numId w:val="1"/>
        </w:numPr>
        <w:spacing w:before="480" w:after="480"/>
        <w:ind w:left="0" w:firstLine="0"/>
      </w:pPr>
      <w:r w:rsidRPr="00F54F74">
        <w:t xml:space="preserve">We are all of the view that Mr. Seipp’s conviction was not a miscarriage of justice. Mr. Seipp had control of a vehicle involved in an accident. He fled the scene without providing his name or address. In the absence of evidence to the contrary, this was proof of the requisite intent for the offence. </w:t>
      </w:r>
    </w:p>
    <w:p w:rsidR="000E449D" w:rsidRDefault="000E449D" w:rsidP="003C3205">
      <w:pPr>
        <w:pStyle w:val="SCCNormalDoubleSpacing"/>
        <w:widowControl w:val="0"/>
        <w:numPr>
          <w:ilvl w:val="0"/>
          <w:numId w:val="1"/>
        </w:numPr>
        <w:spacing w:before="480" w:after="480"/>
        <w:ind w:left="0" w:firstLine="0"/>
      </w:pPr>
      <w:r w:rsidRPr="000E449D">
        <w:t xml:space="preserve">The evidence on which Mr. Seipp relies is that he fled the scene to avoid criminal liability for possession of a stolen vehicle. This is not evidence to the contrary. Rather, it is evidence that Mr. Seipp intended to avoid criminal or civil liability from his care, charge, or control of the vehicle involved in the accident. Such an intent falls within the ambit of the </w:t>
      </w:r>
      <w:r w:rsidRPr="000E449D">
        <w:rPr>
          <w:i/>
        </w:rPr>
        <w:t>mens rea</w:t>
      </w:r>
      <w:r w:rsidRPr="000E449D">
        <w:t xml:space="preserve"> established by the expression “intent to escape civil or criminal liability” in s. 252(1). As a result, Mr. Seipp suffered no prejudice from his </w:t>
      </w:r>
      <w:r w:rsidRPr="000E449D">
        <w:lastRenderedPageBreak/>
        <w:t>trial counsel’s admission that the elements of the offence had been made out. For these reasons, the appeal is dismissed.</w:t>
      </w:r>
    </w:p>
    <w:p w:rsidR="001E605A" w:rsidRDefault="004367F5" w:rsidP="003C3205">
      <w:pPr>
        <w:pStyle w:val="SCCLawFirm"/>
        <w:widowControl w:val="0"/>
      </w:pPr>
      <w:r>
        <w:tab/>
      </w:r>
      <w:r w:rsidR="001E605A">
        <w:t>Judgment accordingly.</w:t>
      </w:r>
    </w:p>
    <w:p w:rsidR="001E605A" w:rsidRDefault="001E605A" w:rsidP="003C3205">
      <w:pPr>
        <w:pStyle w:val="SCCLawFirm"/>
        <w:widowControl w:val="0"/>
      </w:pPr>
    </w:p>
    <w:p w:rsidR="0012599B" w:rsidRDefault="001E605A" w:rsidP="003C3205">
      <w:pPr>
        <w:pStyle w:val="SCCLawFirm"/>
        <w:widowControl w:val="0"/>
      </w:pPr>
      <w:r>
        <w:tab/>
        <w:t xml:space="preserve">Solicitors for the appellant: </w:t>
      </w:r>
      <w:r w:rsidR="004367F5">
        <w:t>N.J. Preovolos Law Corporation, New Westminster</w:t>
      </w:r>
      <w:r>
        <w:t>, B.C.</w:t>
      </w:r>
      <w:r w:rsidR="00BF79F3">
        <w:t>; Michael Sobkin, Ottawa; Harry G. Stevenson, Vancouver.</w:t>
      </w:r>
    </w:p>
    <w:p w:rsidR="0012599B" w:rsidRDefault="0012599B" w:rsidP="003C3205">
      <w:pPr>
        <w:pStyle w:val="SCCLawFirm"/>
        <w:widowControl w:val="0"/>
      </w:pPr>
    </w:p>
    <w:p w:rsidR="0012599B" w:rsidRDefault="001E605A" w:rsidP="003C3205">
      <w:pPr>
        <w:pStyle w:val="SCCLawFirm"/>
        <w:widowControl w:val="0"/>
      </w:pPr>
      <w:r>
        <w:tab/>
        <w:t xml:space="preserve">Solicitor for the respondent: </w:t>
      </w:r>
      <w:r w:rsidR="004367F5">
        <w:t>Attorney General of British Columbia, Vancouver.</w:t>
      </w:r>
    </w:p>
    <w:p w:rsidR="0012599B" w:rsidRDefault="0012599B" w:rsidP="003C3205">
      <w:pPr>
        <w:pStyle w:val="SCCLawFirm"/>
        <w:widowControl w:val="0"/>
      </w:pPr>
    </w:p>
    <w:p w:rsidR="0012599B" w:rsidRDefault="001E605A" w:rsidP="003C3205">
      <w:pPr>
        <w:pStyle w:val="SCCLawFirm"/>
        <w:widowControl w:val="0"/>
      </w:pPr>
      <w:r>
        <w:tab/>
        <w:t>Solicitor</w:t>
      </w:r>
      <w:r w:rsidR="004367F5">
        <w:t xml:space="preserve"> for the intervener</w:t>
      </w:r>
      <w:r>
        <w:t>: Director of Public Prosecutions</w:t>
      </w:r>
      <w:r w:rsidR="004367F5">
        <w:t xml:space="preserve">, </w:t>
      </w:r>
      <w:r w:rsidR="00CE2BCA">
        <w:t xml:space="preserve">Halifax and </w:t>
      </w:r>
      <w:r w:rsidR="004367F5">
        <w:t>Whitehorse.</w:t>
      </w:r>
    </w:p>
    <w:sectPr w:rsidR="0012599B" w:rsidSect="0004424E">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24E" w:rsidRDefault="0004424E">
    <w:pPr>
      <w:pStyle w:val="Header"/>
      <w:jc w:val="center"/>
    </w:pPr>
  </w:p>
  <w:p w:rsidR="0004424E" w:rsidRDefault="000442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84FE8"/>
    <w:multiLevelType w:val="hybridMultilevel"/>
    <w:tmpl w:val="95623740"/>
    <w:lvl w:ilvl="0" w:tplc="3B3257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52F68"/>
    <w:multiLevelType w:val="hybridMultilevel"/>
    <w:tmpl w:val="659CB042"/>
    <w:lvl w:ilvl="0" w:tplc="07BE650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B73636"/>
    <w:multiLevelType w:val="hybridMultilevel"/>
    <w:tmpl w:val="078CEF9C"/>
    <w:lvl w:ilvl="0" w:tplc="BD564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4424E"/>
    <w:rsid w:val="000578A3"/>
    <w:rsid w:val="000648CC"/>
    <w:rsid w:val="000C1D30"/>
    <w:rsid w:val="000C59B8"/>
    <w:rsid w:val="000C6AF0"/>
    <w:rsid w:val="000E449D"/>
    <w:rsid w:val="00104F33"/>
    <w:rsid w:val="00105CEC"/>
    <w:rsid w:val="00111DE2"/>
    <w:rsid w:val="00116B38"/>
    <w:rsid w:val="0012599B"/>
    <w:rsid w:val="00135406"/>
    <w:rsid w:val="00135972"/>
    <w:rsid w:val="0014013F"/>
    <w:rsid w:val="001426A9"/>
    <w:rsid w:val="00154D7C"/>
    <w:rsid w:val="001570B0"/>
    <w:rsid w:val="0015752C"/>
    <w:rsid w:val="00157737"/>
    <w:rsid w:val="00165277"/>
    <w:rsid w:val="00170592"/>
    <w:rsid w:val="00186351"/>
    <w:rsid w:val="00195D83"/>
    <w:rsid w:val="001A00C1"/>
    <w:rsid w:val="001B33E0"/>
    <w:rsid w:val="001B4573"/>
    <w:rsid w:val="001C779F"/>
    <w:rsid w:val="001D2AC1"/>
    <w:rsid w:val="001D4E88"/>
    <w:rsid w:val="001E605A"/>
    <w:rsid w:val="00220FC2"/>
    <w:rsid w:val="002222F4"/>
    <w:rsid w:val="00224FC0"/>
    <w:rsid w:val="00225EA4"/>
    <w:rsid w:val="00226EAF"/>
    <w:rsid w:val="00231F3A"/>
    <w:rsid w:val="00234199"/>
    <w:rsid w:val="002406EE"/>
    <w:rsid w:val="00243EC8"/>
    <w:rsid w:val="00270D93"/>
    <w:rsid w:val="002745CC"/>
    <w:rsid w:val="002B7924"/>
    <w:rsid w:val="002D28C3"/>
    <w:rsid w:val="002D39A4"/>
    <w:rsid w:val="002E6705"/>
    <w:rsid w:val="00301D08"/>
    <w:rsid w:val="0030329A"/>
    <w:rsid w:val="0030386E"/>
    <w:rsid w:val="0031086F"/>
    <w:rsid w:val="0031414C"/>
    <w:rsid w:val="00314E01"/>
    <w:rsid w:val="0032089D"/>
    <w:rsid w:val="003310DE"/>
    <w:rsid w:val="003323B0"/>
    <w:rsid w:val="0035169A"/>
    <w:rsid w:val="0035259D"/>
    <w:rsid w:val="00364B18"/>
    <w:rsid w:val="00392172"/>
    <w:rsid w:val="003A125D"/>
    <w:rsid w:val="003A4C70"/>
    <w:rsid w:val="003B215F"/>
    <w:rsid w:val="003C3205"/>
    <w:rsid w:val="003C799C"/>
    <w:rsid w:val="003D0399"/>
    <w:rsid w:val="003D27C4"/>
    <w:rsid w:val="003E1C71"/>
    <w:rsid w:val="003F327B"/>
    <w:rsid w:val="00406166"/>
    <w:rsid w:val="0040704B"/>
    <w:rsid w:val="00410A55"/>
    <w:rsid w:val="00411300"/>
    <w:rsid w:val="00415417"/>
    <w:rsid w:val="00426659"/>
    <w:rsid w:val="004367F5"/>
    <w:rsid w:val="00450352"/>
    <w:rsid w:val="00454BDB"/>
    <w:rsid w:val="00464800"/>
    <w:rsid w:val="00465132"/>
    <w:rsid w:val="00480C90"/>
    <w:rsid w:val="0048396F"/>
    <w:rsid w:val="00493C18"/>
    <w:rsid w:val="004A600C"/>
    <w:rsid w:val="004A6118"/>
    <w:rsid w:val="004C478D"/>
    <w:rsid w:val="004E2C26"/>
    <w:rsid w:val="004F36FF"/>
    <w:rsid w:val="005125A8"/>
    <w:rsid w:val="00521AE8"/>
    <w:rsid w:val="00527180"/>
    <w:rsid w:val="00530E33"/>
    <w:rsid w:val="0054201E"/>
    <w:rsid w:val="00555291"/>
    <w:rsid w:val="00566AD1"/>
    <w:rsid w:val="00583EDE"/>
    <w:rsid w:val="0058663E"/>
    <w:rsid w:val="005A6079"/>
    <w:rsid w:val="005C6532"/>
    <w:rsid w:val="005E3A2F"/>
    <w:rsid w:val="005E4698"/>
    <w:rsid w:val="00610539"/>
    <w:rsid w:val="00613969"/>
    <w:rsid w:val="00625C35"/>
    <w:rsid w:val="00656313"/>
    <w:rsid w:val="006565F4"/>
    <w:rsid w:val="00675C0E"/>
    <w:rsid w:val="00684EEA"/>
    <w:rsid w:val="0069689B"/>
    <w:rsid w:val="006A1551"/>
    <w:rsid w:val="006B5FF5"/>
    <w:rsid w:val="006F30AF"/>
    <w:rsid w:val="00701759"/>
    <w:rsid w:val="00705C15"/>
    <w:rsid w:val="0071600E"/>
    <w:rsid w:val="007208D1"/>
    <w:rsid w:val="00747288"/>
    <w:rsid w:val="00747DD3"/>
    <w:rsid w:val="007549C8"/>
    <w:rsid w:val="00754A0B"/>
    <w:rsid w:val="007569F9"/>
    <w:rsid w:val="00766D14"/>
    <w:rsid w:val="00767A0F"/>
    <w:rsid w:val="007A05F6"/>
    <w:rsid w:val="007B6F4A"/>
    <w:rsid w:val="007E1C47"/>
    <w:rsid w:val="007E227A"/>
    <w:rsid w:val="007E337A"/>
    <w:rsid w:val="007E5C70"/>
    <w:rsid w:val="007F2FF5"/>
    <w:rsid w:val="007F3F08"/>
    <w:rsid w:val="007F4AC7"/>
    <w:rsid w:val="00804CC6"/>
    <w:rsid w:val="00817190"/>
    <w:rsid w:val="00820EE5"/>
    <w:rsid w:val="008260E2"/>
    <w:rsid w:val="008322BD"/>
    <w:rsid w:val="00833E0A"/>
    <w:rsid w:val="00834F73"/>
    <w:rsid w:val="00864CF8"/>
    <w:rsid w:val="00872819"/>
    <w:rsid w:val="00874914"/>
    <w:rsid w:val="00884B0E"/>
    <w:rsid w:val="00891422"/>
    <w:rsid w:val="00892E1A"/>
    <w:rsid w:val="008977EC"/>
    <w:rsid w:val="008A3F29"/>
    <w:rsid w:val="008A561A"/>
    <w:rsid w:val="008B660A"/>
    <w:rsid w:val="008C01DA"/>
    <w:rsid w:val="008E061A"/>
    <w:rsid w:val="008F78E9"/>
    <w:rsid w:val="00910731"/>
    <w:rsid w:val="00911989"/>
    <w:rsid w:val="009179F9"/>
    <w:rsid w:val="00921B8F"/>
    <w:rsid w:val="00933E5E"/>
    <w:rsid w:val="00935218"/>
    <w:rsid w:val="009403F3"/>
    <w:rsid w:val="00944AB8"/>
    <w:rsid w:val="009555B7"/>
    <w:rsid w:val="009567AA"/>
    <w:rsid w:val="00967374"/>
    <w:rsid w:val="009A343A"/>
    <w:rsid w:val="009A6C53"/>
    <w:rsid w:val="009B2F23"/>
    <w:rsid w:val="009B57B3"/>
    <w:rsid w:val="009C5B92"/>
    <w:rsid w:val="009D2920"/>
    <w:rsid w:val="009D5AEB"/>
    <w:rsid w:val="009F0E33"/>
    <w:rsid w:val="00A030CE"/>
    <w:rsid w:val="00A149DF"/>
    <w:rsid w:val="00A1755C"/>
    <w:rsid w:val="00A21B90"/>
    <w:rsid w:val="00A41805"/>
    <w:rsid w:val="00A42DCD"/>
    <w:rsid w:val="00A52AFB"/>
    <w:rsid w:val="00A548CB"/>
    <w:rsid w:val="00A5521C"/>
    <w:rsid w:val="00A643E7"/>
    <w:rsid w:val="00A73C38"/>
    <w:rsid w:val="00A8336D"/>
    <w:rsid w:val="00AB61A2"/>
    <w:rsid w:val="00AB670D"/>
    <w:rsid w:val="00AE4535"/>
    <w:rsid w:val="00AF03C5"/>
    <w:rsid w:val="00B000D8"/>
    <w:rsid w:val="00B00F75"/>
    <w:rsid w:val="00B145B6"/>
    <w:rsid w:val="00B279EB"/>
    <w:rsid w:val="00B50C81"/>
    <w:rsid w:val="00B557F8"/>
    <w:rsid w:val="00B815FC"/>
    <w:rsid w:val="00B93FBC"/>
    <w:rsid w:val="00BA47E9"/>
    <w:rsid w:val="00BA7DA0"/>
    <w:rsid w:val="00BB2EE4"/>
    <w:rsid w:val="00BC2108"/>
    <w:rsid w:val="00BD0E9E"/>
    <w:rsid w:val="00BD1BEC"/>
    <w:rsid w:val="00BD32FF"/>
    <w:rsid w:val="00BF79F3"/>
    <w:rsid w:val="00C02092"/>
    <w:rsid w:val="00C140C9"/>
    <w:rsid w:val="00C24D91"/>
    <w:rsid w:val="00C460C2"/>
    <w:rsid w:val="00C53F14"/>
    <w:rsid w:val="00C600CF"/>
    <w:rsid w:val="00C6084F"/>
    <w:rsid w:val="00C62A66"/>
    <w:rsid w:val="00C71458"/>
    <w:rsid w:val="00C77613"/>
    <w:rsid w:val="00C828E7"/>
    <w:rsid w:val="00C86719"/>
    <w:rsid w:val="00C921DD"/>
    <w:rsid w:val="00CA6391"/>
    <w:rsid w:val="00CC34BD"/>
    <w:rsid w:val="00CE161A"/>
    <w:rsid w:val="00CE2BCA"/>
    <w:rsid w:val="00CE3171"/>
    <w:rsid w:val="00CF1601"/>
    <w:rsid w:val="00D0172F"/>
    <w:rsid w:val="00D068A7"/>
    <w:rsid w:val="00D17476"/>
    <w:rsid w:val="00D32086"/>
    <w:rsid w:val="00D37A3F"/>
    <w:rsid w:val="00D4431D"/>
    <w:rsid w:val="00D4667A"/>
    <w:rsid w:val="00D63A1C"/>
    <w:rsid w:val="00D7516F"/>
    <w:rsid w:val="00D8579F"/>
    <w:rsid w:val="00D95F8E"/>
    <w:rsid w:val="00DA0590"/>
    <w:rsid w:val="00DB7BEA"/>
    <w:rsid w:val="00DC1739"/>
    <w:rsid w:val="00DC1788"/>
    <w:rsid w:val="00DE319C"/>
    <w:rsid w:val="00DF0CA8"/>
    <w:rsid w:val="00DF2B48"/>
    <w:rsid w:val="00DF49A7"/>
    <w:rsid w:val="00E07EE2"/>
    <w:rsid w:val="00E07FD1"/>
    <w:rsid w:val="00E176D8"/>
    <w:rsid w:val="00E17AE9"/>
    <w:rsid w:val="00E24573"/>
    <w:rsid w:val="00E25E1E"/>
    <w:rsid w:val="00E27EE7"/>
    <w:rsid w:val="00E35404"/>
    <w:rsid w:val="00E45109"/>
    <w:rsid w:val="00E47B7A"/>
    <w:rsid w:val="00E56A44"/>
    <w:rsid w:val="00E60269"/>
    <w:rsid w:val="00E77932"/>
    <w:rsid w:val="00E97830"/>
    <w:rsid w:val="00EE643C"/>
    <w:rsid w:val="00EF0683"/>
    <w:rsid w:val="00EF69D2"/>
    <w:rsid w:val="00EF766E"/>
    <w:rsid w:val="00F0070C"/>
    <w:rsid w:val="00F00EB7"/>
    <w:rsid w:val="00F36AB6"/>
    <w:rsid w:val="00F37A09"/>
    <w:rsid w:val="00F409CE"/>
    <w:rsid w:val="00F4379D"/>
    <w:rsid w:val="00F50D2D"/>
    <w:rsid w:val="00F56C8B"/>
    <w:rsid w:val="00F66810"/>
    <w:rsid w:val="00F846D9"/>
    <w:rsid w:val="00F84DF4"/>
    <w:rsid w:val="00F85C97"/>
    <w:rsid w:val="00FB37D2"/>
    <w:rsid w:val="00FC4EFB"/>
    <w:rsid w:val="00FD068D"/>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styleId="ListParagraph">
    <w:name w:val="List Paragraph"/>
    <w:basedOn w:val="Normal"/>
    <w:uiPriority w:val="34"/>
    <w:qFormat/>
    <w:rsid w:val="000E449D"/>
    <w:pPr>
      <w:ind w:left="720"/>
      <w:contextualSpacing/>
    </w:pPr>
  </w:style>
  <w:style w:type="table" w:styleId="TableGrid">
    <w:name w:val="Table Grid"/>
    <w:basedOn w:val="TableNormal"/>
    <w:uiPriority w:val="59"/>
    <w:rsid w:val="007F4AC7"/>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7F4AC7"/>
    <w:rPr>
      <w:szCs w:val="24"/>
      <w:lang w:val="en-CA"/>
    </w:rPr>
  </w:style>
  <w:style w:type="paragraph" w:customStyle="1" w:styleId="SCCLsocPrefix">
    <w:name w:val="SCC.Lsoc.Prefix"/>
    <w:basedOn w:val="Normal"/>
    <w:next w:val="Normal"/>
    <w:link w:val="SCCLsocPrefixChar"/>
    <w:rsid w:val="007F4AC7"/>
    <w:rPr>
      <w:rFonts w:eastAsiaTheme="minorHAnsi" w:cstheme="minorBidi"/>
      <w:b/>
      <w:smallCaps/>
      <w:szCs w:val="24"/>
      <w:lang w:eastAsia="en-US"/>
    </w:rPr>
  </w:style>
  <w:style w:type="character" w:customStyle="1" w:styleId="SCCLsocPrefixChar">
    <w:name w:val="SCC.Lsoc.Prefix Char"/>
    <w:basedOn w:val="DefaultParagraphFont"/>
    <w:link w:val="SCCLsocPrefix"/>
    <w:rsid w:val="007F4AC7"/>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670</Words>
  <Characters>3551</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2018-01-16T18:57:00Z</dcterms:created>
  <dcterms:modified xsi:type="dcterms:W3CDTF">2019-03-25T18:46:00Z</dcterms:modified>
</cp:coreProperties>
</file>