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AF" w:rsidRDefault="009A3FAF" w:rsidP="005D469D">
      <w:pPr>
        <w:pStyle w:val="Header"/>
        <w:jc w:val="center"/>
      </w:pPr>
      <w:r>
        <w:ptab w:relativeTo="margin" w:alignment="center" w:leader="none"/>
      </w:r>
      <w:r w:rsidRPr="00F72014">
        <w:t xml:space="preserve"> </w:t>
      </w:r>
      <w:bookmarkStart w:id="0" w:name="_GoBack"/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8pt;height:64.8pt" o:ole="">
            <v:imagedata r:id="rId7" o:title=""/>
          </v:shape>
          <o:OLEObject Type="Embed" ProgID="Presentations.Drawing.13" ShapeID="_x0000_i1025" DrawAspect="Content" ObjectID="_1615031218" r:id="rId8"/>
        </w:object>
      </w:r>
      <w:bookmarkEnd w:id="0"/>
      <w:r>
        <w:t xml:space="preserve"> </w:t>
      </w:r>
      <w:r>
        <w:ptab w:relativeTo="margin" w:alignment="right" w:leader="none"/>
      </w:r>
    </w:p>
    <w:p w:rsidR="009A3FAF" w:rsidRDefault="009A3FAF" w:rsidP="009A3FAF">
      <w:pPr>
        <w:pStyle w:val="Header"/>
      </w:pPr>
    </w:p>
    <w:p w:rsidR="009A3FAF" w:rsidRPr="006B210C" w:rsidRDefault="009A3FAF" w:rsidP="009A3FAF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9A3FAF" w:rsidRDefault="009A3FAF" w:rsidP="009A3FAF"/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670"/>
        <w:gridCol w:w="3960"/>
      </w:tblGrid>
      <w:tr w:rsidR="009A3FAF" w:rsidRPr="006B210C" w:rsidTr="00316470">
        <w:trPr>
          <w:cantSplit/>
        </w:trPr>
        <w:tc>
          <w:tcPr>
            <w:tcW w:w="5670" w:type="dxa"/>
          </w:tcPr>
          <w:p w:rsidR="009A3FAF" w:rsidRPr="00103095" w:rsidRDefault="009A3FAF" w:rsidP="00316470">
            <w:pPr>
              <w:rPr>
                <w:lang w:val="fr-CA"/>
              </w:rPr>
            </w:pPr>
            <w:r w:rsidRPr="00103095">
              <w:rPr>
                <w:b/>
                <w:smallCaps/>
                <w:lang w:val="fr-CA"/>
              </w:rPr>
              <w:t>Citation:</w:t>
            </w:r>
            <w:r w:rsidRPr="00103095">
              <w:rPr>
                <w:lang w:val="fr-CA"/>
              </w:rPr>
              <w:t xml:space="preserve"> R. </w:t>
            </w:r>
            <w:r w:rsidRPr="00103095">
              <w:rPr>
                <w:i/>
                <w:lang w:val="fr-CA"/>
              </w:rPr>
              <w:t>v.</w:t>
            </w:r>
            <w:r w:rsidRPr="00103095">
              <w:rPr>
                <w:lang w:val="fr-CA"/>
              </w:rPr>
              <w:t xml:space="preserve"> R.A., 2018 SCC 13, [2018] 1 S.C.R. </w:t>
            </w:r>
            <w:r>
              <w:rPr>
                <w:lang w:val="fr-CA"/>
              </w:rPr>
              <w:t>307</w:t>
            </w:r>
          </w:p>
        </w:tc>
        <w:tc>
          <w:tcPr>
            <w:tcW w:w="3960" w:type="dxa"/>
          </w:tcPr>
          <w:p w:rsidR="009A3FAF" w:rsidRDefault="009A3FAF" w:rsidP="00316470"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March 23, 2018</w:t>
            </w:r>
          </w:p>
          <w:p w:rsidR="009A3FAF" w:rsidRPr="006B210C" w:rsidRDefault="009A3FAF" w:rsidP="00316470">
            <w:r>
              <w:rPr>
                <w:b/>
                <w:smallCaps/>
              </w:rPr>
              <w:t>Judgment rendered</w:t>
            </w:r>
            <w:r w:rsidRPr="003E41F2">
              <w:rPr>
                <w:b/>
                <w:smallCaps/>
              </w:rPr>
              <w:t>:</w:t>
            </w:r>
            <w:r>
              <w:t xml:space="preserve"> March 23, 2018</w:t>
            </w:r>
          </w:p>
          <w:p w:rsidR="009A3FAF" w:rsidRPr="006B210C" w:rsidRDefault="009A3FAF" w:rsidP="00316470">
            <w:r w:rsidRPr="005D4B83">
              <w:rPr>
                <w:b/>
                <w:smallCaps/>
              </w:rPr>
              <w:t>Docket:</w:t>
            </w:r>
            <w:r>
              <w:t xml:space="preserve"> 37757</w:t>
            </w:r>
          </w:p>
        </w:tc>
      </w:tr>
    </w:tbl>
    <w:p w:rsidR="009A3FAF" w:rsidRPr="006B210C" w:rsidRDefault="009A3FAF" w:rsidP="009A3FAF"/>
    <w:p w:rsidR="009A3FAF" w:rsidRDefault="009A3FAF" w:rsidP="009A3FAF">
      <w:pPr>
        <w:pStyle w:val="SCCLsocPrefix"/>
      </w:pPr>
      <w:r>
        <w:t>Between:</w:t>
      </w:r>
    </w:p>
    <w:p w:rsidR="009A3FAF" w:rsidRPr="00A53D62" w:rsidRDefault="009A3FAF" w:rsidP="009A3FAF">
      <w:pPr>
        <w:jc w:val="center"/>
        <w:rPr>
          <w:b/>
        </w:rPr>
      </w:pPr>
      <w:r>
        <w:rPr>
          <w:b/>
        </w:rPr>
        <w:t>R.A.</w:t>
      </w:r>
    </w:p>
    <w:p w:rsidR="009A3FAF" w:rsidRDefault="009A3FAF" w:rsidP="009A3FAF">
      <w:pPr>
        <w:jc w:val="center"/>
      </w:pPr>
      <w:r>
        <w:t>Appellant</w:t>
      </w:r>
    </w:p>
    <w:p w:rsidR="009A3FAF" w:rsidRPr="005D4B83" w:rsidRDefault="009A3FAF" w:rsidP="009A3FAF">
      <w:pPr>
        <w:jc w:val="center"/>
      </w:pPr>
    </w:p>
    <w:p w:rsidR="009A3FAF" w:rsidRPr="009A3FAF" w:rsidRDefault="009A3FAF" w:rsidP="009A3FAF">
      <w:pPr>
        <w:pStyle w:val="SCCLsocVersus"/>
        <w:spacing w:after="0"/>
        <w:jc w:val="center"/>
        <w:rPr>
          <w:i w:val="0"/>
        </w:rPr>
      </w:pPr>
      <w:proofErr w:type="gramStart"/>
      <w:r w:rsidRPr="009A3FAF">
        <w:rPr>
          <w:i w:val="0"/>
        </w:rPr>
        <w:t>and</w:t>
      </w:r>
      <w:proofErr w:type="gramEnd"/>
    </w:p>
    <w:p w:rsidR="009A3FAF" w:rsidRPr="005D4B83" w:rsidRDefault="009A3FAF" w:rsidP="009A3FAF">
      <w:pPr>
        <w:jc w:val="center"/>
      </w:pPr>
    </w:p>
    <w:p w:rsidR="009A3FAF" w:rsidRDefault="009A3FAF" w:rsidP="009A3FAF">
      <w:pPr>
        <w:pStyle w:val="SCCLsocParty"/>
        <w:jc w:val="center"/>
      </w:pPr>
      <w:r>
        <w:t xml:space="preserve">Her Majesty </w:t>
      </w:r>
      <w:proofErr w:type="gramStart"/>
      <w:r>
        <w:t>The</w:t>
      </w:r>
      <w:proofErr w:type="gramEnd"/>
      <w:r>
        <w:t xml:space="preserve"> Queen</w:t>
      </w:r>
    </w:p>
    <w:p w:rsidR="009A3FAF" w:rsidRDefault="009A3FAF" w:rsidP="009A3FAF">
      <w:pPr>
        <w:jc w:val="center"/>
      </w:pPr>
      <w:r>
        <w:t>Respondent</w:t>
      </w:r>
    </w:p>
    <w:p w:rsidR="009A3FAF" w:rsidRDefault="009A3FAF" w:rsidP="009A3FAF">
      <w:pPr>
        <w:jc w:val="center"/>
      </w:pPr>
    </w:p>
    <w:p w:rsidR="009A3FAF" w:rsidRDefault="009A3FAF" w:rsidP="009A3FAF">
      <w:pPr>
        <w:jc w:val="center"/>
      </w:pPr>
    </w:p>
    <w:p w:rsidR="009A3FAF" w:rsidRPr="007470F5" w:rsidRDefault="009A3FAF" w:rsidP="009A3FAF"/>
    <w:p w:rsidR="009A3FAF" w:rsidRPr="006B210C" w:rsidRDefault="009A3FAF" w:rsidP="009A3FAF"/>
    <w:p w:rsidR="009A3FAF" w:rsidRPr="006B210C" w:rsidRDefault="009A3FAF" w:rsidP="009A3FAF"/>
    <w:p w:rsidR="009A3FAF" w:rsidRPr="006B210C" w:rsidRDefault="009A3FAF" w:rsidP="009A3FAF">
      <w:r w:rsidRPr="006B210C">
        <w:rPr>
          <w:b/>
          <w:smallCaps/>
        </w:rPr>
        <w:t>Coram</w:t>
      </w:r>
      <w:r>
        <w:rPr>
          <w:b/>
          <w:smallCaps/>
        </w:rPr>
        <w:t xml:space="preserve">: </w:t>
      </w:r>
      <w:r>
        <w:t>Moldaver, Karakatsanis, Gascon, Côté and Rowe JJ.</w:t>
      </w:r>
    </w:p>
    <w:p w:rsidR="009A3FAF" w:rsidRPr="006B210C" w:rsidRDefault="009A3FAF" w:rsidP="009A3FA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9A3FAF" w:rsidRPr="000872C9" w:rsidTr="00316470">
        <w:trPr>
          <w:cantSplit/>
        </w:trPr>
        <w:tc>
          <w:tcPr>
            <w:tcW w:w="3618" w:type="dxa"/>
          </w:tcPr>
          <w:p w:rsidR="009A3FAF" w:rsidRDefault="009A3FAF" w:rsidP="00316470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 xml:space="preserve">Reasons for </w:t>
            </w:r>
            <w:r>
              <w:rPr>
                <w:b/>
                <w:smallCaps/>
              </w:rPr>
              <w:t>Judgment:</w:t>
            </w:r>
          </w:p>
          <w:p w:rsidR="009A3FAF" w:rsidRPr="006B210C" w:rsidRDefault="009A3FAF" w:rsidP="00316470">
            <w:r>
              <w:t>(para. 1)</w:t>
            </w:r>
          </w:p>
        </w:tc>
        <w:tc>
          <w:tcPr>
            <w:tcW w:w="5958" w:type="dxa"/>
          </w:tcPr>
          <w:p w:rsidR="009A3FAF" w:rsidRPr="000872C9" w:rsidRDefault="009A3FAF" w:rsidP="00316470">
            <w:pPr>
              <w:rPr>
                <w:lang w:val="fr-CA"/>
              </w:rPr>
            </w:pPr>
            <w:r>
              <w:rPr>
                <w:lang w:val="fr-CA"/>
              </w:rPr>
              <w:t>Moldaver J.</w:t>
            </w:r>
            <w:r w:rsidRPr="000872C9">
              <w:rPr>
                <w:lang w:val="fr-CA"/>
              </w:rPr>
              <w:t xml:space="preserve"> (</w:t>
            </w:r>
            <w:r>
              <w:t>Karakatsanis, Gascon, Côté and Rowe </w:t>
            </w:r>
            <w:r w:rsidRPr="000872C9">
              <w:rPr>
                <w:lang w:val="fr-CA"/>
              </w:rPr>
              <w:t xml:space="preserve">JJ. </w:t>
            </w:r>
            <w:proofErr w:type="spellStart"/>
            <w:r w:rsidRPr="000872C9">
              <w:rPr>
                <w:lang w:val="fr-CA"/>
              </w:rPr>
              <w:t>concurring</w:t>
            </w:r>
            <w:proofErr w:type="spellEnd"/>
            <w:r w:rsidRPr="000872C9">
              <w:rPr>
                <w:lang w:val="fr-CA"/>
              </w:rPr>
              <w:t>)</w:t>
            </w:r>
          </w:p>
        </w:tc>
      </w:tr>
    </w:tbl>
    <w:p w:rsidR="009A3FAF" w:rsidRPr="000872C9" w:rsidRDefault="009A3FAF" w:rsidP="009A3FAF">
      <w:pPr>
        <w:rPr>
          <w:lang w:val="fr-CA"/>
        </w:rPr>
      </w:pPr>
    </w:p>
    <w:p w:rsidR="009A3FAF" w:rsidRPr="000872C9" w:rsidRDefault="009A3FAF" w:rsidP="009A3FAF">
      <w:pPr>
        <w:rPr>
          <w:lang w:val="fr-CA"/>
        </w:rPr>
      </w:pPr>
    </w:p>
    <w:p w:rsidR="009A3FAF" w:rsidRPr="000872C9" w:rsidRDefault="009A3FAF" w:rsidP="009A3FAF">
      <w:pPr>
        <w:rPr>
          <w:lang w:val="fr-C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19BED" wp14:editId="3747D732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CE3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9A3FAF" w:rsidRPr="000872C9" w:rsidRDefault="009A3FAF" w:rsidP="009A3FAF">
      <w:pPr>
        <w:rPr>
          <w:lang w:val="fr-CA"/>
        </w:rPr>
      </w:pPr>
    </w:p>
    <w:p w:rsidR="009A3FAF" w:rsidRDefault="009A3FAF" w:rsidP="004A1D0E">
      <w:pPr>
        <w:widowControl w:val="0"/>
        <w:spacing w:line="480" w:lineRule="auto"/>
        <w:jc w:val="both"/>
        <w:rPr>
          <w:rStyle w:val="SCCAppellantForRunningHeadChar"/>
          <w:smallCaps w:val="0"/>
          <w:lang w:val="en-US"/>
        </w:rPr>
      </w:pPr>
    </w:p>
    <w:p w:rsidR="009A3FAF" w:rsidRDefault="009A3FAF" w:rsidP="004A1D0E">
      <w:pPr>
        <w:widowControl w:val="0"/>
        <w:spacing w:line="480" w:lineRule="auto"/>
        <w:jc w:val="both"/>
        <w:rPr>
          <w:rStyle w:val="SCCAppellantForRunningHeadChar"/>
          <w:smallCaps w:val="0"/>
          <w:lang w:val="en-US"/>
        </w:rPr>
      </w:pPr>
    </w:p>
    <w:p w:rsidR="008322BD" w:rsidRPr="009A3FAF" w:rsidRDefault="001048AC" w:rsidP="004A1D0E">
      <w:pPr>
        <w:widowControl w:val="0"/>
        <w:spacing w:line="480" w:lineRule="auto"/>
        <w:jc w:val="both"/>
        <w:rPr>
          <w:smallCaps/>
          <w:lang w:val="en-US"/>
        </w:rPr>
      </w:pPr>
      <w:r w:rsidRPr="009A3FAF">
        <w:rPr>
          <w:rStyle w:val="SCCAppellantForRunningHeadChar"/>
          <w:smallCaps w:val="0"/>
          <w:lang w:val="en-US"/>
        </w:rPr>
        <w:t>R</w:t>
      </w:r>
      <w:r w:rsidR="00123EDB" w:rsidRPr="009A3FAF">
        <w:rPr>
          <w:rStyle w:val="SCCAppellantForRunningHeadChar"/>
          <w:smallCaps w:val="0"/>
          <w:lang w:val="en-US"/>
        </w:rPr>
        <w:t xml:space="preserve">. </w:t>
      </w:r>
      <w:r w:rsidR="00123EDB" w:rsidRPr="009A3FAF">
        <w:rPr>
          <w:i/>
          <w:lang w:val="en-US"/>
        </w:rPr>
        <w:t>v.</w:t>
      </w:r>
      <w:r w:rsidR="00123EDB" w:rsidRPr="009A3FAF">
        <w:rPr>
          <w:smallCaps/>
          <w:lang w:val="en-US"/>
        </w:rPr>
        <w:t xml:space="preserve"> </w:t>
      </w:r>
      <w:r w:rsidRPr="009A3FAF">
        <w:rPr>
          <w:rStyle w:val="SCCAppellantForRunningHeadChar"/>
          <w:smallCaps w:val="0"/>
          <w:lang w:val="en-US"/>
        </w:rPr>
        <w:t>R</w:t>
      </w:r>
      <w:r w:rsidR="00123EDB" w:rsidRPr="009A3FAF">
        <w:rPr>
          <w:rStyle w:val="SCCAppellantForRunningHeadChar"/>
          <w:smallCaps w:val="0"/>
          <w:lang w:val="en-US"/>
        </w:rPr>
        <w:t>.</w:t>
      </w:r>
      <w:r w:rsidRPr="009A3FAF">
        <w:rPr>
          <w:rStyle w:val="SCCAppellantForRunningHeadChar"/>
          <w:smallCaps w:val="0"/>
          <w:lang w:val="en-US"/>
        </w:rPr>
        <w:t>A</w:t>
      </w:r>
      <w:r w:rsidR="00123EDB" w:rsidRPr="009A3FAF">
        <w:rPr>
          <w:rStyle w:val="SCCAppellantForRunningHeadChar"/>
          <w:smallCaps w:val="0"/>
          <w:lang w:val="en-US"/>
        </w:rPr>
        <w:t>.</w:t>
      </w:r>
      <w:r w:rsidRPr="009A3FAF">
        <w:rPr>
          <w:rStyle w:val="SCCAppellantForRunningHeadChar"/>
          <w:smallCaps w:val="0"/>
          <w:lang w:val="en-US"/>
        </w:rPr>
        <w:t xml:space="preserve">, </w:t>
      </w:r>
      <w:r w:rsidRPr="009A3FAF">
        <w:rPr>
          <w:lang w:val="en-US"/>
        </w:rPr>
        <w:t>2018 SCC 13, [2018] 1 S.C.R. 307</w:t>
      </w:r>
      <w:r w:rsidR="00123EDB" w:rsidRPr="009A3FAF">
        <w:rPr>
          <w:rStyle w:val="SCCAppellantForRunningHeadChar"/>
          <w:smallCaps w:val="0"/>
          <w:lang w:val="en-US"/>
        </w:rPr>
        <w:t xml:space="preserve"> </w:t>
      </w:r>
    </w:p>
    <w:p w:rsidR="00766D14" w:rsidRPr="009A3FAF" w:rsidRDefault="00766D14" w:rsidP="004A1D0E">
      <w:pPr>
        <w:widowControl w:val="0"/>
        <w:jc w:val="both"/>
        <w:rPr>
          <w:lang w:val="en-US"/>
        </w:rPr>
      </w:pPr>
    </w:p>
    <w:p w:rsidR="00A149DF" w:rsidRPr="009A3FAF" w:rsidRDefault="00A149DF" w:rsidP="004A1D0E">
      <w:pPr>
        <w:widowControl w:val="0"/>
        <w:jc w:val="both"/>
        <w:rPr>
          <w:lang w:val="en-US"/>
        </w:rPr>
      </w:pPr>
    </w:p>
    <w:p w:rsidR="00A149DF" w:rsidRPr="009A3FAF" w:rsidRDefault="00A149DF" w:rsidP="004A1D0E">
      <w:pPr>
        <w:widowControl w:val="0"/>
        <w:jc w:val="both"/>
        <w:rPr>
          <w:lang w:val="en-US"/>
        </w:rPr>
      </w:pPr>
    </w:p>
    <w:p w:rsidR="0075681A" w:rsidRPr="005D469D" w:rsidRDefault="00123EDB" w:rsidP="004A1D0E">
      <w:pPr>
        <w:pStyle w:val="SCCLsocLastPartyInRole"/>
        <w:widowControl w:val="0"/>
        <w:rPr>
          <w:lang w:val="en-US"/>
        </w:rPr>
      </w:pPr>
      <w:r w:rsidRPr="005D469D">
        <w:rPr>
          <w:lang w:val="en-US"/>
        </w:rPr>
        <w:t>R.A.</w:t>
      </w:r>
      <w:r w:rsidR="005111C1" w:rsidRPr="005D469D">
        <w:rPr>
          <w:rStyle w:val="SCCLsocPartyRole"/>
          <w:lang w:val="en-US"/>
        </w:rPr>
        <w:tab/>
        <w:t>Appellant</w:t>
      </w:r>
    </w:p>
    <w:p w:rsidR="0075681A" w:rsidRDefault="005111C1" w:rsidP="004A1D0E">
      <w:pPr>
        <w:pStyle w:val="SCCLsocVersus"/>
        <w:widowControl w:val="0"/>
      </w:pPr>
      <w:proofErr w:type="gramStart"/>
      <w:r>
        <w:lastRenderedPageBreak/>
        <w:t>v</w:t>
      </w:r>
      <w:proofErr w:type="gramEnd"/>
      <w:r>
        <w:t>.</w:t>
      </w:r>
    </w:p>
    <w:p w:rsidR="0075681A" w:rsidRDefault="00123EDB" w:rsidP="004A1D0E">
      <w:pPr>
        <w:pStyle w:val="SCCLsocLastPartyInRole"/>
        <w:widowControl w:val="0"/>
      </w:pPr>
      <w:r>
        <w:t>Her Majesty T</w:t>
      </w:r>
      <w:r w:rsidR="005111C1">
        <w:t>he Queen</w:t>
      </w:r>
      <w:r w:rsidR="005111C1">
        <w:rPr>
          <w:rStyle w:val="SCCLsocPartyRole"/>
        </w:rPr>
        <w:tab/>
        <w:t>Respondent</w:t>
      </w:r>
    </w:p>
    <w:p w:rsidR="00766D14" w:rsidRDefault="00766D14" w:rsidP="004A1D0E">
      <w:pPr>
        <w:widowControl w:val="0"/>
        <w:jc w:val="both"/>
      </w:pPr>
    </w:p>
    <w:p w:rsidR="00A149DF" w:rsidRDefault="00A149DF" w:rsidP="004A1D0E">
      <w:pPr>
        <w:widowControl w:val="0"/>
        <w:jc w:val="both"/>
      </w:pPr>
    </w:p>
    <w:p w:rsidR="00A149DF" w:rsidRPr="001426A9" w:rsidRDefault="00A149DF" w:rsidP="004A1D0E">
      <w:pPr>
        <w:widowControl w:val="0"/>
        <w:jc w:val="both"/>
      </w:pPr>
    </w:p>
    <w:p w:rsidR="00426659" w:rsidRPr="00426659" w:rsidRDefault="00426659" w:rsidP="004A1D0E">
      <w:pPr>
        <w:widowControl w:val="0"/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="00123EDB">
        <w:rPr>
          <w:rStyle w:val="SCCRespondentForIndexChar"/>
        </w:rPr>
        <w:t xml:space="preserve">R. </w:t>
      </w:r>
      <w:r w:rsidR="00123EDB" w:rsidRPr="00426659">
        <w:rPr>
          <w:b/>
          <w:i/>
        </w:rPr>
        <w:t>v.</w:t>
      </w:r>
      <w:r w:rsidR="00123EDB" w:rsidRPr="00426659">
        <w:rPr>
          <w:b/>
        </w:rPr>
        <w:t xml:space="preserve"> </w:t>
      </w:r>
      <w:r w:rsidR="00123EDB">
        <w:rPr>
          <w:rStyle w:val="SCCAppellantForIndexChar"/>
        </w:rPr>
        <w:t>R.A.</w:t>
      </w:r>
      <w:r w:rsidRPr="00426659">
        <w:rPr>
          <w:b/>
        </w:rPr>
        <w:t xml:space="preserve"> </w:t>
      </w:r>
    </w:p>
    <w:p w:rsidR="00426659" w:rsidRDefault="00426659" w:rsidP="004A1D0E">
      <w:pPr>
        <w:widowControl w:val="0"/>
        <w:jc w:val="both"/>
      </w:pPr>
    </w:p>
    <w:p w:rsidR="00A149DF" w:rsidRDefault="00A149DF" w:rsidP="004A1D0E">
      <w:pPr>
        <w:widowControl w:val="0"/>
        <w:jc w:val="both"/>
      </w:pPr>
    </w:p>
    <w:p w:rsidR="00A149DF" w:rsidRDefault="00A149DF" w:rsidP="004A1D0E">
      <w:pPr>
        <w:widowControl w:val="0"/>
        <w:jc w:val="both"/>
      </w:pPr>
    </w:p>
    <w:p w:rsidR="00426659" w:rsidRPr="00C02092" w:rsidRDefault="00AE4535" w:rsidP="004A1D0E">
      <w:pPr>
        <w:pStyle w:val="SCCSystemYear"/>
        <w:widowControl w:val="0"/>
        <w:jc w:val="both"/>
      </w:pPr>
      <w:r>
        <w:t>2018</w:t>
      </w:r>
      <w:r w:rsidR="003D0399">
        <w:t xml:space="preserve"> </w:t>
      </w:r>
      <w:r w:rsidR="00123EDB">
        <w:t>SCC 13</w:t>
      </w:r>
    </w:p>
    <w:p w:rsidR="00426659" w:rsidRDefault="00426659" w:rsidP="004A1D0E">
      <w:pPr>
        <w:widowControl w:val="0"/>
        <w:jc w:val="both"/>
      </w:pPr>
    </w:p>
    <w:p w:rsidR="00A149DF" w:rsidRDefault="00A149DF" w:rsidP="004A1D0E">
      <w:pPr>
        <w:widowControl w:val="0"/>
        <w:jc w:val="both"/>
      </w:pPr>
    </w:p>
    <w:p w:rsidR="00A149DF" w:rsidRDefault="00A149DF" w:rsidP="004A1D0E">
      <w:pPr>
        <w:widowControl w:val="0"/>
        <w:jc w:val="both"/>
      </w:pPr>
    </w:p>
    <w:p w:rsidR="008322BD" w:rsidRDefault="00123EDB" w:rsidP="004A1D0E">
      <w:pPr>
        <w:widowControl w:val="0"/>
        <w:jc w:val="both"/>
      </w:pPr>
      <w:r>
        <w:t xml:space="preserve">File No.: </w:t>
      </w:r>
      <w:r w:rsidR="009B57B3">
        <w:t>37757</w:t>
      </w:r>
      <w:r w:rsidR="009B57B3" w:rsidRPr="001426A9">
        <w:t>.</w:t>
      </w:r>
    </w:p>
    <w:p w:rsidR="00E97830" w:rsidRDefault="00E97830" w:rsidP="004A1D0E">
      <w:pPr>
        <w:widowControl w:val="0"/>
        <w:jc w:val="both"/>
      </w:pPr>
    </w:p>
    <w:p w:rsidR="00A149DF" w:rsidRDefault="00A149DF" w:rsidP="004A1D0E">
      <w:pPr>
        <w:widowControl w:val="0"/>
        <w:jc w:val="both"/>
      </w:pPr>
    </w:p>
    <w:p w:rsidR="00A149DF" w:rsidRDefault="00A149DF" w:rsidP="004A1D0E">
      <w:pPr>
        <w:widowControl w:val="0"/>
        <w:jc w:val="both"/>
      </w:pPr>
    </w:p>
    <w:p w:rsidR="008322BD" w:rsidRDefault="00123EDB" w:rsidP="004A1D0E">
      <w:pPr>
        <w:widowControl w:val="0"/>
        <w:jc w:val="both"/>
      </w:pPr>
      <w:r>
        <w:t>2018: March </w:t>
      </w:r>
      <w:r w:rsidR="00AE4535">
        <w:t>23</w:t>
      </w:r>
      <w:r w:rsidR="009B57B3" w:rsidRPr="001426A9">
        <w:t>.</w:t>
      </w:r>
    </w:p>
    <w:p w:rsidR="00E97830" w:rsidRDefault="00E97830" w:rsidP="004A1D0E">
      <w:pPr>
        <w:widowControl w:val="0"/>
        <w:jc w:val="both"/>
      </w:pPr>
    </w:p>
    <w:p w:rsidR="00A149DF" w:rsidRDefault="00A149DF" w:rsidP="004A1D0E">
      <w:pPr>
        <w:widowControl w:val="0"/>
        <w:jc w:val="both"/>
      </w:pPr>
    </w:p>
    <w:p w:rsidR="00A149DF" w:rsidRDefault="00A149DF" w:rsidP="004A1D0E">
      <w:pPr>
        <w:widowControl w:val="0"/>
        <w:jc w:val="both"/>
      </w:pPr>
    </w:p>
    <w:p w:rsidR="008322BD" w:rsidRDefault="00123EDB" w:rsidP="004A1D0E">
      <w:pPr>
        <w:widowControl w:val="0"/>
      </w:pPr>
      <w:r>
        <w:t xml:space="preserve">Present: </w:t>
      </w:r>
      <w:r w:rsidR="009B57B3">
        <w:t>Moldaver, Karakatsanis, Gascon, Côté and Rowe JJ.</w:t>
      </w:r>
    </w:p>
    <w:p w:rsidR="00E97830" w:rsidRDefault="00E97830" w:rsidP="004A1D0E">
      <w:pPr>
        <w:widowControl w:val="0"/>
        <w:jc w:val="both"/>
      </w:pPr>
    </w:p>
    <w:p w:rsidR="006A1551" w:rsidRDefault="006A1551" w:rsidP="004A1D0E">
      <w:pPr>
        <w:widowControl w:val="0"/>
        <w:jc w:val="both"/>
      </w:pPr>
    </w:p>
    <w:p w:rsidR="0075681A" w:rsidRDefault="0075681A" w:rsidP="004A1D0E">
      <w:pPr>
        <w:widowControl w:val="0"/>
      </w:pPr>
    </w:p>
    <w:p w:rsidR="008322BD" w:rsidRPr="001C779F" w:rsidRDefault="00656313" w:rsidP="004A1D0E">
      <w:pPr>
        <w:pStyle w:val="SCCLowerCourtNameLowercase"/>
        <w:widowControl w:val="0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9B57B3">
        <w:t>court of appeal for ontario</w:t>
      </w:r>
    </w:p>
    <w:p w:rsidR="003A4C70" w:rsidRPr="001426A9" w:rsidRDefault="003A4C70" w:rsidP="004A1D0E">
      <w:pPr>
        <w:pStyle w:val="SCCNormalDoubleSpacing"/>
        <w:widowControl w:val="0"/>
      </w:pPr>
    </w:p>
    <w:p w:rsidR="008322BD" w:rsidRPr="00123EDB" w:rsidRDefault="009B57B3" w:rsidP="004A1D0E">
      <w:pPr>
        <w:pStyle w:val="SCCNormalDoubleSpacing"/>
        <w:widowControl w:val="0"/>
        <w:rPr>
          <w:i/>
        </w:rPr>
      </w:pPr>
      <w:r w:rsidRPr="00583EDE">
        <w:tab/>
      </w:r>
      <w:r w:rsidR="00737A24">
        <w:rPr>
          <w:i/>
        </w:rPr>
        <w:t>Criminal law —</w:t>
      </w:r>
      <w:r w:rsidR="009D3651">
        <w:rPr>
          <w:i/>
        </w:rPr>
        <w:t xml:space="preserve"> Trial</w:t>
      </w:r>
      <w:r w:rsidR="00737A24">
        <w:rPr>
          <w:i/>
        </w:rPr>
        <w:t xml:space="preserve"> — Judgments — Reasons for judgment —</w:t>
      </w:r>
      <w:r w:rsidR="00CA1F7E">
        <w:rPr>
          <w:i/>
        </w:rPr>
        <w:t xml:space="preserve"> Sufficiency of reasons </w:t>
      </w:r>
      <w:r w:rsidR="00737A24">
        <w:rPr>
          <w:i/>
        </w:rPr>
        <w:t>—</w:t>
      </w:r>
      <w:r w:rsidR="00FD2CF0">
        <w:rPr>
          <w:i/>
        </w:rPr>
        <w:t xml:space="preserve"> Accused convicted of sexual </w:t>
      </w:r>
      <w:r w:rsidR="00534106">
        <w:rPr>
          <w:i/>
        </w:rPr>
        <w:t>interference</w:t>
      </w:r>
      <w:r w:rsidR="00737A24">
        <w:rPr>
          <w:i/>
        </w:rPr>
        <w:t xml:space="preserve"> —</w:t>
      </w:r>
      <w:r w:rsidR="00534106">
        <w:rPr>
          <w:i/>
        </w:rPr>
        <w:t xml:space="preserve"> </w:t>
      </w:r>
      <w:r w:rsidR="009D3651">
        <w:rPr>
          <w:i/>
        </w:rPr>
        <w:t xml:space="preserve">Accused arguing on appeal that trial judge </w:t>
      </w:r>
      <w:r w:rsidR="009D3651" w:rsidRPr="009D3651">
        <w:rPr>
          <w:i/>
        </w:rPr>
        <w:t>failed to resolve critical inconsistency in complainant’s evidence and failed</w:t>
      </w:r>
      <w:r w:rsidR="009D3651">
        <w:rPr>
          <w:i/>
        </w:rPr>
        <w:t xml:space="preserve"> to explain why he accepted </w:t>
      </w:r>
      <w:r w:rsidR="009D3651" w:rsidRPr="009D3651">
        <w:rPr>
          <w:i/>
        </w:rPr>
        <w:t xml:space="preserve">complainant’s evidence and rejected </w:t>
      </w:r>
      <w:r w:rsidR="00737A24">
        <w:rPr>
          <w:i/>
        </w:rPr>
        <w:t>accused’s evidence —</w:t>
      </w:r>
      <w:r w:rsidR="009D3651">
        <w:rPr>
          <w:i/>
        </w:rPr>
        <w:t xml:space="preserve"> Court</w:t>
      </w:r>
      <w:r w:rsidR="00534106">
        <w:rPr>
          <w:i/>
        </w:rPr>
        <w:t xml:space="preserve"> of Appeal </w:t>
      </w:r>
      <w:r w:rsidR="009D3651">
        <w:rPr>
          <w:i/>
        </w:rPr>
        <w:t xml:space="preserve">holding that trial judge’s analysis reflected </w:t>
      </w:r>
      <w:r w:rsidR="009D3651" w:rsidRPr="009D3651">
        <w:rPr>
          <w:i/>
        </w:rPr>
        <w:t>careful and sensitive approach to evidence as a whole</w:t>
      </w:r>
      <w:r w:rsidR="009D3651">
        <w:rPr>
          <w:i/>
        </w:rPr>
        <w:t xml:space="preserve"> and that trial judge’s r</w:t>
      </w:r>
      <w:r w:rsidR="003C03AD">
        <w:rPr>
          <w:i/>
        </w:rPr>
        <w:t xml:space="preserve">easons </w:t>
      </w:r>
      <w:r w:rsidR="009D3651">
        <w:rPr>
          <w:i/>
        </w:rPr>
        <w:t>were responsive to live issues in case</w:t>
      </w:r>
      <w:r w:rsidR="00737A24">
        <w:rPr>
          <w:i/>
        </w:rPr>
        <w:t xml:space="preserve"> and to parties’ key arguments —</w:t>
      </w:r>
      <w:r w:rsidR="009D3651">
        <w:rPr>
          <w:i/>
        </w:rPr>
        <w:t xml:space="preserve"> Conviction</w:t>
      </w:r>
      <w:r w:rsidR="00C7113D">
        <w:rPr>
          <w:i/>
        </w:rPr>
        <w:t xml:space="preserve"> upheld.</w:t>
      </w:r>
    </w:p>
    <w:p w:rsidR="00A149DF" w:rsidRDefault="00A149DF" w:rsidP="004A1D0E">
      <w:pPr>
        <w:pStyle w:val="SCCNormalDoubleSpacing"/>
        <w:widowControl w:val="0"/>
        <w:spacing w:line="240" w:lineRule="auto"/>
        <w:ind w:left="540" w:hanging="540"/>
      </w:pPr>
    </w:p>
    <w:p w:rsidR="00A149DF" w:rsidRDefault="00A149DF" w:rsidP="004A1D0E">
      <w:pPr>
        <w:pStyle w:val="SCCNormalDoubleSpacing"/>
        <w:widowControl w:val="0"/>
        <w:spacing w:line="240" w:lineRule="auto"/>
        <w:ind w:left="540" w:hanging="540"/>
      </w:pPr>
    </w:p>
    <w:p w:rsidR="00656313" w:rsidRDefault="009B57B3" w:rsidP="004A1D0E">
      <w:pPr>
        <w:pStyle w:val="SCCNormalDoubleSpacing"/>
        <w:widowControl w:val="0"/>
      </w:pPr>
      <w:r w:rsidRPr="001426A9">
        <w:tab/>
        <w:t xml:space="preserve">APPEAL from a judgment of the </w:t>
      </w:r>
      <w:r w:rsidR="00763985">
        <w:t xml:space="preserve">Ontario Court of Appeal (Gillese, Huscroft and Trotter JJ.A.), 2017 ONCA 714, 355 C.C.C. (3d) 400, [2017] O.J. No. 4772 (QL), 2017 CarswellOnt 14114 (WL Can.), </w:t>
      </w:r>
      <w:r w:rsidR="00763985" w:rsidRPr="00534C82">
        <w:t>affirming the conviction entered by</w:t>
      </w:r>
      <w:r w:rsidR="00763985">
        <w:t xml:space="preserve"> Tausendfreund J., 2015 ONSC 7494, [2015] O.J. No. 6791 (QL), </w:t>
      </w:r>
      <w:r w:rsidR="00205E2E">
        <w:t xml:space="preserve">2015 CarswellOnt 19536 (WL Can.). </w:t>
      </w:r>
      <w:r w:rsidR="00177F31">
        <w:t xml:space="preserve">Appeal </w:t>
      </w:r>
      <w:r w:rsidR="00B30123" w:rsidRPr="00534C82">
        <w:t>dismissed, Gascon J. dissenting</w:t>
      </w:r>
      <w:r w:rsidR="00177F31">
        <w:t xml:space="preserve">. </w:t>
      </w:r>
    </w:p>
    <w:p w:rsidR="00656313" w:rsidRDefault="00656313" w:rsidP="004A1D0E">
      <w:pPr>
        <w:pStyle w:val="SCCNormalDoubleSpacing"/>
        <w:widowControl w:val="0"/>
      </w:pPr>
    </w:p>
    <w:p w:rsidR="0075681A" w:rsidRDefault="00177F31" w:rsidP="004A1D0E">
      <w:pPr>
        <w:pStyle w:val="SCCNormalDoubleSpacing"/>
        <w:widowControl w:val="0"/>
      </w:pPr>
      <w:r>
        <w:rPr>
          <w:rStyle w:val="SCCCounselNameChar"/>
        </w:rPr>
        <w:tab/>
        <w:t>Howard </w:t>
      </w:r>
      <w:r w:rsidR="005111C1">
        <w:rPr>
          <w:rStyle w:val="SCCCounselNameChar"/>
        </w:rPr>
        <w:t>L. Krongold</w:t>
      </w:r>
      <w:r w:rsidR="005111C1">
        <w:rPr>
          <w:rStyle w:val="SCCCounselPartyRoleChar"/>
        </w:rPr>
        <w:t>, for the appellant.</w:t>
      </w:r>
    </w:p>
    <w:p w:rsidR="0075681A" w:rsidRDefault="0075681A" w:rsidP="004A1D0E">
      <w:pPr>
        <w:pStyle w:val="SCCNormalDoubleSpacing"/>
        <w:widowControl w:val="0"/>
      </w:pPr>
    </w:p>
    <w:p w:rsidR="0075681A" w:rsidRDefault="005111C1" w:rsidP="004A1D0E">
      <w:pPr>
        <w:pStyle w:val="SCCNormalDoubleSpacing"/>
        <w:widowControl w:val="0"/>
        <w:rPr>
          <w:rStyle w:val="SCCCounselPartyRoleChar"/>
        </w:rPr>
      </w:pPr>
      <w:r>
        <w:rPr>
          <w:rStyle w:val="SCCCounselNameChar"/>
        </w:rPr>
        <w:tab/>
        <w:t>Rachel Young</w:t>
      </w:r>
      <w:r>
        <w:rPr>
          <w:rStyle w:val="SCCCounselSeparatorChar"/>
        </w:rPr>
        <w:t xml:space="preserve"> and </w:t>
      </w:r>
      <w:r>
        <w:rPr>
          <w:rStyle w:val="SCCCounselNameChar"/>
        </w:rPr>
        <w:t>Alexander Alvaro</w:t>
      </w:r>
      <w:r>
        <w:rPr>
          <w:rStyle w:val="SCCCounselPartyRoleChar"/>
        </w:rPr>
        <w:t>, for the respondent.</w:t>
      </w:r>
    </w:p>
    <w:p w:rsidR="00177F31" w:rsidRDefault="00177F31" w:rsidP="004A1D0E">
      <w:pPr>
        <w:pStyle w:val="SCCNormalDoubleSpacing"/>
        <w:widowControl w:val="0"/>
        <w:rPr>
          <w:rStyle w:val="SCCCounselPartyRoleChar"/>
        </w:rPr>
      </w:pPr>
    </w:p>
    <w:p w:rsidR="005111C1" w:rsidRDefault="005111C1" w:rsidP="004A1D0E">
      <w:pPr>
        <w:pStyle w:val="SCCNormalDoubleSpacing"/>
        <w:widowControl w:val="0"/>
        <w:rPr>
          <w:rStyle w:val="SCCCounselPartyRoleChar"/>
        </w:rPr>
      </w:pPr>
      <w:r>
        <w:rPr>
          <w:rStyle w:val="SCCCounselPartyRoleChar"/>
        </w:rPr>
        <w:tab/>
        <w:t xml:space="preserve">The </w:t>
      </w:r>
      <w:r w:rsidR="00534C82">
        <w:rPr>
          <w:rStyle w:val="SCCCounselPartyRoleChar"/>
        </w:rPr>
        <w:t>judgment</w:t>
      </w:r>
      <w:r>
        <w:rPr>
          <w:rStyle w:val="SCCCounselPartyRoleChar"/>
        </w:rPr>
        <w:t xml:space="preserve"> of the Court</w:t>
      </w:r>
      <w:r w:rsidR="00534C82">
        <w:rPr>
          <w:rStyle w:val="SCCCounselPartyRoleChar"/>
        </w:rPr>
        <w:t xml:space="preserve"> was</w:t>
      </w:r>
      <w:r>
        <w:rPr>
          <w:rStyle w:val="SCCCounselPartyRoleChar"/>
        </w:rPr>
        <w:t xml:space="preserve"> delivered orally by</w:t>
      </w:r>
    </w:p>
    <w:p w:rsidR="005111C1" w:rsidRDefault="00294AA0" w:rsidP="004A1D0E">
      <w:pPr>
        <w:pStyle w:val="SCCNormalDoubleSpacing"/>
        <w:widowControl w:val="0"/>
        <w:numPr>
          <w:ilvl w:val="0"/>
          <w:numId w:val="1"/>
        </w:numPr>
        <w:spacing w:before="480" w:after="480"/>
        <w:ind w:left="0" w:firstLine="0"/>
      </w:pPr>
      <w:r>
        <w:rPr>
          <w:smallCaps/>
        </w:rPr>
        <w:t>Moldaver J.</w:t>
      </w:r>
      <w:r w:rsidR="005111C1" w:rsidRPr="003503E3">
        <w:t xml:space="preserve"> —</w:t>
      </w:r>
      <w:r w:rsidR="005111C1">
        <w:t xml:space="preserve"> </w:t>
      </w:r>
      <w:r w:rsidR="00F85E6F" w:rsidRPr="0077319A">
        <w:t>A majority of the Court would dismiss the appeal</w:t>
      </w:r>
      <w:r w:rsidR="00F85E6F" w:rsidRPr="00D21806">
        <w:t>,</w:t>
      </w:r>
      <w:r w:rsidR="00F85E6F" w:rsidRPr="0077319A">
        <w:t xml:space="preserve"> substantially for the reasons of the ma</w:t>
      </w:r>
      <w:r w:rsidR="00F85E6F">
        <w:t xml:space="preserve">jority of the Court of Appeal. </w:t>
      </w:r>
      <w:r w:rsidR="00F85E6F" w:rsidRPr="0077319A">
        <w:t>Justice Ga</w:t>
      </w:r>
      <w:r w:rsidR="00F85E6F">
        <w:t>s</w:t>
      </w:r>
      <w:r w:rsidR="00F85E6F" w:rsidRPr="0077319A">
        <w:t>con, dissenting, would have allowed the appeal for the reasons of Justice Trotter.</w:t>
      </w:r>
    </w:p>
    <w:p w:rsidR="0075681A" w:rsidRDefault="005111C1" w:rsidP="004A1D0E">
      <w:pPr>
        <w:pStyle w:val="SCCLawFirm"/>
        <w:widowControl w:val="0"/>
      </w:pPr>
      <w:r>
        <w:tab/>
      </w:r>
    </w:p>
    <w:p w:rsidR="009B57B3" w:rsidRDefault="00177F31" w:rsidP="004A1D0E">
      <w:pPr>
        <w:pStyle w:val="SCCNormalDoubleSpacing"/>
        <w:widowControl w:val="0"/>
      </w:pPr>
      <w:r>
        <w:tab/>
      </w:r>
      <w:r>
        <w:rPr>
          <w:i/>
        </w:rPr>
        <w:t xml:space="preserve">Judgment accordingly. </w:t>
      </w:r>
    </w:p>
    <w:p w:rsidR="00A149DF" w:rsidRPr="001426A9" w:rsidRDefault="00A149DF" w:rsidP="004A1D0E">
      <w:pPr>
        <w:pStyle w:val="SCCNormalDoubleSpacing"/>
        <w:widowControl w:val="0"/>
      </w:pPr>
    </w:p>
    <w:p w:rsidR="0075681A" w:rsidRDefault="005111C1" w:rsidP="004A1D0E">
      <w:pPr>
        <w:pStyle w:val="SCCLawFirm"/>
        <w:widowControl w:val="0"/>
      </w:pPr>
      <w:r>
        <w:tab/>
        <w:t>S</w:t>
      </w:r>
      <w:r w:rsidR="00177F31">
        <w:t xml:space="preserve">olicitors for the appellant: </w:t>
      </w:r>
      <w:proofErr w:type="spellStart"/>
      <w:r>
        <w:t>Abergel</w:t>
      </w:r>
      <w:proofErr w:type="spellEnd"/>
      <w:r>
        <w:t xml:space="preserve"> Goldstein &amp; Partners, Ottawa.</w:t>
      </w:r>
    </w:p>
    <w:p w:rsidR="0075681A" w:rsidRDefault="0075681A" w:rsidP="004A1D0E">
      <w:pPr>
        <w:pStyle w:val="SCCLawFirm"/>
        <w:widowControl w:val="0"/>
      </w:pPr>
    </w:p>
    <w:p w:rsidR="009B57B3" w:rsidRPr="001426A9" w:rsidRDefault="00177F31" w:rsidP="004A1D0E">
      <w:pPr>
        <w:pStyle w:val="SCCLawFirm"/>
        <w:widowControl w:val="0"/>
      </w:pPr>
      <w:r>
        <w:tab/>
        <w:t xml:space="preserve">Solicitor for the respondent: </w:t>
      </w:r>
      <w:r w:rsidR="005111C1">
        <w:t>Attorney General of Ontario, Toronto.</w:t>
      </w:r>
    </w:p>
    <w:sectPr w:rsidR="009B57B3" w:rsidRPr="001426A9" w:rsidSect="000648CC">
      <w:headerReference w:type="default" r:id="rId9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35" w:rsidRDefault="00AE4535">
      <w:r>
        <w:separator/>
      </w:r>
    </w:p>
  </w:endnote>
  <w:endnote w:type="continuationSeparator" w:id="0">
    <w:p w:rsidR="00AE4535" w:rsidRDefault="00AE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35" w:rsidRDefault="00AE4535">
      <w:r>
        <w:separator/>
      </w:r>
    </w:p>
  </w:footnote>
  <w:footnote w:type="continuationSeparator" w:id="0">
    <w:p w:rsidR="00AE4535" w:rsidRDefault="00AE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73636"/>
    <w:multiLevelType w:val="hybridMultilevel"/>
    <w:tmpl w:val="078CEF9C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5198"/>
    <w:rsid w:val="000578A3"/>
    <w:rsid w:val="000648CC"/>
    <w:rsid w:val="00074EA5"/>
    <w:rsid w:val="000C59B8"/>
    <w:rsid w:val="000C6AF0"/>
    <w:rsid w:val="001040B5"/>
    <w:rsid w:val="001048AC"/>
    <w:rsid w:val="00104F33"/>
    <w:rsid w:val="00111DE2"/>
    <w:rsid w:val="00116B38"/>
    <w:rsid w:val="00123EDB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7F31"/>
    <w:rsid w:val="00186351"/>
    <w:rsid w:val="00195D83"/>
    <w:rsid w:val="001A00C1"/>
    <w:rsid w:val="001B33E0"/>
    <w:rsid w:val="001B4573"/>
    <w:rsid w:val="001C779F"/>
    <w:rsid w:val="001D2AC1"/>
    <w:rsid w:val="001D4E88"/>
    <w:rsid w:val="00205E2E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70D93"/>
    <w:rsid w:val="002745CC"/>
    <w:rsid w:val="00294AA0"/>
    <w:rsid w:val="002B7924"/>
    <w:rsid w:val="002D28C3"/>
    <w:rsid w:val="002D39A4"/>
    <w:rsid w:val="002E6705"/>
    <w:rsid w:val="00301D08"/>
    <w:rsid w:val="0030329A"/>
    <w:rsid w:val="0031086F"/>
    <w:rsid w:val="0031414C"/>
    <w:rsid w:val="00314E01"/>
    <w:rsid w:val="0032089D"/>
    <w:rsid w:val="003310DE"/>
    <w:rsid w:val="003323B0"/>
    <w:rsid w:val="0035169A"/>
    <w:rsid w:val="0035259D"/>
    <w:rsid w:val="00364B18"/>
    <w:rsid w:val="003A125D"/>
    <w:rsid w:val="003A4C70"/>
    <w:rsid w:val="003B215F"/>
    <w:rsid w:val="003C03AD"/>
    <w:rsid w:val="003C799C"/>
    <w:rsid w:val="003D0399"/>
    <w:rsid w:val="003E1C71"/>
    <w:rsid w:val="003F327B"/>
    <w:rsid w:val="00406166"/>
    <w:rsid w:val="0040704B"/>
    <w:rsid w:val="00410A55"/>
    <w:rsid w:val="00411300"/>
    <w:rsid w:val="00415417"/>
    <w:rsid w:val="00426659"/>
    <w:rsid w:val="00450352"/>
    <w:rsid w:val="00454BDB"/>
    <w:rsid w:val="00464800"/>
    <w:rsid w:val="00465132"/>
    <w:rsid w:val="00480C90"/>
    <w:rsid w:val="0048396F"/>
    <w:rsid w:val="00493C18"/>
    <w:rsid w:val="004A1D0E"/>
    <w:rsid w:val="004A600C"/>
    <w:rsid w:val="004A6118"/>
    <w:rsid w:val="004C478D"/>
    <w:rsid w:val="004E2C26"/>
    <w:rsid w:val="004F36FF"/>
    <w:rsid w:val="005111C1"/>
    <w:rsid w:val="005125A8"/>
    <w:rsid w:val="00521AE8"/>
    <w:rsid w:val="00527180"/>
    <w:rsid w:val="00534106"/>
    <w:rsid w:val="00534C82"/>
    <w:rsid w:val="0054201E"/>
    <w:rsid w:val="00555291"/>
    <w:rsid w:val="00566AD1"/>
    <w:rsid w:val="00583EDE"/>
    <w:rsid w:val="005A6079"/>
    <w:rsid w:val="005D469D"/>
    <w:rsid w:val="005E4698"/>
    <w:rsid w:val="00610539"/>
    <w:rsid w:val="00613969"/>
    <w:rsid w:val="00625C35"/>
    <w:rsid w:val="00656313"/>
    <w:rsid w:val="006565F4"/>
    <w:rsid w:val="00684EEA"/>
    <w:rsid w:val="0069689B"/>
    <w:rsid w:val="006A1551"/>
    <w:rsid w:val="006B5FF5"/>
    <w:rsid w:val="006F30AF"/>
    <w:rsid w:val="00701759"/>
    <w:rsid w:val="00705C15"/>
    <w:rsid w:val="0071600E"/>
    <w:rsid w:val="007208D1"/>
    <w:rsid w:val="00737A24"/>
    <w:rsid w:val="00747288"/>
    <w:rsid w:val="00747DD3"/>
    <w:rsid w:val="007549C8"/>
    <w:rsid w:val="00754A0B"/>
    <w:rsid w:val="0075681A"/>
    <w:rsid w:val="00763985"/>
    <w:rsid w:val="00766D14"/>
    <w:rsid w:val="00767A0F"/>
    <w:rsid w:val="007A05F6"/>
    <w:rsid w:val="007B6F4A"/>
    <w:rsid w:val="007C39DE"/>
    <w:rsid w:val="007E1C47"/>
    <w:rsid w:val="007E337A"/>
    <w:rsid w:val="007E5C70"/>
    <w:rsid w:val="007F2FF5"/>
    <w:rsid w:val="007F3F08"/>
    <w:rsid w:val="00804CC6"/>
    <w:rsid w:val="00817190"/>
    <w:rsid w:val="00820EE5"/>
    <w:rsid w:val="008260E2"/>
    <w:rsid w:val="008322BD"/>
    <w:rsid w:val="00833E0A"/>
    <w:rsid w:val="00834F73"/>
    <w:rsid w:val="00864CF8"/>
    <w:rsid w:val="00872819"/>
    <w:rsid w:val="00874914"/>
    <w:rsid w:val="00891422"/>
    <w:rsid w:val="00892E1A"/>
    <w:rsid w:val="008A3F29"/>
    <w:rsid w:val="008B660A"/>
    <w:rsid w:val="008C01DA"/>
    <w:rsid w:val="008F78E9"/>
    <w:rsid w:val="00911989"/>
    <w:rsid w:val="009179F9"/>
    <w:rsid w:val="00933E5E"/>
    <w:rsid w:val="00935218"/>
    <w:rsid w:val="009403F3"/>
    <w:rsid w:val="009555B7"/>
    <w:rsid w:val="009567AA"/>
    <w:rsid w:val="00967374"/>
    <w:rsid w:val="009A343A"/>
    <w:rsid w:val="009A3FAF"/>
    <w:rsid w:val="009B2F23"/>
    <w:rsid w:val="009B57B3"/>
    <w:rsid w:val="009C5B92"/>
    <w:rsid w:val="009D2920"/>
    <w:rsid w:val="009D3651"/>
    <w:rsid w:val="009D5AEB"/>
    <w:rsid w:val="009F0E33"/>
    <w:rsid w:val="00A030CE"/>
    <w:rsid w:val="00A149DF"/>
    <w:rsid w:val="00A1755C"/>
    <w:rsid w:val="00A21B90"/>
    <w:rsid w:val="00A41805"/>
    <w:rsid w:val="00A42DCD"/>
    <w:rsid w:val="00A52AFB"/>
    <w:rsid w:val="00A548CB"/>
    <w:rsid w:val="00A5521C"/>
    <w:rsid w:val="00A643E7"/>
    <w:rsid w:val="00A73C38"/>
    <w:rsid w:val="00AB670D"/>
    <w:rsid w:val="00AE4535"/>
    <w:rsid w:val="00AF03C5"/>
    <w:rsid w:val="00B000D8"/>
    <w:rsid w:val="00B00F75"/>
    <w:rsid w:val="00B145B6"/>
    <w:rsid w:val="00B279EB"/>
    <w:rsid w:val="00B30123"/>
    <w:rsid w:val="00B50C81"/>
    <w:rsid w:val="00B557F8"/>
    <w:rsid w:val="00B815FC"/>
    <w:rsid w:val="00B93FBC"/>
    <w:rsid w:val="00BA7DA0"/>
    <w:rsid w:val="00BB2EE4"/>
    <w:rsid w:val="00BC2108"/>
    <w:rsid w:val="00BD0E9E"/>
    <w:rsid w:val="00BD1BEC"/>
    <w:rsid w:val="00BD32FF"/>
    <w:rsid w:val="00C02092"/>
    <w:rsid w:val="00C24D91"/>
    <w:rsid w:val="00C53F14"/>
    <w:rsid w:val="00C600CF"/>
    <w:rsid w:val="00C6084F"/>
    <w:rsid w:val="00C62A66"/>
    <w:rsid w:val="00C7113D"/>
    <w:rsid w:val="00C71458"/>
    <w:rsid w:val="00C77613"/>
    <w:rsid w:val="00C828E7"/>
    <w:rsid w:val="00C86719"/>
    <w:rsid w:val="00C921DD"/>
    <w:rsid w:val="00CA1F7E"/>
    <w:rsid w:val="00CA6391"/>
    <w:rsid w:val="00CC34BD"/>
    <w:rsid w:val="00CE161A"/>
    <w:rsid w:val="00CE3171"/>
    <w:rsid w:val="00CF1601"/>
    <w:rsid w:val="00D0172F"/>
    <w:rsid w:val="00D068A7"/>
    <w:rsid w:val="00D17476"/>
    <w:rsid w:val="00D32086"/>
    <w:rsid w:val="00D37A3F"/>
    <w:rsid w:val="00D4431D"/>
    <w:rsid w:val="00D4667A"/>
    <w:rsid w:val="00D63A1C"/>
    <w:rsid w:val="00D7516F"/>
    <w:rsid w:val="00D8579F"/>
    <w:rsid w:val="00D95F8E"/>
    <w:rsid w:val="00DA0590"/>
    <w:rsid w:val="00DB7BEA"/>
    <w:rsid w:val="00DC1739"/>
    <w:rsid w:val="00DC1788"/>
    <w:rsid w:val="00DE319C"/>
    <w:rsid w:val="00DF0CA8"/>
    <w:rsid w:val="00DF2B48"/>
    <w:rsid w:val="00DF49A7"/>
    <w:rsid w:val="00E07EE2"/>
    <w:rsid w:val="00E07FD1"/>
    <w:rsid w:val="00E176D8"/>
    <w:rsid w:val="00E24573"/>
    <w:rsid w:val="00E25E1E"/>
    <w:rsid w:val="00E27EE7"/>
    <w:rsid w:val="00E35404"/>
    <w:rsid w:val="00E45109"/>
    <w:rsid w:val="00E47B7A"/>
    <w:rsid w:val="00E56A44"/>
    <w:rsid w:val="00E60269"/>
    <w:rsid w:val="00E77932"/>
    <w:rsid w:val="00E97830"/>
    <w:rsid w:val="00EE643C"/>
    <w:rsid w:val="00EF0683"/>
    <w:rsid w:val="00EF69D2"/>
    <w:rsid w:val="00EF766E"/>
    <w:rsid w:val="00F0070C"/>
    <w:rsid w:val="00F00EB7"/>
    <w:rsid w:val="00F36AB6"/>
    <w:rsid w:val="00F37A09"/>
    <w:rsid w:val="00F409CE"/>
    <w:rsid w:val="00F4379D"/>
    <w:rsid w:val="00F50D2D"/>
    <w:rsid w:val="00F56C8B"/>
    <w:rsid w:val="00F66810"/>
    <w:rsid w:val="00F846D9"/>
    <w:rsid w:val="00F84DF4"/>
    <w:rsid w:val="00F85C97"/>
    <w:rsid w:val="00F85E6F"/>
    <w:rsid w:val="00FB37D2"/>
    <w:rsid w:val="00FC4EFB"/>
    <w:rsid w:val="00FD068D"/>
    <w:rsid w:val="00FD2CF0"/>
    <w:rsid w:val="00FD4F2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table" w:styleId="TableGrid">
    <w:name w:val="Table Grid"/>
    <w:basedOn w:val="TableNormal"/>
    <w:uiPriority w:val="59"/>
    <w:rsid w:val="009A3FAF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9A3FAF"/>
    <w:rPr>
      <w:rFonts w:ascii="Times New Roman" w:hAnsi="Times New Roman"/>
      <w:sz w:val="24"/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9A3FAF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9A3FAF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2018-03-26T14:47:00Z</dcterms:created>
  <dcterms:modified xsi:type="dcterms:W3CDTF">2019-03-25T18:59:00Z</dcterms:modified>
</cp:coreProperties>
</file>