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08" w:rsidRDefault="00EC3308" w:rsidP="00DD1E39">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7" o:title=""/>
          </v:shape>
          <o:OLEObject Type="Embed" ProgID="Presentations.Drawing.13" ShapeID="_x0000_i1025" DrawAspect="Content" ObjectID="_1615031448" r:id="rId8"/>
        </w:object>
      </w:r>
      <w:bookmarkEnd w:id="0"/>
      <w:r>
        <w:t xml:space="preserve"> </w:t>
      </w:r>
      <w:r>
        <w:ptab w:relativeTo="margin" w:alignment="right" w:leader="none"/>
      </w:r>
    </w:p>
    <w:p w:rsidR="00EC3308" w:rsidRDefault="00EC3308" w:rsidP="00EC3308">
      <w:pPr>
        <w:pStyle w:val="Header"/>
      </w:pPr>
    </w:p>
    <w:p w:rsidR="00EC3308" w:rsidRPr="006B210C" w:rsidRDefault="00EC3308" w:rsidP="00EC3308">
      <w:pPr>
        <w:jc w:val="center"/>
        <w:rPr>
          <w:b/>
        </w:rPr>
      </w:pPr>
      <w:r w:rsidRPr="006B210C">
        <w:rPr>
          <w:b/>
        </w:rPr>
        <w:t>SUPREME COURT OF CANADA</w:t>
      </w:r>
    </w:p>
    <w:p w:rsidR="00EC3308" w:rsidRDefault="00EC3308" w:rsidP="00EC3308"/>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EC3308" w:rsidRPr="006B210C" w:rsidTr="00512C49">
        <w:trPr>
          <w:cantSplit/>
        </w:trPr>
        <w:tc>
          <w:tcPr>
            <w:tcW w:w="5670" w:type="dxa"/>
          </w:tcPr>
          <w:p w:rsidR="00EC3308" w:rsidRPr="003547AA" w:rsidRDefault="00EC3308" w:rsidP="00512C49">
            <w:pPr>
              <w:spacing w:line="480" w:lineRule="auto"/>
              <w:jc w:val="both"/>
              <w:rPr>
                <w:smallCaps/>
                <w:lang w:val="fr-CA"/>
              </w:rPr>
            </w:pPr>
            <w:r w:rsidRPr="00DE4FBA">
              <w:rPr>
                <w:b/>
                <w:smallCaps/>
                <w:lang w:val="fr-CA"/>
              </w:rPr>
              <w:t>Citation:</w:t>
            </w:r>
            <w:r w:rsidRPr="00DE4FBA">
              <w:rPr>
                <w:lang w:val="fr-CA"/>
              </w:rPr>
              <w:t xml:space="preserve"> </w:t>
            </w:r>
            <w:r>
              <w:rPr>
                <w:rStyle w:val="SCCAppellantForRunningHeadChar"/>
                <w:smallCaps w:val="0"/>
                <w:lang w:val="fr-CA"/>
              </w:rPr>
              <w:t>R</w:t>
            </w:r>
            <w:r w:rsidRPr="003547AA">
              <w:rPr>
                <w:rStyle w:val="SCCAppellantForRunningHeadChar"/>
                <w:smallCaps w:val="0"/>
                <w:lang w:val="fr-CA"/>
              </w:rPr>
              <w:t xml:space="preserve">. </w:t>
            </w:r>
            <w:r w:rsidRPr="00DE4FBA">
              <w:rPr>
                <w:rStyle w:val="SCCAppellantForRunningHeadChar"/>
                <w:i/>
                <w:smallCaps w:val="0"/>
                <w:lang w:val="fr-CA"/>
              </w:rPr>
              <w:t>v</w:t>
            </w:r>
            <w:r w:rsidRPr="00DE4FBA">
              <w:rPr>
                <w:rStyle w:val="SCCAppellantForRunningHeadChar"/>
                <w:smallCaps w:val="0"/>
                <w:lang w:val="fr-CA"/>
              </w:rPr>
              <w:t>.</w:t>
            </w:r>
            <w:r w:rsidRPr="003547AA">
              <w:rPr>
                <w:rStyle w:val="SCCAppellantForRunningHeadChar"/>
                <w:smallCaps w:val="0"/>
                <w:lang w:val="fr-CA"/>
              </w:rPr>
              <w:t xml:space="preserve"> </w:t>
            </w:r>
            <w:r>
              <w:rPr>
                <w:rStyle w:val="SCCAppellantForRunningHeadChar"/>
                <w:smallCaps w:val="0"/>
                <w:lang w:val="fr-CA"/>
              </w:rPr>
              <w:t>C</w:t>
            </w:r>
            <w:r w:rsidRPr="00B348CF">
              <w:rPr>
                <w:rStyle w:val="SCCAppellantForRunningHeadChar"/>
                <w:smallCaps w:val="0"/>
                <w:lang w:val="fr-CA"/>
              </w:rPr>
              <w:t>ain</w:t>
            </w:r>
            <w:r>
              <w:rPr>
                <w:rStyle w:val="SCCAppellantForRunningHeadChar"/>
                <w:smallCaps w:val="0"/>
                <w:lang w:val="fr-CA"/>
              </w:rPr>
              <w:t>, 2018 SCC 20, [2018] 1 S.C.R. 631</w:t>
            </w:r>
          </w:p>
          <w:p w:rsidR="00EC3308" w:rsidRPr="00DE4FBA" w:rsidRDefault="00EC3308" w:rsidP="00512C49">
            <w:pPr>
              <w:rPr>
                <w:lang w:val="fr-CA"/>
              </w:rPr>
            </w:pPr>
          </w:p>
        </w:tc>
        <w:tc>
          <w:tcPr>
            <w:tcW w:w="3960" w:type="dxa"/>
          </w:tcPr>
          <w:p w:rsidR="00EC3308" w:rsidRDefault="00EC3308" w:rsidP="00512C49">
            <w:r>
              <w:rPr>
                <w:b/>
                <w:smallCaps/>
              </w:rPr>
              <w:t>Appeal heard:</w:t>
            </w:r>
            <w:r w:rsidRPr="006B210C">
              <w:t xml:space="preserve"> </w:t>
            </w:r>
            <w:r>
              <w:t>May 14, 2018</w:t>
            </w:r>
          </w:p>
          <w:p w:rsidR="00EC3308" w:rsidRPr="006B210C" w:rsidRDefault="00EC3308" w:rsidP="00512C49">
            <w:r>
              <w:rPr>
                <w:b/>
                <w:smallCaps/>
              </w:rPr>
              <w:t>Judgment rendered</w:t>
            </w:r>
            <w:r w:rsidRPr="003E41F2">
              <w:rPr>
                <w:b/>
                <w:smallCaps/>
              </w:rPr>
              <w:t>:</w:t>
            </w:r>
            <w:r>
              <w:t xml:space="preserve"> May 14, 2018</w:t>
            </w:r>
          </w:p>
          <w:p w:rsidR="00EC3308" w:rsidRPr="006B210C" w:rsidRDefault="00EC3308" w:rsidP="00512C49">
            <w:r w:rsidRPr="005D4B83">
              <w:rPr>
                <w:b/>
                <w:smallCaps/>
              </w:rPr>
              <w:t>Docket:</w:t>
            </w:r>
            <w:r>
              <w:t xml:space="preserve"> 37926</w:t>
            </w:r>
          </w:p>
        </w:tc>
      </w:tr>
    </w:tbl>
    <w:p w:rsidR="00EC3308" w:rsidRPr="006B210C" w:rsidRDefault="00EC3308" w:rsidP="00EC3308"/>
    <w:p w:rsidR="00EC3308" w:rsidRDefault="00EC3308" w:rsidP="00EC3308">
      <w:pPr>
        <w:pStyle w:val="SCCLsocPrefix"/>
      </w:pPr>
      <w:r>
        <w:t>Between:</w:t>
      </w:r>
    </w:p>
    <w:p w:rsidR="00EC3308" w:rsidRPr="00A53D62" w:rsidRDefault="00EC3308" w:rsidP="00EC3308">
      <w:pPr>
        <w:jc w:val="center"/>
        <w:rPr>
          <w:b/>
        </w:rPr>
      </w:pPr>
      <w:r>
        <w:rPr>
          <w:b/>
        </w:rPr>
        <w:t>Percy Lewis Cain</w:t>
      </w:r>
    </w:p>
    <w:p w:rsidR="00EC3308" w:rsidRDefault="00EC3308" w:rsidP="00EC3308">
      <w:pPr>
        <w:jc w:val="center"/>
      </w:pPr>
      <w:r>
        <w:t>Appellant</w:t>
      </w:r>
    </w:p>
    <w:p w:rsidR="00EC3308" w:rsidRPr="005D4B83" w:rsidRDefault="00EC3308" w:rsidP="00EC3308">
      <w:pPr>
        <w:jc w:val="center"/>
      </w:pPr>
    </w:p>
    <w:p w:rsidR="00EC3308" w:rsidRPr="00EC3308" w:rsidRDefault="00EC3308" w:rsidP="00EC3308">
      <w:pPr>
        <w:pStyle w:val="SCCLsocVersus"/>
        <w:spacing w:after="0"/>
        <w:jc w:val="center"/>
        <w:rPr>
          <w:i w:val="0"/>
        </w:rPr>
      </w:pPr>
      <w:r w:rsidRPr="00EC3308">
        <w:rPr>
          <w:i w:val="0"/>
        </w:rPr>
        <w:t>and</w:t>
      </w:r>
    </w:p>
    <w:p w:rsidR="00EC3308" w:rsidRPr="005D4B83" w:rsidRDefault="00EC3308" w:rsidP="00EC3308">
      <w:pPr>
        <w:jc w:val="center"/>
      </w:pPr>
    </w:p>
    <w:p w:rsidR="00EC3308" w:rsidRDefault="00EC3308" w:rsidP="00EC3308">
      <w:pPr>
        <w:pStyle w:val="SCCLsocParty"/>
        <w:jc w:val="center"/>
      </w:pPr>
      <w:r>
        <w:t>Her Majesty The Queen</w:t>
      </w:r>
    </w:p>
    <w:p w:rsidR="00EC3308" w:rsidRDefault="00EC3308" w:rsidP="00EC3308">
      <w:pPr>
        <w:jc w:val="center"/>
      </w:pPr>
      <w:r>
        <w:t>Respondent</w:t>
      </w:r>
    </w:p>
    <w:p w:rsidR="00EC3308" w:rsidRDefault="00EC3308" w:rsidP="00EC3308">
      <w:pPr>
        <w:jc w:val="center"/>
      </w:pPr>
    </w:p>
    <w:p w:rsidR="00EC3308" w:rsidRDefault="00EC3308" w:rsidP="00EC3308"/>
    <w:p w:rsidR="00EC3308" w:rsidRPr="00A53D62" w:rsidRDefault="00EC3308" w:rsidP="00EC3308"/>
    <w:p w:rsidR="00EC3308" w:rsidRDefault="00EC3308" w:rsidP="00EC3308">
      <w:pPr>
        <w:jc w:val="both"/>
      </w:pPr>
      <w:r w:rsidRPr="006B210C">
        <w:rPr>
          <w:b/>
          <w:smallCaps/>
        </w:rPr>
        <w:t>Coram</w:t>
      </w:r>
      <w:r>
        <w:rPr>
          <w:b/>
          <w:smallCaps/>
        </w:rPr>
        <w:t xml:space="preserve">: </w:t>
      </w:r>
      <w:r>
        <w:t>Wagner C.J. and Karakatsanis, Gascon, Côté and Martin JJ.</w:t>
      </w:r>
    </w:p>
    <w:p w:rsidR="00EC3308" w:rsidRPr="006B210C" w:rsidRDefault="00EC3308" w:rsidP="00EC3308"/>
    <w:p w:rsidR="00EC3308" w:rsidRPr="006B210C" w:rsidRDefault="00EC3308" w:rsidP="00EC33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C3308" w:rsidRPr="000872C9" w:rsidTr="00512C49">
        <w:trPr>
          <w:cantSplit/>
        </w:trPr>
        <w:tc>
          <w:tcPr>
            <w:tcW w:w="3618" w:type="dxa"/>
          </w:tcPr>
          <w:p w:rsidR="00EC3308" w:rsidRDefault="00EC3308" w:rsidP="00512C49">
            <w:pPr>
              <w:rPr>
                <w:b/>
                <w:smallCaps/>
              </w:rPr>
            </w:pPr>
            <w:r w:rsidRPr="006B210C">
              <w:rPr>
                <w:b/>
                <w:smallCaps/>
              </w:rPr>
              <w:t xml:space="preserve">Reasons for </w:t>
            </w:r>
            <w:r>
              <w:rPr>
                <w:b/>
                <w:smallCaps/>
              </w:rPr>
              <w:t>Judgment:</w:t>
            </w:r>
          </w:p>
          <w:p w:rsidR="00EC3308" w:rsidRPr="006B210C" w:rsidRDefault="00EC3308" w:rsidP="00512C49">
            <w:r>
              <w:t>(paras. 1 to 4)</w:t>
            </w:r>
          </w:p>
        </w:tc>
        <w:tc>
          <w:tcPr>
            <w:tcW w:w="5958" w:type="dxa"/>
          </w:tcPr>
          <w:p w:rsidR="00EC3308" w:rsidRPr="00484289" w:rsidRDefault="00EC3308" w:rsidP="00512C49">
            <w:r>
              <w:t>Wagner C.J.</w:t>
            </w:r>
            <w:r w:rsidRPr="00484289">
              <w:t xml:space="preserve"> (</w:t>
            </w:r>
            <w:r>
              <w:t>Karakatsanis, Gascon, Côté, and Martin</w:t>
            </w:r>
            <w:r w:rsidRPr="00484289">
              <w:t> JJ. concurring)</w:t>
            </w:r>
          </w:p>
        </w:tc>
      </w:tr>
    </w:tbl>
    <w:p w:rsidR="00EC3308" w:rsidRPr="00484289" w:rsidRDefault="00EC3308" w:rsidP="00EC3308">
      <w:pPr>
        <w:rPr>
          <w:lang w:val="en-US"/>
        </w:rPr>
      </w:pPr>
    </w:p>
    <w:p w:rsidR="00EC3308" w:rsidRPr="00484289" w:rsidRDefault="00EC3308" w:rsidP="00EC3308">
      <w:pPr>
        <w:rPr>
          <w:lang w:val="en-US"/>
        </w:rPr>
      </w:pPr>
    </w:p>
    <w:p w:rsidR="00EC3308" w:rsidRPr="00484289" w:rsidRDefault="00EC3308" w:rsidP="00EC3308">
      <w:pPr>
        <w:rPr>
          <w:lang w:val="en-US"/>
        </w:rPr>
      </w:pPr>
      <w:r>
        <w:rPr>
          <w:noProof/>
          <w:lang w:val="en-US" w:eastAsia="en-US"/>
        </w:rPr>
        <mc:AlternateContent>
          <mc:Choice Requires="wps">
            <w:drawing>
              <wp:anchor distT="0" distB="0" distL="114300" distR="114300" simplePos="0" relativeHeight="251659264" behindDoc="0" locked="0" layoutInCell="1" allowOverlap="1" wp14:anchorId="5D77D2AC" wp14:editId="58D9E70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B9C7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C3308" w:rsidRPr="00484289" w:rsidRDefault="00EC3308" w:rsidP="00EC3308">
      <w:pPr>
        <w:rPr>
          <w:lang w:val="en-US"/>
        </w:rPr>
      </w:pPr>
    </w:p>
    <w:p w:rsidR="00EC3308" w:rsidRDefault="00EC3308" w:rsidP="0035169A">
      <w:pPr>
        <w:spacing w:line="480" w:lineRule="auto"/>
        <w:jc w:val="both"/>
        <w:rPr>
          <w:rStyle w:val="SCCAppellantForRunningHeadChar"/>
          <w:smallCaps w:val="0"/>
          <w:lang w:val="fr-CA"/>
        </w:rPr>
      </w:pPr>
    </w:p>
    <w:p w:rsidR="00766D14" w:rsidRPr="00EC3308" w:rsidRDefault="003547AA" w:rsidP="00EC3308">
      <w:pPr>
        <w:spacing w:line="480" w:lineRule="auto"/>
        <w:jc w:val="both"/>
        <w:rPr>
          <w:smallCaps/>
          <w:lang w:val="fr-CA"/>
        </w:rPr>
      </w:pPr>
      <w:r>
        <w:rPr>
          <w:rStyle w:val="SCCAppellantForRunningHeadChar"/>
          <w:smallCaps w:val="0"/>
          <w:lang w:val="fr-CA"/>
        </w:rPr>
        <w:t>R</w:t>
      </w:r>
      <w:r w:rsidR="00B53C32" w:rsidRPr="003547AA">
        <w:rPr>
          <w:rStyle w:val="SCCAppellantForRunningHeadChar"/>
          <w:smallCaps w:val="0"/>
          <w:lang w:val="fr-CA"/>
        </w:rPr>
        <w:t xml:space="preserve">. </w:t>
      </w:r>
      <w:r w:rsidR="00B53C32" w:rsidRPr="003547AA">
        <w:rPr>
          <w:rStyle w:val="SCCAppellantForRunningHeadChar"/>
          <w:i/>
          <w:smallCaps w:val="0"/>
          <w:lang w:val="fr-CA"/>
        </w:rPr>
        <w:t>v</w:t>
      </w:r>
      <w:r w:rsidR="00B53C32" w:rsidRPr="003547AA">
        <w:rPr>
          <w:rStyle w:val="SCCAppellantForRunningHeadChar"/>
          <w:smallCaps w:val="0"/>
          <w:lang w:val="fr-CA"/>
        </w:rPr>
        <w:t xml:space="preserve">. </w:t>
      </w:r>
      <w:r>
        <w:rPr>
          <w:rStyle w:val="SCCAppellantForRunningHeadChar"/>
          <w:smallCaps w:val="0"/>
          <w:lang w:val="fr-CA"/>
        </w:rPr>
        <w:t>C</w:t>
      </w:r>
      <w:r w:rsidR="008F78E9" w:rsidRPr="003547AA">
        <w:rPr>
          <w:rStyle w:val="SCCAppellantForRunningHeadChar"/>
          <w:smallCaps w:val="0"/>
          <w:lang w:val="fr-CA"/>
        </w:rPr>
        <w:t>ain</w:t>
      </w:r>
      <w:r>
        <w:rPr>
          <w:rStyle w:val="SCCAppellantForRunningHeadChar"/>
          <w:smallCaps w:val="0"/>
          <w:lang w:val="fr-CA"/>
        </w:rPr>
        <w:t>, 2018 SCC 20, [2018] 1 S.C.R. 631</w:t>
      </w:r>
    </w:p>
    <w:p w:rsidR="00A149DF" w:rsidRPr="00FD5171" w:rsidRDefault="00A149DF" w:rsidP="00FC4EFB">
      <w:pPr>
        <w:jc w:val="both"/>
        <w:rPr>
          <w:lang w:val="fr-CA"/>
        </w:rPr>
      </w:pPr>
    </w:p>
    <w:p w:rsidR="00A149DF" w:rsidRPr="00FD5171" w:rsidRDefault="00A149DF" w:rsidP="00FC4EFB">
      <w:pPr>
        <w:jc w:val="both"/>
        <w:rPr>
          <w:lang w:val="fr-CA"/>
        </w:rPr>
      </w:pPr>
    </w:p>
    <w:p w:rsidR="000B4675" w:rsidRPr="00FD5171" w:rsidRDefault="00B53C32">
      <w:pPr>
        <w:pStyle w:val="SCCLsocLastPartyInRole"/>
        <w:rPr>
          <w:lang w:val="fr-CA"/>
        </w:rPr>
      </w:pPr>
      <w:r w:rsidRPr="00FD5171">
        <w:rPr>
          <w:lang w:val="fr-CA"/>
        </w:rPr>
        <w:t>Percy Lewis Cain</w:t>
      </w:r>
      <w:r w:rsidRPr="00FD5171">
        <w:rPr>
          <w:rStyle w:val="SCCLsocPartyRole"/>
          <w:lang w:val="fr-CA"/>
        </w:rPr>
        <w:tab/>
        <w:t>App</w:t>
      </w:r>
      <w:r w:rsidR="00FD5171">
        <w:rPr>
          <w:rStyle w:val="SCCLsocPartyRole"/>
          <w:lang w:val="fr-CA"/>
        </w:rPr>
        <w:t>ellant</w:t>
      </w:r>
    </w:p>
    <w:p w:rsidR="000B4675" w:rsidRPr="00EC3308" w:rsidRDefault="00B53C32">
      <w:pPr>
        <w:pStyle w:val="SCCLsocVersus"/>
        <w:rPr>
          <w:lang w:val="fr-CA"/>
        </w:rPr>
      </w:pPr>
      <w:r w:rsidRPr="00EC3308">
        <w:rPr>
          <w:lang w:val="fr-CA"/>
        </w:rPr>
        <w:t>v.</w:t>
      </w:r>
    </w:p>
    <w:p w:rsidR="000B4675" w:rsidRDefault="00B53C32">
      <w:pPr>
        <w:pStyle w:val="SCCLsocLastPartyInRole"/>
      </w:pPr>
      <w:r>
        <w:t xml:space="preserve">Her Majesty </w:t>
      </w:r>
      <w:r w:rsidR="00FD5171">
        <w:t>T</w:t>
      </w:r>
      <w:r>
        <w:t>he Queen</w:t>
      </w:r>
      <w:r>
        <w:rPr>
          <w:rStyle w:val="SCCLsocPartyRole"/>
        </w:rPr>
        <w:tab/>
        <w:t>Respondent</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426659" w:rsidRPr="00426659" w:rsidRDefault="00426659" w:rsidP="00FC4EFB">
      <w:pPr>
        <w:jc w:val="both"/>
        <w:rPr>
          <w:b/>
        </w:rPr>
      </w:pPr>
      <w:r w:rsidRPr="00426659">
        <w:rPr>
          <w:b/>
        </w:rPr>
        <w:t>Indexed as:</w:t>
      </w:r>
      <w:r>
        <w:rPr>
          <w:b/>
        </w:rPr>
        <w:t xml:space="preserve"> </w:t>
      </w:r>
      <w:r w:rsidR="00FD5171">
        <w:rPr>
          <w:b/>
        </w:rPr>
        <w:t xml:space="preserve">R. </w:t>
      </w:r>
      <w:r w:rsidR="00FD5171">
        <w:rPr>
          <w:b/>
          <w:i/>
        </w:rPr>
        <w:t xml:space="preserve">v. </w:t>
      </w:r>
      <w:r>
        <w:rPr>
          <w:rStyle w:val="SCCAppellantForIndexChar"/>
        </w:rPr>
        <w:t>Cain</w:t>
      </w:r>
    </w:p>
    <w:p w:rsidR="00426659" w:rsidRDefault="00426659" w:rsidP="00FC4EFB">
      <w:pPr>
        <w:jc w:val="both"/>
      </w:pPr>
    </w:p>
    <w:p w:rsidR="00A149DF" w:rsidRDefault="00A149DF" w:rsidP="00FC4EFB">
      <w:pPr>
        <w:jc w:val="both"/>
      </w:pPr>
    </w:p>
    <w:p w:rsidR="00A149DF" w:rsidRDefault="00A149DF" w:rsidP="00FC4EFB">
      <w:pPr>
        <w:jc w:val="both"/>
      </w:pPr>
    </w:p>
    <w:p w:rsidR="00426659" w:rsidRPr="00C02092" w:rsidRDefault="00AE4535" w:rsidP="00FC4EFB">
      <w:pPr>
        <w:pStyle w:val="SCCSystemYear"/>
        <w:jc w:val="both"/>
      </w:pPr>
      <w:r>
        <w:t>2018</w:t>
      </w:r>
      <w:r w:rsidR="003D0399">
        <w:t xml:space="preserve"> </w:t>
      </w:r>
      <w:r w:rsidR="00FD5171">
        <w:t>SCC 20</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FD5171" w:rsidP="00FC4EFB">
      <w:pPr>
        <w:jc w:val="both"/>
      </w:pPr>
      <w:r>
        <w:t xml:space="preserve">File No.: </w:t>
      </w:r>
      <w:r w:rsidR="009B57B3">
        <w:t>37926</w:t>
      </w:r>
      <w:r w:rsidR="009B57B3"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FD5171" w:rsidP="00FC4EFB">
      <w:pPr>
        <w:jc w:val="both"/>
      </w:pPr>
      <w:r>
        <w:t xml:space="preserve">2018: </w:t>
      </w:r>
      <w:r w:rsidR="00AE4535">
        <w:t>May 14</w:t>
      </w:r>
      <w:r>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FD5171" w:rsidP="00FC4EFB">
      <w:pPr>
        <w:jc w:val="both"/>
      </w:pPr>
      <w:r>
        <w:t xml:space="preserve">Present: </w:t>
      </w:r>
      <w:r w:rsidR="009B57B3">
        <w:t>Wagner C.J. and Karakatsanis, Gascon, Côté and Martin JJ.</w:t>
      </w:r>
    </w:p>
    <w:p w:rsidR="00E97830" w:rsidRDefault="00E97830" w:rsidP="00FC4EFB">
      <w:pPr>
        <w:jc w:val="both"/>
      </w:pPr>
    </w:p>
    <w:p w:rsidR="006A1551" w:rsidRDefault="006A1551" w:rsidP="00FC4EFB">
      <w:pPr>
        <w:jc w:val="both"/>
      </w:pPr>
    </w:p>
    <w:p w:rsidR="006A1551" w:rsidRDefault="006A1551" w:rsidP="00FC4EFB">
      <w:pPr>
        <w:jc w:val="both"/>
      </w:pPr>
    </w:p>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w:t>
      </w:r>
      <w:r w:rsidR="008038B7">
        <w:t xml:space="preserve"> for nova scotia</w:t>
      </w:r>
    </w:p>
    <w:p w:rsidR="003A4C70" w:rsidRPr="001426A9" w:rsidRDefault="003A4C70" w:rsidP="00FC4EFB">
      <w:pPr>
        <w:pStyle w:val="SCCNormalDoubleSpacing"/>
      </w:pPr>
    </w:p>
    <w:p w:rsidR="00A34E63" w:rsidRDefault="009B57B3" w:rsidP="002E1879">
      <w:pPr>
        <w:pStyle w:val="SCCNormalDoubleSpacing"/>
        <w:rPr>
          <w:i/>
        </w:rPr>
      </w:pPr>
      <w:r w:rsidRPr="00583EDE">
        <w:tab/>
      </w:r>
      <w:r w:rsidR="00B418AB">
        <w:rPr>
          <w:i/>
        </w:rPr>
        <w:t>Criminal law — Evidence —</w:t>
      </w:r>
      <w:r w:rsidR="003D0758">
        <w:rPr>
          <w:i/>
        </w:rPr>
        <w:t xml:space="preserve"> </w:t>
      </w:r>
      <w:r w:rsidR="00B418AB">
        <w:rPr>
          <w:i/>
        </w:rPr>
        <w:t>Prior consistent statement —</w:t>
      </w:r>
      <w:r w:rsidR="00024368">
        <w:rPr>
          <w:i/>
        </w:rPr>
        <w:t xml:space="preserve"> </w:t>
      </w:r>
      <w:r w:rsidR="003D0758">
        <w:rPr>
          <w:i/>
        </w:rPr>
        <w:t xml:space="preserve">Defence introducing at trial statements </w:t>
      </w:r>
      <w:r w:rsidR="00093B40">
        <w:rPr>
          <w:i/>
        </w:rPr>
        <w:t xml:space="preserve">by complainant </w:t>
      </w:r>
      <w:r w:rsidR="003D0758">
        <w:rPr>
          <w:i/>
        </w:rPr>
        <w:t xml:space="preserve">to police and cross-examining complainant on inconsistencies between statements and her testimony </w:t>
      </w:r>
      <w:r w:rsidR="00B418AB">
        <w:rPr>
          <w:i/>
        </w:rPr>
        <w:t>—</w:t>
      </w:r>
      <w:r w:rsidR="003D0758">
        <w:rPr>
          <w:i/>
        </w:rPr>
        <w:t xml:space="preserve"> </w:t>
      </w:r>
      <w:r w:rsidR="00024368">
        <w:rPr>
          <w:i/>
        </w:rPr>
        <w:t>Trial judge</w:t>
      </w:r>
      <w:r w:rsidR="0048160A">
        <w:rPr>
          <w:i/>
        </w:rPr>
        <w:t xml:space="preserve"> finding that inconsistencies did not impair complainant’s reliability and convicting accused</w:t>
      </w:r>
      <w:r w:rsidR="00093B40">
        <w:rPr>
          <w:i/>
        </w:rPr>
        <w:t xml:space="preserve"> of sexual assault</w:t>
      </w:r>
      <w:r w:rsidR="00B418AB">
        <w:rPr>
          <w:i/>
        </w:rPr>
        <w:t xml:space="preserve"> —</w:t>
      </w:r>
      <w:r w:rsidR="0048160A">
        <w:rPr>
          <w:i/>
        </w:rPr>
        <w:t xml:space="preserve"> </w:t>
      </w:r>
      <w:r w:rsidR="00024368">
        <w:rPr>
          <w:i/>
        </w:rPr>
        <w:t>Court of Appeal</w:t>
      </w:r>
      <w:r w:rsidR="0048160A">
        <w:rPr>
          <w:i/>
        </w:rPr>
        <w:t xml:space="preserve"> holding that</w:t>
      </w:r>
      <w:r w:rsidR="0028474D">
        <w:rPr>
          <w:i/>
        </w:rPr>
        <w:t xml:space="preserve"> trial judge </w:t>
      </w:r>
      <w:r w:rsidR="0028474D" w:rsidRPr="0028474D">
        <w:rPr>
          <w:i/>
        </w:rPr>
        <w:t xml:space="preserve">did not err in his use of </w:t>
      </w:r>
      <w:r w:rsidR="0028474D">
        <w:rPr>
          <w:i/>
        </w:rPr>
        <w:t>c</w:t>
      </w:r>
      <w:r w:rsidR="0028474D" w:rsidRPr="0028474D">
        <w:rPr>
          <w:i/>
        </w:rPr>
        <w:t>omplainant’s prior statement</w:t>
      </w:r>
      <w:r w:rsidR="00093B40">
        <w:rPr>
          <w:i/>
        </w:rPr>
        <w:t>s</w:t>
      </w:r>
      <w:r w:rsidR="00B418AB">
        <w:rPr>
          <w:i/>
        </w:rPr>
        <w:t xml:space="preserve"> —</w:t>
      </w:r>
      <w:r w:rsidR="00024368">
        <w:rPr>
          <w:i/>
        </w:rPr>
        <w:t xml:space="preserve"> Conviction upheld.</w:t>
      </w:r>
    </w:p>
    <w:p w:rsidR="002E1879" w:rsidRPr="002E1879" w:rsidRDefault="002E1879" w:rsidP="002E1879">
      <w:pPr>
        <w:pStyle w:val="SCCNormalDoubleSpacing"/>
      </w:pPr>
    </w:p>
    <w:p w:rsidR="003B215F" w:rsidRDefault="002E6705" w:rsidP="00A34E63">
      <w:pPr>
        <w:pStyle w:val="SCCNormalDoubleSpacing"/>
        <w:spacing w:after="720" w:line="240" w:lineRule="auto"/>
      </w:pPr>
      <w:r w:rsidRPr="00314E01">
        <w:rPr>
          <w:b/>
        </w:rPr>
        <w:t>Statutes and Regulations Cite</w:t>
      </w:r>
      <w:r w:rsidR="00A41805">
        <w:rPr>
          <w:b/>
        </w:rPr>
        <w:t>d</w:t>
      </w:r>
    </w:p>
    <w:p w:rsidR="00A149DF" w:rsidRPr="00B418AB" w:rsidRDefault="00783689" w:rsidP="00A34E63">
      <w:pPr>
        <w:pStyle w:val="SCCNormalDoubleSpacing"/>
        <w:spacing w:after="240" w:line="240" w:lineRule="auto"/>
        <w:ind w:left="547" w:hanging="547"/>
        <w:rPr>
          <w:lang w:val="en-US"/>
        </w:rPr>
      </w:pPr>
      <w:r w:rsidRPr="00B418AB">
        <w:rPr>
          <w:i/>
          <w:lang w:val="en-US"/>
        </w:rPr>
        <w:t>Criminal Code</w:t>
      </w:r>
      <w:r w:rsidRPr="00B418AB">
        <w:rPr>
          <w:lang w:val="en-US"/>
        </w:rPr>
        <w:t>, R.S.C. 1985, c. C-46, s. 271.</w:t>
      </w:r>
    </w:p>
    <w:p w:rsidR="00A149DF" w:rsidRPr="00B418AB" w:rsidRDefault="00A149DF" w:rsidP="00A34E63">
      <w:pPr>
        <w:pStyle w:val="SCCNormalDoubleSpacing"/>
        <w:rPr>
          <w:lang w:val="en-US"/>
        </w:rPr>
      </w:pPr>
    </w:p>
    <w:p w:rsidR="00656313" w:rsidRPr="00024368" w:rsidRDefault="009B57B3" w:rsidP="00FC4EFB">
      <w:pPr>
        <w:pStyle w:val="SCCNormalDoubleSpacing"/>
        <w:rPr>
          <w:lang w:val="en-US"/>
        </w:rPr>
      </w:pPr>
      <w:r w:rsidRPr="00B418AB">
        <w:rPr>
          <w:lang w:val="en-US"/>
        </w:rPr>
        <w:lastRenderedPageBreak/>
        <w:tab/>
      </w:r>
      <w:r w:rsidRPr="001426A9">
        <w:t xml:space="preserve">APPEAL from </w:t>
      </w:r>
      <w:r w:rsidRPr="00A34E63">
        <w:t>a judgment of the Nova Scotia Court of Appeal</w:t>
      </w:r>
      <w:r w:rsidR="008038B7" w:rsidRPr="00A34E63">
        <w:t xml:space="preserve"> (</w:t>
      </w:r>
      <w:r w:rsidR="00BF34D4" w:rsidRPr="00A34E63">
        <w:t>Fichaud, Van den Eynden and Scanlan JJ.A.), 2017</w:t>
      </w:r>
      <w:r w:rsidR="00BF34D4">
        <w:t xml:space="preserve"> NSCA 96, [2017] N.S.J. No. 512 (QL), 2017 CarswellNS 949 (WL Can.), </w:t>
      </w:r>
      <w:r w:rsidR="00405A4F">
        <w:t>affirming the conviction of the accused for sexual assault. Appeal dismissed, C</w:t>
      </w:r>
      <w:r w:rsidR="007D6A31" w:rsidRPr="00024368">
        <w:rPr>
          <w:lang w:val="en-US"/>
        </w:rPr>
        <w:t>ôté J. dissenting.</w:t>
      </w:r>
    </w:p>
    <w:p w:rsidR="00A34E63" w:rsidRPr="00024368" w:rsidRDefault="00A34E63" w:rsidP="00FC4EFB">
      <w:pPr>
        <w:pStyle w:val="SCCNormalDoubleSpacing"/>
        <w:rPr>
          <w:lang w:val="en-US"/>
        </w:rPr>
      </w:pPr>
    </w:p>
    <w:p w:rsidR="00A34E63" w:rsidRDefault="00A34E63" w:rsidP="00A34E63">
      <w:pPr>
        <w:pStyle w:val="SCCNormalDoubleSpacing"/>
      </w:pPr>
      <w:r>
        <w:rPr>
          <w:rStyle w:val="SCCCounselNameChar"/>
        </w:rPr>
        <w:tab/>
        <w:t>Roger A. Burrill</w:t>
      </w:r>
      <w:r>
        <w:rPr>
          <w:rStyle w:val="SCCCounselPartyRoleChar"/>
        </w:rPr>
        <w:t>, for the appellant.</w:t>
      </w:r>
    </w:p>
    <w:p w:rsidR="00A34E63" w:rsidRDefault="00A34E63" w:rsidP="00A34E63">
      <w:pPr>
        <w:pStyle w:val="SCCNormalDoubleSpacing"/>
      </w:pPr>
    </w:p>
    <w:p w:rsidR="00A34E63" w:rsidRDefault="00A34E63" w:rsidP="00A34E63">
      <w:pPr>
        <w:pStyle w:val="SCCNormalDoubleSpacing"/>
      </w:pPr>
      <w:r>
        <w:rPr>
          <w:rStyle w:val="SCCCounselNameChar"/>
        </w:rPr>
        <w:tab/>
        <w:t>James A. Gumpert</w:t>
      </w:r>
      <w:r w:rsidRPr="008038B7">
        <w:rPr>
          <w:rStyle w:val="SCCCounselNameChar"/>
          <w:i w:val="0"/>
        </w:rPr>
        <w:t>,</w:t>
      </w:r>
      <w:r>
        <w:rPr>
          <w:rStyle w:val="SCCCounselNameChar"/>
        </w:rPr>
        <w:t xml:space="preserve"> Q.C.</w:t>
      </w:r>
      <w:r>
        <w:rPr>
          <w:rStyle w:val="SCCCounselPartyRoleChar"/>
        </w:rPr>
        <w:t xml:space="preserve">, and </w:t>
      </w:r>
      <w:r>
        <w:rPr>
          <w:rStyle w:val="SCCCounselPartyRoleChar"/>
          <w:i/>
        </w:rPr>
        <w:t>Sean P. McCarroll</w:t>
      </w:r>
      <w:r>
        <w:rPr>
          <w:rStyle w:val="SCCCounselPartyRoleChar"/>
        </w:rPr>
        <w:t>, for the respondent.</w:t>
      </w:r>
    </w:p>
    <w:p w:rsidR="00656313" w:rsidRDefault="00656313" w:rsidP="00FC4EFB">
      <w:pPr>
        <w:pStyle w:val="SCCNormalDoubleSpacing"/>
      </w:pPr>
    </w:p>
    <w:p w:rsidR="00A34E63" w:rsidRDefault="00A34E63" w:rsidP="00FC4EFB">
      <w:pPr>
        <w:pStyle w:val="SCCNormalDoubleSpacing"/>
      </w:pPr>
      <w:r>
        <w:tab/>
        <w:t>The judgment of the Court was delivered orally by</w:t>
      </w:r>
    </w:p>
    <w:p w:rsidR="00A34E63" w:rsidRDefault="00A34E63" w:rsidP="00A34E63">
      <w:pPr>
        <w:pStyle w:val="ParaNoNdepar-AltN"/>
        <w:numPr>
          <w:ilvl w:val="0"/>
          <w:numId w:val="1"/>
        </w:numPr>
        <w:tabs>
          <w:tab w:val="num" w:pos="1152"/>
        </w:tabs>
        <w:ind w:left="0" w:firstLine="0"/>
      </w:pPr>
      <w:r>
        <w:rPr>
          <w:smallCaps/>
        </w:rPr>
        <w:t xml:space="preserve">The Chief Justice </w:t>
      </w:r>
      <w:r w:rsidRPr="000231F3">
        <w:rPr>
          <w:smallCaps/>
          <w:lang w:val="en-US"/>
        </w:rPr>
        <w:t>—</w:t>
      </w:r>
      <w:r>
        <w:rPr>
          <w:smallCaps/>
        </w:rPr>
        <w:t xml:space="preserve"> </w:t>
      </w:r>
      <w:r>
        <w:t xml:space="preserve">Mr. Cain was convicted at trial of sexual assault, contrary to s. 271 of the </w:t>
      </w:r>
      <w:r w:rsidRPr="000E14EF">
        <w:rPr>
          <w:i/>
        </w:rPr>
        <w:t>Criminal Code</w:t>
      </w:r>
      <w:r w:rsidRPr="00D95CDD">
        <w:t>, R.S.C. 1985, c. C-46.</w:t>
      </w:r>
      <w:r>
        <w:t xml:space="preserve"> He appealed on the ground that the trial judge relied on the complainant’s prior consistent statement for an impermissible purpose, namely, to confirm the truth of her testimony. A majority of the Nova Scotia Court of Appeal dismissed Mr. Cain’s appeal, Scanlan J.A. dissenting. Mr. Cain appeals to this Court as of right.</w:t>
      </w:r>
    </w:p>
    <w:p w:rsidR="00A34E63" w:rsidRDefault="00A34E63" w:rsidP="00A34E63">
      <w:pPr>
        <w:pStyle w:val="ParaNoNdepar-AltN"/>
        <w:numPr>
          <w:ilvl w:val="0"/>
          <w:numId w:val="1"/>
        </w:numPr>
        <w:tabs>
          <w:tab w:val="num" w:pos="1152"/>
        </w:tabs>
        <w:ind w:left="0" w:firstLine="0"/>
      </w:pPr>
      <w:r>
        <w:t xml:space="preserve">A majority of this Court would dismiss the appeal, substantially for the reasons of the majority of the Court of Appeal. At trial, Mr. Cain challenged the reliability of the complainant’s testimony on the basis of inconsistencies between it and her prior statements to police. The trial judge found that the inconsistencies involved only insignificant peripheral matters, and so he rejected Mr. Cain’s contention that any inconsistencies rendered the complainant not credible or her evidence unreliable. The trial judge did not rely on consistencies between the statements and testimony to bolster </w:t>
      </w:r>
      <w:r>
        <w:lastRenderedPageBreak/>
        <w:t>the truth of the complainant’s testimony. This was an appropriate use of a prior consistent statement and did not constitute an error of law.</w:t>
      </w:r>
    </w:p>
    <w:p w:rsidR="00A34E63" w:rsidRDefault="00A34E63" w:rsidP="00A34E63">
      <w:pPr>
        <w:pStyle w:val="ParaNoNdepar-AltN"/>
        <w:numPr>
          <w:ilvl w:val="0"/>
          <w:numId w:val="1"/>
        </w:numPr>
        <w:tabs>
          <w:tab w:val="num" w:pos="1152"/>
        </w:tabs>
        <w:ind w:left="0" w:firstLine="0"/>
      </w:pPr>
      <w:r>
        <w:t>Justice C</w:t>
      </w:r>
      <w:r>
        <w:rPr>
          <w:rFonts w:cs="Times New Roman"/>
        </w:rPr>
        <w:t>ô</w:t>
      </w:r>
      <w:r>
        <w:t>t</w:t>
      </w:r>
      <w:r>
        <w:rPr>
          <w:rFonts w:cs="Times New Roman"/>
        </w:rPr>
        <w:t>é</w:t>
      </w:r>
      <w:r>
        <w:t>, dissenting, would have allowed the appea</w:t>
      </w:r>
      <w:r w:rsidRPr="00D95CDD">
        <w:t>l, s</w:t>
      </w:r>
      <w:r>
        <w:t>ubstantially for the reasons of Scanlan J.A.</w:t>
      </w:r>
    </w:p>
    <w:p w:rsidR="00A34E63" w:rsidRDefault="00A34E63" w:rsidP="00A34E63">
      <w:pPr>
        <w:pStyle w:val="ParaNoNdepar-AltN"/>
        <w:numPr>
          <w:ilvl w:val="0"/>
          <w:numId w:val="1"/>
        </w:numPr>
        <w:tabs>
          <w:tab w:val="num" w:pos="1152"/>
        </w:tabs>
        <w:ind w:left="0" w:firstLine="0"/>
      </w:pPr>
      <w:r w:rsidRPr="00D95CDD">
        <w:t>Therefore,</w:t>
      </w:r>
      <w:r>
        <w:t xml:space="preserve"> </w:t>
      </w:r>
      <w:r w:rsidRPr="00D95CDD">
        <w:t>t</w:t>
      </w:r>
      <w:r>
        <w:t>he appeal is dismissed.</w:t>
      </w:r>
    </w:p>
    <w:p w:rsidR="009B57B3" w:rsidRDefault="00FD5171" w:rsidP="00FC4EFB">
      <w:pPr>
        <w:pStyle w:val="SCCNormalDoubleSpacing"/>
      </w:pPr>
      <w:r>
        <w:tab/>
      </w:r>
      <w:r w:rsidR="008038B7">
        <w:rPr>
          <w:i/>
        </w:rPr>
        <w:t>Judgment accordingly.</w:t>
      </w:r>
    </w:p>
    <w:p w:rsidR="00A149DF" w:rsidRPr="001426A9" w:rsidRDefault="00A149DF" w:rsidP="00FC4EFB">
      <w:pPr>
        <w:pStyle w:val="SCCNormalDoubleSpacing"/>
      </w:pPr>
    </w:p>
    <w:p w:rsidR="000B4675" w:rsidRDefault="008038B7">
      <w:pPr>
        <w:pStyle w:val="SCCLawFirm"/>
      </w:pPr>
      <w:r>
        <w:tab/>
        <w:t>Solicitor</w:t>
      </w:r>
      <w:r w:rsidR="00B53C32">
        <w:t xml:space="preserve"> for the app</w:t>
      </w:r>
      <w:r w:rsidR="00783689">
        <w:t>ellant</w:t>
      </w:r>
      <w:r>
        <w:t xml:space="preserve">: </w:t>
      </w:r>
      <w:r w:rsidR="00B53C32">
        <w:t>Nova Scotia Legal Aid, Halifax.</w:t>
      </w:r>
    </w:p>
    <w:p w:rsidR="000B4675" w:rsidRDefault="000B4675">
      <w:pPr>
        <w:pStyle w:val="SCCLawFirm"/>
      </w:pPr>
    </w:p>
    <w:p w:rsidR="000B4675" w:rsidRDefault="008038B7">
      <w:pPr>
        <w:pStyle w:val="SCCLawFirm"/>
      </w:pPr>
      <w:r>
        <w:tab/>
        <w:t>Solicitor</w:t>
      </w:r>
      <w:r w:rsidR="00B53C32">
        <w:t xml:space="preserve"> for the respondent: Public Prosecution Service of Nova Scotia, Halifax.</w:t>
      </w:r>
    </w:p>
    <w:sectPr w:rsidR="000B4675"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D3C" w:rsidRDefault="00F35D3C">
      <w:r>
        <w:separator/>
      </w:r>
    </w:p>
  </w:endnote>
  <w:endnote w:type="continuationSeparator" w:id="0">
    <w:p w:rsidR="00F35D3C" w:rsidRDefault="00F3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D3C" w:rsidRDefault="00F35D3C">
      <w:r>
        <w:separator/>
      </w:r>
    </w:p>
  </w:footnote>
  <w:footnote w:type="continuationSeparator" w:id="0">
    <w:p w:rsidR="00F35D3C" w:rsidRDefault="00F35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0731"/>
    <w:multiLevelType w:val="hybridMultilevel"/>
    <w:tmpl w:val="48BA7800"/>
    <w:lvl w:ilvl="0" w:tplc="DE3C5E3C">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4368"/>
    <w:rsid w:val="00025198"/>
    <w:rsid w:val="000578A3"/>
    <w:rsid w:val="000648CC"/>
    <w:rsid w:val="00093B40"/>
    <w:rsid w:val="000B4675"/>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8474D"/>
    <w:rsid w:val="002B66B9"/>
    <w:rsid w:val="002B7924"/>
    <w:rsid w:val="002D28C3"/>
    <w:rsid w:val="002D39A4"/>
    <w:rsid w:val="002E1879"/>
    <w:rsid w:val="002E6705"/>
    <w:rsid w:val="00301D08"/>
    <w:rsid w:val="0030329A"/>
    <w:rsid w:val="0031086F"/>
    <w:rsid w:val="0031414C"/>
    <w:rsid w:val="00314E01"/>
    <w:rsid w:val="0032089D"/>
    <w:rsid w:val="003310DE"/>
    <w:rsid w:val="003323B0"/>
    <w:rsid w:val="0035169A"/>
    <w:rsid w:val="0035259D"/>
    <w:rsid w:val="003547AA"/>
    <w:rsid w:val="00364B18"/>
    <w:rsid w:val="003A125D"/>
    <w:rsid w:val="003A4C70"/>
    <w:rsid w:val="003B215F"/>
    <w:rsid w:val="003C799C"/>
    <w:rsid w:val="003D0399"/>
    <w:rsid w:val="003D0758"/>
    <w:rsid w:val="003E1C71"/>
    <w:rsid w:val="003F327B"/>
    <w:rsid w:val="00405A4F"/>
    <w:rsid w:val="00406166"/>
    <w:rsid w:val="0040704B"/>
    <w:rsid w:val="00410A55"/>
    <w:rsid w:val="00411300"/>
    <w:rsid w:val="00415417"/>
    <w:rsid w:val="00426659"/>
    <w:rsid w:val="00450352"/>
    <w:rsid w:val="00454BDB"/>
    <w:rsid w:val="00464800"/>
    <w:rsid w:val="00465132"/>
    <w:rsid w:val="00480C90"/>
    <w:rsid w:val="0048160A"/>
    <w:rsid w:val="0048396F"/>
    <w:rsid w:val="00493C18"/>
    <w:rsid w:val="004A600C"/>
    <w:rsid w:val="004A6118"/>
    <w:rsid w:val="004C478D"/>
    <w:rsid w:val="004E2C26"/>
    <w:rsid w:val="004F36FF"/>
    <w:rsid w:val="005125A8"/>
    <w:rsid w:val="00521AE8"/>
    <w:rsid w:val="00527180"/>
    <w:rsid w:val="0054201E"/>
    <w:rsid w:val="00555291"/>
    <w:rsid w:val="00566AD1"/>
    <w:rsid w:val="00583EDE"/>
    <w:rsid w:val="005A6079"/>
    <w:rsid w:val="005E4698"/>
    <w:rsid w:val="00610539"/>
    <w:rsid w:val="00613969"/>
    <w:rsid w:val="00625C35"/>
    <w:rsid w:val="00656313"/>
    <w:rsid w:val="006565F4"/>
    <w:rsid w:val="00684EEA"/>
    <w:rsid w:val="0069689B"/>
    <w:rsid w:val="006A1551"/>
    <w:rsid w:val="006B5FF5"/>
    <w:rsid w:val="006F30AF"/>
    <w:rsid w:val="00701759"/>
    <w:rsid w:val="00705C15"/>
    <w:rsid w:val="0071600E"/>
    <w:rsid w:val="007208D1"/>
    <w:rsid w:val="00747288"/>
    <w:rsid w:val="00747DD3"/>
    <w:rsid w:val="007549C8"/>
    <w:rsid w:val="00754A0B"/>
    <w:rsid w:val="00766D14"/>
    <w:rsid w:val="00767A0F"/>
    <w:rsid w:val="00783689"/>
    <w:rsid w:val="007A05F6"/>
    <w:rsid w:val="007B6F4A"/>
    <w:rsid w:val="007D6A31"/>
    <w:rsid w:val="007E1C47"/>
    <w:rsid w:val="007E337A"/>
    <w:rsid w:val="007E5C70"/>
    <w:rsid w:val="007F2FF5"/>
    <w:rsid w:val="007F3F08"/>
    <w:rsid w:val="008038B7"/>
    <w:rsid w:val="00804CC6"/>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F78E9"/>
    <w:rsid w:val="00911989"/>
    <w:rsid w:val="009179F9"/>
    <w:rsid w:val="00933E5E"/>
    <w:rsid w:val="00935218"/>
    <w:rsid w:val="009357DA"/>
    <w:rsid w:val="009403F3"/>
    <w:rsid w:val="009555B7"/>
    <w:rsid w:val="009567AA"/>
    <w:rsid w:val="00967374"/>
    <w:rsid w:val="009747A6"/>
    <w:rsid w:val="009A343A"/>
    <w:rsid w:val="009B2F23"/>
    <w:rsid w:val="009B57B3"/>
    <w:rsid w:val="009C5B92"/>
    <w:rsid w:val="009D2920"/>
    <w:rsid w:val="009D5AEB"/>
    <w:rsid w:val="009F0E33"/>
    <w:rsid w:val="00A030CE"/>
    <w:rsid w:val="00A149DF"/>
    <w:rsid w:val="00A1755C"/>
    <w:rsid w:val="00A21B90"/>
    <w:rsid w:val="00A34E63"/>
    <w:rsid w:val="00A41805"/>
    <w:rsid w:val="00A42DCD"/>
    <w:rsid w:val="00A52AFB"/>
    <w:rsid w:val="00A548CB"/>
    <w:rsid w:val="00A5521C"/>
    <w:rsid w:val="00A643E7"/>
    <w:rsid w:val="00A73C38"/>
    <w:rsid w:val="00AB670D"/>
    <w:rsid w:val="00AE4535"/>
    <w:rsid w:val="00AF03C5"/>
    <w:rsid w:val="00B000D8"/>
    <w:rsid w:val="00B00F75"/>
    <w:rsid w:val="00B06708"/>
    <w:rsid w:val="00B145B6"/>
    <w:rsid w:val="00B279EB"/>
    <w:rsid w:val="00B418AB"/>
    <w:rsid w:val="00B50C81"/>
    <w:rsid w:val="00B53C32"/>
    <w:rsid w:val="00B557F8"/>
    <w:rsid w:val="00B815FC"/>
    <w:rsid w:val="00B93FBC"/>
    <w:rsid w:val="00BA7DA0"/>
    <w:rsid w:val="00BB2EE4"/>
    <w:rsid w:val="00BC2108"/>
    <w:rsid w:val="00BD0E9E"/>
    <w:rsid w:val="00BD1BEC"/>
    <w:rsid w:val="00BD32FF"/>
    <w:rsid w:val="00BE0EEA"/>
    <w:rsid w:val="00BF34D4"/>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D1E39"/>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C3308"/>
    <w:rsid w:val="00EE643C"/>
    <w:rsid w:val="00EF0683"/>
    <w:rsid w:val="00EF69D2"/>
    <w:rsid w:val="00EF766E"/>
    <w:rsid w:val="00F0070C"/>
    <w:rsid w:val="00F00EB7"/>
    <w:rsid w:val="00F35D3C"/>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D5171"/>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FD5171"/>
    <w:rPr>
      <w:sz w:val="16"/>
      <w:szCs w:val="16"/>
    </w:rPr>
  </w:style>
  <w:style w:type="paragraph" w:styleId="CommentText">
    <w:name w:val="annotation text"/>
    <w:basedOn w:val="Normal"/>
    <w:link w:val="CommentTextChar"/>
    <w:uiPriority w:val="99"/>
    <w:semiHidden/>
    <w:unhideWhenUsed/>
    <w:rsid w:val="00FD5171"/>
    <w:rPr>
      <w:sz w:val="20"/>
    </w:rPr>
  </w:style>
  <w:style w:type="character" w:customStyle="1" w:styleId="CommentTextChar">
    <w:name w:val="Comment Text Char"/>
    <w:basedOn w:val="DefaultParagraphFont"/>
    <w:link w:val="CommentText"/>
    <w:uiPriority w:val="99"/>
    <w:semiHidden/>
    <w:rsid w:val="00FD5171"/>
  </w:style>
  <w:style w:type="paragraph" w:styleId="CommentSubject">
    <w:name w:val="annotation subject"/>
    <w:basedOn w:val="CommentText"/>
    <w:next w:val="CommentText"/>
    <w:link w:val="CommentSubjectChar"/>
    <w:uiPriority w:val="99"/>
    <w:semiHidden/>
    <w:unhideWhenUsed/>
    <w:rsid w:val="00FD5171"/>
    <w:rPr>
      <w:b/>
      <w:bCs/>
    </w:rPr>
  </w:style>
  <w:style w:type="character" w:customStyle="1" w:styleId="CommentSubjectChar">
    <w:name w:val="Comment Subject Char"/>
    <w:basedOn w:val="CommentTextChar"/>
    <w:link w:val="CommentSubject"/>
    <w:uiPriority w:val="99"/>
    <w:semiHidden/>
    <w:rsid w:val="00FD5171"/>
    <w:rPr>
      <w:b/>
      <w:bCs/>
    </w:rPr>
  </w:style>
  <w:style w:type="paragraph" w:customStyle="1" w:styleId="ParaNoNdepar-AltN">
    <w:name w:val="Para. No. / Nº de par. - Alt N"/>
    <w:qFormat/>
    <w:rsid w:val="00A34E63"/>
    <w:p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EC330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C3308"/>
    <w:rPr>
      <w:rFonts w:ascii="Times New Roman" w:hAnsi="Times New Roman"/>
      <w:sz w:val="24"/>
      <w:szCs w:val="24"/>
      <w:lang w:val="en-CA"/>
    </w:rPr>
  </w:style>
  <w:style w:type="paragraph" w:customStyle="1" w:styleId="SCCLsocPrefix">
    <w:name w:val="SCC.Lsoc.Prefix"/>
    <w:basedOn w:val="Normal"/>
    <w:next w:val="Normal"/>
    <w:link w:val="SCCLsocPrefixChar"/>
    <w:rsid w:val="00EC3308"/>
    <w:rPr>
      <w:rFonts w:eastAsiaTheme="minorHAnsi" w:cstheme="minorBidi"/>
      <w:b/>
      <w:smallCaps/>
      <w:szCs w:val="24"/>
      <w:lang w:eastAsia="en-US"/>
    </w:rPr>
  </w:style>
  <w:style w:type="character" w:customStyle="1" w:styleId="SCCLsocPrefixChar">
    <w:name w:val="SCC.Lsoc.Prefix Char"/>
    <w:basedOn w:val="DefaultParagraphFont"/>
    <w:link w:val="SCCLsocPrefix"/>
    <w:rsid w:val="00EC330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2018-06-27T12:15:00Z</dcterms:created>
  <dcterms:modified xsi:type="dcterms:W3CDTF">2019-03-25T19:02:00Z</dcterms:modified>
</cp:coreProperties>
</file>