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5" w:rsidRDefault="00E97EB5" w:rsidP="00996F3F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15031476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E97EB5" w:rsidRDefault="00E97EB5" w:rsidP="00E97EB5">
      <w:pPr>
        <w:pStyle w:val="Header"/>
      </w:pPr>
    </w:p>
    <w:p w:rsidR="00E97EB5" w:rsidRPr="006B210C" w:rsidRDefault="00E97EB5" w:rsidP="00E97EB5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97EB5" w:rsidRDefault="00E97EB5" w:rsidP="00E97EB5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E97EB5" w:rsidRPr="006B210C" w:rsidTr="00215F42">
        <w:trPr>
          <w:cantSplit/>
        </w:trPr>
        <w:tc>
          <w:tcPr>
            <w:tcW w:w="5670" w:type="dxa"/>
          </w:tcPr>
          <w:p w:rsidR="00E97EB5" w:rsidRPr="006B1FAF" w:rsidRDefault="00E97EB5" w:rsidP="00215F42">
            <w:r w:rsidRPr="006B1FAF">
              <w:rPr>
                <w:b/>
                <w:smallCaps/>
              </w:rPr>
              <w:t>Citation</w:t>
            </w:r>
            <w:r w:rsidRPr="00F62479">
              <w:rPr>
                <w:b/>
              </w:rPr>
              <w:t>:</w:t>
            </w:r>
            <w:r w:rsidRPr="00F62479">
              <w:t xml:space="preserve"> </w:t>
            </w:r>
            <w:r w:rsidRPr="00F62479">
              <w:rPr>
                <w:rStyle w:val="SCCAppellantForRunningHeadChar"/>
              </w:rPr>
              <w:t xml:space="preserve">R. </w:t>
            </w:r>
            <w:r w:rsidRPr="00F62479">
              <w:rPr>
                <w:i/>
              </w:rPr>
              <w:t>v.</w:t>
            </w:r>
            <w:r w:rsidRPr="00F62479">
              <w:rPr>
                <w:i/>
                <w:smallCaps/>
              </w:rPr>
              <w:t xml:space="preserve"> </w:t>
            </w:r>
            <w:r w:rsidRPr="006A4491">
              <w:rPr>
                <w:rStyle w:val="SCCAppellantForRunningHeadChar"/>
                <w:smallCaps w:val="0"/>
              </w:rPr>
              <w:t>Stephan</w:t>
            </w:r>
            <w:r>
              <w:rPr>
                <w:rStyle w:val="SCCAppellantForRunningHeadChar"/>
              </w:rPr>
              <w:t>, 2018 SCC 21, [2018] 1 S.C.R. 633</w:t>
            </w:r>
          </w:p>
        </w:tc>
        <w:tc>
          <w:tcPr>
            <w:tcW w:w="3960" w:type="dxa"/>
          </w:tcPr>
          <w:p w:rsidR="00E97EB5" w:rsidRDefault="00E97EB5" w:rsidP="00215F4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May 15, 2018</w:t>
            </w:r>
          </w:p>
          <w:p w:rsidR="00E97EB5" w:rsidRPr="006B210C" w:rsidRDefault="00E97EB5" w:rsidP="00215F42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May 15, 2018</w:t>
            </w:r>
          </w:p>
          <w:p w:rsidR="00E97EB5" w:rsidRPr="006B210C" w:rsidRDefault="00E97EB5" w:rsidP="00215F42">
            <w:r w:rsidRPr="005D4B83">
              <w:rPr>
                <w:b/>
                <w:smallCaps/>
              </w:rPr>
              <w:t>Docket:</w:t>
            </w:r>
            <w:r>
              <w:t xml:space="preserve"> 37845, 37846</w:t>
            </w:r>
          </w:p>
        </w:tc>
      </w:tr>
    </w:tbl>
    <w:p w:rsidR="00E97EB5" w:rsidRPr="006B210C" w:rsidRDefault="00E97EB5" w:rsidP="00E97EB5"/>
    <w:p w:rsidR="00E97EB5" w:rsidRDefault="00E97EB5" w:rsidP="00E97EB5">
      <w:pPr>
        <w:pStyle w:val="SCCLsocPrefix"/>
      </w:pPr>
      <w:r>
        <w:t>Between:</w:t>
      </w:r>
    </w:p>
    <w:p w:rsidR="00E97EB5" w:rsidRPr="00A53D62" w:rsidRDefault="00307059" w:rsidP="00E97EB5">
      <w:pPr>
        <w:jc w:val="center"/>
        <w:rPr>
          <w:b/>
        </w:rPr>
      </w:pPr>
      <w:r>
        <w:rPr>
          <w:b/>
        </w:rPr>
        <w:t>Collet</w:t>
      </w:r>
      <w:r w:rsidR="00E97EB5">
        <w:rPr>
          <w:b/>
        </w:rPr>
        <w:t xml:space="preserve"> Dawn Stephan</w:t>
      </w:r>
    </w:p>
    <w:p w:rsidR="00E97EB5" w:rsidRDefault="00E97EB5" w:rsidP="00E97EB5">
      <w:pPr>
        <w:jc w:val="center"/>
      </w:pPr>
      <w:r>
        <w:t>Appellant</w:t>
      </w:r>
    </w:p>
    <w:p w:rsidR="00E97EB5" w:rsidRPr="005D4B83" w:rsidRDefault="00E97EB5" w:rsidP="00E97EB5">
      <w:pPr>
        <w:jc w:val="center"/>
      </w:pPr>
    </w:p>
    <w:p w:rsidR="00E97EB5" w:rsidRPr="00E97EB5" w:rsidRDefault="00E97EB5" w:rsidP="00E97EB5">
      <w:pPr>
        <w:pStyle w:val="SCCLsocVersus"/>
        <w:spacing w:after="0"/>
        <w:jc w:val="center"/>
        <w:rPr>
          <w:i w:val="0"/>
        </w:rPr>
      </w:pPr>
      <w:proofErr w:type="gramStart"/>
      <w:r w:rsidRPr="00E97EB5">
        <w:rPr>
          <w:i w:val="0"/>
        </w:rPr>
        <w:t>and</w:t>
      </w:r>
      <w:proofErr w:type="gramEnd"/>
    </w:p>
    <w:p w:rsidR="00E97EB5" w:rsidRPr="005D4B83" w:rsidRDefault="00E97EB5" w:rsidP="00E97EB5">
      <w:pPr>
        <w:jc w:val="center"/>
      </w:pPr>
    </w:p>
    <w:p w:rsidR="00E97EB5" w:rsidRDefault="00E97EB5" w:rsidP="00E97EB5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E97EB5" w:rsidRDefault="00E97EB5" w:rsidP="00E97EB5">
      <w:pPr>
        <w:jc w:val="center"/>
      </w:pPr>
      <w:r>
        <w:t>Respondent</w:t>
      </w:r>
    </w:p>
    <w:p w:rsidR="00E97EB5" w:rsidRDefault="00E97EB5" w:rsidP="00E97EB5"/>
    <w:p w:rsidR="00E97EB5" w:rsidRPr="00F62479" w:rsidRDefault="00E97EB5" w:rsidP="00E97EB5">
      <w:pPr>
        <w:rPr>
          <w:b/>
          <w:smallCaps/>
        </w:rPr>
      </w:pPr>
      <w:r w:rsidRPr="00F62479">
        <w:rPr>
          <w:b/>
          <w:smallCaps/>
        </w:rPr>
        <w:t>And</w:t>
      </w:r>
      <w:r w:rsidR="00905424">
        <w:rPr>
          <w:b/>
          <w:smallCaps/>
        </w:rPr>
        <w:t xml:space="preserve"> Between</w:t>
      </w:r>
      <w:r w:rsidRPr="00F62479">
        <w:rPr>
          <w:b/>
          <w:smallCaps/>
        </w:rPr>
        <w:t>:</w:t>
      </w:r>
    </w:p>
    <w:p w:rsidR="00E97EB5" w:rsidRPr="00A53D62" w:rsidRDefault="00E97EB5" w:rsidP="00E97EB5"/>
    <w:p w:rsidR="00E97EB5" w:rsidRPr="00F62479" w:rsidRDefault="00E97EB5" w:rsidP="00E97EB5">
      <w:pPr>
        <w:jc w:val="center"/>
        <w:rPr>
          <w:b/>
        </w:rPr>
      </w:pPr>
      <w:r w:rsidRPr="00F62479">
        <w:rPr>
          <w:b/>
        </w:rPr>
        <w:t>David Robert Stephan</w:t>
      </w:r>
    </w:p>
    <w:p w:rsidR="00E97EB5" w:rsidRDefault="00E97EB5" w:rsidP="00E97EB5">
      <w:pPr>
        <w:jc w:val="center"/>
      </w:pPr>
      <w:r>
        <w:t>Appellant</w:t>
      </w:r>
    </w:p>
    <w:p w:rsidR="00E97EB5" w:rsidRDefault="00E97EB5" w:rsidP="00E97EB5">
      <w:pPr>
        <w:jc w:val="center"/>
      </w:pPr>
    </w:p>
    <w:p w:rsidR="00E97EB5" w:rsidRDefault="00E97EB5" w:rsidP="00E97EB5">
      <w:pPr>
        <w:jc w:val="center"/>
      </w:pPr>
      <w:proofErr w:type="gramStart"/>
      <w:r>
        <w:t>and</w:t>
      </w:r>
      <w:proofErr w:type="gramEnd"/>
    </w:p>
    <w:p w:rsidR="00E97EB5" w:rsidRDefault="00E97EB5" w:rsidP="00E97EB5">
      <w:pPr>
        <w:jc w:val="center"/>
      </w:pPr>
    </w:p>
    <w:p w:rsidR="00E97EB5" w:rsidRPr="00F62479" w:rsidRDefault="00E97EB5" w:rsidP="00E97EB5">
      <w:pPr>
        <w:jc w:val="center"/>
        <w:rPr>
          <w:b/>
        </w:rPr>
      </w:pPr>
      <w:r w:rsidRPr="00F62479">
        <w:rPr>
          <w:b/>
        </w:rPr>
        <w:t xml:space="preserve">Her Majesty </w:t>
      </w:r>
      <w:proofErr w:type="gramStart"/>
      <w:r w:rsidRPr="00F62479">
        <w:rPr>
          <w:b/>
        </w:rPr>
        <w:t>The</w:t>
      </w:r>
      <w:proofErr w:type="gramEnd"/>
      <w:r w:rsidRPr="00F62479">
        <w:rPr>
          <w:b/>
        </w:rPr>
        <w:t xml:space="preserve"> Queen</w:t>
      </w:r>
    </w:p>
    <w:p w:rsidR="00E97EB5" w:rsidRDefault="00E97EB5" w:rsidP="00E97EB5">
      <w:pPr>
        <w:jc w:val="center"/>
      </w:pPr>
      <w:r>
        <w:t>Respondent</w:t>
      </w:r>
    </w:p>
    <w:p w:rsidR="00E97EB5" w:rsidRPr="007470F5" w:rsidRDefault="00E97EB5" w:rsidP="00E97EB5">
      <w:pPr>
        <w:jc w:val="center"/>
      </w:pPr>
    </w:p>
    <w:p w:rsidR="00E97EB5" w:rsidRPr="006B210C" w:rsidRDefault="00E97EB5" w:rsidP="00E97EB5">
      <w:pPr>
        <w:jc w:val="center"/>
      </w:pPr>
    </w:p>
    <w:p w:rsidR="00E97EB5" w:rsidRPr="006B210C" w:rsidRDefault="00E97EB5" w:rsidP="00E97EB5"/>
    <w:p w:rsidR="00E97EB5" w:rsidRPr="006B210C" w:rsidRDefault="00E97EB5" w:rsidP="00E97EB5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Wagner C.J. and Abella, Moldaver, Karakatsanis, Gascon, Côté and Rowe JJ.</w:t>
      </w:r>
    </w:p>
    <w:p w:rsidR="00E97EB5" w:rsidRPr="006B210C" w:rsidRDefault="00E97EB5" w:rsidP="00E97E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97EB5" w:rsidRPr="000872C9" w:rsidTr="00215F42">
        <w:trPr>
          <w:cantSplit/>
        </w:trPr>
        <w:tc>
          <w:tcPr>
            <w:tcW w:w="3618" w:type="dxa"/>
          </w:tcPr>
          <w:p w:rsidR="00E97EB5" w:rsidRDefault="00E97EB5" w:rsidP="00215F4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E97EB5" w:rsidRPr="006B210C" w:rsidRDefault="00E97EB5" w:rsidP="00215F42">
            <w:r>
              <w:t>(paras. 1 to 3)</w:t>
            </w:r>
          </w:p>
        </w:tc>
        <w:tc>
          <w:tcPr>
            <w:tcW w:w="5958" w:type="dxa"/>
          </w:tcPr>
          <w:p w:rsidR="00E97EB5" w:rsidRPr="00484289" w:rsidRDefault="00E97EB5" w:rsidP="00215F42">
            <w:r>
              <w:t>Moldaver</w:t>
            </w:r>
            <w:r w:rsidRPr="00484289">
              <w:t xml:space="preserve"> J. (</w:t>
            </w:r>
            <w:r>
              <w:t>Wagner C.J. and Abella, Karakatsanis, Gascon, Côté, and Rowe</w:t>
            </w:r>
            <w:r w:rsidRPr="00484289">
              <w:t> JJ. concurring)</w:t>
            </w:r>
          </w:p>
        </w:tc>
      </w:tr>
    </w:tbl>
    <w:p w:rsidR="00E97EB5" w:rsidRPr="00484289" w:rsidRDefault="00E97EB5" w:rsidP="00E97EB5">
      <w:pPr>
        <w:rPr>
          <w:lang w:val="en-US"/>
        </w:rPr>
      </w:pPr>
    </w:p>
    <w:p w:rsidR="00E97EB5" w:rsidRPr="00484289" w:rsidRDefault="00E97EB5" w:rsidP="00E97EB5">
      <w:pPr>
        <w:rPr>
          <w:lang w:val="en-US"/>
        </w:rPr>
      </w:pPr>
    </w:p>
    <w:p w:rsidR="00E97EB5" w:rsidRPr="00484289" w:rsidRDefault="00E97EB5" w:rsidP="00E97EB5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4EDEE" wp14:editId="7AE86FF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7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97EB5" w:rsidRPr="00484289" w:rsidRDefault="00E97EB5" w:rsidP="00E97EB5">
      <w:pPr>
        <w:rPr>
          <w:lang w:val="en-US"/>
        </w:rPr>
      </w:pPr>
    </w:p>
    <w:p w:rsidR="00E97EB5" w:rsidRPr="00484289" w:rsidRDefault="00E97EB5" w:rsidP="00E97EB5">
      <w:pPr>
        <w:rPr>
          <w:lang w:val="en-US"/>
        </w:rPr>
      </w:pPr>
    </w:p>
    <w:p w:rsidR="00E97EB5" w:rsidRDefault="00E97EB5" w:rsidP="0035169A">
      <w:pPr>
        <w:spacing w:line="480" w:lineRule="auto"/>
        <w:jc w:val="both"/>
        <w:rPr>
          <w:rStyle w:val="SCCAppellantForRunningHeadChar"/>
          <w:smallCaps w:val="0"/>
        </w:rPr>
      </w:pPr>
    </w:p>
    <w:p w:rsidR="008322BD" w:rsidRPr="00402DBD" w:rsidRDefault="00402DBD" w:rsidP="0035169A">
      <w:pPr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R.</w:t>
      </w:r>
      <w:r w:rsidR="00F821EA" w:rsidRPr="00402DBD">
        <w:rPr>
          <w:rStyle w:val="SCCAppellantForRunningHeadChar"/>
          <w:smallCaps w:val="0"/>
        </w:rPr>
        <w:t xml:space="preserve"> </w:t>
      </w:r>
      <w:r w:rsidR="00F821EA" w:rsidRPr="00402DBD">
        <w:rPr>
          <w:i/>
        </w:rPr>
        <w:t>v.</w:t>
      </w:r>
      <w:r w:rsidR="00F821EA" w:rsidRPr="00402DBD">
        <w:rPr>
          <w:i/>
          <w:smallCaps/>
        </w:rPr>
        <w:t xml:space="preserve"> </w:t>
      </w:r>
      <w:r>
        <w:rPr>
          <w:rStyle w:val="SCCAppellantForRunningHeadChar"/>
          <w:smallCaps w:val="0"/>
        </w:rPr>
        <w:t>S</w:t>
      </w:r>
      <w:r w:rsidR="008F78E9" w:rsidRPr="00402DBD">
        <w:rPr>
          <w:rStyle w:val="SCCAppellantForRunningHeadChar"/>
          <w:smallCaps w:val="0"/>
        </w:rPr>
        <w:t>tephan</w:t>
      </w:r>
      <w:r>
        <w:rPr>
          <w:rStyle w:val="SCCAppellantForRunningHeadChar"/>
          <w:smallCaps w:val="0"/>
        </w:rPr>
        <w:t>, 2018 SCC 21, [2018] 1 S.C.R. 633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272648" w:rsidRDefault="00A228EA">
      <w:pPr>
        <w:pStyle w:val="SCCLsocLastPartyInRole"/>
      </w:pPr>
      <w:r>
        <w:t>Collet Dawn Stephan</w:t>
      </w:r>
      <w:r>
        <w:rPr>
          <w:rStyle w:val="SCCLsocPartyRole"/>
        </w:rPr>
        <w:tab/>
        <w:t>Appellant</w:t>
      </w:r>
    </w:p>
    <w:p w:rsidR="00272648" w:rsidRDefault="00A228EA">
      <w:pPr>
        <w:pStyle w:val="SCCLsocVersus"/>
      </w:pPr>
      <w:proofErr w:type="gramStart"/>
      <w:r>
        <w:t>v</w:t>
      </w:r>
      <w:proofErr w:type="gramEnd"/>
      <w:r>
        <w:t>.</w:t>
      </w:r>
    </w:p>
    <w:p w:rsidR="00272648" w:rsidRDefault="00534085">
      <w:pPr>
        <w:pStyle w:val="SCCLsocLastPartyInRole"/>
      </w:pPr>
      <w:r>
        <w:t xml:space="preserve">Her Majesty </w:t>
      </w:r>
      <w:proofErr w:type="gramStart"/>
      <w:r>
        <w:t>T</w:t>
      </w:r>
      <w:r w:rsidR="00A228EA">
        <w:t>he</w:t>
      </w:r>
      <w:proofErr w:type="gramEnd"/>
      <w:r w:rsidR="00A228EA">
        <w:t xml:space="preserve"> Queen</w:t>
      </w:r>
      <w:r w:rsidR="00A228EA">
        <w:rPr>
          <w:rStyle w:val="SCCLsocPartyRole"/>
        </w:rPr>
        <w:tab/>
        <w:t>Respondent</w:t>
      </w:r>
    </w:p>
    <w:p w:rsidR="00766D14" w:rsidRPr="00CA48FE" w:rsidRDefault="00CA48FE" w:rsidP="00CA48FE">
      <w:pPr>
        <w:pStyle w:val="SCCLsocVersus"/>
        <w:rPr>
          <w:i w:val="0"/>
        </w:rPr>
      </w:pPr>
      <w:r w:rsidRPr="00CA48FE">
        <w:rPr>
          <w:i w:val="0"/>
        </w:rPr>
        <w:t xml:space="preserve">- </w:t>
      </w:r>
      <w:proofErr w:type="gramStart"/>
      <w:r w:rsidRPr="00CA48FE">
        <w:rPr>
          <w:i w:val="0"/>
        </w:rPr>
        <w:t>and</w:t>
      </w:r>
      <w:proofErr w:type="gramEnd"/>
      <w:r w:rsidRPr="00CA48FE">
        <w:rPr>
          <w:i w:val="0"/>
        </w:rPr>
        <w:t xml:space="preserve"> -</w:t>
      </w:r>
    </w:p>
    <w:p w:rsidR="00CA48FE" w:rsidRPr="00A228EA" w:rsidRDefault="00CA48FE" w:rsidP="00CA48FE">
      <w:pPr>
        <w:tabs>
          <w:tab w:val="right" w:pos="8222"/>
        </w:tabs>
        <w:spacing w:after="720"/>
        <w:rPr>
          <w:b/>
        </w:rPr>
      </w:pPr>
      <w:r w:rsidRPr="00A228EA">
        <w:rPr>
          <w:b/>
        </w:rPr>
        <w:t>David Robert Stephan</w:t>
      </w:r>
      <w:r w:rsidRPr="00A228EA">
        <w:rPr>
          <w:i/>
        </w:rPr>
        <w:tab/>
        <w:t>Appellant</w:t>
      </w:r>
    </w:p>
    <w:p w:rsidR="00CA48FE" w:rsidRPr="00A228EA" w:rsidRDefault="00CA48FE" w:rsidP="00CA48FE">
      <w:pPr>
        <w:spacing w:after="720"/>
        <w:rPr>
          <w:i/>
        </w:rPr>
      </w:pPr>
      <w:proofErr w:type="gramStart"/>
      <w:r w:rsidRPr="00A228EA">
        <w:rPr>
          <w:i/>
        </w:rPr>
        <w:t>v</w:t>
      </w:r>
      <w:proofErr w:type="gramEnd"/>
      <w:r w:rsidRPr="00A228EA">
        <w:rPr>
          <w:i/>
        </w:rPr>
        <w:t>.</w:t>
      </w:r>
    </w:p>
    <w:p w:rsidR="00CA48FE" w:rsidRPr="00A228EA" w:rsidRDefault="00534085" w:rsidP="00CA48FE">
      <w:pPr>
        <w:tabs>
          <w:tab w:val="right" w:pos="8222"/>
        </w:tabs>
        <w:spacing w:after="720"/>
        <w:rPr>
          <w:b/>
        </w:rPr>
      </w:pPr>
      <w:r>
        <w:rPr>
          <w:b/>
        </w:rPr>
        <w:t xml:space="preserve">Her Majesty </w:t>
      </w:r>
      <w:proofErr w:type="gramStart"/>
      <w:r>
        <w:rPr>
          <w:b/>
        </w:rPr>
        <w:t>T</w:t>
      </w:r>
      <w:r w:rsidR="00CA48FE" w:rsidRPr="00A228EA">
        <w:rPr>
          <w:b/>
        </w:rPr>
        <w:t>he</w:t>
      </w:r>
      <w:proofErr w:type="gramEnd"/>
      <w:r w:rsidR="00CA48FE" w:rsidRPr="00A228EA">
        <w:rPr>
          <w:b/>
        </w:rPr>
        <w:t xml:space="preserve"> Queen</w:t>
      </w:r>
      <w:r w:rsidR="00CA48FE" w:rsidRPr="00A228EA">
        <w:rPr>
          <w:i/>
        </w:rPr>
        <w:tab/>
        <w:t>Respondent</w:t>
      </w:r>
    </w:p>
    <w:p w:rsidR="00CA48FE" w:rsidRDefault="00CA48FE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F821EA">
        <w:rPr>
          <w:b/>
        </w:rPr>
        <w:t xml:space="preserve">R. </w:t>
      </w:r>
      <w:r w:rsidR="00F821EA">
        <w:rPr>
          <w:b/>
          <w:i/>
        </w:rPr>
        <w:t xml:space="preserve">v. </w:t>
      </w:r>
      <w:r>
        <w:rPr>
          <w:rStyle w:val="SCCAppellantForIndexChar"/>
        </w:rPr>
        <w:t>Stephan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2018</w:t>
      </w:r>
      <w:r w:rsidR="003D0399">
        <w:t xml:space="preserve"> </w:t>
      </w:r>
      <w:r w:rsidR="00F821EA">
        <w:t>SCC 21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>File No</w:t>
      </w:r>
      <w:r w:rsidR="00CA48FE">
        <w:t>s</w:t>
      </w:r>
      <w:r w:rsidRPr="001426A9">
        <w:t xml:space="preserve">.: </w:t>
      </w:r>
      <w:r>
        <w:t>37845</w:t>
      </w:r>
      <w:r w:rsidR="00CA48FE">
        <w:t>, 37846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E4535" w:rsidP="00FC4EFB">
      <w:pPr>
        <w:jc w:val="both"/>
      </w:pPr>
      <w:r>
        <w:t>2018: May 15</w:t>
      </w:r>
      <w:r w:rsidR="00F821EA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F821EA" w:rsidP="00FC4EFB">
      <w:pPr>
        <w:jc w:val="both"/>
      </w:pPr>
      <w:r>
        <w:t xml:space="preserve">Present: </w:t>
      </w:r>
      <w:r w:rsidR="009B57B3">
        <w:t>Wagner C.J. and Abella, Moldaver, Karakatsanis, Gascon, Côté and Rowe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F821EA" w:rsidRDefault="00F821EA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F821EA">
        <w:t xml:space="preserve">court of appeal </w:t>
      </w:r>
      <w:r w:rsidR="009B57B3">
        <w:t>f</w:t>
      </w:r>
      <w:r w:rsidR="00F821EA">
        <w:t>or</w:t>
      </w:r>
      <w:r w:rsidR="009B57B3">
        <w:t xml:space="preserve"> </w:t>
      </w:r>
      <w:proofErr w:type="spellStart"/>
      <w:r w:rsidR="009B57B3">
        <w:t>alberta</w:t>
      </w:r>
      <w:proofErr w:type="spellEnd"/>
    </w:p>
    <w:p w:rsidR="003A4C70" w:rsidRPr="001426A9" w:rsidRDefault="003A4C70" w:rsidP="00FC4EFB">
      <w:pPr>
        <w:pStyle w:val="SCCNormalDoubleSpacing"/>
      </w:pPr>
    </w:p>
    <w:p w:rsidR="008322BD" w:rsidRPr="00F70A58" w:rsidRDefault="009B57B3" w:rsidP="00FC4EFB">
      <w:pPr>
        <w:pStyle w:val="SCCNormalDoubleSpacing"/>
        <w:rPr>
          <w:i/>
        </w:rPr>
      </w:pPr>
      <w:r w:rsidRPr="00583EDE">
        <w:tab/>
      </w:r>
      <w:r w:rsidR="00964641">
        <w:rPr>
          <w:i/>
        </w:rPr>
        <w:t>Criminal law —</w:t>
      </w:r>
      <w:r w:rsidR="002F2AA7">
        <w:rPr>
          <w:i/>
        </w:rPr>
        <w:t xml:space="preserve"> Failure</w:t>
      </w:r>
      <w:r w:rsidR="00F70A58">
        <w:rPr>
          <w:i/>
        </w:rPr>
        <w:t xml:space="preserve"> </w:t>
      </w:r>
      <w:r w:rsidR="00964641">
        <w:rPr>
          <w:i/>
        </w:rPr>
        <w:t>to provide necessaries of life — Elements of offence — Charge to jury —</w:t>
      </w:r>
      <w:r w:rsidR="00F70A58">
        <w:rPr>
          <w:i/>
        </w:rPr>
        <w:t xml:space="preserve"> Accused couple convicted by jury of failing to provide the ne</w:t>
      </w:r>
      <w:r w:rsidR="00964641">
        <w:rPr>
          <w:i/>
        </w:rPr>
        <w:t>cessaries of life to their son —</w:t>
      </w:r>
      <w:r w:rsidR="00F70A58">
        <w:rPr>
          <w:i/>
        </w:rPr>
        <w:t xml:space="preserve"> </w:t>
      </w:r>
      <w:r w:rsidR="009965C0">
        <w:rPr>
          <w:i/>
        </w:rPr>
        <w:t xml:space="preserve">Majority of </w:t>
      </w:r>
      <w:r w:rsidR="00F70A58">
        <w:rPr>
          <w:i/>
        </w:rPr>
        <w:t xml:space="preserve">Court of Appeal </w:t>
      </w:r>
      <w:r w:rsidR="00687794">
        <w:rPr>
          <w:i/>
        </w:rPr>
        <w:t>affirming</w:t>
      </w:r>
      <w:r w:rsidR="00F70A58">
        <w:rPr>
          <w:i/>
        </w:rPr>
        <w:t xml:space="preserve"> convictions </w:t>
      </w:r>
      <w:r w:rsidR="001A5123">
        <w:rPr>
          <w:i/>
        </w:rPr>
        <w:t>—</w:t>
      </w:r>
      <w:r w:rsidR="00F70A58">
        <w:rPr>
          <w:i/>
        </w:rPr>
        <w:t xml:space="preserve"> Dissenting judge holding </w:t>
      </w:r>
      <w:r w:rsidR="00F70A58" w:rsidRPr="000D04B2">
        <w:rPr>
          <w:i/>
        </w:rPr>
        <w:t>that</w:t>
      </w:r>
      <w:r w:rsidR="001A7564" w:rsidRPr="000D04B2">
        <w:rPr>
          <w:i/>
        </w:rPr>
        <w:t xml:space="preserve"> </w:t>
      </w:r>
      <w:r w:rsidR="00E305A6">
        <w:rPr>
          <w:i/>
        </w:rPr>
        <w:t xml:space="preserve">trial judge did not properly instruct jury on </w:t>
      </w:r>
      <w:r w:rsidR="00E305A6" w:rsidRPr="00E305A6">
        <w:rPr>
          <w:i/>
        </w:rPr>
        <w:t>second</w:t>
      </w:r>
      <w:r w:rsidR="00E305A6">
        <w:rPr>
          <w:i/>
        </w:rPr>
        <w:t xml:space="preserve"> element of offence and </w:t>
      </w:r>
      <w:r w:rsidR="009965C0">
        <w:rPr>
          <w:i/>
        </w:rPr>
        <w:t xml:space="preserve">did not properly explain </w:t>
      </w:r>
      <w:proofErr w:type="spellStart"/>
      <w:r w:rsidR="001A7564" w:rsidRPr="00E305A6">
        <w:rPr>
          <w:i/>
        </w:rPr>
        <w:t>mens</w:t>
      </w:r>
      <w:proofErr w:type="spellEnd"/>
      <w:r w:rsidR="001A7564" w:rsidRPr="00E305A6">
        <w:rPr>
          <w:i/>
        </w:rPr>
        <w:t xml:space="preserve"> rea of offence</w:t>
      </w:r>
      <w:r w:rsidR="009965C0">
        <w:rPr>
          <w:i/>
        </w:rPr>
        <w:t xml:space="preserve"> to jury</w:t>
      </w:r>
      <w:r w:rsidR="00964641">
        <w:rPr>
          <w:i/>
        </w:rPr>
        <w:t xml:space="preserve"> —</w:t>
      </w:r>
      <w:r w:rsidR="00F70A58">
        <w:rPr>
          <w:i/>
        </w:rPr>
        <w:t xml:space="preserve"> New trial ordered.</w:t>
      </w:r>
    </w:p>
    <w:p w:rsidR="00E305A6" w:rsidRDefault="00E305A6" w:rsidP="00FC4EFB">
      <w:pPr>
        <w:pStyle w:val="SCCNormalDoubleSpacing"/>
      </w:pPr>
    </w:p>
    <w:p w:rsidR="00656313" w:rsidRDefault="009B57B3" w:rsidP="00FC4EFB">
      <w:pPr>
        <w:pStyle w:val="SCCNormalDoubleSpacing"/>
      </w:pPr>
      <w:r w:rsidRPr="001426A9">
        <w:tab/>
        <w:t>APPEAL</w:t>
      </w:r>
      <w:r w:rsidR="00CA48FE">
        <w:t>S</w:t>
      </w:r>
      <w:r w:rsidRPr="001426A9">
        <w:t xml:space="preserve"> from a judgment of the </w:t>
      </w:r>
      <w:r w:rsidR="000A51AC">
        <w:t xml:space="preserve">Alberta </w:t>
      </w:r>
      <w:r>
        <w:t>Court of Appeal (</w:t>
      </w:r>
      <w:r w:rsidR="00C43329">
        <w:t xml:space="preserve">Watson, McDonald and </w:t>
      </w:r>
      <w:proofErr w:type="spellStart"/>
      <w:r w:rsidR="00C43329">
        <w:t>O’Ferrall</w:t>
      </w:r>
      <w:proofErr w:type="spellEnd"/>
      <w:r w:rsidR="00C43329">
        <w:t xml:space="preserve"> JJ.A.), 2017 ABCA 380, </w:t>
      </w:r>
      <w:r w:rsidR="0082656F" w:rsidRPr="0082656F">
        <w:t>357 C.C.C. (3d) 10</w:t>
      </w:r>
      <w:r w:rsidR="0082656F" w:rsidRPr="00957DEE">
        <w:t>, 395 C.R.R. (2d) 252</w:t>
      </w:r>
      <w:r w:rsidR="0082656F">
        <w:t xml:space="preserve">, </w:t>
      </w:r>
      <w:r w:rsidR="00C43329">
        <w:t>41 C.R. (7th) 424, 61 Alta</w:t>
      </w:r>
      <w:r w:rsidR="00E128E7">
        <w:t>.</w:t>
      </w:r>
      <w:r w:rsidR="00C43329">
        <w:t xml:space="preserve"> L.R. (6th) 26</w:t>
      </w:r>
      <w:r w:rsidR="00C43329" w:rsidRPr="00957DEE">
        <w:t xml:space="preserve">, </w:t>
      </w:r>
      <w:r w:rsidR="0082656F" w:rsidRPr="00957DEE">
        <w:t xml:space="preserve">[2018] 4 W.W.R. 719, </w:t>
      </w:r>
      <w:r w:rsidR="00C43329" w:rsidRPr="00957DEE">
        <w:t>[</w:t>
      </w:r>
      <w:r w:rsidR="00C43329">
        <w:t xml:space="preserve">2017] A.J. No. 1203 (QL), 2017 </w:t>
      </w:r>
      <w:proofErr w:type="spellStart"/>
      <w:r w:rsidR="00C43329">
        <w:t>CarswellAlta</w:t>
      </w:r>
      <w:proofErr w:type="spellEnd"/>
      <w:r w:rsidR="00C43329">
        <w:t xml:space="preserve"> 2403 (WL Can.), </w:t>
      </w:r>
      <w:r w:rsidR="00E128E7">
        <w:t xml:space="preserve">affirming the </w:t>
      </w:r>
      <w:r w:rsidR="00E128E7" w:rsidRPr="00E6494F">
        <w:t>convictions of the accused</w:t>
      </w:r>
      <w:r w:rsidR="00E128E7">
        <w:t xml:space="preserve"> for failing to provide the necessaries of life. Appeals allowed.</w:t>
      </w:r>
    </w:p>
    <w:p w:rsidR="00F821EA" w:rsidRDefault="00F821EA" w:rsidP="00FC4EFB">
      <w:pPr>
        <w:pStyle w:val="SCCNormalDoubleSpacing"/>
      </w:pPr>
    </w:p>
    <w:p w:rsidR="00272648" w:rsidRDefault="00A228EA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 xml:space="preserve">Heather </w:t>
      </w:r>
      <w:proofErr w:type="spellStart"/>
      <w:r>
        <w:rPr>
          <w:rStyle w:val="SCCCounselNameChar"/>
        </w:rPr>
        <w:t>Ferg</w:t>
      </w:r>
      <w:proofErr w:type="spellEnd"/>
      <w:r w:rsidR="00E128E7">
        <w:rPr>
          <w:rStyle w:val="SCCCounselNameChar"/>
        </w:rPr>
        <w:t xml:space="preserve"> </w:t>
      </w:r>
      <w:r w:rsidR="00E128E7">
        <w:rPr>
          <w:rStyle w:val="SCCCounselNameChar"/>
          <w:i w:val="0"/>
        </w:rPr>
        <w:t xml:space="preserve">and </w:t>
      </w:r>
      <w:r w:rsidR="007C09EF">
        <w:rPr>
          <w:rStyle w:val="SCCCounselNameChar"/>
        </w:rPr>
        <w:t>Ian McKay</w:t>
      </w:r>
      <w:r>
        <w:rPr>
          <w:rStyle w:val="SCCCounselPartyRoleChar"/>
        </w:rPr>
        <w:t>, for the appellant</w:t>
      </w:r>
      <w:r w:rsidR="00C43329">
        <w:rPr>
          <w:rStyle w:val="SCCCounselPartyRoleChar"/>
        </w:rPr>
        <w:t xml:space="preserve"> Collet Dawn Stephan</w:t>
      </w:r>
      <w:r>
        <w:rPr>
          <w:rStyle w:val="SCCCounselPartyRoleChar"/>
        </w:rPr>
        <w:t>.</w:t>
      </w:r>
    </w:p>
    <w:p w:rsidR="00C43329" w:rsidRDefault="00C43329">
      <w:pPr>
        <w:pStyle w:val="SCCNormalDoubleSpacing"/>
        <w:rPr>
          <w:rStyle w:val="SCCCounselPartyRoleChar"/>
        </w:rPr>
      </w:pPr>
    </w:p>
    <w:p w:rsidR="00C43329" w:rsidRPr="00A228EA" w:rsidRDefault="00C43329" w:rsidP="00C43329">
      <w:pPr>
        <w:tabs>
          <w:tab w:val="left" w:pos="1168"/>
        </w:tabs>
        <w:spacing w:line="480" w:lineRule="auto"/>
        <w:jc w:val="both"/>
      </w:pPr>
      <w:r>
        <w:rPr>
          <w:rStyle w:val="SCCCounselPartyRoleChar"/>
        </w:rPr>
        <w:tab/>
      </w:r>
      <w:r w:rsidRPr="00A228EA">
        <w:rPr>
          <w:i/>
        </w:rPr>
        <w:t xml:space="preserve">Karen B. </w:t>
      </w:r>
      <w:proofErr w:type="spellStart"/>
      <w:r w:rsidRPr="00A228EA">
        <w:rPr>
          <w:i/>
        </w:rPr>
        <w:t>Molle</w:t>
      </w:r>
      <w:proofErr w:type="spellEnd"/>
      <w:r w:rsidR="007C09EF">
        <w:rPr>
          <w:i/>
        </w:rPr>
        <w:t xml:space="preserve"> </w:t>
      </w:r>
      <w:r w:rsidR="007C09EF">
        <w:t xml:space="preserve">and </w:t>
      </w:r>
      <w:r w:rsidR="007C09EF">
        <w:rPr>
          <w:i/>
        </w:rPr>
        <w:t>Kelsey Sitar</w:t>
      </w:r>
      <w:r w:rsidRPr="00A228EA">
        <w:t>, for the appellant</w:t>
      </w:r>
      <w:r>
        <w:t xml:space="preserve"> David Robert Stephan</w:t>
      </w:r>
      <w:r w:rsidRPr="00A228EA">
        <w:t>.</w:t>
      </w:r>
    </w:p>
    <w:p w:rsidR="00272648" w:rsidRDefault="00272648">
      <w:pPr>
        <w:pStyle w:val="SCCNormalDoubleSpacing"/>
      </w:pPr>
    </w:p>
    <w:p w:rsidR="00272648" w:rsidRDefault="00A228EA">
      <w:pPr>
        <w:pStyle w:val="SCCNormalDoubleSpacing"/>
      </w:pPr>
      <w:r>
        <w:rPr>
          <w:rStyle w:val="SCCCounselNameChar"/>
        </w:rPr>
        <w:tab/>
        <w:t>Julie Morgan</w:t>
      </w:r>
      <w:r w:rsidR="007C09EF">
        <w:rPr>
          <w:rStyle w:val="SCCCounselNameChar"/>
        </w:rPr>
        <w:t xml:space="preserve"> </w:t>
      </w:r>
      <w:r w:rsidR="007C09EF">
        <w:rPr>
          <w:rStyle w:val="SCCCounselNameChar"/>
          <w:i w:val="0"/>
        </w:rPr>
        <w:t xml:space="preserve">and </w:t>
      </w:r>
      <w:r w:rsidR="007C09EF">
        <w:rPr>
          <w:rStyle w:val="SCCCounselNameChar"/>
        </w:rPr>
        <w:t xml:space="preserve">Colin </w:t>
      </w:r>
      <w:proofErr w:type="spellStart"/>
      <w:r w:rsidR="007C09EF">
        <w:rPr>
          <w:rStyle w:val="SCCCounselNameChar"/>
        </w:rPr>
        <w:t>Schulhauser</w:t>
      </w:r>
      <w:proofErr w:type="spellEnd"/>
      <w:r>
        <w:rPr>
          <w:rStyle w:val="SCCCounselPartyRoleChar"/>
        </w:rPr>
        <w:t>, for the respondent.</w:t>
      </w:r>
    </w:p>
    <w:p w:rsidR="00272648" w:rsidRDefault="00272648">
      <w:pPr>
        <w:pStyle w:val="SCCLawFirm"/>
      </w:pPr>
    </w:p>
    <w:p w:rsidR="00480DA4" w:rsidRDefault="00480DA4" w:rsidP="00480DA4">
      <w:pPr>
        <w:pStyle w:val="SCCNormalDoubleSpacing"/>
      </w:pPr>
      <w:r>
        <w:lastRenderedPageBreak/>
        <w:tab/>
        <w:t>The judgment of the Court was delivered orally by</w:t>
      </w:r>
    </w:p>
    <w:p w:rsidR="00534085" w:rsidRDefault="00534085" w:rsidP="00534085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534085">
        <w:rPr>
          <w:smallCaps/>
        </w:rPr>
        <w:t>Moldaver J.</w:t>
      </w:r>
      <w:r>
        <w:t xml:space="preserve"> — </w:t>
      </w:r>
      <w:proofErr w:type="gramStart"/>
      <w:r>
        <w:t>We</w:t>
      </w:r>
      <w:proofErr w:type="gramEnd"/>
      <w:r>
        <w:t xml:space="preserve"> are in essential agreement with the reasons of Justice </w:t>
      </w:r>
      <w:proofErr w:type="spellStart"/>
      <w:r>
        <w:t>O’Ferrall</w:t>
      </w:r>
      <w:proofErr w:type="spellEnd"/>
      <w:r>
        <w:t xml:space="preserve">. </w:t>
      </w:r>
    </w:p>
    <w:p w:rsidR="00534085" w:rsidRDefault="00534085" w:rsidP="00534085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>
        <w:t xml:space="preserve">In particular, we agree that the learned trial judge conflated the </w:t>
      </w:r>
      <w:r w:rsidRPr="00534085">
        <w:rPr>
          <w:i/>
        </w:rPr>
        <w:t xml:space="preserve">actus </w:t>
      </w:r>
      <w:proofErr w:type="spellStart"/>
      <w:proofErr w:type="gramStart"/>
      <w:r w:rsidRPr="00534085">
        <w:rPr>
          <w:i/>
        </w:rPr>
        <w:t>reus</w:t>
      </w:r>
      <w:proofErr w:type="spellEnd"/>
      <w:proofErr w:type="gramEnd"/>
      <w:r>
        <w:t xml:space="preserve"> and </w:t>
      </w:r>
      <w:proofErr w:type="spellStart"/>
      <w:r w:rsidRPr="00534085">
        <w:rPr>
          <w:i/>
        </w:rPr>
        <w:t>mens</w:t>
      </w:r>
      <w:proofErr w:type="spellEnd"/>
      <w:r w:rsidRPr="00534085">
        <w:rPr>
          <w:i/>
        </w:rPr>
        <w:t xml:space="preserve"> rea</w:t>
      </w:r>
      <w:r>
        <w:t xml:space="preserve"> of the offence and did not sufficiently explain the concept of marked departure in a way that the jury could understand and apply it.</w:t>
      </w:r>
    </w:p>
    <w:p w:rsidR="00534085" w:rsidRPr="00534085" w:rsidRDefault="00534085" w:rsidP="00534085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>
        <w:t xml:space="preserve">Accordingly, we would allow </w:t>
      </w:r>
      <w:r w:rsidRPr="003E41E2">
        <w:t xml:space="preserve">the </w:t>
      </w:r>
      <w:r w:rsidRPr="00FB1382">
        <w:t>appeal</w:t>
      </w:r>
      <w:r w:rsidR="003E41E2" w:rsidRPr="00FB1382">
        <w:t>s</w:t>
      </w:r>
      <w:r w:rsidRPr="003E41E2">
        <w:t xml:space="preserve">, quash the </w:t>
      </w:r>
      <w:r w:rsidRPr="00FB1382">
        <w:t>conviction</w:t>
      </w:r>
      <w:r w:rsidR="003E41E2" w:rsidRPr="00FB1382">
        <w:t>s</w:t>
      </w:r>
      <w:r w:rsidRPr="003E41E2">
        <w:t xml:space="preserve"> and</w:t>
      </w:r>
      <w:r>
        <w:t xml:space="preserve"> order a new trial.</w:t>
      </w:r>
    </w:p>
    <w:p w:rsidR="009B57B3" w:rsidRPr="005126ED" w:rsidRDefault="00F821EA" w:rsidP="005126ED">
      <w:pPr>
        <w:pStyle w:val="SCCNormalDoubleSpacing"/>
        <w:spacing w:before="480" w:after="480"/>
        <w:rPr>
          <w:i/>
        </w:rPr>
      </w:pPr>
      <w:r w:rsidRPr="00534085">
        <w:tab/>
      </w:r>
      <w:r w:rsidRPr="005126ED">
        <w:rPr>
          <w:i/>
        </w:rPr>
        <w:t>Judgment accordingly.</w:t>
      </w:r>
    </w:p>
    <w:p w:rsidR="00272648" w:rsidRDefault="00F821EA">
      <w:pPr>
        <w:pStyle w:val="SCCLawFirm"/>
      </w:pPr>
      <w:r>
        <w:tab/>
        <w:t>Solicitor</w:t>
      </w:r>
      <w:r w:rsidR="00A228EA">
        <w:t>s for the appellant</w:t>
      </w:r>
      <w:r w:rsidR="00C43329">
        <w:t xml:space="preserve"> Collet Dawn Stephan</w:t>
      </w:r>
      <w:r w:rsidR="00A228EA">
        <w:t>: McKay Criminal Defence, Calgary.</w:t>
      </w:r>
    </w:p>
    <w:p w:rsidR="00272648" w:rsidRDefault="00272648">
      <w:pPr>
        <w:pStyle w:val="SCCLawFirm"/>
      </w:pPr>
    </w:p>
    <w:p w:rsidR="00C43329" w:rsidRPr="00A228EA" w:rsidRDefault="00C43329" w:rsidP="00C43329">
      <w:pPr>
        <w:tabs>
          <w:tab w:val="left" w:pos="1168"/>
        </w:tabs>
        <w:spacing w:line="480" w:lineRule="auto"/>
        <w:jc w:val="both"/>
        <w:rPr>
          <w:i/>
        </w:rPr>
      </w:pPr>
      <w:r w:rsidRPr="00A228EA">
        <w:rPr>
          <w:i/>
        </w:rPr>
        <w:tab/>
      </w:r>
      <w:r>
        <w:rPr>
          <w:i/>
        </w:rPr>
        <w:t>Solicitor</w:t>
      </w:r>
      <w:r w:rsidRPr="00A228EA">
        <w:rPr>
          <w:i/>
        </w:rPr>
        <w:t>s for the appellant</w:t>
      </w:r>
      <w:r>
        <w:rPr>
          <w:i/>
        </w:rPr>
        <w:t xml:space="preserve"> David Robert Stephan</w:t>
      </w:r>
      <w:r w:rsidRPr="00A228EA">
        <w:rPr>
          <w:i/>
        </w:rPr>
        <w:t xml:space="preserve">: Karen </w:t>
      </w:r>
      <w:proofErr w:type="spellStart"/>
      <w:r w:rsidRPr="00A228EA">
        <w:rPr>
          <w:i/>
        </w:rPr>
        <w:t>Molle</w:t>
      </w:r>
      <w:proofErr w:type="spellEnd"/>
      <w:r w:rsidR="007C09EF">
        <w:rPr>
          <w:i/>
        </w:rPr>
        <w:t xml:space="preserve"> Law Office</w:t>
      </w:r>
      <w:r w:rsidRPr="00A228EA">
        <w:rPr>
          <w:i/>
        </w:rPr>
        <w:t>, Calgary</w:t>
      </w:r>
      <w:r w:rsidR="007C09EF">
        <w:rPr>
          <w:i/>
        </w:rPr>
        <w:t xml:space="preserve">; </w:t>
      </w:r>
      <w:r w:rsidR="007C09EF" w:rsidRPr="000E1092">
        <w:rPr>
          <w:i/>
        </w:rPr>
        <w:t xml:space="preserve">Sitar &amp; </w:t>
      </w:r>
      <w:proofErr w:type="spellStart"/>
      <w:r w:rsidR="007C09EF" w:rsidRPr="000E1092">
        <w:rPr>
          <w:i/>
        </w:rPr>
        <w:t>Milczarek</w:t>
      </w:r>
      <w:proofErr w:type="spellEnd"/>
      <w:r w:rsidR="007C09EF" w:rsidRPr="000E1092">
        <w:rPr>
          <w:i/>
        </w:rPr>
        <w:t xml:space="preserve">, </w:t>
      </w:r>
      <w:r w:rsidR="000E1092" w:rsidRPr="000E1092">
        <w:rPr>
          <w:i/>
        </w:rPr>
        <w:t>Calgary</w:t>
      </w:r>
      <w:r w:rsidRPr="000E1092">
        <w:rPr>
          <w:i/>
        </w:rPr>
        <w:t>.</w:t>
      </w:r>
    </w:p>
    <w:p w:rsidR="00C43329" w:rsidRPr="00C43329" w:rsidRDefault="00C43329" w:rsidP="00C43329">
      <w:pPr>
        <w:pStyle w:val="SCCNormalDoubleSpacing"/>
      </w:pPr>
    </w:p>
    <w:p w:rsidR="00A228EA" w:rsidRPr="00C43329" w:rsidRDefault="00A228EA" w:rsidP="00C43329">
      <w:pPr>
        <w:pStyle w:val="SCCLawFirm"/>
      </w:pPr>
      <w:r>
        <w:tab/>
        <w:t>Solicitor</w:t>
      </w:r>
      <w:r w:rsidR="007C09EF">
        <w:t xml:space="preserve"> for the </w:t>
      </w:r>
      <w:r w:rsidR="007C09EF" w:rsidRPr="00167AC9">
        <w:t>respondent: Attorney General of Alberta</w:t>
      </w:r>
      <w:r w:rsidRPr="00167AC9">
        <w:t>, Calgary</w:t>
      </w:r>
      <w:r>
        <w:t>.</w:t>
      </w:r>
    </w:p>
    <w:p w:rsidR="00A228EA" w:rsidRPr="00F821EA" w:rsidRDefault="00A228EA" w:rsidP="00A228EA">
      <w:pPr>
        <w:tabs>
          <w:tab w:val="left" w:pos="1168"/>
        </w:tabs>
        <w:spacing w:line="480" w:lineRule="auto"/>
        <w:jc w:val="both"/>
      </w:pPr>
    </w:p>
    <w:sectPr w:rsidR="00A228EA" w:rsidRPr="00F821EA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93" w:rsidRDefault="001D6B93">
      <w:r>
        <w:separator/>
      </w:r>
    </w:p>
  </w:endnote>
  <w:endnote w:type="continuationSeparator" w:id="0">
    <w:p w:rsidR="001D6B93" w:rsidRDefault="001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93" w:rsidRDefault="001D6B93">
      <w:r>
        <w:separator/>
      </w:r>
    </w:p>
  </w:footnote>
  <w:footnote w:type="continuationSeparator" w:id="0">
    <w:p w:rsidR="001D6B93" w:rsidRDefault="001D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EA" w:rsidRPr="00450352" w:rsidRDefault="00A228EA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2EC"/>
    <w:multiLevelType w:val="hybridMultilevel"/>
    <w:tmpl w:val="A0A215A8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A51AC"/>
    <w:rsid w:val="000C0B0A"/>
    <w:rsid w:val="000C59B8"/>
    <w:rsid w:val="000C6AF0"/>
    <w:rsid w:val="000D04B2"/>
    <w:rsid w:val="000E1092"/>
    <w:rsid w:val="00104F33"/>
    <w:rsid w:val="00110CEA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41E5"/>
    <w:rsid w:val="00165277"/>
    <w:rsid w:val="00167AC9"/>
    <w:rsid w:val="00170592"/>
    <w:rsid w:val="00186351"/>
    <w:rsid w:val="00195D83"/>
    <w:rsid w:val="001A00C1"/>
    <w:rsid w:val="001A5123"/>
    <w:rsid w:val="001A7564"/>
    <w:rsid w:val="001B33E0"/>
    <w:rsid w:val="001B4573"/>
    <w:rsid w:val="001C779F"/>
    <w:rsid w:val="001D2AC1"/>
    <w:rsid w:val="001D4E88"/>
    <w:rsid w:val="001D6B93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2648"/>
    <w:rsid w:val="002745CC"/>
    <w:rsid w:val="002B7924"/>
    <w:rsid w:val="002D28C3"/>
    <w:rsid w:val="002D39A4"/>
    <w:rsid w:val="002E6705"/>
    <w:rsid w:val="002F2AA7"/>
    <w:rsid w:val="00301D08"/>
    <w:rsid w:val="0030329A"/>
    <w:rsid w:val="00307059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E41E2"/>
    <w:rsid w:val="003F327B"/>
    <w:rsid w:val="00402DBD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0DA4"/>
    <w:rsid w:val="0048396F"/>
    <w:rsid w:val="00493C18"/>
    <w:rsid w:val="004A600C"/>
    <w:rsid w:val="004A6118"/>
    <w:rsid w:val="004C478D"/>
    <w:rsid w:val="004E2C26"/>
    <w:rsid w:val="004F36FF"/>
    <w:rsid w:val="005125A8"/>
    <w:rsid w:val="005126ED"/>
    <w:rsid w:val="00521AE8"/>
    <w:rsid w:val="00527180"/>
    <w:rsid w:val="00534085"/>
    <w:rsid w:val="0054201E"/>
    <w:rsid w:val="00555291"/>
    <w:rsid w:val="00566AD1"/>
    <w:rsid w:val="00583EDE"/>
    <w:rsid w:val="00590A05"/>
    <w:rsid w:val="005A6079"/>
    <w:rsid w:val="005E4698"/>
    <w:rsid w:val="00610539"/>
    <w:rsid w:val="00613969"/>
    <w:rsid w:val="00625C35"/>
    <w:rsid w:val="00656313"/>
    <w:rsid w:val="006565F4"/>
    <w:rsid w:val="00684EEA"/>
    <w:rsid w:val="00687794"/>
    <w:rsid w:val="0069689B"/>
    <w:rsid w:val="006A1551"/>
    <w:rsid w:val="006A449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90407"/>
    <w:rsid w:val="007A05F6"/>
    <w:rsid w:val="007B6F4A"/>
    <w:rsid w:val="007C09EF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2656F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05424"/>
    <w:rsid w:val="00911989"/>
    <w:rsid w:val="009179F9"/>
    <w:rsid w:val="00933E5E"/>
    <w:rsid w:val="00935218"/>
    <w:rsid w:val="009403F3"/>
    <w:rsid w:val="009555B7"/>
    <w:rsid w:val="009567AA"/>
    <w:rsid w:val="00957DEE"/>
    <w:rsid w:val="00964641"/>
    <w:rsid w:val="00967374"/>
    <w:rsid w:val="009965C0"/>
    <w:rsid w:val="00996F3F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228EA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43329"/>
    <w:rsid w:val="00C53F14"/>
    <w:rsid w:val="00C600CF"/>
    <w:rsid w:val="00C6084F"/>
    <w:rsid w:val="00C62A66"/>
    <w:rsid w:val="00C71458"/>
    <w:rsid w:val="00C72577"/>
    <w:rsid w:val="00C77613"/>
    <w:rsid w:val="00C828E7"/>
    <w:rsid w:val="00C86719"/>
    <w:rsid w:val="00C921DD"/>
    <w:rsid w:val="00CA48FE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28E7"/>
    <w:rsid w:val="00E176D8"/>
    <w:rsid w:val="00E24573"/>
    <w:rsid w:val="00E25E1E"/>
    <w:rsid w:val="00E27EE7"/>
    <w:rsid w:val="00E305A6"/>
    <w:rsid w:val="00E35404"/>
    <w:rsid w:val="00E45109"/>
    <w:rsid w:val="00E47B7A"/>
    <w:rsid w:val="00E56A44"/>
    <w:rsid w:val="00E60269"/>
    <w:rsid w:val="00E6494F"/>
    <w:rsid w:val="00E77932"/>
    <w:rsid w:val="00E97830"/>
    <w:rsid w:val="00E97EB5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70A58"/>
    <w:rsid w:val="00F821EA"/>
    <w:rsid w:val="00F846D9"/>
    <w:rsid w:val="00F84DF4"/>
    <w:rsid w:val="00F85C97"/>
    <w:rsid w:val="00FB1382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CA48FE"/>
    <w:pPr>
      <w:ind w:left="720"/>
      <w:contextualSpacing/>
    </w:pPr>
  </w:style>
  <w:style w:type="table" w:styleId="TableGrid">
    <w:name w:val="Table Grid"/>
    <w:basedOn w:val="TableNormal"/>
    <w:uiPriority w:val="59"/>
    <w:rsid w:val="00E97EB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97EB5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E97EB5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97EB5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2018-06-29T12:37:00Z</dcterms:created>
  <dcterms:modified xsi:type="dcterms:W3CDTF">2019-03-25T19:02:00Z</dcterms:modified>
</cp:coreProperties>
</file>