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E4" w:rsidRDefault="00EE00E4" w:rsidP="00344285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>
            <v:imagedata r:id="rId7" o:title=""/>
          </v:shape>
          <o:OLEObject Type="Embed" ProgID="Presentations.Drawing.13" ShapeID="_x0000_i1025" DrawAspect="Content" ObjectID="_1615031534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EE00E4" w:rsidRDefault="00EE00E4" w:rsidP="00EE00E4">
      <w:pPr>
        <w:pStyle w:val="Header"/>
      </w:pPr>
    </w:p>
    <w:p w:rsidR="00EE00E4" w:rsidRPr="006B210C" w:rsidRDefault="00EE00E4" w:rsidP="00EE00E4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EE00E4" w:rsidRDefault="00EE00E4" w:rsidP="00EE00E4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EE00E4" w:rsidRPr="006B210C" w:rsidTr="00E26CF9">
        <w:trPr>
          <w:cantSplit/>
        </w:trPr>
        <w:tc>
          <w:tcPr>
            <w:tcW w:w="5670" w:type="dxa"/>
          </w:tcPr>
          <w:p w:rsidR="00EE00E4" w:rsidRPr="006B1FAF" w:rsidRDefault="00EE00E4" w:rsidP="00E26CF9">
            <w:r w:rsidRPr="006B1FAF">
              <w:rPr>
                <w:b/>
                <w:smallCaps/>
              </w:rPr>
              <w:t>Citation:</w:t>
            </w:r>
            <w:r w:rsidRPr="006B1FAF">
              <w:t xml:space="preserve"> R. </w:t>
            </w:r>
            <w:r w:rsidRPr="006B1FAF">
              <w:rPr>
                <w:i/>
              </w:rPr>
              <w:t>v.</w:t>
            </w:r>
            <w:r w:rsidRPr="006B1FAF">
              <w:t xml:space="preserve"> </w:t>
            </w:r>
            <w:r w:rsidRPr="00145B02">
              <w:rPr>
                <w:rStyle w:val="SCCAppellantForRunningHeadChar"/>
                <w:smallCaps w:val="0"/>
              </w:rPr>
              <w:t>Colling</w:t>
            </w:r>
            <w:r>
              <w:rPr>
                <w:rStyle w:val="SCCAppellantForRunningHeadChar"/>
                <w:smallCaps w:val="0"/>
              </w:rPr>
              <w:t>, 2018 SCC 23, [2018] 1 S.C.R. 692</w:t>
            </w:r>
          </w:p>
        </w:tc>
        <w:tc>
          <w:tcPr>
            <w:tcW w:w="3960" w:type="dxa"/>
          </w:tcPr>
          <w:p w:rsidR="00EE00E4" w:rsidRDefault="00EE00E4" w:rsidP="00E26CF9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May 18, 2018</w:t>
            </w:r>
          </w:p>
          <w:p w:rsidR="00EE00E4" w:rsidRPr="006B210C" w:rsidRDefault="00EE00E4" w:rsidP="00E26CF9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May 18, 2018</w:t>
            </w:r>
          </w:p>
          <w:p w:rsidR="00EE00E4" w:rsidRPr="006B210C" w:rsidRDefault="00EE00E4" w:rsidP="00E26CF9">
            <w:r w:rsidRPr="005D4B83">
              <w:rPr>
                <w:b/>
                <w:smallCaps/>
              </w:rPr>
              <w:t>Docket:</w:t>
            </w:r>
            <w:r>
              <w:t xml:space="preserve"> 37905</w:t>
            </w:r>
          </w:p>
        </w:tc>
      </w:tr>
    </w:tbl>
    <w:p w:rsidR="00EE00E4" w:rsidRPr="006B210C" w:rsidRDefault="00EE00E4" w:rsidP="00EE00E4"/>
    <w:p w:rsidR="00EE00E4" w:rsidRDefault="00EE00E4" w:rsidP="00EE00E4">
      <w:pPr>
        <w:pStyle w:val="SCCLsocPrefix"/>
      </w:pPr>
      <w:r>
        <w:t>Between:</w:t>
      </w:r>
    </w:p>
    <w:p w:rsidR="00EE00E4" w:rsidRPr="00A53D62" w:rsidRDefault="00EE00E4" w:rsidP="00EE00E4">
      <w:pPr>
        <w:jc w:val="center"/>
        <w:rPr>
          <w:b/>
        </w:rPr>
      </w:pPr>
      <w:r>
        <w:rPr>
          <w:b/>
        </w:rPr>
        <w:t>Jason Colling</w:t>
      </w:r>
    </w:p>
    <w:p w:rsidR="00EE00E4" w:rsidRDefault="00EE00E4" w:rsidP="00EE00E4">
      <w:pPr>
        <w:jc w:val="center"/>
      </w:pPr>
      <w:r>
        <w:t>Appellant</w:t>
      </w:r>
    </w:p>
    <w:p w:rsidR="00EE00E4" w:rsidRPr="005D4B83" w:rsidRDefault="00EE00E4" w:rsidP="00EE00E4">
      <w:pPr>
        <w:jc w:val="center"/>
      </w:pPr>
    </w:p>
    <w:p w:rsidR="00EE00E4" w:rsidRPr="00EE00E4" w:rsidRDefault="00EE00E4" w:rsidP="00EE00E4">
      <w:pPr>
        <w:pStyle w:val="SCCLsocVersus"/>
        <w:spacing w:after="0"/>
        <w:jc w:val="center"/>
        <w:rPr>
          <w:i w:val="0"/>
        </w:rPr>
      </w:pPr>
      <w:r w:rsidRPr="00EE00E4">
        <w:rPr>
          <w:i w:val="0"/>
        </w:rPr>
        <w:t>and</w:t>
      </w:r>
    </w:p>
    <w:p w:rsidR="00EE00E4" w:rsidRPr="005D4B83" w:rsidRDefault="00EE00E4" w:rsidP="00EE00E4">
      <w:pPr>
        <w:jc w:val="center"/>
      </w:pPr>
    </w:p>
    <w:p w:rsidR="00EE00E4" w:rsidRDefault="00EE00E4" w:rsidP="00EE00E4">
      <w:pPr>
        <w:pStyle w:val="SCCLsocParty"/>
        <w:jc w:val="center"/>
      </w:pPr>
      <w:r>
        <w:t>Her Majesty The Queen</w:t>
      </w:r>
    </w:p>
    <w:p w:rsidR="00EE00E4" w:rsidRDefault="00EE00E4" w:rsidP="00EE00E4">
      <w:pPr>
        <w:jc w:val="center"/>
      </w:pPr>
      <w:r>
        <w:t>Respondent</w:t>
      </w:r>
    </w:p>
    <w:p w:rsidR="00EE00E4" w:rsidRDefault="00EE00E4" w:rsidP="00EE00E4"/>
    <w:p w:rsidR="00EE00E4" w:rsidRDefault="00EE00E4" w:rsidP="00EE00E4"/>
    <w:p w:rsidR="00EE00E4" w:rsidRPr="006B210C" w:rsidRDefault="00EE00E4" w:rsidP="00EE00E4"/>
    <w:p w:rsidR="00EE00E4" w:rsidRPr="006B210C" w:rsidRDefault="00EE00E4" w:rsidP="00EE00E4"/>
    <w:p w:rsidR="00EE00E4" w:rsidRDefault="00EE00E4" w:rsidP="00EE00E4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Abella, Moldaver, Gascon, Brown and Rowe JJ.</w:t>
      </w:r>
    </w:p>
    <w:p w:rsidR="00EE00E4" w:rsidRPr="006B210C" w:rsidRDefault="00EE00E4" w:rsidP="00EE00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E00E4" w:rsidRPr="000872C9" w:rsidTr="00E26CF9">
        <w:trPr>
          <w:cantSplit/>
        </w:trPr>
        <w:tc>
          <w:tcPr>
            <w:tcW w:w="3618" w:type="dxa"/>
          </w:tcPr>
          <w:p w:rsidR="00EE00E4" w:rsidRDefault="00EE00E4" w:rsidP="00E26CF9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EE00E4" w:rsidRPr="006B210C" w:rsidRDefault="00EE00E4" w:rsidP="00E26CF9">
            <w:r>
              <w:t>(para. 1)</w:t>
            </w:r>
          </w:p>
        </w:tc>
        <w:tc>
          <w:tcPr>
            <w:tcW w:w="5958" w:type="dxa"/>
          </w:tcPr>
          <w:p w:rsidR="00EE00E4" w:rsidRPr="00484289" w:rsidRDefault="00EE00E4" w:rsidP="00E26CF9">
            <w:r>
              <w:t>Abella</w:t>
            </w:r>
            <w:r w:rsidRPr="00484289">
              <w:t xml:space="preserve"> J. (</w:t>
            </w:r>
            <w:r>
              <w:t>Moldaver, Gascon, Brown and Rowe</w:t>
            </w:r>
            <w:r w:rsidRPr="00484289">
              <w:t> JJ. concurring)</w:t>
            </w:r>
          </w:p>
        </w:tc>
      </w:tr>
    </w:tbl>
    <w:p w:rsidR="00EE00E4" w:rsidRPr="00484289" w:rsidRDefault="00EE00E4" w:rsidP="00EE00E4">
      <w:pPr>
        <w:rPr>
          <w:lang w:val="en-US"/>
        </w:rPr>
      </w:pPr>
    </w:p>
    <w:p w:rsidR="00EE00E4" w:rsidRPr="00484289" w:rsidRDefault="00EE00E4" w:rsidP="00EE00E4">
      <w:pPr>
        <w:rPr>
          <w:lang w:val="en-US"/>
        </w:rPr>
      </w:pPr>
    </w:p>
    <w:p w:rsidR="00EE00E4" w:rsidRPr="00484289" w:rsidRDefault="00EE00E4" w:rsidP="00EE00E4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7868" wp14:editId="12CCED40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1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EE00E4" w:rsidRPr="00484289" w:rsidRDefault="00EE00E4" w:rsidP="00EE00E4">
      <w:pPr>
        <w:rPr>
          <w:lang w:val="en-US"/>
        </w:rPr>
      </w:pPr>
    </w:p>
    <w:p w:rsidR="00EE00E4" w:rsidRPr="00484289" w:rsidRDefault="00EE00E4" w:rsidP="00EE00E4">
      <w:pPr>
        <w:rPr>
          <w:lang w:val="en-US"/>
        </w:rPr>
      </w:pPr>
    </w:p>
    <w:p w:rsidR="00EE00E4" w:rsidRDefault="00EE00E4" w:rsidP="00507665">
      <w:pPr>
        <w:widowControl w:val="0"/>
        <w:spacing w:line="480" w:lineRule="auto"/>
        <w:jc w:val="both"/>
        <w:rPr>
          <w:rStyle w:val="SCCAppellantForRunningHeadChar"/>
          <w:smallCaps w:val="0"/>
        </w:rPr>
      </w:pPr>
    </w:p>
    <w:p w:rsidR="008322BD" w:rsidRPr="00E06CD7" w:rsidRDefault="00E06CD7" w:rsidP="00507665">
      <w:pPr>
        <w:widowControl w:val="0"/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3C4E3C" w:rsidRPr="00E06CD7">
        <w:rPr>
          <w:rStyle w:val="SCCAppellantForRunningHeadChar"/>
          <w:smallCaps w:val="0"/>
        </w:rPr>
        <w:t xml:space="preserve">. </w:t>
      </w:r>
      <w:r w:rsidR="003C4E3C" w:rsidRPr="00E06CD7">
        <w:rPr>
          <w:i/>
        </w:rPr>
        <w:t>v.</w:t>
      </w:r>
      <w:r w:rsidR="003C4E3C" w:rsidRPr="00E06CD7">
        <w:rPr>
          <w:i/>
          <w:smallCaps/>
        </w:rPr>
        <w:t xml:space="preserve"> </w:t>
      </w:r>
      <w:r>
        <w:rPr>
          <w:rStyle w:val="SCCAppellantForRunningHeadChar"/>
          <w:smallCaps w:val="0"/>
        </w:rPr>
        <w:t>C</w:t>
      </w:r>
      <w:r w:rsidR="008F78E9" w:rsidRPr="00E06CD7">
        <w:rPr>
          <w:rStyle w:val="SCCAppellantForRunningHeadChar"/>
          <w:smallCaps w:val="0"/>
        </w:rPr>
        <w:t>olling</w:t>
      </w:r>
      <w:r>
        <w:rPr>
          <w:rStyle w:val="SCCAppellantForRunningHeadChar"/>
          <w:smallCaps w:val="0"/>
        </w:rPr>
        <w:t>, 2018 SCC 23, [2018] 1 S.C.R. 692</w:t>
      </w:r>
    </w:p>
    <w:p w:rsidR="00766D14" w:rsidRDefault="00766D14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A149DF" w:rsidRPr="001426A9" w:rsidRDefault="00A149DF" w:rsidP="00507665">
      <w:pPr>
        <w:widowControl w:val="0"/>
        <w:jc w:val="both"/>
      </w:pPr>
    </w:p>
    <w:p w:rsidR="00C06A40" w:rsidRDefault="008A51FE" w:rsidP="00507665">
      <w:pPr>
        <w:pStyle w:val="SCCLsocLastPartyInRole"/>
        <w:widowControl w:val="0"/>
      </w:pPr>
      <w:r>
        <w:t>Jason Colling</w:t>
      </w:r>
      <w:r>
        <w:rPr>
          <w:rStyle w:val="SCCLsocPartyRole"/>
        </w:rPr>
        <w:tab/>
        <w:t>App</w:t>
      </w:r>
      <w:r w:rsidR="003C4E3C">
        <w:rPr>
          <w:rStyle w:val="SCCLsocPartyRole"/>
        </w:rPr>
        <w:t>ellant</w:t>
      </w:r>
    </w:p>
    <w:p w:rsidR="00C06A40" w:rsidRDefault="008A51FE" w:rsidP="00507665">
      <w:pPr>
        <w:pStyle w:val="SCCLsocVersus"/>
        <w:widowControl w:val="0"/>
      </w:pPr>
      <w:r>
        <w:t>v.</w:t>
      </w:r>
    </w:p>
    <w:p w:rsidR="00C06A40" w:rsidRDefault="003C4E3C" w:rsidP="00507665">
      <w:pPr>
        <w:pStyle w:val="SCCLsocLastPartyInRole"/>
        <w:widowControl w:val="0"/>
      </w:pPr>
      <w:r>
        <w:t>Her Majesty T</w:t>
      </w:r>
      <w:r w:rsidR="008A51FE">
        <w:t>he Queen</w:t>
      </w:r>
      <w:r w:rsidR="008A51FE">
        <w:rPr>
          <w:rStyle w:val="SCCLsocPartyRole"/>
        </w:rPr>
        <w:tab/>
        <w:t>Respondent</w:t>
      </w:r>
    </w:p>
    <w:p w:rsidR="00766D14" w:rsidRDefault="00766D14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A149DF" w:rsidRPr="001426A9" w:rsidRDefault="00A149DF" w:rsidP="00507665">
      <w:pPr>
        <w:widowControl w:val="0"/>
        <w:jc w:val="both"/>
      </w:pPr>
    </w:p>
    <w:p w:rsidR="00426659" w:rsidRPr="00426659" w:rsidRDefault="00426659" w:rsidP="00507665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3C4E3C">
        <w:rPr>
          <w:b/>
        </w:rPr>
        <w:t xml:space="preserve">R. </w:t>
      </w:r>
      <w:r w:rsidR="003C4E3C">
        <w:rPr>
          <w:b/>
          <w:i/>
        </w:rPr>
        <w:t xml:space="preserve">v. </w:t>
      </w:r>
      <w:r>
        <w:rPr>
          <w:rStyle w:val="SCCAppellantForIndexChar"/>
        </w:rPr>
        <w:t>Colling</w:t>
      </w:r>
    </w:p>
    <w:p w:rsidR="00426659" w:rsidRDefault="00426659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426659" w:rsidRPr="00C02092" w:rsidRDefault="00AE4535" w:rsidP="00507665">
      <w:pPr>
        <w:pStyle w:val="SCCSystemYear"/>
        <w:widowControl w:val="0"/>
        <w:jc w:val="both"/>
      </w:pPr>
      <w:r>
        <w:t>2018</w:t>
      </w:r>
      <w:r w:rsidR="003D0399">
        <w:t xml:space="preserve"> </w:t>
      </w:r>
      <w:r w:rsidR="003C4E3C">
        <w:t>SCC 23</w:t>
      </w:r>
    </w:p>
    <w:p w:rsidR="00426659" w:rsidRDefault="00426659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8322BD" w:rsidRDefault="003C4E3C" w:rsidP="00507665">
      <w:pPr>
        <w:widowControl w:val="0"/>
        <w:jc w:val="both"/>
      </w:pPr>
      <w:r>
        <w:t xml:space="preserve">File No.: </w:t>
      </w:r>
      <w:r w:rsidR="009B57B3">
        <w:t>37905</w:t>
      </w:r>
      <w:r w:rsidR="009B57B3" w:rsidRPr="001426A9">
        <w:t>.</w:t>
      </w:r>
    </w:p>
    <w:p w:rsidR="00E97830" w:rsidRDefault="00E97830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8322BD" w:rsidRDefault="003C4E3C" w:rsidP="00507665">
      <w:pPr>
        <w:widowControl w:val="0"/>
        <w:jc w:val="both"/>
      </w:pPr>
      <w:r>
        <w:t xml:space="preserve">2018: </w:t>
      </w:r>
      <w:r w:rsidR="00AE4535">
        <w:t>May 18</w:t>
      </w:r>
      <w:r>
        <w:t>.</w:t>
      </w:r>
    </w:p>
    <w:p w:rsidR="00E97830" w:rsidRDefault="00E97830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A149DF" w:rsidRDefault="00A149DF" w:rsidP="00507665">
      <w:pPr>
        <w:widowControl w:val="0"/>
        <w:jc w:val="both"/>
      </w:pPr>
    </w:p>
    <w:p w:rsidR="008322BD" w:rsidRDefault="003C4E3C" w:rsidP="00507665">
      <w:pPr>
        <w:widowControl w:val="0"/>
        <w:jc w:val="both"/>
      </w:pPr>
      <w:r>
        <w:t xml:space="preserve">Present: </w:t>
      </w:r>
      <w:r w:rsidR="009B57B3">
        <w:t>Abella, Moldaver, Gascon, Brown and Rowe JJ.</w:t>
      </w:r>
    </w:p>
    <w:p w:rsidR="00E97830" w:rsidRDefault="00E97830" w:rsidP="00507665">
      <w:pPr>
        <w:widowControl w:val="0"/>
        <w:jc w:val="both"/>
      </w:pPr>
    </w:p>
    <w:p w:rsidR="006A1551" w:rsidRDefault="006A1551" w:rsidP="00507665">
      <w:pPr>
        <w:widowControl w:val="0"/>
        <w:jc w:val="both"/>
      </w:pPr>
    </w:p>
    <w:p w:rsidR="00C06A40" w:rsidRDefault="00C06A40" w:rsidP="00507665">
      <w:pPr>
        <w:widowControl w:val="0"/>
      </w:pPr>
    </w:p>
    <w:p w:rsidR="008322BD" w:rsidRPr="001C779F" w:rsidRDefault="00656313" w:rsidP="00507665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3C4E3C">
        <w:t xml:space="preserve">court of appeal </w:t>
      </w:r>
      <w:r w:rsidR="009B57B3">
        <w:t>f</w:t>
      </w:r>
      <w:r w:rsidR="003C4E3C">
        <w:t>or</w:t>
      </w:r>
      <w:r w:rsidR="009B57B3">
        <w:t xml:space="preserve"> alberta</w:t>
      </w:r>
    </w:p>
    <w:p w:rsidR="003A4C70" w:rsidRPr="001426A9" w:rsidRDefault="003A4C70" w:rsidP="00507665">
      <w:pPr>
        <w:pStyle w:val="SCCNormalDoubleSpacing"/>
        <w:widowControl w:val="0"/>
      </w:pPr>
    </w:p>
    <w:p w:rsidR="005C68B0" w:rsidRPr="005C68B0" w:rsidRDefault="009B57B3" w:rsidP="00507665">
      <w:pPr>
        <w:pStyle w:val="SCCNormalDoubleSpacing"/>
        <w:widowControl w:val="0"/>
        <w:rPr>
          <w:i/>
        </w:rPr>
      </w:pPr>
      <w:r w:rsidRPr="00583EDE">
        <w:tab/>
      </w:r>
      <w:r w:rsidR="005C68B0" w:rsidRPr="005C68B0">
        <w:rPr>
          <w:i/>
        </w:rPr>
        <w:t xml:space="preserve">Criminal law </w:t>
      </w:r>
      <w:r w:rsidR="0041415D">
        <w:rPr>
          <w:i/>
        </w:rPr>
        <w:t>—</w:t>
      </w:r>
      <w:r w:rsidR="005C68B0" w:rsidRPr="005C68B0">
        <w:rPr>
          <w:i/>
        </w:rPr>
        <w:t xml:space="preserve"> Trial </w:t>
      </w:r>
      <w:r w:rsidR="0041415D">
        <w:rPr>
          <w:i/>
        </w:rPr>
        <w:t>—</w:t>
      </w:r>
      <w:r w:rsidR="00F52E3C">
        <w:rPr>
          <w:i/>
        </w:rPr>
        <w:t xml:space="preserve"> </w:t>
      </w:r>
      <w:r w:rsidR="005C68B0">
        <w:rPr>
          <w:i/>
        </w:rPr>
        <w:t>Trial judge intervening</w:t>
      </w:r>
      <w:r w:rsidR="00F52E3C">
        <w:rPr>
          <w:i/>
        </w:rPr>
        <w:t xml:space="preserve"> </w:t>
      </w:r>
      <w:r w:rsidR="005C68B0">
        <w:rPr>
          <w:i/>
        </w:rPr>
        <w:t>in cross-examination of complainant</w:t>
      </w:r>
      <w:r w:rsidR="00F52E3C">
        <w:rPr>
          <w:i/>
        </w:rPr>
        <w:t xml:space="preserve"> during accused’s trial for sexual assault</w:t>
      </w:r>
      <w:r w:rsidR="005C68B0">
        <w:rPr>
          <w:i/>
        </w:rPr>
        <w:t xml:space="preserve"> </w:t>
      </w:r>
      <w:r w:rsidR="0041415D">
        <w:rPr>
          <w:i/>
        </w:rPr>
        <w:t>—</w:t>
      </w:r>
      <w:r w:rsidR="00D24FC5">
        <w:rPr>
          <w:i/>
        </w:rPr>
        <w:t xml:space="preserve"> Accused appealing conviction on ground that trial judge’s interventions rendered trial unfair and created r</w:t>
      </w:r>
      <w:r w:rsidR="0041415D">
        <w:rPr>
          <w:i/>
        </w:rPr>
        <w:t>easonable apprehension of bias —</w:t>
      </w:r>
      <w:r w:rsidR="00D24FC5">
        <w:rPr>
          <w:i/>
        </w:rPr>
        <w:t xml:space="preserve"> Court of Appeal dismissing appeal </w:t>
      </w:r>
      <w:r w:rsidR="0041415D">
        <w:rPr>
          <w:i/>
        </w:rPr>
        <w:t>—</w:t>
      </w:r>
      <w:r w:rsidR="00F52E3C">
        <w:rPr>
          <w:i/>
        </w:rPr>
        <w:t xml:space="preserve"> Conviction upheld.</w:t>
      </w:r>
    </w:p>
    <w:p w:rsidR="005C68B0" w:rsidRDefault="005C68B0" w:rsidP="00507665">
      <w:pPr>
        <w:pStyle w:val="SCCNormalDoubleSpacing"/>
        <w:widowControl w:val="0"/>
      </w:pPr>
    </w:p>
    <w:p w:rsidR="00656313" w:rsidRDefault="005C68B0" w:rsidP="00507665">
      <w:pPr>
        <w:pStyle w:val="SCCNormalDoubleSpacing"/>
        <w:widowControl w:val="0"/>
      </w:pPr>
      <w:r>
        <w:tab/>
      </w:r>
      <w:r w:rsidR="009B57B3" w:rsidRPr="001426A9">
        <w:t xml:space="preserve">APPEAL from a judgment of the </w:t>
      </w:r>
      <w:r w:rsidR="003C4E3C">
        <w:t xml:space="preserve">Alberta </w:t>
      </w:r>
      <w:r w:rsidR="009B57B3">
        <w:t>Court of Appeal</w:t>
      </w:r>
      <w:r w:rsidR="003C4E3C">
        <w:t xml:space="preserve"> (</w:t>
      </w:r>
      <w:r w:rsidR="006B41C9">
        <w:t xml:space="preserve">Berger, Martin and Strekaf JJ.A.), 2017 ABCA 286, </w:t>
      </w:r>
      <w:r w:rsidR="00401FA5" w:rsidRPr="00401FA5">
        <w:t xml:space="preserve">356 C.C.C. (3d) </w:t>
      </w:r>
      <w:r w:rsidR="00401FA5" w:rsidRPr="00BD7905">
        <w:t xml:space="preserve">417, </w:t>
      </w:r>
      <w:r w:rsidR="006B41C9" w:rsidRPr="00BD7905">
        <w:t>42 C.R. (7th) 422, [</w:t>
      </w:r>
      <w:r w:rsidR="006B41C9">
        <w:t xml:space="preserve">2017] A.J. No. 1370 (QL), 2017 CarswellAlta 2682 (WL Can.), affirming </w:t>
      </w:r>
      <w:r w:rsidR="00401FA5">
        <w:t xml:space="preserve">the conviction of the accused for sexual assault. </w:t>
      </w:r>
      <w:r w:rsidR="000053A1">
        <w:t>Appeal dismissed.</w:t>
      </w:r>
    </w:p>
    <w:p w:rsidR="00656313" w:rsidRDefault="00656313" w:rsidP="00507665">
      <w:pPr>
        <w:pStyle w:val="SCCNormalDoubleSpacing"/>
        <w:widowControl w:val="0"/>
      </w:pPr>
    </w:p>
    <w:p w:rsidR="00C06A40" w:rsidRDefault="008A51FE" w:rsidP="00507665">
      <w:pPr>
        <w:pStyle w:val="SCCNormalDoubleSpacing"/>
        <w:widowControl w:val="0"/>
      </w:pPr>
      <w:r>
        <w:rPr>
          <w:rStyle w:val="SCCCounselNameChar"/>
        </w:rPr>
        <w:tab/>
        <w:t>Michael Bates</w:t>
      </w:r>
      <w:r w:rsidR="0055560E">
        <w:rPr>
          <w:rStyle w:val="SCCCounselNameChar"/>
        </w:rPr>
        <w:t xml:space="preserve"> </w:t>
      </w:r>
      <w:r w:rsidR="0055560E">
        <w:rPr>
          <w:rStyle w:val="SCCCounselNameChar"/>
          <w:i w:val="0"/>
        </w:rPr>
        <w:t xml:space="preserve">and </w:t>
      </w:r>
      <w:r w:rsidR="0055560E">
        <w:rPr>
          <w:rStyle w:val="SCCCounselNameChar"/>
        </w:rPr>
        <w:t>Nicole Rodych</w:t>
      </w:r>
      <w:r>
        <w:rPr>
          <w:rStyle w:val="SCCCounselPartyRoleChar"/>
        </w:rPr>
        <w:t>, for the app</w:t>
      </w:r>
      <w:r w:rsidR="003C4E3C">
        <w:rPr>
          <w:rStyle w:val="SCCCounselPartyRoleChar"/>
        </w:rPr>
        <w:t>ellant</w:t>
      </w:r>
      <w:r>
        <w:rPr>
          <w:rStyle w:val="SCCCounselPartyRoleChar"/>
        </w:rPr>
        <w:t>.</w:t>
      </w:r>
    </w:p>
    <w:p w:rsidR="00C06A40" w:rsidRDefault="00C06A40" w:rsidP="00507665">
      <w:pPr>
        <w:pStyle w:val="SCCNormalDoubleSpacing"/>
        <w:widowControl w:val="0"/>
      </w:pPr>
    </w:p>
    <w:p w:rsidR="00C06A40" w:rsidRDefault="008A51FE" w:rsidP="00507665">
      <w:pPr>
        <w:pStyle w:val="SCCNormalDoubleSpacing"/>
        <w:widowControl w:val="0"/>
      </w:pPr>
      <w:r>
        <w:rPr>
          <w:rStyle w:val="SCCCounselNameChar"/>
        </w:rPr>
        <w:tab/>
        <w:t>Iwona Kuklicz</w:t>
      </w:r>
      <w:r>
        <w:rPr>
          <w:rStyle w:val="SCCCounselPartyRoleChar"/>
        </w:rPr>
        <w:t>, for the respondent.</w:t>
      </w:r>
    </w:p>
    <w:p w:rsidR="00C06A40" w:rsidRDefault="00C06A40" w:rsidP="00507665">
      <w:pPr>
        <w:pStyle w:val="SCCLawFirm"/>
        <w:widowControl w:val="0"/>
      </w:pPr>
    </w:p>
    <w:p w:rsidR="003C4E3C" w:rsidRDefault="003C4E3C" w:rsidP="00507665">
      <w:pPr>
        <w:pStyle w:val="SCCNormalDoubleSpacing"/>
        <w:widowControl w:val="0"/>
      </w:pPr>
      <w:r>
        <w:tab/>
        <w:t>The judgment of the Court was delivered orally by</w:t>
      </w:r>
    </w:p>
    <w:p w:rsidR="006B41C9" w:rsidRPr="003C4E3C" w:rsidRDefault="006B41C9" w:rsidP="00507665">
      <w:pPr>
        <w:pStyle w:val="SCCNormalDoubleSpacing"/>
        <w:widowControl w:val="0"/>
        <w:numPr>
          <w:ilvl w:val="0"/>
          <w:numId w:val="1"/>
        </w:numPr>
        <w:spacing w:before="480" w:after="480"/>
        <w:ind w:left="0" w:firstLine="0"/>
      </w:pPr>
      <w:r w:rsidRPr="004B6015">
        <w:rPr>
          <w:smallCaps/>
        </w:rPr>
        <w:t xml:space="preserve">Abella </w:t>
      </w:r>
      <w:r w:rsidRPr="004B6015">
        <w:t xml:space="preserve">J. — The trial judge’s conduct in intervening in the manner in which he did, by stepping into the shoes of </w:t>
      </w:r>
      <w:r w:rsidRPr="004F534E">
        <w:t>counsel, raises</w:t>
      </w:r>
      <w:r w:rsidRPr="004B6015">
        <w:t xml:space="preserve"> serious concerns and ought not to be repeated. Overall, however, we are not persuaded that a miscarriage of justice has been shown. We are therefore of the view that a new trial is not warranted. The appeal is dismissed.</w:t>
      </w:r>
    </w:p>
    <w:p w:rsidR="009B57B3" w:rsidRDefault="009B57B3" w:rsidP="00507665">
      <w:pPr>
        <w:pStyle w:val="SCCNormalDoubleSpacing"/>
        <w:widowControl w:val="0"/>
      </w:pPr>
      <w:r w:rsidRPr="001426A9">
        <w:tab/>
      </w:r>
      <w:r w:rsidR="00616E43">
        <w:rPr>
          <w:i/>
        </w:rPr>
        <w:t>Judgment accordingly.</w:t>
      </w:r>
    </w:p>
    <w:p w:rsidR="00A149DF" w:rsidRPr="001426A9" w:rsidRDefault="00A149DF" w:rsidP="00507665">
      <w:pPr>
        <w:pStyle w:val="SCCNormalDoubleSpacing"/>
        <w:widowControl w:val="0"/>
      </w:pPr>
    </w:p>
    <w:p w:rsidR="00C06A40" w:rsidRDefault="008A51FE" w:rsidP="00507665">
      <w:pPr>
        <w:pStyle w:val="SCCLawFirm"/>
        <w:widowControl w:val="0"/>
      </w:pPr>
      <w:r>
        <w:tab/>
        <w:t>S</w:t>
      </w:r>
      <w:r w:rsidR="003C4E3C">
        <w:t xml:space="preserve">olicitors for the appellant: </w:t>
      </w:r>
      <w:proofErr w:type="spellStart"/>
      <w:r>
        <w:t>Ruttan</w:t>
      </w:r>
      <w:proofErr w:type="spellEnd"/>
      <w:r>
        <w:t xml:space="preserve"> Bates, Calgary.</w:t>
      </w:r>
    </w:p>
    <w:p w:rsidR="00C06A40" w:rsidRDefault="00C06A40" w:rsidP="00507665">
      <w:pPr>
        <w:pStyle w:val="SCCLawFirm"/>
        <w:widowControl w:val="0"/>
      </w:pPr>
    </w:p>
    <w:p w:rsidR="00C06A40" w:rsidRDefault="008A51FE" w:rsidP="00507665">
      <w:pPr>
        <w:pStyle w:val="SCCLawFirm"/>
        <w:widowControl w:val="0"/>
      </w:pPr>
      <w:r>
        <w:tab/>
        <w:t>So</w:t>
      </w:r>
      <w:r w:rsidR="003C4E3C">
        <w:t xml:space="preserve">licitor for the respondent: </w:t>
      </w:r>
      <w:r w:rsidR="00AC3622" w:rsidRPr="000F6516">
        <w:t>Attorney General of Alberta</w:t>
      </w:r>
      <w:r>
        <w:t>, Calgary.</w:t>
      </w:r>
    </w:p>
    <w:sectPr w:rsidR="00C06A40" w:rsidSect="000648CC">
      <w:headerReference w:type="even" r:id="rId9"/>
      <w:footerReference w:type="even" r:id="rId10"/>
      <w:footerReference w:type="default" r:id="rId11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5E" w:rsidRDefault="0068555E">
      <w:r>
        <w:separator/>
      </w:r>
    </w:p>
  </w:endnote>
  <w:endnote w:type="continuationSeparator" w:id="0">
    <w:p w:rsidR="0068555E" w:rsidRDefault="006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5E" w:rsidRDefault="0068555E">
      <w:r>
        <w:separator/>
      </w:r>
    </w:p>
  </w:footnote>
  <w:footnote w:type="continuationSeparator" w:id="0">
    <w:p w:rsidR="0068555E" w:rsidRDefault="0068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53A1"/>
    <w:rsid w:val="00025198"/>
    <w:rsid w:val="000578A3"/>
    <w:rsid w:val="000648CC"/>
    <w:rsid w:val="000C59B8"/>
    <w:rsid w:val="000C6AF0"/>
    <w:rsid w:val="000F6516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44285"/>
    <w:rsid w:val="0035169A"/>
    <w:rsid w:val="0035259D"/>
    <w:rsid w:val="00364B18"/>
    <w:rsid w:val="003A125D"/>
    <w:rsid w:val="003A4C70"/>
    <w:rsid w:val="003B215F"/>
    <w:rsid w:val="003C4E3C"/>
    <w:rsid w:val="003C799C"/>
    <w:rsid w:val="003D0399"/>
    <w:rsid w:val="003E1C71"/>
    <w:rsid w:val="003F327B"/>
    <w:rsid w:val="00401FA5"/>
    <w:rsid w:val="00406166"/>
    <w:rsid w:val="0040704B"/>
    <w:rsid w:val="00410A55"/>
    <w:rsid w:val="00411300"/>
    <w:rsid w:val="0041415D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07665"/>
    <w:rsid w:val="005125A8"/>
    <w:rsid w:val="00521AE8"/>
    <w:rsid w:val="00527180"/>
    <w:rsid w:val="0053025F"/>
    <w:rsid w:val="0054201E"/>
    <w:rsid w:val="00555291"/>
    <w:rsid w:val="0055560E"/>
    <w:rsid w:val="00566AD1"/>
    <w:rsid w:val="00583EDE"/>
    <w:rsid w:val="005A6079"/>
    <w:rsid w:val="005C68B0"/>
    <w:rsid w:val="005E4698"/>
    <w:rsid w:val="00610539"/>
    <w:rsid w:val="00613969"/>
    <w:rsid w:val="00616E43"/>
    <w:rsid w:val="00625C35"/>
    <w:rsid w:val="00656313"/>
    <w:rsid w:val="006565F4"/>
    <w:rsid w:val="00684EEA"/>
    <w:rsid w:val="0068555E"/>
    <w:rsid w:val="0069689B"/>
    <w:rsid w:val="006A1551"/>
    <w:rsid w:val="006B41C9"/>
    <w:rsid w:val="006B5FF5"/>
    <w:rsid w:val="006F30AF"/>
    <w:rsid w:val="00701759"/>
    <w:rsid w:val="00705C15"/>
    <w:rsid w:val="0071600E"/>
    <w:rsid w:val="007208D1"/>
    <w:rsid w:val="00747288"/>
    <w:rsid w:val="00747DD3"/>
    <w:rsid w:val="00752E48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E71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A51FE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4869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C3622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BD7905"/>
    <w:rsid w:val="00C02092"/>
    <w:rsid w:val="00C06A40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24FC5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6CD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00E4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4689D"/>
    <w:rsid w:val="00F50D2D"/>
    <w:rsid w:val="00F52E3C"/>
    <w:rsid w:val="00F56C8B"/>
    <w:rsid w:val="00F66810"/>
    <w:rsid w:val="00F846D9"/>
    <w:rsid w:val="00F84DF4"/>
    <w:rsid w:val="00F85C97"/>
    <w:rsid w:val="00F86880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EE00E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EE00E4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EE00E4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EE00E4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2018-06-27T17:19:00Z</dcterms:created>
  <dcterms:modified xsi:type="dcterms:W3CDTF">2019-03-25T19:03:00Z</dcterms:modified>
</cp:coreProperties>
</file>