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07" w:rsidRDefault="00221807" w:rsidP="00BE136A">
      <w:pPr>
        <w:pStyle w:val="Header"/>
        <w:jc w:val="center"/>
      </w:pPr>
      <w:r>
        <w:ptab w:relativeTo="margin" w:alignment="center" w:leader="none"/>
      </w:r>
      <w:r w:rsidRPr="00F72014">
        <w:t xml:space="preserve"> </w:t>
      </w:r>
      <w:bookmarkStart w:id="0" w:name="_GoBack"/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4.65pt" o:ole="">
            <v:imagedata r:id="rId7" o:title=""/>
          </v:shape>
          <o:OLEObject Type="Embed" ProgID="Presentations.Drawing.13" ShapeID="_x0000_i1025" DrawAspect="Content" ObjectID="_1615031564" r:id="rId8"/>
        </w:object>
      </w:r>
      <w:bookmarkEnd w:id="0"/>
      <w:r>
        <w:t xml:space="preserve"> </w:t>
      </w:r>
      <w:r>
        <w:ptab w:relativeTo="margin" w:alignment="right" w:leader="none"/>
      </w:r>
    </w:p>
    <w:p w:rsidR="00221807" w:rsidRDefault="00221807" w:rsidP="00221807">
      <w:pPr>
        <w:pStyle w:val="Header"/>
      </w:pPr>
    </w:p>
    <w:p w:rsidR="00221807" w:rsidRPr="006B210C" w:rsidRDefault="00221807" w:rsidP="00221807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221807" w:rsidRDefault="00221807" w:rsidP="00221807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221807" w:rsidRPr="006B210C" w:rsidTr="00EA1F85">
        <w:trPr>
          <w:cantSplit/>
        </w:trPr>
        <w:tc>
          <w:tcPr>
            <w:tcW w:w="5670" w:type="dxa"/>
          </w:tcPr>
          <w:p w:rsidR="00221807" w:rsidRPr="006B1FAF" w:rsidRDefault="00221807" w:rsidP="00EA1F85">
            <w:r w:rsidRPr="006B1FAF">
              <w:rPr>
                <w:b/>
                <w:smallCaps/>
              </w:rPr>
              <w:t>Citation:</w:t>
            </w:r>
            <w:r w:rsidRPr="006B1FAF">
              <w:t xml:space="preserve"> </w:t>
            </w:r>
            <w:r>
              <w:rPr>
                <w:rStyle w:val="SCCAppellantForRunningHeadChar"/>
                <w:smallCaps w:val="0"/>
              </w:rPr>
              <w:t>R</w:t>
            </w:r>
            <w:r w:rsidRPr="00D00369">
              <w:rPr>
                <w:rStyle w:val="SCCAppellantForRunningHeadChar"/>
                <w:smallCaps w:val="0"/>
              </w:rPr>
              <w:t xml:space="preserve">. </w:t>
            </w:r>
            <w:r w:rsidRPr="00D00369">
              <w:rPr>
                <w:i/>
              </w:rPr>
              <w:t>v.</w:t>
            </w:r>
            <w:r w:rsidRPr="00D00369">
              <w:rPr>
                <w:i/>
                <w:smallCaps/>
              </w:rPr>
              <w:t xml:space="preserve"> </w:t>
            </w:r>
            <w:r w:rsidRPr="00121F0E">
              <w:rPr>
                <w:rStyle w:val="SCCAppellantForRunningHeadChar"/>
                <w:smallCaps w:val="0"/>
              </w:rPr>
              <w:t>Gulliver</w:t>
            </w:r>
            <w:r>
              <w:rPr>
                <w:rStyle w:val="SCCAppellantForRunningHeadChar"/>
                <w:smallCaps w:val="0"/>
              </w:rPr>
              <w:t>, 2018 SCC 24, [2018] 1 S.C.R. 694</w:t>
            </w:r>
            <w:r>
              <w:rPr>
                <w:rStyle w:val="SCCAppellantForRunningHeadChar"/>
              </w:rPr>
              <w:t xml:space="preserve"> </w:t>
            </w:r>
          </w:p>
        </w:tc>
        <w:tc>
          <w:tcPr>
            <w:tcW w:w="3960" w:type="dxa"/>
          </w:tcPr>
          <w:p w:rsidR="00221807" w:rsidRDefault="00221807" w:rsidP="00EA1F85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May 18, 2018</w:t>
            </w:r>
          </w:p>
          <w:p w:rsidR="00221807" w:rsidRPr="006B210C" w:rsidRDefault="00221807" w:rsidP="00EA1F85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May 18, 2018</w:t>
            </w:r>
          </w:p>
          <w:p w:rsidR="00221807" w:rsidRPr="006B210C" w:rsidRDefault="00221807" w:rsidP="00EA1F85">
            <w:r w:rsidRPr="005D4B83">
              <w:rPr>
                <w:b/>
                <w:smallCaps/>
              </w:rPr>
              <w:t>Docket:</w:t>
            </w:r>
            <w:r>
              <w:t xml:space="preserve"> 37917</w:t>
            </w:r>
          </w:p>
        </w:tc>
      </w:tr>
    </w:tbl>
    <w:p w:rsidR="00221807" w:rsidRPr="006B210C" w:rsidRDefault="00221807" w:rsidP="00221807"/>
    <w:p w:rsidR="00221807" w:rsidRDefault="00221807" w:rsidP="00221807">
      <w:pPr>
        <w:pStyle w:val="SCCLsocPrefix"/>
      </w:pPr>
      <w:r>
        <w:t>Between:</w:t>
      </w:r>
    </w:p>
    <w:p w:rsidR="00221807" w:rsidRPr="00A53D62" w:rsidRDefault="00221807" w:rsidP="00221807">
      <w:pPr>
        <w:jc w:val="center"/>
        <w:rPr>
          <w:b/>
        </w:rPr>
      </w:pPr>
      <w:r>
        <w:rPr>
          <w:b/>
        </w:rPr>
        <w:t>Andrew Donald Gulliver</w:t>
      </w:r>
    </w:p>
    <w:p w:rsidR="00221807" w:rsidRDefault="00221807" w:rsidP="00221807">
      <w:pPr>
        <w:jc w:val="center"/>
      </w:pPr>
      <w:r>
        <w:t>Appellant</w:t>
      </w:r>
    </w:p>
    <w:p w:rsidR="00221807" w:rsidRPr="005D4B83" w:rsidRDefault="00221807" w:rsidP="00221807">
      <w:pPr>
        <w:jc w:val="center"/>
      </w:pPr>
    </w:p>
    <w:p w:rsidR="00221807" w:rsidRPr="00221807" w:rsidRDefault="00221807" w:rsidP="00221807">
      <w:pPr>
        <w:pStyle w:val="SCCLsocVersus"/>
        <w:spacing w:after="0"/>
        <w:jc w:val="center"/>
        <w:rPr>
          <w:i w:val="0"/>
        </w:rPr>
      </w:pPr>
      <w:r w:rsidRPr="00221807">
        <w:rPr>
          <w:i w:val="0"/>
        </w:rPr>
        <w:t>and</w:t>
      </w:r>
    </w:p>
    <w:p w:rsidR="00221807" w:rsidRPr="005D4B83" w:rsidRDefault="00221807" w:rsidP="00221807">
      <w:pPr>
        <w:jc w:val="center"/>
      </w:pPr>
    </w:p>
    <w:p w:rsidR="00221807" w:rsidRDefault="00221807" w:rsidP="00221807">
      <w:pPr>
        <w:pStyle w:val="SCCLsocParty"/>
        <w:jc w:val="center"/>
      </w:pPr>
      <w:r>
        <w:t>Her Majesty The Queen</w:t>
      </w:r>
    </w:p>
    <w:p w:rsidR="00221807" w:rsidRDefault="00221807" w:rsidP="00221807">
      <w:pPr>
        <w:jc w:val="center"/>
      </w:pPr>
      <w:r>
        <w:t>Respondent</w:t>
      </w:r>
    </w:p>
    <w:p w:rsidR="00221807" w:rsidRDefault="00221807" w:rsidP="00221807">
      <w:pPr>
        <w:jc w:val="center"/>
      </w:pPr>
    </w:p>
    <w:p w:rsidR="00221807" w:rsidRPr="006B210C" w:rsidRDefault="00221807" w:rsidP="00221807"/>
    <w:p w:rsidR="00221807" w:rsidRPr="006B210C" w:rsidRDefault="00221807" w:rsidP="00221807"/>
    <w:p w:rsidR="00221807" w:rsidRPr="006B210C" w:rsidRDefault="00221807" w:rsidP="00221807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>
        <w:t xml:space="preserve"> Abella, Moldaver, Gascon, Brown and Rowe JJ.</w:t>
      </w:r>
    </w:p>
    <w:p w:rsidR="00221807" w:rsidRPr="006B210C" w:rsidRDefault="00221807" w:rsidP="002218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221807" w:rsidRPr="000872C9" w:rsidTr="00EA1F85">
        <w:trPr>
          <w:cantSplit/>
        </w:trPr>
        <w:tc>
          <w:tcPr>
            <w:tcW w:w="3618" w:type="dxa"/>
          </w:tcPr>
          <w:p w:rsidR="00221807" w:rsidRDefault="00221807" w:rsidP="00EA1F85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221807" w:rsidRPr="006B210C" w:rsidRDefault="00221807" w:rsidP="00EA1F85">
            <w:r>
              <w:t>(paras. 1 to 2)</w:t>
            </w:r>
          </w:p>
        </w:tc>
        <w:tc>
          <w:tcPr>
            <w:tcW w:w="5958" w:type="dxa"/>
          </w:tcPr>
          <w:p w:rsidR="00221807" w:rsidRPr="00484289" w:rsidRDefault="00221807" w:rsidP="00EA1F85">
            <w:r>
              <w:t>Rowe</w:t>
            </w:r>
            <w:r w:rsidRPr="00484289">
              <w:t xml:space="preserve"> J. (</w:t>
            </w:r>
            <w:r>
              <w:t>Abella, Moldaver, Gascon and Brown</w:t>
            </w:r>
            <w:r w:rsidRPr="00484289">
              <w:t> JJ. concurring)</w:t>
            </w:r>
          </w:p>
        </w:tc>
      </w:tr>
    </w:tbl>
    <w:p w:rsidR="00221807" w:rsidRPr="00484289" w:rsidRDefault="00221807" w:rsidP="00221807">
      <w:pPr>
        <w:rPr>
          <w:lang w:val="en-US"/>
        </w:rPr>
      </w:pPr>
    </w:p>
    <w:p w:rsidR="00221807" w:rsidRPr="00484289" w:rsidRDefault="00221807" w:rsidP="00221807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C4C33" wp14:editId="7C840037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76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221807" w:rsidRDefault="00221807" w:rsidP="00221807">
      <w:pPr>
        <w:rPr>
          <w:lang w:val="en-US"/>
        </w:rPr>
      </w:pPr>
    </w:p>
    <w:p w:rsidR="00221807" w:rsidRPr="00484289" w:rsidRDefault="00221807" w:rsidP="00221807">
      <w:pPr>
        <w:rPr>
          <w:lang w:val="en-US"/>
        </w:rPr>
      </w:pPr>
    </w:p>
    <w:p w:rsidR="00221807" w:rsidRPr="00484289" w:rsidRDefault="00221807" w:rsidP="00221807">
      <w:pPr>
        <w:rPr>
          <w:lang w:val="en-US"/>
        </w:rPr>
      </w:pPr>
    </w:p>
    <w:p w:rsidR="008322BD" w:rsidRPr="00D00369" w:rsidRDefault="00D00369" w:rsidP="000E4847">
      <w:pPr>
        <w:widowControl w:val="0"/>
        <w:spacing w:line="480" w:lineRule="auto"/>
        <w:jc w:val="both"/>
        <w:rPr>
          <w:smallCaps/>
        </w:rPr>
      </w:pPr>
      <w:r>
        <w:rPr>
          <w:rStyle w:val="SCCAppellantForRunningHeadChar"/>
          <w:smallCaps w:val="0"/>
        </w:rPr>
        <w:t>R</w:t>
      </w:r>
      <w:r w:rsidR="00735B03" w:rsidRPr="00D00369">
        <w:rPr>
          <w:rStyle w:val="SCCAppellantForRunningHeadChar"/>
          <w:smallCaps w:val="0"/>
        </w:rPr>
        <w:t xml:space="preserve">. </w:t>
      </w:r>
      <w:r w:rsidR="00735B03" w:rsidRPr="00D00369">
        <w:rPr>
          <w:i/>
        </w:rPr>
        <w:t>v.</w:t>
      </w:r>
      <w:r w:rsidR="00735B03" w:rsidRPr="00D00369">
        <w:rPr>
          <w:i/>
          <w:smallCaps/>
        </w:rPr>
        <w:t xml:space="preserve"> </w:t>
      </w:r>
      <w:r>
        <w:rPr>
          <w:rStyle w:val="SCCAppellantForRunningHeadChar"/>
          <w:smallCaps w:val="0"/>
        </w:rPr>
        <w:t>G</w:t>
      </w:r>
      <w:r w:rsidR="008F78E9" w:rsidRPr="00D00369">
        <w:rPr>
          <w:rStyle w:val="SCCAppellantForRunningHeadChar"/>
          <w:smallCaps w:val="0"/>
        </w:rPr>
        <w:t>ulliver</w:t>
      </w:r>
      <w:r>
        <w:rPr>
          <w:rStyle w:val="SCCAppellantForRunningHeadChar"/>
          <w:smallCaps w:val="0"/>
        </w:rPr>
        <w:t>, 2018 SCC 24, [2018] 1 S.C.R. 694</w:t>
      </w:r>
    </w:p>
    <w:p w:rsidR="00766D14" w:rsidRDefault="00766D14" w:rsidP="000E4847">
      <w:pPr>
        <w:widowControl w:val="0"/>
        <w:jc w:val="both"/>
      </w:pPr>
    </w:p>
    <w:p w:rsidR="00A149DF" w:rsidRDefault="00A149DF" w:rsidP="000E4847">
      <w:pPr>
        <w:widowControl w:val="0"/>
        <w:jc w:val="both"/>
      </w:pPr>
    </w:p>
    <w:p w:rsidR="00A149DF" w:rsidRPr="001426A9" w:rsidRDefault="00A149DF" w:rsidP="000E4847">
      <w:pPr>
        <w:widowControl w:val="0"/>
        <w:jc w:val="both"/>
      </w:pPr>
    </w:p>
    <w:p w:rsidR="00C5072D" w:rsidRDefault="009D51D0" w:rsidP="000E4847">
      <w:pPr>
        <w:pStyle w:val="SCCLsocLastPartyInRole"/>
        <w:widowControl w:val="0"/>
      </w:pPr>
      <w:r>
        <w:t>Andrew Donald Gulliver</w:t>
      </w:r>
      <w:r>
        <w:rPr>
          <w:rStyle w:val="SCCLsocPartyRole"/>
        </w:rPr>
        <w:tab/>
        <w:t>App</w:t>
      </w:r>
      <w:r w:rsidR="00735B03">
        <w:rPr>
          <w:rStyle w:val="SCCLsocPartyRole"/>
        </w:rPr>
        <w:t>ellant</w:t>
      </w:r>
    </w:p>
    <w:p w:rsidR="00C5072D" w:rsidRDefault="009D51D0" w:rsidP="000E4847">
      <w:pPr>
        <w:pStyle w:val="SCCLsocVersus"/>
        <w:widowControl w:val="0"/>
      </w:pPr>
      <w:r>
        <w:t>v.</w:t>
      </w:r>
    </w:p>
    <w:p w:rsidR="00C5072D" w:rsidRDefault="00735B03" w:rsidP="000E4847">
      <w:pPr>
        <w:pStyle w:val="SCCLsocLastPartyInRole"/>
        <w:widowControl w:val="0"/>
      </w:pPr>
      <w:r>
        <w:t>Her Majesty T</w:t>
      </w:r>
      <w:r w:rsidR="009D51D0">
        <w:t>he Queen</w:t>
      </w:r>
      <w:r w:rsidR="009D51D0">
        <w:rPr>
          <w:rStyle w:val="SCCLsocPartyRole"/>
        </w:rPr>
        <w:tab/>
        <w:t>Respondent</w:t>
      </w:r>
    </w:p>
    <w:p w:rsidR="00766D14" w:rsidRDefault="00766D14" w:rsidP="000E4847">
      <w:pPr>
        <w:widowControl w:val="0"/>
        <w:jc w:val="both"/>
      </w:pPr>
    </w:p>
    <w:p w:rsidR="00A149DF" w:rsidRDefault="00A149DF" w:rsidP="000E4847">
      <w:pPr>
        <w:widowControl w:val="0"/>
        <w:jc w:val="both"/>
      </w:pPr>
    </w:p>
    <w:p w:rsidR="00A149DF" w:rsidRPr="001426A9" w:rsidRDefault="00A149DF" w:rsidP="000E4847">
      <w:pPr>
        <w:widowControl w:val="0"/>
        <w:jc w:val="both"/>
      </w:pPr>
    </w:p>
    <w:p w:rsidR="00426659" w:rsidRPr="00426659" w:rsidRDefault="00426659" w:rsidP="000E4847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735B03">
        <w:rPr>
          <w:b/>
        </w:rPr>
        <w:t xml:space="preserve">R. </w:t>
      </w:r>
      <w:r w:rsidR="00735B03">
        <w:rPr>
          <w:b/>
          <w:i/>
        </w:rPr>
        <w:t xml:space="preserve">v. </w:t>
      </w:r>
      <w:r>
        <w:rPr>
          <w:rStyle w:val="SCCAppellantForIndexChar"/>
        </w:rPr>
        <w:t>Gulliver</w:t>
      </w:r>
    </w:p>
    <w:p w:rsidR="00426659" w:rsidRDefault="00426659" w:rsidP="000E4847">
      <w:pPr>
        <w:widowControl w:val="0"/>
        <w:jc w:val="both"/>
      </w:pPr>
    </w:p>
    <w:p w:rsidR="00A149DF" w:rsidRDefault="00A149DF" w:rsidP="000E4847">
      <w:pPr>
        <w:widowControl w:val="0"/>
        <w:jc w:val="both"/>
      </w:pPr>
    </w:p>
    <w:p w:rsidR="00A149DF" w:rsidRDefault="00A149DF" w:rsidP="000E4847">
      <w:pPr>
        <w:widowControl w:val="0"/>
        <w:jc w:val="both"/>
      </w:pPr>
    </w:p>
    <w:p w:rsidR="00426659" w:rsidRPr="00C02092" w:rsidRDefault="00AE4535" w:rsidP="000E4847">
      <w:pPr>
        <w:pStyle w:val="SCCSystemYear"/>
        <w:widowControl w:val="0"/>
        <w:jc w:val="both"/>
      </w:pPr>
      <w:r>
        <w:t>2018</w:t>
      </w:r>
      <w:r w:rsidR="003D0399">
        <w:t xml:space="preserve"> </w:t>
      </w:r>
      <w:r w:rsidR="00735B03">
        <w:t>SCC 24</w:t>
      </w:r>
    </w:p>
    <w:p w:rsidR="00426659" w:rsidRDefault="00426659" w:rsidP="000E4847">
      <w:pPr>
        <w:widowControl w:val="0"/>
        <w:jc w:val="both"/>
      </w:pPr>
    </w:p>
    <w:p w:rsidR="00A149DF" w:rsidRDefault="00A149DF" w:rsidP="000E4847">
      <w:pPr>
        <w:widowControl w:val="0"/>
        <w:jc w:val="both"/>
      </w:pPr>
    </w:p>
    <w:p w:rsidR="00A149DF" w:rsidRDefault="00A149DF" w:rsidP="000E4847">
      <w:pPr>
        <w:widowControl w:val="0"/>
        <w:jc w:val="both"/>
      </w:pPr>
    </w:p>
    <w:p w:rsidR="008322BD" w:rsidRDefault="00735B03" w:rsidP="000E4847">
      <w:pPr>
        <w:widowControl w:val="0"/>
        <w:jc w:val="both"/>
      </w:pPr>
      <w:r>
        <w:t xml:space="preserve">File No.: </w:t>
      </w:r>
      <w:r w:rsidR="009B57B3">
        <w:t>37917</w:t>
      </w:r>
      <w:r w:rsidR="009B57B3" w:rsidRPr="001426A9">
        <w:t>.</w:t>
      </w:r>
    </w:p>
    <w:p w:rsidR="00E97830" w:rsidRDefault="00E97830" w:rsidP="000E4847">
      <w:pPr>
        <w:widowControl w:val="0"/>
        <w:jc w:val="both"/>
      </w:pPr>
    </w:p>
    <w:p w:rsidR="00A149DF" w:rsidRDefault="00A149DF" w:rsidP="000E4847">
      <w:pPr>
        <w:widowControl w:val="0"/>
        <w:jc w:val="both"/>
      </w:pPr>
    </w:p>
    <w:p w:rsidR="00A149DF" w:rsidRDefault="00A149DF" w:rsidP="000E4847">
      <w:pPr>
        <w:widowControl w:val="0"/>
        <w:jc w:val="both"/>
      </w:pPr>
    </w:p>
    <w:p w:rsidR="008322BD" w:rsidRDefault="00735B03" w:rsidP="000E4847">
      <w:pPr>
        <w:widowControl w:val="0"/>
        <w:jc w:val="both"/>
      </w:pPr>
      <w:r>
        <w:t xml:space="preserve">2018: </w:t>
      </w:r>
      <w:r w:rsidR="00AE4535">
        <w:t>May 18</w:t>
      </w:r>
      <w:r w:rsidR="009B57B3" w:rsidRPr="001426A9">
        <w:t>.</w:t>
      </w:r>
    </w:p>
    <w:p w:rsidR="00E97830" w:rsidRDefault="00E97830" w:rsidP="000E4847">
      <w:pPr>
        <w:widowControl w:val="0"/>
        <w:jc w:val="both"/>
      </w:pPr>
    </w:p>
    <w:p w:rsidR="00A149DF" w:rsidRDefault="00A149DF" w:rsidP="000E4847">
      <w:pPr>
        <w:widowControl w:val="0"/>
        <w:jc w:val="both"/>
      </w:pPr>
    </w:p>
    <w:p w:rsidR="00A149DF" w:rsidRDefault="00A149DF" w:rsidP="000E4847">
      <w:pPr>
        <w:widowControl w:val="0"/>
        <w:jc w:val="both"/>
      </w:pPr>
    </w:p>
    <w:p w:rsidR="008322BD" w:rsidRDefault="00735B03" w:rsidP="000E4847">
      <w:pPr>
        <w:widowControl w:val="0"/>
        <w:jc w:val="both"/>
      </w:pPr>
      <w:r>
        <w:t xml:space="preserve">Present: </w:t>
      </w:r>
      <w:r w:rsidR="009B57B3">
        <w:t>Abella, Moldaver, Gascon, Brown and Rowe JJ.</w:t>
      </w:r>
    </w:p>
    <w:p w:rsidR="00E97830" w:rsidRDefault="00E97830" w:rsidP="000E4847">
      <w:pPr>
        <w:widowControl w:val="0"/>
        <w:jc w:val="both"/>
      </w:pPr>
    </w:p>
    <w:p w:rsidR="006A1551" w:rsidRDefault="006A1551" w:rsidP="000E4847">
      <w:pPr>
        <w:widowControl w:val="0"/>
        <w:jc w:val="both"/>
      </w:pPr>
    </w:p>
    <w:p w:rsidR="00C5072D" w:rsidRDefault="00C5072D" w:rsidP="000E4847">
      <w:pPr>
        <w:widowControl w:val="0"/>
      </w:pPr>
    </w:p>
    <w:p w:rsidR="008322BD" w:rsidRPr="001C779F" w:rsidRDefault="00656313" w:rsidP="000E4847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735B03">
        <w:t>court of appeal for</w:t>
      </w:r>
      <w:r w:rsidR="009B57B3">
        <w:t xml:space="preserve"> alberta</w:t>
      </w:r>
    </w:p>
    <w:p w:rsidR="003A4C70" w:rsidRPr="001426A9" w:rsidRDefault="003A4C70" w:rsidP="000E4847">
      <w:pPr>
        <w:pStyle w:val="SCCNormalDoubleSpacing"/>
        <w:widowControl w:val="0"/>
      </w:pPr>
    </w:p>
    <w:p w:rsidR="008322BD" w:rsidRPr="00E637C6" w:rsidRDefault="009B57B3" w:rsidP="000E4847">
      <w:pPr>
        <w:pStyle w:val="SCCNormalDoubleSpacing"/>
        <w:widowControl w:val="0"/>
        <w:rPr>
          <w:i/>
        </w:rPr>
      </w:pPr>
      <w:r w:rsidRPr="00583EDE">
        <w:tab/>
      </w:r>
      <w:r w:rsidR="00444B61">
        <w:rPr>
          <w:i/>
        </w:rPr>
        <w:t>Criminal law — Trial — Judgments — Reasons for judgment — Sufficiency of reasons —</w:t>
      </w:r>
      <w:r w:rsidR="0068225C">
        <w:rPr>
          <w:i/>
        </w:rPr>
        <w:t xml:space="preserve"> </w:t>
      </w:r>
      <w:r w:rsidR="002234DC">
        <w:rPr>
          <w:i/>
        </w:rPr>
        <w:t xml:space="preserve">Accused convicted of several charges including sexual assault </w:t>
      </w:r>
      <w:r w:rsidR="00444B61">
        <w:rPr>
          <w:i/>
        </w:rPr>
        <w:t>—</w:t>
      </w:r>
      <w:r w:rsidR="0068225C">
        <w:rPr>
          <w:i/>
        </w:rPr>
        <w:t xml:space="preserve"> Court of Appeal holding that</w:t>
      </w:r>
      <w:r w:rsidR="002234DC">
        <w:rPr>
          <w:i/>
        </w:rPr>
        <w:t xml:space="preserve"> trial judge provided adequate ex</w:t>
      </w:r>
      <w:r w:rsidR="00444B61">
        <w:rPr>
          <w:i/>
        </w:rPr>
        <w:t>planation of reasoning process —</w:t>
      </w:r>
      <w:r w:rsidR="0068225C">
        <w:rPr>
          <w:i/>
        </w:rPr>
        <w:t xml:space="preserve"> Convictions upheld</w:t>
      </w:r>
      <w:r w:rsidR="00E637C6" w:rsidRPr="00E637C6">
        <w:rPr>
          <w:i/>
        </w:rPr>
        <w:t>.</w:t>
      </w:r>
    </w:p>
    <w:p w:rsidR="00735B03" w:rsidRDefault="00735B03" w:rsidP="000E4847">
      <w:pPr>
        <w:pStyle w:val="SCCNormalDoubleSpacing"/>
        <w:widowControl w:val="0"/>
      </w:pPr>
    </w:p>
    <w:p w:rsidR="00656313" w:rsidRDefault="009B57B3" w:rsidP="000E4847">
      <w:pPr>
        <w:pStyle w:val="SCCNormalDoubleSpacing"/>
        <w:widowControl w:val="0"/>
      </w:pPr>
      <w:r w:rsidRPr="001426A9">
        <w:tab/>
        <w:t>APPEAL from a judgment of the</w:t>
      </w:r>
      <w:r w:rsidR="00E637C6">
        <w:t xml:space="preserve"> Alberta</w:t>
      </w:r>
      <w:r w:rsidRPr="001426A9">
        <w:t xml:space="preserve"> </w:t>
      </w:r>
      <w:r>
        <w:t>Court of Appeal (</w:t>
      </w:r>
      <w:r w:rsidR="00214E9C">
        <w:t>Berger, Wakeling and Martin JJ.A.), 2017 ABCA 223, [2017] A.J. No. 1006 (QL), 2017 CarswellAlta 1756 (W</w:t>
      </w:r>
      <w:r w:rsidR="00214E9C" w:rsidRPr="000D4783">
        <w:t>L Can.), affirming</w:t>
      </w:r>
      <w:r w:rsidR="00E75883" w:rsidRPr="000D4783">
        <w:t xml:space="preserve"> the conviction</w:t>
      </w:r>
      <w:r w:rsidR="000D4783" w:rsidRPr="000D4783">
        <w:t>s</w:t>
      </w:r>
      <w:r w:rsidR="00E75883" w:rsidRPr="000D4783">
        <w:t xml:space="preserve"> </w:t>
      </w:r>
      <w:r w:rsidR="000D4783" w:rsidRPr="000D4783">
        <w:t>of the accused</w:t>
      </w:r>
      <w:r w:rsidR="00E75883" w:rsidRPr="000D4783">
        <w:t>.</w:t>
      </w:r>
      <w:r w:rsidR="00E75883">
        <w:t xml:space="preserve"> Appeal dismissed. </w:t>
      </w:r>
    </w:p>
    <w:p w:rsidR="00656313" w:rsidRDefault="00656313" w:rsidP="000E4847">
      <w:pPr>
        <w:pStyle w:val="SCCNormalDoubleSpacing"/>
        <w:widowControl w:val="0"/>
      </w:pPr>
    </w:p>
    <w:p w:rsidR="00C5072D" w:rsidRDefault="009D51D0" w:rsidP="000E4847">
      <w:pPr>
        <w:pStyle w:val="SCCNormalDoubleSpacing"/>
        <w:widowControl w:val="0"/>
      </w:pPr>
      <w:r>
        <w:rPr>
          <w:rStyle w:val="SCCCounselNameChar"/>
        </w:rPr>
        <w:tab/>
        <w:t>Peter J. Royal</w:t>
      </w:r>
      <w:r w:rsidRPr="00735B03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>
        <w:rPr>
          <w:rStyle w:val="SCCCounselPartyRoleChar"/>
        </w:rPr>
        <w:t xml:space="preserve">, </w:t>
      </w:r>
      <w:r w:rsidR="00E75883">
        <w:rPr>
          <w:rStyle w:val="SCCCounselPartyRoleChar"/>
        </w:rPr>
        <w:t xml:space="preserve">and </w:t>
      </w:r>
      <w:r w:rsidR="00E75883" w:rsidRPr="00E75883">
        <w:rPr>
          <w:rStyle w:val="SCCCounselPartyRoleChar"/>
          <w:i/>
        </w:rPr>
        <w:t>David N.</w:t>
      </w:r>
      <w:r w:rsidR="00E75883">
        <w:rPr>
          <w:rStyle w:val="SCCCounselPartyRoleChar"/>
          <w:i/>
        </w:rPr>
        <w:t xml:space="preserve"> </w:t>
      </w:r>
      <w:r w:rsidR="00E75883" w:rsidRPr="00E75883">
        <w:rPr>
          <w:rStyle w:val="SCCCounselPartyRoleChar"/>
          <w:i/>
        </w:rPr>
        <w:t>B. Sims</w:t>
      </w:r>
      <w:r w:rsidR="00E75883">
        <w:rPr>
          <w:rStyle w:val="SCCCounselPartyRoleChar"/>
        </w:rPr>
        <w:t xml:space="preserve">, </w:t>
      </w:r>
      <w:r>
        <w:rPr>
          <w:rStyle w:val="SCCCounselPartyRoleChar"/>
        </w:rPr>
        <w:t xml:space="preserve">for the </w:t>
      </w:r>
      <w:r w:rsidR="00735B03">
        <w:rPr>
          <w:rStyle w:val="SCCCounselPartyRoleChar"/>
        </w:rPr>
        <w:t>appellant</w:t>
      </w:r>
      <w:r>
        <w:rPr>
          <w:rStyle w:val="SCCCounselPartyRoleChar"/>
        </w:rPr>
        <w:t>.</w:t>
      </w:r>
    </w:p>
    <w:p w:rsidR="00C5072D" w:rsidRDefault="00C5072D" w:rsidP="000E4847">
      <w:pPr>
        <w:pStyle w:val="SCCNormalDoubleSpacing"/>
        <w:widowControl w:val="0"/>
      </w:pPr>
    </w:p>
    <w:p w:rsidR="00C5072D" w:rsidRDefault="009D51D0" w:rsidP="000E4847">
      <w:pPr>
        <w:pStyle w:val="SCCNormalDoubleSpacing"/>
        <w:widowControl w:val="0"/>
        <w:rPr>
          <w:rStyle w:val="SCCCounselPartyRoleChar"/>
        </w:rPr>
      </w:pPr>
      <w:r>
        <w:rPr>
          <w:rStyle w:val="SCCCounselNameChar"/>
        </w:rPr>
        <w:lastRenderedPageBreak/>
        <w:tab/>
        <w:t>Troy Couillard</w:t>
      </w:r>
      <w:r>
        <w:rPr>
          <w:rStyle w:val="SCCCounselPartyRoleChar"/>
        </w:rPr>
        <w:t>, for the respondent.</w:t>
      </w:r>
    </w:p>
    <w:p w:rsidR="00214E9C" w:rsidRDefault="00214E9C" w:rsidP="000E4847">
      <w:pPr>
        <w:pStyle w:val="SCCNormalDoubleSpacing"/>
        <w:widowControl w:val="0"/>
        <w:rPr>
          <w:rStyle w:val="SCCCounselPartyRoleChar"/>
        </w:rPr>
      </w:pPr>
    </w:p>
    <w:p w:rsidR="00214E9C" w:rsidRDefault="00214E9C" w:rsidP="000E4847">
      <w:pPr>
        <w:pStyle w:val="SCCNormalDoubleSpacing"/>
        <w:widowControl w:val="0"/>
      </w:pPr>
      <w:r>
        <w:rPr>
          <w:rStyle w:val="SCCCounselPartyRoleChar"/>
        </w:rPr>
        <w:tab/>
        <w:t>The judgment of the Court was delivered orally by</w:t>
      </w:r>
    </w:p>
    <w:p w:rsidR="00214E9C" w:rsidRPr="00214E9C" w:rsidRDefault="00735B03" w:rsidP="000E4847">
      <w:pPr>
        <w:pStyle w:val="ParaNoNdepar-AltN"/>
        <w:widowControl w:val="0"/>
        <w:numPr>
          <w:ilvl w:val="0"/>
          <w:numId w:val="1"/>
        </w:numPr>
        <w:tabs>
          <w:tab w:val="num" w:pos="1152"/>
        </w:tabs>
        <w:ind w:left="0" w:firstLine="0"/>
      </w:pPr>
      <w:r w:rsidRPr="00214E9C">
        <w:rPr>
          <w:smallCaps/>
        </w:rPr>
        <w:t>Rowe</w:t>
      </w:r>
      <w:r w:rsidRPr="008C7A06">
        <w:rPr>
          <w:rFonts w:cs="Times New Roman"/>
        </w:rPr>
        <w:t xml:space="preserve"> J. — We all agree that, read fairly, the trial </w:t>
      </w:r>
      <w:r w:rsidRPr="00214E9C">
        <w:rPr>
          <w:rFonts w:eastAsia="Calibri" w:cs="Times New Roman"/>
          <w:szCs w:val="24"/>
          <w:lang w:eastAsia="en-CA"/>
        </w:rPr>
        <w:t>judge</w:t>
      </w:r>
      <w:r w:rsidRPr="00214E9C">
        <w:rPr>
          <w:rFonts w:eastAsia="Calibri"/>
          <w:szCs w:val="24"/>
          <w:lang w:eastAsia="en-CA"/>
        </w:rPr>
        <w:t>’</w:t>
      </w:r>
      <w:r w:rsidRPr="00214E9C">
        <w:rPr>
          <w:rFonts w:eastAsia="Calibri" w:cs="Times New Roman"/>
          <w:szCs w:val="24"/>
          <w:lang w:eastAsia="en-CA"/>
        </w:rPr>
        <w:t>s</w:t>
      </w:r>
      <w:r w:rsidRPr="008C7A06">
        <w:rPr>
          <w:rFonts w:cs="Times New Roman"/>
        </w:rPr>
        <w:t xml:space="preserve"> reasons make clear that the </w:t>
      </w:r>
      <w:r w:rsidRPr="00214E9C">
        <w:rPr>
          <w:rFonts w:eastAsia="Calibri" w:cs="Times New Roman"/>
          <w:szCs w:val="24"/>
        </w:rPr>
        <w:t>alibi</w:t>
      </w:r>
      <w:r w:rsidRPr="008C7A06">
        <w:rPr>
          <w:rFonts w:cs="Times New Roman"/>
        </w:rPr>
        <w:t xml:space="preserve"> evidence was neither credible nor reliable. We are also of the view that the trial judge</w:t>
      </w:r>
      <w:r>
        <w:t>’</w:t>
      </w:r>
      <w:r w:rsidRPr="008C7A06">
        <w:rPr>
          <w:rFonts w:cs="Times New Roman"/>
        </w:rPr>
        <w:t xml:space="preserve">s reasons were sufficient. </w:t>
      </w:r>
    </w:p>
    <w:p w:rsidR="00C5072D" w:rsidRDefault="00735B03" w:rsidP="000E4847">
      <w:pPr>
        <w:pStyle w:val="ParaNoNdepar-AltN"/>
        <w:widowControl w:val="0"/>
        <w:numPr>
          <w:ilvl w:val="0"/>
          <w:numId w:val="1"/>
        </w:numPr>
        <w:tabs>
          <w:tab w:val="num" w:pos="1152"/>
        </w:tabs>
        <w:ind w:left="0" w:firstLine="0"/>
      </w:pPr>
      <w:r w:rsidRPr="008C7A06">
        <w:rPr>
          <w:rFonts w:cs="Times New Roman"/>
        </w:rPr>
        <w:t>Accordingly, we are all of the view that the appeal should be dismissed.</w:t>
      </w:r>
    </w:p>
    <w:p w:rsidR="009B57B3" w:rsidRDefault="00735B03" w:rsidP="000E4847">
      <w:pPr>
        <w:pStyle w:val="SCCNormalDoubleSpacing"/>
        <w:widowControl w:val="0"/>
      </w:pPr>
      <w:r>
        <w:tab/>
      </w:r>
      <w:r>
        <w:rPr>
          <w:i/>
        </w:rPr>
        <w:t>Judgment accordingly.</w:t>
      </w:r>
    </w:p>
    <w:p w:rsidR="00A149DF" w:rsidRPr="001426A9" w:rsidRDefault="00A149DF" w:rsidP="000E4847">
      <w:pPr>
        <w:pStyle w:val="SCCNormalDoubleSpacing"/>
        <w:widowControl w:val="0"/>
      </w:pPr>
    </w:p>
    <w:p w:rsidR="00C5072D" w:rsidRDefault="00735B03" w:rsidP="000E4847">
      <w:pPr>
        <w:pStyle w:val="SCCLawFirm"/>
        <w:widowControl w:val="0"/>
      </w:pPr>
      <w:r>
        <w:tab/>
        <w:t>Solicitors</w:t>
      </w:r>
      <w:r w:rsidR="009D51D0">
        <w:t xml:space="preserve"> for the app</w:t>
      </w:r>
      <w:r>
        <w:t>ellant</w:t>
      </w:r>
      <w:r w:rsidR="009D51D0">
        <w:t>: Royal &amp; Company, Edmonton.</w:t>
      </w:r>
    </w:p>
    <w:p w:rsidR="00C5072D" w:rsidRDefault="00C5072D" w:rsidP="000E4847">
      <w:pPr>
        <w:pStyle w:val="SCCLawFirm"/>
        <w:widowControl w:val="0"/>
      </w:pPr>
    </w:p>
    <w:p w:rsidR="00C5072D" w:rsidRDefault="009D51D0" w:rsidP="000E4847">
      <w:pPr>
        <w:pStyle w:val="SCCLawFirm"/>
        <w:widowControl w:val="0"/>
      </w:pPr>
      <w:r>
        <w:tab/>
        <w:t xml:space="preserve">Solicitor for the respondent: </w:t>
      </w:r>
      <w:r w:rsidRPr="00E637C6">
        <w:t>Attorney General of Alberta</w:t>
      </w:r>
      <w:r>
        <w:t>, Edmonton.</w:t>
      </w:r>
    </w:p>
    <w:sectPr w:rsidR="00C5072D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3C" w:rsidRDefault="0011143C">
      <w:r>
        <w:separator/>
      </w:r>
    </w:p>
  </w:endnote>
  <w:endnote w:type="continuationSeparator" w:id="0">
    <w:p w:rsidR="0011143C" w:rsidRDefault="0011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3C" w:rsidRDefault="0011143C">
      <w:r>
        <w:separator/>
      </w:r>
    </w:p>
  </w:footnote>
  <w:footnote w:type="continuationSeparator" w:id="0">
    <w:p w:rsidR="0011143C" w:rsidRDefault="0011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4B05"/>
    <w:multiLevelType w:val="hybridMultilevel"/>
    <w:tmpl w:val="8384DDBC"/>
    <w:lvl w:ilvl="0" w:tplc="DE3C5E3C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C59B8"/>
    <w:rsid w:val="000C6AF0"/>
    <w:rsid w:val="000D4783"/>
    <w:rsid w:val="000E4847"/>
    <w:rsid w:val="00104F33"/>
    <w:rsid w:val="0011143C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14E9C"/>
    <w:rsid w:val="00220FC2"/>
    <w:rsid w:val="00221807"/>
    <w:rsid w:val="002222F4"/>
    <w:rsid w:val="002234DC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4811"/>
    <w:rsid w:val="00406166"/>
    <w:rsid w:val="0040704B"/>
    <w:rsid w:val="00410A55"/>
    <w:rsid w:val="00411300"/>
    <w:rsid w:val="00415417"/>
    <w:rsid w:val="00426659"/>
    <w:rsid w:val="00444B61"/>
    <w:rsid w:val="00450352"/>
    <w:rsid w:val="00452337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2D90"/>
    <w:rsid w:val="004F36FF"/>
    <w:rsid w:val="005125A8"/>
    <w:rsid w:val="00521AE8"/>
    <w:rsid w:val="00527180"/>
    <w:rsid w:val="0054201E"/>
    <w:rsid w:val="00555291"/>
    <w:rsid w:val="00566AD1"/>
    <w:rsid w:val="00583EDE"/>
    <w:rsid w:val="005A6079"/>
    <w:rsid w:val="005E4698"/>
    <w:rsid w:val="00610539"/>
    <w:rsid w:val="00613969"/>
    <w:rsid w:val="00625C35"/>
    <w:rsid w:val="00626969"/>
    <w:rsid w:val="00656313"/>
    <w:rsid w:val="006565F4"/>
    <w:rsid w:val="0068225C"/>
    <w:rsid w:val="00684EEA"/>
    <w:rsid w:val="0069689B"/>
    <w:rsid w:val="006A1551"/>
    <w:rsid w:val="006B5FF5"/>
    <w:rsid w:val="006F30AF"/>
    <w:rsid w:val="00701759"/>
    <w:rsid w:val="00705C15"/>
    <w:rsid w:val="0071600E"/>
    <w:rsid w:val="007208D1"/>
    <w:rsid w:val="00735B03"/>
    <w:rsid w:val="00747288"/>
    <w:rsid w:val="00747DD3"/>
    <w:rsid w:val="007549C8"/>
    <w:rsid w:val="00754A0B"/>
    <w:rsid w:val="00766D14"/>
    <w:rsid w:val="00767A0F"/>
    <w:rsid w:val="007A05F6"/>
    <w:rsid w:val="007B68DC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4CE1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1D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BE136A"/>
    <w:rsid w:val="00C02092"/>
    <w:rsid w:val="00C24D91"/>
    <w:rsid w:val="00C5072D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0369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637C6"/>
    <w:rsid w:val="00E75883"/>
    <w:rsid w:val="00E77932"/>
    <w:rsid w:val="00E97830"/>
    <w:rsid w:val="00EE643C"/>
    <w:rsid w:val="00EF0683"/>
    <w:rsid w:val="00EF69D2"/>
    <w:rsid w:val="00EF766E"/>
    <w:rsid w:val="00F0070C"/>
    <w:rsid w:val="00F00EB7"/>
    <w:rsid w:val="00F36AB6"/>
    <w:rsid w:val="00F37999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214E9C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221807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221807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221807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221807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2018-06-28T14:44:00Z</dcterms:created>
  <dcterms:modified xsi:type="dcterms:W3CDTF">2019-03-25T19:03:00Z</dcterms:modified>
</cp:coreProperties>
</file>