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C1" w:rsidRDefault="00BE08C1" w:rsidP="00BA16DD">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4.8pt" o:ole="">
            <v:imagedata r:id="rId8" o:title=""/>
          </v:shape>
          <o:OLEObject Type="Embed" ProgID="Presentations.Drawing.13" ShapeID="_x0000_i1025" DrawAspect="Content" ObjectID="_1615031641" r:id="rId9"/>
        </w:object>
      </w:r>
      <w:bookmarkEnd w:id="0"/>
      <w:r>
        <w:t xml:space="preserve"> </w:t>
      </w:r>
      <w:r>
        <w:ptab w:relativeTo="margin" w:alignment="right" w:leader="none"/>
      </w:r>
    </w:p>
    <w:p w:rsidR="00BE08C1" w:rsidRDefault="00BE08C1" w:rsidP="00BE08C1">
      <w:pPr>
        <w:pStyle w:val="Header"/>
      </w:pPr>
    </w:p>
    <w:p w:rsidR="00BE08C1" w:rsidRPr="006B210C" w:rsidRDefault="00BE08C1" w:rsidP="00BE08C1">
      <w:pPr>
        <w:jc w:val="center"/>
        <w:rPr>
          <w:b/>
        </w:rPr>
      </w:pPr>
      <w:r w:rsidRPr="006B210C">
        <w:rPr>
          <w:b/>
        </w:rPr>
        <w:t>SUPREME COURT OF CANADA</w:t>
      </w:r>
    </w:p>
    <w:p w:rsidR="00BE08C1" w:rsidRDefault="00BE08C1" w:rsidP="00BE08C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BE08C1" w:rsidRPr="006B210C" w:rsidTr="00836B2D">
        <w:trPr>
          <w:cantSplit/>
        </w:trPr>
        <w:tc>
          <w:tcPr>
            <w:tcW w:w="5670" w:type="dxa"/>
          </w:tcPr>
          <w:p w:rsidR="00BE08C1" w:rsidRPr="006B210C" w:rsidRDefault="00BE08C1" w:rsidP="00BE08C1">
            <w:r w:rsidRPr="006B210C">
              <w:rPr>
                <w:b/>
                <w:smallCaps/>
              </w:rPr>
              <w:t>Citation</w:t>
            </w:r>
            <w:r>
              <w:rPr>
                <w:b/>
                <w:smallCaps/>
              </w:rPr>
              <w:t>:</w:t>
            </w:r>
            <w:r w:rsidRPr="006B210C">
              <w:t xml:space="preserve"> </w:t>
            </w:r>
            <w:r w:rsidRPr="00496DF2">
              <w:t xml:space="preserve">Highwood Congregation of Jehovah’s Witnesses (Judicial Committee) </w:t>
            </w:r>
            <w:r w:rsidRPr="00496DF2">
              <w:rPr>
                <w:i/>
              </w:rPr>
              <w:t>v.</w:t>
            </w:r>
            <w:r w:rsidRPr="00496DF2">
              <w:t xml:space="preserve"> Wall</w:t>
            </w:r>
            <w:r>
              <w:t>, 2018 SCC 26</w:t>
            </w:r>
            <w:r>
              <w:rPr>
                <w:rStyle w:val="SCCRespondentForRunningHeadChar"/>
                <w:smallCaps w:val="0"/>
              </w:rPr>
              <w:t>, [2018] 1 S.C.R. 750</w:t>
            </w:r>
          </w:p>
        </w:tc>
        <w:tc>
          <w:tcPr>
            <w:tcW w:w="3906" w:type="dxa"/>
          </w:tcPr>
          <w:p w:rsidR="00BE08C1" w:rsidRDefault="00BE08C1" w:rsidP="00836B2D">
            <w:r>
              <w:rPr>
                <w:b/>
                <w:smallCaps/>
              </w:rPr>
              <w:t>Appeal Heard:</w:t>
            </w:r>
            <w:r w:rsidRPr="006B210C">
              <w:t xml:space="preserve"> </w:t>
            </w:r>
            <w:r>
              <w:t>November 2, 2017</w:t>
            </w:r>
          </w:p>
          <w:p w:rsidR="00BE08C1" w:rsidRDefault="00BE08C1" w:rsidP="00836B2D">
            <w:r>
              <w:rPr>
                <w:b/>
                <w:smallCaps/>
              </w:rPr>
              <w:t>Judgment Rendered</w:t>
            </w:r>
            <w:r w:rsidRPr="00F2118D">
              <w:rPr>
                <w:b/>
                <w:smallCaps/>
              </w:rPr>
              <w:t>:</w:t>
            </w:r>
            <w:r w:rsidRPr="00F2118D">
              <w:t xml:space="preserve"> May 31,</w:t>
            </w:r>
            <w:r>
              <w:t xml:space="preserve"> 2018</w:t>
            </w:r>
          </w:p>
          <w:p w:rsidR="00BE08C1" w:rsidRPr="006B210C" w:rsidRDefault="00BE08C1" w:rsidP="00836B2D">
            <w:r w:rsidRPr="006B210C">
              <w:rPr>
                <w:b/>
                <w:smallCaps/>
              </w:rPr>
              <w:t>Docket</w:t>
            </w:r>
            <w:r>
              <w:rPr>
                <w:b/>
                <w:smallCaps/>
              </w:rPr>
              <w:t>:</w:t>
            </w:r>
            <w:r w:rsidRPr="006B210C">
              <w:t xml:space="preserve"> </w:t>
            </w:r>
            <w:r>
              <w:t>37273</w:t>
            </w:r>
          </w:p>
        </w:tc>
      </w:tr>
    </w:tbl>
    <w:p w:rsidR="00BE08C1" w:rsidRPr="006B210C" w:rsidRDefault="00BE08C1" w:rsidP="00BE08C1"/>
    <w:p w:rsidR="00BE08C1" w:rsidRDefault="00BE08C1" w:rsidP="00BE08C1">
      <w:pPr>
        <w:pStyle w:val="SCCLsocPrefix"/>
      </w:pPr>
      <w:r>
        <w:t>Between:</w:t>
      </w:r>
    </w:p>
    <w:p w:rsidR="00BE08C1" w:rsidRPr="002F3B3B" w:rsidRDefault="00BE08C1" w:rsidP="00BE08C1"/>
    <w:p w:rsidR="00BE08C1" w:rsidRDefault="00BE08C1" w:rsidP="00BE08C1">
      <w:pPr>
        <w:pStyle w:val="SCCLsocParty"/>
        <w:jc w:val="center"/>
      </w:pPr>
      <w:r>
        <w:t>Judicial Committee of the Highwood Congregation of Jehovah’s Witnesses</w:t>
      </w:r>
    </w:p>
    <w:p w:rsidR="00BE08C1" w:rsidRDefault="00BE08C1" w:rsidP="00BE08C1">
      <w:pPr>
        <w:pStyle w:val="SCCLsocParty"/>
        <w:jc w:val="center"/>
      </w:pPr>
      <w:r>
        <w:t xml:space="preserve">(Vaughn Lee </w:t>
      </w:r>
      <w:r w:rsidRPr="000B2CCD">
        <w:t>—</w:t>
      </w:r>
      <w:r>
        <w:t xml:space="preserve"> Chairman and Elders James Scott Lang and Joe Gurney) and</w:t>
      </w:r>
    </w:p>
    <w:p w:rsidR="00BE08C1" w:rsidRDefault="00BE08C1" w:rsidP="00BE08C1">
      <w:pPr>
        <w:pStyle w:val="SCCLsocParty"/>
        <w:jc w:val="center"/>
      </w:pPr>
      <w:r>
        <w:t>Highwood Congregation of Jehovah’s Witnesses</w:t>
      </w:r>
    </w:p>
    <w:p w:rsidR="00BE08C1" w:rsidRDefault="00BE08C1" w:rsidP="00BE08C1">
      <w:pPr>
        <w:jc w:val="center"/>
      </w:pPr>
      <w:r>
        <w:t>Appellants</w:t>
      </w:r>
    </w:p>
    <w:p w:rsidR="00BE08C1" w:rsidRDefault="00BE08C1" w:rsidP="00BE08C1">
      <w:pPr>
        <w:pStyle w:val="SCCLsocVersus"/>
        <w:spacing w:after="0"/>
        <w:jc w:val="center"/>
      </w:pPr>
    </w:p>
    <w:p w:rsidR="00BE08C1" w:rsidRPr="00BE08C1" w:rsidRDefault="00BE08C1" w:rsidP="00BE08C1">
      <w:pPr>
        <w:pStyle w:val="SCCLsocVersus"/>
        <w:spacing w:after="0"/>
        <w:jc w:val="center"/>
        <w:rPr>
          <w:i w:val="0"/>
        </w:rPr>
      </w:pPr>
      <w:proofErr w:type="gramStart"/>
      <w:r w:rsidRPr="00BE08C1">
        <w:rPr>
          <w:i w:val="0"/>
        </w:rPr>
        <w:t>and</w:t>
      </w:r>
      <w:proofErr w:type="gramEnd"/>
    </w:p>
    <w:p w:rsidR="00BE08C1" w:rsidRDefault="00BE08C1" w:rsidP="00BE08C1">
      <w:pPr>
        <w:pStyle w:val="SCCLsocParty"/>
        <w:jc w:val="center"/>
      </w:pPr>
    </w:p>
    <w:p w:rsidR="00BE08C1" w:rsidRDefault="00BE08C1" w:rsidP="00BE08C1">
      <w:pPr>
        <w:pStyle w:val="SCCLsocParty"/>
        <w:jc w:val="center"/>
      </w:pPr>
      <w:r>
        <w:t>Randy Wall</w:t>
      </w:r>
    </w:p>
    <w:p w:rsidR="00BE08C1" w:rsidRDefault="00BE08C1" w:rsidP="00BE08C1">
      <w:pPr>
        <w:jc w:val="center"/>
      </w:pPr>
      <w:r>
        <w:t>Respondent</w:t>
      </w:r>
    </w:p>
    <w:p w:rsidR="00BE08C1" w:rsidRDefault="00BE08C1" w:rsidP="00BE08C1">
      <w:pPr>
        <w:pStyle w:val="SCCLsocOtherPartySeparator"/>
        <w:spacing w:after="0"/>
        <w:jc w:val="center"/>
      </w:pPr>
    </w:p>
    <w:p w:rsidR="00BE08C1" w:rsidRDefault="00BE08C1" w:rsidP="00BE08C1">
      <w:pPr>
        <w:pStyle w:val="SCCLsocOtherPartySeparator"/>
        <w:spacing w:after="0"/>
        <w:jc w:val="center"/>
      </w:pPr>
      <w:r>
        <w:t xml:space="preserve">- </w:t>
      </w:r>
      <w:proofErr w:type="gramStart"/>
      <w:r>
        <w:t>and</w:t>
      </w:r>
      <w:proofErr w:type="gramEnd"/>
      <w:r>
        <w:t xml:space="preserve"> -</w:t>
      </w:r>
    </w:p>
    <w:p w:rsidR="00BE08C1" w:rsidRDefault="00BE08C1" w:rsidP="00BE08C1">
      <w:pPr>
        <w:pStyle w:val="SCCLsocParty"/>
        <w:jc w:val="center"/>
      </w:pPr>
    </w:p>
    <w:p w:rsidR="00BE08C1" w:rsidRDefault="00BE08C1" w:rsidP="00BE08C1">
      <w:pPr>
        <w:pStyle w:val="SCCLsocParty"/>
        <w:jc w:val="center"/>
      </w:pPr>
      <w:r>
        <w:t>Canadian Council of Christian Charities, Association for Reformed Political Action Canada, Canadian Constitution Foundation, Evangelical Fellowship of Canada,</w:t>
      </w:r>
    </w:p>
    <w:p w:rsidR="00BE08C1" w:rsidRDefault="00BE08C1" w:rsidP="00BE08C1">
      <w:pPr>
        <w:pStyle w:val="SCCLsocParty"/>
        <w:jc w:val="center"/>
      </w:pPr>
      <w:r>
        <w:t>Catholic Civil Rights League, Christian Legal Fellowship, World Sikh Organization of Canada, Seventh-day Adventist Church in Canada, Justice Centre for Constitutional Freedoms, Church of Jesus Christ of Latter-day Saints in Canada,</w:t>
      </w:r>
    </w:p>
    <w:p w:rsidR="00BE08C1" w:rsidRDefault="00BE08C1" w:rsidP="00BE08C1">
      <w:pPr>
        <w:pStyle w:val="SCCLsocParty"/>
        <w:jc w:val="center"/>
      </w:pPr>
      <w:r>
        <w:t>British Columbia Civil Liberties Association and Canadian Muslim Lawyers Association</w:t>
      </w:r>
    </w:p>
    <w:p w:rsidR="00BE08C1" w:rsidRDefault="00BE08C1" w:rsidP="00BE08C1">
      <w:pPr>
        <w:jc w:val="center"/>
      </w:pPr>
      <w:r>
        <w:t>Interveners</w:t>
      </w:r>
    </w:p>
    <w:p w:rsidR="00BE08C1" w:rsidRDefault="00BE08C1" w:rsidP="00BE08C1"/>
    <w:p w:rsidR="00BE08C1" w:rsidRPr="006B210C" w:rsidRDefault="00BE08C1" w:rsidP="00BE08C1"/>
    <w:p w:rsidR="00BE08C1" w:rsidRPr="006B210C" w:rsidRDefault="00BE08C1" w:rsidP="00BE08C1">
      <w:r w:rsidRPr="006B210C">
        <w:rPr>
          <w:b/>
          <w:smallCaps/>
        </w:rPr>
        <w:t>Coram</w:t>
      </w:r>
      <w:r>
        <w:rPr>
          <w:b/>
          <w:smallCaps/>
        </w:rPr>
        <w:t>:</w:t>
      </w:r>
      <w:r w:rsidRPr="006B210C">
        <w:t xml:space="preserve"> </w:t>
      </w:r>
      <w:r>
        <w:t>McLachlin C.J. and Abella, Moldaver, Karakatsanis, Wagner, Gascon, Côté, Brown and Rowe JJ.</w:t>
      </w:r>
    </w:p>
    <w:p w:rsidR="00BE08C1" w:rsidRPr="006B210C" w:rsidRDefault="00BE08C1" w:rsidP="00BE08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E08C1" w:rsidRPr="006B210C" w:rsidTr="00836B2D">
        <w:trPr>
          <w:cantSplit/>
        </w:trPr>
        <w:tc>
          <w:tcPr>
            <w:tcW w:w="3618" w:type="dxa"/>
          </w:tcPr>
          <w:p w:rsidR="00BE08C1" w:rsidRDefault="00BE08C1" w:rsidP="00836B2D">
            <w:pPr>
              <w:rPr>
                <w:b/>
                <w:smallCaps/>
              </w:rPr>
            </w:pPr>
            <w:r w:rsidRPr="006B210C">
              <w:rPr>
                <w:b/>
                <w:smallCaps/>
              </w:rPr>
              <w:t>Reasons for Judgment</w:t>
            </w:r>
            <w:r>
              <w:rPr>
                <w:b/>
                <w:smallCaps/>
              </w:rPr>
              <w:t>:</w:t>
            </w:r>
          </w:p>
          <w:p w:rsidR="00BE08C1" w:rsidRPr="006B210C" w:rsidRDefault="00BE08C1" w:rsidP="00836B2D">
            <w:r>
              <w:t>(paras. 1 to 40)</w:t>
            </w:r>
          </w:p>
        </w:tc>
        <w:tc>
          <w:tcPr>
            <w:tcW w:w="5958" w:type="dxa"/>
          </w:tcPr>
          <w:p w:rsidR="00BE08C1" w:rsidRPr="006B210C" w:rsidRDefault="00BE08C1" w:rsidP="00836B2D">
            <w:r>
              <w:t>Rowe J. (McLachlin C.J. and Abella, Moldaver, Karakatsanis, Wagner, Gascon, Côté and Brown JJ. concurring)</w:t>
            </w:r>
          </w:p>
        </w:tc>
      </w:tr>
    </w:tbl>
    <w:p w:rsidR="00BE08C1" w:rsidRDefault="00BE08C1" w:rsidP="00BE08C1"/>
    <w:p w:rsidR="00BE08C1" w:rsidRDefault="00BE08C1" w:rsidP="00BE08C1">
      <w:pPr>
        <w:rPr>
          <w:b/>
          <w:smallCaps/>
        </w:rPr>
      </w:pPr>
    </w:p>
    <w:p w:rsidR="00BE08C1" w:rsidRPr="006B210C" w:rsidRDefault="00BE08C1" w:rsidP="00BE08C1">
      <w:r>
        <w:rPr>
          <w:noProof/>
          <w:lang w:val="en-US" w:eastAsia="en-US"/>
        </w:rPr>
        <mc:AlternateContent>
          <mc:Choice Requires="wps">
            <w:drawing>
              <wp:anchor distT="0" distB="0" distL="114300" distR="114300" simplePos="0" relativeHeight="251659264" behindDoc="0" locked="0" layoutInCell="1" allowOverlap="1" wp14:anchorId="2A9983E7" wp14:editId="5E660CA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7825"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E08C1" w:rsidRDefault="00BE08C1" w:rsidP="00171C2E">
      <w:pPr>
        <w:widowControl w:val="0"/>
        <w:spacing w:after="720"/>
        <w:jc w:val="both"/>
        <w:rPr>
          <w:rStyle w:val="SCCAppellantForRunningHeadChar"/>
          <w:smallCaps w:val="0"/>
        </w:rPr>
      </w:pPr>
    </w:p>
    <w:p w:rsidR="008322BD" w:rsidRPr="00C06077" w:rsidRDefault="00C06077" w:rsidP="00171C2E">
      <w:pPr>
        <w:widowControl w:val="0"/>
        <w:spacing w:after="720"/>
        <w:jc w:val="both"/>
        <w:rPr>
          <w:smallCaps/>
        </w:rPr>
      </w:pPr>
      <w:r>
        <w:rPr>
          <w:rStyle w:val="SCCAppellantForRunningHeadChar"/>
          <w:smallCaps w:val="0"/>
        </w:rPr>
        <w:t>H</w:t>
      </w:r>
      <w:r w:rsidR="00397A25" w:rsidRPr="00C06077">
        <w:rPr>
          <w:rStyle w:val="SCCAppellantForRunningHeadChar"/>
          <w:smallCaps w:val="0"/>
        </w:rPr>
        <w:t xml:space="preserve">ighwood </w:t>
      </w:r>
      <w:r>
        <w:rPr>
          <w:rStyle w:val="SCCAppellantForRunningHeadChar"/>
          <w:smallCaps w:val="0"/>
        </w:rPr>
        <w:t>C</w:t>
      </w:r>
      <w:r w:rsidR="00397A25" w:rsidRPr="00C06077">
        <w:rPr>
          <w:rStyle w:val="SCCAppellantForRunningHeadChar"/>
          <w:smallCaps w:val="0"/>
        </w:rPr>
        <w:t>ongregation</w:t>
      </w:r>
      <w:r w:rsidRPr="00C06077">
        <w:rPr>
          <w:rStyle w:val="SCCAppellantForRunningHeadChar"/>
          <w:smallCaps w:val="0"/>
        </w:rPr>
        <w:t xml:space="preserve"> of Jehova</w:t>
      </w:r>
      <w:r>
        <w:rPr>
          <w:rStyle w:val="SCCAppellantForRunningHeadChar"/>
          <w:smallCaps w:val="0"/>
        </w:rPr>
        <w:t>h</w:t>
      </w:r>
      <w:r w:rsidRPr="00C06077">
        <w:rPr>
          <w:rStyle w:val="SCCAppellantForRunningHeadChar"/>
          <w:smallCaps w:val="0"/>
        </w:rPr>
        <w:t>’</w:t>
      </w:r>
      <w:r>
        <w:rPr>
          <w:rStyle w:val="SCCAppellantForRunningHeadChar"/>
          <w:smallCaps w:val="0"/>
        </w:rPr>
        <w:t>s Witnesses (Judicial Co</w:t>
      </w:r>
      <w:r w:rsidRPr="00C06077">
        <w:rPr>
          <w:rStyle w:val="SCCAppellantForRunningHeadChar"/>
          <w:smallCaps w:val="0"/>
        </w:rPr>
        <w:t>mmittee</w:t>
      </w:r>
      <w:r>
        <w:rPr>
          <w:rStyle w:val="SCCAppellantForRunningHeadChar"/>
          <w:smallCaps w:val="0"/>
        </w:rPr>
        <w:t>)</w:t>
      </w:r>
      <w:r w:rsidR="00397A25" w:rsidRPr="00C06077">
        <w:rPr>
          <w:rStyle w:val="SCCAppellantForRunningHeadChar"/>
          <w:smallCaps w:val="0"/>
        </w:rPr>
        <w:t xml:space="preserve"> </w:t>
      </w:r>
      <w:r w:rsidR="009B57B3" w:rsidRPr="00C06077">
        <w:rPr>
          <w:i/>
        </w:rPr>
        <w:t>v.</w:t>
      </w:r>
      <w:r w:rsidR="00B000D8" w:rsidRPr="00C06077">
        <w:rPr>
          <w:smallCaps/>
        </w:rPr>
        <w:t xml:space="preserve"> </w:t>
      </w:r>
      <w:r>
        <w:rPr>
          <w:rStyle w:val="SCCRespondentForRunningHeadChar"/>
          <w:smallCaps w:val="0"/>
        </w:rPr>
        <w:t>W</w:t>
      </w:r>
      <w:r w:rsidR="008F78E9" w:rsidRPr="00C06077">
        <w:rPr>
          <w:rStyle w:val="SCCRespondentForRunningHeadChar"/>
          <w:smallCaps w:val="0"/>
        </w:rPr>
        <w:t>all</w:t>
      </w:r>
      <w:r>
        <w:rPr>
          <w:rStyle w:val="SCCRespondentForRunningHeadChar"/>
          <w:smallCaps w:val="0"/>
        </w:rPr>
        <w:t>, 2018 SCC 26, [2018] 1 S.C.R. 750</w:t>
      </w:r>
    </w:p>
    <w:p w:rsidR="0030539E" w:rsidRPr="00E730E1" w:rsidRDefault="00FA77AC" w:rsidP="00171C2E">
      <w:pPr>
        <w:pStyle w:val="SCCLsocLastPartyInRole"/>
        <w:widowControl w:val="0"/>
        <w:spacing w:after="0"/>
      </w:pPr>
      <w:r w:rsidRPr="00E730E1">
        <w:t xml:space="preserve">Judicial Committee </w:t>
      </w:r>
      <w:r w:rsidR="0030539E" w:rsidRPr="00E730E1">
        <w:t>of the Highwood Congregation of</w:t>
      </w:r>
    </w:p>
    <w:p w:rsidR="0030539E" w:rsidRPr="00E730E1" w:rsidRDefault="00FA77AC" w:rsidP="00171C2E">
      <w:pPr>
        <w:pStyle w:val="SCCLsocLastPartyInRole"/>
        <w:widowControl w:val="0"/>
        <w:spacing w:after="0"/>
      </w:pPr>
      <w:r w:rsidRPr="00E730E1">
        <w:t>Jehovah</w:t>
      </w:r>
      <w:r w:rsidR="00AB47A0" w:rsidRPr="00E730E1">
        <w:t>’</w:t>
      </w:r>
      <w:r w:rsidRPr="00E730E1">
        <w:t xml:space="preserve">s Witnesses </w:t>
      </w:r>
      <w:r w:rsidR="00A1085C" w:rsidRPr="00E730E1">
        <w:t>(Vaughn Lee —</w:t>
      </w:r>
      <w:r w:rsidR="0030539E" w:rsidRPr="00E730E1">
        <w:t xml:space="preserve"> Chairman and</w:t>
      </w:r>
    </w:p>
    <w:p w:rsidR="0030539E" w:rsidRPr="00E730E1" w:rsidRDefault="00FA77AC" w:rsidP="00171C2E">
      <w:pPr>
        <w:pStyle w:val="SCCLsocLastPartyInRole"/>
        <w:widowControl w:val="0"/>
        <w:spacing w:after="0"/>
      </w:pPr>
      <w:r w:rsidRPr="00E730E1">
        <w:t>Elders James Scott Lang and Joe Gurney) and</w:t>
      </w:r>
    </w:p>
    <w:p w:rsidR="009B7499" w:rsidRPr="00E730E1" w:rsidRDefault="0030539E" w:rsidP="00171C2E">
      <w:pPr>
        <w:pStyle w:val="SCCLsocLastPartyInRole"/>
        <w:widowControl w:val="0"/>
      </w:pPr>
      <w:r w:rsidRPr="00E730E1">
        <w:t xml:space="preserve">Highwood </w:t>
      </w:r>
      <w:r w:rsidR="00FA77AC" w:rsidRPr="00E730E1">
        <w:t>Congregation of Jehovah</w:t>
      </w:r>
      <w:r w:rsidR="00AB47A0" w:rsidRPr="00E730E1">
        <w:t>’</w:t>
      </w:r>
      <w:r w:rsidR="00FA77AC" w:rsidRPr="00E730E1">
        <w:t>s Witnesses</w:t>
      </w:r>
      <w:r w:rsidR="00FA77AC" w:rsidRPr="00E730E1">
        <w:rPr>
          <w:rStyle w:val="SCCLsocPartyRole"/>
        </w:rPr>
        <w:tab/>
        <w:t>Appellant</w:t>
      </w:r>
      <w:r w:rsidR="0049331D" w:rsidRPr="00E730E1">
        <w:rPr>
          <w:rStyle w:val="SCCLsocPartyRole"/>
        </w:rPr>
        <w:t>s</w:t>
      </w:r>
    </w:p>
    <w:p w:rsidR="009B7499" w:rsidRPr="00E730E1" w:rsidRDefault="00FA77AC" w:rsidP="00171C2E">
      <w:pPr>
        <w:pStyle w:val="SCCLsocVersus"/>
        <w:widowControl w:val="0"/>
      </w:pPr>
      <w:proofErr w:type="gramStart"/>
      <w:r w:rsidRPr="00E730E1">
        <w:t>v</w:t>
      </w:r>
      <w:proofErr w:type="gramEnd"/>
      <w:r w:rsidRPr="00E730E1">
        <w:t>.</w:t>
      </w:r>
    </w:p>
    <w:p w:rsidR="009B7499" w:rsidRPr="00E730E1" w:rsidRDefault="00FA77AC" w:rsidP="00171C2E">
      <w:pPr>
        <w:pStyle w:val="SCCLsocLastPartyInRole"/>
        <w:widowControl w:val="0"/>
      </w:pPr>
      <w:r w:rsidRPr="00E730E1">
        <w:t>Randy Wall</w:t>
      </w:r>
      <w:r w:rsidRPr="00E730E1">
        <w:rPr>
          <w:rStyle w:val="SCCLsocPartyRole"/>
        </w:rPr>
        <w:tab/>
        <w:t>Respondent</w:t>
      </w:r>
    </w:p>
    <w:p w:rsidR="009B7499" w:rsidRPr="00E730E1" w:rsidRDefault="00FA77AC" w:rsidP="00171C2E">
      <w:pPr>
        <w:pStyle w:val="SCCLsocOtherPartySeparator"/>
        <w:widowControl w:val="0"/>
      </w:pPr>
      <w:proofErr w:type="gramStart"/>
      <w:r w:rsidRPr="00E730E1">
        <w:t>and</w:t>
      </w:r>
      <w:proofErr w:type="gramEnd"/>
    </w:p>
    <w:p w:rsidR="009B7499" w:rsidRPr="00E730E1" w:rsidRDefault="00FA77AC" w:rsidP="00171C2E">
      <w:pPr>
        <w:pStyle w:val="SCCLsocParty"/>
        <w:widowControl w:val="0"/>
      </w:pPr>
      <w:r w:rsidRPr="00E730E1">
        <w:t>Canadian Council of Christian Charities,</w:t>
      </w:r>
    </w:p>
    <w:p w:rsidR="009B7499" w:rsidRPr="00E730E1" w:rsidRDefault="00FA77AC" w:rsidP="00171C2E">
      <w:pPr>
        <w:pStyle w:val="SCCLsocParty"/>
        <w:widowControl w:val="0"/>
      </w:pPr>
      <w:r w:rsidRPr="00E730E1">
        <w:t>Association for Reformed Political Action</w:t>
      </w:r>
      <w:r w:rsidR="00247946" w:rsidRPr="00E730E1">
        <w:t xml:space="preserve"> </w:t>
      </w:r>
      <w:r w:rsidRPr="00E730E1">
        <w:t>Canada,</w:t>
      </w:r>
    </w:p>
    <w:p w:rsidR="009B7499" w:rsidRPr="00E730E1" w:rsidRDefault="00FA77AC" w:rsidP="00171C2E">
      <w:pPr>
        <w:pStyle w:val="SCCLsocParty"/>
        <w:widowControl w:val="0"/>
      </w:pPr>
      <w:r w:rsidRPr="00E730E1">
        <w:t>Canadian Constitution Foundation,</w:t>
      </w:r>
    </w:p>
    <w:p w:rsidR="009B7499" w:rsidRPr="00E730E1" w:rsidRDefault="00FA77AC" w:rsidP="00171C2E">
      <w:pPr>
        <w:pStyle w:val="SCCLsocParty"/>
        <w:widowControl w:val="0"/>
      </w:pPr>
      <w:r w:rsidRPr="00E730E1">
        <w:t>Evangelical Fellowship of Canada,</w:t>
      </w:r>
    </w:p>
    <w:p w:rsidR="009B7499" w:rsidRPr="00E730E1" w:rsidRDefault="00FA77AC" w:rsidP="00171C2E">
      <w:pPr>
        <w:pStyle w:val="SCCLsocParty"/>
        <w:widowControl w:val="0"/>
      </w:pPr>
      <w:r w:rsidRPr="00E730E1">
        <w:t>Catholic Civil Rights League,</w:t>
      </w:r>
    </w:p>
    <w:p w:rsidR="009B7499" w:rsidRPr="00E730E1" w:rsidRDefault="00FA77AC" w:rsidP="00171C2E">
      <w:pPr>
        <w:pStyle w:val="SCCLsocParty"/>
        <w:widowControl w:val="0"/>
      </w:pPr>
      <w:r w:rsidRPr="00E730E1">
        <w:t>Christian Legal Fellowship,</w:t>
      </w:r>
    </w:p>
    <w:p w:rsidR="009B7499" w:rsidRPr="00E730E1" w:rsidRDefault="00FA77AC" w:rsidP="00171C2E">
      <w:pPr>
        <w:pStyle w:val="SCCLsocParty"/>
        <w:widowControl w:val="0"/>
      </w:pPr>
      <w:r w:rsidRPr="00E730E1">
        <w:t>World Sikh Organization of Canada,</w:t>
      </w:r>
    </w:p>
    <w:p w:rsidR="009B7499" w:rsidRPr="00E730E1" w:rsidRDefault="00FA77AC" w:rsidP="00171C2E">
      <w:pPr>
        <w:pStyle w:val="SCCLsocParty"/>
        <w:widowControl w:val="0"/>
      </w:pPr>
      <w:r w:rsidRPr="00E730E1">
        <w:t>Seventh</w:t>
      </w:r>
      <w:r w:rsidR="00940264" w:rsidRPr="00E730E1">
        <w:noBreakHyphen/>
      </w:r>
      <w:r w:rsidR="00247946" w:rsidRPr="00E730E1">
        <w:t>d</w:t>
      </w:r>
      <w:r w:rsidRPr="00E730E1">
        <w:t>ay Adventist Church in Canada,</w:t>
      </w:r>
    </w:p>
    <w:p w:rsidR="009B7499" w:rsidRPr="00E730E1" w:rsidRDefault="00FA77AC" w:rsidP="00171C2E">
      <w:pPr>
        <w:pStyle w:val="SCCLsocParty"/>
        <w:widowControl w:val="0"/>
      </w:pPr>
      <w:r w:rsidRPr="00E730E1">
        <w:t>Justice Centre for Constitutional Freedoms,</w:t>
      </w:r>
    </w:p>
    <w:p w:rsidR="009B7499" w:rsidRPr="00E730E1" w:rsidRDefault="00FA77AC" w:rsidP="00171C2E">
      <w:pPr>
        <w:pStyle w:val="SCCLsocParty"/>
        <w:widowControl w:val="0"/>
      </w:pPr>
      <w:r w:rsidRPr="00E730E1">
        <w:t xml:space="preserve">Church of Jesus Christ of </w:t>
      </w:r>
      <w:r w:rsidR="009C69A4" w:rsidRPr="00E730E1">
        <w:t>Latter</w:t>
      </w:r>
      <w:r w:rsidR="00940264" w:rsidRPr="00E730E1">
        <w:noBreakHyphen/>
      </w:r>
      <w:r w:rsidR="009C69A4" w:rsidRPr="00E730E1">
        <w:t>d</w:t>
      </w:r>
      <w:r w:rsidRPr="00E730E1">
        <w:t>ay Saints in Canada,</w:t>
      </w:r>
    </w:p>
    <w:p w:rsidR="009B7499" w:rsidRPr="00E730E1" w:rsidRDefault="00FA77AC" w:rsidP="00171C2E">
      <w:pPr>
        <w:pStyle w:val="SCCLsocParty"/>
        <w:widowControl w:val="0"/>
      </w:pPr>
      <w:r w:rsidRPr="00E730E1">
        <w:t>British Columbia Civil Liberties</w:t>
      </w:r>
      <w:r w:rsidR="004C1EFE" w:rsidRPr="00E730E1">
        <w:t xml:space="preserve"> Association and</w:t>
      </w:r>
    </w:p>
    <w:p w:rsidR="009B7499" w:rsidRPr="00E730E1" w:rsidRDefault="00FA77AC" w:rsidP="00171C2E">
      <w:pPr>
        <w:pStyle w:val="SCCLsocLastPartyInRole"/>
        <w:widowControl w:val="0"/>
      </w:pPr>
      <w:r w:rsidRPr="00E730E1">
        <w:t>Canadian Muslim Lawyers Association</w:t>
      </w:r>
      <w:r w:rsidRPr="00E730E1">
        <w:rPr>
          <w:rStyle w:val="SCCLsocPartyRole"/>
        </w:rPr>
        <w:tab/>
        <w:t>Interveners</w:t>
      </w:r>
    </w:p>
    <w:p w:rsidR="00A1085C" w:rsidRPr="00E730E1" w:rsidRDefault="00426659" w:rsidP="00171C2E">
      <w:pPr>
        <w:widowControl w:val="0"/>
        <w:spacing w:after="720"/>
        <w:jc w:val="both"/>
        <w:rPr>
          <w:b/>
          <w:lang w:val="en-US"/>
        </w:rPr>
      </w:pPr>
      <w:r w:rsidRPr="00E730E1">
        <w:rPr>
          <w:b/>
        </w:rPr>
        <w:t xml:space="preserve">Indexed as: </w:t>
      </w:r>
      <w:r w:rsidR="00A1085C" w:rsidRPr="00E730E1">
        <w:rPr>
          <w:b/>
          <w:lang w:val="en-US"/>
        </w:rPr>
        <w:t xml:space="preserve">Highwood Congregation of Jehovah’s Witnesses (Judicial Committee) </w:t>
      </w:r>
      <w:r w:rsidR="00615FFA" w:rsidRPr="00E730E1">
        <w:rPr>
          <w:b/>
          <w:i/>
          <w:lang w:val="en-US"/>
        </w:rPr>
        <w:t>v</w:t>
      </w:r>
      <w:r w:rsidR="00A1085C" w:rsidRPr="00E730E1">
        <w:rPr>
          <w:b/>
          <w:i/>
          <w:lang w:val="en-US"/>
        </w:rPr>
        <w:t>.</w:t>
      </w:r>
      <w:r w:rsidR="00A1085C" w:rsidRPr="00E730E1">
        <w:rPr>
          <w:b/>
          <w:lang w:val="en-US"/>
        </w:rPr>
        <w:t xml:space="preserve"> </w:t>
      </w:r>
      <w:r w:rsidR="00A1085C" w:rsidRPr="00E730E1">
        <w:rPr>
          <w:rStyle w:val="SCCRespondentForIndexChar"/>
          <w:lang w:val="en-US"/>
        </w:rPr>
        <w:t>Wall</w:t>
      </w:r>
    </w:p>
    <w:p w:rsidR="00426659" w:rsidRPr="00E730E1" w:rsidRDefault="00AE4535" w:rsidP="00171C2E">
      <w:pPr>
        <w:pStyle w:val="SCCSystemYear"/>
        <w:widowControl w:val="0"/>
        <w:spacing w:after="720"/>
        <w:jc w:val="both"/>
      </w:pPr>
      <w:r w:rsidRPr="00E730E1">
        <w:lastRenderedPageBreak/>
        <w:t>201</w:t>
      </w:r>
      <w:r w:rsidR="000B1C59" w:rsidRPr="00E730E1">
        <w:t>8</w:t>
      </w:r>
      <w:r w:rsidR="003D0399" w:rsidRPr="00E730E1">
        <w:t xml:space="preserve"> </w:t>
      </w:r>
      <w:r w:rsidR="00426659" w:rsidRPr="00E730E1">
        <w:t>SCC </w:t>
      </w:r>
      <w:r w:rsidR="000A5DE2" w:rsidRPr="00E730E1">
        <w:t>26</w:t>
      </w:r>
    </w:p>
    <w:p w:rsidR="008322BD" w:rsidRPr="00E730E1" w:rsidRDefault="009B57B3" w:rsidP="00171C2E">
      <w:pPr>
        <w:widowControl w:val="0"/>
        <w:spacing w:after="720"/>
        <w:jc w:val="both"/>
      </w:pPr>
      <w:r w:rsidRPr="00E730E1">
        <w:t>File No.:</w:t>
      </w:r>
      <w:r w:rsidR="00940264" w:rsidRPr="00E730E1">
        <w:t xml:space="preserve"> </w:t>
      </w:r>
      <w:r w:rsidRPr="00E730E1">
        <w:t>37273.</w:t>
      </w:r>
    </w:p>
    <w:p w:rsidR="008322BD" w:rsidRPr="00E730E1" w:rsidRDefault="00AB6588" w:rsidP="00171C2E">
      <w:pPr>
        <w:widowControl w:val="0"/>
        <w:spacing w:after="720"/>
        <w:jc w:val="both"/>
      </w:pPr>
      <w:r w:rsidRPr="00E730E1">
        <w:t>2017: November </w:t>
      </w:r>
      <w:r w:rsidR="00AE4535" w:rsidRPr="00E730E1">
        <w:t>2</w:t>
      </w:r>
      <w:r w:rsidR="009B57B3" w:rsidRPr="00E730E1">
        <w:t xml:space="preserve">; </w:t>
      </w:r>
      <w:r w:rsidR="003A397F" w:rsidRPr="00E730E1">
        <w:t>2018:</w:t>
      </w:r>
      <w:r w:rsidR="00C02F48" w:rsidRPr="00E730E1">
        <w:t> </w:t>
      </w:r>
      <w:r w:rsidR="00A01614" w:rsidRPr="00E730E1">
        <w:t>May </w:t>
      </w:r>
      <w:r w:rsidR="00B55337" w:rsidRPr="00E730E1">
        <w:t>31</w:t>
      </w:r>
      <w:r w:rsidR="009B57B3" w:rsidRPr="00E730E1">
        <w:t>.</w:t>
      </w:r>
    </w:p>
    <w:p w:rsidR="008322BD" w:rsidRPr="00E730E1" w:rsidRDefault="00AB6588" w:rsidP="00171C2E">
      <w:pPr>
        <w:widowControl w:val="0"/>
        <w:spacing w:after="720"/>
        <w:jc w:val="both"/>
      </w:pPr>
      <w:r w:rsidRPr="00E730E1">
        <w:t xml:space="preserve">Present: </w:t>
      </w:r>
      <w:r w:rsidR="009B57B3" w:rsidRPr="00E730E1">
        <w:t>McLachlin C.J. and Abella, Moldaver, Karakatsanis, Wagner, Gascon, Côté, Brown and Rowe JJ.</w:t>
      </w:r>
    </w:p>
    <w:p w:rsidR="008322BD" w:rsidRPr="00E730E1" w:rsidRDefault="00656313" w:rsidP="00171C2E">
      <w:pPr>
        <w:pStyle w:val="SCCLowerCourtNameLowercase"/>
        <w:widowControl w:val="0"/>
        <w:spacing w:after="720" w:line="240" w:lineRule="auto"/>
      </w:pPr>
      <w:r w:rsidRPr="00E730E1">
        <w:t>o</w:t>
      </w:r>
      <w:r w:rsidR="00170592" w:rsidRPr="00E730E1">
        <w:t>n</w:t>
      </w:r>
      <w:r w:rsidR="00224FC0" w:rsidRPr="00E730E1">
        <w:t xml:space="preserve"> </w:t>
      </w:r>
      <w:r w:rsidRPr="00E730E1">
        <w:t>a</w:t>
      </w:r>
      <w:r w:rsidR="00170592" w:rsidRPr="00E730E1">
        <w:t>ppeal</w:t>
      </w:r>
      <w:r w:rsidR="00224FC0" w:rsidRPr="00E730E1">
        <w:t xml:space="preserve"> </w:t>
      </w:r>
      <w:r w:rsidR="00170592" w:rsidRPr="00E730E1">
        <w:t>from</w:t>
      </w:r>
      <w:r w:rsidR="009567AA" w:rsidRPr="00E730E1">
        <w:t xml:space="preserve"> the</w:t>
      </w:r>
      <w:r w:rsidR="00224FC0" w:rsidRPr="00E730E1">
        <w:t xml:space="preserve"> </w:t>
      </w:r>
      <w:r w:rsidR="009B57B3" w:rsidRPr="00E730E1">
        <w:t xml:space="preserve">court of appeal </w:t>
      </w:r>
      <w:r w:rsidR="00E82E6A" w:rsidRPr="00E730E1">
        <w:t>for</w:t>
      </w:r>
      <w:r w:rsidR="009B57B3" w:rsidRPr="00E730E1">
        <w:t xml:space="preserve"> </w:t>
      </w:r>
      <w:proofErr w:type="spellStart"/>
      <w:r w:rsidR="009B57B3" w:rsidRPr="00E730E1">
        <w:t>alberta</w:t>
      </w:r>
      <w:proofErr w:type="spellEnd"/>
    </w:p>
    <w:p w:rsidR="006B2D7C" w:rsidRPr="00E730E1" w:rsidRDefault="00C02F48" w:rsidP="00171C2E">
      <w:pPr>
        <w:pStyle w:val="SCCNormalDoubleSpacing"/>
        <w:widowControl w:val="0"/>
        <w:spacing w:after="480"/>
        <w:rPr>
          <w:i/>
        </w:rPr>
      </w:pPr>
      <w:r w:rsidRPr="00E730E1">
        <w:rPr>
          <w:i/>
          <w:lang w:val="en-US"/>
        </w:rPr>
        <w:tab/>
      </w:r>
      <w:r w:rsidR="006B2D7C" w:rsidRPr="00E730E1">
        <w:rPr>
          <w:i/>
          <w:lang w:val="en-US"/>
        </w:rPr>
        <w:t xml:space="preserve">Courts </w:t>
      </w:r>
      <w:r w:rsidR="006B2D7C" w:rsidRPr="00E730E1">
        <w:rPr>
          <w:i/>
        </w:rPr>
        <w:t>—</w:t>
      </w:r>
      <w:r w:rsidR="006B2D7C" w:rsidRPr="00E730E1">
        <w:t xml:space="preserve"> </w:t>
      </w:r>
      <w:r w:rsidR="006B2D7C" w:rsidRPr="00E730E1">
        <w:rPr>
          <w:i/>
          <w:lang w:val="en-US"/>
        </w:rPr>
        <w:t xml:space="preserve">Jurisdiction </w:t>
      </w:r>
      <w:r w:rsidR="006B2D7C" w:rsidRPr="00E730E1">
        <w:rPr>
          <w:i/>
        </w:rPr>
        <w:t>—</w:t>
      </w:r>
      <w:r w:rsidR="006B2D7C" w:rsidRPr="00E730E1">
        <w:t xml:space="preserve"> </w:t>
      </w:r>
      <w:r w:rsidR="006B2D7C" w:rsidRPr="00E730E1">
        <w:rPr>
          <w:i/>
          <w:lang w:val="en-US"/>
        </w:rPr>
        <w:t xml:space="preserve">Judicial review </w:t>
      </w:r>
      <w:r w:rsidR="006B2D7C" w:rsidRPr="00E730E1">
        <w:rPr>
          <w:i/>
        </w:rPr>
        <w:t>—</w:t>
      </w:r>
      <w:r w:rsidR="006B2D7C" w:rsidRPr="00E730E1">
        <w:t xml:space="preserve"> </w:t>
      </w:r>
      <w:r w:rsidR="006B2D7C" w:rsidRPr="00E730E1">
        <w:rPr>
          <w:i/>
        </w:rPr>
        <w:t>Private parties —</w:t>
      </w:r>
      <w:r w:rsidR="006B2D7C" w:rsidRPr="00E730E1">
        <w:t xml:space="preserve"> </w:t>
      </w:r>
      <w:r w:rsidR="006B2D7C" w:rsidRPr="00E730E1">
        <w:rPr>
          <w:i/>
        </w:rPr>
        <w:t xml:space="preserve">Whether superior court can review decision by religious organization regarding membership — Availability of judicial review to resolve disputes between private parties — Whether right to procedural fairness arises absent underlying legal right — Whether ecclesiastical issues justiciable. </w:t>
      </w:r>
    </w:p>
    <w:p w:rsidR="006B2D7C" w:rsidRPr="00E730E1" w:rsidRDefault="00C02F48" w:rsidP="00171C2E">
      <w:pPr>
        <w:pStyle w:val="SCCNormalDoubleSpacing"/>
        <w:widowControl w:val="0"/>
        <w:spacing w:after="480"/>
      </w:pPr>
      <w:r w:rsidRPr="00E730E1">
        <w:tab/>
      </w:r>
      <w:r w:rsidR="006B2D7C" w:rsidRPr="00E730E1">
        <w:t xml:space="preserve">The Highwood Congregation of Jehovah’s Witnesses </w:t>
      </w:r>
      <w:r w:rsidR="00D75810" w:rsidRPr="00E730E1">
        <w:t>is a voluntary, religious</w:t>
      </w:r>
      <w:r w:rsidR="006B2D7C" w:rsidRPr="00E730E1">
        <w:t xml:space="preserve"> association. </w:t>
      </w:r>
      <w:r w:rsidR="00D75810" w:rsidRPr="00E730E1">
        <w:t>A member must live</w:t>
      </w:r>
      <w:r w:rsidR="006B2D7C" w:rsidRPr="00E730E1">
        <w:t xml:space="preserve"> according to accepted standards of conduct and morality. </w:t>
      </w:r>
      <w:r w:rsidR="00D75810" w:rsidRPr="00E730E1">
        <w:t>A</w:t>
      </w:r>
      <w:r w:rsidR="006B2D7C" w:rsidRPr="00E730E1">
        <w:t xml:space="preserve"> member </w:t>
      </w:r>
      <w:r w:rsidR="00D75810" w:rsidRPr="00E730E1">
        <w:t>who</w:t>
      </w:r>
      <w:r w:rsidR="006B2D7C" w:rsidRPr="00E730E1">
        <w:t xml:space="preserve"> deviates </w:t>
      </w:r>
      <w:r w:rsidR="00D75810" w:rsidRPr="00E730E1">
        <w:t xml:space="preserve">and does not repent may be asked to appear before a </w:t>
      </w:r>
      <w:r w:rsidR="006B2D7C" w:rsidRPr="00E730E1">
        <w:t>Judicial Committee of elders and may be disfellows</w:t>
      </w:r>
      <w:r w:rsidR="00D75810" w:rsidRPr="00E730E1">
        <w:t>hipped</w:t>
      </w:r>
      <w:r w:rsidR="006B2D7C" w:rsidRPr="00E730E1">
        <w:t xml:space="preserve">. In 2014, </w:t>
      </w:r>
      <w:r w:rsidR="00D75810" w:rsidRPr="00E730E1">
        <w:t xml:space="preserve">W </w:t>
      </w:r>
      <w:r w:rsidR="006B2D7C" w:rsidRPr="00E730E1">
        <w:t xml:space="preserve">was disfellowshipped after he engaged in sinful behaviour and was considered to be insufficiently repentant. The decision was confirmed by an Appeal Committee. W filed an originating application for judicial review pursuant to Rule 3.15 of the </w:t>
      </w:r>
      <w:r w:rsidR="006B2D7C" w:rsidRPr="00E730E1">
        <w:rPr>
          <w:i/>
        </w:rPr>
        <w:t xml:space="preserve">Alberta Rules of Court </w:t>
      </w:r>
      <w:r w:rsidR="006B2D7C" w:rsidRPr="00E730E1">
        <w:t xml:space="preserve">seeking an order of </w:t>
      </w:r>
      <w:r w:rsidR="006B2D7C" w:rsidRPr="00E730E1">
        <w:rPr>
          <w:i/>
        </w:rPr>
        <w:t xml:space="preserve">certiorari </w:t>
      </w:r>
      <w:r w:rsidR="006B2D7C" w:rsidRPr="00E730E1">
        <w:t xml:space="preserve">quashing the Judicial Committee’s </w:t>
      </w:r>
      <w:r w:rsidR="00D75810" w:rsidRPr="00E730E1">
        <w:t xml:space="preserve">decision on </w:t>
      </w:r>
      <w:r w:rsidR="00D75810" w:rsidRPr="00E730E1">
        <w:lastRenderedPageBreak/>
        <w:t>the basis that it</w:t>
      </w:r>
      <w:r w:rsidR="006B2D7C" w:rsidRPr="00E730E1">
        <w:t xml:space="preserve"> was procedurally unfair.</w:t>
      </w:r>
      <w:r w:rsidR="00BC6A96">
        <w:t xml:space="preserve"> </w:t>
      </w:r>
      <w:r w:rsidR="006B2D7C" w:rsidRPr="00E730E1">
        <w:t xml:space="preserve">The </w:t>
      </w:r>
      <w:r w:rsidR="00D75810" w:rsidRPr="00E730E1">
        <w:t>Court of Queen’s Bench</w:t>
      </w:r>
      <w:r w:rsidR="006B2D7C" w:rsidRPr="00E730E1">
        <w:t xml:space="preserve"> dealt with the issue of jurisdiction in a separate hearing. Both the chambers judge and a majority of the Court of Appeal concluded that the courts had jurisdiction </w:t>
      </w:r>
      <w:r w:rsidR="00D75810" w:rsidRPr="00E730E1">
        <w:t>to consider the merits of the</w:t>
      </w:r>
      <w:r w:rsidR="006B2D7C" w:rsidRPr="00E730E1">
        <w:t xml:space="preserve"> application. </w:t>
      </w:r>
    </w:p>
    <w:p w:rsidR="006B2D7C" w:rsidRPr="00E730E1" w:rsidRDefault="00C02F48" w:rsidP="00171C2E">
      <w:pPr>
        <w:pStyle w:val="SCCNormalDoubleSpacing"/>
        <w:widowControl w:val="0"/>
        <w:spacing w:after="480"/>
      </w:pPr>
      <w:r w:rsidRPr="00E730E1">
        <w:rPr>
          <w:i/>
        </w:rPr>
        <w:tab/>
      </w:r>
      <w:r w:rsidR="006B2D7C" w:rsidRPr="00E730E1">
        <w:rPr>
          <w:i/>
        </w:rPr>
        <w:t>Held</w:t>
      </w:r>
      <w:r w:rsidR="006B2D7C" w:rsidRPr="00E730E1">
        <w:t>: The appeal should be allowed and the originating application for judicial review should be quashed.</w:t>
      </w:r>
    </w:p>
    <w:p w:rsidR="006B2D7C" w:rsidRPr="00E730E1" w:rsidRDefault="00C02F48" w:rsidP="00171C2E">
      <w:pPr>
        <w:pStyle w:val="SCCNormalDoubleSpacing"/>
        <w:widowControl w:val="0"/>
        <w:spacing w:after="480"/>
      </w:pPr>
      <w:r w:rsidRPr="00E730E1">
        <w:tab/>
      </w:r>
      <w:r w:rsidR="006B2D7C" w:rsidRPr="00E730E1">
        <w:t>Review of the decisions of voluntary associatio</w:t>
      </w:r>
      <w:r w:rsidR="00D75810" w:rsidRPr="00E730E1">
        <w:t>ns, including religious groups,</w:t>
      </w:r>
      <w:r w:rsidR="006B2D7C" w:rsidRPr="00E730E1">
        <w:t xml:space="preserve"> on th</w:t>
      </w:r>
      <w:r w:rsidR="00D75810" w:rsidRPr="00E730E1">
        <w:t xml:space="preserve">e basis of procedural fairness </w:t>
      </w:r>
      <w:r w:rsidR="006B2D7C" w:rsidRPr="00E730E1">
        <w:t>is limited</w:t>
      </w:r>
      <w:r w:rsidR="00D75810" w:rsidRPr="00E730E1">
        <w:t xml:space="preserve"> for three reasons. First, </w:t>
      </w:r>
      <w:r w:rsidR="006B2D7C" w:rsidRPr="00E730E1">
        <w:t>judicial review is limited to public decision makers, which the J</w:t>
      </w:r>
      <w:r w:rsidR="00D75810" w:rsidRPr="00E730E1">
        <w:t xml:space="preserve">udicial Committee is not. </w:t>
      </w:r>
      <w:r w:rsidR="006B2D7C" w:rsidRPr="00E730E1">
        <w:t xml:space="preserve">Not all decisions are amenable to a superior court’s supervisory jurisdiction. Judicial review is only available where there is an exercise of state authority and where that exercise is of a sufficiently public character. </w:t>
      </w:r>
      <w:r w:rsidR="00D75810" w:rsidRPr="00E730E1">
        <w:t>J</w:t>
      </w:r>
      <w:r w:rsidR="006B2D7C" w:rsidRPr="00E730E1">
        <w:t xml:space="preserve">udicial review is a public law concept that allows courts to ensure that </w:t>
      </w:r>
      <w:r w:rsidR="00D75810" w:rsidRPr="00E730E1">
        <w:t>lower</w:t>
      </w:r>
      <w:r w:rsidR="006B2D7C" w:rsidRPr="00E730E1">
        <w:t xml:space="preserve"> tribunals respect the rule of law. Private parties cannot seek ju</w:t>
      </w:r>
      <w:r w:rsidR="00D75810" w:rsidRPr="00E730E1">
        <w:t xml:space="preserve">dicial review to solve disputes </w:t>
      </w:r>
      <w:r w:rsidR="006B2D7C" w:rsidRPr="00E730E1">
        <w:t>between them</w:t>
      </w:r>
      <w:r w:rsidR="00D75810" w:rsidRPr="00E730E1">
        <w:t xml:space="preserve"> and p</w:t>
      </w:r>
      <w:r w:rsidR="006B2D7C" w:rsidRPr="00E730E1">
        <w:t xml:space="preserve">ublic law remedies such as </w:t>
      </w:r>
      <w:r w:rsidR="006B2D7C" w:rsidRPr="00E730E1">
        <w:rPr>
          <w:i/>
        </w:rPr>
        <w:t>certiorari</w:t>
      </w:r>
      <w:r w:rsidR="006B2D7C" w:rsidRPr="00E730E1">
        <w:t xml:space="preserve"> may not be granted in litigation relating to contractual or property rights between private parties</w:t>
      </w:r>
      <w:r w:rsidR="00D75810" w:rsidRPr="00E730E1">
        <w:t>.</w:t>
      </w:r>
      <w:r w:rsidR="00BC6A96">
        <w:t xml:space="preserve"> </w:t>
      </w:r>
      <w:r w:rsidR="006B2D7C" w:rsidRPr="00E730E1">
        <w:t>Simply because a decision impacts a broad segment of the public does not mean that it is public in the administrative law sense of the term</w:t>
      </w:r>
      <w:r w:rsidR="00D75810" w:rsidRPr="00E730E1">
        <w:t xml:space="preserve"> </w:t>
      </w:r>
      <w:r w:rsidR="006B2D7C" w:rsidRPr="00E730E1">
        <w:t>nor would incorp</w:t>
      </w:r>
      <w:r w:rsidR="00D75810" w:rsidRPr="00E730E1">
        <w:t>oration by a private Act operate</w:t>
      </w:r>
      <w:r w:rsidR="006B2D7C" w:rsidRPr="00E730E1">
        <w:t xml:space="preserve"> as a statutory grant of authority to churches so constituted. The present case raises no issues about the rule of law.</w:t>
      </w:r>
      <w:r w:rsidR="00BC6A96">
        <w:t xml:space="preserve"> </w:t>
      </w:r>
      <w:r w:rsidR="006B2D7C" w:rsidRPr="00E730E1">
        <w:t>The Congregation in no way is exercising state authority.</w:t>
      </w:r>
      <w:r w:rsidR="00BC6A96">
        <w:t xml:space="preserve"> </w:t>
      </w:r>
      <w:r w:rsidR="006B2D7C" w:rsidRPr="00E730E1">
        <w:t xml:space="preserve"> </w:t>
      </w:r>
    </w:p>
    <w:p w:rsidR="006B2D7C" w:rsidRPr="00E730E1" w:rsidRDefault="00D75810" w:rsidP="00171C2E">
      <w:pPr>
        <w:pStyle w:val="SCCNormalDoubleSpacing"/>
        <w:widowControl w:val="0"/>
        <w:spacing w:after="480"/>
      </w:pPr>
      <w:r w:rsidRPr="00E730E1">
        <w:tab/>
        <w:t>Second, there is no</w:t>
      </w:r>
      <w:r w:rsidR="006B2D7C" w:rsidRPr="00E730E1">
        <w:t xml:space="preserve"> free</w:t>
      </w:r>
      <w:r w:rsidR="000B7C1D" w:rsidRPr="00E730E1">
        <w:t>-</w:t>
      </w:r>
      <w:r w:rsidR="006B2D7C" w:rsidRPr="00E730E1">
        <w:t>standing right to procedural fairness</w:t>
      </w:r>
      <w:r w:rsidRPr="00E730E1">
        <w:t xml:space="preserve"> absent</w:t>
      </w:r>
      <w:r w:rsidR="006B2D7C" w:rsidRPr="00E730E1">
        <w:t xml:space="preserve"> an </w:t>
      </w:r>
      <w:r w:rsidR="006B2D7C" w:rsidRPr="00E730E1">
        <w:lastRenderedPageBreak/>
        <w:t>underlying legal right. Courts may only interfere to address procedural fairness concerns related to the decisions of religious groups or other voluntary associations if legal rights are at stake</w:t>
      </w:r>
      <w:r w:rsidRPr="00E730E1">
        <w:t xml:space="preserve"> </w:t>
      </w:r>
      <w:r w:rsidR="006B2D7C" w:rsidRPr="00E730E1">
        <w:t>and the clai</w:t>
      </w:r>
      <w:r w:rsidR="00E730E1" w:rsidRPr="00E730E1">
        <w:t>m</w:t>
      </w:r>
      <w:r w:rsidR="00E730E1">
        <w:t xml:space="preserve"> </w:t>
      </w:r>
      <w:r w:rsidR="00E730E1" w:rsidRPr="00E730E1">
        <w:t>i</w:t>
      </w:r>
      <w:r w:rsidR="006B2D7C" w:rsidRPr="00E730E1">
        <w:t>s founded on a valid cause of action, for example, contr</w:t>
      </w:r>
      <w:r w:rsidRPr="00E730E1">
        <w:t>act, tort or restitution</w:t>
      </w:r>
      <w:r w:rsidR="006B2D7C" w:rsidRPr="00E730E1">
        <w:t xml:space="preserve">. Jurisdiction cannot be established on the sole basis that there is an alleged breach of natural justice or that the complainant has exhausted the organization’s internal processes. It is not enough that a matter be of importance in some abstract sense. </w:t>
      </w:r>
      <w:r w:rsidR="006B2D7C" w:rsidRPr="00E730E1">
        <w:rPr>
          <w:lang w:val="en-US"/>
        </w:rPr>
        <w:t xml:space="preserve">W has no cause of action. No basis has been shown that W and the Congregation intended to create legal relations. </w:t>
      </w:r>
      <w:r w:rsidRPr="00E730E1">
        <w:t>No</w:t>
      </w:r>
      <w:r w:rsidR="006B2D7C" w:rsidRPr="00E730E1">
        <w:t xml:space="preserve"> contractual right exists. </w:t>
      </w:r>
      <w:r w:rsidRPr="00E730E1">
        <w:t>T</w:t>
      </w:r>
      <w:r w:rsidR="006B2D7C" w:rsidRPr="00E730E1">
        <w:t>he Congregation does not have a written constitution, by-laws or rules</w:t>
      </w:r>
      <w:r w:rsidRPr="00E730E1">
        <w:t xml:space="preserve"> to be enforced</w:t>
      </w:r>
      <w:r w:rsidR="006B2D7C" w:rsidRPr="00E730E1">
        <w:t>.</w:t>
      </w:r>
      <w:r w:rsidR="00BC6A96">
        <w:t xml:space="preserve"> </w:t>
      </w:r>
      <w:r w:rsidRPr="00E730E1">
        <w:t xml:space="preserve">The negative impact </w:t>
      </w:r>
      <w:r w:rsidR="006B2D7C" w:rsidRPr="00E730E1">
        <w:t xml:space="preserve">of the disfellowship decision </w:t>
      </w:r>
      <w:r w:rsidRPr="00E730E1">
        <w:t>on W’s client base as a realtor</w:t>
      </w:r>
      <w:r w:rsidR="006B2D7C" w:rsidRPr="00E730E1">
        <w:t xml:space="preserve"> does not give rise t</w:t>
      </w:r>
      <w:r w:rsidRPr="00E730E1">
        <w:t>o an actionable claim.</w:t>
      </w:r>
      <w:r w:rsidR="00BC6A96">
        <w:t xml:space="preserve"> </w:t>
      </w:r>
      <w:r w:rsidRPr="00E730E1">
        <w:t>T</w:t>
      </w:r>
      <w:r w:rsidR="006B2D7C" w:rsidRPr="00E730E1">
        <w:t>he matters in issue fall outside the courts’ jurisdiction.</w:t>
      </w:r>
      <w:r w:rsidR="00BC6A96">
        <w:t xml:space="preserve"> </w:t>
      </w:r>
    </w:p>
    <w:p w:rsidR="006B2D7C" w:rsidRPr="00E730E1" w:rsidRDefault="00C02F48" w:rsidP="00171C2E">
      <w:pPr>
        <w:pStyle w:val="SCCNormalDoubleSpacing"/>
        <w:widowControl w:val="0"/>
        <w:spacing w:after="480"/>
      </w:pPr>
      <w:r w:rsidRPr="00E730E1">
        <w:tab/>
      </w:r>
      <w:r w:rsidR="006B2D7C" w:rsidRPr="00E730E1">
        <w:t>Third, even where review is available, the courts will consider only those issues that are justiciable.</w:t>
      </w:r>
      <w:r w:rsidR="00D75810" w:rsidRPr="00E730E1">
        <w:rPr>
          <w:lang w:val="en-US"/>
        </w:rPr>
        <w:t xml:space="preserve"> T</w:t>
      </w:r>
      <w:r w:rsidR="006B2D7C" w:rsidRPr="00E730E1">
        <w:rPr>
          <w:lang w:val="en-US"/>
        </w:rPr>
        <w:t>he ecclesiastical issues raised by W</w:t>
      </w:r>
      <w:r w:rsidR="00D75810" w:rsidRPr="00E730E1">
        <w:rPr>
          <w:lang w:val="en-US"/>
        </w:rPr>
        <w:t xml:space="preserve"> are not justiciable. </w:t>
      </w:r>
      <w:r w:rsidR="00D75810" w:rsidRPr="00E730E1">
        <w:t>Justiciability relates to whether</w:t>
      </w:r>
      <w:r w:rsidR="006B2D7C" w:rsidRPr="00E730E1">
        <w:t xml:space="preserve"> the subject matter of a dispute is appropriate for a court to decide</w:t>
      </w:r>
      <w:r w:rsidR="00D75810" w:rsidRPr="00E730E1">
        <w:t xml:space="preserve">. </w:t>
      </w:r>
      <w:r w:rsidR="006B2D7C" w:rsidRPr="00E730E1">
        <w:t xml:space="preserve">There is no single set of rules delineating the scope of justiciability. </w:t>
      </w:r>
      <w:r w:rsidR="00D75810" w:rsidRPr="00E730E1">
        <w:t>T</w:t>
      </w:r>
      <w:r w:rsidR="006B2D7C" w:rsidRPr="00E730E1">
        <w:t>he court should ask whether it has the institutional capacity and legitimacy to adjudicate the matter</w:t>
      </w:r>
      <w:r w:rsidR="00D75810" w:rsidRPr="00E730E1">
        <w:t>. E</w:t>
      </w:r>
      <w:r w:rsidR="006B2D7C" w:rsidRPr="00E730E1">
        <w:t xml:space="preserve">ven the procedural rules of a particular religious group may involve the interpretation of religious doctrine, such as in this </w:t>
      </w:r>
      <w:r w:rsidR="00D75810" w:rsidRPr="00E730E1">
        <w:t>case</w:t>
      </w:r>
      <w:r w:rsidR="006B2D7C" w:rsidRPr="00E730E1">
        <w:t>. The courts have neither legitimacy nor instituti</w:t>
      </w:r>
      <w:r w:rsidR="00D75810" w:rsidRPr="00E730E1">
        <w:t xml:space="preserve">onal capacity to deal with </w:t>
      </w:r>
      <w:r w:rsidR="006B2D7C" w:rsidRPr="00E730E1">
        <w:t xml:space="preserve">contentious matters of religious doctrine. </w:t>
      </w:r>
    </w:p>
    <w:p w:rsidR="0094722A" w:rsidRPr="00E730E1" w:rsidRDefault="0094722A" w:rsidP="00171C2E">
      <w:pPr>
        <w:pStyle w:val="SCCNormalDoubleSpacing"/>
        <w:widowControl w:val="0"/>
        <w:spacing w:after="480"/>
        <w:rPr>
          <w:b/>
        </w:rPr>
      </w:pPr>
      <w:r w:rsidRPr="00E730E1">
        <w:rPr>
          <w:b/>
        </w:rPr>
        <w:t>Cases Cited</w:t>
      </w:r>
    </w:p>
    <w:p w:rsidR="0094722A" w:rsidRPr="00E730E1" w:rsidRDefault="0094722A" w:rsidP="00171C2E">
      <w:pPr>
        <w:pStyle w:val="SCCNormalDoubleSpacing"/>
        <w:widowControl w:val="0"/>
        <w:spacing w:after="480"/>
      </w:pPr>
      <w:r w:rsidRPr="00E730E1">
        <w:lastRenderedPageBreak/>
        <w:tab/>
      </w:r>
      <w:r w:rsidRPr="00E730E1">
        <w:rPr>
          <w:b/>
        </w:rPr>
        <w:t>Distinguished:</w:t>
      </w:r>
      <w:r w:rsidRPr="00E730E1">
        <w:t xml:space="preserve"> </w:t>
      </w:r>
      <w:r w:rsidRPr="00E730E1">
        <w:rPr>
          <w:i/>
        </w:rPr>
        <w:t xml:space="preserve">McCaw v. United Church of Canada </w:t>
      </w:r>
      <w:r w:rsidRPr="00E730E1">
        <w:t xml:space="preserve">(1991), 4 O.R. (3d) 481; </w:t>
      </w:r>
      <w:r w:rsidRPr="00E730E1">
        <w:rPr>
          <w:i/>
        </w:rPr>
        <w:t>Pederson v. Fulton</w:t>
      </w:r>
      <w:r w:rsidRPr="00E730E1">
        <w:t>,</w:t>
      </w:r>
      <w:r w:rsidRPr="00E730E1">
        <w:rPr>
          <w:i/>
        </w:rPr>
        <w:t xml:space="preserve"> </w:t>
      </w:r>
      <w:r w:rsidRPr="00E730E1">
        <w:t xml:space="preserve">1994 CanLII 7483; </w:t>
      </w:r>
      <w:r w:rsidRPr="00E730E1">
        <w:rPr>
          <w:i/>
        </w:rPr>
        <w:t>Lutz v. Faith Lutheran Church of Kelowna</w:t>
      </w:r>
      <w:r w:rsidRPr="00E730E1">
        <w:t xml:space="preserve">, 2009 BCSC 59; </w:t>
      </w:r>
      <w:r w:rsidRPr="00E730E1">
        <w:rPr>
          <w:i/>
        </w:rPr>
        <w:t>Hart v. Roman Catholic Episcopal Corp. of the Diocese of Kingston</w:t>
      </w:r>
      <w:r w:rsidRPr="00E730E1">
        <w:t xml:space="preserve">, 2011 ONCA 728, 285 O.A.C. 354; </w:t>
      </w:r>
      <w:proofErr w:type="spellStart"/>
      <w:r w:rsidRPr="00E730E1">
        <w:rPr>
          <w:i/>
        </w:rPr>
        <w:t>Shergill</w:t>
      </w:r>
      <w:proofErr w:type="spellEnd"/>
      <w:r w:rsidRPr="00E730E1">
        <w:rPr>
          <w:i/>
        </w:rPr>
        <w:t xml:space="preserve"> v. </w:t>
      </w:r>
      <w:proofErr w:type="spellStart"/>
      <w:r w:rsidRPr="00E730E1">
        <w:rPr>
          <w:i/>
        </w:rPr>
        <w:t>Khaira</w:t>
      </w:r>
      <w:proofErr w:type="spellEnd"/>
      <w:r w:rsidRPr="00E730E1">
        <w:t xml:space="preserve">, [2014] UKSC 33, [2015] A.C. 359; </w:t>
      </w:r>
      <w:r w:rsidRPr="00E730E1">
        <w:rPr>
          <w:i/>
        </w:rPr>
        <w:t>Lee v. Showmen’s Guild of Great Britain</w:t>
      </w:r>
      <w:r w:rsidRPr="00E730E1">
        <w:t xml:space="preserve">, [1952] 1 All E.R. 1175; </w:t>
      </w:r>
      <w:r w:rsidRPr="00E730E1">
        <w:rPr>
          <w:i/>
        </w:rPr>
        <w:t xml:space="preserve">Lakeside Colony of </w:t>
      </w:r>
      <w:proofErr w:type="spellStart"/>
      <w:r w:rsidRPr="00E730E1">
        <w:rPr>
          <w:i/>
        </w:rPr>
        <w:t>Hutterian</w:t>
      </w:r>
      <w:proofErr w:type="spellEnd"/>
      <w:r w:rsidRPr="00E730E1">
        <w:rPr>
          <w:i/>
        </w:rPr>
        <w:t xml:space="preserve"> Brethren v. Hofer</w:t>
      </w:r>
      <w:r w:rsidRPr="00E730E1">
        <w:t>,</w:t>
      </w:r>
      <w:r w:rsidRPr="00E730E1">
        <w:rPr>
          <w:i/>
        </w:rPr>
        <w:t xml:space="preserve"> </w:t>
      </w:r>
      <w:r w:rsidRPr="00E730E1">
        <w:t xml:space="preserve">[1992] 3 S.C.R. 165; </w:t>
      </w:r>
      <w:r w:rsidRPr="00E730E1">
        <w:rPr>
          <w:i/>
        </w:rPr>
        <w:t>Hofer v. Hofer</w:t>
      </w:r>
      <w:r w:rsidRPr="00E730E1">
        <w:t>,</w:t>
      </w:r>
      <w:r w:rsidRPr="00E730E1">
        <w:rPr>
          <w:i/>
        </w:rPr>
        <w:t xml:space="preserve"> </w:t>
      </w:r>
      <w:r w:rsidRPr="00E730E1">
        <w:t xml:space="preserve">[1970] S.C.R. 958; </w:t>
      </w:r>
      <w:proofErr w:type="spellStart"/>
      <w:r w:rsidRPr="00E730E1">
        <w:rPr>
          <w:i/>
        </w:rPr>
        <w:t>Senez</w:t>
      </w:r>
      <w:proofErr w:type="spellEnd"/>
      <w:r w:rsidRPr="00E730E1">
        <w:rPr>
          <w:i/>
        </w:rPr>
        <w:t xml:space="preserve"> v. Montreal Real Estate Board</w:t>
      </w:r>
      <w:r w:rsidRPr="00E730E1">
        <w:t>,</w:t>
      </w:r>
      <w:r w:rsidRPr="00E730E1">
        <w:rPr>
          <w:i/>
        </w:rPr>
        <w:t xml:space="preserve"> </w:t>
      </w:r>
      <w:r w:rsidRPr="00E730E1">
        <w:t xml:space="preserve">[1980] 2 S.C.R. 555; </w:t>
      </w:r>
      <w:r w:rsidRPr="00E730E1">
        <w:rPr>
          <w:b/>
        </w:rPr>
        <w:t>disapproved:</w:t>
      </w:r>
      <w:r w:rsidRPr="00E730E1">
        <w:t xml:space="preserve"> </w:t>
      </w:r>
      <w:proofErr w:type="spellStart"/>
      <w:r w:rsidRPr="00E730E1">
        <w:rPr>
          <w:i/>
        </w:rPr>
        <w:t>Lindenburger</w:t>
      </w:r>
      <w:proofErr w:type="spellEnd"/>
      <w:r w:rsidRPr="00E730E1">
        <w:rPr>
          <w:i/>
        </w:rPr>
        <w:t xml:space="preserve"> v. United Church of Canada</w:t>
      </w:r>
      <w:r w:rsidRPr="00E730E1">
        <w:t xml:space="preserve"> (1985), 10 O.A.C. 191; </w:t>
      </w:r>
      <w:r w:rsidRPr="00E730E1">
        <w:rPr>
          <w:i/>
        </w:rPr>
        <w:t>Davis v. United Church of Canada</w:t>
      </w:r>
      <w:r w:rsidRPr="00E730E1">
        <w:t xml:space="preserve"> (1992), 8 O.R. (3d) 75; </w:t>
      </w:r>
      <w:r w:rsidRPr="00E730E1">
        <w:rPr>
          <w:i/>
        </w:rPr>
        <w:t>Graff v. New Democratic Party</w:t>
      </w:r>
      <w:r w:rsidRPr="00E730E1">
        <w:t xml:space="preserve">, 2017 ONSC 3578; </w:t>
      </w:r>
      <w:r w:rsidRPr="00E730E1">
        <w:rPr>
          <w:i/>
        </w:rPr>
        <w:t>Erin Mills Soccer Club v. Ontario Soccer Assn.</w:t>
      </w:r>
      <w:r w:rsidRPr="00E730E1">
        <w:t xml:space="preserve">, 2016 ONSC 7718, 15 Admin. L.R. (6th) 138; </w:t>
      </w:r>
      <w:r w:rsidRPr="00E730E1">
        <w:rPr>
          <w:i/>
        </w:rPr>
        <w:t>West Toronto United Football Club v. Ontario Soccer Association</w:t>
      </w:r>
      <w:r w:rsidRPr="00E730E1">
        <w:t xml:space="preserve">, 2014 ONSC 5881, 327 O.A.C. 29; </w:t>
      </w:r>
      <w:r w:rsidRPr="00E730E1">
        <w:rPr>
          <w:b/>
        </w:rPr>
        <w:t>considered:</w:t>
      </w:r>
      <w:r w:rsidR="00BC6A96">
        <w:t xml:space="preserve"> </w:t>
      </w:r>
      <w:r w:rsidRPr="00E730E1">
        <w:rPr>
          <w:i/>
        </w:rPr>
        <w:t>Air Canada v. Toronto Port Authority</w:t>
      </w:r>
      <w:r w:rsidRPr="00E730E1">
        <w:t>, 2011 FCA 347, [2013] 3 F.C.R. 605;</w:t>
      </w:r>
      <w:r w:rsidRPr="00E730E1">
        <w:rPr>
          <w:i/>
        </w:rPr>
        <w:t xml:space="preserve"> </w:t>
      </w:r>
      <w:proofErr w:type="spellStart"/>
      <w:r w:rsidRPr="00E730E1">
        <w:rPr>
          <w:i/>
        </w:rPr>
        <w:t>Setia</w:t>
      </w:r>
      <w:proofErr w:type="spellEnd"/>
      <w:r w:rsidRPr="00E730E1">
        <w:rPr>
          <w:i/>
        </w:rPr>
        <w:t xml:space="preserve"> v. Appleby College</w:t>
      </w:r>
      <w:r w:rsidRPr="00E730E1">
        <w:t xml:space="preserve">, 2013 ONCA 753, 118 O.R. (3d) 481; </w:t>
      </w:r>
      <w:r w:rsidRPr="00E730E1">
        <w:rPr>
          <w:b/>
        </w:rPr>
        <w:t>referred to:</w:t>
      </w:r>
      <w:r w:rsidRPr="00E730E1">
        <w:t xml:space="preserve"> </w:t>
      </w:r>
      <w:r w:rsidRPr="00E730E1">
        <w:rPr>
          <w:i/>
        </w:rPr>
        <w:t xml:space="preserve">Canada (Attorney General) v. </w:t>
      </w:r>
      <w:proofErr w:type="spellStart"/>
      <w:r w:rsidRPr="00E730E1">
        <w:rPr>
          <w:i/>
        </w:rPr>
        <w:t>TeleZone</w:t>
      </w:r>
      <w:proofErr w:type="spellEnd"/>
      <w:r w:rsidRPr="00E730E1">
        <w:rPr>
          <w:i/>
        </w:rPr>
        <w:t xml:space="preserve"> Inc.</w:t>
      </w:r>
      <w:r w:rsidRPr="00E730E1">
        <w:t xml:space="preserve">, 2010 SCC 62, [2010] 3 S.C.R. 585; </w:t>
      </w:r>
      <w:proofErr w:type="spellStart"/>
      <w:r w:rsidRPr="00E730E1">
        <w:rPr>
          <w:i/>
        </w:rPr>
        <w:t>Crevier</w:t>
      </w:r>
      <w:proofErr w:type="spellEnd"/>
      <w:r w:rsidRPr="00E730E1">
        <w:rPr>
          <w:i/>
        </w:rPr>
        <w:t xml:space="preserve"> v. Attorney General of Quebec</w:t>
      </w:r>
      <w:r w:rsidRPr="00E730E1">
        <w:t xml:space="preserve">, [1981] 2 S.C.R. 220; </w:t>
      </w:r>
      <w:r w:rsidRPr="00E730E1">
        <w:rPr>
          <w:i/>
        </w:rPr>
        <w:t>Knox v. Conservative Party of Canada</w:t>
      </w:r>
      <w:r w:rsidRPr="00E730E1">
        <w:t xml:space="preserve">, 2007 ABCA 295, 422 A.R. 29; </w:t>
      </w:r>
      <w:r w:rsidRPr="00E730E1">
        <w:rPr>
          <w:i/>
        </w:rPr>
        <w:t>Greaves v. United Church of God Canada</w:t>
      </w:r>
      <w:r w:rsidRPr="00E730E1">
        <w:t>,</w:t>
      </w:r>
      <w:r w:rsidRPr="00E730E1">
        <w:rPr>
          <w:i/>
        </w:rPr>
        <w:t xml:space="preserve"> </w:t>
      </w:r>
      <w:r w:rsidRPr="00E730E1">
        <w:t xml:space="preserve">2003 BCSC 1365, 27 C.C.E.L. (3d) 46; </w:t>
      </w:r>
      <w:r w:rsidRPr="00E730E1">
        <w:rPr>
          <w:i/>
        </w:rPr>
        <w:t xml:space="preserve">Ukrainian Greek Orthodox Church of Canada v. Trustees of the Ukrainian Greek Orthodox Cathedral of St. Mary the </w:t>
      </w:r>
      <w:proofErr w:type="spellStart"/>
      <w:r w:rsidRPr="00E730E1">
        <w:rPr>
          <w:i/>
        </w:rPr>
        <w:t>Protectress</w:t>
      </w:r>
      <w:proofErr w:type="spellEnd"/>
      <w:r w:rsidRPr="00E730E1">
        <w:t xml:space="preserve">, [1940] S.C.R. 586; </w:t>
      </w:r>
      <w:proofErr w:type="spellStart"/>
      <w:r w:rsidRPr="00E730E1">
        <w:rPr>
          <w:i/>
        </w:rPr>
        <w:t>Zebroski</w:t>
      </w:r>
      <w:proofErr w:type="spellEnd"/>
      <w:r w:rsidRPr="00E730E1">
        <w:rPr>
          <w:i/>
        </w:rPr>
        <w:t xml:space="preserve"> v. Jehovah’s Witnesses </w:t>
      </w:r>
      <w:r w:rsidRPr="00E730E1">
        <w:t xml:space="preserve">(1988), 87 A.R. 229; </w:t>
      </w:r>
      <w:r w:rsidRPr="00E730E1">
        <w:rPr>
          <w:i/>
        </w:rPr>
        <w:t>Mott-</w:t>
      </w:r>
      <w:proofErr w:type="spellStart"/>
      <w:r w:rsidRPr="00E730E1">
        <w:rPr>
          <w:i/>
        </w:rPr>
        <w:t>Trille</w:t>
      </w:r>
      <w:proofErr w:type="spellEnd"/>
      <w:r w:rsidRPr="00E730E1">
        <w:rPr>
          <w:i/>
        </w:rPr>
        <w:t xml:space="preserve"> v. Steed</w:t>
      </w:r>
      <w:r w:rsidRPr="00E730E1">
        <w:t xml:space="preserve">, [1998] O.J. No. 3583, </w:t>
      </w:r>
      <w:proofErr w:type="spellStart"/>
      <w:r w:rsidRPr="00E730E1">
        <w:t>rev’d</w:t>
      </w:r>
      <w:proofErr w:type="spellEnd"/>
      <w:r w:rsidRPr="00E730E1">
        <w:t xml:space="preserve"> 1999 </w:t>
      </w:r>
      <w:proofErr w:type="spellStart"/>
      <w:r w:rsidRPr="00E730E1">
        <w:t>CanLII</w:t>
      </w:r>
      <w:proofErr w:type="spellEnd"/>
      <w:r w:rsidRPr="00E730E1">
        <w:t xml:space="preserve"> 2618; </w:t>
      </w:r>
      <w:r w:rsidRPr="00E730E1">
        <w:rPr>
          <w:i/>
        </w:rPr>
        <w:t xml:space="preserve">Bruker v. </w:t>
      </w:r>
      <w:proofErr w:type="spellStart"/>
      <w:r w:rsidRPr="00E730E1">
        <w:rPr>
          <w:i/>
        </w:rPr>
        <w:t>Marcovitz</w:t>
      </w:r>
      <w:proofErr w:type="spellEnd"/>
      <w:r w:rsidRPr="00E730E1">
        <w:t xml:space="preserve">, 2007 SCC 54, [2007] 3 S.C.R. 607; </w:t>
      </w:r>
      <w:proofErr w:type="spellStart"/>
      <w:r w:rsidRPr="00E730E1">
        <w:rPr>
          <w:i/>
        </w:rPr>
        <w:t>Syndicat</w:t>
      </w:r>
      <w:proofErr w:type="spellEnd"/>
      <w:r w:rsidRPr="00E730E1">
        <w:rPr>
          <w:i/>
        </w:rPr>
        <w:t xml:space="preserve"> </w:t>
      </w:r>
      <w:proofErr w:type="spellStart"/>
      <w:r w:rsidRPr="00E730E1">
        <w:rPr>
          <w:i/>
        </w:rPr>
        <w:t>Northcrest</w:t>
      </w:r>
      <w:proofErr w:type="spellEnd"/>
      <w:r w:rsidRPr="00E730E1">
        <w:rPr>
          <w:i/>
        </w:rPr>
        <w:t xml:space="preserve"> v. </w:t>
      </w:r>
      <w:proofErr w:type="spellStart"/>
      <w:r w:rsidRPr="00E730E1">
        <w:rPr>
          <w:i/>
        </w:rPr>
        <w:t>Amselem</w:t>
      </w:r>
      <w:proofErr w:type="spellEnd"/>
      <w:r w:rsidRPr="00E730E1">
        <w:t xml:space="preserve">, 2004 SCC 47, [2004] 2 S.C.R. 551; </w:t>
      </w:r>
      <w:proofErr w:type="spellStart"/>
      <w:r w:rsidRPr="00E730E1">
        <w:rPr>
          <w:i/>
        </w:rPr>
        <w:t>Demiris</w:t>
      </w:r>
      <w:proofErr w:type="spellEnd"/>
      <w:r w:rsidRPr="00E730E1">
        <w:rPr>
          <w:i/>
        </w:rPr>
        <w:t xml:space="preserve"> v. Hellenic Community of Vancouver</w:t>
      </w:r>
      <w:r w:rsidRPr="00E730E1">
        <w:t xml:space="preserve">, 2000 BCSC 733; </w:t>
      </w:r>
      <w:r w:rsidRPr="00E730E1">
        <w:rPr>
          <w:i/>
        </w:rPr>
        <w:t>RWDSU v. Dolphin Delivery Ltd.</w:t>
      </w:r>
      <w:r w:rsidRPr="00E730E1">
        <w:t xml:space="preserve">, </w:t>
      </w:r>
      <w:r w:rsidRPr="00E730E1">
        <w:lastRenderedPageBreak/>
        <w:t>[1986] 2 S.C.R. 573.</w:t>
      </w:r>
    </w:p>
    <w:p w:rsidR="003B215F" w:rsidRPr="00E730E1" w:rsidRDefault="002E6705" w:rsidP="00171C2E">
      <w:pPr>
        <w:pStyle w:val="SCCNormalDoubleSpacing"/>
        <w:widowControl w:val="0"/>
        <w:spacing w:after="720" w:line="240" w:lineRule="auto"/>
      </w:pPr>
      <w:r w:rsidRPr="00E730E1">
        <w:rPr>
          <w:b/>
        </w:rPr>
        <w:t>Statutes and Regulations Cite</w:t>
      </w:r>
      <w:r w:rsidR="00A41805" w:rsidRPr="00E730E1">
        <w:rPr>
          <w:b/>
        </w:rPr>
        <w:t>d</w:t>
      </w:r>
    </w:p>
    <w:p w:rsidR="00C81CB4" w:rsidRPr="00E730E1" w:rsidRDefault="00C81CB4" w:rsidP="00171C2E">
      <w:pPr>
        <w:pStyle w:val="SCCNormalDoubleSpacing"/>
        <w:widowControl w:val="0"/>
        <w:spacing w:after="240" w:line="240" w:lineRule="auto"/>
        <w:ind w:left="540" w:hanging="540"/>
      </w:pPr>
      <w:r w:rsidRPr="00E730E1">
        <w:rPr>
          <w:i/>
        </w:rPr>
        <w:t>Alberta Rules of Court</w:t>
      </w:r>
      <w:r w:rsidRPr="00E730E1">
        <w:t xml:space="preserve">, </w:t>
      </w:r>
      <w:r w:rsidR="00303A4B" w:rsidRPr="00E730E1">
        <w:t xml:space="preserve">Alta. Reg. </w:t>
      </w:r>
      <w:r w:rsidRPr="00E730E1">
        <w:t xml:space="preserve">124/2010, </w:t>
      </w:r>
      <w:proofErr w:type="spellStart"/>
      <w:proofErr w:type="gramStart"/>
      <w:r w:rsidRPr="00E730E1">
        <w:t>r</w:t>
      </w:r>
      <w:r w:rsidR="00853992" w:rsidRPr="00E730E1">
        <w:t>r</w:t>
      </w:r>
      <w:proofErr w:type="spellEnd"/>
      <w:proofErr w:type="gramEnd"/>
      <w:r w:rsidR="00940264" w:rsidRPr="00E730E1">
        <w:t>. </w:t>
      </w:r>
      <w:r w:rsidR="002E68F0" w:rsidRPr="00E730E1">
        <w:t xml:space="preserve">3.9, </w:t>
      </w:r>
      <w:r w:rsidRPr="00E730E1">
        <w:t>3.15, 3.17</w:t>
      </w:r>
      <w:r w:rsidR="002E68F0" w:rsidRPr="00E730E1">
        <w:t>.</w:t>
      </w:r>
    </w:p>
    <w:p w:rsidR="00C81CB4" w:rsidRPr="00E730E1" w:rsidRDefault="00C81CB4" w:rsidP="00171C2E">
      <w:pPr>
        <w:pStyle w:val="SCCNormalDoubleSpacing"/>
        <w:widowControl w:val="0"/>
        <w:spacing w:after="240" w:line="240" w:lineRule="auto"/>
        <w:ind w:left="540" w:hanging="540"/>
      </w:pPr>
      <w:r w:rsidRPr="00E730E1">
        <w:rPr>
          <w:i/>
        </w:rPr>
        <w:t>Canadian Charter of Rights and Freedoms</w:t>
      </w:r>
      <w:r w:rsidRPr="00E730E1">
        <w:t xml:space="preserve">, </w:t>
      </w:r>
      <w:r w:rsidR="00940264" w:rsidRPr="00E730E1">
        <w:t>ss. </w:t>
      </w:r>
      <w:r w:rsidRPr="00E730E1">
        <w:t>2(</w:t>
      </w:r>
      <w:r w:rsidRPr="00E730E1">
        <w:rPr>
          <w:i/>
        </w:rPr>
        <w:t>a</w:t>
      </w:r>
      <w:r w:rsidRPr="00E730E1">
        <w:t>), 32.</w:t>
      </w:r>
    </w:p>
    <w:p w:rsidR="00C81CB4" w:rsidRPr="00E730E1" w:rsidRDefault="00C81CB4" w:rsidP="00171C2E">
      <w:pPr>
        <w:pStyle w:val="SCCNormalDoubleSpacing"/>
        <w:widowControl w:val="0"/>
        <w:spacing w:after="240" w:line="240" w:lineRule="auto"/>
        <w:ind w:left="540" w:hanging="540"/>
      </w:pPr>
      <w:r w:rsidRPr="00E730E1">
        <w:rPr>
          <w:i/>
        </w:rPr>
        <w:t>Interpretation Act</w:t>
      </w:r>
      <w:r w:rsidRPr="00E730E1">
        <w:t>, R.S.C. 1985, c.</w:t>
      </w:r>
      <w:r w:rsidR="00940264" w:rsidRPr="00E730E1">
        <w:t> </w:t>
      </w:r>
      <w:r w:rsidR="00303A4B" w:rsidRPr="00E730E1">
        <w:t>I</w:t>
      </w:r>
      <w:r w:rsidR="00940264" w:rsidRPr="00E730E1">
        <w:noBreakHyphen/>
      </w:r>
      <w:r w:rsidRPr="00E730E1">
        <w:t>21, s.</w:t>
      </w:r>
      <w:r w:rsidR="00A01614" w:rsidRPr="00E730E1">
        <w:t> </w:t>
      </w:r>
      <w:r w:rsidRPr="00E730E1">
        <w:t>9.</w:t>
      </w:r>
    </w:p>
    <w:p w:rsidR="00C81CB4" w:rsidRPr="00E730E1" w:rsidRDefault="00C81CB4" w:rsidP="00171C2E">
      <w:pPr>
        <w:pStyle w:val="SCCNormalDoubleSpacing"/>
        <w:widowControl w:val="0"/>
        <w:spacing w:after="240" w:line="240" w:lineRule="auto"/>
        <w:ind w:left="540" w:hanging="540"/>
      </w:pPr>
      <w:r w:rsidRPr="00E730E1">
        <w:rPr>
          <w:i/>
        </w:rPr>
        <w:t>Judicial Review Act</w:t>
      </w:r>
      <w:r w:rsidR="00940264" w:rsidRPr="00E730E1">
        <w:t>, R.S.P.E.I. 1988, c. </w:t>
      </w:r>
      <w:r w:rsidRPr="00E730E1">
        <w:t>J</w:t>
      </w:r>
      <w:r w:rsidR="00940264" w:rsidRPr="00E730E1">
        <w:noBreakHyphen/>
      </w:r>
      <w:r w:rsidRPr="00E730E1">
        <w:t xml:space="preserve">3, </w:t>
      </w:r>
      <w:r w:rsidR="00940264" w:rsidRPr="00E730E1">
        <w:t>ss. </w:t>
      </w:r>
      <w:r w:rsidRPr="00E730E1">
        <w:t>2, 3(3).</w:t>
      </w:r>
    </w:p>
    <w:p w:rsidR="00C81CB4" w:rsidRPr="00E730E1" w:rsidRDefault="00C81CB4" w:rsidP="00171C2E">
      <w:pPr>
        <w:pStyle w:val="SCCNormalDoubleSpacing"/>
        <w:widowControl w:val="0"/>
        <w:spacing w:after="240" w:line="240" w:lineRule="auto"/>
        <w:ind w:left="540" w:hanging="540"/>
      </w:pPr>
      <w:r w:rsidRPr="00E730E1">
        <w:rPr>
          <w:i/>
        </w:rPr>
        <w:t>Judicial Review Procedure Act</w:t>
      </w:r>
      <w:r w:rsidR="00940264" w:rsidRPr="00E730E1">
        <w:t>, R.S.B.C. 1996, c. 241, s. </w:t>
      </w:r>
      <w:r w:rsidRPr="00E730E1">
        <w:t>2(2</w:t>
      </w:r>
      <w:proofErr w:type="gramStart"/>
      <w:r w:rsidRPr="00E730E1">
        <w:t>)(</w:t>
      </w:r>
      <w:proofErr w:type="gramEnd"/>
      <w:r w:rsidRPr="00E730E1">
        <w:t>b).</w:t>
      </w:r>
    </w:p>
    <w:p w:rsidR="00C81CB4" w:rsidRPr="00E730E1" w:rsidRDefault="00C81CB4" w:rsidP="00171C2E">
      <w:pPr>
        <w:pStyle w:val="SCCNormalDoubleSpacing"/>
        <w:widowControl w:val="0"/>
        <w:spacing w:after="240" w:line="240" w:lineRule="auto"/>
        <w:ind w:left="540" w:hanging="540"/>
      </w:pPr>
      <w:r w:rsidRPr="00E730E1">
        <w:rPr>
          <w:i/>
        </w:rPr>
        <w:t>Judicial Review Procedure Act</w:t>
      </w:r>
      <w:r w:rsidRPr="00E730E1">
        <w:t>, R.S.O.</w:t>
      </w:r>
      <w:r w:rsidR="00303A4B" w:rsidRPr="00E730E1">
        <w:t xml:space="preserve"> 1990</w:t>
      </w:r>
      <w:r w:rsidRPr="00E730E1">
        <w:t>, c.</w:t>
      </w:r>
      <w:r w:rsidR="00940264" w:rsidRPr="00E730E1">
        <w:t> </w:t>
      </w:r>
      <w:r w:rsidRPr="00E730E1">
        <w:t>J.1</w:t>
      </w:r>
      <w:r w:rsidR="00940264" w:rsidRPr="00E730E1">
        <w:t>, s. </w:t>
      </w:r>
      <w:r w:rsidR="002E74CE">
        <w:t>2(1)2</w:t>
      </w:r>
      <w:r w:rsidR="00303A4B" w:rsidRPr="00E730E1">
        <w:t>.</w:t>
      </w:r>
    </w:p>
    <w:p w:rsidR="00C81CB4" w:rsidRPr="00E730E1" w:rsidRDefault="00864A20" w:rsidP="00171C2E">
      <w:pPr>
        <w:pStyle w:val="SCCNormalDoubleSpacing"/>
        <w:widowControl w:val="0"/>
        <w:spacing w:after="720" w:line="240" w:lineRule="auto"/>
        <w:ind w:left="540" w:hanging="540"/>
      </w:pPr>
      <w:r w:rsidRPr="00E730E1">
        <w:rPr>
          <w:i/>
        </w:rPr>
        <w:t xml:space="preserve">United Church of Canada Act </w:t>
      </w:r>
      <w:r w:rsidR="00940264" w:rsidRPr="00E730E1">
        <w:t>(1924), 14 &amp; 15 Geo. 5, c. </w:t>
      </w:r>
      <w:r w:rsidRPr="00E730E1">
        <w:t>100.</w:t>
      </w:r>
    </w:p>
    <w:p w:rsidR="002E6705" w:rsidRPr="00E730E1" w:rsidRDefault="002E6705" w:rsidP="00171C2E">
      <w:pPr>
        <w:pStyle w:val="SCCNormalDoubleSpacing"/>
        <w:widowControl w:val="0"/>
        <w:spacing w:after="720" w:line="240" w:lineRule="auto"/>
        <w:rPr>
          <w:b/>
        </w:rPr>
      </w:pPr>
      <w:r w:rsidRPr="00E730E1">
        <w:rPr>
          <w:b/>
        </w:rPr>
        <w:t>Authors Cited</w:t>
      </w:r>
    </w:p>
    <w:p w:rsidR="006E7502" w:rsidRPr="00E730E1" w:rsidRDefault="00940264" w:rsidP="00171C2E">
      <w:pPr>
        <w:pStyle w:val="SCCNormalDoubleSpacing"/>
        <w:widowControl w:val="0"/>
        <w:spacing w:after="240" w:line="240" w:lineRule="auto"/>
        <w:ind w:left="540" w:hanging="540"/>
      </w:pPr>
      <w:r w:rsidRPr="00E730E1">
        <w:t>Brown, Donald J. M., and John </w:t>
      </w:r>
      <w:r w:rsidR="006E7502" w:rsidRPr="00E730E1">
        <w:t xml:space="preserve">M. Evans, with the assistance of David </w:t>
      </w:r>
      <w:proofErr w:type="spellStart"/>
      <w:r w:rsidR="006E7502" w:rsidRPr="00E730E1">
        <w:t>Fairlie</w:t>
      </w:r>
      <w:proofErr w:type="spellEnd"/>
      <w:r w:rsidR="006E7502" w:rsidRPr="00E730E1">
        <w:t xml:space="preserve">. </w:t>
      </w:r>
      <w:r w:rsidR="006E7502" w:rsidRPr="00E730E1">
        <w:rPr>
          <w:i/>
        </w:rPr>
        <w:t>Judicial Review of Administrative Action in Canada</w:t>
      </w:r>
      <w:r w:rsidR="006E7502" w:rsidRPr="00E730E1">
        <w:t>. Toronto: Thomson Reuters</w:t>
      </w:r>
      <w:r w:rsidR="00546568" w:rsidRPr="00E730E1">
        <w:t>, 2013</w:t>
      </w:r>
      <w:r w:rsidR="006E7502" w:rsidRPr="00E730E1">
        <w:t xml:space="preserve"> (loose</w:t>
      </w:r>
      <w:r w:rsidRPr="00E730E1">
        <w:noBreakHyphen/>
      </w:r>
      <w:r w:rsidR="006E7502" w:rsidRPr="00E730E1">
        <w:t>leaf updated December 2017, release 4).</w:t>
      </w:r>
    </w:p>
    <w:p w:rsidR="00A149DF" w:rsidRPr="00E730E1" w:rsidRDefault="00583495" w:rsidP="00171C2E">
      <w:pPr>
        <w:pStyle w:val="SCCNormalDoubleSpacing"/>
        <w:widowControl w:val="0"/>
        <w:spacing w:after="240" w:line="240" w:lineRule="auto"/>
        <w:ind w:left="540" w:hanging="540"/>
      </w:pPr>
      <w:r w:rsidRPr="00E730E1">
        <w:t xml:space="preserve">Canada. Parliament. House of Commons. </w:t>
      </w:r>
      <w:r w:rsidR="00C81CB4" w:rsidRPr="00E730E1">
        <w:rPr>
          <w:i/>
        </w:rPr>
        <w:t>House of Commons Procedure and Practice</w:t>
      </w:r>
      <w:r w:rsidRPr="00E730E1">
        <w:t>, 2nd</w:t>
      </w:r>
      <w:r w:rsidR="00C81CB4" w:rsidRPr="00E730E1">
        <w:t xml:space="preserve"> ed.</w:t>
      </w:r>
      <w:r w:rsidRPr="00E730E1">
        <w:t xml:space="preserve"> by Audrey O’Brien and Marc Bosc.</w:t>
      </w:r>
      <w:r w:rsidR="00B1109B" w:rsidRPr="00E730E1">
        <w:t xml:space="preserve"> Ottawa</w:t>
      </w:r>
      <w:r w:rsidRPr="00E730E1">
        <w:t>, 2009</w:t>
      </w:r>
      <w:r w:rsidR="00CE7F2B" w:rsidRPr="00E730E1">
        <w:t>.</w:t>
      </w:r>
    </w:p>
    <w:p w:rsidR="00C81CB4" w:rsidRPr="00E730E1" w:rsidRDefault="00C81CB4" w:rsidP="00171C2E">
      <w:pPr>
        <w:pStyle w:val="SCCNormalDoubleSpacing"/>
        <w:widowControl w:val="0"/>
        <w:spacing w:after="240" w:line="240" w:lineRule="auto"/>
        <w:ind w:left="540" w:hanging="540"/>
      </w:pPr>
      <w:r w:rsidRPr="00E730E1">
        <w:t>Moon,</w:t>
      </w:r>
      <w:r w:rsidR="00DE6E1E" w:rsidRPr="00E730E1">
        <w:t xml:space="preserve"> Richard.</w:t>
      </w:r>
      <w:r w:rsidRPr="00E730E1">
        <w:t xml:space="preserve"> “</w:t>
      </w:r>
      <w:r w:rsidR="00DE6E1E" w:rsidRPr="00E730E1">
        <w:rPr>
          <w:i/>
        </w:rPr>
        <w:t>Bru</w:t>
      </w:r>
      <w:r w:rsidRPr="00E730E1">
        <w:rPr>
          <w:i/>
        </w:rPr>
        <w:t>ker v</w:t>
      </w:r>
      <w:r w:rsidR="00DE6E1E" w:rsidRPr="00E730E1">
        <w:rPr>
          <w:i/>
        </w:rPr>
        <w:t>.</w:t>
      </w:r>
      <w:r w:rsidRPr="00E730E1">
        <w:rPr>
          <w:i/>
        </w:rPr>
        <w:t xml:space="preserve"> </w:t>
      </w:r>
      <w:proofErr w:type="spellStart"/>
      <w:r w:rsidRPr="00E730E1">
        <w:rPr>
          <w:i/>
        </w:rPr>
        <w:t>Marcovitz</w:t>
      </w:r>
      <w:proofErr w:type="spellEnd"/>
      <w:r w:rsidRPr="00E730E1">
        <w:t>: Divorce and th</w:t>
      </w:r>
      <w:r w:rsidR="00DE6E1E" w:rsidRPr="00E730E1">
        <w:t>e Marriage of Law and Religion”</w:t>
      </w:r>
      <w:r w:rsidRPr="00E730E1">
        <w:t xml:space="preserve"> (2008), 42 </w:t>
      </w:r>
      <w:r w:rsidRPr="00E730E1">
        <w:rPr>
          <w:i/>
        </w:rPr>
        <w:t xml:space="preserve">S.C.L.R. </w:t>
      </w:r>
      <w:r w:rsidRPr="00E730E1">
        <w:t>(2d) 37</w:t>
      </w:r>
      <w:r w:rsidR="00CE7F2B" w:rsidRPr="00E730E1">
        <w:t>.</w:t>
      </w:r>
    </w:p>
    <w:p w:rsidR="00C92202" w:rsidRPr="00E730E1" w:rsidRDefault="00C92202" w:rsidP="00171C2E">
      <w:pPr>
        <w:pStyle w:val="SCCNormalDoubleSpacing"/>
        <w:widowControl w:val="0"/>
        <w:spacing w:after="240" w:line="240" w:lineRule="auto"/>
        <w:ind w:left="540" w:hanging="540"/>
      </w:pPr>
      <w:r w:rsidRPr="00E730E1">
        <w:rPr>
          <w:i/>
        </w:rPr>
        <w:t>Organized to Do Jehovah’s Will</w:t>
      </w:r>
      <w:r w:rsidRPr="00E730E1">
        <w:t>. Brooklyn: Watchtower Bible and Tract Society of New York, 2005.</w:t>
      </w:r>
    </w:p>
    <w:p w:rsidR="00C81CB4" w:rsidRPr="00E730E1" w:rsidRDefault="00940264" w:rsidP="00171C2E">
      <w:pPr>
        <w:pStyle w:val="SCCNormalDoubleSpacing"/>
        <w:widowControl w:val="0"/>
        <w:spacing w:after="720" w:line="240" w:lineRule="auto"/>
        <w:ind w:left="540" w:hanging="540"/>
      </w:pPr>
      <w:proofErr w:type="spellStart"/>
      <w:r w:rsidRPr="00E730E1">
        <w:t>Sossin</w:t>
      </w:r>
      <w:proofErr w:type="spellEnd"/>
      <w:r w:rsidRPr="00E730E1">
        <w:t>, Lorne </w:t>
      </w:r>
      <w:r w:rsidR="00583495" w:rsidRPr="00E730E1">
        <w:t xml:space="preserve">M. </w:t>
      </w:r>
      <w:r w:rsidR="00C81CB4" w:rsidRPr="00E730E1">
        <w:rPr>
          <w:i/>
        </w:rPr>
        <w:t>Boundaries of Judicial Review: The Law of Justiciability in Canada</w:t>
      </w:r>
      <w:r w:rsidR="00C81CB4" w:rsidRPr="00E730E1">
        <w:t>, 2nd</w:t>
      </w:r>
      <w:r w:rsidR="00C81CB4" w:rsidRPr="00E730E1">
        <w:rPr>
          <w:vertAlign w:val="superscript"/>
        </w:rPr>
        <w:t xml:space="preserve"> </w:t>
      </w:r>
      <w:r w:rsidR="00583495" w:rsidRPr="00E730E1">
        <w:t>ed. Toronto: Carswell, 2012</w:t>
      </w:r>
      <w:r w:rsidR="00CE7F2B" w:rsidRPr="00E730E1">
        <w:t>.</w:t>
      </w:r>
    </w:p>
    <w:p w:rsidR="00656313" w:rsidRPr="00E730E1" w:rsidRDefault="009B57B3" w:rsidP="00171C2E">
      <w:pPr>
        <w:pStyle w:val="SCCNormalDoubleSpacing"/>
        <w:widowControl w:val="0"/>
        <w:spacing w:after="480"/>
      </w:pPr>
      <w:r w:rsidRPr="00E730E1">
        <w:tab/>
        <w:t>APPEAL from a judgment of the</w:t>
      </w:r>
      <w:r w:rsidR="005C2CF9" w:rsidRPr="00E730E1">
        <w:t xml:space="preserve"> Alberta</w:t>
      </w:r>
      <w:r w:rsidRPr="00E730E1">
        <w:t xml:space="preserve"> Cour</w:t>
      </w:r>
      <w:r w:rsidR="009A60B6" w:rsidRPr="00E730E1">
        <w:t xml:space="preserve">t of Appeal </w:t>
      </w:r>
      <w:r w:rsidR="007741D6" w:rsidRPr="00E730E1">
        <w:t>(</w:t>
      </w:r>
      <w:proofErr w:type="spellStart"/>
      <w:r w:rsidR="007741D6" w:rsidRPr="00E730E1">
        <w:t>Paperny</w:t>
      </w:r>
      <w:proofErr w:type="spellEnd"/>
      <w:r w:rsidR="007741D6" w:rsidRPr="00E730E1">
        <w:t xml:space="preserve">, </w:t>
      </w:r>
      <w:proofErr w:type="spellStart"/>
      <w:r w:rsidR="007741D6" w:rsidRPr="00E730E1">
        <w:t>Rowbotham</w:t>
      </w:r>
      <w:proofErr w:type="spellEnd"/>
      <w:r w:rsidR="007741D6" w:rsidRPr="00E730E1">
        <w:t xml:space="preserve"> and </w:t>
      </w:r>
      <w:proofErr w:type="spellStart"/>
      <w:r w:rsidR="007741D6" w:rsidRPr="00E730E1">
        <w:t>Wakeling</w:t>
      </w:r>
      <w:proofErr w:type="spellEnd"/>
      <w:r w:rsidR="00BC6A96">
        <w:t> </w:t>
      </w:r>
      <w:r w:rsidR="007741D6" w:rsidRPr="00E730E1">
        <w:t>JJ.A.), 2016 ABCA 255,</w:t>
      </w:r>
      <w:r w:rsidR="00626D12" w:rsidRPr="00E730E1">
        <w:t xml:space="preserve"> </w:t>
      </w:r>
      <w:r w:rsidR="009A3648" w:rsidRPr="00E730E1">
        <w:t xml:space="preserve">43 Alta. L.R. (6th) 33, </w:t>
      </w:r>
      <w:r w:rsidR="00626D12" w:rsidRPr="00E730E1">
        <w:t xml:space="preserve">404 D.L.R. </w:t>
      </w:r>
      <w:r w:rsidR="00626D12" w:rsidRPr="00E730E1">
        <w:lastRenderedPageBreak/>
        <w:t>(4th) 48, 12 Admin</w:t>
      </w:r>
      <w:r w:rsidR="005C2CF9" w:rsidRPr="00E730E1">
        <w:t>.</w:t>
      </w:r>
      <w:r w:rsidR="00626D12" w:rsidRPr="00E730E1">
        <w:t xml:space="preserve"> L.R. (6th) 302, 365 C.R.R. (2d) 40, </w:t>
      </w:r>
      <w:r w:rsidR="005C2CF9" w:rsidRPr="00E730E1">
        <w:t xml:space="preserve">[2017] 2 W.W.R. 641, </w:t>
      </w:r>
      <w:r w:rsidR="007741D6" w:rsidRPr="00E730E1">
        <w:t xml:space="preserve">[2016] A.J. </w:t>
      </w:r>
      <w:r w:rsidR="00940264" w:rsidRPr="00E730E1">
        <w:t>No. </w:t>
      </w:r>
      <w:r w:rsidR="007741D6" w:rsidRPr="00E730E1">
        <w:t xml:space="preserve">899 (QL), 2016 </w:t>
      </w:r>
      <w:proofErr w:type="spellStart"/>
      <w:r w:rsidR="007741D6" w:rsidRPr="00E730E1">
        <w:t>CarswellAlta</w:t>
      </w:r>
      <w:proofErr w:type="spellEnd"/>
      <w:r w:rsidR="007741D6" w:rsidRPr="00E730E1">
        <w:t xml:space="preserve"> 1669 (WL Can.)</w:t>
      </w:r>
      <w:r w:rsidR="007004BB" w:rsidRPr="00E730E1">
        <w:t xml:space="preserve">, </w:t>
      </w:r>
      <w:r w:rsidR="00415CFA" w:rsidRPr="00E730E1">
        <w:t>affirming</w:t>
      </w:r>
      <w:r w:rsidR="007004BB" w:rsidRPr="00E730E1">
        <w:t xml:space="preserve"> </w:t>
      </w:r>
      <w:r w:rsidR="00415CFA" w:rsidRPr="00E730E1">
        <w:t xml:space="preserve">a </w:t>
      </w:r>
      <w:r w:rsidR="000F316E" w:rsidRPr="00E730E1">
        <w:t>decision</w:t>
      </w:r>
      <w:r w:rsidR="00415CFA" w:rsidRPr="00E730E1">
        <w:t xml:space="preserve"> </w:t>
      </w:r>
      <w:r w:rsidR="003D50F8" w:rsidRPr="00E730E1">
        <w:t>by Wilson J.</w:t>
      </w:r>
      <w:r w:rsidR="000F316E" w:rsidRPr="00E730E1">
        <w:t xml:space="preserve">, </w:t>
      </w:r>
      <w:r w:rsidR="008E79B2" w:rsidRPr="00E730E1">
        <w:t xml:space="preserve">Court of Queen’s Bench of Alberta, </w:t>
      </w:r>
      <w:r w:rsidR="008C7AE5" w:rsidRPr="00E730E1">
        <w:t>File</w:t>
      </w:r>
      <w:r w:rsidR="008E79B2" w:rsidRPr="00E730E1">
        <w:t xml:space="preserve"> No. </w:t>
      </w:r>
      <w:r w:rsidR="00C15F3C" w:rsidRPr="00E730E1">
        <w:t xml:space="preserve">1401-10225, </w:t>
      </w:r>
      <w:r w:rsidR="000F316E" w:rsidRPr="00E730E1">
        <w:t>April 16,</w:t>
      </w:r>
      <w:r w:rsidR="0036326B" w:rsidRPr="00E730E1">
        <w:t xml:space="preserve"> </w:t>
      </w:r>
      <w:r w:rsidR="000F316E" w:rsidRPr="00E730E1">
        <w:t>2015</w:t>
      </w:r>
      <w:r w:rsidR="00330CFD">
        <w:t xml:space="preserve">. </w:t>
      </w:r>
      <w:r w:rsidR="006F7A8F" w:rsidRPr="00E730E1">
        <w:t xml:space="preserve">Appeal </w:t>
      </w:r>
      <w:r w:rsidR="0088200D" w:rsidRPr="00E730E1">
        <w:t>allowed</w:t>
      </w:r>
      <w:r w:rsidR="006F7A8F" w:rsidRPr="00E730E1">
        <w:t>.</w:t>
      </w:r>
    </w:p>
    <w:p w:rsidR="009B7499" w:rsidRPr="00E730E1" w:rsidRDefault="00940264" w:rsidP="00171C2E">
      <w:pPr>
        <w:pStyle w:val="SCCNormalDoubleSpacing"/>
        <w:widowControl w:val="0"/>
        <w:spacing w:after="480"/>
      </w:pPr>
      <w:r w:rsidRPr="00E730E1">
        <w:rPr>
          <w:rStyle w:val="SCCCounselNameChar"/>
        </w:rPr>
        <w:tab/>
        <w:t>David </w:t>
      </w:r>
      <w:r w:rsidR="00FA77AC" w:rsidRPr="00E730E1">
        <w:rPr>
          <w:rStyle w:val="SCCCounselNameChar"/>
        </w:rPr>
        <w:t xml:space="preserve">M. </w:t>
      </w:r>
      <w:proofErr w:type="spellStart"/>
      <w:r w:rsidR="00FA77AC" w:rsidRPr="00E730E1">
        <w:rPr>
          <w:rStyle w:val="SCCCounselNameChar"/>
        </w:rPr>
        <w:t>Gnam</w:t>
      </w:r>
      <w:proofErr w:type="spellEnd"/>
      <w:r w:rsidR="00FA77AC" w:rsidRPr="00E730E1">
        <w:rPr>
          <w:rStyle w:val="SCCCounselSeparatorChar"/>
        </w:rPr>
        <w:t xml:space="preserve"> and </w:t>
      </w:r>
      <w:r w:rsidR="00FA77AC" w:rsidRPr="00E730E1">
        <w:rPr>
          <w:rStyle w:val="SCCCounselNameChar"/>
        </w:rPr>
        <w:t xml:space="preserve">Jayden </w:t>
      </w:r>
      <w:proofErr w:type="spellStart"/>
      <w:r w:rsidR="00FA77AC" w:rsidRPr="00E730E1">
        <w:rPr>
          <w:rStyle w:val="SCCCounselNameChar"/>
        </w:rPr>
        <w:t>MacEwan</w:t>
      </w:r>
      <w:proofErr w:type="spellEnd"/>
      <w:r w:rsidR="00FA77AC" w:rsidRPr="00E730E1">
        <w:rPr>
          <w:rStyle w:val="SCCCounselPartyRoleChar"/>
        </w:rPr>
        <w:t>, for the appellant</w:t>
      </w:r>
      <w:r w:rsidR="00544305" w:rsidRPr="00E730E1">
        <w:rPr>
          <w:rStyle w:val="SCCCounselPartyRoleChar"/>
        </w:rPr>
        <w:t>s</w:t>
      </w:r>
      <w:r w:rsidR="00FA77AC" w:rsidRPr="00E730E1">
        <w:rPr>
          <w:rStyle w:val="SCCCounselPartyRoleChar"/>
        </w:rPr>
        <w:t>.</w:t>
      </w:r>
    </w:p>
    <w:p w:rsidR="009B7499" w:rsidRPr="00E730E1" w:rsidRDefault="00940264" w:rsidP="00171C2E">
      <w:pPr>
        <w:pStyle w:val="SCCNormalDoubleSpacing"/>
        <w:widowControl w:val="0"/>
        <w:spacing w:after="480"/>
      </w:pPr>
      <w:r w:rsidRPr="00E730E1">
        <w:rPr>
          <w:rStyle w:val="SCCCounselNameChar"/>
        </w:rPr>
        <w:tab/>
        <w:t>Michael </w:t>
      </w:r>
      <w:r w:rsidR="00FA77AC" w:rsidRPr="00E730E1">
        <w:rPr>
          <w:rStyle w:val="SCCCounselNameChar"/>
        </w:rPr>
        <w:t xml:space="preserve">A. </w:t>
      </w:r>
      <w:proofErr w:type="spellStart"/>
      <w:r w:rsidR="00FA77AC" w:rsidRPr="00E730E1">
        <w:rPr>
          <w:rStyle w:val="SCCCounselNameChar"/>
        </w:rPr>
        <w:t>Feder</w:t>
      </w:r>
      <w:proofErr w:type="spellEnd"/>
      <w:r w:rsidR="00FA77AC" w:rsidRPr="00E730E1">
        <w:rPr>
          <w:rStyle w:val="SCCCounselSeparatorChar"/>
        </w:rPr>
        <w:t xml:space="preserve"> and </w:t>
      </w:r>
      <w:r w:rsidR="00FA77AC" w:rsidRPr="00E730E1">
        <w:rPr>
          <w:rStyle w:val="SCCCounselNameChar"/>
        </w:rPr>
        <w:t>Robyn Gifford</w:t>
      </w:r>
      <w:r w:rsidR="00FA77AC" w:rsidRPr="00E730E1">
        <w:rPr>
          <w:rStyle w:val="SCCCounselPartyRoleChar"/>
        </w:rPr>
        <w:t>, for the respondent.</w:t>
      </w:r>
    </w:p>
    <w:p w:rsidR="009B7499" w:rsidRPr="00E730E1" w:rsidRDefault="00940264" w:rsidP="00171C2E">
      <w:pPr>
        <w:pStyle w:val="SCCNormalDoubleSpacing"/>
        <w:widowControl w:val="0"/>
        <w:spacing w:after="480"/>
      </w:pPr>
      <w:r w:rsidRPr="00E730E1">
        <w:rPr>
          <w:rStyle w:val="SCCCounselNameChar"/>
        </w:rPr>
        <w:tab/>
        <w:t>Barry </w:t>
      </w:r>
      <w:r w:rsidR="00FA77AC" w:rsidRPr="00E730E1">
        <w:rPr>
          <w:rStyle w:val="SCCCounselNameChar"/>
        </w:rPr>
        <w:t xml:space="preserve">W. </w:t>
      </w:r>
      <w:proofErr w:type="spellStart"/>
      <w:r w:rsidR="00FA77AC" w:rsidRPr="00E730E1">
        <w:rPr>
          <w:rStyle w:val="SCCCounselNameChar"/>
        </w:rPr>
        <w:t>Bussey</w:t>
      </w:r>
      <w:proofErr w:type="spellEnd"/>
      <w:r w:rsidR="00D82AAA" w:rsidRPr="00E730E1">
        <w:rPr>
          <w:rStyle w:val="SCCCounselSeparatorChar"/>
        </w:rPr>
        <w:t xml:space="preserve"> and </w:t>
      </w:r>
      <w:r w:rsidR="00FA77AC" w:rsidRPr="00E730E1">
        <w:rPr>
          <w:rStyle w:val="SCCCounselNameChar"/>
        </w:rPr>
        <w:t>Philip</w:t>
      </w:r>
      <w:r w:rsidRPr="00E730E1">
        <w:rPr>
          <w:rStyle w:val="SCCCounselNameChar"/>
        </w:rPr>
        <w:t> </w:t>
      </w:r>
      <w:r w:rsidR="00FA77AC" w:rsidRPr="00E730E1">
        <w:rPr>
          <w:rStyle w:val="SCCCounselNameChar"/>
        </w:rPr>
        <w:t>A.</w:t>
      </w:r>
      <w:r w:rsidR="00BC6A96">
        <w:rPr>
          <w:rStyle w:val="SCCCounselNameChar"/>
        </w:rPr>
        <w:t> </w:t>
      </w:r>
      <w:r w:rsidR="00FA77AC" w:rsidRPr="00E730E1">
        <w:rPr>
          <w:rStyle w:val="SCCCounselNameChar"/>
        </w:rPr>
        <w:t xml:space="preserve">S. </w:t>
      </w:r>
      <w:proofErr w:type="spellStart"/>
      <w:r w:rsidR="00FA77AC" w:rsidRPr="00E730E1">
        <w:rPr>
          <w:rStyle w:val="SCCCounselNameChar"/>
        </w:rPr>
        <w:t>Milley</w:t>
      </w:r>
      <w:proofErr w:type="spellEnd"/>
      <w:r w:rsidR="00FA77AC" w:rsidRPr="00E730E1">
        <w:rPr>
          <w:rStyle w:val="SCCCounselPartyRoleChar"/>
        </w:rPr>
        <w:t xml:space="preserve">, for the intervener </w:t>
      </w:r>
      <w:r w:rsidR="00796DFD" w:rsidRPr="00E730E1">
        <w:rPr>
          <w:rStyle w:val="SCCCounselPartyRoleChar"/>
        </w:rPr>
        <w:t xml:space="preserve">the </w:t>
      </w:r>
      <w:r w:rsidR="00FA77AC" w:rsidRPr="00E730E1">
        <w:rPr>
          <w:rStyle w:val="SCCCounselPartyRoleChar"/>
        </w:rPr>
        <w:t>Canadian Council of Christian Charities.</w:t>
      </w:r>
    </w:p>
    <w:p w:rsidR="009B7499" w:rsidRPr="00E730E1" w:rsidRDefault="00FA77AC" w:rsidP="00171C2E">
      <w:pPr>
        <w:pStyle w:val="SCCNormalDoubleSpacing"/>
        <w:widowControl w:val="0"/>
        <w:spacing w:after="480"/>
      </w:pPr>
      <w:r w:rsidRPr="00E730E1">
        <w:rPr>
          <w:rStyle w:val="SCCCounselNameChar"/>
        </w:rPr>
        <w:tab/>
        <w:t xml:space="preserve">John </w:t>
      </w:r>
      <w:proofErr w:type="spellStart"/>
      <w:r w:rsidRPr="00E730E1">
        <w:rPr>
          <w:rStyle w:val="SCCCounselNameChar"/>
        </w:rPr>
        <w:t>Sikkema</w:t>
      </w:r>
      <w:proofErr w:type="spellEnd"/>
      <w:r w:rsidRPr="00E730E1">
        <w:rPr>
          <w:rStyle w:val="SCCCounselSeparatorChar"/>
        </w:rPr>
        <w:t xml:space="preserve"> and </w:t>
      </w:r>
      <w:r w:rsidR="007E6844" w:rsidRPr="00E730E1">
        <w:rPr>
          <w:rStyle w:val="SCCCounselNameChar"/>
        </w:rPr>
        <w:t xml:space="preserve">André </w:t>
      </w:r>
      <w:proofErr w:type="spellStart"/>
      <w:r w:rsidR="007E6844" w:rsidRPr="00E730E1">
        <w:rPr>
          <w:rStyle w:val="SCCCounselNameChar"/>
        </w:rPr>
        <w:t>Schutten</w:t>
      </w:r>
      <w:proofErr w:type="spellEnd"/>
      <w:r w:rsidRPr="00E730E1">
        <w:rPr>
          <w:rStyle w:val="SCCCounselPartyRoleChar"/>
        </w:rPr>
        <w:t>, for the intervener</w:t>
      </w:r>
      <w:r w:rsidR="00D23D7A" w:rsidRPr="00E730E1">
        <w:rPr>
          <w:rStyle w:val="SCCCounselPartyRoleChar"/>
        </w:rPr>
        <w:t xml:space="preserve"> the </w:t>
      </w:r>
      <w:r w:rsidRPr="00E730E1">
        <w:rPr>
          <w:rStyle w:val="SCCCounselPartyRoleChar"/>
        </w:rPr>
        <w:t>Association for Reformed Political Action Canada.</w:t>
      </w:r>
    </w:p>
    <w:p w:rsidR="009B7499" w:rsidRPr="00E730E1" w:rsidRDefault="007E6844" w:rsidP="00171C2E">
      <w:pPr>
        <w:pStyle w:val="SCCNormalDoubleSpacing"/>
        <w:widowControl w:val="0"/>
        <w:spacing w:after="480"/>
      </w:pPr>
      <w:r w:rsidRPr="00E730E1">
        <w:rPr>
          <w:rStyle w:val="SCCCounselNameChar"/>
        </w:rPr>
        <w:tab/>
        <w:t xml:space="preserve">Mark </w:t>
      </w:r>
      <w:proofErr w:type="spellStart"/>
      <w:r w:rsidR="00FA77AC" w:rsidRPr="00E730E1">
        <w:rPr>
          <w:rStyle w:val="SCCCounselNameChar"/>
        </w:rPr>
        <w:t>Gelowitz</w:t>
      </w:r>
      <w:proofErr w:type="spellEnd"/>
      <w:r w:rsidR="00FA77AC" w:rsidRPr="00E730E1">
        <w:rPr>
          <w:rStyle w:val="SCCCounselSeparatorChar"/>
        </w:rPr>
        <w:t xml:space="preserve"> and </w:t>
      </w:r>
      <w:r w:rsidR="00FA77AC" w:rsidRPr="00E730E1">
        <w:rPr>
          <w:rStyle w:val="SCCCounselNameChar"/>
        </w:rPr>
        <w:t>Karin Sachar</w:t>
      </w:r>
      <w:r w:rsidR="00FA77AC" w:rsidRPr="00E730E1">
        <w:rPr>
          <w:rStyle w:val="SCCCounselPartyRoleChar"/>
        </w:rPr>
        <w:t xml:space="preserve">, for the intervener </w:t>
      </w:r>
      <w:r w:rsidR="00D23D7A" w:rsidRPr="00E730E1">
        <w:rPr>
          <w:rStyle w:val="SCCCounselPartyRoleChar"/>
        </w:rPr>
        <w:t xml:space="preserve">the </w:t>
      </w:r>
      <w:r w:rsidR="00FA77AC" w:rsidRPr="00E730E1">
        <w:rPr>
          <w:rStyle w:val="SCCCounselPartyRoleChar"/>
        </w:rPr>
        <w:t>Canadian Constitution Foundation.</w:t>
      </w:r>
    </w:p>
    <w:p w:rsidR="009B7499" w:rsidRPr="00E730E1" w:rsidRDefault="00FA77AC" w:rsidP="00171C2E">
      <w:pPr>
        <w:pStyle w:val="SCCNormalDoubleSpacing"/>
        <w:widowControl w:val="0"/>
        <w:spacing w:after="480"/>
      </w:pPr>
      <w:r w:rsidRPr="00E730E1">
        <w:rPr>
          <w:rStyle w:val="SCCCounselNameChar"/>
        </w:rPr>
        <w:tab/>
      </w:r>
      <w:proofErr w:type="spellStart"/>
      <w:r w:rsidRPr="00E730E1">
        <w:rPr>
          <w:rStyle w:val="SCCCounselNameChar"/>
        </w:rPr>
        <w:t>Albertos</w:t>
      </w:r>
      <w:proofErr w:type="spellEnd"/>
      <w:r w:rsidRPr="00E730E1">
        <w:rPr>
          <w:rStyle w:val="SCCCounselNameChar"/>
        </w:rPr>
        <w:t xml:space="preserve"> </w:t>
      </w:r>
      <w:proofErr w:type="spellStart"/>
      <w:r w:rsidRPr="00E730E1">
        <w:rPr>
          <w:rStyle w:val="SCCCounselNameChar"/>
        </w:rPr>
        <w:t>Polizogopoulos</w:t>
      </w:r>
      <w:proofErr w:type="spellEnd"/>
      <w:r w:rsidRPr="00E730E1">
        <w:rPr>
          <w:rStyle w:val="SCCCounselPartyRoleChar"/>
        </w:rPr>
        <w:t>, for the intervener</w:t>
      </w:r>
      <w:r w:rsidR="00D23D7A" w:rsidRPr="00E730E1">
        <w:rPr>
          <w:rStyle w:val="SCCCounselPartyRoleChar"/>
        </w:rPr>
        <w:t>s</w:t>
      </w:r>
      <w:r w:rsidRPr="00E730E1">
        <w:rPr>
          <w:rStyle w:val="SCCCounselPartyRoleChar"/>
        </w:rPr>
        <w:t xml:space="preserve"> </w:t>
      </w:r>
      <w:r w:rsidR="00D23D7A" w:rsidRPr="00E730E1">
        <w:rPr>
          <w:rStyle w:val="SCCCounselPartyRoleChar"/>
        </w:rPr>
        <w:t xml:space="preserve">the </w:t>
      </w:r>
      <w:r w:rsidRPr="00E730E1">
        <w:rPr>
          <w:rStyle w:val="SCCCounselPartyRoleChar"/>
        </w:rPr>
        <w:t>E</w:t>
      </w:r>
      <w:r w:rsidR="00D23D7A" w:rsidRPr="00E730E1">
        <w:rPr>
          <w:rStyle w:val="SCCCounselPartyRoleChar"/>
        </w:rPr>
        <w:t xml:space="preserve">vangelical Fellowship of Canada and the </w:t>
      </w:r>
      <w:r w:rsidRPr="00E730E1">
        <w:rPr>
          <w:rStyle w:val="SCCCounselPartyRoleChar"/>
        </w:rPr>
        <w:t>Catholic Civil Rights League.</w:t>
      </w:r>
    </w:p>
    <w:p w:rsidR="009B7499" w:rsidRPr="00E730E1" w:rsidRDefault="00D23D7A" w:rsidP="00171C2E">
      <w:pPr>
        <w:pStyle w:val="SCCNormalDoubleSpacing"/>
        <w:widowControl w:val="0"/>
        <w:spacing w:after="480"/>
      </w:pPr>
      <w:r w:rsidRPr="00E730E1">
        <w:rPr>
          <w:rStyle w:val="SCCCounselNameChar"/>
        </w:rPr>
        <w:tab/>
        <w:t xml:space="preserve">Derek </w:t>
      </w:r>
      <w:r w:rsidR="00FA77AC" w:rsidRPr="00E730E1">
        <w:rPr>
          <w:rStyle w:val="SCCCounselNameChar"/>
        </w:rPr>
        <w:t>Ross</w:t>
      </w:r>
      <w:r w:rsidR="00413014" w:rsidRPr="00E730E1">
        <w:rPr>
          <w:rStyle w:val="SCCCounselSeparatorChar"/>
        </w:rPr>
        <w:t xml:space="preserve"> and </w:t>
      </w:r>
      <w:proofErr w:type="spellStart"/>
      <w:r w:rsidR="00FA77AC" w:rsidRPr="00E730E1">
        <w:rPr>
          <w:rStyle w:val="SCCCounselNameChar"/>
        </w:rPr>
        <w:t>Deina</w:t>
      </w:r>
      <w:proofErr w:type="spellEnd"/>
      <w:r w:rsidR="00FA77AC" w:rsidRPr="00E730E1">
        <w:rPr>
          <w:rStyle w:val="SCCCounselNameChar"/>
        </w:rPr>
        <w:t xml:space="preserve"> Warren</w:t>
      </w:r>
      <w:r w:rsidR="00FA77AC" w:rsidRPr="00E730E1">
        <w:rPr>
          <w:rStyle w:val="SCCCounselPartyRoleChar"/>
        </w:rPr>
        <w:t xml:space="preserve">, for the intervener </w:t>
      </w:r>
      <w:r w:rsidRPr="00E730E1">
        <w:rPr>
          <w:rStyle w:val="SCCCounselPartyRoleChar"/>
        </w:rPr>
        <w:t xml:space="preserve">the </w:t>
      </w:r>
      <w:r w:rsidR="00FA77AC" w:rsidRPr="00E730E1">
        <w:rPr>
          <w:rStyle w:val="SCCCounselPartyRoleChar"/>
        </w:rPr>
        <w:t>Christian Legal Fellowship.</w:t>
      </w:r>
    </w:p>
    <w:p w:rsidR="009B7499" w:rsidRPr="00E730E1" w:rsidRDefault="00FA77AC" w:rsidP="00171C2E">
      <w:pPr>
        <w:pStyle w:val="SCCNormalDoubleSpacing"/>
        <w:widowControl w:val="0"/>
        <w:spacing w:after="480"/>
      </w:pPr>
      <w:r w:rsidRPr="00E730E1">
        <w:rPr>
          <w:rStyle w:val="SCCCounselNameChar"/>
        </w:rPr>
        <w:lastRenderedPageBreak/>
        <w:tab/>
        <w:t>Balpreet Singh Boparai</w:t>
      </w:r>
      <w:r w:rsidRPr="00E730E1">
        <w:rPr>
          <w:rStyle w:val="SCCCounselSeparatorChar"/>
        </w:rPr>
        <w:t xml:space="preserve"> and </w:t>
      </w:r>
      <w:proofErr w:type="spellStart"/>
      <w:r w:rsidRPr="00E730E1">
        <w:rPr>
          <w:rStyle w:val="SCCCounselNameChar"/>
        </w:rPr>
        <w:t>Avnish</w:t>
      </w:r>
      <w:proofErr w:type="spellEnd"/>
      <w:r w:rsidRPr="00E730E1">
        <w:rPr>
          <w:rStyle w:val="SCCCounselNameChar"/>
        </w:rPr>
        <w:t xml:space="preserve"> Nanda</w:t>
      </w:r>
      <w:r w:rsidRPr="00E730E1">
        <w:rPr>
          <w:rStyle w:val="SCCCounselPartyRoleChar"/>
        </w:rPr>
        <w:t xml:space="preserve">, for the intervener </w:t>
      </w:r>
      <w:r w:rsidR="00D23D7A" w:rsidRPr="00E730E1">
        <w:rPr>
          <w:rStyle w:val="SCCCounselPartyRoleChar"/>
        </w:rPr>
        <w:t xml:space="preserve">the </w:t>
      </w:r>
      <w:r w:rsidRPr="00E730E1">
        <w:rPr>
          <w:rStyle w:val="SCCCounselPartyRoleChar"/>
        </w:rPr>
        <w:t>World Sikh Organization of Canada.</w:t>
      </w:r>
    </w:p>
    <w:p w:rsidR="00A1085C" w:rsidRPr="00E730E1" w:rsidRDefault="00D23D7A" w:rsidP="00171C2E">
      <w:pPr>
        <w:pStyle w:val="SCCNormalDoubleSpacing"/>
        <w:widowControl w:val="0"/>
        <w:spacing w:after="480"/>
      </w:pPr>
      <w:r w:rsidRPr="00E730E1">
        <w:rPr>
          <w:rStyle w:val="SCCCounselNameChar"/>
        </w:rPr>
        <w:tab/>
        <w:t>Gerald</w:t>
      </w:r>
      <w:r w:rsidR="00FA77AC" w:rsidRPr="00E730E1">
        <w:rPr>
          <w:rStyle w:val="SCCCounselNameChar"/>
        </w:rPr>
        <w:t xml:space="preserve"> </w:t>
      </w:r>
      <w:proofErr w:type="spellStart"/>
      <w:r w:rsidR="00FA77AC" w:rsidRPr="00E730E1">
        <w:rPr>
          <w:rStyle w:val="SCCCounselNameChar"/>
        </w:rPr>
        <w:t>Chipeur</w:t>
      </w:r>
      <w:proofErr w:type="spellEnd"/>
      <w:r w:rsidR="00FA77AC" w:rsidRPr="00E730E1">
        <w:rPr>
          <w:rStyle w:val="SCCCounselNameChar"/>
          <w:i w:val="0"/>
        </w:rPr>
        <w:t>,</w:t>
      </w:r>
      <w:r w:rsidR="00FA77AC" w:rsidRPr="00E730E1">
        <w:rPr>
          <w:rStyle w:val="SCCCounselNameChar"/>
        </w:rPr>
        <w:t xml:space="preserve"> Q.C.</w:t>
      </w:r>
      <w:r w:rsidR="00FA77AC" w:rsidRPr="00E730E1">
        <w:rPr>
          <w:rStyle w:val="SCCCounselSeparatorChar"/>
        </w:rPr>
        <w:t xml:space="preserve">, </w:t>
      </w:r>
      <w:r w:rsidRPr="00E730E1">
        <w:rPr>
          <w:rStyle w:val="SCCCounselSeparatorChar"/>
        </w:rPr>
        <w:t xml:space="preserve">and </w:t>
      </w:r>
      <w:r w:rsidR="00FA77AC" w:rsidRPr="00E730E1">
        <w:rPr>
          <w:rStyle w:val="SCCCounselNameChar"/>
        </w:rPr>
        <w:t>Jonathan Martin</w:t>
      </w:r>
      <w:r w:rsidR="00FA77AC" w:rsidRPr="00E730E1">
        <w:rPr>
          <w:rStyle w:val="SCCCounselPartyRoleChar"/>
        </w:rPr>
        <w:t>, for the intervener</w:t>
      </w:r>
      <w:r w:rsidR="00413014" w:rsidRPr="00E730E1">
        <w:rPr>
          <w:rStyle w:val="SCCCounselPartyRoleChar"/>
        </w:rPr>
        <w:t>s</w:t>
      </w:r>
      <w:r w:rsidR="00FA77AC" w:rsidRPr="00E730E1">
        <w:rPr>
          <w:rStyle w:val="SCCCounselPartyRoleChar"/>
        </w:rPr>
        <w:t xml:space="preserve"> </w:t>
      </w:r>
      <w:r w:rsidR="00796DFD" w:rsidRPr="00E730E1">
        <w:rPr>
          <w:rStyle w:val="SCCCounselPartyRoleChar"/>
        </w:rPr>
        <w:t xml:space="preserve">the </w:t>
      </w:r>
      <w:r w:rsidR="00FA77AC" w:rsidRPr="00E730E1">
        <w:rPr>
          <w:rStyle w:val="SCCCounselPartyRoleChar"/>
        </w:rPr>
        <w:t>Seventh</w:t>
      </w:r>
      <w:r w:rsidR="00940264" w:rsidRPr="00E730E1">
        <w:rPr>
          <w:rStyle w:val="SCCCounselPartyRoleChar"/>
        </w:rPr>
        <w:noBreakHyphen/>
      </w:r>
      <w:r w:rsidR="00247946" w:rsidRPr="00E730E1">
        <w:rPr>
          <w:rStyle w:val="SCCCounselPartyRoleChar"/>
        </w:rPr>
        <w:t>d</w:t>
      </w:r>
      <w:r w:rsidR="00FA77AC" w:rsidRPr="00E730E1">
        <w:rPr>
          <w:rStyle w:val="SCCCounselPartyRoleChar"/>
        </w:rPr>
        <w:t>ay Adventist Church in Canada</w:t>
      </w:r>
      <w:r w:rsidR="00A1085C" w:rsidRPr="00E730E1">
        <w:rPr>
          <w:rStyle w:val="SCCCounselPartyRoleChar"/>
        </w:rPr>
        <w:t xml:space="preserve"> and </w:t>
      </w:r>
      <w:r w:rsidR="00796DFD" w:rsidRPr="00E730E1">
        <w:rPr>
          <w:rStyle w:val="SCCCounselPartyRoleChar"/>
        </w:rPr>
        <w:t xml:space="preserve">the </w:t>
      </w:r>
      <w:r w:rsidR="00A1085C" w:rsidRPr="00E730E1">
        <w:rPr>
          <w:rStyle w:val="SCCCounselPartyRoleChar"/>
        </w:rPr>
        <w:t>Ch</w:t>
      </w:r>
      <w:r w:rsidR="009C69A4" w:rsidRPr="00E730E1">
        <w:rPr>
          <w:rStyle w:val="SCCCounselPartyRoleChar"/>
        </w:rPr>
        <w:t>urch of Jesus Christ of Latter</w:t>
      </w:r>
      <w:r w:rsidR="00940264" w:rsidRPr="00E730E1">
        <w:rPr>
          <w:rStyle w:val="SCCCounselPartyRoleChar"/>
        </w:rPr>
        <w:noBreakHyphen/>
      </w:r>
      <w:r w:rsidR="009C69A4" w:rsidRPr="00E730E1">
        <w:rPr>
          <w:rStyle w:val="SCCCounselPartyRoleChar"/>
        </w:rPr>
        <w:t>d</w:t>
      </w:r>
      <w:r w:rsidR="00A1085C" w:rsidRPr="00E730E1">
        <w:rPr>
          <w:rStyle w:val="SCCCounselPartyRoleChar"/>
        </w:rPr>
        <w:t>ay Saints in Canada.</w:t>
      </w:r>
    </w:p>
    <w:p w:rsidR="009B7499" w:rsidRPr="00E730E1" w:rsidRDefault="00FA77AC" w:rsidP="00171C2E">
      <w:pPr>
        <w:pStyle w:val="SCCNormalDoubleSpacing"/>
        <w:widowControl w:val="0"/>
        <w:spacing w:after="480"/>
      </w:pPr>
      <w:r w:rsidRPr="00E730E1">
        <w:rPr>
          <w:rStyle w:val="SCCCounselNameChar"/>
        </w:rPr>
        <w:tab/>
        <w:t>Jay Cameron</w:t>
      </w:r>
      <w:r w:rsidRPr="00E730E1">
        <w:rPr>
          <w:rStyle w:val="SCCCounselPartyRoleChar"/>
        </w:rPr>
        <w:t xml:space="preserve">, for the intervener </w:t>
      </w:r>
      <w:r w:rsidR="00796DFD" w:rsidRPr="00E730E1">
        <w:rPr>
          <w:rStyle w:val="SCCCounselPartyRoleChar"/>
        </w:rPr>
        <w:t xml:space="preserve">the </w:t>
      </w:r>
      <w:r w:rsidRPr="00E730E1">
        <w:rPr>
          <w:rStyle w:val="SCCCounselPartyRoleChar"/>
        </w:rPr>
        <w:t>Justice Centre for Constitutional Freedoms.</w:t>
      </w:r>
    </w:p>
    <w:p w:rsidR="009B7499" w:rsidRPr="00E730E1" w:rsidRDefault="00413014" w:rsidP="00171C2E">
      <w:pPr>
        <w:pStyle w:val="SCCNormalDoubleSpacing"/>
        <w:widowControl w:val="0"/>
        <w:spacing w:after="480"/>
      </w:pPr>
      <w:r w:rsidRPr="00E730E1">
        <w:rPr>
          <w:rStyle w:val="SCCCounselNameChar"/>
        </w:rPr>
        <w:tab/>
        <w:t>Roy</w:t>
      </w:r>
      <w:r w:rsidR="00FA77AC" w:rsidRPr="00E730E1">
        <w:rPr>
          <w:rStyle w:val="SCCCounselNameChar"/>
        </w:rPr>
        <w:t xml:space="preserve"> Millen</w:t>
      </w:r>
      <w:r w:rsidR="00FA77AC" w:rsidRPr="00E730E1">
        <w:rPr>
          <w:rStyle w:val="SCCCounselSeparatorChar"/>
        </w:rPr>
        <w:t xml:space="preserve"> and </w:t>
      </w:r>
      <w:r w:rsidR="00FA77AC" w:rsidRPr="00E730E1">
        <w:rPr>
          <w:rStyle w:val="SCCCounselNameChar"/>
        </w:rPr>
        <w:t xml:space="preserve">Ariel </w:t>
      </w:r>
      <w:proofErr w:type="spellStart"/>
      <w:r w:rsidR="00FA77AC" w:rsidRPr="00E730E1">
        <w:rPr>
          <w:rStyle w:val="SCCCounselNameChar"/>
        </w:rPr>
        <w:t>Solose</w:t>
      </w:r>
      <w:proofErr w:type="spellEnd"/>
      <w:r w:rsidR="00FA77AC" w:rsidRPr="00E730E1">
        <w:rPr>
          <w:rStyle w:val="SCCCounselPartyRoleChar"/>
        </w:rPr>
        <w:t xml:space="preserve">, for the intervener </w:t>
      </w:r>
      <w:r w:rsidR="00796DFD" w:rsidRPr="00E730E1">
        <w:rPr>
          <w:rStyle w:val="SCCCounselPartyRoleChar"/>
        </w:rPr>
        <w:t xml:space="preserve">the </w:t>
      </w:r>
      <w:r w:rsidR="00FA77AC" w:rsidRPr="00E730E1">
        <w:rPr>
          <w:rStyle w:val="SCCCounselPartyRoleChar"/>
        </w:rPr>
        <w:t>British Columbia Civil Liberties Association.</w:t>
      </w:r>
    </w:p>
    <w:p w:rsidR="009B7499" w:rsidRPr="00DC3A83" w:rsidRDefault="00413014" w:rsidP="00171C2E">
      <w:pPr>
        <w:pStyle w:val="SCCNormalDoubleSpacing"/>
        <w:widowControl w:val="0"/>
        <w:spacing w:after="480"/>
        <w:rPr>
          <w:rStyle w:val="SCCCounselPartyRoleChar"/>
        </w:rPr>
      </w:pPr>
      <w:r w:rsidRPr="00E730E1">
        <w:rPr>
          <w:rStyle w:val="SCCCounselNameChar"/>
        </w:rPr>
        <w:tab/>
      </w:r>
      <w:proofErr w:type="spellStart"/>
      <w:r w:rsidRPr="00E730E1">
        <w:rPr>
          <w:rStyle w:val="SCCCounselNameChar"/>
        </w:rPr>
        <w:t>Shahzad</w:t>
      </w:r>
      <w:proofErr w:type="spellEnd"/>
      <w:r w:rsidR="00FA77AC" w:rsidRPr="00E730E1">
        <w:rPr>
          <w:rStyle w:val="SCCCounselNameChar"/>
        </w:rPr>
        <w:t xml:space="preserve"> Siddiqui</w:t>
      </w:r>
      <w:r w:rsidRPr="00E730E1">
        <w:rPr>
          <w:rStyle w:val="SCCCounselNameChar"/>
        </w:rPr>
        <w:t xml:space="preserve"> </w:t>
      </w:r>
      <w:r w:rsidRPr="00E730E1">
        <w:rPr>
          <w:rStyle w:val="SCCCounselNameChar"/>
          <w:i w:val="0"/>
        </w:rPr>
        <w:t xml:space="preserve">and </w:t>
      </w:r>
      <w:proofErr w:type="spellStart"/>
      <w:r w:rsidRPr="00E730E1">
        <w:rPr>
          <w:rStyle w:val="SCCCounselPartyRoleChar"/>
          <w:i/>
        </w:rPr>
        <w:t>Yavar</w:t>
      </w:r>
      <w:proofErr w:type="spellEnd"/>
      <w:r w:rsidRPr="00E730E1">
        <w:rPr>
          <w:rStyle w:val="SCCCounselPartyRoleChar"/>
          <w:i/>
        </w:rPr>
        <w:t xml:space="preserve"> Hameed</w:t>
      </w:r>
      <w:r w:rsidRPr="00E730E1">
        <w:rPr>
          <w:rStyle w:val="SCCCounselPartyRoleChar"/>
        </w:rPr>
        <w:t>,</w:t>
      </w:r>
      <w:r w:rsidR="00FA77AC" w:rsidRPr="00E730E1">
        <w:rPr>
          <w:rStyle w:val="SCCCounselPartyRoleChar"/>
        </w:rPr>
        <w:t xml:space="preserve"> for the intervener </w:t>
      </w:r>
      <w:r w:rsidR="00796DFD" w:rsidRPr="00E730E1">
        <w:rPr>
          <w:rStyle w:val="SCCCounselPartyRoleChar"/>
        </w:rPr>
        <w:t xml:space="preserve">the </w:t>
      </w:r>
      <w:r w:rsidR="00FA77AC" w:rsidRPr="00E730E1">
        <w:rPr>
          <w:rStyle w:val="SCCCounselPartyRoleChar"/>
        </w:rPr>
        <w:t>Canadian Muslim Lawyers Association.</w:t>
      </w:r>
    </w:p>
    <w:p w:rsidR="00AE206C" w:rsidRPr="00DC3A83" w:rsidRDefault="00DC3A83" w:rsidP="00171C2E">
      <w:pPr>
        <w:pStyle w:val="SCCNormalDoubleSpacing"/>
        <w:widowControl w:val="0"/>
        <w:spacing w:after="480"/>
        <w:rPr>
          <w:rStyle w:val="SCCCounselPartyRoleChar"/>
        </w:rPr>
      </w:pPr>
      <w:r>
        <w:rPr>
          <w:rStyle w:val="SCCCounselPartyRoleChar"/>
        </w:rPr>
        <w:tab/>
      </w:r>
      <w:r w:rsidR="00AE206C" w:rsidRPr="00DC3A83">
        <w:rPr>
          <w:rStyle w:val="SCCCounselPartyRoleChar"/>
        </w:rPr>
        <w:t>The judgment of the Court was delivered by</w:t>
      </w:r>
    </w:p>
    <w:p w:rsidR="00AE206C" w:rsidRPr="00DC3A83" w:rsidRDefault="00AE206C" w:rsidP="00171C2E">
      <w:pPr>
        <w:pStyle w:val="SCCNormalDoubleSpacing"/>
        <w:widowControl w:val="0"/>
        <w:spacing w:after="480"/>
        <w:rPr>
          <w:rStyle w:val="SCCCounselPartyRoleChar"/>
        </w:rPr>
      </w:pPr>
      <w:r w:rsidRPr="00DC3A83">
        <w:rPr>
          <w:rStyle w:val="SCCCounselPartyRoleChar"/>
        </w:rPr>
        <w:tab/>
      </w:r>
      <w:r w:rsidRPr="00DC3A83">
        <w:rPr>
          <w:rStyle w:val="SCCCounselPartyRoleChar"/>
          <w:smallCaps/>
        </w:rPr>
        <w:t>Rowe J</w:t>
      </w:r>
      <w:r w:rsidRPr="00DC3A83">
        <w:rPr>
          <w:rStyle w:val="SCCCounselPartyRoleChar"/>
        </w:rPr>
        <w:t xml:space="preserve">. — </w:t>
      </w:r>
    </w:p>
    <w:p w:rsidR="00AE206C" w:rsidRPr="00540420" w:rsidRDefault="00AE206C" w:rsidP="00171C2E">
      <w:pPr>
        <w:pStyle w:val="Title1LevelTitre1Niveau-AltL"/>
        <w:widowControl w:val="0"/>
        <w:numPr>
          <w:ilvl w:val="0"/>
          <w:numId w:val="3"/>
        </w:numPr>
        <w:jc w:val="left"/>
        <w:rPr>
          <w:rFonts w:cs="Times New Roman"/>
        </w:rPr>
      </w:pPr>
      <w:bookmarkStart w:id="1" w:name="_Toc504655772"/>
      <w:r w:rsidRPr="00540420">
        <w:rPr>
          <w:rFonts w:cs="Times New Roman"/>
        </w:rPr>
        <w:t>Overview</w:t>
      </w:r>
      <w:bookmarkEnd w:id="1"/>
    </w:p>
    <w:p w:rsidR="00AE206C" w:rsidRPr="00540420" w:rsidRDefault="00AE206C" w:rsidP="00171C2E">
      <w:pPr>
        <w:pStyle w:val="ParaNoNdepar-AltN"/>
        <w:widowControl w:val="0"/>
        <w:tabs>
          <w:tab w:val="clear" w:pos="1152"/>
          <w:tab w:val="left" w:pos="1166"/>
        </w:tabs>
        <w:rPr>
          <w:rFonts w:cs="Times New Roman"/>
        </w:rPr>
      </w:pPr>
      <w:r w:rsidRPr="00540420">
        <w:rPr>
          <w:rFonts w:cs="Times New Roman"/>
        </w:rPr>
        <w:t xml:space="preserve">The central question in this appeal is when, if ever, courts have jurisdiction to review the decisions of religious organizations where there are concerns about </w:t>
      </w:r>
      <w:r w:rsidRPr="00540420">
        <w:rPr>
          <w:rFonts w:cs="Times New Roman"/>
        </w:rPr>
        <w:lastRenderedPageBreak/>
        <w:t xml:space="preserve">procedural fairness. In 2014, the appellant, the Judicial Committee of the Highwood Congregation of Jehovah’s Witnesses, disfellowshipped the respondent, Randy Wall, after he admitted that he had engaged in sinful behaviour and was considered to be insufficiently repentant. The Judicial Committee’s decision was confirmed by an Appeal Committee. Mr. Wall brought an originating application for judicial review of the decision to disfellowship him before the Alberta Court of Queen’s Bench. The court first dealt with the issue of whether it had jurisdiction to decide the matter. Both the chambers judge and a majority of the Court of Appeal concluded that the courts had jurisdiction and could proceed to consider the merits of Mr. Wall’s application. </w:t>
      </w:r>
    </w:p>
    <w:p w:rsidR="00AE206C" w:rsidRPr="00540420" w:rsidRDefault="00AE206C" w:rsidP="00171C2E">
      <w:pPr>
        <w:pStyle w:val="ParaNoNdepar-AltN"/>
        <w:widowControl w:val="0"/>
        <w:tabs>
          <w:tab w:val="clear" w:pos="1152"/>
          <w:tab w:val="left" w:pos="1166"/>
        </w:tabs>
        <w:rPr>
          <w:rFonts w:cs="Times New Roman"/>
          <w:lang w:val="en-US"/>
        </w:rPr>
      </w:pPr>
      <w:r w:rsidRPr="00540420">
        <w:rPr>
          <w:rFonts w:cs="Times New Roman"/>
        </w:rPr>
        <w:t>For the reasons that follow, I would allow the appeal.</w:t>
      </w:r>
      <w:r w:rsidRPr="00540420">
        <w:rPr>
          <w:rFonts w:cs="Times New Roman"/>
          <w:lang w:val="en-US"/>
        </w:rPr>
        <w:t xml:space="preserve"> Mr. Wall sought to have the Judicial Committee’s decision reviewed on the basis that the decision was procedurally unfair. There are several reasons why this argument must fail. First, judicial review is limited to public decision makers, which the Judicial Committee is not. Second, there is no free-standing right to have such decisions reviewed on the basis of procedural fairness. In light of the foregoing, Mr. Wall has no cause of action, and, accordingly, the Court of Queen’s Bench has no jurisdiction to set aside the Judicial Committee’s membership decision. Finally, the ecclesiastical issues raised by Mr. Wall are not justiciable. </w:t>
      </w:r>
    </w:p>
    <w:p w:rsidR="00AE206C" w:rsidRPr="00540420" w:rsidRDefault="00AE206C" w:rsidP="00171C2E">
      <w:pPr>
        <w:pStyle w:val="Title1LevelTitre1Niveau-AltL"/>
        <w:widowControl w:val="0"/>
        <w:numPr>
          <w:ilvl w:val="0"/>
          <w:numId w:val="3"/>
        </w:numPr>
        <w:jc w:val="left"/>
        <w:rPr>
          <w:rFonts w:cs="Times New Roman"/>
        </w:rPr>
      </w:pPr>
      <w:bookmarkStart w:id="2" w:name="_Toc320021602"/>
      <w:bookmarkStart w:id="3" w:name="_Toc400026535"/>
      <w:bookmarkStart w:id="4" w:name="_Toc504655773"/>
      <w:r w:rsidRPr="00540420">
        <w:rPr>
          <w:rFonts w:cs="Times New Roman"/>
        </w:rPr>
        <w:t>F</w:t>
      </w:r>
      <w:bookmarkEnd w:id="2"/>
      <w:bookmarkEnd w:id="3"/>
      <w:r w:rsidRPr="00540420">
        <w:rPr>
          <w:rFonts w:cs="Times New Roman"/>
        </w:rPr>
        <w:t>acts and Judicial History</w:t>
      </w:r>
      <w:bookmarkEnd w:id="4"/>
    </w:p>
    <w:p w:rsidR="00AE206C" w:rsidRPr="00540420" w:rsidRDefault="00AE206C" w:rsidP="00171C2E">
      <w:pPr>
        <w:pStyle w:val="ParaNoNdepar-AltN"/>
        <w:widowControl w:val="0"/>
        <w:rPr>
          <w:rFonts w:cs="Times New Roman"/>
        </w:rPr>
      </w:pPr>
      <w:r w:rsidRPr="00540420">
        <w:rPr>
          <w:rFonts w:cs="Times New Roman"/>
        </w:rPr>
        <w:t xml:space="preserve">The Highwood Congregation of Jehovah’s Witnesses (“Congregation”) is an association of about one hundred Jehovah’s Witnesses living in Calgary, Alberta. </w:t>
      </w:r>
      <w:r w:rsidRPr="00540420">
        <w:rPr>
          <w:rFonts w:cs="Times New Roman"/>
        </w:rPr>
        <w:lastRenderedPageBreak/>
        <w:t xml:space="preserve">The Congregation is a voluntary association. It is not incorporated and has no articles of association or by-laws. It has no statutory foundation. It does not own property. No member of the Congregation receives any salary or pecuniary benefit from membership. Congregational activities and spiritual guidance are provided on a volunteer basis by a group of elders. </w:t>
      </w:r>
    </w:p>
    <w:p w:rsidR="00AE206C" w:rsidRPr="00540420" w:rsidRDefault="00AE206C" w:rsidP="00171C2E">
      <w:pPr>
        <w:pStyle w:val="ParaNoNdepar-AltN"/>
        <w:widowControl w:val="0"/>
        <w:rPr>
          <w:rFonts w:cs="Times New Roman"/>
        </w:rPr>
      </w:pPr>
      <w:r w:rsidRPr="00540420">
        <w:rPr>
          <w:rFonts w:cs="Times New Roman"/>
        </w:rPr>
        <w:t xml:space="preserve">To become a member of the Congregation, a person must be baptized and must satisfy the elders that he or she possesses a sufficient understanding of relevant scriptural teachings and is living according to accepted standards of conduct and morality. Where a member deviates from these scriptural standards, elders meet and encourage the member to repent. If the member persists in the behaviour, he or she is asked to appear before a committee of at least three elders of the Congregation. </w:t>
      </w:r>
    </w:p>
    <w:p w:rsidR="00AE206C" w:rsidRPr="00540420" w:rsidRDefault="00AE206C" w:rsidP="00171C2E">
      <w:pPr>
        <w:pStyle w:val="ParaNoNdepar-AltN"/>
        <w:widowControl w:val="0"/>
        <w:rPr>
          <w:rFonts w:cs="Times New Roman"/>
        </w:rPr>
      </w:pPr>
      <w:r w:rsidRPr="00540420">
        <w:rPr>
          <w:rFonts w:cs="Times New Roman"/>
        </w:rPr>
        <w:t>The committee proceedings are not adversarial, but are meant to restore the member to the Congregation. If the elders determine that the member does not exhibit genuine repentance for his or her sins, the member is “disfellowshipped” from the Congregation. Disfellowshipped members may still attend congregational meetings, but within the Congregation they may speak only to their immediate family and limit discussions to non-spiritual matters.</w:t>
      </w:r>
    </w:p>
    <w:p w:rsidR="00AE206C" w:rsidRPr="00540420" w:rsidRDefault="00AE206C" w:rsidP="00171C2E">
      <w:pPr>
        <w:pStyle w:val="ParaNoNdepar-AltN"/>
        <w:widowControl w:val="0"/>
        <w:rPr>
          <w:rFonts w:cs="Times New Roman"/>
        </w:rPr>
      </w:pPr>
      <w:r w:rsidRPr="00540420">
        <w:rPr>
          <w:rFonts w:cs="Times New Roman"/>
        </w:rPr>
        <w:t>Randy Wall became a member of the Congregation in 1980. He remained a member of the Congregation until he was disfellowshipped by the Judicial Committee.</w:t>
      </w:r>
    </w:p>
    <w:p w:rsidR="00AE206C" w:rsidRPr="00540420" w:rsidRDefault="00AE206C" w:rsidP="00171C2E">
      <w:pPr>
        <w:pStyle w:val="ParaNoNdepar-AltN"/>
        <w:widowControl w:val="0"/>
        <w:tabs>
          <w:tab w:val="clear" w:pos="1152"/>
          <w:tab w:val="left" w:pos="1166"/>
        </w:tabs>
        <w:rPr>
          <w:rFonts w:cs="Times New Roman"/>
        </w:rPr>
      </w:pPr>
      <w:r w:rsidRPr="00540420">
        <w:rPr>
          <w:rFonts w:cs="Times New Roman"/>
        </w:rPr>
        <w:lastRenderedPageBreak/>
        <w:t xml:space="preserve">Mr. Wall unsuccessfully appealed the Judicial Committee’s decision to elders of neighbouring congregations (Appeal Committee) and to the Watch Tower Bible and Tract Society of Canada. After the Congregation was informed that the disfellowship was confirmed, Mr. Wall filed an originating application for judicial review pursuant to Rule 3.15 of the </w:t>
      </w:r>
      <w:r w:rsidRPr="00540420">
        <w:rPr>
          <w:rFonts w:cs="Times New Roman"/>
          <w:i/>
        </w:rPr>
        <w:t>Alberta Rules of Court</w:t>
      </w:r>
      <w:r w:rsidRPr="00540420">
        <w:rPr>
          <w:rFonts w:cs="Times New Roman"/>
        </w:rPr>
        <w:t xml:space="preserve">, Alta. Reg. 124/2010, seeking an order of </w:t>
      </w:r>
      <w:r w:rsidRPr="00540420">
        <w:rPr>
          <w:rFonts w:cs="Times New Roman"/>
          <w:i/>
        </w:rPr>
        <w:t>certiorari</w:t>
      </w:r>
      <w:r w:rsidRPr="00540420">
        <w:rPr>
          <w:rFonts w:cs="Times New Roman"/>
        </w:rPr>
        <w:t xml:space="preserve"> quashing and declaring void the Judicial Committee’s decision. In his application, Mr. Wall claimed that the Judicial Committee breached the principles of natural justice and the duty of fairness, and that the decision to disfellowship him affected his work as a realtor as his Jehovah’s Witness clients declined to work with him. </w:t>
      </w:r>
    </w:p>
    <w:p w:rsidR="00AE206C" w:rsidRPr="00540420" w:rsidRDefault="00AE206C" w:rsidP="00171C2E">
      <w:pPr>
        <w:pStyle w:val="ParaNoNdepar-AltN"/>
        <w:widowControl w:val="0"/>
        <w:tabs>
          <w:tab w:val="clear" w:pos="1152"/>
          <w:tab w:val="left" w:pos="1166"/>
        </w:tabs>
        <w:rPr>
          <w:rFonts w:cs="Times New Roman"/>
        </w:rPr>
      </w:pPr>
      <w:r w:rsidRPr="00540420">
        <w:rPr>
          <w:rFonts w:cs="Times New Roman"/>
        </w:rPr>
        <w:t xml:space="preserve">An initial hearing was held to determine whether the Court of Queen’s Bench had jurisdiction. The chambers judge found that the court did have jurisdiction as Mr. Wall’s civil rights might have been affected by the Judicial Committee’s decision: File No. 1401-10225, April 16, 2015. The judge also noted that expert evidence could be heard regarding the interpretation by Jehovah’s Witnesses of Christian scripture as to what is sinful and the scriptural criteria used by elders to determine whether someone said to have sinned has sufficiently repented. </w:t>
      </w:r>
    </w:p>
    <w:p w:rsidR="00AE206C" w:rsidRPr="00540420" w:rsidRDefault="00AE206C" w:rsidP="00171C2E">
      <w:pPr>
        <w:pStyle w:val="ParaNoNdepar-AltN"/>
        <w:widowControl w:val="0"/>
        <w:rPr>
          <w:rFonts w:cs="Times New Roman"/>
        </w:rPr>
      </w:pPr>
      <w:r w:rsidRPr="00540420">
        <w:rPr>
          <w:rFonts w:cs="Times New Roman"/>
        </w:rPr>
        <w:t xml:space="preserve">The majority of the Court of Appeal of Alberta dismissed the Congregation’s appeal, affirming that the Court of Queen’s Bench had jurisdiction to hear Mr. Wall’s originating application for judicial review: 2016 ABCA 255, 43 Alta. L.R. (6th) 33. The majority held that the courts may intervene in decisions of voluntary </w:t>
      </w:r>
      <w:r w:rsidRPr="00540420">
        <w:rPr>
          <w:rFonts w:cs="Times New Roman"/>
        </w:rPr>
        <w:lastRenderedPageBreak/>
        <w:t>organizations concerning membership where property or civil rights are at issue. The majority also held that even where no property or civil rights are engaged, courts may intervene in the decisions of voluntary associations where there is a breach of the rules of natural justice or where the complainant has exhausted internal dispute resolution processes.</w:t>
      </w:r>
    </w:p>
    <w:p w:rsidR="00AE206C" w:rsidRPr="00540420" w:rsidRDefault="00AE206C" w:rsidP="00171C2E">
      <w:pPr>
        <w:pStyle w:val="ParaNoNdepar-AltN"/>
        <w:widowControl w:val="0"/>
        <w:rPr>
          <w:rFonts w:cs="Times New Roman"/>
        </w:rPr>
      </w:pPr>
      <w:r w:rsidRPr="00540420">
        <w:rPr>
          <w:rFonts w:cs="Times New Roman"/>
        </w:rPr>
        <w:t xml:space="preserve">The dissenting judge would have allowed the Congregation’s appeal on the basis that the Judicial Committee is a private actor, and as such is not subject to judicial review, and that in any event, Mr. Wall’s challenge of the Judicial Committee’s decision did not raise a justiciable issue. </w:t>
      </w:r>
    </w:p>
    <w:p w:rsidR="00AE206C" w:rsidRPr="00540420" w:rsidRDefault="00AE206C" w:rsidP="00171C2E">
      <w:pPr>
        <w:pStyle w:val="Title1LevelTitre1Niveau-AltL"/>
        <w:widowControl w:val="0"/>
        <w:numPr>
          <w:ilvl w:val="0"/>
          <w:numId w:val="3"/>
        </w:numPr>
        <w:jc w:val="left"/>
        <w:rPr>
          <w:rFonts w:cs="Times New Roman"/>
        </w:rPr>
      </w:pPr>
      <w:bookmarkStart w:id="5" w:name="_Toc504655774"/>
      <w:r w:rsidRPr="00540420">
        <w:rPr>
          <w:rFonts w:cs="Times New Roman"/>
        </w:rPr>
        <w:t>Question on Appeal</w:t>
      </w:r>
      <w:bookmarkEnd w:id="5"/>
    </w:p>
    <w:p w:rsidR="00AE206C" w:rsidRPr="00540420" w:rsidRDefault="00AE206C" w:rsidP="00171C2E">
      <w:pPr>
        <w:pStyle w:val="ParaNoNdepar-AltN"/>
        <w:widowControl w:val="0"/>
        <w:tabs>
          <w:tab w:val="clear" w:pos="1152"/>
          <w:tab w:val="left" w:pos="1166"/>
        </w:tabs>
        <w:rPr>
          <w:rFonts w:cs="Times New Roman"/>
        </w:rPr>
      </w:pPr>
      <w:r w:rsidRPr="00540420">
        <w:rPr>
          <w:rFonts w:cs="Times New Roman"/>
        </w:rPr>
        <w:t xml:space="preserve">This appeal requires the Court to determine whether it has jurisdiction to judicially review the disfellowship decision for procedural fairness concerns. </w:t>
      </w:r>
    </w:p>
    <w:p w:rsidR="00AE206C" w:rsidRPr="00540420" w:rsidRDefault="00AE206C" w:rsidP="00171C2E">
      <w:pPr>
        <w:pStyle w:val="Title1LevelTitre1Niveau-AltL"/>
        <w:widowControl w:val="0"/>
        <w:rPr>
          <w:rFonts w:cs="Times New Roman"/>
        </w:rPr>
      </w:pPr>
      <w:bookmarkStart w:id="6" w:name="_Toc320021610"/>
      <w:bookmarkStart w:id="7" w:name="_Toc400026543"/>
      <w:bookmarkStart w:id="8" w:name="_Toc504655775"/>
      <w:r w:rsidRPr="00540420">
        <w:rPr>
          <w:rFonts w:cs="Times New Roman"/>
        </w:rPr>
        <w:t>A</w:t>
      </w:r>
      <w:bookmarkEnd w:id="6"/>
      <w:bookmarkEnd w:id="7"/>
      <w:r w:rsidRPr="00540420">
        <w:rPr>
          <w:rFonts w:cs="Times New Roman"/>
        </w:rPr>
        <w:t>nalysis</w:t>
      </w:r>
      <w:bookmarkEnd w:id="8"/>
    </w:p>
    <w:p w:rsidR="00AE206C" w:rsidRPr="00540420" w:rsidRDefault="00AE206C" w:rsidP="00171C2E">
      <w:pPr>
        <w:pStyle w:val="ParaNoNdepar-AltN"/>
        <w:widowControl w:val="0"/>
        <w:tabs>
          <w:tab w:val="clear" w:pos="1152"/>
          <w:tab w:val="left" w:pos="1166"/>
        </w:tabs>
        <w:rPr>
          <w:rFonts w:cs="Times New Roman"/>
        </w:rPr>
      </w:pPr>
      <w:r w:rsidRPr="00540420">
        <w:rPr>
          <w:rFonts w:cs="Times New Roman"/>
        </w:rPr>
        <w:t xml:space="preserve">Courts are not strangers to the review of decision making on the basis of procedural fairness. However, the ability of courts to conduct such a review is subject to certain limits. These reasons address three ways in which the review on the basis of procedural fairness is limited. First, judicial review is reserved for state action. In this case, the Congregation’s Judicial Committee was not exercising statutory authority. Second, there is no free-standing right to procedural fairness. Courts may only interfere </w:t>
      </w:r>
      <w:r w:rsidRPr="00540420">
        <w:rPr>
          <w:rFonts w:cs="Times New Roman"/>
        </w:rPr>
        <w:lastRenderedPageBreak/>
        <w:t>to address the procedural fairness concerns related to the decisions of religious groups or other voluntary associations if legal rights are at stake. Third, even where review is available, the courts will consider only those issues that are justiciable. Issues of theology are not justiciable.</w:t>
      </w:r>
    </w:p>
    <w:p w:rsidR="00AE206C" w:rsidRPr="00540420" w:rsidRDefault="00AE206C" w:rsidP="00171C2E">
      <w:pPr>
        <w:pStyle w:val="Title2LevelTitre2Niveau"/>
        <w:widowControl w:val="0"/>
        <w:rPr>
          <w:rFonts w:cs="Times New Roman"/>
        </w:rPr>
      </w:pPr>
      <w:bookmarkStart w:id="9" w:name="_Toc504655776"/>
      <w:r w:rsidRPr="00540420">
        <w:rPr>
          <w:rFonts w:cs="Times New Roman"/>
        </w:rPr>
        <w:t>The Availability of Judicial Review</w:t>
      </w:r>
      <w:bookmarkEnd w:id="9"/>
      <w:r w:rsidRPr="00540420">
        <w:rPr>
          <w:rFonts w:cs="Times New Roman"/>
        </w:rPr>
        <w:t xml:space="preserve"> </w:t>
      </w:r>
    </w:p>
    <w:p w:rsidR="00AE206C" w:rsidRPr="00540420" w:rsidRDefault="00AE206C" w:rsidP="00171C2E">
      <w:pPr>
        <w:pStyle w:val="ParaNoNdepar-AltN"/>
        <w:widowControl w:val="0"/>
        <w:rPr>
          <w:rFonts w:cs="Times New Roman"/>
        </w:rPr>
      </w:pPr>
      <w:r w:rsidRPr="00540420">
        <w:rPr>
          <w:rFonts w:cs="Times New Roman"/>
        </w:rPr>
        <w:t xml:space="preserve">The purpose of judicial review is to ensure the legality of state decision making: see </w:t>
      </w:r>
      <w:r w:rsidRPr="00540420">
        <w:rPr>
          <w:rFonts w:cs="Times New Roman"/>
          <w:i/>
        </w:rPr>
        <w:t xml:space="preserve">Canada (Attorney General) v. </w:t>
      </w:r>
      <w:proofErr w:type="spellStart"/>
      <w:r w:rsidRPr="00540420">
        <w:rPr>
          <w:rFonts w:cs="Times New Roman"/>
          <w:i/>
        </w:rPr>
        <w:t>TeleZone</w:t>
      </w:r>
      <w:proofErr w:type="spellEnd"/>
      <w:r w:rsidRPr="00540420">
        <w:rPr>
          <w:rFonts w:cs="Times New Roman"/>
          <w:i/>
        </w:rPr>
        <w:t xml:space="preserve"> Inc.</w:t>
      </w:r>
      <w:r w:rsidRPr="00540420">
        <w:rPr>
          <w:rFonts w:cs="Times New Roman"/>
        </w:rPr>
        <w:t xml:space="preserve">, 2010 SCC 62, [2010] 3 S.C.R. 585, at paras. 24 and 26; </w:t>
      </w:r>
      <w:proofErr w:type="spellStart"/>
      <w:r w:rsidRPr="00540420">
        <w:rPr>
          <w:rFonts w:cs="Times New Roman"/>
          <w:i/>
        </w:rPr>
        <w:t>Crevier</w:t>
      </w:r>
      <w:proofErr w:type="spellEnd"/>
      <w:r w:rsidRPr="00540420">
        <w:rPr>
          <w:rFonts w:cs="Times New Roman"/>
          <w:i/>
        </w:rPr>
        <w:t xml:space="preserve"> v. Attorney General of Quebec</w:t>
      </w:r>
      <w:r w:rsidRPr="00540420">
        <w:rPr>
          <w:rFonts w:cs="Times New Roman"/>
        </w:rPr>
        <w:t>, [1981] 2 S.C.R. 220, at pp. 237-38;</w:t>
      </w:r>
      <w:r w:rsidRPr="00540420">
        <w:rPr>
          <w:rFonts w:cs="Times New Roman"/>
          <w:i/>
        </w:rPr>
        <w:t xml:space="preserve"> Knox v. Conservative Party of Canada</w:t>
      </w:r>
      <w:r w:rsidRPr="00540420">
        <w:rPr>
          <w:rFonts w:cs="Times New Roman"/>
        </w:rPr>
        <w:t xml:space="preserve">, 2007 ABCA 295, 422 A.R. 29, at paras. 14-15. </w:t>
      </w:r>
      <w:proofErr w:type="gramStart"/>
      <w:r w:rsidRPr="00540420">
        <w:rPr>
          <w:rFonts w:cs="Times New Roman"/>
        </w:rPr>
        <w:t>Judicial</w:t>
      </w:r>
      <w:proofErr w:type="gramEnd"/>
      <w:r w:rsidRPr="00540420">
        <w:rPr>
          <w:rFonts w:cs="Times New Roman"/>
        </w:rPr>
        <w:t xml:space="preserve"> review is a public law concept that allows s. 96 courts to “engage in surveillance of lower tribunals” in order to ensure that these tribunals respect the rule of law: </w:t>
      </w:r>
      <w:r w:rsidRPr="00540420">
        <w:rPr>
          <w:rFonts w:cs="Times New Roman"/>
          <w:i/>
        </w:rPr>
        <w:t>Knox</w:t>
      </w:r>
      <w:r w:rsidRPr="00540420">
        <w:rPr>
          <w:rFonts w:cs="Times New Roman"/>
        </w:rPr>
        <w:t xml:space="preserve">, at para. 14; </w:t>
      </w:r>
      <w:r w:rsidRPr="00540420">
        <w:rPr>
          <w:rFonts w:cs="Times New Roman"/>
          <w:i/>
        </w:rPr>
        <w:t>Constitution Act, 1867</w:t>
      </w:r>
      <w:r w:rsidRPr="00540420">
        <w:rPr>
          <w:rFonts w:cs="Times New Roman"/>
        </w:rPr>
        <w:t>, s. 96.  The state’s decisions can be reviewed on the basis of procedural fairness or on their substance. The parties in this appeal appropriately conceded that judicial review primarily concerns the relationship between the administrative state and the courts. Private parties cannot seek judicial review to solve disputes that may arise between them; rather, their claims must be founded on a valid cause of action, for example, contract, tort or restitution.</w:t>
      </w:r>
    </w:p>
    <w:p w:rsidR="00AE206C" w:rsidRPr="00540420" w:rsidRDefault="00AE206C" w:rsidP="00171C2E">
      <w:pPr>
        <w:pStyle w:val="ParaNoNdepar-AltN"/>
        <w:widowControl w:val="0"/>
        <w:rPr>
          <w:rFonts w:cs="Times New Roman"/>
        </w:rPr>
      </w:pPr>
      <w:r w:rsidRPr="00540420">
        <w:rPr>
          <w:rFonts w:cs="Times New Roman"/>
        </w:rPr>
        <w:t xml:space="preserve">Not all decisions are amenable to judicial review under a superior court’s supervisory jurisdiction. Judicial review is only available where there is an exercise of state authority and where that exercise is of a sufficiently public character. Even public bodies make some decisions that are private in nature — such as renting premises and </w:t>
      </w:r>
      <w:r w:rsidRPr="00540420">
        <w:rPr>
          <w:rFonts w:cs="Times New Roman"/>
        </w:rPr>
        <w:lastRenderedPageBreak/>
        <w:t xml:space="preserve">hiring staff — and such decisions are not subject to judicial review: </w:t>
      </w:r>
      <w:r w:rsidRPr="00540420">
        <w:rPr>
          <w:rFonts w:cs="Times New Roman"/>
          <w:i/>
        </w:rPr>
        <w:t>Air Canada v. Toronto Port Authority</w:t>
      </w:r>
      <w:r w:rsidRPr="00540420">
        <w:rPr>
          <w:rFonts w:cs="Times New Roman"/>
        </w:rPr>
        <w:t>,</w:t>
      </w:r>
      <w:r w:rsidRPr="00540420">
        <w:rPr>
          <w:rFonts w:cs="Times New Roman"/>
          <w:i/>
        </w:rPr>
        <w:t xml:space="preserve"> </w:t>
      </w:r>
      <w:r w:rsidRPr="00540420">
        <w:rPr>
          <w:rFonts w:cs="Times New Roman"/>
        </w:rPr>
        <w:t>2011 FCA 347, [2013] 3 F.C.R. 605, at para. 52. In making these contractual decisions, the public body is not exercising “a power central to the administrative mandate given to it by Parliament”, but is rather exercising a private power (</w:t>
      </w:r>
      <w:r w:rsidRPr="00540420">
        <w:rPr>
          <w:rFonts w:cs="Times New Roman"/>
          <w:i/>
        </w:rPr>
        <w:t>ibid.</w:t>
      </w:r>
      <w:r w:rsidRPr="00540420">
        <w:rPr>
          <w:rFonts w:cs="Times New Roman"/>
        </w:rPr>
        <w:t xml:space="preserve">).  Such decisions do not involve concerns about the rule of law insofar as this refers to the exercise of delegated authority. </w:t>
      </w:r>
    </w:p>
    <w:p w:rsidR="00AE206C" w:rsidRPr="00540420" w:rsidRDefault="00AE206C" w:rsidP="00171C2E">
      <w:pPr>
        <w:pStyle w:val="ParaNoNdepar-AltN"/>
        <w:widowControl w:val="0"/>
        <w:tabs>
          <w:tab w:val="clear" w:pos="1152"/>
          <w:tab w:val="left" w:pos="1166"/>
        </w:tabs>
        <w:rPr>
          <w:rFonts w:cs="Times New Roman"/>
        </w:rPr>
      </w:pPr>
      <w:r w:rsidRPr="00540420">
        <w:rPr>
          <w:rFonts w:cs="Times New Roman"/>
        </w:rPr>
        <w:t xml:space="preserve">Further, while the private law remedies of declaration or injunction may be sought in an application for judicial review (see, for example, </w:t>
      </w:r>
      <w:r w:rsidRPr="00540420">
        <w:rPr>
          <w:rFonts w:cs="Times New Roman"/>
          <w:i/>
        </w:rPr>
        <w:t>Judicial Review Procedure Act</w:t>
      </w:r>
      <w:r w:rsidRPr="00540420">
        <w:rPr>
          <w:rFonts w:cs="Times New Roman"/>
        </w:rPr>
        <w:t>, R.S.B.C. 1996, c. 241, s. 2(2</w:t>
      </w:r>
      <w:proofErr w:type="gramStart"/>
      <w:r w:rsidRPr="00540420">
        <w:rPr>
          <w:rFonts w:cs="Times New Roman"/>
        </w:rPr>
        <w:t>)(</w:t>
      </w:r>
      <w:proofErr w:type="gramEnd"/>
      <w:r w:rsidRPr="00540420">
        <w:rPr>
          <w:rFonts w:cs="Times New Roman"/>
        </w:rPr>
        <w:t xml:space="preserve">b); </w:t>
      </w:r>
      <w:r w:rsidRPr="00540420">
        <w:rPr>
          <w:rFonts w:cs="Times New Roman"/>
          <w:i/>
        </w:rPr>
        <w:t>Judicial Review Procedure Act</w:t>
      </w:r>
      <w:r w:rsidRPr="00540420">
        <w:rPr>
          <w:rFonts w:cs="Times New Roman"/>
        </w:rPr>
        <w:t>, R.S.O. 1990, c.</w:t>
      </w:r>
      <w:r>
        <w:rPr>
          <w:rFonts w:cs="Times New Roman"/>
        </w:rPr>
        <w:t xml:space="preserve"> J.</w:t>
      </w:r>
      <w:r w:rsidR="00066A41">
        <w:rPr>
          <w:rFonts w:cs="Times New Roman"/>
        </w:rPr>
        <w:t>1, s. 2(1)2</w:t>
      </w:r>
      <w:r w:rsidRPr="00540420">
        <w:rPr>
          <w:rFonts w:cs="Times New Roman"/>
        </w:rPr>
        <w:t xml:space="preserve">; </w:t>
      </w:r>
      <w:r w:rsidRPr="00540420">
        <w:rPr>
          <w:rFonts w:cs="Times New Roman"/>
          <w:i/>
        </w:rPr>
        <w:t>Judicial Review Act</w:t>
      </w:r>
      <w:r w:rsidRPr="00540420">
        <w:rPr>
          <w:rFonts w:cs="Times New Roman"/>
        </w:rPr>
        <w:t xml:space="preserve">, R.S.P.E.I. 1988, c. J-3, ss. 2 and 3(3)), this does not make the reverse true. Public law remedies such as </w:t>
      </w:r>
      <w:r w:rsidRPr="00540420">
        <w:rPr>
          <w:rFonts w:cs="Times New Roman"/>
          <w:i/>
        </w:rPr>
        <w:t>certiorari</w:t>
      </w:r>
      <w:r w:rsidRPr="00540420">
        <w:rPr>
          <w:rFonts w:cs="Times New Roman"/>
        </w:rPr>
        <w:t xml:space="preserve"> may not be granted in litigation relating to contractual or property rights between private parties: </w:t>
      </w:r>
      <w:r w:rsidRPr="00540420">
        <w:rPr>
          <w:rFonts w:cs="Times New Roman"/>
          <w:i/>
        </w:rPr>
        <w:t>Knox</w:t>
      </w:r>
      <w:r w:rsidRPr="00540420">
        <w:rPr>
          <w:rFonts w:cs="Times New Roman"/>
        </w:rPr>
        <w:t>,</w:t>
      </w:r>
      <w:r w:rsidRPr="00540420">
        <w:rPr>
          <w:rFonts w:cs="Times New Roman"/>
          <w:i/>
        </w:rPr>
        <w:t xml:space="preserve"> </w:t>
      </w:r>
      <w:r w:rsidRPr="00540420">
        <w:rPr>
          <w:rFonts w:cs="Times New Roman"/>
        </w:rPr>
        <w:t xml:space="preserve">at para. 17. </w:t>
      </w:r>
      <w:r w:rsidRPr="00540420">
        <w:rPr>
          <w:rFonts w:cs="Times New Roman"/>
          <w:i/>
        </w:rPr>
        <w:t xml:space="preserve">Certiorari </w:t>
      </w:r>
      <w:r w:rsidRPr="00540420">
        <w:rPr>
          <w:rFonts w:cs="Times New Roman"/>
        </w:rPr>
        <w:t xml:space="preserve">is only available where the decision-making power at issue has a sufficiently public character: D. J. M. Brown and J. M. Evans, with the assistance of D. </w:t>
      </w:r>
      <w:proofErr w:type="spellStart"/>
      <w:r w:rsidRPr="00540420">
        <w:rPr>
          <w:rFonts w:cs="Times New Roman"/>
        </w:rPr>
        <w:t>Fairlie</w:t>
      </w:r>
      <w:proofErr w:type="spellEnd"/>
      <w:r w:rsidRPr="00540420">
        <w:rPr>
          <w:rFonts w:cs="Times New Roman"/>
        </w:rPr>
        <w:t>,</w:t>
      </w:r>
      <w:r w:rsidRPr="00540420">
        <w:rPr>
          <w:rFonts w:cs="Times New Roman"/>
          <w:i/>
        </w:rPr>
        <w:t xml:space="preserve"> Judicial Review of Administrative Action in Canada </w:t>
      </w:r>
      <w:r w:rsidRPr="00540420">
        <w:rPr>
          <w:rFonts w:cs="Times New Roman"/>
        </w:rPr>
        <w:t xml:space="preserve">(loose-leaf), at topic 1:2252. </w:t>
      </w:r>
    </w:p>
    <w:p w:rsidR="00AE206C" w:rsidRPr="00540420" w:rsidRDefault="00AE206C" w:rsidP="00171C2E">
      <w:pPr>
        <w:pStyle w:val="ParaNoNdepar-AltN"/>
        <w:widowControl w:val="0"/>
        <w:tabs>
          <w:tab w:val="clear" w:pos="1152"/>
          <w:tab w:val="left" w:pos="1166"/>
        </w:tabs>
        <w:rPr>
          <w:rFonts w:cs="Times New Roman"/>
        </w:rPr>
      </w:pPr>
      <w:r w:rsidRPr="00540420">
        <w:rPr>
          <w:rFonts w:cs="Times New Roman"/>
        </w:rPr>
        <w:t xml:space="preserve">The Attorney General has a right to be heard on an originating application for judicial review, and must be served notice where an application has been filed: </w:t>
      </w:r>
      <w:r w:rsidRPr="00540420">
        <w:rPr>
          <w:rFonts w:cs="Times New Roman"/>
          <w:i/>
        </w:rPr>
        <w:t>Alberta Rules of Court</w:t>
      </w:r>
      <w:r w:rsidRPr="00540420">
        <w:rPr>
          <w:rFonts w:cs="Times New Roman"/>
        </w:rPr>
        <w:t xml:space="preserve">, Rules 3.15 and 3.17. Other originating applications have no such requirements: </w:t>
      </w:r>
      <w:proofErr w:type="gramStart"/>
      <w:r w:rsidRPr="00540420">
        <w:rPr>
          <w:rFonts w:cs="Times New Roman"/>
          <w:i/>
        </w:rPr>
        <w:t>ibid.</w:t>
      </w:r>
      <w:r w:rsidRPr="00540420">
        <w:rPr>
          <w:rFonts w:cs="Times New Roman"/>
        </w:rPr>
        <w:t>,</w:t>
      </w:r>
      <w:proofErr w:type="gramEnd"/>
      <w:r w:rsidRPr="00540420">
        <w:rPr>
          <w:rFonts w:cs="Times New Roman"/>
        </w:rPr>
        <w:t xml:space="preserve"> Rule 3.9. This suggests that judicial review is properly directed at public decision making.  </w:t>
      </w:r>
    </w:p>
    <w:p w:rsidR="00AE206C" w:rsidRPr="00540420" w:rsidRDefault="00AE206C" w:rsidP="00171C2E">
      <w:pPr>
        <w:pStyle w:val="ParaNoNdepar-AltN"/>
        <w:widowControl w:val="0"/>
        <w:tabs>
          <w:tab w:val="clear" w:pos="1152"/>
          <w:tab w:val="left" w:pos="1166"/>
        </w:tabs>
        <w:rPr>
          <w:rFonts w:cs="Times New Roman"/>
        </w:rPr>
      </w:pPr>
      <w:r w:rsidRPr="00540420">
        <w:rPr>
          <w:rFonts w:cs="Times New Roman"/>
        </w:rPr>
        <w:lastRenderedPageBreak/>
        <w:t xml:space="preserve">Although the public law remedy of judicial review is aimed at government decision makers, some Canadian courts, including the courts below, have continued to find that judicial review is available with respect to decisions by churches and other voluntary associations. These decisions can be grouped in two categories according to the arguments relied on in support of the availability of judicial review. Neither line of argument should be taken as authority for the broad proposition that private bodies are subject to judicial review. Both lines of cases fail to recognize that judicial review is about the legality of state decision making. </w:t>
      </w:r>
    </w:p>
    <w:p w:rsidR="00AE206C" w:rsidRPr="00540420" w:rsidRDefault="00AE206C" w:rsidP="00171C2E">
      <w:pPr>
        <w:pStyle w:val="ParaNoNdepar-AltN"/>
        <w:widowControl w:val="0"/>
        <w:rPr>
          <w:rFonts w:cs="Times New Roman"/>
        </w:rPr>
      </w:pPr>
      <w:r w:rsidRPr="00540420">
        <w:rPr>
          <w:rFonts w:cs="Times New Roman"/>
        </w:rPr>
        <w:t xml:space="preserve">The first line of cases relies on the misconception that incorporation by a private Act operates as a statutory grant of authority to churches so constituted: </w:t>
      </w:r>
      <w:proofErr w:type="spellStart"/>
      <w:r w:rsidRPr="00540420">
        <w:rPr>
          <w:rFonts w:cs="Times New Roman"/>
          <w:i/>
        </w:rPr>
        <w:t>Lindenburger</w:t>
      </w:r>
      <w:proofErr w:type="spellEnd"/>
      <w:r w:rsidRPr="00540420">
        <w:rPr>
          <w:rFonts w:cs="Times New Roman"/>
          <w:i/>
        </w:rPr>
        <w:t xml:space="preserve"> v. United Church of Canada </w:t>
      </w:r>
      <w:r w:rsidRPr="00540420">
        <w:rPr>
          <w:rFonts w:cs="Times New Roman"/>
        </w:rPr>
        <w:t xml:space="preserve">(1985), 10 O.A.C. 191 (Div. Ct.), at para. 21; </w:t>
      </w:r>
      <w:r w:rsidRPr="00540420">
        <w:rPr>
          <w:rFonts w:cs="Times New Roman"/>
          <w:i/>
        </w:rPr>
        <w:t>Davis v. United Church of Canada</w:t>
      </w:r>
      <w:r w:rsidRPr="00540420">
        <w:rPr>
          <w:rFonts w:cs="Times New Roman"/>
        </w:rPr>
        <w:t xml:space="preserve"> (1992), 8 O.R. (3d) 75 (Gen. Div.), at p. 78. The purpose of a private Act is to “confer special powers or benefits upon one or more persons or body of persons, or to exclude one or more persons or body of persons from the general application of the law”: Canada, Parliament, House of Commons, </w:t>
      </w:r>
      <w:r w:rsidRPr="00540420">
        <w:rPr>
          <w:rFonts w:cs="Times New Roman"/>
          <w:i/>
        </w:rPr>
        <w:t>House of Commons Procedure and Practice</w:t>
      </w:r>
      <w:r w:rsidRPr="00540420">
        <w:rPr>
          <w:rFonts w:cs="Times New Roman"/>
        </w:rPr>
        <w:t xml:space="preserve"> (2nd ed. 2009), by A. O’Brien and M. Bosc, at p. 1177. Thus, by its nature, a private Act is not a law of general application and its effect can be quite limited. The federal </w:t>
      </w:r>
      <w:r w:rsidRPr="00540420">
        <w:rPr>
          <w:rFonts w:cs="Times New Roman"/>
          <w:i/>
        </w:rPr>
        <w:t>Interpretation Act</w:t>
      </w:r>
      <w:r w:rsidRPr="00540420">
        <w:rPr>
          <w:rFonts w:cs="Times New Roman"/>
        </w:rPr>
        <w:t>, R.S.C. 1985, c</w:t>
      </w:r>
      <w:r>
        <w:rPr>
          <w:rFonts w:cs="Times New Roman"/>
        </w:rPr>
        <w:t>.</w:t>
      </w:r>
      <w:r w:rsidRPr="00540420">
        <w:rPr>
          <w:rFonts w:cs="Times New Roman"/>
        </w:rPr>
        <w:t xml:space="preserve"> I-21, s. 9, states that “[n]o provision in a private Act affects the rights of any person, except only as therein mentioned and referred to.” For instance, </w:t>
      </w:r>
      <w:r w:rsidRPr="00540420">
        <w:rPr>
          <w:rFonts w:cs="Times New Roman"/>
          <w:i/>
        </w:rPr>
        <w:t xml:space="preserve">The United Church of Canada Act </w:t>
      </w:r>
      <w:r w:rsidRPr="00540420">
        <w:rPr>
          <w:rFonts w:cs="Times New Roman"/>
        </w:rPr>
        <w:t xml:space="preserve">(1924), 14 &amp; 15 Geo. 5, c. 100, gives effect to an agreement regarding the transfer of property rights (from the Methodist, Congregationalist and certain Presbyterian </w:t>
      </w:r>
      <w:r w:rsidRPr="00540420">
        <w:rPr>
          <w:rFonts w:cs="Times New Roman"/>
        </w:rPr>
        <w:lastRenderedPageBreak/>
        <w:t xml:space="preserve">churches) upon the creation of the United Church of Canada; it is not a grant of statutory authority. </w:t>
      </w:r>
    </w:p>
    <w:p w:rsidR="00AE206C" w:rsidRPr="00540420" w:rsidRDefault="00AE206C" w:rsidP="00171C2E">
      <w:pPr>
        <w:pStyle w:val="ParaNoNdepar-AltN"/>
        <w:widowControl w:val="0"/>
        <w:tabs>
          <w:tab w:val="clear" w:pos="1152"/>
          <w:tab w:val="left" w:pos="1166"/>
        </w:tabs>
        <w:rPr>
          <w:rFonts w:cs="Times New Roman"/>
        </w:rPr>
      </w:pPr>
      <w:bookmarkStart w:id="10" w:name="_Toc504655777"/>
      <w:r w:rsidRPr="00540420">
        <w:rPr>
          <w:rFonts w:cs="Times New Roman"/>
        </w:rPr>
        <w:t xml:space="preserve">A second line of cases that allows for judicial review of the decisions of voluntary associations that are not incorporated by any Act (public or private) looks only at whether the association or the decision in question is sufficiently public in nature: </w:t>
      </w:r>
      <w:r w:rsidRPr="00540420">
        <w:rPr>
          <w:rFonts w:cs="Times New Roman"/>
          <w:i/>
        </w:rPr>
        <w:t>Graff v. New Democratic Party</w:t>
      </w:r>
      <w:r w:rsidRPr="00540420">
        <w:rPr>
          <w:rFonts w:cs="Times New Roman"/>
        </w:rPr>
        <w:t xml:space="preserve">, 2017 ONSC 3578, at para. 18 (CanLII); </w:t>
      </w:r>
      <w:r w:rsidRPr="00540420">
        <w:rPr>
          <w:rFonts w:cs="Times New Roman"/>
          <w:i/>
        </w:rPr>
        <w:t>Erin Mills Soccer Club v. Ontario Soccer Assn.</w:t>
      </w:r>
      <w:r w:rsidRPr="00540420">
        <w:rPr>
          <w:rFonts w:cs="Times New Roman"/>
        </w:rPr>
        <w:t xml:space="preserve">, 2016 ONSC 7718, 15 Admin. L.R. (6th) 138, at para. 60; </w:t>
      </w:r>
      <w:r w:rsidRPr="00540420">
        <w:rPr>
          <w:rFonts w:cs="Times New Roman"/>
          <w:i/>
        </w:rPr>
        <w:t>West Toronto United Football Club v. Ontario Soccer Association</w:t>
      </w:r>
      <w:r w:rsidRPr="00540420">
        <w:rPr>
          <w:rFonts w:cs="Times New Roman"/>
        </w:rPr>
        <w:t xml:space="preserve">, 2014 ONSC 5881, 327 O.A.C. 29, at paras. 17-18. These cases find their basis in the Ontario Court of Appeal’s decision in </w:t>
      </w:r>
      <w:proofErr w:type="spellStart"/>
      <w:r w:rsidRPr="00540420">
        <w:rPr>
          <w:rFonts w:cs="Times New Roman"/>
          <w:i/>
        </w:rPr>
        <w:t>Setia</w:t>
      </w:r>
      <w:proofErr w:type="spellEnd"/>
      <w:r w:rsidRPr="00540420">
        <w:rPr>
          <w:rFonts w:cs="Times New Roman"/>
          <w:i/>
        </w:rPr>
        <w:t xml:space="preserve"> v. Appleby College</w:t>
      </w:r>
      <w:r w:rsidRPr="00540420">
        <w:rPr>
          <w:rFonts w:cs="Times New Roman"/>
        </w:rPr>
        <w:t xml:space="preserve">, 2013 ONCA 753, 118 O.R. (3d) 481. The court in </w:t>
      </w:r>
      <w:proofErr w:type="spellStart"/>
      <w:r w:rsidRPr="00540420">
        <w:rPr>
          <w:rFonts w:cs="Times New Roman"/>
          <w:i/>
        </w:rPr>
        <w:t>Setia</w:t>
      </w:r>
      <w:proofErr w:type="spellEnd"/>
      <w:r w:rsidRPr="00540420">
        <w:rPr>
          <w:rFonts w:cs="Times New Roman"/>
        </w:rPr>
        <w:t xml:space="preserve"> found that judicial review was not available since the matter did not have a sufficient public dimension despite some indicators to the contrary (such as the existence of a private Act setting up the school) (para. 41).  </w:t>
      </w:r>
    </w:p>
    <w:p w:rsidR="00AE206C" w:rsidRPr="00540420" w:rsidRDefault="00AE206C" w:rsidP="00171C2E">
      <w:pPr>
        <w:pStyle w:val="ParaNoNdepar-AltN"/>
        <w:widowControl w:val="0"/>
        <w:tabs>
          <w:tab w:val="clear" w:pos="1152"/>
          <w:tab w:val="left" w:pos="1166"/>
        </w:tabs>
        <w:rPr>
          <w:rFonts w:cs="Times New Roman"/>
        </w:rPr>
      </w:pPr>
      <w:r w:rsidRPr="00540420">
        <w:rPr>
          <w:rFonts w:cs="Times New Roman"/>
        </w:rPr>
        <w:t xml:space="preserve">In my view, these cases do not make judicial review available for private bodies. Courts have questioned how a private Act — like that for the United Church of Canada — that does not confer statutory authority can attract judicial review: see </w:t>
      </w:r>
      <w:r w:rsidRPr="00540420">
        <w:rPr>
          <w:rFonts w:cs="Times New Roman"/>
          <w:i/>
        </w:rPr>
        <w:t>Greaves v. United Church of God Canada</w:t>
      </w:r>
      <w:r w:rsidRPr="00540420">
        <w:rPr>
          <w:rFonts w:cs="Times New Roman"/>
        </w:rPr>
        <w:t>,</w:t>
      </w:r>
      <w:r w:rsidRPr="00540420">
        <w:rPr>
          <w:rFonts w:cs="Times New Roman"/>
          <w:i/>
        </w:rPr>
        <w:t xml:space="preserve"> </w:t>
      </w:r>
      <w:r w:rsidRPr="00540420">
        <w:rPr>
          <w:rFonts w:cs="Times New Roman"/>
        </w:rPr>
        <w:t xml:space="preserve">2003 BCSC 1365, 27 C.C.E.L. (3d) 46, at para. 29; </w:t>
      </w:r>
      <w:proofErr w:type="spellStart"/>
      <w:r w:rsidRPr="00540420">
        <w:rPr>
          <w:rFonts w:cs="Times New Roman"/>
          <w:i/>
        </w:rPr>
        <w:t>Setia</w:t>
      </w:r>
      <w:proofErr w:type="spellEnd"/>
      <w:r w:rsidRPr="00540420">
        <w:rPr>
          <w:rFonts w:cs="Times New Roman"/>
        </w:rPr>
        <w:t>,</w:t>
      </w:r>
      <w:r w:rsidRPr="00540420">
        <w:rPr>
          <w:rFonts w:cs="Times New Roman"/>
          <w:i/>
        </w:rPr>
        <w:t xml:space="preserve"> </w:t>
      </w:r>
      <w:r w:rsidRPr="00540420">
        <w:rPr>
          <w:rFonts w:cs="Times New Roman"/>
        </w:rPr>
        <w:t xml:space="preserve">at para. 36. The problem with the cases that rely on </w:t>
      </w:r>
      <w:proofErr w:type="spellStart"/>
      <w:r w:rsidRPr="00540420">
        <w:rPr>
          <w:rFonts w:cs="Times New Roman"/>
          <w:i/>
        </w:rPr>
        <w:t>Setia</w:t>
      </w:r>
      <w:proofErr w:type="spellEnd"/>
      <w:r w:rsidRPr="00540420">
        <w:rPr>
          <w:rFonts w:cs="Times New Roman"/>
        </w:rPr>
        <w:t xml:space="preserve"> is that they hold that where a decision has a broad public impact, the decision is of a sufficient public character and is therefore reviewable: </w:t>
      </w:r>
      <w:r w:rsidRPr="00540420">
        <w:rPr>
          <w:rFonts w:cs="Times New Roman"/>
          <w:i/>
        </w:rPr>
        <w:t>Graff</w:t>
      </w:r>
      <w:r w:rsidRPr="00540420">
        <w:rPr>
          <w:rFonts w:cs="Times New Roman"/>
        </w:rPr>
        <w:t xml:space="preserve">, at para. 18; </w:t>
      </w:r>
      <w:r w:rsidRPr="00540420">
        <w:rPr>
          <w:rFonts w:cs="Times New Roman"/>
          <w:i/>
        </w:rPr>
        <w:t>West Toronto United Football Club</w:t>
      </w:r>
      <w:r w:rsidRPr="00540420">
        <w:rPr>
          <w:rFonts w:cs="Times New Roman"/>
        </w:rPr>
        <w:t xml:space="preserve">, at para. 24. These cases fail to distinguish between “public” in a generic </w:t>
      </w:r>
      <w:r w:rsidRPr="00540420">
        <w:rPr>
          <w:rFonts w:cs="Times New Roman"/>
        </w:rPr>
        <w:lastRenderedPageBreak/>
        <w:t xml:space="preserve">sense and “public” in a public law sense.  In my view, a decision will be considered to be public where it involves questions about the rule of law and the limits of an administrative decision maker’s exercise of power. Simply because a decision impacts a broad segment of the public does not mean that it is public in the administrative law sense of the term. Again, judicial review is about the legality of state decision making. </w:t>
      </w:r>
    </w:p>
    <w:p w:rsidR="00AE206C" w:rsidRPr="00540420" w:rsidRDefault="00AE206C" w:rsidP="00171C2E">
      <w:pPr>
        <w:pStyle w:val="ParaNoNdepar-AltN"/>
        <w:widowControl w:val="0"/>
        <w:tabs>
          <w:tab w:val="clear" w:pos="1152"/>
          <w:tab w:val="left" w:pos="1166"/>
        </w:tabs>
        <w:rPr>
          <w:rFonts w:cs="Times New Roman"/>
        </w:rPr>
      </w:pPr>
      <w:r w:rsidRPr="00540420">
        <w:rPr>
          <w:rFonts w:cs="Times New Roman"/>
        </w:rPr>
        <w:t xml:space="preserve">Part of the confusion seems to have arisen from the courts’ reliance on </w:t>
      </w:r>
      <w:r w:rsidRPr="00540420">
        <w:rPr>
          <w:rFonts w:cs="Times New Roman"/>
          <w:i/>
        </w:rPr>
        <w:t xml:space="preserve">Air Canada </w:t>
      </w:r>
      <w:r w:rsidRPr="00540420">
        <w:rPr>
          <w:rFonts w:cs="Times New Roman"/>
        </w:rPr>
        <w:t xml:space="preserve">to determine the “public” nature of the matter at hand.  But, what </w:t>
      </w:r>
      <w:r w:rsidRPr="00540420">
        <w:rPr>
          <w:rFonts w:cs="Times New Roman"/>
          <w:i/>
        </w:rPr>
        <w:t>Air Canada</w:t>
      </w:r>
      <w:r w:rsidRPr="00540420">
        <w:rPr>
          <w:rFonts w:cs="Times New Roman"/>
        </w:rPr>
        <w:t xml:space="preserve"> actually dealt with was the question of whether certain pu</w:t>
      </w:r>
      <w:r>
        <w:rPr>
          <w:rFonts w:cs="Times New Roman"/>
        </w:rPr>
        <w:t>blic entities</w:t>
      </w:r>
      <w:r w:rsidRPr="00540420">
        <w:rPr>
          <w:rFonts w:cs="Times New Roman"/>
        </w:rPr>
        <w:t xml:space="preserve"> were acting as a federal board, commission or tribunal such that the judicial review jurisdiction of the Federal Court was engaged. The proposition that private decisions of a public body will not be subject to judicial review does not make the inverse true. Thus it does not follow that “public” decisions of a private body — in the sense that they have some broad import — will be reviewable. The relevant inquiry is whether the legality of state decision making is at issue. </w:t>
      </w:r>
    </w:p>
    <w:p w:rsidR="00AE206C" w:rsidRPr="00540420" w:rsidRDefault="00AE206C" w:rsidP="00171C2E">
      <w:pPr>
        <w:pStyle w:val="ParaNoNdepar-AltN"/>
        <w:widowControl w:val="0"/>
        <w:rPr>
          <w:rFonts w:cs="Times New Roman"/>
        </w:rPr>
      </w:pPr>
      <w:r w:rsidRPr="00540420">
        <w:rPr>
          <w:rFonts w:cs="Times New Roman"/>
        </w:rPr>
        <w:t xml:space="preserve">The present case raises no issues about the rule of law.  The Congregation has no </w:t>
      </w:r>
      <w:proofErr w:type="spellStart"/>
      <w:r w:rsidRPr="00540420">
        <w:rPr>
          <w:rFonts w:cs="Times New Roman"/>
        </w:rPr>
        <w:t>constating</w:t>
      </w:r>
      <w:proofErr w:type="spellEnd"/>
      <w:r w:rsidRPr="00540420">
        <w:rPr>
          <w:rFonts w:cs="Times New Roman"/>
        </w:rPr>
        <w:t xml:space="preserve"> private Act and the Congregation in no way is exercising state authority.   </w:t>
      </w:r>
    </w:p>
    <w:p w:rsidR="00AE206C" w:rsidRPr="00540420" w:rsidRDefault="00AE206C" w:rsidP="00171C2E">
      <w:pPr>
        <w:pStyle w:val="ParaNoNdepar-AltN"/>
        <w:widowControl w:val="0"/>
        <w:rPr>
          <w:rFonts w:cs="Times New Roman"/>
        </w:rPr>
      </w:pPr>
      <w:r w:rsidRPr="00540420">
        <w:rPr>
          <w:rFonts w:cs="Times New Roman"/>
        </w:rPr>
        <w:t xml:space="preserve">Finally, Mr. Wall submitted before this Court that he was not seeking judicial review, but in his originating application for judicial review this is what he does. In his application, he seeks an order of </w:t>
      </w:r>
      <w:r w:rsidRPr="00540420">
        <w:rPr>
          <w:rFonts w:cs="Times New Roman"/>
          <w:i/>
        </w:rPr>
        <w:t>certiorari</w:t>
      </w:r>
      <w:r w:rsidRPr="00540420">
        <w:rPr>
          <w:rFonts w:cs="Times New Roman"/>
        </w:rPr>
        <w:t xml:space="preserve"> that would quash the disfellowship decision. I recognize that Mr. Wall was unrepresented at the time he filed </w:t>
      </w:r>
      <w:r w:rsidRPr="00540420">
        <w:rPr>
          <w:rFonts w:cs="Times New Roman"/>
        </w:rPr>
        <w:lastRenderedPageBreak/>
        <w:t xml:space="preserve">his application. These comments do not reflect that the basis for my disposition of the appeal is a matter of form alone or is related to semantic errors in the application.  However, the implications of granting an appeal must still be considered. This appeal considers only the question of the court’s jurisdiction; it is not clear what other remedy would be sought if the case were returned to the Court of Queen’s Bench for a hearing on the merits.  However, as I indicate above, judicial review is not available. </w:t>
      </w:r>
    </w:p>
    <w:p w:rsidR="00AE206C" w:rsidRPr="00540420" w:rsidRDefault="00AE206C" w:rsidP="00171C2E">
      <w:pPr>
        <w:pStyle w:val="Title2LevelTitre2Niveau"/>
        <w:widowControl w:val="0"/>
        <w:rPr>
          <w:rFonts w:cs="Times New Roman"/>
        </w:rPr>
      </w:pPr>
      <w:r w:rsidRPr="00540420">
        <w:rPr>
          <w:rFonts w:cs="Times New Roman"/>
        </w:rPr>
        <w:t xml:space="preserve">The Ability of Courts to Review Decisions of Voluntary Associations for Procedural Fairness </w:t>
      </w:r>
      <w:bookmarkEnd w:id="10"/>
    </w:p>
    <w:p w:rsidR="00AE206C" w:rsidRPr="00540420" w:rsidRDefault="00AE206C" w:rsidP="00171C2E">
      <w:pPr>
        <w:pStyle w:val="ParaNoNdepar-AltN"/>
        <w:widowControl w:val="0"/>
        <w:tabs>
          <w:tab w:val="clear" w:pos="1152"/>
          <w:tab w:val="left" w:pos="1166"/>
        </w:tabs>
        <w:rPr>
          <w:rFonts w:cs="Times New Roman"/>
        </w:rPr>
      </w:pPr>
      <w:r w:rsidRPr="00540420">
        <w:rPr>
          <w:rFonts w:cs="Times New Roman"/>
        </w:rPr>
        <w:t>Even if Mr. Wall had filed a standard action by way of statement of claim, his mere membership in a religious organization — where no civil or property right is granted by virtue of such membership — should remain free from court interve</w:t>
      </w:r>
      <w:r w:rsidR="0075183B">
        <w:rPr>
          <w:rFonts w:cs="Times New Roman"/>
        </w:rPr>
        <w:t>ntion. Indeed, there is no free-</w:t>
      </w:r>
      <w:r w:rsidRPr="00540420">
        <w:rPr>
          <w:rFonts w:cs="Times New Roman"/>
        </w:rPr>
        <w:t xml:space="preserve">standing right to procedural fairness with respect to decisions taken by voluntary associations. Jurisdiction cannot be established on the sole basis that there is an alleged breach of natural justice or that the complainant has exhausted the organization’s internal processes. Jurisdiction depends on the presence of a legal right which a party seeks to have vindicated. Only where this is so can the courts consider an association’s adherence to its own procedures and (in certain circumstances) the fairness of those procedures. </w:t>
      </w:r>
    </w:p>
    <w:p w:rsidR="00AE206C" w:rsidRPr="00540420" w:rsidRDefault="00AE206C" w:rsidP="00171C2E">
      <w:pPr>
        <w:pStyle w:val="ParaNoNdepar-AltN"/>
        <w:widowControl w:val="0"/>
        <w:tabs>
          <w:tab w:val="clear" w:pos="1152"/>
          <w:tab w:val="left" w:pos="1166"/>
        </w:tabs>
        <w:rPr>
          <w:rFonts w:cs="Times New Roman"/>
        </w:rPr>
      </w:pPr>
      <w:r w:rsidRPr="00540420">
        <w:rPr>
          <w:rFonts w:cs="Times New Roman"/>
        </w:rPr>
        <w:t xml:space="preserve">The majority in the Court of Appeal </w:t>
      </w:r>
      <w:r w:rsidR="0075183B">
        <w:rPr>
          <w:rFonts w:cs="Times New Roman"/>
        </w:rPr>
        <w:t>held that there was such a free-</w:t>
      </w:r>
      <w:r w:rsidRPr="00540420">
        <w:rPr>
          <w:rFonts w:cs="Times New Roman"/>
        </w:rPr>
        <w:t xml:space="preserve">standing right to procedural fairness. However, the cases on which they relied on do not stand for such a proposition. Almost all of them were cases involving an underlying </w:t>
      </w:r>
      <w:r w:rsidRPr="00540420">
        <w:rPr>
          <w:rFonts w:cs="Times New Roman"/>
        </w:rPr>
        <w:lastRenderedPageBreak/>
        <w:t>legal right, such as wrongful dismissal (</w:t>
      </w:r>
      <w:r w:rsidRPr="00540420">
        <w:rPr>
          <w:rFonts w:cs="Times New Roman"/>
          <w:i/>
        </w:rPr>
        <w:t xml:space="preserve">McCaw v. United Church of Canada </w:t>
      </w:r>
      <w:r w:rsidRPr="00540420">
        <w:rPr>
          <w:rFonts w:cs="Times New Roman"/>
        </w:rPr>
        <w:t xml:space="preserve">(1991), </w:t>
      </w:r>
      <w:r>
        <w:rPr>
          <w:rFonts w:cs="Times New Roman"/>
        </w:rPr>
        <w:t>4 O.R. (3d) 481</w:t>
      </w:r>
      <w:r w:rsidRPr="00540420">
        <w:rPr>
          <w:rFonts w:cs="Times New Roman"/>
        </w:rPr>
        <w:t xml:space="preserve"> (C.A.); </w:t>
      </w:r>
      <w:r w:rsidRPr="00540420">
        <w:rPr>
          <w:rFonts w:cs="Times New Roman"/>
          <w:i/>
        </w:rPr>
        <w:t>Pederson v. Fulton</w:t>
      </w:r>
      <w:r w:rsidRPr="00540420">
        <w:rPr>
          <w:rFonts w:cs="Times New Roman"/>
        </w:rPr>
        <w:t>,</w:t>
      </w:r>
      <w:r w:rsidRPr="00540420">
        <w:rPr>
          <w:rFonts w:cs="Times New Roman"/>
          <w:i/>
        </w:rPr>
        <w:t xml:space="preserve"> </w:t>
      </w:r>
      <w:r w:rsidRPr="00540420">
        <w:rPr>
          <w:rFonts w:cs="Times New Roman"/>
        </w:rPr>
        <w:t>1994 CanLII 7483 (Ont. S.C. (Gen. Div.)), or a statutory cause of action (</w:t>
      </w:r>
      <w:r w:rsidRPr="00540420">
        <w:rPr>
          <w:rFonts w:cs="Times New Roman"/>
          <w:i/>
        </w:rPr>
        <w:t>Lutz v. Faith Lutheran Church of Kelowna</w:t>
      </w:r>
      <w:r w:rsidRPr="00540420">
        <w:rPr>
          <w:rFonts w:cs="Times New Roman"/>
        </w:rPr>
        <w:t xml:space="preserve">, 2009 BCSC 59). Another claim was dismissed on the basis that it was not justiciable as the dispute was ecclesiastical in nature: </w:t>
      </w:r>
      <w:r w:rsidRPr="00540420">
        <w:rPr>
          <w:rFonts w:cs="Times New Roman"/>
          <w:i/>
        </w:rPr>
        <w:t>Hart v. Roman Catholic Episcopal Corp. of the Diocese of Kingston</w:t>
      </w:r>
      <w:r w:rsidRPr="00540420">
        <w:rPr>
          <w:rFonts w:cs="Times New Roman"/>
        </w:rPr>
        <w:t>, 2011 ONCA 728, 285 O.A.C. 354.</w:t>
      </w:r>
    </w:p>
    <w:p w:rsidR="00AE206C" w:rsidRPr="00540420" w:rsidRDefault="00AE206C" w:rsidP="00171C2E">
      <w:pPr>
        <w:pStyle w:val="ParaNoNdepar-AltN"/>
        <w:widowControl w:val="0"/>
        <w:tabs>
          <w:tab w:val="clear" w:pos="1152"/>
          <w:tab w:val="left" w:pos="1166"/>
        </w:tabs>
        <w:rPr>
          <w:rFonts w:cs="Times New Roman"/>
        </w:rPr>
      </w:pPr>
      <w:r w:rsidRPr="00540420">
        <w:rPr>
          <w:rFonts w:cs="Times New Roman"/>
        </w:rPr>
        <w:t xml:space="preserve">In addition, it is clear that the English jurisprudence cited by Mr. Wall similarly requires the presence of an underlying legal right. In </w:t>
      </w:r>
      <w:proofErr w:type="spellStart"/>
      <w:r w:rsidRPr="00540420">
        <w:rPr>
          <w:rFonts w:cs="Times New Roman"/>
          <w:i/>
        </w:rPr>
        <w:t>Shergill</w:t>
      </w:r>
      <w:proofErr w:type="spellEnd"/>
      <w:r w:rsidRPr="00540420">
        <w:rPr>
          <w:rFonts w:cs="Times New Roman"/>
          <w:i/>
        </w:rPr>
        <w:t xml:space="preserve"> v. </w:t>
      </w:r>
      <w:proofErr w:type="spellStart"/>
      <w:r w:rsidRPr="00540420">
        <w:rPr>
          <w:rFonts w:cs="Times New Roman"/>
          <w:i/>
        </w:rPr>
        <w:t>Khaira</w:t>
      </w:r>
      <w:proofErr w:type="spellEnd"/>
      <w:r w:rsidRPr="00540420">
        <w:rPr>
          <w:rFonts w:cs="Times New Roman"/>
        </w:rPr>
        <w:t xml:space="preserve">, [2014] UKSC 33, [2015] A.C. 359, at paras. 46-48, and </w:t>
      </w:r>
      <w:r w:rsidRPr="00540420">
        <w:rPr>
          <w:rFonts w:cs="Times New Roman"/>
          <w:i/>
        </w:rPr>
        <w:t>Lee v. Showmen’s Guild of Great Britain</w:t>
      </w:r>
      <w:r w:rsidRPr="00540420">
        <w:rPr>
          <w:rFonts w:cs="Times New Roman"/>
        </w:rPr>
        <w:t xml:space="preserve">, [1952] 1 All E.R. 1175 (C.A.), the English courts found that the voluntary associations at issue were governed by contract. I do not view </w:t>
      </w:r>
      <w:proofErr w:type="spellStart"/>
      <w:r w:rsidRPr="00540420">
        <w:rPr>
          <w:rFonts w:cs="Times New Roman"/>
          <w:i/>
        </w:rPr>
        <w:t>Shergill</w:t>
      </w:r>
      <w:proofErr w:type="spellEnd"/>
      <w:r w:rsidRPr="00540420">
        <w:rPr>
          <w:rFonts w:cs="Times New Roman"/>
        </w:rPr>
        <w:t xml:space="preserve"> as standing for the proposition that there is a free-standing right to procedural fairness as regards the decisions of religious or other voluntary organizations in the absence of an underlying legal right.  Rather, in </w:t>
      </w:r>
      <w:proofErr w:type="spellStart"/>
      <w:r w:rsidRPr="00540420">
        <w:rPr>
          <w:rFonts w:cs="Times New Roman"/>
          <w:i/>
        </w:rPr>
        <w:t>Shergill</w:t>
      </w:r>
      <w:proofErr w:type="spellEnd"/>
      <w:r w:rsidRPr="00540420">
        <w:rPr>
          <w:rFonts w:cs="Times New Roman"/>
        </w:rPr>
        <w:t xml:space="preserve">, requiring procedural fairness is simply a way of enforcing a contract (para. 48). Similarly, in </w:t>
      </w:r>
      <w:r w:rsidRPr="00540420">
        <w:rPr>
          <w:rFonts w:cs="Times New Roman"/>
          <w:i/>
        </w:rPr>
        <w:t>Lee</w:t>
      </w:r>
      <w:r w:rsidRPr="00540420">
        <w:rPr>
          <w:rFonts w:cs="Times New Roman"/>
        </w:rPr>
        <w:t>, Lord Denning held that “[t]</w:t>
      </w:r>
      <w:proofErr w:type="gramStart"/>
      <w:r w:rsidRPr="00540420">
        <w:rPr>
          <w:rFonts w:cs="Times New Roman"/>
        </w:rPr>
        <w:t>he</w:t>
      </w:r>
      <w:proofErr w:type="gramEnd"/>
      <w:r w:rsidRPr="00540420">
        <w:rPr>
          <w:rFonts w:cs="Times New Roman"/>
        </w:rPr>
        <w:t xml:space="preserve"> jurisdiction of a domestic tribunal, such as the committee of the Showmen’s Guild, must be founded on a contract, express or implied” (p. 1180).</w:t>
      </w:r>
    </w:p>
    <w:p w:rsidR="00AE206C" w:rsidRPr="00540420" w:rsidRDefault="00AE206C" w:rsidP="00171C2E">
      <w:pPr>
        <w:pStyle w:val="ParaNoNdepar-AltN"/>
        <w:widowControl w:val="0"/>
        <w:rPr>
          <w:rFonts w:cs="Times New Roman"/>
        </w:rPr>
      </w:pPr>
      <w:r w:rsidRPr="00540420">
        <w:rPr>
          <w:rFonts w:cs="Times New Roman"/>
        </w:rPr>
        <w:t xml:space="preserve">Mr. Wall argued before this Court that </w:t>
      </w:r>
      <w:r w:rsidRPr="00540420">
        <w:rPr>
          <w:rFonts w:cs="Times New Roman"/>
          <w:i/>
        </w:rPr>
        <w:t xml:space="preserve">Lakeside Colony of </w:t>
      </w:r>
      <w:proofErr w:type="spellStart"/>
      <w:r w:rsidRPr="00540420">
        <w:rPr>
          <w:rFonts w:cs="Times New Roman"/>
          <w:i/>
        </w:rPr>
        <w:t>Hutterian</w:t>
      </w:r>
      <w:proofErr w:type="spellEnd"/>
      <w:r w:rsidRPr="00540420">
        <w:rPr>
          <w:rFonts w:cs="Times New Roman"/>
          <w:i/>
        </w:rPr>
        <w:t xml:space="preserve"> Brethren v. Hofer</w:t>
      </w:r>
      <w:r w:rsidRPr="00540420">
        <w:rPr>
          <w:rFonts w:cs="Times New Roman"/>
        </w:rPr>
        <w:t>,</w:t>
      </w:r>
      <w:r w:rsidRPr="00540420">
        <w:rPr>
          <w:rFonts w:cs="Times New Roman"/>
          <w:i/>
        </w:rPr>
        <w:t xml:space="preserve"> </w:t>
      </w:r>
      <w:r w:rsidRPr="00540420">
        <w:rPr>
          <w:rFonts w:cs="Times New Roman"/>
        </w:rPr>
        <w:t>[1992] 3 S.C.R. 165,</w:t>
      </w:r>
      <w:r w:rsidRPr="00540420">
        <w:rPr>
          <w:rFonts w:cs="Times New Roman"/>
          <w:i/>
        </w:rPr>
        <w:t xml:space="preserve"> </w:t>
      </w:r>
      <w:r w:rsidRPr="00540420">
        <w:rPr>
          <w:rFonts w:cs="Times New Roman"/>
        </w:rPr>
        <w:t xml:space="preserve">could be read as permitting courts to review the decisions of voluntary organizations for procedural fairness concerns where the issues raised were “sufficiently important”, even where no property or contractual right </w:t>
      </w:r>
      <w:r w:rsidRPr="00540420">
        <w:rPr>
          <w:rFonts w:cs="Times New Roman"/>
        </w:rPr>
        <w:lastRenderedPageBreak/>
        <w:t xml:space="preserve">is in issue. This is a misreading of </w:t>
      </w:r>
      <w:r w:rsidRPr="00540420">
        <w:rPr>
          <w:rFonts w:cs="Times New Roman"/>
          <w:i/>
        </w:rPr>
        <w:t>Lakeside Colony</w:t>
      </w:r>
      <w:r w:rsidRPr="00540420">
        <w:rPr>
          <w:rFonts w:cs="Times New Roman"/>
        </w:rPr>
        <w:t xml:space="preserve">. What is required is that a </w:t>
      </w:r>
      <w:r w:rsidRPr="00540420">
        <w:rPr>
          <w:rFonts w:cs="Times New Roman"/>
          <w:i/>
        </w:rPr>
        <w:t>legal right</w:t>
      </w:r>
      <w:r w:rsidRPr="00540420">
        <w:rPr>
          <w:rFonts w:cs="Times New Roman"/>
        </w:rPr>
        <w:t xml:space="preserve"> of sufficient importance — such as a property or contractual right — be at stake: see also </w:t>
      </w:r>
      <w:r w:rsidRPr="00540420">
        <w:rPr>
          <w:rFonts w:cs="Times New Roman"/>
          <w:i/>
        </w:rPr>
        <w:t xml:space="preserve">Ukrainian Greek Orthodox Church of Canada v. Trustees of the Ukrainian Greek Orthodox Cathedral of St. Mary the </w:t>
      </w:r>
      <w:proofErr w:type="spellStart"/>
      <w:r w:rsidRPr="00540420">
        <w:rPr>
          <w:rFonts w:cs="Times New Roman"/>
          <w:i/>
        </w:rPr>
        <w:t>Protectress</w:t>
      </w:r>
      <w:proofErr w:type="spellEnd"/>
      <w:r w:rsidRPr="00540420">
        <w:rPr>
          <w:rFonts w:cs="Times New Roman"/>
        </w:rPr>
        <w:t xml:space="preserve">, [1940] S.C.R. 586. It is not enough that a matter be of “sufficient importance” in some abstract sense. As </w:t>
      </w:r>
      <w:proofErr w:type="spellStart"/>
      <w:r w:rsidRPr="00540420">
        <w:rPr>
          <w:rFonts w:cs="Times New Roman"/>
        </w:rPr>
        <w:t>Gonthier</w:t>
      </w:r>
      <w:proofErr w:type="spellEnd"/>
      <w:r w:rsidRPr="00540420">
        <w:rPr>
          <w:rFonts w:cs="Times New Roman"/>
        </w:rPr>
        <w:t xml:space="preserve"> J. pointed out in </w:t>
      </w:r>
      <w:r w:rsidRPr="00540420">
        <w:rPr>
          <w:rFonts w:cs="Times New Roman"/>
          <w:i/>
        </w:rPr>
        <w:t>Lakeside Colony</w:t>
      </w:r>
      <w:r w:rsidRPr="00540420">
        <w:rPr>
          <w:rFonts w:cs="Times New Roman"/>
        </w:rPr>
        <w:t>, the legal right at issue was of a different nature depending on the perspective from which it was examined: from the colony’s standpoint the dispute involved a property right, while from the members’ standpoint the dispute was contractual in nature. Either way, the criterion of “sufficient importance” was never contemplated as a basis to give jurisdiction to courts absent the determination of legal rights.</w:t>
      </w:r>
      <w:r w:rsidRPr="00540420">
        <w:rPr>
          <w:rFonts w:cs="Times New Roman"/>
          <w:i/>
        </w:rPr>
        <w:t xml:space="preserve"> </w:t>
      </w:r>
      <w:r w:rsidRPr="00540420">
        <w:rPr>
          <w:rFonts w:cs="Times New Roman"/>
        </w:rPr>
        <w:t xml:space="preserve"> </w:t>
      </w:r>
    </w:p>
    <w:p w:rsidR="00AE206C" w:rsidRPr="00540420" w:rsidRDefault="00AE206C" w:rsidP="00171C2E">
      <w:pPr>
        <w:pStyle w:val="ParaNoNdepar-AltN"/>
        <w:widowControl w:val="0"/>
        <w:tabs>
          <w:tab w:val="clear" w:pos="1152"/>
          <w:tab w:val="left" w:pos="1166"/>
        </w:tabs>
        <w:rPr>
          <w:rFonts w:cs="Times New Roman"/>
        </w:rPr>
      </w:pPr>
      <w:r w:rsidRPr="00540420">
        <w:rPr>
          <w:rFonts w:cs="Times New Roman"/>
        </w:rPr>
        <w:t xml:space="preserve">Mr. Wall argues that a contractual right (or something resembling a contractual right) exists between himself and the Congregation. There was no such finding by the chambers judge.  No basis has been shown that Mr. Wall and the Congregation intended to create legal relations. Unlike many other organizations, such as professional associations, the Congregation does not have a written constitution, by-laws or rules that would entitle members to have those agreements enforced in accordance with their terms. In </w:t>
      </w:r>
      <w:proofErr w:type="spellStart"/>
      <w:r w:rsidRPr="00540420">
        <w:rPr>
          <w:rFonts w:cs="Times New Roman"/>
          <w:i/>
        </w:rPr>
        <w:t>Zebroski</w:t>
      </w:r>
      <w:proofErr w:type="spellEnd"/>
      <w:r w:rsidRPr="00540420">
        <w:rPr>
          <w:rFonts w:cs="Times New Roman"/>
          <w:i/>
        </w:rPr>
        <w:t xml:space="preserve"> v. Jehovah’s Witnesses </w:t>
      </w:r>
      <w:r w:rsidRPr="00540420">
        <w:rPr>
          <w:rFonts w:cs="Times New Roman"/>
        </w:rPr>
        <w:t xml:space="preserve">(1988), 87 A.R. 229, at paras. 22-25, the Court of Appeal of Alberta ruled that membership in a similarly constituted congregation did not grant any contractual right in and of itself. The appeal can therefore be distinguished from </w:t>
      </w:r>
      <w:r w:rsidRPr="00540420">
        <w:rPr>
          <w:rFonts w:cs="Times New Roman"/>
          <w:i/>
        </w:rPr>
        <w:t>Hofer v. Hofer</w:t>
      </w:r>
      <w:r w:rsidRPr="00540420">
        <w:rPr>
          <w:rFonts w:cs="Times New Roman"/>
        </w:rPr>
        <w:t>,</w:t>
      </w:r>
      <w:r w:rsidRPr="00540420">
        <w:rPr>
          <w:rFonts w:cs="Times New Roman"/>
          <w:i/>
        </w:rPr>
        <w:t xml:space="preserve"> </w:t>
      </w:r>
      <w:r w:rsidRPr="00540420">
        <w:rPr>
          <w:rFonts w:cs="Times New Roman"/>
        </w:rPr>
        <w:t xml:space="preserve">[1970] S.C.R. 958, at pp. 961 and 963, </w:t>
      </w:r>
      <w:proofErr w:type="spellStart"/>
      <w:r w:rsidRPr="00540420">
        <w:rPr>
          <w:rFonts w:cs="Times New Roman"/>
          <w:i/>
        </w:rPr>
        <w:t>Senez</w:t>
      </w:r>
      <w:proofErr w:type="spellEnd"/>
      <w:r w:rsidRPr="00540420">
        <w:rPr>
          <w:rFonts w:cs="Times New Roman"/>
          <w:i/>
        </w:rPr>
        <w:t xml:space="preserve"> v. Montreal Real Estate Board</w:t>
      </w:r>
      <w:r w:rsidRPr="00540420">
        <w:rPr>
          <w:rFonts w:cs="Times New Roman"/>
        </w:rPr>
        <w:t>,</w:t>
      </w:r>
      <w:r w:rsidRPr="00540420">
        <w:rPr>
          <w:rFonts w:cs="Times New Roman"/>
          <w:i/>
        </w:rPr>
        <w:t xml:space="preserve"> </w:t>
      </w:r>
      <w:r w:rsidRPr="00540420">
        <w:rPr>
          <w:rFonts w:cs="Times New Roman"/>
        </w:rPr>
        <w:t xml:space="preserve">[1980] 2 S.C.R. 555, at pp. 566 and 568, </w:t>
      </w:r>
      <w:r w:rsidRPr="00540420">
        <w:rPr>
          <w:rFonts w:cs="Times New Roman"/>
        </w:rPr>
        <w:lastRenderedPageBreak/>
        <w:t xml:space="preserve">and </w:t>
      </w:r>
      <w:r w:rsidRPr="00540420">
        <w:rPr>
          <w:rFonts w:cs="Times New Roman"/>
          <w:i/>
        </w:rPr>
        <w:t>Lakeside Colony</w:t>
      </w:r>
      <w:r w:rsidRPr="00540420">
        <w:rPr>
          <w:rFonts w:cs="Times New Roman"/>
        </w:rPr>
        <w:t>,</w:t>
      </w:r>
      <w:r w:rsidRPr="00540420">
        <w:rPr>
          <w:rFonts w:cs="Times New Roman"/>
          <w:i/>
        </w:rPr>
        <w:t xml:space="preserve"> </w:t>
      </w:r>
      <w:r w:rsidRPr="00540420">
        <w:rPr>
          <w:rFonts w:cs="Times New Roman"/>
        </w:rPr>
        <w:t xml:space="preserve">at p. 174. In all of these cases, the Court concluded that the terms of these voluntary associations were contractually binding. </w:t>
      </w:r>
    </w:p>
    <w:p w:rsidR="00AE206C" w:rsidRPr="00540420" w:rsidRDefault="00AE206C" w:rsidP="00171C2E">
      <w:pPr>
        <w:pStyle w:val="ParaNoNdepar-AltN"/>
        <w:widowControl w:val="0"/>
        <w:tabs>
          <w:tab w:val="clear" w:pos="1152"/>
          <w:tab w:val="left" w:pos="1166"/>
        </w:tabs>
        <w:rPr>
          <w:rFonts w:cs="Times New Roman"/>
        </w:rPr>
      </w:pPr>
      <w:r w:rsidRPr="00540420">
        <w:rPr>
          <w:rFonts w:cs="Times New Roman"/>
        </w:rPr>
        <w:t xml:space="preserve">Moreover, </w:t>
      </w:r>
      <w:r w:rsidRPr="00540420">
        <w:rPr>
          <w:rFonts w:cs="Times New Roman"/>
          <w:i/>
        </w:rPr>
        <w:t>mere</w:t>
      </w:r>
      <w:r w:rsidRPr="00540420">
        <w:rPr>
          <w:rFonts w:cs="Times New Roman"/>
        </w:rPr>
        <w:t xml:space="preserve"> membership in a religious organization, where no civil or property right is formally granted by virtue of membership, should remain outside the scope of the </w:t>
      </w:r>
      <w:r w:rsidRPr="00540420">
        <w:rPr>
          <w:rFonts w:cs="Times New Roman"/>
          <w:i/>
        </w:rPr>
        <w:t xml:space="preserve">Lakeside Colony </w:t>
      </w:r>
      <w:r w:rsidRPr="00540420">
        <w:rPr>
          <w:rFonts w:cs="Times New Roman"/>
        </w:rPr>
        <w:t>criteria. Otherwise, it would be devoid of its meaning and purpose. In fact, members of a congregation may not think of themselves as entering into a legally enforceable contract by merely adhering to a religious organization, since “[a] religious contract is based on norms that are often faith-based and deeply held”: R. Moon, “</w:t>
      </w:r>
      <w:r w:rsidRPr="00540420">
        <w:rPr>
          <w:rFonts w:cs="Times New Roman"/>
          <w:i/>
        </w:rPr>
        <w:t xml:space="preserve">Bruker v. </w:t>
      </w:r>
      <w:proofErr w:type="spellStart"/>
      <w:r w:rsidRPr="00540420">
        <w:rPr>
          <w:rFonts w:cs="Times New Roman"/>
          <w:i/>
        </w:rPr>
        <w:t>Marcovitz</w:t>
      </w:r>
      <w:proofErr w:type="spellEnd"/>
      <w:r w:rsidRPr="00540420">
        <w:rPr>
          <w:rFonts w:cs="Times New Roman"/>
        </w:rPr>
        <w:t xml:space="preserve">: Divorce and the Marriage of Law and Religion” (2008), 42 </w:t>
      </w:r>
      <w:r w:rsidRPr="00540420">
        <w:rPr>
          <w:rFonts w:cs="Times New Roman"/>
          <w:i/>
        </w:rPr>
        <w:t xml:space="preserve">S.C.L.R. </w:t>
      </w:r>
      <w:r w:rsidRPr="00540420">
        <w:rPr>
          <w:rFonts w:cs="Times New Roman"/>
        </w:rPr>
        <w:t xml:space="preserve">(2d) 37, at p. 45. Where one party alleges that a contract exists, they would have to show that there was an intention to form contractual relations. While this may be more difficult to show in the religious context, the general principles of contract law would apply.  </w:t>
      </w:r>
    </w:p>
    <w:p w:rsidR="00AE206C" w:rsidRPr="00540420" w:rsidRDefault="00AE206C" w:rsidP="00171C2E">
      <w:pPr>
        <w:pStyle w:val="ParaNoNdepar-AltN"/>
        <w:widowControl w:val="0"/>
        <w:tabs>
          <w:tab w:val="clear" w:pos="1152"/>
          <w:tab w:val="left" w:pos="1166"/>
        </w:tabs>
        <w:rPr>
          <w:rFonts w:cs="Times New Roman"/>
        </w:rPr>
      </w:pPr>
      <w:r w:rsidRPr="00540420">
        <w:rPr>
          <w:rFonts w:cs="Times New Roman"/>
        </w:rPr>
        <w:t xml:space="preserve">Before the chambers judge, Mr. Wall also argued his rights are at stake because the Judicial Committee’s decision damaged his economic interests in interfering with his client base. On this point, I would again part ways with the courts below. Mr. Wall had no property right in maintaining his client base. As Justice </w:t>
      </w:r>
      <w:proofErr w:type="spellStart"/>
      <w:r w:rsidRPr="00540420">
        <w:rPr>
          <w:rFonts w:cs="Times New Roman"/>
        </w:rPr>
        <w:t>Wakeling</w:t>
      </w:r>
      <w:proofErr w:type="spellEnd"/>
      <w:r w:rsidRPr="00540420">
        <w:rPr>
          <w:rFonts w:cs="Times New Roman"/>
        </w:rPr>
        <w:t xml:space="preserve"> held in dissent in the court below, Mr. Wall does not have a right to the business of the members of the Congregation: Court of Appeal reasons, at para. 139. For an illustration of this, see </w:t>
      </w:r>
      <w:r w:rsidRPr="00540420">
        <w:rPr>
          <w:rFonts w:cs="Times New Roman"/>
          <w:i/>
        </w:rPr>
        <w:t>Mott-</w:t>
      </w:r>
      <w:proofErr w:type="spellStart"/>
      <w:r w:rsidRPr="00540420">
        <w:rPr>
          <w:rFonts w:cs="Times New Roman"/>
          <w:i/>
        </w:rPr>
        <w:t>Trille</w:t>
      </w:r>
      <w:proofErr w:type="spellEnd"/>
      <w:r w:rsidRPr="00540420">
        <w:rPr>
          <w:rFonts w:cs="Times New Roman"/>
          <w:i/>
        </w:rPr>
        <w:t xml:space="preserve"> v. Steed</w:t>
      </w:r>
      <w:r w:rsidRPr="00540420">
        <w:rPr>
          <w:rFonts w:cs="Times New Roman"/>
        </w:rPr>
        <w:t xml:space="preserve">, [1998] O.J. No. 3583 (C.J. (Gen. Div.)), at paras. 14 and 45, </w:t>
      </w:r>
      <w:proofErr w:type="spellStart"/>
      <w:r w:rsidRPr="00540420">
        <w:rPr>
          <w:rFonts w:cs="Times New Roman"/>
        </w:rPr>
        <w:t>rev’d</w:t>
      </w:r>
      <w:proofErr w:type="spellEnd"/>
      <w:r w:rsidRPr="00540420">
        <w:rPr>
          <w:rFonts w:cs="Times New Roman"/>
        </w:rPr>
        <w:t xml:space="preserve"> on other grounds, 1999 CanLII 2618 (Ont. C.A.). </w:t>
      </w:r>
    </w:p>
    <w:p w:rsidR="00AE206C" w:rsidRPr="00540420" w:rsidRDefault="00AE206C" w:rsidP="00171C2E">
      <w:pPr>
        <w:pStyle w:val="ParaNoNdepar-AltN"/>
        <w:widowControl w:val="0"/>
        <w:tabs>
          <w:tab w:val="clear" w:pos="1152"/>
          <w:tab w:val="left" w:pos="1166"/>
        </w:tabs>
        <w:rPr>
          <w:rFonts w:cs="Times New Roman"/>
        </w:rPr>
      </w:pPr>
      <w:r w:rsidRPr="00540420">
        <w:rPr>
          <w:rFonts w:cs="Times New Roman"/>
        </w:rPr>
        <w:lastRenderedPageBreak/>
        <w:t xml:space="preserve">Had Mr. Wall been able to show that he suffered some detriment or prejudice to his legal rights arising from the Congregation’s membership decision, he could have sought redress under appropriate private law remedies. This is not to say that the Congregation’s actions had no impact on Mr. Wall; I accept his testimony that it did. Rather, the point is that in the circumstances of this case, the negative impact does not give rise to an actionable claim. As such there is no basis for the courts to intervene in the Congregation’s decision-making process; in other words, the matters in issue fall outside the courts’ jurisdiction.  </w:t>
      </w:r>
    </w:p>
    <w:p w:rsidR="00AE206C" w:rsidRPr="00540420" w:rsidRDefault="00AE206C" w:rsidP="00171C2E">
      <w:pPr>
        <w:pStyle w:val="Title2LevelTitre2Niveau"/>
        <w:widowControl w:val="0"/>
        <w:rPr>
          <w:rFonts w:cs="Times New Roman"/>
        </w:rPr>
      </w:pPr>
      <w:r w:rsidRPr="00540420">
        <w:rPr>
          <w:rFonts w:cs="Times New Roman"/>
        </w:rPr>
        <w:t>Justiciability</w:t>
      </w:r>
    </w:p>
    <w:p w:rsidR="00AE206C" w:rsidRPr="00540420" w:rsidRDefault="00AE206C" w:rsidP="00171C2E">
      <w:pPr>
        <w:pStyle w:val="ParaNoNdepar-AltN"/>
        <w:widowControl w:val="0"/>
        <w:rPr>
          <w:rFonts w:cs="Times New Roman"/>
        </w:rPr>
      </w:pPr>
      <w:r w:rsidRPr="00540420">
        <w:rPr>
          <w:rFonts w:cs="Times New Roman"/>
        </w:rPr>
        <w:t xml:space="preserve">This appeal may be allowed for the reasons given above. However, I also offer some supplementary comments on justiciability, given that it was an issue raised by the parties and dealt with at the Court of Appeal. In addition to questions of jurisdiction, justiciability limits the extent to which courts may engage with decisions by voluntary associations even when the intervention is sought only on the basis of procedural fairness. Justiciability relates to the subject matter of a dispute. The general question is this: Is the issue one that is appropriate for a court to decide?  </w:t>
      </w:r>
    </w:p>
    <w:p w:rsidR="00AE206C" w:rsidRPr="00540420" w:rsidRDefault="00AE206C" w:rsidP="00171C2E">
      <w:pPr>
        <w:pStyle w:val="ParaNoNdepar-AltN"/>
        <w:widowControl w:val="0"/>
        <w:rPr>
          <w:rFonts w:cs="Times New Roman"/>
        </w:rPr>
      </w:pPr>
      <w:r w:rsidRPr="00540420">
        <w:rPr>
          <w:rFonts w:cs="Times New Roman"/>
        </w:rPr>
        <w:t xml:space="preserve">Lorne M. </w:t>
      </w:r>
      <w:proofErr w:type="spellStart"/>
      <w:r w:rsidRPr="00540420">
        <w:rPr>
          <w:rFonts w:cs="Times New Roman"/>
        </w:rPr>
        <w:t>Sossin</w:t>
      </w:r>
      <w:proofErr w:type="spellEnd"/>
      <w:r w:rsidRPr="00540420">
        <w:rPr>
          <w:rFonts w:cs="Times New Roman"/>
        </w:rPr>
        <w:t xml:space="preserve"> defines justiciability as</w:t>
      </w:r>
    </w:p>
    <w:p w:rsidR="00AE206C" w:rsidRPr="00540420" w:rsidRDefault="00AE206C" w:rsidP="00171C2E">
      <w:pPr>
        <w:pStyle w:val="Citation-AltC"/>
        <w:widowControl w:val="0"/>
      </w:pPr>
      <w:proofErr w:type="gramStart"/>
      <w:r w:rsidRPr="00540420">
        <w:t>a</w:t>
      </w:r>
      <w:proofErr w:type="gramEnd"/>
      <w:r w:rsidRPr="00540420">
        <w:t xml:space="preserve"> set of judge-made rules, norms and principles delineating the scope of judicial intervention in social, political and economic life. In short, if a subject-matter is held to be suitable for judicial determination, it is said to be justiciable; if a subject-matter is held not to be suitable for judicial determination, it is said to be non-justiciable.  </w:t>
      </w:r>
    </w:p>
    <w:p w:rsidR="00AE206C" w:rsidRPr="00540420" w:rsidRDefault="00AE206C" w:rsidP="00171C2E">
      <w:pPr>
        <w:pStyle w:val="Citation-AltC"/>
        <w:widowControl w:val="0"/>
      </w:pPr>
    </w:p>
    <w:p w:rsidR="00AE206C" w:rsidRPr="00540420" w:rsidRDefault="00AE206C" w:rsidP="00171C2E">
      <w:pPr>
        <w:pStyle w:val="Citation-AltC"/>
        <w:widowControl w:val="0"/>
        <w:ind w:left="0"/>
      </w:pPr>
      <w:r w:rsidRPr="00540420">
        <w:t>(</w:t>
      </w:r>
      <w:r w:rsidRPr="00540420">
        <w:rPr>
          <w:i/>
        </w:rPr>
        <w:t xml:space="preserve">Boundaries of Judicial Review: The Law of Justiciability in Canada </w:t>
      </w:r>
      <w:r w:rsidRPr="00540420">
        <w:t>(2nd ed. 2012</w:t>
      </w:r>
      <w:r>
        <w:t>)</w:t>
      </w:r>
      <w:r w:rsidR="00DF0D1E">
        <w:t>,</w:t>
      </w:r>
      <w:r w:rsidRPr="00540420">
        <w:t xml:space="preserve"> at p. 7) </w:t>
      </w:r>
    </w:p>
    <w:p w:rsidR="00AE206C" w:rsidRPr="00540420" w:rsidRDefault="00AE206C" w:rsidP="00171C2E">
      <w:pPr>
        <w:pStyle w:val="ContinueParaSuitedupar-AltP"/>
        <w:widowControl w:val="0"/>
        <w:rPr>
          <w:rFonts w:cs="Times New Roman"/>
        </w:rPr>
      </w:pPr>
      <w:r w:rsidRPr="00540420">
        <w:rPr>
          <w:rFonts w:cs="Times New Roman"/>
        </w:rPr>
        <w:t>Put more simply, “[j]</w:t>
      </w:r>
      <w:proofErr w:type="spellStart"/>
      <w:r w:rsidRPr="00540420">
        <w:rPr>
          <w:rFonts w:cs="Times New Roman"/>
        </w:rPr>
        <w:t>usticiability</w:t>
      </w:r>
      <w:proofErr w:type="spellEnd"/>
      <w:r w:rsidRPr="00540420">
        <w:rPr>
          <w:rFonts w:cs="Times New Roman"/>
        </w:rPr>
        <w:t xml:space="preserve"> is about deciding whether to decide a matter in the courts”: </w:t>
      </w:r>
      <w:proofErr w:type="gramStart"/>
      <w:r w:rsidRPr="00540420">
        <w:rPr>
          <w:rFonts w:cs="Times New Roman"/>
          <w:i/>
        </w:rPr>
        <w:t>ibid.</w:t>
      </w:r>
      <w:r w:rsidRPr="00540420">
        <w:rPr>
          <w:rFonts w:cs="Times New Roman"/>
        </w:rPr>
        <w:t>,</w:t>
      </w:r>
      <w:proofErr w:type="gramEnd"/>
      <w:r w:rsidRPr="00540420">
        <w:rPr>
          <w:rFonts w:cs="Times New Roman"/>
        </w:rPr>
        <w:t xml:space="preserve"> at p. 1. </w:t>
      </w:r>
    </w:p>
    <w:p w:rsidR="00AE206C" w:rsidRPr="00540420" w:rsidRDefault="00AE206C" w:rsidP="00171C2E">
      <w:pPr>
        <w:pStyle w:val="ParaNoNdepar-AltN"/>
        <w:widowControl w:val="0"/>
        <w:rPr>
          <w:rFonts w:cs="Times New Roman"/>
        </w:rPr>
      </w:pPr>
      <w:r w:rsidRPr="00540420">
        <w:rPr>
          <w:rFonts w:cs="Times New Roman"/>
        </w:rPr>
        <w:t xml:space="preserve">There is no single set of rules delineating the scope of justiciability. Indeed, justiciability depends to some degree on context, and the proper approach to determining justiciability must be flexible. The court should ask whether it has the institutional capacity and legitimacy to adjudicate the matter: see </w:t>
      </w:r>
      <w:proofErr w:type="spellStart"/>
      <w:r w:rsidRPr="00540420">
        <w:rPr>
          <w:rFonts w:cs="Times New Roman"/>
        </w:rPr>
        <w:t>Sossin</w:t>
      </w:r>
      <w:proofErr w:type="spellEnd"/>
      <w:r w:rsidRPr="00540420">
        <w:rPr>
          <w:rFonts w:cs="Times New Roman"/>
        </w:rPr>
        <w:t xml:space="preserve">, at p. 294. In determining this, courts should consider “that the matter before the court would be an economical and efficient investment of judicial resources to resolve, that there is a sufficient factual and evidentiary basis for the claim, that there would be an adequate adversarial presentation of the parties’ positions and that no other administrative or political body has been given prior jurisdiction of the matter by statute” </w:t>
      </w:r>
      <w:r>
        <w:rPr>
          <w:rFonts w:cs="Times New Roman"/>
        </w:rPr>
        <w:t>(</w:t>
      </w:r>
      <w:r w:rsidRPr="00540420">
        <w:rPr>
          <w:rFonts w:cs="Times New Roman"/>
          <w:i/>
        </w:rPr>
        <w:t>ibid</w:t>
      </w:r>
      <w:r>
        <w:rPr>
          <w:rFonts w:cs="Times New Roman"/>
          <w:i/>
        </w:rPr>
        <w:t>.</w:t>
      </w:r>
      <w:r>
        <w:rPr>
          <w:rFonts w:cs="Times New Roman"/>
        </w:rPr>
        <w:t>)</w:t>
      </w:r>
      <w:r w:rsidRPr="00540420">
        <w:rPr>
          <w:rFonts w:cs="Times New Roman"/>
        </w:rPr>
        <w:t xml:space="preserve">.  </w:t>
      </w:r>
    </w:p>
    <w:p w:rsidR="00AE206C" w:rsidRPr="00540420" w:rsidRDefault="00AE206C" w:rsidP="00171C2E">
      <w:pPr>
        <w:pStyle w:val="ParaNoNdepar-AltN"/>
        <w:widowControl w:val="0"/>
        <w:rPr>
          <w:rFonts w:cs="Times New Roman"/>
        </w:rPr>
      </w:pPr>
      <w:r w:rsidRPr="00540420">
        <w:rPr>
          <w:rFonts w:cs="Times New Roman"/>
        </w:rPr>
        <w:t xml:space="preserve">By way of example, the courts may not have the legitimacy to assist in resolving a dispute about the greatest hockey player of all time, about a bridge player who is left out of his regular weekly game night, or about a cousin who thinks she should have been invited to a wedding: Court of Appeal reasons, at paras. 82-84, per </w:t>
      </w:r>
      <w:proofErr w:type="spellStart"/>
      <w:r w:rsidRPr="00540420">
        <w:rPr>
          <w:rFonts w:cs="Times New Roman"/>
        </w:rPr>
        <w:t>Wakeling</w:t>
      </w:r>
      <w:proofErr w:type="spellEnd"/>
      <w:r w:rsidRPr="00540420">
        <w:rPr>
          <w:rFonts w:cs="Times New Roman"/>
        </w:rPr>
        <w:t xml:space="preserve"> J.A. </w:t>
      </w:r>
    </w:p>
    <w:p w:rsidR="00AE206C" w:rsidRPr="00540420" w:rsidRDefault="00AE206C" w:rsidP="00171C2E">
      <w:pPr>
        <w:pStyle w:val="ParaNoNdepar-AltN"/>
        <w:widowControl w:val="0"/>
        <w:tabs>
          <w:tab w:val="clear" w:pos="1152"/>
          <w:tab w:val="left" w:pos="1166"/>
        </w:tabs>
        <w:rPr>
          <w:rFonts w:cs="Times New Roman"/>
        </w:rPr>
      </w:pPr>
      <w:r w:rsidRPr="00540420">
        <w:rPr>
          <w:rFonts w:cs="Times New Roman"/>
        </w:rPr>
        <w:t xml:space="preserve">This Court has considered the relevance of religion to the question of justiciability. In </w:t>
      </w:r>
      <w:r w:rsidRPr="00540420">
        <w:rPr>
          <w:rFonts w:cs="Times New Roman"/>
          <w:i/>
        </w:rPr>
        <w:t>Bruker</w:t>
      </w:r>
      <w:r w:rsidRPr="00540420">
        <w:rPr>
          <w:rFonts w:cs="Times New Roman"/>
        </w:rPr>
        <w:t xml:space="preserve"> </w:t>
      </w:r>
      <w:r w:rsidRPr="00DF0D1E">
        <w:rPr>
          <w:rFonts w:cs="Times New Roman"/>
          <w:i/>
        </w:rPr>
        <w:t>v.</w:t>
      </w:r>
      <w:r w:rsidRPr="00540420">
        <w:rPr>
          <w:rFonts w:cs="Times New Roman"/>
        </w:rPr>
        <w:t xml:space="preserve"> </w:t>
      </w:r>
      <w:proofErr w:type="spellStart"/>
      <w:r w:rsidRPr="00540420">
        <w:rPr>
          <w:rFonts w:cs="Times New Roman"/>
          <w:i/>
        </w:rPr>
        <w:t>Marcovitz</w:t>
      </w:r>
      <w:proofErr w:type="spellEnd"/>
      <w:r w:rsidRPr="00540420">
        <w:rPr>
          <w:rFonts w:cs="Times New Roman"/>
        </w:rPr>
        <w:t xml:space="preserve">, 2007 SCC 54, [2007] 3 S.C.R. 607, at para. 41, </w:t>
      </w:r>
      <w:r w:rsidRPr="00540420">
        <w:rPr>
          <w:rFonts w:cs="Times New Roman"/>
        </w:rPr>
        <w:lastRenderedPageBreak/>
        <w:t xml:space="preserve">Justice Abella stated: “The fact that a dispute has a religious aspect does not by itself make it non-justiciable.” That being said, courts should not decide matters of religious dogma. As this Court noted in </w:t>
      </w:r>
      <w:proofErr w:type="spellStart"/>
      <w:r w:rsidRPr="00540420">
        <w:rPr>
          <w:rFonts w:cs="Times New Roman"/>
          <w:i/>
        </w:rPr>
        <w:t>Syndicat</w:t>
      </w:r>
      <w:proofErr w:type="spellEnd"/>
      <w:r w:rsidRPr="00540420">
        <w:rPr>
          <w:rFonts w:cs="Times New Roman"/>
          <w:i/>
        </w:rPr>
        <w:t xml:space="preserve"> </w:t>
      </w:r>
      <w:proofErr w:type="spellStart"/>
      <w:r w:rsidRPr="00540420">
        <w:rPr>
          <w:rFonts w:cs="Times New Roman"/>
          <w:i/>
        </w:rPr>
        <w:t>Northcrest</w:t>
      </w:r>
      <w:proofErr w:type="spellEnd"/>
      <w:r w:rsidRPr="00540420">
        <w:rPr>
          <w:rFonts w:cs="Times New Roman"/>
          <w:i/>
        </w:rPr>
        <w:t xml:space="preserve"> v. </w:t>
      </w:r>
      <w:proofErr w:type="spellStart"/>
      <w:r w:rsidRPr="00540420">
        <w:rPr>
          <w:rFonts w:cs="Times New Roman"/>
          <w:i/>
        </w:rPr>
        <w:t>Amselem</w:t>
      </w:r>
      <w:proofErr w:type="spellEnd"/>
      <w:r w:rsidRPr="00540420">
        <w:rPr>
          <w:rFonts w:cs="Times New Roman"/>
        </w:rPr>
        <w:t>, 2004 SCC 47, [2004] 2 S.C.R</w:t>
      </w:r>
      <w:r w:rsidR="00DF0D1E">
        <w:rPr>
          <w:rFonts w:cs="Times New Roman"/>
        </w:rPr>
        <w:t>. 551, at para. 50:</w:t>
      </w:r>
      <w:r w:rsidRPr="00540420">
        <w:rPr>
          <w:rFonts w:cs="Times New Roman"/>
        </w:rPr>
        <w:t xml:space="preserve"> “Secular judicial determinations of theological or religious disputes, or of contentious matters of religious doctrine, unjustifiably entangle the court in the affairs of religion.”</w:t>
      </w:r>
      <w:r w:rsidRPr="00540420">
        <w:rPr>
          <w:rFonts w:cs="Times New Roman"/>
          <w:i/>
        </w:rPr>
        <w:t xml:space="preserve"> </w:t>
      </w:r>
      <w:r w:rsidRPr="00540420">
        <w:rPr>
          <w:rFonts w:cs="Times New Roman"/>
        </w:rPr>
        <w:t xml:space="preserve"> The courts have neither legitimacy nor institutional capacity to deal with such issues, and have repeatedly declined to consider them: see </w:t>
      </w:r>
      <w:proofErr w:type="spellStart"/>
      <w:r w:rsidRPr="00540420">
        <w:rPr>
          <w:rFonts w:cs="Times New Roman"/>
          <w:i/>
        </w:rPr>
        <w:t>Demiris</w:t>
      </w:r>
      <w:proofErr w:type="spellEnd"/>
      <w:r w:rsidRPr="00540420">
        <w:rPr>
          <w:rFonts w:cs="Times New Roman"/>
          <w:i/>
        </w:rPr>
        <w:t xml:space="preserve"> v. Hellenic Community of Vancouver</w:t>
      </w:r>
      <w:r w:rsidRPr="00540420">
        <w:rPr>
          <w:rFonts w:cs="Times New Roman"/>
        </w:rPr>
        <w:t>, 2000 BCSC 733, at para. 33 (</w:t>
      </w:r>
      <w:proofErr w:type="spellStart"/>
      <w:r w:rsidRPr="00540420">
        <w:rPr>
          <w:rFonts w:cs="Times New Roman"/>
        </w:rPr>
        <w:t>CanLII</w:t>
      </w:r>
      <w:proofErr w:type="spellEnd"/>
      <w:r w:rsidRPr="00540420">
        <w:rPr>
          <w:rFonts w:cs="Times New Roman"/>
        </w:rPr>
        <w:t xml:space="preserve">); </w:t>
      </w:r>
      <w:proofErr w:type="spellStart"/>
      <w:r w:rsidRPr="00540420">
        <w:rPr>
          <w:rFonts w:cs="Times New Roman"/>
          <w:i/>
        </w:rPr>
        <w:t>Amselem</w:t>
      </w:r>
      <w:proofErr w:type="spellEnd"/>
      <w:r w:rsidRPr="00540420">
        <w:rPr>
          <w:rFonts w:cs="Times New Roman"/>
        </w:rPr>
        <w:t xml:space="preserve">, at paras. 49-51. </w:t>
      </w:r>
    </w:p>
    <w:p w:rsidR="00AE206C" w:rsidRPr="00540420" w:rsidRDefault="00AE206C" w:rsidP="00171C2E">
      <w:pPr>
        <w:pStyle w:val="ParaNoNdepar-AltN"/>
        <w:widowControl w:val="0"/>
        <w:rPr>
          <w:rFonts w:cs="Times New Roman"/>
        </w:rPr>
      </w:pPr>
      <w:r w:rsidRPr="00540420">
        <w:rPr>
          <w:rFonts w:cs="Times New Roman"/>
        </w:rPr>
        <w:t xml:space="preserve">In </w:t>
      </w:r>
      <w:r w:rsidRPr="00540420">
        <w:rPr>
          <w:rFonts w:cs="Times New Roman"/>
          <w:i/>
        </w:rPr>
        <w:t>Lakeside Colony</w:t>
      </w:r>
      <w:r w:rsidRPr="00540420">
        <w:rPr>
          <w:rFonts w:cs="Times New Roman"/>
        </w:rPr>
        <w:t>, this Court held (at p. 175 (emphasis added)):</w:t>
      </w:r>
    </w:p>
    <w:p w:rsidR="00AE206C" w:rsidRPr="00540420" w:rsidRDefault="00AE206C" w:rsidP="00171C2E">
      <w:pPr>
        <w:pStyle w:val="Citation-AltC"/>
        <w:widowControl w:val="0"/>
        <w:ind w:firstLine="274"/>
      </w:pPr>
      <w:r w:rsidRPr="00540420">
        <w:t xml:space="preserve">In deciding the membership or residence status of the defendants, the court must determine whether they have been validly expelled from the colony. </w:t>
      </w:r>
      <w:r w:rsidRPr="00540420">
        <w:rPr>
          <w:u w:val="single"/>
        </w:rPr>
        <w:t>It is not incumbent on the court to review the merits of the decision to expel.</w:t>
      </w:r>
      <w:r w:rsidRPr="00540420">
        <w:t xml:space="preserve"> It is, however, called upon to determine whether the purported expulsion was carried out according to the applicable rules, with regard to the principles of natural justice, and without </w:t>
      </w:r>
      <w:r w:rsidRPr="00540420">
        <w:rPr>
          <w:i/>
        </w:rPr>
        <w:t>mala fides</w:t>
      </w:r>
      <w:r w:rsidRPr="00540420">
        <w:t xml:space="preserve">. This standard goes back at least to this statement by Stirling J. in </w:t>
      </w:r>
      <w:r w:rsidRPr="00540420">
        <w:rPr>
          <w:i/>
        </w:rPr>
        <w:t xml:space="preserve">Baird v. Wells </w:t>
      </w:r>
      <w:r w:rsidRPr="00540420">
        <w:t>(1890), 44 Ch. D. 661, at p. 670:</w:t>
      </w:r>
    </w:p>
    <w:p w:rsidR="00AE206C" w:rsidRPr="00540420" w:rsidRDefault="00AE206C" w:rsidP="00171C2E">
      <w:pPr>
        <w:pStyle w:val="Citation-AltC"/>
        <w:widowControl w:val="0"/>
        <w:ind w:firstLine="274"/>
      </w:pPr>
    </w:p>
    <w:p w:rsidR="00AE206C" w:rsidRPr="00540420" w:rsidRDefault="00AE206C" w:rsidP="00171C2E">
      <w:pPr>
        <w:pStyle w:val="Citation-AltC"/>
        <w:widowControl w:val="0"/>
        <w:ind w:left="1440"/>
      </w:pPr>
      <w:r w:rsidRPr="00540420">
        <w:t xml:space="preserve">The only questions which this Court can entertain are: first, whether the rules of the club have been observed; secondly, whether anything has been done contrary to natural justice; and, thirdly, whether the decision complained of has been come to </w:t>
      </w:r>
      <w:r w:rsidRPr="00540420">
        <w:rPr>
          <w:i/>
        </w:rPr>
        <w:t>bona fide</w:t>
      </w:r>
      <w:r w:rsidRPr="00540420">
        <w:t>.</w:t>
      </w:r>
    </w:p>
    <w:p w:rsidR="00AE206C" w:rsidRPr="00540420" w:rsidRDefault="00AE206C" w:rsidP="00171C2E">
      <w:pPr>
        <w:pStyle w:val="ContinueParaSuitedupar-AltP"/>
        <w:widowControl w:val="0"/>
        <w:rPr>
          <w:rFonts w:cs="Times New Roman"/>
        </w:rPr>
      </w:pPr>
      <w:r w:rsidRPr="00540420">
        <w:rPr>
          <w:rFonts w:cs="Times New Roman"/>
        </w:rPr>
        <w:t xml:space="preserve">The foregoing passage makes clear that the courts will not consider the merits of a religious tenet; such matters are not justiciable. </w:t>
      </w:r>
    </w:p>
    <w:p w:rsidR="00AE206C" w:rsidRPr="00540420" w:rsidRDefault="00AE206C" w:rsidP="00171C2E">
      <w:pPr>
        <w:pStyle w:val="ParaNoNdepar-AltN"/>
        <w:widowControl w:val="0"/>
        <w:rPr>
          <w:rFonts w:cs="Times New Roman"/>
        </w:rPr>
      </w:pPr>
      <w:r w:rsidRPr="00540420">
        <w:rPr>
          <w:rFonts w:cs="Times New Roman"/>
        </w:rPr>
        <w:t xml:space="preserve">In addition, sometimes even the procedural rules of a particular religious </w:t>
      </w:r>
      <w:r w:rsidRPr="00540420">
        <w:rPr>
          <w:rFonts w:cs="Times New Roman"/>
        </w:rPr>
        <w:lastRenderedPageBreak/>
        <w:t xml:space="preserve">group may involve the interpretation of religious doctrine. For instance, the </w:t>
      </w:r>
      <w:r w:rsidRPr="00540420">
        <w:rPr>
          <w:rFonts w:cs="Times New Roman"/>
          <w:i/>
        </w:rPr>
        <w:t>Organized to Do Jehovah’s Will</w:t>
      </w:r>
      <w:r w:rsidRPr="00540420">
        <w:rPr>
          <w:rFonts w:cs="Times New Roman"/>
        </w:rPr>
        <w:t xml:space="preserve"> handbook (2005) outlines the procedure to be followed in cases of serious wrongdoing: “After taking the steps outlined at Matthew 18:15, 16, some individual brothers or sisters may report to the elders cases of unresolved serious wrongdoing” (p. 151). The courts lack the legitimacy and institutional capacity to determine whether the steps outlined in Matthew have been followed. These types of procedural issues are also not justiciable. That being said, courts may still review procedural rules where they are based on a contract between two parties, even where the contract is meant to give effect to doctrinal religious principles: </w:t>
      </w:r>
      <w:proofErr w:type="spellStart"/>
      <w:r w:rsidRPr="00540420">
        <w:rPr>
          <w:rFonts w:cs="Times New Roman"/>
          <w:i/>
        </w:rPr>
        <w:t>Marcovitz</w:t>
      </w:r>
      <w:proofErr w:type="spellEnd"/>
      <w:r w:rsidRPr="00540420">
        <w:rPr>
          <w:rFonts w:cs="Times New Roman"/>
        </w:rPr>
        <w:t>, at para. 47. But here, Mr. Wall has not shown that his legal rights were at stake.</w:t>
      </w:r>
    </w:p>
    <w:p w:rsidR="00AE206C" w:rsidRPr="00540420" w:rsidRDefault="00AE206C" w:rsidP="00171C2E">
      <w:pPr>
        <w:pStyle w:val="ParaNoNdepar-AltN"/>
        <w:widowControl w:val="0"/>
        <w:rPr>
          <w:rFonts w:cs="Times New Roman"/>
        </w:rPr>
      </w:pPr>
      <w:r w:rsidRPr="00540420">
        <w:rPr>
          <w:rFonts w:cs="Times New Roman"/>
        </w:rPr>
        <w:t>Justiciability was raised in another way. Both the Congregation and Mr. Wall argued that their freedom of religion and freedom of association should inform this Court’s decision. The dissenting justice in the Court of Appeal made comments on this basis and suggested that religious matters were not justiciable due in part to the protection of freedom of religion in s. 2(</w:t>
      </w:r>
      <w:r w:rsidRPr="00540420">
        <w:rPr>
          <w:rFonts w:cs="Times New Roman"/>
          <w:i/>
        </w:rPr>
        <w:t>a</w:t>
      </w:r>
      <w:r w:rsidRPr="00540420">
        <w:rPr>
          <w:rFonts w:cs="Times New Roman"/>
        </w:rPr>
        <w:t xml:space="preserve">) of the </w:t>
      </w:r>
      <w:r w:rsidRPr="00540420">
        <w:rPr>
          <w:rFonts w:cs="Times New Roman"/>
          <w:i/>
        </w:rPr>
        <w:t>Canadian Charter of Rights and Freedoms</w:t>
      </w:r>
      <w:r w:rsidRPr="00540420">
        <w:rPr>
          <w:rFonts w:cs="Times New Roman"/>
        </w:rPr>
        <w:t xml:space="preserve">. As this Court held in </w:t>
      </w:r>
      <w:r w:rsidRPr="00540420">
        <w:rPr>
          <w:rFonts w:cs="Times New Roman"/>
          <w:i/>
        </w:rPr>
        <w:t>RWDSU v. Dolphin Delivery Ltd.</w:t>
      </w:r>
      <w:r w:rsidRPr="00540420">
        <w:rPr>
          <w:rFonts w:cs="Times New Roman"/>
        </w:rPr>
        <w:t xml:space="preserve">, [1986] 2 S.C.R. 573, at p. 603, the </w:t>
      </w:r>
      <w:r w:rsidRPr="00540420">
        <w:rPr>
          <w:rFonts w:cs="Times New Roman"/>
          <w:i/>
        </w:rPr>
        <w:t xml:space="preserve">Charter </w:t>
      </w:r>
      <w:r w:rsidRPr="00540420">
        <w:rPr>
          <w:rFonts w:cs="Times New Roman"/>
        </w:rPr>
        <w:t xml:space="preserve">does not apply to private litigation. Section 32 specifies that the </w:t>
      </w:r>
      <w:r w:rsidRPr="00540420">
        <w:rPr>
          <w:rFonts w:cs="Times New Roman"/>
          <w:i/>
        </w:rPr>
        <w:t>Charter</w:t>
      </w:r>
      <w:r w:rsidRPr="00540420">
        <w:rPr>
          <w:rFonts w:cs="Times New Roman"/>
        </w:rPr>
        <w:t xml:space="preserve"> applies to the legislative, executive and administrative branches of government: </w:t>
      </w:r>
      <w:proofErr w:type="gramStart"/>
      <w:r w:rsidRPr="00540420">
        <w:rPr>
          <w:rFonts w:cs="Times New Roman"/>
          <w:i/>
        </w:rPr>
        <w:t>ibid.</w:t>
      </w:r>
      <w:r w:rsidRPr="00540420">
        <w:rPr>
          <w:rFonts w:cs="Times New Roman"/>
        </w:rPr>
        <w:t>,</w:t>
      </w:r>
      <w:proofErr w:type="gramEnd"/>
      <w:r w:rsidRPr="00540420">
        <w:rPr>
          <w:rFonts w:cs="Times New Roman"/>
        </w:rPr>
        <w:t xml:space="preserve"> at pp. 603-4. The </w:t>
      </w:r>
      <w:r w:rsidRPr="00540420">
        <w:rPr>
          <w:rFonts w:cs="Times New Roman"/>
          <w:i/>
        </w:rPr>
        <w:t>Charter</w:t>
      </w:r>
      <w:r w:rsidRPr="00540420">
        <w:rPr>
          <w:rFonts w:cs="Times New Roman"/>
        </w:rPr>
        <w:t xml:space="preserve"> does not directly apply to this dispute as no state action is being challenged, although the </w:t>
      </w:r>
      <w:r w:rsidRPr="00540420">
        <w:rPr>
          <w:rFonts w:cs="Times New Roman"/>
          <w:i/>
        </w:rPr>
        <w:t xml:space="preserve">Charter </w:t>
      </w:r>
      <w:r w:rsidRPr="00540420">
        <w:rPr>
          <w:rFonts w:cs="Times New Roman"/>
        </w:rPr>
        <w:t xml:space="preserve">may inform the development of the common law: </w:t>
      </w:r>
      <w:proofErr w:type="gramStart"/>
      <w:r w:rsidRPr="00540420">
        <w:rPr>
          <w:rFonts w:cs="Times New Roman"/>
          <w:i/>
        </w:rPr>
        <w:t>ibid.</w:t>
      </w:r>
      <w:r w:rsidRPr="00540420">
        <w:rPr>
          <w:rFonts w:cs="Times New Roman"/>
        </w:rPr>
        <w:t>,</w:t>
      </w:r>
      <w:proofErr w:type="gramEnd"/>
      <w:r w:rsidRPr="00540420">
        <w:rPr>
          <w:rFonts w:cs="Times New Roman"/>
        </w:rPr>
        <w:t xml:space="preserve"> at p. 603. In the end, religious groups are free to determine their own membership and rules; courts will not intervene in such matters save where </w:t>
      </w:r>
      <w:r w:rsidRPr="00540420">
        <w:rPr>
          <w:rFonts w:cs="Times New Roman"/>
        </w:rPr>
        <w:lastRenderedPageBreak/>
        <w:t xml:space="preserve">it is necessary to resolve an underlying legal dispute. </w:t>
      </w:r>
    </w:p>
    <w:p w:rsidR="00AE206C" w:rsidRPr="00540420" w:rsidRDefault="00AE206C" w:rsidP="00171C2E">
      <w:pPr>
        <w:pStyle w:val="Title1LevelTitre1Niveau-AltL"/>
        <w:widowControl w:val="0"/>
        <w:numPr>
          <w:ilvl w:val="0"/>
          <w:numId w:val="3"/>
        </w:numPr>
        <w:jc w:val="left"/>
        <w:rPr>
          <w:rFonts w:cs="Times New Roman"/>
        </w:rPr>
      </w:pPr>
      <w:bookmarkStart w:id="11" w:name="_Toc504655781"/>
      <w:r w:rsidRPr="00540420">
        <w:rPr>
          <w:rFonts w:cs="Times New Roman"/>
        </w:rPr>
        <w:t>Disposition</w:t>
      </w:r>
      <w:bookmarkEnd w:id="11"/>
    </w:p>
    <w:p w:rsidR="00AE206C" w:rsidRPr="00540420" w:rsidRDefault="00AE206C" w:rsidP="00171C2E">
      <w:pPr>
        <w:pStyle w:val="ParaNoNdepar-AltN"/>
        <w:widowControl w:val="0"/>
        <w:tabs>
          <w:tab w:val="clear" w:pos="1152"/>
          <w:tab w:val="left" w:pos="1166"/>
        </w:tabs>
        <w:rPr>
          <w:rFonts w:cs="Times New Roman"/>
        </w:rPr>
      </w:pPr>
      <w:r w:rsidRPr="00540420">
        <w:rPr>
          <w:rFonts w:cs="Times New Roman"/>
        </w:rPr>
        <w:t>I would allow the appeal and quash the originating application for judicial review filed by Mr. Wall. As the appellants requested that no costs be awarded, I award none.</w:t>
      </w:r>
    </w:p>
    <w:p w:rsidR="009B57B3" w:rsidRPr="00E730E1" w:rsidRDefault="009A60B6" w:rsidP="00171C2E">
      <w:pPr>
        <w:pStyle w:val="SCCNormalDoubleSpacing"/>
        <w:widowControl w:val="0"/>
        <w:spacing w:after="480"/>
      </w:pPr>
      <w:r w:rsidRPr="00E730E1">
        <w:tab/>
      </w:r>
      <w:r w:rsidR="00656313" w:rsidRPr="00E730E1">
        <w:rPr>
          <w:i/>
        </w:rPr>
        <w:t>Appeal</w:t>
      </w:r>
      <w:r w:rsidRPr="00E730E1">
        <w:t xml:space="preserve"> </w:t>
      </w:r>
      <w:r w:rsidR="0088200D" w:rsidRPr="00E730E1">
        <w:rPr>
          <w:i/>
        </w:rPr>
        <w:t>allowed</w:t>
      </w:r>
      <w:r w:rsidR="00B55337" w:rsidRPr="00E730E1">
        <w:rPr>
          <w:i/>
        </w:rPr>
        <w:t>.</w:t>
      </w:r>
      <w:r w:rsidRPr="00E730E1">
        <w:t xml:space="preserve"> </w:t>
      </w:r>
    </w:p>
    <w:p w:rsidR="009B7499" w:rsidRPr="00E730E1" w:rsidRDefault="00FA77AC" w:rsidP="00171C2E">
      <w:pPr>
        <w:pStyle w:val="SCCLawFirm"/>
        <w:widowControl w:val="0"/>
        <w:spacing w:after="480"/>
      </w:pPr>
      <w:r w:rsidRPr="00E730E1">
        <w:tab/>
        <w:t>Solicitors for the appellant</w:t>
      </w:r>
      <w:r w:rsidR="00B02F31" w:rsidRPr="00E730E1">
        <w:t>s</w:t>
      </w:r>
      <w:r w:rsidR="00940264" w:rsidRPr="00E730E1">
        <w:t>: </w:t>
      </w:r>
      <w:r w:rsidRPr="00E730E1">
        <w:t>W. Glen How &amp; Associates, Georgetown</w:t>
      </w:r>
      <w:r w:rsidR="00D058DC" w:rsidRPr="00E730E1">
        <w:t>, Ontario</w:t>
      </w:r>
      <w:r w:rsidRPr="00E730E1">
        <w:t>.</w:t>
      </w:r>
    </w:p>
    <w:p w:rsidR="009B7499" w:rsidRPr="00E730E1" w:rsidRDefault="00FA77AC" w:rsidP="00171C2E">
      <w:pPr>
        <w:pStyle w:val="SCCLawFirm"/>
        <w:widowControl w:val="0"/>
        <w:spacing w:after="480"/>
      </w:pPr>
      <w:r w:rsidRPr="00E730E1">
        <w:tab/>
        <w:t>S</w:t>
      </w:r>
      <w:r w:rsidR="00C5410E" w:rsidRPr="00E730E1">
        <w:t>olicitors</w:t>
      </w:r>
      <w:r w:rsidRPr="00E730E1">
        <w:t xml:space="preserve"> for the</w:t>
      </w:r>
      <w:r w:rsidR="00C5410E" w:rsidRPr="00E730E1">
        <w:t xml:space="preserve"> respondent</w:t>
      </w:r>
      <w:r w:rsidR="00940264" w:rsidRPr="00E730E1">
        <w:t>: </w:t>
      </w:r>
      <w:r w:rsidR="00C5410E" w:rsidRPr="00E730E1">
        <w:t xml:space="preserve">McCarthy </w:t>
      </w:r>
      <w:proofErr w:type="spellStart"/>
      <w:r w:rsidR="00C5410E" w:rsidRPr="00E730E1">
        <w:t>Tétrault</w:t>
      </w:r>
      <w:proofErr w:type="spellEnd"/>
      <w:r w:rsidRPr="00E730E1">
        <w:t>, Vancouver.</w:t>
      </w:r>
    </w:p>
    <w:p w:rsidR="009B7499" w:rsidRPr="00E730E1" w:rsidRDefault="00C5410E" w:rsidP="00171C2E">
      <w:pPr>
        <w:pStyle w:val="SCCLawFirm"/>
        <w:widowControl w:val="0"/>
        <w:spacing w:after="480"/>
      </w:pPr>
      <w:r w:rsidRPr="00E730E1">
        <w:tab/>
        <w:t>Solicitor</w:t>
      </w:r>
      <w:r w:rsidR="00FA77AC" w:rsidRPr="00E730E1">
        <w:t xml:space="preserve"> for the intervener </w:t>
      </w:r>
      <w:r w:rsidR="00544305" w:rsidRPr="00E730E1">
        <w:t xml:space="preserve">the </w:t>
      </w:r>
      <w:r w:rsidR="00FA77AC" w:rsidRPr="00E730E1">
        <w:t>Canadian Council of Christian Charities</w:t>
      </w:r>
      <w:r w:rsidR="00940264" w:rsidRPr="00E730E1">
        <w:t>: </w:t>
      </w:r>
      <w:r w:rsidR="00F930F2" w:rsidRPr="00E730E1">
        <w:t>Canadian Council of Christian Charities</w:t>
      </w:r>
      <w:r w:rsidR="00FA77AC" w:rsidRPr="00E730E1">
        <w:t>, Elmira</w:t>
      </w:r>
      <w:r w:rsidR="00D058DC" w:rsidRPr="00E730E1">
        <w:t>, Ontario</w:t>
      </w:r>
      <w:r w:rsidR="00FA77AC" w:rsidRPr="00E730E1">
        <w:t>.</w:t>
      </w:r>
    </w:p>
    <w:p w:rsidR="009B7499" w:rsidRPr="00E730E1" w:rsidRDefault="00FA77AC" w:rsidP="00171C2E">
      <w:pPr>
        <w:pStyle w:val="SCCLawFirm"/>
        <w:widowControl w:val="0"/>
        <w:spacing w:after="480"/>
      </w:pPr>
      <w:r w:rsidRPr="00E730E1">
        <w:tab/>
      </w:r>
      <w:r w:rsidR="0016652D" w:rsidRPr="00E730E1">
        <w:t>Solicitor</w:t>
      </w:r>
      <w:r w:rsidRPr="00E730E1">
        <w:t xml:space="preserve"> for the intervener </w:t>
      </w:r>
      <w:r w:rsidR="00544305" w:rsidRPr="00E730E1">
        <w:t xml:space="preserve">the </w:t>
      </w:r>
      <w:r w:rsidRPr="00E730E1">
        <w:t>Association for Reformed Political Action Canada</w:t>
      </w:r>
      <w:r w:rsidR="00940264" w:rsidRPr="00E730E1">
        <w:t>: </w:t>
      </w:r>
      <w:r w:rsidRPr="00E730E1">
        <w:t>Association for Reformed Political Action Canada, Ottawa.</w:t>
      </w:r>
    </w:p>
    <w:p w:rsidR="009B7499" w:rsidRPr="00E730E1" w:rsidRDefault="00C5410E" w:rsidP="00171C2E">
      <w:pPr>
        <w:pStyle w:val="SCCLawFirm"/>
        <w:widowControl w:val="0"/>
        <w:spacing w:after="480"/>
      </w:pPr>
      <w:r w:rsidRPr="00E730E1">
        <w:tab/>
        <w:t>Solicitors</w:t>
      </w:r>
      <w:r w:rsidR="00FA77AC" w:rsidRPr="00E730E1">
        <w:t xml:space="preserve"> for the intervener </w:t>
      </w:r>
      <w:r w:rsidR="00544305" w:rsidRPr="00E730E1">
        <w:t xml:space="preserve">the </w:t>
      </w:r>
      <w:r w:rsidR="00FA77AC" w:rsidRPr="00E730E1">
        <w:t>Canadian Constitution Foundatio</w:t>
      </w:r>
      <w:r w:rsidRPr="00E730E1">
        <w:t>n</w:t>
      </w:r>
      <w:r w:rsidR="00940264" w:rsidRPr="00E730E1">
        <w:t>: </w:t>
      </w:r>
      <w:r w:rsidRPr="00E730E1">
        <w:t xml:space="preserve">Osler, </w:t>
      </w:r>
      <w:proofErr w:type="spellStart"/>
      <w:r w:rsidRPr="00E730E1">
        <w:t>Hoskin</w:t>
      </w:r>
      <w:proofErr w:type="spellEnd"/>
      <w:r w:rsidRPr="00E730E1">
        <w:t xml:space="preserve"> &amp; Harcourt</w:t>
      </w:r>
      <w:r w:rsidR="00FA77AC" w:rsidRPr="00E730E1">
        <w:t>, Toronto.</w:t>
      </w:r>
    </w:p>
    <w:p w:rsidR="009B7499" w:rsidRPr="00E730E1" w:rsidRDefault="00C5410E" w:rsidP="00171C2E">
      <w:pPr>
        <w:pStyle w:val="SCCLawFirm"/>
        <w:widowControl w:val="0"/>
        <w:spacing w:after="480"/>
      </w:pPr>
      <w:r w:rsidRPr="00E730E1">
        <w:lastRenderedPageBreak/>
        <w:tab/>
        <w:t xml:space="preserve">Solicitors for the interveners </w:t>
      </w:r>
      <w:r w:rsidR="00544305" w:rsidRPr="00E730E1">
        <w:t xml:space="preserve">the </w:t>
      </w:r>
      <w:r w:rsidR="00FA77AC" w:rsidRPr="00E730E1">
        <w:t>Evangelical Fellowship of Canada</w:t>
      </w:r>
      <w:r w:rsidRPr="00E730E1">
        <w:t xml:space="preserve"> and </w:t>
      </w:r>
      <w:r w:rsidR="00544305" w:rsidRPr="00E730E1">
        <w:t xml:space="preserve">the </w:t>
      </w:r>
      <w:r w:rsidRPr="00E730E1">
        <w:t>Catholic Civil Rights League</w:t>
      </w:r>
      <w:r w:rsidR="00940264" w:rsidRPr="00E730E1">
        <w:t>: </w:t>
      </w:r>
      <w:r w:rsidR="00FA77AC" w:rsidRPr="00E730E1">
        <w:t xml:space="preserve">Vincent </w:t>
      </w:r>
      <w:proofErr w:type="spellStart"/>
      <w:r w:rsidR="00FA77AC" w:rsidRPr="00E730E1">
        <w:t>Dagenais</w:t>
      </w:r>
      <w:proofErr w:type="spellEnd"/>
      <w:r w:rsidR="00FA77AC" w:rsidRPr="00E730E1">
        <w:t xml:space="preserve"> Gibson, Ottawa.</w:t>
      </w:r>
    </w:p>
    <w:p w:rsidR="009B7499" w:rsidRPr="00E730E1" w:rsidRDefault="00C5410E" w:rsidP="00171C2E">
      <w:pPr>
        <w:pStyle w:val="SCCLawFirm"/>
        <w:widowControl w:val="0"/>
        <w:spacing w:after="480"/>
      </w:pPr>
      <w:r w:rsidRPr="00E730E1">
        <w:tab/>
        <w:t>Solicitor</w:t>
      </w:r>
      <w:r w:rsidR="00FA77AC" w:rsidRPr="00E730E1">
        <w:t xml:space="preserve"> for the intervener</w:t>
      </w:r>
      <w:r w:rsidR="00544305" w:rsidRPr="00E730E1">
        <w:t xml:space="preserve"> the</w:t>
      </w:r>
      <w:r w:rsidR="00FA77AC" w:rsidRPr="00E730E1">
        <w:t xml:space="preserve"> Christian Legal Fellowship</w:t>
      </w:r>
      <w:r w:rsidR="00940264" w:rsidRPr="00E730E1">
        <w:t>: </w:t>
      </w:r>
      <w:r w:rsidR="00FA77AC" w:rsidRPr="00E730E1">
        <w:t>Christian Legal Fellowship, London</w:t>
      </w:r>
      <w:r w:rsidR="00AF2BBC" w:rsidRPr="00E730E1">
        <w:t>, Ontario</w:t>
      </w:r>
      <w:r w:rsidR="00FA77AC" w:rsidRPr="00E730E1">
        <w:t>.</w:t>
      </w:r>
    </w:p>
    <w:p w:rsidR="009B7499" w:rsidRPr="00E730E1" w:rsidRDefault="00C5410E" w:rsidP="00171C2E">
      <w:pPr>
        <w:pStyle w:val="SCCLawFirm"/>
        <w:widowControl w:val="0"/>
        <w:spacing w:after="480"/>
      </w:pPr>
      <w:r w:rsidRPr="00E730E1">
        <w:tab/>
      </w:r>
      <w:r w:rsidR="00D40BC1" w:rsidRPr="00E730E1">
        <w:t>Solicitor</w:t>
      </w:r>
      <w:r w:rsidR="00FA77AC" w:rsidRPr="00E730E1">
        <w:t xml:space="preserve"> for the intervener</w:t>
      </w:r>
      <w:r w:rsidR="00544305" w:rsidRPr="00E730E1">
        <w:t xml:space="preserve"> the</w:t>
      </w:r>
      <w:r w:rsidR="00FA77AC" w:rsidRPr="00E730E1">
        <w:t xml:space="preserve"> World Sikh Organization of Canada</w:t>
      </w:r>
      <w:r w:rsidR="00940264" w:rsidRPr="00E730E1">
        <w:t>: </w:t>
      </w:r>
      <w:r w:rsidR="004B059D" w:rsidRPr="00E730E1">
        <w:t>World Sikh Organization of Canada</w:t>
      </w:r>
      <w:r w:rsidR="0016652D" w:rsidRPr="00E730E1">
        <w:t>, Newmarket, Ontario</w:t>
      </w:r>
      <w:r w:rsidR="00FA77AC" w:rsidRPr="00E730E1">
        <w:t>.</w:t>
      </w:r>
    </w:p>
    <w:p w:rsidR="009B7499" w:rsidRPr="00E730E1" w:rsidRDefault="00C5410E" w:rsidP="00171C2E">
      <w:pPr>
        <w:pStyle w:val="SCCLawFirm"/>
        <w:widowControl w:val="0"/>
        <w:spacing w:after="480"/>
      </w:pPr>
      <w:r w:rsidRPr="00E730E1">
        <w:tab/>
        <w:t>Solicitors</w:t>
      </w:r>
      <w:r w:rsidR="00FA77AC" w:rsidRPr="00E730E1">
        <w:t xml:space="preserve"> for the intervener</w:t>
      </w:r>
      <w:r w:rsidRPr="00E730E1">
        <w:t>s</w:t>
      </w:r>
      <w:r w:rsidR="00FA77AC" w:rsidRPr="00E730E1">
        <w:t xml:space="preserve"> </w:t>
      </w:r>
      <w:r w:rsidR="00610D71" w:rsidRPr="00E730E1">
        <w:t xml:space="preserve">the </w:t>
      </w:r>
      <w:r w:rsidR="00FA77AC" w:rsidRPr="00E730E1">
        <w:t>Seventh</w:t>
      </w:r>
      <w:r w:rsidR="00940264" w:rsidRPr="00E730E1">
        <w:noBreakHyphen/>
      </w:r>
      <w:r w:rsidR="00247946" w:rsidRPr="00E730E1">
        <w:t>d</w:t>
      </w:r>
      <w:r w:rsidR="00FA77AC" w:rsidRPr="00E730E1">
        <w:t>ay Adventist Church in Canada</w:t>
      </w:r>
      <w:r w:rsidRPr="00E730E1">
        <w:t xml:space="preserve"> and </w:t>
      </w:r>
      <w:r w:rsidR="00610D71" w:rsidRPr="00E730E1">
        <w:t xml:space="preserve">the </w:t>
      </w:r>
      <w:r w:rsidRPr="00E730E1">
        <w:t>Ch</w:t>
      </w:r>
      <w:r w:rsidR="009C69A4" w:rsidRPr="00E730E1">
        <w:t>urch of Jesus Christ of Latter</w:t>
      </w:r>
      <w:r w:rsidR="00940264" w:rsidRPr="00E730E1">
        <w:noBreakHyphen/>
      </w:r>
      <w:r w:rsidR="009C69A4" w:rsidRPr="00E730E1">
        <w:t>d</w:t>
      </w:r>
      <w:r w:rsidRPr="00E730E1">
        <w:t>ay Saints in Canada</w:t>
      </w:r>
      <w:r w:rsidR="00940264" w:rsidRPr="00E730E1">
        <w:t>: </w:t>
      </w:r>
      <w:r w:rsidR="00FA77AC" w:rsidRPr="00E730E1">
        <w:t>Miller Thomson, Calgary.</w:t>
      </w:r>
    </w:p>
    <w:p w:rsidR="009B7499" w:rsidRPr="00E730E1" w:rsidRDefault="00C5410E" w:rsidP="00171C2E">
      <w:pPr>
        <w:pStyle w:val="SCCLawFirm"/>
        <w:widowControl w:val="0"/>
        <w:spacing w:after="480"/>
      </w:pPr>
      <w:r w:rsidRPr="00E730E1">
        <w:tab/>
        <w:t>Solicitor</w:t>
      </w:r>
      <w:r w:rsidR="00FA77AC" w:rsidRPr="00E730E1">
        <w:t xml:space="preserve"> for the intervener </w:t>
      </w:r>
      <w:r w:rsidR="00610D71" w:rsidRPr="00E730E1">
        <w:t xml:space="preserve">the </w:t>
      </w:r>
      <w:r w:rsidR="00FA77AC" w:rsidRPr="00E730E1">
        <w:t>Justice Centre for Constitutional Freedoms</w:t>
      </w:r>
      <w:r w:rsidR="00940264" w:rsidRPr="00E730E1">
        <w:t>: </w:t>
      </w:r>
      <w:r w:rsidR="00FA77AC" w:rsidRPr="00E730E1">
        <w:t>Justice Centre for Constitutional Freedoms, Calgary.</w:t>
      </w:r>
    </w:p>
    <w:p w:rsidR="009B7499" w:rsidRPr="00E730E1" w:rsidRDefault="00C5410E" w:rsidP="00171C2E">
      <w:pPr>
        <w:pStyle w:val="SCCLawFirm"/>
        <w:widowControl w:val="0"/>
        <w:spacing w:after="480"/>
      </w:pPr>
      <w:r w:rsidRPr="00E730E1">
        <w:tab/>
        <w:t>Solicitors</w:t>
      </w:r>
      <w:r w:rsidR="00FA77AC" w:rsidRPr="00E730E1">
        <w:t xml:space="preserve"> for the intervener </w:t>
      </w:r>
      <w:r w:rsidR="00610D71" w:rsidRPr="00E730E1">
        <w:t xml:space="preserve">the </w:t>
      </w:r>
      <w:r w:rsidR="00FA77AC" w:rsidRPr="00E730E1">
        <w:t>British Columbia Civil Liberties Associatio</w:t>
      </w:r>
      <w:r w:rsidRPr="00E730E1">
        <w:t>n</w:t>
      </w:r>
      <w:r w:rsidR="00940264" w:rsidRPr="00E730E1">
        <w:t>: </w:t>
      </w:r>
      <w:r w:rsidRPr="00E730E1">
        <w:t xml:space="preserve">Blake, Cassels &amp; </w:t>
      </w:r>
      <w:proofErr w:type="spellStart"/>
      <w:r w:rsidRPr="00E730E1">
        <w:t>Graydon</w:t>
      </w:r>
      <w:proofErr w:type="spellEnd"/>
      <w:r w:rsidR="00FA77AC" w:rsidRPr="00E730E1">
        <w:t>, Vancouver.</w:t>
      </w:r>
    </w:p>
    <w:p w:rsidR="009B7499" w:rsidRPr="00E730E1" w:rsidRDefault="00C5410E" w:rsidP="00171C2E">
      <w:pPr>
        <w:pStyle w:val="SCCLawFirm"/>
        <w:widowControl w:val="0"/>
      </w:pPr>
      <w:r w:rsidRPr="00E730E1">
        <w:tab/>
        <w:t>Solicitors</w:t>
      </w:r>
      <w:r w:rsidR="00FA77AC" w:rsidRPr="00E730E1">
        <w:t xml:space="preserve"> for the intervener </w:t>
      </w:r>
      <w:r w:rsidR="00610D71" w:rsidRPr="00E730E1">
        <w:t xml:space="preserve">the </w:t>
      </w:r>
      <w:r w:rsidR="00FA77AC" w:rsidRPr="00E730E1">
        <w:t>Canadian Muslim</w:t>
      </w:r>
      <w:r w:rsidRPr="00E730E1">
        <w:t xml:space="preserve"> Lawyers Association</w:t>
      </w:r>
      <w:r w:rsidR="00940264" w:rsidRPr="00E730E1">
        <w:t>: </w:t>
      </w:r>
      <w:r w:rsidRPr="00E730E1">
        <w:t>Abrahams</w:t>
      </w:r>
      <w:r w:rsidR="00FA77AC" w:rsidRPr="00E730E1">
        <w:t>, Toronto.</w:t>
      </w:r>
    </w:p>
    <w:sectPr w:rsidR="009B7499" w:rsidRPr="00E730E1"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955" w:rsidRDefault="001A2955">
      <w:r>
        <w:separator/>
      </w:r>
    </w:p>
  </w:endnote>
  <w:endnote w:type="continuationSeparator" w:id="0">
    <w:p w:rsidR="001A2955" w:rsidRDefault="001A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85" w:rsidRDefault="00852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85" w:rsidRDefault="00852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85" w:rsidRDefault="00852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955" w:rsidRDefault="001A2955">
      <w:r>
        <w:separator/>
      </w:r>
    </w:p>
  </w:footnote>
  <w:footnote w:type="continuationSeparator" w:id="0">
    <w:p w:rsidR="001A2955" w:rsidRDefault="001A2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85" w:rsidRDefault="00852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85" w:rsidRDefault="00852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9896589E"/>
    <w:lvl w:ilvl="0">
      <w:start w:val="1"/>
      <w:numFmt w:val="decimal"/>
      <w:pStyle w:val="ParaNoNdepar-AltN"/>
      <w:lvlText w:val="[%1]"/>
      <w:lvlJc w:val="left"/>
      <w:pPr>
        <w:tabs>
          <w:tab w:val="num" w:pos="1152"/>
        </w:tabs>
        <w:ind w:left="0" w:firstLine="0"/>
      </w:pPr>
      <w:rPr>
        <w:rFonts w:ascii="Times New Roman" w:hAnsi="Times New Roman" w:hint="default"/>
        <w:strike w:val="0"/>
        <w:color w:val="auto"/>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8CC"/>
    <w:rsid w:val="00025198"/>
    <w:rsid w:val="000578A3"/>
    <w:rsid w:val="000648CC"/>
    <w:rsid w:val="00066A41"/>
    <w:rsid w:val="0007181A"/>
    <w:rsid w:val="00092380"/>
    <w:rsid w:val="000A310C"/>
    <w:rsid w:val="000A5DE2"/>
    <w:rsid w:val="000B1C59"/>
    <w:rsid w:val="000B7C1D"/>
    <w:rsid w:val="000C59B8"/>
    <w:rsid w:val="000C6AF0"/>
    <w:rsid w:val="000C7985"/>
    <w:rsid w:val="000F316E"/>
    <w:rsid w:val="00104F33"/>
    <w:rsid w:val="00111DE2"/>
    <w:rsid w:val="00116B38"/>
    <w:rsid w:val="00135406"/>
    <w:rsid w:val="00135972"/>
    <w:rsid w:val="001426A9"/>
    <w:rsid w:val="00154D7C"/>
    <w:rsid w:val="001570B0"/>
    <w:rsid w:val="0015752C"/>
    <w:rsid w:val="00157737"/>
    <w:rsid w:val="00165277"/>
    <w:rsid w:val="0016652D"/>
    <w:rsid w:val="00170592"/>
    <w:rsid w:val="00171C2E"/>
    <w:rsid w:val="00186351"/>
    <w:rsid w:val="00195D83"/>
    <w:rsid w:val="001A00C1"/>
    <w:rsid w:val="001A2955"/>
    <w:rsid w:val="001B33E0"/>
    <w:rsid w:val="001B4573"/>
    <w:rsid w:val="001C779F"/>
    <w:rsid w:val="001D2AC1"/>
    <w:rsid w:val="001D4E88"/>
    <w:rsid w:val="001E7E18"/>
    <w:rsid w:val="00220FC2"/>
    <w:rsid w:val="002222F4"/>
    <w:rsid w:val="00224FC0"/>
    <w:rsid w:val="00225EA4"/>
    <w:rsid w:val="00226EAF"/>
    <w:rsid w:val="00231F3A"/>
    <w:rsid w:val="00233630"/>
    <w:rsid w:val="00234199"/>
    <w:rsid w:val="002406EE"/>
    <w:rsid w:val="00241C78"/>
    <w:rsid w:val="00243EC8"/>
    <w:rsid w:val="00247946"/>
    <w:rsid w:val="00260E3F"/>
    <w:rsid w:val="00263E77"/>
    <w:rsid w:val="002644FA"/>
    <w:rsid w:val="00270D93"/>
    <w:rsid w:val="002745CC"/>
    <w:rsid w:val="002A173E"/>
    <w:rsid w:val="002B7924"/>
    <w:rsid w:val="002D0474"/>
    <w:rsid w:val="002D28C3"/>
    <w:rsid w:val="002D39A4"/>
    <w:rsid w:val="002E6705"/>
    <w:rsid w:val="002E68F0"/>
    <w:rsid w:val="002E74CE"/>
    <w:rsid w:val="00301D08"/>
    <w:rsid w:val="0030329A"/>
    <w:rsid w:val="00303A4B"/>
    <w:rsid w:val="0030539E"/>
    <w:rsid w:val="0031086F"/>
    <w:rsid w:val="0031414C"/>
    <w:rsid w:val="00314AB6"/>
    <w:rsid w:val="00314E01"/>
    <w:rsid w:val="0032089D"/>
    <w:rsid w:val="00320A55"/>
    <w:rsid w:val="00324D04"/>
    <w:rsid w:val="00330089"/>
    <w:rsid w:val="00330CFD"/>
    <w:rsid w:val="003310DE"/>
    <w:rsid w:val="003323B0"/>
    <w:rsid w:val="0035038E"/>
    <w:rsid w:val="0035169A"/>
    <w:rsid w:val="0035259D"/>
    <w:rsid w:val="0036326B"/>
    <w:rsid w:val="00364B18"/>
    <w:rsid w:val="003818C8"/>
    <w:rsid w:val="00387045"/>
    <w:rsid w:val="00397A25"/>
    <w:rsid w:val="003A125D"/>
    <w:rsid w:val="003A397F"/>
    <w:rsid w:val="003A4C70"/>
    <w:rsid w:val="003B215F"/>
    <w:rsid w:val="003C799C"/>
    <w:rsid w:val="003D0399"/>
    <w:rsid w:val="003D4125"/>
    <w:rsid w:val="003D50F8"/>
    <w:rsid w:val="003E1C71"/>
    <w:rsid w:val="003E2450"/>
    <w:rsid w:val="003E56EA"/>
    <w:rsid w:val="003F327B"/>
    <w:rsid w:val="00406166"/>
    <w:rsid w:val="0040704B"/>
    <w:rsid w:val="00410A55"/>
    <w:rsid w:val="00411300"/>
    <w:rsid w:val="00413014"/>
    <w:rsid w:val="00415417"/>
    <w:rsid w:val="00415CFA"/>
    <w:rsid w:val="00417105"/>
    <w:rsid w:val="00424DB7"/>
    <w:rsid w:val="00426659"/>
    <w:rsid w:val="00426C93"/>
    <w:rsid w:val="00450352"/>
    <w:rsid w:val="004540A0"/>
    <w:rsid w:val="00454BDB"/>
    <w:rsid w:val="00464800"/>
    <w:rsid w:val="00465132"/>
    <w:rsid w:val="00480C90"/>
    <w:rsid w:val="0048396F"/>
    <w:rsid w:val="00491AF4"/>
    <w:rsid w:val="0049331D"/>
    <w:rsid w:val="00493C18"/>
    <w:rsid w:val="004A600C"/>
    <w:rsid w:val="004A6118"/>
    <w:rsid w:val="004B059D"/>
    <w:rsid w:val="004C1EFE"/>
    <w:rsid w:val="004C478D"/>
    <w:rsid w:val="004E2C26"/>
    <w:rsid w:val="004F36FF"/>
    <w:rsid w:val="005125A8"/>
    <w:rsid w:val="00521AE8"/>
    <w:rsid w:val="00527180"/>
    <w:rsid w:val="0054201E"/>
    <w:rsid w:val="00544305"/>
    <w:rsid w:val="00546568"/>
    <w:rsid w:val="00555291"/>
    <w:rsid w:val="0055702D"/>
    <w:rsid w:val="00566AD1"/>
    <w:rsid w:val="00583495"/>
    <w:rsid w:val="00583EDE"/>
    <w:rsid w:val="005A6079"/>
    <w:rsid w:val="005C2CF9"/>
    <w:rsid w:val="005C766E"/>
    <w:rsid w:val="005E4698"/>
    <w:rsid w:val="005F0DCB"/>
    <w:rsid w:val="00610539"/>
    <w:rsid w:val="00610D71"/>
    <w:rsid w:val="00613969"/>
    <w:rsid w:val="00615FFA"/>
    <w:rsid w:val="00625C35"/>
    <w:rsid w:val="00626D12"/>
    <w:rsid w:val="00630E2A"/>
    <w:rsid w:val="0063188A"/>
    <w:rsid w:val="00656313"/>
    <w:rsid w:val="006565F4"/>
    <w:rsid w:val="00684EEA"/>
    <w:rsid w:val="0069689B"/>
    <w:rsid w:val="006A1551"/>
    <w:rsid w:val="006B2D7C"/>
    <w:rsid w:val="006B5FF5"/>
    <w:rsid w:val="006C3351"/>
    <w:rsid w:val="006E7502"/>
    <w:rsid w:val="006F30AF"/>
    <w:rsid w:val="006F7A8F"/>
    <w:rsid w:val="007004BB"/>
    <w:rsid w:val="00701759"/>
    <w:rsid w:val="00705C15"/>
    <w:rsid w:val="0071600E"/>
    <w:rsid w:val="007208D1"/>
    <w:rsid w:val="007251D2"/>
    <w:rsid w:val="00747288"/>
    <w:rsid w:val="00747DD3"/>
    <w:rsid w:val="0075183B"/>
    <w:rsid w:val="007549C8"/>
    <w:rsid w:val="00754A0B"/>
    <w:rsid w:val="00766D14"/>
    <w:rsid w:val="00767A0F"/>
    <w:rsid w:val="00771CB4"/>
    <w:rsid w:val="007741D6"/>
    <w:rsid w:val="0078402D"/>
    <w:rsid w:val="00796DFD"/>
    <w:rsid w:val="007A05F6"/>
    <w:rsid w:val="007A4A1F"/>
    <w:rsid w:val="007B6F4A"/>
    <w:rsid w:val="007E1C47"/>
    <w:rsid w:val="007E337A"/>
    <w:rsid w:val="007E5C70"/>
    <w:rsid w:val="007E6844"/>
    <w:rsid w:val="007F2FF5"/>
    <w:rsid w:val="007F3F08"/>
    <w:rsid w:val="007F6021"/>
    <w:rsid w:val="00804CC6"/>
    <w:rsid w:val="0081424F"/>
    <w:rsid w:val="00817190"/>
    <w:rsid w:val="00820EE5"/>
    <w:rsid w:val="008260E2"/>
    <w:rsid w:val="008322BD"/>
    <w:rsid w:val="008325AD"/>
    <w:rsid w:val="00833E0A"/>
    <w:rsid w:val="00834F73"/>
    <w:rsid w:val="00846DDE"/>
    <w:rsid w:val="00852785"/>
    <w:rsid w:val="00853992"/>
    <w:rsid w:val="00864A20"/>
    <w:rsid w:val="00864CF8"/>
    <w:rsid w:val="00872819"/>
    <w:rsid w:val="00874914"/>
    <w:rsid w:val="0088200D"/>
    <w:rsid w:val="00891422"/>
    <w:rsid w:val="00892E1A"/>
    <w:rsid w:val="00892F17"/>
    <w:rsid w:val="008A3F29"/>
    <w:rsid w:val="008B5F00"/>
    <w:rsid w:val="008B660A"/>
    <w:rsid w:val="008C01DA"/>
    <w:rsid w:val="008C7AE5"/>
    <w:rsid w:val="008E79B2"/>
    <w:rsid w:val="008F481A"/>
    <w:rsid w:val="008F78E9"/>
    <w:rsid w:val="00911989"/>
    <w:rsid w:val="009179F9"/>
    <w:rsid w:val="00921571"/>
    <w:rsid w:val="00933E5E"/>
    <w:rsid w:val="00935218"/>
    <w:rsid w:val="00936AB7"/>
    <w:rsid w:val="00940264"/>
    <w:rsid w:val="009403F3"/>
    <w:rsid w:val="00946E18"/>
    <w:rsid w:val="0094722A"/>
    <w:rsid w:val="009555B7"/>
    <w:rsid w:val="009567AA"/>
    <w:rsid w:val="00967374"/>
    <w:rsid w:val="009A343A"/>
    <w:rsid w:val="009A3648"/>
    <w:rsid w:val="009A5246"/>
    <w:rsid w:val="009A60B6"/>
    <w:rsid w:val="009B2F23"/>
    <w:rsid w:val="009B57B3"/>
    <w:rsid w:val="009B7499"/>
    <w:rsid w:val="009C5B92"/>
    <w:rsid w:val="009C69A4"/>
    <w:rsid w:val="009D2920"/>
    <w:rsid w:val="009D5AEB"/>
    <w:rsid w:val="009E6720"/>
    <w:rsid w:val="009F0E33"/>
    <w:rsid w:val="009F16D7"/>
    <w:rsid w:val="00A01614"/>
    <w:rsid w:val="00A030CE"/>
    <w:rsid w:val="00A1085C"/>
    <w:rsid w:val="00A149DF"/>
    <w:rsid w:val="00A1755C"/>
    <w:rsid w:val="00A21B90"/>
    <w:rsid w:val="00A41805"/>
    <w:rsid w:val="00A42DCD"/>
    <w:rsid w:val="00A52848"/>
    <w:rsid w:val="00A52AFB"/>
    <w:rsid w:val="00A548CB"/>
    <w:rsid w:val="00A5521C"/>
    <w:rsid w:val="00A643E7"/>
    <w:rsid w:val="00A73C38"/>
    <w:rsid w:val="00AA29E2"/>
    <w:rsid w:val="00AB47A0"/>
    <w:rsid w:val="00AB6588"/>
    <w:rsid w:val="00AB670D"/>
    <w:rsid w:val="00AE206C"/>
    <w:rsid w:val="00AE4535"/>
    <w:rsid w:val="00AF03C5"/>
    <w:rsid w:val="00AF2BBC"/>
    <w:rsid w:val="00B000D8"/>
    <w:rsid w:val="00B00F75"/>
    <w:rsid w:val="00B02F31"/>
    <w:rsid w:val="00B1109B"/>
    <w:rsid w:val="00B145B6"/>
    <w:rsid w:val="00B22B04"/>
    <w:rsid w:val="00B279EB"/>
    <w:rsid w:val="00B50C81"/>
    <w:rsid w:val="00B55337"/>
    <w:rsid w:val="00B557F8"/>
    <w:rsid w:val="00B71331"/>
    <w:rsid w:val="00B815FC"/>
    <w:rsid w:val="00B93FBC"/>
    <w:rsid w:val="00BA16DD"/>
    <w:rsid w:val="00BA7DA0"/>
    <w:rsid w:val="00BB2EE4"/>
    <w:rsid w:val="00BB50D8"/>
    <w:rsid w:val="00BC2108"/>
    <w:rsid w:val="00BC6A96"/>
    <w:rsid w:val="00BD0E9E"/>
    <w:rsid w:val="00BD1BEC"/>
    <w:rsid w:val="00BD32FF"/>
    <w:rsid w:val="00BD408A"/>
    <w:rsid w:val="00BE08C1"/>
    <w:rsid w:val="00BF5F8D"/>
    <w:rsid w:val="00C02092"/>
    <w:rsid w:val="00C02F48"/>
    <w:rsid w:val="00C033D0"/>
    <w:rsid w:val="00C06077"/>
    <w:rsid w:val="00C15F3C"/>
    <w:rsid w:val="00C24D91"/>
    <w:rsid w:val="00C53F14"/>
    <w:rsid w:val="00C5410E"/>
    <w:rsid w:val="00C600CF"/>
    <w:rsid w:val="00C6084F"/>
    <w:rsid w:val="00C62A66"/>
    <w:rsid w:val="00C71458"/>
    <w:rsid w:val="00C77613"/>
    <w:rsid w:val="00C81CB4"/>
    <w:rsid w:val="00C828E7"/>
    <w:rsid w:val="00C86719"/>
    <w:rsid w:val="00C921DD"/>
    <w:rsid w:val="00C92202"/>
    <w:rsid w:val="00CA035B"/>
    <w:rsid w:val="00CA6391"/>
    <w:rsid w:val="00CC34BD"/>
    <w:rsid w:val="00CD0EF1"/>
    <w:rsid w:val="00CE161A"/>
    <w:rsid w:val="00CE3171"/>
    <w:rsid w:val="00CE6A07"/>
    <w:rsid w:val="00CE7F2B"/>
    <w:rsid w:val="00CF1601"/>
    <w:rsid w:val="00D0172F"/>
    <w:rsid w:val="00D056AE"/>
    <w:rsid w:val="00D058DC"/>
    <w:rsid w:val="00D068A7"/>
    <w:rsid w:val="00D160A8"/>
    <w:rsid w:val="00D17476"/>
    <w:rsid w:val="00D23D7A"/>
    <w:rsid w:val="00D32086"/>
    <w:rsid w:val="00D37A3F"/>
    <w:rsid w:val="00D40BC1"/>
    <w:rsid w:val="00D4431D"/>
    <w:rsid w:val="00D4667A"/>
    <w:rsid w:val="00D63A1C"/>
    <w:rsid w:val="00D72BFB"/>
    <w:rsid w:val="00D7516F"/>
    <w:rsid w:val="00D75810"/>
    <w:rsid w:val="00D80C78"/>
    <w:rsid w:val="00D82AAA"/>
    <w:rsid w:val="00D849ED"/>
    <w:rsid w:val="00D8579F"/>
    <w:rsid w:val="00D91A22"/>
    <w:rsid w:val="00D92CE1"/>
    <w:rsid w:val="00D95F8E"/>
    <w:rsid w:val="00DA0590"/>
    <w:rsid w:val="00DB7BEA"/>
    <w:rsid w:val="00DC1739"/>
    <w:rsid w:val="00DC1788"/>
    <w:rsid w:val="00DC3A83"/>
    <w:rsid w:val="00DE319C"/>
    <w:rsid w:val="00DE6E1E"/>
    <w:rsid w:val="00DF0CA8"/>
    <w:rsid w:val="00DF0D1E"/>
    <w:rsid w:val="00DF2B48"/>
    <w:rsid w:val="00DF49A7"/>
    <w:rsid w:val="00E07EE2"/>
    <w:rsid w:val="00E07FD1"/>
    <w:rsid w:val="00E12C90"/>
    <w:rsid w:val="00E176D8"/>
    <w:rsid w:val="00E24573"/>
    <w:rsid w:val="00E25E1E"/>
    <w:rsid w:val="00E27EE7"/>
    <w:rsid w:val="00E35404"/>
    <w:rsid w:val="00E4419B"/>
    <w:rsid w:val="00E45109"/>
    <w:rsid w:val="00E47B7A"/>
    <w:rsid w:val="00E56A44"/>
    <w:rsid w:val="00E60269"/>
    <w:rsid w:val="00E730CA"/>
    <w:rsid w:val="00E730E1"/>
    <w:rsid w:val="00E77932"/>
    <w:rsid w:val="00E82E6A"/>
    <w:rsid w:val="00E97830"/>
    <w:rsid w:val="00EB32E1"/>
    <w:rsid w:val="00ED3DB7"/>
    <w:rsid w:val="00ED50EF"/>
    <w:rsid w:val="00EE35B8"/>
    <w:rsid w:val="00EE643C"/>
    <w:rsid w:val="00EF0683"/>
    <w:rsid w:val="00EF69D2"/>
    <w:rsid w:val="00EF766E"/>
    <w:rsid w:val="00F0070C"/>
    <w:rsid w:val="00F00EB7"/>
    <w:rsid w:val="00F35583"/>
    <w:rsid w:val="00F36AB6"/>
    <w:rsid w:val="00F37A09"/>
    <w:rsid w:val="00F409CE"/>
    <w:rsid w:val="00F4379D"/>
    <w:rsid w:val="00F50D2D"/>
    <w:rsid w:val="00F56C8B"/>
    <w:rsid w:val="00F66810"/>
    <w:rsid w:val="00F846D9"/>
    <w:rsid w:val="00F84DF4"/>
    <w:rsid w:val="00F85C97"/>
    <w:rsid w:val="00F90935"/>
    <w:rsid w:val="00F930F2"/>
    <w:rsid w:val="00FA77AC"/>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link w:val="ParaNoNdepar-AltNChar"/>
    <w:qFormat/>
    <w:rsid w:val="006B2D7C"/>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6B2D7C"/>
    <w:rPr>
      <w:rFonts w:eastAsiaTheme="minorEastAsia" w:cstheme="minorBidi"/>
      <w:sz w:val="24"/>
      <w:szCs w:val="22"/>
      <w:lang w:eastAsia="en-US"/>
    </w:rPr>
  </w:style>
  <w:style w:type="paragraph" w:customStyle="1" w:styleId="Citation-AltC">
    <w:name w:val="Citation - Alt C"/>
    <w:uiPriority w:val="2"/>
    <w:qFormat/>
    <w:rsid w:val="00AE206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E206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E206C"/>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E206C"/>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E206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E206C"/>
    <w:pPr>
      <w:numPr>
        <w:ilvl w:val="2"/>
      </w:numPr>
      <w:outlineLvl w:val="2"/>
    </w:pPr>
  </w:style>
  <w:style w:type="paragraph" w:customStyle="1" w:styleId="Title4LevelTitre4Niveau">
    <w:name w:val="Title 4 Level / Titre 4 Niveau"/>
    <w:basedOn w:val="Title3LevelTitre3Niveau"/>
    <w:next w:val="ParaNoNdepar-AltN"/>
    <w:uiPriority w:val="4"/>
    <w:qFormat/>
    <w:rsid w:val="00AE206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E206C"/>
    <w:pPr>
      <w:numPr>
        <w:ilvl w:val="4"/>
      </w:numPr>
      <w:outlineLvl w:val="4"/>
    </w:pPr>
  </w:style>
  <w:style w:type="paragraph" w:customStyle="1" w:styleId="Title6LevelTitre6Niveau">
    <w:name w:val="Title 6 Level / Titre 6 Niveau"/>
    <w:basedOn w:val="Title5LevelTitre5Niveau"/>
    <w:next w:val="ParaNoNdepar-AltN"/>
    <w:uiPriority w:val="4"/>
    <w:qFormat/>
    <w:rsid w:val="00AE206C"/>
    <w:pPr>
      <w:numPr>
        <w:ilvl w:val="5"/>
      </w:numPr>
      <w:outlineLvl w:val="5"/>
    </w:pPr>
    <w:rPr>
      <w:i/>
      <w:u w:val="none"/>
    </w:rPr>
  </w:style>
  <w:style w:type="table" w:styleId="TableGrid">
    <w:name w:val="Table Grid"/>
    <w:basedOn w:val="TableNormal"/>
    <w:uiPriority w:val="59"/>
    <w:rsid w:val="00AE206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BE08C1"/>
    <w:rPr>
      <w:lang w:val="en-CA"/>
    </w:rPr>
  </w:style>
  <w:style w:type="paragraph" w:customStyle="1" w:styleId="SCCLsocPrefix">
    <w:name w:val="SCC.Lsoc.Prefix"/>
    <w:basedOn w:val="Normal"/>
    <w:next w:val="Normal"/>
    <w:link w:val="SCCLsocPrefixChar"/>
    <w:rsid w:val="00BE08C1"/>
    <w:rPr>
      <w:rFonts w:eastAsiaTheme="minorHAnsi" w:cstheme="minorBidi"/>
      <w:b/>
      <w:smallCaps/>
      <w:szCs w:val="24"/>
      <w:lang w:eastAsia="en-US"/>
    </w:rPr>
  </w:style>
  <w:style w:type="character" w:customStyle="1" w:styleId="SCCLsocPrefixChar">
    <w:name w:val="SCC.Lsoc.Prefix Char"/>
    <w:basedOn w:val="DefaultParagraphFont"/>
    <w:link w:val="SCCLsocPrefix"/>
    <w:rsid w:val="00BE08C1"/>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1ACE7-F5EA-487B-9B1B-EF562B38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6591</Words>
  <Characters>34650</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2018-05-31T18:01:00Z</dcterms:created>
  <dcterms:modified xsi:type="dcterms:W3CDTF">2019-03-25T19:04:00Z</dcterms:modified>
</cp:coreProperties>
</file>