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7B3" w:rsidRPr="00DA0590" w:rsidRDefault="009B57B3" w:rsidP="00111DE2">
      <w:pPr>
        <w:pStyle w:val="SCCBanSummary"/>
      </w:pPr>
    </w:p>
    <w:p w:rsidR="00B87258" w:rsidRDefault="00B87258" w:rsidP="00B87258">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64.5pt" o:ole="">
            <v:imagedata r:id="rId7" o:title=""/>
          </v:shape>
          <o:OLEObject Type="Embed" ProgID="Presentations.Drawing.13" ShapeID="_x0000_i1025" DrawAspect="Content" ObjectID="_1625573401" r:id="rId8"/>
        </w:object>
      </w:r>
      <w:r>
        <w:t xml:space="preserve"> </w:t>
      </w:r>
      <w:r>
        <w:ptab w:relativeTo="margin" w:alignment="right" w:leader="none"/>
      </w:r>
    </w:p>
    <w:p w:rsidR="00B87258" w:rsidRDefault="00B87258" w:rsidP="00B87258">
      <w:pPr>
        <w:pStyle w:val="Header"/>
      </w:pPr>
    </w:p>
    <w:p w:rsidR="00B87258" w:rsidRPr="006B210C" w:rsidRDefault="00B87258" w:rsidP="00B87258">
      <w:pPr>
        <w:jc w:val="center"/>
        <w:rPr>
          <w:b/>
        </w:rPr>
      </w:pPr>
      <w:r w:rsidRPr="006B210C">
        <w:rPr>
          <w:b/>
        </w:rPr>
        <w:t>SUPREME COURT OF CANADA</w:t>
      </w:r>
    </w:p>
    <w:p w:rsidR="00B87258" w:rsidRDefault="00B87258" w:rsidP="00B87258"/>
    <w:tbl>
      <w:tblPr>
        <w:tblStyle w:val="TableGrid"/>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670"/>
        <w:gridCol w:w="3960"/>
      </w:tblGrid>
      <w:tr w:rsidR="00B87258" w:rsidRPr="006B210C" w:rsidTr="008F2B35">
        <w:trPr>
          <w:cantSplit/>
        </w:trPr>
        <w:tc>
          <w:tcPr>
            <w:tcW w:w="5670" w:type="dxa"/>
          </w:tcPr>
          <w:p w:rsidR="00B87258" w:rsidRPr="006B1FAF" w:rsidRDefault="00B87258" w:rsidP="008F2B35">
            <w:r w:rsidRPr="006B1FAF">
              <w:rPr>
                <w:b/>
                <w:smallCaps/>
              </w:rPr>
              <w:t>Citation:</w:t>
            </w:r>
            <w:r w:rsidRPr="006B1FAF">
              <w:t xml:space="preserve"> R. </w:t>
            </w:r>
            <w:r w:rsidRPr="006B1FAF">
              <w:rPr>
                <w:i/>
              </w:rPr>
              <w:t>v.</w:t>
            </w:r>
            <w:r w:rsidRPr="006B1FAF">
              <w:t xml:space="preserve"> </w:t>
            </w:r>
            <w:proofErr w:type="spellStart"/>
            <w:r>
              <w:t>Normore</w:t>
            </w:r>
            <w:proofErr w:type="spellEnd"/>
            <w:r>
              <w:t>, 2018 SCC 42</w:t>
            </w:r>
            <w:r w:rsidRPr="006B1FAF">
              <w:t xml:space="preserve">, [2018] </w:t>
            </w:r>
            <w:r>
              <w:t>3</w:t>
            </w:r>
            <w:r w:rsidRPr="006B1FAF">
              <w:t xml:space="preserve"> S.C.R. </w:t>
            </w:r>
            <w:r>
              <w:t>5</w:t>
            </w:r>
          </w:p>
        </w:tc>
        <w:tc>
          <w:tcPr>
            <w:tcW w:w="3960" w:type="dxa"/>
          </w:tcPr>
          <w:p w:rsidR="00B87258" w:rsidRDefault="00B87258" w:rsidP="008F2B35">
            <w:r>
              <w:rPr>
                <w:b/>
                <w:smallCaps/>
              </w:rPr>
              <w:t xml:space="preserve">Appeal heard: </w:t>
            </w:r>
            <w:r>
              <w:t>October 17, 2018</w:t>
            </w:r>
          </w:p>
          <w:p w:rsidR="00B87258" w:rsidRPr="006B210C" w:rsidRDefault="00B87258" w:rsidP="008F2B35">
            <w:r>
              <w:rPr>
                <w:b/>
                <w:smallCaps/>
              </w:rPr>
              <w:t>Judgment rendered</w:t>
            </w:r>
            <w:r w:rsidRPr="003E41F2">
              <w:rPr>
                <w:b/>
                <w:smallCaps/>
              </w:rPr>
              <w:t>:</w:t>
            </w:r>
            <w:r>
              <w:t xml:space="preserve"> October 17, 2018</w:t>
            </w:r>
          </w:p>
          <w:p w:rsidR="00B87258" w:rsidRPr="006B210C" w:rsidRDefault="00B87258" w:rsidP="008F2B35">
            <w:r w:rsidRPr="005D4B83">
              <w:rPr>
                <w:b/>
                <w:smallCaps/>
              </w:rPr>
              <w:t>Docket:</w:t>
            </w:r>
            <w:r>
              <w:t xml:space="preserve"> 37993</w:t>
            </w:r>
          </w:p>
        </w:tc>
      </w:tr>
    </w:tbl>
    <w:p w:rsidR="00B87258" w:rsidRPr="006B210C" w:rsidRDefault="00B87258" w:rsidP="00B87258"/>
    <w:p w:rsidR="00B87258" w:rsidRDefault="00B87258" w:rsidP="00B87258">
      <w:pPr>
        <w:pStyle w:val="SCCLsocPrefix"/>
      </w:pPr>
      <w:r>
        <w:t>Between:</w:t>
      </w:r>
    </w:p>
    <w:p w:rsidR="00B87258" w:rsidRPr="00A53D62" w:rsidRDefault="00B87258" w:rsidP="00B87258">
      <w:pPr>
        <w:jc w:val="center"/>
        <w:rPr>
          <w:b/>
        </w:rPr>
      </w:pPr>
      <w:r>
        <w:rPr>
          <w:b/>
        </w:rPr>
        <w:t xml:space="preserve">Her Majesty </w:t>
      </w:r>
      <w:proofErr w:type="gramStart"/>
      <w:r>
        <w:rPr>
          <w:b/>
        </w:rPr>
        <w:t>The</w:t>
      </w:r>
      <w:proofErr w:type="gramEnd"/>
      <w:r>
        <w:rPr>
          <w:b/>
        </w:rPr>
        <w:t xml:space="preserve"> Queen</w:t>
      </w:r>
    </w:p>
    <w:p w:rsidR="00B87258" w:rsidRDefault="00B87258" w:rsidP="00B87258">
      <w:pPr>
        <w:jc w:val="center"/>
      </w:pPr>
      <w:r>
        <w:t>Appellant</w:t>
      </w:r>
    </w:p>
    <w:p w:rsidR="00B87258" w:rsidRPr="005D4B83" w:rsidRDefault="00B87258" w:rsidP="00B87258">
      <w:pPr>
        <w:jc w:val="center"/>
      </w:pPr>
    </w:p>
    <w:p w:rsidR="00B87258" w:rsidRPr="00B87258" w:rsidRDefault="00B87258" w:rsidP="00B87258">
      <w:pPr>
        <w:pStyle w:val="SCCLsocVersus"/>
        <w:spacing w:after="0"/>
        <w:jc w:val="center"/>
        <w:rPr>
          <w:i w:val="0"/>
        </w:rPr>
      </w:pPr>
      <w:proofErr w:type="gramStart"/>
      <w:r w:rsidRPr="00B87258">
        <w:rPr>
          <w:i w:val="0"/>
        </w:rPr>
        <w:t>and</w:t>
      </w:r>
      <w:proofErr w:type="gramEnd"/>
    </w:p>
    <w:p w:rsidR="00B87258" w:rsidRPr="00B87258" w:rsidRDefault="00B87258" w:rsidP="00B87258">
      <w:pPr>
        <w:jc w:val="center"/>
      </w:pPr>
    </w:p>
    <w:p w:rsidR="00B87258" w:rsidRDefault="00B87258" w:rsidP="00B87258">
      <w:pPr>
        <w:pStyle w:val="SCCLsocParty"/>
        <w:jc w:val="center"/>
      </w:pPr>
      <w:bookmarkStart w:id="0" w:name="_GoBack"/>
      <w:bookmarkEnd w:id="0"/>
      <w:r>
        <w:t xml:space="preserve">Alex </w:t>
      </w:r>
      <w:proofErr w:type="spellStart"/>
      <w:r>
        <w:t>Normore</w:t>
      </w:r>
      <w:proofErr w:type="spellEnd"/>
    </w:p>
    <w:p w:rsidR="00B87258" w:rsidRDefault="00B87258" w:rsidP="00B87258">
      <w:pPr>
        <w:jc w:val="center"/>
      </w:pPr>
      <w:r>
        <w:t>Respondent</w:t>
      </w:r>
    </w:p>
    <w:p w:rsidR="00B87258" w:rsidRPr="00A53D62" w:rsidRDefault="00B87258" w:rsidP="00B87258">
      <w:pPr>
        <w:jc w:val="center"/>
      </w:pPr>
    </w:p>
    <w:p w:rsidR="00B87258" w:rsidRDefault="00B87258" w:rsidP="00B87258"/>
    <w:p w:rsidR="00B87258" w:rsidRPr="006B210C" w:rsidRDefault="00B87258" w:rsidP="00B87258">
      <w:r w:rsidRPr="006B210C">
        <w:rPr>
          <w:b/>
          <w:smallCaps/>
        </w:rPr>
        <w:t>Coram</w:t>
      </w:r>
      <w:r>
        <w:rPr>
          <w:b/>
          <w:smallCaps/>
        </w:rPr>
        <w:t>:</w:t>
      </w:r>
      <w:r>
        <w:t xml:space="preserve"> Wagner C.J. and </w:t>
      </w:r>
      <w:proofErr w:type="spellStart"/>
      <w:r>
        <w:t>Abella</w:t>
      </w:r>
      <w:proofErr w:type="spellEnd"/>
      <w:r>
        <w:t xml:space="preserve">, </w:t>
      </w:r>
      <w:proofErr w:type="spellStart"/>
      <w:r>
        <w:t>Côté</w:t>
      </w:r>
      <w:proofErr w:type="spellEnd"/>
      <w:r>
        <w:t>, Rowe and Martin JJ.</w:t>
      </w:r>
    </w:p>
    <w:p w:rsidR="00B87258" w:rsidRPr="006B210C" w:rsidRDefault="00B87258" w:rsidP="00B8725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B87258" w:rsidRPr="000872C9" w:rsidTr="008F2B35">
        <w:trPr>
          <w:cantSplit/>
        </w:trPr>
        <w:tc>
          <w:tcPr>
            <w:tcW w:w="3618" w:type="dxa"/>
          </w:tcPr>
          <w:p w:rsidR="00B87258" w:rsidRDefault="00B87258" w:rsidP="008F2B35">
            <w:pPr>
              <w:rPr>
                <w:b/>
                <w:smallCaps/>
              </w:rPr>
            </w:pPr>
            <w:r w:rsidRPr="006B210C">
              <w:rPr>
                <w:b/>
                <w:smallCaps/>
              </w:rPr>
              <w:t xml:space="preserve">Reasons for </w:t>
            </w:r>
            <w:r>
              <w:rPr>
                <w:b/>
                <w:smallCaps/>
              </w:rPr>
              <w:t>Judgment:</w:t>
            </w:r>
          </w:p>
          <w:p w:rsidR="00B87258" w:rsidRPr="006B210C" w:rsidRDefault="00B87258" w:rsidP="008F2B35">
            <w:r>
              <w:t>(paras. 1 to 4)</w:t>
            </w:r>
          </w:p>
        </w:tc>
        <w:tc>
          <w:tcPr>
            <w:tcW w:w="5958" w:type="dxa"/>
          </w:tcPr>
          <w:p w:rsidR="00B87258" w:rsidRPr="00484289" w:rsidRDefault="00B87258" w:rsidP="008F2B35">
            <w:r>
              <w:t>Wagner C</w:t>
            </w:r>
            <w:r w:rsidRPr="00737893">
              <w:t>.</w:t>
            </w:r>
            <w:r>
              <w:t>J.</w:t>
            </w:r>
            <w:r w:rsidRPr="00484289">
              <w:t xml:space="preserve"> (</w:t>
            </w:r>
            <w:proofErr w:type="spellStart"/>
            <w:r>
              <w:t>Abella</w:t>
            </w:r>
            <w:proofErr w:type="spellEnd"/>
            <w:r>
              <w:t xml:space="preserve">, </w:t>
            </w:r>
            <w:proofErr w:type="spellStart"/>
            <w:r>
              <w:t>Côté</w:t>
            </w:r>
            <w:proofErr w:type="spellEnd"/>
            <w:r>
              <w:t>, Rowe and Martin </w:t>
            </w:r>
            <w:proofErr w:type="spellStart"/>
            <w:r>
              <w:t>JJ.</w:t>
            </w:r>
            <w:r w:rsidRPr="00484289">
              <w:t>concurring</w:t>
            </w:r>
            <w:proofErr w:type="spellEnd"/>
            <w:r w:rsidRPr="00484289">
              <w:t>)</w:t>
            </w:r>
          </w:p>
        </w:tc>
      </w:tr>
    </w:tbl>
    <w:p w:rsidR="00B87258" w:rsidRPr="00484289" w:rsidRDefault="00B87258" w:rsidP="00B87258">
      <w:pPr>
        <w:rPr>
          <w:lang w:val="en-US"/>
        </w:rPr>
      </w:pPr>
    </w:p>
    <w:p w:rsidR="00B87258" w:rsidRPr="00484289" w:rsidRDefault="00B87258" w:rsidP="00B87258">
      <w:pPr>
        <w:rPr>
          <w:lang w:val="en-US"/>
        </w:rPr>
      </w:pPr>
      <w:r>
        <w:rPr>
          <w:noProof/>
          <w:lang w:val="en-US"/>
        </w:rPr>
        <mc:AlternateContent>
          <mc:Choice Requires="wps">
            <w:drawing>
              <wp:anchor distT="0" distB="0" distL="114300" distR="114300" simplePos="0" relativeHeight="251659264" behindDoc="0" locked="0" layoutInCell="1" allowOverlap="1" wp14:anchorId="74CBF47F" wp14:editId="4F6FAB4A">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0929E7"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B87258" w:rsidRPr="00484289" w:rsidRDefault="00B87258" w:rsidP="00B87258">
      <w:pPr>
        <w:rPr>
          <w:lang w:val="en-US"/>
        </w:rPr>
      </w:pPr>
    </w:p>
    <w:p w:rsidR="00B87258" w:rsidRPr="001426A9" w:rsidRDefault="00B87258" w:rsidP="00FC4EFB">
      <w:pPr>
        <w:jc w:val="both"/>
      </w:pPr>
    </w:p>
    <w:p w:rsidR="008322BD" w:rsidRPr="00460721" w:rsidRDefault="00460721" w:rsidP="0035169A">
      <w:pPr>
        <w:spacing w:line="480" w:lineRule="auto"/>
        <w:jc w:val="both"/>
        <w:rPr>
          <w:smallCaps/>
        </w:rPr>
      </w:pPr>
      <w:r>
        <w:rPr>
          <w:rStyle w:val="SCCAppellantForRunningHeadChar"/>
          <w:smallCaps w:val="0"/>
        </w:rPr>
        <w:t>R</w:t>
      </w:r>
      <w:r w:rsidR="008F78E9" w:rsidRPr="00460721">
        <w:rPr>
          <w:rStyle w:val="SCCAppellantForRunningHeadChar"/>
          <w:smallCaps w:val="0"/>
        </w:rPr>
        <w:t>.</w:t>
      </w:r>
      <w:r w:rsidR="00480C90" w:rsidRPr="00460721">
        <w:rPr>
          <w:smallCaps/>
        </w:rPr>
        <w:t xml:space="preserve"> </w:t>
      </w:r>
      <w:r w:rsidR="009B57B3" w:rsidRPr="00460721">
        <w:rPr>
          <w:i/>
        </w:rPr>
        <w:t>v.</w:t>
      </w:r>
      <w:r w:rsidR="00B000D8" w:rsidRPr="00460721">
        <w:rPr>
          <w:smallCaps/>
        </w:rPr>
        <w:t xml:space="preserve"> </w:t>
      </w:r>
      <w:proofErr w:type="spellStart"/>
      <w:r>
        <w:rPr>
          <w:rStyle w:val="SCCRespondentForRunningHeadChar"/>
          <w:smallCaps w:val="0"/>
        </w:rPr>
        <w:t>N</w:t>
      </w:r>
      <w:r w:rsidR="008F78E9" w:rsidRPr="00460721">
        <w:rPr>
          <w:rStyle w:val="SCCRespondentForRunningHeadChar"/>
          <w:smallCaps w:val="0"/>
        </w:rPr>
        <w:t>ormore</w:t>
      </w:r>
      <w:proofErr w:type="spellEnd"/>
      <w:r>
        <w:rPr>
          <w:rStyle w:val="SCCRespondentForRunningHeadChar"/>
          <w:smallCaps w:val="0"/>
        </w:rPr>
        <w:t xml:space="preserve">, </w:t>
      </w:r>
      <w:r w:rsidRPr="00474C9F">
        <w:t>2018 SCC 42</w:t>
      </w:r>
      <w:r>
        <w:t>, [2018] 3 S.C.R. 5</w:t>
      </w:r>
    </w:p>
    <w:p w:rsidR="00766D14" w:rsidRDefault="00766D14" w:rsidP="00FC4EFB">
      <w:pPr>
        <w:jc w:val="both"/>
      </w:pPr>
    </w:p>
    <w:p w:rsidR="00A149DF" w:rsidRDefault="00A149DF" w:rsidP="00FC4EFB">
      <w:pPr>
        <w:jc w:val="both"/>
      </w:pPr>
    </w:p>
    <w:p w:rsidR="00A149DF" w:rsidRPr="001426A9" w:rsidRDefault="00A149DF" w:rsidP="00FC4EFB">
      <w:pPr>
        <w:jc w:val="both"/>
      </w:pPr>
    </w:p>
    <w:p w:rsidR="0018137D" w:rsidRDefault="001346FE">
      <w:pPr>
        <w:pStyle w:val="SCCLsocLastPartyInRole"/>
      </w:pPr>
      <w:r>
        <w:t xml:space="preserve">Her Majesty </w:t>
      </w:r>
      <w:proofErr w:type="gramStart"/>
      <w:r w:rsidR="007559AA">
        <w:t>T</w:t>
      </w:r>
      <w:r>
        <w:t>he</w:t>
      </w:r>
      <w:proofErr w:type="gramEnd"/>
      <w:r>
        <w:t xml:space="preserve"> Queen</w:t>
      </w:r>
      <w:r>
        <w:rPr>
          <w:rStyle w:val="SCCLsocPartyRole"/>
        </w:rPr>
        <w:tab/>
        <w:t>Appellant</w:t>
      </w:r>
    </w:p>
    <w:p w:rsidR="0018137D" w:rsidRDefault="001346FE">
      <w:pPr>
        <w:pStyle w:val="SCCLsocVersus"/>
      </w:pPr>
      <w:proofErr w:type="gramStart"/>
      <w:r>
        <w:t>v</w:t>
      </w:r>
      <w:proofErr w:type="gramEnd"/>
      <w:r>
        <w:t>.</w:t>
      </w:r>
    </w:p>
    <w:p w:rsidR="0018137D" w:rsidRDefault="001346FE">
      <w:pPr>
        <w:pStyle w:val="SCCLsocLastPartyInRole"/>
      </w:pPr>
      <w:r>
        <w:t xml:space="preserve">Alex </w:t>
      </w:r>
      <w:proofErr w:type="spellStart"/>
      <w:r>
        <w:t>Normore</w:t>
      </w:r>
      <w:proofErr w:type="spellEnd"/>
      <w:r>
        <w:rPr>
          <w:rStyle w:val="SCCLsocPartyRole"/>
        </w:rPr>
        <w:tab/>
        <w:t>Respondent</w:t>
      </w:r>
    </w:p>
    <w:p w:rsidR="00766D14" w:rsidRDefault="00766D14" w:rsidP="00FC4EFB">
      <w:pPr>
        <w:jc w:val="both"/>
      </w:pPr>
    </w:p>
    <w:p w:rsidR="00A149DF" w:rsidRDefault="00A149DF" w:rsidP="00FC4EFB">
      <w:pPr>
        <w:jc w:val="both"/>
      </w:pPr>
    </w:p>
    <w:p w:rsidR="00A149DF" w:rsidRPr="001426A9" w:rsidRDefault="00A149DF" w:rsidP="00FC4EFB">
      <w:pPr>
        <w:jc w:val="both"/>
      </w:pPr>
    </w:p>
    <w:p w:rsidR="00426659" w:rsidRPr="00426659" w:rsidRDefault="00426659" w:rsidP="00FC4EFB">
      <w:pPr>
        <w:jc w:val="both"/>
        <w:rPr>
          <w:b/>
        </w:rPr>
      </w:pPr>
      <w:r w:rsidRPr="00426659">
        <w:rPr>
          <w:b/>
        </w:rPr>
        <w:t>Indexed as:</w:t>
      </w:r>
      <w:r>
        <w:rPr>
          <w:b/>
        </w:rPr>
        <w:t xml:space="preserve"> </w:t>
      </w:r>
      <w:r>
        <w:rPr>
          <w:rStyle w:val="SCCAppellantForIndexChar"/>
        </w:rPr>
        <w:t>R.</w:t>
      </w:r>
      <w:r w:rsidRPr="00426659">
        <w:rPr>
          <w:b/>
        </w:rPr>
        <w:t xml:space="preserve"> </w:t>
      </w:r>
      <w:r w:rsidRPr="00426659">
        <w:rPr>
          <w:b/>
          <w:i/>
        </w:rPr>
        <w:t>v.</w:t>
      </w:r>
      <w:r w:rsidRPr="00426659">
        <w:rPr>
          <w:b/>
        </w:rPr>
        <w:t xml:space="preserve"> </w:t>
      </w:r>
      <w:proofErr w:type="spellStart"/>
      <w:r>
        <w:rPr>
          <w:rStyle w:val="SCCRespondentForIndexChar"/>
        </w:rPr>
        <w:t>Normore</w:t>
      </w:r>
      <w:proofErr w:type="spellEnd"/>
    </w:p>
    <w:p w:rsidR="00426659" w:rsidRDefault="00426659" w:rsidP="00FC4EFB">
      <w:pPr>
        <w:jc w:val="both"/>
      </w:pPr>
    </w:p>
    <w:p w:rsidR="00A149DF" w:rsidRDefault="00A149DF" w:rsidP="00FC4EFB">
      <w:pPr>
        <w:jc w:val="both"/>
      </w:pPr>
    </w:p>
    <w:p w:rsidR="00A149DF" w:rsidRDefault="00A149DF" w:rsidP="00FC4EFB">
      <w:pPr>
        <w:jc w:val="both"/>
      </w:pPr>
    </w:p>
    <w:p w:rsidR="00426659" w:rsidRPr="00C02092" w:rsidRDefault="00AE4535" w:rsidP="00FC4EFB">
      <w:pPr>
        <w:pStyle w:val="SCCSystemYear"/>
        <w:jc w:val="both"/>
      </w:pPr>
      <w:r w:rsidRPr="00474C9F">
        <w:t>2018</w:t>
      </w:r>
      <w:r w:rsidR="003D0399" w:rsidRPr="00474C9F">
        <w:t xml:space="preserve"> </w:t>
      </w:r>
      <w:r w:rsidR="007559AA" w:rsidRPr="00474C9F">
        <w:t>SCC 42</w:t>
      </w:r>
    </w:p>
    <w:p w:rsidR="00426659" w:rsidRDefault="00426659" w:rsidP="00FC4EFB">
      <w:pPr>
        <w:jc w:val="both"/>
      </w:pPr>
    </w:p>
    <w:p w:rsidR="00A149DF" w:rsidRDefault="00A149DF" w:rsidP="00FC4EFB">
      <w:pPr>
        <w:jc w:val="both"/>
      </w:pPr>
    </w:p>
    <w:p w:rsidR="00A149DF" w:rsidRDefault="00A149DF" w:rsidP="00FC4EFB">
      <w:pPr>
        <w:jc w:val="both"/>
      </w:pPr>
    </w:p>
    <w:p w:rsidR="008322BD" w:rsidRDefault="00FD4906" w:rsidP="00FC4EFB">
      <w:pPr>
        <w:jc w:val="both"/>
      </w:pPr>
      <w:r>
        <w:t xml:space="preserve">File No.: </w:t>
      </w:r>
      <w:r w:rsidR="009B57B3">
        <w:t>37993</w:t>
      </w:r>
      <w:r w:rsidR="009B57B3" w:rsidRPr="001426A9">
        <w:t>.</w:t>
      </w:r>
    </w:p>
    <w:p w:rsidR="00E97830" w:rsidRDefault="00E97830" w:rsidP="00FC4EFB">
      <w:pPr>
        <w:jc w:val="both"/>
      </w:pPr>
    </w:p>
    <w:p w:rsidR="00A149DF" w:rsidRDefault="00A149DF" w:rsidP="00FC4EFB">
      <w:pPr>
        <w:jc w:val="both"/>
      </w:pPr>
    </w:p>
    <w:p w:rsidR="00A149DF" w:rsidRDefault="00A149DF" w:rsidP="00FC4EFB">
      <w:pPr>
        <w:jc w:val="both"/>
      </w:pPr>
    </w:p>
    <w:p w:rsidR="008322BD" w:rsidRDefault="00FD4906" w:rsidP="00FC4EFB">
      <w:pPr>
        <w:jc w:val="both"/>
      </w:pPr>
      <w:r>
        <w:t xml:space="preserve">2018: </w:t>
      </w:r>
      <w:r w:rsidR="00AE4535">
        <w:t>October 17</w:t>
      </w:r>
      <w:r w:rsidR="007559AA">
        <w:t>.</w:t>
      </w:r>
    </w:p>
    <w:p w:rsidR="00E97830" w:rsidRDefault="00E97830" w:rsidP="00FC4EFB">
      <w:pPr>
        <w:jc w:val="both"/>
      </w:pPr>
    </w:p>
    <w:p w:rsidR="00A149DF" w:rsidRDefault="00A149DF" w:rsidP="00FC4EFB">
      <w:pPr>
        <w:jc w:val="both"/>
      </w:pPr>
    </w:p>
    <w:p w:rsidR="00A149DF" w:rsidRDefault="00A149DF" w:rsidP="00FC4EFB">
      <w:pPr>
        <w:jc w:val="both"/>
      </w:pPr>
    </w:p>
    <w:p w:rsidR="008322BD" w:rsidRDefault="00F302D6" w:rsidP="00FC4EFB">
      <w:pPr>
        <w:jc w:val="both"/>
      </w:pPr>
      <w:r>
        <w:t xml:space="preserve">Present: </w:t>
      </w:r>
      <w:r w:rsidR="009B57B3">
        <w:t xml:space="preserve">Wagner C.J. and </w:t>
      </w:r>
      <w:proofErr w:type="spellStart"/>
      <w:r w:rsidR="009B57B3">
        <w:t>Abella</w:t>
      </w:r>
      <w:proofErr w:type="spellEnd"/>
      <w:r w:rsidR="009B57B3">
        <w:t xml:space="preserve">, </w:t>
      </w:r>
      <w:proofErr w:type="spellStart"/>
      <w:r w:rsidR="009B57B3">
        <w:t>Côté</w:t>
      </w:r>
      <w:proofErr w:type="spellEnd"/>
      <w:r w:rsidR="009B57B3">
        <w:t>, Rowe and Martin JJ.</w:t>
      </w:r>
    </w:p>
    <w:p w:rsidR="00E97830" w:rsidRDefault="00E97830" w:rsidP="00FC4EFB">
      <w:pPr>
        <w:jc w:val="both"/>
      </w:pPr>
    </w:p>
    <w:p w:rsidR="006A1551" w:rsidRDefault="006A1551" w:rsidP="00FC4EFB">
      <w:pPr>
        <w:jc w:val="both"/>
      </w:pPr>
    </w:p>
    <w:p w:rsidR="00083CAC" w:rsidRDefault="00083CAC" w:rsidP="00FC4EFB">
      <w:pPr>
        <w:jc w:val="both"/>
      </w:pPr>
    </w:p>
    <w:p w:rsidR="00083CAC" w:rsidRDefault="00083CAC" w:rsidP="00FC4EFB">
      <w:pPr>
        <w:jc w:val="both"/>
      </w:pPr>
    </w:p>
    <w:p w:rsidR="007E685B" w:rsidRDefault="001346FE" w:rsidP="00FC4EFB">
      <w:pPr>
        <w:pStyle w:val="SCCNormalDoubleSpacing"/>
        <w:rPr>
          <w:smallCaps/>
        </w:rPr>
      </w:pPr>
      <w:r w:rsidRPr="001346FE">
        <w:rPr>
          <w:smallCaps/>
        </w:rPr>
        <w:t xml:space="preserve">on appeal from the court of appeal for newfoundland and </w:t>
      </w:r>
      <w:proofErr w:type="spellStart"/>
      <w:r w:rsidRPr="001346FE">
        <w:rPr>
          <w:smallCaps/>
        </w:rPr>
        <w:t>labrador</w:t>
      </w:r>
      <w:proofErr w:type="spellEnd"/>
    </w:p>
    <w:p w:rsidR="00083CAC" w:rsidRPr="00FD4906" w:rsidRDefault="00083CAC" w:rsidP="00FC4EFB">
      <w:pPr>
        <w:pStyle w:val="SCCNormalDoubleSpacing"/>
        <w:rPr>
          <w:smallCaps/>
        </w:rPr>
      </w:pPr>
    </w:p>
    <w:p w:rsidR="00A149DF" w:rsidRPr="00802C84" w:rsidRDefault="009B57B3" w:rsidP="00FC4EFB">
      <w:pPr>
        <w:pStyle w:val="SCCNormalDoubleSpacing"/>
        <w:rPr>
          <w:i/>
        </w:rPr>
      </w:pPr>
      <w:r w:rsidRPr="00583EDE">
        <w:tab/>
      </w:r>
      <w:r w:rsidR="00802C84">
        <w:rPr>
          <w:i/>
        </w:rPr>
        <w:t xml:space="preserve">Criminal law </w:t>
      </w:r>
      <w:r w:rsidR="00083CAC">
        <w:rPr>
          <w:i/>
        </w:rPr>
        <w:t xml:space="preserve">— </w:t>
      </w:r>
      <w:r w:rsidR="00E722D7">
        <w:rPr>
          <w:i/>
        </w:rPr>
        <w:t xml:space="preserve">Trial </w:t>
      </w:r>
      <w:r w:rsidR="00083CAC">
        <w:rPr>
          <w:i/>
        </w:rPr>
        <w:t>—</w:t>
      </w:r>
      <w:r w:rsidR="00E722D7">
        <w:rPr>
          <w:i/>
        </w:rPr>
        <w:t xml:space="preserve"> </w:t>
      </w:r>
      <w:r w:rsidR="00802C84">
        <w:rPr>
          <w:i/>
        </w:rPr>
        <w:t xml:space="preserve">Contempt of court </w:t>
      </w:r>
      <w:r w:rsidR="00083CAC">
        <w:rPr>
          <w:i/>
        </w:rPr>
        <w:t>—</w:t>
      </w:r>
      <w:r w:rsidR="00802C84">
        <w:rPr>
          <w:i/>
        </w:rPr>
        <w:t xml:space="preserve"> Witness refusing to answer </w:t>
      </w:r>
      <w:r w:rsidR="00E722D7">
        <w:rPr>
          <w:i/>
        </w:rPr>
        <w:t xml:space="preserve">defence counsel’s </w:t>
      </w:r>
      <w:r w:rsidR="00802C84">
        <w:rPr>
          <w:i/>
        </w:rPr>
        <w:t xml:space="preserve">question </w:t>
      </w:r>
      <w:r w:rsidR="00083CAC">
        <w:rPr>
          <w:i/>
        </w:rPr>
        <w:t>—</w:t>
      </w:r>
      <w:r w:rsidR="00802C84">
        <w:rPr>
          <w:i/>
        </w:rPr>
        <w:t xml:space="preserve"> Trial judge not taking </w:t>
      </w:r>
      <w:r w:rsidR="00C4633D">
        <w:rPr>
          <w:i/>
        </w:rPr>
        <w:t xml:space="preserve">further </w:t>
      </w:r>
      <w:r w:rsidR="00802C84">
        <w:rPr>
          <w:i/>
        </w:rPr>
        <w:t>steps to elicit evidence and not citing witness for contempt</w:t>
      </w:r>
      <w:r w:rsidR="00083CAC">
        <w:rPr>
          <w:i/>
        </w:rPr>
        <w:t xml:space="preserve"> —</w:t>
      </w:r>
      <w:r w:rsidR="00802C84">
        <w:rPr>
          <w:i/>
        </w:rPr>
        <w:t xml:space="preserve"> Court of Appeal holding that trial judge erred in not taking further steps to address refusal to</w:t>
      </w:r>
      <w:r w:rsidR="00083CAC">
        <w:rPr>
          <w:i/>
        </w:rPr>
        <w:t xml:space="preserve"> answer and ordering new trial —</w:t>
      </w:r>
      <w:r w:rsidR="00802C84">
        <w:rPr>
          <w:i/>
        </w:rPr>
        <w:t xml:space="preserve"> Convictions restored.</w:t>
      </w:r>
    </w:p>
    <w:p w:rsidR="00A149DF" w:rsidRDefault="00A149DF" w:rsidP="004E2C26">
      <w:pPr>
        <w:pStyle w:val="SCCNormalDoubleSpacing"/>
      </w:pPr>
    </w:p>
    <w:p w:rsidR="00A41805" w:rsidRDefault="002E6705" w:rsidP="00083CAC">
      <w:pPr>
        <w:pStyle w:val="SCCNormalDoubleSpacing"/>
        <w:spacing w:after="480"/>
      </w:pPr>
      <w:r w:rsidRPr="00314E01">
        <w:rPr>
          <w:b/>
        </w:rPr>
        <w:t>Statutes and Regulations Cite</w:t>
      </w:r>
      <w:r w:rsidR="00A41805">
        <w:rPr>
          <w:b/>
        </w:rPr>
        <w:t>d</w:t>
      </w:r>
    </w:p>
    <w:p w:rsidR="00A149DF" w:rsidRPr="00914A98" w:rsidRDefault="00914A98" w:rsidP="00083CAC">
      <w:pPr>
        <w:pStyle w:val="SCCNormalDoubleSpacing"/>
        <w:spacing w:after="480"/>
        <w:ind w:left="547" w:hanging="547"/>
        <w:rPr>
          <w:lang w:val="fr-CA"/>
        </w:rPr>
      </w:pPr>
      <w:proofErr w:type="spellStart"/>
      <w:r w:rsidRPr="00914A98">
        <w:rPr>
          <w:i/>
          <w:lang w:val="fr-CA"/>
        </w:rPr>
        <w:t>Criminal</w:t>
      </w:r>
      <w:proofErr w:type="spellEnd"/>
      <w:r w:rsidRPr="00914A98">
        <w:rPr>
          <w:i/>
          <w:lang w:val="fr-CA"/>
        </w:rPr>
        <w:t xml:space="preserve"> Code</w:t>
      </w:r>
      <w:r>
        <w:rPr>
          <w:lang w:val="fr-CA"/>
        </w:rPr>
        <w:t xml:space="preserve">, R.S.C. 1985, c. C-46, s. </w:t>
      </w:r>
      <w:r w:rsidRPr="00914A98">
        <w:rPr>
          <w:lang w:val="fr-CA"/>
        </w:rPr>
        <w:t>686(1</w:t>
      </w:r>
      <w:proofErr w:type="gramStart"/>
      <w:r w:rsidRPr="00914A98">
        <w:rPr>
          <w:lang w:val="fr-CA"/>
        </w:rPr>
        <w:t>)(</w:t>
      </w:r>
      <w:proofErr w:type="gramEnd"/>
      <w:r w:rsidRPr="00914A98">
        <w:rPr>
          <w:lang w:val="fr-CA"/>
        </w:rPr>
        <w:t>b)(iii)</w:t>
      </w:r>
      <w:r>
        <w:rPr>
          <w:lang w:val="fr-CA"/>
        </w:rPr>
        <w:t>.</w:t>
      </w:r>
    </w:p>
    <w:p w:rsidR="00656313" w:rsidRDefault="00474C9F" w:rsidP="00FC4EFB">
      <w:pPr>
        <w:pStyle w:val="SCCNormalDoubleSpacing"/>
      </w:pPr>
      <w:r w:rsidRPr="00914A98">
        <w:rPr>
          <w:lang w:val="fr-CA"/>
        </w:rPr>
        <w:lastRenderedPageBreak/>
        <w:tab/>
      </w:r>
      <w:r w:rsidR="009B57B3" w:rsidRPr="001426A9">
        <w:t xml:space="preserve">APPEAL from a judgment of the </w:t>
      </w:r>
      <w:r w:rsidR="009B57B3">
        <w:t xml:space="preserve">Court of Appeal </w:t>
      </w:r>
      <w:r>
        <w:t>for</w:t>
      </w:r>
      <w:r w:rsidR="009B57B3">
        <w:t xml:space="preserve"> Newfoundland and Labrador</w:t>
      </w:r>
      <w:r>
        <w:t xml:space="preserve"> (White, Harrington and </w:t>
      </w:r>
      <w:proofErr w:type="spellStart"/>
      <w:r>
        <w:t>Hoegg</w:t>
      </w:r>
      <w:proofErr w:type="spellEnd"/>
      <w:r>
        <w:t xml:space="preserve"> JJ.</w:t>
      </w:r>
      <w:r w:rsidR="0068601D">
        <w:t>A.</w:t>
      </w:r>
      <w:r>
        <w:t>)</w:t>
      </w:r>
      <w:r w:rsidR="009816E0">
        <w:t xml:space="preserve">, </w:t>
      </w:r>
      <w:r w:rsidR="00FD4906">
        <w:rPr>
          <w:lang w:val="en-US"/>
        </w:rPr>
        <w:t>2018 NCLA 10, 44</w:t>
      </w:r>
      <w:r w:rsidR="009816E0" w:rsidRPr="009816E0">
        <w:rPr>
          <w:lang w:val="en-US"/>
        </w:rPr>
        <w:t xml:space="preserve"> C.R. (7th) 269, [2018] N.J. No. 43 (QL), 2018 </w:t>
      </w:r>
      <w:proofErr w:type="spellStart"/>
      <w:r w:rsidR="009816E0" w:rsidRPr="009816E0">
        <w:rPr>
          <w:lang w:val="en-US"/>
        </w:rPr>
        <w:t>CarswellNfld</w:t>
      </w:r>
      <w:proofErr w:type="spellEnd"/>
      <w:r w:rsidR="009816E0" w:rsidRPr="009816E0">
        <w:rPr>
          <w:lang w:val="en-US"/>
        </w:rPr>
        <w:t xml:space="preserve"> 45 (WL Can.)</w:t>
      </w:r>
      <w:r w:rsidR="009816E0">
        <w:rPr>
          <w:lang w:val="en-US"/>
        </w:rPr>
        <w:t>,</w:t>
      </w:r>
      <w:r>
        <w:t xml:space="preserve"> </w:t>
      </w:r>
      <w:r w:rsidR="0068601D" w:rsidRPr="0068601D">
        <w:t>setting aside the convictions entered by</w:t>
      </w:r>
      <w:r>
        <w:t xml:space="preserve"> Hurley J.</w:t>
      </w:r>
      <w:r w:rsidR="009816E0">
        <w:t xml:space="preserve">, </w:t>
      </w:r>
      <w:r w:rsidR="009816E0" w:rsidRPr="009816E0">
        <w:rPr>
          <w:lang w:val="en-US"/>
        </w:rPr>
        <w:t>2016 NL</w:t>
      </w:r>
      <w:r w:rsidR="00F302D6">
        <w:rPr>
          <w:lang w:val="en-US"/>
        </w:rPr>
        <w:t>T</w:t>
      </w:r>
      <w:r w:rsidR="009816E0" w:rsidRPr="009816E0">
        <w:rPr>
          <w:lang w:val="en-US"/>
        </w:rPr>
        <w:t>D(G) 43, 380 Nfld. &amp; P.E.I.R. 248,</w:t>
      </w:r>
      <w:r w:rsidR="00083CAC">
        <w:rPr>
          <w:lang w:val="en-US"/>
        </w:rPr>
        <w:t xml:space="preserve"> 1177 A.P.R. 248, </w:t>
      </w:r>
      <w:r w:rsidR="009816E0" w:rsidRPr="009816E0">
        <w:rPr>
          <w:lang w:val="en-US"/>
        </w:rPr>
        <w:t xml:space="preserve"> [2016] N.J. No. 87 (QL), 2016 </w:t>
      </w:r>
      <w:proofErr w:type="spellStart"/>
      <w:r w:rsidR="009816E0" w:rsidRPr="009816E0">
        <w:rPr>
          <w:lang w:val="en-US"/>
        </w:rPr>
        <w:t>CarswellNfld</w:t>
      </w:r>
      <w:proofErr w:type="spellEnd"/>
      <w:r w:rsidR="009816E0" w:rsidRPr="009816E0">
        <w:rPr>
          <w:lang w:val="en-US"/>
        </w:rPr>
        <w:t xml:space="preserve"> 87 (WL Can.)</w:t>
      </w:r>
      <w:r w:rsidR="00083CAC">
        <w:rPr>
          <w:lang w:val="en-US"/>
        </w:rPr>
        <w:t>,</w:t>
      </w:r>
      <w:r w:rsidR="00DF13E3">
        <w:rPr>
          <w:lang w:val="en-US"/>
        </w:rPr>
        <w:t xml:space="preserve"> and ordering a new trial</w:t>
      </w:r>
      <w:r w:rsidR="009816E0" w:rsidRPr="009816E0">
        <w:rPr>
          <w:lang w:val="en-US"/>
        </w:rPr>
        <w:t xml:space="preserve">. </w:t>
      </w:r>
      <w:r w:rsidR="007559AA">
        <w:t xml:space="preserve">Appeal </w:t>
      </w:r>
      <w:r w:rsidR="007559AA" w:rsidRPr="00914A98">
        <w:t>allowed</w:t>
      </w:r>
      <w:r w:rsidR="007559AA">
        <w:t>.</w:t>
      </w:r>
    </w:p>
    <w:p w:rsidR="00656313" w:rsidRDefault="00656313" w:rsidP="00FC4EFB">
      <w:pPr>
        <w:pStyle w:val="SCCNormalDoubleSpacing"/>
      </w:pPr>
    </w:p>
    <w:p w:rsidR="0018137D" w:rsidRDefault="001346FE">
      <w:pPr>
        <w:pStyle w:val="SCCNormalDoubleSpacing"/>
      </w:pPr>
      <w:r>
        <w:rPr>
          <w:rStyle w:val="SCCCounselNameChar"/>
        </w:rPr>
        <w:tab/>
        <w:t xml:space="preserve">Sheldon </w:t>
      </w:r>
      <w:proofErr w:type="spellStart"/>
      <w:r>
        <w:rPr>
          <w:rStyle w:val="SCCCounselNameChar"/>
        </w:rPr>
        <w:t>Steeves</w:t>
      </w:r>
      <w:proofErr w:type="spellEnd"/>
      <w:r>
        <w:rPr>
          <w:rStyle w:val="SCCCounselPartyRoleChar"/>
        </w:rPr>
        <w:t>, for the appellant.</w:t>
      </w:r>
    </w:p>
    <w:p w:rsidR="0018137D" w:rsidRDefault="0018137D">
      <w:pPr>
        <w:pStyle w:val="SCCNormalDoubleSpacing"/>
      </w:pPr>
    </w:p>
    <w:p w:rsidR="0018137D" w:rsidRDefault="001346FE" w:rsidP="007559AA">
      <w:pPr>
        <w:pStyle w:val="SCCNormalDoubleSpacing"/>
      </w:pPr>
      <w:r>
        <w:rPr>
          <w:rStyle w:val="SCCCounselNameChar"/>
        </w:rPr>
        <w:tab/>
        <w:t>Derek Hogan</w:t>
      </w:r>
      <w:r>
        <w:rPr>
          <w:rStyle w:val="SCCCounselPartyRoleChar"/>
        </w:rPr>
        <w:t>, for the respondent.</w:t>
      </w:r>
    </w:p>
    <w:p w:rsidR="00FD4906" w:rsidRDefault="00FD4906" w:rsidP="00914A98">
      <w:pPr>
        <w:pStyle w:val="SCCNormalDoubleSpacing"/>
      </w:pPr>
    </w:p>
    <w:p w:rsidR="00914A98" w:rsidRDefault="00FD4906" w:rsidP="00914A98">
      <w:pPr>
        <w:pStyle w:val="SCCNormalDoubleSpacing"/>
      </w:pPr>
      <w:r>
        <w:tab/>
      </w:r>
      <w:r w:rsidRPr="00FD4906">
        <w:t>The judgment of the Court was delivered orally by</w:t>
      </w:r>
    </w:p>
    <w:p w:rsidR="00FD4906" w:rsidRPr="00914A98" w:rsidRDefault="00FD4906" w:rsidP="00914A98">
      <w:pPr>
        <w:pStyle w:val="SCCNormalDoubleSpacing"/>
        <w:rPr>
          <w:i/>
        </w:rPr>
      </w:pPr>
    </w:p>
    <w:p w:rsidR="00914A98" w:rsidRPr="00914A98" w:rsidRDefault="00914A98" w:rsidP="00914A98">
      <w:pPr>
        <w:pStyle w:val="SCCNormalDoubleSpacing"/>
      </w:pPr>
      <w:r w:rsidRPr="00914A98">
        <w:t>[</w:t>
      </w:r>
      <w:r w:rsidRPr="00914A98">
        <w:rPr>
          <w:iCs/>
        </w:rPr>
        <w:t>1</w:t>
      </w:r>
      <w:r w:rsidRPr="00914A98">
        <w:t xml:space="preserve">] </w:t>
      </w:r>
      <w:r w:rsidRPr="00914A98">
        <w:tab/>
      </w:r>
      <w:r w:rsidRPr="00914A98">
        <w:rPr>
          <w:smallCaps/>
          <w:lang w:val="en-US"/>
        </w:rPr>
        <w:t>The Chief Justice</w:t>
      </w:r>
      <w:r w:rsidRPr="00914A98">
        <w:rPr>
          <w:lang w:val="en-US"/>
        </w:rPr>
        <w:t xml:space="preserve"> —</w:t>
      </w:r>
      <w:r>
        <w:rPr>
          <w:lang w:val="en-US"/>
        </w:rPr>
        <w:t xml:space="preserve"> </w:t>
      </w:r>
      <w:r w:rsidRPr="00914A98">
        <w:t xml:space="preserve">Mr. </w:t>
      </w:r>
      <w:proofErr w:type="spellStart"/>
      <w:r w:rsidRPr="00914A98">
        <w:t>Normore</w:t>
      </w:r>
      <w:proofErr w:type="spellEnd"/>
      <w:r w:rsidRPr="00914A98">
        <w:t xml:space="preserve"> was convicted at trial of attempting to commit murder, uttering a threat to cause death, and breaking and entering a place and committing attempted murder. His appeal against these convictions was allowed by a majority of the Court of Appeal, </w:t>
      </w:r>
      <w:proofErr w:type="spellStart"/>
      <w:r w:rsidRPr="00914A98">
        <w:t>Hoegg</w:t>
      </w:r>
      <w:proofErr w:type="spellEnd"/>
      <w:r w:rsidRPr="00914A98">
        <w:t xml:space="preserve"> J.A. dissenting. The Crown appeals to this Court as of right. We would allow the appeal.</w:t>
      </w:r>
    </w:p>
    <w:p w:rsidR="00914A98" w:rsidRPr="00914A98" w:rsidRDefault="00914A98" w:rsidP="00914A98">
      <w:pPr>
        <w:pStyle w:val="SCCNormalDoubleSpacing"/>
      </w:pPr>
    </w:p>
    <w:p w:rsidR="00914A98" w:rsidRPr="00914A98" w:rsidRDefault="00914A98" w:rsidP="00914A98">
      <w:pPr>
        <w:pStyle w:val="SCCNormalDoubleSpacing"/>
      </w:pPr>
      <w:r w:rsidRPr="00914A98">
        <w:t>[</w:t>
      </w:r>
      <w:r>
        <w:rPr>
          <w:iCs/>
        </w:rPr>
        <w:t>2</w:t>
      </w:r>
      <w:r w:rsidRPr="00914A98">
        <w:t>]</w:t>
      </w:r>
      <w:r>
        <w:tab/>
      </w:r>
      <w:r w:rsidRPr="00914A98">
        <w:t xml:space="preserve"> We are of the view that the trial judge did not err in the way in which he addressed a witness’s refusal to answer a question put to him by defence counsel. It was open to the trial judge to take further steps to attempt to elicit an answer from the witness. However, in all the circumstances of this case, including the marginal bearing of defence counsel’s line of questioning on the matters in issue, it was a proper exercise </w:t>
      </w:r>
      <w:r w:rsidRPr="00914A98">
        <w:lastRenderedPageBreak/>
        <w:t>of the tria</w:t>
      </w:r>
      <w:r w:rsidR="00A26307">
        <w:t>l judge’s discretion to instead</w:t>
      </w:r>
      <w:r w:rsidRPr="00914A98">
        <w:t xml:space="preserve"> continue with the main proceedings and to leave the issue of potential contempt proceedings against the witness until a later point in time.</w:t>
      </w:r>
    </w:p>
    <w:p w:rsidR="00914A98" w:rsidRPr="00914A98" w:rsidRDefault="00914A98" w:rsidP="00914A98">
      <w:pPr>
        <w:pStyle w:val="SCCNormalDoubleSpacing"/>
        <w:rPr>
          <w:b/>
        </w:rPr>
      </w:pPr>
    </w:p>
    <w:p w:rsidR="00914A98" w:rsidRPr="00914A98" w:rsidRDefault="00914A98" w:rsidP="00914A98">
      <w:pPr>
        <w:pStyle w:val="SCCNormalDoubleSpacing"/>
      </w:pPr>
      <w:r w:rsidRPr="00914A98">
        <w:t>[</w:t>
      </w:r>
      <w:r>
        <w:rPr>
          <w:iCs/>
        </w:rPr>
        <w:t>3</w:t>
      </w:r>
      <w:r w:rsidRPr="00914A98">
        <w:t xml:space="preserve">] </w:t>
      </w:r>
      <w:r>
        <w:tab/>
      </w:r>
      <w:r w:rsidRPr="00914A98">
        <w:t xml:space="preserve">Even if it is assumed that the trial judge committed an error in the way he addressed the refusal of a witness to answer a question put to him by defence counsel, any such error did not result in a </w:t>
      </w:r>
      <w:r w:rsidRPr="00914A98">
        <w:rPr>
          <w:lang w:val="en"/>
        </w:rPr>
        <w:t xml:space="preserve">substantial wrong or miscarriage of justice, </w:t>
      </w:r>
      <w:r w:rsidRPr="00914A98">
        <w:t>and the convictions should therefore be upheld pursuant to s. 686(1</w:t>
      </w:r>
      <w:proofErr w:type="gramStart"/>
      <w:r w:rsidRPr="00914A98">
        <w:t>)(</w:t>
      </w:r>
      <w:proofErr w:type="gramEnd"/>
      <w:r w:rsidRPr="00914A98">
        <w:t xml:space="preserve">b)(iii) of the </w:t>
      </w:r>
      <w:r w:rsidRPr="00914A98">
        <w:rPr>
          <w:i/>
        </w:rPr>
        <w:t>Criminal Code</w:t>
      </w:r>
      <w:r w:rsidRPr="00914A98">
        <w:t xml:space="preserve">, R.S.C. 1985, c. C-46. The question the witness refused to answer was put to him by defence counsel in an attempt to raise doubts about who wrote two notes found in Mr. </w:t>
      </w:r>
      <w:proofErr w:type="spellStart"/>
      <w:r w:rsidRPr="00914A98">
        <w:t>Normore’s</w:t>
      </w:r>
      <w:proofErr w:type="spellEnd"/>
      <w:r w:rsidRPr="00914A98">
        <w:t xml:space="preserve"> residence. The trial judge relied on these notes, along with other evidence, to find that Mr. </w:t>
      </w:r>
      <w:proofErr w:type="spellStart"/>
      <w:r w:rsidRPr="00914A98">
        <w:t>Normore</w:t>
      </w:r>
      <w:proofErr w:type="spellEnd"/>
      <w:r w:rsidRPr="00914A98">
        <w:t xml:space="preserve"> had committed the offences in question. However, in all of the circumstances of this case, including that Mr. </w:t>
      </w:r>
      <w:proofErr w:type="spellStart"/>
      <w:r w:rsidRPr="00914A98">
        <w:t>Normore</w:t>
      </w:r>
      <w:proofErr w:type="spellEnd"/>
      <w:r w:rsidRPr="00914A98">
        <w:t xml:space="preserve"> subsequently admitted to writing the most incriminating statement in these notes, we are of the view that the trial judge’s failure to take further steps to compel the witness to answer the question put to him could not have had an effect on the verdict.</w:t>
      </w:r>
    </w:p>
    <w:p w:rsidR="00914A98" w:rsidRPr="00914A98" w:rsidRDefault="00914A98" w:rsidP="00914A98">
      <w:pPr>
        <w:pStyle w:val="SCCNormalDoubleSpacing"/>
        <w:rPr>
          <w:b/>
        </w:rPr>
      </w:pPr>
    </w:p>
    <w:p w:rsidR="00914A98" w:rsidRPr="00914A98" w:rsidRDefault="00914A98" w:rsidP="00914A98">
      <w:pPr>
        <w:pStyle w:val="SCCNormalDoubleSpacing"/>
      </w:pPr>
      <w:r w:rsidRPr="00914A98">
        <w:t>[</w:t>
      </w:r>
      <w:r>
        <w:rPr>
          <w:iCs/>
        </w:rPr>
        <w:t>4</w:t>
      </w:r>
      <w:r w:rsidRPr="00914A98">
        <w:t xml:space="preserve">] </w:t>
      </w:r>
      <w:r>
        <w:tab/>
      </w:r>
      <w:r w:rsidRPr="00914A98">
        <w:t>Therefore, the appeal is allowed and the convictions are restored.</w:t>
      </w:r>
    </w:p>
    <w:p w:rsidR="00914A98" w:rsidRPr="00914A98" w:rsidRDefault="00914A98" w:rsidP="00914A98">
      <w:pPr>
        <w:pStyle w:val="SCCNormalDoubleSpacing"/>
        <w:rPr>
          <w:i/>
        </w:rPr>
      </w:pPr>
    </w:p>
    <w:p w:rsidR="009B57B3" w:rsidRPr="00802C84" w:rsidRDefault="00914A98" w:rsidP="00FC4EFB">
      <w:pPr>
        <w:pStyle w:val="SCCNormalDoubleSpacing"/>
        <w:rPr>
          <w:i/>
          <w:lang w:val="en-US"/>
        </w:rPr>
      </w:pPr>
      <w:r w:rsidRPr="00914A98">
        <w:rPr>
          <w:i/>
        </w:rPr>
        <w:tab/>
      </w:r>
      <w:r w:rsidRPr="00802C84">
        <w:rPr>
          <w:i/>
          <w:lang w:val="en-US"/>
        </w:rPr>
        <w:t>Judgment accordingly.</w:t>
      </w:r>
    </w:p>
    <w:p w:rsidR="00A149DF" w:rsidRPr="001426A9" w:rsidRDefault="00A149DF" w:rsidP="00FC4EFB">
      <w:pPr>
        <w:pStyle w:val="SCCNormalDoubleSpacing"/>
      </w:pPr>
    </w:p>
    <w:p w:rsidR="0018137D" w:rsidRDefault="007559AA">
      <w:pPr>
        <w:pStyle w:val="SCCLawFirm"/>
      </w:pPr>
      <w:r>
        <w:tab/>
        <w:t xml:space="preserve">Solicitor for the appellant: </w:t>
      </w:r>
      <w:r w:rsidR="001346FE">
        <w:t>Special Prosecutions Office, St.</w:t>
      </w:r>
      <w:r w:rsidR="00A149D0">
        <w:t xml:space="preserve"> </w:t>
      </w:r>
      <w:r w:rsidR="001346FE">
        <w:t>John</w:t>
      </w:r>
      <w:r>
        <w:t>’</w:t>
      </w:r>
      <w:r w:rsidR="001346FE">
        <w:t>s.</w:t>
      </w:r>
    </w:p>
    <w:p w:rsidR="0018137D" w:rsidRDefault="0018137D">
      <w:pPr>
        <w:pStyle w:val="SCCLawFirm"/>
      </w:pPr>
    </w:p>
    <w:p w:rsidR="0018137D" w:rsidRDefault="007559AA">
      <w:pPr>
        <w:pStyle w:val="SCCLawFirm"/>
      </w:pPr>
      <w:r>
        <w:lastRenderedPageBreak/>
        <w:tab/>
        <w:t>Solicitor</w:t>
      </w:r>
      <w:r w:rsidR="001346FE">
        <w:t xml:space="preserve"> for the respondent:  Newfoundland and Labrador Legal Aid Commission, St. John</w:t>
      </w:r>
      <w:r>
        <w:t>’</w:t>
      </w:r>
      <w:r w:rsidR="001346FE">
        <w:t>s.</w:t>
      </w:r>
    </w:p>
    <w:p w:rsidR="0018137D" w:rsidRDefault="0018137D">
      <w:pPr>
        <w:pStyle w:val="SCCLawFirm"/>
      </w:pPr>
    </w:p>
    <w:p w:rsidR="009B57B3" w:rsidRPr="00F302D6" w:rsidRDefault="009B57B3" w:rsidP="007B6F4A">
      <w:pPr>
        <w:rPr>
          <w:lang w:val="en-US"/>
        </w:rPr>
      </w:pPr>
    </w:p>
    <w:sectPr w:rsidR="009B57B3" w:rsidRPr="00F302D6" w:rsidSect="000648CC">
      <w:headerReference w:type="default" r:id="rId9"/>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3087" w:rsidRDefault="00153087">
      <w:r>
        <w:separator/>
      </w:r>
    </w:p>
  </w:endnote>
  <w:endnote w:type="continuationSeparator" w:id="0">
    <w:p w:rsidR="00153087" w:rsidRDefault="00153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3087" w:rsidRDefault="00153087">
      <w:r>
        <w:separator/>
      </w:r>
    </w:p>
  </w:footnote>
  <w:footnote w:type="continuationSeparator" w:id="0">
    <w:p w:rsidR="00153087" w:rsidRDefault="001530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52" w:rsidRPr="00450352" w:rsidRDefault="00450352" w:rsidP="004503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removePersonalInformation/>
  <w:removeDateAndTime/>
  <w:bordersDoNotSurroundHeader/>
  <w:bordersDoNotSurroundFooter/>
  <w:proofState w:spelling="clean" w:grammar="clean"/>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25198"/>
    <w:rsid w:val="000578A3"/>
    <w:rsid w:val="000648CC"/>
    <w:rsid w:val="00083CAC"/>
    <w:rsid w:val="000C59B8"/>
    <w:rsid w:val="000C6AF0"/>
    <w:rsid w:val="00104F33"/>
    <w:rsid w:val="00111DE2"/>
    <w:rsid w:val="00116B38"/>
    <w:rsid w:val="001346FE"/>
    <w:rsid w:val="00135406"/>
    <w:rsid w:val="00135972"/>
    <w:rsid w:val="00136E74"/>
    <w:rsid w:val="001426A9"/>
    <w:rsid w:val="00153087"/>
    <w:rsid w:val="00154D7C"/>
    <w:rsid w:val="001570B0"/>
    <w:rsid w:val="0015752C"/>
    <w:rsid w:val="00157737"/>
    <w:rsid w:val="00165277"/>
    <w:rsid w:val="00170592"/>
    <w:rsid w:val="0018137D"/>
    <w:rsid w:val="00186351"/>
    <w:rsid w:val="00195D83"/>
    <w:rsid w:val="001A00C1"/>
    <w:rsid w:val="001B33E0"/>
    <w:rsid w:val="001B4573"/>
    <w:rsid w:val="001C779F"/>
    <w:rsid w:val="001D2AC1"/>
    <w:rsid w:val="001D4E88"/>
    <w:rsid w:val="00220FC2"/>
    <w:rsid w:val="002222F4"/>
    <w:rsid w:val="00224FC0"/>
    <w:rsid w:val="00225EA4"/>
    <w:rsid w:val="00226EAF"/>
    <w:rsid w:val="00231F3A"/>
    <w:rsid w:val="00234199"/>
    <w:rsid w:val="002406EE"/>
    <w:rsid w:val="00243EC8"/>
    <w:rsid w:val="00270D93"/>
    <w:rsid w:val="002745CC"/>
    <w:rsid w:val="002B7924"/>
    <w:rsid w:val="002D28C3"/>
    <w:rsid w:val="002D39A4"/>
    <w:rsid w:val="002E6705"/>
    <w:rsid w:val="00301D08"/>
    <w:rsid w:val="0030329A"/>
    <w:rsid w:val="0031086F"/>
    <w:rsid w:val="0031414C"/>
    <w:rsid w:val="00314E01"/>
    <w:rsid w:val="0032089D"/>
    <w:rsid w:val="003310DE"/>
    <w:rsid w:val="003323B0"/>
    <w:rsid w:val="0035169A"/>
    <w:rsid w:val="0035259D"/>
    <w:rsid w:val="00364B18"/>
    <w:rsid w:val="003A125D"/>
    <w:rsid w:val="003A4C70"/>
    <w:rsid w:val="003B215F"/>
    <w:rsid w:val="003C799C"/>
    <w:rsid w:val="003D0399"/>
    <w:rsid w:val="003E1C71"/>
    <w:rsid w:val="003F327B"/>
    <w:rsid w:val="00406166"/>
    <w:rsid w:val="0040704B"/>
    <w:rsid w:val="00410A55"/>
    <w:rsid w:val="00411300"/>
    <w:rsid w:val="00415417"/>
    <w:rsid w:val="00426659"/>
    <w:rsid w:val="00450352"/>
    <w:rsid w:val="00454BDB"/>
    <w:rsid w:val="00460721"/>
    <w:rsid w:val="00464800"/>
    <w:rsid w:val="00465132"/>
    <w:rsid w:val="00474C9F"/>
    <w:rsid w:val="00480C90"/>
    <w:rsid w:val="0048396F"/>
    <w:rsid w:val="00493C18"/>
    <w:rsid w:val="004A600C"/>
    <w:rsid w:val="004A6118"/>
    <w:rsid w:val="004C478D"/>
    <w:rsid w:val="004E2C26"/>
    <w:rsid w:val="004F36FF"/>
    <w:rsid w:val="005125A8"/>
    <w:rsid w:val="00521AE8"/>
    <w:rsid w:val="00527180"/>
    <w:rsid w:val="0054201E"/>
    <w:rsid w:val="00555291"/>
    <w:rsid w:val="00566AD1"/>
    <w:rsid w:val="00583EDE"/>
    <w:rsid w:val="005A6079"/>
    <w:rsid w:val="005E4698"/>
    <w:rsid w:val="00610539"/>
    <w:rsid w:val="00613969"/>
    <w:rsid w:val="00625C35"/>
    <w:rsid w:val="00656313"/>
    <w:rsid w:val="006565F4"/>
    <w:rsid w:val="00684EEA"/>
    <w:rsid w:val="0068601D"/>
    <w:rsid w:val="0069689B"/>
    <w:rsid w:val="006A1551"/>
    <w:rsid w:val="006B5FF5"/>
    <w:rsid w:val="006F30AF"/>
    <w:rsid w:val="00701759"/>
    <w:rsid w:val="00705C15"/>
    <w:rsid w:val="0071600E"/>
    <w:rsid w:val="007208D1"/>
    <w:rsid w:val="00734508"/>
    <w:rsid w:val="00747288"/>
    <w:rsid w:val="00747DD3"/>
    <w:rsid w:val="007549C8"/>
    <w:rsid w:val="00754A0B"/>
    <w:rsid w:val="007559AA"/>
    <w:rsid w:val="00766D14"/>
    <w:rsid w:val="00767A0F"/>
    <w:rsid w:val="007A05F6"/>
    <w:rsid w:val="007B6F4A"/>
    <w:rsid w:val="007E1C47"/>
    <w:rsid w:val="007E337A"/>
    <w:rsid w:val="007E5C70"/>
    <w:rsid w:val="007E685B"/>
    <w:rsid w:val="007F2FF5"/>
    <w:rsid w:val="007F3F08"/>
    <w:rsid w:val="00802C84"/>
    <w:rsid w:val="00804CC6"/>
    <w:rsid w:val="00817190"/>
    <w:rsid w:val="00820EE5"/>
    <w:rsid w:val="008260E2"/>
    <w:rsid w:val="008322BD"/>
    <w:rsid w:val="00833E0A"/>
    <w:rsid w:val="00834F73"/>
    <w:rsid w:val="00864CF8"/>
    <w:rsid w:val="00872819"/>
    <w:rsid w:val="00874914"/>
    <w:rsid w:val="00891422"/>
    <w:rsid w:val="00892E1A"/>
    <w:rsid w:val="008A3F29"/>
    <w:rsid w:val="008B660A"/>
    <w:rsid w:val="008C01DA"/>
    <w:rsid w:val="008F78E9"/>
    <w:rsid w:val="00911989"/>
    <w:rsid w:val="00914A98"/>
    <w:rsid w:val="009179F9"/>
    <w:rsid w:val="00933E5E"/>
    <w:rsid w:val="00935218"/>
    <w:rsid w:val="009403F3"/>
    <w:rsid w:val="009555B7"/>
    <w:rsid w:val="009567AA"/>
    <w:rsid w:val="00967374"/>
    <w:rsid w:val="009816E0"/>
    <w:rsid w:val="009A343A"/>
    <w:rsid w:val="009B2F23"/>
    <w:rsid w:val="009B57B3"/>
    <w:rsid w:val="009C5B92"/>
    <w:rsid w:val="009D2920"/>
    <w:rsid w:val="009D5AEB"/>
    <w:rsid w:val="009F0E33"/>
    <w:rsid w:val="00A030CE"/>
    <w:rsid w:val="00A149D0"/>
    <w:rsid w:val="00A149DF"/>
    <w:rsid w:val="00A1755C"/>
    <w:rsid w:val="00A21B90"/>
    <w:rsid w:val="00A26307"/>
    <w:rsid w:val="00A41805"/>
    <w:rsid w:val="00A42DCD"/>
    <w:rsid w:val="00A52AFB"/>
    <w:rsid w:val="00A548CB"/>
    <w:rsid w:val="00A5521C"/>
    <w:rsid w:val="00A643E7"/>
    <w:rsid w:val="00A73C38"/>
    <w:rsid w:val="00AB670D"/>
    <w:rsid w:val="00AE4535"/>
    <w:rsid w:val="00AF03C5"/>
    <w:rsid w:val="00B000D8"/>
    <w:rsid w:val="00B00F75"/>
    <w:rsid w:val="00B056AA"/>
    <w:rsid w:val="00B145B6"/>
    <w:rsid w:val="00B279EB"/>
    <w:rsid w:val="00B50C81"/>
    <w:rsid w:val="00B557F8"/>
    <w:rsid w:val="00B815FC"/>
    <w:rsid w:val="00B87258"/>
    <w:rsid w:val="00B93FBC"/>
    <w:rsid w:val="00BA7DA0"/>
    <w:rsid w:val="00BB2EE4"/>
    <w:rsid w:val="00BC2108"/>
    <w:rsid w:val="00BD0E9E"/>
    <w:rsid w:val="00BD1BEC"/>
    <w:rsid w:val="00BD32FF"/>
    <w:rsid w:val="00C02092"/>
    <w:rsid w:val="00C24D91"/>
    <w:rsid w:val="00C4633D"/>
    <w:rsid w:val="00C53F14"/>
    <w:rsid w:val="00C600CF"/>
    <w:rsid w:val="00C6084F"/>
    <w:rsid w:val="00C62A66"/>
    <w:rsid w:val="00C71458"/>
    <w:rsid w:val="00C77613"/>
    <w:rsid w:val="00C828E7"/>
    <w:rsid w:val="00C86719"/>
    <w:rsid w:val="00C921DD"/>
    <w:rsid w:val="00CA6391"/>
    <w:rsid w:val="00CC34BD"/>
    <w:rsid w:val="00CE161A"/>
    <w:rsid w:val="00CE3171"/>
    <w:rsid w:val="00CF1601"/>
    <w:rsid w:val="00D0172F"/>
    <w:rsid w:val="00D068A7"/>
    <w:rsid w:val="00D17476"/>
    <w:rsid w:val="00D32086"/>
    <w:rsid w:val="00D37A3F"/>
    <w:rsid w:val="00D4431D"/>
    <w:rsid w:val="00D4667A"/>
    <w:rsid w:val="00D63A1C"/>
    <w:rsid w:val="00D7516F"/>
    <w:rsid w:val="00D8579F"/>
    <w:rsid w:val="00D95F8E"/>
    <w:rsid w:val="00DA0590"/>
    <w:rsid w:val="00DB7BEA"/>
    <w:rsid w:val="00DC1739"/>
    <w:rsid w:val="00DC1788"/>
    <w:rsid w:val="00DE319C"/>
    <w:rsid w:val="00DF0CA8"/>
    <w:rsid w:val="00DF13E3"/>
    <w:rsid w:val="00DF2B48"/>
    <w:rsid w:val="00DF49A7"/>
    <w:rsid w:val="00E07610"/>
    <w:rsid w:val="00E07EE2"/>
    <w:rsid w:val="00E07FD1"/>
    <w:rsid w:val="00E176D8"/>
    <w:rsid w:val="00E24573"/>
    <w:rsid w:val="00E25E1E"/>
    <w:rsid w:val="00E27EE7"/>
    <w:rsid w:val="00E35404"/>
    <w:rsid w:val="00E45109"/>
    <w:rsid w:val="00E47B7A"/>
    <w:rsid w:val="00E56A44"/>
    <w:rsid w:val="00E60269"/>
    <w:rsid w:val="00E722D7"/>
    <w:rsid w:val="00E77932"/>
    <w:rsid w:val="00E97830"/>
    <w:rsid w:val="00EE643C"/>
    <w:rsid w:val="00EF0683"/>
    <w:rsid w:val="00EF69D2"/>
    <w:rsid w:val="00EF766E"/>
    <w:rsid w:val="00F0070C"/>
    <w:rsid w:val="00F00EB7"/>
    <w:rsid w:val="00F302D6"/>
    <w:rsid w:val="00F36AB6"/>
    <w:rsid w:val="00F37A09"/>
    <w:rsid w:val="00F409CE"/>
    <w:rsid w:val="00F4379D"/>
    <w:rsid w:val="00F50D2D"/>
    <w:rsid w:val="00F56C8B"/>
    <w:rsid w:val="00F66810"/>
    <w:rsid w:val="00F846D9"/>
    <w:rsid w:val="00F84DF4"/>
    <w:rsid w:val="00F85C97"/>
    <w:rsid w:val="00FB37D2"/>
    <w:rsid w:val="00FC4EFB"/>
    <w:rsid w:val="00FD068D"/>
    <w:rsid w:val="00FD4906"/>
    <w:rsid w:val="00FD4F28"/>
    <w:rsid w:val="00FE6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table" w:styleId="TableGrid">
    <w:name w:val="Table Grid"/>
    <w:basedOn w:val="TableNormal"/>
    <w:uiPriority w:val="59"/>
    <w:rsid w:val="00B87258"/>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DefaultParagraphFont"/>
    <w:rsid w:val="00B87258"/>
    <w:rPr>
      <w:rFonts w:ascii="Times New Roman" w:hAnsi="Times New Roman"/>
      <w:sz w:val="24"/>
      <w:szCs w:val="24"/>
      <w:lang w:val="en-CA"/>
    </w:rPr>
  </w:style>
  <w:style w:type="paragraph" w:customStyle="1" w:styleId="SCCLsocPrefix">
    <w:name w:val="SCC.Lsoc.Prefix"/>
    <w:basedOn w:val="Normal"/>
    <w:next w:val="Normal"/>
    <w:link w:val="SCCLsocPrefixChar"/>
    <w:rsid w:val="00B87258"/>
    <w:rPr>
      <w:rFonts w:eastAsiaTheme="minorHAnsi" w:cstheme="minorBidi"/>
      <w:b/>
      <w:smallCaps/>
      <w:szCs w:val="24"/>
      <w:lang w:eastAsia="en-US"/>
    </w:rPr>
  </w:style>
  <w:style w:type="character" w:customStyle="1" w:styleId="SCCLsocPrefixChar">
    <w:name w:val="SCC.Lsoc.Prefix Char"/>
    <w:basedOn w:val="DefaultParagraphFont"/>
    <w:link w:val="SCCLsocPrefix"/>
    <w:rsid w:val="00B87258"/>
    <w:rPr>
      <w:rFonts w:eastAsiaTheme="minorHAnsi" w:cstheme="minorBidi"/>
      <w:b/>
      <w:smallCap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9F6D3-D3B9-44AD-9E69-69AEFF668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654</Words>
  <Characters>3345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2018-10-18T13:46:00Z</dcterms:created>
  <dcterms:modified xsi:type="dcterms:W3CDTF">2019-07-25T19:24:00Z</dcterms:modified>
</cp:coreProperties>
</file>