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521" w:rsidRDefault="00343521" w:rsidP="00343521">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9pt" o:ole="">
            <v:imagedata r:id="rId7" o:title=""/>
          </v:shape>
          <o:OLEObject Type="Embed" ProgID="Presentations.Drawing.13" ShapeID="_x0000_i1025" DrawAspect="Content" ObjectID="_1625900873" r:id="rId8"/>
        </w:object>
      </w:r>
      <w:r>
        <w:t xml:space="preserve"> </w:t>
      </w:r>
      <w:r>
        <w:ptab w:relativeTo="margin" w:alignment="right" w:leader="none"/>
      </w:r>
    </w:p>
    <w:p w:rsidR="00343521" w:rsidRDefault="00343521" w:rsidP="00343521">
      <w:pPr>
        <w:pStyle w:val="Header"/>
      </w:pPr>
    </w:p>
    <w:p w:rsidR="00343521" w:rsidRPr="006B210C" w:rsidRDefault="00343521" w:rsidP="00343521">
      <w:pPr>
        <w:jc w:val="center"/>
        <w:rPr>
          <w:b/>
        </w:rPr>
      </w:pPr>
      <w:r w:rsidRPr="006B210C">
        <w:rPr>
          <w:b/>
        </w:rPr>
        <w:t>SUPREME COURT OF CANADA</w:t>
      </w:r>
    </w:p>
    <w:p w:rsidR="00343521" w:rsidRDefault="00343521" w:rsidP="00343521"/>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60"/>
      </w:tblGrid>
      <w:tr w:rsidR="00343521" w:rsidRPr="006B210C" w:rsidTr="00E520B0">
        <w:trPr>
          <w:cantSplit/>
        </w:trPr>
        <w:tc>
          <w:tcPr>
            <w:tcW w:w="5670" w:type="dxa"/>
          </w:tcPr>
          <w:p w:rsidR="00343521" w:rsidRPr="00103095" w:rsidRDefault="00343521" w:rsidP="00343521">
            <w:pPr>
              <w:rPr>
                <w:lang w:val="fr-CA"/>
              </w:rPr>
            </w:pPr>
            <w:r w:rsidRPr="00103095">
              <w:rPr>
                <w:b/>
                <w:smallCaps/>
                <w:lang w:val="fr-CA"/>
              </w:rPr>
              <w:t>Citation:</w:t>
            </w:r>
            <w:r w:rsidRPr="00103095">
              <w:rPr>
                <w:lang w:val="fr-CA"/>
              </w:rPr>
              <w:t xml:space="preserve"> R. </w:t>
            </w:r>
            <w:r w:rsidRPr="00103095">
              <w:rPr>
                <w:i/>
                <w:lang w:val="fr-CA"/>
              </w:rPr>
              <w:t>v.</w:t>
            </w:r>
            <w:r w:rsidRPr="00103095">
              <w:rPr>
                <w:lang w:val="fr-CA"/>
              </w:rPr>
              <w:t xml:space="preserve"> </w:t>
            </w:r>
            <w:r>
              <w:rPr>
                <w:lang w:val="fr-CA"/>
              </w:rPr>
              <w:t>Youssef</w:t>
            </w:r>
            <w:r w:rsidRPr="00103095">
              <w:rPr>
                <w:lang w:val="fr-CA"/>
              </w:rPr>
              <w:t xml:space="preserve">, 2018 SCC </w:t>
            </w:r>
            <w:r>
              <w:rPr>
                <w:lang w:val="fr-CA"/>
              </w:rPr>
              <w:t>49</w:t>
            </w:r>
            <w:r w:rsidRPr="00103095">
              <w:rPr>
                <w:lang w:val="fr-CA"/>
              </w:rPr>
              <w:t xml:space="preserve">, [2018] </w:t>
            </w:r>
            <w:r>
              <w:rPr>
                <w:lang w:val="fr-CA"/>
              </w:rPr>
              <w:t>3</w:t>
            </w:r>
            <w:r w:rsidRPr="00103095">
              <w:rPr>
                <w:lang w:val="fr-CA"/>
              </w:rPr>
              <w:t xml:space="preserve"> S.C.R. </w:t>
            </w:r>
            <w:r>
              <w:rPr>
                <w:lang w:val="fr-CA"/>
              </w:rPr>
              <w:t>259</w:t>
            </w:r>
          </w:p>
        </w:tc>
        <w:tc>
          <w:tcPr>
            <w:tcW w:w="3960" w:type="dxa"/>
          </w:tcPr>
          <w:p w:rsidR="00343521" w:rsidRDefault="00343521" w:rsidP="00E520B0">
            <w:r>
              <w:rPr>
                <w:b/>
                <w:smallCaps/>
              </w:rPr>
              <w:t>Appeal heard:</w:t>
            </w:r>
            <w:r w:rsidRPr="006B210C">
              <w:t xml:space="preserve"> </w:t>
            </w:r>
            <w:r>
              <w:t>November 9, 2018</w:t>
            </w:r>
          </w:p>
          <w:p w:rsidR="00343521" w:rsidRPr="006B210C" w:rsidRDefault="00343521" w:rsidP="00E520B0">
            <w:r>
              <w:rPr>
                <w:b/>
                <w:smallCaps/>
              </w:rPr>
              <w:t>Judgment rendered</w:t>
            </w:r>
            <w:r w:rsidRPr="003E41F2">
              <w:rPr>
                <w:b/>
                <w:smallCaps/>
              </w:rPr>
              <w:t>:</w:t>
            </w:r>
            <w:r>
              <w:t xml:space="preserve"> November 9, 2018</w:t>
            </w:r>
          </w:p>
          <w:p w:rsidR="00343521" w:rsidRPr="006B210C" w:rsidRDefault="00343521" w:rsidP="00E520B0">
            <w:r w:rsidRPr="005D4B83">
              <w:rPr>
                <w:b/>
                <w:smallCaps/>
              </w:rPr>
              <w:t>Docket:</w:t>
            </w:r>
            <w:r>
              <w:t xml:space="preserve"> 38036</w:t>
            </w:r>
          </w:p>
        </w:tc>
      </w:tr>
    </w:tbl>
    <w:p w:rsidR="00343521" w:rsidRPr="006B210C" w:rsidRDefault="00343521" w:rsidP="00343521"/>
    <w:p w:rsidR="00343521" w:rsidRDefault="00343521" w:rsidP="00343521">
      <w:pPr>
        <w:pStyle w:val="SCCLsocPrefix"/>
      </w:pPr>
      <w:r>
        <w:t>Between:</w:t>
      </w:r>
    </w:p>
    <w:p w:rsidR="00343521" w:rsidRPr="00721648" w:rsidRDefault="00343521" w:rsidP="00E10247">
      <w:pPr>
        <w:jc w:val="center"/>
        <w:rPr>
          <w:b/>
        </w:rPr>
      </w:pPr>
      <w:r w:rsidRPr="00721648">
        <w:rPr>
          <w:b/>
          <w:lang w:val="fr-CA"/>
        </w:rPr>
        <w:t>Abdullah Youssef</w:t>
      </w:r>
    </w:p>
    <w:p w:rsidR="00343521" w:rsidRDefault="00343521" w:rsidP="00E10247">
      <w:pPr>
        <w:jc w:val="center"/>
      </w:pPr>
      <w:r>
        <w:t>Appellant</w:t>
      </w:r>
    </w:p>
    <w:p w:rsidR="00343521" w:rsidRPr="005D4B83" w:rsidRDefault="00343521" w:rsidP="00E10247">
      <w:pPr>
        <w:jc w:val="center"/>
      </w:pPr>
    </w:p>
    <w:p w:rsidR="00343521" w:rsidRPr="00E10247" w:rsidRDefault="00343521" w:rsidP="00E10247">
      <w:pPr>
        <w:pStyle w:val="SCCLsocVersus"/>
        <w:spacing w:after="0"/>
        <w:jc w:val="center"/>
        <w:rPr>
          <w:i w:val="0"/>
        </w:rPr>
      </w:pPr>
      <w:proofErr w:type="gramStart"/>
      <w:r w:rsidRPr="00E10247">
        <w:rPr>
          <w:i w:val="0"/>
        </w:rPr>
        <w:t>and</w:t>
      </w:r>
      <w:proofErr w:type="gramEnd"/>
    </w:p>
    <w:p w:rsidR="00343521" w:rsidRPr="005D4B83" w:rsidRDefault="00343521" w:rsidP="00E10247">
      <w:pPr>
        <w:jc w:val="center"/>
      </w:pPr>
    </w:p>
    <w:p w:rsidR="00343521" w:rsidRDefault="00343521" w:rsidP="00E10247">
      <w:pPr>
        <w:pStyle w:val="SCCLsocParty"/>
        <w:jc w:val="center"/>
      </w:pPr>
      <w:r>
        <w:t xml:space="preserve">Her Majesty </w:t>
      </w:r>
      <w:proofErr w:type="gramStart"/>
      <w:r>
        <w:t>The</w:t>
      </w:r>
      <w:proofErr w:type="gramEnd"/>
      <w:r>
        <w:t xml:space="preserve"> Queen</w:t>
      </w:r>
    </w:p>
    <w:p w:rsidR="00343521" w:rsidRDefault="00343521" w:rsidP="00E10247">
      <w:pPr>
        <w:jc w:val="center"/>
      </w:pPr>
      <w:r>
        <w:t>Respondent</w:t>
      </w:r>
    </w:p>
    <w:p w:rsidR="00343521" w:rsidRDefault="00343521" w:rsidP="00E10247">
      <w:pPr>
        <w:jc w:val="center"/>
      </w:pPr>
    </w:p>
    <w:p w:rsidR="00343521" w:rsidRDefault="00343521" w:rsidP="00E10247">
      <w:pPr>
        <w:jc w:val="center"/>
      </w:pPr>
    </w:p>
    <w:p w:rsidR="00343521" w:rsidRPr="006B210C" w:rsidRDefault="00343521" w:rsidP="00343521">
      <w:bookmarkStart w:id="0" w:name="_GoBack"/>
      <w:bookmarkEnd w:id="0"/>
    </w:p>
    <w:p w:rsidR="00343521" w:rsidRPr="006B210C" w:rsidRDefault="00343521" w:rsidP="00343521"/>
    <w:p w:rsidR="00343521" w:rsidRPr="006B210C" w:rsidRDefault="00343521" w:rsidP="00343521">
      <w:r w:rsidRPr="006B210C">
        <w:rPr>
          <w:b/>
          <w:smallCaps/>
        </w:rPr>
        <w:t>Coram</w:t>
      </w:r>
      <w:r>
        <w:rPr>
          <w:b/>
          <w:smallCaps/>
        </w:rPr>
        <w:t xml:space="preserve">: </w:t>
      </w:r>
      <w:proofErr w:type="spellStart"/>
      <w:r>
        <w:t>Moldaver</w:t>
      </w:r>
      <w:proofErr w:type="spellEnd"/>
      <w:r>
        <w:t xml:space="preserve">, </w:t>
      </w:r>
      <w:proofErr w:type="spellStart"/>
      <w:r>
        <w:t>Côté</w:t>
      </w:r>
      <w:proofErr w:type="spellEnd"/>
      <w:r>
        <w:t>, Brown, Rowe and Martin JJ.</w:t>
      </w:r>
    </w:p>
    <w:p w:rsidR="00343521" w:rsidRPr="006B210C" w:rsidRDefault="00343521" w:rsidP="003435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43521" w:rsidRPr="00B0027B" w:rsidTr="00E520B0">
        <w:trPr>
          <w:cantSplit/>
        </w:trPr>
        <w:tc>
          <w:tcPr>
            <w:tcW w:w="3618" w:type="dxa"/>
          </w:tcPr>
          <w:p w:rsidR="00343521" w:rsidRDefault="00343521" w:rsidP="00E520B0">
            <w:pPr>
              <w:rPr>
                <w:b/>
                <w:smallCaps/>
              </w:rPr>
            </w:pPr>
            <w:r w:rsidRPr="006B210C">
              <w:rPr>
                <w:b/>
                <w:smallCaps/>
              </w:rPr>
              <w:t xml:space="preserve">Reasons for </w:t>
            </w:r>
            <w:r>
              <w:rPr>
                <w:b/>
                <w:smallCaps/>
              </w:rPr>
              <w:t>Judgment:</w:t>
            </w:r>
          </w:p>
          <w:p w:rsidR="00343521" w:rsidRPr="006B210C" w:rsidRDefault="00343521" w:rsidP="00E520B0">
            <w:r>
              <w:t>(paras. 1 to 2)</w:t>
            </w:r>
          </w:p>
        </w:tc>
        <w:tc>
          <w:tcPr>
            <w:tcW w:w="5958" w:type="dxa"/>
          </w:tcPr>
          <w:p w:rsidR="00343521" w:rsidRPr="00B0027B" w:rsidRDefault="00343521" w:rsidP="00E520B0">
            <w:proofErr w:type="spellStart"/>
            <w:r w:rsidRPr="00B0027B">
              <w:t>Côté</w:t>
            </w:r>
            <w:proofErr w:type="spellEnd"/>
            <w:r w:rsidRPr="00B0027B">
              <w:t xml:space="preserve"> J. (</w:t>
            </w:r>
            <w:proofErr w:type="spellStart"/>
            <w:r w:rsidRPr="00B0027B">
              <w:t>Moldaver</w:t>
            </w:r>
            <w:proofErr w:type="spellEnd"/>
            <w:r w:rsidRPr="00B0027B">
              <w:t>, Brown,</w:t>
            </w:r>
            <w:r>
              <w:t xml:space="preserve"> </w:t>
            </w:r>
            <w:r w:rsidRPr="00B0027B">
              <w:t>Rowe </w:t>
            </w:r>
            <w:r>
              <w:t xml:space="preserve"> and Martin </w:t>
            </w:r>
            <w:r w:rsidRPr="00B0027B">
              <w:t>JJ. concurring)</w:t>
            </w:r>
          </w:p>
        </w:tc>
      </w:tr>
    </w:tbl>
    <w:p w:rsidR="00343521" w:rsidRPr="00B0027B" w:rsidRDefault="00343521" w:rsidP="00343521">
      <w:pPr>
        <w:rPr>
          <w:lang w:val="en-US"/>
        </w:rPr>
      </w:pPr>
    </w:p>
    <w:p w:rsidR="00343521" w:rsidRPr="00B0027B" w:rsidRDefault="00343521" w:rsidP="00343521">
      <w:pPr>
        <w:rPr>
          <w:lang w:val="en-US"/>
        </w:rPr>
      </w:pPr>
    </w:p>
    <w:p w:rsidR="00343521" w:rsidRPr="00B0027B" w:rsidRDefault="00343521" w:rsidP="00343521">
      <w:pPr>
        <w:rPr>
          <w:lang w:val="en-US"/>
        </w:rPr>
      </w:pPr>
      <w:r>
        <w:rPr>
          <w:noProof/>
          <w:lang w:val="en-US"/>
        </w:rPr>
        <mc:AlternateContent>
          <mc:Choice Requires="wps">
            <w:drawing>
              <wp:anchor distT="0" distB="0" distL="114300" distR="114300" simplePos="0" relativeHeight="251659264" behindDoc="0" locked="0" layoutInCell="1" allowOverlap="1" wp14:anchorId="5952AA79" wp14:editId="5362C570">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3B3191"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343521" w:rsidRPr="00B0027B" w:rsidRDefault="00343521" w:rsidP="00343521">
      <w:pPr>
        <w:rPr>
          <w:lang w:val="en-US"/>
        </w:rPr>
      </w:pPr>
    </w:p>
    <w:p w:rsidR="00343521" w:rsidRPr="00B0027B" w:rsidRDefault="00343521" w:rsidP="00343521">
      <w:pPr>
        <w:rPr>
          <w:lang w:val="en-US"/>
        </w:rPr>
      </w:pPr>
    </w:p>
    <w:p w:rsidR="008322BD" w:rsidRPr="00343521" w:rsidRDefault="00DF729B" w:rsidP="0035169A">
      <w:pPr>
        <w:spacing w:line="480" w:lineRule="auto"/>
        <w:jc w:val="both"/>
        <w:rPr>
          <w:lang w:val="en-US"/>
        </w:rPr>
      </w:pPr>
      <w:r w:rsidRPr="00343521">
        <w:rPr>
          <w:lang w:val="en-US"/>
        </w:rPr>
        <w:t>R</w:t>
      </w:r>
      <w:r w:rsidR="007C1D29" w:rsidRPr="00343521">
        <w:rPr>
          <w:lang w:val="en-US"/>
        </w:rPr>
        <w:t xml:space="preserve">. </w:t>
      </w:r>
      <w:r w:rsidR="007C1D29" w:rsidRPr="00343521">
        <w:rPr>
          <w:i/>
          <w:lang w:val="en-US"/>
        </w:rPr>
        <w:t>v.</w:t>
      </w:r>
      <w:r w:rsidR="007C1D29" w:rsidRPr="00343521">
        <w:rPr>
          <w:lang w:val="en-US"/>
        </w:rPr>
        <w:t xml:space="preserve"> </w:t>
      </w:r>
      <w:r w:rsidRPr="00343521">
        <w:rPr>
          <w:lang w:val="en-US"/>
        </w:rPr>
        <w:t>Y</w:t>
      </w:r>
      <w:r w:rsidR="007C1D29" w:rsidRPr="00343521">
        <w:rPr>
          <w:lang w:val="en-US"/>
        </w:rPr>
        <w:t>oussef</w:t>
      </w:r>
      <w:r w:rsidRPr="00343521">
        <w:rPr>
          <w:lang w:val="en-US"/>
        </w:rPr>
        <w:t>, 2018 SCC 49, [2018] 3 S.C.R. 259</w:t>
      </w:r>
    </w:p>
    <w:p w:rsidR="00766D14" w:rsidRPr="00343521" w:rsidRDefault="00766D14" w:rsidP="00FC4EFB">
      <w:pPr>
        <w:jc w:val="both"/>
        <w:rPr>
          <w:lang w:val="en-US"/>
        </w:rPr>
      </w:pPr>
    </w:p>
    <w:p w:rsidR="00A149DF" w:rsidRPr="00343521" w:rsidRDefault="00A149DF" w:rsidP="00FC4EFB">
      <w:pPr>
        <w:jc w:val="both"/>
        <w:rPr>
          <w:lang w:val="en-US"/>
        </w:rPr>
      </w:pPr>
    </w:p>
    <w:p w:rsidR="00A149DF" w:rsidRPr="00343521" w:rsidRDefault="00A149DF" w:rsidP="00FC4EFB">
      <w:pPr>
        <w:jc w:val="both"/>
        <w:rPr>
          <w:lang w:val="en-US"/>
        </w:rPr>
      </w:pPr>
    </w:p>
    <w:p w:rsidR="00300CB6" w:rsidRPr="00866FBB" w:rsidRDefault="00813F43">
      <w:pPr>
        <w:pStyle w:val="SCCLsocLastPartyInRole"/>
        <w:rPr>
          <w:lang w:val="fr-CA"/>
        </w:rPr>
      </w:pPr>
      <w:r w:rsidRPr="00866FBB">
        <w:rPr>
          <w:lang w:val="fr-CA"/>
        </w:rPr>
        <w:t>Abdullah Youssef</w:t>
      </w:r>
      <w:r w:rsidRPr="00866FBB">
        <w:rPr>
          <w:rStyle w:val="SCCLsocPartyRole"/>
          <w:lang w:val="fr-CA"/>
        </w:rPr>
        <w:tab/>
      </w:r>
      <w:proofErr w:type="spellStart"/>
      <w:r w:rsidRPr="00866FBB">
        <w:rPr>
          <w:rStyle w:val="SCCLsocPartyRole"/>
          <w:lang w:val="fr-CA"/>
        </w:rPr>
        <w:t>Appellant</w:t>
      </w:r>
      <w:proofErr w:type="spellEnd"/>
    </w:p>
    <w:p w:rsidR="00300CB6" w:rsidRDefault="00813F43">
      <w:pPr>
        <w:pStyle w:val="SCCLsocVersus"/>
      </w:pPr>
      <w:proofErr w:type="gramStart"/>
      <w:r>
        <w:t>v</w:t>
      </w:r>
      <w:proofErr w:type="gramEnd"/>
      <w:r>
        <w:t>.</w:t>
      </w:r>
    </w:p>
    <w:p w:rsidR="00300CB6" w:rsidRDefault="007C1D29">
      <w:pPr>
        <w:pStyle w:val="SCCLsocLastPartyInRole"/>
      </w:pPr>
      <w:r>
        <w:lastRenderedPageBreak/>
        <w:t xml:space="preserve">Her Majesty </w:t>
      </w:r>
      <w:proofErr w:type="gramStart"/>
      <w:r>
        <w:t>T</w:t>
      </w:r>
      <w:r w:rsidR="00813F43">
        <w:t>he</w:t>
      </w:r>
      <w:proofErr w:type="gramEnd"/>
      <w:r w:rsidR="00813F43">
        <w:t xml:space="preserve"> Queen</w:t>
      </w:r>
      <w:r w:rsidR="00813F43">
        <w:rPr>
          <w:rStyle w:val="SCCLsocPartyRole"/>
        </w:rPr>
        <w:tab/>
        <w:t>Respondent</w:t>
      </w:r>
    </w:p>
    <w:p w:rsidR="00766D14" w:rsidRDefault="00766D14" w:rsidP="00FC4EFB">
      <w:pPr>
        <w:jc w:val="both"/>
      </w:pPr>
    </w:p>
    <w:p w:rsidR="00A149DF" w:rsidRDefault="00A149DF" w:rsidP="00FC4EFB">
      <w:pPr>
        <w:jc w:val="both"/>
      </w:pPr>
    </w:p>
    <w:p w:rsidR="00A149DF" w:rsidRPr="001426A9" w:rsidRDefault="00A149DF" w:rsidP="00FC4EFB">
      <w:pPr>
        <w:jc w:val="both"/>
      </w:pPr>
    </w:p>
    <w:p w:rsidR="00426659" w:rsidRPr="00426659" w:rsidRDefault="00426659" w:rsidP="00FC4EFB">
      <w:pPr>
        <w:jc w:val="both"/>
        <w:rPr>
          <w:b/>
        </w:rPr>
      </w:pPr>
      <w:r w:rsidRPr="00426659">
        <w:rPr>
          <w:b/>
        </w:rPr>
        <w:t>Indexed as:</w:t>
      </w:r>
      <w:r>
        <w:rPr>
          <w:b/>
        </w:rPr>
        <w:t xml:space="preserve"> </w:t>
      </w:r>
      <w:r w:rsidRPr="00426659">
        <w:rPr>
          <w:b/>
        </w:rPr>
        <w:t xml:space="preserve"> </w:t>
      </w:r>
      <w:r w:rsidR="007C1D29">
        <w:rPr>
          <w:b/>
        </w:rPr>
        <w:t xml:space="preserve">R. </w:t>
      </w:r>
      <w:r w:rsidR="007C1D29" w:rsidRPr="007C1D29">
        <w:rPr>
          <w:b/>
          <w:i/>
        </w:rPr>
        <w:t>v.</w:t>
      </w:r>
      <w:r w:rsidR="007C1D29">
        <w:rPr>
          <w:b/>
        </w:rPr>
        <w:t xml:space="preserve"> Youssef</w:t>
      </w:r>
    </w:p>
    <w:p w:rsidR="00426659" w:rsidRDefault="00426659" w:rsidP="00FC4EFB">
      <w:pPr>
        <w:jc w:val="both"/>
      </w:pPr>
    </w:p>
    <w:p w:rsidR="00A149DF" w:rsidRDefault="00A149DF" w:rsidP="00FC4EFB">
      <w:pPr>
        <w:jc w:val="both"/>
      </w:pPr>
    </w:p>
    <w:p w:rsidR="00A149DF" w:rsidRDefault="00A149DF" w:rsidP="00FC4EFB">
      <w:pPr>
        <w:jc w:val="both"/>
      </w:pPr>
    </w:p>
    <w:p w:rsidR="00426659" w:rsidRPr="00C02092" w:rsidRDefault="00AE4535" w:rsidP="00FC4EFB">
      <w:pPr>
        <w:pStyle w:val="SCCSystemYear"/>
        <w:jc w:val="both"/>
      </w:pPr>
      <w:r>
        <w:t>2018</w:t>
      </w:r>
      <w:r w:rsidR="003D0399">
        <w:t xml:space="preserve"> </w:t>
      </w:r>
      <w:r w:rsidR="00426659" w:rsidRPr="00C02092">
        <w:t>SCC </w:t>
      </w:r>
      <w:r w:rsidR="007C1D29">
        <w:t>49</w:t>
      </w:r>
    </w:p>
    <w:p w:rsidR="00426659" w:rsidRDefault="00426659" w:rsidP="00FC4EFB">
      <w:pPr>
        <w:jc w:val="both"/>
      </w:pPr>
    </w:p>
    <w:p w:rsidR="00A149DF" w:rsidRDefault="00A149DF" w:rsidP="00FC4EFB">
      <w:pPr>
        <w:jc w:val="both"/>
      </w:pPr>
    </w:p>
    <w:p w:rsidR="00A149DF" w:rsidRDefault="00A149DF" w:rsidP="00FC4EFB">
      <w:pPr>
        <w:jc w:val="both"/>
      </w:pPr>
    </w:p>
    <w:p w:rsidR="008322BD" w:rsidRDefault="009B57B3" w:rsidP="00FC4EFB">
      <w:pPr>
        <w:jc w:val="both"/>
      </w:pPr>
      <w:r w:rsidRPr="001426A9">
        <w:t xml:space="preserve">File No.:  </w:t>
      </w:r>
      <w:r>
        <w:t>38036</w:t>
      </w:r>
      <w:r w:rsidRPr="001426A9">
        <w:t>.</w:t>
      </w:r>
    </w:p>
    <w:p w:rsidR="00E97830" w:rsidRDefault="00E97830" w:rsidP="00FC4EFB">
      <w:pPr>
        <w:jc w:val="both"/>
      </w:pPr>
    </w:p>
    <w:p w:rsidR="00A149DF" w:rsidRDefault="00A149DF" w:rsidP="00FC4EFB">
      <w:pPr>
        <w:jc w:val="both"/>
      </w:pPr>
    </w:p>
    <w:p w:rsidR="00A149DF" w:rsidRDefault="00A149DF" w:rsidP="00FC4EFB">
      <w:pPr>
        <w:jc w:val="both"/>
      </w:pPr>
    </w:p>
    <w:p w:rsidR="008322BD" w:rsidRDefault="00AE4535" w:rsidP="00FC4EFB">
      <w:pPr>
        <w:jc w:val="both"/>
      </w:pPr>
      <w:r>
        <w:t>2018:  November 9</w:t>
      </w:r>
      <w:r w:rsidR="00CF7CE2">
        <w:t>.</w:t>
      </w:r>
    </w:p>
    <w:p w:rsidR="00E97830" w:rsidRDefault="00E97830" w:rsidP="00FC4EFB">
      <w:pPr>
        <w:jc w:val="both"/>
      </w:pPr>
    </w:p>
    <w:p w:rsidR="00A149DF" w:rsidRDefault="00A149DF" w:rsidP="00FC4EFB">
      <w:pPr>
        <w:jc w:val="both"/>
      </w:pPr>
    </w:p>
    <w:p w:rsidR="00A149DF" w:rsidRDefault="00A149DF" w:rsidP="00FC4EFB">
      <w:pPr>
        <w:jc w:val="both"/>
      </w:pPr>
    </w:p>
    <w:p w:rsidR="008322BD" w:rsidRDefault="009B57B3" w:rsidP="00FC4EFB">
      <w:pPr>
        <w:jc w:val="both"/>
      </w:pPr>
      <w:r w:rsidRPr="001426A9">
        <w:t xml:space="preserve">Present:  </w:t>
      </w:r>
      <w:proofErr w:type="spellStart"/>
      <w:r>
        <w:t>Moldaver</w:t>
      </w:r>
      <w:proofErr w:type="spellEnd"/>
      <w:r>
        <w:t xml:space="preserve">, </w:t>
      </w:r>
      <w:proofErr w:type="spellStart"/>
      <w:r>
        <w:t>Côté</w:t>
      </w:r>
      <w:proofErr w:type="spellEnd"/>
      <w:r>
        <w:t>, Brown, Rowe and Martin JJ.</w:t>
      </w:r>
    </w:p>
    <w:p w:rsidR="00BA7DA0" w:rsidRDefault="00BA7DA0" w:rsidP="00BA7DA0">
      <w:pPr>
        <w:jc w:val="both"/>
      </w:pPr>
    </w:p>
    <w:p w:rsidR="00EF766E" w:rsidRDefault="00EF766E" w:rsidP="00FC4EFB">
      <w:pPr>
        <w:jc w:val="both"/>
      </w:pPr>
    </w:p>
    <w:p w:rsidR="00EF766E" w:rsidRDefault="00EF766E" w:rsidP="00FC4EFB">
      <w:pPr>
        <w:jc w:val="both"/>
      </w:pPr>
    </w:p>
    <w:p w:rsidR="00300CB6" w:rsidRDefault="00300CB6"/>
    <w:p w:rsidR="008322BD" w:rsidRPr="001C779F" w:rsidRDefault="00656313" w:rsidP="00FC4EFB">
      <w:pPr>
        <w:pStyle w:val="SCCLowerCourtNameLowercase"/>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 xml:space="preserve">court of appeal for </w:t>
      </w:r>
      <w:proofErr w:type="spellStart"/>
      <w:r w:rsidR="009B57B3">
        <w:t>ontario</w:t>
      </w:r>
      <w:proofErr w:type="spellEnd"/>
    </w:p>
    <w:p w:rsidR="003A4C70" w:rsidRPr="001426A9" w:rsidRDefault="003A4C70" w:rsidP="00FC4EFB">
      <w:pPr>
        <w:pStyle w:val="SCCNormalDoubleSpacing"/>
      </w:pPr>
    </w:p>
    <w:p w:rsidR="003546CA" w:rsidRPr="00FC5088" w:rsidRDefault="009B57B3" w:rsidP="003546CA">
      <w:pPr>
        <w:pStyle w:val="SCCNormalDoubleSpacing"/>
      </w:pPr>
      <w:r w:rsidRPr="00583EDE">
        <w:tab/>
      </w:r>
      <w:r w:rsidR="00BF5386" w:rsidRPr="00BF5386">
        <w:rPr>
          <w:i/>
        </w:rPr>
        <w:t>Criminal law</w:t>
      </w:r>
      <w:r w:rsidR="00BF5386" w:rsidRPr="003546CA">
        <w:rPr>
          <w:i/>
        </w:rPr>
        <w:t xml:space="preserve"> — </w:t>
      </w:r>
      <w:r w:rsidR="00BF5386" w:rsidRPr="00BF5386">
        <w:rPr>
          <w:i/>
        </w:rPr>
        <w:t>Evidence</w:t>
      </w:r>
      <w:r w:rsidR="00BF5386" w:rsidRPr="003546CA">
        <w:rPr>
          <w:i/>
        </w:rPr>
        <w:t xml:space="preserve"> — </w:t>
      </w:r>
      <w:r w:rsidR="00743E75">
        <w:rPr>
          <w:i/>
        </w:rPr>
        <w:t xml:space="preserve">Circumstantial evidence </w:t>
      </w:r>
      <w:r w:rsidR="00294D9A" w:rsidRPr="003546CA">
        <w:rPr>
          <w:i/>
        </w:rPr>
        <w:t>—</w:t>
      </w:r>
      <w:r w:rsidR="00294D9A">
        <w:rPr>
          <w:i/>
        </w:rPr>
        <w:t xml:space="preserve"> </w:t>
      </w:r>
      <w:r w:rsidR="006E4AC4">
        <w:rPr>
          <w:i/>
        </w:rPr>
        <w:t>Unr</w:t>
      </w:r>
      <w:r w:rsidR="00743E75">
        <w:rPr>
          <w:i/>
        </w:rPr>
        <w:t xml:space="preserve">easonable verdict </w:t>
      </w:r>
      <w:r w:rsidR="00294D9A" w:rsidRPr="003546CA">
        <w:rPr>
          <w:i/>
        </w:rPr>
        <w:t xml:space="preserve">— </w:t>
      </w:r>
      <w:r w:rsidR="00BF5386" w:rsidRPr="00BF5386">
        <w:rPr>
          <w:i/>
        </w:rPr>
        <w:t xml:space="preserve">Accused </w:t>
      </w:r>
      <w:r w:rsidR="00743E75">
        <w:rPr>
          <w:i/>
        </w:rPr>
        <w:t>convicted of</w:t>
      </w:r>
      <w:r w:rsidR="00BF5386" w:rsidRPr="00BF5386">
        <w:rPr>
          <w:i/>
        </w:rPr>
        <w:t xml:space="preserve"> </w:t>
      </w:r>
      <w:r w:rsidR="006E4AC4">
        <w:rPr>
          <w:i/>
        </w:rPr>
        <w:t>several offences arising out of armed bank robbery</w:t>
      </w:r>
      <w:r w:rsidR="00BF5386" w:rsidRPr="003546CA">
        <w:rPr>
          <w:i/>
        </w:rPr>
        <w:t xml:space="preserve"> </w:t>
      </w:r>
      <w:r w:rsidR="0039355E" w:rsidRPr="003546CA">
        <w:rPr>
          <w:i/>
        </w:rPr>
        <w:t>—</w:t>
      </w:r>
      <w:r w:rsidR="0039355E">
        <w:rPr>
          <w:i/>
        </w:rPr>
        <w:t xml:space="preserve"> Convictions </w:t>
      </w:r>
      <w:r w:rsidR="006F475B" w:rsidRPr="006F475B">
        <w:rPr>
          <w:i/>
        </w:rPr>
        <w:t>based on circumstantial evidence</w:t>
      </w:r>
      <w:r w:rsidR="00743E75">
        <w:rPr>
          <w:i/>
        </w:rPr>
        <w:t xml:space="preserve"> of identity</w:t>
      </w:r>
      <w:r w:rsidR="006F475B" w:rsidRPr="003546CA">
        <w:rPr>
          <w:i/>
        </w:rPr>
        <w:t xml:space="preserve"> —</w:t>
      </w:r>
      <w:r w:rsidR="006E4AC4">
        <w:rPr>
          <w:i/>
        </w:rPr>
        <w:t xml:space="preserve"> Court of Appeal finding that pieces of circumstantial evidence taken together support reasonableness of verdict and exclude any reasonable alternative to guilt</w:t>
      </w:r>
      <w:r w:rsidR="00743E75">
        <w:rPr>
          <w:i/>
        </w:rPr>
        <w:t xml:space="preserve"> </w:t>
      </w:r>
      <w:r w:rsidR="00D52654" w:rsidRPr="003546CA">
        <w:rPr>
          <w:i/>
        </w:rPr>
        <w:t>—</w:t>
      </w:r>
      <w:r w:rsidR="006E4AC4">
        <w:rPr>
          <w:i/>
        </w:rPr>
        <w:t xml:space="preserve"> </w:t>
      </w:r>
      <w:r w:rsidR="003546CA">
        <w:rPr>
          <w:i/>
        </w:rPr>
        <w:t>Conviction</w:t>
      </w:r>
      <w:r w:rsidR="006E4AC4">
        <w:rPr>
          <w:i/>
        </w:rPr>
        <w:t>s</w:t>
      </w:r>
      <w:r w:rsidR="003546CA">
        <w:rPr>
          <w:i/>
        </w:rPr>
        <w:t xml:space="preserve"> upheld. </w:t>
      </w:r>
    </w:p>
    <w:p w:rsidR="003546CA" w:rsidRDefault="003546CA" w:rsidP="003546CA">
      <w:pPr>
        <w:jc w:val="both"/>
      </w:pPr>
    </w:p>
    <w:p w:rsidR="00294D9A" w:rsidRDefault="00294D9A" w:rsidP="003546CA">
      <w:pPr>
        <w:jc w:val="both"/>
      </w:pPr>
    </w:p>
    <w:p w:rsidR="007E1C47" w:rsidRDefault="00BF5386" w:rsidP="003546CA">
      <w:pPr>
        <w:pStyle w:val="SCCNormalDoubleSpacing"/>
        <w:rPr>
          <w:b/>
        </w:rPr>
      </w:pPr>
      <w:r w:rsidRPr="00583EDE">
        <w:t xml:space="preserve"> </w:t>
      </w:r>
      <w:r w:rsidR="002E6705" w:rsidRPr="00314E01">
        <w:rPr>
          <w:b/>
        </w:rPr>
        <w:t>Cases Cited</w:t>
      </w:r>
    </w:p>
    <w:p w:rsidR="00A149DF" w:rsidRPr="00613969" w:rsidRDefault="00A149DF" w:rsidP="00FC4EFB">
      <w:pPr>
        <w:pStyle w:val="SCCNormalDoubleSpacing"/>
        <w:keepNext/>
        <w:keepLines/>
      </w:pPr>
    </w:p>
    <w:p w:rsidR="004E2C26" w:rsidRPr="007E1C47" w:rsidRDefault="002E6705" w:rsidP="00FC4EFB">
      <w:pPr>
        <w:pStyle w:val="SCCNormalDoubleSpacing"/>
        <w:keepNext/>
        <w:keepLines/>
      </w:pPr>
      <w:r>
        <w:tab/>
      </w:r>
      <w:r w:rsidRPr="00314E01">
        <w:rPr>
          <w:b/>
        </w:rPr>
        <w:t>Referred to:</w:t>
      </w:r>
      <w:r w:rsidR="00BD0E9E" w:rsidRPr="00BD0E9E">
        <w:t xml:space="preserve"> </w:t>
      </w:r>
      <w:r w:rsidR="00F9065A" w:rsidRPr="00E318AD">
        <w:rPr>
          <w:i/>
        </w:rPr>
        <w:t xml:space="preserve">R. v. </w:t>
      </w:r>
      <w:proofErr w:type="spellStart"/>
      <w:r w:rsidR="00F9065A" w:rsidRPr="00E318AD">
        <w:rPr>
          <w:i/>
        </w:rPr>
        <w:t>Villaroman</w:t>
      </w:r>
      <w:proofErr w:type="spellEnd"/>
      <w:r w:rsidR="00F9065A" w:rsidRPr="00E318AD">
        <w:t xml:space="preserve">, 2016 SCC 33, </w:t>
      </w:r>
      <w:r w:rsidR="00F9065A" w:rsidRPr="00F36460">
        <w:t>[2016] 1 S.C.R. 1000</w:t>
      </w:r>
      <w:r w:rsidR="00F9065A">
        <w:t>.</w:t>
      </w:r>
    </w:p>
    <w:p w:rsidR="00DE319C" w:rsidRDefault="00DE319C" w:rsidP="00FC4EFB">
      <w:pPr>
        <w:pStyle w:val="SCCNormalDoubleSpacing"/>
        <w:spacing w:line="240" w:lineRule="auto"/>
        <w:ind w:left="540" w:hanging="540"/>
      </w:pPr>
    </w:p>
    <w:p w:rsidR="00A149DF" w:rsidRDefault="00A149DF" w:rsidP="00FC4EFB">
      <w:pPr>
        <w:pStyle w:val="SCCNormalDoubleSpacing"/>
        <w:spacing w:line="240" w:lineRule="auto"/>
        <w:ind w:left="540" w:hanging="540"/>
      </w:pPr>
    </w:p>
    <w:p w:rsidR="00A149DF" w:rsidRDefault="00A149DF" w:rsidP="00FC4EFB">
      <w:pPr>
        <w:pStyle w:val="SCCNormalDoubleSpacing"/>
        <w:spacing w:line="240" w:lineRule="auto"/>
        <w:ind w:left="540" w:hanging="540"/>
      </w:pPr>
    </w:p>
    <w:p w:rsidR="00656313" w:rsidRPr="007C1D29" w:rsidRDefault="00C75102" w:rsidP="00FC4EFB">
      <w:pPr>
        <w:pStyle w:val="SCCNormalDoubleSpacing"/>
        <w:rPr>
          <w:lang w:val="en-US"/>
        </w:rPr>
      </w:pPr>
      <w:r>
        <w:tab/>
      </w:r>
      <w:r w:rsidR="009B57B3" w:rsidRPr="001426A9">
        <w:t xml:space="preserve">APPEAL from a judgment of the </w:t>
      </w:r>
      <w:r>
        <w:t>Ontario Court of Appeal</w:t>
      </w:r>
      <w:r w:rsidR="007F6553">
        <w:t xml:space="preserve"> (</w:t>
      </w:r>
      <w:proofErr w:type="spellStart"/>
      <w:r w:rsidR="0042388D">
        <w:t>Laskin</w:t>
      </w:r>
      <w:proofErr w:type="spellEnd"/>
      <w:r w:rsidR="0042388D">
        <w:t>, Feldman and Blair JJ.A.</w:t>
      </w:r>
      <w:r w:rsidR="007F6553">
        <w:t>)</w:t>
      </w:r>
      <w:r>
        <w:t xml:space="preserve">, </w:t>
      </w:r>
      <w:r w:rsidR="007C1D29">
        <w:t xml:space="preserve">2018 ONCA 16, </w:t>
      </w:r>
      <w:r w:rsidR="007E5ADC">
        <w:t>[</w:t>
      </w:r>
      <w:r w:rsidR="007C1D29">
        <w:t>2018</w:t>
      </w:r>
      <w:r w:rsidR="007E5ADC">
        <w:t>]</w:t>
      </w:r>
      <w:r w:rsidR="007C1D29">
        <w:t xml:space="preserve"> O.J. No. 140</w:t>
      </w:r>
      <w:r w:rsidR="003E3A29">
        <w:t xml:space="preserve"> (QL), 2018 </w:t>
      </w:r>
      <w:proofErr w:type="spellStart"/>
      <w:r w:rsidR="003E3A29">
        <w:t>CarswellOnt</w:t>
      </w:r>
      <w:proofErr w:type="spellEnd"/>
      <w:r w:rsidR="003E3A29">
        <w:t xml:space="preserve"> 227 (</w:t>
      </w:r>
      <w:r w:rsidR="00177026">
        <w:t>WL Can.), affirming the conviction</w:t>
      </w:r>
      <w:r w:rsidR="006E4AC4">
        <w:t>s</w:t>
      </w:r>
      <w:r w:rsidR="00F9065A">
        <w:t xml:space="preserve"> of the accused</w:t>
      </w:r>
      <w:r w:rsidR="007E5ADC">
        <w:t xml:space="preserve">. </w:t>
      </w:r>
      <w:r w:rsidR="00177026">
        <w:t xml:space="preserve">Appeal </w:t>
      </w:r>
      <w:r w:rsidR="00F663BB">
        <w:t>dismissed.</w:t>
      </w:r>
      <w:r w:rsidR="00177026">
        <w:t xml:space="preserve"> </w:t>
      </w:r>
    </w:p>
    <w:p w:rsidR="00656313" w:rsidRDefault="00656313" w:rsidP="00FC4EFB">
      <w:pPr>
        <w:pStyle w:val="SCCNormalDoubleSpacing"/>
      </w:pPr>
    </w:p>
    <w:p w:rsidR="00300CB6" w:rsidRDefault="00813F43">
      <w:pPr>
        <w:pStyle w:val="SCCNormalDoubleSpacing"/>
      </w:pPr>
      <w:r>
        <w:rPr>
          <w:rStyle w:val="SCCCounselNameChar"/>
        </w:rPr>
        <w:tab/>
        <w:t xml:space="preserve">Richard </w:t>
      </w:r>
      <w:proofErr w:type="spellStart"/>
      <w:r>
        <w:rPr>
          <w:rStyle w:val="SCCCounselNameChar"/>
        </w:rPr>
        <w:t>Litkowski</w:t>
      </w:r>
      <w:proofErr w:type="spellEnd"/>
      <w:r>
        <w:rPr>
          <w:rStyle w:val="SCCCounselSeparatorChar"/>
        </w:rPr>
        <w:t xml:space="preserve"> and </w:t>
      </w:r>
      <w:r>
        <w:rPr>
          <w:rStyle w:val="SCCCounselNameChar"/>
        </w:rPr>
        <w:t>Jessica Zita</w:t>
      </w:r>
      <w:r>
        <w:rPr>
          <w:rStyle w:val="SCCCounselPartyRoleChar"/>
        </w:rPr>
        <w:t>, for the appellant.</w:t>
      </w:r>
    </w:p>
    <w:p w:rsidR="00300CB6" w:rsidRDefault="00300CB6">
      <w:pPr>
        <w:pStyle w:val="SCCNormalDoubleSpacing"/>
      </w:pPr>
    </w:p>
    <w:p w:rsidR="00300CB6" w:rsidRDefault="00813F43">
      <w:pPr>
        <w:pStyle w:val="SCCNormalDoubleSpacing"/>
        <w:rPr>
          <w:rStyle w:val="SCCCounselPartyRoleChar"/>
        </w:rPr>
      </w:pPr>
      <w:r>
        <w:rPr>
          <w:rStyle w:val="SCCCounselNameChar"/>
        </w:rPr>
        <w:tab/>
        <w:t xml:space="preserve">Kevin </w:t>
      </w:r>
      <w:proofErr w:type="spellStart"/>
      <w:r>
        <w:rPr>
          <w:rStyle w:val="SCCCounselNameChar"/>
        </w:rPr>
        <w:t>Rawluk</w:t>
      </w:r>
      <w:proofErr w:type="spellEnd"/>
      <w:r>
        <w:rPr>
          <w:rStyle w:val="SCCCounselPartyRoleChar"/>
        </w:rPr>
        <w:t>, for the respondent.</w:t>
      </w:r>
    </w:p>
    <w:p w:rsidR="004B190F" w:rsidRDefault="004B190F">
      <w:pPr>
        <w:pStyle w:val="SCCNormalDoubleSpacing"/>
      </w:pPr>
    </w:p>
    <w:p w:rsidR="00300CB6" w:rsidRDefault="004B190F" w:rsidP="004B190F">
      <w:pPr>
        <w:pStyle w:val="SCCNormalDoubleSpacing"/>
        <w:spacing w:after="480"/>
      </w:pPr>
      <w:r>
        <w:tab/>
        <w:t>The judgment of the Court was delivered orally by</w:t>
      </w:r>
    </w:p>
    <w:p w:rsidR="004B190F" w:rsidRPr="00E318AD" w:rsidRDefault="004B190F" w:rsidP="00F663BB">
      <w:pPr>
        <w:pStyle w:val="SCCNormalDoubleSpacing"/>
        <w:numPr>
          <w:ilvl w:val="0"/>
          <w:numId w:val="1"/>
        </w:numPr>
        <w:spacing w:before="480" w:after="480"/>
        <w:ind w:left="0" w:firstLine="0"/>
      </w:pPr>
      <w:proofErr w:type="spellStart"/>
      <w:r w:rsidRPr="00E318AD">
        <w:rPr>
          <w:smallCaps/>
        </w:rPr>
        <w:t>Côté</w:t>
      </w:r>
      <w:proofErr w:type="spellEnd"/>
      <w:r w:rsidRPr="00E318AD">
        <w:rPr>
          <w:smallCaps/>
        </w:rPr>
        <w:t xml:space="preserve"> J.</w:t>
      </w:r>
      <w:r w:rsidRPr="00E318AD">
        <w:t xml:space="preserve"> — In our view, having regard to the principles set out by this Court in </w:t>
      </w:r>
      <w:r w:rsidRPr="00E318AD">
        <w:rPr>
          <w:i/>
        </w:rPr>
        <w:t xml:space="preserve">R. v. </w:t>
      </w:r>
      <w:proofErr w:type="spellStart"/>
      <w:r w:rsidRPr="00E318AD">
        <w:rPr>
          <w:i/>
        </w:rPr>
        <w:t>Villaroman</w:t>
      </w:r>
      <w:proofErr w:type="spellEnd"/>
      <w:r w:rsidRPr="00E318AD">
        <w:t xml:space="preserve">, 2016 SCC 33, </w:t>
      </w:r>
      <w:r w:rsidRPr="00F36460">
        <w:t>[2016] 1 S.C.R. 1000, at para. 55, it was not unreasonable</w:t>
      </w:r>
      <w:r w:rsidRPr="00E318AD">
        <w:t xml:space="preserve"> for the trial judge to conclude that the evidence as a whole excluded all reasonable alternatives to guilt, especially given the presence of Mr. Youssef’s DNA on two different pieces of evidence, one of which was connected to the scene of the bank robbery, and the other to the getaway car. When the trial judge’s reasons are read as a whole, and in the context of the evidence and the arguments at trial, we are </w:t>
      </w:r>
      <w:r>
        <w:t xml:space="preserve">not </w:t>
      </w:r>
      <w:r w:rsidRPr="00E318AD">
        <w:t xml:space="preserve">persuaded that the trial judge ignored other potential </w:t>
      </w:r>
      <w:r w:rsidRPr="00F36460">
        <w:t>explanations.</w:t>
      </w:r>
    </w:p>
    <w:p w:rsidR="004B190F" w:rsidRPr="00F663BB" w:rsidRDefault="004B190F" w:rsidP="00F663BB">
      <w:pPr>
        <w:pStyle w:val="SCCNormalDoubleSpacing"/>
        <w:numPr>
          <w:ilvl w:val="0"/>
          <w:numId w:val="1"/>
        </w:numPr>
        <w:spacing w:before="480" w:after="480"/>
        <w:ind w:left="0" w:firstLine="0"/>
      </w:pPr>
      <w:r w:rsidRPr="00F663BB">
        <w:lastRenderedPageBreak/>
        <w:t>We would therefore dismiss the appeal.</w:t>
      </w:r>
    </w:p>
    <w:p w:rsidR="004B190F" w:rsidRPr="00F663BB" w:rsidRDefault="00F663BB" w:rsidP="00F663BB">
      <w:pPr>
        <w:pStyle w:val="SCCLawFirm"/>
        <w:spacing w:before="480" w:after="480"/>
      </w:pPr>
      <w:r>
        <w:tab/>
      </w:r>
      <w:r w:rsidRPr="00F663BB">
        <w:t>Judgment accordingly.</w:t>
      </w:r>
    </w:p>
    <w:p w:rsidR="00300CB6" w:rsidRDefault="00813F43" w:rsidP="00F663BB">
      <w:pPr>
        <w:pStyle w:val="SCCLawFirm"/>
        <w:spacing w:before="480" w:after="480"/>
      </w:pPr>
      <w:r>
        <w:tab/>
        <w:t>Solicitor</w:t>
      </w:r>
      <w:r w:rsidR="004B190F">
        <w:t>s</w:t>
      </w:r>
      <w:r>
        <w:t xml:space="preserve"> for the appellant:  Hicks Adams, Toronto.</w:t>
      </w:r>
    </w:p>
    <w:p w:rsidR="00300CB6" w:rsidRDefault="004B190F" w:rsidP="00F663BB">
      <w:pPr>
        <w:pStyle w:val="SCCLawFirm"/>
        <w:spacing w:before="480" w:after="480"/>
      </w:pPr>
      <w:r>
        <w:tab/>
        <w:t>Solicitor</w:t>
      </w:r>
      <w:r w:rsidR="00813F43">
        <w:t xml:space="preserve"> for the respondent:  Crown Law Office </w:t>
      </w:r>
      <w:r w:rsidR="00866FBB">
        <w:t>—</w:t>
      </w:r>
      <w:r w:rsidR="00813F43">
        <w:t xml:space="preserve"> Criminal, Toronto.</w:t>
      </w:r>
    </w:p>
    <w:p w:rsidR="00F663BB" w:rsidRDefault="00F663BB" w:rsidP="00F663BB">
      <w:pPr>
        <w:pStyle w:val="SCCNormalDoubleSpacing"/>
        <w:spacing w:before="480" w:after="480"/>
      </w:pPr>
    </w:p>
    <w:p w:rsidR="009B57B3" w:rsidRPr="00866FBB" w:rsidRDefault="009B57B3" w:rsidP="007B6F4A">
      <w:pPr>
        <w:rPr>
          <w:lang w:val="en-US"/>
        </w:rPr>
      </w:pPr>
    </w:p>
    <w:sectPr w:rsidR="009B57B3" w:rsidRPr="00866FBB"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05F0A"/>
    <w:multiLevelType w:val="hybridMultilevel"/>
    <w:tmpl w:val="87DC71A6"/>
    <w:lvl w:ilvl="0" w:tplc="BD56451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578A3"/>
    <w:rsid w:val="000648CC"/>
    <w:rsid w:val="000C59B8"/>
    <w:rsid w:val="000C6AF0"/>
    <w:rsid w:val="000E0F2F"/>
    <w:rsid w:val="00104F33"/>
    <w:rsid w:val="00111DE2"/>
    <w:rsid w:val="00116B38"/>
    <w:rsid w:val="00135406"/>
    <w:rsid w:val="00135972"/>
    <w:rsid w:val="001426A9"/>
    <w:rsid w:val="00154D7C"/>
    <w:rsid w:val="001570B0"/>
    <w:rsid w:val="0015752C"/>
    <w:rsid w:val="00157737"/>
    <w:rsid w:val="00165277"/>
    <w:rsid w:val="00170592"/>
    <w:rsid w:val="00177026"/>
    <w:rsid w:val="00186351"/>
    <w:rsid w:val="00195D83"/>
    <w:rsid w:val="001A00C1"/>
    <w:rsid w:val="001B33E0"/>
    <w:rsid w:val="001B4573"/>
    <w:rsid w:val="001C779F"/>
    <w:rsid w:val="001D2AC1"/>
    <w:rsid w:val="001D4E88"/>
    <w:rsid w:val="0021008B"/>
    <w:rsid w:val="00220FC2"/>
    <w:rsid w:val="002222F4"/>
    <w:rsid w:val="00224FC0"/>
    <w:rsid w:val="00225EA4"/>
    <w:rsid w:val="00226EAF"/>
    <w:rsid w:val="00231F3A"/>
    <w:rsid w:val="00234199"/>
    <w:rsid w:val="002406EE"/>
    <w:rsid w:val="00243EC8"/>
    <w:rsid w:val="00270D93"/>
    <w:rsid w:val="002745CC"/>
    <w:rsid w:val="00294D9A"/>
    <w:rsid w:val="002B7924"/>
    <w:rsid w:val="002D28C3"/>
    <w:rsid w:val="002D39A4"/>
    <w:rsid w:val="002E6705"/>
    <w:rsid w:val="00300CB6"/>
    <w:rsid w:val="00301D08"/>
    <w:rsid w:val="0030329A"/>
    <w:rsid w:val="0031086F"/>
    <w:rsid w:val="0031414C"/>
    <w:rsid w:val="00314E01"/>
    <w:rsid w:val="0032089D"/>
    <w:rsid w:val="003310DE"/>
    <w:rsid w:val="003323B0"/>
    <w:rsid w:val="00343521"/>
    <w:rsid w:val="00346125"/>
    <w:rsid w:val="0035169A"/>
    <w:rsid w:val="00351B2C"/>
    <w:rsid w:val="0035259D"/>
    <w:rsid w:val="003546CA"/>
    <w:rsid w:val="00364B18"/>
    <w:rsid w:val="0039355E"/>
    <w:rsid w:val="003A125D"/>
    <w:rsid w:val="003A4C70"/>
    <w:rsid w:val="003B215F"/>
    <w:rsid w:val="003C799C"/>
    <w:rsid w:val="003D0399"/>
    <w:rsid w:val="003E1C71"/>
    <w:rsid w:val="003E3A29"/>
    <w:rsid w:val="003F327B"/>
    <w:rsid w:val="00406166"/>
    <w:rsid w:val="0040704B"/>
    <w:rsid w:val="00410A55"/>
    <w:rsid w:val="00411300"/>
    <w:rsid w:val="00415417"/>
    <w:rsid w:val="00422CC9"/>
    <w:rsid w:val="0042388D"/>
    <w:rsid w:val="00426659"/>
    <w:rsid w:val="00450352"/>
    <w:rsid w:val="00454BDB"/>
    <w:rsid w:val="00464800"/>
    <w:rsid w:val="00465132"/>
    <w:rsid w:val="00480C90"/>
    <w:rsid w:val="0048396F"/>
    <w:rsid w:val="00493C18"/>
    <w:rsid w:val="004A600C"/>
    <w:rsid w:val="004A6118"/>
    <w:rsid w:val="004B190F"/>
    <w:rsid w:val="004C478D"/>
    <w:rsid w:val="004C5767"/>
    <w:rsid w:val="004E2C26"/>
    <w:rsid w:val="004F36FF"/>
    <w:rsid w:val="005125A8"/>
    <w:rsid w:val="00521AE8"/>
    <w:rsid w:val="00527180"/>
    <w:rsid w:val="0054201E"/>
    <w:rsid w:val="00555291"/>
    <w:rsid w:val="00566AD1"/>
    <w:rsid w:val="00583EDE"/>
    <w:rsid w:val="005A6079"/>
    <w:rsid w:val="005E4698"/>
    <w:rsid w:val="00610539"/>
    <w:rsid w:val="00613969"/>
    <w:rsid w:val="00614627"/>
    <w:rsid w:val="00625C35"/>
    <w:rsid w:val="00656313"/>
    <w:rsid w:val="006565F4"/>
    <w:rsid w:val="00684EEA"/>
    <w:rsid w:val="0069689B"/>
    <w:rsid w:val="006A1551"/>
    <w:rsid w:val="006B5FF5"/>
    <w:rsid w:val="006E4AC4"/>
    <w:rsid w:val="006F30AF"/>
    <w:rsid w:val="006F475B"/>
    <w:rsid w:val="00701759"/>
    <w:rsid w:val="00705C15"/>
    <w:rsid w:val="0071600E"/>
    <w:rsid w:val="007208D1"/>
    <w:rsid w:val="00743E75"/>
    <w:rsid w:val="00747288"/>
    <w:rsid w:val="00747DD3"/>
    <w:rsid w:val="007549C8"/>
    <w:rsid w:val="00754A0B"/>
    <w:rsid w:val="00766D14"/>
    <w:rsid w:val="00767A0F"/>
    <w:rsid w:val="007A05F6"/>
    <w:rsid w:val="007B6F4A"/>
    <w:rsid w:val="007C1D29"/>
    <w:rsid w:val="007E1C47"/>
    <w:rsid w:val="007E337A"/>
    <w:rsid w:val="007E421F"/>
    <w:rsid w:val="007E5ADC"/>
    <w:rsid w:val="007E5C70"/>
    <w:rsid w:val="007F2FF5"/>
    <w:rsid w:val="007F3F08"/>
    <w:rsid w:val="007F6553"/>
    <w:rsid w:val="00804CC6"/>
    <w:rsid w:val="00813F43"/>
    <w:rsid w:val="00817190"/>
    <w:rsid w:val="008203AE"/>
    <w:rsid w:val="00820EE5"/>
    <w:rsid w:val="008260E2"/>
    <w:rsid w:val="008322BD"/>
    <w:rsid w:val="00833E0A"/>
    <w:rsid w:val="00834F73"/>
    <w:rsid w:val="00864CF8"/>
    <w:rsid w:val="00866FBB"/>
    <w:rsid w:val="00872819"/>
    <w:rsid w:val="00874914"/>
    <w:rsid w:val="00891422"/>
    <w:rsid w:val="00892E1A"/>
    <w:rsid w:val="0089339F"/>
    <w:rsid w:val="008A3F29"/>
    <w:rsid w:val="008B660A"/>
    <w:rsid w:val="008C01DA"/>
    <w:rsid w:val="008C0410"/>
    <w:rsid w:val="008F78E9"/>
    <w:rsid w:val="00911989"/>
    <w:rsid w:val="009179F9"/>
    <w:rsid w:val="00933E5E"/>
    <w:rsid w:val="00935218"/>
    <w:rsid w:val="009403F3"/>
    <w:rsid w:val="009555B7"/>
    <w:rsid w:val="009567AA"/>
    <w:rsid w:val="00967374"/>
    <w:rsid w:val="009A343A"/>
    <w:rsid w:val="009B2F23"/>
    <w:rsid w:val="009B57B3"/>
    <w:rsid w:val="009C5B92"/>
    <w:rsid w:val="009D2920"/>
    <w:rsid w:val="009D5AEB"/>
    <w:rsid w:val="009E64D6"/>
    <w:rsid w:val="009F0E33"/>
    <w:rsid w:val="00A030CE"/>
    <w:rsid w:val="00A149DF"/>
    <w:rsid w:val="00A1755C"/>
    <w:rsid w:val="00A21B90"/>
    <w:rsid w:val="00A41805"/>
    <w:rsid w:val="00A42DCD"/>
    <w:rsid w:val="00A52AFB"/>
    <w:rsid w:val="00A548CB"/>
    <w:rsid w:val="00A5521C"/>
    <w:rsid w:val="00A5670B"/>
    <w:rsid w:val="00A643E7"/>
    <w:rsid w:val="00A73C38"/>
    <w:rsid w:val="00AB670D"/>
    <w:rsid w:val="00AE4535"/>
    <w:rsid w:val="00AF03C5"/>
    <w:rsid w:val="00B000D8"/>
    <w:rsid w:val="00B00F75"/>
    <w:rsid w:val="00B145B6"/>
    <w:rsid w:val="00B22CFE"/>
    <w:rsid w:val="00B279EB"/>
    <w:rsid w:val="00B50C81"/>
    <w:rsid w:val="00B53183"/>
    <w:rsid w:val="00B53B34"/>
    <w:rsid w:val="00B557F8"/>
    <w:rsid w:val="00B815FC"/>
    <w:rsid w:val="00B93FBC"/>
    <w:rsid w:val="00BA7DA0"/>
    <w:rsid w:val="00BB2EE4"/>
    <w:rsid w:val="00BC2108"/>
    <w:rsid w:val="00BD0E9E"/>
    <w:rsid w:val="00BD1BEC"/>
    <w:rsid w:val="00BD32FF"/>
    <w:rsid w:val="00BE2783"/>
    <w:rsid w:val="00BF5386"/>
    <w:rsid w:val="00C02092"/>
    <w:rsid w:val="00C24D2D"/>
    <w:rsid w:val="00C24D91"/>
    <w:rsid w:val="00C53F14"/>
    <w:rsid w:val="00C600CF"/>
    <w:rsid w:val="00C6084F"/>
    <w:rsid w:val="00C62A66"/>
    <w:rsid w:val="00C71458"/>
    <w:rsid w:val="00C75102"/>
    <w:rsid w:val="00C77613"/>
    <w:rsid w:val="00C828E7"/>
    <w:rsid w:val="00C86719"/>
    <w:rsid w:val="00C921DD"/>
    <w:rsid w:val="00CA6391"/>
    <w:rsid w:val="00CC34BD"/>
    <w:rsid w:val="00CE161A"/>
    <w:rsid w:val="00CE3171"/>
    <w:rsid w:val="00CF1601"/>
    <w:rsid w:val="00CF7CE2"/>
    <w:rsid w:val="00D0172F"/>
    <w:rsid w:val="00D068A7"/>
    <w:rsid w:val="00D17476"/>
    <w:rsid w:val="00D257B2"/>
    <w:rsid w:val="00D32086"/>
    <w:rsid w:val="00D351C4"/>
    <w:rsid w:val="00D37A3F"/>
    <w:rsid w:val="00D41585"/>
    <w:rsid w:val="00D4431D"/>
    <w:rsid w:val="00D4667A"/>
    <w:rsid w:val="00D52654"/>
    <w:rsid w:val="00D63A1C"/>
    <w:rsid w:val="00D7516F"/>
    <w:rsid w:val="00D8579F"/>
    <w:rsid w:val="00D95F8E"/>
    <w:rsid w:val="00DA0590"/>
    <w:rsid w:val="00DB7BEA"/>
    <w:rsid w:val="00DC1739"/>
    <w:rsid w:val="00DC1788"/>
    <w:rsid w:val="00DC4AAF"/>
    <w:rsid w:val="00DE319C"/>
    <w:rsid w:val="00DF0CA8"/>
    <w:rsid w:val="00DF2B48"/>
    <w:rsid w:val="00DF49A7"/>
    <w:rsid w:val="00DF729B"/>
    <w:rsid w:val="00E07EE2"/>
    <w:rsid w:val="00E07FD1"/>
    <w:rsid w:val="00E10247"/>
    <w:rsid w:val="00E176D8"/>
    <w:rsid w:val="00E24573"/>
    <w:rsid w:val="00E25E1E"/>
    <w:rsid w:val="00E27EE7"/>
    <w:rsid w:val="00E35404"/>
    <w:rsid w:val="00E45109"/>
    <w:rsid w:val="00E47B7A"/>
    <w:rsid w:val="00E56A44"/>
    <w:rsid w:val="00E576EB"/>
    <w:rsid w:val="00E60269"/>
    <w:rsid w:val="00E77932"/>
    <w:rsid w:val="00E97830"/>
    <w:rsid w:val="00EA26B5"/>
    <w:rsid w:val="00EE643C"/>
    <w:rsid w:val="00EF0683"/>
    <w:rsid w:val="00EF69D2"/>
    <w:rsid w:val="00EF766E"/>
    <w:rsid w:val="00F0070C"/>
    <w:rsid w:val="00F00EB7"/>
    <w:rsid w:val="00F23CFB"/>
    <w:rsid w:val="00F36AB6"/>
    <w:rsid w:val="00F37A09"/>
    <w:rsid w:val="00F409CE"/>
    <w:rsid w:val="00F4379D"/>
    <w:rsid w:val="00F50D2D"/>
    <w:rsid w:val="00F56C8B"/>
    <w:rsid w:val="00F663BB"/>
    <w:rsid w:val="00F66810"/>
    <w:rsid w:val="00F846D9"/>
    <w:rsid w:val="00F84DF4"/>
    <w:rsid w:val="00F85C97"/>
    <w:rsid w:val="00F9065A"/>
    <w:rsid w:val="00FB25DD"/>
    <w:rsid w:val="00FB37D2"/>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table" w:styleId="TableGrid">
    <w:name w:val="Table Grid"/>
    <w:basedOn w:val="TableNormal"/>
    <w:uiPriority w:val="59"/>
    <w:rsid w:val="0034352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343521"/>
    <w:rPr>
      <w:rFonts w:ascii="Times New Roman" w:hAnsi="Times New Roman"/>
      <w:sz w:val="24"/>
      <w:szCs w:val="24"/>
      <w:lang w:val="en-CA"/>
    </w:rPr>
  </w:style>
  <w:style w:type="paragraph" w:customStyle="1" w:styleId="SCCLsocPrefix">
    <w:name w:val="SCC.Lsoc.Prefix"/>
    <w:basedOn w:val="Normal"/>
    <w:next w:val="Normal"/>
    <w:link w:val="SCCLsocPrefixChar"/>
    <w:rsid w:val="00343521"/>
    <w:rPr>
      <w:rFonts w:eastAsiaTheme="minorHAnsi" w:cstheme="minorBidi"/>
      <w:b/>
      <w:smallCaps/>
      <w:szCs w:val="24"/>
      <w:lang w:eastAsia="en-US"/>
    </w:rPr>
  </w:style>
  <w:style w:type="character" w:customStyle="1" w:styleId="SCCLsocPrefixChar">
    <w:name w:val="SCC.Lsoc.Prefix Char"/>
    <w:basedOn w:val="DefaultParagraphFont"/>
    <w:link w:val="SCCLsocPrefix"/>
    <w:rsid w:val="00343521"/>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376</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2019-01-14T15:33:00Z</dcterms:created>
  <dcterms:modified xsi:type="dcterms:W3CDTF">2019-07-29T14:21:00Z</dcterms:modified>
</cp:coreProperties>
</file>