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2" w:rsidRPr="00F90249" w:rsidRDefault="00DA5AF2" w:rsidP="00DA5AF2">
      <w:pPr>
        <w:pStyle w:val="Header"/>
      </w:pPr>
      <w:r w:rsidRPr="00F90249">
        <w:ptab w:relativeTo="margin" w:alignment="center" w:leader="none"/>
      </w:r>
      <w:r w:rsidRPr="00F90249">
        <w:t xml:space="preserve"> </w:t>
      </w:r>
      <w:r w:rsidRPr="00F90249">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5pt" o:ole="">
            <v:imagedata r:id="rId6" o:title=""/>
          </v:shape>
          <o:OLEObject Type="Embed" ProgID="Presentations.Drawing.13" ShapeID="_x0000_i1025" DrawAspect="Content" ObjectID="_1703048849" r:id="rId7"/>
        </w:object>
      </w:r>
      <w:r w:rsidRPr="00F90249">
        <w:t xml:space="preserve"> </w:t>
      </w:r>
      <w:r w:rsidRPr="00F90249">
        <w:ptab w:relativeTo="margin" w:alignment="right" w:leader="none"/>
      </w:r>
    </w:p>
    <w:p w:rsidR="00DA5AF2" w:rsidRPr="00F90249" w:rsidRDefault="00DA5AF2" w:rsidP="00DA5AF2">
      <w:pPr>
        <w:pStyle w:val="Header"/>
      </w:pPr>
    </w:p>
    <w:p w:rsidR="00DA5AF2" w:rsidRPr="00F90249" w:rsidRDefault="00DA5AF2" w:rsidP="00DA5AF2">
      <w:pPr>
        <w:jc w:val="center"/>
        <w:rPr>
          <w:b/>
        </w:rPr>
      </w:pPr>
      <w:r w:rsidRPr="00F90249">
        <w:rPr>
          <w:b/>
        </w:rPr>
        <w:t>SUPREME COURT OF CANADA</w:t>
      </w:r>
    </w:p>
    <w:p w:rsidR="00DA5AF2" w:rsidRPr="00F90249" w:rsidRDefault="00DA5AF2" w:rsidP="00DA5AF2"/>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DA5AF2" w:rsidRPr="00F90249" w:rsidTr="00341CBD">
        <w:trPr>
          <w:cantSplit/>
        </w:trPr>
        <w:tc>
          <w:tcPr>
            <w:tcW w:w="5670" w:type="dxa"/>
          </w:tcPr>
          <w:p w:rsidR="00DA5AF2" w:rsidRPr="00F90249" w:rsidRDefault="00DA5AF2" w:rsidP="00DA5AF2">
            <w:pPr>
              <w:rPr>
                <w:lang w:val="fr-CA"/>
              </w:rPr>
            </w:pPr>
            <w:r w:rsidRPr="00F90249">
              <w:rPr>
                <w:b/>
                <w:smallCaps/>
                <w:lang w:val="fr-CA"/>
              </w:rPr>
              <w:t>Citation:</w:t>
            </w:r>
            <w:r w:rsidRPr="00F90249">
              <w:rPr>
                <w:lang w:val="fr-CA"/>
              </w:rPr>
              <w:t xml:space="preserve"> </w:t>
            </w:r>
            <w:r w:rsidRPr="00F90249">
              <w:rPr>
                <w:rStyle w:val="SCCAppellantForIndexChar"/>
                <w:b w:val="0"/>
                <w:lang w:val="fr-CA"/>
              </w:rPr>
              <w:t>R.</w:t>
            </w:r>
            <w:r w:rsidRPr="00F90249">
              <w:rPr>
                <w:lang w:val="fr-CA"/>
              </w:rPr>
              <w:t xml:space="preserve"> </w:t>
            </w:r>
            <w:r w:rsidRPr="00F90249">
              <w:rPr>
                <w:i/>
                <w:lang w:val="fr-CA"/>
              </w:rPr>
              <w:t>v.</w:t>
            </w:r>
            <w:r w:rsidRPr="00F90249">
              <w:rPr>
                <w:lang w:val="fr-CA"/>
              </w:rPr>
              <w:t xml:space="preserve"> C.J., 2019 SCC 8, [2019] 1 S.C.R. 484</w:t>
            </w:r>
          </w:p>
        </w:tc>
        <w:tc>
          <w:tcPr>
            <w:tcW w:w="3960" w:type="dxa"/>
          </w:tcPr>
          <w:p w:rsidR="00DA5AF2" w:rsidRPr="00F90249" w:rsidRDefault="00DA5AF2" w:rsidP="00341CBD">
            <w:r w:rsidRPr="00F90249">
              <w:rPr>
                <w:b/>
                <w:smallCaps/>
              </w:rPr>
              <w:t>Appeal Heard:</w:t>
            </w:r>
            <w:r w:rsidRPr="00F90249">
              <w:t xml:space="preserve"> February 12, 2019</w:t>
            </w:r>
          </w:p>
          <w:p w:rsidR="00DA5AF2" w:rsidRPr="00F90249" w:rsidRDefault="00DA5AF2" w:rsidP="00341CBD">
            <w:r w:rsidRPr="00F90249">
              <w:rPr>
                <w:b/>
                <w:smallCaps/>
              </w:rPr>
              <w:t>Judgment Rendered:</w:t>
            </w:r>
            <w:r w:rsidRPr="00F90249">
              <w:t xml:space="preserve"> February 12, 2019</w:t>
            </w:r>
          </w:p>
          <w:p w:rsidR="00DA5AF2" w:rsidRPr="00F90249" w:rsidRDefault="00DA5AF2" w:rsidP="00341CBD">
            <w:r w:rsidRPr="00F90249">
              <w:rPr>
                <w:b/>
                <w:smallCaps/>
              </w:rPr>
              <w:t>Docket:</w:t>
            </w:r>
            <w:r w:rsidRPr="00F90249">
              <w:t xml:space="preserve"> 38220</w:t>
            </w:r>
          </w:p>
        </w:tc>
      </w:tr>
    </w:tbl>
    <w:p w:rsidR="00DA5AF2" w:rsidRPr="00F90249" w:rsidRDefault="00DA5AF2" w:rsidP="00DA5AF2"/>
    <w:p w:rsidR="00DA5AF2" w:rsidRPr="00F90249" w:rsidRDefault="00DA5AF2" w:rsidP="00DA5AF2">
      <w:pPr>
        <w:pStyle w:val="SCCLsocPrefix"/>
      </w:pPr>
      <w:r w:rsidRPr="00F90249">
        <w:t>Between:</w:t>
      </w:r>
    </w:p>
    <w:p w:rsidR="00DA5AF2" w:rsidRPr="00F90249" w:rsidRDefault="00DA5AF2" w:rsidP="00DA5AF2">
      <w:pPr>
        <w:jc w:val="center"/>
        <w:rPr>
          <w:b/>
        </w:rPr>
      </w:pPr>
      <w:r w:rsidRPr="00F90249">
        <w:rPr>
          <w:b/>
        </w:rPr>
        <w:t xml:space="preserve">Her Majesty </w:t>
      </w:r>
      <w:proofErr w:type="gramStart"/>
      <w:r w:rsidRPr="00F90249">
        <w:rPr>
          <w:b/>
        </w:rPr>
        <w:t>The</w:t>
      </w:r>
      <w:proofErr w:type="gramEnd"/>
      <w:r w:rsidRPr="00F90249">
        <w:rPr>
          <w:b/>
        </w:rPr>
        <w:t xml:space="preserve"> Queen</w:t>
      </w:r>
    </w:p>
    <w:p w:rsidR="00DA5AF2" w:rsidRPr="00F90249" w:rsidRDefault="00DA5AF2" w:rsidP="00DA5AF2">
      <w:pPr>
        <w:jc w:val="center"/>
      </w:pPr>
      <w:r w:rsidRPr="00F90249">
        <w:t>Appellant</w:t>
      </w:r>
    </w:p>
    <w:p w:rsidR="00DA5AF2" w:rsidRPr="00F90249" w:rsidRDefault="00DA5AF2" w:rsidP="00DA5AF2">
      <w:pPr>
        <w:jc w:val="center"/>
      </w:pPr>
    </w:p>
    <w:p w:rsidR="00DA5AF2" w:rsidRPr="00F90249" w:rsidRDefault="00DA5AF2" w:rsidP="00DA5AF2">
      <w:pPr>
        <w:pStyle w:val="SCCLsocVersus"/>
        <w:spacing w:after="0"/>
        <w:jc w:val="center"/>
        <w:rPr>
          <w:i w:val="0"/>
        </w:rPr>
      </w:pPr>
      <w:proofErr w:type="gramStart"/>
      <w:r w:rsidRPr="00F90249">
        <w:rPr>
          <w:i w:val="0"/>
        </w:rPr>
        <w:t>and</w:t>
      </w:r>
      <w:proofErr w:type="gramEnd"/>
    </w:p>
    <w:p w:rsidR="00DA5AF2" w:rsidRPr="00F90249" w:rsidRDefault="00DA5AF2" w:rsidP="00DA5AF2">
      <w:pPr>
        <w:jc w:val="center"/>
      </w:pPr>
    </w:p>
    <w:p w:rsidR="00DA5AF2" w:rsidRPr="00F90249" w:rsidRDefault="00DA5AF2" w:rsidP="00DA5AF2">
      <w:pPr>
        <w:pStyle w:val="SCCLsocParty"/>
        <w:jc w:val="center"/>
      </w:pPr>
      <w:r w:rsidRPr="00F90249">
        <w:t>C.J.</w:t>
      </w:r>
    </w:p>
    <w:p w:rsidR="00DA5AF2" w:rsidRPr="00F90249" w:rsidRDefault="00DA5AF2" w:rsidP="00DA5AF2">
      <w:pPr>
        <w:jc w:val="center"/>
      </w:pPr>
      <w:r w:rsidRPr="00F90249">
        <w:t>Respondent</w:t>
      </w:r>
    </w:p>
    <w:p w:rsidR="00DA5AF2" w:rsidRPr="00F90249" w:rsidRDefault="00DA5AF2" w:rsidP="00DA5AF2"/>
    <w:p w:rsidR="00DA5AF2" w:rsidRPr="00F90249" w:rsidRDefault="00DA5AF2" w:rsidP="00DA5AF2"/>
    <w:p w:rsidR="00DA5AF2" w:rsidRPr="00F90249" w:rsidRDefault="00DA5AF2" w:rsidP="00DA5AF2">
      <w:r w:rsidRPr="00F90249">
        <w:rPr>
          <w:b/>
          <w:smallCaps/>
        </w:rPr>
        <w:t xml:space="preserve">Coram: </w:t>
      </w:r>
      <w:r w:rsidRPr="00F90249">
        <w:t>Wagner C.J. and Abella, Moldaver, Karakatsanis and Brown JJ.</w:t>
      </w:r>
    </w:p>
    <w:p w:rsidR="00DA5AF2" w:rsidRPr="00F90249" w:rsidRDefault="00DA5AF2" w:rsidP="00DA5A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A5AF2" w:rsidRPr="00F90249" w:rsidTr="00341CBD">
        <w:trPr>
          <w:cantSplit/>
        </w:trPr>
        <w:tc>
          <w:tcPr>
            <w:tcW w:w="3618" w:type="dxa"/>
          </w:tcPr>
          <w:p w:rsidR="00DA5AF2" w:rsidRPr="00F90249" w:rsidRDefault="00DA5AF2" w:rsidP="00341CBD">
            <w:pPr>
              <w:rPr>
                <w:b/>
                <w:smallCaps/>
              </w:rPr>
            </w:pPr>
            <w:r w:rsidRPr="00F90249">
              <w:rPr>
                <w:b/>
                <w:smallCaps/>
              </w:rPr>
              <w:t>Reasons for Judgment:</w:t>
            </w:r>
          </w:p>
          <w:p w:rsidR="00DA5AF2" w:rsidRPr="00F90249" w:rsidRDefault="00DA5AF2" w:rsidP="00341CBD">
            <w:r w:rsidRPr="00F90249">
              <w:t>(paras. 1 to 3)</w:t>
            </w:r>
          </w:p>
        </w:tc>
        <w:tc>
          <w:tcPr>
            <w:tcW w:w="5958" w:type="dxa"/>
          </w:tcPr>
          <w:p w:rsidR="00DA5AF2" w:rsidRPr="00F90249" w:rsidRDefault="00DA5AF2" w:rsidP="00341CBD">
            <w:r w:rsidRPr="00F90249">
              <w:t>Wagner C.J. (Abella, Moldaver, Karakatsanis and Brown concurring)</w:t>
            </w:r>
          </w:p>
        </w:tc>
      </w:tr>
    </w:tbl>
    <w:p w:rsidR="00DA5AF2" w:rsidRPr="00F90249" w:rsidRDefault="00DA5AF2" w:rsidP="00DA5AF2">
      <w:pPr>
        <w:rPr>
          <w:lang w:val="en-US"/>
        </w:rPr>
      </w:pPr>
    </w:p>
    <w:p w:rsidR="00DA5AF2" w:rsidRPr="00F90249" w:rsidRDefault="00DA5AF2" w:rsidP="00DA5AF2">
      <w:pPr>
        <w:rPr>
          <w:lang w:val="en-US"/>
        </w:rPr>
      </w:pPr>
    </w:p>
    <w:p w:rsidR="00DA5AF2" w:rsidRPr="00F90249" w:rsidRDefault="00DA5AF2" w:rsidP="00DA5AF2">
      <w:pPr>
        <w:rPr>
          <w:lang w:val="en-US"/>
        </w:rPr>
      </w:pPr>
      <w:r w:rsidRPr="00F90249">
        <w:rPr>
          <w:noProof/>
          <w:lang w:val="en-US" w:eastAsia="en-US"/>
        </w:rPr>
        <mc:AlternateContent>
          <mc:Choice Requires="wps">
            <w:drawing>
              <wp:anchor distT="0" distB="0" distL="114300" distR="114300" simplePos="0" relativeHeight="251659264" behindDoc="0" locked="0" layoutInCell="1" allowOverlap="1" wp14:anchorId="4962DAB7" wp14:editId="706D715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E07A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A5AF2" w:rsidRPr="00F90249" w:rsidRDefault="00DA5AF2" w:rsidP="0035169A">
      <w:pPr>
        <w:spacing w:line="480" w:lineRule="auto"/>
        <w:jc w:val="both"/>
        <w:rPr>
          <w:lang w:val="en-US"/>
        </w:rPr>
      </w:pPr>
    </w:p>
    <w:p w:rsidR="00DA5AF2" w:rsidRPr="00F90249" w:rsidRDefault="00DA5AF2" w:rsidP="0035169A">
      <w:pPr>
        <w:spacing w:line="480" w:lineRule="auto"/>
        <w:jc w:val="both"/>
        <w:rPr>
          <w:rStyle w:val="SCCAppellantForRunningHeadChar"/>
          <w:smallCaps w:val="0"/>
        </w:rPr>
      </w:pPr>
    </w:p>
    <w:p w:rsidR="008322BD" w:rsidRPr="00F90249" w:rsidRDefault="00C65097" w:rsidP="0035169A">
      <w:pPr>
        <w:spacing w:line="480" w:lineRule="auto"/>
        <w:jc w:val="both"/>
      </w:pPr>
      <w:r w:rsidRPr="00F90249">
        <w:rPr>
          <w:rStyle w:val="SCCAppellantForRunningHeadChar"/>
          <w:smallCaps w:val="0"/>
        </w:rPr>
        <w:t>R</w:t>
      </w:r>
      <w:r w:rsidR="008F78E9" w:rsidRPr="00F90249">
        <w:rPr>
          <w:rStyle w:val="SCCAppellantForRunningHeadChar"/>
          <w:smallCaps w:val="0"/>
        </w:rPr>
        <w:t>.</w:t>
      </w:r>
      <w:r w:rsidR="00480C90" w:rsidRPr="00F90249">
        <w:rPr>
          <w:smallCaps/>
        </w:rPr>
        <w:t xml:space="preserve"> </w:t>
      </w:r>
      <w:r w:rsidR="009B57B3" w:rsidRPr="00F90249">
        <w:rPr>
          <w:i/>
        </w:rPr>
        <w:t>v.</w:t>
      </w:r>
      <w:r w:rsidR="00B000D8" w:rsidRPr="00F90249">
        <w:rPr>
          <w:smallCaps/>
        </w:rPr>
        <w:t xml:space="preserve"> </w:t>
      </w:r>
      <w:r w:rsidRPr="00F90249">
        <w:rPr>
          <w:rStyle w:val="SCCRespondentForRunningHeadChar"/>
          <w:smallCaps w:val="0"/>
        </w:rPr>
        <w:t>C</w:t>
      </w:r>
      <w:r w:rsidR="00D44515" w:rsidRPr="00F90249">
        <w:rPr>
          <w:rStyle w:val="SCCRespondentForRunningHeadChar"/>
          <w:smallCaps w:val="0"/>
        </w:rPr>
        <w:t>.</w:t>
      </w:r>
      <w:r w:rsidRPr="00F90249">
        <w:rPr>
          <w:rStyle w:val="SCCRespondentForRunningHeadChar"/>
          <w:smallCaps w:val="0"/>
        </w:rPr>
        <w:t>J</w:t>
      </w:r>
      <w:r w:rsidR="008F78E9" w:rsidRPr="00F90249">
        <w:rPr>
          <w:rStyle w:val="SCCRespondentForRunningHeadChar"/>
          <w:smallCaps w:val="0"/>
        </w:rPr>
        <w:t>.</w:t>
      </w:r>
      <w:r w:rsidRPr="00F90249">
        <w:rPr>
          <w:rStyle w:val="SCCRespondentForRunningHeadChar"/>
        </w:rPr>
        <w:t xml:space="preserve">, </w:t>
      </w:r>
      <w:r w:rsidRPr="00F90249">
        <w:t>2019 SCC 8, [2019] 1 S.C.R. 484</w:t>
      </w:r>
    </w:p>
    <w:p w:rsidR="00766D14" w:rsidRPr="00F90249" w:rsidRDefault="00766D14" w:rsidP="00FC4EFB">
      <w:pPr>
        <w:jc w:val="both"/>
      </w:pPr>
    </w:p>
    <w:p w:rsidR="00A149DF" w:rsidRPr="00F90249" w:rsidRDefault="00A149DF" w:rsidP="00FC4EFB">
      <w:pPr>
        <w:jc w:val="both"/>
      </w:pPr>
    </w:p>
    <w:p w:rsidR="00A149DF" w:rsidRPr="00F90249" w:rsidRDefault="00A149DF" w:rsidP="00FC4EFB">
      <w:pPr>
        <w:jc w:val="both"/>
      </w:pPr>
    </w:p>
    <w:p w:rsidR="00B25754" w:rsidRPr="00F90249" w:rsidRDefault="00A9446A">
      <w:pPr>
        <w:pStyle w:val="SCCLsocLastPartyInRole"/>
      </w:pPr>
      <w:r w:rsidRPr="00F90249">
        <w:t xml:space="preserve">Her Majesty </w:t>
      </w:r>
      <w:proofErr w:type="gramStart"/>
      <w:r w:rsidRPr="00F90249">
        <w:t>The</w:t>
      </w:r>
      <w:proofErr w:type="gramEnd"/>
      <w:r w:rsidRPr="00F90249">
        <w:t xml:space="preserve"> Queen</w:t>
      </w:r>
      <w:r w:rsidRPr="00F90249">
        <w:rPr>
          <w:rStyle w:val="SCCLsocPartyRole"/>
        </w:rPr>
        <w:tab/>
        <w:t>Appellant</w:t>
      </w:r>
    </w:p>
    <w:p w:rsidR="00B25754" w:rsidRPr="00F90249" w:rsidRDefault="00A9446A">
      <w:pPr>
        <w:pStyle w:val="SCCLsocVersus"/>
      </w:pPr>
      <w:proofErr w:type="gramStart"/>
      <w:r w:rsidRPr="00F90249">
        <w:t>v</w:t>
      </w:r>
      <w:proofErr w:type="gramEnd"/>
      <w:r w:rsidRPr="00F90249">
        <w:t>.</w:t>
      </w:r>
    </w:p>
    <w:p w:rsidR="00B25754" w:rsidRPr="00F90249" w:rsidRDefault="00A9446A">
      <w:pPr>
        <w:pStyle w:val="SCCLsocLastPartyInRole"/>
      </w:pPr>
      <w:r w:rsidRPr="00F90249">
        <w:lastRenderedPageBreak/>
        <w:t>C.J.</w:t>
      </w:r>
      <w:r w:rsidRPr="00F90249">
        <w:rPr>
          <w:rStyle w:val="SCCLsocPartyRole"/>
        </w:rPr>
        <w:tab/>
        <w:t>Respondent</w:t>
      </w:r>
    </w:p>
    <w:p w:rsidR="00766D14" w:rsidRPr="00F90249" w:rsidRDefault="00766D14" w:rsidP="00FC4EFB">
      <w:pPr>
        <w:jc w:val="both"/>
      </w:pPr>
    </w:p>
    <w:p w:rsidR="00A149DF" w:rsidRPr="00F90249" w:rsidRDefault="00A149DF" w:rsidP="00FC4EFB">
      <w:pPr>
        <w:jc w:val="both"/>
      </w:pPr>
    </w:p>
    <w:p w:rsidR="00A149DF" w:rsidRPr="00F90249" w:rsidRDefault="00A149DF" w:rsidP="00FC4EFB">
      <w:pPr>
        <w:jc w:val="both"/>
      </w:pPr>
    </w:p>
    <w:p w:rsidR="00426659" w:rsidRPr="00F90249" w:rsidRDefault="00426659" w:rsidP="00FC4EFB">
      <w:pPr>
        <w:jc w:val="both"/>
        <w:rPr>
          <w:b/>
        </w:rPr>
      </w:pPr>
      <w:r w:rsidRPr="00F90249">
        <w:rPr>
          <w:b/>
        </w:rPr>
        <w:t xml:space="preserve">Indexed as: </w:t>
      </w:r>
      <w:r w:rsidR="00A9446A" w:rsidRPr="00F90249">
        <w:rPr>
          <w:b/>
        </w:rPr>
        <w:t xml:space="preserve"> </w:t>
      </w:r>
      <w:r w:rsidRPr="00F90249">
        <w:rPr>
          <w:rStyle w:val="SCCAppellantForIndexChar"/>
        </w:rPr>
        <w:t>R.</w:t>
      </w:r>
      <w:r w:rsidRPr="00F90249">
        <w:rPr>
          <w:b/>
        </w:rPr>
        <w:t xml:space="preserve"> </w:t>
      </w:r>
      <w:r w:rsidRPr="00F90249">
        <w:rPr>
          <w:b/>
          <w:i/>
        </w:rPr>
        <w:t>v.</w:t>
      </w:r>
      <w:r w:rsidRPr="00F90249">
        <w:rPr>
          <w:b/>
        </w:rPr>
        <w:t xml:space="preserve"> </w:t>
      </w:r>
      <w:r w:rsidRPr="00F90249">
        <w:rPr>
          <w:rStyle w:val="SCCRespondentForIndexChar"/>
        </w:rPr>
        <w:t>C.J.</w:t>
      </w:r>
    </w:p>
    <w:p w:rsidR="00426659" w:rsidRPr="00F90249" w:rsidRDefault="00426659" w:rsidP="00FC4EFB">
      <w:pPr>
        <w:jc w:val="both"/>
      </w:pPr>
    </w:p>
    <w:p w:rsidR="00A149DF" w:rsidRPr="00F90249" w:rsidRDefault="00A149DF" w:rsidP="00FC4EFB">
      <w:pPr>
        <w:jc w:val="both"/>
      </w:pPr>
    </w:p>
    <w:p w:rsidR="00A149DF" w:rsidRPr="00F90249" w:rsidRDefault="00A149DF" w:rsidP="00FC4EFB">
      <w:pPr>
        <w:jc w:val="both"/>
      </w:pPr>
    </w:p>
    <w:p w:rsidR="00426659" w:rsidRPr="00F90249" w:rsidRDefault="00AE4535" w:rsidP="00FC4EFB">
      <w:pPr>
        <w:pStyle w:val="SCCSystemYear"/>
        <w:jc w:val="both"/>
      </w:pPr>
      <w:r w:rsidRPr="00F90249">
        <w:t>2019</w:t>
      </w:r>
      <w:r w:rsidR="003D0399" w:rsidRPr="00F90249">
        <w:t xml:space="preserve"> </w:t>
      </w:r>
      <w:r w:rsidR="002226F4" w:rsidRPr="00F90249">
        <w:t>SCC 8</w:t>
      </w:r>
    </w:p>
    <w:p w:rsidR="00426659" w:rsidRPr="00F90249" w:rsidRDefault="00426659" w:rsidP="00FC4EFB">
      <w:pPr>
        <w:jc w:val="both"/>
      </w:pPr>
    </w:p>
    <w:p w:rsidR="00A149DF" w:rsidRPr="00F90249" w:rsidRDefault="00A149DF" w:rsidP="00FC4EFB">
      <w:pPr>
        <w:jc w:val="both"/>
      </w:pPr>
    </w:p>
    <w:p w:rsidR="00A149DF" w:rsidRPr="00F90249" w:rsidRDefault="00A149DF" w:rsidP="00FC4EFB">
      <w:pPr>
        <w:jc w:val="both"/>
      </w:pPr>
    </w:p>
    <w:p w:rsidR="008322BD" w:rsidRPr="00F90249" w:rsidRDefault="009B57B3" w:rsidP="00FC4EFB">
      <w:pPr>
        <w:jc w:val="both"/>
      </w:pPr>
      <w:r w:rsidRPr="00F90249">
        <w:t>File No.:  38220.</w:t>
      </w:r>
    </w:p>
    <w:p w:rsidR="00E97830" w:rsidRPr="00F90249" w:rsidRDefault="00E97830" w:rsidP="00FC4EFB">
      <w:pPr>
        <w:jc w:val="both"/>
      </w:pPr>
    </w:p>
    <w:p w:rsidR="00A149DF" w:rsidRPr="00F90249" w:rsidRDefault="00A149DF" w:rsidP="00FC4EFB">
      <w:pPr>
        <w:jc w:val="both"/>
      </w:pPr>
    </w:p>
    <w:p w:rsidR="00A149DF" w:rsidRPr="00F90249" w:rsidRDefault="00A149DF" w:rsidP="00FC4EFB">
      <w:pPr>
        <w:jc w:val="both"/>
      </w:pPr>
    </w:p>
    <w:p w:rsidR="008322BD" w:rsidRPr="00F90249" w:rsidRDefault="00AE4535" w:rsidP="00FC4EFB">
      <w:pPr>
        <w:jc w:val="both"/>
      </w:pPr>
      <w:r w:rsidRPr="00F90249">
        <w:t>2019:  February 12</w:t>
      </w:r>
      <w:r w:rsidR="002226F4" w:rsidRPr="00F90249">
        <w:t>.</w:t>
      </w:r>
    </w:p>
    <w:p w:rsidR="00E97830" w:rsidRPr="00F90249" w:rsidRDefault="00E97830" w:rsidP="00FC4EFB">
      <w:pPr>
        <w:jc w:val="both"/>
      </w:pPr>
    </w:p>
    <w:p w:rsidR="00A149DF" w:rsidRPr="00F90249" w:rsidRDefault="00A149DF" w:rsidP="00FC4EFB">
      <w:pPr>
        <w:jc w:val="both"/>
      </w:pPr>
    </w:p>
    <w:p w:rsidR="00A149DF" w:rsidRPr="00F90249" w:rsidRDefault="00A149DF" w:rsidP="00FC4EFB">
      <w:pPr>
        <w:jc w:val="both"/>
      </w:pPr>
    </w:p>
    <w:p w:rsidR="008322BD" w:rsidRPr="00F90249" w:rsidRDefault="009B57B3" w:rsidP="00FC4EFB">
      <w:pPr>
        <w:jc w:val="both"/>
      </w:pPr>
      <w:r w:rsidRPr="00F90249">
        <w:t>Present:  Wagner C.J. and Abella, Moldaver, Karakatsanis and Brown JJ.</w:t>
      </w:r>
    </w:p>
    <w:p w:rsidR="00E97830" w:rsidRPr="00F90249" w:rsidRDefault="00E97830" w:rsidP="00FC4EFB">
      <w:pPr>
        <w:jc w:val="both"/>
      </w:pPr>
    </w:p>
    <w:p w:rsidR="006A1551" w:rsidRPr="00F90249" w:rsidRDefault="006A1551" w:rsidP="00FC4EFB">
      <w:pPr>
        <w:jc w:val="both"/>
      </w:pPr>
    </w:p>
    <w:p w:rsidR="00B25754" w:rsidRPr="00F90249" w:rsidRDefault="00B25754"/>
    <w:p w:rsidR="008322BD" w:rsidRPr="00F90249" w:rsidRDefault="00656313" w:rsidP="00FC4EFB">
      <w:pPr>
        <w:pStyle w:val="SCCLowerCourtNameLowercase"/>
      </w:pPr>
      <w:r w:rsidRPr="00F90249">
        <w:t>o</w:t>
      </w:r>
      <w:r w:rsidR="00170592" w:rsidRPr="00F90249">
        <w:t>n</w:t>
      </w:r>
      <w:r w:rsidR="00224FC0" w:rsidRPr="00F90249">
        <w:t xml:space="preserve"> </w:t>
      </w:r>
      <w:r w:rsidRPr="00F90249">
        <w:t>a</w:t>
      </w:r>
      <w:r w:rsidR="00170592" w:rsidRPr="00F90249">
        <w:t>ppeal</w:t>
      </w:r>
      <w:r w:rsidR="00224FC0" w:rsidRPr="00F90249">
        <w:t xml:space="preserve"> </w:t>
      </w:r>
      <w:r w:rsidR="00170592" w:rsidRPr="00F90249">
        <w:t>from</w:t>
      </w:r>
      <w:r w:rsidR="009567AA" w:rsidRPr="00F90249">
        <w:t xml:space="preserve"> the</w:t>
      </w:r>
      <w:r w:rsidR="00224FC0" w:rsidRPr="00F90249">
        <w:t xml:space="preserve"> </w:t>
      </w:r>
      <w:r w:rsidR="009B57B3" w:rsidRPr="00F90249">
        <w:t xml:space="preserve">court of appeal of </w:t>
      </w:r>
      <w:proofErr w:type="spellStart"/>
      <w:r w:rsidR="009B57B3" w:rsidRPr="00F90249">
        <w:t>manitoba</w:t>
      </w:r>
      <w:proofErr w:type="spellEnd"/>
    </w:p>
    <w:p w:rsidR="003A4C70" w:rsidRPr="00F90249" w:rsidRDefault="003A4C70" w:rsidP="00FC4EFB">
      <w:pPr>
        <w:pStyle w:val="SCCNormalDoubleSpacing"/>
        <w:rPr>
          <w:i/>
        </w:rPr>
      </w:pPr>
    </w:p>
    <w:p w:rsidR="00A149DF" w:rsidRPr="00F90249" w:rsidRDefault="009B57B3" w:rsidP="00E17B2D">
      <w:pPr>
        <w:pStyle w:val="SCCNormalDoubleSpacing"/>
        <w:rPr>
          <w:i/>
        </w:rPr>
      </w:pPr>
      <w:r w:rsidRPr="00F90249">
        <w:rPr>
          <w:i/>
        </w:rPr>
        <w:tab/>
      </w:r>
      <w:r w:rsidR="000769C7" w:rsidRPr="00F90249">
        <w:rPr>
          <w:i/>
        </w:rPr>
        <w:t xml:space="preserve">Criminal law — </w:t>
      </w:r>
      <w:r w:rsidR="00CC6D32" w:rsidRPr="00F90249">
        <w:rPr>
          <w:i/>
        </w:rPr>
        <w:t>Appeals</w:t>
      </w:r>
      <w:r w:rsidR="001E6C7F" w:rsidRPr="00F90249">
        <w:rPr>
          <w:i/>
        </w:rPr>
        <w:t xml:space="preserve"> — </w:t>
      </w:r>
      <w:r w:rsidR="00406952" w:rsidRPr="00F90249">
        <w:rPr>
          <w:i/>
        </w:rPr>
        <w:t xml:space="preserve">Misapprehension of evidence — </w:t>
      </w:r>
      <w:r w:rsidR="00CC6D32" w:rsidRPr="00F90249">
        <w:rPr>
          <w:i/>
        </w:rPr>
        <w:t>Review of trial judge’s credibility assessments</w:t>
      </w:r>
      <w:r w:rsidR="009B6B01" w:rsidRPr="00F90249">
        <w:rPr>
          <w:i/>
        </w:rPr>
        <w:t xml:space="preserve"> — </w:t>
      </w:r>
      <w:r w:rsidR="00CB2DCC" w:rsidRPr="00F90249">
        <w:rPr>
          <w:i/>
        </w:rPr>
        <w:t xml:space="preserve">Accused </w:t>
      </w:r>
      <w:r w:rsidR="003227F3" w:rsidRPr="00F90249">
        <w:rPr>
          <w:i/>
        </w:rPr>
        <w:t xml:space="preserve">convicted </w:t>
      </w:r>
      <w:r w:rsidR="00C126D5" w:rsidRPr="00F90249">
        <w:rPr>
          <w:i/>
        </w:rPr>
        <w:t xml:space="preserve">at trial </w:t>
      </w:r>
      <w:r w:rsidR="003227F3" w:rsidRPr="00F90249">
        <w:rPr>
          <w:i/>
        </w:rPr>
        <w:t xml:space="preserve">of one count of sexual interference and one count of </w:t>
      </w:r>
      <w:r w:rsidR="00C126D5" w:rsidRPr="00F90249">
        <w:rPr>
          <w:i/>
        </w:rPr>
        <w:t xml:space="preserve">invitation to </w:t>
      </w:r>
      <w:r w:rsidR="003227F3" w:rsidRPr="00F90249">
        <w:rPr>
          <w:i/>
        </w:rPr>
        <w:t>sexual touching —</w:t>
      </w:r>
      <w:r w:rsidR="00CB2DCC" w:rsidRPr="00F90249">
        <w:rPr>
          <w:i/>
        </w:rPr>
        <w:t xml:space="preserve">— Court of Appeal </w:t>
      </w:r>
      <w:r w:rsidR="009B6B01" w:rsidRPr="00F90249">
        <w:rPr>
          <w:i/>
        </w:rPr>
        <w:t xml:space="preserve">ordering new trial — Dissenting judge holding that deference owed to trial judge’s credibility assessments and that appeal should be dismissed </w:t>
      </w:r>
      <w:r w:rsidR="00CB2DCC" w:rsidRPr="00F90249">
        <w:rPr>
          <w:i/>
        </w:rPr>
        <w:t>—</w:t>
      </w:r>
      <w:r w:rsidR="009B6B01" w:rsidRPr="00F90249">
        <w:rPr>
          <w:i/>
        </w:rPr>
        <w:t xml:space="preserve"> Trial judge did not misapprehend evidence or err in credibility findings </w:t>
      </w:r>
      <w:r w:rsidR="00CB2DCC" w:rsidRPr="00F90249">
        <w:rPr>
          <w:i/>
        </w:rPr>
        <w:t>— Convictions restored.</w:t>
      </w:r>
    </w:p>
    <w:p w:rsidR="00761F9C" w:rsidRPr="00F90249" w:rsidRDefault="00761F9C" w:rsidP="00E17B2D">
      <w:pPr>
        <w:pStyle w:val="SCCNormalDoubleSpacing"/>
      </w:pPr>
    </w:p>
    <w:p w:rsidR="004309E4" w:rsidRPr="00F90249" w:rsidRDefault="009B57B3" w:rsidP="004309E4">
      <w:pPr>
        <w:pStyle w:val="SCCNormalDoubleSpacing"/>
      </w:pPr>
      <w:r w:rsidRPr="00F90249">
        <w:lastRenderedPageBreak/>
        <w:tab/>
        <w:t xml:space="preserve">APPEAL from a judgment of the </w:t>
      </w:r>
      <w:r w:rsidR="007B75C1" w:rsidRPr="00F90249">
        <w:t xml:space="preserve">Manitoba </w:t>
      </w:r>
      <w:r w:rsidRPr="00F90249">
        <w:t xml:space="preserve">Court of Appeal </w:t>
      </w:r>
      <w:r w:rsidR="0045430F" w:rsidRPr="00F90249">
        <w:t>(Beard, Monnin and Pfuetzner JJ.A.), 2018 MBCA 65, 362 C.C.C. (3d) 137</w:t>
      </w:r>
      <w:r w:rsidR="004A45F1" w:rsidRPr="00F90249">
        <w:t xml:space="preserve">, 47 C.R. (7th) 109, [2018] M.J. No. 144 (QL), 2018 </w:t>
      </w:r>
      <w:proofErr w:type="spellStart"/>
      <w:r w:rsidR="004A45F1" w:rsidRPr="00F90249">
        <w:t>CarswellMan</w:t>
      </w:r>
      <w:proofErr w:type="spellEnd"/>
      <w:r w:rsidR="004A45F1" w:rsidRPr="00F90249">
        <w:t xml:space="preserve"> 224 (WL Can.), </w:t>
      </w:r>
      <w:r w:rsidR="000769C7" w:rsidRPr="00F90249">
        <w:t>setting aside the conviction</w:t>
      </w:r>
      <w:r w:rsidR="005C7B20" w:rsidRPr="00F90249">
        <w:t>s</w:t>
      </w:r>
      <w:r w:rsidR="000769C7" w:rsidRPr="00F90249">
        <w:t xml:space="preserve"> of the accused</w:t>
      </w:r>
      <w:r w:rsidR="007B75C1" w:rsidRPr="00F90249">
        <w:t xml:space="preserve"> for sexual interference and invitation to sexual touching</w:t>
      </w:r>
      <w:r w:rsidR="005C7B20" w:rsidRPr="00F90249">
        <w:t xml:space="preserve"> and</w:t>
      </w:r>
      <w:r w:rsidR="000769C7" w:rsidRPr="00F90249">
        <w:t xml:space="preserve"> </w:t>
      </w:r>
      <w:r w:rsidR="004A45F1" w:rsidRPr="00F90249">
        <w:t>ordering a new trial. Appeal allowed.</w:t>
      </w:r>
    </w:p>
    <w:p w:rsidR="00656313" w:rsidRPr="00F90249" w:rsidRDefault="00656313" w:rsidP="00FC4EFB">
      <w:pPr>
        <w:pStyle w:val="SCCNormalDoubleSpacing"/>
      </w:pPr>
    </w:p>
    <w:p w:rsidR="00B25754" w:rsidRPr="00F90249" w:rsidRDefault="00A9446A">
      <w:pPr>
        <w:pStyle w:val="SCCNormalDoubleSpacing"/>
      </w:pPr>
      <w:r w:rsidRPr="00F90249">
        <w:rPr>
          <w:rStyle w:val="SCCCounselNameChar"/>
        </w:rPr>
        <w:tab/>
        <w:t>Craig Savage</w:t>
      </w:r>
      <w:r w:rsidRPr="00F90249">
        <w:rPr>
          <w:rStyle w:val="SCCCounselPartyRoleChar"/>
        </w:rPr>
        <w:t>, for the appellant.</w:t>
      </w:r>
    </w:p>
    <w:p w:rsidR="00B25754" w:rsidRPr="00F90249" w:rsidRDefault="00B25754">
      <w:pPr>
        <w:pStyle w:val="SCCNormalDoubleSpacing"/>
      </w:pPr>
    </w:p>
    <w:p w:rsidR="00B25754" w:rsidRPr="00F90249" w:rsidRDefault="00A9446A">
      <w:pPr>
        <w:pStyle w:val="SCCNormalDoubleSpacing"/>
        <w:rPr>
          <w:rStyle w:val="SCCCounselPartyRoleChar"/>
        </w:rPr>
      </w:pPr>
      <w:r w:rsidRPr="00F90249">
        <w:rPr>
          <w:rStyle w:val="SCCCounselNameChar"/>
        </w:rPr>
        <w:tab/>
      </w:r>
      <w:proofErr w:type="spellStart"/>
      <w:r w:rsidRPr="00F90249">
        <w:rPr>
          <w:rStyle w:val="SCCCounselNameChar"/>
        </w:rPr>
        <w:t>Zilla</w:t>
      </w:r>
      <w:proofErr w:type="spellEnd"/>
      <w:r w:rsidRPr="00F90249">
        <w:rPr>
          <w:rStyle w:val="SCCCounselNameChar"/>
        </w:rPr>
        <w:t xml:space="preserve"> Jones</w:t>
      </w:r>
      <w:r w:rsidRPr="00F90249">
        <w:rPr>
          <w:rStyle w:val="SCCCounselSeparatorChar"/>
        </w:rPr>
        <w:t xml:space="preserve"> and </w:t>
      </w:r>
      <w:r w:rsidRPr="00F90249">
        <w:rPr>
          <w:rStyle w:val="SCCCounselNameChar"/>
        </w:rPr>
        <w:t xml:space="preserve">Amanda </w:t>
      </w:r>
      <w:proofErr w:type="spellStart"/>
      <w:r w:rsidRPr="00F90249">
        <w:rPr>
          <w:rStyle w:val="SCCCounselNameChar"/>
        </w:rPr>
        <w:t>Sansregret</w:t>
      </w:r>
      <w:proofErr w:type="spellEnd"/>
      <w:r w:rsidRPr="00F90249">
        <w:rPr>
          <w:rStyle w:val="SCCCounselPartyRoleChar"/>
        </w:rPr>
        <w:t>, for the respondent.</w:t>
      </w:r>
    </w:p>
    <w:p w:rsidR="00B25754" w:rsidRPr="00F90249" w:rsidRDefault="00B25754" w:rsidP="00E17B2D">
      <w:pPr>
        <w:pStyle w:val="SCCLawFirm"/>
      </w:pPr>
    </w:p>
    <w:p w:rsidR="00D61AE7" w:rsidRPr="00F90249" w:rsidRDefault="007B75C1" w:rsidP="00D61AE7">
      <w:pPr>
        <w:pStyle w:val="SCCNormalDoubleSpacing"/>
      </w:pPr>
      <w:r w:rsidRPr="00F90249">
        <w:tab/>
      </w:r>
      <w:r w:rsidR="00D61AE7" w:rsidRPr="00F90249">
        <w:t>The judgment of the Court was delivered orally by</w:t>
      </w:r>
    </w:p>
    <w:p w:rsidR="00B25754" w:rsidRPr="00F90249" w:rsidRDefault="00B25754">
      <w:pPr>
        <w:pStyle w:val="SCCLawFirm"/>
      </w:pPr>
    </w:p>
    <w:p w:rsidR="004309E4" w:rsidRPr="00F90249" w:rsidRDefault="00761F9C" w:rsidP="00761F9C">
      <w:pPr>
        <w:pStyle w:val="SCCLawFirm"/>
        <w:rPr>
          <w:i w:val="0"/>
        </w:rPr>
      </w:pPr>
      <w:r w:rsidRPr="00F90249">
        <w:rPr>
          <w:i w:val="0"/>
        </w:rPr>
        <w:t xml:space="preserve"> </w:t>
      </w:r>
      <w:r w:rsidR="004309E4" w:rsidRPr="00F90249">
        <w:rPr>
          <w:i w:val="0"/>
        </w:rPr>
        <w:t xml:space="preserve">[1] </w:t>
      </w:r>
      <w:r w:rsidR="004309E4" w:rsidRPr="00F90249">
        <w:rPr>
          <w:i w:val="0"/>
        </w:rPr>
        <w:tab/>
      </w:r>
      <w:r w:rsidR="004309E4" w:rsidRPr="00F90249">
        <w:rPr>
          <w:i w:val="0"/>
          <w:smallCaps/>
        </w:rPr>
        <w:t>The Chief Justice</w:t>
      </w:r>
      <w:r w:rsidR="004309E4" w:rsidRPr="00F90249">
        <w:rPr>
          <w:i w:val="0"/>
        </w:rPr>
        <w:t xml:space="preserve"> — </w:t>
      </w:r>
      <w:proofErr w:type="gramStart"/>
      <w:r w:rsidR="004309E4" w:rsidRPr="00F90249">
        <w:rPr>
          <w:i w:val="0"/>
        </w:rPr>
        <w:t>For</w:t>
      </w:r>
      <w:proofErr w:type="gramEnd"/>
      <w:r w:rsidR="004309E4" w:rsidRPr="00F90249">
        <w:rPr>
          <w:i w:val="0"/>
        </w:rPr>
        <w:t xml:space="preserve"> the reasons of Justice Pfuetzner, we would allow the appeal.</w:t>
      </w:r>
    </w:p>
    <w:p w:rsidR="004309E4" w:rsidRPr="00F90249" w:rsidRDefault="004309E4" w:rsidP="004309E4">
      <w:pPr>
        <w:pStyle w:val="SCCNormalDoubleSpacing"/>
      </w:pPr>
      <w:r w:rsidRPr="00F90249">
        <w:t xml:space="preserve"> </w:t>
      </w:r>
    </w:p>
    <w:p w:rsidR="004309E4" w:rsidRPr="00F90249" w:rsidRDefault="004309E4" w:rsidP="004309E4">
      <w:pPr>
        <w:pStyle w:val="SCCNormalDoubleSpacing"/>
      </w:pPr>
      <w:r w:rsidRPr="00F90249">
        <w:rPr>
          <w:smallCaps/>
        </w:rPr>
        <w:t>[</w:t>
      </w:r>
      <w:r w:rsidRPr="00F90249">
        <w:rPr>
          <w:iCs/>
          <w:smallCaps/>
        </w:rPr>
        <w:t>2</w:t>
      </w:r>
      <w:r w:rsidRPr="00F90249">
        <w:rPr>
          <w:smallCaps/>
        </w:rPr>
        <w:t xml:space="preserve">] </w:t>
      </w:r>
      <w:r w:rsidRPr="00F90249">
        <w:rPr>
          <w:smallCaps/>
        </w:rPr>
        <w:tab/>
      </w:r>
      <w:r w:rsidRPr="00F90249">
        <w:t xml:space="preserve">More particularly, we agree with the dissenting judge that the trial judge did not misapprehend the evidence or draw inferences unavailable on the evidence, nor did he err in his credibility findings. </w:t>
      </w:r>
    </w:p>
    <w:p w:rsidR="004309E4" w:rsidRPr="00F90249" w:rsidRDefault="004309E4" w:rsidP="004309E4">
      <w:pPr>
        <w:pStyle w:val="SCCNormalDoubleSpacing"/>
      </w:pPr>
    </w:p>
    <w:p w:rsidR="004309E4" w:rsidRPr="00F90249" w:rsidRDefault="004309E4" w:rsidP="004309E4">
      <w:pPr>
        <w:pStyle w:val="SCCNormalDoubleSpacing"/>
      </w:pPr>
      <w:r w:rsidRPr="00F90249">
        <w:rPr>
          <w:smallCaps/>
        </w:rPr>
        <w:t>[</w:t>
      </w:r>
      <w:r w:rsidRPr="00F90249">
        <w:rPr>
          <w:iCs/>
          <w:smallCaps/>
        </w:rPr>
        <w:t>3</w:t>
      </w:r>
      <w:r w:rsidRPr="00F90249">
        <w:rPr>
          <w:smallCaps/>
        </w:rPr>
        <w:t xml:space="preserve">] </w:t>
      </w:r>
      <w:r w:rsidRPr="00F90249">
        <w:rPr>
          <w:smallCaps/>
        </w:rPr>
        <w:tab/>
      </w:r>
      <w:r w:rsidRPr="00F90249">
        <w:t xml:space="preserve">The appeal is therefore allowed and the convictions are restored. </w:t>
      </w:r>
    </w:p>
    <w:p w:rsidR="004309E4" w:rsidRPr="00F90249" w:rsidRDefault="004309E4" w:rsidP="00FC4EFB">
      <w:pPr>
        <w:pStyle w:val="SCCNormalDoubleSpacing"/>
      </w:pPr>
    </w:p>
    <w:p w:rsidR="009B57B3" w:rsidRPr="00F90249" w:rsidRDefault="009B57B3" w:rsidP="00FC4EFB">
      <w:pPr>
        <w:pStyle w:val="SCCNormalDoubleSpacing"/>
        <w:rPr>
          <w:i/>
        </w:rPr>
      </w:pPr>
      <w:r w:rsidRPr="00F90249">
        <w:tab/>
      </w:r>
      <w:r w:rsidR="00E17B2D" w:rsidRPr="00F90249">
        <w:rPr>
          <w:i/>
        </w:rPr>
        <w:t>Judgment accordingly.</w:t>
      </w:r>
    </w:p>
    <w:p w:rsidR="00A149DF" w:rsidRPr="00F90249" w:rsidRDefault="00A149DF" w:rsidP="00FC4EFB">
      <w:pPr>
        <w:pStyle w:val="SCCNormalDoubleSpacing"/>
      </w:pPr>
    </w:p>
    <w:p w:rsidR="00E17B2D" w:rsidRPr="00F90249" w:rsidRDefault="00A9446A" w:rsidP="00E17B2D">
      <w:pPr>
        <w:pStyle w:val="SCCLawFirm"/>
      </w:pPr>
      <w:r w:rsidRPr="00F90249">
        <w:tab/>
      </w:r>
      <w:r w:rsidR="00E17B2D" w:rsidRPr="00F90249">
        <w:t xml:space="preserve">Solicitor for the appellant:  </w:t>
      </w:r>
      <w:r w:rsidR="007B75C1" w:rsidRPr="00F90249">
        <w:t>Manitoba</w:t>
      </w:r>
      <w:r w:rsidR="00E17B2D" w:rsidRPr="00F90249">
        <w:t xml:space="preserve"> Justice, Winnipeg.</w:t>
      </w:r>
    </w:p>
    <w:p w:rsidR="00E17B2D" w:rsidRPr="00F90249" w:rsidRDefault="00E17B2D" w:rsidP="00E17B2D">
      <w:pPr>
        <w:pStyle w:val="SCCLawFirm"/>
      </w:pPr>
    </w:p>
    <w:p w:rsidR="00E17B2D" w:rsidRDefault="00E17B2D" w:rsidP="00E17B2D">
      <w:pPr>
        <w:pStyle w:val="SCCLawFirm"/>
      </w:pPr>
      <w:r w:rsidRPr="00F90249">
        <w:tab/>
        <w:t>Solicitors for the respondent:  Jones Law Office, Winnipeg; Legal Aid Manitoba, Winnipeg.</w:t>
      </w:r>
      <w:bookmarkStart w:id="0" w:name="_GoBack"/>
      <w:bookmarkEnd w:id="0"/>
    </w:p>
    <w:p w:rsidR="009B57B3" w:rsidRPr="00E17B2D" w:rsidRDefault="009B57B3" w:rsidP="007B6F4A"/>
    <w:sectPr w:rsidR="009B57B3" w:rsidRPr="00E17B2D"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769C7"/>
    <w:rsid w:val="000C59B8"/>
    <w:rsid w:val="000C6AF0"/>
    <w:rsid w:val="000F6BA8"/>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6C7F"/>
    <w:rsid w:val="00220FC2"/>
    <w:rsid w:val="002222F4"/>
    <w:rsid w:val="002226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227F3"/>
    <w:rsid w:val="003310DE"/>
    <w:rsid w:val="003323B0"/>
    <w:rsid w:val="0035169A"/>
    <w:rsid w:val="0035259D"/>
    <w:rsid w:val="00364B18"/>
    <w:rsid w:val="003A125D"/>
    <w:rsid w:val="003A4C70"/>
    <w:rsid w:val="003B215F"/>
    <w:rsid w:val="003C799C"/>
    <w:rsid w:val="003D0399"/>
    <w:rsid w:val="003E1C71"/>
    <w:rsid w:val="003F327B"/>
    <w:rsid w:val="00406166"/>
    <w:rsid w:val="00406952"/>
    <w:rsid w:val="0040704B"/>
    <w:rsid w:val="00410A55"/>
    <w:rsid w:val="00411300"/>
    <w:rsid w:val="00415417"/>
    <w:rsid w:val="00426659"/>
    <w:rsid w:val="004309E4"/>
    <w:rsid w:val="00450352"/>
    <w:rsid w:val="0045430F"/>
    <w:rsid w:val="00454BDB"/>
    <w:rsid w:val="00464800"/>
    <w:rsid w:val="00465132"/>
    <w:rsid w:val="00480C90"/>
    <w:rsid w:val="0048396F"/>
    <w:rsid w:val="00493C18"/>
    <w:rsid w:val="004A45F1"/>
    <w:rsid w:val="004A600C"/>
    <w:rsid w:val="004A6118"/>
    <w:rsid w:val="004C478D"/>
    <w:rsid w:val="004E2C26"/>
    <w:rsid w:val="004F36FF"/>
    <w:rsid w:val="005125A8"/>
    <w:rsid w:val="00521AE8"/>
    <w:rsid w:val="00527180"/>
    <w:rsid w:val="0054201E"/>
    <w:rsid w:val="00555291"/>
    <w:rsid w:val="00566AD1"/>
    <w:rsid w:val="00583EDE"/>
    <w:rsid w:val="005A6079"/>
    <w:rsid w:val="005C7B20"/>
    <w:rsid w:val="005E4698"/>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1F9C"/>
    <w:rsid w:val="00766D14"/>
    <w:rsid w:val="00767A0F"/>
    <w:rsid w:val="007A05F6"/>
    <w:rsid w:val="007B6F4A"/>
    <w:rsid w:val="007B75C1"/>
    <w:rsid w:val="007C2741"/>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80F8F"/>
    <w:rsid w:val="00891422"/>
    <w:rsid w:val="00892E1A"/>
    <w:rsid w:val="00895E66"/>
    <w:rsid w:val="008A3F29"/>
    <w:rsid w:val="008B660A"/>
    <w:rsid w:val="008C01DA"/>
    <w:rsid w:val="008F78E9"/>
    <w:rsid w:val="00911989"/>
    <w:rsid w:val="009179F9"/>
    <w:rsid w:val="00933E5E"/>
    <w:rsid w:val="00935218"/>
    <w:rsid w:val="009403F3"/>
    <w:rsid w:val="009555B7"/>
    <w:rsid w:val="009567AA"/>
    <w:rsid w:val="00960005"/>
    <w:rsid w:val="00967374"/>
    <w:rsid w:val="009A343A"/>
    <w:rsid w:val="009B2F23"/>
    <w:rsid w:val="009B57B3"/>
    <w:rsid w:val="009B6B01"/>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9446A"/>
    <w:rsid w:val="00AB670D"/>
    <w:rsid w:val="00AE4535"/>
    <w:rsid w:val="00AF03C5"/>
    <w:rsid w:val="00B000D8"/>
    <w:rsid w:val="00B00F75"/>
    <w:rsid w:val="00B145B6"/>
    <w:rsid w:val="00B25754"/>
    <w:rsid w:val="00B279EB"/>
    <w:rsid w:val="00B50C81"/>
    <w:rsid w:val="00B557F8"/>
    <w:rsid w:val="00B815FC"/>
    <w:rsid w:val="00B93FBC"/>
    <w:rsid w:val="00BA7DA0"/>
    <w:rsid w:val="00BB2EE4"/>
    <w:rsid w:val="00BC2108"/>
    <w:rsid w:val="00BD0E9E"/>
    <w:rsid w:val="00BD1BEC"/>
    <w:rsid w:val="00BD32FF"/>
    <w:rsid w:val="00BF5299"/>
    <w:rsid w:val="00C02092"/>
    <w:rsid w:val="00C126D5"/>
    <w:rsid w:val="00C24D91"/>
    <w:rsid w:val="00C53F14"/>
    <w:rsid w:val="00C600CF"/>
    <w:rsid w:val="00C6084F"/>
    <w:rsid w:val="00C62A66"/>
    <w:rsid w:val="00C65097"/>
    <w:rsid w:val="00C71458"/>
    <w:rsid w:val="00C77613"/>
    <w:rsid w:val="00C828E7"/>
    <w:rsid w:val="00C86719"/>
    <w:rsid w:val="00C921DD"/>
    <w:rsid w:val="00CA6391"/>
    <w:rsid w:val="00CB2DCC"/>
    <w:rsid w:val="00CC34BD"/>
    <w:rsid w:val="00CC6D32"/>
    <w:rsid w:val="00CE161A"/>
    <w:rsid w:val="00CE3171"/>
    <w:rsid w:val="00CF1601"/>
    <w:rsid w:val="00D0172F"/>
    <w:rsid w:val="00D068A7"/>
    <w:rsid w:val="00D17476"/>
    <w:rsid w:val="00D32086"/>
    <w:rsid w:val="00D37A3F"/>
    <w:rsid w:val="00D4431D"/>
    <w:rsid w:val="00D44515"/>
    <w:rsid w:val="00D4667A"/>
    <w:rsid w:val="00D61AE7"/>
    <w:rsid w:val="00D63A1C"/>
    <w:rsid w:val="00D7516F"/>
    <w:rsid w:val="00D8579F"/>
    <w:rsid w:val="00D95F8E"/>
    <w:rsid w:val="00DA0590"/>
    <w:rsid w:val="00DA5AF2"/>
    <w:rsid w:val="00DB7475"/>
    <w:rsid w:val="00DB7BEA"/>
    <w:rsid w:val="00DC1739"/>
    <w:rsid w:val="00DC1788"/>
    <w:rsid w:val="00DE319C"/>
    <w:rsid w:val="00DF0CA8"/>
    <w:rsid w:val="00DF2B48"/>
    <w:rsid w:val="00DF49A7"/>
    <w:rsid w:val="00E07EE2"/>
    <w:rsid w:val="00E07FD1"/>
    <w:rsid w:val="00E176D8"/>
    <w:rsid w:val="00E17B2D"/>
    <w:rsid w:val="00E24573"/>
    <w:rsid w:val="00E25E1E"/>
    <w:rsid w:val="00E27EE7"/>
    <w:rsid w:val="00E35404"/>
    <w:rsid w:val="00E45109"/>
    <w:rsid w:val="00E47B7A"/>
    <w:rsid w:val="00E56A44"/>
    <w:rsid w:val="00E60269"/>
    <w:rsid w:val="00E77932"/>
    <w:rsid w:val="00E97830"/>
    <w:rsid w:val="00EA7CF7"/>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90249"/>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DA5AF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A5AF2"/>
    <w:rPr>
      <w:rFonts w:ascii="Times New Roman" w:hAnsi="Times New Roman"/>
      <w:sz w:val="24"/>
      <w:szCs w:val="24"/>
      <w:lang w:val="en-CA"/>
    </w:rPr>
  </w:style>
  <w:style w:type="paragraph" w:customStyle="1" w:styleId="SCCLsocPrefix">
    <w:name w:val="SCC.Lsoc.Prefix"/>
    <w:basedOn w:val="Normal"/>
    <w:next w:val="Normal"/>
    <w:link w:val="SCCLsocPrefixChar"/>
    <w:rsid w:val="00DA5AF2"/>
    <w:rPr>
      <w:rFonts w:eastAsiaTheme="minorHAnsi" w:cstheme="minorBidi"/>
      <w:b/>
      <w:smallCaps/>
      <w:szCs w:val="24"/>
      <w:lang w:eastAsia="en-US"/>
    </w:rPr>
  </w:style>
  <w:style w:type="character" w:customStyle="1" w:styleId="SCCLsocPrefixChar">
    <w:name w:val="SCC.Lsoc.Prefix Char"/>
    <w:basedOn w:val="DefaultParagraphFont"/>
    <w:link w:val="SCCLsocPrefix"/>
    <w:rsid w:val="00DA5AF2"/>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2019-02-12T16:33:00Z</dcterms:created>
  <dcterms:modified xsi:type="dcterms:W3CDTF">2022-01-07T13:21:00Z</dcterms:modified>
</cp:coreProperties>
</file>