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8C" w:rsidRPr="00F81344" w:rsidRDefault="003D5A8C" w:rsidP="00F81344">
      <w:pPr>
        <w:pStyle w:val="Header"/>
        <w:jc w:val="center"/>
      </w:pPr>
      <w:r w:rsidRPr="00F81344">
        <w:ptab w:relativeTo="margin" w:alignment="center" w:leader="none"/>
      </w:r>
      <w:r w:rsidRPr="00F81344">
        <w:t xml:space="preserve"> </w:t>
      </w:r>
      <w:r w:rsidRPr="00F81344"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4.5pt" o:ole="">
            <v:imagedata r:id="rId6" o:title=""/>
          </v:shape>
          <o:OLEObject Type="Embed" ProgID="Presentations.Drawing.13" ShapeID="_x0000_i1025" DrawAspect="Content" ObjectID="_1703049294" r:id="rId7"/>
        </w:object>
      </w:r>
      <w:r w:rsidRPr="00F81344">
        <w:t xml:space="preserve"> </w:t>
      </w:r>
      <w:r w:rsidRPr="00F81344">
        <w:ptab w:relativeTo="margin" w:alignment="right" w:leader="none"/>
      </w:r>
    </w:p>
    <w:p w:rsidR="003D5A8C" w:rsidRPr="00F81344" w:rsidRDefault="003D5A8C" w:rsidP="003D5A8C">
      <w:pPr>
        <w:pStyle w:val="Header"/>
      </w:pPr>
    </w:p>
    <w:p w:rsidR="003D5A8C" w:rsidRPr="00F81344" w:rsidRDefault="003D5A8C" w:rsidP="003D5A8C">
      <w:pPr>
        <w:jc w:val="center"/>
        <w:rPr>
          <w:b/>
        </w:rPr>
      </w:pPr>
      <w:r w:rsidRPr="00F81344">
        <w:rPr>
          <w:b/>
        </w:rPr>
        <w:t>SUPREME COURT OF CANADA</w:t>
      </w:r>
    </w:p>
    <w:p w:rsidR="003D5A8C" w:rsidRPr="00F81344" w:rsidRDefault="003D5A8C" w:rsidP="003D5A8C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3D5A8C" w:rsidRPr="00F81344" w:rsidTr="00392F7B">
        <w:trPr>
          <w:cantSplit/>
        </w:trPr>
        <w:tc>
          <w:tcPr>
            <w:tcW w:w="5670" w:type="dxa"/>
          </w:tcPr>
          <w:p w:rsidR="003D5A8C" w:rsidRPr="00F81344" w:rsidRDefault="003D5A8C" w:rsidP="00392F7B">
            <w:pPr>
              <w:jc w:val="both"/>
              <w:rPr>
                <w:smallCaps/>
              </w:rPr>
            </w:pPr>
            <w:r w:rsidRPr="00F81344">
              <w:rPr>
                <w:b/>
                <w:smallCaps/>
              </w:rPr>
              <w:t>Citation:</w:t>
            </w:r>
            <w:r w:rsidRPr="00F81344">
              <w:t xml:space="preserve"> </w:t>
            </w:r>
            <w:r w:rsidRPr="00F81344">
              <w:rPr>
                <w:rStyle w:val="SCCAppellantForRunningHeadChar"/>
                <w:smallCaps w:val="0"/>
              </w:rPr>
              <w:t xml:space="preserve">R. </w:t>
            </w:r>
            <w:r w:rsidRPr="00F81344">
              <w:rPr>
                <w:rStyle w:val="SCCAppellantForRunningHeadChar"/>
                <w:i/>
                <w:smallCaps w:val="0"/>
              </w:rPr>
              <w:t>v</w:t>
            </w:r>
            <w:r w:rsidRPr="00F81344">
              <w:rPr>
                <w:rStyle w:val="SCCAppellantForRunningHeadChar"/>
                <w:smallCaps w:val="0"/>
              </w:rPr>
              <w:t>. George-Nurse</w:t>
            </w:r>
            <w:r w:rsidRPr="00F81344">
              <w:rPr>
                <w:rStyle w:val="SCCAppellantForRunningHeadChar"/>
              </w:rPr>
              <w:t>, 2019 SCC 12, [2019] 1 S.C.R. 570</w:t>
            </w:r>
          </w:p>
          <w:p w:rsidR="003D5A8C" w:rsidRPr="00F81344" w:rsidRDefault="003D5A8C" w:rsidP="00392F7B"/>
        </w:tc>
        <w:tc>
          <w:tcPr>
            <w:tcW w:w="3960" w:type="dxa"/>
          </w:tcPr>
          <w:p w:rsidR="003D5A8C" w:rsidRPr="00F81344" w:rsidRDefault="003D5A8C" w:rsidP="00392F7B">
            <w:r w:rsidRPr="00F81344">
              <w:rPr>
                <w:b/>
                <w:smallCaps/>
              </w:rPr>
              <w:t>Appeal Heard:</w:t>
            </w:r>
            <w:r w:rsidRPr="00F81344">
              <w:t xml:space="preserve"> February 15, 2019</w:t>
            </w:r>
          </w:p>
          <w:p w:rsidR="003D5A8C" w:rsidRPr="00F81344" w:rsidRDefault="003D5A8C" w:rsidP="00392F7B">
            <w:r w:rsidRPr="00F81344">
              <w:rPr>
                <w:b/>
                <w:smallCaps/>
              </w:rPr>
              <w:t>Judgment Rendered:</w:t>
            </w:r>
            <w:r w:rsidRPr="00F81344">
              <w:t xml:space="preserve"> February 15, 2019</w:t>
            </w:r>
          </w:p>
          <w:p w:rsidR="003D5A8C" w:rsidRPr="00F81344" w:rsidRDefault="003D5A8C" w:rsidP="00392F7B">
            <w:r w:rsidRPr="00F81344">
              <w:rPr>
                <w:b/>
                <w:smallCaps/>
              </w:rPr>
              <w:t>Docket:</w:t>
            </w:r>
            <w:r w:rsidRPr="00F81344">
              <w:t xml:space="preserve"> 38217</w:t>
            </w:r>
          </w:p>
        </w:tc>
      </w:tr>
    </w:tbl>
    <w:p w:rsidR="003D5A8C" w:rsidRPr="00F81344" w:rsidRDefault="003D5A8C" w:rsidP="003D5A8C"/>
    <w:p w:rsidR="003D5A8C" w:rsidRPr="00F81344" w:rsidRDefault="003D5A8C" w:rsidP="003D5A8C">
      <w:pPr>
        <w:pStyle w:val="SCCLsocPrefix"/>
      </w:pPr>
      <w:r w:rsidRPr="00F81344">
        <w:t>Between:</w:t>
      </w:r>
    </w:p>
    <w:p w:rsidR="003D5A8C" w:rsidRPr="00F81344" w:rsidRDefault="003D5A8C" w:rsidP="003D5A8C">
      <w:pPr>
        <w:jc w:val="center"/>
        <w:rPr>
          <w:b/>
        </w:rPr>
      </w:pPr>
      <w:r w:rsidRPr="00F81344">
        <w:rPr>
          <w:b/>
        </w:rPr>
        <w:t>Devante George-Nurse</w:t>
      </w:r>
    </w:p>
    <w:p w:rsidR="003D5A8C" w:rsidRPr="00F81344" w:rsidRDefault="003D5A8C" w:rsidP="003D5A8C">
      <w:pPr>
        <w:jc w:val="center"/>
      </w:pPr>
      <w:r w:rsidRPr="00F81344">
        <w:t>Appellant</w:t>
      </w:r>
    </w:p>
    <w:p w:rsidR="003D5A8C" w:rsidRPr="00F81344" w:rsidRDefault="003D5A8C" w:rsidP="003D5A8C">
      <w:pPr>
        <w:jc w:val="center"/>
      </w:pPr>
    </w:p>
    <w:p w:rsidR="003D5A8C" w:rsidRPr="00F81344" w:rsidRDefault="003D5A8C" w:rsidP="003D5A8C">
      <w:pPr>
        <w:pStyle w:val="SCCLsocVersus"/>
        <w:spacing w:after="0"/>
        <w:jc w:val="center"/>
        <w:rPr>
          <w:i w:val="0"/>
        </w:rPr>
      </w:pPr>
      <w:r w:rsidRPr="00F81344">
        <w:rPr>
          <w:i w:val="0"/>
        </w:rPr>
        <w:t>and</w:t>
      </w:r>
    </w:p>
    <w:p w:rsidR="003D5A8C" w:rsidRPr="00F81344" w:rsidRDefault="003D5A8C" w:rsidP="003D5A8C">
      <w:pPr>
        <w:jc w:val="center"/>
      </w:pPr>
    </w:p>
    <w:p w:rsidR="003D5A8C" w:rsidRPr="00F81344" w:rsidRDefault="003D5A8C" w:rsidP="003D5A8C">
      <w:pPr>
        <w:pStyle w:val="SCCLsocParty"/>
        <w:jc w:val="center"/>
      </w:pPr>
      <w:r w:rsidRPr="00F81344">
        <w:t>Her Majesty The Queen</w:t>
      </w:r>
    </w:p>
    <w:p w:rsidR="003D5A8C" w:rsidRPr="00F81344" w:rsidRDefault="003D5A8C" w:rsidP="003D5A8C">
      <w:pPr>
        <w:jc w:val="center"/>
      </w:pPr>
      <w:r w:rsidRPr="00F81344">
        <w:t>Respondent</w:t>
      </w:r>
    </w:p>
    <w:p w:rsidR="003D5A8C" w:rsidRPr="00F81344" w:rsidRDefault="003D5A8C" w:rsidP="003D5A8C">
      <w:pPr>
        <w:jc w:val="center"/>
      </w:pPr>
    </w:p>
    <w:p w:rsidR="003D5A8C" w:rsidRPr="00F81344" w:rsidRDefault="003D5A8C" w:rsidP="003D5A8C">
      <w:pPr>
        <w:jc w:val="center"/>
      </w:pPr>
      <w:r w:rsidRPr="00F81344">
        <w:t>- and -</w:t>
      </w:r>
    </w:p>
    <w:p w:rsidR="003D5A8C" w:rsidRPr="00F81344" w:rsidRDefault="003D5A8C" w:rsidP="003D5A8C">
      <w:pPr>
        <w:jc w:val="center"/>
      </w:pPr>
    </w:p>
    <w:p w:rsidR="003D5A8C" w:rsidRPr="00F81344" w:rsidRDefault="003D5A8C" w:rsidP="003D5A8C">
      <w:pPr>
        <w:jc w:val="center"/>
        <w:rPr>
          <w:b/>
        </w:rPr>
      </w:pPr>
      <w:r w:rsidRPr="00F81344">
        <w:rPr>
          <w:b/>
        </w:rPr>
        <w:t>Criminal Lawyers’ Association</w:t>
      </w:r>
    </w:p>
    <w:p w:rsidR="003D5A8C" w:rsidRPr="00F81344" w:rsidRDefault="003D5A8C" w:rsidP="003D5A8C">
      <w:pPr>
        <w:jc w:val="center"/>
      </w:pPr>
      <w:r w:rsidRPr="00F81344">
        <w:t>Intervener</w:t>
      </w:r>
    </w:p>
    <w:p w:rsidR="003D5A8C" w:rsidRPr="00F81344" w:rsidRDefault="003D5A8C" w:rsidP="003D5A8C"/>
    <w:p w:rsidR="003D5A8C" w:rsidRPr="00F81344" w:rsidRDefault="003D5A8C" w:rsidP="003D5A8C"/>
    <w:p w:rsidR="003D5A8C" w:rsidRPr="00F81344" w:rsidRDefault="003D5A8C" w:rsidP="003D5A8C">
      <w:pPr>
        <w:jc w:val="both"/>
      </w:pPr>
      <w:r w:rsidRPr="00F81344">
        <w:rPr>
          <w:b/>
          <w:smallCaps/>
        </w:rPr>
        <w:t xml:space="preserve">Coram: </w:t>
      </w:r>
      <w:r w:rsidRPr="00F81344">
        <w:t>Abella, Moldaver, Karakatsanis, Côté and Rowe JJ.</w:t>
      </w:r>
    </w:p>
    <w:p w:rsidR="003D5A8C" w:rsidRPr="00F81344" w:rsidRDefault="003D5A8C" w:rsidP="003D5A8C"/>
    <w:p w:rsidR="003D5A8C" w:rsidRPr="00F81344" w:rsidRDefault="003D5A8C" w:rsidP="003D5A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D5A8C" w:rsidRPr="00F81344" w:rsidTr="00392F7B">
        <w:trPr>
          <w:cantSplit/>
        </w:trPr>
        <w:tc>
          <w:tcPr>
            <w:tcW w:w="3618" w:type="dxa"/>
          </w:tcPr>
          <w:p w:rsidR="003D5A8C" w:rsidRPr="00F81344" w:rsidRDefault="003D5A8C" w:rsidP="00392F7B">
            <w:pPr>
              <w:rPr>
                <w:b/>
                <w:smallCaps/>
              </w:rPr>
            </w:pPr>
            <w:r w:rsidRPr="00F81344">
              <w:rPr>
                <w:b/>
                <w:smallCaps/>
              </w:rPr>
              <w:t>Reasons for Judgment:</w:t>
            </w:r>
          </w:p>
          <w:p w:rsidR="003D5A8C" w:rsidRPr="00F81344" w:rsidRDefault="003D5A8C" w:rsidP="00392F7B">
            <w:r w:rsidRPr="00F81344">
              <w:t>(paras. 1 to 4)</w:t>
            </w:r>
          </w:p>
        </w:tc>
        <w:tc>
          <w:tcPr>
            <w:tcW w:w="5958" w:type="dxa"/>
          </w:tcPr>
          <w:p w:rsidR="003D5A8C" w:rsidRPr="00F81344" w:rsidRDefault="003D5A8C" w:rsidP="00392F7B">
            <w:r w:rsidRPr="00F81344">
              <w:t>Moldaver J. (Abella, Karakatsanis, Côté, and Rowe JJ. concurring)</w:t>
            </w:r>
          </w:p>
        </w:tc>
      </w:tr>
    </w:tbl>
    <w:p w:rsidR="003D5A8C" w:rsidRPr="00F81344" w:rsidRDefault="003D5A8C" w:rsidP="003D5A8C">
      <w:pPr>
        <w:rPr>
          <w:lang w:val="en-US"/>
        </w:rPr>
      </w:pPr>
    </w:p>
    <w:p w:rsidR="003D5A8C" w:rsidRPr="00F81344" w:rsidRDefault="003D5A8C" w:rsidP="003D5A8C">
      <w:pPr>
        <w:rPr>
          <w:lang w:val="en-US"/>
        </w:rPr>
      </w:pPr>
    </w:p>
    <w:p w:rsidR="003D5A8C" w:rsidRPr="00F81344" w:rsidRDefault="003D5A8C" w:rsidP="003D5A8C">
      <w:pPr>
        <w:rPr>
          <w:lang w:val="en-US"/>
        </w:rPr>
      </w:pPr>
      <w:r w:rsidRPr="00F813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78F97" wp14:editId="55EC7BA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E0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3D5A8C" w:rsidRPr="00F81344" w:rsidRDefault="003D5A8C" w:rsidP="003D5A8C">
      <w:pPr>
        <w:rPr>
          <w:lang w:val="en-US"/>
        </w:rPr>
      </w:pPr>
    </w:p>
    <w:p w:rsidR="003D5A8C" w:rsidRPr="00F81344" w:rsidRDefault="003D5A8C" w:rsidP="004C63F6">
      <w:pPr>
        <w:spacing w:after="720"/>
        <w:jc w:val="both"/>
        <w:rPr>
          <w:lang w:val="en-US"/>
        </w:rPr>
      </w:pPr>
    </w:p>
    <w:p w:rsidR="008322BD" w:rsidRPr="00F81344" w:rsidRDefault="008F5384" w:rsidP="004C63F6">
      <w:pPr>
        <w:spacing w:after="720"/>
        <w:jc w:val="both"/>
      </w:pPr>
      <w:r w:rsidRPr="00F81344">
        <w:rPr>
          <w:rStyle w:val="SCCAppellantForRunningHeadChar"/>
          <w:smallCaps w:val="0"/>
        </w:rPr>
        <w:t>R</w:t>
      </w:r>
      <w:r w:rsidR="00B34A9E" w:rsidRPr="00F81344">
        <w:rPr>
          <w:rStyle w:val="SCCAppellantForRunningHeadChar"/>
          <w:smallCaps w:val="0"/>
        </w:rPr>
        <w:t>.</w:t>
      </w:r>
      <w:r w:rsidR="00DD4881" w:rsidRPr="00F81344">
        <w:rPr>
          <w:rStyle w:val="SCCAppellantForRunningHeadChar"/>
        </w:rPr>
        <w:t xml:space="preserve"> </w:t>
      </w:r>
      <w:r w:rsidR="00DD4881" w:rsidRPr="00F81344">
        <w:rPr>
          <w:i/>
        </w:rPr>
        <w:t>v.</w:t>
      </w:r>
      <w:r w:rsidR="00DD4881" w:rsidRPr="00F81344">
        <w:t xml:space="preserve"> </w:t>
      </w:r>
      <w:r w:rsidRPr="00F81344">
        <w:rPr>
          <w:rStyle w:val="SCCAppellantForRunningHeadChar"/>
          <w:smallCaps w:val="0"/>
        </w:rPr>
        <w:t>G</w:t>
      </w:r>
      <w:r w:rsidR="00DD4881" w:rsidRPr="00F81344">
        <w:rPr>
          <w:rStyle w:val="SCCAppellantForRunningHeadChar"/>
          <w:smallCaps w:val="0"/>
        </w:rPr>
        <w:t>eorge-</w:t>
      </w:r>
      <w:r w:rsidRPr="00F81344">
        <w:rPr>
          <w:rStyle w:val="SCCAppellantForRunningHeadChar"/>
          <w:smallCaps w:val="0"/>
        </w:rPr>
        <w:t>N</w:t>
      </w:r>
      <w:r w:rsidR="008F78E9" w:rsidRPr="00F81344">
        <w:rPr>
          <w:rStyle w:val="SCCAppellantForRunningHeadChar"/>
          <w:smallCaps w:val="0"/>
        </w:rPr>
        <w:t>urse</w:t>
      </w:r>
      <w:r w:rsidRPr="00F81344">
        <w:rPr>
          <w:rStyle w:val="SCCAppellantForRunningHeadChar"/>
          <w:smallCaps w:val="0"/>
        </w:rPr>
        <w:t xml:space="preserve">, </w:t>
      </w:r>
      <w:r w:rsidRPr="00F81344">
        <w:t>2019 SCC 12, [2019] 1 S.C.R. 570</w:t>
      </w:r>
      <w:r w:rsidR="00480C90" w:rsidRPr="00F81344">
        <w:t xml:space="preserve"> </w:t>
      </w:r>
    </w:p>
    <w:p w:rsidR="003B52F2" w:rsidRPr="00F81344" w:rsidRDefault="00FE5740">
      <w:pPr>
        <w:pStyle w:val="SCCLsocLastPartyInRole"/>
      </w:pPr>
      <w:r w:rsidRPr="00F81344">
        <w:t>Devante George-Nurse</w:t>
      </w:r>
      <w:r w:rsidRPr="00F81344">
        <w:rPr>
          <w:rStyle w:val="SCCLsocPartyRole"/>
        </w:rPr>
        <w:tab/>
        <w:t>Appellant</w:t>
      </w:r>
    </w:p>
    <w:p w:rsidR="003B52F2" w:rsidRPr="00F81344" w:rsidRDefault="00FE5740">
      <w:pPr>
        <w:pStyle w:val="SCCLsocVersus"/>
      </w:pPr>
      <w:r w:rsidRPr="00F81344">
        <w:t>v.</w:t>
      </w:r>
    </w:p>
    <w:p w:rsidR="003B52F2" w:rsidRPr="00F81344" w:rsidRDefault="00FE5740">
      <w:pPr>
        <w:pStyle w:val="SCCLsocLastPartyInRole"/>
      </w:pPr>
      <w:r w:rsidRPr="00F81344">
        <w:lastRenderedPageBreak/>
        <w:t>Her Majesty The Queen</w:t>
      </w:r>
      <w:r w:rsidRPr="00F81344">
        <w:rPr>
          <w:rStyle w:val="SCCLsocPartyRole"/>
        </w:rPr>
        <w:tab/>
        <w:t>Respondent</w:t>
      </w:r>
    </w:p>
    <w:p w:rsidR="003B52F2" w:rsidRPr="00F81344" w:rsidRDefault="00FE5740">
      <w:pPr>
        <w:pStyle w:val="SCCLsocOtherPartySeparator"/>
      </w:pPr>
      <w:r w:rsidRPr="00F81344">
        <w:t>and</w:t>
      </w:r>
    </w:p>
    <w:p w:rsidR="003B52F2" w:rsidRPr="00F81344" w:rsidRDefault="00FE5740">
      <w:pPr>
        <w:pStyle w:val="SCCLsocLastPartyInRole"/>
      </w:pPr>
      <w:r w:rsidRPr="00F81344">
        <w:t>Criminal Lawyers</w:t>
      </w:r>
      <w:r w:rsidR="00DD4881" w:rsidRPr="00F81344">
        <w:t>’</w:t>
      </w:r>
      <w:r w:rsidR="00C9275B" w:rsidRPr="00F81344">
        <w:t xml:space="preserve"> Association</w:t>
      </w:r>
      <w:r w:rsidRPr="00F81344">
        <w:rPr>
          <w:rStyle w:val="SCCLsocPartyRole"/>
        </w:rPr>
        <w:tab/>
        <w:t>Intervener</w:t>
      </w:r>
    </w:p>
    <w:p w:rsidR="00426659" w:rsidRPr="00F81344" w:rsidRDefault="00426659" w:rsidP="004C63F6">
      <w:pPr>
        <w:spacing w:after="720"/>
        <w:jc w:val="both"/>
        <w:rPr>
          <w:b/>
        </w:rPr>
      </w:pPr>
      <w:r w:rsidRPr="00F81344">
        <w:rPr>
          <w:b/>
        </w:rPr>
        <w:t xml:space="preserve">Indexed as: </w:t>
      </w:r>
      <w:r w:rsidR="009224C3" w:rsidRPr="00F81344">
        <w:rPr>
          <w:b/>
        </w:rPr>
        <w:t xml:space="preserve">R. </w:t>
      </w:r>
      <w:r w:rsidR="009224C3" w:rsidRPr="00F81344">
        <w:rPr>
          <w:b/>
          <w:i/>
        </w:rPr>
        <w:t xml:space="preserve">v. </w:t>
      </w:r>
      <w:r w:rsidRPr="00F81344">
        <w:rPr>
          <w:rStyle w:val="SCCAppellantForIndexChar"/>
        </w:rPr>
        <w:t>George-Nurse</w:t>
      </w:r>
      <w:r w:rsidRPr="00F81344">
        <w:rPr>
          <w:b/>
        </w:rPr>
        <w:t xml:space="preserve"> </w:t>
      </w:r>
    </w:p>
    <w:p w:rsidR="00426659" w:rsidRPr="00F81344" w:rsidRDefault="005402A8" w:rsidP="004C63F6">
      <w:pPr>
        <w:pStyle w:val="SCCSystemYear"/>
        <w:spacing w:after="720"/>
        <w:jc w:val="both"/>
        <w:rPr>
          <w:lang w:val="en-US"/>
        </w:rPr>
      </w:pPr>
      <w:r w:rsidRPr="00F81344">
        <w:t>2019 SCC 12</w:t>
      </w:r>
    </w:p>
    <w:p w:rsidR="008322BD" w:rsidRPr="00F81344" w:rsidRDefault="009B57B3" w:rsidP="004C63F6">
      <w:pPr>
        <w:spacing w:after="720"/>
        <w:jc w:val="both"/>
      </w:pPr>
      <w:r w:rsidRPr="00F81344">
        <w:t>File No.: 38217.</w:t>
      </w:r>
    </w:p>
    <w:p w:rsidR="008322BD" w:rsidRPr="00F81344" w:rsidRDefault="00925C57" w:rsidP="004C63F6">
      <w:pPr>
        <w:spacing w:after="720"/>
        <w:jc w:val="both"/>
      </w:pPr>
      <w:r w:rsidRPr="00F81344">
        <w:t xml:space="preserve">2019: </w:t>
      </w:r>
      <w:r w:rsidR="00AE4535" w:rsidRPr="00F81344">
        <w:t>February 15</w:t>
      </w:r>
      <w:r w:rsidR="009224C3" w:rsidRPr="00F81344">
        <w:t>.</w:t>
      </w:r>
    </w:p>
    <w:p w:rsidR="008322BD" w:rsidRPr="00F81344" w:rsidRDefault="00925C57" w:rsidP="004C63F6">
      <w:pPr>
        <w:spacing w:after="720"/>
        <w:jc w:val="both"/>
      </w:pPr>
      <w:r w:rsidRPr="00F81344">
        <w:t xml:space="preserve">Present: </w:t>
      </w:r>
      <w:r w:rsidR="009B57B3" w:rsidRPr="00F81344">
        <w:t>Abella, Moldaver, Karakatsanis, Côté and Rowe JJ.</w:t>
      </w:r>
    </w:p>
    <w:p w:rsidR="008322BD" w:rsidRPr="00F81344" w:rsidRDefault="00656313" w:rsidP="004C63F6">
      <w:pPr>
        <w:pStyle w:val="SCCLowerCourtNameLowercase"/>
        <w:spacing w:after="720" w:line="240" w:lineRule="auto"/>
      </w:pPr>
      <w:r w:rsidRPr="00F81344">
        <w:t>o</w:t>
      </w:r>
      <w:r w:rsidR="00170592" w:rsidRPr="00F81344">
        <w:t>n</w:t>
      </w:r>
      <w:r w:rsidR="00224FC0" w:rsidRPr="00F81344">
        <w:t xml:space="preserve"> </w:t>
      </w:r>
      <w:r w:rsidRPr="00F81344">
        <w:t>a</w:t>
      </w:r>
      <w:r w:rsidR="00170592" w:rsidRPr="00F81344">
        <w:t>ppeal</w:t>
      </w:r>
      <w:r w:rsidR="00224FC0" w:rsidRPr="00F81344">
        <w:t xml:space="preserve"> </w:t>
      </w:r>
      <w:r w:rsidR="00170592" w:rsidRPr="00F81344">
        <w:t>from</w:t>
      </w:r>
      <w:r w:rsidR="009567AA" w:rsidRPr="00F81344">
        <w:t xml:space="preserve"> the</w:t>
      </w:r>
      <w:r w:rsidR="00224FC0" w:rsidRPr="00F81344">
        <w:t xml:space="preserve"> </w:t>
      </w:r>
      <w:r w:rsidR="009B57B3" w:rsidRPr="00F81344">
        <w:t>court of appeal for ontario</w:t>
      </w:r>
    </w:p>
    <w:p w:rsidR="008322BD" w:rsidRPr="00F81344" w:rsidRDefault="009B57B3" w:rsidP="004C63F6">
      <w:pPr>
        <w:pStyle w:val="ParaNoNdepar-AltN"/>
      </w:pPr>
      <w:r w:rsidRPr="00F81344">
        <w:tab/>
      </w:r>
      <w:r w:rsidR="00C564C9" w:rsidRPr="00F81344">
        <w:rPr>
          <w:i/>
        </w:rPr>
        <w:t xml:space="preserve">Criminal law — </w:t>
      </w:r>
      <w:r w:rsidR="00846D1E" w:rsidRPr="00F81344">
        <w:rPr>
          <w:i/>
        </w:rPr>
        <w:t>Appeals — Unr</w:t>
      </w:r>
      <w:r w:rsidR="00C564C9" w:rsidRPr="00F81344">
        <w:rPr>
          <w:i/>
        </w:rPr>
        <w:t xml:space="preserve">easonable verdict — </w:t>
      </w:r>
      <w:r w:rsidR="00CB00D8" w:rsidRPr="00F81344">
        <w:rPr>
          <w:i/>
        </w:rPr>
        <w:t xml:space="preserve">Circumstantial evidence — </w:t>
      </w:r>
      <w:r w:rsidR="001A50A2" w:rsidRPr="00F81344">
        <w:rPr>
          <w:i/>
        </w:rPr>
        <w:t>Accused no</w:t>
      </w:r>
      <w:r w:rsidR="00846D1E" w:rsidRPr="00F81344">
        <w:rPr>
          <w:i/>
        </w:rPr>
        <w:t>t</w:t>
      </w:r>
      <w:r w:rsidR="001A50A2" w:rsidRPr="00F81344">
        <w:rPr>
          <w:i/>
        </w:rPr>
        <w:t xml:space="preserve"> testifying at trial </w:t>
      </w:r>
      <w:r w:rsidR="00846D1E" w:rsidRPr="00F81344">
        <w:rPr>
          <w:i/>
        </w:rPr>
        <w:t xml:space="preserve">and convicted by jury </w:t>
      </w:r>
      <w:r w:rsidR="00893FF7" w:rsidRPr="00F81344">
        <w:rPr>
          <w:i/>
        </w:rPr>
        <w:t>—</w:t>
      </w:r>
      <w:r w:rsidR="00CB00D8" w:rsidRPr="00F81344">
        <w:rPr>
          <w:i/>
        </w:rPr>
        <w:t xml:space="preserve"> </w:t>
      </w:r>
      <w:r w:rsidR="007532FB" w:rsidRPr="00F81344">
        <w:rPr>
          <w:i/>
        </w:rPr>
        <w:t xml:space="preserve">Evidence at trial establishing strong case to answer — </w:t>
      </w:r>
      <w:r w:rsidR="00205A07" w:rsidRPr="00F81344">
        <w:rPr>
          <w:i/>
        </w:rPr>
        <w:t>Court of Appeal entitled to consider a</w:t>
      </w:r>
      <w:r w:rsidR="007532FB" w:rsidRPr="00F81344">
        <w:rPr>
          <w:i/>
        </w:rPr>
        <w:t xml:space="preserve">ccused’s silence </w:t>
      </w:r>
      <w:r w:rsidR="00787467" w:rsidRPr="00F81344">
        <w:rPr>
          <w:i/>
        </w:rPr>
        <w:t xml:space="preserve">in assessing reasonableness of verdicts </w:t>
      </w:r>
      <w:r w:rsidR="00205A07" w:rsidRPr="00F81344">
        <w:rPr>
          <w:i/>
        </w:rPr>
        <w:t xml:space="preserve">as </w:t>
      </w:r>
      <w:r w:rsidR="007532FB" w:rsidRPr="00F81344">
        <w:rPr>
          <w:i/>
        </w:rPr>
        <w:t>indicative of absence of exculpatory explanation</w:t>
      </w:r>
      <w:r w:rsidR="00205A07" w:rsidRPr="00F81344">
        <w:rPr>
          <w:i/>
        </w:rPr>
        <w:t xml:space="preserve"> or innocent inference</w:t>
      </w:r>
      <w:r w:rsidR="008663AD" w:rsidRPr="00F81344">
        <w:rPr>
          <w:i/>
        </w:rPr>
        <w:t xml:space="preserve"> </w:t>
      </w:r>
      <w:r w:rsidR="007532FB" w:rsidRPr="00F81344">
        <w:rPr>
          <w:i/>
        </w:rPr>
        <w:t>—</w:t>
      </w:r>
      <w:r w:rsidR="001223B5" w:rsidRPr="00F81344">
        <w:rPr>
          <w:i/>
        </w:rPr>
        <w:t xml:space="preserve"> </w:t>
      </w:r>
      <w:r w:rsidR="00D46C1F" w:rsidRPr="00F81344">
        <w:rPr>
          <w:i/>
        </w:rPr>
        <w:t xml:space="preserve">Trial judge’s instructions to jury clear that </w:t>
      </w:r>
      <w:r w:rsidR="00867D1C" w:rsidRPr="00F81344">
        <w:rPr>
          <w:i/>
        </w:rPr>
        <w:t xml:space="preserve">accused’s </w:t>
      </w:r>
      <w:r w:rsidR="00D46C1F" w:rsidRPr="00F81344">
        <w:rPr>
          <w:i/>
        </w:rPr>
        <w:t>silence could not be used against him —</w:t>
      </w:r>
      <w:r w:rsidR="00846D1E" w:rsidRPr="00F81344">
        <w:rPr>
          <w:i/>
        </w:rPr>
        <w:t xml:space="preserve"> Convictions upheld</w:t>
      </w:r>
      <w:r w:rsidR="001223B5" w:rsidRPr="00F81344">
        <w:rPr>
          <w:i/>
        </w:rPr>
        <w:t>.</w:t>
      </w:r>
      <w:r w:rsidR="00C564C9" w:rsidRPr="00F81344">
        <w:rPr>
          <w:i/>
        </w:rPr>
        <w:t xml:space="preserve"> </w:t>
      </w:r>
    </w:p>
    <w:p w:rsidR="007E1C47" w:rsidRPr="00F81344" w:rsidRDefault="002E6705" w:rsidP="004C63F6">
      <w:pPr>
        <w:pStyle w:val="SCCNormalDoubleSpacing"/>
        <w:spacing w:after="720" w:line="240" w:lineRule="auto"/>
        <w:rPr>
          <w:b/>
          <w:lang w:val="en-US"/>
        </w:rPr>
      </w:pPr>
      <w:r w:rsidRPr="00F81344">
        <w:rPr>
          <w:b/>
        </w:rPr>
        <w:t>Cases Cited</w:t>
      </w:r>
    </w:p>
    <w:p w:rsidR="004E2C26" w:rsidRPr="00F81344" w:rsidRDefault="002E6705" w:rsidP="004C63F6">
      <w:pPr>
        <w:tabs>
          <w:tab w:val="left" w:pos="1170"/>
        </w:tabs>
        <w:spacing w:after="480" w:line="480" w:lineRule="auto"/>
        <w:jc w:val="both"/>
      </w:pPr>
      <w:r w:rsidRPr="00F81344">
        <w:lastRenderedPageBreak/>
        <w:tab/>
      </w:r>
      <w:r w:rsidRPr="00F81344">
        <w:rPr>
          <w:b/>
        </w:rPr>
        <w:t>Referred to:</w:t>
      </w:r>
      <w:r w:rsidR="00BD0E9E" w:rsidRPr="00F81344">
        <w:t xml:space="preserve"> </w:t>
      </w:r>
      <w:r w:rsidR="009224C3" w:rsidRPr="00F81344">
        <w:rPr>
          <w:i/>
        </w:rPr>
        <w:t>R. v. Noble</w:t>
      </w:r>
      <w:r w:rsidR="009224C3" w:rsidRPr="00F81344">
        <w:t>, [1997] 1 S.C.R. 874.</w:t>
      </w:r>
    </w:p>
    <w:p w:rsidR="00656313" w:rsidRPr="00F81344" w:rsidRDefault="009224C3" w:rsidP="00FC4EFB">
      <w:pPr>
        <w:pStyle w:val="SCCNormalDoubleSpacing"/>
      </w:pPr>
      <w:r w:rsidRPr="00F81344">
        <w:tab/>
      </w:r>
      <w:r w:rsidR="009B57B3" w:rsidRPr="00F81344">
        <w:t xml:space="preserve">APPEAL from a judgment of the </w:t>
      </w:r>
      <w:r w:rsidR="00C936A8" w:rsidRPr="00F81344">
        <w:t xml:space="preserve">Ontario </w:t>
      </w:r>
      <w:r w:rsidR="009B57B3" w:rsidRPr="00F81344">
        <w:t>Court of Appeal</w:t>
      </w:r>
      <w:r w:rsidRPr="00F81344">
        <w:t xml:space="preserve"> (MacPherson, </w:t>
      </w:r>
      <w:r w:rsidR="00C936A8" w:rsidRPr="00F81344">
        <w:t xml:space="preserve">Hourigan </w:t>
      </w:r>
      <w:r w:rsidRPr="00F81344">
        <w:t xml:space="preserve">and </w:t>
      </w:r>
      <w:r w:rsidR="00C936A8" w:rsidRPr="00F81344">
        <w:t xml:space="preserve">Miller </w:t>
      </w:r>
      <w:r w:rsidRPr="00F81344">
        <w:t>JJ.A.), 2018 ONCA 515, 362 C.C.C. (3d) 76, 47 C.R. (7th) 175, [2018] O.J. No. 3013 (QL), 2018 CarswellOnt</w:t>
      </w:r>
      <w:r w:rsidR="00C936A8" w:rsidRPr="00F81344">
        <w:t xml:space="preserve"> </w:t>
      </w:r>
      <w:r w:rsidRPr="00F81344">
        <w:t xml:space="preserve">8833 (WL Can.), </w:t>
      </w:r>
      <w:r w:rsidR="00FB362C" w:rsidRPr="00F81344">
        <w:t xml:space="preserve">affirming the convictions of the accused for </w:t>
      </w:r>
      <w:r w:rsidR="003064B1" w:rsidRPr="00F81344">
        <w:t xml:space="preserve">intentionally discharging a firearm while being reckless as to the </w:t>
      </w:r>
      <w:r w:rsidR="000C6A25" w:rsidRPr="00F81344">
        <w:t xml:space="preserve">life or </w:t>
      </w:r>
      <w:r w:rsidR="003064B1" w:rsidRPr="00F81344">
        <w:t xml:space="preserve">safety of another person and </w:t>
      </w:r>
      <w:r w:rsidR="00B05A31" w:rsidRPr="00F81344">
        <w:t>occupying a motor vehicle while knowing there was a firearm in the vehicle</w:t>
      </w:r>
      <w:r w:rsidR="003064B1" w:rsidRPr="00F81344">
        <w:t xml:space="preserve">. </w:t>
      </w:r>
      <w:r w:rsidR="00FB362C" w:rsidRPr="00F81344">
        <w:t>Appeal dismissed.</w:t>
      </w:r>
    </w:p>
    <w:p w:rsidR="00A06C65" w:rsidRPr="00F81344" w:rsidRDefault="00A06C65" w:rsidP="00FC4EFB">
      <w:pPr>
        <w:pStyle w:val="SCCNormalDoubleSpacing"/>
      </w:pPr>
    </w:p>
    <w:p w:rsidR="003B52F2" w:rsidRPr="00F81344" w:rsidRDefault="00FE5740">
      <w:pPr>
        <w:pStyle w:val="SCCNormalDoubleSpacing"/>
      </w:pPr>
      <w:r w:rsidRPr="00F81344">
        <w:rPr>
          <w:rStyle w:val="SCCCounselNameChar"/>
        </w:rPr>
        <w:tab/>
        <w:t>Brian Snell</w:t>
      </w:r>
      <w:r w:rsidRPr="00F81344">
        <w:rPr>
          <w:rStyle w:val="SCCCounselPartyRoleChar"/>
        </w:rPr>
        <w:t>, for the appellant.</w:t>
      </w:r>
    </w:p>
    <w:p w:rsidR="003B52F2" w:rsidRPr="00F81344" w:rsidRDefault="003B52F2">
      <w:pPr>
        <w:pStyle w:val="SCCNormalDoubleSpacing"/>
      </w:pPr>
    </w:p>
    <w:p w:rsidR="003B52F2" w:rsidRPr="00F81344" w:rsidRDefault="00FE5740">
      <w:pPr>
        <w:pStyle w:val="SCCNormalDoubleSpacing"/>
      </w:pPr>
      <w:r w:rsidRPr="00F81344">
        <w:rPr>
          <w:rStyle w:val="SCCCounselNameChar"/>
        </w:rPr>
        <w:tab/>
        <w:t>Leslie Paine</w:t>
      </w:r>
      <w:r w:rsidRPr="00F81344">
        <w:rPr>
          <w:rStyle w:val="SCCCounselPartyRoleChar"/>
        </w:rPr>
        <w:t>, for the respondent.</w:t>
      </w:r>
    </w:p>
    <w:p w:rsidR="003B52F2" w:rsidRPr="00F81344" w:rsidRDefault="003B52F2">
      <w:pPr>
        <w:pStyle w:val="SCCNormalDoubleSpacing"/>
      </w:pPr>
    </w:p>
    <w:p w:rsidR="003B52F2" w:rsidRPr="00F81344" w:rsidRDefault="00FE5740">
      <w:pPr>
        <w:pStyle w:val="SCCNormalDoubleSpacing"/>
      </w:pPr>
      <w:r w:rsidRPr="00F81344">
        <w:rPr>
          <w:rStyle w:val="SCCCounselNameChar"/>
        </w:rPr>
        <w:tab/>
        <w:t>Michael Dineen</w:t>
      </w:r>
      <w:r w:rsidRPr="00F81344">
        <w:rPr>
          <w:rStyle w:val="SCCCounselPartyRoleChar"/>
        </w:rPr>
        <w:t>, for the intervener.</w:t>
      </w:r>
    </w:p>
    <w:p w:rsidR="00C9275B" w:rsidRPr="00F81344" w:rsidRDefault="00C9275B">
      <w:pPr>
        <w:pStyle w:val="SCCNormalDoubleSpacing"/>
      </w:pPr>
    </w:p>
    <w:p w:rsidR="003B52F2" w:rsidRPr="00F81344" w:rsidRDefault="00FE349B">
      <w:pPr>
        <w:pStyle w:val="SCCNormalDoubleSpacing"/>
        <w:rPr>
          <w:lang w:val="en"/>
        </w:rPr>
      </w:pPr>
      <w:r w:rsidRPr="00F81344">
        <w:rPr>
          <w:lang w:val="en"/>
        </w:rPr>
        <w:tab/>
        <w:t>The judgment of the Court was delivered orally by</w:t>
      </w:r>
    </w:p>
    <w:p w:rsidR="00FE349B" w:rsidRPr="00F81344" w:rsidRDefault="00FE349B">
      <w:pPr>
        <w:pStyle w:val="SCCNormalDoubleSpacing"/>
        <w:rPr>
          <w:lang w:val="en-US"/>
        </w:rPr>
      </w:pPr>
    </w:p>
    <w:p w:rsidR="00FE349B" w:rsidRPr="00F81344" w:rsidRDefault="00FE349B" w:rsidP="00FE349B">
      <w:pPr>
        <w:pStyle w:val="SCCLawFirm"/>
        <w:rPr>
          <w:i w:val="0"/>
        </w:rPr>
      </w:pPr>
      <w:r w:rsidRPr="00F81344">
        <w:rPr>
          <w:i w:val="0"/>
          <w:smallCaps/>
        </w:rPr>
        <w:t>[</w:t>
      </w:r>
      <w:r w:rsidRPr="00F81344">
        <w:rPr>
          <w:i w:val="0"/>
          <w:iCs/>
          <w:smallCaps/>
        </w:rPr>
        <w:t>1</w:t>
      </w:r>
      <w:r w:rsidRPr="00F81344">
        <w:rPr>
          <w:i w:val="0"/>
          <w:smallCaps/>
        </w:rPr>
        <w:t>]</w:t>
      </w:r>
      <w:r w:rsidRPr="00F81344">
        <w:rPr>
          <w:smallCaps/>
        </w:rPr>
        <w:t xml:space="preserve"> </w:t>
      </w:r>
      <w:r w:rsidRPr="00F81344">
        <w:rPr>
          <w:smallCaps/>
        </w:rPr>
        <w:tab/>
      </w:r>
      <w:r w:rsidRPr="00F81344">
        <w:rPr>
          <w:i w:val="0"/>
          <w:smallCaps/>
        </w:rPr>
        <w:t>Moldaver J.</w:t>
      </w:r>
      <w:r w:rsidRPr="00F81344">
        <w:rPr>
          <w:i w:val="0"/>
        </w:rPr>
        <w:t xml:space="preserve"> — We agree with the majority of the Court of Appeal that the circumstantial evidence presented against the appellant established a strong case to answer. In the words of the majority, which we accept, this was the “paradigm of a case to meet, far removed from ‘no case to answer’”: para. 34.</w:t>
      </w:r>
    </w:p>
    <w:p w:rsidR="00FE349B" w:rsidRPr="00F81344" w:rsidRDefault="00FE349B" w:rsidP="00FE349B">
      <w:pPr>
        <w:pStyle w:val="SCCLawFirm"/>
        <w:rPr>
          <w:i w:val="0"/>
        </w:rPr>
      </w:pPr>
    </w:p>
    <w:p w:rsidR="00FE349B" w:rsidRPr="00F81344" w:rsidRDefault="00FE349B" w:rsidP="00FE349B">
      <w:pPr>
        <w:pStyle w:val="SCCLawFirm"/>
        <w:rPr>
          <w:i w:val="0"/>
        </w:rPr>
      </w:pPr>
      <w:r w:rsidRPr="00F81344">
        <w:rPr>
          <w:i w:val="0"/>
          <w:smallCaps/>
        </w:rPr>
        <w:t>[</w:t>
      </w:r>
      <w:r w:rsidRPr="00F81344">
        <w:rPr>
          <w:i w:val="0"/>
          <w:iCs/>
          <w:smallCaps/>
        </w:rPr>
        <w:t>2</w:t>
      </w:r>
      <w:r w:rsidRPr="00F81344">
        <w:rPr>
          <w:i w:val="0"/>
          <w:smallCaps/>
        </w:rPr>
        <w:t>]</w:t>
      </w:r>
      <w:r w:rsidRPr="00F81344">
        <w:rPr>
          <w:smallCaps/>
        </w:rPr>
        <w:t xml:space="preserve"> </w:t>
      </w:r>
      <w:r w:rsidRPr="00F81344">
        <w:rPr>
          <w:smallCaps/>
        </w:rPr>
        <w:tab/>
      </w:r>
      <w:r w:rsidRPr="00F81344">
        <w:rPr>
          <w:i w:val="0"/>
        </w:rPr>
        <w:t xml:space="preserve">That being so, it was open to the court on appeal to consider the appellant’s silence in assessing and ultimately rejecting his unreasonable verdict argument: see </w:t>
      </w:r>
      <w:r w:rsidRPr="00F81344">
        <w:t>R. v. Noble</w:t>
      </w:r>
      <w:r w:rsidRPr="00F81344">
        <w:rPr>
          <w:i w:val="0"/>
        </w:rPr>
        <w:t xml:space="preserve">, [1997] 1 S.C.R. 874, at para. 103. </w:t>
      </w:r>
    </w:p>
    <w:p w:rsidR="00FE349B" w:rsidRPr="00F81344" w:rsidRDefault="00FE349B" w:rsidP="00FE349B">
      <w:pPr>
        <w:pStyle w:val="SCCLawFirm"/>
        <w:rPr>
          <w:i w:val="0"/>
        </w:rPr>
      </w:pPr>
    </w:p>
    <w:p w:rsidR="00FE349B" w:rsidRPr="00F81344" w:rsidRDefault="00FE349B" w:rsidP="00FE349B">
      <w:pPr>
        <w:pStyle w:val="SCCLawFirm"/>
        <w:rPr>
          <w:i w:val="0"/>
        </w:rPr>
      </w:pPr>
      <w:r w:rsidRPr="00F81344">
        <w:rPr>
          <w:i w:val="0"/>
          <w:smallCaps/>
        </w:rPr>
        <w:t>[</w:t>
      </w:r>
      <w:r w:rsidRPr="00F81344">
        <w:rPr>
          <w:i w:val="0"/>
          <w:iCs/>
          <w:smallCaps/>
        </w:rPr>
        <w:t>3</w:t>
      </w:r>
      <w:r w:rsidRPr="00F81344">
        <w:rPr>
          <w:i w:val="0"/>
          <w:smallCaps/>
        </w:rPr>
        <w:t>]</w:t>
      </w:r>
      <w:r w:rsidRPr="00F81344">
        <w:rPr>
          <w:smallCaps/>
        </w:rPr>
        <w:t xml:space="preserve"> </w:t>
      </w:r>
      <w:r w:rsidRPr="00F81344">
        <w:rPr>
          <w:smallCaps/>
        </w:rPr>
        <w:tab/>
      </w:r>
      <w:r w:rsidRPr="00F81344">
        <w:rPr>
          <w:i w:val="0"/>
        </w:rPr>
        <w:t xml:space="preserve">In so concluding, we note that the trial judge made it clear to the jury, on numerous occasions, that it could not consider the appellant’s failure to testify as a makeweight for the Crown’s case. In this regard, we do not endorse paras. 32 and 36 of the majority’s reasons, to the extent they may be taken as suggesting otherwise. </w:t>
      </w:r>
    </w:p>
    <w:p w:rsidR="00FE349B" w:rsidRPr="00F81344" w:rsidRDefault="00FE349B" w:rsidP="00FE349B">
      <w:pPr>
        <w:pStyle w:val="SCCLawFirm"/>
        <w:rPr>
          <w:i w:val="0"/>
        </w:rPr>
      </w:pPr>
    </w:p>
    <w:p w:rsidR="003B52F2" w:rsidRPr="00F81344" w:rsidRDefault="00FE349B" w:rsidP="00FE349B">
      <w:pPr>
        <w:pStyle w:val="SCCLawFirm"/>
        <w:rPr>
          <w:i w:val="0"/>
        </w:rPr>
      </w:pPr>
      <w:r w:rsidRPr="00F81344">
        <w:rPr>
          <w:i w:val="0"/>
          <w:smallCaps/>
        </w:rPr>
        <w:t>[</w:t>
      </w:r>
      <w:r w:rsidRPr="00F81344">
        <w:rPr>
          <w:i w:val="0"/>
          <w:iCs/>
          <w:smallCaps/>
        </w:rPr>
        <w:t>4</w:t>
      </w:r>
      <w:r w:rsidRPr="00F81344">
        <w:rPr>
          <w:i w:val="0"/>
          <w:smallCaps/>
        </w:rPr>
        <w:t>]</w:t>
      </w:r>
      <w:r w:rsidRPr="00F81344">
        <w:rPr>
          <w:smallCaps/>
        </w:rPr>
        <w:t xml:space="preserve"> </w:t>
      </w:r>
      <w:r w:rsidRPr="00F81344">
        <w:rPr>
          <w:smallCaps/>
        </w:rPr>
        <w:tab/>
      </w:r>
      <w:r w:rsidRPr="00F81344">
        <w:rPr>
          <w:i w:val="0"/>
        </w:rPr>
        <w:t>In the result, we would dismiss the appeal.</w:t>
      </w:r>
    </w:p>
    <w:p w:rsidR="009224C3" w:rsidRPr="00F81344" w:rsidRDefault="009224C3" w:rsidP="009224C3">
      <w:pPr>
        <w:pStyle w:val="SCCNormalDoubleSpacing"/>
      </w:pPr>
    </w:p>
    <w:p w:rsidR="009B57B3" w:rsidRPr="00F81344" w:rsidRDefault="009224C3" w:rsidP="00FC4EFB">
      <w:pPr>
        <w:pStyle w:val="SCCNormalDoubleSpacing"/>
        <w:rPr>
          <w:i/>
        </w:rPr>
      </w:pPr>
      <w:r w:rsidRPr="00F81344">
        <w:tab/>
      </w:r>
      <w:r w:rsidRPr="00F81344">
        <w:rPr>
          <w:i/>
        </w:rPr>
        <w:t>Judgment accordingly.</w:t>
      </w:r>
    </w:p>
    <w:p w:rsidR="00A149DF" w:rsidRPr="00F81344" w:rsidRDefault="00A149DF" w:rsidP="00FC4EFB">
      <w:pPr>
        <w:pStyle w:val="SCCNormalDoubleSpacing"/>
      </w:pPr>
    </w:p>
    <w:p w:rsidR="003B52F2" w:rsidRPr="00F81344" w:rsidRDefault="009224C3">
      <w:pPr>
        <w:pStyle w:val="SCCLawFirm"/>
      </w:pPr>
      <w:r w:rsidRPr="00F81344">
        <w:tab/>
        <w:t>Solicitor</w:t>
      </w:r>
      <w:r w:rsidR="00FE5740" w:rsidRPr="00F81344">
        <w:t xml:space="preserve"> for the appellant: Brian Snell, Toronto.</w:t>
      </w:r>
    </w:p>
    <w:p w:rsidR="003B52F2" w:rsidRPr="00F81344" w:rsidRDefault="003B52F2">
      <w:pPr>
        <w:pStyle w:val="SCCLawFirm"/>
      </w:pPr>
    </w:p>
    <w:p w:rsidR="003B52F2" w:rsidRPr="00F81344" w:rsidRDefault="009224C3">
      <w:pPr>
        <w:pStyle w:val="SCCLawFirm"/>
      </w:pPr>
      <w:r w:rsidRPr="00F81344">
        <w:tab/>
        <w:t>Solicitor</w:t>
      </w:r>
      <w:r w:rsidR="00FE5740" w:rsidRPr="00F81344">
        <w:t xml:space="preserve"> for the respondent: Attorney General of Ontario, Toronto.</w:t>
      </w:r>
    </w:p>
    <w:p w:rsidR="003B52F2" w:rsidRPr="00F81344" w:rsidRDefault="003B52F2">
      <w:pPr>
        <w:pStyle w:val="SCCLawFirm"/>
      </w:pPr>
    </w:p>
    <w:p w:rsidR="009B57B3" w:rsidRPr="00FE349B" w:rsidRDefault="00FE349B" w:rsidP="00FE349B">
      <w:pPr>
        <w:pStyle w:val="SCCLawFirm"/>
      </w:pPr>
      <w:r w:rsidRPr="00F81344">
        <w:tab/>
        <w:t>Solicitor</w:t>
      </w:r>
      <w:r w:rsidR="00AE3A44" w:rsidRPr="00F81344">
        <w:t xml:space="preserve"> for the intervener</w:t>
      </w:r>
      <w:r w:rsidR="00FE5740" w:rsidRPr="00F81344">
        <w:t xml:space="preserve">: </w:t>
      </w:r>
      <w:r w:rsidRPr="00F81344">
        <w:t>Michael Dineen</w:t>
      </w:r>
      <w:r w:rsidR="00FE5740" w:rsidRPr="00F81344">
        <w:t>, Toronto.</w:t>
      </w:r>
      <w:bookmarkStart w:id="0" w:name="_GoBack"/>
      <w:bookmarkEnd w:id="0"/>
      <w:r w:rsidRPr="00FE349B">
        <w:t xml:space="preserve"> </w:t>
      </w:r>
    </w:p>
    <w:sectPr w:rsidR="009B57B3" w:rsidRPr="00FE349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C59B8"/>
    <w:rsid w:val="000C6A25"/>
    <w:rsid w:val="000C6AF0"/>
    <w:rsid w:val="00104F33"/>
    <w:rsid w:val="00111DE2"/>
    <w:rsid w:val="00116B38"/>
    <w:rsid w:val="001223B5"/>
    <w:rsid w:val="00123C6F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5CE1"/>
    <w:rsid w:val="00186351"/>
    <w:rsid w:val="00195D83"/>
    <w:rsid w:val="001A00C1"/>
    <w:rsid w:val="001A50A2"/>
    <w:rsid w:val="001B33E0"/>
    <w:rsid w:val="001B4573"/>
    <w:rsid w:val="001C779F"/>
    <w:rsid w:val="001D2AC1"/>
    <w:rsid w:val="001D4952"/>
    <w:rsid w:val="001D4E88"/>
    <w:rsid w:val="00205A07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64D83"/>
    <w:rsid w:val="00265E21"/>
    <w:rsid w:val="00270D93"/>
    <w:rsid w:val="002745CC"/>
    <w:rsid w:val="002B7924"/>
    <w:rsid w:val="002D28C3"/>
    <w:rsid w:val="002D39A4"/>
    <w:rsid w:val="002E6705"/>
    <w:rsid w:val="00301D08"/>
    <w:rsid w:val="0030329A"/>
    <w:rsid w:val="003064B1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B52F2"/>
    <w:rsid w:val="003C799C"/>
    <w:rsid w:val="003D0399"/>
    <w:rsid w:val="003D5A8C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C63F6"/>
    <w:rsid w:val="004E2C26"/>
    <w:rsid w:val="004F36FF"/>
    <w:rsid w:val="005125A8"/>
    <w:rsid w:val="00521AE8"/>
    <w:rsid w:val="00527180"/>
    <w:rsid w:val="005402A8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7104A"/>
    <w:rsid w:val="00684EEA"/>
    <w:rsid w:val="0069689B"/>
    <w:rsid w:val="006A1551"/>
    <w:rsid w:val="006B5FF5"/>
    <w:rsid w:val="006D0089"/>
    <w:rsid w:val="006F30AF"/>
    <w:rsid w:val="00701759"/>
    <w:rsid w:val="00705C15"/>
    <w:rsid w:val="0071600E"/>
    <w:rsid w:val="007208D1"/>
    <w:rsid w:val="00747288"/>
    <w:rsid w:val="00747DD3"/>
    <w:rsid w:val="007532FB"/>
    <w:rsid w:val="007549C8"/>
    <w:rsid w:val="00754A0B"/>
    <w:rsid w:val="00766D14"/>
    <w:rsid w:val="00767A0F"/>
    <w:rsid w:val="00787467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46D1E"/>
    <w:rsid w:val="00864CF8"/>
    <w:rsid w:val="008663AD"/>
    <w:rsid w:val="00867D1C"/>
    <w:rsid w:val="00872819"/>
    <w:rsid w:val="00874914"/>
    <w:rsid w:val="00891422"/>
    <w:rsid w:val="00892E1A"/>
    <w:rsid w:val="00893FF7"/>
    <w:rsid w:val="008A3F29"/>
    <w:rsid w:val="008B660A"/>
    <w:rsid w:val="008C01DA"/>
    <w:rsid w:val="008F5384"/>
    <w:rsid w:val="008F78E9"/>
    <w:rsid w:val="00911989"/>
    <w:rsid w:val="009179F9"/>
    <w:rsid w:val="009224C3"/>
    <w:rsid w:val="00925C57"/>
    <w:rsid w:val="00933E5E"/>
    <w:rsid w:val="00935218"/>
    <w:rsid w:val="009403F3"/>
    <w:rsid w:val="009555B7"/>
    <w:rsid w:val="009567AA"/>
    <w:rsid w:val="00960984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06C65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3A44"/>
    <w:rsid w:val="00AE4535"/>
    <w:rsid w:val="00AF03C5"/>
    <w:rsid w:val="00B000D8"/>
    <w:rsid w:val="00B00F75"/>
    <w:rsid w:val="00B05A31"/>
    <w:rsid w:val="00B145B6"/>
    <w:rsid w:val="00B279EB"/>
    <w:rsid w:val="00B34A9E"/>
    <w:rsid w:val="00B50C81"/>
    <w:rsid w:val="00B557F8"/>
    <w:rsid w:val="00B815FC"/>
    <w:rsid w:val="00B93FBC"/>
    <w:rsid w:val="00BA7DA0"/>
    <w:rsid w:val="00BB2672"/>
    <w:rsid w:val="00BB2EE4"/>
    <w:rsid w:val="00BC2108"/>
    <w:rsid w:val="00BD0E9E"/>
    <w:rsid w:val="00BD1BEC"/>
    <w:rsid w:val="00BD32FF"/>
    <w:rsid w:val="00BF0ADE"/>
    <w:rsid w:val="00C02092"/>
    <w:rsid w:val="00C24D91"/>
    <w:rsid w:val="00C53F14"/>
    <w:rsid w:val="00C564C9"/>
    <w:rsid w:val="00C600CF"/>
    <w:rsid w:val="00C6084F"/>
    <w:rsid w:val="00C62A66"/>
    <w:rsid w:val="00C71458"/>
    <w:rsid w:val="00C77613"/>
    <w:rsid w:val="00C828E7"/>
    <w:rsid w:val="00C86719"/>
    <w:rsid w:val="00C921DD"/>
    <w:rsid w:val="00C9275B"/>
    <w:rsid w:val="00C936A8"/>
    <w:rsid w:val="00CA6391"/>
    <w:rsid w:val="00CB00D8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46C1F"/>
    <w:rsid w:val="00D63A1C"/>
    <w:rsid w:val="00D7516F"/>
    <w:rsid w:val="00D8579F"/>
    <w:rsid w:val="00D95F8E"/>
    <w:rsid w:val="00DA0590"/>
    <w:rsid w:val="00DB7BEA"/>
    <w:rsid w:val="00DC1739"/>
    <w:rsid w:val="00DC1788"/>
    <w:rsid w:val="00DD4881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66FC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1344"/>
    <w:rsid w:val="00F846D9"/>
    <w:rsid w:val="00F84DF4"/>
    <w:rsid w:val="00F85C97"/>
    <w:rsid w:val="00FB362C"/>
    <w:rsid w:val="00FB37D2"/>
    <w:rsid w:val="00FC4EFB"/>
    <w:rsid w:val="00FD068D"/>
    <w:rsid w:val="00FD4F28"/>
    <w:rsid w:val="00FE349B"/>
    <w:rsid w:val="00FE5740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4C63F6"/>
    <w:pPr>
      <w:tabs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3D5A8C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3D5A8C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3D5A8C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3D5A8C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2019-02-21T19:53:00Z</dcterms:created>
  <dcterms:modified xsi:type="dcterms:W3CDTF">2022-01-07T13:28:00Z</dcterms:modified>
</cp:coreProperties>
</file>