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F44" w:rsidRPr="00A72F44" w:rsidRDefault="00A72F44" w:rsidP="00A72F44">
      <w:pPr>
        <w:tabs>
          <w:tab w:val="center" w:pos="4680"/>
          <w:tab w:val="right" w:pos="9360"/>
        </w:tabs>
        <w:rPr>
          <w:rFonts w:eastAsiaTheme="minorHAnsi" w:cstheme="minorBidi"/>
          <w:szCs w:val="24"/>
          <w:lang w:eastAsia="en-US"/>
        </w:rPr>
      </w:pPr>
      <w:r w:rsidRPr="00A72F44">
        <w:rPr>
          <w:rFonts w:eastAsiaTheme="minorHAnsi" w:cstheme="minorBidi"/>
          <w:szCs w:val="24"/>
          <w:lang w:eastAsia="en-US"/>
        </w:rPr>
        <w:ptab w:relativeTo="margin" w:alignment="center" w:leader="none"/>
      </w:r>
      <w:r w:rsidRPr="00A72F44">
        <w:rPr>
          <w:rFonts w:eastAsiaTheme="minorHAnsi" w:cstheme="minorBidi"/>
          <w:szCs w:val="24"/>
          <w:lang w:eastAsia="en-US"/>
        </w:rPr>
        <w:t xml:space="preserve"> </w:t>
      </w:r>
      <w:r w:rsidRPr="00A72F44">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4pt;height:64.5pt" o:ole="">
            <v:imagedata r:id="rId7" o:title=""/>
          </v:shape>
          <o:OLEObject Type="Embed" ProgID="Presentations.Drawing.13" ShapeID="_x0000_i1025" DrawAspect="Content" ObjectID="_1676267631" r:id="rId8"/>
        </w:object>
      </w:r>
      <w:r w:rsidRPr="00A72F44">
        <w:rPr>
          <w:rFonts w:eastAsiaTheme="minorHAnsi" w:cstheme="minorBidi"/>
          <w:szCs w:val="24"/>
          <w:lang w:eastAsia="en-US"/>
        </w:rPr>
        <w:t xml:space="preserve"> </w:t>
      </w:r>
      <w:r w:rsidRPr="00A72F44">
        <w:rPr>
          <w:rFonts w:eastAsiaTheme="minorHAnsi" w:cstheme="minorBidi"/>
          <w:szCs w:val="24"/>
          <w:lang w:eastAsia="en-US"/>
        </w:rPr>
        <w:ptab w:relativeTo="margin" w:alignment="right" w:leader="none"/>
      </w:r>
    </w:p>
    <w:p w:rsidR="00A72F44" w:rsidRPr="00A72F44" w:rsidRDefault="00A72F44" w:rsidP="00A72F44">
      <w:pPr>
        <w:tabs>
          <w:tab w:val="center" w:pos="4680"/>
          <w:tab w:val="right" w:pos="9360"/>
        </w:tabs>
        <w:rPr>
          <w:rFonts w:eastAsiaTheme="minorHAnsi" w:cstheme="minorBidi"/>
          <w:szCs w:val="24"/>
          <w:lang w:eastAsia="en-US"/>
        </w:rPr>
      </w:pPr>
    </w:p>
    <w:p w:rsidR="00A72F44" w:rsidRPr="00A72F44" w:rsidRDefault="00A72F44" w:rsidP="00A72F44">
      <w:pPr>
        <w:jc w:val="center"/>
        <w:rPr>
          <w:rFonts w:eastAsiaTheme="minorHAnsi" w:cstheme="minorBidi"/>
          <w:b/>
          <w:szCs w:val="24"/>
          <w:lang w:eastAsia="en-US"/>
        </w:rPr>
      </w:pPr>
      <w:r w:rsidRPr="00A72F44">
        <w:rPr>
          <w:rFonts w:eastAsiaTheme="minorHAnsi" w:cstheme="minorBidi"/>
          <w:b/>
          <w:szCs w:val="24"/>
          <w:lang w:eastAsia="en-US"/>
        </w:rPr>
        <w:t>SUPREME COURT OF CANADA</w:t>
      </w:r>
    </w:p>
    <w:tbl>
      <w:tblPr>
        <w:tblStyle w:val="TableGrid1"/>
        <w:tblW w:w="53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761"/>
        <w:gridCol w:w="1756"/>
        <w:gridCol w:w="3387"/>
      </w:tblGrid>
      <w:tr w:rsidR="00A72F44" w:rsidRPr="00A72F44" w:rsidTr="00FD0877">
        <w:tc>
          <w:tcPr>
            <w:tcW w:w="2112" w:type="pct"/>
            <w:tcMar>
              <w:top w:w="284" w:type="dxa"/>
            </w:tcMar>
          </w:tcPr>
          <w:p w:rsidR="00A72F44" w:rsidRPr="00A72F44" w:rsidRDefault="00A72F44" w:rsidP="00305954">
            <w:pPr>
              <w:spacing w:before="100" w:beforeAutospacing="1"/>
              <w:rPr>
                <w:rFonts w:eastAsia="Calibri"/>
              </w:rPr>
            </w:pPr>
            <w:r w:rsidRPr="00A72F44">
              <w:rPr>
                <w:b/>
                <w:smallCaps/>
              </w:rPr>
              <w:t>Citation:</w:t>
            </w:r>
            <w:r w:rsidRPr="00A72F44">
              <w:t xml:space="preserve"> R. </w:t>
            </w:r>
            <w:r w:rsidRPr="00A72F44">
              <w:rPr>
                <w:i/>
              </w:rPr>
              <w:t>v.</w:t>
            </w:r>
            <w:r w:rsidRPr="00A72F44">
              <w:t xml:space="preserve"> Thanabalasingham, 2019 SCC </w:t>
            </w:r>
            <w:r w:rsidR="00305954">
              <w:t>2</w:t>
            </w:r>
            <w:r w:rsidRPr="00A72F44">
              <w:t>1</w:t>
            </w:r>
            <w:bookmarkStart w:id="0" w:name="_GoBack"/>
            <w:bookmarkEnd w:id="0"/>
            <w:r w:rsidRPr="00A72F44">
              <w:t>, [2019] 2 R.C.S. 317</w:t>
            </w:r>
          </w:p>
        </w:tc>
        <w:tc>
          <w:tcPr>
            <w:tcW w:w="986" w:type="pct"/>
          </w:tcPr>
          <w:p w:rsidR="00A72F44" w:rsidRPr="00A72F44" w:rsidRDefault="00A72F44" w:rsidP="00A72F44">
            <w:pPr>
              <w:rPr>
                <w:b/>
                <w:smallCaps/>
              </w:rPr>
            </w:pPr>
          </w:p>
        </w:tc>
        <w:tc>
          <w:tcPr>
            <w:tcW w:w="1902" w:type="pct"/>
            <w:tcMar>
              <w:top w:w="284" w:type="dxa"/>
            </w:tcMar>
          </w:tcPr>
          <w:p w:rsidR="00A72F44" w:rsidRPr="00A72F44" w:rsidRDefault="00A72F44" w:rsidP="00A72F44">
            <w:r w:rsidRPr="00A72F44">
              <w:rPr>
                <w:b/>
                <w:smallCaps/>
              </w:rPr>
              <w:t xml:space="preserve">Appeal Heard: </w:t>
            </w:r>
            <w:r w:rsidR="00BB6C41">
              <w:t>April 17</w:t>
            </w:r>
            <w:r w:rsidRPr="00A72F44">
              <w:t>, 20</w:t>
            </w:r>
            <w:r w:rsidR="00BB6C41">
              <w:t>19</w:t>
            </w:r>
            <w:r w:rsidRPr="00A72F44">
              <w:t xml:space="preserve"> </w:t>
            </w:r>
          </w:p>
          <w:p w:rsidR="00A72F44" w:rsidRPr="00A72F44" w:rsidRDefault="00A72F44" w:rsidP="00A72F44">
            <w:r w:rsidRPr="00A72F44">
              <w:rPr>
                <w:b/>
                <w:smallCaps/>
              </w:rPr>
              <w:t>Judgment Rendered:</w:t>
            </w:r>
            <w:r w:rsidRPr="00A72F44">
              <w:t xml:space="preserve"> </w:t>
            </w:r>
            <w:r w:rsidR="00BB6C41">
              <w:t xml:space="preserve">April </w:t>
            </w:r>
            <w:r w:rsidRPr="00A72F44">
              <w:t>17, 20</w:t>
            </w:r>
            <w:r w:rsidR="001C3944">
              <w:t>19</w:t>
            </w:r>
          </w:p>
          <w:p w:rsidR="00A72F44" w:rsidRPr="00A72F44" w:rsidRDefault="00A72F44" w:rsidP="00A72F44">
            <w:r w:rsidRPr="00A72F44">
              <w:rPr>
                <w:b/>
                <w:smallCaps/>
              </w:rPr>
              <w:t>Docket:</w:t>
            </w:r>
            <w:r w:rsidRPr="00A72F44">
              <w:t xml:space="preserve"> 37984</w:t>
            </w:r>
          </w:p>
        </w:tc>
      </w:tr>
    </w:tbl>
    <w:p w:rsidR="00A72F44" w:rsidRPr="00A72F44" w:rsidRDefault="00A72F44" w:rsidP="00A72F44">
      <w:pPr>
        <w:rPr>
          <w:rFonts w:eastAsiaTheme="minorHAnsi" w:cstheme="minorBidi"/>
          <w:szCs w:val="24"/>
          <w:lang w:eastAsia="en-US"/>
        </w:rPr>
      </w:pPr>
    </w:p>
    <w:p w:rsidR="00A72F44" w:rsidRPr="00A72F44" w:rsidRDefault="00A72F44" w:rsidP="00A72F44">
      <w:pPr>
        <w:rPr>
          <w:rFonts w:eastAsiaTheme="minorHAnsi" w:cstheme="minorBidi"/>
          <w:b/>
          <w:smallCaps/>
          <w:szCs w:val="24"/>
          <w:lang w:eastAsia="en-US"/>
        </w:rPr>
      </w:pPr>
      <w:r w:rsidRPr="00A72F44">
        <w:rPr>
          <w:rFonts w:eastAsiaTheme="minorHAnsi" w:cstheme="minorBidi"/>
          <w:b/>
          <w:smallCaps/>
          <w:szCs w:val="24"/>
          <w:lang w:eastAsia="en-US"/>
        </w:rPr>
        <w:t>Between:</w:t>
      </w:r>
    </w:p>
    <w:p w:rsidR="00A72F44" w:rsidRPr="00A72F44" w:rsidRDefault="00A72F44" w:rsidP="00A72F44">
      <w:pPr>
        <w:jc w:val="center"/>
        <w:rPr>
          <w:rFonts w:eastAsiaTheme="minorHAnsi" w:cstheme="minorBidi"/>
          <w:b/>
          <w:szCs w:val="24"/>
          <w:lang w:eastAsia="en-US"/>
        </w:rPr>
      </w:pPr>
      <w:r w:rsidRPr="00A72F44">
        <w:rPr>
          <w:rFonts w:eastAsiaTheme="minorHAnsi" w:cstheme="minorBidi"/>
          <w:b/>
          <w:szCs w:val="24"/>
          <w:lang w:eastAsia="en-US"/>
        </w:rPr>
        <w:t>Her Majesty The Queen</w:t>
      </w:r>
    </w:p>
    <w:p w:rsidR="00A72F44" w:rsidRPr="00A72F44" w:rsidRDefault="00A72F44" w:rsidP="00A72F44">
      <w:pPr>
        <w:jc w:val="center"/>
        <w:rPr>
          <w:rFonts w:eastAsiaTheme="minorHAnsi" w:cstheme="minorBidi"/>
          <w:szCs w:val="24"/>
          <w:lang w:eastAsia="en-US"/>
        </w:rPr>
      </w:pPr>
      <w:r w:rsidRPr="00A72F44">
        <w:rPr>
          <w:rFonts w:eastAsiaTheme="minorHAnsi" w:cstheme="minorBidi"/>
          <w:szCs w:val="24"/>
          <w:lang w:eastAsia="en-US"/>
        </w:rPr>
        <w:t>Appellant</w:t>
      </w:r>
    </w:p>
    <w:p w:rsidR="00A72F44" w:rsidRPr="00A72F44" w:rsidRDefault="00A72F44" w:rsidP="00A72F44">
      <w:pPr>
        <w:jc w:val="center"/>
        <w:rPr>
          <w:rFonts w:eastAsiaTheme="minorHAnsi" w:cstheme="minorBidi"/>
          <w:szCs w:val="24"/>
          <w:lang w:eastAsia="en-US"/>
        </w:rPr>
      </w:pPr>
    </w:p>
    <w:p w:rsidR="00A72F44" w:rsidRPr="00A72F44" w:rsidRDefault="00A72F44" w:rsidP="00A72F44">
      <w:pPr>
        <w:jc w:val="center"/>
        <w:rPr>
          <w:rFonts w:eastAsiaTheme="minorHAnsi" w:cstheme="minorBidi"/>
          <w:szCs w:val="24"/>
          <w:lang w:eastAsia="en-US"/>
        </w:rPr>
      </w:pPr>
      <w:r w:rsidRPr="00A72F44">
        <w:rPr>
          <w:rFonts w:eastAsiaTheme="minorHAnsi" w:cstheme="minorBidi"/>
          <w:szCs w:val="24"/>
          <w:lang w:eastAsia="en-US"/>
        </w:rPr>
        <w:t>and</w:t>
      </w:r>
    </w:p>
    <w:p w:rsidR="00A72F44" w:rsidRPr="00A72F44" w:rsidRDefault="00A72F44" w:rsidP="00A72F44">
      <w:pPr>
        <w:rPr>
          <w:rFonts w:eastAsiaTheme="minorHAnsi" w:cstheme="minorBidi"/>
          <w:szCs w:val="24"/>
          <w:lang w:eastAsia="en-US"/>
        </w:rPr>
      </w:pPr>
    </w:p>
    <w:p w:rsidR="00A72F44" w:rsidRPr="00A72F44" w:rsidRDefault="00A72F44" w:rsidP="00A72F44">
      <w:pPr>
        <w:jc w:val="center"/>
        <w:rPr>
          <w:rFonts w:eastAsiaTheme="minorHAnsi" w:cstheme="minorBidi"/>
          <w:b/>
          <w:szCs w:val="24"/>
          <w:lang w:eastAsia="en-US"/>
        </w:rPr>
      </w:pPr>
      <w:r w:rsidRPr="00A72F44">
        <w:rPr>
          <w:rFonts w:eastAsiaTheme="minorHAnsi" w:cstheme="minorBidi"/>
          <w:b/>
          <w:szCs w:val="24"/>
          <w:lang w:eastAsia="en-US"/>
        </w:rPr>
        <w:t>Sivaloganathan Thanabalasingham</w:t>
      </w:r>
    </w:p>
    <w:p w:rsidR="00A72F44" w:rsidRPr="00A72F44" w:rsidRDefault="00A72F44" w:rsidP="00A72F44">
      <w:pPr>
        <w:jc w:val="center"/>
        <w:rPr>
          <w:rFonts w:eastAsiaTheme="minorHAnsi" w:cstheme="minorBidi"/>
          <w:szCs w:val="24"/>
          <w:lang w:eastAsia="en-US"/>
        </w:rPr>
      </w:pPr>
      <w:r w:rsidRPr="00A72F44">
        <w:rPr>
          <w:rFonts w:eastAsiaTheme="minorHAnsi" w:cstheme="minorBidi"/>
          <w:szCs w:val="24"/>
          <w:lang w:eastAsia="en-US"/>
        </w:rPr>
        <w:t>Respondent</w:t>
      </w:r>
    </w:p>
    <w:p w:rsidR="00A72F44" w:rsidRPr="00A72F44" w:rsidRDefault="00A72F44" w:rsidP="00A72F44">
      <w:pPr>
        <w:rPr>
          <w:rFonts w:eastAsiaTheme="minorHAnsi" w:cstheme="minorBidi"/>
          <w:szCs w:val="24"/>
          <w:lang w:eastAsia="en-US"/>
        </w:rPr>
      </w:pPr>
    </w:p>
    <w:p w:rsidR="00A72F44" w:rsidRPr="00A72F44" w:rsidRDefault="00A72F44" w:rsidP="00A72F44">
      <w:pPr>
        <w:rPr>
          <w:rFonts w:eastAsiaTheme="minorHAnsi" w:cstheme="minorBidi"/>
          <w:szCs w:val="24"/>
          <w:lang w:eastAsia="en-US"/>
        </w:rPr>
      </w:pPr>
    </w:p>
    <w:p w:rsidR="00A72F44" w:rsidRPr="00A72F44" w:rsidRDefault="00A72F44" w:rsidP="00A72F44">
      <w:pPr>
        <w:rPr>
          <w:rFonts w:eastAsiaTheme="minorHAnsi" w:cstheme="minorBidi"/>
          <w:szCs w:val="24"/>
          <w:lang w:eastAsia="en-US"/>
        </w:rPr>
      </w:pPr>
      <w:r w:rsidRPr="00A72F44">
        <w:rPr>
          <w:rFonts w:eastAsiaTheme="minorHAnsi" w:cstheme="minorBidi"/>
          <w:b/>
          <w:smallCaps/>
          <w:szCs w:val="24"/>
          <w:lang w:eastAsia="en-US"/>
        </w:rPr>
        <w:t>Coram:</w:t>
      </w:r>
      <w:r w:rsidRPr="00A72F44">
        <w:rPr>
          <w:rFonts w:eastAsiaTheme="minorHAnsi" w:cstheme="minorBidi"/>
          <w:szCs w:val="24"/>
          <w:lang w:eastAsia="en-US"/>
        </w:rPr>
        <w:t xml:space="preserve"> </w:t>
      </w:r>
      <w:r w:rsidR="00BB6C41" w:rsidRPr="00BB6C41">
        <w:rPr>
          <w:rFonts w:eastAsiaTheme="minorHAnsi" w:cstheme="minorBidi"/>
          <w:szCs w:val="24"/>
          <w:lang w:eastAsia="en-US"/>
        </w:rPr>
        <w:t>Wagner C.J. and Abella, Moldaver, Karakatsanis, Gascon, Côté, Brown, Rowe and Martin JJ</w:t>
      </w:r>
      <w:r w:rsidRPr="00A72F44">
        <w:rPr>
          <w:rFonts w:eastAsiaTheme="minorHAnsi" w:cstheme="minorBidi"/>
          <w:szCs w:val="24"/>
          <w:lang w:eastAsia="en-US"/>
        </w:rPr>
        <w:t>.</w:t>
      </w:r>
    </w:p>
    <w:p w:rsidR="00A72F44" w:rsidRPr="00A72F44" w:rsidRDefault="00A72F44" w:rsidP="00A72F44">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A72F44" w:rsidRPr="00A72F44" w:rsidTr="00FD0877">
        <w:trPr>
          <w:cantSplit/>
        </w:trPr>
        <w:tc>
          <w:tcPr>
            <w:tcW w:w="3618" w:type="dxa"/>
          </w:tcPr>
          <w:p w:rsidR="00A72F44" w:rsidRPr="00A72F44" w:rsidRDefault="00A72F44" w:rsidP="00A72F44">
            <w:pPr>
              <w:rPr>
                <w:b/>
                <w:smallCaps/>
              </w:rPr>
            </w:pPr>
            <w:r w:rsidRPr="00A72F44">
              <w:rPr>
                <w:b/>
                <w:smallCaps/>
              </w:rPr>
              <w:t>Reasons for Judgment:</w:t>
            </w:r>
          </w:p>
          <w:p w:rsidR="00A72F44" w:rsidRPr="00A72F44" w:rsidRDefault="00A72F44" w:rsidP="00A72F44">
            <w:r w:rsidRPr="00A72F44">
              <w:t xml:space="preserve">(paras. 1 to </w:t>
            </w:r>
            <w:r w:rsidR="00BB6C41">
              <w:t>6</w:t>
            </w:r>
            <w:r w:rsidRPr="00A72F44">
              <w:t>)</w:t>
            </w:r>
          </w:p>
        </w:tc>
        <w:tc>
          <w:tcPr>
            <w:tcW w:w="5958" w:type="dxa"/>
          </w:tcPr>
          <w:p w:rsidR="00A72F44" w:rsidRPr="00A72F44" w:rsidRDefault="00034903" w:rsidP="00A72F44">
            <w:r>
              <w:t>Wagner C.J. (</w:t>
            </w:r>
            <w:r w:rsidRPr="00BB6C41">
              <w:t>Abella, Moldaver, Karakatsanis, Gascon, Côté, Brown, Rowe and Martin JJ</w:t>
            </w:r>
            <w:r>
              <w:t>. concurring)</w:t>
            </w:r>
          </w:p>
        </w:tc>
      </w:tr>
    </w:tbl>
    <w:p w:rsidR="00A72F44" w:rsidRPr="00A72F44" w:rsidRDefault="00A72F44" w:rsidP="00A72F44">
      <w:pPr>
        <w:rPr>
          <w:rFonts w:eastAsiaTheme="minorHAnsi" w:cstheme="minorBidi"/>
          <w:szCs w:val="24"/>
          <w:lang w:eastAsia="en-US"/>
        </w:rPr>
      </w:pPr>
    </w:p>
    <w:p w:rsidR="00A72F44" w:rsidRPr="00A72F44" w:rsidRDefault="00A72F44" w:rsidP="00A72F44">
      <w:pPr>
        <w:rPr>
          <w:rFonts w:eastAsiaTheme="minorHAnsi" w:cstheme="minorBidi"/>
          <w:szCs w:val="24"/>
          <w:lang w:eastAsia="en-US"/>
        </w:rPr>
      </w:pPr>
      <w:r w:rsidRPr="00A72F44">
        <w:rPr>
          <w:rFonts w:eastAsiaTheme="minorHAnsi" w:cstheme="minorBidi"/>
          <w:noProof/>
          <w:szCs w:val="24"/>
          <w:lang w:val="en-US" w:eastAsia="en-US"/>
        </w:rPr>
        <mc:AlternateContent>
          <mc:Choice Requires="wps">
            <w:drawing>
              <wp:anchor distT="0" distB="0" distL="114300" distR="114300" simplePos="0" relativeHeight="251659264" behindDoc="0" locked="0" layoutInCell="1" allowOverlap="1" wp14:anchorId="7552FD3D" wp14:editId="0BCA050D">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7ADA9C"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A72F44" w:rsidRDefault="00A72F44" w:rsidP="00906796">
      <w:pPr>
        <w:spacing w:after="720"/>
        <w:jc w:val="both"/>
        <w:rPr>
          <w:rStyle w:val="SCCAppellantForIndexChar"/>
          <w:b w:val="0"/>
        </w:rPr>
      </w:pPr>
    </w:p>
    <w:p w:rsidR="008322BD" w:rsidRPr="00DF58BE" w:rsidRDefault="00DF58BE" w:rsidP="00906796">
      <w:pPr>
        <w:spacing w:after="720"/>
        <w:jc w:val="both"/>
        <w:rPr>
          <w:b/>
        </w:rPr>
      </w:pPr>
      <w:r w:rsidRPr="00DF58BE">
        <w:rPr>
          <w:rStyle w:val="SCCAppellantForIndexChar"/>
          <w:b w:val="0"/>
        </w:rPr>
        <w:t>R.</w:t>
      </w:r>
      <w:r w:rsidRPr="00DF58BE">
        <w:rPr>
          <w:b/>
        </w:rPr>
        <w:t xml:space="preserve"> </w:t>
      </w:r>
      <w:r w:rsidRPr="00DF58BE">
        <w:rPr>
          <w:i/>
        </w:rPr>
        <w:t>v.</w:t>
      </w:r>
      <w:r w:rsidRPr="00DF58BE">
        <w:rPr>
          <w:b/>
        </w:rPr>
        <w:t xml:space="preserve"> </w:t>
      </w:r>
      <w:r w:rsidRPr="00DF58BE">
        <w:rPr>
          <w:rStyle w:val="SCCRespondentForIndexChar"/>
          <w:b w:val="0"/>
        </w:rPr>
        <w:t>Thanabalasingham</w:t>
      </w:r>
      <w:r>
        <w:rPr>
          <w:rStyle w:val="SCCRespondentForIndexChar"/>
          <w:b w:val="0"/>
        </w:rPr>
        <w:t>, 2019 SCC 21, [2019] 2 S.C.R. 317</w:t>
      </w:r>
    </w:p>
    <w:p w:rsidR="00DD60AB" w:rsidRDefault="00FC6BA2">
      <w:pPr>
        <w:pStyle w:val="SCCLsocLastPartyInRole"/>
      </w:pPr>
      <w:r>
        <w:t>Her Majesty T</w:t>
      </w:r>
      <w:r w:rsidR="002B1781">
        <w:t>he Queen</w:t>
      </w:r>
      <w:r w:rsidR="002B1781">
        <w:rPr>
          <w:rStyle w:val="SCCLsocPartyRole"/>
        </w:rPr>
        <w:tab/>
      </w:r>
      <w:r>
        <w:rPr>
          <w:rStyle w:val="SCCLsocPartyRole"/>
        </w:rPr>
        <w:t>Appellant</w:t>
      </w:r>
    </w:p>
    <w:p w:rsidR="00DD60AB" w:rsidRDefault="002B1781">
      <w:pPr>
        <w:pStyle w:val="SCCLsocVersus"/>
      </w:pPr>
      <w:r>
        <w:t>v.</w:t>
      </w:r>
    </w:p>
    <w:p w:rsidR="00DD60AB" w:rsidRDefault="002B1781">
      <w:pPr>
        <w:pStyle w:val="SCCLsocLastPartyInRole"/>
      </w:pPr>
      <w:r>
        <w:t>Sivaloganathan Thanabalasingham</w:t>
      </w:r>
      <w:r>
        <w:rPr>
          <w:rStyle w:val="SCCLsocPartyRole"/>
        </w:rPr>
        <w:tab/>
      </w:r>
      <w:r w:rsidRPr="00FC6BA2">
        <w:rPr>
          <w:rStyle w:val="SCCLsocPartyRole"/>
        </w:rPr>
        <w:t>Respondent</w:t>
      </w:r>
    </w:p>
    <w:p w:rsidR="00426659" w:rsidRPr="00426659" w:rsidRDefault="00426659" w:rsidP="00375BFF">
      <w:pPr>
        <w:spacing w:after="720"/>
        <w:jc w:val="both"/>
        <w:rPr>
          <w:b/>
        </w:rPr>
      </w:pPr>
      <w:r w:rsidRPr="00426659">
        <w:rPr>
          <w:b/>
        </w:rPr>
        <w:t>Indexed as:</w:t>
      </w:r>
      <w:r>
        <w:rPr>
          <w:b/>
        </w:rPr>
        <w:t xml:space="preserve"> </w:t>
      </w:r>
      <w:r>
        <w:rPr>
          <w:rStyle w:val="SCCAppellantForIndexChar"/>
        </w:rPr>
        <w:t>R.</w:t>
      </w:r>
      <w:r w:rsidRPr="00426659">
        <w:rPr>
          <w:b/>
        </w:rPr>
        <w:t xml:space="preserve"> </w:t>
      </w:r>
      <w:r w:rsidRPr="00426659">
        <w:rPr>
          <w:b/>
          <w:i/>
        </w:rPr>
        <w:t>v.</w:t>
      </w:r>
      <w:r w:rsidRPr="00426659">
        <w:rPr>
          <w:b/>
        </w:rPr>
        <w:t xml:space="preserve"> </w:t>
      </w:r>
      <w:r>
        <w:rPr>
          <w:rStyle w:val="SCCRespondentForIndexChar"/>
        </w:rPr>
        <w:t>Thanabalasingham</w:t>
      </w:r>
    </w:p>
    <w:p w:rsidR="00426659" w:rsidRPr="00887F8D" w:rsidRDefault="00AE4535" w:rsidP="00887F8D">
      <w:pPr>
        <w:spacing w:after="720"/>
        <w:jc w:val="both"/>
        <w:rPr>
          <w:b/>
        </w:rPr>
      </w:pPr>
      <w:r w:rsidRPr="00887F8D">
        <w:rPr>
          <w:b/>
        </w:rPr>
        <w:lastRenderedPageBreak/>
        <w:t>2019</w:t>
      </w:r>
      <w:r w:rsidR="003D0399" w:rsidRPr="00887F8D">
        <w:rPr>
          <w:b/>
        </w:rPr>
        <w:t xml:space="preserve"> </w:t>
      </w:r>
      <w:r w:rsidR="00FC6BA2" w:rsidRPr="00887F8D">
        <w:rPr>
          <w:b/>
        </w:rPr>
        <w:t>SCC 21</w:t>
      </w:r>
    </w:p>
    <w:p w:rsidR="008322BD" w:rsidRDefault="009B57B3" w:rsidP="00F86F8C">
      <w:pPr>
        <w:spacing w:after="720"/>
        <w:jc w:val="both"/>
      </w:pPr>
      <w:r w:rsidRPr="001426A9">
        <w:t xml:space="preserve">File No.: </w:t>
      </w:r>
      <w:r>
        <w:t>37984</w:t>
      </w:r>
      <w:r w:rsidRPr="001426A9">
        <w:t>.</w:t>
      </w:r>
    </w:p>
    <w:p w:rsidR="00A149DF" w:rsidRDefault="00AE4535" w:rsidP="00F86F8C">
      <w:pPr>
        <w:spacing w:after="720"/>
        <w:jc w:val="both"/>
      </w:pPr>
      <w:r>
        <w:t>2019: April 17</w:t>
      </w:r>
      <w:r w:rsidR="00FC6BA2">
        <w:t>.</w:t>
      </w:r>
    </w:p>
    <w:p w:rsidR="00DD60AB" w:rsidRDefault="00F86F8C" w:rsidP="00F86F8C">
      <w:pPr>
        <w:spacing w:after="720"/>
        <w:jc w:val="both"/>
      </w:pPr>
      <w:r>
        <w:t xml:space="preserve">Present: </w:t>
      </w:r>
      <w:r w:rsidR="009B57B3">
        <w:t>Wagner C.J. and Abella, Moldaver, Karakatsanis, Gascon, Côté, Brown, Rowe and Martin JJ.</w:t>
      </w:r>
    </w:p>
    <w:p w:rsidR="00F42427" w:rsidRDefault="00656313" w:rsidP="00F42427">
      <w:pPr>
        <w:spacing w:after="720"/>
        <w:jc w:val="both"/>
        <w:rPr>
          <w:smallCaps/>
        </w:rPr>
      </w:pPr>
      <w:r w:rsidRPr="004E52BF">
        <w:rPr>
          <w:smallCaps/>
        </w:rPr>
        <w:t>o</w:t>
      </w:r>
      <w:r w:rsidR="00170592" w:rsidRPr="004E52BF">
        <w:rPr>
          <w:smallCaps/>
        </w:rPr>
        <w:t>n</w:t>
      </w:r>
      <w:r w:rsidR="00224FC0" w:rsidRPr="004E52BF">
        <w:rPr>
          <w:smallCaps/>
        </w:rPr>
        <w:t xml:space="preserve"> </w:t>
      </w:r>
      <w:r w:rsidRPr="004E52BF">
        <w:rPr>
          <w:smallCaps/>
        </w:rPr>
        <w:t>a</w:t>
      </w:r>
      <w:r w:rsidR="00170592" w:rsidRPr="004E52BF">
        <w:rPr>
          <w:smallCaps/>
        </w:rPr>
        <w:t>ppeal</w:t>
      </w:r>
      <w:r w:rsidR="00224FC0" w:rsidRPr="004E52BF">
        <w:rPr>
          <w:smallCaps/>
        </w:rPr>
        <w:t xml:space="preserve"> </w:t>
      </w:r>
      <w:r w:rsidR="00170592" w:rsidRPr="004E52BF">
        <w:rPr>
          <w:smallCaps/>
        </w:rPr>
        <w:t>from</w:t>
      </w:r>
      <w:r w:rsidR="009567AA" w:rsidRPr="004E52BF">
        <w:rPr>
          <w:smallCaps/>
        </w:rPr>
        <w:t xml:space="preserve"> the</w:t>
      </w:r>
      <w:r w:rsidR="00224FC0" w:rsidRPr="004E52BF">
        <w:rPr>
          <w:smallCaps/>
        </w:rPr>
        <w:t xml:space="preserve"> </w:t>
      </w:r>
      <w:r w:rsidR="009B57B3" w:rsidRPr="004E52BF">
        <w:rPr>
          <w:smallCaps/>
        </w:rPr>
        <w:t xml:space="preserve">court of appeal </w:t>
      </w:r>
      <w:r w:rsidR="00FC6BA2" w:rsidRPr="004E52BF">
        <w:rPr>
          <w:smallCaps/>
        </w:rPr>
        <w:t>for</w:t>
      </w:r>
      <w:r w:rsidR="009B57B3" w:rsidRPr="004E52BF">
        <w:rPr>
          <w:smallCaps/>
        </w:rPr>
        <w:t xml:space="preserve"> quebec </w:t>
      </w:r>
    </w:p>
    <w:p w:rsidR="008322BD" w:rsidRDefault="00F42427" w:rsidP="00D90205">
      <w:pPr>
        <w:pStyle w:val="SCCNormalDoubleSpacing"/>
        <w:spacing w:after="480"/>
        <w:rPr>
          <w:i/>
        </w:rPr>
      </w:pPr>
      <w:r>
        <w:rPr>
          <w:smallCaps/>
        </w:rPr>
        <w:tab/>
      </w:r>
      <w:r w:rsidR="00D90205" w:rsidRPr="00D90205">
        <w:rPr>
          <w:i/>
        </w:rPr>
        <w:t>Criminal law</w:t>
      </w:r>
      <w:r w:rsidR="00D90205">
        <w:rPr>
          <w:i/>
        </w:rPr>
        <w:t xml:space="preserve"> — Appeals — Mootness — </w:t>
      </w:r>
      <w:r w:rsidR="00784F1B">
        <w:rPr>
          <w:i/>
        </w:rPr>
        <w:t>Accused charged with second degree murder in death of wife — T</w:t>
      </w:r>
      <w:r w:rsidR="00980957">
        <w:rPr>
          <w:i/>
        </w:rPr>
        <w:t>rial judge</w:t>
      </w:r>
      <w:r w:rsidR="00313F8D">
        <w:rPr>
          <w:i/>
        </w:rPr>
        <w:t xml:space="preserve"> </w:t>
      </w:r>
      <w:r w:rsidR="00980957">
        <w:rPr>
          <w:i/>
        </w:rPr>
        <w:t xml:space="preserve">granting stay of proceedings </w:t>
      </w:r>
      <w:r w:rsidR="00D56320">
        <w:rPr>
          <w:i/>
        </w:rPr>
        <w:t xml:space="preserve">to accused </w:t>
      </w:r>
      <w:r w:rsidR="00980957">
        <w:rPr>
          <w:i/>
        </w:rPr>
        <w:t xml:space="preserve">for unreasonable delay in bringing case to trial — </w:t>
      </w:r>
      <w:r w:rsidR="00784F1B">
        <w:rPr>
          <w:i/>
        </w:rPr>
        <w:t xml:space="preserve">Crown appealing stay — </w:t>
      </w:r>
      <w:r w:rsidR="00191828">
        <w:rPr>
          <w:i/>
        </w:rPr>
        <w:t xml:space="preserve">Accused deported </w:t>
      </w:r>
      <w:r w:rsidR="00062578">
        <w:rPr>
          <w:i/>
        </w:rPr>
        <w:t xml:space="preserve">prior to appeal hearing </w:t>
      </w:r>
      <w:r w:rsidR="00191828">
        <w:rPr>
          <w:i/>
        </w:rPr>
        <w:t>to country with which Canada does not have extradition treaty</w:t>
      </w:r>
      <w:r w:rsidR="00062578">
        <w:rPr>
          <w:i/>
        </w:rPr>
        <w:t xml:space="preserve"> </w:t>
      </w:r>
      <w:r w:rsidR="00C765ED">
        <w:rPr>
          <w:i/>
        </w:rPr>
        <w:t xml:space="preserve">— </w:t>
      </w:r>
      <w:r w:rsidR="00C765ED" w:rsidRPr="00CE1843">
        <w:rPr>
          <w:i/>
        </w:rPr>
        <w:t>Court of Appeal</w:t>
      </w:r>
      <w:r w:rsidR="00313F8D" w:rsidRPr="00CE1843">
        <w:rPr>
          <w:i/>
        </w:rPr>
        <w:t xml:space="preserve"> </w:t>
      </w:r>
      <w:r w:rsidR="00784F1B">
        <w:rPr>
          <w:i/>
        </w:rPr>
        <w:t>declining to</w:t>
      </w:r>
      <w:r w:rsidR="00C765ED" w:rsidRPr="00CE1843">
        <w:rPr>
          <w:i/>
        </w:rPr>
        <w:t xml:space="preserve"> adjudicat</w:t>
      </w:r>
      <w:r w:rsidR="00784F1B">
        <w:rPr>
          <w:i/>
        </w:rPr>
        <w:t xml:space="preserve">e </w:t>
      </w:r>
      <w:r w:rsidR="00C765ED" w:rsidRPr="00CE1843">
        <w:rPr>
          <w:i/>
        </w:rPr>
        <w:t xml:space="preserve">appeal on merits </w:t>
      </w:r>
      <w:r w:rsidR="00CE1843" w:rsidRPr="00CE1843">
        <w:rPr>
          <w:i/>
        </w:rPr>
        <w:t xml:space="preserve">on ground of mootness </w:t>
      </w:r>
      <w:r w:rsidR="00191828" w:rsidRPr="00CE1843">
        <w:rPr>
          <w:i/>
        </w:rPr>
        <w:t xml:space="preserve">— Court of Appeal </w:t>
      </w:r>
      <w:r w:rsidR="00BB3F4D" w:rsidRPr="00CE1843">
        <w:rPr>
          <w:i/>
        </w:rPr>
        <w:t xml:space="preserve">erred in </w:t>
      </w:r>
      <w:r w:rsidR="00191828" w:rsidRPr="00CE1843">
        <w:rPr>
          <w:i/>
        </w:rPr>
        <w:t xml:space="preserve">dismissing appeal as being moot </w:t>
      </w:r>
      <w:r w:rsidR="00C765ED" w:rsidRPr="00CE1843">
        <w:rPr>
          <w:i/>
        </w:rPr>
        <w:t xml:space="preserve">because </w:t>
      </w:r>
      <w:r w:rsidR="00D56320" w:rsidRPr="00D56320">
        <w:rPr>
          <w:i/>
        </w:rPr>
        <w:t xml:space="preserve">underlying basis for criminal proceedings has not disappeared </w:t>
      </w:r>
      <w:r w:rsidR="00B94C3A">
        <w:rPr>
          <w:i/>
        </w:rPr>
        <w:t xml:space="preserve">and </w:t>
      </w:r>
      <w:r w:rsidR="00C765ED" w:rsidRPr="00CE1843">
        <w:rPr>
          <w:i/>
        </w:rPr>
        <w:t>live controversy remains</w:t>
      </w:r>
      <w:r w:rsidR="00C765ED">
        <w:rPr>
          <w:i/>
        </w:rPr>
        <w:t xml:space="preserve"> </w:t>
      </w:r>
      <w:r w:rsidR="00191828">
        <w:rPr>
          <w:i/>
        </w:rPr>
        <w:t xml:space="preserve">— </w:t>
      </w:r>
      <w:r>
        <w:rPr>
          <w:i/>
        </w:rPr>
        <w:t xml:space="preserve">Matter remitted to Court of Appeal for decision on merits. </w:t>
      </w:r>
    </w:p>
    <w:p w:rsidR="00A149DF" w:rsidRPr="00613969" w:rsidRDefault="002E6705" w:rsidP="00802E92">
      <w:pPr>
        <w:pStyle w:val="SCCNormalDoubleSpacing"/>
        <w:spacing w:after="720" w:line="240" w:lineRule="auto"/>
      </w:pPr>
      <w:r w:rsidRPr="00314E01">
        <w:rPr>
          <w:b/>
        </w:rPr>
        <w:t>Cases Cited</w:t>
      </w:r>
    </w:p>
    <w:p w:rsidR="00A149DF" w:rsidRDefault="002E6705" w:rsidP="00A32439">
      <w:pPr>
        <w:pStyle w:val="SCCNormalDoubleSpacing"/>
        <w:spacing w:after="480"/>
      </w:pPr>
      <w:r>
        <w:tab/>
      </w:r>
      <w:r w:rsidR="00352738" w:rsidRPr="00D56320">
        <w:rPr>
          <w:b/>
        </w:rPr>
        <w:t>Applied</w:t>
      </w:r>
      <w:r w:rsidRPr="00314E01">
        <w:rPr>
          <w:b/>
        </w:rPr>
        <w:t>:</w:t>
      </w:r>
      <w:r w:rsidR="00BD0E9E" w:rsidRPr="00BD0E9E">
        <w:t xml:space="preserve"> </w:t>
      </w:r>
      <w:r w:rsidR="00101868" w:rsidRPr="00574C8E">
        <w:rPr>
          <w:i/>
          <w:lang w:val="en-US"/>
        </w:rPr>
        <w:t>Borowski v. Canada (Attorney General)</w:t>
      </w:r>
      <w:r w:rsidR="00101868" w:rsidRPr="00574C8E">
        <w:rPr>
          <w:lang w:val="en-US"/>
        </w:rPr>
        <w:t>, [1989] 1 S.C.R. 342</w:t>
      </w:r>
      <w:r w:rsidR="00101868">
        <w:rPr>
          <w:lang w:val="en-US"/>
        </w:rPr>
        <w:t xml:space="preserve">; </w:t>
      </w:r>
      <w:r w:rsidR="00101868" w:rsidRPr="00574C8E">
        <w:rPr>
          <w:i/>
          <w:lang w:val="en-US"/>
        </w:rPr>
        <w:t>R. v. Smith</w:t>
      </w:r>
      <w:r w:rsidR="00101868" w:rsidRPr="00574C8E">
        <w:rPr>
          <w:lang w:val="en-US"/>
        </w:rPr>
        <w:t>, 2004 SCC 14, [2004] 1 S.C.R. 385</w:t>
      </w:r>
      <w:r w:rsidR="00101868">
        <w:rPr>
          <w:lang w:val="en-US"/>
        </w:rPr>
        <w:t>.</w:t>
      </w:r>
    </w:p>
    <w:p w:rsidR="00A26413" w:rsidRDefault="00FC6BA2" w:rsidP="00A32439">
      <w:pPr>
        <w:pStyle w:val="SCCNormalDoubleSpacing"/>
        <w:spacing w:after="480"/>
      </w:pPr>
      <w:r>
        <w:tab/>
      </w:r>
      <w:r w:rsidR="009B57B3" w:rsidRPr="001426A9">
        <w:t xml:space="preserve">APPEAL from a judgment of the </w:t>
      </w:r>
      <w:r w:rsidR="007928A9">
        <w:t xml:space="preserve">Quebec </w:t>
      </w:r>
      <w:r w:rsidR="009B57B3">
        <w:t xml:space="preserve">Court of Appeal </w:t>
      </w:r>
      <w:r>
        <w:t xml:space="preserve">(Duval Hesler </w:t>
      </w:r>
      <w:r w:rsidRPr="00544A2C">
        <w:t>C.J. and</w:t>
      </w:r>
      <w:r>
        <w:t xml:space="preserve"> Morissette, Hilton, Gagnon and Vauclair JJ.A.), 2018 QCCA 197, 403 C.R.R. </w:t>
      </w:r>
      <w:r>
        <w:lastRenderedPageBreak/>
        <w:t xml:space="preserve">(2d) 349, </w:t>
      </w:r>
      <w:r w:rsidR="004279BE">
        <w:rPr>
          <w:lang w:val="en-US"/>
        </w:rPr>
        <w:t xml:space="preserve">[2018] </w:t>
      </w:r>
      <w:r w:rsidR="004279BE">
        <w:t xml:space="preserve">AZ-51466552, </w:t>
      </w:r>
      <w:r>
        <w:t xml:space="preserve">[2018] Q.J. No. 784 (QL), 2018 CarswellQue 678 (WL </w:t>
      </w:r>
      <w:r w:rsidRPr="00D56320">
        <w:t xml:space="preserve">Can.), </w:t>
      </w:r>
      <w:r w:rsidR="00F42427" w:rsidRPr="00D56320">
        <w:t xml:space="preserve">dismissing </w:t>
      </w:r>
      <w:r w:rsidR="00277A95" w:rsidRPr="00D56320">
        <w:t xml:space="preserve">on ground of mootness </w:t>
      </w:r>
      <w:r w:rsidR="00F42427" w:rsidRPr="00D56320">
        <w:t xml:space="preserve">the appeal of </w:t>
      </w:r>
      <w:r w:rsidR="00BA4F62" w:rsidRPr="00D56320">
        <w:t>Bouch</w:t>
      </w:r>
      <w:r w:rsidR="007928A9" w:rsidRPr="00D56320">
        <w:t>e</w:t>
      </w:r>
      <w:r w:rsidR="00BA4F62" w:rsidRPr="00D56320">
        <w:t>r</w:t>
      </w:r>
      <w:r w:rsidR="007928A9" w:rsidRPr="00D56320">
        <w:t xml:space="preserve"> </w:t>
      </w:r>
      <w:r w:rsidR="00BA4F62" w:rsidRPr="00D56320">
        <w:t>J.</w:t>
      </w:r>
      <w:r w:rsidR="00F42427" w:rsidRPr="00D56320">
        <w:t>’</w:t>
      </w:r>
      <w:r w:rsidR="00E9701F" w:rsidRPr="00D56320">
        <w:t xml:space="preserve">s </w:t>
      </w:r>
      <w:r w:rsidR="00277A95" w:rsidRPr="00D56320">
        <w:t xml:space="preserve">decision to stay </w:t>
      </w:r>
      <w:r w:rsidR="00E9701F" w:rsidRPr="00D56320">
        <w:t>proceedings</w:t>
      </w:r>
      <w:r w:rsidR="00BA4F62" w:rsidRPr="00D56320">
        <w:t>,</w:t>
      </w:r>
      <w:r w:rsidR="00BA4F62">
        <w:t xml:space="preserve"> 2017 QCCS 127</w:t>
      </w:r>
      <w:r w:rsidR="00421DF0">
        <w:t>1</w:t>
      </w:r>
      <w:r w:rsidR="00BA4F62">
        <w:t xml:space="preserve">, </w:t>
      </w:r>
      <w:r w:rsidR="004279BE">
        <w:t xml:space="preserve">[2017] </w:t>
      </w:r>
      <w:r w:rsidR="004279BE" w:rsidRPr="00421DF0">
        <w:t>AZ</w:t>
      </w:r>
      <w:r w:rsidR="004279BE">
        <w:t>-</w:t>
      </w:r>
      <w:r w:rsidR="004279BE" w:rsidRPr="00421DF0">
        <w:t>51381182</w:t>
      </w:r>
      <w:r w:rsidR="004279BE">
        <w:t xml:space="preserve">, </w:t>
      </w:r>
      <w:r w:rsidR="00BA4F62">
        <w:t>[2017] Q.J. No. 3430 (QL), 2017 CarswellQue 2605 (WL Can.)</w:t>
      </w:r>
      <w:r w:rsidR="001D358E">
        <w:t>. Appeal allowed</w:t>
      </w:r>
      <w:r>
        <w:t>.</w:t>
      </w:r>
    </w:p>
    <w:p w:rsidR="00DD60AB" w:rsidRPr="00E631F3" w:rsidRDefault="002B1781" w:rsidP="00A32439">
      <w:pPr>
        <w:pStyle w:val="SCCNormalDoubleSpacing"/>
        <w:spacing w:after="480"/>
        <w:rPr>
          <w:lang w:val="en-US"/>
        </w:rPr>
      </w:pPr>
      <w:r>
        <w:rPr>
          <w:rStyle w:val="SCCCounselNameChar"/>
        </w:rPr>
        <w:tab/>
        <w:t>Christian Jarry</w:t>
      </w:r>
      <w:r>
        <w:rPr>
          <w:rStyle w:val="SCCCounselPartyRoleChar"/>
        </w:rPr>
        <w:t xml:space="preserve">, for the </w:t>
      </w:r>
      <w:r w:rsidR="004D2F03">
        <w:rPr>
          <w:rStyle w:val="SCCCounselPartyRoleChar"/>
        </w:rPr>
        <w:t>appellant</w:t>
      </w:r>
      <w:r>
        <w:rPr>
          <w:rStyle w:val="SCCCounselPartyRoleChar"/>
        </w:rPr>
        <w:t>.</w:t>
      </w:r>
    </w:p>
    <w:p w:rsidR="00DD60AB" w:rsidRDefault="004D2F03" w:rsidP="00326C59">
      <w:pPr>
        <w:pStyle w:val="SCCNormalDoubleSpacing"/>
        <w:spacing w:after="480"/>
      </w:pPr>
      <w:r>
        <w:tab/>
        <w:t>No one appeared for the respondent.</w:t>
      </w:r>
    </w:p>
    <w:p w:rsidR="002A275F" w:rsidRPr="004D2F03" w:rsidRDefault="002B1781" w:rsidP="007F751C">
      <w:pPr>
        <w:pStyle w:val="SCCNormalDoubleSpacing"/>
        <w:spacing w:after="480"/>
        <w:rPr>
          <w:lang w:val="fr-CA"/>
        </w:rPr>
      </w:pPr>
      <w:r>
        <w:rPr>
          <w:rStyle w:val="SCCCounselNameChar"/>
        </w:rPr>
        <w:tab/>
      </w:r>
      <w:r w:rsidRPr="00B26899">
        <w:rPr>
          <w:rStyle w:val="SCCCounselNameChar"/>
          <w:lang w:val="fr-CA"/>
        </w:rPr>
        <w:t>Louis Belleau</w:t>
      </w:r>
      <w:r w:rsidRPr="009B7050">
        <w:rPr>
          <w:rStyle w:val="SCCCounselNameChar"/>
          <w:i w:val="0"/>
          <w:lang w:val="fr-CA"/>
        </w:rPr>
        <w:t>,</w:t>
      </w:r>
      <w:r w:rsidRPr="00B26899">
        <w:rPr>
          <w:rStyle w:val="SCCCounselNameChar"/>
          <w:lang w:val="fr-CA"/>
        </w:rPr>
        <w:t xml:space="preserve"> </w:t>
      </w:r>
      <w:r w:rsidR="004D2F03" w:rsidRPr="00B26899">
        <w:rPr>
          <w:rStyle w:val="SCCCounselPartyRoleChar"/>
          <w:lang w:val="fr-CA"/>
        </w:rPr>
        <w:t xml:space="preserve">as </w:t>
      </w:r>
      <w:r w:rsidR="004D2F03" w:rsidRPr="004D2F03">
        <w:rPr>
          <w:rStyle w:val="SCCCounselPartyRoleChar"/>
          <w:i/>
          <w:lang w:val="fr-CA"/>
        </w:rPr>
        <w:t>amicus curiae</w:t>
      </w:r>
      <w:r w:rsidR="004D2F03" w:rsidRPr="004D2F03">
        <w:rPr>
          <w:rStyle w:val="SCCCounselPartyRoleChar"/>
          <w:lang w:val="fr-CA"/>
        </w:rPr>
        <w:t xml:space="preserve">, and </w:t>
      </w:r>
      <w:r w:rsidR="004D2F03" w:rsidRPr="004D2F03">
        <w:rPr>
          <w:rStyle w:val="SCCCounselPartyRoleChar"/>
          <w:i/>
          <w:lang w:val="fr-CA"/>
        </w:rPr>
        <w:t>Antoine Grondin-Couture.</w:t>
      </w:r>
    </w:p>
    <w:p w:rsidR="00A26413" w:rsidRDefault="00784F1B" w:rsidP="00784F1B">
      <w:pPr>
        <w:pStyle w:val="SCCNormalDoubleSpacing"/>
        <w:spacing w:after="480"/>
      </w:pPr>
      <w:r w:rsidRPr="00DF58BE">
        <w:rPr>
          <w:lang w:val="fr-CA"/>
        </w:rPr>
        <w:tab/>
      </w:r>
      <w:r>
        <w:t xml:space="preserve">The judgment of the Court was delivered orally by </w:t>
      </w:r>
    </w:p>
    <w:p w:rsidR="00544A2C" w:rsidRPr="00574C8E" w:rsidRDefault="00A26413" w:rsidP="007F751C">
      <w:pPr>
        <w:pStyle w:val="ParaNoNdepar-AltN"/>
        <w:numPr>
          <w:ilvl w:val="0"/>
          <w:numId w:val="0"/>
        </w:numPr>
        <w:spacing w:before="0"/>
        <w:rPr>
          <w:lang w:val="en-US"/>
        </w:rPr>
      </w:pPr>
      <w:r>
        <w:rPr>
          <w:smallCaps/>
        </w:rPr>
        <w:t>[1]</w:t>
      </w:r>
      <w:r>
        <w:rPr>
          <w:smallCaps/>
        </w:rPr>
        <w:tab/>
      </w:r>
      <w:r w:rsidRPr="00775797">
        <w:rPr>
          <w:smallCaps/>
          <w:lang w:val="en-US"/>
        </w:rPr>
        <w:t>The Chief Justice</w:t>
      </w:r>
      <w:r w:rsidRPr="00775797">
        <w:rPr>
          <w:lang w:val="en-US"/>
        </w:rPr>
        <w:t xml:space="preserve"> — </w:t>
      </w:r>
      <w:r w:rsidR="00544A2C" w:rsidRPr="00574C8E">
        <w:rPr>
          <w:lang w:val="en-US"/>
        </w:rPr>
        <w:t xml:space="preserve">The test to be applied in this case is a two-part test as stated in </w:t>
      </w:r>
      <w:r w:rsidR="00544A2C" w:rsidRPr="00574C8E">
        <w:rPr>
          <w:i/>
          <w:lang w:val="en-US"/>
        </w:rPr>
        <w:t>Borowski v. Canada (Attorney General)</w:t>
      </w:r>
      <w:r w:rsidR="00544A2C" w:rsidRPr="00574C8E">
        <w:rPr>
          <w:lang w:val="en-US"/>
        </w:rPr>
        <w:t xml:space="preserve">, [1989] 1 S.C.R. 342, and </w:t>
      </w:r>
      <w:r w:rsidR="00544A2C" w:rsidRPr="00574C8E">
        <w:rPr>
          <w:i/>
          <w:lang w:val="en-US"/>
        </w:rPr>
        <w:t>R. v. Smith</w:t>
      </w:r>
      <w:r w:rsidR="00544A2C" w:rsidRPr="00574C8E">
        <w:rPr>
          <w:lang w:val="en-US"/>
        </w:rPr>
        <w:t xml:space="preserve">, 2004 SCC 14, [2004] 1 S.C.R. 385. </w:t>
      </w:r>
    </w:p>
    <w:p w:rsidR="00544A2C" w:rsidRPr="00574C8E" w:rsidRDefault="00544A2C" w:rsidP="00E631F3">
      <w:pPr>
        <w:pStyle w:val="ParaNoNdepar-AltN"/>
        <w:numPr>
          <w:ilvl w:val="0"/>
          <w:numId w:val="0"/>
        </w:numPr>
        <w:spacing w:before="0"/>
        <w:rPr>
          <w:lang w:val="en-US"/>
        </w:rPr>
      </w:pPr>
      <w:r>
        <w:rPr>
          <w:lang w:val="en-US"/>
        </w:rPr>
        <w:t>[2]</w:t>
      </w:r>
      <w:r>
        <w:rPr>
          <w:lang w:val="en-US"/>
        </w:rPr>
        <w:tab/>
      </w:r>
      <w:r w:rsidRPr="00574C8E">
        <w:rPr>
          <w:lang w:val="en-US"/>
        </w:rPr>
        <w:t xml:space="preserve">The test requires the court to first determine whether the case is moot. If the matter is moot, the court may nevertheless choose to exercise its discretion to hear the case on the merits based on the factors set out in </w:t>
      </w:r>
      <w:r w:rsidRPr="00574C8E">
        <w:rPr>
          <w:i/>
          <w:lang w:val="en-US"/>
        </w:rPr>
        <w:t xml:space="preserve">Borowski </w:t>
      </w:r>
      <w:r w:rsidRPr="00574C8E">
        <w:rPr>
          <w:lang w:val="en-US"/>
        </w:rPr>
        <w:t xml:space="preserve">and </w:t>
      </w:r>
      <w:r w:rsidRPr="00574C8E">
        <w:rPr>
          <w:i/>
          <w:lang w:val="en-US"/>
        </w:rPr>
        <w:t>Smith</w:t>
      </w:r>
      <w:r w:rsidRPr="00574C8E">
        <w:rPr>
          <w:lang w:val="en-US"/>
        </w:rPr>
        <w:t xml:space="preserve">. </w:t>
      </w:r>
    </w:p>
    <w:p w:rsidR="00544A2C" w:rsidRPr="00574C8E" w:rsidRDefault="00544A2C" w:rsidP="00E631F3">
      <w:pPr>
        <w:pStyle w:val="ParaNoNdepar-AltN"/>
        <w:numPr>
          <w:ilvl w:val="0"/>
          <w:numId w:val="0"/>
        </w:numPr>
        <w:spacing w:before="0"/>
        <w:rPr>
          <w:lang w:val="en-US"/>
        </w:rPr>
      </w:pPr>
      <w:r>
        <w:rPr>
          <w:lang w:val="en-US"/>
        </w:rPr>
        <w:t>[3]</w:t>
      </w:r>
      <w:r>
        <w:rPr>
          <w:lang w:val="en-US"/>
        </w:rPr>
        <w:tab/>
      </w:r>
      <w:r w:rsidRPr="00574C8E">
        <w:rPr>
          <w:lang w:val="en-US"/>
        </w:rPr>
        <w:t>In this case, the majority of the Court of Appeal erred at the first stage of the test because the case is clearly not moot. The mere fact that an individual has been deported, even if he has been deported to a country with which Canada does not have an extradition treaty, does not render a case moot.</w:t>
      </w:r>
    </w:p>
    <w:p w:rsidR="00544A2C" w:rsidRPr="00574C8E" w:rsidRDefault="00544A2C" w:rsidP="00E631F3">
      <w:pPr>
        <w:pStyle w:val="ParaNoNdepar-AltN"/>
        <w:numPr>
          <w:ilvl w:val="0"/>
          <w:numId w:val="0"/>
        </w:numPr>
        <w:spacing w:before="0"/>
        <w:rPr>
          <w:lang w:val="en-US"/>
        </w:rPr>
      </w:pPr>
      <w:r>
        <w:rPr>
          <w:lang w:val="en-US"/>
        </w:rPr>
        <w:lastRenderedPageBreak/>
        <w:t>[4]</w:t>
      </w:r>
      <w:r>
        <w:rPr>
          <w:lang w:val="en-US"/>
        </w:rPr>
        <w:tab/>
      </w:r>
      <w:r w:rsidRPr="00574C8E">
        <w:rPr>
          <w:lang w:val="en-US"/>
        </w:rPr>
        <w:t xml:space="preserve">The underlying basis for the criminal proceedings has not disappeared and there remains a live controversy even if the accused’s return to Canada is unlikely. </w:t>
      </w:r>
    </w:p>
    <w:p w:rsidR="00544A2C" w:rsidRPr="00574C8E" w:rsidRDefault="00544A2C" w:rsidP="00E631F3">
      <w:pPr>
        <w:pStyle w:val="ParaNoNdepar-AltN"/>
        <w:numPr>
          <w:ilvl w:val="0"/>
          <w:numId w:val="0"/>
        </w:numPr>
        <w:spacing w:before="0"/>
        <w:rPr>
          <w:lang w:val="en-US"/>
        </w:rPr>
      </w:pPr>
      <w:r>
        <w:rPr>
          <w:lang w:val="en-US"/>
        </w:rPr>
        <w:t>[5]</w:t>
      </w:r>
      <w:r>
        <w:rPr>
          <w:lang w:val="en-US"/>
        </w:rPr>
        <w:tab/>
      </w:r>
      <w:r w:rsidRPr="00574C8E">
        <w:rPr>
          <w:lang w:val="en-US"/>
        </w:rPr>
        <w:t xml:space="preserve">Justice Abella, concurring on the result, is of the view that the appeal is moot, but based on the factors set out in para. 50 of </w:t>
      </w:r>
      <w:r w:rsidRPr="00574C8E">
        <w:rPr>
          <w:i/>
          <w:lang w:val="en-US"/>
        </w:rPr>
        <w:t>Smith</w:t>
      </w:r>
      <w:r w:rsidRPr="00574C8E">
        <w:rPr>
          <w:lang w:val="en-US"/>
        </w:rPr>
        <w:t xml:space="preserve">, thinks that the Court of Appeal should have exercised its discretion to decide the merits having heard the full argument over two days. </w:t>
      </w:r>
    </w:p>
    <w:p w:rsidR="00A26413" w:rsidRPr="00775797" w:rsidRDefault="00E631F3" w:rsidP="00E631F3">
      <w:pPr>
        <w:pStyle w:val="ParaNoNdepar-AltN"/>
        <w:numPr>
          <w:ilvl w:val="0"/>
          <w:numId w:val="0"/>
        </w:numPr>
        <w:spacing w:before="0"/>
        <w:rPr>
          <w:lang w:val="en-US"/>
        </w:rPr>
      </w:pPr>
      <w:r>
        <w:rPr>
          <w:lang w:val="en-US"/>
        </w:rPr>
        <w:t>[6]</w:t>
      </w:r>
      <w:r>
        <w:rPr>
          <w:lang w:val="en-US"/>
        </w:rPr>
        <w:tab/>
      </w:r>
      <w:r w:rsidR="00544A2C" w:rsidRPr="00574C8E">
        <w:rPr>
          <w:lang w:val="en-US"/>
        </w:rPr>
        <w:t>We would all therefore allow the appeal and remit the matter to the Quebec Court of Appeal for decision on the merits.</w:t>
      </w:r>
    </w:p>
    <w:p w:rsidR="00A149DF" w:rsidRPr="001426A9" w:rsidRDefault="009B57B3" w:rsidP="00E631F3">
      <w:pPr>
        <w:pStyle w:val="SCCNormalDoubleSpacing"/>
        <w:spacing w:after="480"/>
      </w:pPr>
      <w:r w:rsidRPr="00A26413">
        <w:tab/>
      </w:r>
      <w:r w:rsidR="002B1781">
        <w:rPr>
          <w:i/>
        </w:rPr>
        <w:t>Judgment accordingly.</w:t>
      </w:r>
    </w:p>
    <w:p w:rsidR="009B57B3" w:rsidRPr="00A26413" w:rsidRDefault="002B1781" w:rsidP="00A26413">
      <w:pPr>
        <w:pStyle w:val="SCCLawFirm"/>
      </w:pPr>
      <w:r>
        <w:tab/>
      </w:r>
      <w:r w:rsidR="00454851">
        <w:t xml:space="preserve">Solicitor </w:t>
      </w:r>
      <w:r w:rsidRPr="004D2F03">
        <w:t xml:space="preserve">for the </w:t>
      </w:r>
      <w:r w:rsidR="00454851">
        <w:t>appellant</w:t>
      </w:r>
      <w:r w:rsidR="00E631F3">
        <w:t xml:space="preserve">: </w:t>
      </w:r>
      <w:r w:rsidR="004D2F03" w:rsidRPr="00596F5C">
        <w:t>Director of Criminal and Penal Prosecutions,</w:t>
      </w:r>
      <w:r w:rsidRPr="004D2F03">
        <w:t xml:space="preserve"> Montréal.</w:t>
      </w:r>
      <w:r w:rsidR="00A26413" w:rsidRPr="00A26413">
        <w:t xml:space="preserve"> </w:t>
      </w:r>
    </w:p>
    <w:sectPr w:rsidR="009B57B3" w:rsidRPr="00A26413"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625" w:rsidRDefault="002D7625">
      <w:r>
        <w:separator/>
      </w:r>
    </w:p>
  </w:endnote>
  <w:endnote w:type="continuationSeparator" w:id="0">
    <w:p w:rsidR="002D7625" w:rsidRDefault="002D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625" w:rsidRDefault="002D7625">
      <w:r>
        <w:separator/>
      </w:r>
    </w:p>
  </w:footnote>
  <w:footnote w:type="continuationSeparator" w:id="0">
    <w:p w:rsidR="002D7625" w:rsidRDefault="002D7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C3C95"/>
    <w:multiLevelType w:val="multilevel"/>
    <w:tmpl w:val="B7FA777C"/>
    <w:lvl w:ilvl="0">
      <w:start w:val="1"/>
      <w:numFmt w:val="decimal"/>
      <w:pStyle w:val="ParaNoNdepar-Alt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19431D8"/>
    <w:multiLevelType w:val="hybridMultilevel"/>
    <w:tmpl w:val="11AE816A"/>
    <w:lvl w:ilvl="0" w:tplc="8CFE69B8">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removePersonalInformation/>
  <w:removeDateAndTime/>
  <w:bordersDoNotSurroundHeader/>
  <w:bordersDoNotSurroundFooter/>
  <w:revisionView w:inkAnnotation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34903"/>
    <w:rsid w:val="00047F08"/>
    <w:rsid w:val="000578A3"/>
    <w:rsid w:val="00062578"/>
    <w:rsid w:val="000648CC"/>
    <w:rsid w:val="00072498"/>
    <w:rsid w:val="000C59B8"/>
    <w:rsid w:val="000C6AF0"/>
    <w:rsid w:val="00101868"/>
    <w:rsid w:val="00104F33"/>
    <w:rsid w:val="00111DE2"/>
    <w:rsid w:val="00116B38"/>
    <w:rsid w:val="00135406"/>
    <w:rsid w:val="00135972"/>
    <w:rsid w:val="001426A9"/>
    <w:rsid w:val="00151B09"/>
    <w:rsid w:val="00154D7C"/>
    <w:rsid w:val="001570B0"/>
    <w:rsid w:val="0015752C"/>
    <w:rsid w:val="00157737"/>
    <w:rsid w:val="00165277"/>
    <w:rsid w:val="00170592"/>
    <w:rsid w:val="00186351"/>
    <w:rsid w:val="00191828"/>
    <w:rsid w:val="00195D83"/>
    <w:rsid w:val="001A00C1"/>
    <w:rsid w:val="001B1555"/>
    <w:rsid w:val="001B33E0"/>
    <w:rsid w:val="001B4573"/>
    <w:rsid w:val="001C3944"/>
    <w:rsid w:val="001C779F"/>
    <w:rsid w:val="001D2AC1"/>
    <w:rsid w:val="001D358E"/>
    <w:rsid w:val="001D4E88"/>
    <w:rsid w:val="00220FC2"/>
    <w:rsid w:val="002222F4"/>
    <w:rsid w:val="00224FC0"/>
    <w:rsid w:val="00225EA4"/>
    <w:rsid w:val="00226EAF"/>
    <w:rsid w:val="00231F3A"/>
    <w:rsid w:val="00234199"/>
    <w:rsid w:val="002406EE"/>
    <w:rsid w:val="00243EC8"/>
    <w:rsid w:val="00270D93"/>
    <w:rsid w:val="002745CC"/>
    <w:rsid w:val="00277A95"/>
    <w:rsid w:val="002A275F"/>
    <w:rsid w:val="002B1781"/>
    <w:rsid w:val="002B7924"/>
    <w:rsid w:val="002D28C3"/>
    <w:rsid w:val="002D39A4"/>
    <w:rsid w:val="002D7625"/>
    <w:rsid w:val="002E6705"/>
    <w:rsid w:val="00301D08"/>
    <w:rsid w:val="0030329A"/>
    <w:rsid w:val="00305954"/>
    <w:rsid w:val="0031086F"/>
    <w:rsid w:val="00313F8D"/>
    <w:rsid w:val="0031414C"/>
    <w:rsid w:val="00314E01"/>
    <w:rsid w:val="0032089D"/>
    <w:rsid w:val="00326C59"/>
    <w:rsid w:val="003310DE"/>
    <w:rsid w:val="003323B0"/>
    <w:rsid w:val="0035169A"/>
    <w:rsid w:val="0035259D"/>
    <w:rsid w:val="00352738"/>
    <w:rsid w:val="00364B18"/>
    <w:rsid w:val="00375BFF"/>
    <w:rsid w:val="003A125D"/>
    <w:rsid w:val="003A4C70"/>
    <w:rsid w:val="003B215F"/>
    <w:rsid w:val="003C799C"/>
    <w:rsid w:val="003D0399"/>
    <w:rsid w:val="003E1C71"/>
    <w:rsid w:val="003F327B"/>
    <w:rsid w:val="00406166"/>
    <w:rsid w:val="0040704B"/>
    <w:rsid w:val="00410A55"/>
    <w:rsid w:val="00411300"/>
    <w:rsid w:val="00415417"/>
    <w:rsid w:val="00421DF0"/>
    <w:rsid w:val="00426659"/>
    <w:rsid w:val="004279BE"/>
    <w:rsid w:val="00450352"/>
    <w:rsid w:val="00454851"/>
    <w:rsid w:val="00454BDB"/>
    <w:rsid w:val="00464800"/>
    <w:rsid w:val="00465132"/>
    <w:rsid w:val="00480C90"/>
    <w:rsid w:val="0048396F"/>
    <w:rsid w:val="00493C18"/>
    <w:rsid w:val="004A600C"/>
    <w:rsid w:val="004A6118"/>
    <w:rsid w:val="004C478D"/>
    <w:rsid w:val="004D2F03"/>
    <w:rsid w:val="004E2C26"/>
    <w:rsid w:val="004E52BF"/>
    <w:rsid w:val="004F36FF"/>
    <w:rsid w:val="005125A8"/>
    <w:rsid w:val="00521AE8"/>
    <w:rsid w:val="00527180"/>
    <w:rsid w:val="0054201E"/>
    <w:rsid w:val="00544A2C"/>
    <w:rsid w:val="00555291"/>
    <w:rsid w:val="00566AD1"/>
    <w:rsid w:val="00583EDE"/>
    <w:rsid w:val="00596F5C"/>
    <w:rsid w:val="005A6079"/>
    <w:rsid w:val="005E4698"/>
    <w:rsid w:val="005F2DB1"/>
    <w:rsid w:val="00610539"/>
    <w:rsid w:val="00613969"/>
    <w:rsid w:val="00625C35"/>
    <w:rsid w:val="006539F9"/>
    <w:rsid w:val="00656313"/>
    <w:rsid w:val="006565F4"/>
    <w:rsid w:val="00684EEA"/>
    <w:rsid w:val="0069689B"/>
    <w:rsid w:val="006A1551"/>
    <w:rsid w:val="006B5FF5"/>
    <w:rsid w:val="006F30AF"/>
    <w:rsid w:val="00701759"/>
    <w:rsid w:val="00705C15"/>
    <w:rsid w:val="0071600E"/>
    <w:rsid w:val="007208D1"/>
    <w:rsid w:val="00747288"/>
    <w:rsid w:val="00747DD3"/>
    <w:rsid w:val="007549C8"/>
    <w:rsid w:val="00754A0B"/>
    <w:rsid w:val="00766D14"/>
    <w:rsid w:val="00767A0F"/>
    <w:rsid w:val="00784F1B"/>
    <w:rsid w:val="007928A9"/>
    <w:rsid w:val="007A05F6"/>
    <w:rsid w:val="007B6F4A"/>
    <w:rsid w:val="007E1C47"/>
    <w:rsid w:val="007E337A"/>
    <w:rsid w:val="007E5C70"/>
    <w:rsid w:val="007F2FF5"/>
    <w:rsid w:val="007F3F08"/>
    <w:rsid w:val="007F751C"/>
    <w:rsid w:val="00802E92"/>
    <w:rsid w:val="00804CC6"/>
    <w:rsid w:val="00817190"/>
    <w:rsid w:val="00820EE5"/>
    <w:rsid w:val="008260E2"/>
    <w:rsid w:val="008322BD"/>
    <w:rsid w:val="00833E0A"/>
    <w:rsid w:val="00834F73"/>
    <w:rsid w:val="00864CF8"/>
    <w:rsid w:val="00872819"/>
    <w:rsid w:val="00874914"/>
    <w:rsid w:val="00887F8D"/>
    <w:rsid w:val="00891422"/>
    <w:rsid w:val="00892E1A"/>
    <w:rsid w:val="008A3F29"/>
    <w:rsid w:val="008B660A"/>
    <w:rsid w:val="008C01DA"/>
    <w:rsid w:val="008F78E9"/>
    <w:rsid w:val="00906796"/>
    <w:rsid w:val="00911989"/>
    <w:rsid w:val="009179F9"/>
    <w:rsid w:val="00933E5E"/>
    <w:rsid w:val="00935218"/>
    <w:rsid w:val="009403F3"/>
    <w:rsid w:val="009555B7"/>
    <w:rsid w:val="009567AA"/>
    <w:rsid w:val="00967374"/>
    <w:rsid w:val="00980957"/>
    <w:rsid w:val="009A343A"/>
    <w:rsid w:val="009B2F23"/>
    <w:rsid w:val="009B57B3"/>
    <w:rsid w:val="009B7050"/>
    <w:rsid w:val="009C5B92"/>
    <w:rsid w:val="009D2920"/>
    <w:rsid w:val="009D5AEB"/>
    <w:rsid w:val="009F0E33"/>
    <w:rsid w:val="00A030CE"/>
    <w:rsid w:val="00A149DF"/>
    <w:rsid w:val="00A1755C"/>
    <w:rsid w:val="00A21B90"/>
    <w:rsid w:val="00A26413"/>
    <w:rsid w:val="00A32439"/>
    <w:rsid w:val="00A41805"/>
    <w:rsid w:val="00A42DCD"/>
    <w:rsid w:val="00A510F5"/>
    <w:rsid w:val="00A52AFB"/>
    <w:rsid w:val="00A548CB"/>
    <w:rsid w:val="00A5521C"/>
    <w:rsid w:val="00A643E7"/>
    <w:rsid w:val="00A72F44"/>
    <w:rsid w:val="00A73C38"/>
    <w:rsid w:val="00A92EE7"/>
    <w:rsid w:val="00AB670D"/>
    <w:rsid w:val="00AE4535"/>
    <w:rsid w:val="00AF03C5"/>
    <w:rsid w:val="00B000D8"/>
    <w:rsid w:val="00B00F75"/>
    <w:rsid w:val="00B05B82"/>
    <w:rsid w:val="00B145B6"/>
    <w:rsid w:val="00B26899"/>
    <w:rsid w:val="00B26F27"/>
    <w:rsid w:val="00B279EB"/>
    <w:rsid w:val="00B50C81"/>
    <w:rsid w:val="00B557F8"/>
    <w:rsid w:val="00B815FC"/>
    <w:rsid w:val="00B902B9"/>
    <w:rsid w:val="00B93FBC"/>
    <w:rsid w:val="00B94C3A"/>
    <w:rsid w:val="00BA4F62"/>
    <w:rsid w:val="00BA7DA0"/>
    <w:rsid w:val="00BB2EE4"/>
    <w:rsid w:val="00BB3F4D"/>
    <w:rsid w:val="00BB6C41"/>
    <w:rsid w:val="00BC2108"/>
    <w:rsid w:val="00BD0E9E"/>
    <w:rsid w:val="00BD1BEC"/>
    <w:rsid w:val="00BD32FF"/>
    <w:rsid w:val="00C02092"/>
    <w:rsid w:val="00C24D91"/>
    <w:rsid w:val="00C44967"/>
    <w:rsid w:val="00C53F14"/>
    <w:rsid w:val="00C600CF"/>
    <w:rsid w:val="00C6084F"/>
    <w:rsid w:val="00C62A66"/>
    <w:rsid w:val="00C71458"/>
    <w:rsid w:val="00C765ED"/>
    <w:rsid w:val="00C77613"/>
    <w:rsid w:val="00C828E7"/>
    <w:rsid w:val="00C86719"/>
    <w:rsid w:val="00C921DD"/>
    <w:rsid w:val="00CA6391"/>
    <w:rsid w:val="00CC34BD"/>
    <w:rsid w:val="00CE161A"/>
    <w:rsid w:val="00CE1843"/>
    <w:rsid w:val="00CE3171"/>
    <w:rsid w:val="00CF1601"/>
    <w:rsid w:val="00D0172F"/>
    <w:rsid w:val="00D068A7"/>
    <w:rsid w:val="00D17476"/>
    <w:rsid w:val="00D32086"/>
    <w:rsid w:val="00D37A3F"/>
    <w:rsid w:val="00D4431D"/>
    <w:rsid w:val="00D4667A"/>
    <w:rsid w:val="00D56320"/>
    <w:rsid w:val="00D63A1C"/>
    <w:rsid w:val="00D7516F"/>
    <w:rsid w:val="00D8579F"/>
    <w:rsid w:val="00D90205"/>
    <w:rsid w:val="00D95F8E"/>
    <w:rsid w:val="00DA0590"/>
    <w:rsid w:val="00DB7BEA"/>
    <w:rsid w:val="00DC1739"/>
    <w:rsid w:val="00DC1788"/>
    <w:rsid w:val="00DC23BF"/>
    <w:rsid w:val="00DD60AB"/>
    <w:rsid w:val="00DE319C"/>
    <w:rsid w:val="00DF0CA8"/>
    <w:rsid w:val="00DF2B48"/>
    <w:rsid w:val="00DF49A7"/>
    <w:rsid w:val="00DF58BE"/>
    <w:rsid w:val="00E07EE2"/>
    <w:rsid w:val="00E07FD1"/>
    <w:rsid w:val="00E13FAD"/>
    <w:rsid w:val="00E176D8"/>
    <w:rsid w:val="00E24573"/>
    <w:rsid w:val="00E25E1E"/>
    <w:rsid w:val="00E27EE7"/>
    <w:rsid w:val="00E35404"/>
    <w:rsid w:val="00E45109"/>
    <w:rsid w:val="00E47B7A"/>
    <w:rsid w:val="00E56A44"/>
    <w:rsid w:val="00E60269"/>
    <w:rsid w:val="00E631F3"/>
    <w:rsid w:val="00E77932"/>
    <w:rsid w:val="00E9701F"/>
    <w:rsid w:val="00E97830"/>
    <w:rsid w:val="00EE643C"/>
    <w:rsid w:val="00EF0683"/>
    <w:rsid w:val="00EF69D2"/>
    <w:rsid w:val="00EF766E"/>
    <w:rsid w:val="00F0070C"/>
    <w:rsid w:val="00F00EB7"/>
    <w:rsid w:val="00F21F3F"/>
    <w:rsid w:val="00F36AB6"/>
    <w:rsid w:val="00F37A09"/>
    <w:rsid w:val="00F409CE"/>
    <w:rsid w:val="00F42427"/>
    <w:rsid w:val="00F4379D"/>
    <w:rsid w:val="00F50D2D"/>
    <w:rsid w:val="00F56C8B"/>
    <w:rsid w:val="00F66810"/>
    <w:rsid w:val="00F846D9"/>
    <w:rsid w:val="00F84DF4"/>
    <w:rsid w:val="00F85C97"/>
    <w:rsid w:val="00F86F8C"/>
    <w:rsid w:val="00FB37D2"/>
    <w:rsid w:val="00FC4EFB"/>
    <w:rsid w:val="00FC6BA2"/>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qFormat/>
    <w:rsid w:val="007F751C"/>
    <w:pPr>
      <w:numPr>
        <w:numId w:val="1"/>
      </w:numPr>
      <w:tabs>
        <w:tab w:val="num" w:pos="1152"/>
      </w:tabs>
      <w:spacing w:before="480" w:after="480" w:line="480" w:lineRule="auto"/>
      <w:jc w:val="both"/>
    </w:pPr>
    <w:rPr>
      <w:rFonts w:eastAsiaTheme="minorEastAsia" w:cstheme="minorBidi"/>
      <w:sz w:val="24"/>
      <w:szCs w:val="22"/>
      <w:lang w:eastAsia="en-US"/>
    </w:rPr>
  </w:style>
  <w:style w:type="paragraph" w:styleId="ListParagraph">
    <w:name w:val="List Paragraph"/>
    <w:basedOn w:val="Normal"/>
    <w:uiPriority w:val="34"/>
    <w:qFormat/>
    <w:rsid w:val="00F42427"/>
    <w:pPr>
      <w:ind w:left="720"/>
      <w:contextualSpacing/>
    </w:pPr>
  </w:style>
  <w:style w:type="table" w:styleId="TableGrid">
    <w:name w:val="Table Grid"/>
    <w:basedOn w:val="TableNormal"/>
    <w:uiPriority w:val="59"/>
    <w:rsid w:val="00A72F4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A72F44"/>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598</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2021-03-02T23:43:00Z</dcterms:created>
  <dcterms:modified xsi:type="dcterms:W3CDTF">2021-03-03T14:07:00Z</dcterms:modified>
</cp:coreProperties>
</file>