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99C" w:rsidRPr="000D399C" w:rsidRDefault="000D399C" w:rsidP="00FB1E2D">
      <w:pPr>
        <w:tabs>
          <w:tab w:val="center" w:pos="4680"/>
          <w:tab w:val="right" w:pos="9360"/>
        </w:tabs>
        <w:jc w:val="center"/>
        <w:rPr>
          <w:rFonts w:eastAsia="Calibri"/>
          <w:szCs w:val="24"/>
          <w:lang w:eastAsia="en-US"/>
        </w:rPr>
      </w:pPr>
      <w:r w:rsidRPr="000D399C">
        <w:rPr>
          <w:rFonts w:eastAsia="Calibri"/>
          <w:szCs w:val="24"/>
          <w:lang w:eastAsia="en-US"/>
        </w:rPr>
        <w:ptab w:relativeTo="margin" w:alignment="center" w:leader="none"/>
      </w:r>
      <w:r w:rsidRPr="000D399C">
        <w:rPr>
          <w:rFonts w:eastAsia="Calibri"/>
          <w:szCs w:val="24"/>
          <w:lang w:eastAsia="en-US"/>
        </w:rPr>
        <w:t xml:space="preserve"> </w:t>
      </w:r>
      <w:r w:rsidRPr="000D399C">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pt;height:64.95pt" o:ole="">
            <v:imagedata r:id="rId7" o:title=""/>
          </v:shape>
          <o:OLEObject Type="Embed" ProgID="Presentations.Drawing.13" ShapeID="_x0000_i1025" DrawAspect="Content" ObjectID="_1676267470" r:id="rId8"/>
        </w:object>
      </w:r>
      <w:r w:rsidRPr="000D399C">
        <w:rPr>
          <w:rFonts w:eastAsia="Calibri"/>
          <w:szCs w:val="24"/>
          <w:lang w:eastAsia="en-US"/>
        </w:rPr>
        <w:t xml:space="preserve"> </w:t>
      </w:r>
      <w:r w:rsidRPr="000D399C">
        <w:rPr>
          <w:rFonts w:eastAsia="Calibri"/>
          <w:szCs w:val="24"/>
          <w:lang w:eastAsia="en-US"/>
        </w:rPr>
        <w:ptab w:relativeTo="margin" w:alignment="right" w:leader="none"/>
      </w:r>
    </w:p>
    <w:p w:rsidR="000D399C" w:rsidRPr="000D399C" w:rsidRDefault="000D399C" w:rsidP="000D399C">
      <w:pPr>
        <w:tabs>
          <w:tab w:val="center" w:pos="4680"/>
          <w:tab w:val="right" w:pos="9360"/>
        </w:tabs>
        <w:rPr>
          <w:rFonts w:eastAsia="Calibri"/>
          <w:szCs w:val="24"/>
          <w:lang w:eastAsia="en-US"/>
        </w:rPr>
      </w:pPr>
    </w:p>
    <w:p w:rsidR="000D399C" w:rsidRPr="000D399C" w:rsidRDefault="000D399C" w:rsidP="000D399C">
      <w:pPr>
        <w:jc w:val="center"/>
        <w:rPr>
          <w:rFonts w:eastAsia="Calibri"/>
          <w:b/>
          <w:szCs w:val="24"/>
          <w:lang w:eastAsia="en-US"/>
        </w:rPr>
      </w:pPr>
      <w:r w:rsidRPr="000D399C">
        <w:rPr>
          <w:rFonts w:eastAsia="Calibri"/>
          <w:b/>
          <w:szCs w:val="24"/>
          <w:lang w:eastAsia="en-US"/>
        </w:rPr>
        <w:t>SUPREME COURT OF CANADA</w:t>
      </w:r>
    </w:p>
    <w:p w:rsidR="000D399C" w:rsidRPr="000D399C" w:rsidRDefault="000D399C" w:rsidP="000D399C">
      <w:pPr>
        <w:rPr>
          <w:rFonts w:eastAsia="Calibri"/>
          <w:szCs w:val="24"/>
          <w:lang w:eastAsia="en-US"/>
        </w:rPr>
      </w:pPr>
    </w:p>
    <w:tbl>
      <w:tblPr>
        <w:tblStyle w:val="TableGrid11"/>
        <w:tblW w:w="53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761"/>
        <w:gridCol w:w="1756"/>
        <w:gridCol w:w="3387"/>
      </w:tblGrid>
      <w:tr w:rsidR="000D399C" w:rsidRPr="000D399C" w:rsidTr="00FD0877">
        <w:tc>
          <w:tcPr>
            <w:tcW w:w="2112" w:type="pct"/>
            <w:tcMar>
              <w:top w:w="284" w:type="dxa"/>
            </w:tcMar>
          </w:tcPr>
          <w:p w:rsidR="000D399C" w:rsidRPr="000D399C" w:rsidRDefault="000D399C" w:rsidP="00296B94">
            <w:pPr>
              <w:spacing w:before="100" w:beforeAutospacing="1"/>
              <w:rPr>
                <w:rFonts w:eastAsia="Calibri"/>
                <w:szCs w:val="24"/>
              </w:rPr>
            </w:pPr>
            <w:r w:rsidRPr="000D399C">
              <w:rPr>
                <w:b/>
                <w:smallCaps/>
                <w:szCs w:val="24"/>
              </w:rPr>
              <w:t>Citation</w:t>
            </w:r>
            <w:r w:rsidRPr="000D399C">
              <w:rPr>
                <w:smallCaps/>
                <w:szCs w:val="24"/>
              </w:rPr>
              <w:t>:</w:t>
            </w:r>
            <w:r w:rsidRPr="000D399C">
              <w:rPr>
                <w:szCs w:val="24"/>
              </w:rPr>
              <w:t xml:space="preserve"> </w:t>
            </w:r>
            <w:r w:rsidRPr="000D399C">
              <w:rPr>
                <w:rFonts w:eastAsia="Calibri"/>
                <w:smallCaps/>
                <w:lang w:val="en-US"/>
              </w:rPr>
              <w:t xml:space="preserve">R. </w:t>
            </w:r>
            <w:r w:rsidRPr="000D399C">
              <w:rPr>
                <w:rFonts w:eastAsia="Calibri"/>
                <w:i/>
                <w:lang w:val="en-US"/>
              </w:rPr>
              <w:t>v</w:t>
            </w:r>
            <w:r w:rsidRPr="000D399C">
              <w:rPr>
                <w:rFonts w:eastAsia="Calibri"/>
                <w:lang w:val="en-US"/>
              </w:rPr>
              <w:t>.</w:t>
            </w:r>
            <w:r w:rsidRPr="000D399C">
              <w:rPr>
                <w:rFonts w:eastAsia="Calibri"/>
                <w:smallCaps/>
                <w:lang w:val="en-US"/>
              </w:rPr>
              <w:t xml:space="preserve"> </w:t>
            </w:r>
            <w:r w:rsidRPr="000D399C">
              <w:rPr>
                <w:rFonts w:eastAsia="Calibri"/>
                <w:lang w:val="en-US"/>
              </w:rPr>
              <w:t>Wakefield</w:t>
            </w:r>
            <w:r w:rsidRPr="000D399C">
              <w:rPr>
                <w:rFonts w:eastAsia="Calibri"/>
                <w:smallCaps/>
                <w:lang w:val="en-US"/>
              </w:rPr>
              <w:t>, 2019 SCC 2</w:t>
            </w:r>
            <w:r w:rsidR="00296B94">
              <w:rPr>
                <w:rFonts w:eastAsia="Calibri"/>
                <w:smallCaps/>
                <w:lang w:val="en-US"/>
              </w:rPr>
              <w:t>6</w:t>
            </w:r>
            <w:r w:rsidRPr="000D399C">
              <w:rPr>
                <w:rFonts w:eastAsia="Calibri"/>
                <w:smallCaps/>
                <w:lang w:val="en-US"/>
              </w:rPr>
              <w:t>, [2019] 2 S.C.R. 400</w:t>
            </w:r>
          </w:p>
        </w:tc>
        <w:tc>
          <w:tcPr>
            <w:tcW w:w="986" w:type="pct"/>
          </w:tcPr>
          <w:p w:rsidR="000D399C" w:rsidRPr="000D399C" w:rsidRDefault="000D399C" w:rsidP="000D399C">
            <w:pPr>
              <w:rPr>
                <w:smallCaps/>
                <w:szCs w:val="24"/>
              </w:rPr>
            </w:pPr>
          </w:p>
        </w:tc>
        <w:tc>
          <w:tcPr>
            <w:tcW w:w="1902" w:type="pct"/>
            <w:tcMar>
              <w:top w:w="284" w:type="dxa"/>
            </w:tcMar>
          </w:tcPr>
          <w:p w:rsidR="000D399C" w:rsidRPr="000D399C" w:rsidRDefault="000D399C" w:rsidP="000D399C">
            <w:pPr>
              <w:rPr>
                <w:szCs w:val="24"/>
              </w:rPr>
            </w:pPr>
            <w:r w:rsidRPr="000D399C">
              <w:rPr>
                <w:b/>
                <w:smallCaps/>
                <w:szCs w:val="24"/>
              </w:rPr>
              <w:t>Appeal Heard</w:t>
            </w:r>
            <w:r w:rsidRPr="000D399C">
              <w:rPr>
                <w:smallCaps/>
                <w:szCs w:val="24"/>
              </w:rPr>
              <w:t>:</w:t>
            </w:r>
            <w:r w:rsidRPr="000D399C">
              <w:rPr>
                <w:szCs w:val="24"/>
              </w:rPr>
              <w:t xml:space="preserve"> April 25, 2019</w:t>
            </w:r>
          </w:p>
          <w:p w:rsidR="000D399C" w:rsidRPr="000D399C" w:rsidRDefault="000D399C" w:rsidP="000D399C">
            <w:pPr>
              <w:rPr>
                <w:szCs w:val="24"/>
              </w:rPr>
            </w:pPr>
            <w:r w:rsidRPr="000D399C">
              <w:rPr>
                <w:b/>
                <w:smallCaps/>
                <w:szCs w:val="24"/>
              </w:rPr>
              <w:t>Judgment Rendered</w:t>
            </w:r>
            <w:r w:rsidRPr="000D399C">
              <w:rPr>
                <w:smallCaps/>
                <w:szCs w:val="24"/>
              </w:rPr>
              <w:t>:</w:t>
            </w:r>
            <w:r w:rsidRPr="000D399C">
              <w:rPr>
                <w:szCs w:val="24"/>
              </w:rPr>
              <w:t xml:space="preserve"> April 25, 2019</w:t>
            </w:r>
          </w:p>
          <w:p w:rsidR="000D399C" w:rsidRPr="000D399C" w:rsidRDefault="000D399C" w:rsidP="000D399C">
            <w:pPr>
              <w:rPr>
                <w:szCs w:val="24"/>
              </w:rPr>
            </w:pPr>
            <w:r w:rsidRPr="000D399C">
              <w:rPr>
                <w:b/>
                <w:smallCaps/>
                <w:szCs w:val="24"/>
              </w:rPr>
              <w:t>Docket</w:t>
            </w:r>
            <w:r w:rsidRPr="000D399C">
              <w:rPr>
                <w:smallCaps/>
                <w:szCs w:val="24"/>
              </w:rPr>
              <w:t>:</w:t>
            </w:r>
            <w:r w:rsidRPr="000D399C">
              <w:rPr>
                <w:szCs w:val="24"/>
              </w:rPr>
              <w:t xml:space="preserve"> 38425</w:t>
            </w:r>
          </w:p>
        </w:tc>
      </w:tr>
    </w:tbl>
    <w:p w:rsidR="000D399C" w:rsidRPr="000D399C" w:rsidRDefault="000D399C" w:rsidP="000D399C">
      <w:pPr>
        <w:rPr>
          <w:rFonts w:eastAsia="Calibri"/>
          <w:szCs w:val="24"/>
          <w:lang w:eastAsia="en-US"/>
        </w:rPr>
      </w:pPr>
    </w:p>
    <w:p w:rsidR="000D399C" w:rsidRPr="000D399C" w:rsidRDefault="000D399C" w:rsidP="000D399C">
      <w:pPr>
        <w:rPr>
          <w:rFonts w:eastAsia="Calibri"/>
          <w:b/>
          <w:smallCaps/>
          <w:szCs w:val="24"/>
          <w:lang w:eastAsia="en-US"/>
        </w:rPr>
      </w:pPr>
      <w:r w:rsidRPr="000D399C">
        <w:rPr>
          <w:rFonts w:eastAsia="Calibri"/>
          <w:b/>
          <w:smallCaps/>
          <w:szCs w:val="24"/>
          <w:lang w:eastAsia="en-US"/>
        </w:rPr>
        <w:t>Between:</w:t>
      </w:r>
    </w:p>
    <w:p w:rsidR="000D399C" w:rsidRPr="000D399C" w:rsidRDefault="000D399C" w:rsidP="000D399C">
      <w:pPr>
        <w:jc w:val="center"/>
        <w:rPr>
          <w:rFonts w:eastAsia="Calibri"/>
          <w:b/>
          <w:szCs w:val="24"/>
          <w:lang w:eastAsia="en-US"/>
        </w:rPr>
      </w:pPr>
      <w:r w:rsidRPr="000D399C">
        <w:rPr>
          <w:rFonts w:eastAsia="Calibri"/>
          <w:b/>
          <w:szCs w:val="24"/>
          <w:lang w:eastAsia="en-US"/>
        </w:rPr>
        <w:t>Addison Nickoles Wakefield</w:t>
      </w:r>
    </w:p>
    <w:p w:rsidR="000D399C" w:rsidRPr="000D399C" w:rsidRDefault="000D399C" w:rsidP="000D399C">
      <w:pPr>
        <w:jc w:val="center"/>
        <w:rPr>
          <w:rFonts w:eastAsia="Calibri"/>
          <w:szCs w:val="24"/>
          <w:lang w:eastAsia="en-US"/>
        </w:rPr>
      </w:pPr>
      <w:r w:rsidRPr="000D399C">
        <w:rPr>
          <w:rFonts w:eastAsia="Calibri"/>
          <w:szCs w:val="24"/>
          <w:lang w:eastAsia="en-US"/>
        </w:rPr>
        <w:t>Appellant</w:t>
      </w:r>
    </w:p>
    <w:p w:rsidR="000D399C" w:rsidRPr="000D399C" w:rsidRDefault="000D399C" w:rsidP="000D399C">
      <w:pPr>
        <w:rPr>
          <w:rFonts w:eastAsia="Calibri"/>
          <w:szCs w:val="24"/>
          <w:lang w:eastAsia="en-US"/>
        </w:rPr>
      </w:pPr>
    </w:p>
    <w:p w:rsidR="000D399C" w:rsidRPr="000D399C" w:rsidRDefault="000D399C" w:rsidP="000D399C">
      <w:pPr>
        <w:jc w:val="center"/>
        <w:rPr>
          <w:rFonts w:eastAsia="Calibri"/>
          <w:szCs w:val="24"/>
          <w:lang w:eastAsia="en-US"/>
        </w:rPr>
      </w:pPr>
      <w:r w:rsidRPr="000D399C">
        <w:rPr>
          <w:rFonts w:eastAsia="Calibri"/>
          <w:szCs w:val="24"/>
          <w:lang w:eastAsia="en-US"/>
        </w:rPr>
        <w:t>and</w:t>
      </w:r>
    </w:p>
    <w:p w:rsidR="000D399C" w:rsidRPr="000D399C" w:rsidRDefault="000D399C" w:rsidP="000D399C">
      <w:pPr>
        <w:rPr>
          <w:rFonts w:eastAsia="Calibri"/>
          <w:szCs w:val="24"/>
          <w:lang w:eastAsia="en-US"/>
        </w:rPr>
      </w:pPr>
    </w:p>
    <w:p w:rsidR="000D399C" w:rsidRPr="000D399C" w:rsidRDefault="000D399C" w:rsidP="000D399C">
      <w:pPr>
        <w:jc w:val="center"/>
        <w:rPr>
          <w:rFonts w:eastAsia="Calibri"/>
          <w:b/>
          <w:szCs w:val="24"/>
          <w:lang w:eastAsia="en-US"/>
        </w:rPr>
      </w:pPr>
      <w:r w:rsidRPr="000D399C">
        <w:rPr>
          <w:rFonts w:eastAsia="Calibri"/>
          <w:b/>
          <w:szCs w:val="24"/>
          <w:lang w:eastAsia="en-US"/>
        </w:rPr>
        <w:t xml:space="preserve">Her Majesty The Queen </w:t>
      </w:r>
    </w:p>
    <w:p w:rsidR="000D399C" w:rsidRPr="000D399C" w:rsidRDefault="000D399C" w:rsidP="000D399C">
      <w:pPr>
        <w:jc w:val="center"/>
        <w:rPr>
          <w:rFonts w:eastAsia="Calibri"/>
          <w:szCs w:val="24"/>
          <w:lang w:eastAsia="en-US"/>
        </w:rPr>
      </w:pPr>
      <w:r w:rsidRPr="000D399C">
        <w:rPr>
          <w:rFonts w:eastAsia="Calibri"/>
          <w:szCs w:val="24"/>
          <w:lang w:eastAsia="en-US"/>
        </w:rPr>
        <w:t>Respondent</w:t>
      </w:r>
    </w:p>
    <w:p w:rsidR="000D399C" w:rsidRPr="000D399C" w:rsidRDefault="000D399C" w:rsidP="000D399C">
      <w:pPr>
        <w:jc w:val="both"/>
        <w:rPr>
          <w:rFonts w:eastAsia="Calibri"/>
          <w:szCs w:val="24"/>
          <w:lang w:eastAsia="en-US"/>
        </w:rPr>
      </w:pPr>
    </w:p>
    <w:p w:rsidR="000D399C" w:rsidRPr="000D399C" w:rsidRDefault="000D399C" w:rsidP="000D399C">
      <w:pPr>
        <w:jc w:val="both"/>
        <w:rPr>
          <w:rFonts w:eastAsia="Calibri"/>
          <w:b/>
          <w:smallCaps/>
          <w:szCs w:val="24"/>
          <w:lang w:eastAsia="en-US"/>
        </w:rPr>
      </w:pPr>
    </w:p>
    <w:p w:rsidR="000D399C" w:rsidRPr="000D399C" w:rsidRDefault="000D399C" w:rsidP="000D399C">
      <w:pPr>
        <w:jc w:val="both"/>
        <w:rPr>
          <w:rFonts w:eastAsia="Calibri"/>
          <w:szCs w:val="24"/>
          <w:lang w:eastAsia="en-US"/>
        </w:rPr>
      </w:pPr>
      <w:r w:rsidRPr="000D399C">
        <w:rPr>
          <w:rFonts w:eastAsia="Calibri"/>
          <w:b/>
          <w:smallCaps/>
          <w:szCs w:val="24"/>
          <w:lang w:eastAsia="en-US"/>
        </w:rPr>
        <w:t xml:space="preserve">Coram: </w:t>
      </w:r>
      <w:r w:rsidRPr="000D399C">
        <w:rPr>
          <w:rFonts w:eastAsia="Calibri"/>
          <w:szCs w:val="24"/>
          <w:lang w:eastAsia="en-US"/>
        </w:rPr>
        <w:t>Abella, Moldaver, Karakatsanis, Rowe and Martin JJ.</w:t>
      </w:r>
    </w:p>
    <w:p w:rsidR="000D399C" w:rsidRPr="000D399C" w:rsidRDefault="000D399C" w:rsidP="000D399C">
      <w:pPr>
        <w:rPr>
          <w:rFonts w:eastAsia="Calibri"/>
          <w:szCs w:val="24"/>
          <w:lang w:eastAsia="en-US"/>
        </w:rPr>
      </w:pPr>
    </w:p>
    <w:p w:rsidR="000D399C" w:rsidRPr="000D399C" w:rsidRDefault="000D399C" w:rsidP="000D399C">
      <w:pPr>
        <w:rPr>
          <w:rFonts w:eastAsia="Calibr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0D399C" w:rsidRPr="000D399C" w:rsidTr="00FD0877">
        <w:trPr>
          <w:cantSplit/>
        </w:trPr>
        <w:tc>
          <w:tcPr>
            <w:tcW w:w="3618" w:type="dxa"/>
          </w:tcPr>
          <w:p w:rsidR="000D399C" w:rsidRPr="000D399C" w:rsidRDefault="000D399C" w:rsidP="000D399C">
            <w:pPr>
              <w:rPr>
                <w:b/>
                <w:smallCaps/>
              </w:rPr>
            </w:pPr>
            <w:r w:rsidRPr="000D399C">
              <w:rPr>
                <w:b/>
                <w:smallCaps/>
              </w:rPr>
              <w:t>Reasons for Judgment:</w:t>
            </w:r>
          </w:p>
          <w:p w:rsidR="000D399C" w:rsidRPr="000D399C" w:rsidRDefault="000D399C" w:rsidP="000D399C">
            <w:r w:rsidRPr="000D399C">
              <w:t>(paras. 1 to 3)</w:t>
            </w:r>
          </w:p>
        </w:tc>
        <w:tc>
          <w:tcPr>
            <w:tcW w:w="5958" w:type="dxa"/>
          </w:tcPr>
          <w:p w:rsidR="000D399C" w:rsidRPr="000D399C" w:rsidRDefault="000D399C" w:rsidP="000D399C">
            <w:r w:rsidRPr="000D399C">
              <w:t>The Court</w:t>
            </w:r>
          </w:p>
        </w:tc>
      </w:tr>
    </w:tbl>
    <w:p w:rsidR="000D399C" w:rsidRPr="000D399C" w:rsidRDefault="000D399C" w:rsidP="000D399C">
      <w:pPr>
        <w:rPr>
          <w:rFonts w:eastAsia="Calibri"/>
          <w:szCs w:val="24"/>
          <w:lang w:val="en-US" w:eastAsia="en-US"/>
        </w:rPr>
      </w:pPr>
    </w:p>
    <w:p w:rsidR="000D399C" w:rsidRPr="000D399C" w:rsidRDefault="000D399C" w:rsidP="000D399C">
      <w:pPr>
        <w:rPr>
          <w:rFonts w:eastAsia="Calibri"/>
          <w:szCs w:val="24"/>
          <w:lang w:val="en-US" w:eastAsia="en-US"/>
        </w:rPr>
      </w:pPr>
      <w:r w:rsidRPr="000D399C">
        <w:rPr>
          <w:rFonts w:eastAsia="Calibri"/>
          <w:noProof/>
          <w:szCs w:val="24"/>
          <w:lang w:val="en-US" w:eastAsia="en-US"/>
        </w:rPr>
        <mc:AlternateContent>
          <mc:Choice Requires="wps">
            <w:drawing>
              <wp:anchor distT="0" distB="0" distL="114300" distR="114300" simplePos="0" relativeHeight="251659264" behindDoc="0" locked="0" layoutInCell="1" allowOverlap="1" wp14:anchorId="4DE5B4D5" wp14:editId="00572FF7">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FA15B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0D399C" w:rsidRPr="000D399C" w:rsidRDefault="000D399C" w:rsidP="000D399C">
      <w:pPr>
        <w:rPr>
          <w:rFonts w:eastAsia="Calibri"/>
          <w:szCs w:val="24"/>
          <w:lang w:val="en-US" w:eastAsia="en-US"/>
        </w:rPr>
      </w:pPr>
    </w:p>
    <w:p w:rsidR="008322BD" w:rsidRPr="00500A3A" w:rsidRDefault="00500A3A" w:rsidP="006C33E6">
      <w:pPr>
        <w:spacing w:after="720"/>
        <w:jc w:val="both"/>
      </w:pPr>
      <w:r w:rsidRPr="00500A3A">
        <w:t xml:space="preserve">R. </w:t>
      </w:r>
      <w:r w:rsidRPr="00500A3A">
        <w:rPr>
          <w:i/>
        </w:rPr>
        <w:t>v</w:t>
      </w:r>
      <w:r w:rsidRPr="00500A3A">
        <w:t xml:space="preserve">. </w:t>
      </w:r>
      <w:r w:rsidRPr="00500A3A">
        <w:rPr>
          <w:rStyle w:val="SCCAppellantForIndexChar"/>
          <w:b w:val="0"/>
        </w:rPr>
        <w:t>Wakefield</w:t>
      </w:r>
      <w:r>
        <w:rPr>
          <w:rStyle w:val="SCCAppellantForIndexChar"/>
          <w:b w:val="0"/>
        </w:rPr>
        <w:t>, 2019 SCC 26, [2019] 2 S.C.R. 400</w:t>
      </w:r>
      <w:r w:rsidRPr="00500A3A">
        <w:rPr>
          <w:smallCaps/>
        </w:rPr>
        <w:t xml:space="preserve"> </w:t>
      </w:r>
    </w:p>
    <w:p w:rsidR="002E26EE" w:rsidRDefault="006E1381">
      <w:pPr>
        <w:pStyle w:val="SCCLsocLastPartyInRole"/>
      </w:pPr>
      <w:r>
        <w:t>Addison Nickoles Wakefield</w:t>
      </w:r>
      <w:r>
        <w:rPr>
          <w:rStyle w:val="SCCLsocPartyRole"/>
        </w:rPr>
        <w:tab/>
      </w:r>
      <w:r w:rsidR="00C27A53">
        <w:rPr>
          <w:rStyle w:val="SCCLsocPartyRole"/>
        </w:rPr>
        <w:t>Appellant</w:t>
      </w:r>
    </w:p>
    <w:p w:rsidR="002E26EE" w:rsidRDefault="006E1381">
      <w:pPr>
        <w:pStyle w:val="SCCLsocVersus"/>
      </w:pPr>
      <w:r>
        <w:t>v.</w:t>
      </w:r>
    </w:p>
    <w:p w:rsidR="002E26EE" w:rsidRDefault="006E1381">
      <w:pPr>
        <w:pStyle w:val="SCCLsocLastPartyInRole"/>
      </w:pPr>
      <w:r>
        <w:t xml:space="preserve">Her Majesty </w:t>
      </w:r>
      <w:r w:rsidR="00C27A53">
        <w:t>T</w:t>
      </w:r>
      <w:r>
        <w:t>he Queen</w:t>
      </w:r>
      <w:r>
        <w:rPr>
          <w:rStyle w:val="SCCLsocPartyRole"/>
        </w:rPr>
        <w:tab/>
        <w:t>Respondent</w:t>
      </w:r>
    </w:p>
    <w:p w:rsidR="00426659" w:rsidRPr="00426659" w:rsidRDefault="00426659" w:rsidP="006C33E6">
      <w:pPr>
        <w:spacing w:after="720"/>
        <w:jc w:val="both"/>
        <w:rPr>
          <w:b/>
        </w:rPr>
      </w:pPr>
      <w:r w:rsidRPr="00426659">
        <w:rPr>
          <w:b/>
        </w:rPr>
        <w:t>Indexed as:</w:t>
      </w:r>
      <w:r>
        <w:rPr>
          <w:b/>
        </w:rPr>
        <w:t xml:space="preserve"> </w:t>
      </w:r>
      <w:r w:rsidR="006E1381">
        <w:rPr>
          <w:b/>
        </w:rPr>
        <w:t xml:space="preserve">R. </w:t>
      </w:r>
      <w:r w:rsidR="006E1381" w:rsidRPr="006E1381">
        <w:rPr>
          <w:b/>
          <w:i/>
        </w:rPr>
        <w:t>v</w:t>
      </w:r>
      <w:r w:rsidR="006E1381">
        <w:rPr>
          <w:b/>
        </w:rPr>
        <w:t xml:space="preserve">. </w:t>
      </w:r>
      <w:r>
        <w:rPr>
          <w:rStyle w:val="SCCAppellantForIndexChar"/>
        </w:rPr>
        <w:t>Wakefield</w:t>
      </w:r>
      <w:r w:rsidRPr="00426659">
        <w:rPr>
          <w:b/>
        </w:rPr>
        <w:t xml:space="preserve"> </w:t>
      </w:r>
    </w:p>
    <w:p w:rsidR="00426659" w:rsidRPr="00C02092" w:rsidRDefault="00AE4535" w:rsidP="006C33E6">
      <w:pPr>
        <w:pStyle w:val="SCCSystemYear"/>
        <w:spacing w:after="720"/>
        <w:jc w:val="both"/>
      </w:pPr>
      <w:r>
        <w:t>2019</w:t>
      </w:r>
      <w:r w:rsidR="003D0399">
        <w:t xml:space="preserve"> </w:t>
      </w:r>
      <w:r w:rsidR="006E1381">
        <w:t>SCC 26</w:t>
      </w:r>
    </w:p>
    <w:p w:rsidR="008322BD" w:rsidRDefault="006C33E6" w:rsidP="006C33E6">
      <w:pPr>
        <w:spacing w:after="720"/>
        <w:jc w:val="both"/>
      </w:pPr>
      <w:r>
        <w:t xml:space="preserve">File No.: </w:t>
      </w:r>
      <w:r w:rsidR="009B57B3">
        <w:t>38425</w:t>
      </w:r>
      <w:r w:rsidR="009B57B3" w:rsidRPr="001426A9">
        <w:t>.</w:t>
      </w:r>
    </w:p>
    <w:p w:rsidR="008322BD" w:rsidRDefault="006C33E6" w:rsidP="006C33E6">
      <w:pPr>
        <w:spacing w:after="720"/>
        <w:jc w:val="both"/>
      </w:pPr>
      <w:r>
        <w:t xml:space="preserve">2019: </w:t>
      </w:r>
      <w:r w:rsidR="00347F5B">
        <w:t xml:space="preserve">April </w:t>
      </w:r>
      <w:r w:rsidR="00EB413A">
        <w:t>2</w:t>
      </w:r>
      <w:r w:rsidR="00347F5B">
        <w:t>5</w:t>
      </w:r>
      <w:r w:rsidR="006E1381">
        <w:t>.</w:t>
      </w:r>
    </w:p>
    <w:p w:rsidR="002E26EE" w:rsidRDefault="009B57B3" w:rsidP="006C33E6">
      <w:pPr>
        <w:spacing w:after="720"/>
        <w:jc w:val="both"/>
      </w:pPr>
      <w:r w:rsidRPr="001426A9">
        <w:t xml:space="preserve">Present: </w:t>
      </w:r>
      <w:r>
        <w:t>Abella, Moldaver, Karakatsanis, Rowe and Martin JJ.</w:t>
      </w:r>
    </w:p>
    <w:p w:rsidR="008322BD" w:rsidRPr="001C779F" w:rsidRDefault="00656313" w:rsidP="006C33E6">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DF482B">
        <w:t xml:space="preserve">court of appeal </w:t>
      </w:r>
      <w:r w:rsidR="009B57B3">
        <w:t>f</w:t>
      </w:r>
      <w:r w:rsidR="00DF482B">
        <w:t>or</w:t>
      </w:r>
      <w:r w:rsidR="009B57B3">
        <w:t xml:space="preserve"> alberta </w:t>
      </w:r>
    </w:p>
    <w:p w:rsidR="00A149DF" w:rsidRPr="00E949A1" w:rsidRDefault="009B57B3" w:rsidP="006C33E6">
      <w:pPr>
        <w:pStyle w:val="SCCNormalDoubleSpacing"/>
        <w:spacing w:after="480"/>
        <w:rPr>
          <w:i/>
        </w:rPr>
      </w:pPr>
      <w:r w:rsidRPr="00583EDE">
        <w:tab/>
      </w:r>
      <w:r w:rsidR="00E949A1">
        <w:rPr>
          <w:i/>
        </w:rPr>
        <w:t xml:space="preserve">Criminal law — Second degree murder — Elements of offence — </w:t>
      </w:r>
      <w:r w:rsidR="00BB7EC6">
        <w:rPr>
          <w:i/>
        </w:rPr>
        <w:t>A</w:t>
      </w:r>
      <w:r w:rsidR="005D4038">
        <w:rPr>
          <w:i/>
        </w:rPr>
        <w:t xml:space="preserve">ccused and co-accused </w:t>
      </w:r>
      <w:r w:rsidR="00BB7EC6">
        <w:rPr>
          <w:i/>
        </w:rPr>
        <w:t xml:space="preserve">found </w:t>
      </w:r>
      <w:r w:rsidR="005D4038">
        <w:rPr>
          <w:i/>
        </w:rPr>
        <w:t xml:space="preserve">guilty of second degree </w:t>
      </w:r>
      <w:r w:rsidR="005D4038" w:rsidRPr="00BB7EC6">
        <w:rPr>
          <w:i/>
        </w:rPr>
        <w:t xml:space="preserve">murder </w:t>
      </w:r>
      <w:r w:rsidR="00BB7EC6" w:rsidRPr="009B23DB">
        <w:rPr>
          <w:i/>
        </w:rPr>
        <w:t>in stabbing death of victim who owed drug debt</w:t>
      </w:r>
      <w:r w:rsidR="00BB7EC6">
        <w:rPr>
          <w:i/>
        </w:rPr>
        <w:t xml:space="preserve"> </w:t>
      </w:r>
      <w:r w:rsidR="00341799">
        <w:rPr>
          <w:i/>
        </w:rPr>
        <w:t>—</w:t>
      </w:r>
      <w:r w:rsidR="006344D2">
        <w:rPr>
          <w:i/>
        </w:rPr>
        <w:t xml:space="preserve"> </w:t>
      </w:r>
      <w:r w:rsidR="006344D2" w:rsidRPr="00EA6EC6">
        <w:rPr>
          <w:i/>
        </w:rPr>
        <w:t xml:space="preserve">Trial judge </w:t>
      </w:r>
      <w:r w:rsidR="00BB7EC6">
        <w:rPr>
          <w:i/>
        </w:rPr>
        <w:t xml:space="preserve">not explicitly </w:t>
      </w:r>
      <w:r w:rsidR="006344D2" w:rsidRPr="00EA6EC6">
        <w:rPr>
          <w:i/>
        </w:rPr>
        <w:t>finding that accused stabbed victim</w:t>
      </w:r>
      <w:r w:rsidR="006344D2">
        <w:rPr>
          <w:i/>
        </w:rPr>
        <w:t xml:space="preserve"> </w:t>
      </w:r>
      <w:r w:rsidR="00BB7EC6">
        <w:rPr>
          <w:i/>
        </w:rPr>
        <w:t xml:space="preserve">or that he had requisite subjective intent for murder </w:t>
      </w:r>
      <w:r w:rsidR="00EA6EC6">
        <w:rPr>
          <w:i/>
        </w:rPr>
        <w:t xml:space="preserve">— </w:t>
      </w:r>
      <w:r w:rsidR="00BB7EC6">
        <w:rPr>
          <w:i/>
        </w:rPr>
        <w:t xml:space="preserve">Court of Appeal upholding conviction — </w:t>
      </w:r>
      <w:r w:rsidR="00E949A1">
        <w:rPr>
          <w:i/>
        </w:rPr>
        <w:t xml:space="preserve">Court of Appeal </w:t>
      </w:r>
      <w:r w:rsidR="007E0225">
        <w:rPr>
          <w:i/>
        </w:rPr>
        <w:t xml:space="preserve">erred </w:t>
      </w:r>
      <w:r w:rsidR="0078658A">
        <w:rPr>
          <w:i/>
        </w:rPr>
        <w:t xml:space="preserve">in making finding of fact not articulated by trial judge and </w:t>
      </w:r>
      <w:r w:rsidR="007E0225">
        <w:rPr>
          <w:i/>
        </w:rPr>
        <w:t xml:space="preserve">in </w:t>
      </w:r>
      <w:r w:rsidR="00BB7EC6">
        <w:rPr>
          <w:i/>
        </w:rPr>
        <w:t xml:space="preserve">accepting </w:t>
      </w:r>
      <w:r w:rsidR="00AF11A5">
        <w:rPr>
          <w:i/>
        </w:rPr>
        <w:t xml:space="preserve">trial judge’s </w:t>
      </w:r>
      <w:r w:rsidR="00B236BB">
        <w:rPr>
          <w:i/>
        </w:rPr>
        <w:t xml:space="preserve">statement of intent </w:t>
      </w:r>
      <w:r w:rsidR="00BB7EC6">
        <w:rPr>
          <w:i/>
        </w:rPr>
        <w:t xml:space="preserve">as </w:t>
      </w:r>
      <w:r w:rsidR="00B236BB">
        <w:rPr>
          <w:i/>
        </w:rPr>
        <w:t xml:space="preserve">sufficient </w:t>
      </w:r>
      <w:r w:rsidR="00BB7EC6">
        <w:rPr>
          <w:i/>
        </w:rPr>
        <w:t xml:space="preserve">to support murder conviction </w:t>
      </w:r>
      <w:r w:rsidR="00E949A1">
        <w:rPr>
          <w:i/>
        </w:rPr>
        <w:t>— Conviction for manslaughter substituted to conviction for second degree murder</w:t>
      </w:r>
      <w:r w:rsidR="005D4038">
        <w:rPr>
          <w:i/>
        </w:rPr>
        <w:t xml:space="preserve"> — Criminal Code, R.S.C. 1985, c. C-46, s. </w:t>
      </w:r>
      <w:r w:rsidR="005D4038" w:rsidRPr="005D4038">
        <w:rPr>
          <w:i/>
        </w:rPr>
        <w:t>229(a)(ii)</w:t>
      </w:r>
      <w:r w:rsidR="00E949A1" w:rsidRPr="005D4038">
        <w:rPr>
          <w:i/>
        </w:rPr>
        <w:t>.</w:t>
      </w:r>
    </w:p>
    <w:p w:rsidR="00A149DF" w:rsidRPr="00613969" w:rsidRDefault="002E6705" w:rsidP="006C33E6">
      <w:pPr>
        <w:pStyle w:val="SCCNormalDoubleSpacing"/>
        <w:spacing w:after="720" w:line="240" w:lineRule="auto"/>
      </w:pPr>
      <w:r w:rsidRPr="00314E01">
        <w:rPr>
          <w:b/>
        </w:rPr>
        <w:t>Cases Cited</w:t>
      </w:r>
    </w:p>
    <w:p w:rsidR="004E2C26" w:rsidRPr="006C7D56" w:rsidRDefault="002E6705" w:rsidP="006C33E6">
      <w:pPr>
        <w:pStyle w:val="SCCNormalDoubleSpacing"/>
        <w:spacing w:after="480"/>
      </w:pPr>
      <w:r>
        <w:tab/>
      </w:r>
      <w:r w:rsidRPr="00314E01">
        <w:rPr>
          <w:b/>
        </w:rPr>
        <w:t>Referred to:</w:t>
      </w:r>
      <w:r w:rsidR="00BD0E9E" w:rsidRPr="00BD0E9E">
        <w:t xml:space="preserve"> </w:t>
      </w:r>
      <w:r w:rsidR="006C7D56">
        <w:rPr>
          <w:i/>
        </w:rPr>
        <w:t>R. v. Cooper</w:t>
      </w:r>
      <w:r w:rsidR="006C7D56">
        <w:t>, [1993] 1 S.C.R. 146.</w:t>
      </w:r>
    </w:p>
    <w:p w:rsidR="006C7D56" w:rsidRPr="00383EEA" w:rsidRDefault="002E6705" w:rsidP="006C33E6">
      <w:pPr>
        <w:pStyle w:val="SCCNormalDoubleSpacing"/>
        <w:spacing w:after="720" w:line="240" w:lineRule="auto"/>
        <w:rPr>
          <w:i/>
        </w:rPr>
      </w:pPr>
      <w:r w:rsidRPr="00314E01">
        <w:rPr>
          <w:b/>
        </w:rPr>
        <w:t>Statutes and Regulations Cite</w:t>
      </w:r>
      <w:r w:rsidR="00A41805">
        <w:rPr>
          <w:b/>
        </w:rPr>
        <w:t>d</w:t>
      </w:r>
    </w:p>
    <w:p w:rsidR="00A149DF" w:rsidRPr="00383EEA" w:rsidRDefault="006C7D56" w:rsidP="0007781F">
      <w:pPr>
        <w:pStyle w:val="SCCNormalDoubleSpacing"/>
        <w:spacing w:after="480"/>
      </w:pPr>
      <w:r w:rsidRPr="00383EEA">
        <w:rPr>
          <w:i/>
        </w:rPr>
        <w:t>Criminal Code</w:t>
      </w:r>
      <w:r w:rsidRPr="00383EEA">
        <w:t>, R.S.C. 1985, c. C-46, ss. 229(a)(ii), 686(1)(b)(i).</w:t>
      </w:r>
    </w:p>
    <w:p w:rsidR="00656313" w:rsidRDefault="00DF482B" w:rsidP="0007781F">
      <w:pPr>
        <w:pStyle w:val="SCCNormalDoubleSpacing"/>
        <w:spacing w:after="480"/>
      </w:pPr>
      <w:r w:rsidRPr="00383EEA">
        <w:tab/>
      </w:r>
      <w:r w:rsidR="009B57B3" w:rsidRPr="001426A9">
        <w:t xml:space="preserve">APPEAL from a judgment of the </w:t>
      </w:r>
      <w:r w:rsidR="00A63C7B">
        <w:t xml:space="preserve">Alberta </w:t>
      </w:r>
      <w:r w:rsidR="009B57B3">
        <w:t xml:space="preserve">Court of Appeal </w:t>
      </w:r>
      <w:r w:rsidR="00E44E45">
        <w:t xml:space="preserve">(Berger, Martin and </w:t>
      </w:r>
      <w:r>
        <w:t>Strekaf JJ.A.), 2018 ABCA 360, 367 C.C.C. (3d) 1, [2018] A.J. No. 1280 (QL), 2018 CarswellAlta 2557 (WL Can</w:t>
      </w:r>
      <w:r w:rsidRPr="00E949A1">
        <w:t xml:space="preserve">.), </w:t>
      </w:r>
      <w:r w:rsidR="00C27A53" w:rsidRPr="00E949A1">
        <w:t xml:space="preserve">affirming </w:t>
      </w:r>
      <w:r w:rsidR="00CF372F" w:rsidRPr="00E949A1">
        <w:t>the conviction of the accused for second degree murder</w:t>
      </w:r>
      <w:r w:rsidR="00E54B9A" w:rsidRPr="00E949A1">
        <w:t>.</w:t>
      </w:r>
      <w:r>
        <w:t xml:space="preserve"> </w:t>
      </w:r>
      <w:r w:rsidR="00C27A53" w:rsidRPr="00BB7EC6">
        <w:t>Appeal dismissed</w:t>
      </w:r>
      <w:r w:rsidRPr="00BB7EC6">
        <w:t>.</w:t>
      </w:r>
    </w:p>
    <w:p w:rsidR="002E26EE" w:rsidRDefault="006E1381" w:rsidP="0007781F">
      <w:pPr>
        <w:pStyle w:val="SCCNormalDoubleSpacing"/>
        <w:spacing w:after="480"/>
      </w:pPr>
      <w:r>
        <w:rPr>
          <w:rStyle w:val="SCCCounselNameChar"/>
        </w:rPr>
        <w:tab/>
        <w:t>Karen B. Molle</w:t>
      </w:r>
      <w:r w:rsidR="009C4C49">
        <w:rPr>
          <w:rStyle w:val="SCCCounselNameChar"/>
        </w:rPr>
        <w:t xml:space="preserve"> </w:t>
      </w:r>
      <w:r w:rsidR="009C4C49">
        <w:rPr>
          <w:rStyle w:val="SCCCounselNameChar"/>
          <w:i w:val="0"/>
        </w:rPr>
        <w:t xml:space="preserve">and </w:t>
      </w:r>
      <w:r w:rsidR="009C4C49">
        <w:rPr>
          <w:rStyle w:val="SCCCounselNameChar"/>
        </w:rPr>
        <w:t>Jennifer Ruttan</w:t>
      </w:r>
      <w:r>
        <w:rPr>
          <w:rStyle w:val="SCCCounselPartyRoleChar"/>
        </w:rPr>
        <w:t xml:space="preserve">, for the </w:t>
      </w:r>
      <w:r w:rsidR="00C27A53">
        <w:rPr>
          <w:rStyle w:val="SCCCounselPartyRoleChar"/>
        </w:rPr>
        <w:t>appellant</w:t>
      </w:r>
      <w:r>
        <w:rPr>
          <w:rStyle w:val="SCCCounselPartyRoleChar"/>
        </w:rPr>
        <w:t>.</w:t>
      </w:r>
    </w:p>
    <w:p w:rsidR="00C27A53" w:rsidRDefault="006E1381" w:rsidP="0007781F">
      <w:pPr>
        <w:pStyle w:val="SCCNormalDoubleSpacing"/>
        <w:spacing w:after="480"/>
      </w:pPr>
      <w:r>
        <w:rPr>
          <w:rStyle w:val="SCCCounselNameChar"/>
        </w:rPr>
        <w:tab/>
        <w:t xml:space="preserve">Brian </w:t>
      </w:r>
      <w:r w:rsidR="009C4C49">
        <w:rPr>
          <w:rStyle w:val="SCCCounselNameChar"/>
        </w:rPr>
        <w:t xml:space="preserve">R. </w:t>
      </w:r>
      <w:r>
        <w:rPr>
          <w:rStyle w:val="SCCCounselNameChar"/>
        </w:rPr>
        <w:t>Graff</w:t>
      </w:r>
      <w:r>
        <w:rPr>
          <w:rStyle w:val="SCCCounselPartyRoleChar"/>
        </w:rPr>
        <w:t>, for the respondent.</w:t>
      </w:r>
    </w:p>
    <w:p w:rsidR="00C27A53" w:rsidRDefault="00E54B9A" w:rsidP="00FC4EFB">
      <w:pPr>
        <w:pStyle w:val="SCCNormalDoubleSpacing"/>
        <w:rPr>
          <w:lang w:val="en"/>
        </w:rPr>
      </w:pPr>
      <w:r>
        <w:rPr>
          <w:lang w:val="en"/>
        </w:rPr>
        <w:tab/>
      </w:r>
      <w:r w:rsidR="00C27A53">
        <w:rPr>
          <w:lang w:val="en"/>
        </w:rPr>
        <w:t xml:space="preserve">The </w:t>
      </w:r>
      <w:r w:rsidR="00401E5E">
        <w:rPr>
          <w:lang w:val="en"/>
        </w:rPr>
        <w:t xml:space="preserve">following is the </w:t>
      </w:r>
      <w:r w:rsidR="00C27A53">
        <w:rPr>
          <w:lang w:val="en"/>
        </w:rPr>
        <w:t>judgment delivered orally by</w:t>
      </w:r>
    </w:p>
    <w:p w:rsidR="00FC647A" w:rsidRPr="00FC647A" w:rsidRDefault="00C27A53" w:rsidP="0007781F">
      <w:pPr>
        <w:pStyle w:val="ParaNoNdepar-AltN"/>
        <w:numPr>
          <w:ilvl w:val="0"/>
          <w:numId w:val="0"/>
        </w:numPr>
      </w:pPr>
      <w:r w:rsidRPr="00FC647A">
        <w:t>[1]</w:t>
      </w:r>
      <w:r w:rsidRPr="00FC647A">
        <w:tab/>
      </w:r>
      <w:r w:rsidR="00151EB7">
        <w:rPr>
          <w:smallCaps/>
        </w:rPr>
        <w:t>T</w:t>
      </w:r>
      <w:r w:rsidR="00FC647A" w:rsidRPr="00FC647A">
        <w:rPr>
          <w:smallCaps/>
        </w:rPr>
        <w:t>he Court</w:t>
      </w:r>
      <w:r w:rsidRPr="00FC647A">
        <w:t xml:space="preserve"> </w:t>
      </w:r>
      <w:r w:rsidR="00FC647A" w:rsidRPr="00FC647A">
        <w:t>— In order to uphold the conviction for second degree murder, the majority in the Court of Appeal had to be satisfied that the trial judge found that the appellant himself had stabbed the victim. The trial judge expressly refrained from making that finding. The majority considered the evidence and found that “the conclusion that it was the appellant who inflicted the stab wounds is well founded in the evidence” (para. 29). In doing so, the majority erred by making a finding of fact that the trial judge declined to make.</w:t>
      </w:r>
    </w:p>
    <w:p w:rsidR="00FC647A" w:rsidRPr="00FC647A" w:rsidRDefault="00FC647A" w:rsidP="0007781F">
      <w:pPr>
        <w:pStyle w:val="ParaNoNdepar-AltN"/>
        <w:numPr>
          <w:ilvl w:val="0"/>
          <w:numId w:val="0"/>
        </w:numPr>
      </w:pPr>
      <w:r>
        <w:t>[2]</w:t>
      </w:r>
      <w:r>
        <w:tab/>
      </w:r>
      <w:r w:rsidRPr="00FC647A">
        <w:t xml:space="preserve">In addition, if the trial judge had concluded that it was the appellant who stabbed the victim, it is unclear whether he correctly analyzed the subjective </w:t>
      </w:r>
      <w:r w:rsidRPr="00FC647A">
        <w:rPr>
          <w:i/>
        </w:rPr>
        <w:t>mens rea</w:t>
      </w:r>
      <w:r w:rsidRPr="00FC647A">
        <w:t xml:space="preserve"> requirement for second degree murder under s. 229(a)(ii) of the </w:t>
      </w:r>
      <w:r w:rsidRPr="00FC647A">
        <w:rPr>
          <w:i/>
        </w:rPr>
        <w:t>Criminal Code</w:t>
      </w:r>
      <w:r w:rsidRPr="00FC647A">
        <w:t xml:space="preserve">, R.S.C. 1985, c. C-46. The trial judge failed to consider the crucial question of what the appellant subjectively knew and intended at the time of the stabbing (in accordance with </w:t>
      </w:r>
      <w:r w:rsidRPr="00FC647A">
        <w:rPr>
          <w:i/>
        </w:rPr>
        <w:t>R. v. Cooper</w:t>
      </w:r>
      <w:r w:rsidRPr="00FC647A">
        <w:t xml:space="preserve">, [1993] 1 S.C.R. 146, at p. 159). By accepting the trial judge’s statement of intent as sufficient to support the conviction for murder (para. 34), the majority further erred. </w:t>
      </w:r>
    </w:p>
    <w:p w:rsidR="00FC647A" w:rsidRDefault="00FC647A" w:rsidP="0007781F">
      <w:pPr>
        <w:pStyle w:val="ParaNoNdepar-AltN"/>
        <w:numPr>
          <w:ilvl w:val="0"/>
          <w:numId w:val="0"/>
        </w:numPr>
      </w:pPr>
      <w:r>
        <w:t>[3]</w:t>
      </w:r>
      <w:r>
        <w:tab/>
      </w:r>
      <w:r w:rsidRPr="00FC647A">
        <w:t xml:space="preserve">Both the appellant and the respondent advised the Court that they were content with our substituting a verdict of manslaughter instead of ordering a new trial. Accordingly, pursuant to s. 686(1)(b)(i) of the </w:t>
      </w:r>
      <w:r w:rsidRPr="00FC647A">
        <w:rPr>
          <w:i/>
        </w:rPr>
        <w:t>Criminal Code</w:t>
      </w:r>
      <w:r w:rsidRPr="00FC647A">
        <w:t>, the appeal is dismissed and a verdict of manslaughter is substituted, and the matter is remitted to the trial judge for sentencing.</w:t>
      </w:r>
    </w:p>
    <w:p w:rsidR="00A149DF" w:rsidRPr="001426A9" w:rsidRDefault="00C27A53" w:rsidP="0007781F">
      <w:pPr>
        <w:pStyle w:val="SCCNormalDoubleSpacing"/>
        <w:spacing w:after="480"/>
      </w:pPr>
      <w:r>
        <w:tab/>
      </w:r>
      <w:r>
        <w:rPr>
          <w:i/>
        </w:rPr>
        <w:t>Judgment accordingly.</w:t>
      </w:r>
    </w:p>
    <w:p w:rsidR="0078060C" w:rsidRPr="0078060C" w:rsidRDefault="00C27A53" w:rsidP="0007781F">
      <w:pPr>
        <w:pStyle w:val="SCCLawFirm"/>
        <w:spacing w:after="480"/>
      </w:pPr>
      <w:r>
        <w:tab/>
        <w:t>Solicitor</w:t>
      </w:r>
      <w:r w:rsidR="009C4C49">
        <w:t>s</w:t>
      </w:r>
      <w:r w:rsidR="006E1381">
        <w:t xml:space="preserve"> for the </w:t>
      </w:r>
      <w:r>
        <w:t>appellant</w:t>
      </w:r>
      <w:r w:rsidR="006C33E6">
        <w:t xml:space="preserve">: </w:t>
      </w:r>
      <w:r w:rsidR="006E1381">
        <w:t>Karen Molle</w:t>
      </w:r>
      <w:r w:rsidR="009C4C49">
        <w:t xml:space="preserve"> Law Office, Calgary; Rut</w:t>
      </w:r>
      <w:r w:rsidR="00383EEA">
        <w:t>t</w:t>
      </w:r>
      <w:r w:rsidR="009C4C49">
        <w:t xml:space="preserve">an </w:t>
      </w:r>
      <w:r w:rsidR="009C4C49" w:rsidRPr="00347F5B">
        <w:t>Bates, Calgary.</w:t>
      </w:r>
    </w:p>
    <w:p w:rsidR="009B57B3" w:rsidRPr="00383EEA" w:rsidRDefault="00C27A53" w:rsidP="006C33E6">
      <w:pPr>
        <w:pStyle w:val="SCCLawFirm"/>
      </w:pPr>
      <w:r>
        <w:tab/>
        <w:t>Solicitor</w:t>
      </w:r>
      <w:r w:rsidR="006C33E6">
        <w:t xml:space="preserve"> for the respondent: </w:t>
      </w:r>
      <w:r w:rsidR="006E1381">
        <w:t>Attorney General of Alberta, Calgary.</w:t>
      </w:r>
    </w:p>
    <w:sectPr w:rsidR="009B57B3" w:rsidRPr="00383EEA"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57F" w:rsidRDefault="00D3557F">
      <w:r>
        <w:separator/>
      </w:r>
    </w:p>
  </w:endnote>
  <w:endnote w:type="continuationSeparator" w:id="0">
    <w:p w:rsidR="00D3557F" w:rsidRDefault="00D3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57F" w:rsidRDefault="00D3557F">
      <w:r>
        <w:separator/>
      </w:r>
    </w:p>
  </w:footnote>
  <w:footnote w:type="continuationSeparator" w:id="0">
    <w:p w:rsidR="00D3557F" w:rsidRDefault="00D35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45A5F"/>
    <w:multiLevelType w:val="multilevel"/>
    <w:tmpl w:val="5F78D848"/>
    <w:lvl w:ilvl="0">
      <w:start w:val="1"/>
      <w:numFmt w:val="decimal"/>
      <w:pStyle w:val="ParaNoNdepar-Alt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removePersonalInformation/>
  <w:removeDateAndTime/>
  <w:bordersDoNotSurroundHeader/>
  <w:bordersDoNotSurroundFooter/>
  <w:revisionView w:inkAnnotation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578A3"/>
    <w:rsid w:val="000648CC"/>
    <w:rsid w:val="0007781F"/>
    <w:rsid w:val="000C59B8"/>
    <w:rsid w:val="000C6AF0"/>
    <w:rsid w:val="000D399C"/>
    <w:rsid w:val="00104F33"/>
    <w:rsid w:val="00111DE2"/>
    <w:rsid w:val="00116B38"/>
    <w:rsid w:val="00127889"/>
    <w:rsid w:val="00135406"/>
    <w:rsid w:val="00135972"/>
    <w:rsid w:val="001426A9"/>
    <w:rsid w:val="00151EB7"/>
    <w:rsid w:val="00154D7C"/>
    <w:rsid w:val="001570B0"/>
    <w:rsid w:val="0015752C"/>
    <w:rsid w:val="00157737"/>
    <w:rsid w:val="00165277"/>
    <w:rsid w:val="00170592"/>
    <w:rsid w:val="00186351"/>
    <w:rsid w:val="00195D83"/>
    <w:rsid w:val="001A00C1"/>
    <w:rsid w:val="001B33E0"/>
    <w:rsid w:val="001B4573"/>
    <w:rsid w:val="001C779F"/>
    <w:rsid w:val="001D2AC1"/>
    <w:rsid w:val="001D4E88"/>
    <w:rsid w:val="00220FC2"/>
    <w:rsid w:val="002222F4"/>
    <w:rsid w:val="00224FC0"/>
    <w:rsid w:val="00225EA4"/>
    <w:rsid w:val="00226EAF"/>
    <w:rsid w:val="00231F3A"/>
    <w:rsid w:val="00234199"/>
    <w:rsid w:val="002406EE"/>
    <w:rsid w:val="00243EC8"/>
    <w:rsid w:val="00270D93"/>
    <w:rsid w:val="002745CC"/>
    <w:rsid w:val="00296B94"/>
    <w:rsid w:val="002B7924"/>
    <w:rsid w:val="002D28C3"/>
    <w:rsid w:val="002D39A4"/>
    <w:rsid w:val="002E26EE"/>
    <w:rsid w:val="002E6705"/>
    <w:rsid w:val="00301D08"/>
    <w:rsid w:val="0030329A"/>
    <w:rsid w:val="0031086F"/>
    <w:rsid w:val="0031414C"/>
    <w:rsid w:val="00314E01"/>
    <w:rsid w:val="0032089D"/>
    <w:rsid w:val="00330FD0"/>
    <w:rsid w:val="003310DE"/>
    <w:rsid w:val="003323B0"/>
    <w:rsid w:val="00341799"/>
    <w:rsid w:val="00347F5B"/>
    <w:rsid w:val="0035169A"/>
    <w:rsid w:val="0035259D"/>
    <w:rsid w:val="00364B18"/>
    <w:rsid w:val="00383EEA"/>
    <w:rsid w:val="003A125D"/>
    <w:rsid w:val="003A4C70"/>
    <w:rsid w:val="003B215F"/>
    <w:rsid w:val="003C799C"/>
    <w:rsid w:val="003D0399"/>
    <w:rsid w:val="003E1C71"/>
    <w:rsid w:val="003E5101"/>
    <w:rsid w:val="003F327B"/>
    <w:rsid w:val="00401E5E"/>
    <w:rsid w:val="00406166"/>
    <w:rsid w:val="0040704B"/>
    <w:rsid w:val="00410A55"/>
    <w:rsid w:val="00411300"/>
    <w:rsid w:val="00415417"/>
    <w:rsid w:val="00426659"/>
    <w:rsid w:val="00450352"/>
    <w:rsid w:val="004549E3"/>
    <w:rsid w:val="00454BDB"/>
    <w:rsid w:val="00464800"/>
    <w:rsid w:val="00465132"/>
    <w:rsid w:val="00480C90"/>
    <w:rsid w:val="0048396F"/>
    <w:rsid w:val="00493C18"/>
    <w:rsid w:val="004A600C"/>
    <w:rsid w:val="004A6118"/>
    <w:rsid w:val="004C478D"/>
    <w:rsid w:val="004E2C26"/>
    <w:rsid w:val="004F36FF"/>
    <w:rsid w:val="00500A3A"/>
    <w:rsid w:val="005125A8"/>
    <w:rsid w:val="00521AE8"/>
    <w:rsid w:val="00527180"/>
    <w:rsid w:val="0054201E"/>
    <w:rsid w:val="00555291"/>
    <w:rsid w:val="00566AD1"/>
    <w:rsid w:val="00583EDE"/>
    <w:rsid w:val="005A6079"/>
    <w:rsid w:val="005D4038"/>
    <w:rsid w:val="005E4698"/>
    <w:rsid w:val="00610539"/>
    <w:rsid w:val="00613969"/>
    <w:rsid w:val="00625C35"/>
    <w:rsid w:val="006344D2"/>
    <w:rsid w:val="00656313"/>
    <w:rsid w:val="006565F4"/>
    <w:rsid w:val="00684EEA"/>
    <w:rsid w:val="0069689B"/>
    <w:rsid w:val="006A1551"/>
    <w:rsid w:val="006B5FF5"/>
    <w:rsid w:val="006C33E6"/>
    <w:rsid w:val="006C7D56"/>
    <w:rsid w:val="006E1381"/>
    <w:rsid w:val="006F30AF"/>
    <w:rsid w:val="00701759"/>
    <w:rsid w:val="00705C15"/>
    <w:rsid w:val="0071600E"/>
    <w:rsid w:val="007208D1"/>
    <w:rsid w:val="00747288"/>
    <w:rsid w:val="00747DD3"/>
    <w:rsid w:val="007549C8"/>
    <w:rsid w:val="00754A0B"/>
    <w:rsid w:val="00766D14"/>
    <w:rsid w:val="00767A0F"/>
    <w:rsid w:val="0078060C"/>
    <w:rsid w:val="0078658A"/>
    <w:rsid w:val="00792A02"/>
    <w:rsid w:val="007A05F6"/>
    <w:rsid w:val="007B6F4A"/>
    <w:rsid w:val="007E0225"/>
    <w:rsid w:val="007E1C47"/>
    <w:rsid w:val="007E337A"/>
    <w:rsid w:val="007E5C70"/>
    <w:rsid w:val="007F2FF5"/>
    <w:rsid w:val="007F3F08"/>
    <w:rsid w:val="00804CC6"/>
    <w:rsid w:val="00817190"/>
    <w:rsid w:val="00820EE5"/>
    <w:rsid w:val="008260E2"/>
    <w:rsid w:val="008322BD"/>
    <w:rsid w:val="00833E0A"/>
    <w:rsid w:val="00834F73"/>
    <w:rsid w:val="00864CF8"/>
    <w:rsid w:val="00872819"/>
    <w:rsid w:val="00874914"/>
    <w:rsid w:val="00891422"/>
    <w:rsid w:val="00892E1A"/>
    <w:rsid w:val="008A3F29"/>
    <w:rsid w:val="008B660A"/>
    <w:rsid w:val="008C01DA"/>
    <w:rsid w:val="008F78E9"/>
    <w:rsid w:val="00911989"/>
    <w:rsid w:val="009179F9"/>
    <w:rsid w:val="00933E5E"/>
    <w:rsid w:val="00935218"/>
    <w:rsid w:val="009403F3"/>
    <w:rsid w:val="009555B7"/>
    <w:rsid w:val="009567AA"/>
    <w:rsid w:val="00967374"/>
    <w:rsid w:val="009A343A"/>
    <w:rsid w:val="009B23DB"/>
    <w:rsid w:val="009B2F23"/>
    <w:rsid w:val="009B57B3"/>
    <w:rsid w:val="009C4C49"/>
    <w:rsid w:val="009C5B92"/>
    <w:rsid w:val="009D2920"/>
    <w:rsid w:val="009D5723"/>
    <w:rsid w:val="009D5AEB"/>
    <w:rsid w:val="009F0E33"/>
    <w:rsid w:val="00A030CE"/>
    <w:rsid w:val="00A149DF"/>
    <w:rsid w:val="00A1755C"/>
    <w:rsid w:val="00A21B90"/>
    <w:rsid w:val="00A41805"/>
    <w:rsid w:val="00A42DCD"/>
    <w:rsid w:val="00A52AFB"/>
    <w:rsid w:val="00A548CB"/>
    <w:rsid w:val="00A5521C"/>
    <w:rsid w:val="00A63C7B"/>
    <w:rsid w:val="00A643E7"/>
    <w:rsid w:val="00A73C38"/>
    <w:rsid w:val="00AB670D"/>
    <w:rsid w:val="00AC4C6C"/>
    <w:rsid w:val="00AE4535"/>
    <w:rsid w:val="00AF03C5"/>
    <w:rsid w:val="00AF11A5"/>
    <w:rsid w:val="00B000D8"/>
    <w:rsid w:val="00B00F75"/>
    <w:rsid w:val="00B145B6"/>
    <w:rsid w:val="00B2283D"/>
    <w:rsid w:val="00B236BB"/>
    <w:rsid w:val="00B279EB"/>
    <w:rsid w:val="00B50C81"/>
    <w:rsid w:val="00B557F8"/>
    <w:rsid w:val="00B815FC"/>
    <w:rsid w:val="00B93FBC"/>
    <w:rsid w:val="00BA7DA0"/>
    <w:rsid w:val="00BB2EE4"/>
    <w:rsid w:val="00BB7EC6"/>
    <w:rsid w:val="00BC2108"/>
    <w:rsid w:val="00BD0E9E"/>
    <w:rsid w:val="00BD1BEC"/>
    <w:rsid w:val="00BD32FF"/>
    <w:rsid w:val="00C02092"/>
    <w:rsid w:val="00C24D91"/>
    <w:rsid w:val="00C27A53"/>
    <w:rsid w:val="00C53F14"/>
    <w:rsid w:val="00C600CF"/>
    <w:rsid w:val="00C6084F"/>
    <w:rsid w:val="00C62A66"/>
    <w:rsid w:val="00C71458"/>
    <w:rsid w:val="00C77613"/>
    <w:rsid w:val="00C828E7"/>
    <w:rsid w:val="00C86719"/>
    <w:rsid w:val="00C921DD"/>
    <w:rsid w:val="00CA6391"/>
    <w:rsid w:val="00CC34BD"/>
    <w:rsid w:val="00CE161A"/>
    <w:rsid w:val="00CE3171"/>
    <w:rsid w:val="00CF1601"/>
    <w:rsid w:val="00CF372F"/>
    <w:rsid w:val="00D0172F"/>
    <w:rsid w:val="00D068A7"/>
    <w:rsid w:val="00D17476"/>
    <w:rsid w:val="00D32086"/>
    <w:rsid w:val="00D3557F"/>
    <w:rsid w:val="00D37A3F"/>
    <w:rsid w:val="00D4431D"/>
    <w:rsid w:val="00D4667A"/>
    <w:rsid w:val="00D63A1C"/>
    <w:rsid w:val="00D7516F"/>
    <w:rsid w:val="00D8579F"/>
    <w:rsid w:val="00D95F8E"/>
    <w:rsid w:val="00DA0590"/>
    <w:rsid w:val="00DB7BEA"/>
    <w:rsid w:val="00DC1739"/>
    <w:rsid w:val="00DC1788"/>
    <w:rsid w:val="00DE319C"/>
    <w:rsid w:val="00DF0CA8"/>
    <w:rsid w:val="00DF2B48"/>
    <w:rsid w:val="00DF482B"/>
    <w:rsid w:val="00DF49A7"/>
    <w:rsid w:val="00E07EE2"/>
    <w:rsid w:val="00E07FD1"/>
    <w:rsid w:val="00E176D8"/>
    <w:rsid w:val="00E24573"/>
    <w:rsid w:val="00E25E1E"/>
    <w:rsid w:val="00E27EE7"/>
    <w:rsid w:val="00E35404"/>
    <w:rsid w:val="00E44E45"/>
    <w:rsid w:val="00E45109"/>
    <w:rsid w:val="00E47B7A"/>
    <w:rsid w:val="00E54B9A"/>
    <w:rsid w:val="00E56A44"/>
    <w:rsid w:val="00E60269"/>
    <w:rsid w:val="00E77932"/>
    <w:rsid w:val="00E949A1"/>
    <w:rsid w:val="00E97830"/>
    <w:rsid w:val="00EA6EC6"/>
    <w:rsid w:val="00EB413A"/>
    <w:rsid w:val="00EE643C"/>
    <w:rsid w:val="00EF0683"/>
    <w:rsid w:val="00EF69D2"/>
    <w:rsid w:val="00EF766E"/>
    <w:rsid w:val="00F0070C"/>
    <w:rsid w:val="00F00EB7"/>
    <w:rsid w:val="00F1783D"/>
    <w:rsid w:val="00F36AB6"/>
    <w:rsid w:val="00F37A09"/>
    <w:rsid w:val="00F409CE"/>
    <w:rsid w:val="00F4379D"/>
    <w:rsid w:val="00F50D2D"/>
    <w:rsid w:val="00F56C8B"/>
    <w:rsid w:val="00F66810"/>
    <w:rsid w:val="00F846D9"/>
    <w:rsid w:val="00F84DF4"/>
    <w:rsid w:val="00F85C97"/>
    <w:rsid w:val="00FB1E2D"/>
    <w:rsid w:val="00FB37D2"/>
    <w:rsid w:val="00FC4EFB"/>
    <w:rsid w:val="00FC647A"/>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qFormat/>
    <w:rsid w:val="0007781F"/>
    <w:pPr>
      <w:numPr>
        <w:numId w:val="1"/>
      </w:numPr>
      <w:tabs>
        <w:tab w:val="left" w:pos="1166"/>
      </w:tabs>
      <w:spacing w:before="480" w:after="480" w:line="480" w:lineRule="auto"/>
      <w:jc w:val="both"/>
    </w:pPr>
    <w:rPr>
      <w:rFonts w:eastAsiaTheme="minorEastAsia" w:cstheme="minorBidi"/>
      <w:sz w:val="24"/>
      <w:szCs w:val="22"/>
      <w:lang w:eastAsia="en-US"/>
    </w:rPr>
  </w:style>
  <w:style w:type="table" w:customStyle="1" w:styleId="TableGrid1">
    <w:name w:val="Table Grid1"/>
    <w:basedOn w:val="TableNormal"/>
    <w:next w:val="TableGrid"/>
    <w:uiPriority w:val="59"/>
    <w:rsid w:val="000D399C"/>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0D399C"/>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0D3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2021-02-28T20:07:00Z</dcterms:created>
  <dcterms:modified xsi:type="dcterms:W3CDTF">2021-03-03T14:05:00Z</dcterms:modified>
</cp:coreProperties>
</file>