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7C" w:rsidRPr="0082617C" w:rsidRDefault="0082617C" w:rsidP="00A572A5">
      <w:pPr>
        <w:tabs>
          <w:tab w:val="center" w:pos="4680"/>
          <w:tab w:val="right" w:pos="9360"/>
        </w:tabs>
        <w:jc w:val="center"/>
        <w:rPr>
          <w:rFonts w:eastAsia="Calibri"/>
          <w:szCs w:val="24"/>
          <w:lang w:eastAsia="en-US"/>
        </w:rPr>
      </w:pPr>
      <w:r w:rsidRPr="0082617C">
        <w:rPr>
          <w:rFonts w:eastAsia="Calibri"/>
          <w:szCs w:val="24"/>
          <w:lang w:eastAsia="en-US"/>
        </w:rPr>
        <w:ptab w:relativeTo="margin" w:alignment="center" w:leader="none"/>
      </w:r>
      <w:r w:rsidRPr="0082617C">
        <w:rPr>
          <w:rFonts w:eastAsia="Calibri"/>
          <w:szCs w:val="24"/>
          <w:lang w:eastAsia="en-US"/>
        </w:rPr>
        <w:t xml:space="preserve"> </w:t>
      </w:r>
      <w:bookmarkStart w:id="0" w:name="_GoBack"/>
      <w:r w:rsidRPr="0082617C">
        <w:rPr>
          <w:rFonts w:eastAsia="Calibr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8pt" o:ole="">
            <v:imagedata r:id="rId7" o:title=""/>
          </v:shape>
          <o:OLEObject Type="Embed" ProgID="Presentations.Drawing.13" ShapeID="_x0000_i1025" DrawAspect="Content" ObjectID="_1676112198" r:id="rId8"/>
        </w:object>
      </w:r>
      <w:bookmarkEnd w:id="0"/>
      <w:r w:rsidRPr="0082617C">
        <w:rPr>
          <w:rFonts w:eastAsia="Calibri"/>
          <w:szCs w:val="24"/>
          <w:lang w:eastAsia="en-US"/>
        </w:rPr>
        <w:t xml:space="preserve"> </w:t>
      </w:r>
      <w:r w:rsidRPr="0082617C">
        <w:rPr>
          <w:rFonts w:eastAsia="Calibri"/>
          <w:szCs w:val="24"/>
          <w:lang w:eastAsia="en-US"/>
        </w:rPr>
        <w:ptab w:relativeTo="margin" w:alignment="right" w:leader="none"/>
      </w:r>
    </w:p>
    <w:p w:rsidR="0082617C" w:rsidRPr="0082617C" w:rsidRDefault="0082617C" w:rsidP="0082617C">
      <w:pPr>
        <w:tabs>
          <w:tab w:val="center" w:pos="4680"/>
          <w:tab w:val="right" w:pos="9360"/>
        </w:tabs>
        <w:rPr>
          <w:rFonts w:eastAsia="Calibri"/>
          <w:szCs w:val="24"/>
          <w:lang w:eastAsia="en-US"/>
        </w:rPr>
      </w:pP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>SUPREME COURT OF CANADA</w:t>
      </w:r>
    </w:p>
    <w:p w:rsidR="0082617C" w:rsidRPr="0082617C" w:rsidRDefault="0082617C" w:rsidP="0082617C">
      <w:pPr>
        <w:rPr>
          <w:rFonts w:eastAsia="Calibri"/>
          <w:szCs w:val="24"/>
          <w:lang w:eastAsia="en-US"/>
        </w:rPr>
      </w:pPr>
    </w:p>
    <w:tbl>
      <w:tblPr>
        <w:tblStyle w:val="TableGrid11"/>
        <w:tblW w:w="53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1"/>
        <w:gridCol w:w="1756"/>
        <w:gridCol w:w="3387"/>
      </w:tblGrid>
      <w:tr w:rsidR="0082617C" w:rsidRPr="0082617C" w:rsidTr="00FD0877">
        <w:tc>
          <w:tcPr>
            <w:tcW w:w="2112" w:type="pct"/>
            <w:tcMar>
              <w:top w:w="284" w:type="dxa"/>
            </w:tcMar>
          </w:tcPr>
          <w:p w:rsidR="0082617C" w:rsidRPr="0082617C" w:rsidRDefault="0082617C" w:rsidP="0082617C">
            <w:pPr>
              <w:spacing w:before="100" w:beforeAutospacing="1"/>
              <w:rPr>
                <w:rFonts w:eastAsia="Calibri"/>
                <w:szCs w:val="24"/>
              </w:rPr>
            </w:pPr>
            <w:r w:rsidRPr="0082617C">
              <w:rPr>
                <w:b/>
                <w:smallCaps/>
                <w:szCs w:val="24"/>
              </w:rPr>
              <w:t>Citation:</w:t>
            </w:r>
            <w:r w:rsidRPr="0082617C">
              <w:rPr>
                <w:szCs w:val="24"/>
              </w:rPr>
              <w:t xml:space="preserve"> C</w:t>
            </w:r>
            <w:r w:rsidRPr="0082617C">
              <w:rPr>
                <w:rFonts w:eastAsia="Calibri"/>
              </w:rPr>
              <w:t>hristine DeJong Medicine Professional Corp.</w:t>
            </w:r>
            <w:r w:rsidRPr="0082617C">
              <w:rPr>
                <w:rFonts w:eastAsia="Calibri"/>
                <w:b/>
              </w:rPr>
              <w:t xml:space="preserve"> </w:t>
            </w:r>
            <w:r w:rsidRPr="0082617C">
              <w:rPr>
                <w:i/>
                <w:szCs w:val="24"/>
              </w:rPr>
              <w:t>v.</w:t>
            </w:r>
            <w:r w:rsidRPr="0082617C">
              <w:rPr>
                <w:szCs w:val="24"/>
              </w:rPr>
              <w:t xml:space="preserve"> </w:t>
            </w:r>
            <w:r w:rsidRPr="0082617C">
              <w:rPr>
                <w:rFonts w:eastAsia="Calibri"/>
              </w:rPr>
              <w:t>DBDC Spadina Ltd.</w:t>
            </w:r>
            <w:r w:rsidRPr="0082617C">
              <w:rPr>
                <w:rFonts w:eastAsia="Calibri"/>
                <w:smallCaps/>
                <w:lang w:val="en-US"/>
              </w:rPr>
              <w:t>, 2019 SCC 30, [2019] 2 S.C.R. 530</w:t>
            </w:r>
          </w:p>
        </w:tc>
        <w:tc>
          <w:tcPr>
            <w:tcW w:w="986" w:type="pct"/>
          </w:tcPr>
          <w:p w:rsidR="0082617C" w:rsidRPr="0082617C" w:rsidRDefault="0082617C" w:rsidP="0082617C">
            <w:pPr>
              <w:rPr>
                <w:b/>
                <w:smallCaps/>
                <w:szCs w:val="24"/>
              </w:rPr>
            </w:pPr>
          </w:p>
        </w:tc>
        <w:tc>
          <w:tcPr>
            <w:tcW w:w="1902" w:type="pct"/>
            <w:tcMar>
              <w:top w:w="284" w:type="dxa"/>
            </w:tcMar>
          </w:tcPr>
          <w:p w:rsidR="0082617C" w:rsidRPr="0082617C" w:rsidRDefault="0082617C" w:rsidP="0082617C">
            <w:pPr>
              <w:rPr>
                <w:szCs w:val="24"/>
              </w:rPr>
            </w:pPr>
            <w:r w:rsidRPr="0082617C">
              <w:rPr>
                <w:b/>
                <w:smallCaps/>
                <w:szCs w:val="24"/>
              </w:rPr>
              <w:t>Appeal Heard:</w:t>
            </w:r>
            <w:r w:rsidRPr="0082617C">
              <w:rPr>
                <w:szCs w:val="24"/>
              </w:rPr>
              <w:t xml:space="preserve"> May 14, 2019</w:t>
            </w:r>
          </w:p>
          <w:p w:rsidR="0082617C" w:rsidRPr="0082617C" w:rsidRDefault="0082617C" w:rsidP="0082617C">
            <w:pPr>
              <w:rPr>
                <w:szCs w:val="24"/>
              </w:rPr>
            </w:pPr>
            <w:r w:rsidRPr="0082617C">
              <w:rPr>
                <w:b/>
                <w:smallCaps/>
                <w:szCs w:val="24"/>
              </w:rPr>
              <w:t>Judgment Rendered:</w:t>
            </w:r>
            <w:r w:rsidRPr="0082617C">
              <w:rPr>
                <w:szCs w:val="24"/>
              </w:rPr>
              <w:t xml:space="preserve"> May 14, 2019</w:t>
            </w:r>
          </w:p>
          <w:p w:rsidR="0082617C" w:rsidRPr="0082617C" w:rsidRDefault="0082617C" w:rsidP="0082617C">
            <w:pPr>
              <w:rPr>
                <w:szCs w:val="24"/>
              </w:rPr>
            </w:pPr>
            <w:r w:rsidRPr="0082617C">
              <w:rPr>
                <w:b/>
                <w:smallCaps/>
                <w:szCs w:val="24"/>
              </w:rPr>
              <w:t>Docket:</w:t>
            </w:r>
            <w:r w:rsidRPr="0082617C">
              <w:rPr>
                <w:szCs w:val="24"/>
              </w:rPr>
              <w:t xml:space="preserve"> 38051</w:t>
            </w:r>
          </w:p>
        </w:tc>
      </w:tr>
    </w:tbl>
    <w:p w:rsidR="0082617C" w:rsidRPr="0082617C" w:rsidRDefault="0082617C" w:rsidP="0082617C">
      <w:pPr>
        <w:rPr>
          <w:rFonts w:eastAsia="Calibri"/>
          <w:szCs w:val="24"/>
          <w:lang w:eastAsia="en-US"/>
        </w:rPr>
      </w:pPr>
    </w:p>
    <w:p w:rsidR="0082617C" w:rsidRPr="0082617C" w:rsidRDefault="0082617C" w:rsidP="0082617C">
      <w:pPr>
        <w:rPr>
          <w:rFonts w:eastAsia="Calibri"/>
          <w:b/>
          <w:smallCaps/>
          <w:szCs w:val="24"/>
          <w:lang w:eastAsia="en-US"/>
        </w:rPr>
      </w:pPr>
      <w:r w:rsidRPr="0082617C">
        <w:rPr>
          <w:rFonts w:eastAsia="Calibri"/>
          <w:b/>
          <w:smallCaps/>
          <w:szCs w:val="24"/>
          <w:lang w:eastAsia="en-US"/>
        </w:rPr>
        <w:t>Between: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Christine DeJong Medicine Professional Corporation </w:t>
      </w:r>
    </w:p>
    <w:p w:rsidR="0082617C" w:rsidRPr="0082617C" w:rsidRDefault="0082617C" w:rsidP="0082617C">
      <w:pPr>
        <w:jc w:val="center"/>
        <w:rPr>
          <w:rFonts w:eastAsia="Calibri"/>
          <w:szCs w:val="24"/>
          <w:lang w:eastAsia="en-US"/>
        </w:rPr>
      </w:pPr>
      <w:r w:rsidRPr="0082617C">
        <w:rPr>
          <w:rFonts w:eastAsia="Calibri"/>
          <w:szCs w:val="24"/>
          <w:lang w:eastAsia="en-US"/>
        </w:rPr>
        <w:t>Appellant</w:t>
      </w:r>
    </w:p>
    <w:p w:rsidR="0082617C" w:rsidRPr="0082617C" w:rsidRDefault="0082617C" w:rsidP="0082617C">
      <w:pPr>
        <w:rPr>
          <w:rFonts w:eastAsia="Calibri"/>
          <w:szCs w:val="24"/>
          <w:lang w:eastAsia="en-US"/>
        </w:rPr>
      </w:pPr>
    </w:p>
    <w:p w:rsidR="0082617C" w:rsidRPr="0082617C" w:rsidRDefault="0082617C" w:rsidP="0082617C">
      <w:pPr>
        <w:jc w:val="center"/>
        <w:rPr>
          <w:rFonts w:eastAsia="Calibri"/>
          <w:szCs w:val="24"/>
          <w:lang w:eastAsia="en-US"/>
        </w:rPr>
      </w:pPr>
      <w:r w:rsidRPr="0082617C">
        <w:rPr>
          <w:rFonts w:eastAsia="Calibri"/>
          <w:szCs w:val="24"/>
          <w:lang w:eastAsia="en-US"/>
        </w:rPr>
        <w:t>and</w:t>
      </w:r>
    </w:p>
    <w:p w:rsidR="0082617C" w:rsidRPr="0082617C" w:rsidRDefault="0082617C" w:rsidP="0082617C">
      <w:pPr>
        <w:rPr>
          <w:rFonts w:eastAsia="Calibri"/>
          <w:szCs w:val="24"/>
          <w:lang w:eastAsia="en-US"/>
        </w:rPr>
      </w:pP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Spadina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Dr. Bernstein Diet Clinics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2272551 Ontario Limited,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Investments Atlantic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Investment Pape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Investments Highway 7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Investments Trent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Investments St. Clair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Investments Tisdale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Investments Leslie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Investments Lesliebrook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val="fr-CA" w:eastAsia="en-US"/>
        </w:rPr>
      </w:pPr>
      <w:r w:rsidRPr="0082617C">
        <w:rPr>
          <w:rFonts w:eastAsia="Calibri"/>
          <w:b/>
          <w:szCs w:val="24"/>
          <w:lang w:val="fr-CA" w:eastAsia="en-US"/>
        </w:rPr>
        <w:t xml:space="preserve">DBDC Fraser Properties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val="fr-CA" w:eastAsia="en-US"/>
        </w:rPr>
      </w:pPr>
      <w:r w:rsidRPr="0082617C">
        <w:rPr>
          <w:rFonts w:eastAsia="Calibri"/>
          <w:b/>
          <w:szCs w:val="24"/>
          <w:lang w:val="fr-CA" w:eastAsia="en-US"/>
        </w:rPr>
        <w:t xml:space="preserve">DBDC Fraser Lands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Queen’s Corner Inc.,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Queen’s Plate Holdings Inc.,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Dupont Developments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Red Door Developments Inc.,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Red Door Lands Inc.,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Global Mills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Donalda Developments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Salmon River Properties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Cityview Industrial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Weston Lands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Double Rose Developments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Skyway Holdings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West Mall Holdings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Royal Gate Holdings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Dewhurst Developments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Eddystone Place Ltd. and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DBDC Richmond Row Holdings Ltd. </w:t>
      </w:r>
    </w:p>
    <w:p w:rsidR="0082617C" w:rsidRPr="0082617C" w:rsidRDefault="0082617C" w:rsidP="0082617C">
      <w:pPr>
        <w:jc w:val="center"/>
        <w:rPr>
          <w:rFonts w:eastAsia="Calibri"/>
          <w:szCs w:val="24"/>
          <w:lang w:eastAsia="en-US"/>
        </w:rPr>
      </w:pPr>
      <w:r w:rsidRPr="0082617C">
        <w:rPr>
          <w:rFonts w:eastAsia="Calibri"/>
          <w:szCs w:val="24"/>
          <w:lang w:eastAsia="en-US"/>
        </w:rPr>
        <w:lastRenderedPageBreak/>
        <w:t>Respondents</w:t>
      </w:r>
    </w:p>
    <w:p w:rsidR="0082617C" w:rsidRPr="0082617C" w:rsidRDefault="0082617C" w:rsidP="0082617C">
      <w:pPr>
        <w:rPr>
          <w:rFonts w:eastAsia="Calibri"/>
          <w:szCs w:val="24"/>
          <w:lang w:eastAsia="en-US"/>
        </w:rPr>
      </w:pPr>
    </w:p>
    <w:p w:rsidR="0082617C" w:rsidRPr="0082617C" w:rsidRDefault="0082617C" w:rsidP="0082617C">
      <w:pPr>
        <w:ind w:hanging="90"/>
        <w:contextualSpacing/>
        <w:jc w:val="center"/>
        <w:rPr>
          <w:rFonts w:eastAsia="Calibri"/>
          <w:szCs w:val="24"/>
          <w:lang w:eastAsia="en-US"/>
        </w:rPr>
      </w:pPr>
      <w:r w:rsidRPr="0082617C">
        <w:rPr>
          <w:rFonts w:eastAsia="Calibri"/>
          <w:szCs w:val="24"/>
          <w:lang w:eastAsia="en-US"/>
        </w:rPr>
        <w:t>- and -</w:t>
      </w:r>
    </w:p>
    <w:p w:rsidR="0082617C" w:rsidRPr="0082617C" w:rsidRDefault="0082617C" w:rsidP="0082617C">
      <w:pPr>
        <w:rPr>
          <w:rFonts w:eastAsia="Calibri"/>
          <w:szCs w:val="24"/>
          <w:lang w:eastAsia="en-US"/>
        </w:rPr>
      </w:pP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Schonfeld Inc., in its capacity as the court-appointed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Inspector and Manager of Twin Dragons Corporation,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Bannockburn Lands Inc. / Skyline — 1185 Eglinton Avenue Inc.,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Wynford Professional Centre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>Liberty Village Properties Ltd., Liberty Village Lands Inc.,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Riverdale Mansion Ltd., Royal Agincourt Corp.,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Hidden Gem Developments Inc., Ascalon Lands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Tisdale Mews Inc., Lesliebrook Holdings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Lesliebrook Lands Ltd., Fraser Properties Group,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Fraser Lands Ltd., Queen’s Corner Corp.,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Northern Dancer Lands Ltd., Dupont Developments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Red Door Developments Inc. and Red Door Lands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Global Mills Inc., Donalda Developments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Salmon River Properties Ltd., Cityview Industrial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Weston Lands Ltd., Double Rose Developments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Skyway Holdings Ltd., West Mall Holdings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Royal Gate Holdings Ltd., Royal Gate Nominee Inc.,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Royal Gate (Land) Nominee Inc., Dewhurst Development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Eddystone Place Inc., Richmond Row Holdings Ltd.,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El-Ad (1500 Don Mills) Limited, 165 Bathurst Inc.,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3270 American Drive, Mississauga, Ontario,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0 Luttrell Ave., Toronto, Ontario,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2 Kelvin Avenue, Toronto, Ontario,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>346 Jarvis Street, Suites A, B, C, E and F, Toronto, Ontario,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1 William Morgan Drive, Toronto, Ontario,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324 Prince Edward Drive, Toronto, Ontario,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24 Cecil Street, Toronto, Ontario,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30 and 30A Hazelton Avenue, Toronto, Ontario,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>777 St. Clarens Avenue, Toronto, Ontario,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252 Carlton Street and 478 Parliament Street, Toronto, Ontario,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66 Gerrard Street East, Toronto, Ontario,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2454 Bayview Avenue, Toronto, Ontario,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319-321 Carlaw, Toronto, Ontario,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260 Emerson Ave., Toronto, Ontario,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>44 Park Lane Circle, Toronto, Ontario,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 xml:space="preserve">19 Tennis Crescent, Toronto, Ontario, 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>646 Broadview Avenue, Toronto, Ontario and</w:t>
      </w:r>
    </w:p>
    <w:p w:rsidR="0082617C" w:rsidRPr="0082617C" w:rsidRDefault="0082617C" w:rsidP="0082617C">
      <w:pPr>
        <w:jc w:val="center"/>
        <w:rPr>
          <w:rFonts w:eastAsia="Calibri"/>
          <w:b/>
          <w:szCs w:val="24"/>
          <w:lang w:eastAsia="en-US"/>
        </w:rPr>
      </w:pPr>
      <w:r w:rsidRPr="0082617C">
        <w:rPr>
          <w:rFonts w:eastAsia="Calibri"/>
          <w:b/>
          <w:szCs w:val="24"/>
          <w:lang w:eastAsia="en-US"/>
        </w:rPr>
        <w:t>Canadian Chamber of Commerce</w:t>
      </w:r>
    </w:p>
    <w:p w:rsidR="0082617C" w:rsidRPr="0082617C" w:rsidRDefault="0082617C" w:rsidP="0082617C">
      <w:pPr>
        <w:jc w:val="center"/>
        <w:rPr>
          <w:rFonts w:eastAsia="Calibri"/>
          <w:szCs w:val="24"/>
          <w:lang w:eastAsia="en-US"/>
        </w:rPr>
      </w:pPr>
      <w:r w:rsidRPr="0082617C">
        <w:rPr>
          <w:rFonts w:eastAsia="Calibri"/>
          <w:szCs w:val="24"/>
          <w:lang w:eastAsia="en-US"/>
        </w:rPr>
        <w:t>Interveners</w:t>
      </w:r>
    </w:p>
    <w:p w:rsidR="0082617C" w:rsidRPr="0082617C" w:rsidRDefault="0082617C" w:rsidP="0082617C">
      <w:pPr>
        <w:rPr>
          <w:rFonts w:eastAsia="Calibri"/>
          <w:szCs w:val="24"/>
          <w:lang w:eastAsia="en-US"/>
        </w:rPr>
      </w:pPr>
    </w:p>
    <w:p w:rsidR="0082617C" w:rsidRPr="0082617C" w:rsidRDefault="0082617C" w:rsidP="0082617C">
      <w:pPr>
        <w:jc w:val="both"/>
        <w:rPr>
          <w:rFonts w:eastAsia="Calibri"/>
          <w:b/>
          <w:smallCaps/>
          <w:szCs w:val="24"/>
          <w:lang w:eastAsia="en-US"/>
        </w:rPr>
      </w:pPr>
    </w:p>
    <w:p w:rsidR="0082617C" w:rsidRPr="0082617C" w:rsidRDefault="0082617C" w:rsidP="0082617C">
      <w:pPr>
        <w:jc w:val="both"/>
        <w:rPr>
          <w:rFonts w:eastAsia="Calibri"/>
          <w:szCs w:val="24"/>
          <w:lang w:eastAsia="en-US"/>
        </w:rPr>
      </w:pPr>
      <w:r w:rsidRPr="0082617C">
        <w:rPr>
          <w:rFonts w:eastAsia="Calibri"/>
          <w:b/>
          <w:smallCaps/>
          <w:szCs w:val="24"/>
          <w:lang w:eastAsia="en-US"/>
        </w:rPr>
        <w:t xml:space="preserve">Coram: </w:t>
      </w:r>
      <w:r w:rsidRPr="0082617C">
        <w:rPr>
          <w:rFonts w:eastAsia="Calibri"/>
          <w:szCs w:val="24"/>
          <w:lang w:eastAsia="en-US"/>
        </w:rPr>
        <w:t>Wagner C.J. and Abella, Karakatsanis, Côté, Brown, Rowe and Martin JJ.</w:t>
      </w:r>
    </w:p>
    <w:p w:rsidR="0082617C" w:rsidRPr="0082617C" w:rsidRDefault="0082617C" w:rsidP="0082617C">
      <w:pPr>
        <w:rPr>
          <w:rFonts w:eastAsia="Calibri"/>
          <w:szCs w:val="24"/>
          <w:lang w:eastAsia="en-US"/>
        </w:rPr>
      </w:pPr>
    </w:p>
    <w:p w:rsidR="0082617C" w:rsidRPr="0082617C" w:rsidRDefault="0082617C" w:rsidP="0082617C">
      <w:pPr>
        <w:rPr>
          <w:rFonts w:eastAsia="Calibri"/>
          <w:szCs w:val="24"/>
          <w:lang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82617C" w:rsidRPr="0082617C" w:rsidTr="00FD0877">
        <w:trPr>
          <w:cantSplit/>
        </w:trPr>
        <w:tc>
          <w:tcPr>
            <w:tcW w:w="3618" w:type="dxa"/>
          </w:tcPr>
          <w:p w:rsidR="0082617C" w:rsidRPr="0082617C" w:rsidRDefault="0082617C" w:rsidP="0082617C">
            <w:pPr>
              <w:rPr>
                <w:b/>
                <w:smallCaps/>
              </w:rPr>
            </w:pPr>
            <w:r w:rsidRPr="0082617C">
              <w:rPr>
                <w:b/>
                <w:smallCaps/>
              </w:rPr>
              <w:lastRenderedPageBreak/>
              <w:t>Reasons for Judgment:</w:t>
            </w:r>
          </w:p>
          <w:p w:rsidR="0082617C" w:rsidRPr="0082617C" w:rsidRDefault="0082617C" w:rsidP="0082617C">
            <w:r w:rsidRPr="0082617C">
              <w:t>(paras. 1 to 2)</w:t>
            </w:r>
          </w:p>
        </w:tc>
        <w:tc>
          <w:tcPr>
            <w:tcW w:w="5958" w:type="dxa"/>
          </w:tcPr>
          <w:p w:rsidR="0082617C" w:rsidRPr="0082617C" w:rsidRDefault="0082617C" w:rsidP="0082617C">
            <w:r w:rsidRPr="0082617C">
              <w:t>Brown J. (Wagner C.J. and Abella, Karakatsanis, Côté, Rowe and Martin JJ. concurring)</w:t>
            </w:r>
          </w:p>
        </w:tc>
      </w:tr>
    </w:tbl>
    <w:p w:rsidR="0082617C" w:rsidRPr="0082617C" w:rsidRDefault="0082617C" w:rsidP="0082617C">
      <w:pPr>
        <w:rPr>
          <w:rFonts w:eastAsia="Calibri"/>
          <w:szCs w:val="24"/>
          <w:lang w:val="en-US" w:eastAsia="en-US"/>
        </w:rPr>
      </w:pPr>
    </w:p>
    <w:p w:rsidR="0082617C" w:rsidRPr="0082617C" w:rsidRDefault="0082617C" w:rsidP="0082617C">
      <w:pPr>
        <w:rPr>
          <w:rFonts w:eastAsia="Calibri"/>
          <w:szCs w:val="24"/>
          <w:lang w:val="en-US" w:eastAsia="en-US"/>
        </w:rPr>
      </w:pPr>
      <w:r w:rsidRPr="0082617C">
        <w:rPr>
          <w:rFonts w:eastAsia="Calibri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FCD1D" wp14:editId="351C8FE0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33E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82617C" w:rsidRPr="0082617C" w:rsidRDefault="0082617C" w:rsidP="0082617C">
      <w:pPr>
        <w:rPr>
          <w:rFonts w:eastAsia="Calibri"/>
          <w:szCs w:val="24"/>
          <w:lang w:val="en-US" w:eastAsia="en-US"/>
        </w:rPr>
      </w:pPr>
    </w:p>
    <w:p w:rsidR="0082617C" w:rsidRPr="0082617C" w:rsidRDefault="0082617C" w:rsidP="0082617C">
      <w:pPr>
        <w:rPr>
          <w:rFonts w:eastAsia="Calibri"/>
          <w:szCs w:val="24"/>
          <w:lang w:val="en-US" w:eastAsia="en-US"/>
        </w:rPr>
      </w:pPr>
    </w:p>
    <w:p w:rsidR="008322BD" w:rsidRPr="00BF5D1A" w:rsidRDefault="00BF5D1A" w:rsidP="00475E21">
      <w:pPr>
        <w:spacing w:after="720"/>
        <w:jc w:val="both"/>
        <w:rPr>
          <w:b/>
        </w:rPr>
      </w:pPr>
      <w:r w:rsidRPr="00BF5D1A">
        <w:t>C</w:t>
      </w:r>
      <w:r w:rsidRPr="00BF5D1A">
        <w:rPr>
          <w:rStyle w:val="SCCAppellantForIndexChar"/>
          <w:b w:val="0"/>
        </w:rPr>
        <w:t>hristine DeJong Medicine Professional Corp.</w:t>
      </w:r>
      <w:r w:rsidRPr="00BF5D1A">
        <w:rPr>
          <w:rStyle w:val="SCCAppellantForIndexChar"/>
        </w:rPr>
        <w:t xml:space="preserve"> </w:t>
      </w:r>
      <w:r w:rsidRPr="00BF5D1A">
        <w:rPr>
          <w:i/>
        </w:rPr>
        <w:t>v.</w:t>
      </w:r>
      <w:r w:rsidRPr="00BF5D1A">
        <w:t xml:space="preserve"> </w:t>
      </w:r>
      <w:r w:rsidRPr="00BF5D1A">
        <w:rPr>
          <w:rStyle w:val="SCCRespondentForIndexChar"/>
          <w:b w:val="0"/>
        </w:rPr>
        <w:t>DBDC Spadina Ltd.</w:t>
      </w:r>
      <w:r>
        <w:rPr>
          <w:rStyle w:val="SCCRespondentForIndexChar"/>
          <w:b w:val="0"/>
        </w:rPr>
        <w:t xml:space="preserve">, 2019 </w:t>
      </w:r>
      <w:r w:rsidR="00A555F1">
        <w:rPr>
          <w:rStyle w:val="SCCRespondentForIndexChar"/>
          <w:b w:val="0"/>
        </w:rPr>
        <w:t>S</w:t>
      </w:r>
      <w:r>
        <w:rPr>
          <w:rStyle w:val="SCCRespondentForIndexChar"/>
          <w:b w:val="0"/>
        </w:rPr>
        <w:t xml:space="preserve">CC 30, [2019] 2 </w:t>
      </w:r>
      <w:r w:rsidR="00A555F1">
        <w:rPr>
          <w:rStyle w:val="SCCRespondentForIndexChar"/>
          <w:b w:val="0"/>
        </w:rPr>
        <w:t>S.C.R</w:t>
      </w:r>
      <w:r>
        <w:rPr>
          <w:rStyle w:val="SCCRespondentForIndexChar"/>
          <w:b w:val="0"/>
        </w:rPr>
        <w:t>. 530</w:t>
      </w:r>
      <w:r w:rsidRPr="00BF5D1A">
        <w:t xml:space="preserve"> </w:t>
      </w:r>
      <w:r w:rsidR="008F78E9" w:rsidRPr="00BF5D1A">
        <w:rPr>
          <w:b/>
        </w:rPr>
        <w:t xml:space="preserve"> </w:t>
      </w:r>
    </w:p>
    <w:p w:rsidR="00966F4E" w:rsidRDefault="00BD33A2">
      <w:pPr>
        <w:pStyle w:val="SCCLsocLastPartyInRole"/>
      </w:pPr>
      <w:r>
        <w:t>Christine DeJong Medicine Professional Corporation</w:t>
      </w:r>
      <w:r>
        <w:rPr>
          <w:rStyle w:val="SCCLsocPartyRole"/>
        </w:rPr>
        <w:tab/>
        <w:t>Appellant</w:t>
      </w:r>
    </w:p>
    <w:p w:rsidR="00966F4E" w:rsidRDefault="00BD33A2">
      <w:pPr>
        <w:pStyle w:val="SCCLsocVersus"/>
      </w:pPr>
      <w:r>
        <w:t>v.</w:t>
      </w:r>
    </w:p>
    <w:p w:rsidR="009B0291" w:rsidRDefault="00BD33A2">
      <w:pPr>
        <w:pStyle w:val="SCCLsocParty"/>
      </w:pPr>
      <w:r>
        <w:t>DBDC Spadina Ltd.,</w:t>
      </w:r>
      <w:r w:rsidR="009B0291">
        <w:t xml:space="preserve"> </w:t>
      </w:r>
    </w:p>
    <w:p w:rsidR="009B0291" w:rsidRDefault="00BD33A2">
      <w:pPr>
        <w:pStyle w:val="SCCLsocParty"/>
      </w:pPr>
      <w:r>
        <w:t xml:space="preserve">Dr. Bernstein Diet Clinics Ltd., </w:t>
      </w:r>
    </w:p>
    <w:p w:rsidR="009B0291" w:rsidRDefault="00BD33A2">
      <w:pPr>
        <w:pStyle w:val="SCCLsocParty"/>
      </w:pPr>
      <w:r>
        <w:t xml:space="preserve">2272551 Ontario Limited, </w:t>
      </w:r>
    </w:p>
    <w:p w:rsidR="009B0291" w:rsidRDefault="00BD33A2">
      <w:pPr>
        <w:pStyle w:val="SCCLsocParty"/>
      </w:pPr>
      <w:r>
        <w:t xml:space="preserve">DBDC Investments Atlantic Ltd., </w:t>
      </w:r>
    </w:p>
    <w:p w:rsidR="009B0291" w:rsidRDefault="00BD33A2">
      <w:pPr>
        <w:pStyle w:val="SCCLsocParty"/>
      </w:pPr>
      <w:r>
        <w:t xml:space="preserve">DBDC Investment Pape Ltd., </w:t>
      </w:r>
    </w:p>
    <w:p w:rsidR="009B0291" w:rsidRDefault="00BD33A2">
      <w:pPr>
        <w:pStyle w:val="SCCLsocParty"/>
      </w:pPr>
      <w:r>
        <w:t xml:space="preserve">DBDC Investments Highway 7 Ltd., </w:t>
      </w:r>
    </w:p>
    <w:p w:rsidR="009B0291" w:rsidRDefault="00BD33A2">
      <w:pPr>
        <w:pStyle w:val="SCCLsocParty"/>
      </w:pPr>
      <w:r>
        <w:t xml:space="preserve">DBDC Investments Trent Ltd., </w:t>
      </w:r>
    </w:p>
    <w:p w:rsidR="009B0291" w:rsidRDefault="00BD33A2">
      <w:pPr>
        <w:pStyle w:val="SCCLsocParty"/>
      </w:pPr>
      <w:r>
        <w:t xml:space="preserve">DBDC Investments St. Clair Ltd., </w:t>
      </w:r>
    </w:p>
    <w:p w:rsidR="009B0291" w:rsidRDefault="00BD33A2">
      <w:pPr>
        <w:pStyle w:val="SCCLsocParty"/>
      </w:pPr>
      <w:r>
        <w:t>DBDC Investments Tisdale Ltd.,</w:t>
      </w:r>
      <w:r w:rsidR="009B0291">
        <w:t xml:space="preserve"> </w:t>
      </w:r>
    </w:p>
    <w:p w:rsidR="009B0291" w:rsidRDefault="00BD33A2">
      <w:pPr>
        <w:pStyle w:val="SCCLsocParty"/>
      </w:pPr>
      <w:r>
        <w:t xml:space="preserve">DBDC Investments Leslie Ltd., </w:t>
      </w:r>
    </w:p>
    <w:p w:rsidR="009B0291" w:rsidRDefault="00BD33A2">
      <w:pPr>
        <w:pStyle w:val="SCCLsocParty"/>
      </w:pPr>
      <w:r>
        <w:t xml:space="preserve">DBDC Investments Lesliebrook Ltd., </w:t>
      </w:r>
    </w:p>
    <w:p w:rsidR="009B0291" w:rsidRPr="00FC7AE4" w:rsidRDefault="00BD33A2">
      <w:pPr>
        <w:pStyle w:val="SCCLsocParty"/>
        <w:rPr>
          <w:lang w:val="fr-CA"/>
        </w:rPr>
      </w:pPr>
      <w:r w:rsidRPr="00FC7AE4">
        <w:rPr>
          <w:lang w:val="fr-CA"/>
        </w:rPr>
        <w:t xml:space="preserve">DBDC Fraser Properties Ltd., </w:t>
      </w:r>
    </w:p>
    <w:p w:rsidR="009B0291" w:rsidRPr="00FC7AE4" w:rsidRDefault="00BD33A2">
      <w:pPr>
        <w:pStyle w:val="SCCLsocParty"/>
        <w:rPr>
          <w:lang w:val="fr-CA"/>
        </w:rPr>
      </w:pPr>
      <w:r w:rsidRPr="00FC7AE4">
        <w:rPr>
          <w:lang w:val="fr-CA"/>
        </w:rPr>
        <w:t xml:space="preserve">DBDC Fraser Lands Ltd., </w:t>
      </w:r>
    </w:p>
    <w:p w:rsidR="009B0291" w:rsidRDefault="00BD33A2">
      <w:pPr>
        <w:pStyle w:val="SCCLsocParty"/>
      </w:pPr>
      <w:r>
        <w:t>DBDC Queen</w:t>
      </w:r>
      <w:r w:rsidR="002E1CCB">
        <w:t>’</w:t>
      </w:r>
      <w:r>
        <w:t xml:space="preserve">s Corner Inc., </w:t>
      </w:r>
    </w:p>
    <w:p w:rsidR="009B0291" w:rsidRDefault="00BD33A2">
      <w:pPr>
        <w:pStyle w:val="SCCLsocParty"/>
      </w:pPr>
      <w:r>
        <w:t>DBDC Queen</w:t>
      </w:r>
      <w:r w:rsidR="002E1CCB">
        <w:t>’</w:t>
      </w:r>
      <w:r>
        <w:t xml:space="preserve">s Plate Holdings Inc., </w:t>
      </w:r>
    </w:p>
    <w:p w:rsidR="009B0291" w:rsidRDefault="00BD33A2">
      <w:pPr>
        <w:pStyle w:val="SCCLsocParty"/>
      </w:pPr>
      <w:r>
        <w:t xml:space="preserve">DBDC Dupont Developments Ltd., </w:t>
      </w:r>
    </w:p>
    <w:p w:rsidR="009B0291" w:rsidRDefault="00BD33A2">
      <w:pPr>
        <w:pStyle w:val="SCCLsocParty"/>
      </w:pPr>
      <w:r>
        <w:t>DBDC Red Door Developments Inc.,</w:t>
      </w:r>
      <w:r w:rsidR="009B0291">
        <w:t xml:space="preserve"> </w:t>
      </w:r>
    </w:p>
    <w:p w:rsidR="009B0291" w:rsidRDefault="00BD33A2">
      <w:pPr>
        <w:pStyle w:val="SCCLsocParty"/>
      </w:pPr>
      <w:r>
        <w:t xml:space="preserve">DBDC Red Door Lands Inc., </w:t>
      </w:r>
    </w:p>
    <w:p w:rsidR="009B0291" w:rsidRDefault="00BD33A2">
      <w:pPr>
        <w:pStyle w:val="SCCLsocParty"/>
      </w:pPr>
      <w:r>
        <w:t xml:space="preserve">DBDC Global Mills Ltd., </w:t>
      </w:r>
    </w:p>
    <w:p w:rsidR="009B0291" w:rsidRDefault="00BD33A2">
      <w:pPr>
        <w:pStyle w:val="SCCLsocParty"/>
      </w:pPr>
      <w:r>
        <w:t xml:space="preserve">DBDC Donalda Developments Ltd., </w:t>
      </w:r>
    </w:p>
    <w:p w:rsidR="009B0291" w:rsidRDefault="00BD33A2">
      <w:pPr>
        <w:pStyle w:val="SCCLsocParty"/>
      </w:pPr>
      <w:r>
        <w:t xml:space="preserve">DBDC Salmon River Properties Ltd., </w:t>
      </w:r>
    </w:p>
    <w:p w:rsidR="009B0291" w:rsidRDefault="00BD33A2">
      <w:pPr>
        <w:pStyle w:val="SCCLsocParty"/>
      </w:pPr>
      <w:r>
        <w:t xml:space="preserve">DBDC Cityview Industrial Ltd., </w:t>
      </w:r>
    </w:p>
    <w:p w:rsidR="009B0291" w:rsidRDefault="00BD33A2">
      <w:pPr>
        <w:pStyle w:val="SCCLsocParty"/>
      </w:pPr>
      <w:r>
        <w:t xml:space="preserve">DBDC Weston Lands Ltd., </w:t>
      </w:r>
    </w:p>
    <w:p w:rsidR="009B0291" w:rsidRDefault="00BD33A2">
      <w:pPr>
        <w:pStyle w:val="SCCLsocParty"/>
      </w:pPr>
      <w:r>
        <w:t xml:space="preserve">DBDC Double Rose Developments Ltd., </w:t>
      </w:r>
    </w:p>
    <w:p w:rsidR="009B0291" w:rsidRDefault="00BD33A2" w:rsidP="009B0291">
      <w:pPr>
        <w:pStyle w:val="SCCLsocParty"/>
      </w:pPr>
      <w:r>
        <w:t>DBDC Skyway Holdings Ltd.,</w:t>
      </w:r>
      <w:r w:rsidR="009B0291">
        <w:t xml:space="preserve"> </w:t>
      </w:r>
    </w:p>
    <w:p w:rsidR="009B0291" w:rsidRDefault="00BD33A2" w:rsidP="009B0291">
      <w:pPr>
        <w:pStyle w:val="SCCLsocParty"/>
      </w:pPr>
      <w:r>
        <w:t xml:space="preserve">DBDC West Mall Holdings Ltd., </w:t>
      </w:r>
    </w:p>
    <w:p w:rsidR="009B0291" w:rsidRDefault="00BD33A2" w:rsidP="009B0291">
      <w:pPr>
        <w:pStyle w:val="SCCLsocParty"/>
      </w:pPr>
      <w:r>
        <w:t xml:space="preserve">DBDC Royal Gate Holdings Ltd., </w:t>
      </w:r>
    </w:p>
    <w:p w:rsidR="009B0291" w:rsidRDefault="00BD33A2" w:rsidP="009B0291">
      <w:pPr>
        <w:pStyle w:val="SCCLsocParty"/>
      </w:pPr>
      <w:r>
        <w:t>DBDC Dewhurst Developments L</w:t>
      </w:r>
      <w:r w:rsidR="001E0E6D">
        <w:t xml:space="preserve">td., </w:t>
      </w:r>
    </w:p>
    <w:p w:rsidR="009B0291" w:rsidRDefault="001E0E6D" w:rsidP="009B0291">
      <w:pPr>
        <w:pStyle w:val="SCCLsocParty"/>
      </w:pPr>
      <w:r>
        <w:t>DBDC Eddystone Place Ltd. and</w:t>
      </w:r>
      <w:r w:rsidR="00BD33A2">
        <w:t xml:space="preserve"> </w:t>
      </w:r>
    </w:p>
    <w:p w:rsidR="00966F4E" w:rsidRDefault="00BD33A2" w:rsidP="009B0291">
      <w:pPr>
        <w:pStyle w:val="SCCLsocLastPartyInRole"/>
      </w:pPr>
      <w:r>
        <w:t>DBDC Richmond Row Holdings Ltd.</w:t>
      </w:r>
      <w:r>
        <w:rPr>
          <w:rStyle w:val="SCCLsocPartyRole"/>
        </w:rPr>
        <w:tab/>
        <w:t>Respondents</w:t>
      </w:r>
    </w:p>
    <w:p w:rsidR="00966F4E" w:rsidRDefault="00BD33A2">
      <w:pPr>
        <w:pStyle w:val="SCCLsocOtherPartySeparator"/>
      </w:pPr>
      <w:r>
        <w:t>and</w:t>
      </w:r>
    </w:p>
    <w:p w:rsidR="009B0291" w:rsidRDefault="00BD33A2">
      <w:pPr>
        <w:pStyle w:val="SCCLsocParty"/>
      </w:pPr>
      <w:r>
        <w:t xml:space="preserve">Schonfeld Inc., in its capacity as the </w:t>
      </w:r>
      <w:r w:rsidR="001A05AA">
        <w:t>c</w:t>
      </w:r>
      <w:r>
        <w:t xml:space="preserve">ourt-appointed </w:t>
      </w:r>
    </w:p>
    <w:p w:rsidR="009B0291" w:rsidRDefault="001A05AA">
      <w:pPr>
        <w:pStyle w:val="SCCLsocParty"/>
      </w:pPr>
      <w:r>
        <w:t xml:space="preserve">Inspector and </w:t>
      </w:r>
      <w:r w:rsidR="00BD33A2">
        <w:t xml:space="preserve">Manager of Twin Dragons Corporation, </w:t>
      </w:r>
    </w:p>
    <w:p w:rsidR="001A05AA" w:rsidRDefault="00BD33A2">
      <w:pPr>
        <w:pStyle w:val="SCCLsocParty"/>
      </w:pPr>
      <w:r>
        <w:t>Bannockburn Lands Inc. / Skyline</w:t>
      </w:r>
      <w:r w:rsidR="001A05AA">
        <w:t xml:space="preserve"> — 1185 Eglinton Avenue Inc.</w:t>
      </w:r>
      <w:r>
        <w:t xml:space="preserve">, </w:t>
      </w:r>
    </w:p>
    <w:p w:rsidR="009B0291" w:rsidRDefault="00BD33A2">
      <w:pPr>
        <w:pStyle w:val="SCCLsocParty"/>
      </w:pPr>
      <w:r>
        <w:t xml:space="preserve">Wynford Professional Centre Ltd., </w:t>
      </w:r>
    </w:p>
    <w:p w:rsidR="00966F4E" w:rsidRDefault="00BD33A2">
      <w:pPr>
        <w:pStyle w:val="SCCLsocParty"/>
      </w:pPr>
      <w:r>
        <w:t>Liberty Village Properties Ltd., Liberty Village Lands Inc.,</w:t>
      </w:r>
    </w:p>
    <w:p w:rsidR="009B0291" w:rsidRDefault="00BD33A2">
      <w:pPr>
        <w:pStyle w:val="SCCLsocParty"/>
      </w:pPr>
      <w:r>
        <w:t xml:space="preserve">Riverdale Mansion Ltd., Royal Agincourt Corp., </w:t>
      </w:r>
    </w:p>
    <w:p w:rsidR="00D62CE7" w:rsidRDefault="00BD33A2">
      <w:pPr>
        <w:pStyle w:val="SCCLsocParty"/>
      </w:pPr>
      <w:r>
        <w:t xml:space="preserve">Hidden Gem Developments Inc., Ascalon Lands Ltd., </w:t>
      </w:r>
    </w:p>
    <w:p w:rsidR="00D62CE7" w:rsidRDefault="00BD33A2">
      <w:pPr>
        <w:pStyle w:val="SCCLsocParty"/>
      </w:pPr>
      <w:r>
        <w:t xml:space="preserve">Tisdale Mews Inc., Lesliebrook Holdings Ltd., </w:t>
      </w:r>
    </w:p>
    <w:p w:rsidR="00D62CE7" w:rsidRDefault="00BD33A2">
      <w:pPr>
        <w:pStyle w:val="SCCLsocParty"/>
      </w:pPr>
      <w:r>
        <w:t xml:space="preserve">Lesliebrook Lands </w:t>
      </w:r>
      <w:r w:rsidRPr="00522343">
        <w:t>Ltd., Fraser</w:t>
      </w:r>
      <w:r>
        <w:t xml:space="preserve"> Properties Group, </w:t>
      </w:r>
    </w:p>
    <w:p w:rsidR="00D62CE7" w:rsidRDefault="00BD33A2">
      <w:pPr>
        <w:pStyle w:val="SCCLsocParty"/>
      </w:pPr>
      <w:r>
        <w:t>Fraser Lands Ltd., Queen</w:t>
      </w:r>
      <w:r w:rsidR="002E1CCB">
        <w:t>’</w:t>
      </w:r>
      <w:r>
        <w:t>s Corner Corp.,</w:t>
      </w:r>
      <w:r w:rsidR="009B0291">
        <w:t xml:space="preserve"> </w:t>
      </w:r>
    </w:p>
    <w:p w:rsidR="00D62CE7" w:rsidRDefault="00BD33A2">
      <w:pPr>
        <w:pStyle w:val="SCCLsocParty"/>
      </w:pPr>
      <w:r>
        <w:t xml:space="preserve">Northern Dancer Lands Ltd., Dupont Developments Ltd., </w:t>
      </w:r>
    </w:p>
    <w:p w:rsidR="00D62CE7" w:rsidRDefault="00BD33A2">
      <w:pPr>
        <w:pStyle w:val="SCCLsocParty"/>
      </w:pPr>
      <w:r>
        <w:t xml:space="preserve">Red Door Developments Inc. and Red Door Lands Ltd., </w:t>
      </w:r>
    </w:p>
    <w:p w:rsidR="00D62CE7" w:rsidRDefault="00BD33A2">
      <w:pPr>
        <w:pStyle w:val="SCCLsocParty"/>
      </w:pPr>
      <w:r>
        <w:t xml:space="preserve">Global Mills Inc., Donalda Developments Ltd., </w:t>
      </w:r>
    </w:p>
    <w:p w:rsidR="00D62CE7" w:rsidRDefault="00BD33A2">
      <w:pPr>
        <w:pStyle w:val="SCCLsocParty"/>
      </w:pPr>
      <w:r>
        <w:t xml:space="preserve">Salmon River Properties Ltd., Cityview Industrial Ltd., </w:t>
      </w:r>
    </w:p>
    <w:p w:rsidR="00D62CE7" w:rsidRDefault="00BD33A2">
      <w:pPr>
        <w:pStyle w:val="SCCLsocParty"/>
      </w:pPr>
      <w:r>
        <w:t>Weston Lands Ltd.,</w:t>
      </w:r>
      <w:r w:rsidR="00D62CE7">
        <w:t xml:space="preserve"> </w:t>
      </w:r>
      <w:r>
        <w:t xml:space="preserve">Double Rose Developments Ltd., </w:t>
      </w:r>
    </w:p>
    <w:p w:rsidR="00D62CE7" w:rsidRDefault="00BD33A2">
      <w:pPr>
        <w:pStyle w:val="SCCLsocParty"/>
      </w:pPr>
      <w:r>
        <w:t xml:space="preserve">Skyway Holdings Ltd., West Mall Holdings Ltd., </w:t>
      </w:r>
    </w:p>
    <w:p w:rsidR="00D62CE7" w:rsidRDefault="00BD33A2">
      <w:pPr>
        <w:pStyle w:val="SCCLsocParty"/>
      </w:pPr>
      <w:r>
        <w:t xml:space="preserve">Royal Gate Holdings Ltd., Royal Gate Nominee Inc., </w:t>
      </w:r>
    </w:p>
    <w:p w:rsidR="00D62CE7" w:rsidRDefault="00BD33A2">
      <w:pPr>
        <w:pStyle w:val="SCCLsocParty"/>
      </w:pPr>
      <w:r>
        <w:t xml:space="preserve">Royal Gate (Land) Nominee Inc., Dewhurst Development Ltd., </w:t>
      </w:r>
    </w:p>
    <w:p w:rsidR="00D62CE7" w:rsidRDefault="00BD33A2">
      <w:pPr>
        <w:pStyle w:val="SCCLsocParty"/>
      </w:pPr>
      <w:r>
        <w:t>Eddystone Place Inc., Richmond Row Holdings Ltd.,</w:t>
      </w:r>
      <w:r w:rsidR="009B0291">
        <w:t xml:space="preserve"> </w:t>
      </w:r>
    </w:p>
    <w:p w:rsidR="00D62CE7" w:rsidRDefault="00BD33A2">
      <w:pPr>
        <w:pStyle w:val="SCCLsocParty"/>
      </w:pPr>
      <w:r>
        <w:t xml:space="preserve">El-Ad (1500 Don Mills) Limited, 165 Bathurst Inc., </w:t>
      </w:r>
    </w:p>
    <w:p w:rsidR="009B0291" w:rsidRDefault="00BD33A2">
      <w:pPr>
        <w:pStyle w:val="SCCLsocParty"/>
      </w:pPr>
      <w:r>
        <w:t xml:space="preserve">3270 American Drive, Mississauga, Ontario, </w:t>
      </w:r>
    </w:p>
    <w:p w:rsidR="009B0291" w:rsidRDefault="00BD33A2">
      <w:pPr>
        <w:pStyle w:val="SCCLsocParty"/>
      </w:pPr>
      <w:r>
        <w:t xml:space="preserve">0 Luttrell Ave., Toronto, Ontario, </w:t>
      </w:r>
    </w:p>
    <w:p w:rsidR="009B0291" w:rsidRDefault="00BD33A2">
      <w:pPr>
        <w:pStyle w:val="SCCLsocParty"/>
      </w:pPr>
      <w:r>
        <w:t xml:space="preserve">2 Kelvin Avenue, Toronto, Ontario, </w:t>
      </w:r>
    </w:p>
    <w:p w:rsidR="00966F4E" w:rsidRDefault="00BD33A2">
      <w:pPr>
        <w:pStyle w:val="SCCLsocParty"/>
      </w:pPr>
      <w:r>
        <w:t>346 Jarvis Street, Suites A, B, C, E and F, Toronto, Ontario,</w:t>
      </w:r>
    </w:p>
    <w:p w:rsidR="009B0291" w:rsidRDefault="00BD33A2">
      <w:pPr>
        <w:pStyle w:val="SCCLsocParty"/>
      </w:pPr>
      <w:r>
        <w:t xml:space="preserve">1 William Morgan Drive, Toronto, Ontario, </w:t>
      </w:r>
    </w:p>
    <w:p w:rsidR="009B0291" w:rsidRDefault="00BD33A2">
      <w:pPr>
        <w:pStyle w:val="SCCLsocParty"/>
      </w:pPr>
      <w:r>
        <w:t>324 Pri</w:t>
      </w:r>
      <w:r w:rsidR="000C07FD">
        <w:t>n</w:t>
      </w:r>
      <w:r>
        <w:t xml:space="preserve">ce Edward Drive, Toronto, Ontario, </w:t>
      </w:r>
    </w:p>
    <w:p w:rsidR="009B0291" w:rsidRDefault="00BD33A2">
      <w:pPr>
        <w:pStyle w:val="SCCLsocParty"/>
      </w:pPr>
      <w:r>
        <w:t xml:space="preserve">24 Cecil Street, Toronto, Ontario, </w:t>
      </w:r>
    </w:p>
    <w:p w:rsidR="009B0291" w:rsidRDefault="00BD33A2">
      <w:pPr>
        <w:pStyle w:val="SCCLsocParty"/>
      </w:pPr>
      <w:r>
        <w:t xml:space="preserve">30 and 30A Hazelton Avenue, Toronto, Ontario, </w:t>
      </w:r>
    </w:p>
    <w:p w:rsidR="00966F4E" w:rsidRDefault="00BD33A2">
      <w:pPr>
        <w:pStyle w:val="SCCLsocParty"/>
      </w:pPr>
      <w:r>
        <w:t>777 St. Clarens Avenue, Toronto, Ontario,</w:t>
      </w:r>
    </w:p>
    <w:p w:rsidR="009B0291" w:rsidRDefault="00BD33A2">
      <w:pPr>
        <w:pStyle w:val="SCCLsocParty"/>
      </w:pPr>
      <w:r>
        <w:t xml:space="preserve">252 Carlton Street and 478 Parliament Street, Toronto, Ontario, </w:t>
      </w:r>
    </w:p>
    <w:p w:rsidR="009B0291" w:rsidRDefault="00BD33A2">
      <w:pPr>
        <w:pStyle w:val="SCCLsocParty"/>
      </w:pPr>
      <w:r>
        <w:t xml:space="preserve">66 Gerrard Street East, Toronto, Ontario, </w:t>
      </w:r>
    </w:p>
    <w:p w:rsidR="009B0291" w:rsidRDefault="00BD33A2">
      <w:pPr>
        <w:pStyle w:val="SCCLsocParty"/>
      </w:pPr>
      <w:r>
        <w:t xml:space="preserve">2454 Bayview Avenue, Toronto, Ontario, </w:t>
      </w:r>
    </w:p>
    <w:p w:rsidR="009B0291" w:rsidRDefault="00BD33A2">
      <w:pPr>
        <w:pStyle w:val="SCCLsocParty"/>
      </w:pPr>
      <w:r>
        <w:t xml:space="preserve">319-321 Carlaw, Toronto, Ontario, </w:t>
      </w:r>
    </w:p>
    <w:p w:rsidR="009B0291" w:rsidRDefault="00BD33A2">
      <w:pPr>
        <w:pStyle w:val="SCCLsocParty"/>
      </w:pPr>
      <w:r>
        <w:t xml:space="preserve">260 Emerson Ave., Toronto, Ontario, </w:t>
      </w:r>
    </w:p>
    <w:p w:rsidR="00966F4E" w:rsidRPr="00522343" w:rsidRDefault="00973A2A">
      <w:pPr>
        <w:pStyle w:val="SCCLsocParty"/>
      </w:pPr>
      <w:r w:rsidRPr="00522343">
        <w:t>44 Park La</w:t>
      </w:r>
      <w:r w:rsidR="00BD33A2" w:rsidRPr="00522343">
        <w:t>n</w:t>
      </w:r>
      <w:r w:rsidRPr="00522343">
        <w:t>e</w:t>
      </w:r>
      <w:r w:rsidR="00BD33A2" w:rsidRPr="00522343">
        <w:t xml:space="preserve"> Circle, Toronto, Ontario,</w:t>
      </w:r>
    </w:p>
    <w:p w:rsidR="009B0291" w:rsidRPr="00522343" w:rsidRDefault="00BD33A2">
      <w:pPr>
        <w:pStyle w:val="SCCLsocParty"/>
      </w:pPr>
      <w:r w:rsidRPr="00522343">
        <w:t>19 Te</w:t>
      </w:r>
      <w:r w:rsidR="00973A2A" w:rsidRPr="00522343">
        <w:t xml:space="preserve">nnis Crescent, Toronto, Ontario, </w:t>
      </w:r>
    </w:p>
    <w:p w:rsidR="00966F4E" w:rsidRDefault="00BD33A2">
      <w:pPr>
        <w:pStyle w:val="SCCLsocParty"/>
      </w:pPr>
      <w:r w:rsidRPr="00522343">
        <w:t>646 Broadview Avenue, Toront</w:t>
      </w:r>
      <w:r w:rsidR="001E0E6D" w:rsidRPr="00522343">
        <w:t>o, Ontario</w:t>
      </w:r>
      <w:r w:rsidR="001E0E6D">
        <w:t xml:space="preserve"> and</w:t>
      </w:r>
    </w:p>
    <w:p w:rsidR="00966F4E" w:rsidRDefault="00BD33A2">
      <w:pPr>
        <w:pStyle w:val="SCCLsocLastPartyInRole"/>
      </w:pPr>
      <w:r>
        <w:t>Canadian Chamber of Commerce</w:t>
      </w:r>
      <w:r>
        <w:rPr>
          <w:rStyle w:val="SCCLsocPartyRole"/>
        </w:rPr>
        <w:tab/>
        <w:t>Interveners</w:t>
      </w:r>
    </w:p>
    <w:p w:rsidR="00A149DF" w:rsidRDefault="00426659" w:rsidP="00D31280">
      <w:pPr>
        <w:spacing w:after="720"/>
        <w:jc w:val="both"/>
      </w:pPr>
      <w:r w:rsidRPr="00426659">
        <w:rPr>
          <w:b/>
        </w:rPr>
        <w:t>Indexed as:</w:t>
      </w:r>
      <w:r w:rsidR="00BD33A2">
        <w:rPr>
          <w:b/>
        </w:rPr>
        <w:t xml:space="preserve"> C</w:t>
      </w:r>
      <w:r>
        <w:rPr>
          <w:rStyle w:val="SCCAppellantForIndexChar"/>
        </w:rPr>
        <w:t xml:space="preserve">hristine DeJong Medicine </w:t>
      </w:r>
      <w:r w:rsidR="00BD33A2" w:rsidRPr="00BD33A2">
        <w:rPr>
          <w:rStyle w:val="SCCAppellantForIndexChar"/>
        </w:rPr>
        <w:t>Professional Corp</w:t>
      </w:r>
      <w:r w:rsidR="00BD33A2">
        <w:rPr>
          <w:rStyle w:val="SCCAppellantForIndexChar"/>
        </w:rPr>
        <w:t>.</w:t>
      </w:r>
      <w:r w:rsidR="00BD33A2" w:rsidRPr="00BD33A2">
        <w:rPr>
          <w:rStyle w:val="SCCAppellantForIndexChar"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>
        <w:rPr>
          <w:rStyle w:val="SCCRespondentForIndexChar"/>
        </w:rPr>
        <w:t xml:space="preserve">DBDC Spadina Ltd. </w:t>
      </w:r>
    </w:p>
    <w:p w:rsidR="00A149DF" w:rsidRDefault="00AE4535" w:rsidP="00D31280">
      <w:pPr>
        <w:pStyle w:val="SCCSystemYear"/>
        <w:spacing w:after="720"/>
        <w:jc w:val="both"/>
      </w:pPr>
      <w:r>
        <w:t>2019</w:t>
      </w:r>
      <w:r w:rsidR="003D0399">
        <w:t xml:space="preserve"> </w:t>
      </w:r>
      <w:r w:rsidR="007D75B3">
        <w:t>SCC 30</w:t>
      </w:r>
    </w:p>
    <w:p w:rsidR="00A149DF" w:rsidRDefault="009B57B3" w:rsidP="007F42AD">
      <w:pPr>
        <w:spacing w:after="720"/>
        <w:jc w:val="both"/>
      </w:pPr>
      <w:r w:rsidRPr="001426A9">
        <w:t xml:space="preserve">File No.: </w:t>
      </w:r>
      <w:r>
        <w:t>38051</w:t>
      </w:r>
      <w:r w:rsidRPr="001426A9">
        <w:t>.</w:t>
      </w:r>
    </w:p>
    <w:p w:rsidR="00A149DF" w:rsidRDefault="00AE4535" w:rsidP="007F42AD">
      <w:pPr>
        <w:spacing w:after="720"/>
        <w:jc w:val="both"/>
      </w:pPr>
      <w:r>
        <w:t>2019: May 1</w:t>
      </w:r>
      <w:r w:rsidR="004E2D2D">
        <w:t>4</w:t>
      </w:r>
      <w:r w:rsidR="007D75B3">
        <w:t>.</w:t>
      </w:r>
    </w:p>
    <w:p w:rsidR="008322BD" w:rsidRDefault="009B57B3" w:rsidP="00F13300">
      <w:pPr>
        <w:spacing w:after="720"/>
        <w:jc w:val="both"/>
      </w:pPr>
      <w:r w:rsidRPr="001426A9">
        <w:t xml:space="preserve">Present: </w:t>
      </w:r>
      <w:r>
        <w:t>Wagner C.J. and Abella, Karakatsanis, Côté, Brown, Rowe and Martin JJ.</w:t>
      </w:r>
    </w:p>
    <w:p w:rsidR="003A4C70" w:rsidRPr="001426A9" w:rsidRDefault="00656313" w:rsidP="00F13300">
      <w:pPr>
        <w:pStyle w:val="SCCLowerCourtNameLowercase"/>
        <w:spacing w:after="720" w:line="240" w:lineRule="auto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>court of appeal for ontario</w:t>
      </w:r>
    </w:p>
    <w:p w:rsidR="00A149DF" w:rsidRDefault="009B57B3" w:rsidP="00F13300">
      <w:pPr>
        <w:pStyle w:val="SCCNormalDoubleSpacing"/>
        <w:spacing w:after="480"/>
        <w:rPr>
          <w:i/>
        </w:rPr>
      </w:pPr>
      <w:r w:rsidRPr="00583EDE">
        <w:tab/>
      </w:r>
      <w:r w:rsidR="00714B1F">
        <w:rPr>
          <w:i/>
        </w:rPr>
        <w:t>Torts —</w:t>
      </w:r>
      <w:r w:rsidR="00B623C9">
        <w:rPr>
          <w:i/>
        </w:rPr>
        <w:t xml:space="preserve"> </w:t>
      </w:r>
      <w:r w:rsidR="008D7068">
        <w:rPr>
          <w:i/>
        </w:rPr>
        <w:t>Knowing assistance in breach of fiduciary duty — Attribution of individual wrongdoing to corporation</w:t>
      </w:r>
      <w:r w:rsidR="00B623C9">
        <w:rPr>
          <w:i/>
        </w:rPr>
        <w:t xml:space="preserve"> —</w:t>
      </w:r>
      <w:r w:rsidR="008D7068">
        <w:rPr>
          <w:i/>
        </w:rPr>
        <w:t xml:space="preserve"> Applicable criteria </w:t>
      </w:r>
      <w:r w:rsidR="00B623C9">
        <w:rPr>
          <w:i/>
        </w:rPr>
        <w:t xml:space="preserve">— </w:t>
      </w:r>
      <w:r w:rsidR="00F1238B">
        <w:rPr>
          <w:i/>
        </w:rPr>
        <w:t xml:space="preserve">Complex multi-million dollar fraud </w:t>
      </w:r>
      <w:r w:rsidR="008D7068">
        <w:rPr>
          <w:i/>
        </w:rPr>
        <w:t xml:space="preserve">perpetrated by husband and wife </w:t>
      </w:r>
      <w:r w:rsidR="00F1238B">
        <w:rPr>
          <w:i/>
        </w:rPr>
        <w:t>—</w:t>
      </w:r>
      <w:r w:rsidR="00B623C9">
        <w:rPr>
          <w:i/>
        </w:rPr>
        <w:t xml:space="preserve"> </w:t>
      </w:r>
      <w:r w:rsidR="00E31A3A">
        <w:rPr>
          <w:i/>
        </w:rPr>
        <w:t xml:space="preserve">Couple convincing investors to invest with them in specific-project corporations </w:t>
      </w:r>
      <w:r w:rsidR="00EE0EC7">
        <w:rPr>
          <w:i/>
        </w:rPr>
        <w:t>to</w:t>
      </w:r>
      <w:r w:rsidR="00E31A3A">
        <w:rPr>
          <w:i/>
        </w:rPr>
        <w:t xml:space="preserve"> acquire</w:t>
      </w:r>
      <w:r w:rsidR="00EE0EC7">
        <w:rPr>
          <w:i/>
        </w:rPr>
        <w:t xml:space="preserve"> and</w:t>
      </w:r>
      <w:r w:rsidR="00E31A3A">
        <w:rPr>
          <w:i/>
        </w:rPr>
        <w:t xml:space="preserve"> hold commercial real estate properties</w:t>
      </w:r>
      <w:r w:rsidR="00EE0EC7">
        <w:rPr>
          <w:i/>
        </w:rPr>
        <w:t xml:space="preserve"> —</w:t>
      </w:r>
      <w:r w:rsidR="00E31A3A">
        <w:rPr>
          <w:i/>
        </w:rPr>
        <w:t xml:space="preserve"> </w:t>
      </w:r>
      <w:r w:rsidR="00EE0EC7">
        <w:rPr>
          <w:i/>
        </w:rPr>
        <w:t xml:space="preserve">Couple </w:t>
      </w:r>
      <w:r w:rsidR="00E31A3A">
        <w:rPr>
          <w:i/>
        </w:rPr>
        <w:t xml:space="preserve">taking funds for personal use </w:t>
      </w:r>
      <w:r w:rsidR="00EE0EC7">
        <w:rPr>
          <w:i/>
        </w:rPr>
        <w:t xml:space="preserve">instead </w:t>
      </w:r>
      <w:r w:rsidR="00E31A3A">
        <w:rPr>
          <w:i/>
        </w:rPr>
        <w:t xml:space="preserve">— </w:t>
      </w:r>
      <w:r w:rsidR="005028DA">
        <w:rPr>
          <w:i/>
        </w:rPr>
        <w:t>Inve</w:t>
      </w:r>
      <w:r w:rsidR="00E31A3A">
        <w:rPr>
          <w:i/>
        </w:rPr>
        <w:t>stors</w:t>
      </w:r>
      <w:r w:rsidR="007E1895">
        <w:rPr>
          <w:i/>
        </w:rPr>
        <w:t xml:space="preserve"> </w:t>
      </w:r>
      <w:r w:rsidR="008D7068">
        <w:rPr>
          <w:i/>
        </w:rPr>
        <w:t>claiming damages against husband and wife</w:t>
      </w:r>
      <w:r w:rsidR="00BE344D">
        <w:rPr>
          <w:i/>
        </w:rPr>
        <w:t xml:space="preserve"> personally </w:t>
      </w:r>
      <w:r w:rsidR="00B623C9">
        <w:rPr>
          <w:i/>
        </w:rPr>
        <w:t>for fraudulent misrepresentation, deceit and breach of fidu</w:t>
      </w:r>
      <w:r w:rsidR="00B623C9" w:rsidRPr="008D6EBD">
        <w:rPr>
          <w:i/>
        </w:rPr>
        <w:t xml:space="preserve">ciary duty </w:t>
      </w:r>
      <w:r w:rsidR="00983055">
        <w:rPr>
          <w:i/>
        </w:rPr>
        <w:t>— Invest</w:t>
      </w:r>
      <w:r w:rsidR="00E31A3A">
        <w:rPr>
          <w:i/>
        </w:rPr>
        <w:t>ors</w:t>
      </w:r>
      <w:r w:rsidR="00983055">
        <w:rPr>
          <w:i/>
        </w:rPr>
        <w:t xml:space="preserve"> also claiming </w:t>
      </w:r>
      <w:r w:rsidR="0035691F">
        <w:rPr>
          <w:i/>
        </w:rPr>
        <w:t xml:space="preserve">liability for </w:t>
      </w:r>
      <w:r w:rsidR="00983055">
        <w:rPr>
          <w:i/>
        </w:rPr>
        <w:t xml:space="preserve">knowing assistance </w:t>
      </w:r>
      <w:r w:rsidR="00BE344D" w:rsidRPr="00DA613A">
        <w:rPr>
          <w:i/>
        </w:rPr>
        <w:t xml:space="preserve">against </w:t>
      </w:r>
      <w:r w:rsidR="005028DA" w:rsidRPr="00DA613A">
        <w:rPr>
          <w:i/>
        </w:rPr>
        <w:t xml:space="preserve">specific-project corporations </w:t>
      </w:r>
      <w:r w:rsidR="00983055">
        <w:rPr>
          <w:i/>
        </w:rPr>
        <w:t xml:space="preserve">on basis that wife who committed fraud was their </w:t>
      </w:r>
      <w:r w:rsidR="003C0C36">
        <w:rPr>
          <w:i/>
        </w:rPr>
        <w:t>directing</w:t>
      </w:r>
      <w:r w:rsidR="00983055">
        <w:rPr>
          <w:i/>
        </w:rPr>
        <w:t xml:space="preserve"> mind</w:t>
      </w:r>
      <w:r w:rsidR="00BE344D">
        <w:rPr>
          <w:i/>
        </w:rPr>
        <w:t xml:space="preserve"> </w:t>
      </w:r>
      <w:r w:rsidR="00982038">
        <w:rPr>
          <w:i/>
        </w:rPr>
        <w:t xml:space="preserve">— </w:t>
      </w:r>
      <w:r w:rsidR="00714B1F">
        <w:rPr>
          <w:i/>
        </w:rPr>
        <w:t xml:space="preserve">Application judge </w:t>
      </w:r>
      <w:r w:rsidR="00E94E17">
        <w:rPr>
          <w:i/>
        </w:rPr>
        <w:t xml:space="preserve">awarding damages against </w:t>
      </w:r>
      <w:r w:rsidR="008D7068">
        <w:rPr>
          <w:i/>
        </w:rPr>
        <w:t>husband and wife</w:t>
      </w:r>
      <w:r w:rsidR="00E94E17">
        <w:rPr>
          <w:i/>
        </w:rPr>
        <w:t xml:space="preserve"> personally, but </w:t>
      </w:r>
      <w:r w:rsidR="00714B1F">
        <w:rPr>
          <w:i/>
        </w:rPr>
        <w:t xml:space="preserve">dismissing </w:t>
      </w:r>
      <w:r w:rsidR="00983055">
        <w:rPr>
          <w:i/>
        </w:rPr>
        <w:t xml:space="preserve">knowing assistance </w:t>
      </w:r>
      <w:r w:rsidR="00714B1F">
        <w:rPr>
          <w:i/>
        </w:rPr>
        <w:t xml:space="preserve">claim </w:t>
      </w:r>
      <w:r w:rsidR="00714B1F" w:rsidRPr="00DA613A">
        <w:rPr>
          <w:i/>
        </w:rPr>
        <w:t xml:space="preserve">on </w:t>
      </w:r>
      <w:r w:rsidR="00983055">
        <w:rPr>
          <w:i/>
        </w:rPr>
        <w:t xml:space="preserve">basis that wife’s knowledge of fraud could not be imputed to </w:t>
      </w:r>
      <w:r w:rsidR="0035691F" w:rsidRPr="00DA613A">
        <w:rPr>
          <w:i/>
        </w:rPr>
        <w:t xml:space="preserve">specific-project corporations </w:t>
      </w:r>
      <w:r w:rsidR="00DF463A" w:rsidRPr="0044184F">
        <w:rPr>
          <w:i/>
        </w:rPr>
        <w:t xml:space="preserve">— </w:t>
      </w:r>
      <w:r w:rsidR="00E94E17" w:rsidRPr="0044184F">
        <w:rPr>
          <w:i/>
        </w:rPr>
        <w:t xml:space="preserve">Majority of Court of Appeal </w:t>
      </w:r>
      <w:r w:rsidR="00983055">
        <w:rPr>
          <w:i/>
        </w:rPr>
        <w:t xml:space="preserve">allowing </w:t>
      </w:r>
      <w:r w:rsidR="00E94E17" w:rsidRPr="0044184F">
        <w:rPr>
          <w:i/>
        </w:rPr>
        <w:t xml:space="preserve">knowing assistance </w:t>
      </w:r>
      <w:r w:rsidR="00983055">
        <w:rPr>
          <w:i/>
        </w:rPr>
        <w:t>claim</w:t>
      </w:r>
      <w:r w:rsidR="00EE0EC7">
        <w:rPr>
          <w:i/>
        </w:rPr>
        <w:t xml:space="preserve"> </w:t>
      </w:r>
      <w:r w:rsidR="0035691F">
        <w:rPr>
          <w:i/>
        </w:rPr>
        <w:t xml:space="preserve">— Dissenting judge </w:t>
      </w:r>
      <w:r w:rsidR="0061315E">
        <w:rPr>
          <w:i/>
        </w:rPr>
        <w:t>finding</w:t>
      </w:r>
      <w:r w:rsidR="0035691F">
        <w:rPr>
          <w:i/>
        </w:rPr>
        <w:t xml:space="preserve"> that liability for knowing assistance could not be made out against </w:t>
      </w:r>
      <w:r w:rsidR="0035691F" w:rsidRPr="00DA613A">
        <w:rPr>
          <w:i/>
        </w:rPr>
        <w:t>specific-project corporations</w:t>
      </w:r>
      <w:r w:rsidR="0035691F">
        <w:rPr>
          <w:i/>
        </w:rPr>
        <w:t xml:space="preserve"> —</w:t>
      </w:r>
      <w:r w:rsidR="00EE0EC7">
        <w:rPr>
          <w:i/>
        </w:rPr>
        <w:t xml:space="preserve"> </w:t>
      </w:r>
      <w:r w:rsidR="002B21CF">
        <w:rPr>
          <w:i/>
        </w:rPr>
        <w:t>Claim of knowing assistance must fail</w:t>
      </w:r>
      <w:r w:rsidR="004F465C">
        <w:rPr>
          <w:i/>
        </w:rPr>
        <w:t>.</w:t>
      </w:r>
    </w:p>
    <w:p w:rsidR="00A149DF" w:rsidRDefault="002E6705" w:rsidP="00F13300">
      <w:pPr>
        <w:pStyle w:val="SCCNormalDoubleSpacing"/>
        <w:spacing w:after="720" w:line="240" w:lineRule="auto"/>
        <w:rPr>
          <w:b/>
        </w:rPr>
      </w:pPr>
      <w:r w:rsidRPr="00314E01">
        <w:rPr>
          <w:b/>
        </w:rPr>
        <w:t>Cases Cited</w:t>
      </w:r>
    </w:p>
    <w:p w:rsidR="00A149DF" w:rsidRDefault="002E6705" w:rsidP="00F13300">
      <w:pPr>
        <w:tabs>
          <w:tab w:val="left" w:pos="1170"/>
        </w:tabs>
        <w:spacing w:after="480" w:line="480" w:lineRule="auto"/>
        <w:jc w:val="both"/>
      </w:pPr>
      <w:r>
        <w:tab/>
      </w:r>
      <w:r w:rsidRPr="00314E01">
        <w:rPr>
          <w:b/>
        </w:rPr>
        <w:t>Referred to:</w:t>
      </w:r>
      <w:r w:rsidR="00BD0E9E" w:rsidRPr="00BD0E9E">
        <w:t xml:space="preserve"> </w:t>
      </w:r>
      <w:r w:rsidR="00536AD9" w:rsidRPr="00360903">
        <w:rPr>
          <w:i/>
        </w:rPr>
        <w:t>Deloitte &amp; Touche v. Livent Inc. (Receiver of)</w:t>
      </w:r>
      <w:r w:rsidR="00536AD9" w:rsidRPr="00360903">
        <w:t>, 2017 SCC 63, [2017] 2 S.C.R. 855</w:t>
      </w:r>
      <w:r w:rsidR="00B547AB">
        <w:t>;</w:t>
      </w:r>
      <w:r w:rsidR="00536AD9">
        <w:t xml:space="preserve"> </w:t>
      </w:r>
      <w:r w:rsidR="00536AD9" w:rsidRPr="00360903">
        <w:rPr>
          <w:i/>
        </w:rPr>
        <w:t>Canadian Dredge &amp; Dock Co. v. The Queen</w:t>
      </w:r>
      <w:r w:rsidR="00536AD9" w:rsidRPr="00360903">
        <w:t>, [1985] 1 S.C.R. 662</w:t>
      </w:r>
      <w:r w:rsidR="00536AD9">
        <w:t>.</w:t>
      </w:r>
    </w:p>
    <w:p w:rsidR="00656313" w:rsidRDefault="009B57B3" w:rsidP="00D43C0F">
      <w:pPr>
        <w:pStyle w:val="SCCNormalDoubleSpacing"/>
        <w:spacing w:after="480"/>
      </w:pPr>
      <w:r w:rsidRPr="001426A9">
        <w:tab/>
        <w:t xml:space="preserve">APPEAL from a judgment of the </w:t>
      </w:r>
      <w:r w:rsidR="007D75B3">
        <w:t xml:space="preserve">Ontario </w:t>
      </w:r>
      <w:r>
        <w:t xml:space="preserve">Court of Appeal </w:t>
      </w:r>
      <w:r w:rsidR="0016392C">
        <w:t>(</w:t>
      </w:r>
      <w:r w:rsidR="000B4B81">
        <w:t>Cronk, Blair and van Rensburg JJ.A.)</w:t>
      </w:r>
      <w:r w:rsidR="00DC7CBC">
        <w:t>,</w:t>
      </w:r>
      <w:r w:rsidR="000B4B81">
        <w:t xml:space="preserve"> 2018 ONCA 60, 419 D.L.R. (4th) 409, 78 B.L.R. (5th) 183, </w:t>
      </w:r>
      <w:r w:rsidR="00101A91">
        <w:t>56 C.B.R. (6th) 174</w:t>
      </w:r>
      <w:r w:rsidR="000B4B81">
        <w:t xml:space="preserve">, 33 E.T.R. (4th) 173, </w:t>
      </w:r>
      <w:r w:rsidR="000B4B81">
        <w:rPr>
          <w:lang w:val="en-US"/>
        </w:rPr>
        <w:t>[2018] O.J. No. 578 (QL), 2018 CarswellOnt 1571 (WL Can.)</w:t>
      </w:r>
      <w:r w:rsidR="00012D14">
        <w:rPr>
          <w:lang w:val="en-US"/>
        </w:rPr>
        <w:t>,</w:t>
      </w:r>
      <w:r w:rsidR="000B4B81">
        <w:t xml:space="preserve"> </w:t>
      </w:r>
      <w:r w:rsidR="003C5426">
        <w:t>setting aside</w:t>
      </w:r>
      <w:r w:rsidR="005D6E31">
        <w:t xml:space="preserve"> </w:t>
      </w:r>
      <w:r w:rsidR="000B4B81">
        <w:t xml:space="preserve">a decision of Newbould J., 2016 ONSC 6018, 40 C.B.R. (6th) 230, </w:t>
      </w:r>
      <w:r w:rsidR="005D6E31">
        <w:t>[2016] O.J. No. 5017 (QL), 2016 CarswellOnt 15044 (WL Can.)</w:t>
      </w:r>
      <w:r w:rsidR="008B30DD">
        <w:t>. Appeal allowed</w:t>
      </w:r>
      <w:r w:rsidR="003C5426">
        <w:t>.</w:t>
      </w:r>
    </w:p>
    <w:p w:rsidR="00966F4E" w:rsidRDefault="00BD33A2" w:rsidP="00D43C0F">
      <w:pPr>
        <w:pStyle w:val="SCCNormalDoubleSpacing"/>
        <w:spacing w:after="480"/>
      </w:pPr>
      <w:r>
        <w:rPr>
          <w:rStyle w:val="SCCCounselNameChar"/>
        </w:rPr>
        <w:tab/>
        <w:t>Jeremy Opolsky</w:t>
      </w:r>
      <w:r>
        <w:rPr>
          <w:rStyle w:val="SCCCounselSeparatorChar"/>
        </w:rPr>
        <w:t xml:space="preserve">, </w:t>
      </w:r>
      <w:r>
        <w:rPr>
          <w:rStyle w:val="SCCCounselNameChar"/>
        </w:rPr>
        <w:t>Jonathan Silver</w:t>
      </w:r>
      <w:r w:rsidR="00C40065">
        <w:rPr>
          <w:rStyle w:val="SCCCounselNameChar"/>
        </w:rPr>
        <w:t xml:space="preserve"> </w:t>
      </w:r>
      <w:r w:rsidR="00C40065">
        <w:rPr>
          <w:rStyle w:val="SCCCounselNameChar"/>
          <w:i w:val="0"/>
        </w:rPr>
        <w:t>and</w:t>
      </w:r>
      <w:r>
        <w:rPr>
          <w:rStyle w:val="SCCCounselNameChar"/>
        </w:rPr>
        <w:t xml:space="preserve"> Alicja Puchta</w:t>
      </w:r>
      <w:r>
        <w:rPr>
          <w:rStyle w:val="SCCCounselPartyRoleChar"/>
        </w:rPr>
        <w:t>, for the appellant.</w:t>
      </w:r>
    </w:p>
    <w:p w:rsidR="00966F4E" w:rsidRDefault="00BD33A2" w:rsidP="00EC20B6">
      <w:pPr>
        <w:pStyle w:val="SCCNormalDoubleSpacing"/>
        <w:spacing w:after="480"/>
      </w:pPr>
      <w:r>
        <w:rPr>
          <w:rStyle w:val="SCCCounselNameChar"/>
        </w:rPr>
        <w:tab/>
      </w:r>
      <w:r w:rsidR="00C40065">
        <w:rPr>
          <w:rStyle w:val="SCCCounselNameChar"/>
        </w:rPr>
        <w:t>Shara N. Roy</w:t>
      </w:r>
      <w:r w:rsidR="00C40065" w:rsidRPr="00B547AB">
        <w:rPr>
          <w:rStyle w:val="SCCCounselNameChar"/>
          <w:i w:val="0"/>
        </w:rPr>
        <w:t>,</w:t>
      </w:r>
      <w:r w:rsidR="00C40065">
        <w:rPr>
          <w:rStyle w:val="SCCCounselNameChar"/>
        </w:rPr>
        <w:t xml:space="preserve"> Paul-Erik Veel</w:t>
      </w:r>
      <w:r w:rsidR="00C40065">
        <w:rPr>
          <w:rStyle w:val="SCCCounselSeparatorChar"/>
        </w:rPr>
        <w:t xml:space="preserve"> </w:t>
      </w:r>
      <w:r>
        <w:rPr>
          <w:rStyle w:val="SCCCounselSeparatorChar"/>
        </w:rPr>
        <w:t xml:space="preserve">and </w:t>
      </w:r>
      <w:r>
        <w:rPr>
          <w:rStyle w:val="SCCCounselNameChar"/>
        </w:rPr>
        <w:t>Madison Robins</w:t>
      </w:r>
      <w:r>
        <w:rPr>
          <w:rStyle w:val="SCCCounselPartyRoleChar"/>
        </w:rPr>
        <w:t>, for the respondent</w:t>
      </w:r>
      <w:r w:rsidR="00C40065">
        <w:rPr>
          <w:rStyle w:val="SCCCounselPartyRoleChar"/>
        </w:rPr>
        <w:t>s</w:t>
      </w:r>
      <w:r>
        <w:rPr>
          <w:rStyle w:val="SCCCounselPartyRoleChar"/>
        </w:rPr>
        <w:t>.</w:t>
      </w:r>
    </w:p>
    <w:p w:rsidR="00FC7AE4" w:rsidRDefault="00FC7AE4" w:rsidP="00FC7AE4">
      <w:pPr>
        <w:pStyle w:val="SCCNormalDoubleSpacing"/>
        <w:spacing w:after="480"/>
      </w:pPr>
      <w:r w:rsidRPr="000B4B81">
        <w:rPr>
          <w:rStyle w:val="SCCCounselPartyRoleChar"/>
        </w:rPr>
        <w:tab/>
      </w:r>
      <w:r w:rsidRPr="00B547AB">
        <w:rPr>
          <w:rStyle w:val="SCCCounselNameChar"/>
        </w:rPr>
        <w:t>Geoff R. Hall</w:t>
      </w:r>
      <w:r w:rsidRPr="00B547AB">
        <w:rPr>
          <w:rStyle w:val="SCCCounselSeparatorChar"/>
        </w:rPr>
        <w:t xml:space="preserve">, </w:t>
      </w:r>
      <w:r w:rsidRPr="00B547AB">
        <w:rPr>
          <w:rStyle w:val="SCCCounselNameChar"/>
        </w:rPr>
        <w:t>Anu Koshal</w:t>
      </w:r>
      <w:r w:rsidRPr="00B547AB">
        <w:rPr>
          <w:rStyle w:val="SCCCounselSeparatorChar"/>
        </w:rPr>
        <w:t xml:space="preserve"> and </w:t>
      </w:r>
      <w:r w:rsidRPr="00B547AB">
        <w:rPr>
          <w:rStyle w:val="SCCCounselNameChar"/>
        </w:rPr>
        <w:t>Natalie V. Kolos</w:t>
      </w:r>
      <w:r w:rsidRPr="00B547AB">
        <w:rPr>
          <w:rStyle w:val="SCCCounselPartyRoleChar"/>
        </w:rPr>
        <w:t>, for the intervener the Canadian Chamber of Commerce.</w:t>
      </w:r>
    </w:p>
    <w:p w:rsidR="000B4B81" w:rsidRPr="000B4B81" w:rsidRDefault="00BD33A2" w:rsidP="00EC20B6">
      <w:pPr>
        <w:pStyle w:val="SCCNormalDoubleSpacing"/>
        <w:spacing w:after="480"/>
        <w:rPr>
          <w:rStyle w:val="SCCCounselPartyRoleChar"/>
        </w:rPr>
      </w:pPr>
      <w:r>
        <w:rPr>
          <w:rStyle w:val="SCCCounselNameChar"/>
        </w:rPr>
        <w:tab/>
      </w:r>
      <w:r w:rsidR="000B4B81" w:rsidRPr="00B547AB">
        <w:rPr>
          <w:rStyle w:val="SCCCounselNameChar"/>
        </w:rPr>
        <w:t>Mark Dunn</w:t>
      </w:r>
      <w:r w:rsidR="000B4B81" w:rsidRPr="00B547AB">
        <w:rPr>
          <w:rStyle w:val="SCCCounselSeparatorChar"/>
        </w:rPr>
        <w:t xml:space="preserve"> and </w:t>
      </w:r>
      <w:r w:rsidR="000B4B81" w:rsidRPr="00B547AB">
        <w:rPr>
          <w:rStyle w:val="SCCCounselNameChar"/>
        </w:rPr>
        <w:t xml:space="preserve">Carlie </w:t>
      </w:r>
      <w:r w:rsidR="000B4B81" w:rsidRPr="00FC7AE4">
        <w:rPr>
          <w:rStyle w:val="SCCCounselNameChar"/>
        </w:rPr>
        <w:t>Fox</w:t>
      </w:r>
      <w:r w:rsidR="000B4B81" w:rsidRPr="00FC7AE4">
        <w:rPr>
          <w:rStyle w:val="SCCCounselPartyRoleChar"/>
        </w:rPr>
        <w:t xml:space="preserve">, for the </w:t>
      </w:r>
      <w:r w:rsidR="00FC7AE4" w:rsidRPr="00FC7AE4">
        <w:rPr>
          <w:rStyle w:val="SCCCounselPartyRoleChar"/>
        </w:rPr>
        <w:t xml:space="preserve">other </w:t>
      </w:r>
      <w:r w:rsidR="000B4B81" w:rsidRPr="00FC7AE4">
        <w:rPr>
          <w:rStyle w:val="SCCCounselPartyRoleChar"/>
        </w:rPr>
        <w:t>interveners.</w:t>
      </w:r>
    </w:p>
    <w:p w:rsidR="00536AD9" w:rsidRPr="00360903" w:rsidRDefault="00536AD9" w:rsidP="00EC20B6">
      <w:pPr>
        <w:pStyle w:val="SCCNormalDoubleSpacing"/>
        <w:widowControl w:val="0"/>
        <w:spacing w:before="480" w:after="480"/>
      </w:pPr>
      <w:r>
        <w:rPr>
          <w:lang w:val="en"/>
        </w:rPr>
        <w:tab/>
        <w:t>The judgment of the Court was delivered orally by</w:t>
      </w:r>
    </w:p>
    <w:p w:rsidR="00536AD9" w:rsidRPr="00360903" w:rsidRDefault="00536AD9" w:rsidP="008A0A40">
      <w:pPr>
        <w:pStyle w:val="ParaNoNdepar-AltN"/>
        <w:numPr>
          <w:ilvl w:val="0"/>
          <w:numId w:val="0"/>
        </w:numPr>
      </w:pPr>
      <w:r>
        <w:t>[1]</w:t>
      </w:r>
      <w:r w:rsidRPr="00536AD9">
        <w:t xml:space="preserve"> </w:t>
      </w:r>
      <w:r>
        <w:tab/>
      </w:r>
      <w:r>
        <w:rPr>
          <w:smallCaps/>
        </w:rPr>
        <w:t>B</w:t>
      </w:r>
      <w:r w:rsidRPr="00360903">
        <w:rPr>
          <w:smallCaps/>
        </w:rPr>
        <w:t>rown</w:t>
      </w:r>
      <w:r w:rsidRPr="00360903">
        <w:t xml:space="preserve"> J. — We agree with Justice van Rensburg, dissenting, at the Court of Appeal that the respondents</w:t>
      </w:r>
      <w:r w:rsidR="002E1CCB">
        <w:t>’</w:t>
      </w:r>
      <w:r w:rsidRPr="00360903">
        <w:t xml:space="preserve"> claim for knowing assistance must fail, and we adopt her reasons as our own. </w:t>
      </w:r>
    </w:p>
    <w:p w:rsidR="008A0A40" w:rsidRDefault="00536AD9" w:rsidP="008A0A40">
      <w:pPr>
        <w:pStyle w:val="ParaNoNdepar-AltN"/>
        <w:numPr>
          <w:ilvl w:val="0"/>
          <w:numId w:val="0"/>
        </w:numPr>
      </w:pPr>
      <w:r>
        <w:t>[2]</w:t>
      </w:r>
      <w:r>
        <w:tab/>
      </w:r>
      <w:r w:rsidRPr="00360903">
        <w:t>In view of the statement of the majority at the Court of Appeal that this Court</w:t>
      </w:r>
      <w:r w:rsidR="002E1CCB">
        <w:t>’</w:t>
      </w:r>
      <w:r w:rsidRPr="00360903">
        <w:t xml:space="preserve">s decision in </w:t>
      </w:r>
      <w:r w:rsidRPr="00360903">
        <w:rPr>
          <w:i/>
        </w:rPr>
        <w:t>Deloitte &amp; Touche v. Livent Inc. (Receiver of)</w:t>
      </w:r>
      <w:r w:rsidRPr="00360903">
        <w:t xml:space="preserve">, 2017 SCC 63, [2017] 2 S.C.R. 855, invited a “flexible” application of the criteria stated in </w:t>
      </w:r>
      <w:r w:rsidRPr="00360903">
        <w:rPr>
          <w:i/>
        </w:rPr>
        <w:t>Canadian Dredge &amp; Dock Co. v. The Queen</w:t>
      </w:r>
      <w:r w:rsidRPr="00360903">
        <w:t xml:space="preserve">, [1985] 1 S.C.R. </w:t>
      </w:r>
      <w:r w:rsidRPr="00522343">
        <w:t>662</w:t>
      </w:r>
      <w:r w:rsidR="000B4B81" w:rsidRPr="00522343">
        <w:t>,</w:t>
      </w:r>
      <w:r w:rsidRPr="00522343">
        <w:t xml:space="preserve"> for</w:t>
      </w:r>
      <w:r w:rsidRPr="00360903">
        <w:t xml:space="preserve"> attributing individual wrongdoing to a corporation, we respectfully add this. What the Court directed in </w:t>
      </w:r>
      <w:r w:rsidRPr="00360903">
        <w:rPr>
          <w:i/>
        </w:rPr>
        <w:t>Livent</w:t>
      </w:r>
      <w:r w:rsidRPr="00360903">
        <w:t xml:space="preserve">, at para. 104, was that </w:t>
      </w:r>
      <w:r w:rsidRPr="00360903">
        <w:rPr>
          <w:i/>
        </w:rPr>
        <w:t>even where those criteria are satisfied</w:t>
      </w:r>
      <w:r w:rsidRPr="00360903">
        <w:t xml:space="preserve">, “courts retain the discretion </w:t>
      </w:r>
      <w:r w:rsidRPr="00B55C01">
        <w:rPr>
          <w:u w:val="single"/>
        </w:rPr>
        <w:t>to refrain</w:t>
      </w:r>
      <w:r w:rsidRPr="00360903">
        <w:t xml:space="preserve"> from applying [corporate attribution] where, in the circumstances of the case, it would not be in the public interest to do so”</w:t>
      </w:r>
      <w:r>
        <w:t xml:space="preserve"> (emphasis added)</w:t>
      </w:r>
      <w:r w:rsidRPr="00360903">
        <w:t xml:space="preserve">. In other words, while the presence of public interest concerns may </w:t>
      </w:r>
      <w:r w:rsidRPr="00360903">
        <w:rPr>
          <w:i/>
        </w:rPr>
        <w:t>heighten</w:t>
      </w:r>
      <w:r w:rsidRPr="00360903">
        <w:t xml:space="preserve"> the burden on the party seeking to have the actions of a directing mind attributed to a corporation, </w:t>
      </w:r>
      <w:r w:rsidRPr="00360903">
        <w:rPr>
          <w:i/>
        </w:rPr>
        <w:t>Canadian Dredge</w:t>
      </w:r>
      <w:r w:rsidRPr="00360903">
        <w:t xml:space="preserve"> states </w:t>
      </w:r>
      <w:r w:rsidRPr="00360903">
        <w:rPr>
          <w:i/>
        </w:rPr>
        <w:t>minimal</w:t>
      </w:r>
      <w:r w:rsidRPr="00360903">
        <w:t xml:space="preserve"> criteria that must always be met. The appeal is allowed, with costs throughout.</w:t>
      </w:r>
    </w:p>
    <w:p w:rsidR="007D75B3" w:rsidRPr="001426A9" w:rsidRDefault="007D75B3" w:rsidP="008A0A40">
      <w:pPr>
        <w:pStyle w:val="SCCNormalDoubleSpacing"/>
        <w:spacing w:after="480"/>
      </w:pPr>
      <w:r>
        <w:tab/>
      </w:r>
      <w:r w:rsidR="001D2440">
        <w:rPr>
          <w:i/>
        </w:rPr>
        <w:t>Judgment accordingly</w:t>
      </w:r>
      <w:r w:rsidR="008B30DD">
        <w:rPr>
          <w:i/>
        </w:rPr>
        <w:t>.</w:t>
      </w:r>
    </w:p>
    <w:p w:rsidR="00966F4E" w:rsidRDefault="00BD33A2" w:rsidP="008A0A40">
      <w:pPr>
        <w:pStyle w:val="SCCLawFirm"/>
        <w:spacing w:after="480"/>
      </w:pPr>
      <w:r>
        <w:tab/>
        <w:t>Solicitors for the appellant: Torys, Toronto.</w:t>
      </w:r>
    </w:p>
    <w:p w:rsidR="00966F4E" w:rsidRDefault="00BD33A2" w:rsidP="00FD0B61">
      <w:pPr>
        <w:pStyle w:val="SCCLawFirm"/>
        <w:spacing w:after="480"/>
      </w:pPr>
      <w:r>
        <w:tab/>
        <w:t>Solicitors for the respondent</w:t>
      </w:r>
      <w:r w:rsidR="00C40065">
        <w:t>s</w:t>
      </w:r>
      <w:r>
        <w:t>: Lenczner Slaght Royce Smith Griffin, Toronto.</w:t>
      </w:r>
    </w:p>
    <w:p w:rsidR="00FC7AE4" w:rsidRPr="007D75B3" w:rsidRDefault="00FC7AE4" w:rsidP="00FC7AE4">
      <w:pPr>
        <w:pStyle w:val="SCCLawFirm"/>
        <w:spacing w:after="480"/>
      </w:pPr>
      <w:r w:rsidRPr="00EF335C">
        <w:tab/>
        <w:t>Solicitors for the intervener the Canadian Chamber of Commerce: McCarthy Tétrault, Toronto.</w:t>
      </w:r>
    </w:p>
    <w:p w:rsidR="00FC7AE4" w:rsidRPr="00FC7AE4" w:rsidRDefault="00BD33A2" w:rsidP="00FC7AE4">
      <w:pPr>
        <w:pStyle w:val="SCCLawFirm"/>
        <w:spacing w:after="480"/>
        <w:rPr>
          <w:highlight w:val="yellow"/>
        </w:rPr>
      </w:pPr>
      <w:r>
        <w:tab/>
      </w:r>
      <w:r w:rsidR="000B4B81" w:rsidRPr="00B547AB">
        <w:t xml:space="preserve">Solicitors for the </w:t>
      </w:r>
      <w:r w:rsidR="00FC7AE4">
        <w:t xml:space="preserve">other </w:t>
      </w:r>
      <w:r w:rsidR="000B4B81" w:rsidRPr="00522343">
        <w:t>interveners: Goodmans</w:t>
      </w:r>
      <w:r w:rsidR="000B4B81" w:rsidRPr="00B547AB">
        <w:t>, Toronto.</w:t>
      </w:r>
    </w:p>
    <w:sectPr w:rsidR="00FC7AE4" w:rsidRPr="00FC7AE4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F3" w:rsidRDefault="001A0DF3">
      <w:r>
        <w:separator/>
      </w:r>
    </w:p>
  </w:endnote>
  <w:endnote w:type="continuationSeparator" w:id="0">
    <w:p w:rsidR="001A0DF3" w:rsidRDefault="001A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F3" w:rsidRDefault="001A0DF3">
      <w:r>
        <w:separator/>
      </w:r>
    </w:p>
  </w:footnote>
  <w:footnote w:type="continuationSeparator" w:id="0">
    <w:p w:rsidR="001A0DF3" w:rsidRDefault="001A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D5779"/>
    <w:multiLevelType w:val="multilevel"/>
    <w:tmpl w:val="26BA09CA"/>
    <w:lvl w:ilvl="0">
      <w:start w:val="1"/>
      <w:numFmt w:val="decimal"/>
      <w:pStyle w:val="ParaNoNdepar-Alt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2D14"/>
    <w:rsid w:val="00025198"/>
    <w:rsid w:val="000425E8"/>
    <w:rsid w:val="000578A3"/>
    <w:rsid w:val="000648CC"/>
    <w:rsid w:val="000650F1"/>
    <w:rsid w:val="000718A8"/>
    <w:rsid w:val="000B4B81"/>
    <w:rsid w:val="000C07FD"/>
    <w:rsid w:val="000C59B8"/>
    <w:rsid w:val="000C6AF0"/>
    <w:rsid w:val="00101A91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392C"/>
    <w:rsid w:val="00165277"/>
    <w:rsid w:val="00170592"/>
    <w:rsid w:val="00186351"/>
    <w:rsid w:val="00195D83"/>
    <w:rsid w:val="001A00C1"/>
    <w:rsid w:val="001A0534"/>
    <w:rsid w:val="001A05AA"/>
    <w:rsid w:val="001A0DF3"/>
    <w:rsid w:val="001B27AB"/>
    <w:rsid w:val="001B33E0"/>
    <w:rsid w:val="001B4573"/>
    <w:rsid w:val="001C779F"/>
    <w:rsid w:val="001D2440"/>
    <w:rsid w:val="001D2AC1"/>
    <w:rsid w:val="001D4E88"/>
    <w:rsid w:val="001E0E6D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B1627"/>
    <w:rsid w:val="002B21CF"/>
    <w:rsid w:val="002B7924"/>
    <w:rsid w:val="002D28C3"/>
    <w:rsid w:val="002D39A4"/>
    <w:rsid w:val="002E1CCB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5691F"/>
    <w:rsid w:val="00364B18"/>
    <w:rsid w:val="003A125D"/>
    <w:rsid w:val="003A4C70"/>
    <w:rsid w:val="003B215F"/>
    <w:rsid w:val="003C0C36"/>
    <w:rsid w:val="003C5426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36D45"/>
    <w:rsid w:val="0044184F"/>
    <w:rsid w:val="00450352"/>
    <w:rsid w:val="00454BDB"/>
    <w:rsid w:val="00464800"/>
    <w:rsid w:val="00465132"/>
    <w:rsid w:val="00475E21"/>
    <w:rsid w:val="00480C90"/>
    <w:rsid w:val="0048396F"/>
    <w:rsid w:val="00493C18"/>
    <w:rsid w:val="00495F99"/>
    <w:rsid w:val="004A600C"/>
    <w:rsid w:val="004A6118"/>
    <w:rsid w:val="004C3B6C"/>
    <w:rsid w:val="004C478D"/>
    <w:rsid w:val="004E2C26"/>
    <w:rsid w:val="004E2D2D"/>
    <w:rsid w:val="004F36FF"/>
    <w:rsid w:val="004F465C"/>
    <w:rsid w:val="005028DA"/>
    <w:rsid w:val="005125A8"/>
    <w:rsid w:val="00521AE8"/>
    <w:rsid w:val="00522343"/>
    <w:rsid w:val="00527180"/>
    <w:rsid w:val="00536AD9"/>
    <w:rsid w:val="0054201E"/>
    <w:rsid w:val="00555291"/>
    <w:rsid w:val="00565ED6"/>
    <w:rsid w:val="00566AD1"/>
    <w:rsid w:val="00583EDE"/>
    <w:rsid w:val="00590B06"/>
    <w:rsid w:val="005A6079"/>
    <w:rsid w:val="005D6E31"/>
    <w:rsid w:val="005E204C"/>
    <w:rsid w:val="005E4698"/>
    <w:rsid w:val="006042ED"/>
    <w:rsid w:val="00610539"/>
    <w:rsid w:val="0061315E"/>
    <w:rsid w:val="00613969"/>
    <w:rsid w:val="0061485B"/>
    <w:rsid w:val="00625C35"/>
    <w:rsid w:val="00656313"/>
    <w:rsid w:val="006565F4"/>
    <w:rsid w:val="00684EEA"/>
    <w:rsid w:val="0069689B"/>
    <w:rsid w:val="006A1551"/>
    <w:rsid w:val="006B174F"/>
    <w:rsid w:val="006B5FF5"/>
    <w:rsid w:val="006F30AF"/>
    <w:rsid w:val="00701759"/>
    <w:rsid w:val="00705C15"/>
    <w:rsid w:val="00711C8C"/>
    <w:rsid w:val="00714B1F"/>
    <w:rsid w:val="0071600E"/>
    <w:rsid w:val="007208D1"/>
    <w:rsid w:val="00747288"/>
    <w:rsid w:val="00747DD3"/>
    <w:rsid w:val="007549C8"/>
    <w:rsid w:val="00754A0B"/>
    <w:rsid w:val="00766D14"/>
    <w:rsid w:val="00767A0F"/>
    <w:rsid w:val="007A05F6"/>
    <w:rsid w:val="007B6F4A"/>
    <w:rsid w:val="007D2AE5"/>
    <w:rsid w:val="007D75B3"/>
    <w:rsid w:val="007E1895"/>
    <w:rsid w:val="007E1C47"/>
    <w:rsid w:val="007E337A"/>
    <w:rsid w:val="007E5C70"/>
    <w:rsid w:val="007F27FE"/>
    <w:rsid w:val="007F2FF5"/>
    <w:rsid w:val="007F3F08"/>
    <w:rsid w:val="007F42AD"/>
    <w:rsid w:val="00804CC6"/>
    <w:rsid w:val="00817190"/>
    <w:rsid w:val="00820EE5"/>
    <w:rsid w:val="008260E2"/>
    <w:rsid w:val="0082617C"/>
    <w:rsid w:val="008322BD"/>
    <w:rsid w:val="00833E0A"/>
    <w:rsid w:val="00834F73"/>
    <w:rsid w:val="00862921"/>
    <w:rsid w:val="00864CF8"/>
    <w:rsid w:val="00872819"/>
    <w:rsid w:val="00874914"/>
    <w:rsid w:val="00883614"/>
    <w:rsid w:val="00891422"/>
    <w:rsid w:val="00892E1A"/>
    <w:rsid w:val="008A0A40"/>
    <w:rsid w:val="008A3F29"/>
    <w:rsid w:val="008B30DD"/>
    <w:rsid w:val="008B660A"/>
    <w:rsid w:val="008C01DA"/>
    <w:rsid w:val="008D6EBD"/>
    <w:rsid w:val="008D7068"/>
    <w:rsid w:val="008F78E9"/>
    <w:rsid w:val="00911989"/>
    <w:rsid w:val="009179F9"/>
    <w:rsid w:val="00933E5E"/>
    <w:rsid w:val="00935218"/>
    <w:rsid w:val="009403F3"/>
    <w:rsid w:val="009555B7"/>
    <w:rsid w:val="009567AA"/>
    <w:rsid w:val="00962380"/>
    <w:rsid w:val="00966F4E"/>
    <w:rsid w:val="00967374"/>
    <w:rsid w:val="00973A2A"/>
    <w:rsid w:val="00982038"/>
    <w:rsid w:val="00983055"/>
    <w:rsid w:val="009A343A"/>
    <w:rsid w:val="009B0291"/>
    <w:rsid w:val="009B2F23"/>
    <w:rsid w:val="009B57B3"/>
    <w:rsid w:val="009C5B92"/>
    <w:rsid w:val="009D2920"/>
    <w:rsid w:val="009D5AEB"/>
    <w:rsid w:val="009F0E33"/>
    <w:rsid w:val="00A030CE"/>
    <w:rsid w:val="00A0728B"/>
    <w:rsid w:val="00A149DF"/>
    <w:rsid w:val="00A1755C"/>
    <w:rsid w:val="00A21B90"/>
    <w:rsid w:val="00A41805"/>
    <w:rsid w:val="00A42DCD"/>
    <w:rsid w:val="00A52AFB"/>
    <w:rsid w:val="00A548CB"/>
    <w:rsid w:val="00A5521C"/>
    <w:rsid w:val="00A555F1"/>
    <w:rsid w:val="00A572A5"/>
    <w:rsid w:val="00A643E7"/>
    <w:rsid w:val="00A73C38"/>
    <w:rsid w:val="00AA2B3E"/>
    <w:rsid w:val="00AB670D"/>
    <w:rsid w:val="00AE4535"/>
    <w:rsid w:val="00AF03C5"/>
    <w:rsid w:val="00AF1A05"/>
    <w:rsid w:val="00B000D8"/>
    <w:rsid w:val="00B00F75"/>
    <w:rsid w:val="00B145B6"/>
    <w:rsid w:val="00B279EB"/>
    <w:rsid w:val="00B50C81"/>
    <w:rsid w:val="00B51556"/>
    <w:rsid w:val="00B547AB"/>
    <w:rsid w:val="00B557F8"/>
    <w:rsid w:val="00B623C9"/>
    <w:rsid w:val="00B815FC"/>
    <w:rsid w:val="00B93FBC"/>
    <w:rsid w:val="00BA7DA0"/>
    <w:rsid w:val="00BB2EE4"/>
    <w:rsid w:val="00BC2108"/>
    <w:rsid w:val="00BD0E9E"/>
    <w:rsid w:val="00BD1BEC"/>
    <w:rsid w:val="00BD32FF"/>
    <w:rsid w:val="00BD33A2"/>
    <w:rsid w:val="00BE344D"/>
    <w:rsid w:val="00BF5D1A"/>
    <w:rsid w:val="00C02092"/>
    <w:rsid w:val="00C04589"/>
    <w:rsid w:val="00C24D91"/>
    <w:rsid w:val="00C40065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172F"/>
    <w:rsid w:val="00D068A7"/>
    <w:rsid w:val="00D17476"/>
    <w:rsid w:val="00D31280"/>
    <w:rsid w:val="00D32086"/>
    <w:rsid w:val="00D37A3F"/>
    <w:rsid w:val="00D42427"/>
    <w:rsid w:val="00D4297A"/>
    <w:rsid w:val="00D43C0F"/>
    <w:rsid w:val="00D4431D"/>
    <w:rsid w:val="00D4667A"/>
    <w:rsid w:val="00D62CE7"/>
    <w:rsid w:val="00D63A1C"/>
    <w:rsid w:val="00D7516F"/>
    <w:rsid w:val="00D8579F"/>
    <w:rsid w:val="00D95F8E"/>
    <w:rsid w:val="00DA0590"/>
    <w:rsid w:val="00DA613A"/>
    <w:rsid w:val="00DB3CF5"/>
    <w:rsid w:val="00DB7BEA"/>
    <w:rsid w:val="00DC1739"/>
    <w:rsid w:val="00DC1788"/>
    <w:rsid w:val="00DC7CBC"/>
    <w:rsid w:val="00DE319C"/>
    <w:rsid w:val="00DF0CA8"/>
    <w:rsid w:val="00DF2B48"/>
    <w:rsid w:val="00DF463A"/>
    <w:rsid w:val="00DF49A7"/>
    <w:rsid w:val="00E07EE2"/>
    <w:rsid w:val="00E07FD1"/>
    <w:rsid w:val="00E14952"/>
    <w:rsid w:val="00E176D8"/>
    <w:rsid w:val="00E24573"/>
    <w:rsid w:val="00E25E1E"/>
    <w:rsid w:val="00E27EE7"/>
    <w:rsid w:val="00E31A3A"/>
    <w:rsid w:val="00E34FB9"/>
    <w:rsid w:val="00E35404"/>
    <w:rsid w:val="00E45109"/>
    <w:rsid w:val="00E47B7A"/>
    <w:rsid w:val="00E56A44"/>
    <w:rsid w:val="00E60269"/>
    <w:rsid w:val="00E77932"/>
    <w:rsid w:val="00E94E17"/>
    <w:rsid w:val="00E97830"/>
    <w:rsid w:val="00EC20B6"/>
    <w:rsid w:val="00EE0EC7"/>
    <w:rsid w:val="00EE643C"/>
    <w:rsid w:val="00EF0683"/>
    <w:rsid w:val="00EF335C"/>
    <w:rsid w:val="00EF69D2"/>
    <w:rsid w:val="00EF766E"/>
    <w:rsid w:val="00F0070C"/>
    <w:rsid w:val="00F00EB7"/>
    <w:rsid w:val="00F03842"/>
    <w:rsid w:val="00F1238B"/>
    <w:rsid w:val="00F13300"/>
    <w:rsid w:val="00F36AB6"/>
    <w:rsid w:val="00F37A09"/>
    <w:rsid w:val="00F409CE"/>
    <w:rsid w:val="00F4379D"/>
    <w:rsid w:val="00F50D2D"/>
    <w:rsid w:val="00F525AF"/>
    <w:rsid w:val="00F56C8B"/>
    <w:rsid w:val="00F57D8E"/>
    <w:rsid w:val="00F66810"/>
    <w:rsid w:val="00F846D9"/>
    <w:rsid w:val="00F84DF4"/>
    <w:rsid w:val="00F85C97"/>
    <w:rsid w:val="00FB030C"/>
    <w:rsid w:val="00FB37D2"/>
    <w:rsid w:val="00FC4EFB"/>
    <w:rsid w:val="00FC7AE4"/>
    <w:rsid w:val="00FD068D"/>
    <w:rsid w:val="00FD0B61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customStyle="1" w:styleId="ParaNoNdepar-AltN">
    <w:name w:val="Para. No. / Nº de par. - Alt N"/>
    <w:qFormat/>
    <w:rsid w:val="008A0A40"/>
    <w:pPr>
      <w:numPr>
        <w:numId w:val="1"/>
      </w:numPr>
      <w:tabs>
        <w:tab w:val="left" w:pos="1166"/>
      </w:tabs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7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D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D8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82617C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2617C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26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1435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2021-02-28T20:23:00Z</dcterms:created>
  <dcterms:modified xsi:type="dcterms:W3CDTF">2021-03-01T18:55:00Z</dcterms:modified>
</cp:coreProperties>
</file>