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6"/>
        <w:gridCol w:w="1314"/>
        <w:gridCol w:w="4079"/>
        <w:gridCol w:w="21"/>
      </w:tblGrid>
      <w:tr w:rsidR="00904FCA" w:rsidTr="00335C88">
        <w:trPr>
          <w:trHeight w:val="1784"/>
        </w:trPr>
        <w:tc>
          <w:tcPr>
            <w:tcW w:w="5000" w:type="pct"/>
            <w:gridSpan w:val="4"/>
          </w:tcPr>
          <w:p w:rsidR="00904FCA" w:rsidRDefault="00904FCA" w:rsidP="00335C88">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2pt;height:64.65pt" o:ole="">
                  <v:imagedata r:id="rId7" o:title=""/>
                </v:shape>
                <o:OLEObject Type="Embed" ProgID="Presentations.Drawing.15" ShapeID="_x0000_i1079" DrawAspect="Content" ObjectID="_1704261281" r:id="rId8"/>
              </w:object>
            </w:r>
          </w:p>
          <w:p w:rsidR="00904FCA" w:rsidRDefault="00904FCA" w:rsidP="00335C88">
            <w:pPr>
              <w:spacing w:before="120" w:after="100" w:afterAutospacing="1"/>
              <w:jc w:val="center"/>
              <w:rPr>
                <w:rFonts w:eastAsia="Calibri"/>
              </w:rPr>
            </w:pPr>
            <w:r w:rsidRPr="00C22905">
              <w:rPr>
                <w:rFonts w:eastAsia="Calibri"/>
                <w:b/>
                <w:szCs w:val="24"/>
                <w:lang w:eastAsia="en-US"/>
              </w:rPr>
              <w:t>SUPREME COURT OF CANADA</w:t>
            </w:r>
          </w:p>
        </w:tc>
      </w:tr>
      <w:tr w:rsidR="00904FCA" w:rsidTr="00335C88">
        <w:trPr>
          <w:gridAfter w:val="1"/>
          <w:wAfter w:w="10" w:type="pct"/>
        </w:trPr>
        <w:tc>
          <w:tcPr>
            <w:tcW w:w="2108" w:type="pct"/>
            <w:tcMar>
              <w:top w:w="284" w:type="dxa"/>
            </w:tcMar>
          </w:tcPr>
          <w:p w:rsidR="00904FCA" w:rsidRPr="005539EF" w:rsidRDefault="00904FCA" w:rsidP="00335C88">
            <w:pPr>
              <w:spacing w:before="100" w:beforeAutospacing="1"/>
              <w:rPr>
                <w:rFonts w:eastAsia="Calibri"/>
                <w:lang w:val="en-US"/>
              </w:rPr>
            </w:pPr>
            <w:r w:rsidRPr="005539EF">
              <w:rPr>
                <w:b/>
                <w:smallCaps/>
                <w:lang w:val="en-US"/>
              </w:rPr>
              <w:t>Citation:</w:t>
            </w:r>
            <w:r w:rsidRPr="005539EF">
              <w:rPr>
                <w:lang w:val="en-US"/>
              </w:rPr>
              <w:t xml:space="preserve"> </w:t>
            </w:r>
            <w:r w:rsidRPr="005539EF">
              <w:t xml:space="preserve">Ontario (Attorney General) </w:t>
            </w:r>
            <w:r w:rsidRPr="005539EF">
              <w:rPr>
                <w:i/>
              </w:rPr>
              <w:t>v.</w:t>
            </w:r>
            <w:r w:rsidRPr="005539EF">
              <w:t xml:space="preserve"> G</w:t>
            </w:r>
            <w:r w:rsidRPr="005539EF">
              <w:rPr>
                <w:lang w:val="en-US"/>
              </w:rPr>
              <w:t xml:space="preserve">, </w:t>
            </w:r>
            <w:r w:rsidRPr="0048186D">
              <w:rPr>
                <w:lang w:val="en-US"/>
              </w:rPr>
              <w:t>2019 SCC 36</w:t>
            </w:r>
            <w:r>
              <w:rPr>
                <w:lang w:val="en-US"/>
              </w:rPr>
              <w:t xml:space="preserve">, </w:t>
            </w:r>
            <w:r>
              <w:t>[2019] 2 S.C.R. 990</w:t>
            </w:r>
          </w:p>
        </w:tc>
        <w:tc>
          <w:tcPr>
            <w:tcW w:w="702" w:type="pct"/>
          </w:tcPr>
          <w:p w:rsidR="00904FCA" w:rsidRPr="005539EF" w:rsidRDefault="00904FCA" w:rsidP="00335C88">
            <w:pPr>
              <w:rPr>
                <w:b/>
                <w:smallCaps/>
                <w:lang w:val="en-US"/>
              </w:rPr>
            </w:pPr>
          </w:p>
        </w:tc>
        <w:tc>
          <w:tcPr>
            <w:tcW w:w="2179" w:type="pct"/>
            <w:tcMar>
              <w:top w:w="284" w:type="dxa"/>
            </w:tcMar>
          </w:tcPr>
          <w:p w:rsidR="00904FCA" w:rsidRPr="006B210C" w:rsidRDefault="00904FCA" w:rsidP="00335C88">
            <w:r>
              <w:rPr>
                <w:b/>
                <w:smallCaps/>
              </w:rPr>
              <w:t>Appeal Heard:</w:t>
            </w:r>
            <w:r w:rsidRPr="006B210C">
              <w:t xml:space="preserve"> </w:t>
            </w:r>
            <w:r>
              <w:t>June 14, 2019</w:t>
            </w:r>
          </w:p>
          <w:p w:rsidR="00904FCA" w:rsidRDefault="00904FCA" w:rsidP="00335C88">
            <w:r>
              <w:rPr>
                <w:b/>
                <w:smallCaps/>
              </w:rPr>
              <w:t>Judgment Rendered:</w:t>
            </w:r>
            <w:r w:rsidRPr="006B210C">
              <w:t xml:space="preserve"> </w:t>
            </w:r>
            <w:r>
              <w:t>June 14, 2019</w:t>
            </w:r>
          </w:p>
          <w:p w:rsidR="00904FCA" w:rsidRPr="006B210C" w:rsidRDefault="00904FCA" w:rsidP="00335C88">
            <w:r w:rsidRPr="00527E81">
              <w:rPr>
                <w:b/>
                <w:smallCaps/>
              </w:rPr>
              <w:t>Docket:</w:t>
            </w:r>
            <w:r>
              <w:t xml:space="preserve"> </w:t>
            </w:r>
            <w:r w:rsidRPr="00E01441">
              <w:t>38</w:t>
            </w:r>
            <w:r>
              <w:t>585</w:t>
            </w:r>
          </w:p>
        </w:tc>
      </w:tr>
      <w:tr w:rsidR="00904FCA" w:rsidRPr="00E42546" w:rsidTr="00335C88">
        <w:tc>
          <w:tcPr>
            <w:tcW w:w="5000" w:type="pct"/>
            <w:gridSpan w:val="4"/>
          </w:tcPr>
          <w:p w:rsidR="00904FCA" w:rsidRDefault="00904FCA" w:rsidP="00335C88">
            <w:pPr>
              <w:rPr>
                <w:rFonts w:eastAsiaTheme="minorHAnsi" w:cstheme="minorBidi"/>
                <w:b/>
                <w:szCs w:val="24"/>
                <w:lang w:eastAsia="en-US"/>
              </w:rPr>
            </w:pPr>
          </w:p>
          <w:p w:rsidR="00904FCA" w:rsidRDefault="00904FCA" w:rsidP="00335C88">
            <w:pPr>
              <w:rPr>
                <w:rFonts w:eastAsiaTheme="minorHAnsi" w:cstheme="minorBidi"/>
                <w:b/>
                <w:smallCaps/>
                <w:szCs w:val="24"/>
                <w:lang w:val="en-US" w:eastAsia="en-US"/>
              </w:rPr>
            </w:pPr>
            <w:r w:rsidRPr="00E42546">
              <w:rPr>
                <w:rFonts w:eastAsiaTheme="minorHAnsi" w:cstheme="minorBidi"/>
                <w:b/>
                <w:smallCaps/>
                <w:szCs w:val="24"/>
                <w:lang w:val="en-US" w:eastAsia="en-US"/>
              </w:rPr>
              <w:t>Between</w:t>
            </w:r>
            <w:r>
              <w:rPr>
                <w:rFonts w:eastAsiaTheme="minorHAnsi" w:cstheme="minorBidi"/>
                <w:b/>
                <w:smallCaps/>
                <w:szCs w:val="24"/>
                <w:lang w:val="en-US" w:eastAsia="en-US"/>
              </w:rPr>
              <w:t>:</w:t>
            </w:r>
          </w:p>
          <w:p w:rsidR="00904FCA" w:rsidRPr="004A4030" w:rsidRDefault="00904FCA" w:rsidP="00335C88">
            <w:pPr>
              <w:rPr>
                <w:rFonts w:eastAsiaTheme="minorHAnsi" w:cstheme="minorBidi"/>
                <w:b/>
                <w:smallCaps/>
                <w:szCs w:val="24"/>
                <w:lang w:val="en-US" w:eastAsia="en-US"/>
              </w:rPr>
            </w:pPr>
          </w:p>
          <w:p w:rsidR="00904FCA" w:rsidRPr="004A4030" w:rsidRDefault="00904FCA" w:rsidP="00335C88">
            <w:pPr>
              <w:jc w:val="center"/>
              <w:rPr>
                <w:rFonts w:eastAsiaTheme="minorHAnsi" w:cstheme="minorBidi"/>
                <w:b/>
                <w:szCs w:val="24"/>
                <w:lang w:val="en-US" w:eastAsia="en-US"/>
              </w:rPr>
            </w:pPr>
            <w:r w:rsidRPr="005539EF">
              <w:rPr>
                <w:rFonts w:eastAsiaTheme="minorHAnsi" w:cstheme="minorBidi"/>
                <w:b/>
                <w:szCs w:val="24"/>
                <w:lang w:eastAsia="en-US"/>
              </w:rPr>
              <w:t>Attorney General of Ontario</w:t>
            </w:r>
          </w:p>
          <w:p w:rsidR="00904FCA" w:rsidRDefault="00904FCA" w:rsidP="00335C88">
            <w:pPr>
              <w:tabs>
                <w:tab w:val="left" w:pos="8280"/>
              </w:tabs>
              <w:jc w:val="center"/>
            </w:pPr>
            <w:r>
              <w:t>Applicant</w:t>
            </w:r>
          </w:p>
          <w:p w:rsidR="00904FCA" w:rsidRPr="004A4030" w:rsidRDefault="00904FCA" w:rsidP="00335C88">
            <w:pPr>
              <w:jc w:val="center"/>
              <w:rPr>
                <w:rFonts w:eastAsiaTheme="minorHAnsi" w:cstheme="minorBidi"/>
                <w:szCs w:val="24"/>
                <w:lang w:val="en-US" w:eastAsia="en-US"/>
              </w:rPr>
            </w:pPr>
          </w:p>
          <w:p w:rsidR="00904FCA" w:rsidRPr="005539EF" w:rsidRDefault="00904FCA" w:rsidP="00335C88">
            <w:pPr>
              <w:jc w:val="center"/>
              <w:rPr>
                <w:rFonts w:eastAsiaTheme="minorHAnsi" w:cstheme="minorBidi"/>
                <w:szCs w:val="24"/>
                <w:lang w:val="en-US" w:eastAsia="en-US"/>
              </w:rPr>
            </w:pPr>
            <w:r w:rsidRPr="005539EF">
              <w:rPr>
                <w:rFonts w:eastAsiaTheme="minorHAnsi" w:cstheme="minorBidi"/>
                <w:szCs w:val="24"/>
                <w:lang w:val="en-US" w:eastAsia="en-US"/>
              </w:rPr>
              <w:t>and</w:t>
            </w:r>
          </w:p>
          <w:p w:rsidR="00904FCA" w:rsidRPr="005539EF" w:rsidRDefault="00904FCA" w:rsidP="00335C88">
            <w:pPr>
              <w:jc w:val="center"/>
              <w:rPr>
                <w:rFonts w:eastAsiaTheme="minorHAnsi" w:cstheme="minorBidi"/>
                <w:szCs w:val="24"/>
                <w:lang w:val="en-US" w:eastAsia="en-US"/>
              </w:rPr>
            </w:pPr>
          </w:p>
          <w:p w:rsidR="00904FCA" w:rsidRPr="005539EF" w:rsidRDefault="00904FCA" w:rsidP="00335C88">
            <w:pPr>
              <w:jc w:val="center"/>
              <w:rPr>
                <w:rFonts w:eastAsiaTheme="minorHAnsi" w:cstheme="minorBidi"/>
                <w:b/>
                <w:szCs w:val="24"/>
                <w:lang w:val="en-US" w:eastAsia="en-US"/>
              </w:rPr>
            </w:pPr>
            <w:r>
              <w:rPr>
                <w:rFonts w:eastAsiaTheme="minorHAnsi" w:cstheme="minorBidi"/>
                <w:b/>
                <w:szCs w:val="24"/>
                <w:lang w:val="en-US" w:eastAsia="en-US"/>
              </w:rPr>
              <w:t>G</w:t>
            </w:r>
          </w:p>
          <w:p w:rsidR="00904FCA" w:rsidRPr="00E42546" w:rsidRDefault="00904FCA" w:rsidP="00335C88">
            <w:pPr>
              <w:jc w:val="center"/>
              <w:rPr>
                <w:rFonts w:eastAsiaTheme="minorHAnsi" w:cstheme="minorBidi"/>
                <w:szCs w:val="24"/>
                <w:lang w:val="fr-CA" w:eastAsia="en-US"/>
              </w:rPr>
            </w:pPr>
            <w:r>
              <w:rPr>
                <w:rFonts w:eastAsiaTheme="minorHAnsi" w:cstheme="minorBidi"/>
                <w:szCs w:val="24"/>
                <w:lang w:val="fr-CA" w:eastAsia="en-US"/>
              </w:rPr>
              <w:t>Respondent</w:t>
            </w:r>
          </w:p>
          <w:p w:rsidR="00904FCA" w:rsidRPr="00E42546" w:rsidRDefault="00904FCA" w:rsidP="00335C88">
            <w:pPr>
              <w:rPr>
                <w:rFonts w:eastAsiaTheme="minorHAnsi" w:cstheme="minorBidi"/>
                <w:b/>
                <w:szCs w:val="24"/>
                <w:lang w:val="fr-CA" w:eastAsia="en-US"/>
              </w:rPr>
            </w:pPr>
          </w:p>
          <w:p w:rsidR="00904FCA" w:rsidRPr="00E42546" w:rsidRDefault="00904FCA" w:rsidP="00335C88">
            <w:pPr>
              <w:jc w:val="center"/>
              <w:rPr>
                <w:b/>
                <w:smallCaps/>
                <w:lang w:val="fr-CA"/>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879"/>
        <w:gridCol w:w="6481"/>
      </w:tblGrid>
      <w:tr w:rsidR="00904FCA" w:rsidRPr="00C22905" w:rsidTr="00335C88">
        <w:trPr>
          <w:cantSplit/>
          <w:trHeight w:val="319"/>
        </w:trPr>
        <w:tc>
          <w:tcPr>
            <w:tcW w:w="5000" w:type="pct"/>
            <w:gridSpan w:val="2"/>
            <w:tcMar>
              <w:top w:w="284" w:type="dxa"/>
              <w:bottom w:w="57" w:type="dxa"/>
            </w:tcMar>
          </w:tcPr>
          <w:p w:rsidR="00904FCA" w:rsidRPr="00C22905" w:rsidRDefault="00904FCA" w:rsidP="00335C88">
            <w:pPr>
              <w:spacing w:after="120"/>
            </w:pPr>
            <w:r w:rsidRPr="006B210C">
              <w:rPr>
                <w:b/>
                <w:smallCaps/>
              </w:rPr>
              <w:t>Coram</w:t>
            </w:r>
            <w:r>
              <w:rPr>
                <w:b/>
                <w:smallCaps/>
              </w:rPr>
              <w:t>:</w:t>
            </w:r>
            <w:r w:rsidRPr="006B210C">
              <w:t xml:space="preserve"> </w:t>
            </w:r>
            <w:r>
              <w:t>Moldaver J.</w:t>
            </w:r>
          </w:p>
        </w:tc>
      </w:tr>
      <w:tr w:rsidR="00904FCA" w:rsidRPr="00C22905" w:rsidTr="00335C88">
        <w:trPr>
          <w:cantSplit/>
          <w:trHeight w:val="720"/>
        </w:trPr>
        <w:tc>
          <w:tcPr>
            <w:tcW w:w="1538" w:type="pct"/>
            <w:tcMar>
              <w:top w:w="28" w:type="dxa"/>
              <w:left w:w="57" w:type="dxa"/>
              <w:bottom w:w="57" w:type="dxa"/>
              <w:right w:w="57" w:type="dxa"/>
            </w:tcMar>
          </w:tcPr>
          <w:p w:rsidR="00904FCA" w:rsidRDefault="00904FCA" w:rsidP="00335C88">
            <w:r w:rsidRPr="006B210C">
              <w:rPr>
                <w:b/>
                <w:smallCaps/>
              </w:rPr>
              <w:t xml:space="preserve">Reasons for </w:t>
            </w:r>
            <w:r>
              <w:rPr>
                <w:b/>
                <w:smallCaps/>
              </w:rPr>
              <w:t>Judgment:</w:t>
            </w:r>
            <w:r>
              <w:t xml:space="preserve"> </w:t>
            </w:r>
          </w:p>
          <w:p w:rsidR="00904FCA" w:rsidRDefault="00904FCA" w:rsidP="00335C88">
            <w:pPr>
              <w:rPr>
                <w:b/>
                <w:smallCaps/>
              </w:rPr>
            </w:pPr>
            <w:r>
              <w:t xml:space="preserve">(paras. 1 </w:t>
            </w:r>
            <w:r w:rsidRPr="00A027C8">
              <w:t xml:space="preserve">to </w:t>
            </w:r>
            <w:r>
              <w:t>6</w:t>
            </w:r>
            <w:r w:rsidRPr="00A027C8">
              <w:t>)</w:t>
            </w:r>
          </w:p>
        </w:tc>
        <w:tc>
          <w:tcPr>
            <w:tcW w:w="3462" w:type="pct"/>
            <w:tcMar>
              <w:top w:w="28" w:type="dxa"/>
              <w:left w:w="57" w:type="dxa"/>
              <w:bottom w:w="57" w:type="dxa"/>
              <w:right w:w="57" w:type="dxa"/>
            </w:tcMar>
          </w:tcPr>
          <w:p w:rsidR="00904FCA" w:rsidRPr="00E42546" w:rsidRDefault="00904FCA" w:rsidP="00335C88">
            <w:pPr>
              <w:rPr>
                <w:smallCaps/>
              </w:rPr>
            </w:pPr>
            <w:r>
              <w:t>Moldaver J.</w:t>
            </w:r>
          </w:p>
        </w:tc>
      </w:tr>
    </w:tbl>
    <w:p w:rsidR="00904FCA" w:rsidRDefault="00904FCA" w:rsidP="00904FCA"/>
    <w:p w:rsidR="00904FCA" w:rsidRDefault="00904FCA" w:rsidP="00904FC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904FCA" w:rsidTr="00335C88">
        <w:tc>
          <w:tcPr>
            <w:tcW w:w="1500" w:type="pct"/>
            <w:tcMar>
              <w:top w:w="284" w:type="dxa"/>
            </w:tcMar>
          </w:tcPr>
          <w:p w:rsidR="00904FCA" w:rsidRDefault="00904FCA" w:rsidP="00335C88">
            <w:pPr>
              <w:rPr>
                <w:rFonts w:eastAsia="Calibri"/>
                <w:szCs w:val="24"/>
                <w:lang w:eastAsia="en-US"/>
              </w:rPr>
            </w:pPr>
          </w:p>
        </w:tc>
        <w:tc>
          <w:tcPr>
            <w:tcW w:w="2000" w:type="pct"/>
            <w:tcBorders>
              <w:bottom w:val="single" w:sz="4" w:space="0" w:color="auto"/>
            </w:tcBorders>
            <w:tcMar>
              <w:top w:w="284" w:type="dxa"/>
            </w:tcMar>
          </w:tcPr>
          <w:p w:rsidR="00904FCA" w:rsidRDefault="00904FCA" w:rsidP="00335C88">
            <w:pPr>
              <w:rPr>
                <w:rFonts w:eastAsia="Calibri"/>
                <w:szCs w:val="24"/>
                <w:lang w:eastAsia="en-US"/>
              </w:rPr>
            </w:pPr>
          </w:p>
        </w:tc>
        <w:tc>
          <w:tcPr>
            <w:tcW w:w="1500" w:type="pct"/>
            <w:tcMar>
              <w:top w:w="284" w:type="dxa"/>
            </w:tcMar>
          </w:tcPr>
          <w:p w:rsidR="00904FCA" w:rsidRDefault="00904FCA" w:rsidP="00335C88">
            <w:pPr>
              <w:rPr>
                <w:rFonts w:eastAsia="Calibri"/>
                <w:szCs w:val="24"/>
                <w:lang w:eastAsia="en-US"/>
              </w:rPr>
            </w:pPr>
          </w:p>
        </w:tc>
      </w:tr>
    </w:tbl>
    <w:p w:rsidR="004A0630" w:rsidRPr="00484289" w:rsidRDefault="004A0630" w:rsidP="00E54A6B">
      <w:pPr>
        <w:spacing w:after="720"/>
        <w:rPr>
          <w:lang w:val="en-US"/>
        </w:rPr>
      </w:pPr>
    </w:p>
    <w:p w:rsidR="004A0630" w:rsidRPr="00E01441" w:rsidRDefault="008D199F" w:rsidP="00671571">
      <w:pPr>
        <w:spacing w:after="720"/>
        <w:jc w:val="both"/>
      </w:pPr>
      <w:r w:rsidRPr="008D199F">
        <w:t xml:space="preserve">Ontario (Attorney General) </w:t>
      </w:r>
      <w:r w:rsidRPr="008D199F">
        <w:rPr>
          <w:i/>
        </w:rPr>
        <w:t>v.</w:t>
      </w:r>
      <w:r w:rsidRPr="008D199F">
        <w:t xml:space="preserve"> </w:t>
      </w:r>
      <w:r w:rsidRPr="008D199F">
        <w:rPr>
          <w:rStyle w:val="SCCAppellantForIndexChar"/>
          <w:b w:val="0"/>
        </w:rPr>
        <w:t>G</w:t>
      </w:r>
      <w:r w:rsidR="004A0630" w:rsidRPr="008D199F">
        <w:rPr>
          <w:rStyle w:val="SCCAppellantForRunningHeadChar"/>
          <w:rFonts w:eastAsiaTheme="minorHAnsi"/>
          <w:lang w:val="en-US"/>
        </w:rPr>
        <w:t>,</w:t>
      </w:r>
      <w:r w:rsidR="004A0630" w:rsidRPr="002224E6">
        <w:rPr>
          <w:rStyle w:val="SCCAppellantForRunningHeadChar"/>
          <w:rFonts w:eastAsiaTheme="minorHAnsi"/>
          <w:lang w:val="en-US"/>
        </w:rPr>
        <w:t xml:space="preserve"> 2019 SCC </w:t>
      </w:r>
      <w:r w:rsidR="004A0630">
        <w:rPr>
          <w:rStyle w:val="SCCAppellantForRunningHeadChar"/>
          <w:rFonts w:eastAsiaTheme="minorHAnsi"/>
          <w:lang w:val="en-US"/>
        </w:rPr>
        <w:t>36</w:t>
      </w:r>
      <w:r w:rsidR="004A0630" w:rsidRPr="002224E6">
        <w:rPr>
          <w:rStyle w:val="SCCAppellantForRunningHeadChar"/>
          <w:rFonts w:eastAsiaTheme="minorHAnsi"/>
          <w:lang w:val="en-US"/>
        </w:rPr>
        <w:t>,</w:t>
      </w:r>
      <w:r w:rsidR="004A0630">
        <w:rPr>
          <w:rStyle w:val="SCCAppellantForRunningHeadChar"/>
          <w:rFonts w:eastAsiaTheme="minorHAnsi"/>
          <w:lang w:val="en-US"/>
        </w:rPr>
        <w:t xml:space="preserve"> </w:t>
      </w:r>
      <w:r w:rsidR="004A0630">
        <w:t>[201</w:t>
      </w:r>
      <w:r w:rsidR="009F6159">
        <w:t>9</w:t>
      </w:r>
      <w:r w:rsidR="004A0630">
        <w:t>] 2 S.C.R. 990</w:t>
      </w:r>
    </w:p>
    <w:p w:rsidR="00904FCA" w:rsidRPr="00E01441" w:rsidRDefault="00904FCA" w:rsidP="00904FCA">
      <w:pPr>
        <w:pStyle w:val="SCCLsocLastPartyInRole"/>
      </w:pPr>
      <w:r>
        <w:t>Attorney General of Ontario</w:t>
      </w:r>
      <w:r w:rsidRPr="00E01441">
        <w:rPr>
          <w:rStyle w:val="SCCLsocPartyRole"/>
        </w:rPr>
        <w:tab/>
        <w:t>Applicant</w:t>
      </w:r>
    </w:p>
    <w:p w:rsidR="00904FCA" w:rsidRPr="00DC40B6" w:rsidRDefault="00904FCA" w:rsidP="00904FCA">
      <w:pPr>
        <w:pStyle w:val="SCCLsocLastPartyInRole"/>
        <w:rPr>
          <w:b w:val="0"/>
          <w:i/>
          <w:lang w:val="en-US"/>
        </w:rPr>
      </w:pPr>
      <w:r w:rsidRPr="00DC40B6">
        <w:rPr>
          <w:b w:val="0"/>
          <w:i/>
          <w:lang w:val="en-US"/>
        </w:rPr>
        <w:t>v.</w:t>
      </w:r>
    </w:p>
    <w:p w:rsidR="00904FCA" w:rsidRPr="00D1430B" w:rsidRDefault="00904FCA" w:rsidP="00904FCA">
      <w:pPr>
        <w:pStyle w:val="SCCLsocLastPartyInRole"/>
        <w:rPr>
          <w:lang w:val="en-US"/>
        </w:rPr>
      </w:pPr>
      <w:r>
        <w:lastRenderedPageBreak/>
        <w:t>G</w:t>
      </w:r>
      <w:r>
        <w:rPr>
          <w:rStyle w:val="SCCLsocPartyRole"/>
          <w:lang w:val="en-US"/>
        </w:rPr>
        <w:tab/>
        <w:t>Responden</w:t>
      </w:r>
      <w:r w:rsidR="00347B94">
        <w:rPr>
          <w:rStyle w:val="SCCLsocPartyRole"/>
          <w:lang w:val="en-US"/>
        </w:rPr>
        <w:t>t</w:t>
      </w:r>
    </w:p>
    <w:p w:rsidR="00904FCA" w:rsidRPr="00D1430B" w:rsidRDefault="00904FCA" w:rsidP="00904FCA">
      <w:pPr>
        <w:jc w:val="both"/>
        <w:rPr>
          <w:lang w:val="en-US"/>
        </w:rPr>
      </w:pPr>
    </w:p>
    <w:p w:rsidR="00904FCA" w:rsidRPr="00D1430B" w:rsidRDefault="00904FCA" w:rsidP="00904FCA">
      <w:pPr>
        <w:jc w:val="both"/>
        <w:rPr>
          <w:lang w:val="en-US"/>
        </w:rPr>
      </w:pPr>
    </w:p>
    <w:p w:rsidR="00904FCA" w:rsidRPr="00E01441" w:rsidRDefault="00904FCA" w:rsidP="00904FCA">
      <w:pPr>
        <w:jc w:val="both"/>
        <w:rPr>
          <w:b/>
        </w:rPr>
      </w:pPr>
      <w:r>
        <w:rPr>
          <w:b/>
        </w:rPr>
        <w:t>Indexed as</w:t>
      </w:r>
      <w:r w:rsidRPr="00E01441">
        <w:rPr>
          <w:b/>
        </w:rPr>
        <w:t xml:space="preserve"> : Ontario (Attorney General) </w:t>
      </w:r>
      <w:r w:rsidRPr="00E01441">
        <w:rPr>
          <w:b/>
          <w:i/>
        </w:rPr>
        <w:t>v.</w:t>
      </w:r>
      <w:r w:rsidRPr="00E01441">
        <w:rPr>
          <w:b/>
        </w:rPr>
        <w:t xml:space="preserve"> </w:t>
      </w:r>
      <w:r>
        <w:rPr>
          <w:rStyle w:val="SCCAppellantForIndexChar"/>
        </w:rPr>
        <w:t>G</w:t>
      </w:r>
    </w:p>
    <w:p w:rsidR="00904FCA" w:rsidRPr="00E01441" w:rsidRDefault="00904FCA" w:rsidP="00904FCA">
      <w:pPr>
        <w:jc w:val="both"/>
      </w:pPr>
    </w:p>
    <w:p w:rsidR="00904FCA" w:rsidRPr="00E01441" w:rsidRDefault="00904FCA" w:rsidP="00904FCA">
      <w:pPr>
        <w:jc w:val="both"/>
      </w:pPr>
    </w:p>
    <w:p w:rsidR="00904FCA" w:rsidRPr="00E01441" w:rsidRDefault="00904FCA" w:rsidP="00904FCA">
      <w:pPr>
        <w:jc w:val="both"/>
      </w:pPr>
    </w:p>
    <w:p w:rsidR="00904FCA" w:rsidRPr="0048186D" w:rsidRDefault="00904FCA" w:rsidP="00904FCA">
      <w:pPr>
        <w:pStyle w:val="SCCSystemYear"/>
        <w:jc w:val="both"/>
        <w:rPr>
          <w:lang w:val="en-US"/>
        </w:rPr>
      </w:pPr>
      <w:r w:rsidRPr="0048186D">
        <w:rPr>
          <w:lang w:val="en-US"/>
        </w:rPr>
        <w:t>2019 SCC 36</w:t>
      </w:r>
    </w:p>
    <w:p w:rsidR="00904FCA" w:rsidRPr="0048186D" w:rsidRDefault="00904FCA" w:rsidP="00904FCA">
      <w:pPr>
        <w:jc w:val="both"/>
        <w:rPr>
          <w:lang w:val="en-US"/>
        </w:rPr>
      </w:pPr>
    </w:p>
    <w:p w:rsidR="00904FCA" w:rsidRPr="0048186D" w:rsidRDefault="00904FCA" w:rsidP="00904FCA">
      <w:pPr>
        <w:jc w:val="both"/>
        <w:rPr>
          <w:lang w:val="en-US"/>
        </w:rPr>
      </w:pPr>
    </w:p>
    <w:p w:rsidR="00904FCA" w:rsidRPr="0048186D" w:rsidRDefault="00904FCA" w:rsidP="00904FCA">
      <w:pPr>
        <w:jc w:val="both"/>
        <w:rPr>
          <w:lang w:val="en-US"/>
        </w:rPr>
      </w:pPr>
    </w:p>
    <w:p w:rsidR="00904FCA" w:rsidRPr="00E01441" w:rsidRDefault="00904FCA" w:rsidP="00904FCA">
      <w:pPr>
        <w:jc w:val="both"/>
      </w:pPr>
      <w:r w:rsidRPr="00E01441">
        <w:t>File No.: 38</w:t>
      </w:r>
      <w:r>
        <w:t>585.</w:t>
      </w:r>
    </w:p>
    <w:p w:rsidR="00904FCA" w:rsidRDefault="00904FCA" w:rsidP="00904FCA">
      <w:pPr>
        <w:jc w:val="both"/>
      </w:pPr>
    </w:p>
    <w:p w:rsidR="00904FCA" w:rsidRPr="00E01441" w:rsidRDefault="00904FCA" w:rsidP="00904FCA">
      <w:pPr>
        <w:jc w:val="both"/>
      </w:pPr>
    </w:p>
    <w:p w:rsidR="00904FCA" w:rsidRPr="00E01441" w:rsidRDefault="00904FCA" w:rsidP="00904FCA">
      <w:pPr>
        <w:jc w:val="both"/>
      </w:pPr>
    </w:p>
    <w:p w:rsidR="00904FCA" w:rsidRPr="00E01441" w:rsidRDefault="00904FCA" w:rsidP="00904FCA">
      <w:pPr>
        <w:jc w:val="both"/>
      </w:pPr>
      <w:r w:rsidRPr="00E01441">
        <w:t xml:space="preserve">2019: </w:t>
      </w:r>
      <w:r>
        <w:t>June 14</w:t>
      </w:r>
      <w:r w:rsidRPr="00E01441">
        <w:t>.</w:t>
      </w:r>
    </w:p>
    <w:p w:rsidR="00904FCA" w:rsidRPr="00D1430B" w:rsidRDefault="00904FCA" w:rsidP="00904FCA">
      <w:pPr>
        <w:jc w:val="both"/>
        <w:rPr>
          <w:lang w:val="en-US"/>
        </w:rPr>
      </w:pPr>
    </w:p>
    <w:p w:rsidR="00904FCA" w:rsidRDefault="00904FCA" w:rsidP="00904FCA">
      <w:pPr>
        <w:jc w:val="both"/>
        <w:rPr>
          <w:lang w:val="en-US"/>
        </w:rPr>
      </w:pPr>
    </w:p>
    <w:p w:rsidR="00904FCA" w:rsidRDefault="00904FCA" w:rsidP="00904FCA">
      <w:pPr>
        <w:jc w:val="both"/>
        <w:rPr>
          <w:lang w:val="en-US"/>
        </w:rPr>
      </w:pPr>
    </w:p>
    <w:p w:rsidR="00904FCA" w:rsidRDefault="00904FCA" w:rsidP="00904FCA">
      <w:pPr>
        <w:jc w:val="both"/>
        <w:rPr>
          <w:lang w:val="en-US"/>
        </w:rPr>
      </w:pPr>
      <w:r>
        <w:rPr>
          <w:lang w:val="en-US"/>
        </w:rPr>
        <w:t>Present: Moldaver J.</w:t>
      </w:r>
      <w:bookmarkStart w:id="0" w:name="_GoBack"/>
      <w:bookmarkEnd w:id="0"/>
    </w:p>
    <w:p w:rsidR="00904FCA" w:rsidRDefault="00904FCA" w:rsidP="00904FCA">
      <w:pPr>
        <w:jc w:val="both"/>
        <w:rPr>
          <w:lang w:val="en-US"/>
        </w:rPr>
      </w:pPr>
    </w:p>
    <w:p w:rsidR="00904FCA" w:rsidRPr="00D1430B" w:rsidRDefault="00904FCA" w:rsidP="00904FCA">
      <w:pPr>
        <w:jc w:val="both"/>
        <w:rPr>
          <w:lang w:val="en-US"/>
        </w:rPr>
      </w:pPr>
    </w:p>
    <w:p w:rsidR="00904FCA" w:rsidRPr="00D1430B" w:rsidRDefault="00904FCA" w:rsidP="00904FCA">
      <w:pPr>
        <w:jc w:val="both"/>
        <w:rPr>
          <w:lang w:val="en-US"/>
        </w:rPr>
      </w:pPr>
    </w:p>
    <w:p w:rsidR="00904FCA" w:rsidRDefault="00904FCA" w:rsidP="00904FCA">
      <w:pPr>
        <w:jc w:val="both"/>
        <w:rPr>
          <w:smallCaps/>
        </w:rPr>
      </w:pPr>
      <w:r w:rsidRPr="00E01441">
        <w:rPr>
          <w:smallCaps/>
        </w:rPr>
        <w:t xml:space="preserve">motion for </w:t>
      </w:r>
      <w:r>
        <w:rPr>
          <w:smallCaps/>
        </w:rPr>
        <w:t>a stay of an exemption from a suspension of a declaration of invalidity</w:t>
      </w:r>
    </w:p>
    <w:p w:rsidR="00904FCA" w:rsidRDefault="00904FCA" w:rsidP="00904FCA">
      <w:pPr>
        <w:jc w:val="both"/>
        <w:rPr>
          <w:smallCaps/>
        </w:rPr>
      </w:pPr>
    </w:p>
    <w:p w:rsidR="00904FCA" w:rsidRDefault="00904FCA" w:rsidP="00904FCA">
      <w:pPr>
        <w:jc w:val="both"/>
      </w:pPr>
    </w:p>
    <w:p w:rsidR="00904FCA" w:rsidRPr="00E01441" w:rsidRDefault="00904FCA" w:rsidP="00904FCA">
      <w:pPr>
        <w:jc w:val="both"/>
      </w:pPr>
    </w:p>
    <w:p w:rsidR="00904FCA" w:rsidRPr="003E69AE" w:rsidRDefault="00904FCA" w:rsidP="00904FCA">
      <w:pPr>
        <w:pStyle w:val="SCCNormalDoubleSpacing"/>
        <w:rPr>
          <w:i/>
          <w:lang w:val="en-US"/>
        </w:rPr>
      </w:pPr>
      <w:r w:rsidRPr="00E01441">
        <w:tab/>
      </w:r>
      <w:r w:rsidRPr="00DC40B6">
        <w:rPr>
          <w:rStyle w:val="SCCCounselNameChar"/>
          <w:lang w:val="en-US"/>
        </w:rPr>
        <w:t>Judgments</w:t>
      </w:r>
      <w:r>
        <w:rPr>
          <w:i/>
          <w:lang w:val="en-US"/>
        </w:rPr>
        <w:t xml:space="preserve"> </w:t>
      </w:r>
      <w:r w:rsidRPr="00DC40B6">
        <w:rPr>
          <w:rStyle w:val="SCCCounselNameChar"/>
          <w:lang w:val="en-US"/>
        </w:rPr>
        <w:t>and</w:t>
      </w:r>
      <w:r>
        <w:rPr>
          <w:i/>
          <w:lang w:val="en-US"/>
        </w:rPr>
        <w:t xml:space="preserve"> orders — Stay of execution — Exemption from period of suspension of declaration of invalidity — Court of Appeal declaring provisions of provincial and federal sex offender registry legislation of no force or effect in their application to persons found not criminally responsible by reason of mental disorder and subsequently granted absolute discharge — Court of Appeal suspending declaration of invalidity for 12 months but exempting respondent from period of suspension, </w:t>
      </w:r>
      <w:r w:rsidRPr="000223D5">
        <w:rPr>
          <w:i/>
          <w:lang w:val="en-US"/>
        </w:rPr>
        <w:t xml:space="preserve">and </w:t>
      </w:r>
      <w:r>
        <w:rPr>
          <w:i/>
          <w:lang w:val="en-US"/>
        </w:rPr>
        <w:t xml:space="preserve">subsequently </w:t>
      </w:r>
      <w:r w:rsidRPr="000223D5">
        <w:rPr>
          <w:i/>
          <w:lang w:val="en-US"/>
        </w:rPr>
        <w:t>dismissing motion by Attorney General of Ontario for stay of exemption —</w:t>
      </w:r>
      <w:r>
        <w:rPr>
          <w:i/>
          <w:lang w:val="en-US"/>
        </w:rPr>
        <w:t xml:space="preserve"> Attorney General of Ontario seeking leave to appeal Court of Appeal’s judgment relating to provincial legislation and bringing motion to stay individual exemption granted to respondent until disposition of application for leave to appeal or until decision on </w:t>
      </w:r>
      <w:r>
        <w:rPr>
          <w:i/>
          <w:lang w:val="en-US"/>
        </w:rPr>
        <w:lastRenderedPageBreak/>
        <w:t>appeal if leave granted — No special circumstances warranting re-examination of refusal by Court of Appeal to grant stay — No evidence of irreparable harm — Stay denied.</w:t>
      </w:r>
    </w:p>
    <w:p w:rsidR="00904FCA" w:rsidRPr="00610B4D" w:rsidRDefault="00904FCA" w:rsidP="00904FCA">
      <w:pPr>
        <w:pStyle w:val="SCCNormalDoubleSpacing"/>
        <w:rPr>
          <w:lang w:val="en-US"/>
        </w:rPr>
      </w:pPr>
    </w:p>
    <w:p w:rsidR="00904FCA" w:rsidRDefault="00904FCA" w:rsidP="00904FCA">
      <w:pPr>
        <w:pStyle w:val="SCCNormalDoubleSpacing"/>
        <w:spacing w:before="480" w:after="480"/>
        <w:rPr>
          <w:b/>
          <w:lang w:val="en-US"/>
        </w:rPr>
      </w:pPr>
      <w:r>
        <w:rPr>
          <w:b/>
          <w:lang w:val="en-US"/>
        </w:rPr>
        <w:t>Cases Cited</w:t>
      </w:r>
    </w:p>
    <w:p w:rsidR="00904FCA" w:rsidRDefault="00904FCA" w:rsidP="00904FCA">
      <w:pPr>
        <w:pStyle w:val="SCCNormalDoubleSpacing"/>
      </w:pPr>
      <w:r>
        <w:rPr>
          <w:i/>
        </w:rPr>
        <w:tab/>
      </w:r>
      <w:r>
        <w:rPr>
          <w:b/>
        </w:rPr>
        <w:t xml:space="preserve">Applied: </w:t>
      </w:r>
      <w:r w:rsidRPr="00DE54DD">
        <w:rPr>
          <w:i/>
        </w:rPr>
        <w:t xml:space="preserve">Esmail </w:t>
      </w:r>
      <w:r>
        <w:rPr>
          <w:i/>
        </w:rPr>
        <w:t>v</w:t>
      </w:r>
      <w:r w:rsidRPr="00DE54DD">
        <w:rPr>
          <w:i/>
        </w:rPr>
        <w:t>. Petro-Canada</w:t>
      </w:r>
      <w:r w:rsidRPr="00DE54DD">
        <w:t xml:space="preserve">, </w:t>
      </w:r>
      <w:r>
        <w:t>[1997] 2 S.C.R. 3.</w:t>
      </w:r>
    </w:p>
    <w:p w:rsidR="00904FCA" w:rsidRPr="00E82F67" w:rsidRDefault="00904FCA" w:rsidP="00904FCA">
      <w:pPr>
        <w:pStyle w:val="SCCNormalDoubleSpacing"/>
        <w:rPr>
          <w:b/>
        </w:rPr>
      </w:pPr>
    </w:p>
    <w:p w:rsidR="00904FCA" w:rsidRPr="00610B4D" w:rsidRDefault="00904FCA" w:rsidP="00904FCA">
      <w:pPr>
        <w:pStyle w:val="SCCNormalDoubleSpacing"/>
        <w:spacing w:before="480" w:after="480"/>
        <w:ind w:left="547" w:hanging="547"/>
        <w:rPr>
          <w:b/>
          <w:lang w:val="en-US"/>
        </w:rPr>
      </w:pPr>
      <w:r w:rsidRPr="00610B4D">
        <w:rPr>
          <w:b/>
          <w:lang w:val="en-US"/>
        </w:rPr>
        <w:t>Statutes and Regulations Cited</w:t>
      </w:r>
    </w:p>
    <w:p w:rsidR="00904FCA" w:rsidRPr="00E01441" w:rsidRDefault="00904FCA" w:rsidP="00904FCA">
      <w:pPr>
        <w:pStyle w:val="SCCNormalDoubleSpacing"/>
        <w:spacing w:before="480" w:after="480"/>
        <w:ind w:left="540" w:hanging="540"/>
      </w:pPr>
      <w:r w:rsidRPr="00E01441">
        <w:rPr>
          <w:i/>
        </w:rPr>
        <w:t>Canadian Charter of Rights and Freedoms</w:t>
      </w:r>
      <w:r>
        <w:t>, s. 15(1).</w:t>
      </w:r>
    </w:p>
    <w:p w:rsidR="00904FCA" w:rsidRPr="00E01441" w:rsidRDefault="00904FCA" w:rsidP="00904FCA">
      <w:pPr>
        <w:spacing w:before="480" w:after="480" w:line="480" w:lineRule="auto"/>
        <w:ind w:firstLine="1170"/>
        <w:jc w:val="both"/>
      </w:pPr>
      <w:r w:rsidRPr="00610B4D">
        <w:rPr>
          <w:lang w:val="en-US"/>
        </w:rPr>
        <w:t xml:space="preserve">MOTION </w:t>
      </w:r>
      <w:r>
        <w:t xml:space="preserve">to stay </w:t>
      </w:r>
      <w:r w:rsidRPr="00CC1747">
        <w:t>part of a judgment of the Ontario Court of Appeal (Doherty, van Rensburg and Hourigan JJ.A.), 2019 ONCA 264, 145 O.R. (3d) 161, granting an individual exemption from a suspension of a declaration of invalidity</w:t>
      </w:r>
      <w:r w:rsidRPr="00CC1747">
        <w:rPr>
          <w:lang w:val="en-US"/>
        </w:rPr>
        <w:t>. Motion dismissed</w:t>
      </w:r>
      <w:r w:rsidRPr="00E01441">
        <w:t>.</w:t>
      </w:r>
    </w:p>
    <w:p w:rsidR="00904FCA" w:rsidRPr="00E01441" w:rsidRDefault="00904FCA" w:rsidP="00904FCA">
      <w:pPr>
        <w:ind w:left="720"/>
      </w:pPr>
    </w:p>
    <w:p w:rsidR="00904FCA" w:rsidRPr="00E01441" w:rsidRDefault="00904FCA" w:rsidP="00904FCA"/>
    <w:p w:rsidR="00904FCA" w:rsidRPr="00D1430B" w:rsidRDefault="00904FCA" w:rsidP="00904FCA">
      <w:pPr>
        <w:pStyle w:val="SCCNormalDoubleSpacing"/>
        <w:rPr>
          <w:lang w:val="en-US"/>
        </w:rPr>
      </w:pPr>
      <w:r w:rsidRPr="00E01441">
        <w:rPr>
          <w:rStyle w:val="SCCCounselNameChar"/>
        </w:rPr>
        <w:tab/>
      </w:r>
      <w:r>
        <w:rPr>
          <w:rStyle w:val="SCCCounselNameChar"/>
          <w:i w:val="0"/>
          <w:lang w:val="en-US"/>
        </w:rPr>
        <w:t xml:space="preserve">Written submissions by </w:t>
      </w:r>
      <w:r w:rsidRPr="000118C2">
        <w:rPr>
          <w:rStyle w:val="SCCCounselNameChar"/>
          <w:lang w:val="en-US"/>
        </w:rPr>
        <w:t>S.</w:t>
      </w:r>
      <w:r w:rsidRPr="00380349">
        <w:rPr>
          <w:rStyle w:val="SCCCounselNameChar"/>
          <w:lang w:val="en-US"/>
        </w:rPr>
        <w:t xml:space="preserve"> Zachary Green</w:t>
      </w:r>
      <w:r w:rsidRPr="00380349">
        <w:rPr>
          <w:rStyle w:val="SCCCounselPartyRoleChar"/>
        </w:rPr>
        <w:t>,</w:t>
      </w:r>
      <w:r w:rsidRPr="001227C0">
        <w:rPr>
          <w:rStyle w:val="SCCCounselPartyRoleChar"/>
        </w:rPr>
        <w:t xml:space="preserve"> </w:t>
      </w:r>
      <w:r>
        <w:rPr>
          <w:rStyle w:val="SCCCounselPartyRoleChar"/>
        </w:rPr>
        <w:t>for the applicant.</w:t>
      </w:r>
    </w:p>
    <w:p w:rsidR="00904FCA" w:rsidRPr="00D1430B" w:rsidRDefault="00904FCA" w:rsidP="00904FCA">
      <w:pPr>
        <w:pStyle w:val="SCCNormalDoubleSpacing"/>
        <w:rPr>
          <w:lang w:val="en-US"/>
        </w:rPr>
      </w:pPr>
    </w:p>
    <w:p w:rsidR="00904FCA" w:rsidRDefault="00904FCA" w:rsidP="00904FCA">
      <w:pPr>
        <w:pStyle w:val="SCCNormalDoubleSpacing"/>
        <w:rPr>
          <w:rStyle w:val="SCCCounselPartyRoleChar"/>
        </w:rPr>
      </w:pPr>
      <w:r w:rsidRPr="00D1430B">
        <w:rPr>
          <w:rStyle w:val="SCCCounselNameChar"/>
          <w:lang w:val="en-US"/>
        </w:rPr>
        <w:tab/>
      </w:r>
      <w:r>
        <w:rPr>
          <w:rStyle w:val="SCCCounselNameChar"/>
          <w:i w:val="0"/>
          <w:lang w:val="en-US"/>
        </w:rPr>
        <w:t xml:space="preserve">Written submissions by </w:t>
      </w:r>
      <w:r w:rsidRPr="00380349">
        <w:rPr>
          <w:rStyle w:val="SCCCounselNameChar"/>
          <w:lang w:val="en-US"/>
        </w:rPr>
        <w:t>Marshall A. Swadron</w:t>
      </w:r>
      <w:r w:rsidRPr="00380349">
        <w:rPr>
          <w:rStyle w:val="SCCCounselPartyRoleChar"/>
        </w:rPr>
        <w:t>,</w:t>
      </w:r>
      <w:r w:rsidRPr="001227C0">
        <w:rPr>
          <w:rStyle w:val="SCCCounselPartyRoleChar"/>
        </w:rPr>
        <w:t xml:space="preserve"> </w:t>
      </w:r>
      <w:r>
        <w:rPr>
          <w:rStyle w:val="SCCCounselPartyRoleChar"/>
        </w:rPr>
        <w:t>for the respondent.</w:t>
      </w:r>
    </w:p>
    <w:p w:rsidR="00904FCA" w:rsidRPr="00D1430B" w:rsidRDefault="00904FCA" w:rsidP="00904FCA">
      <w:pPr>
        <w:pStyle w:val="SCCNormalDoubleSpacing"/>
        <w:rPr>
          <w:rStyle w:val="SCCCounselPartyRoleChar"/>
          <w:lang w:val="en-US"/>
        </w:rPr>
      </w:pPr>
    </w:p>
    <w:p w:rsidR="00904FCA" w:rsidRPr="00D1430B" w:rsidRDefault="00904FCA" w:rsidP="00904FCA">
      <w:pPr>
        <w:pStyle w:val="SCCNormalDoubleSpacing"/>
        <w:rPr>
          <w:lang w:val="en-US"/>
        </w:rPr>
      </w:pPr>
      <w:r w:rsidRPr="00D1430B">
        <w:rPr>
          <w:lang w:val="en-US"/>
        </w:rPr>
        <w:tab/>
      </w:r>
      <w:r w:rsidRPr="00C04903">
        <w:rPr>
          <w:lang w:val="en-US"/>
        </w:rPr>
        <w:t>The following order was delivered by</w:t>
      </w:r>
    </w:p>
    <w:p w:rsidR="00904FCA" w:rsidRPr="00D1430B" w:rsidRDefault="00904FCA" w:rsidP="00904FCA">
      <w:pPr>
        <w:pStyle w:val="SCCNormalDoubleSpacing"/>
        <w:rPr>
          <w:smallCaps/>
          <w:lang w:val="en-US"/>
        </w:rPr>
      </w:pPr>
    </w:p>
    <w:p w:rsidR="00904FCA" w:rsidRPr="00E82F67" w:rsidRDefault="00904FCA" w:rsidP="00904FCA">
      <w:pPr>
        <w:tabs>
          <w:tab w:val="left" w:pos="1170"/>
        </w:tabs>
        <w:spacing w:line="480" w:lineRule="auto"/>
        <w:jc w:val="both"/>
        <w:rPr>
          <w:lang w:val="en-US"/>
        </w:rPr>
      </w:pPr>
      <w:r w:rsidRPr="00D1430B">
        <w:rPr>
          <w:smallCaps/>
          <w:lang w:val="en-US"/>
        </w:rPr>
        <w:lastRenderedPageBreak/>
        <w:t>[1]</w:t>
      </w:r>
      <w:r w:rsidRPr="00D1430B">
        <w:rPr>
          <w:smallCaps/>
          <w:lang w:val="en-US"/>
        </w:rPr>
        <w:tab/>
      </w:r>
      <w:r>
        <w:rPr>
          <w:smallCaps/>
          <w:lang w:val="en-US"/>
        </w:rPr>
        <w:t>Moldaver J.</w:t>
      </w:r>
      <w:r w:rsidRPr="00D1430B">
        <w:rPr>
          <w:smallCaps/>
          <w:lang w:val="en-US"/>
        </w:rPr>
        <w:t xml:space="preserve"> </w:t>
      </w:r>
      <w:r w:rsidRPr="00D1430B">
        <w:rPr>
          <w:lang w:val="en-US"/>
        </w:rPr>
        <w:t xml:space="preserve">— </w:t>
      </w:r>
      <w:r w:rsidRPr="00E82F67">
        <w:rPr>
          <w:lang w:val="en-US"/>
        </w:rPr>
        <w:t>I have two reasons for refusing a stay.</w:t>
      </w:r>
    </w:p>
    <w:p w:rsidR="00904FCA" w:rsidRPr="00E82F67" w:rsidRDefault="00904FCA" w:rsidP="00904FCA">
      <w:pPr>
        <w:spacing w:line="480" w:lineRule="auto"/>
        <w:jc w:val="both"/>
        <w:rPr>
          <w:lang w:val="en-US"/>
        </w:rPr>
      </w:pPr>
    </w:p>
    <w:p w:rsidR="00904FCA" w:rsidRPr="00E82F67" w:rsidRDefault="00904FCA" w:rsidP="00904FCA">
      <w:pPr>
        <w:tabs>
          <w:tab w:val="left" w:pos="1170"/>
        </w:tabs>
        <w:spacing w:line="480" w:lineRule="auto"/>
        <w:jc w:val="both"/>
        <w:rPr>
          <w:lang w:val="en-US"/>
        </w:rPr>
      </w:pPr>
      <w:r>
        <w:rPr>
          <w:lang w:val="en-US"/>
        </w:rPr>
        <w:t>[2]</w:t>
      </w:r>
      <w:r>
        <w:rPr>
          <w:lang w:val="en-US"/>
        </w:rPr>
        <w:tab/>
      </w:r>
      <w:r w:rsidRPr="00E82F67">
        <w:rPr>
          <w:lang w:val="en-US"/>
        </w:rPr>
        <w:t xml:space="preserve">First, I note that Justice Roberts of the Ontario Court of Appeal previously refused to grant a motion seeking the same relief now sought by the Attorney General of Ontario in this Court. </w:t>
      </w:r>
    </w:p>
    <w:p w:rsidR="00904FCA" w:rsidRPr="00E82F67" w:rsidRDefault="00904FCA" w:rsidP="00904FCA">
      <w:pPr>
        <w:spacing w:line="480" w:lineRule="auto"/>
        <w:jc w:val="both"/>
        <w:rPr>
          <w:lang w:val="en-US"/>
        </w:rPr>
      </w:pPr>
    </w:p>
    <w:p w:rsidR="00904FCA" w:rsidRPr="00E82F67" w:rsidRDefault="00904FCA" w:rsidP="00904FCA">
      <w:pPr>
        <w:tabs>
          <w:tab w:val="left" w:pos="1170"/>
        </w:tabs>
        <w:spacing w:line="480" w:lineRule="auto"/>
        <w:jc w:val="both"/>
        <w:rPr>
          <w:lang w:val="en-US"/>
        </w:rPr>
      </w:pPr>
      <w:r>
        <w:rPr>
          <w:lang w:val="en-US"/>
        </w:rPr>
        <w:t>[3]</w:t>
      </w:r>
      <w:r>
        <w:rPr>
          <w:lang w:val="en-US"/>
        </w:rPr>
        <w:tab/>
      </w:r>
      <w:r w:rsidRPr="00E82F67">
        <w:rPr>
          <w:lang w:val="en-US"/>
        </w:rPr>
        <w:t xml:space="preserve">In </w:t>
      </w:r>
      <w:r w:rsidRPr="001227C0">
        <w:rPr>
          <w:i/>
          <w:lang w:val="en-US"/>
        </w:rPr>
        <w:t>Esmail v. Petro-Canada</w:t>
      </w:r>
      <w:r w:rsidRPr="00E82F67">
        <w:rPr>
          <w:lang w:val="en-US"/>
        </w:rPr>
        <w:t>, [1997] 2 S.C.R. 3, Sopinka J. observed that “[i]t is only in special circumstances that successive applications to a judge of the court appealed from and a judge of this Court should be permitted”: p</w:t>
      </w:r>
      <w:r>
        <w:rPr>
          <w:lang w:val="en-US"/>
        </w:rPr>
        <w:t>ara. 2</w:t>
      </w:r>
      <w:r w:rsidRPr="00E82F67">
        <w:rPr>
          <w:lang w:val="en-US"/>
        </w:rPr>
        <w:t>. Having reviewed the record and the reasons of Roberts J.A., I see no special circumstances here that would warrant a re-examination by me of her decision.</w:t>
      </w:r>
    </w:p>
    <w:p w:rsidR="00904FCA" w:rsidRPr="00E82F67" w:rsidRDefault="00904FCA" w:rsidP="00904FCA">
      <w:pPr>
        <w:spacing w:line="480" w:lineRule="auto"/>
        <w:jc w:val="both"/>
        <w:rPr>
          <w:lang w:val="en-US"/>
        </w:rPr>
      </w:pPr>
    </w:p>
    <w:p w:rsidR="00904FCA" w:rsidRPr="00E82F67" w:rsidRDefault="00904FCA" w:rsidP="00904FCA">
      <w:pPr>
        <w:tabs>
          <w:tab w:val="left" w:pos="1170"/>
        </w:tabs>
        <w:spacing w:line="480" w:lineRule="auto"/>
        <w:jc w:val="both"/>
        <w:rPr>
          <w:lang w:val="en-US"/>
        </w:rPr>
      </w:pPr>
      <w:r>
        <w:rPr>
          <w:lang w:val="en-US"/>
        </w:rPr>
        <w:t>[4]</w:t>
      </w:r>
      <w:r>
        <w:rPr>
          <w:lang w:val="en-US"/>
        </w:rPr>
        <w:tab/>
      </w:r>
      <w:r w:rsidRPr="00E82F67">
        <w:rPr>
          <w:lang w:val="en-US"/>
        </w:rPr>
        <w:t>Second, and in any event, the Crown has not made out a tenable case for irreparable harm.</w:t>
      </w:r>
    </w:p>
    <w:p w:rsidR="00904FCA" w:rsidRPr="00E82F67" w:rsidRDefault="00904FCA" w:rsidP="00904FCA">
      <w:pPr>
        <w:spacing w:line="480" w:lineRule="auto"/>
        <w:jc w:val="both"/>
        <w:rPr>
          <w:lang w:val="en-US"/>
        </w:rPr>
      </w:pPr>
    </w:p>
    <w:p w:rsidR="00904FCA" w:rsidRPr="00E82F67" w:rsidRDefault="00904FCA" w:rsidP="00904FCA">
      <w:pPr>
        <w:tabs>
          <w:tab w:val="left" w:pos="1170"/>
        </w:tabs>
        <w:spacing w:line="480" w:lineRule="auto"/>
        <w:jc w:val="both"/>
        <w:rPr>
          <w:lang w:val="en-US"/>
        </w:rPr>
      </w:pPr>
      <w:r>
        <w:rPr>
          <w:lang w:val="en-US"/>
        </w:rPr>
        <w:t>[5]</w:t>
      </w:r>
      <w:r>
        <w:rPr>
          <w:lang w:val="en-US"/>
        </w:rPr>
        <w:tab/>
      </w:r>
      <w:r w:rsidRPr="00E82F67">
        <w:rPr>
          <w:lang w:val="en-US"/>
        </w:rPr>
        <w:t xml:space="preserve">The respondent’s track record over the past 17 years has been exemplary, and it provides cogent evidence that there is little, if any, chance of him committing a sexual offence prior to the determination of the leave application, and if leave is granted, the disposition of the appeal. That being so, I see no apparent reason why he should be deprived of his s. 15(1) right under the </w:t>
      </w:r>
      <w:r w:rsidRPr="001227C0">
        <w:rPr>
          <w:i/>
          <w:lang w:val="en-US"/>
        </w:rPr>
        <w:t>Canadian Charter of Rights and Freedoms</w:t>
      </w:r>
      <w:r w:rsidRPr="00E82F67">
        <w:rPr>
          <w:lang w:val="en-US"/>
        </w:rPr>
        <w:t xml:space="preserve"> in the interim. In particular, I adopt the words of Doherty J.A. at para. 155 of his reasons in which he states: “. . . as I read this record, it is difficult to envision a constitutionally-compliant legislative scheme that would not result in [the </w:t>
      </w:r>
      <w:r w:rsidRPr="00E82F67">
        <w:rPr>
          <w:lang w:val="en-US"/>
        </w:rPr>
        <w:lastRenderedPageBreak/>
        <w:t>respondent] being removed from the registries and exempted from the requirement of any further compliance with them”: 2019 ONCA 264</w:t>
      </w:r>
      <w:r>
        <w:rPr>
          <w:lang w:val="en-US"/>
        </w:rPr>
        <w:t xml:space="preserve">, </w:t>
      </w:r>
      <w:r w:rsidRPr="00E82F67">
        <w:t>145 O.R. (3d) 161</w:t>
      </w:r>
      <w:r>
        <w:rPr>
          <w:lang w:val="en-US"/>
        </w:rPr>
        <w:t>.</w:t>
      </w:r>
    </w:p>
    <w:p w:rsidR="00904FCA" w:rsidRPr="00E82F67" w:rsidRDefault="00904FCA" w:rsidP="00904FCA">
      <w:pPr>
        <w:spacing w:line="480" w:lineRule="auto"/>
        <w:jc w:val="both"/>
        <w:rPr>
          <w:lang w:val="en-US"/>
        </w:rPr>
      </w:pPr>
    </w:p>
    <w:p w:rsidR="00904FCA" w:rsidRDefault="00904FCA" w:rsidP="00904FCA">
      <w:pPr>
        <w:tabs>
          <w:tab w:val="left" w:pos="1170"/>
        </w:tabs>
        <w:spacing w:line="480" w:lineRule="auto"/>
        <w:jc w:val="both"/>
        <w:rPr>
          <w:lang w:val="en-US"/>
        </w:rPr>
      </w:pPr>
      <w:r>
        <w:rPr>
          <w:lang w:val="en-US"/>
        </w:rPr>
        <w:t>[6]</w:t>
      </w:r>
      <w:r>
        <w:rPr>
          <w:lang w:val="en-US"/>
        </w:rPr>
        <w:tab/>
      </w:r>
      <w:r w:rsidRPr="00E82F67">
        <w:rPr>
          <w:lang w:val="en-US"/>
        </w:rPr>
        <w:t>Accordingly, the motion for a stay is dismissed without costs.</w:t>
      </w:r>
    </w:p>
    <w:p w:rsidR="00904FCA" w:rsidRPr="00D1430B" w:rsidRDefault="00904FCA" w:rsidP="00904FCA">
      <w:pPr>
        <w:spacing w:line="480" w:lineRule="auto"/>
        <w:rPr>
          <w:lang w:val="en-US"/>
        </w:rPr>
      </w:pPr>
    </w:p>
    <w:p w:rsidR="00904FCA" w:rsidRPr="00B26232" w:rsidRDefault="00904FCA" w:rsidP="00904FCA">
      <w:pPr>
        <w:spacing w:line="480" w:lineRule="auto"/>
        <w:ind w:left="1170"/>
        <w:rPr>
          <w:i/>
          <w:lang w:val="en-US"/>
        </w:rPr>
      </w:pPr>
      <w:r>
        <w:rPr>
          <w:i/>
          <w:lang w:val="en-US"/>
        </w:rPr>
        <w:t>Order accordingly</w:t>
      </w:r>
      <w:r w:rsidRPr="00B26232">
        <w:rPr>
          <w:i/>
          <w:lang w:val="en-US"/>
        </w:rPr>
        <w:t>.</w:t>
      </w:r>
    </w:p>
    <w:p w:rsidR="00904FCA" w:rsidRPr="00B26232" w:rsidRDefault="00904FCA" w:rsidP="00904FCA">
      <w:pPr>
        <w:spacing w:line="480" w:lineRule="auto"/>
        <w:rPr>
          <w:i/>
          <w:lang w:val="en-US"/>
        </w:rPr>
      </w:pPr>
    </w:p>
    <w:p w:rsidR="00904FCA" w:rsidRPr="00B26232" w:rsidRDefault="00904FCA" w:rsidP="00904FCA">
      <w:pPr>
        <w:tabs>
          <w:tab w:val="left" w:pos="1170"/>
        </w:tabs>
        <w:spacing w:line="480" w:lineRule="auto"/>
        <w:rPr>
          <w:i/>
          <w:lang w:val="en-US"/>
        </w:rPr>
      </w:pPr>
      <w:r w:rsidRPr="00B26232">
        <w:rPr>
          <w:i/>
          <w:lang w:val="en-US"/>
        </w:rPr>
        <w:tab/>
      </w:r>
      <w:r w:rsidRPr="00B26232">
        <w:rPr>
          <w:i/>
        </w:rPr>
        <w:t xml:space="preserve">Solicitor for the applicant: </w:t>
      </w:r>
      <w:r>
        <w:rPr>
          <w:i/>
          <w:lang w:val="en-US"/>
        </w:rPr>
        <w:t>Attorney General of Ontario, Toronto</w:t>
      </w:r>
      <w:r w:rsidRPr="00B26232">
        <w:rPr>
          <w:i/>
          <w:lang w:val="en-US"/>
        </w:rPr>
        <w:t>.</w:t>
      </w:r>
    </w:p>
    <w:p w:rsidR="00904FCA" w:rsidRPr="00B26232" w:rsidRDefault="00904FCA" w:rsidP="00904FCA">
      <w:pPr>
        <w:spacing w:line="480" w:lineRule="auto"/>
        <w:rPr>
          <w:i/>
          <w:lang w:val="en-US"/>
        </w:rPr>
      </w:pPr>
    </w:p>
    <w:p w:rsidR="00DC40B6" w:rsidRPr="00E01441" w:rsidRDefault="00904FCA" w:rsidP="00904FCA">
      <w:pPr>
        <w:tabs>
          <w:tab w:val="left" w:pos="1170"/>
        </w:tabs>
        <w:spacing w:line="480" w:lineRule="auto"/>
      </w:pPr>
      <w:r w:rsidRPr="00B26232">
        <w:rPr>
          <w:i/>
          <w:lang w:val="en-US"/>
        </w:rPr>
        <w:tab/>
      </w:r>
      <w:r w:rsidRPr="006F77AA">
        <w:rPr>
          <w:i/>
          <w:lang w:val="en-US"/>
        </w:rPr>
        <w:t>Solicitors for the respondent:</w:t>
      </w:r>
      <w:r w:rsidRPr="006F77AA">
        <w:rPr>
          <w:lang w:val="en-US"/>
        </w:rPr>
        <w:t xml:space="preserve"> </w:t>
      </w:r>
      <w:r w:rsidRPr="00E01441">
        <w:rPr>
          <w:i/>
        </w:rPr>
        <w:t>Swadron Associates, Toronto.</w:t>
      </w:r>
    </w:p>
    <w:sectPr w:rsidR="00DC40B6" w:rsidRPr="00E01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39" w:rsidRDefault="00AD5E39" w:rsidP="00597C47">
      <w:r>
        <w:separator/>
      </w:r>
    </w:p>
  </w:endnote>
  <w:endnote w:type="continuationSeparator" w:id="0">
    <w:p w:rsidR="00AD5E39" w:rsidRDefault="00AD5E39" w:rsidP="0059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39" w:rsidRDefault="00AD5E39" w:rsidP="00597C47">
      <w:r>
        <w:separator/>
      </w:r>
    </w:p>
  </w:footnote>
  <w:footnote w:type="continuationSeparator" w:id="0">
    <w:p w:rsidR="00AD5E39" w:rsidRDefault="00AD5E39" w:rsidP="0059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41"/>
    <w:rsid w:val="00094BFB"/>
    <w:rsid w:val="001227C0"/>
    <w:rsid w:val="00195E9E"/>
    <w:rsid w:val="0027451F"/>
    <w:rsid w:val="002E47BB"/>
    <w:rsid w:val="00347B94"/>
    <w:rsid w:val="0048186D"/>
    <w:rsid w:val="004A0630"/>
    <w:rsid w:val="004B65E5"/>
    <w:rsid w:val="005217E0"/>
    <w:rsid w:val="00597C47"/>
    <w:rsid w:val="00671571"/>
    <w:rsid w:val="006946F1"/>
    <w:rsid w:val="006E5093"/>
    <w:rsid w:val="00760639"/>
    <w:rsid w:val="007A3444"/>
    <w:rsid w:val="007E1F98"/>
    <w:rsid w:val="008D199F"/>
    <w:rsid w:val="00904FCA"/>
    <w:rsid w:val="009F6159"/>
    <w:rsid w:val="00AD5E39"/>
    <w:rsid w:val="00B26C74"/>
    <w:rsid w:val="00CC1747"/>
    <w:rsid w:val="00DC40B6"/>
    <w:rsid w:val="00E01441"/>
    <w:rsid w:val="00E54A6B"/>
    <w:rsid w:val="00E82F67"/>
    <w:rsid w:val="00EA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363ED8F-FA04-4B14-AD9E-F8BB5C05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41"/>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E0144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01441"/>
    <w:rPr>
      <w:rFonts w:ascii="Times New Roman" w:eastAsia="Times New Roman" w:hAnsi="Times New Roman" w:cs="Times New Roman"/>
      <w:sz w:val="24"/>
      <w:szCs w:val="20"/>
      <w:lang w:val="en-CA" w:eastAsia="en-CA"/>
    </w:rPr>
  </w:style>
  <w:style w:type="character" w:customStyle="1" w:styleId="SCCLsocPartyRole">
    <w:name w:val="SCC.Lsoc.PartyRole"/>
    <w:basedOn w:val="SCCLsocLastPartyInRoleChar"/>
    <w:uiPriority w:val="1"/>
    <w:rsid w:val="00E01441"/>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E01441"/>
    <w:rPr>
      <w:smallCaps/>
    </w:rPr>
  </w:style>
  <w:style w:type="character" w:customStyle="1" w:styleId="SCCAppellantForRunningHeadChar">
    <w:name w:val="SCC.AppellantForRunningHead Char"/>
    <w:basedOn w:val="DefaultParagraphFont"/>
    <w:link w:val="SCCAppellantForRunningHead"/>
    <w:rsid w:val="00E01441"/>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E01441"/>
    <w:rPr>
      <w:b/>
    </w:rPr>
  </w:style>
  <w:style w:type="character" w:customStyle="1" w:styleId="SCCAppellantForIndexChar">
    <w:name w:val="SCC.AppellantForIndex Char"/>
    <w:basedOn w:val="DefaultParagraphFont"/>
    <w:link w:val="SCCAppellantForIndex"/>
    <w:rsid w:val="00E0144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E01441"/>
    <w:rPr>
      <w:b/>
    </w:rPr>
  </w:style>
  <w:style w:type="character" w:customStyle="1" w:styleId="SCCSystemYearChar">
    <w:name w:val="SCC.SystemYear Char"/>
    <w:basedOn w:val="DefaultParagraphFont"/>
    <w:link w:val="SCCSystemYear"/>
    <w:rsid w:val="00E01441"/>
    <w:rPr>
      <w:rFonts w:ascii="Times New Roman" w:eastAsia="Times New Roman" w:hAnsi="Times New Roman" w:cs="Times New Roman"/>
      <w:b/>
      <w:sz w:val="24"/>
      <w:szCs w:val="20"/>
      <w:lang w:val="en-CA" w:eastAsia="en-CA"/>
    </w:rPr>
  </w:style>
  <w:style w:type="paragraph" w:customStyle="1" w:styleId="SCCLsocLastPartyInRole">
    <w:name w:val="SCC.Lsoc.LastPartyInRole"/>
    <w:basedOn w:val="Normal"/>
    <w:next w:val="Normal"/>
    <w:link w:val="SCCLsocLastPartyInRoleChar"/>
    <w:qFormat/>
    <w:rsid w:val="00E01441"/>
    <w:pPr>
      <w:tabs>
        <w:tab w:val="right" w:pos="8222"/>
      </w:tabs>
      <w:spacing w:after="720"/>
    </w:pPr>
    <w:rPr>
      <w:b/>
    </w:rPr>
  </w:style>
  <w:style w:type="character" w:customStyle="1" w:styleId="SCCLsocLastPartyInRoleChar">
    <w:name w:val="SCC.Lsoc.LastPartyInRole Char"/>
    <w:basedOn w:val="DefaultParagraphFont"/>
    <w:link w:val="SCCLsocLastPartyInRole"/>
    <w:rsid w:val="00E01441"/>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E01441"/>
    <w:rPr>
      <w:i/>
    </w:rPr>
  </w:style>
  <w:style w:type="character" w:customStyle="1" w:styleId="SCCCounselNameChar">
    <w:name w:val="SCC.CounselName Char"/>
    <w:basedOn w:val="SCCNormalDoubleSpacingChar"/>
    <w:link w:val="SCCCounselName"/>
    <w:rsid w:val="00E0144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E01441"/>
  </w:style>
  <w:style w:type="character" w:customStyle="1" w:styleId="SCCCounselPartyRoleChar">
    <w:name w:val="SCC.CounselPartyRole Char"/>
    <w:basedOn w:val="SCCNormalDoubleSpacingChar"/>
    <w:link w:val="SCCCounselPartyRole"/>
    <w:rsid w:val="00E01441"/>
    <w:rPr>
      <w:rFonts w:ascii="Times New Roman" w:eastAsia="Times New Roman" w:hAnsi="Times New Roman" w:cs="Times New Roman"/>
      <w:sz w:val="24"/>
      <w:szCs w:val="20"/>
      <w:lang w:val="en-CA" w:eastAsia="en-CA"/>
    </w:rPr>
  </w:style>
  <w:style w:type="paragraph" w:styleId="ListParagraph">
    <w:name w:val="List Paragraph"/>
    <w:basedOn w:val="Normal"/>
    <w:uiPriority w:val="34"/>
    <w:qFormat/>
    <w:rsid w:val="00E01441"/>
    <w:pPr>
      <w:ind w:left="720"/>
      <w:contextualSpacing/>
    </w:pPr>
  </w:style>
  <w:style w:type="paragraph" w:styleId="BalloonText">
    <w:name w:val="Balloon Text"/>
    <w:basedOn w:val="Normal"/>
    <w:link w:val="BalloonTextChar"/>
    <w:uiPriority w:val="99"/>
    <w:semiHidden/>
    <w:unhideWhenUsed/>
    <w:rsid w:val="0012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C0"/>
    <w:rPr>
      <w:rFonts w:ascii="Segoe UI" w:eastAsia="Times New Roman" w:hAnsi="Segoe UI" w:cs="Segoe UI"/>
      <w:sz w:val="18"/>
      <w:szCs w:val="18"/>
      <w:lang w:val="en-CA" w:eastAsia="en-CA"/>
    </w:rPr>
  </w:style>
  <w:style w:type="table" w:styleId="TableGrid">
    <w:name w:val="Table Grid"/>
    <w:basedOn w:val="TableNormal"/>
    <w:uiPriority w:val="59"/>
    <w:rsid w:val="004A0630"/>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0630"/>
    <w:pPr>
      <w:tabs>
        <w:tab w:val="center" w:pos="4680"/>
        <w:tab w:val="right" w:pos="9360"/>
      </w:tabs>
    </w:pPr>
    <w:rPr>
      <w:rFonts w:eastAsiaTheme="minorHAnsi" w:cstheme="minorBidi"/>
      <w:szCs w:val="24"/>
      <w:lang w:eastAsia="en-US"/>
    </w:rPr>
  </w:style>
  <w:style w:type="character" w:customStyle="1" w:styleId="HeaderChar">
    <w:name w:val="Header Char"/>
    <w:basedOn w:val="DefaultParagraphFont"/>
    <w:link w:val="Header"/>
    <w:uiPriority w:val="99"/>
    <w:rsid w:val="004A0630"/>
    <w:rPr>
      <w:rFonts w:ascii="Times New Roman" w:hAnsi="Times New Roman"/>
      <w:sz w:val="24"/>
      <w:szCs w:val="24"/>
      <w:lang w:val="en-CA"/>
    </w:rPr>
  </w:style>
  <w:style w:type="paragraph" w:customStyle="1" w:styleId="SCCLsocParty">
    <w:name w:val="SCC.Lsoc.Party"/>
    <w:basedOn w:val="Normal"/>
    <w:next w:val="Normal"/>
    <w:link w:val="SCCLsocPartyChar"/>
    <w:rsid w:val="004A0630"/>
    <w:pPr>
      <w:jc w:val="center"/>
    </w:pPr>
    <w:rPr>
      <w:rFonts w:eastAsiaTheme="minorHAnsi" w:cstheme="minorBidi"/>
      <w:b/>
      <w:szCs w:val="24"/>
      <w:lang w:eastAsia="en-US"/>
    </w:rPr>
  </w:style>
  <w:style w:type="character" w:customStyle="1" w:styleId="SCCLsocPartyChar">
    <w:name w:val="SCC.Lsoc.Party Char"/>
    <w:basedOn w:val="DefaultParagraphFont"/>
    <w:link w:val="SCCLsocParty"/>
    <w:rsid w:val="004A0630"/>
    <w:rPr>
      <w:rFonts w:ascii="Times New Roman" w:hAnsi="Times New Roman"/>
      <w:b/>
      <w:sz w:val="24"/>
      <w:szCs w:val="24"/>
      <w:lang w:val="en-CA"/>
    </w:rPr>
  </w:style>
  <w:style w:type="paragraph" w:customStyle="1" w:styleId="SCCLsocVersus">
    <w:name w:val="SCC.Lsoc.Versus"/>
    <w:basedOn w:val="Normal"/>
    <w:next w:val="Normal"/>
    <w:link w:val="SCCLsocVersusChar"/>
    <w:rsid w:val="004A0630"/>
    <w:pPr>
      <w:jc w:val="center"/>
    </w:pPr>
    <w:rPr>
      <w:rFonts w:eastAsiaTheme="minorHAnsi" w:cstheme="minorBidi"/>
      <w:szCs w:val="24"/>
      <w:lang w:eastAsia="en-US"/>
    </w:rPr>
  </w:style>
  <w:style w:type="character" w:customStyle="1" w:styleId="SCCLsocVersusChar">
    <w:name w:val="SCC.Lsoc.Versus Char"/>
    <w:basedOn w:val="DefaultParagraphFont"/>
    <w:link w:val="SCCLsocVersus"/>
    <w:rsid w:val="004A0630"/>
    <w:rPr>
      <w:rFonts w:ascii="Times New Roman" w:hAnsi="Times New Roman"/>
      <w:sz w:val="24"/>
      <w:szCs w:val="24"/>
      <w:lang w:val="en-CA"/>
    </w:rPr>
  </w:style>
  <w:style w:type="character" w:customStyle="1" w:styleId="SCCLsocPartyRoleChar">
    <w:name w:val="SCC.Lsoc.PartyRole Char"/>
    <w:basedOn w:val="DefaultParagraphFont"/>
    <w:rsid w:val="004A0630"/>
    <w:rPr>
      <w:rFonts w:ascii="Times New Roman" w:hAnsi="Times New Roman"/>
      <w:sz w:val="24"/>
      <w:szCs w:val="24"/>
      <w:lang w:val="en-CA"/>
    </w:rPr>
  </w:style>
  <w:style w:type="paragraph" w:customStyle="1" w:styleId="SCCLsocPrefix">
    <w:name w:val="SCC.Lsoc.Prefix"/>
    <w:basedOn w:val="Normal"/>
    <w:next w:val="Normal"/>
    <w:link w:val="SCCLsocPrefixChar"/>
    <w:rsid w:val="004A0630"/>
    <w:rPr>
      <w:rFonts w:eastAsiaTheme="minorHAnsi" w:cstheme="minorBidi"/>
      <w:b/>
      <w:smallCaps/>
      <w:szCs w:val="24"/>
      <w:lang w:eastAsia="en-US"/>
    </w:rPr>
  </w:style>
  <w:style w:type="character" w:customStyle="1" w:styleId="SCCLsocPrefixChar">
    <w:name w:val="SCC.Lsoc.Prefix Char"/>
    <w:basedOn w:val="DefaultParagraphFont"/>
    <w:link w:val="SCCLsocPrefix"/>
    <w:rsid w:val="004A0630"/>
    <w:rPr>
      <w:rFonts w:ascii="Times New Roman" w:hAnsi="Times New Roman"/>
      <w:b/>
      <w:smallCaps/>
      <w:sz w:val="24"/>
      <w:szCs w:val="24"/>
      <w:lang w:val="en-CA"/>
    </w:rPr>
  </w:style>
  <w:style w:type="table" w:customStyle="1" w:styleId="TableGrid1">
    <w:name w:val="Table Grid1"/>
    <w:basedOn w:val="TableNormal"/>
    <w:uiPriority w:val="59"/>
    <w:rsid w:val="004A063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97C47"/>
    <w:pPr>
      <w:tabs>
        <w:tab w:val="center" w:pos="4680"/>
        <w:tab w:val="right" w:pos="9360"/>
      </w:tabs>
    </w:pPr>
  </w:style>
  <w:style w:type="character" w:customStyle="1" w:styleId="FooterChar">
    <w:name w:val="Footer Char"/>
    <w:basedOn w:val="DefaultParagraphFont"/>
    <w:link w:val="Footer"/>
    <w:uiPriority w:val="99"/>
    <w:rsid w:val="00597C47"/>
    <w:rPr>
      <w:rFonts w:ascii="Times New Roman" w:eastAsia="Times New Roman" w:hAnsi="Times New Roman" w:cs="Times New Roman"/>
      <w:sz w:val="24"/>
      <w:szCs w:val="20"/>
      <w:lang w:val="en-CA" w:eastAsia="en-CA"/>
    </w:rPr>
  </w:style>
  <w:style w:type="table" w:customStyle="1" w:styleId="TableGrid2">
    <w:name w:val="Table Grid2"/>
    <w:basedOn w:val="TableNormal"/>
    <w:next w:val="TableGrid"/>
    <w:uiPriority w:val="59"/>
    <w:rsid w:val="00904FCA"/>
    <w:pPr>
      <w:spacing w:after="0" w:line="240" w:lineRule="auto"/>
    </w:pPr>
    <w:rPr>
      <w:rFonts w:ascii="Times New Roman" w:eastAsia="Times New Roman" w:hAnsi="Times New Roman" w:cs="Times New Roman"/>
      <w:sz w:val="24"/>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A071-E618-40A8-8A37-AD834D3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Ampleman Sandrine</dc:creator>
  <cp:keywords/>
  <dc:description/>
  <cp:lastModifiedBy>Lafontaine-Després Charlotte</cp:lastModifiedBy>
  <cp:revision>13</cp:revision>
  <cp:lastPrinted>2019-07-24T19:06:00Z</cp:lastPrinted>
  <dcterms:created xsi:type="dcterms:W3CDTF">2021-11-10T19:35:00Z</dcterms:created>
  <dcterms:modified xsi:type="dcterms:W3CDTF">2022-01-21T14:08:00Z</dcterms:modified>
</cp:coreProperties>
</file>