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5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960"/>
        <w:gridCol w:w="1259"/>
        <w:gridCol w:w="3960"/>
      </w:tblGrid>
      <w:tr w:rsidR="00FD2B17" w:rsidTr="00FD2B17">
        <w:trPr>
          <w:trHeight w:val="1784"/>
        </w:trPr>
        <w:tc>
          <w:tcPr>
            <w:tcW w:w="5000" w:type="pct"/>
            <w:gridSpan w:val="3"/>
          </w:tcPr>
          <w:p w:rsidR="00FD2B17" w:rsidRDefault="00FD2B17" w:rsidP="00374332">
            <w:pPr>
              <w:jc w:val="center"/>
            </w:pPr>
            <w:r w:rsidRPr="00C22905">
              <w:rPr>
                <w:rFonts w:eastAsia="Calibri"/>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1.8pt;height:64.8pt" o:ole="">
                  <v:imagedata r:id="rId8" o:title=""/>
                </v:shape>
                <o:OLEObject Type="Embed" ProgID="Presentations.Drawing.15" ShapeID="_x0000_i1075" DrawAspect="Content" ObjectID="_1705921922" r:id="rId9"/>
              </w:object>
            </w:r>
          </w:p>
          <w:p w:rsidR="00FD2B17" w:rsidRDefault="00FD2B17" w:rsidP="00374332">
            <w:pPr>
              <w:spacing w:before="120" w:after="100" w:afterAutospacing="1"/>
              <w:jc w:val="center"/>
              <w:rPr>
                <w:rFonts w:eastAsia="Calibri"/>
              </w:rPr>
            </w:pPr>
            <w:r w:rsidRPr="00C22905">
              <w:rPr>
                <w:rFonts w:eastAsia="Calibri"/>
                <w:b/>
                <w:lang w:eastAsia="en-US"/>
              </w:rPr>
              <w:t>SUPREME COURT OF CANADA</w:t>
            </w:r>
          </w:p>
        </w:tc>
      </w:tr>
      <w:tr w:rsidR="00FD2B17" w:rsidTr="00FD2B17">
        <w:tc>
          <w:tcPr>
            <w:tcW w:w="2157" w:type="pct"/>
            <w:tcMar>
              <w:top w:w="284" w:type="dxa"/>
            </w:tcMar>
          </w:tcPr>
          <w:p w:rsidR="00FD2B17" w:rsidRPr="002C7AD6" w:rsidRDefault="00FD2B17" w:rsidP="00374332">
            <w:pPr>
              <w:spacing w:before="100" w:beforeAutospacing="1"/>
              <w:rPr>
                <w:rFonts w:eastAsia="Calibri"/>
                <w:lang w:val="fr-CA"/>
              </w:rPr>
            </w:pPr>
            <w:r w:rsidRPr="002C7AD6">
              <w:rPr>
                <w:b/>
                <w:smallCaps/>
                <w:lang w:val="fr-CA"/>
              </w:rPr>
              <w:t>Citation:</w:t>
            </w:r>
            <w:r w:rsidRPr="002C7AD6">
              <w:rPr>
                <w:lang w:val="fr-CA"/>
              </w:rPr>
              <w:t xml:space="preserve"> </w:t>
            </w:r>
            <w:r w:rsidRPr="00FD2B17">
              <w:rPr>
                <w:rStyle w:val="SCCAppellantForRunningHeadChar"/>
                <w:smallCaps w:val="0"/>
                <w:lang w:val="fr-CA"/>
              </w:rPr>
              <w:t>R.</w:t>
            </w:r>
            <w:r w:rsidRPr="00FD2B17">
              <w:rPr>
                <w:lang w:val="fr-CA"/>
              </w:rPr>
              <w:t xml:space="preserve"> </w:t>
            </w:r>
            <w:r w:rsidRPr="00FD2B17">
              <w:rPr>
                <w:i/>
                <w:lang w:val="fr-CA"/>
              </w:rPr>
              <w:t>v.</w:t>
            </w:r>
            <w:r w:rsidRPr="00FD2B17">
              <w:rPr>
                <w:lang w:val="fr-CA"/>
              </w:rPr>
              <w:t xml:space="preserve"> </w:t>
            </w:r>
            <w:r w:rsidRPr="00FD2B17">
              <w:rPr>
                <w:rStyle w:val="SCCRespondentForRunningHeadChar"/>
                <w:smallCaps w:val="0"/>
                <w:lang w:val="fr-CA"/>
              </w:rPr>
              <w:t xml:space="preserve">Poulin, </w:t>
            </w:r>
            <w:r w:rsidRPr="00FD2B17">
              <w:rPr>
                <w:lang w:val="fr-CA"/>
              </w:rPr>
              <w:t>2019 SCC 47, [2019] 3 S.C.R</w:t>
            </w:r>
            <w:r>
              <w:rPr>
                <w:lang w:val="fr-CA"/>
              </w:rPr>
              <w:t>. 566</w:t>
            </w:r>
          </w:p>
        </w:tc>
        <w:tc>
          <w:tcPr>
            <w:tcW w:w="686" w:type="pct"/>
          </w:tcPr>
          <w:p w:rsidR="00FD2B17" w:rsidRPr="002C7AD6" w:rsidRDefault="00FD2B17" w:rsidP="00374332">
            <w:pPr>
              <w:rPr>
                <w:b/>
                <w:smallCaps/>
                <w:lang w:val="fr-CA"/>
              </w:rPr>
            </w:pPr>
          </w:p>
        </w:tc>
        <w:tc>
          <w:tcPr>
            <w:tcW w:w="2157" w:type="pct"/>
            <w:tcMar>
              <w:top w:w="284" w:type="dxa"/>
            </w:tcMar>
          </w:tcPr>
          <w:p w:rsidR="00FD2B17" w:rsidRPr="002C7AD6" w:rsidRDefault="00FD2B17" w:rsidP="00374332">
            <w:pPr>
              <w:rPr>
                <w:rFonts w:eastAsia="Calibri"/>
                <w:lang w:eastAsia="en-US"/>
              </w:rPr>
            </w:pPr>
            <w:r w:rsidRPr="002C7AD6">
              <w:rPr>
                <w:rFonts w:eastAsia="Calibri"/>
                <w:b/>
                <w:smallCaps/>
                <w:lang w:eastAsia="en-US"/>
              </w:rPr>
              <w:t>Appeal Heard:</w:t>
            </w:r>
            <w:r w:rsidRPr="002C7AD6">
              <w:rPr>
                <w:rFonts w:eastAsia="Calibri"/>
                <w:lang w:eastAsia="en-US"/>
              </w:rPr>
              <w:t xml:space="preserve"> March 25, 2019</w:t>
            </w:r>
          </w:p>
          <w:p w:rsidR="00FD2B17" w:rsidRPr="002C7AD6" w:rsidRDefault="00FD2B17" w:rsidP="00374332">
            <w:pPr>
              <w:rPr>
                <w:rFonts w:eastAsia="Calibri"/>
                <w:lang w:eastAsia="en-US"/>
              </w:rPr>
            </w:pPr>
            <w:r w:rsidRPr="002C7AD6">
              <w:rPr>
                <w:rFonts w:eastAsia="Calibri"/>
                <w:b/>
                <w:smallCaps/>
                <w:lang w:eastAsia="en-US"/>
              </w:rPr>
              <w:t xml:space="preserve">Judgment Rendered: </w:t>
            </w:r>
            <w:r w:rsidRPr="002C7AD6">
              <w:rPr>
                <w:rFonts w:eastAsia="Calibri"/>
                <w:lang w:eastAsia="en-US"/>
              </w:rPr>
              <w:t>October 11, 2019</w:t>
            </w:r>
          </w:p>
          <w:p w:rsidR="00FD2B17" w:rsidRPr="006B210C" w:rsidRDefault="00FD2B17" w:rsidP="00374332">
            <w:r w:rsidRPr="00FD2B17">
              <w:rPr>
                <w:rFonts w:eastAsia="Calibri"/>
                <w:b/>
                <w:smallCaps/>
                <w:lang w:eastAsia="en-US"/>
              </w:rPr>
              <w:t>Docket:</w:t>
            </w:r>
            <w:r w:rsidRPr="00FD2B17">
              <w:rPr>
                <w:rFonts w:eastAsia="Calibri"/>
                <w:lang w:eastAsia="en-US"/>
              </w:rPr>
              <w:t xml:space="preserve"> 37994</w:t>
            </w:r>
          </w:p>
        </w:tc>
      </w:tr>
    </w:tbl>
    <w:tbl>
      <w:tblPr>
        <w:tblStyle w:val="TableGrid4"/>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FD2B17" w:rsidRPr="00E32A61" w:rsidTr="00FD2B17">
        <w:tc>
          <w:tcPr>
            <w:tcW w:w="5000" w:type="pct"/>
          </w:tcPr>
          <w:p w:rsidR="00FD2B17" w:rsidRPr="00FD2B17" w:rsidRDefault="00FD2B17" w:rsidP="00374332">
            <w:pPr>
              <w:rPr>
                <w:rFonts w:eastAsiaTheme="minorHAnsi" w:cstheme="minorBidi"/>
                <w:szCs w:val="24"/>
                <w:lang w:eastAsia="en-US"/>
              </w:rPr>
            </w:pPr>
          </w:p>
          <w:p w:rsidR="00FD2B17" w:rsidRDefault="00FD2B17" w:rsidP="00374332">
            <w:pPr>
              <w:rPr>
                <w:rFonts w:eastAsiaTheme="minorHAnsi" w:cstheme="minorBidi"/>
                <w:b/>
                <w:smallCaps/>
                <w:szCs w:val="24"/>
                <w:lang w:eastAsia="en-US"/>
              </w:rPr>
            </w:pPr>
            <w:r w:rsidRPr="00FD2B17">
              <w:rPr>
                <w:rFonts w:eastAsiaTheme="minorHAnsi" w:cstheme="minorBidi"/>
                <w:b/>
                <w:smallCaps/>
                <w:szCs w:val="24"/>
                <w:lang w:eastAsia="en-US"/>
              </w:rPr>
              <w:t>Between:</w:t>
            </w:r>
          </w:p>
          <w:p w:rsidR="009F15D9" w:rsidRPr="00FD2B17" w:rsidRDefault="009F15D9" w:rsidP="00374332">
            <w:pPr>
              <w:rPr>
                <w:rFonts w:eastAsiaTheme="minorHAnsi" w:cstheme="minorBidi"/>
                <w:b/>
                <w:smallCaps/>
                <w:szCs w:val="24"/>
                <w:lang w:eastAsia="en-US"/>
              </w:rPr>
            </w:pPr>
            <w:bookmarkStart w:id="0" w:name="_GoBack"/>
            <w:bookmarkEnd w:id="0"/>
          </w:p>
          <w:p w:rsidR="00FD2B17" w:rsidRPr="00FD2B17" w:rsidRDefault="00FD2B17" w:rsidP="00374332">
            <w:pPr>
              <w:jc w:val="center"/>
              <w:rPr>
                <w:rFonts w:eastAsiaTheme="minorHAnsi" w:cstheme="minorBidi"/>
                <w:b/>
                <w:szCs w:val="24"/>
                <w:lang w:eastAsia="en-US"/>
              </w:rPr>
            </w:pPr>
            <w:r w:rsidRPr="00FD2B17">
              <w:rPr>
                <w:rFonts w:eastAsiaTheme="minorHAnsi" w:cstheme="minorBidi"/>
                <w:b/>
                <w:szCs w:val="24"/>
                <w:lang w:eastAsia="en-US"/>
              </w:rPr>
              <w:t>Her Majesty The Queen</w:t>
            </w:r>
          </w:p>
          <w:p w:rsidR="00FD2B17" w:rsidRPr="00FD2B17" w:rsidRDefault="00FD2B17" w:rsidP="00374332">
            <w:pPr>
              <w:jc w:val="center"/>
              <w:rPr>
                <w:rFonts w:eastAsiaTheme="minorHAnsi" w:cstheme="minorBidi"/>
                <w:szCs w:val="24"/>
                <w:lang w:eastAsia="en-US"/>
              </w:rPr>
            </w:pPr>
            <w:r w:rsidRPr="00FD2B17">
              <w:rPr>
                <w:rFonts w:eastAsiaTheme="minorHAnsi" w:cstheme="minorBidi"/>
                <w:szCs w:val="24"/>
                <w:lang w:eastAsia="en-US"/>
              </w:rPr>
              <w:t>Appellant</w:t>
            </w:r>
          </w:p>
          <w:p w:rsidR="00FD2B17" w:rsidRPr="00FD2B17" w:rsidRDefault="00FD2B17" w:rsidP="00374332">
            <w:pPr>
              <w:rPr>
                <w:rFonts w:eastAsiaTheme="minorHAnsi" w:cstheme="minorBidi"/>
                <w:szCs w:val="24"/>
                <w:lang w:eastAsia="en-US"/>
              </w:rPr>
            </w:pPr>
          </w:p>
          <w:p w:rsidR="00FD2B17" w:rsidRPr="00FD2B17" w:rsidRDefault="00FD2B17" w:rsidP="00374332">
            <w:pPr>
              <w:jc w:val="center"/>
              <w:rPr>
                <w:rFonts w:eastAsiaTheme="minorHAnsi" w:cstheme="minorBidi"/>
                <w:szCs w:val="24"/>
                <w:lang w:eastAsia="en-US"/>
              </w:rPr>
            </w:pPr>
            <w:r w:rsidRPr="00FD2B17">
              <w:rPr>
                <w:rFonts w:eastAsiaTheme="minorHAnsi" w:cstheme="minorBidi"/>
                <w:szCs w:val="24"/>
                <w:lang w:eastAsia="en-US"/>
              </w:rPr>
              <w:t>and</w:t>
            </w:r>
          </w:p>
          <w:p w:rsidR="00FD2B17" w:rsidRPr="00FD2B17" w:rsidRDefault="00FD2B17" w:rsidP="00374332">
            <w:pPr>
              <w:rPr>
                <w:rFonts w:eastAsiaTheme="minorHAnsi" w:cstheme="minorBidi"/>
                <w:szCs w:val="24"/>
                <w:lang w:eastAsia="en-US"/>
              </w:rPr>
            </w:pPr>
          </w:p>
          <w:p w:rsidR="00FD2B17" w:rsidRPr="00FD2B17" w:rsidRDefault="00FD2B17" w:rsidP="00374332">
            <w:pPr>
              <w:jc w:val="center"/>
              <w:rPr>
                <w:rFonts w:eastAsiaTheme="minorHAnsi" w:cstheme="minorBidi"/>
                <w:b/>
                <w:szCs w:val="24"/>
                <w:lang w:eastAsia="en-US"/>
              </w:rPr>
            </w:pPr>
            <w:r w:rsidRPr="00FD2B17">
              <w:rPr>
                <w:rFonts w:eastAsiaTheme="minorHAnsi" w:cstheme="minorBidi"/>
                <w:b/>
                <w:szCs w:val="24"/>
                <w:lang w:eastAsia="en-US"/>
              </w:rPr>
              <w:t>Rosaire Poulin</w:t>
            </w:r>
          </w:p>
          <w:p w:rsidR="00FD2B17" w:rsidRPr="00FD2B17" w:rsidRDefault="00FD2B17" w:rsidP="00374332">
            <w:pPr>
              <w:jc w:val="center"/>
              <w:rPr>
                <w:rFonts w:eastAsiaTheme="minorHAnsi" w:cstheme="minorBidi"/>
                <w:szCs w:val="24"/>
                <w:lang w:eastAsia="en-US"/>
              </w:rPr>
            </w:pPr>
            <w:r w:rsidRPr="00FD2B17">
              <w:rPr>
                <w:rFonts w:eastAsiaTheme="minorHAnsi" w:cstheme="minorBidi"/>
                <w:szCs w:val="24"/>
                <w:lang w:eastAsia="en-US"/>
              </w:rPr>
              <w:t>Respondent</w:t>
            </w:r>
          </w:p>
          <w:p w:rsidR="00FD2B17" w:rsidRPr="00FD2B17" w:rsidRDefault="00FD2B17" w:rsidP="00374332">
            <w:pPr>
              <w:rPr>
                <w:rFonts w:eastAsiaTheme="minorHAnsi" w:cstheme="minorBidi"/>
                <w:szCs w:val="24"/>
                <w:lang w:eastAsia="en-US"/>
              </w:rPr>
            </w:pPr>
          </w:p>
          <w:p w:rsidR="00FD2B17" w:rsidRPr="00FD2B17" w:rsidRDefault="00FD2B17" w:rsidP="00374332">
            <w:pPr>
              <w:jc w:val="center"/>
              <w:rPr>
                <w:rFonts w:eastAsiaTheme="minorHAnsi" w:cstheme="minorBidi"/>
                <w:szCs w:val="24"/>
                <w:lang w:eastAsia="en-US"/>
              </w:rPr>
            </w:pPr>
            <w:r w:rsidRPr="00FD2B17">
              <w:rPr>
                <w:rFonts w:eastAsiaTheme="minorHAnsi" w:cstheme="minorBidi"/>
                <w:szCs w:val="24"/>
                <w:lang w:eastAsia="en-US"/>
              </w:rPr>
              <w:t>- and -</w:t>
            </w:r>
          </w:p>
          <w:p w:rsidR="00FD2B17" w:rsidRPr="00FD2B17" w:rsidRDefault="00FD2B17" w:rsidP="00374332">
            <w:pPr>
              <w:rPr>
                <w:rFonts w:eastAsiaTheme="minorHAnsi" w:cstheme="minorBidi"/>
                <w:szCs w:val="24"/>
                <w:lang w:eastAsia="en-US"/>
              </w:rPr>
            </w:pPr>
          </w:p>
          <w:p w:rsidR="00FD2B17" w:rsidRPr="00FD2B17" w:rsidRDefault="00FD2B17" w:rsidP="00374332">
            <w:pPr>
              <w:jc w:val="center"/>
              <w:rPr>
                <w:rFonts w:eastAsiaTheme="minorHAnsi" w:cstheme="minorBidi"/>
                <w:b/>
                <w:szCs w:val="24"/>
                <w:lang w:val="fr-CA" w:eastAsia="en-US"/>
              </w:rPr>
            </w:pPr>
            <w:r w:rsidRPr="00FD2B17">
              <w:rPr>
                <w:rFonts w:eastAsiaTheme="minorHAnsi" w:cstheme="minorBidi"/>
                <w:b/>
                <w:szCs w:val="24"/>
                <w:lang w:val="fr-CA" w:eastAsia="en-US"/>
              </w:rPr>
              <w:t xml:space="preserve">Attorney General of Ontario, </w:t>
            </w:r>
          </w:p>
          <w:p w:rsidR="00FD2B17" w:rsidRPr="00FD2B17" w:rsidRDefault="00FD2B17" w:rsidP="00374332">
            <w:pPr>
              <w:jc w:val="center"/>
              <w:rPr>
                <w:rFonts w:eastAsiaTheme="minorHAnsi" w:cstheme="minorBidi"/>
                <w:b/>
                <w:szCs w:val="24"/>
                <w:lang w:val="fr-CA" w:eastAsia="en-US"/>
              </w:rPr>
            </w:pPr>
            <w:r w:rsidRPr="00FD2B17">
              <w:rPr>
                <w:rFonts w:eastAsiaTheme="minorHAnsi" w:cstheme="minorBidi"/>
                <w:b/>
                <w:szCs w:val="24"/>
                <w:lang w:val="fr-CA" w:eastAsia="en-US"/>
              </w:rPr>
              <w:t xml:space="preserve">Association québécoise des avocats et avocates de la défense and </w:t>
            </w:r>
          </w:p>
          <w:p w:rsidR="00FD2B17" w:rsidRPr="00FD2B17" w:rsidRDefault="00FD2B17" w:rsidP="00374332">
            <w:pPr>
              <w:jc w:val="center"/>
              <w:rPr>
                <w:rFonts w:eastAsiaTheme="minorHAnsi" w:cstheme="minorBidi"/>
                <w:b/>
                <w:szCs w:val="24"/>
                <w:lang w:val="en-US" w:eastAsia="en-US"/>
              </w:rPr>
            </w:pPr>
            <w:r w:rsidRPr="00FD2B17">
              <w:rPr>
                <w:rFonts w:eastAsiaTheme="minorHAnsi" w:cstheme="minorBidi"/>
                <w:b/>
                <w:szCs w:val="24"/>
                <w:lang w:val="en-US" w:eastAsia="en-US"/>
              </w:rPr>
              <w:t>Criminal Lawyers’ Association</w:t>
            </w:r>
          </w:p>
          <w:p w:rsidR="00FD2B17" w:rsidRPr="00FD2B17" w:rsidRDefault="00FD2B17" w:rsidP="00374332">
            <w:pPr>
              <w:jc w:val="center"/>
              <w:rPr>
                <w:rFonts w:eastAsiaTheme="minorHAnsi" w:cstheme="minorBidi"/>
                <w:szCs w:val="24"/>
                <w:lang w:eastAsia="en-US"/>
              </w:rPr>
            </w:pPr>
            <w:r w:rsidRPr="00FD2B17">
              <w:rPr>
                <w:rFonts w:eastAsiaTheme="minorHAnsi" w:cstheme="minorBidi"/>
                <w:szCs w:val="24"/>
                <w:lang w:val="en-US" w:eastAsia="en-US"/>
              </w:rPr>
              <w:t>Inter</w:t>
            </w:r>
            <w:r w:rsidRPr="00FD2B17">
              <w:rPr>
                <w:rFonts w:eastAsiaTheme="minorHAnsi" w:cstheme="minorBidi"/>
                <w:szCs w:val="24"/>
                <w:lang w:eastAsia="en-US"/>
              </w:rPr>
              <w:t>veners</w:t>
            </w:r>
          </w:p>
          <w:p w:rsidR="00FD2B17" w:rsidRPr="00FD2B17" w:rsidRDefault="00FD2B17" w:rsidP="00374332">
            <w:pPr>
              <w:rPr>
                <w:rFonts w:eastAsiaTheme="minorHAnsi" w:cstheme="minorBidi"/>
                <w:szCs w:val="24"/>
                <w:lang w:eastAsia="en-US"/>
              </w:rPr>
            </w:pPr>
          </w:p>
          <w:p w:rsidR="00FD2B17" w:rsidRPr="00FD2B17" w:rsidRDefault="00FD2B17" w:rsidP="00374332">
            <w:pPr>
              <w:rPr>
                <w:rFonts w:eastAsiaTheme="minorHAnsi" w:cstheme="minorBidi"/>
                <w:szCs w:val="24"/>
                <w:lang w:eastAsia="en-US"/>
              </w:rPr>
            </w:pPr>
          </w:p>
          <w:p w:rsidR="00FD2B17" w:rsidRPr="00FD2B17" w:rsidRDefault="00FD2B17" w:rsidP="00374332">
            <w:pPr>
              <w:jc w:val="center"/>
              <w:rPr>
                <w:rFonts w:eastAsiaTheme="minorHAnsi" w:cstheme="minorBidi"/>
                <w:szCs w:val="24"/>
                <w:lang w:eastAsia="en-US"/>
              </w:rPr>
            </w:pPr>
            <w:r w:rsidRPr="00FD2B17">
              <w:rPr>
                <w:rFonts w:eastAsiaTheme="minorHAnsi" w:cstheme="minorBidi"/>
                <w:b/>
                <w:smallCaps/>
                <w:szCs w:val="24"/>
                <w:lang w:eastAsia="en-US"/>
              </w:rPr>
              <w:t xml:space="preserve">Official English Translation: </w:t>
            </w:r>
            <w:r w:rsidRPr="00FD2B17">
              <w:rPr>
                <w:rFonts w:eastAsiaTheme="minorHAnsi" w:cstheme="minorBidi"/>
                <w:szCs w:val="24"/>
                <w:lang w:eastAsia="en-US"/>
              </w:rPr>
              <w:t>Reasons of Karakatsanis J.</w:t>
            </w:r>
          </w:p>
          <w:p w:rsidR="00FD2B17" w:rsidRPr="00FD2B17" w:rsidRDefault="00FD2B17" w:rsidP="00374332">
            <w:pPr>
              <w:rPr>
                <w:rFonts w:eastAsiaTheme="minorHAnsi" w:cstheme="minorBidi"/>
                <w:szCs w:val="24"/>
                <w:lang w:eastAsia="en-US"/>
              </w:rPr>
            </w:pPr>
          </w:p>
          <w:p w:rsidR="00FD2B17" w:rsidRPr="00FD2B17" w:rsidRDefault="00FD2B17" w:rsidP="00374332">
            <w:pPr>
              <w:rPr>
                <w:rFonts w:eastAsiaTheme="minorHAnsi" w:cstheme="minorBidi"/>
                <w:szCs w:val="24"/>
                <w:lang w:eastAsia="en-US"/>
              </w:rPr>
            </w:pPr>
            <w:r w:rsidRPr="00FD2B17">
              <w:rPr>
                <w:rFonts w:eastAsiaTheme="minorHAnsi" w:cstheme="minorBidi"/>
                <w:b/>
                <w:smallCaps/>
                <w:szCs w:val="24"/>
                <w:lang w:eastAsia="en-US"/>
              </w:rPr>
              <w:t>Coram:</w:t>
            </w:r>
            <w:r w:rsidRPr="00FD2B17">
              <w:rPr>
                <w:rFonts w:eastAsiaTheme="minorHAnsi" w:cstheme="minorBidi"/>
                <w:szCs w:val="24"/>
                <w:lang w:eastAsia="en-US"/>
              </w:rPr>
              <w:t xml:space="preserve"> Wagner C.J. and Abella, Moldaver, Karakatsanis, Côté, Brown and Martin JJ.</w:t>
            </w:r>
          </w:p>
          <w:p w:rsidR="00FD2B17" w:rsidRPr="00C14D26" w:rsidRDefault="00FD2B17" w:rsidP="00374332">
            <w:pPr>
              <w:jc w:val="center"/>
              <w:rPr>
                <w:b/>
                <w:smallCaps/>
              </w:rPr>
            </w:pPr>
          </w:p>
        </w:tc>
      </w:tr>
    </w:tbl>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742"/>
      </w:tblGrid>
      <w:tr w:rsidR="00FD2B17" w:rsidRPr="00FD2B17" w:rsidTr="00FD2B17">
        <w:trPr>
          <w:cantSplit/>
          <w:trHeight w:val="691"/>
        </w:trPr>
        <w:tc>
          <w:tcPr>
            <w:tcW w:w="3618" w:type="dxa"/>
          </w:tcPr>
          <w:p w:rsidR="00FD2B17" w:rsidRPr="00FD2B17" w:rsidRDefault="00FD2B17" w:rsidP="00FD2B17">
            <w:pPr>
              <w:rPr>
                <w:b/>
                <w:smallCaps/>
              </w:rPr>
            </w:pPr>
            <w:r w:rsidRPr="00FD2B17">
              <w:rPr>
                <w:b/>
                <w:smallCaps/>
              </w:rPr>
              <w:t>Reasons for Judgment:</w:t>
            </w:r>
          </w:p>
          <w:p w:rsidR="00FD2B17" w:rsidRPr="00FD2B17" w:rsidRDefault="00FD2B17" w:rsidP="00FD2B17">
            <w:r w:rsidRPr="00FD2B17">
              <w:rPr>
                <w:smallCaps/>
              </w:rPr>
              <w:t>(</w:t>
            </w:r>
            <w:r w:rsidRPr="00FD2B17">
              <w:t>paras. 1 to 121)</w:t>
            </w:r>
          </w:p>
        </w:tc>
        <w:tc>
          <w:tcPr>
            <w:tcW w:w="5742" w:type="dxa"/>
          </w:tcPr>
          <w:p w:rsidR="00FD2B17" w:rsidRPr="00FD2B17" w:rsidRDefault="00FD2B17" w:rsidP="00FD2B17">
            <w:r w:rsidRPr="00FD2B17">
              <w:t>Martin J. (Wagner C.J. and Moldaver and Côté JJ. concurring)</w:t>
            </w:r>
          </w:p>
        </w:tc>
      </w:tr>
      <w:tr w:rsidR="00FD2B17" w:rsidRPr="00FD2B17" w:rsidTr="00FD2B17">
        <w:trPr>
          <w:cantSplit/>
          <w:trHeight w:val="624"/>
        </w:trPr>
        <w:tc>
          <w:tcPr>
            <w:tcW w:w="3618" w:type="dxa"/>
          </w:tcPr>
          <w:p w:rsidR="00FD2B17" w:rsidRPr="00FD2B17" w:rsidRDefault="00FD2B17" w:rsidP="00FD2B17">
            <w:pPr>
              <w:rPr>
                <w:b/>
                <w:smallCaps/>
              </w:rPr>
            </w:pPr>
            <w:r w:rsidRPr="00FD2B17">
              <w:rPr>
                <w:b/>
                <w:smallCaps/>
              </w:rPr>
              <w:t>Dissenting Reasons:</w:t>
            </w:r>
          </w:p>
          <w:p w:rsidR="00FD2B17" w:rsidRPr="00FD2B17" w:rsidRDefault="00FD2B17" w:rsidP="00FD2B17">
            <w:pPr>
              <w:rPr>
                <w:b/>
                <w:smallCaps/>
              </w:rPr>
            </w:pPr>
            <w:r w:rsidRPr="00FD2B17">
              <w:t>(paras. 122 to 156)</w:t>
            </w:r>
          </w:p>
        </w:tc>
        <w:tc>
          <w:tcPr>
            <w:tcW w:w="5742" w:type="dxa"/>
          </w:tcPr>
          <w:p w:rsidR="00FD2B17" w:rsidRPr="00FD2B17" w:rsidRDefault="00FD2B17" w:rsidP="00FD2B17">
            <w:r w:rsidRPr="00FD2B17">
              <w:t>Karakatsanis J. (Abella and Brown JJ. concurring)</w:t>
            </w:r>
          </w:p>
        </w:tc>
      </w:tr>
    </w:tbl>
    <w:p w:rsidR="00FD2B17" w:rsidRPr="00FD2B17" w:rsidRDefault="00FD2B17" w:rsidP="00FD2B17">
      <w:pPr>
        <w:rPr>
          <w:rFonts w:eastAsiaTheme="minorHAnsi" w:cstheme="minorBidi"/>
          <w:szCs w:val="24"/>
          <w:lang w:eastAsia="en-US"/>
        </w:rPr>
      </w:pPr>
    </w:p>
    <w:p w:rsidR="00FD2B17" w:rsidRPr="00FD2B17" w:rsidRDefault="00FD2B17" w:rsidP="00FD2B17">
      <w:pPr>
        <w:rPr>
          <w:rFonts w:eastAsiaTheme="minorHAnsi" w:cstheme="minorBidi"/>
          <w:szCs w:val="24"/>
          <w:lang w:eastAsia="en-US"/>
        </w:rPr>
      </w:pPr>
    </w:p>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870"/>
        <w:gridCol w:w="2700"/>
      </w:tblGrid>
      <w:tr w:rsidR="00FD2B17" w:rsidTr="00FD2B17">
        <w:tc>
          <w:tcPr>
            <w:tcW w:w="1490" w:type="pct"/>
            <w:tcMar>
              <w:top w:w="284" w:type="dxa"/>
            </w:tcMar>
          </w:tcPr>
          <w:p w:rsidR="00FD2B17" w:rsidRDefault="00FD2B17" w:rsidP="00374332">
            <w:pPr>
              <w:rPr>
                <w:rFonts w:eastAsia="Calibri"/>
                <w:lang w:eastAsia="en-US"/>
              </w:rPr>
            </w:pPr>
          </w:p>
        </w:tc>
        <w:tc>
          <w:tcPr>
            <w:tcW w:w="2067" w:type="pct"/>
            <w:tcBorders>
              <w:bottom w:val="single" w:sz="4" w:space="0" w:color="auto"/>
            </w:tcBorders>
            <w:tcMar>
              <w:top w:w="284" w:type="dxa"/>
            </w:tcMar>
          </w:tcPr>
          <w:p w:rsidR="00FD2B17" w:rsidRDefault="00FD2B17" w:rsidP="00374332">
            <w:pPr>
              <w:rPr>
                <w:rFonts w:eastAsia="Calibri"/>
                <w:lang w:eastAsia="en-US"/>
              </w:rPr>
            </w:pPr>
          </w:p>
        </w:tc>
        <w:tc>
          <w:tcPr>
            <w:tcW w:w="1442" w:type="pct"/>
            <w:tcMar>
              <w:top w:w="284" w:type="dxa"/>
            </w:tcMar>
          </w:tcPr>
          <w:p w:rsidR="00FD2B17" w:rsidRDefault="00FD2B17" w:rsidP="00374332">
            <w:pPr>
              <w:rPr>
                <w:rFonts w:eastAsia="Calibri"/>
                <w:lang w:eastAsia="en-US"/>
              </w:rPr>
            </w:pPr>
          </w:p>
        </w:tc>
      </w:tr>
    </w:tbl>
    <w:p w:rsidR="00FD2B17" w:rsidRPr="00FD2B17" w:rsidRDefault="00FD2B17" w:rsidP="00CC4C40">
      <w:pPr>
        <w:spacing w:after="720"/>
        <w:jc w:val="both"/>
        <w:rPr>
          <w:rStyle w:val="SCCAppellantForRunningHeadChar"/>
          <w:smallCaps w:val="0"/>
        </w:rPr>
      </w:pPr>
    </w:p>
    <w:p w:rsidR="008322BD" w:rsidRPr="00FD2B17" w:rsidRDefault="00FD2B17" w:rsidP="00CC4C40">
      <w:pPr>
        <w:spacing w:after="720"/>
        <w:jc w:val="both"/>
        <w:rPr>
          <w:lang w:val="fr-CA"/>
        </w:rPr>
      </w:pPr>
      <w:r w:rsidRPr="00FD2B17">
        <w:rPr>
          <w:rStyle w:val="SCCAppellantForRunningHeadChar"/>
          <w:smallCaps w:val="0"/>
          <w:lang w:val="fr-CA"/>
        </w:rPr>
        <w:lastRenderedPageBreak/>
        <w:t>R.</w:t>
      </w:r>
      <w:r w:rsidR="00480C90" w:rsidRPr="00FD2B17">
        <w:rPr>
          <w:lang w:val="fr-CA"/>
        </w:rPr>
        <w:t xml:space="preserve"> </w:t>
      </w:r>
      <w:r w:rsidR="009B57B3" w:rsidRPr="00FD2B17">
        <w:rPr>
          <w:i/>
          <w:lang w:val="fr-CA"/>
        </w:rPr>
        <w:t>v.</w:t>
      </w:r>
      <w:r w:rsidR="00B000D8" w:rsidRPr="00FD2B17">
        <w:rPr>
          <w:lang w:val="fr-CA"/>
        </w:rPr>
        <w:t xml:space="preserve"> </w:t>
      </w:r>
      <w:r w:rsidRPr="00FD2B17">
        <w:rPr>
          <w:rStyle w:val="SCCRespondentForRunningHeadChar"/>
          <w:smallCaps w:val="0"/>
          <w:lang w:val="fr-CA"/>
        </w:rPr>
        <w:t>P</w:t>
      </w:r>
      <w:r w:rsidR="008F78E9" w:rsidRPr="00FD2B17">
        <w:rPr>
          <w:rStyle w:val="SCCRespondentForRunningHeadChar"/>
          <w:smallCaps w:val="0"/>
          <w:lang w:val="fr-CA"/>
        </w:rPr>
        <w:t>oulin</w:t>
      </w:r>
      <w:r w:rsidRPr="00FD2B17">
        <w:rPr>
          <w:rStyle w:val="SCCRespondentForRunningHeadChar"/>
          <w:smallCaps w:val="0"/>
          <w:lang w:val="fr-CA"/>
        </w:rPr>
        <w:t xml:space="preserve">, </w:t>
      </w:r>
      <w:r w:rsidRPr="00FD2B17">
        <w:rPr>
          <w:lang w:val="fr-CA"/>
        </w:rPr>
        <w:t>2019 SCC 47</w:t>
      </w:r>
      <w:r w:rsidRPr="00FD2B17">
        <w:rPr>
          <w:lang w:val="fr-CA"/>
        </w:rPr>
        <w:t>, [2019] 3 S.C.R</w:t>
      </w:r>
      <w:r>
        <w:rPr>
          <w:lang w:val="fr-CA"/>
        </w:rPr>
        <w:t>. 566</w:t>
      </w:r>
    </w:p>
    <w:p w:rsidR="002636C6" w:rsidRPr="0069781B" w:rsidRDefault="00EC5EC1" w:rsidP="00CC4C40">
      <w:pPr>
        <w:pStyle w:val="SCCLsocLastPartyInRole"/>
      </w:pPr>
      <w:r w:rsidRPr="0069781B">
        <w:t>Her Majesty T</w:t>
      </w:r>
      <w:r w:rsidR="009F0CF4" w:rsidRPr="0069781B">
        <w:t>he Queen</w:t>
      </w:r>
      <w:r w:rsidR="009F0CF4" w:rsidRPr="0069781B">
        <w:rPr>
          <w:rStyle w:val="SCCLsocPartyRole"/>
        </w:rPr>
        <w:tab/>
        <w:t>Appellant</w:t>
      </w:r>
    </w:p>
    <w:p w:rsidR="002636C6" w:rsidRPr="0069781B" w:rsidRDefault="009F0CF4" w:rsidP="00CC4C40">
      <w:pPr>
        <w:pStyle w:val="SCCLsocVersus"/>
      </w:pPr>
      <w:r w:rsidRPr="0069781B">
        <w:t>v.</w:t>
      </w:r>
    </w:p>
    <w:p w:rsidR="002636C6" w:rsidRPr="0069781B" w:rsidRDefault="009F0CF4" w:rsidP="00CC4C40">
      <w:pPr>
        <w:pStyle w:val="SCCLsocLastPartyInRole"/>
      </w:pPr>
      <w:r w:rsidRPr="0069781B">
        <w:t>Rosaire Poulin</w:t>
      </w:r>
      <w:r w:rsidRPr="0069781B">
        <w:rPr>
          <w:rStyle w:val="SCCLsocPartyRole"/>
        </w:rPr>
        <w:tab/>
        <w:t>Respondent</w:t>
      </w:r>
    </w:p>
    <w:p w:rsidR="002636C6" w:rsidRPr="0069781B" w:rsidRDefault="009F0CF4" w:rsidP="00CC4C40">
      <w:pPr>
        <w:pStyle w:val="SCCLsocOtherPartySeparator"/>
      </w:pPr>
      <w:r w:rsidRPr="0069781B">
        <w:t>and</w:t>
      </w:r>
    </w:p>
    <w:p w:rsidR="002636C6" w:rsidRPr="0069781B" w:rsidRDefault="009F0CF4">
      <w:pPr>
        <w:pStyle w:val="SCCLsocParty"/>
      </w:pPr>
      <w:r w:rsidRPr="0069781B">
        <w:t>Attorney General of Ontario,</w:t>
      </w:r>
    </w:p>
    <w:p w:rsidR="002636C6" w:rsidRPr="0069781B" w:rsidRDefault="009F0CF4">
      <w:pPr>
        <w:pStyle w:val="SCCLsocParty"/>
        <w:rPr>
          <w:lang w:val="fr-CA"/>
        </w:rPr>
      </w:pPr>
      <w:r w:rsidRPr="0069781B">
        <w:rPr>
          <w:lang w:val="fr-CA"/>
        </w:rPr>
        <w:t>Association québécoise des av</w:t>
      </w:r>
      <w:r w:rsidR="00C80DC2" w:rsidRPr="0069781B">
        <w:rPr>
          <w:lang w:val="fr-CA"/>
        </w:rPr>
        <w:t>ocats et avocates de la défense and</w:t>
      </w:r>
    </w:p>
    <w:p w:rsidR="002636C6" w:rsidRPr="0069781B" w:rsidRDefault="009F0CF4" w:rsidP="00CC4C40">
      <w:pPr>
        <w:pStyle w:val="SCCLsocLastPartyInRole"/>
      </w:pPr>
      <w:r w:rsidRPr="0069781B">
        <w:t>Criminal Lawyers</w:t>
      </w:r>
      <w:r w:rsidR="00EC5EC1" w:rsidRPr="0069781B">
        <w:t>’</w:t>
      </w:r>
      <w:r w:rsidRPr="0069781B">
        <w:t xml:space="preserve"> Association</w:t>
      </w:r>
      <w:r w:rsidRPr="0069781B">
        <w:rPr>
          <w:rStyle w:val="SCCLsocPartyRole"/>
        </w:rPr>
        <w:tab/>
        <w:t>Interveners</w:t>
      </w:r>
    </w:p>
    <w:p w:rsidR="00426659" w:rsidRPr="0069781B" w:rsidRDefault="00426659" w:rsidP="00CC4C40">
      <w:pPr>
        <w:spacing w:after="720"/>
        <w:jc w:val="both"/>
        <w:rPr>
          <w:b/>
        </w:rPr>
      </w:pPr>
      <w:r w:rsidRPr="0069781B">
        <w:rPr>
          <w:b/>
        </w:rPr>
        <w:t xml:space="preserve">Indexed as: </w:t>
      </w:r>
      <w:r w:rsidRPr="0069781B">
        <w:rPr>
          <w:rStyle w:val="SCCAppellantForIndexChar"/>
        </w:rPr>
        <w:t>R.</w:t>
      </w:r>
      <w:r w:rsidRPr="0069781B">
        <w:rPr>
          <w:b/>
        </w:rPr>
        <w:t xml:space="preserve"> </w:t>
      </w:r>
      <w:r w:rsidRPr="0069781B">
        <w:rPr>
          <w:b/>
          <w:i/>
        </w:rPr>
        <w:t>v.</w:t>
      </w:r>
      <w:r w:rsidRPr="0069781B">
        <w:rPr>
          <w:b/>
        </w:rPr>
        <w:t xml:space="preserve"> </w:t>
      </w:r>
      <w:r w:rsidRPr="0069781B">
        <w:rPr>
          <w:rStyle w:val="SCCRespondentForIndexChar"/>
        </w:rPr>
        <w:t>Poulin</w:t>
      </w:r>
    </w:p>
    <w:p w:rsidR="00426659" w:rsidRPr="0069781B" w:rsidRDefault="00AE4535" w:rsidP="00CC4C40">
      <w:pPr>
        <w:pStyle w:val="SCCSystemYear"/>
        <w:spacing w:after="720"/>
        <w:jc w:val="both"/>
      </w:pPr>
      <w:r w:rsidRPr="0069781B">
        <w:t>2019</w:t>
      </w:r>
      <w:r w:rsidR="003D0399" w:rsidRPr="0069781B">
        <w:t xml:space="preserve"> </w:t>
      </w:r>
      <w:r w:rsidR="004A3DC6">
        <w:t xml:space="preserve">SCC </w:t>
      </w:r>
      <w:r w:rsidR="00C350C7">
        <w:t>47</w:t>
      </w:r>
    </w:p>
    <w:p w:rsidR="008322BD" w:rsidRPr="0069781B" w:rsidRDefault="00EC5EC1" w:rsidP="00CC4C40">
      <w:pPr>
        <w:spacing w:after="720"/>
        <w:jc w:val="both"/>
      </w:pPr>
      <w:r w:rsidRPr="0069781B">
        <w:t>File No.:</w:t>
      </w:r>
      <w:r w:rsidR="009B57B3" w:rsidRPr="0069781B">
        <w:t xml:space="preserve"> 37994.</w:t>
      </w:r>
    </w:p>
    <w:p w:rsidR="008322BD" w:rsidRPr="0069781B" w:rsidRDefault="00EC5EC1" w:rsidP="00CC4C40">
      <w:pPr>
        <w:spacing w:after="720"/>
        <w:jc w:val="both"/>
      </w:pPr>
      <w:r w:rsidRPr="0069781B">
        <w:t>2019:</w:t>
      </w:r>
      <w:r w:rsidR="00780D64">
        <w:t xml:space="preserve"> </w:t>
      </w:r>
      <w:r w:rsidR="00CC4C40" w:rsidRPr="0069781B">
        <w:t>March </w:t>
      </w:r>
      <w:r w:rsidR="00AE4535" w:rsidRPr="0069781B">
        <w:t>25</w:t>
      </w:r>
      <w:r w:rsidR="009B57B3" w:rsidRPr="0069781B">
        <w:t xml:space="preserve">; </w:t>
      </w:r>
      <w:r w:rsidR="0012560F" w:rsidRPr="0069781B">
        <w:t>2019: October </w:t>
      </w:r>
      <w:r w:rsidR="00C25C71" w:rsidRPr="0069781B">
        <w:t>11</w:t>
      </w:r>
      <w:r w:rsidR="009B57B3" w:rsidRPr="0069781B">
        <w:t>.</w:t>
      </w:r>
    </w:p>
    <w:p w:rsidR="008322BD" w:rsidRPr="0069781B" w:rsidRDefault="00EC5EC1" w:rsidP="00CC4C40">
      <w:pPr>
        <w:spacing w:after="720"/>
        <w:jc w:val="both"/>
      </w:pPr>
      <w:r w:rsidRPr="0069781B">
        <w:t xml:space="preserve">Present: </w:t>
      </w:r>
      <w:r w:rsidR="009B57B3" w:rsidRPr="0069781B">
        <w:t>Wagner C.J. and Abella, Moldaver, Karakatsanis, Côté, Brown and Martin JJ.</w:t>
      </w:r>
    </w:p>
    <w:p w:rsidR="008322BD" w:rsidRPr="0069781B" w:rsidRDefault="00656313" w:rsidP="00CC4C40">
      <w:pPr>
        <w:pStyle w:val="SCCLowerCourtNameLowercase"/>
        <w:spacing w:after="720" w:line="240" w:lineRule="auto"/>
      </w:pPr>
      <w:r w:rsidRPr="0069781B">
        <w:t>o</w:t>
      </w:r>
      <w:r w:rsidR="00170592" w:rsidRPr="0069781B">
        <w:t>n</w:t>
      </w:r>
      <w:r w:rsidR="00224FC0" w:rsidRPr="0069781B">
        <w:t xml:space="preserve"> </w:t>
      </w:r>
      <w:r w:rsidRPr="0069781B">
        <w:t>a</w:t>
      </w:r>
      <w:r w:rsidR="00170592" w:rsidRPr="0069781B">
        <w:t>ppeal</w:t>
      </w:r>
      <w:r w:rsidR="00224FC0" w:rsidRPr="0069781B">
        <w:t xml:space="preserve"> </w:t>
      </w:r>
      <w:r w:rsidR="00170592" w:rsidRPr="0069781B">
        <w:t>from</w:t>
      </w:r>
      <w:r w:rsidR="009567AA" w:rsidRPr="0069781B">
        <w:t xml:space="preserve"> the</w:t>
      </w:r>
      <w:r w:rsidR="00224FC0" w:rsidRPr="0069781B">
        <w:t xml:space="preserve"> </w:t>
      </w:r>
      <w:r w:rsidR="009B57B3" w:rsidRPr="0069781B">
        <w:t>cour</w:t>
      </w:r>
      <w:r w:rsidR="00EC5EC1" w:rsidRPr="0069781B">
        <w:t xml:space="preserve">t of appeal </w:t>
      </w:r>
      <w:r w:rsidR="00ED518F" w:rsidRPr="0069781B">
        <w:t>for</w:t>
      </w:r>
      <w:r w:rsidR="00EC5EC1" w:rsidRPr="0069781B">
        <w:t xml:space="preserve"> quebec</w:t>
      </w:r>
    </w:p>
    <w:p w:rsidR="00107E1A" w:rsidRPr="0069781B" w:rsidRDefault="009B57B3" w:rsidP="00795CA3">
      <w:pPr>
        <w:pStyle w:val="SCCNormalDoubleSpacing"/>
        <w:spacing w:after="480"/>
        <w:rPr>
          <w:i/>
        </w:rPr>
      </w:pPr>
      <w:r w:rsidRPr="0069781B">
        <w:lastRenderedPageBreak/>
        <w:tab/>
      </w:r>
      <w:r w:rsidR="00795CA3" w:rsidRPr="0069781B">
        <w:rPr>
          <w:i/>
        </w:rPr>
        <w:t>Constitutional law — Charter of Rights —</w:t>
      </w:r>
      <w:r w:rsidR="00107E1A" w:rsidRPr="0069781B">
        <w:rPr>
          <w:i/>
        </w:rPr>
        <w:t xml:space="preserve"> Benefit of lesser punishment</w:t>
      </w:r>
      <w:r w:rsidR="00795CA3" w:rsidRPr="0069781B">
        <w:rPr>
          <w:i/>
        </w:rPr>
        <w:t xml:space="preserve"> —</w:t>
      </w:r>
      <w:r w:rsidR="00107E1A" w:rsidRPr="0069781B">
        <w:rPr>
          <w:i/>
        </w:rPr>
        <w:t xml:space="preserve"> Offender convicted</w:t>
      </w:r>
      <w:r w:rsidR="00795CA3" w:rsidRPr="0069781B">
        <w:rPr>
          <w:i/>
        </w:rPr>
        <w:t xml:space="preserve"> of historical sexual offences —</w:t>
      </w:r>
      <w:r w:rsidR="00107E1A" w:rsidRPr="0069781B">
        <w:rPr>
          <w:i/>
        </w:rPr>
        <w:t xml:space="preserve"> Offender asserting constitutional right to receive sentence not available in Criminal Code at time of commission of offences or time of sentencing, but only for discrete period between those two times</w:t>
      </w:r>
      <w:r w:rsidR="00795CA3" w:rsidRPr="0069781B">
        <w:rPr>
          <w:i/>
        </w:rPr>
        <w:t xml:space="preserve"> —</w:t>
      </w:r>
      <w:r w:rsidR="00107E1A" w:rsidRPr="0069781B">
        <w:rPr>
          <w:i/>
        </w:rPr>
        <w:t xml:space="preserve"> Whether offender has right to benefit only of punishment applicable at time of offence and time of sentencing or right to benefit of any punishment applicable during the interval between those two times </w:t>
      </w:r>
      <w:r w:rsidR="00795CA3" w:rsidRPr="0069781B">
        <w:rPr>
          <w:i/>
        </w:rPr>
        <w:t>—</w:t>
      </w:r>
      <w:r w:rsidR="00107E1A" w:rsidRPr="0069781B">
        <w:rPr>
          <w:i/>
        </w:rPr>
        <w:t xml:space="preserve"> Canadian Charter of</w:t>
      </w:r>
      <w:r w:rsidR="00795CA3" w:rsidRPr="0069781B">
        <w:rPr>
          <w:i/>
        </w:rPr>
        <w:t xml:space="preserve"> Rights and Freedoms, s. </w:t>
      </w:r>
      <w:r w:rsidR="00107E1A" w:rsidRPr="0069781B">
        <w:rPr>
          <w:i/>
        </w:rPr>
        <w:t>11(i).</w:t>
      </w:r>
    </w:p>
    <w:p w:rsidR="00107E1A" w:rsidRPr="0069781B" w:rsidRDefault="00795CA3" w:rsidP="00795CA3">
      <w:pPr>
        <w:pStyle w:val="SCCNormalDoubleSpacing"/>
        <w:spacing w:after="480"/>
        <w:rPr>
          <w:i/>
        </w:rPr>
      </w:pPr>
      <w:r w:rsidRPr="0069781B">
        <w:rPr>
          <w:i/>
        </w:rPr>
        <w:tab/>
        <w:t>Criminal law — Appeals — Mootness — Death of respondent —</w:t>
      </w:r>
      <w:r w:rsidR="00107E1A" w:rsidRPr="0069781B">
        <w:rPr>
          <w:i/>
        </w:rPr>
        <w:t xml:space="preserve"> Respondent passing away after leave to appeal granted but prior to hearing of appeal </w:t>
      </w:r>
      <w:r w:rsidRPr="0069781B">
        <w:rPr>
          <w:i/>
        </w:rPr>
        <w:t>—</w:t>
      </w:r>
      <w:r w:rsidR="00107E1A" w:rsidRPr="0069781B">
        <w:rPr>
          <w:i/>
        </w:rPr>
        <w:t xml:space="preserve"> Whether Court should exercise discretion to hear appeal.</w:t>
      </w:r>
    </w:p>
    <w:p w:rsidR="00107E1A" w:rsidRPr="0069781B" w:rsidRDefault="009B57B3" w:rsidP="00795CA3">
      <w:pPr>
        <w:pStyle w:val="SCCNormalDoubleSpacing"/>
        <w:spacing w:after="480"/>
      </w:pPr>
      <w:r w:rsidRPr="0069781B">
        <w:tab/>
      </w:r>
      <w:r w:rsidR="00107E1A" w:rsidRPr="0069781B">
        <w:t>P was found guilty in 2016 of historical sexual offences committed between 1979 and 1987 when the complainant was 7 to 15 years old and P was 44 to 51 years old. The sentencing judge sentenced P to a conditional sentence of two years less a day for two counts of gross indecency. A conditional sentence could</w:t>
      </w:r>
      <w:r w:rsidR="00F10244" w:rsidRPr="0069781B">
        <w:t xml:space="preserve"> not be imposed as a punishment</w:t>
      </w:r>
      <w:r w:rsidR="00107E1A" w:rsidRPr="0069781B">
        <w:t xml:space="preserve"> when P committ</w:t>
      </w:r>
      <w:r w:rsidR="00795CA3" w:rsidRPr="0069781B">
        <w:t>ed his acts of gross indecency —</w:t>
      </w:r>
      <w:r w:rsidR="00107E1A" w:rsidRPr="0069781B">
        <w:t xml:space="preserve"> it only b</w:t>
      </w:r>
      <w:r w:rsidR="00F10244" w:rsidRPr="0069781B">
        <w:t>ecame available</w:t>
      </w:r>
      <w:r w:rsidR="00107E1A" w:rsidRPr="0069781B">
        <w:t xml:space="preserve"> as a form of sentence in 1996. </w:t>
      </w:r>
      <w:r w:rsidR="00F10244" w:rsidRPr="0069781B">
        <w:t>Furthermore, the parties agree</w:t>
      </w:r>
      <w:r w:rsidR="00107E1A" w:rsidRPr="0069781B">
        <w:t xml:space="preserve">d that it was no longer </w:t>
      </w:r>
      <w:r w:rsidR="009D3192" w:rsidRPr="0069781B">
        <w:t xml:space="preserve">applicable to the offence of gross indecency, according to the provisions in force, </w:t>
      </w:r>
      <w:r w:rsidR="00107E1A" w:rsidRPr="0069781B">
        <w:t xml:space="preserve">by the time P was charged, convicted and sentenced. In imposing a conditional sentence on P, the judge </w:t>
      </w:r>
      <w:r w:rsidR="00D55BAF" w:rsidRPr="0069781B">
        <w:t>considered</w:t>
      </w:r>
      <w:r w:rsidR="00795CA3" w:rsidRPr="0069781B">
        <w:t xml:space="preserve"> that s. </w:t>
      </w:r>
      <w:r w:rsidR="00107E1A" w:rsidRPr="0069781B">
        <w:t>11(</w:t>
      </w:r>
      <w:r w:rsidR="00107E1A" w:rsidRPr="0069781B">
        <w:rPr>
          <w:i/>
        </w:rPr>
        <w:t>i</w:t>
      </w:r>
      <w:r w:rsidR="00107E1A" w:rsidRPr="0069781B">
        <w:t xml:space="preserve">) of the </w:t>
      </w:r>
      <w:r w:rsidR="00107E1A" w:rsidRPr="0069781B">
        <w:rPr>
          <w:i/>
        </w:rPr>
        <w:t>Charter</w:t>
      </w:r>
      <w:r w:rsidR="00107E1A" w:rsidRPr="0069781B">
        <w:t xml:space="preserve"> entitled P to the benefit of a lesser sentence that was available in the interval between the commission of the offences and P’s sentencing. The Court of Appeal dismissed the Cro</w:t>
      </w:r>
      <w:r w:rsidR="00F10244" w:rsidRPr="0069781B">
        <w:t>wn’s appeal</w:t>
      </w:r>
      <w:r w:rsidR="00795CA3" w:rsidRPr="0069781B">
        <w:t xml:space="preserve">, </w:t>
      </w:r>
      <w:r w:rsidR="00795CA3" w:rsidRPr="0069781B">
        <w:lastRenderedPageBreak/>
        <w:t>holding that s. </w:t>
      </w:r>
      <w:r w:rsidR="00107E1A" w:rsidRPr="0069781B">
        <w:t>11(</w:t>
      </w:r>
      <w:r w:rsidR="00107E1A" w:rsidRPr="0069781B">
        <w:rPr>
          <w:i/>
        </w:rPr>
        <w:t>i</w:t>
      </w:r>
      <w:r w:rsidR="00107E1A" w:rsidRPr="0069781B">
        <w:t xml:space="preserve">) gave P the right to a conditional sentence. </w:t>
      </w:r>
      <w:r w:rsidR="00F10244" w:rsidRPr="0069781B">
        <w:t xml:space="preserve">Shortly before the hearing of </w:t>
      </w:r>
      <w:r w:rsidR="00107E1A" w:rsidRPr="0069781B">
        <w:t>the Crown’s appeal before the Court, P passed away. The appeal proceeded nonetheless, accompanied by a Crown motion for the Court to adjudicate the appeal even though it had become factually moot.</w:t>
      </w:r>
    </w:p>
    <w:p w:rsidR="00107E1A" w:rsidRPr="0069781B" w:rsidRDefault="00107E1A" w:rsidP="00795CA3">
      <w:pPr>
        <w:pStyle w:val="SCCNormalDoubleSpacing"/>
        <w:spacing w:after="480"/>
      </w:pPr>
      <w:r w:rsidRPr="0069781B">
        <w:tab/>
      </w:r>
      <w:r w:rsidRPr="0069781B">
        <w:rPr>
          <w:rStyle w:val="QuoteChar"/>
          <w:color w:val="auto"/>
          <w:lang w:val="en-CA"/>
        </w:rPr>
        <w:t xml:space="preserve">Held </w:t>
      </w:r>
      <w:r w:rsidR="008272BD">
        <w:rPr>
          <w:rStyle w:val="QuoteChar"/>
          <w:i w:val="0"/>
          <w:color w:val="auto"/>
          <w:lang w:val="en-CA"/>
        </w:rPr>
        <w:t>(Abella, Karakatsanis and Brown </w:t>
      </w:r>
      <w:r w:rsidRPr="0069781B">
        <w:rPr>
          <w:rStyle w:val="QuoteChar"/>
          <w:i w:val="0"/>
          <w:color w:val="auto"/>
          <w:lang w:val="en-CA"/>
        </w:rPr>
        <w:t>JJ. dissenting):</w:t>
      </w:r>
      <w:r w:rsidR="00795CA3" w:rsidRPr="0069781B">
        <w:t xml:space="preserve"> </w:t>
      </w:r>
      <w:r w:rsidRPr="0069781B">
        <w:t xml:space="preserve">The motion to proceed with the appeal </w:t>
      </w:r>
      <w:r w:rsidR="002D1E0F">
        <w:t xml:space="preserve">and the appeal </w:t>
      </w:r>
      <w:r w:rsidRPr="0069781B">
        <w:t>should be allowed.</w:t>
      </w:r>
    </w:p>
    <w:p w:rsidR="00107E1A" w:rsidRPr="0069781B" w:rsidRDefault="00107E1A" w:rsidP="00795CA3">
      <w:pPr>
        <w:pStyle w:val="SCCNormalDoubleSpacing"/>
        <w:spacing w:after="480"/>
      </w:pPr>
      <w:r w:rsidRPr="0069781B">
        <w:tab/>
      </w:r>
      <w:r w:rsidRPr="0069781B">
        <w:rPr>
          <w:i/>
        </w:rPr>
        <w:t>Per</w:t>
      </w:r>
      <w:r w:rsidR="008272BD">
        <w:t xml:space="preserve"> Wagner </w:t>
      </w:r>
      <w:r w:rsidRPr="0069781B">
        <w:t xml:space="preserve">C.J. and Moldaver, Côté and </w:t>
      </w:r>
      <w:r w:rsidRPr="008272BD">
        <w:t>Martin</w:t>
      </w:r>
      <w:r w:rsidR="008272BD">
        <w:t> </w:t>
      </w:r>
      <w:r w:rsidRPr="0069781B">
        <w:t xml:space="preserve">JJ.: This is one of those rare and exceptional cases in which the Court ought to exercise its discretion to adjudicate a moot criminal appeal. First, the Court has had the benefit of adversarial submissions in this case. Second, the Crown’s appeal raises an important constitutional question that has not yet received comprehensive treatment in the jurisprudence. Third, </w:t>
      </w:r>
      <w:r w:rsidR="00795CA3" w:rsidRPr="0069781B">
        <w:t>the proper interpretation of s. </w:t>
      </w:r>
      <w:r w:rsidRPr="0069781B">
        <w:t>11(</w:t>
      </w:r>
      <w:r w:rsidRPr="0069781B">
        <w:rPr>
          <w:i/>
        </w:rPr>
        <w:t>i</w:t>
      </w:r>
      <w:r w:rsidRPr="0069781B">
        <w:t xml:space="preserve">) of the </w:t>
      </w:r>
      <w:r w:rsidRPr="0069781B">
        <w:rPr>
          <w:i/>
        </w:rPr>
        <w:t xml:space="preserve">Charter </w:t>
      </w:r>
      <w:r w:rsidRPr="0069781B">
        <w:t>is a legal issue of general publ</w:t>
      </w:r>
      <w:r w:rsidR="00F10244" w:rsidRPr="0069781B">
        <w:t xml:space="preserve">ic importance which transcends </w:t>
      </w:r>
      <w:r w:rsidRPr="0069781B">
        <w:t xml:space="preserve">P’s death. Fourth, the value of the Court’s ruling on </w:t>
      </w:r>
      <w:r w:rsidR="00795CA3" w:rsidRPr="0069781B">
        <w:t>the proper interpretation of s. </w:t>
      </w:r>
      <w:r w:rsidRPr="0069781B">
        <w:t>11(</w:t>
      </w:r>
      <w:r w:rsidRPr="0069781B">
        <w:rPr>
          <w:i/>
        </w:rPr>
        <w:t>i</w:t>
      </w:r>
      <w:r w:rsidRPr="0069781B">
        <w:t xml:space="preserve">) clearly outweighs any concerns about limited judicial resources. It is much more efficient and fair for the Court to decide this question of national importance now, rather than cause future litigants and lower courts to expend further resources debating this question until, inevitably, it reaches the Court anew. Finally, it is for the courts, not Parliament, to define the scope of </w:t>
      </w:r>
      <w:r w:rsidRPr="0069781B">
        <w:rPr>
          <w:i/>
        </w:rPr>
        <w:t xml:space="preserve">Charter </w:t>
      </w:r>
      <w:r w:rsidRPr="0069781B">
        <w:t xml:space="preserve">rights. </w:t>
      </w:r>
      <w:r w:rsidR="00F10244" w:rsidRPr="0069781B">
        <w:t xml:space="preserve">The Court would </w:t>
      </w:r>
      <w:r w:rsidRPr="0069781B">
        <w:t>therefore not be intruding on the legislative role by answering the question put to it.</w:t>
      </w:r>
    </w:p>
    <w:p w:rsidR="00107E1A" w:rsidRPr="0069781B" w:rsidRDefault="00107E1A" w:rsidP="00795CA3">
      <w:pPr>
        <w:pStyle w:val="SCCNormalDoubleSpacing"/>
        <w:spacing w:after="480"/>
      </w:pPr>
      <w:r w:rsidRPr="0069781B">
        <w:lastRenderedPageBreak/>
        <w:tab/>
      </w:r>
      <w:r w:rsidR="00795CA3" w:rsidRPr="0069781B">
        <w:t>A purposive analysis of s. </w:t>
      </w:r>
      <w:r w:rsidRPr="0069781B">
        <w:t>11(</w:t>
      </w:r>
      <w:r w:rsidRPr="0069781B">
        <w:rPr>
          <w:i/>
        </w:rPr>
        <w:t>i</w:t>
      </w:r>
      <w:r w:rsidRPr="0069781B">
        <w:t xml:space="preserve">) of the </w:t>
      </w:r>
      <w:r w:rsidRPr="0069781B">
        <w:rPr>
          <w:i/>
        </w:rPr>
        <w:t xml:space="preserve">Charter </w:t>
      </w:r>
      <w:r w:rsidR="00F10244" w:rsidRPr="0069781B">
        <w:t xml:space="preserve">leads </w:t>
      </w:r>
      <w:r w:rsidRPr="0069781B">
        <w:t xml:space="preserve">to the conclusion that an offender is not entitled to the benefit of a temporary reduction in punishment which occurred in the interval between </w:t>
      </w:r>
      <w:r w:rsidR="00A30E48" w:rsidRPr="0069781B">
        <w:t>the time of commission</w:t>
      </w:r>
      <w:r w:rsidRPr="0069781B">
        <w:t xml:space="preserve"> and </w:t>
      </w:r>
      <w:r w:rsidR="00A30E48" w:rsidRPr="0069781B">
        <w:t>the time of</w:t>
      </w:r>
      <w:r w:rsidRPr="0069781B">
        <w:t xml:space="preserve"> sentencing. Section</w:t>
      </w:r>
      <w:r w:rsidR="002F50E3">
        <w:t> </w:t>
      </w:r>
      <w:r w:rsidRPr="0069781B">
        <w:t>11(</w:t>
      </w:r>
      <w:r w:rsidRPr="0069781B">
        <w:rPr>
          <w:i/>
        </w:rPr>
        <w:t>i</w:t>
      </w:r>
      <w:r w:rsidRPr="0069781B">
        <w:t xml:space="preserve">) confers a binary right, not a global one. A binary right involves a comparison of the punishments </w:t>
      </w:r>
      <w:r w:rsidR="00B51936" w:rsidRPr="0069781B">
        <w:t xml:space="preserve">under the laws </w:t>
      </w:r>
      <w:r w:rsidRPr="0069781B">
        <w:t xml:space="preserve">in force at two set points in time (commission of the offence and sentencing) and the right to receive the lesser of these punishments. By contrast, a global right involves a review of all punishments that have existed for the offence between its commission and sentencing, and the right to receive the least severe punishment in that entire span of time. </w:t>
      </w:r>
      <w:r w:rsidR="00795CA3" w:rsidRPr="0069781B">
        <w:t>The language and origins of s. </w:t>
      </w:r>
      <w:r w:rsidRPr="0069781B">
        <w:t>11(</w:t>
      </w:r>
      <w:r w:rsidRPr="0069781B">
        <w:rPr>
          <w:i/>
        </w:rPr>
        <w:t>i</w:t>
      </w:r>
      <w:r w:rsidRPr="0069781B">
        <w:t xml:space="preserve">) </w:t>
      </w:r>
      <w:r w:rsidR="00795CA3" w:rsidRPr="0069781B">
        <w:t>both confirm the purposes of s. </w:t>
      </w:r>
      <w:r w:rsidRPr="0069781B">
        <w:t>11(</w:t>
      </w:r>
      <w:r w:rsidRPr="0069781B">
        <w:rPr>
          <w:i/>
        </w:rPr>
        <w:t>i</w:t>
      </w:r>
      <w:r w:rsidR="00795CA3" w:rsidRPr="0069781B">
        <w:t>) —</w:t>
      </w:r>
      <w:r w:rsidRPr="0069781B">
        <w:t xml:space="preserve"> namel</w:t>
      </w:r>
      <w:r w:rsidR="00795CA3" w:rsidRPr="0069781B">
        <w:t>y the rule of law and fairness — and indicate that s. </w:t>
      </w:r>
      <w:r w:rsidRPr="0069781B">
        <w:t>11(</w:t>
      </w:r>
      <w:r w:rsidRPr="0069781B">
        <w:rPr>
          <w:i/>
        </w:rPr>
        <w:t>i</w:t>
      </w:r>
      <w:r w:rsidRPr="0069781B">
        <w:t>) is intended to confer a binary right.</w:t>
      </w:r>
    </w:p>
    <w:p w:rsidR="00107E1A" w:rsidRPr="0069781B" w:rsidRDefault="00107E1A" w:rsidP="00795CA3">
      <w:pPr>
        <w:pStyle w:val="SCCNormalDoubleSpacing"/>
        <w:spacing w:after="480"/>
      </w:pPr>
      <w:r w:rsidRPr="0069781B">
        <w:tab/>
        <w:t xml:space="preserve">A </w:t>
      </w:r>
      <w:r w:rsidRPr="0069781B">
        <w:rPr>
          <w:i/>
        </w:rPr>
        <w:t xml:space="preserve">Charter </w:t>
      </w:r>
      <w:r w:rsidRPr="0069781B">
        <w:t>right m</w:t>
      </w:r>
      <w:r w:rsidR="00795CA3" w:rsidRPr="0069781B">
        <w:t>ust be interpreted purposively —</w:t>
      </w:r>
      <w:r w:rsidRPr="0069781B">
        <w:t xml:space="preserve"> that is, in a manner that is justified by its purposes. Purposive interpretation can be mistakenly conflated with generous interpretation. While </w:t>
      </w:r>
      <w:r w:rsidRPr="0069781B">
        <w:rPr>
          <w:i/>
        </w:rPr>
        <w:t xml:space="preserve">Charter </w:t>
      </w:r>
      <w:r w:rsidRPr="0069781B">
        <w:t xml:space="preserve">rights must be interpreted </w:t>
      </w:r>
      <w:r w:rsidR="00F10244" w:rsidRPr="0069781B">
        <w:t xml:space="preserve">in a large and liberal manner, </w:t>
      </w:r>
      <w:r w:rsidRPr="0069781B">
        <w:t>they are ultimately bounded by their purposes.</w:t>
      </w:r>
      <w:r w:rsidR="00795CA3" w:rsidRPr="0069781B">
        <w:t xml:space="preserve"> Courts that have given s. </w:t>
      </w:r>
      <w:r w:rsidRPr="0069781B">
        <w:t>11(</w:t>
      </w:r>
      <w:r w:rsidRPr="0069781B">
        <w:rPr>
          <w:i/>
        </w:rPr>
        <w:t>i</w:t>
      </w:r>
      <w:r w:rsidRPr="0069781B">
        <w:t xml:space="preserve">) a global reading have fallen into the error of prioritizing generosity over purpose. Rather than identifying the principles or purposes </w:t>
      </w:r>
      <w:r w:rsidR="00795CA3" w:rsidRPr="0069781B">
        <w:t>underlying s. </w:t>
      </w:r>
      <w:r w:rsidRPr="0069781B">
        <w:t>11(</w:t>
      </w:r>
      <w:r w:rsidRPr="0069781B">
        <w:rPr>
          <w:i/>
        </w:rPr>
        <w:t>i</w:t>
      </w:r>
      <w:r w:rsidRPr="0069781B">
        <w:t>), the</w:t>
      </w:r>
      <w:r w:rsidR="00795CA3" w:rsidRPr="0069781B">
        <w:t>y have simply concluded that s. </w:t>
      </w:r>
      <w:r w:rsidRPr="0069781B">
        <w:t>11(</w:t>
      </w:r>
      <w:r w:rsidRPr="0069781B">
        <w:rPr>
          <w:i/>
        </w:rPr>
        <w:t>i</w:t>
      </w:r>
      <w:r w:rsidRPr="0069781B">
        <w:t xml:space="preserve">) should be given the interpretation most generous to the accused. However, the principle that a provision bearing more than one plausible meaning must be read in a manner that favours the accused is not a principle of </w:t>
      </w:r>
      <w:r w:rsidRPr="0069781B">
        <w:rPr>
          <w:i/>
        </w:rPr>
        <w:t xml:space="preserve">Charter </w:t>
      </w:r>
      <w:r w:rsidRPr="0069781B">
        <w:t>interpretation. It is a principle of penal statutory i</w:t>
      </w:r>
      <w:r w:rsidR="00795CA3" w:rsidRPr="0069781B">
        <w:t>nterpretation. Reading s. </w:t>
      </w:r>
      <w:r w:rsidRPr="0069781B">
        <w:t>11(</w:t>
      </w:r>
      <w:r w:rsidRPr="0069781B">
        <w:rPr>
          <w:i/>
        </w:rPr>
        <w:t>i</w:t>
      </w:r>
      <w:r w:rsidRPr="0069781B">
        <w:t xml:space="preserve">) in a manner that would require the court to impose the most favourable punishment identifiable in the interval </w:t>
      </w:r>
      <w:r w:rsidRPr="0069781B">
        <w:lastRenderedPageBreak/>
        <w:t xml:space="preserve">between the offence and sentencing does not reflect the kind of generous interpretation that </w:t>
      </w:r>
      <w:r w:rsidRPr="0069781B">
        <w:rPr>
          <w:i/>
        </w:rPr>
        <w:t xml:space="preserve">Charter </w:t>
      </w:r>
      <w:r w:rsidRPr="0069781B">
        <w:t>rights should receive. Rather, it reflects an unduly generous interpretation, disconnected from the purposes of the right.</w:t>
      </w:r>
    </w:p>
    <w:p w:rsidR="00107E1A" w:rsidRPr="0069781B" w:rsidRDefault="00107E1A" w:rsidP="00795CA3">
      <w:pPr>
        <w:pStyle w:val="SCCNormalDoubleSpacing"/>
        <w:spacing w:after="480"/>
        <w:rPr>
          <w:lang w:val="en-US"/>
        </w:rPr>
      </w:pPr>
      <w:r w:rsidRPr="0069781B">
        <w:tab/>
        <w:t xml:space="preserve">When conducting a purposive analysis of a </w:t>
      </w:r>
      <w:r w:rsidRPr="0069781B">
        <w:rPr>
          <w:i/>
        </w:rPr>
        <w:t xml:space="preserve">Charter </w:t>
      </w:r>
      <w:r w:rsidRPr="0069781B">
        <w:t>right, the starting point must be the language of the section. Section</w:t>
      </w:r>
      <w:r w:rsidR="002F50E3">
        <w:t> </w:t>
      </w:r>
      <w:r w:rsidRPr="0069781B">
        <w:t>11(</w:t>
      </w:r>
      <w:r w:rsidRPr="0069781B">
        <w:rPr>
          <w:i/>
        </w:rPr>
        <w:t>i</w:t>
      </w:r>
      <w:r w:rsidRPr="0069781B">
        <w:t>) was worded to confer a binar</w:t>
      </w:r>
      <w:r w:rsidR="00795CA3" w:rsidRPr="0069781B">
        <w:t>y right. The origins of s. </w:t>
      </w:r>
      <w:r w:rsidRPr="0069781B">
        <w:t>11(</w:t>
      </w:r>
      <w:r w:rsidRPr="0069781B">
        <w:rPr>
          <w:i/>
        </w:rPr>
        <w:t>i</w:t>
      </w:r>
      <w:r w:rsidR="00F10244" w:rsidRPr="0069781B">
        <w:t xml:space="preserve">) corroborate </w:t>
      </w:r>
      <w:r w:rsidRPr="0069781B">
        <w:t>this conclusion</w:t>
      </w:r>
      <w:r w:rsidR="00795CA3" w:rsidRPr="0069781B">
        <w:t>. While the origins of s. </w:t>
      </w:r>
      <w:r w:rsidRPr="0069781B">
        <w:t>11(</w:t>
      </w:r>
      <w:r w:rsidRPr="0069781B">
        <w:rPr>
          <w:i/>
        </w:rPr>
        <w:t>i</w:t>
      </w:r>
      <w:r w:rsidRPr="0069781B">
        <w:t>) are not determinative of the right’s proper scope, they provide an instructive start</w:t>
      </w:r>
      <w:r w:rsidR="00795CA3" w:rsidRPr="0069781B">
        <w:t>ing point. A review of s. </w:t>
      </w:r>
      <w:r w:rsidRPr="0069781B">
        <w:t>11(</w:t>
      </w:r>
      <w:r w:rsidRPr="0069781B">
        <w:rPr>
          <w:i/>
        </w:rPr>
        <w:t>i</w:t>
      </w:r>
      <w:r w:rsidRPr="0069781B">
        <w:t>)’s historical context reveals that there was nothing to inspire a global right at the time of its drafting and enactment. A global right was not part of the legal landscape; the common law certainly did not recognize one, and none</w:t>
      </w:r>
      <w:r w:rsidR="00795CA3" w:rsidRPr="0069781B">
        <w:t xml:space="preserve"> of the enactments inspiring s. </w:t>
      </w:r>
      <w:r w:rsidRPr="0069781B">
        <w:t>11(</w:t>
      </w:r>
      <w:r w:rsidRPr="0069781B">
        <w:rPr>
          <w:i/>
        </w:rPr>
        <w:t>i</w:t>
      </w:r>
      <w:r w:rsidRPr="0069781B">
        <w:t>) embraced one either.</w:t>
      </w:r>
    </w:p>
    <w:p w:rsidR="00107E1A" w:rsidRPr="0069781B" w:rsidRDefault="00107E1A" w:rsidP="00795CA3">
      <w:pPr>
        <w:pStyle w:val="SCCNormalDoubleSpacing"/>
        <w:spacing w:after="480"/>
      </w:pPr>
      <w:r w:rsidRPr="0069781B">
        <w:rPr>
          <w:lang w:val="en-US"/>
        </w:rPr>
        <w:tab/>
      </w:r>
      <w:r w:rsidRPr="0069781B">
        <w:t>Section</w:t>
      </w:r>
      <w:r w:rsidR="004A2362">
        <w:t> </w:t>
      </w:r>
      <w:r w:rsidRPr="0069781B">
        <w:t>11(</w:t>
      </w:r>
      <w:r w:rsidRPr="0069781B">
        <w:rPr>
          <w:i/>
        </w:rPr>
        <w:t>i</w:t>
      </w:r>
      <w:r w:rsidRPr="0069781B">
        <w:t>) balances, on the one hand, the principle of the rule of law and, on the other, the principle of fairness. It enshrines the common law rule that an offender should not be retrospectively subjected to a heavier punishment than the one applicable at the time th</w:t>
      </w:r>
      <w:r w:rsidR="00795CA3" w:rsidRPr="0069781B">
        <w:t>e person committed the offence.</w:t>
      </w:r>
      <w:r w:rsidRPr="0069781B">
        <w:t xml:space="preserve"> The rationale for this rule is the rule of law and, more specifical</w:t>
      </w:r>
      <w:r w:rsidR="00F10244" w:rsidRPr="0069781B">
        <w:t xml:space="preserve">ly, the principle of legality, </w:t>
      </w:r>
      <w:r w:rsidRPr="0069781B">
        <w:t>which dictates that persons who rely on the state of the law in conducting themselves, or who risk the liability associated with a law in breaking it, should not subsequently be held to different laws, particularly more st</w:t>
      </w:r>
      <w:r w:rsidR="00795CA3" w:rsidRPr="0069781B">
        <w:t>ringent ones. However, s. </w:t>
      </w:r>
      <w:r w:rsidRPr="0069781B">
        <w:t>11(</w:t>
      </w:r>
      <w:r w:rsidRPr="0069781B">
        <w:rPr>
          <w:i/>
        </w:rPr>
        <w:t>i</w:t>
      </w:r>
      <w:r w:rsidRPr="0069781B">
        <w:t xml:space="preserve">) constitutionalizes an additional protection. It stipulates that, where the law provides a more favourable punishment at the time of the offender’s sentencing than it did at the time of the offence, </w:t>
      </w:r>
      <w:r w:rsidRPr="0069781B">
        <w:lastRenderedPageBreak/>
        <w:t xml:space="preserve">the offender is entitled to the benefit of this more favourable, current punishment. The </w:t>
      </w:r>
      <w:r w:rsidR="00F10244" w:rsidRPr="0069781B">
        <w:t xml:space="preserve">rationale </w:t>
      </w:r>
      <w:r w:rsidRPr="0069781B">
        <w:t>for this is fairness. It would not be fair to subject an offender to a punishment which, in choosing to reduce it, Parliament has expressly recognized as no longer appropriate. Further, a criminal sentence is an expression of society’s collective voice; it is meant to reflect contemporary values.</w:t>
      </w:r>
    </w:p>
    <w:p w:rsidR="00107E1A" w:rsidRPr="0069781B" w:rsidRDefault="00107E1A" w:rsidP="00795CA3">
      <w:pPr>
        <w:pStyle w:val="SCCNormalDoubleSpacing"/>
        <w:spacing w:after="480"/>
      </w:pPr>
      <w:r w:rsidRPr="0069781B">
        <w:rPr>
          <w:lang w:val="en-US"/>
        </w:rPr>
        <w:tab/>
      </w:r>
      <w:r w:rsidR="00795CA3" w:rsidRPr="0069781B">
        <w:rPr>
          <w:lang w:val="en-US"/>
        </w:rPr>
        <w:t>A binary interpretation of s. </w:t>
      </w:r>
      <w:r w:rsidRPr="0069781B">
        <w:rPr>
          <w:lang w:val="en-US"/>
        </w:rPr>
        <w:t>11(</w:t>
      </w:r>
      <w:r w:rsidRPr="0069781B">
        <w:rPr>
          <w:i/>
          <w:lang w:val="en-US"/>
        </w:rPr>
        <w:t>i</w:t>
      </w:r>
      <w:r w:rsidRPr="0069781B">
        <w:rPr>
          <w:lang w:val="en-US"/>
        </w:rPr>
        <w:t xml:space="preserve">) is not unfair or arbitrary for an offender who is punished according to the law in place at the time he committed his offence, or a more favourable law, if one is in place when he is sentenced. To the contrary, these two laws are linked to the offender and the proceedings against him; the first sets out the punishment he risked incurring at the time he acted, and the other likewise sets the contours for a sentence that reflects society’s attitude about the gravity of the offence and the responsibility of the offender at the precise moment the sentence is imposed. It is, accordingly, fair and rational for the offender to have the benefit of one of these punishments. Conversely, there is no principled basis to grant an offender the benefit of a punishment which has no connection to his offending conduct or to society’s view of his conduct at the time the court is called upon to pass sentence. </w:t>
      </w:r>
      <w:r w:rsidR="00F10244" w:rsidRPr="0069781B">
        <w:t xml:space="preserve">Furthermore, </w:t>
      </w:r>
      <w:r w:rsidRPr="0069781B">
        <w:t xml:space="preserve">countervailing fairness considerations militate </w:t>
      </w:r>
      <w:r w:rsidR="00795CA3" w:rsidRPr="0069781B">
        <w:t>against a global approach to s. </w:t>
      </w:r>
      <w:r w:rsidRPr="0069781B">
        <w:t>11(</w:t>
      </w:r>
      <w:r w:rsidRPr="0069781B">
        <w:rPr>
          <w:i/>
        </w:rPr>
        <w:t>i</w:t>
      </w:r>
      <w:r w:rsidR="00795CA3" w:rsidRPr="0069781B">
        <w:t>). A global approach to s. </w:t>
      </w:r>
      <w:r w:rsidRPr="0069781B">
        <w:t>11(</w:t>
      </w:r>
      <w:r w:rsidRPr="0069781B">
        <w:rPr>
          <w:i/>
        </w:rPr>
        <w:t>i</w:t>
      </w:r>
      <w:r w:rsidRPr="0069781B">
        <w:t>) would disproportionately benefit those who are sentenced years, or even decades, after their offences. Sexual offences like P’s often go long unreported. Survivors of sexual trauma commonly delay in disclosing abuse for reasons such as embarrassment, fear, guilt, or a lack of understanding and knowledge. There should be no addition</w:t>
      </w:r>
      <w:r w:rsidR="00795CA3" w:rsidRPr="0069781B">
        <w:t>al gain to an offender under s. </w:t>
      </w:r>
      <w:r w:rsidRPr="0069781B">
        <w:t>11(</w:t>
      </w:r>
      <w:r w:rsidRPr="0069781B">
        <w:rPr>
          <w:i/>
        </w:rPr>
        <w:t>i</w:t>
      </w:r>
      <w:r w:rsidRPr="0069781B">
        <w:t xml:space="preserve">) when a victim is traumatized </w:t>
      </w:r>
      <w:r w:rsidRPr="0069781B">
        <w:lastRenderedPageBreak/>
        <w:t>to the point of requiring significant time to overcome any reluctance to report the offence.</w:t>
      </w:r>
    </w:p>
    <w:p w:rsidR="00C95C32" w:rsidRPr="0069781B" w:rsidRDefault="00FB1AE0" w:rsidP="00FB1AE0">
      <w:pPr>
        <w:tabs>
          <w:tab w:val="left" w:pos="1168"/>
        </w:tabs>
        <w:spacing w:after="480" w:line="480" w:lineRule="auto"/>
        <w:jc w:val="both"/>
      </w:pPr>
      <w:r>
        <w:tab/>
      </w:r>
      <w:r w:rsidR="00C95C32" w:rsidRPr="0069781B">
        <w:rPr>
          <w:i/>
        </w:rPr>
        <w:t>Per</w:t>
      </w:r>
      <w:r w:rsidR="00C95C32" w:rsidRPr="0069781B">
        <w:t xml:space="preserve"> Abella, </w:t>
      </w:r>
      <w:r w:rsidR="00C95C32" w:rsidRPr="003049A4">
        <w:t>Karakatsanis</w:t>
      </w:r>
      <w:r w:rsidR="00C95C32" w:rsidRPr="0069781B">
        <w:t xml:space="preserve"> and Brown</w:t>
      </w:r>
      <w:r w:rsidR="003049A4">
        <w:t> </w:t>
      </w:r>
      <w:r w:rsidR="00C95C32" w:rsidRPr="0069781B">
        <w:t xml:space="preserve">JJ. (dissenting): The motion to proceed with the appeal should be dismissed. This case is one of the overwhelming number of cases in which proceeding with the appeal would not be in the interests of justice. First, it is hard to conclude that a real adversarial context exists. Second, while it is true that any issue concerning the interpretation of a </w:t>
      </w:r>
      <w:r w:rsidR="00C95C32" w:rsidRPr="0069781B">
        <w:rPr>
          <w:i/>
        </w:rPr>
        <w:t>Charter</w:t>
      </w:r>
      <w:r w:rsidR="00C95C32" w:rsidRPr="0069781B">
        <w:t xml:space="preserve"> provision is always of great importance, there are no special circumstances in this case that transcend the death of P. In light of 30 years of consistent case law on this issue, it cannot be said that there are conflicting lines of cases here or an issue that is ordinarily evasive of appellate review. Finally, the inequity of proceeding with an appeal against a deceased offender despite opposition from his family is obvious</w:t>
      </w:r>
      <w:r w:rsidR="000A1265" w:rsidRPr="0069781B">
        <w:t>.</w:t>
      </w:r>
    </w:p>
    <w:p w:rsidR="00C95C32" w:rsidRPr="0069781B" w:rsidRDefault="00C95C32" w:rsidP="000A1265">
      <w:pPr>
        <w:tabs>
          <w:tab w:val="left" w:pos="1168"/>
        </w:tabs>
        <w:spacing w:after="480" w:line="480" w:lineRule="auto"/>
        <w:jc w:val="both"/>
      </w:pPr>
      <w:r w:rsidRPr="0069781B">
        <w:tab/>
        <w:t>Furthermore, the appeal should be dismissed on the merits. For 30 years, the Canadian courts have interpreted s. 11(</w:t>
      </w:r>
      <w:r w:rsidRPr="0069781B">
        <w:rPr>
          <w:i/>
        </w:rPr>
        <w:t>i</w:t>
      </w:r>
      <w:r w:rsidRPr="0069781B">
        <w:t xml:space="preserve">) of the </w:t>
      </w:r>
      <w:r w:rsidRPr="0069781B">
        <w:rPr>
          <w:i/>
        </w:rPr>
        <w:t>Charter</w:t>
      </w:r>
      <w:r w:rsidRPr="0069781B">
        <w:t xml:space="preserve"> consistently, holding that it guarantees any offender the benefit of the lesser sentence that applied between the time of commission of the offence and the time of sentencing. This approach finds ample support in the words of s. 11(</w:t>
      </w:r>
      <w:r w:rsidRPr="0069781B">
        <w:rPr>
          <w:i/>
        </w:rPr>
        <w:t>i</w:t>
      </w:r>
      <w:r w:rsidRPr="0069781B">
        <w:t xml:space="preserve">), which suggest a continuum between the time of commission and the time of sentencing. A technical construction such as the one proposed by the Crown is contrary to the Court’s conclusion that a generous and purposive approach must be taken to the interpretation of </w:t>
      </w:r>
      <w:r w:rsidRPr="0069781B">
        <w:rPr>
          <w:i/>
        </w:rPr>
        <w:t>Charter</w:t>
      </w:r>
      <w:r w:rsidRPr="0069781B">
        <w:t xml:space="preserve"> rights. The interpretation adopted by other Canadian courts reflects two objects of s. 11(</w:t>
      </w:r>
      <w:r w:rsidRPr="0069781B">
        <w:rPr>
          <w:i/>
        </w:rPr>
        <w:t>i</w:t>
      </w:r>
      <w:r w:rsidRPr="0069781B">
        <w:t xml:space="preserve">) </w:t>
      </w:r>
      <w:r w:rsidRPr="0069781B">
        <w:lastRenderedPageBreak/>
        <w:t>identified by the Court, namely the rule of law and ensuring fairness in criminal proceedings. There are several points in the course of a criminal investigation and prosecution — before the time of sentencing — at which an individual might be required to make choices in light of punishments then applicable. The protection of s. 11(</w:t>
      </w:r>
      <w:r w:rsidRPr="0069781B">
        <w:rPr>
          <w:i/>
        </w:rPr>
        <w:t>i</w:t>
      </w:r>
      <w:r w:rsidRPr="0069781B">
        <w:t>), which cannot be contingent on evidence that the accused relied on the existing law, is grounded in this very possibility. Here, the possibility that the interpretation of s.</w:t>
      </w:r>
      <w:r w:rsidR="007221C5">
        <w:t> </w:t>
      </w:r>
      <w:r w:rsidRPr="0069781B">
        <w:t>11(</w:t>
      </w:r>
      <w:r w:rsidRPr="0069781B">
        <w:rPr>
          <w:i/>
        </w:rPr>
        <w:t>i</w:t>
      </w:r>
      <w:r w:rsidRPr="0069781B">
        <w:t>) adopted by the courts will complicate the analysis of the applicable punishments should not weigh against it. It seems imprudent to rule out an interpretation that provides offenders with more substantial protection where there is no evidence that there are difficulties, especially in light of the actual wording of the provision. Finally, the proposal that s. 11(</w:t>
      </w:r>
      <w:r w:rsidRPr="0069781B">
        <w:rPr>
          <w:i/>
        </w:rPr>
        <w:t>i</w:t>
      </w:r>
      <w:r w:rsidRPr="0069781B">
        <w:t>) has a third object, to ensure that the imposed punishment corresponds to the social stigma associated with the offence at the time of sentencing, seems to confuse the availability of a punishment with its fairness and appropriateness. In a case involving multiple incidents in which serious acts of sexual abuse were committed against a young relative, it may be that the conditional sentence was not a fair and appropriate punishment. But that is not the question before the Court.</w:t>
      </w:r>
    </w:p>
    <w:p w:rsidR="007E1C47" w:rsidRPr="0069781B" w:rsidRDefault="002E6705" w:rsidP="00795CA3">
      <w:pPr>
        <w:pStyle w:val="SCCNormalDoubleSpacing"/>
        <w:spacing w:after="720" w:line="240" w:lineRule="auto"/>
        <w:rPr>
          <w:b/>
        </w:rPr>
      </w:pPr>
      <w:r w:rsidRPr="0069781B">
        <w:rPr>
          <w:b/>
        </w:rPr>
        <w:t>Cases Cited</w:t>
      </w:r>
    </w:p>
    <w:p w:rsidR="00AC732C" w:rsidRPr="0069781B" w:rsidRDefault="00CC4C40" w:rsidP="00CC4C40">
      <w:pPr>
        <w:pStyle w:val="SCCNormalDoubleSpacing"/>
        <w:spacing w:after="720" w:line="240" w:lineRule="auto"/>
      </w:pPr>
      <w:r w:rsidRPr="0069781B">
        <w:t>By Martin </w:t>
      </w:r>
      <w:r w:rsidR="007C74DD" w:rsidRPr="0069781B">
        <w:t>J.</w:t>
      </w:r>
    </w:p>
    <w:p w:rsidR="00A149DF" w:rsidRPr="0069781B" w:rsidRDefault="00AC732C" w:rsidP="00CC4C40">
      <w:pPr>
        <w:pStyle w:val="SCCNormalDoubleSpacing"/>
        <w:spacing w:after="480"/>
      </w:pPr>
      <w:r w:rsidRPr="0069781B">
        <w:rPr>
          <w:b/>
        </w:rPr>
        <w:tab/>
      </w:r>
      <w:r w:rsidR="00E378DD" w:rsidRPr="0069781B">
        <w:rPr>
          <w:b/>
        </w:rPr>
        <w:t xml:space="preserve">Applied: </w:t>
      </w:r>
      <w:r w:rsidR="00E378DD" w:rsidRPr="0069781B">
        <w:rPr>
          <w:i/>
        </w:rPr>
        <w:t>R. v. Smith</w:t>
      </w:r>
      <w:r w:rsidR="00E378DD" w:rsidRPr="0069781B">
        <w:t xml:space="preserve">, 2004 SCC 14, [2004] 1 S.C.R. 385; </w:t>
      </w:r>
      <w:r w:rsidR="00E378DD" w:rsidRPr="0069781B">
        <w:rPr>
          <w:b/>
        </w:rPr>
        <w:t>r</w:t>
      </w:r>
      <w:r w:rsidR="002E6705" w:rsidRPr="0069781B">
        <w:rPr>
          <w:b/>
        </w:rPr>
        <w:t>eferred to:</w:t>
      </w:r>
      <w:r w:rsidR="00BD0E9E" w:rsidRPr="0069781B">
        <w:t xml:space="preserve"> </w:t>
      </w:r>
      <w:r w:rsidR="00953D40" w:rsidRPr="0069781B">
        <w:rPr>
          <w:i/>
        </w:rPr>
        <w:t xml:space="preserve">R. v. </w:t>
      </w:r>
      <w:r w:rsidR="00953D40" w:rsidRPr="0069781B">
        <w:rPr>
          <w:i/>
          <w:lang w:val="en-US"/>
        </w:rPr>
        <w:t>Belzil</w:t>
      </w:r>
      <w:r w:rsidR="00953D40" w:rsidRPr="0069781B">
        <w:rPr>
          <w:lang w:val="en-US"/>
        </w:rPr>
        <w:t xml:space="preserve">, [1989] R.J.Q. 1117; </w:t>
      </w:r>
      <w:r w:rsidR="001E2D7B" w:rsidRPr="0069781B">
        <w:rPr>
          <w:i/>
        </w:rPr>
        <w:t>R. v. M</w:t>
      </w:r>
      <w:r w:rsidR="00F016B6">
        <w:rPr>
          <w:i/>
        </w:rPr>
        <w:t>a</w:t>
      </w:r>
      <w:r w:rsidR="001E2D7B" w:rsidRPr="0069781B">
        <w:rPr>
          <w:i/>
        </w:rPr>
        <w:t>cLellan</w:t>
      </w:r>
      <w:r w:rsidR="001E2D7B" w:rsidRPr="0069781B">
        <w:t>, 2019 NSCA 2</w:t>
      </w:r>
      <w:r w:rsidR="006604E4">
        <w:t>, 369 C.C.C. (3d) 482</w:t>
      </w:r>
      <w:r w:rsidR="001E2D7B" w:rsidRPr="0069781B">
        <w:t>;</w:t>
      </w:r>
      <w:r w:rsidR="00282BB4" w:rsidRPr="0069781B">
        <w:t xml:space="preserve"> </w:t>
      </w:r>
      <w:r w:rsidR="00282BB4" w:rsidRPr="0069781B">
        <w:rPr>
          <w:i/>
        </w:rPr>
        <w:lastRenderedPageBreak/>
        <w:t>Forget v. Quebec (Attorney General)</w:t>
      </w:r>
      <w:r w:rsidR="00282BB4" w:rsidRPr="0069781B">
        <w:t xml:space="preserve">, [1988] 2 S.C.R. 90; </w:t>
      </w:r>
      <w:r w:rsidR="00282BB4" w:rsidRPr="0069781B">
        <w:rPr>
          <w:i/>
        </w:rPr>
        <w:t>Borowski</w:t>
      </w:r>
      <w:r w:rsidR="00282BB4" w:rsidRPr="0069781B">
        <w:t xml:space="preserve"> </w:t>
      </w:r>
      <w:r w:rsidR="00282BB4" w:rsidRPr="0069781B">
        <w:rPr>
          <w:i/>
        </w:rPr>
        <w:t>v. Canada (Attorney General)</w:t>
      </w:r>
      <w:r w:rsidR="00282BB4" w:rsidRPr="0069781B">
        <w:t xml:space="preserve">, [1989] 1 S.C.R. 342; </w:t>
      </w:r>
      <w:r w:rsidR="00351419" w:rsidRPr="0069781B">
        <w:rPr>
          <w:i/>
        </w:rPr>
        <w:t>R. v. Beaton</w:t>
      </w:r>
      <w:r w:rsidR="00351419" w:rsidRPr="0069781B">
        <w:t xml:space="preserve">, </w:t>
      </w:r>
      <w:r w:rsidR="00144CE6" w:rsidRPr="0069781B">
        <w:t>2018 ONCA 924</w:t>
      </w:r>
      <w:r w:rsidR="00351419" w:rsidRPr="0069781B">
        <w:t xml:space="preserve">; </w:t>
      </w:r>
      <w:r w:rsidR="00351419" w:rsidRPr="0069781B">
        <w:rPr>
          <w:i/>
        </w:rPr>
        <w:t>R. v. Wigglesworth</w:t>
      </w:r>
      <w:r w:rsidR="00351419" w:rsidRPr="0069781B">
        <w:t>, [1987] 2 S.C.R. 541</w:t>
      </w:r>
      <w:r w:rsidR="00980E63" w:rsidRPr="0069781B">
        <w:t xml:space="preserve">; </w:t>
      </w:r>
      <w:r w:rsidR="00980E63" w:rsidRPr="0069781B">
        <w:rPr>
          <w:i/>
        </w:rPr>
        <w:t>R. v. Cadman</w:t>
      </w:r>
      <w:r w:rsidR="00980E63" w:rsidRPr="0069781B">
        <w:t>,</w:t>
      </w:r>
      <w:r w:rsidR="00980E63" w:rsidRPr="0069781B">
        <w:rPr>
          <w:i/>
        </w:rPr>
        <w:t xml:space="preserve"> </w:t>
      </w:r>
      <w:r w:rsidR="00980E63" w:rsidRPr="0069781B">
        <w:t xml:space="preserve">2018 BCCA 100, 359 C.C.C. (3d) 427; </w:t>
      </w:r>
      <w:r w:rsidR="00980E63" w:rsidRPr="0069781B">
        <w:rPr>
          <w:i/>
        </w:rPr>
        <w:t>R. v. Bent</w:t>
      </w:r>
      <w:r w:rsidR="00980E63" w:rsidRPr="0069781B">
        <w:t>,</w:t>
      </w:r>
      <w:r w:rsidR="00980E63" w:rsidRPr="0069781B">
        <w:rPr>
          <w:i/>
        </w:rPr>
        <w:t xml:space="preserve"> </w:t>
      </w:r>
      <w:r w:rsidR="00980E63" w:rsidRPr="0069781B">
        <w:t xml:space="preserve">2017 ONSC 3189, 383 C.R.R. (2d) 161; </w:t>
      </w:r>
      <w:r w:rsidR="00980E63" w:rsidRPr="0069781B">
        <w:rPr>
          <w:i/>
        </w:rPr>
        <w:t>R. v. Yusuf</w:t>
      </w:r>
      <w:r w:rsidR="00980E63" w:rsidRPr="0069781B">
        <w:t>,</w:t>
      </w:r>
      <w:r w:rsidR="00980E63" w:rsidRPr="0069781B">
        <w:rPr>
          <w:i/>
        </w:rPr>
        <w:t xml:space="preserve"> </w:t>
      </w:r>
      <w:r w:rsidR="00980E63" w:rsidRPr="0069781B">
        <w:t>2011 B</w:t>
      </w:r>
      <w:r w:rsidR="005E719B" w:rsidRPr="0069781B">
        <w:t>CSC</w:t>
      </w:r>
      <w:r w:rsidR="00980E63" w:rsidRPr="0069781B">
        <w:t xml:space="preserve"> 626; </w:t>
      </w:r>
      <w:r w:rsidR="00980E63" w:rsidRPr="0069781B">
        <w:rPr>
          <w:i/>
        </w:rPr>
        <w:t>R. v. Mehanmal</w:t>
      </w:r>
      <w:r w:rsidR="00980E63" w:rsidRPr="0069781B">
        <w:t>,</w:t>
      </w:r>
      <w:r w:rsidR="00980E63" w:rsidRPr="0069781B">
        <w:rPr>
          <w:i/>
        </w:rPr>
        <w:t xml:space="preserve"> </w:t>
      </w:r>
      <w:r w:rsidR="00980E63" w:rsidRPr="0069781B">
        <w:t>2012 ONCJ 681, 270 C.R.R. (2d) 271;</w:t>
      </w:r>
      <w:r w:rsidR="00C93311" w:rsidRPr="0069781B">
        <w:t xml:space="preserve"> </w:t>
      </w:r>
      <w:r w:rsidR="00C93311" w:rsidRPr="0069781B">
        <w:rPr>
          <w:i/>
        </w:rPr>
        <w:t>R. v. Big M Drug Mart Ltd.</w:t>
      </w:r>
      <w:r w:rsidR="00C93311" w:rsidRPr="0069781B">
        <w:t>,</w:t>
      </w:r>
      <w:r w:rsidR="00C93311" w:rsidRPr="0069781B">
        <w:rPr>
          <w:i/>
        </w:rPr>
        <w:t xml:space="preserve"> </w:t>
      </w:r>
      <w:r w:rsidR="00C93311" w:rsidRPr="0069781B">
        <w:t xml:space="preserve">[1985] 1 S.C.R. 295; </w:t>
      </w:r>
      <w:r w:rsidR="00C93311" w:rsidRPr="0069781B">
        <w:rPr>
          <w:i/>
        </w:rPr>
        <w:t>R. v. K.R.J.</w:t>
      </w:r>
      <w:r w:rsidR="00C93311" w:rsidRPr="0069781B">
        <w:t>,</w:t>
      </w:r>
      <w:r w:rsidR="00C93311" w:rsidRPr="0069781B">
        <w:rPr>
          <w:i/>
        </w:rPr>
        <w:t xml:space="preserve"> </w:t>
      </w:r>
      <w:r w:rsidR="00C93311" w:rsidRPr="0069781B">
        <w:t xml:space="preserve">2016 SCC 31, [2016] 1 S.C.R. 906; </w:t>
      </w:r>
      <w:r w:rsidR="003F374C" w:rsidRPr="0069781B">
        <w:rPr>
          <w:i/>
        </w:rPr>
        <w:t>Liang v. Canada (Attorney General)</w:t>
      </w:r>
      <w:r w:rsidR="003F374C" w:rsidRPr="0069781B">
        <w:t xml:space="preserve">, 2014 BCCA 190, 355 B.C.A.C. 238; </w:t>
      </w:r>
      <w:r w:rsidR="003F374C" w:rsidRPr="0069781B">
        <w:rPr>
          <w:i/>
        </w:rPr>
        <w:t>R. v. S. (R.)</w:t>
      </w:r>
      <w:r w:rsidR="003F374C" w:rsidRPr="0069781B">
        <w:t xml:space="preserve">, 2015 ONCA 291, 333 C.R.R. (2d) 160; </w:t>
      </w:r>
      <w:r w:rsidR="00BE5935" w:rsidRPr="0069781B">
        <w:rPr>
          <w:i/>
        </w:rPr>
        <w:t>R. v. Simmonds</w:t>
      </w:r>
      <w:r w:rsidR="00BE5935" w:rsidRPr="0069781B">
        <w:t xml:space="preserve">, 2018 BCCA 205, 362 C.C.C. (3d) 215; </w:t>
      </w:r>
      <w:r w:rsidR="00BE5935" w:rsidRPr="0069781B">
        <w:rPr>
          <w:i/>
        </w:rPr>
        <w:t>R. v. Wilson</w:t>
      </w:r>
      <w:r w:rsidR="00BE5935" w:rsidRPr="0069781B">
        <w:t>, 2011 ONSC 89, 225 C.R.R. (2d) 234;</w:t>
      </w:r>
      <w:r w:rsidR="00B73DF9" w:rsidRPr="0069781B">
        <w:t xml:space="preserve"> </w:t>
      </w:r>
      <w:r w:rsidR="00B73DF9" w:rsidRPr="0069781B">
        <w:rPr>
          <w:i/>
        </w:rPr>
        <w:t>R. v. Wiles</w:t>
      </w:r>
      <w:r w:rsidR="00B73DF9" w:rsidRPr="0069781B">
        <w:t>,</w:t>
      </w:r>
      <w:r w:rsidR="00B73DF9" w:rsidRPr="0069781B">
        <w:rPr>
          <w:i/>
        </w:rPr>
        <w:t xml:space="preserve"> </w:t>
      </w:r>
      <w:r w:rsidR="00B73DF9" w:rsidRPr="0069781B">
        <w:t xml:space="preserve">2005 SCC 84, [2005] 3 S.C.R. 895; </w:t>
      </w:r>
      <w:r w:rsidR="00B73DF9" w:rsidRPr="0069781B">
        <w:rPr>
          <w:i/>
        </w:rPr>
        <w:t>R. v. Rodgers</w:t>
      </w:r>
      <w:r w:rsidR="00B73DF9" w:rsidRPr="0069781B">
        <w:t>,</w:t>
      </w:r>
      <w:r w:rsidR="00B73DF9" w:rsidRPr="0069781B">
        <w:rPr>
          <w:i/>
        </w:rPr>
        <w:t xml:space="preserve"> </w:t>
      </w:r>
      <w:r w:rsidR="00B73DF9" w:rsidRPr="0069781B">
        <w:t xml:space="preserve">2006 SCC 15, [2006] 1 S.C.R. 554; </w:t>
      </w:r>
      <w:r w:rsidR="00B73DF9" w:rsidRPr="0069781B">
        <w:rPr>
          <w:i/>
        </w:rPr>
        <w:t>R. v. Cross</w:t>
      </w:r>
      <w:r w:rsidR="00B73DF9" w:rsidRPr="0069781B">
        <w:t>,</w:t>
      </w:r>
      <w:r w:rsidR="00B73DF9" w:rsidRPr="0069781B">
        <w:rPr>
          <w:i/>
        </w:rPr>
        <w:t xml:space="preserve"> </w:t>
      </w:r>
      <w:r w:rsidR="00B73DF9" w:rsidRPr="0069781B">
        <w:t>2006 NSCA 30,</w:t>
      </w:r>
      <w:r w:rsidR="006F1136" w:rsidRPr="0069781B">
        <w:t xml:space="preserve"> 241 N.S.R. (2d) 349</w:t>
      </w:r>
      <w:r w:rsidR="00B73DF9" w:rsidRPr="0069781B">
        <w:t xml:space="preserve">; </w:t>
      </w:r>
      <w:r w:rsidR="00B73DF9" w:rsidRPr="0069781B">
        <w:rPr>
          <w:i/>
        </w:rPr>
        <w:t>R. v. Boudreault</w:t>
      </w:r>
      <w:r w:rsidR="00B73DF9" w:rsidRPr="0069781B">
        <w:t>,</w:t>
      </w:r>
      <w:r w:rsidR="00B73DF9" w:rsidRPr="0069781B">
        <w:rPr>
          <w:i/>
        </w:rPr>
        <w:t xml:space="preserve"> </w:t>
      </w:r>
      <w:r w:rsidR="00B73DF9" w:rsidRPr="0069781B">
        <w:t>2018 SCC 58</w:t>
      </w:r>
      <w:r w:rsidR="00A30617">
        <w:t>, [2018] 3</w:t>
      </w:r>
      <w:r w:rsidR="004011F6">
        <w:t xml:space="preserve"> S.C.R. </w:t>
      </w:r>
      <w:r w:rsidR="00A30617">
        <w:t>599</w:t>
      </w:r>
      <w:r w:rsidR="00B73DF9" w:rsidRPr="0069781B">
        <w:t xml:space="preserve">; </w:t>
      </w:r>
      <w:r w:rsidR="00B73DF9" w:rsidRPr="0069781B">
        <w:rPr>
          <w:i/>
        </w:rPr>
        <w:t>R. v. Johnson</w:t>
      </w:r>
      <w:r w:rsidR="00B73DF9" w:rsidRPr="0069781B">
        <w:t>,</w:t>
      </w:r>
      <w:r w:rsidR="00B73DF9" w:rsidRPr="0069781B">
        <w:rPr>
          <w:i/>
        </w:rPr>
        <w:t xml:space="preserve"> </w:t>
      </w:r>
      <w:r w:rsidR="00B73DF9" w:rsidRPr="0069781B">
        <w:t xml:space="preserve">2003 SCC 46, [2003] 2 S.C.R. 357; </w:t>
      </w:r>
      <w:r w:rsidR="00FC6A80" w:rsidRPr="0069781B">
        <w:rPr>
          <w:i/>
        </w:rPr>
        <w:t>Tran v. Canada (Public Safety and Emergency Preparedness)</w:t>
      </w:r>
      <w:r w:rsidR="00FC6A80" w:rsidRPr="0069781B">
        <w:t xml:space="preserve">, 2017 SCC 50, [2017] </w:t>
      </w:r>
      <w:r w:rsidR="00CA180C">
        <w:t>2</w:t>
      </w:r>
      <w:r w:rsidR="00FC6A80" w:rsidRPr="0069781B">
        <w:t xml:space="preserve"> S.C.R. 289; </w:t>
      </w:r>
      <w:r w:rsidR="004213B8" w:rsidRPr="0069781B">
        <w:rPr>
          <w:i/>
        </w:rPr>
        <w:t>R. v. R.A.R.</w:t>
      </w:r>
      <w:r w:rsidR="004213B8" w:rsidRPr="0069781B">
        <w:t>,</w:t>
      </w:r>
      <w:r w:rsidR="004213B8" w:rsidRPr="0069781B">
        <w:rPr>
          <w:i/>
        </w:rPr>
        <w:t xml:space="preserve"> </w:t>
      </w:r>
      <w:r w:rsidR="004213B8" w:rsidRPr="0069781B">
        <w:t xml:space="preserve">2000 SCC 8, [2000] 1 S.C.R. 163; </w:t>
      </w:r>
      <w:r w:rsidR="00FC6A80" w:rsidRPr="0069781B">
        <w:rPr>
          <w:i/>
        </w:rPr>
        <w:t>Canada</w:t>
      </w:r>
      <w:r w:rsidR="00FC6A80" w:rsidRPr="0069781B">
        <w:t xml:space="preserve"> </w:t>
      </w:r>
      <w:r w:rsidR="00FC6A80" w:rsidRPr="0069781B">
        <w:rPr>
          <w:i/>
        </w:rPr>
        <w:t>(Attorney General) v. Lewis</w:t>
      </w:r>
      <w:r w:rsidR="00FC6A80" w:rsidRPr="0069781B">
        <w:t>,</w:t>
      </w:r>
      <w:r w:rsidR="00FC6A80" w:rsidRPr="0069781B">
        <w:rPr>
          <w:i/>
        </w:rPr>
        <w:t xml:space="preserve"> </w:t>
      </w:r>
      <w:r w:rsidR="00FC6A80" w:rsidRPr="0069781B">
        <w:t xml:space="preserve">2015 ONCA 379, 126 O.R. (3d) 289; </w:t>
      </w:r>
      <w:r w:rsidR="00FC6A80" w:rsidRPr="0069781B">
        <w:rPr>
          <w:i/>
        </w:rPr>
        <w:t>Nucci v. Canada (Attorney General)</w:t>
      </w:r>
      <w:r w:rsidR="00FC6A80" w:rsidRPr="0069781B">
        <w:t>,</w:t>
      </w:r>
      <w:r w:rsidR="00FC6A80" w:rsidRPr="0069781B">
        <w:rPr>
          <w:i/>
        </w:rPr>
        <w:t xml:space="preserve"> </w:t>
      </w:r>
      <w:r w:rsidR="00FC6A80" w:rsidRPr="0069781B">
        <w:t>2015 MBCA 122, 333 C.C.C. (3d) 22</w:t>
      </w:r>
      <w:r w:rsidR="00CA180C">
        <w:t>1</w:t>
      </w:r>
      <w:r w:rsidR="00FC6A80" w:rsidRPr="0069781B">
        <w:t xml:space="preserve">; </w:t>
      </w:r>
      <w:r w:rsidR="004213B8" w:rsidRPr="0069781B">
        <w:rPr>
          <w:i/>
          <w:lang w:val="en-GB"/>
        </w:rPr>
        <w:t>R. v. Grant</w:t>
      </w:r>
      <w:r w:rsidR="000F3BAC" w:rsidRPr="0069781B">
        <w:rPr>
          <w:lang w:val="en-GB"/>
        </w:rPr>
        <w:t>, 2009 SCC 32, [2009] 2 S.</w:t>
      </w:r>
      <w:r w:rsidR="004213B8" w:rsidRPr="0069781B">
        <w:rPr>
          <w:lang w:val="en-GB"/>
        </w:rPr>
        <w:t>C.</w:t>
      </w:r>
      <w:r w:rsidR="000F3BAC" w:rsidRPr="0069781B">
        <w:rPr>
          <w:lang w:val="en-GB"/>
        </w:rPr>
        <w:t>R.</w:t>
      </w:r>
      <w:r w:rsidR="004213B8" w:rsidRPr="0069781B">
        <w:rPr>
          <w:lang w:val="en-GB"/>
        </w:rPr>
        <w:t xml:space="preserve"> 353; </w:t>
      </w:r>
      <w:r w:rsidR="004213B8" w:rsidRPr="0069781B">
        <w:rPr>
          <w:i/>
          <w:lang w:val="en-GB"/>
        </w:rPr>
        <w:t>R. v. Sinclair</w:t>
      </w:r>
      <w:r w:rsidR="004213B8" w:rsidRPr="0069781B">
        <w:rPr>
          <w:lang w:val="en-GB"/>
        </w:rPr>
        <w:t xml:space="preserve">, 2010 SCC 35, </w:t>
      </w:r>
      <w:r w:rsidR="006C20F5" w:rsidRPr="0069781B">
        <w:t>[2010] 2 S.C.R. 310</w:t>
      </w:r>
      <w:r w:rsidRPr="0069781B">
        <w:t xml:space="preserve">; </w:t>
      </w:r>
      <w:r w:rsidR="004213B8" w:rsidRPr="0069781B">
        <w:rPr>
          <w:i/>
        </w:rPr>
        <w:t xml:space="preserve">R. v. </w:t>
      </w:r>
      <w:r w:rsidR="00A215D4">
        <w:rPr>
          <w:i/>
        </w:rPr>
        <w:t>D.H.</w:t>
      </w:r>
      <w:r w:rsidR="004213B8" w:rsidRPr="0069781B">
        <w:t xml:space="preserve">, 2017 ONCJ 51; </w:t>
      </w:r>
      <w:r w:rsidR="004213B8" w:rsidRPr="0069781B">
        <w:rPr>
          <w:i/>
        </w:rPr>
        <w:t>R. v. McIntosh</w:t>
      </w:r>
      <w:r w:rsidR="004213B8" w:rsidRPr="0069781B">
        <w:t xml:space="preserve">, [1995] 1 S.C.R. 686; </w:t>
      </w:r>
      <w:r w:rsidR="000F3BAC" w:rsidRPr="0069781B">
        <w:rPr>
          <w:i/>
        </w:rPr>
        <w:t>R. v. Dunn</w:t>
      </w:r>
      <w:r w:rsidR="000F3BAC" w:rsidRPr="0069781B">
        <w:t xml:space="preserve">, [1995] 1 S.C.R. 226; </w:t>
      </w:r>
      <w:r w:rsidR="004213B8" w:rsidRPr="0069781B">
        <w:rPr>
          <w:i/>
        </w:rPr>
        <w:t>Carter v. The Queen</w:t>
      </w:r>
      <w:r w:rsidR="004213B8" w:rsidRPr="0069781B">
        <w:t xml:space="preserve">, [1986] 1 S.C.R. 981; </w:t>
      </w:r>
      <w:r w:rsidR="004213B8" w:rsidRPr="0069781B">
        <w:rPr>
          <w:i/>
        </w:rPr>
        <w:t>R. v. Kalanj</w:t>
      </w:r>
      <w:r w:rsidR="004213B8" w:rsidRPr="0069781B">
        <w:t xml:space="preserve">, [1989] 1 S.C.R. 1594; </w:t>
      </w:r>
      <w:r w:rsidR="004213B8" w:rsidRPr="0069781B">
        <w:rPr>
          <w:i/>
        </w:rPr>
        <w:t>R. v. Potvin</w:t>
      </w:r>
      <w:r w:rsidR="004213B8" w:rsidRPr="0069781B">
        <w:t xml:space="preserve">, [1993] 2 S.C.R. 880; </w:t>
      </w:r>
      <w:r w:rsidR="000F3BAC" w:rsidRPr="0069781B">
        <w:rPr>
          <w:i/>
        </w:rPr>
        <w:t>R. v. Kelly</w:t>
      </w:r>
      <w:r w:rsidR="000F3BAC" w:rsidRPr="0069781B">
        <w:t xml:space="preserve">, [1992] 2 S.C.R. 170; </w:t>
      </w:r>
      <w:r w:rsidRPr="0069781B">
        <w:rPr>
          <w:i/>
        </w:rPr>
        <w:t>R. v. Hooyer</w:t>
      </w:r>
      <w:r w:rsidRPr="0069781B">
        <w:t>,</w:t>
      </w:r>
      <w:r w:rsidRPr="0069781B">
        <w:rPr>
          <w:i/>
        </w:rPr>
        <w:t xml:space="preserve"> </w:t>
      </w:r>
      <w:r w:rsidRPr="0069781B">
        <w:t xml:space="preserve">2016 ONCA 44, 129 O.R. (3d) 81; </w:t>
      </w:r>
      <w:r w:rsidR="004213B8" w:rsidRPr="0069781B">
        <w:rPr>
          <w:i/>
        </w:rPr>
        <w:t>R. v. Dineley</w:t>
      </w:r>
      <w:r w:rsidR="004213B8" w:rsidRPr="0069781B">
        <w:t xml:space="preserve">, 2012 SCC 58, [2012] 3 S.C.R. 272; </w:t>
      </w:r>
      <w:r w:rsidR="004213B8" w:rsidRPr="0069781B">
        <w:rPr>
          <w:i/>
          <w:lang w:val="en-US"/>
        </w:rPr>
        <w:t>Brosseau v. Alberta Securities Commission</w:t>
      </w:r>
      <w:r w:rsidR="004213B8" w:rsidRPr="0069781B">
        <w:rPr>
          <w:lang w:val="en-US"/>
        </w:rPr>
        <w:t xml:space="preserve">, [1989] 1 S.C.R. 301; </w:t>
      </w:r>
      <w:r w:rsidR="004213B8" w:rsidRPr="0069781B">
        <w:rPr>
          <w:i/>
        </w:rPr>
        <w:t>R. v. Bengy</w:t>
      </w:r>
      <w:r w:rsidR="004213B8" w:rsidRPr="0069781B">
        <w:t>,</w:t>
      </w:r>
      <w:r w:rsidR="004213B8" w:rsidRPr="0069781B">
        <w:rPr>
          <w:i/>
        </w:rPr>
        <w:t xml:space="preserve"> </w:t>
      </w:r>
      <w:r w:rsidR="004213B8" w:rsidRPr="0069781B">
        <w:t xml:space="preserve">2015 ONCA 397, 325 C.C.C. (3d) 22; </w:t>
      </w:r>
      <w:r w:rsidRPr="0069781B">
        <w:rPr>
          <w:i/>
          <w:lang w:val="en-GB"/>
        </w:rPr>
        <w:t>Reference re</w:t>
      </w:r>
      <w:r w:rsidRPr="0069781B">
        <w:rPr>
          <w:i/>
          <w:iCs/>
          <w:lang w:val="en-GB"/>
        </w:rPr>
        <w:t> </w:t>
      </w:r>
      <w:r w:rsidR="00CC4C40" w:rsidRPr="0069781B">
        <w:rPr>
          <w:i/>
          <w:iCs/>
          <w:lang w:val="en-GB"/>
        </w:rPr>
        <w:t>ss. </w:t>
      </w:r>
      <w:r w:rsidRPr="0069781B">
        <w:rPr>
          <w:i/>
          <w:iCs/>
          <w:lang w:val="en-GB"/>
        </w:rPr>
        <w:t>193 and 195.1(1)(c) of the Criminal Code</w:t>
      </w:r>
      <w:r w:rsidRPr="0069781B">
        <w:rPr>
          <w:i/>
          <w:lang w:val="en-GB"/>
        </w:rPr>
        <w:t> (Man.)</w:t>
      </w:r>
      <w:r w:rsidRPr="0069781B">
        <w:rPr>
          <w:lang w:val="en-GB"/>
        </w:rPr>
        <w:t xml:space="preserve">, [1990] 1 S.C.R. 1123; </w:t>
      </w:r>
      <w:r w:rsidR="004213B8" w:rsidRPr="0069781B">
        <w:rPr>
          <w:i/>
        </w:rPr>
        <w:t xml:space="preserve">Canada (Attorney </w:t>
      </w:r>
      <w:r w:rsidR="004213B8" w:rsidRPr="0069781B">
        <w:rPr>
          <w:i/>
        </w:rPr>
        <w:lastRenderedPageBreak/>
        <w:t>General) v. Whaling</w:t>
      </w:r>
      <w:r w:rsidR="004213B8" w:rsidRPr="0069781B">
        <w:t>,</w:t>
      </w:r>
      <w:r w:rsidR="004213B8" w:rsidRPr="0069781B">
        <w:rPr>
          <w:i/>
        </w:rPr>
        <w:t xml:space="preserve"> </w:t>
      </w:r>
      <w:r w:rsidR="004213B8" w:rsidRPr="0069781B">
        <w:t xml:space="preserve">2014 SCC 20, [2014] 1 S.C.R. 392; </w:t>
      </w:r>
      <w:r w:rsidR="005A6350" w:rsidRPr="0069781B">
        <w:rPr>
          <w:i/>
        </w:rPr>
        <w:t>R. v. Daoust</w:t>
      </w:r>
      <w:r w:rsidR="005A6350" w:rsidRPr="0069781B">
        <w:t>,</w:t>
      </w:r>
      <w:r w:rsidR="005A6350" w:rsidRPr="0069781B">
        <w:rPr>
          <w:i/>
        </w:rPr>
        <w:t xml:space="preserve"> </w:t>
      </w:r>
      <w:r w:rsidR="005A6350" w:rsidRPr="0069781B">
        <w:t xml:space="preserve">2004 SCC 6, [2004] 1 S.C.R. 217; </w:t>
      </w:r>
      <w:r w:rsidR="00C85446" w:rsidRPr="0069781B">
        <w:rPr>
          <w:i/>
        </w:rPr>
        <w:t>Montréal (City) v. Quebec (Commission des droits de la personne et des droits de la jeunesse)</w:t>
      </w:r>
      <w:r w:rsidR="00C85446" w:rsidRPr="0069781B">
        <w:t xml:space="preserve">, 2008 SCC 48, [2008] 2 S.C.R. 698; </w:t>
      </w:r>
      <w:r w:rsidR="0041428C" w:rsidRPr="0069781B">
        <w:rPr>
          <w:i/>
        </w:rPr>
        <w:t>R. v. Stillman</w:t>
      </w:r>
      <w:r w:rsidR="0041428C" w:rsidRPr="0069781B">
        <w:t>, 2019 SCC 40</w:t>
      </w:r>
      <w:r w:rsidR="00416A02">
        <w:t>, [2019] 3</w:t>
      </w:r>
      <w:r w:rsidR="00CF3DF8">
        <w:t xml:space="preserve"> S.C.R. </w:t>
      </w:r>
      <w:r w:rsidR="007F76F4">
        <w:t>144</w:t>
      </w:r>
      <w:r w:rsidR="0041428C" w:rsidRPr="0069781B">
        <w:t xml:space="preserve">; </w:t>
      </w:r>
      <w:r w:rsidR="0041428C" w:rsidRPr="0069781B">
        <w:rPr>
          <w:i/>
        </w:rPr>
        <w:t>R. v. Kapp</w:t>
      </w:r>
      <w:r w:rsidR="0041428C" w:rsidRPr="0069781B">
        <w:t xml:space="preserve">, 2008 SCC 41, [2008] 2 S.C.R. 483; </w:t>
      </w:r>
      <w:r w:rsidR="005A6350" w:rsidRPr="0069781B">
        <w:rPr>
          <w:i/>
        </w:rPr>
        <w:t>R. v. S.A.C.</w:t>
      </w:r>
      <w:r w:rsidR="005A6350" w:rsidRPr="0069781B">
        <w:t>,</w:t>
      </w:r>
      <w:r w:rsidR="005A6350" w:rsidRPr="0069781B">
        <w:rPr>
          <w:i/>
        </w:rPr>
        <w:t xml:space="preserve"> </w:t>
      </w:r>
      <w:r w:rsidR="005A6350" w:rsidRPr="0069781B">
        <w:t>2008 SCC 47,</w:t>
      </w:r>
      <w:r w:rsidR="0041428C" w:rsidRPr="0069781B">
        <w:t xml:space="preserve"> [2008] 2 S.C.R. 675</w:t>
      </w:r>
      <w:r w:rsidR="00B16444" w:rsidRPr="0069781B">
        <w:t xml:space="preserve">; </w:t>
      </w:r>
      <w:r w:rsidR="005A341A" w:rsidRPr="0069781B">
        <w:rPr>
          <w:i/>
        </w:rPr>
        <w:t>R. v. Docherty</w:t>
      </w:r>
      <w:r w:rsidR="005A341A" w:rsidRPr="0069781B">
        <w:t xml:space="preserve">, [2016] UKSC 62, </w:t>
      </w:r>
      <w:r w:rsidR="00E67309" w:rsidRPr="0069781B">
        <w:t>[2017] 4 All E</w:t>
      </w:r>
      <w:r w:rsidR="0041428C" w:rsidRPr="0069781B">
        <w:t>.</w:t>
      </w:r>
      <w:r w:rsidR="00E67309" w:rsidRPr="0069781B">
        <w:t>R</w:t>
      </w:r>
      <w:r w:rsidR="0041428C" w:rsidRPr="0069781B">
        <w:t>.</w:t>
      </w:r>
      <w:r w:rsidR="00E67309" w:rsidRPr="0069781B">
        <w:t xml:space="preserve"> 263</w:t>
      </w:r>
      <w:r w:rsidR="0092255F" w:rsidRPr="0069781B">
        <w:t xml:space="preserve">; </w:t>
      </w:r>
      <w:r w:rsidR="00326C5D" w:rsidRPr="0069781B">
        <w:rPr>
          <w:i/>
        </w:rPr>
        <w:t>X</w:t>
      </w:r>
      <w:r w:rsidR="00105460">
        <w:rPr>
          <w:i/>
        </w:rPr>
        <w:t>.</w:t>
      </w:r>
      <w:r w:rsidR="00326C5D" w:rsidRPr="0069781B">
        <w:rPr>
          <w:i/>
        </w:rPr>
        <w:t xml:space="preserve"> v. Federal Republic of</w:t>
      </w:r>
      <w:r w:rsidR="00326C5D" w:rsidRPr="0069781B">
        <w:t xml:space="preserve"> </w:t>
      </w:r>
      <w:r w:rsidR="0092255F" w:rsidRPr="0069781B">
        <w:rPr>
          <w:i/>
        </w:rPr>
        <w:t>Germany</w:t>
      </w:r>
      <w:r w:rsidR="00326C5D" w:rsidRPr="0069781B">
        <w:t>, Application No. 7900/77, March 6, 1978, D.R.</w:t>
      </w:r>
      <w:r w:rsidR="000A1265" w:rsidRPr="0069781B">
        <w:t xml:space="preserve"> 13, p. </w:t>
      </w:r>
      <w:r w:rsidR="003E4A77" w:rsidRPr="0069781B">
        <w:t>70</w:t>
      </w:r>
      <w:r w:rsidR="0092255F" w:rsidRPr="0069781B">
        <w:t xml:space="preserve">; </w:t>
      </w:r>
      <w:r w:rsidR="0092255F" w:rsidRPr="0069781B">
        <w:rPr>
          <w:i/>
        </w:rPr>
        <w:t>Scoppola v. Italy (</w:t>
      </w:r>
      <w:r w:rsidR="00CC4C40" w:rsidRPr="0069781B">
        <w:rPr>
          <w:i/>
        </w:rPr>
        <w:t>No. </w:t>
      </w:r>
      <w:r w:rsidR="0092255F" w:rsidRPr="0069781B">
        <w:rPr>
          <w:i/>
        </w:rPr>
        <w:t>2)</w:t>
      </w:r>
      <w:r w:rsidR="00105460">
        <w:t xml:space="preserve"> (2010)</w:t>
      </w:r>
      <w:r w:rsidR="0092255F" w:rsidRPr="0069781B">
        <w:t xml:space="preserve">, 51 E.H.R.R. 12; </w:t>
      </w:r>
      <w:r w:rsidR="006C20F5" w:rsidRPr="0069781B">
        <w:rPr>
          <w:i/>
        </w:rPr>
        <w:t>Re B.C. Motor Vehicle Act</w:t>
      </w:r>
      <w:r w:rsidR="006C20F5" w:rsidRPr="0069781B">
        <w:t>,</w:t>
      </w:r>
      <w:r w:rsidR="006C20F5" w:rsidRPr="0069781B">
        <w:rPr>
          <w:i/>
        </w:rPr>
        <w:t xml:space="preserve"> </w:t>
      </w:r>
      <w:r w:rsidR="006C20F5" w:rsidRPr="0069781B">
        <w:t xml:space="preserve">[1985] 2 S.C.R. 486; </w:t>
      </w:r>
      <w:r w:rsidR="006C20F5" w:rsidRPr="0069781B">
        <w:rPr>
          <w:i/>
        </w:rPr>
        <w:t>R. v. M. (C.A.)</w:t>
      </w:r>
      <w:r w:rsidR="006C20F5" w:rsidRPr="0069781B">
        <w:t xml:space="preserve">, [1996] 1 S.C.R. 500; </w:t>
      </w:r>
      <w:r w:rsidR="006C20F5" w:rsidRPr="0069781B">
        <w:rPr>
          <w:i/>
        </w:rPr>
        <w:t>R. v. L.M.</w:t>
      </w:r>
      <w:r w:rsidR="006C20F5" w:rsidRPr="0069781B">
        <w:t xml:space="preserve">, 2008 SCC 31, [2008] 2 S.C.R. 163; </w:t>
      </w:r>
      <w:r w:rsidR="006C20F5" w:rsidRPr="0069781B">
        <w:rPr>
          <w:i/>
        </w:rPr>
        <w:t>R. v. Klemenz</w:t>
      </w:r>
      <w:r w:rsidR="006C20F5" w:rsidRPr="0069781B">
        <w:t xml:space="preserve">, 2015 SKCA 89, 465 Sask. R. 134; </w:t>
      </w:r>
      <w:r w:rsidR="00343057" w:rsidRPr="0069781B">
        <w:rPr>
          <w:i/>
        </w:rPr>
        <w:t>R. v. D.D.</w:t>
      </w:r>
      <w:r w:rsidR="00343057" w:rsidRPr="0069781B">
        <w:t xml:space="preserve">, 2000 SCC 43, [2000] 2 S.C.R. 275; </w:t>
      </w:r>
      <w:r w:rsidR="007C6DC3" w:rsidRPr="0069781B">
        <w:rPr>
          <w:i/>
        </w:rPr>
        <w:t>R. v. Dubois</w:t>
      </w:r>
      <w:r w:rsidR="007C6DC3" w:rsidRPr="0069781B">
        <w:t xml:space="preserve">, </w:t>
      </w:r>
      <w:r w:rsidR="00EB2AFD" w:rsidRPr="0069781B">
        <w:t>Que. Sup. Ct.</w:t>
      </w:r>
      <w:r w:rsidR="007C6DC3" w:rsidRPr="0069781B">
        <w:t>, December 8,</w:t>
      </w:r>
      <w:r w:rsidR="0092255F" w:rsidRPr="0069781B">
        <w:t xml:space="preserve"> </w:t>
      </w:r>
      <w:r w:rsidR="007C6DC3" w:rsidRPr="0069781B">
        <w:t>1982;</w:t>
      </w:r>
      <w:r w:rsidR="00D26CAB" w:rsidRPr="0069781B">
        <w:t xml:space="preserve"> </w:t>
      </w:r>
      <w:r w:rsidR="00D26CAB" w:rsidRPr="0069781B">
        <w:rPr>
          <w:i/>
        </w:rPr>
        <w:t>R. v. R.N.S.</w:t>
      </w:r>
      <w:r w:rsidR="00D26CAB" w:rsidRPr="0069781B">
        <w:t>, 2000 SCC 7, [2000] 1 S.C.R. 149.</w:t>
      </w:r>
    </w:p>
    <w:p w:rsidR="001A1A7A" w:rsidRPr="0069781B" w:rsidRDefault="007B2313" w:rsidP="00CC4C40">
      <w:pPr>
        <w:pStyle w:val="SCCNormalDoubleSpacing"/>
        <w:spacing w:after="720" w:line="240" w:lineRule="auto"/>
      </w:pPr>
      <w:r w:rsidRPr="0069781B">
        <w:t xml:space="preserve">By </w:t>
      </w:r>
      <w:r w:rsidR="00CC4C40" w:rsidRPr="0069781B">
        <w:t>Karakatsanis </w:t>
      </w:r>
      <w:r w:rsidR="001A1A7A" w:rsidRPr="0069781B">
        <w:t>J.</w:t>
      </w:r>
      <w:r w:rsidRPr="0069781B">
        <w:t xml:space="preserve"> (dissenting)</w:t>
      </w:r>
    </w:p>
    <w:p w:rsidR="001A1A7A" w:rsidRPr="0069781B" w:rsidRDefault="001A1A7A" w:rsidP="00CC4C40">
      <w:pPr>
        <w:pStyle w:val="SCCNormalDoubleSpacing"/>
        <w:spacing w:after="480"/>
        <w:rPr>
          <w:b/>
        </w:rPr>
      </w:pPr>
      <w:r w:rsidRPr="0069781B">
        <w:tab/>
      </w:r>
      <w:r w:rsidRPr="0069781B">
        <w:rPr>
          <w:i/>
        </w:rPr>
        <w:t>R. v. L. (J.</w:t>
      </w:r>
      <w:r w:rsidR="00CC4C40" w:rsidRPr="0069781B">
        <w:rPr>
          <w:i/>
        </w:rPr>
        <w:noBreakHyphen/>
      </w:r>
      <w:r w:rsidRPr="0069781B">
        <w:rPr>
          <w:i/>
        </w:rPr>
        <w:t>J.)</w:t>
      </w:r>
      <w:r w:rsidR="00991564">
        <w:t xml:space="preserve">, [1998] R.J.Q. </w:t>
      </w:r>
      <w:r w:rsidRPr="0069781B">
        <w:t xml:space="preserve">971; </w:t>
      </w:r>
      <w:r w:rsidRPr="0069781B">
        <w:rPr>
          <w:i/>
        </w:rPr>
        <w:t>R. v. Belzil</w:t>
      </w:r>
      <w:r w:rsidRPr="0069781B">
        <w:t xml:space="preserve">, [1989] R.J.Q. 1117; </w:t>
      </w:r>
      <w:r w:rsidRPr="0069781B">
        <w:rPr>
          <w:i/>
        </w:rPr>
        <w:t xml:space="preserve">R. </w:t>
      </w:r>
      <w:r w:rsidR="00AF1B25" w:rsidRPr="0069781B">
        <w:rPr>
          <w:i/>
        </w:rPr>
        <w:t>v</w:t>
      </w:r>
      <w:r w:rsidRPr="0069781B">
        <w:rPr>
          <w:i/>
        </w:rPr>
        <w:t>. Smith</w:t>
      </w:r>
      <w:r w:rsidR="00991564">
        <w:t xml:space="preserve">, 2004 SCC </w:t>
      </w:r>
      <w:r w:rsidRPr="0069781B">
        <w:t>14, [2004] 1</w:t>
      </w:r>
      <w:r w:rsidR="00991564">
        <w:t xml:space="preserve"> S.C.R. </w:t>
      </w:r>
      <w:r w:rsidRPr="0069781B">
        <w:t xml:space="preserve">385; </w:t>
      </w:r>
      <w:r w:rsidRPr="0069781B">
        <w:rPr>
          <w:i/>
        </w:rPr>
        <w:t>Borowski</w:t>
      </w:r>
      <w:r w:rsidRPr="0069781B">
        <w:t xml:space="preserve"> </w:t>
      </w:r>
      <w:r w:rsidRPr="0069781B">
        <w:rPr>
          <w:i/>
        </w:rPr>
        <w:t>v. Canada (Attorney General)</w:t>
      </w:r>
      <w:r w:rsidRPr="0069781B">
        <w:t xml:space="preserve">, [1989] 1 S.C.R. 342; </w:t>
      </w:r>
      <w:r w:rsidRPr="0069781B">
        <w:rPr>
          <w:i/>
        </w:rPr>
        <w:t>R. v. Cadman</w:t>
      </w:r>
      <w:r w:rsidR="00991564">
        <w:t xml:space="preserve">, 2018 BCCA </w:t>
      </w:r>
      <w:r w:rsidRPr="0069781B">
        <w:t xml:space="preserve">100, 359 C.C.C. (3d) 427; </w:t>
      </w:r>
      <w:r w:rsidRPr="0069781B">
        <w:rPr>
          <w:i/>
        </w:rPr>
        <w:t>R. v. A.E.S.</w:t>
      </w:r>
      <w:r w:rsidRPr="0069781B">
        <w:t xml:space="preserve">, 2018 BCCA 478, 369 C.C.C. (3d) 92; </w:t>
      </w:r>
      <w:r w:rsidRPr="0069781B">
        <w:rPr>
          <w:i/>
        </w:rPr>
        <w:t>R. v. Yusuf</w:t>
      </w:r>
      <w:r w:rsidR="00991564">
        <w:t xml:space="preserve">, 2011 </w:t>
      </w:r>
      <w:r w:rsidRPr="0069781B">
        <w:t>B</w:t>
      </w:r>
      <w:r w:rsidR="000503B7" w:rsidRPr="0069781B">
        <w:t>CSC</w:t>
      </w:r>
      <w:r w:rsidR="00991564">
        <w:t xml:space="preserve"> </w:t>
      </w:r>
      <w:r w:rsidRPr="0069781B">
        <w:t xml:space="preserve">626; </w:t>
      </w:r>
      <w:r w:rsidRPr="0069781B">
        <w:rPr>
          <w:i/>
        </w:rPr>
        <w:t>R. v</w:t>
      </w:r>
      <w:r w:rsidR="00142547" w:rsidRPr="0069781B">
        <w:rPr>
          <w:i/>
        </w:rPr>
        <w:t xml:space="preserve">. </w:t>
      </w:r>
      <w:r w:rsidRPr="0069781B">
        <w:rPr>
          <w:i/>
        </w:rPr>
        <w:t>G.</w:t>
      </w:r>
      <w:r w:rsidR="00142547" w:rsidRPr="0069781B">
        <w:rPr>
          <w:i/>
        </w:rPr>
        <w:t>C.</w:t>
      </w:r>
      <w:r w:rsidRPr="0069781B">
        <w:rPr>
          <w:i/>
        </w:rPr>
        <w:t>D.</w:t>
      </w:r>
      <w:r w:rsidR="00991564">
        <w:t xml:space="preserve">, 2011 MBQB </w:t>
      </w:r>
      <w:r w:rsidRPr="0069781B">
        <w:t xml:space="preserve">235, 271 Man. R. (2d) 41; </w:t>
      </w:r>
      <w:r w:rsidRPr="0069781B">
        <w:rPr>
          <w:i/>
        </w:rPr>
        <w:t>R. v. Mehanmal</w:t>
      </w:r>
      <w:r w:rsidRPr="0069781B">
        <w:t>,</w:t>
      </w:r>
      <w:r w:rsidRPr="0069781B">
        <w:rPr>
          <w:i/>
        </w:rPr>
        <w:t xml:space="preserve"> </w:t>
      </w:r>
      <w:r w:rsidRPr="0069781B">
        <w:t>201</w:t>
      </w:r>
      <w:r w:rsidR="00EB1880" w:rsidRPr="0069781B">
        <w:t>2 ONCJ 681, 270 C.R.R. (2d) 271</w:t>
      </w:r>
      <w:r w:rsidRPr="0069781B">
        <w:t xml:space="preserve">; </w:t>
      </w:r>
      <w:r w:rsidRPr="0069781B">
        <w:rPr>
          <w:i/>
        </w:rPr>
        <w:t>R. v. Leroux</w:t>
      </w:r>
      <w:r w:rsidR="00991564">
        <w:t xml:space="preserve">, 2015 SKCA </w:t>
      </w:r>
      <w:r w:rsidRPr="0069781B">
        <w:t xml:space="preserve">48, 460 Sask. R. 1; </w:t>
      </w:r>
      <w:r w:rsidRPr="0069781B">
        <w:rPr>
          <w:i/>
        </w:rPr>
        <w:t>R. v. E.H.</w:t>
      </w:r>
      <w:r w:rsidR="00991564">
        <w:t xml:space="preserve">, 2009 NLTD </w:t>
      </w:r>
      <w:r w:rsidRPr="0069781B">
        <w:t xml:space="preserve">62, 285 Nfld. &amp; P.E.I.R. 78; </w:t>
      </w:r>
      <w:r w:rsidRPr="0069781B">
        <w:rPr>
          <w:i/>
        </w:rPr>
        <w:t>R. v. Palacios</w:t>
      </w:r>
      <w:r w:rsidR="00991564">
        <w:t xml:space="preserve">, 2012 ONCJ </w:t>
      </w:r>
      <w:r w:rsidR="00EB1880" w:rsidRPr="0069781B">
        <w:t>195</w:t>
      </w:r>
      <w:r w:rsidRPr="0069781B">
        <w:t xml:space="preserve">; </w:t>
      </w:r>
      <w:r w:rsidRPr="0069781B">
        <w:rPr>
          <w:i/>
        </w:rPr>
        <w:t>R. v. Simmonds</w:t>
      </w:r>
      <w:r w:rsidR="00991564">
        <w:t xml:space="preserve">, 2018 BCCA </w:t>
      </w:r>
      <w:r w:rsidRPr="0069781B">
        <w:t xml:space="preserve">205, 415 C.R.R. (2d) 88; </w:t>
      </w:r>
      <w:r w:rsidRPr="0069781B">
        <w:rPr>
          <w:i/>
        </w:rPr>
        <w:t>R. v. F.C.</w:t>
      </w:r>
      <w:r w:rsidR="00991564">
        <w:t xml:space="preserve">, 2018 ONSC </w:t>
      </w:r>
      <w:r w:rsidRPr="0069781B">
        <w:t xml:space="preserve">561; </w:t>
      </w:r>
      <w:r w:rsidRPr="0069781B">
        <w:rPr>
          <w:i/>
        </w:rPr>
        <w:t>R. v. Boudreau</w:t>
      </w:r>
      <w:r w:rsidR="00991564">
        <w:t xml:space="preserve">, 2012 ONCJ </w:t>
      </w:r>
      <w:r w:rsidRPr="0069781B">
        <w:t xml:space="preserve">322; </w:t>
      </w:r>
      <w:r w:rsidR="00142547" w:rsidRPr="0069781B">
        <w:rPr>
          <w:i/>
        </w:rPr>
        <w:t>R. v. D.P.</w:t>
      </w:r>
      <w:r w:rsidR="00142547" w:rsidRPr="0069781B">
        <w:t xml:space="preserve">, 2014 ONSC 386; </w:t>
      </w:r>
      <w:r w:rsidRPr="0069781B">
        <w:rPr>
          <w:i/>
        </w:rPr>
        <w:t>R. v. Bent</w:t>
      </w:r>
      <w:r w:rsidRPr="0069781B">
        <w:t>,</w:t>
      </w:r>
      <w:r w:rsidRPr="0069781B">
        <w:rPr>
          <w:i/>
        </w:rPr>
        <w:t xml:space="preserve"> </w:t>
      </w:r>
      <w:r w:rsidR="00991564">
        <w:t xml:space="preserve">2017 ONSC </w:t>
      </w:r>
      <w:r w:rsidRPr="0069781B">
        <w:t xml:space="preserve">3189, 383 C.R.R. (2d) 161; </w:t>
      </w:r>
      <w:r w:rsidRPr="0069781B">
        <w:rPr>
          <w:i/>
        </w:rPr>
        <w:t xml:space="preserve">R. v. </w:t>
      </w:r>
      <w:r w:rsidRPr="0069781B">
        <w:rPr>
          <w:i/>
        </w:rPr>
        <w:lastRenderedPageBreak/>
        <w:t>Docherty</w:t>
      </w:r>
      <w:r w:rsidRPr="0069781B">
        <w:t>, [2016] UKSC 62, [2017] 4 All E</w:t>
      </w:r>
      <w:r w:rsidR="00142547" w:rsidRPr="0069781B">
        <w:t>.</w:t>
      </w:r>
      <w:r w:rsidRPr="0069781B">
        <w:t>R</w:t>
      </w:r>
      <w:r w:rsidR="00142547" w:rsidRPr="0069781B">
        <w:t>.</w:t>
      </w:r>
      <w:r w:rsidRPr="0069781B">
        <w:t xml:space="preserve"> 263; </w:t>
      </w:r>
      <w:r w:rsidRPr="0069781B">
        <w:rPr>
          <w:i/>
        </w:rPr>
        <w:t>Hunter v. Southam Inc.</w:t>
      </w:r>
      <w:r w:rsidR="008E2033">
        <w:t xml:space="preserve">, [1984] 2 S.C.R. </w:t>
      </w:r>
      <w:r w:rsidRPr="0069781B">
        <w:t xml:space="preserve">145; </w:t>
      </w:r>
      <w:r w:rsidRPr="0069781B">
        <w:rPr>
          <w:i/>
        </w:rPr>
        <w:t>R. v. Big M Drug Mart Ltd.</w:t>
      </w:r>
      <w:r w:rsidRPr="0069781B">
        <w:t>,</w:t>
      </w:r>
      <w:r w:rsidRPr="0069781B">
        <w:rPr>
          <w:i/>
        </w:rPr>
        <w:t xml:space="preserve"> </w:t>
      </w:r>
      <w:r w:rsidRPr="0069781B">
        <w:t xml:space="preserve">[1985] 1 S.C.R. 295; </w:t>
      </w:r>
      <w:r w:rsidRPr="0069781B">
        <w:rPr>
          <w:i/>
        </w:rPr>
        <w:t>R. v. Grant</w:t>
      </w:r>
      <w:r w:rsidR="008E2033">
        <w:t xml:space="preserve">, 2009 SCC </w:t>
      </w:r>
      <w:r w:rsidRPr="0069781B">
        <w:t>32, [2009] 2</w:t>
      </w:r>
      <w:r w:rsidR="008E2033">
        <w:t xml:space="preserve"> S.C.R. </w:t>
      </w:r>
      <w:r w:rsidRPr="0069781B">
        <w:t xml:space="preserve">353; </w:t>
      </w:r>
      <w:r w:rsidR="006E14D3">
        <w:rPr>
          <w:i/>
        </w:rPr>
        <w:t>Reference r</w:t>
      </w:r>
      <w:r w:rsidRPr="0069781B">
        <w:rPr>
          <w:i/>
        </w:rPr>
        <w:t>e Public Service Employee Relations Act (Alta.)</w:t>
      </w:r>
      <w:r w:rsidR="008E2033">
        <w:t xml:space="preserve">, [1987] 1 S.C.R. </w:t>
      </w:r>
      <w:r w:rsidRPr="0069781B">
        <w:t xml:space="preserve">313; </w:t>
      </w:r>
      <w:r w:rsidRPr="0069781B">
        <w:rPr>
          <w:i/>
        </w:rPr>
        <w:t xml:space="preserve">Manitoba (Attorney General) </w:t>
      </w:r>
      <w:r w:rsidR="00AF1B25" w:rsidRPr="0069781B">
        <w:rPr>
          <w:i/>
        </w:rPr>
        <w:t>v</w:t>
      </w:r>
      <w:r w:rsidRPr="0069781B">
        <w:rPr>
          <w:i/>
        </w:rPr>
        <w:t>. Metropolitan Stores Ltd.</w:t>
      </w:r>
      <w:r w:rsidRPr="0069781B">
        <w:t>, [1987] 1 S.C.R.</w:t>
      </w:r>
      <w:r w:rsidR="008E2033">
        <w:t xml:space="preserve"> </w:t>
      </w:r>
      <w:r w:rsidR="00EB1880" w:rsidRPr="0069781B">
        <w:t>110</w:t>
      </w:r>
      <w:r w:rsidRPr="0069781B">
        <w:t xml:space="preserve">; </w:t>
      </w:r>
      <w:r w:rsidRPr="0069781B">
        <w:rPr>
          <w:i/>
        </w:rPr>
        <w:t>R. v. K.R.J.</w:t>
      </w:r>
      <w:r w:rsidR="008E2033">
        <w:t xml:space="preserve">, 2016 SCC 31, [2016] 1 </w:t>
      </w:r>
      <w:r w:rsidRPr="0069781B">
        <w:t>S.C.R.</w:t>
      </w:r>
      <w:r w:rsidR="008E2033">
        <w:t xml:space="preserve"> </w:t>
      </w:r>
      <w:r w:rsidR="00EB1880" w:rsidRPr="0069781B">
        <w:t>906</w:t>
      </w:r>
      <w:r w:rsidRPr="0069781B">
        <w:t xml:space="preserve">; </w:t>
      </w:r>
      <w:r w:rsidR="000A1265" w:rsidRPr="0069781B">
        <w:rPr>
          <w:i/>
        </w:rPr>
        <w:t>Black</w:t>
      </w:r>
      <w:r w:rsidR="000A1265" w:rsidRPr="0069781B">
        <w:rPr>
          <w:i/>
        </w:rPr>
        <w:noBreakHyphen/>
      </w:r>
      <w:r w:rsidR="00B10568" w:rsidRPr="0069781B">
        <w:rPr>
          <w:i/>
        </w:rPr>
        <w:t>Clawson Internatio</w:t>
      </w:r>
      <w:r w:rsidR="000A1265" w:rsidRPr="0069781B">
        <w:rPr>
          <w:i/>
        </w:rPr>
        <w:t>nal Ltd. v. Papierwerke Waldhof</w:t>
      </w:r>
      <w:r w:rsidR="000A1265" w:rsidRPr="0069781B">
        <w:rPr>
          <w:i/>
        </w:rPr>
        <w:noBreakHyphen/>
      </w:r>
      <w:r w:rsidR="00B10568" w:rsidRPr="0069781B">
        <w:rPr>
          <w:i/>
        </w:rPr>
        <w:t>Aschaffenburg A.G.</w:t>
      </w:r>
      <w:r w:rsidR="00B10568" w:rsidRPr="0069781B">
        <w:t xml:space="preserve">, [1975] A.C. 591; </w:t>
      </w:r>
      <w:r w:rsidRPr="0069781B">
        <w:rPr>
          <w:i/>
        </w:rPr>
        <w:t>R. v. Lacasse</w:t>
      </w:r>
      <w:r w:rsidR="008E2033">
        <w:t xml:space="preserve">, 2015 SCC 64, [2015] 3 S.C.R. </w:t>
      </w:r>
      <w:r w:rsidRPr="0069781B">
        <w:t>1089.</w:t>
      </w:r>
    </w:p>
    <w:p w:rsidR="003B215F" w:rsidRPr="0069781B" w:rsidRDefault="002E6705" w:rsidP="00CC4C40">
      <w:pPr>
        <w:pStyle w:val="SCCNormalDoubleSpacing"/>
        <w:spacing w:after="720" w:line="240" w:lineRule="auto"/>
      </w:pPr>
      <w:r w:rsidRPr="0069781B">
        <w:rPr>
          <w:b/>
        </w:rPr>
        <w:t>Statutes and Regulations Cite</w:t>
      </w:r>
      <w:r w:rsidR="00A41805" w:rsidRPr="0069781B">
        <w:rPr>
          <w:b/>
        </w:rPr>
        <w:t>d</w:t>
      </w:r>
    </w:p>
    <w:p w:rsidR="00BC2369" w:rsidRPr="0069781B" w:rsidRDefault="00BC2369" w:rsidP="00795CA3">
      <w:pPr>
        <w:pStyle w:val="SCCNormalDoubleSpacing"/>
        <w:spacing w:after="240" w:line="240" w:lineRule="auto"/>
        <w:ind w:left="547" w:hanging="547"/>
      </w:pPr>
      <w:r w:rsidRPr="0069781B">
        <w:rPr>
          <w:i/>
        </w:rPr>
        <w:t>Act to amend the Criminal Code (protection of children and other vulnerable persons) and the Canada Evidence Act</w:t>
      </w:r>
      <w:r w:rsidR="000F1151" w:rsidRPr="0069781B">
        <w:t>, S.C. 2005, c. 32, s. </w:t>
      </w:r>
      <w:r w:rsidRPr="0069781B">
        <w:t>3.</w:t>
      </w:r>
    </w:p>
    <w:p w:rsidR="00B31122" w:rsidRPr="0069781B" w:rsidRDefault="00B31122" w:rsidP="00CC4C40">
      <w:pPr>
        <w:pStyle w:val="SCCNormalDoubleSpacing"/>
        <w:spacing w:after="240" w:line="240" w:lineRule="auto"/>
        <w:ind w:left="540" w:hanging="540"/>
      </w:pPr>
      <w:r w:rsidRPr="0069781B">
        <w:rPr>
          <w:i/>
        </w:rPr>
        <w:t>Canadian Bill of Rights</w:t>
      </w:r>
      <w:r w:rsidRPr="0069781B">
        <w:t>, S.C. 1960, c.</w:t>
      </w:r>
      <w:r w:rsidR="000F1151" w:rsidRPr="0069781B">
        <w:t> </w:t>
      </w:r>
      <w:r w:rsidRPr="0069781B">
        <w:t>44.</w:t>
      </w:r>
    </w:p>
    <w:p w:rsidR="007820F7" w:rsidRPr="0069781B" w:rsidRDefault="007820F7" w:rsidP="00CC4C40">
      <w:pPr>
        <w:pStyle w:val="SCCNormalDoubleSpacing"/>
        <w:spacing w:after="240" w:line="240" w:lineRule="auto"/>
        <w:ind w:left="540" w:hanging="540"/>
      </w:pPr>
      <w:r w:rsidRPr="0069781B">
        <w:rPr>
          <w:i/>
        </w:rPr>
        <w:t>Canadian Charter of Rights and Freedoms</w:t>
      </w:r>
      <w:r w:rsidRPr="0069781B">
        <w:t xml:space="preserve">, </w:t>
      </w:r>
      <w:r w:rsidR="00CC4C40" w:rsidRPr="0069781B">
        <w:t>ss. </w:t>
      </w:r>
      <w:r w:rsidR="0029751C" w:rsidRPr="0069781B">
        <w:t xml:space="preserve">7, </w:t>
      </w:r>
      <w:r w:rsidR="002319AA" w:rsidRPr="0069781B">
        <w:t>8,</w:t>
      </w:r>
      <w:r w:rsidR="007C3466" w:rsidRPr="0069781B">
        <w:t xml:space="preserve"> 10(</w:t>
      </w:r>
      <w:r w:rsidR="007C3466" w:rsidRPr="0069781B">
        <w:rPr>
          <w:i/>
        </w:rPr>
        <w:t>b</w:t>
      </w:r>
      <w:r w:rsidR="007C3466" w:rsidRPr="0069781B">
        <w:t>)</w:t>
      </w:r>
      <w:r w:rsidR="002319AA" w:rsidRPr="0069781B">
        <w:t xml:space="preserve"> </w:t>
      </w:r>
      <w:r w:rsidRPr="0069781B">
        <w:t>11</w:t>
      </w:r>
      <w:r w:rsidR="002319AA" w:rsidRPr="0069781B">
        <w:t>, 12</w:t>
      </w:r>
      <w:r w:rsidRPr="0069781B">
        <w:t>.</w:t>
      </w:r>
    </w:p>
    <w:p w:rsidR="00A149DF" w:rsidRPr="0069781B" w:rsidRDefault="00D6294A" w:rsidP="00CC4C40">
      <w:pPr>
        <w:pStyle w:val="SCCNormalDoubleSpacing"/>
        <w:spacing w:after="240" w:line="240" w:lineRule="auto"/>
        <w:ind w:left="540" w:hanging="540"/>
      </w:pPr>
      <w:r w:rsidRPr="0069781B">
        <w:rPr>
          <w:i/>
        </w:rPr>
        <w:t>Criminal Code</w:t>
      </w:r>
      <w:r w:rsidR="000F1151" w:rsidRPr="0069781B">
        <w:t>, R.S.C. 1970, c. </w:t>
      </w:r>
      <w:r w:rsidRPr="0069781B">
        <w:t>C</w:t>
      </w:r>
      <w:r w:rsidR="00CC4C40" w:rsidRPr="0069781B">
        <w:noBreakHyphen/>
      </w:r>
      <w:r w:rsidRPr="0069781B">
        <w:t>34, s</w:t>
      </w:r>
      <w:r w:rsidR="00760F5C" w:rsidRPr="0069781B">
        <w:t>s</w:t>
      </w:r>
      <w:r w:rsidRPr="0069781B">
        <w:t>.</w:t>
      </w:r>
      <w:r w:rsidR="000F1151" w:rsidRPr="0069781B">
        <w:t> </w:t>
      </w:r>
      <w:r w:rsidRPr="0069781B">
        <w:t>157</w:t>
      </w:r>
      <w:r w:rsidR="005F55C5" w:rsidRPr="0069781B">
        <w:t xml:space="preserve"> [re</w:t>
      </w:r>
      <w:r w:rsidR="00CC4C40" w:rsidRPr="0069781B">
        <w:t>p. </w:t>
      </w:r>
      <w:r w:rsidR="00C26C08" w:rsidRPr="0069781B">
        <w:t xml:space="preserve">&amp; sub. </w:t>
      </w:r>
      <w:r w:rsidR="000F1151" w:rsidRPr="0069781B">
        <w:t>c. </w:t>
      </w:r>
      <w:r w:rsidR="005F55C5" w:rsidRPr="0069781B">
        <w:t>19 (3rd Supp.), s.</w:t>
      </w:r>
      <w:r w:rsidR="000F1151" w:rsidRPr="0069781B">
        <w:t> </w:t>
      </w:r>
      <w:r w:rsidR="005F55C5" w:rsidRPr="0069781B">
        <w:t>4]</w:t>
      </w:r>
      <w:r w:rsidR="00760F5C" w:rsidRPr="0069781B">
        <w:t>, 246.1(1)(</w:t>
      </w:r>
      <w:r w:rsidR="00760F5C" w:rsidRPr="002C4817">
        <w:rPr>
          <w:i/>
        </w:rPr>
        <w:t>a</w:t>
      </w:r>
      <w:r w:rsidR="00760F5C" w:rsidRPr="0069781B">
        <w:t>)</w:t>
      </w:r>
      <w:r w:rsidR="004E7745" w:rsidRPr="0069781B">
        <w:t>.</w:t>
      </w:r>
    </w:p>
    <w:p w:rsidR="00FF4682" w:rsidRPr="0069781B" w:rsidRDefault="00FF4682" w:rsidP="00CC4C40">
      <w:pPr>
        <w:pStyle w:val="SCCNormalDoubleSpacing"/>
        <w:spacing w:after="240" w:line="240" w:lineRule="auto"/>
        <w:ind w:left="540" w:hanging="540"/>
      </w:pPr>
      <w:r w:rsidRPr="0069781B">
        <w:rPr>
          <w:i/>
        </w:rPr>
        <w:t>Criminal Code</w:t>
      </w:r>
      <w:r w:rsidRPr="0069781B">
        <w:t>, R.S.C. 1985, c.</w:t>
      </w:r>
      <w:r w:rsidR="000F1151" w:rsidRPr="0069781B">
        <w:t> </w:t>
      </w:r>
      <w:r w:rsidRPr="0069781B">
        <w:t>C</w:t>
      </w:r>
      <w:r w:rsidR="00CC4C40" w:rsidRPr="0069781B">
        <w:noBreakHyphen/>
      </w:r>
      <w:r w:rsidRPr="0069781B">
        <w:t xml:space="preserve">46, </w:t>
      </w:r>
      <w:r w:rsidR="00CC4C40" w:rsidRPr="0069781B">
        <w:t>ss. </w:t>
      </w:r>
      <w:r w:rsidRPr="0069781B">
        <w:t>151</w:t>
      </w:r>
      <w:r w:rsidR="00331C06" w:rsidRPr="0069781B">
        <w:rPr>
          <w:lang w:val="en-US"/>
        </w:rPr>
        <w:t xml:space="preserve">, </w:t>
      </w:r>
      <w:r w:rsidR="001101EE" w:rsidRPr="0069781B">
        <w:t xml:space="preserve">161(1)(c), </w:t>
      </w:r>
      <w:r w:rsidRPr="0069781B">
        <w:t>271</w:t>
      </w:r>
      <w:r w:rsidR="001101EE" w:rsidRPr="0069781B">
        <w:t>, 718.1,</w:t>
      </w:r>
      <w:r w:rsidR="001112C6" w:rsidRPr="0069781B">
        <w:t xml:space="preserve"> 718.2(b</w:t>
      </w:r>
      <w:r w:rsidR="004E7745" w:rsidRPr="0069781B">
        <w:t>)</w:t>
      </w:r>
      <w:r w:rsidR="001419DA" w:rsidRPr="0069781B">
        <w:t>, (d), (e)</w:t>
      </w:r>
      <w:r w:rsidR="004E7745" w:rsidRPr="0069781B">
        <w:t>,</w:t>
      </w:r>
      <w:r w:rsidR="001101EE" w:rsidRPr="0069781B">
        <w:t xml:space="preserve"> 742.1</w:t>
      </w:r>
      <w:r w:rsidR="00F534BC" w:rsidRPr="0069781B">
        <w:t xml:space="preserve"> [ad. S.C. </w:t>
      </w:r>
      <w:r w:rsidR="000F1151" w:rsidRPr="0069781B">
        <w:t>1995, c. </w:t>
      </w:r>
      <w:r w:rsidR="00F0037E" w:rsidRPr="0069781B">
        <w:t>2</w:t>
      </w:r>
      <w:r w:rsidR="000F1151" w:rsidRPr="0069781B">
        <w:t>2, s. </w:t>
      </w:r>
      <w:r w:rsidR="00F0037E" w:rsidRPr="0069781B">
        <w:t>6</w:t>
      </w:r>
      <w:r w:rsidR="000F1151" w:rsidRPr="0069781B">
        <w:t>; sub. S.C. 2012, c. </w:t>
      </w:r>
      <w:r w:rsidR="00F534BC" w:rsidRPr="0069781B">
        <w:t>1, s.</w:t>
      </w:r>
      <w:r w:rsidR="000F1151" w:rsidRPr="0069781B">
        <w:t> </w:t>
      </w:r>
      <w:r w:rsidR="00F534BC" w:rsidRPr="0069781B">
        <w:t>34]</w:t>
      </w:r>
      <w:r w:rsidRPr="0069781B">
        <w:t>.</w:t>
      </w:r>
    </w:p>
    <w:p w:rsidR="00FA3B64" w:rsidRPr="0069781B" w:rsidRDefault="00FA3B64" w:rsidP="00CC4C40">
      <w:pPr>
        <w:pStyle w:val="SCCNormalDoubleSpacing"/>
        <w:spacing w:after="240" w:line="240" w:lineRule="auto"/>
        <w:ind w:left="540" w:hanging="540"/>
        <w:rPr>
          <w:b/>
        </w:rPr>
      </w:pPr>
      <w:r w:rsidRPr="0069781B">
        <w:rPr>
          <w:i/>
        </w:rPr>
        <w:t>Interpretation Act</w:t>
      </w:r>
      <w:r w:rsidRPr="0069781B">
        <w:t>,</w:t>
      </w:r>
      <w:r w:rsidRPr="0069781B">
        <w:rPr>
          <w:i/>
        </w:rPr>
        <w:t xml:space="preserve"> </w:t>
      </w:r>
      <w:r w:rsidRPr="0069781B">
        <w:t>R.S.C. 1985, c.</w:t>
      </w:r>
      <w:r w:rsidR="000F1151" w:rsidRPr="0069781B">
        <w:t> </w:t>
      </w:r>
      <w:r w:rsidRPr="0069781B">
        <w:t>I</w:t>
      </w:r>
      <w:r w:rsidR="00CC4C40" w:rsidRPr="0069781B">
        <w:noBreakHyphen/>
      </w:r>
      <w:r w:rsidRPr="0069781B">
        <w:t xml:space="preserve">21, </w:t>
      </w:r>
      <w:r w:rsidR="00CC4C40" w:rsidRPr="0069781B">
        <w:t>ss. </w:t>
      </w:r>
      <w:r w:rsidR="002319AA" w:rsidRPr="0069781B">
        <w:t xml:space="preserve">43, </w:t>
      </w:r>
      <w:r w:rsidRPr="0069781B">
        <w:t>44(e)</w:t>
      </w:r>
      <w:r w:rsidR="000519F1" w:rsidRPr="0069781B">
        <w:t xml:space="preserve"> </w:t>
      </w:r>
      <w:r w:rsidR="000519F1" w:rsidRPr="0069781B">
        <w:rPr>
          <w:lang w:val="en"/>
        </w:rPr>
        <w:t xml:space="preserve">[previously </w:t>
      </w:r>
      <w:r w:rsidR="000519F1" w:rsidRPr="0069781B">
        <w:t>S.C. 1967</w:t>
      </w:r>
      <w:r w:rsidR="00CC4C40" w:rsidRPr="0069781B">
        <w:noBreakHyphen/>
      </w:r>
      <w:r w:rsidR="000F1151" w:rsidRPr="0069781B">
        <w:t>68, c. </w:t>
      </w:r>
      <w:r w:rsidR="000519F1" w:rsidRPr="0069781B">
        <w:t xml:space="preserve">7, </w:t>
      </w:r>
      <w:r w:rsidR="000F1151" w:rsidRPr="0069781B">
        <w:rPr>
          <w:lang w:val="en"/>
        </w:rPr>
        <w:t>s. </w:t>
      </w:r>
      <w:r w:rsidR="000519F1" w:rsidRPr="0069781B">
        <w:rPr>
          <w:lang w:val="en"/>
        </w:rPr>
        <w:t>37(</w:t>
      </w:r>
      <w:r w:rsidR="000519F1" w:rsidRPr="002C4817">
        <w:rPr>
          <w:i/>
          <w:lang w:val="en"/>
        </w:rPr>
        <w:t>e</w:t>
      </w:r>
      <w:r w:rsidR="000519F1" w:rsidRPr="0069781B">
        <w:rPr>
          <w:lang w:val="en"/>
        </w:rPr>
        <w:t>)]</w:t>
      </w:r>
      <w:r w:rsidRPr="0069781B">
        <w:t>.</w:t>
      </w:r>
    </w:p>
    <w:p w:rsidR="00FF4682" w:rsidRPr="0069781B" w:rsidRDefault="00FF4682" w:rsidP="00795CA3">
      <w:pPr>
        <w:pStyle w:val="SCCNormalDoubleSpacing"/>
        <w:spacing w:after="720" w:line="240" w:lineRule="auto"/>
        <w:ind w:left="547" w:hanging="547"/>
      </w:pPr>
      <w:r w:rsidRPr="0069781B">
        <w:rPr>
          <w:i/>
        </w:rPr>
        <w:t>Supreme Court Act</w:t>
      </w:r>
      <w:r w:rsidRPr="0069781B">
        <w:t>,</w:t>
      </w:r>
      <w:r w:rsidRPr="0069781B">
        <w:rPr>
          <w:i/>
        </w:rPr>
        <w:t xml:space="preserve"> </w:t>
      </w:r>
      <w:r w:rsidR="000F1151" w:rsidRPr="0069781B">
        <w:t>R.S.C. 1985, c. </w:t>
      </w:r>
      <w:r w:rsidRPr="0069781B">
        <w:t>S</w:t>
      </w:r>
      <w:r w:rsidR="00CC4C40" w:rsidRPr="0069781B">
        <w:noBreakHyphen/>
      </w:r>
      <w:r w:rsidR="000F1151" w:rsidRPr="0069781B">
        <w:t>26, s</w:t>
      </w:r>
      <w:r w:rsidR="007C3466" w:rsidRPr="0069781B">
        <w:t>s</w:t>
      </w:r>
      <w:r w:rsidR="000F1151" w:rsidRPr="0069781B">
        <w:t>. </w:t>
      </w:r>
      <w:r w:rsidR="007C3466" w:rsidRPr="0069781B">
        <w:t xml:space="preserve">40(1), </w:t>
      </w:r>
      <w:r w:rsidRPr="0069781B">
        <w:t>76.</w:t>
      </w:r>
    </w:p>
    <w:p w:rsidR="00F92987" w:rsidRPr="0069781B" w:rsidRDefault="00F92987" w:rsidP="00795CA3">
      <w:pPr>
        <w:pStyle w:val="SCCNormalDoubleSpacing"/>
        <w:spacing w:after="720" w:line="240" w:lineRule="auto"/>
        <w:ind w:left="547" w:hanging="547"/>
        <w:rPr>
          <w:b/>
        </w:rPr>
      </w:pPr>
      <w:r w:rsidRPr="0069781B">
        <w:rPr>
          <w:b/>
        </w:rPr>
        <w:t>Treaties and Other International Instruments</w:t>
      </w:r>
    </w:p>
    <w:p w:rsidR="00F92987" w:rsidRPr="0069781B" w:rsidRDefault="00EE7DD9" w:rsidP="000A1265">
      <w:pPr>
        <w:pStyle w:val="SCCNormalDoubleSpacing"/>
        <w:spacing w:after="240" w:line="240" w:lineRule="auto"/>
        <w:ind w:left="547" w:hanging="547"/>
      </w:pPr>
      <w:r w:rsidRPr="0069781B">
        <w:rPr>
          <w:i/>
        </w:rPr>
        <w:t>Convention for the Protection of Human Rights and Fundamental Freedoms</w:t>
      </w:r>
      <w:r w:rsidRPr="0069781B">
        <w:t xml:space="preserve">, 213 U.N.T.S. 221 [the </w:t>
      </w:r>
      <w:r w:rsidRPr="0069781B">
        <w:rPr>
          <w:i/>
        </w:rPr>
        <w:t>European Convention on Human Rights</w:t>
      </w:r>
      <w:r w:rsidRPr="0069781B">
        <w:t>]</w:t>
      </w:r>
      <w:r w:rsidR="00F92987" w:rsidRPr="0069781B">
        <w:t xml:space="preserve">, </w:t>
      </w:r>
      <w:r w:rsidR="00CC4C40" w:rsidRPr="0069781B">
        <w:t>art. </w:t>
      </w:r>
      <w:r w:rsidR="007C3466" w:rsidRPr="0069781B">
        <w:t>7</w:t>
      </w:r>
      <w:r w:rsidR="00F92987" w:rsidRPr="0069781B">
        <w:t>.</w:t>
      </w:r>
    </w:p>
    <w:p w:rsidR="00F92987" w:rsidRPr="0069781B" w:rsidRDefault="00F92987" w:rsidP="000A1265">
      <w:pPr>
        <w:pStyle w:val="SCCNormalDoubleSpacing"/>
        <w:spacing w:after="720" w:line="240" w:lineRule="auto"/>
        <w:ind w:left="547" w:hanging="547"/>
      </w:pPr>
      <w:r w:rsidRPr="0069781B">
        <w:rPr>
          <w:i/>
        </w:rPr>
        <w:t>International Covenant on Civil and Political Rights</w:t>
      </w:r>
      <w:r w:rsidRPr="0069781B">
        <w:t>,</w:t>
      </w:r>
      <w:r w:rsidRPr="0069781B">
        <w:rPr>
          <w:i/>
        </w:rPr>
        <w:t xml:space="preserve"> </w:t>
      </w:r>
      <w:r w:rsidRPr="0069781B">
        <w:t xml:space="preserve">Can. T.S. 1976 </w:t>
      </w:r>
      <w:r w:rsidR="00CC4C40" w:rsidRPr="0069781B">
        <w:t>No. </w:t>
      </w:r>
      <w:r w:rsidRPr="0069781B">
        <w:t xml:space="preserve">47, </w:t>
      </w:r>
      <w:r w:rsidR="00CC4C40" w:rsidRPr="0069781B">
        <w:t>art. </w:t>
      </w:r>
      <w:r w:rsidRPr="0069781B">
        <w:t>15(1).</w:t>
      </w:r>
    </w:p>
    <w:p w:rsidR="002E6705" w:rsidRPr="0069781B" w:rsidRDefault="002E6705" w:rsidP="00CC4C40">
      <w:pPr>
        <w:pStyle w:val="SCCNormalDoubleSpacing"/>
        <w:spacing w:after="720" w:line="240" w:lineRule="auto"/>
        <w:rPr>
          <w:b/>
          <w:lang w:val="en-US"/>
        </w:rPr>
      </w:pPr>
      <w:r w:rsidRPr="0069781B">
        <w:rPr>
          <w:b/>
          <w:lang w:val="en-US"/>
        </w:rPr>
        <w:lastRenderedPageBreak/>
        <w:t>Authors Cited</w:t>
      </w:r>
    </w:p>
    <w:p w:rsidR="00B27D85" w:rsidRPr="0069781B" w:rsidRDefault="00B27D85" w:rsidP="00CC4C40">
      <w:pPr>
        <w:pStyle w:val="SCCNormalDoubleSpacing"/>
        <w:spacing w:after="240" w:line="240" w:lineRule="auto"/>
        <w:ind w:left="540" w:hanging="540"/>
        <w:rPr>
          <w:lang w:val="en"/>
        </w:rPr>
      </w:pPr>
      <w:r w:rsidRPr="0069781B">
        <w:rPr>
          <w:lang w:val="en"/>
        </w:rPr>
        <w:t xml:space="preserve">Canada. Meeting of Officials on the Constitution. </w:t>
      </w:r>
      <w:r w:rsidRPr="0069781B">
        <w:rPr>
          <w:i/>
          <w:lang w:val="en"/>
        </w:rPr>
        <w:t>Canadian Charter of Rights and Freedoms (Draft for Discussion Purposes Only)</w:t>
      </w:r>
      <w:r w:rsidR="00C744A7" w:rsidRPr="0069781B">
        <w:rPr>
          <w:lang w:val="en"/>
        </w:rPr>
        <w:t>, div. III</w:t>
      </w:r>
      <w:r w:rsidRPr="0069781B">
        <w:rPr>
          <w:lang w:val="en"/>
        </w:rPr>
        <w:t>. Ottawa, 1979.</w:t>
      </w:r>
    </w:p>
    <w:p w:rsidR="000C2EB3" w:rsidRPr="0069781B" w:rsidRDefault="000C2EB3" w:rsidP="00CC4C40">
      <w:pPr>
        <w:pStyle w:val="SCCNormalDoubleSpacing"/>
        <w:spacing w:after="240" w:line="240" w:lineRule="auto"/>
        <w:ind w:left="540" w:hanging="540"/>
      </w:pPr>
      <w:r w:rsidRPr="0069781B">
        <w:rPr>
          <w:lang w:val="en"/>
        </w:rPr>
        <w:t xml:space="preserve">Canada. Senate and House of Commons. </w:t>
      </w:r>
      <w:r w:rsidRPr="0069781B">
        <w:rPr>
          <w:i/>
          <w:iCs/>
          <w:lang w:val="en"/>
        </w:rPr>
        <w:t>Minutes of Proceedings and Evidence of the Special Joint Committee of the Senate and of the House of Commons on the Constitution of Canada</w:t>
      </w:r>
      <w:r w:rsidRPr="0069781B">
        <w:rPr>
          <w:lang w:val="en"/>
        </w:rPr>
        <w:t xml:space="preserve">, </w:t>
      </w:r>
      <w:r w:rsidR="00CC4C40" w:rsidRPr="0069781B">
        <w:rPr>
          <w:lang w:val="en"/>
        </w:rPr>
        <w:t>No. </w:t>
      </w:r>
      <w:r w:rsidR="00DE1987" w:rsidRPr="0069781B">
        <w:rPr>
          <w:lang w:val="en"/>
        </w:rPr>
        <w:t>47</w:t>
      </w:r>
      <w:r w:rsidRPr="0069781B">
        <w:rPr>
          <w:lang w:val="en"/>
        </w:rPr>
        <w:t xml:space="preserve">, 1st Sess., 32nd Parl., </w:t>
      </w:r>
      <w:r w:rsidR="00C56179" w:rsidRPr="0069781B">
        <w:rPr>
          <w:lang w:val="en"/>
        </w:rPr>
        <w:t>January</w:t>
      </w:r>
      <w:r w:rsidR="004F01E0" w:rsidRPr="0069781B">
        <w:rPr>
          <w:lang w:val="en"/>
        </w:rPr>
        <w:t> </w:t>
      </w:r>
      <w:r w:rsidR="00C56179" w:rsidRPr="0069781B">
        <w:rPr>
          <w:lang w:val="en"/>
        </w:rPr>
        <w:t>28, 1981</w:t>
      </w:r>
      <w:r w:rsidRPr="0069781B">
        <w:rPr>
          <w:lang w:val="en"/>
        </w:rPr>
        <w:t xml:space="preserve">, </w:t>
      </w:r>
      <w:r w:rsidR="00CC4C40" w:rsidRPr="0069781B">
        <w:rPr>
          <w:lang w:val="en"/>
        </w:rPr>
        <w:t>pp. </w:t>
      </w:r>
      <w:r w:rsidRPr="0069781B">
        <w:rPr>
          <w:lang w:val="en"/>
        </w:rPr>
        <w:t>6</w:t>
      </w:r>
      <w:r w:rsidR="00C56179" w:rsidRPr="0069781B">
        <w:rPr>
          <w:lang w:val="en"/>
        </w:rPr>
        <w:t>5</w:t>
      </w:r>
      <w:r w:rsidR="00CC4C40" w:rsidRPr="0069781B">
        <w:rPr>
          <w:lang w:val="en"/>
        </w:rPr>
        <w:noBreakHyphen/>
      </w:r>
      <w:r w:rsidRPr="0069781B">
        <w:rPr>
          <w:lang w:val="en"/>
        </w:rPr>
        <w:t>6</w:t>
      </w:r>
      <w:r w:rsidR="00C56179" w:rsidRPr="0069781B">
        <w:rPr>
          <w:lang w:val="en"/>
        </w:rPr>
        <w:t>9</w:t>
      </w:r>
      <w:r w:rsidRPr="0069781B">
        <w:rPr>
          <w:lang w:val="en"/>
        </w:rPr>
        <w:t>.</w:t>
      </w:r>
    </w:p>
    <w:p w:rsidR="006E3D96" w:rsidRPr="0069781B" w:rsidRDefault="006E3D96" w:rsidP="00CC4C40">
      <w:pPr>
        <w:pStyle w:val="SCCNormalDoubleSpacing"/>
        <w:spacing w:after="240" w:line="240" w:lineRule="auto"/>
        <w:ind w:left="540" w:hanging="540"/>
      </w:pPr>
      <w:r w:rsidRPr="0069781B">
        <w:t xml:space="preserve">Canada. </w:t>
      </w:r>
      <w:r w:rsidRPr="0069781B">
        <w:rPr>
          <w:i/>
        </w:rPr>
        <w:t>The Canadian Constitution 1980: Proposed Resolution respecting the Constitution of Canada</w:t>
      </w:r>
      <w:r w:rsidRPr="0069781B">
        <w:t>. Ottawa: Government of Canada, 1980.</w:t>
      </w:r>
    </w:p>
    <w:p w:rsidR="00BD6C23" w:rsidRPr="0069781B" w:rsidRDefault="00BD6C23" w:rsidP="000A1265">
      <w:pPr>
        <w:pStyle w:val="SCCNormalDoubleSpacing"/>
        <w:spacing w:after="240" w:line="240" w:lineRule="auto"/>
        <w:ind w:left="547" w:hanging="547"/>
      </w:pPr>
      <w:r w:rsidRPr="0069781B">
        <w:t xml:space="preserve">Canada. </w:t>
      </w:r>
      <w:r w:rsidR="000C2EB3" w:rsidRPr="0069781B">
        <w:t>T</w:t>
      </w:r>
      <w:r w:rsidRPr="0069781B">
        <w:t xml:space="preserve">he Right Honourable Pierre Elliott Trudeau. </w:t>
      </w:r>
      <w:r w:rsidRPr="0069781B">
        <w:rPr>
          <w:i/>
        </w:rPr>
        <w:t xml:space="preserve">The Constitution and the People of Canada: An </w:t>
      </w:r>
      <w:r w:rsidR="00EB1578">
        <w:rPr>
          <w:i/>
        </w:rPr>
        <w:t>a</w:t>
      </w:r>
      <w:r w:rsidRPr="0069781B">
        <w:rPr>
          <w:i/>
        </w:rPr>
        <w:t>pproach to the Objectives of Confederation, the Rights of People and the Institutions of Government</w:t>
      </w:r>
      <w:r w:rsidR="00B31122" w:rsidRPr="0069781B">
        <w:t>.</w:t>
      </w:r>
      <w:r w:rsidR="00795CA3" w:rsidRPr="0069781B">
        <w:t xml:space="preserve"> Ottawa: Queen’s Printer, 1969.</w:t>
      </w:r>
    </w:p>
    <w:p w:rsidR="002E41C3" w:rsidRPr="0069781B" w:rsidRDefault="002E41C3" w:rsidP="00CC4C40">
      <w:pPr>
        <w:pStyle w:val="SCCNormalDoubleSpacing"/>
        <w:spacing w:after="240" w:line="240" w:lineRule="auto"/>
        <w:ind w:left="540" w:hanging="540"/>
      </w:pPr>
      <w:r w:rsidRPr="0069781B">
        <w:rPr>
          <w:i/>
          <w:iCs/>
        </w:rPr>
        <w:t xml:space="preserve">Canadian </w:t>
      </w:r>
      <w:r w:rsidRPr="0069781B">
        <w:rPr>
          <w:rStyle w:val="solexhl"/>
          <w:i/>
          <w:iCs/>
        </w:rPr>
        <w:t>Oxford</w:t>
      </w:r>
      <w:r w:rsidRPr="0069781B">
        <w:rPr>
          <w:i/>
          <w:iCs/>
        </w:rPr>
        <w:t xml:space="preserve"> </w:t>
      </w:r>
      <w:r w:rsidRPr="0069781B">
        <w:rPr>
          <w:rStyle w:val="solexhl"/>
          <w:i/>
          <w:iCs/>
        </w:rPr>
        <w:t>Dictionary</w:t>
      </w:r>
      <w:r w:rsidRPr="0069781B">
        <w:t xml:space="preserve">, 2nd ed. by Katherine </w:t>
      </w:r>
      <w:r w:rsidRPr="0069781B">
        <w:rPr>
          <w:rStyle w:val="solexhl"/>
        </w:rPr>
        <w:t>Barber, ed.</w:t>
      </w:r>
      <w:r w:rsidR="00EB26BF" w:rsidRPr="0069781B">
        <w:t xml:space="preserve"> Don Mills, </w:t>
      </w:r>
      <w:r w:rsidRPr="0069781B">
        <w:t xml:space="preserve">Ont.: </w:t>
      </w:r>
      <w:r w:rsidRPr="0069781B">
        <w:rPr>
          <w:rStyle w:val="solexhl"/>
        </w:rPr>
        <w:t>Oxford</w:t>
      </w:r>
      <w:r w:rsidRPr="0069781B">
        <w:t xml:space="preserve"> University Press, 2004, “lesser”.</w:t>
      </w:r>
    </w:p>
    <w:p w:rsidR="00A149DF" w:rsidRPr="0069781B" w:rsidRDefault="009D4ABA" w:rsidP="00CC4C40">
      <w:pPr>
        <w:pStyle w:val="SCCNormalDoubleSpacing"/>
        <w:spacing w:after="240" w:line="240" w:lineRule="auto"/>
        <w:ind w:left="540" w:hanging="540"/>
      </w:pPr>
      <w:r w:rsidRPr="0069781B">
        <w:rPr>
          <w:lang w:val="fr-CA"/>
        </w:rPr>
        <w:t>Chevrette, François, Hugo Cyr and François Tanguay</w:t>
      </w:r>
      <w:r w:rsidR="00CC4C40" w:rsidRPr="0069781B">
        <w:rPr>
          <w:lang w:val="fr-CA"/>
        </w:rPr>
        <w:noBreakHyphen/>
      </w:r>
      <w:r w:rsidRPr="0069781B">
        <w:rPr>
          <w:lang w:val="fr-CA"/>
        </w:rPr>
        <w:t>Renaud. “La protection lors de l’arrestation, la détention et la protection contre l’incrimination rétroactive”, in Gérald</w:t>
      </w:r>
      <w:r w:rsidR="00CC4C40" w:rsidRPr="0069781B">
        <w:rPr>
          <w:lang w:val="fr-CA"/>
        </w:rPr>
        <w:noBreakHyphen/>
      </w:r>
      <w:r w:rsidRPr="0069781B">
        <w:rPr>
          <w:lang w:val="fr-CA"/>
        </w:rPr>
        <w:t xml:space="preserve">A. Beaudoin and Errol Mendes, eds., </w:t>
      </w:r>
      <w:r w:rsidRPr="0069781B">
        <w:rPr>
          <w:i/>
          <w:lang w:val="fr-CA"/>
        </w:rPr>
        <w:t>Canadian Charter of Rights and Freedoms</w:t>
      </w:r>
      <w:r w:rsidR="00F92987" w:rsidRPr="0069781B">
        <w:rPr>
          <w:lang w:val="fr-CA"/>
        </w:rPr>
        <w:t>,</w:t>
      </w:r>
      <w:r w:rsidRPr="0069781B">
        <w:rPr>
          <w:i/>
          <w:lang w:val="fr-CA"/>
        </w:rPr>
        <w:t xml:space="preserve"> </w:t>
      </w:r>
      <w:r w:rsidRPr="0069781B">
        <w:rPr>
          <w:lang w:val="fr-CA"/>
        </w:rPr>
        <w:t xml:space="preserve">4th ed. </w:t>
      </w:r>
      <w:r w:rsidRPr="0069781B">
        <w:t>Mar</w:t>
      </w:r>
      <w:r w:rsidR="004E28EC">
        <w:t>k</w:t>
      </w:r>
      <w:r w:rsidRPr="0069781B">
        <w:t>ham, Ont.: LexisNexis Butterworths, 2005.</w:t>
      </w:r>
    </w:p>
    <w:p w:rsidR="002E41C3" w:rsidRPr="0069781B" w:rsidRDefault="002E41C3" w:rsidP="00CC4C40">
      <w:pPr>
        <w:pStyle w:val="SCCNormalDoubleSpacing"/>
        <w:spacing w:after="240" w:line="240" w:lineRule="auto"/>
        <w:ind w:left="540" w:hanging="540"/>
      </w:pPr>
      <w:r w:rsidRPr="0069781B">
        <w:rPr>
          <w:i/>
        </w:rPr>
        <w:t>Collins Canadian Dictionary</w:t>
      </w:r>
      <w:r w:rsidR="006A3180" w:rsidRPr="006A3180">
        <w:t>.</w:t>
      </w:r>
      <w:r w:rsidRPr="0069781B">
        <w:t xml:space="preserve"> Toronto: HarperCollins, 2010, “lesser”.</w:t>
      </w:r>
    </w:p>
    <w:p w:rsidR="006F3778" w:rsidRPr="0069781B" w:rsidRDefault="006F3778" w:rsidP="00CC4C40">
      <w:pPr>
        <w:pStyle w:val="SCCNormalDoubleSpacing"/>
        <w:spacing w:after="240" w:line="240" w:lineRule="auto"/>
        <w:ind w:left="540" w:hanging="540"/>
      </w:pPr>
      <w:r w:rsidRPr="0069781B">
        <w:rPr>
          <w:lang w:val="en"/>
        </w:rPr>
        <w:t xml:space="preserve">Hogg, Peter W. </w:t>
      </w:r>
      <w:r w:rsidRPr="0069781B">
        <w:rPr>
          <w:i/>
          <w:iCs/>
          <w:lang w:val="en"/>
        </w:rPr>
        <w:t>Constitutional Law of Canada</w:t>
      </w:r>
      <w:r w:rsidRPr="0069781B">
        <w:rPr>
          <w:lang w:val="en"/>
        </w:rPr>
        <w:t xml:space="preserve">, </w:t>
      </w:r>
      <w:r w:rsidR="001E7361" w:rsidRPr="0069781B">
        <w:rPr>
          <w:lang w:val="en"/>
        </w:rPr>
        <w:t xml:space="preserve">vol. 2, </w:t>
      </w:r>
      <w:r w:rsidRPr="0069781B">
        <w:rPr>
          <w:lang w:val="en"/>
        </w:rPr>
        <w:t>5th ed. Su</w:t>
      </w:r>
      <w:r w:rsidR="00CC4C40" w:rsidRPr="0069781B">
        <w:rPr>
          <w:lang w:val="en"/>
        </w:rPr>
        <w:t>pp. </w:t>
      </w:r>
      <w:r w:rsidRPr="0069781B">
        <w:rPr>
          <w:lang w:val="en"/>
        </w:rPr>
        <w:t xml:space="preserve">Scarborough, Ont.: Thomson/Carswell, 2007 (updated </w:t>
      </w:r>
      <w:r w:rsidR="00EE7DD9" w:rsidRPr="0069781B">
        <w:rPr>
          <w:lang w:val="en"/>
        </w:rPr>
        <w:t>2018</w:t>
      </w:r>
      <w:r w:rsidR="0029751C" w:rsidRPr="0069781B">
        <w:rPr>
          <w:lang w:val="en"/>
        </w:rPr>
        <w:t xml:space="preserve">, release </w:t>
      </w:r>
      <w:r w:rsidR="00EE7DD9" w:rsidRPr="0069781B">
        <w:rPr>
          <w:lang w:val="en"/>
        </w:rPr>
        <w:t>1</w:t>
      </w:r>
      <w:r w:rsidRPr="0069781B">
        <w:rPr>
          <w:lang w:val="en"/>
        </w:rPr>
        <w:t>).</w:t>
      </w:r>
    </w:p>
    <w:p w:rsidR="00B25C62" w:rsidRPr="0069781B" w:rsidRDefault="00A6233F" w:rsidP="00CC4C40">
      <w:pPr>
        <w:pStyle w:val="SCCNormalDoubleSpacing"/>
        <w:spacing w:after="240" w:line="240" w:lineRule="auto"/>
        <w:ind w:left="540" w:hanging="540"/>
        <w:rPr>
          <w:lang w:val="fr-CA"/>
        </w:rPr>
      </w:pPr>
      <w:r w:rsidRPr="0069781B">
        <w:t>McLeod, Roderick M.</w:t>
      </w:r>
      <w:r w:rsidR="001A7B61" w:rsidRPr="0069781B">
        <w:t>,</w:t>
      </w:r>
      <w:r w:rsidRPr="0069781B">
        <w:t xml:space="preserve"> et al.</w:t>
      </w:r>
      <w:r w:rsidR="00B25C62" w:rsidRPr="0069781B">
        <w:t xml:space="preserve"> </w:t>
      </w:r>
      <w:r w:rsidR="00B25C62" w:rsidRPr="0069781B">
        <w:rPr>
          <w:i/>
        </w:rPr>
        <w:t>The Canadian Charter of Rights: The Prosecution and Defence of Criminal and Other Statutory Offences</w:t>
      </w:r>
      <w:r w:rsidR="00B25C62" w:rsidRPr="0069781B">
        <w:t xml:space="preserve">, </w:t>
      </w:r>
      <w:r w:rsidR="00CC4C40" w:rsidRPr="0069781B">
        <w:t>vol. </w:t>
      </w:r>
      <w:r w:rsidR="00B25C62" w:rsidRPr="0069781B">
        <w:t xml:space="preserve">4. </w:t>
      </w:r>
      <w:r w:rsidR="00B25C62" w:rsidRPr="0069781B">
        <w:rPr>
          <w:lang w:val="fr-CA"/>
        </w:rPr>
        <w:t>Toronto: Carswell, 1983</w:t>
      </w:r>
      <w:r w:rsidR="00B25C62" w:rsidRPr="0069781B">
        <w:rPr>
          <w:i/>
          <w:lang w:val="fr-CA"/>
        </w:rPr>
        <w:t xml:space="preserve"> </w:t>
      </w:r>
      <w:r w:rsidR="00B25C62" w:rsidRPr="0069781B">
        <w:rPr>
          <w:lang w:val="fr-CA"/>
        </w:rPr>
        <w:t>(</w:t>
      </w:r>
      <w:r w:rsidRPr="0069781B">
        <w:rPr>
          <w:lang w:val="fr-CA"/>
        </w:rPr>
        <w:t>loose</w:t>
      </w:r>
      <w:r w:rsidR="00506DE6" w:rsidRPr="00B35658">
        <w:rPr>
          <w:lang w:val="fr-CA"/>
        </w:rPr>
        <w:noBreakHyphen/>
      </w:r>
      <w:r w:rsidRPr="0069781B">
        <w:rPr>
          <w:lang w:val="fr-CA"/>
        </w:rPr>
        <w:t xml:space="preserve">leaf </w:t>
      </w:r>
      <w:r w:rsidR="00B25C62" w:rsidRPr="0069781B">
        <w:rPr>
          <w:lang w:val="fr-CA"/>
        </w:rPr>
        <w:t>updated 2019, release 5).</w:t>
      </w:r>
    </w:p>
    <w:p w:rsidR="002E41C3" w:rsidRPr="0069781B" w:rsidRDefault="002E41C3" w:rsidP="00CC4C40">
      <w:pPr>
        <w:pStyle w:val="SCCNormalDoubleSpacing"/>
        <w:spacing w:after="240" w:line="240" w:lineRule="auto"/>
        <w:ind w:left="540" w:hanging="540"/>
      </w:pPr>
      <w:r w:rsidRPr="0069781B">
        <w:rPr>
          <w:i/>
          <w:iCs/>
          <w:lang w:val="fr-CA"/>
        </w:rPr>
        <w:t>Petit Robert: dictionnaire alphabétique et analogique de la langue française</w:t>
      </w:r>
      <w:r w:rsidRPr="0069781B">
        <w:rPr>
          <w:lang w:val="fr-CA"/>
        </w:rPr>
        <w:t xml:space="preserve">, nouvelle éd. </w:t>
      </w:r>
      <w:r w:rsidRPr="0069781B">
        <w:t xml:space="preserve">Paris: </w:t>
      </w:r>
      <w:r w:rsidRPr="0069781B">
        <w:rPr>
          <w:rStyle w:val="solexhl"/>
        </w:rPr>
        <w:t>Le</w:t>
      </w:r>
      <w:r w:rsidRPr="0069781B">
        <w:t xml:space="preserve"> </w:t>
      </w:r>
      <w:r w:rsidRPr="0069781B">
        <w:rPr>
          <w:rStyle w:val="solexhl"/>
        </w:rPr>
        <w:t>Robert</w:t>
      </w:r>
      <w:r w:rsidRPr="0069781B">
        <w:t xml:space="preserve">, </w:t>
      </w:r>
      <w:r w:rsidRPr="0069781B">
        <w:rPr>
          <w:rStyle w:val="solexhl"/>
        </w:rPr>
        <w:t>2012</w:t>
      </w:r>
      <w:r w:rsidRPr="0069781B">
        <w:t>, “</w:t>
      </w:r>
      <w:r w:rsidRPr="0069781B">
        <w:rPr>
          <w:i/>
        </w:rPr>
        <w:t>le moins</w:t>
      </w:r>
      <w:r w:rsidRPr="0069781B">
        <w:t>”.</w:t>
      </w:r>
    </w:p>
    <w:p w:rsidR="00CC5258" w:rsidRPr="0069781B" w:rsidRDefault="00CC5258" w:rsidP="00CC5258">
      <w:pPr>
        <w:pStyle w:val="SCCNormalDoubleSpacing"/>
        <w:spacing w:after="240" w:line="240" w:lineRule="auto"/>
        <w:ind w:left="539" w:hanging="539"/>
      </w:pPr>
      <w:r w:rsidRPr="0069781B">
        <w:rPr>
          <w:rStyle w:val="solexhl"/>
          <w:lang w:val="fr-CA"/>
        </w:rPr>
        <w:t>Vauclair, Martin and Tristan Desjardins</w:t>
      </w:r>
      <w:r w:rsidRPr="0069781B">
        <w:rPr>
          <w:lang w:val="fr-CA"/>
        </w:rPr>
        <w:t xml:space="preserve">. </w:t>
      </w:r>
      <w:r w:rsidRPr="0069781B">
        <w:rPr>
          <w:i/>
          <w:iCs/>
          <w:lang w:val="fr-FR"/>
        </w:rPr>
        <w:t>Traité général de preuve et de procédure pénales</w:t>
      </w:r>
      <w:r w:rsidRPr="0069781B">
        <w:rPr>
          <w:lang w:val="fr-FR"/>
        </w:rPr>
        <w:t>, 26</w:t>
      </w:r>
      <w:r w:rsidRPr="0069781B">
        <w:rPr>
          <w:vertAlign w:val="superscript"/>
          <w:lang w:val="fr-FR"/>
        </w:rPr>
        <w:t>e</w:t>
      </w:r>
      <w:r w:rsidRPr="0069781B">
        <w:rPr>
          <w:lang w:val="fr-FR"/>
        </w:rPr>
        <w:t xml:space="preserve"> éd. </w:t>
      </w:r>
      <w:r w:rsidRPr="0069781B">
        <w:t>Montréal: Yvon Blais, 2019.</w:t>
      </w:r>
    </w:p>
    <w:p w:rsidR="0018593C" w:rsidRPr="0069781B" w:rsidRDefault="0018593C" w:rsidP="00795CA3">
      <w:pPr>
        <w:pStyle w:val="SCCNormalDoubleSpacing"/>
        <w:spacing w:after="720" w:line="240" w:lineRule="auto"/>
        <w:ind w:left="547" w:hanging="547"/>
      </w:pPr>
      <w:r w:rsidRPr="0069781B">
        <w:t>Westen,</w:t>
      </w:r>
      <w:r w:rsidRPr="0069781B">
        <w:rPr>
          <w:i/>
        </w:rPr>
        <w:t xml:space="preserve"> </w:t>
      </w:r>
      <w:r w:rsidRPr="0069781B">
        <w:t>Peter. “</w:t>
      </w:r>
      <w:r w:rsidRPr="0069781B">
        <w:rPr>
          <w:i/>
        </w:rPr>
        <w:t>Lex Mitior</w:t>
      </w:r>
      <w:r w:rsidRPr="0069781B">
        <w:t xml:space="preserve">: Converse of </w:t>
      </w:r>
      <w:r w:rsidRPr="0069781B">
        <w:rPr>
          <w:i/>
        </w:rPr>
        <w:t xml:space="preserve">Ex Post Facto </w:t>
      </w:r>
      <w:r w:rsidRPr="0069781B">
        <w:t>and Window into Criminal Desert”</w:t>
      </w:r>
      <w:r w:rsidR="00EC3E34" w:rsidRPr="0069781B">
        <w:t xml:space="preserve"> (2015), 18 </w:t>
      </w:r>
      <w:r w:rsidR="00EC3E34" w:rsidRPr="0069781B">
        <w:rPr>
          <w:i/>
        </w:rPr>
        <w:t>New Crim. L. Rev.</w:t>
      </w:r>
      <w:r w:rsidR="00EC3E34" w:rsidRPr="0069781B">
        <w:t xml:space="preserve"> 167.</w:t>
      </w:r>
    </w:p>
    <w:p w:rsidR="001E54AE" w:rsidRPr="0069781B" w:rsidRDefault="00EC5EC1" w:rsidP="00CC4C40">
      <w:pPr>
        <w:pStyle w:val="SCCNormalDoubleSpacing"/>
        <w:spacing w:after="480"/>
      </w:pPr>
      <w:r w:rsidRPr="0069781B">
        <w:lastRenderedPageBreak/>
        <w:tab/>
      </w:r>
      <w:r w:rsidR="001E54AE" w:rsidRPr="0069781B">
        <w:t xml:space="preserve">MOTION to proceed with the appeal despite </w:t>
      </w:r>
      <w:r w:rsidR="00D3425A">
        <w:t xml:space="preserve">the </w:t>
      </w:r>
      <w:r w:rsidR="001E54AE" w:rsidRPr="0069781B">
        <w:t>re</w:t>
      </w:r>
      <w:r w:rsidR="00D3425A">
        <w:t>spondent’s death. Motion allowed</w:t>
      </w:r>
      <w:r w:rsidR="001E54AE" w:rsidRPr="0069781B">
        <w:t>,</w:t>
      </w:r>
      <w:r w:rsidR="007D0E76">
        <w:t xml:space="preserve"> Abella, Karakatsanis and Brown </w:t>
      </w:r>
      <w:r w:rsidR="001E54AE" w:rsidRPr="0069781B">
        <w:t>JJ. dissenting.</w:t>
      </w:r>
    </w:p>
    <w:p w:rsidR="00656313" w:rsidRPr="0069781B" w:rsidRDefault="001E54AE" w:rsidP="00CC4C40">
      <w:pPr>
        <w:pStyle w:val="SCCNormalDoubleSpacing"/>
        <w:spacing w:after="480"/>
      </w:pPr>
      <w:r w:rsidRPr="0069781B">
        <w:tab/>
      </w:r>
      <w:r w:rsidR="009B57B3" w:rsidRPr="0069781B">
        <w:t xml:space="preserve">APPEAL from a judgment of the </w:t>
      </w:r>
      <w:r w:rsidR="00F754D4" w:rsidRPr="0069781B">
        <w:t xml:space="preserve">Quebec </w:t>
      </w:r>
      <w:r w:rsidR="009B57B3" w:rsidRPr="0069781B">
        <w:t>Court of Appeal (</w:t>
      </w:r>
      <w:r w:rsidR="00EC5EC1" w:rsidRPr="0069781B">
        <w:t>Dutil, St</w:t>
      </w:r>
      <w:r w:rsidR="00CC4C40" w:rsidRPr="0069781B">
        <w:noBreakHyphen/>
      </w:r>
      <w:r w:rsidR="00EC5EC1" w:rsidRPr="0069781B">
        <w:t xml:space="preserve">Pierre and Mainville JJ.A.), 2018 QCCA 21, 43 C.R. (7th) 216, </w:t>
      </w:r>
      <w:r w:rsidR="00A01463" w:rsidRPr="0069781B">
        <w:t xml:space="preserve">[2018] </w:t>
      </w:r>
      <w:r w:rsidR="00EC5EC1" w:rsidRPr="0069781B">
        <w:t>AZ</w:t>
      </w:r>
      <w:r w:rsidR="00CC4C40" w:rsidRPr="0069781B">
        <w:noBreakHyphen/>
      </w:r>
      <w:r w:rsidR="00EC5EC1" w:rsidRPr="0069781B">
        <w:t>51456758, [2018] J.Q. n</w:t>
      </w:r>
      <w:r w:rsidR="00EC5EC1" w:rsidRPr="0069781B">
        <w:rPr>
          <w:vertAlign w:val="superscript"/>
        </w:rPr>
        <w:t>o</w:t>
      </w:r>
      <w:r w:rsidR="004F01E0" w:rsidRPr="0069781B">
        <w:t> </w:t>
      </w:r>
      <w:r w:rsidR="00EC5EC1" w:rsidRPr="0069781B">
        <w:t xml:space="preserve">73 (QL), 2018 CarswellQue 55 (WL Can.), affirming the sentencing </w:t>
      </w:r>
      <w:r w:rsidR="001B0317" w:rsidRPr="0069781B">
        <w:t>decision of</w:t>
      </w:r>
      <w:r w:rsidR="00EC5EC1" w:rsidRPr="0069781B">
        <w:t xml:space="preserve"> Vanchestein</w:t>
      </w:r>
      <w:r w:rsidR="004F01E0" w:rsidRPr="0069781B">
        <w:t> </w:t>
      </w:r>
      <w:r w:rsidR="00940D57" w:rsidRPr="0069781B">
        <w:t>J.</w:t>
      </w:r>
      <w:r w:rsidR="00EC5EC1" w:rsidRPr="0069781B">
        <w:t xml:space="preserve">, </w:t>
      </w:r>
      <w:r w:rsidR="00D66E6A" w:rsidRPr="0069781B">
        <w:t>2017 QCCQ 7015</w:t>
      </w:r>
      <w:r w:rsidR="00EC5EC1" w:rsidRPr="0069781B">
        <w:t xml:space="preserve">, </w:t>
      </w:r>
      <w:r w:rsidR="00755A51" w:rsidRPr="0069781B">
        <w:t xml:space="preserve">[2017] </w:t>
      </w:r>
      <w:r w:rsidR="00EC5EC1" w:rsidRPr="0069781B">
        <w:t>AZ</w:t>
      </w:r>
      <w:r w:rsidR="00CC4C40" w:rsidRPr="0069781B">
        <w:noBreakHyphen/>
      </w:r>
      <w:r w:rsidR="00755A51" w:rsidRPr="0069781B">
        <w:t>51400728, [2017] J.Q. n</w:t>
      </w:r>
      <w:r w:rsidR="00755A51" w:rsidRPr="0069781B">
        <w:rPr>
          <w:vertAlign w:val="superscript"/>
        </w:rPr>
        <w:t>o</w:t>
      </w:r>
      <w:r w:rsidR="007C74DD" w:rsidRPr="0069781B">
        <w:t xml:space="preserve"> 8287</w:t>
      </w:r>
      <w:r w:rsidR="00EC5EC1" w:rsidRPr="0069781B">
        <w:t xml:space="preserve"> (QL), </w:t>
      </w:r>
      <w:r w:rsidR="007C74DD" w:rsidRPr="0069781B">
        <w:t>2017 CarswellQue</w:t>
      </w:r>
      <w:r w:rsidR="00755A51" w:rsidRPr="0069781B">
        <w:t xml:space="preserve"> </w:t>
      </w:r>
      <w:r w:rsidR="007C74DD" w:rsidRPr="0069781B">
        <w:t>6146</w:t>
      </w:r>
      <w:r w:rsidR="00EC5EC1" w:rsidRPr="0069781B">
        <w:t xml:space="preserve"> (WL Can.).</w:t>
      </w:r>
      <w:r w:rsidR="003A1239" w:rsidRPr="0069781B">
        <w:t xml:space="preserve"> Appeal </w:t>
      </w:r>
      <w:r w:rsidR="003E6BC8" w:rsidRPr="0069781B">
        <w:t>allowed</w:t>
      </w:r>
      <w:r w:rsidR="00DE7FB2" w:rsidRPr="0069781B">
        <w:t>, Abella, Karakatsanis and Brown JJ. dissenting</w:t>
      </w:r>
      <w:r w:rsidR="00AF1B25" w:rsidRPr="0069781B">
        <w:t>.</w:t>
      </w:r>
    </w:p>
    <w:p w:rsidR="002636C6" w:rsidRPr="0069781B" w:rsidRDefault="009F0CF4" w:rsidP="00CC4C40">
      <w:pPr>
        <w:pStyle w:val="SCCNormalDoubleSpacing"/>
        <w:spacing w:after="480"/>
      </w:pPr>
      <w:r w:rsidRPr="0069781B">
        <w:rPr>
          <w:rStyle w:val="SCCCounselNameChar"/>
        </w:rPr>
        <w:tab/>
        <w:t>Maxime Hébrard</w:t>
      </w:r>
      <w:r w:rsidR="00940D57" w:rsidRPr="0069781B">
        <w:rPr>
          <w:rStyle w:val="SCCCounselNameChar"/>
        </w:rPr>
        <w:t xml:space="preserve"> </w:t>
      </w:r>
      <w:r w:rsidR="00940D57" w:rsidRPr="0069781B">
        <w:rPr>
          <w:rStyle w:val="SCCCounselNameChar"/>
          <w:i w:val="0"/>
        </w:rPr>
        <w:t>and</w:t>
      </w:r>
      <w:r w:rsidR="00940D57" w:rsidRPr="0069781B">
        <w:rPr>
          <w:rStyle w:val="SCCCounselNameChar"/>
        </w:rPr>
        <w:t xml:space="preserve"> Sylvie Villeneuve</w:t>
      </w:r>
      <w:r w:rsidRPr="0069781B">
        <w:rPr>
          <w:rStyle w:val="SCCCounselPartyRoleChar"/>
        </w:rPr>
        <w:t>, for the appellant.</w:t>
      </w:r>
    </w:p>
    <w:p w:rsidR="002636C6" w:rsidRPr="0069781B" w:rsidRDefault="009F0CF4" w:rsidP="00CC4C40">
      <w:pPr>
        <w:pStyle w:val="SCCNormalDoubleSpacing"/>
        <w:spacing w:after="480"/>
      </w:pPr>
      <w:r w:rsidRPr="0069781B">
        <w:rPr>
          <w:rStyle w:val="SCCCounselNameChar"/>
        </w:rPr>
        <w:tab/>
        <w:t>Nicolas Lemyre</w:t>
      </w:r>
      <w:r w:rsidR="00CC4C40" w:rsidRPr="0069781B">
        <w:rPr>
          <w:rStyle w:val="SCCCounselNameChar"/>
        </w:rPr>
        <w:noBreakHyphen/>
      </w:r>
      <w:r w:rsidRPr="0069781B">
        <w:rPr>
          <w:rStyle w:val="SCCCounselNameChar"/>
        </w:rPr>
        <w:t>Cossette</w:t>
      </w:r>
      <w:r w:rsidRPr="0069781B">
        <w:rPr>
          <w:rStyle w:val="SCCCounselSeparatorChar"/>
        </w:rPr>
        <w:t xml:space="preserve"> and </w:t>
      </w:r>
      <w:r w:rsidRPr="0069781B">
        <w:rPr>
          <w:rStyle w:val="SCCCounselNameChar"/>
        </w:rPr>
        <w:t>Lida Sara Nouraie</w:t>
      </w:r>
      <w:r w:rsidRPr="0069781B">
        <w:rPr>
          <w:rStyle w:val="SCCCounselPartyRoleChar"/>
        </w:rPr>
        <w:t>, for the respondent.</w:t>
      </w:r>
    </w:p>
    <w:p w:rsidR="002636C6" w:rsidRPr="0069781B" w:rsidRDefault="009F0CF4" w:rsidP="00CC4C40">
      <w:pPr>
        <w:pStyle w:val="SCCNormalDoubleSpacing"/>
        <w:spacing w:after="480"/>
      </w:pPr>
      <w:r w:rsidRPr="0069781B">
        <w:rPr>
          <w:rStyle w:val="SCCCounselNameChar"/>
        </w:rPr>
        <w:tab/>
        <w:t>Michael Perlin</w:t>
      </w:r>
      <w:r w:rsidRPr="0069781B">
        <w:rPr>
          <w:rStyle w:val="SCCCounselSeparatorChar"/>
        </w:rPr>
        <w:t xml:space="preserve"> and </w:t>
      </w:r>
      <w:r w:rsidRPr="0069781B">
        <w:rPr>
          <w:rStyle w:val="SCCCounselNameChar"/>
        </w:rPr>
        <w:t>Kathleen Farrell</w:t>
      </w:r>
      <w:r w:rsidRPr="0069781B">
        <w:rPr>
          <w:rStyle w:val="SCCCounselPartyRoleChar"/>
        </w:rPr>
        <w:t xml:space="preserve">, for the intervener </w:t>
      </w:r>
      <w:r w:rsidR="00940D57" w:rsidRPr="0069781B">
        <w:rPr>
          <w:rStyle w:val="SCCCounselPartyRoleChar"/>
        </w:rPr>
        <w:t xml:space="preserve">the </w:t>
      </w:r>
      <w:r w:rsidRPr="0069781B">
        <w:rPr>
          <w:rStyle w:val="SCCCounselPartyRoleChar"/>
        </w:rPr>
        <w:t>Attorney General of Ontario.</w:t>
      </w:r>
    </w:p>
    <w:p w:rsidR="002636C6" w:rsidRPr="0069781B" w:rsidRDefault="009F0CF4" w:rsidP="00CC4C40">
      <w:pPr>
        <w:pStyle w:val="SCCNormalDoubleSpacing"/>
        <w:spacing w:after="480"/>
        <w:rPr>
          <w:lang w:val="fr-CA"/>
        </w:rPr>
      </w:pPr>
      <w:r w:rsidRPr="0069781B">
        <w:rPr>
          <w:rStyle w:val="SCCCounselNameChar"/>
        </w:rPr>
        <w:tab/>
      </w:r>
      <w:r w:rsidRPr="0069781B">
        <w:rPr>
          <w:rStyle w:val="SCCCounselNameChar"/>
          <w:lang w:val="fr-CA"/>
        </w:rPr>
        <w:t>Gabriel Babineau</w:t>
      </w:r>
      <w:r w:rsidRPr="0069781B">
        <w:rPr>
          <w:rStyle w:val="SCCCounselSeparatorChar"/>
          <w:lang w:val="fr-CA"/>
        </w:rPr>
        <w:t xml:space="preserve"> and </w:t>
      </w:r>
      <w:r w:rsidR="00940D57" w:rsidRPr="0069781B">
        <w:rPr>
          <w:rStyle w:val="SCCCounselNameChar"/>
          <w:lang w:val="fr-CA"/>
        </w:rPr>
        <w:t>Vincent</w:t>
      </w:r>
      <w:r w:rsidRPr="0069781B">
        <w:rPr>
          <w:rStyle w:val="SCCCounselNameChar"/>
          <w:lang w:val="fr-CA"/>
        </w:rPr>
        <w:t xml:space="preserve"> Paquet</w:t>
      </w:r>
      <w:r w:rsidRPr="0069781B">
        <w:rPr>
          <w:rStyle w:val="SCCCounselPartyRoleChar"/>
          <w:lang w:val="fr-CA"/>
        </w:rPr>
        <w:t>, for the intervener Association québécoise des avocats et avocates de la défense.</w:t>
      </w:r>
    </w:p>
    <w:p w:rsidR="005A0BEE" w:rsidRDefault="009F0CF4" w:rsidP="000738FC">
      <w:pPr>
        <w:pStyle w:val="SCCNormalDoubleSpacing"/>
        <w:spacing w:after="480"/>
        <w:rPr>
          <w:rStyle w:val="SCCCounselPartyRoleChar"/>
        </w:rPr>
      </w:pPr>
      <w:r w:rsidRPr="0069781B">
        <w:rPr>
          <w:rStyle w:val="SCCCounselNameChar"/>
          <w:lang w:val="fr-CA"/>
        </w:rPr>
        <w:tab/>
      </w:r>
      <w:r w:rsidRPr="0069781B">
        <w:rPr>
          <w:rStyle w:val="SCCCounselNameChar"/>
        </w:rPr>
        <w:t>Breana Vandeb</w:t>
      </w:r>
      <w:r w:rsidR="0093069C" w:rsidRPr="0069781B">
        <w:rPr>
          <w:rStyle w:val="SCCCounselNameChar"/>
        </w:rPr>
        <w:t>e</w:t>
      </w:r>
      <w:r w:rsidRPr="0069781B">
        <w:rPr>
          <w:rStyle w:val="SCCCounselNameChar"/>
        </w:rPr>
        <w:t>ek</w:t>
      </w:r>
      <w:r w:rsidR="004506CB" w:rsidRPr="0069781B">
        <w:rPr>
          <w:rStyle w:val="SCCCounselNameChar"/>
        </w:rPr>
        <w:t xml:space="preserve"> </w:t>
      </w:r>
      <w:r w:rsidR="004506CB" w:rsidRPr="0069781B">
        <w:rPr>
          <w:rStyle w:val="SCCCounselNameChar"/>
          <w:i w:val="0"/>
        </w:rPr>
        <w:t>and</w:t>
      </w:r>
      <w:r w:rsidR="004506CB" w:rsidRPr="0069781B">
        <w:rPr>
          <w:rStyle w:val="SCCCounselNameChar"/>
        </w:rPr>
        <w:t xml:space="preserve"> Marianne Salih</w:t>
      </w:r>
      <w:r w:rsidRPr="0069781B">
        <w:rPr>
          <w:rStyle w:val="SCCCounselPartyRoleChar"/>
        </w:rPr>
        <w:t xml:space="preserve">, for the intervener </w:t>
      </w:r>
      <w:r w:rsidR="00940D57" w:rsidRPr="0069781B">
        <w:rPr>
          <w:rStyle w:val="SCCCounselPartyRoleChar"/>
        </w:rPr>
        <w:t xml:space="preserve">the </w:t>
      </w:r>
      <w:r w:rsidRPr="0069781B">
        <w:rPr>
          <w:rStyle w:val="SCCCounselPartyRoleChar"/>
        </w:rPr>
        <w:t>Criminal Lawyers</w:t>
      </w:r>
      <w:r w:rsidR="00EC5EC1" w:rsidRPr="0069781B">
        <w:rPr>
          <w:rStyle w:val="SCCCounselPartyRoleChar"/>
        </w:rPr>
        <w:t>’</w:t>
      </w:r>
      <w:r w:rsidRPr="0069781B">
        <w:rPr>
          <w:rStyle w:val="SCCCounselPartyRoleChar"/>
        </w:rPr>
        <w:t xml:space="preserve"> Association.</w:t>
      </w:r>
    </w:p>
    <w:p w:rsidR="000738FC" w:rsidRDefault="00674CDD" w:rsidP="00674CDD">
      <w:pPr>
        <w:pStyle w:val="SCCNormalDoubleSpacing"/>
        <w:spacing w:after="480"/>
      </w:pPr>
      <w:r>
        <w:lastRenderedPageBreak/>
        <w:tab/>
      </w:r>
      <w:r w:rsidR="000738FC" w:rsidRPr="00644378">
        <w:t xml:space="preserve">The </w:t>
      </w:r>
      <w:r w:rsidR="000738FC" w:rsidRPr="00674CDD">
        <w:rPr>
          <w:rStyle w:val="SCCCounselPartyRoleChar"/>
        </w:rPr>
        <w:t>judgment</w:t>
      </w:r>
      <w:r w:rsidR="000738FC" w:rsidRPr="00644378">
        <w:t xml:space="preserve"> of Wagner C.J. and Moldaver, </w:t>
      </w:r>
      <w:r w:rsidR="000738FC">
        <w:t xml:space="preserve">Côté </w:t>
      </w:r>
      <w:r w:rsidR="000738FC" w:rsidRPr="00644378">
        <w:t>and Martin JJ. was delivered by</w:t>
      </w:r>
    </w:p>
    <w:p w:rsidR="000738FC" w:rsidRDefault="005A0BEE" w:rsidP="000738FC">
      <w:pPr>
        <w:pStyle w:val="JudgeJuge"/>
      </w:pPr>
      <w:r>
        <w:tab/>
        <w:t>Martin </w:t>
      </w:r>
      <w:r w:rsidR="000738FC" w:rsidRPr="00D5269A">
        <w:t xml:space="preserve">J. — </w:t>
      </w:r>
    </w:p>
    <w:p w:rsidR="000738FC" w:rsidRPr="00D5269A" w:rsidRDefault="000738FC" w:rsidP="000738FC">
      <w:pPr>
        <w:pStyle w:val="Title1LevelTitre1Niveau-AltL"/>
        <w:rPr>
          <w:rFonts w:cs="Times New Roman"/>
        </w:rPr>
      </w:pPr>
      <w:bookmarkStart w:id="1" w:name="_Toc11503095"/>
      <w:bookmarkStart w:id="2" w:name="_Toc12005409"/>
      <w:bookmarkStart w:id="3" w:name="_Toc14423802"/>
      <w:bookmarkStart w:id="4" w:name="_Toc15313745"/>
      <w:r w:rsidRPr="00D5269A">
        <w:rPr>
          <w:rFonts w:cs="Times New Roman"/>
        </w:rPr>
        <w:t>Overview</w:t>
      </w:r>
      <w:bookmarkEnd w:id="1"/>
      <w:bookmarkEnd w:id="2"/>
      <w:bookmarkEnd w:id="3"/>
      <w:bookmarkEnd w:id="4"/>
    </w:p>
    <w:p w:rsidR="000738FC" w:rsidRPr="00D5269A" w:rsidRDefault="000738FC" w:rsidP="000738FC">
      <w:pPr>
        <w:pStyle w:val="ParaNoNdepar-AltN"/>
        <w:rPr>
          <w:rFonts w:cs="Times New Roman"/>
        </w:rPr>
      </w:pPr>
      <w:r w:rsidRPr="00D5269A">
        <w:rPr>
          <w:rFonts w:cs="Times New Roman"/>
        </w:rPr>
        <w:t>Every person charged with an offence in Canada enjoys certain basic rights. On</w:t>
      </w:r>
      <w:r w:rsidR="00732F4F">
        <w:rPr>
          <w:rFonts w:cs="Times New Roman"/>
        </w:rPr>
        <w:t>e such right is contained in s. </w:t>
      </w:r>
      <w:r w:rsidRPr="00D5269A">
        <w:rPr>
          <w:rFonts w:cs="Times New Roman"/>
        </w:rPr>
        <w:t>11(</w:t>
      </w:r>
      <w:r w:rsidRPr="00D5269A">
        <w:rPr>
          <w:rFonts w:cs="Times New Roman"/>
          <w:i/>
        </w:rPr>
        <w:t>i</w:t>
      </w:r>
      <w:r w:rsidRPr="00D5269A">
        <w:rPr>
          <w:rFonts w:cs="Times New Roman"/>
        </w:rPr>
        <w:t xml:space="preserve">) of the </w:t>
      </w:r>
      <w:r w:rsidRPr="00D5269A">
        <w:rPr>
          <w:rFonts w:cs="Times New Roman"/>
          <w:i/>
        </w:rPr>
        <w:t xml:space="preserve">Canadian Charter of Rights and Freedoms </w:t>
      </w:r>
      <w:r w:rsidRPr="00D5269A">
        <w:rPr>
          <w:rFonts w:cs="Times New Roman"/>
        </w:rPr>
        <w:t>(“</w:t>
      </w:r>
      <w:r w:rsidRPr="00D5269A">
        <w:rPr>
          <w:rFonts w:cs="Times New Roman"/>
          <w:i/>
        </w:rPr>
        <w:t>Charter</w:t>
      </w:r>
      <w:r w:rsidRPr="00D5269A">
        <w:rPr>
          <w:rFonts w:cs="Times New Roman"/>
        </w:rPr>
        <w:t>”), which grants a person found guilty of an offence the right “to the benefit of the lesser punishment” “if the punishment .</w:t>
      </w:r>
      <w:r w:rsidR="0041645E">
        <w:rPr>
          <w:rFonts w:cs="Times New Roman"/>
        </w:rPr>
        <w:t> </w:t>
      </w:r>
      <w:r w:rsidRPr="00D5269A">
        <w:rPr>
          <w:rFonts w:cs="Times New Roman"/>
        </w:rPr>
        <w:t>.</w:t>
      </w:r>
      <w:r w:rsidR="0041645E">
        <w:rPr>
          <w:rFonts w:cs="Times New Roman"/>
        </w:rPr>
        <w:t> </w:t>
      </w:r>
      <w:r w:rsidRPr="00D5269A">
        <w:rPr>
          <w:rFonts w:cs="Times New Roman"/>
        </w:rPr>
        <w:t>. has been varied between the time of commission [of the offence] and the tim</w:t>
      </w:r>
      <w:r w:rsidR="009D2105">
        <w:rPr>
          <w:rFonts w:cs="Times New Roman"/>
        </w:rPr>
        <w:t>e of sentencing”. Relying on s. </w:t>
      </w:r>
      <w:r w:rsidRPr="00D5269A">
        <w:rPr>
          <w:rFonts w:cs="Times New Roman"/>
        </w:rPr>
        <w:t>11(</w:t>
      </w:r>
      <w:r w:rsidRPr="00D5269A">
        <w:rPr>
          <w:rFonts w:cs="Times New Roman"/>
          <w:i/>
        </w:rPr>
        <w:t>i</w:t>
      </w:r>
      <w:r w:rsidRPr="00D5269A">
        <w:rPr>
          <w:rFonts w:cs="Times New Roman"/>
        </w:rPr>
        <w:t>), the respondent Rosaire Poulin asserts the constitutional right to receive a conditional sentence. This punishment was not applicable under the laws in force when he committed his sexual offences between 1979 and 1987 or, according to the parties, when he was sentenced for those offences in 2017. However, it was applicable for a discrete period between t</w:t>
      </w:r>
      <w:r w:rsidR="00F001D0">
        <w:rPr>
          <w:rFonts w:cs="Times New Roman"/>
        </w:rPr>
        <w:t>hose two times. In essence, Mr. </w:t>
      </w:r>
      <w:r w:rsidRPr="00D5269A">
        <w:rPr>
          <w:rFonts w:cs="Times New Roman"/>
        </w:rPr>
        <w:t>Poulin argues that s.</w:t>
      </w:r>
      <w:r w:rsidR="00C41EC6">
        <w:rPr>
          <w:rFonts w:cs="Times New Roman"/>
        </w:rPr>
        <w:t> </w:t>
      </w:r>
      <w:r w:rsidRPr="00D5269A">
        <w:rPr>
          <w:rFonts w:cs="Times New Roman"/>
        </w:rPr>
        <w:t>11(</w:t>
      </w:r>
      <w:r w:rsidRPr="00D5269A">
        <w:rPr>
          <w:rFonts w:cs="Times New Roman"/>
          <w:i/>
        </w:rPr>
        <w:t>i</w:t>
      </w:r>
      <w:r w:rsidRPr="00D5269A">
        <w:rPr>
          <w:rFonts w:cs="Times New Roman"/>
        </w:rPr>
        <w:t xml:space="preserve">) entitles him not only to the lesser of the punishments under the laws in force at the time of his offences and the time of his sentencing but, further, to an </w:t>
      </w:r>
      <w:r w:rsidRPr="00D5269A">
        <w:rPr>
          <w:rFonts w:cs="Times New Roman"/>
          <w:i/>
        </w:rPr>
        <w:t>even lesser</w:t>
      </w:r>
      <w:r w:rsidRPr="00D5269A">
        <w:rPr>
          <w:rFonts w:cs="Times New Roman"/>
        </w:rPr>
        <w:t xml:space="preserve"> punishment that was temporarily applicable to his offences during the decades that elapsed before he was held </w:t>
      </w:r>
      <w:r w:rsidR="00F001D0">
        <w:rPr>
          <w:rFonts w:cs="Times New Roman"/>
        </w:rPr>
        <w:t>accountable for his crimes. Mr. </w:t>
      </w:r>
      <w:r w:rsidRPr="00D5269A">
        <w:rPr>
          <w:rFonts w:cs="Times New Roman"/>
        </w:rPr>
        <w:t>Poulin claims the right to this punishment even though it bears no temporal connection to his offending conduct or to his sentencing, and even though the record does not show he took steps in reliance on this punishment in his interactions with t</w:t>
      </w:r>
      <w:r w:rsidR="000E42CF">
        <w:rPr>
          <w:rFonts w:cs="Times New Roman"/>
        </w:rPr>
        <w:t>he criminal justice system. Mr. </w:t>
      </w:r>
      <w:r w:rsidRPr="00D5269A">
        <w:rPr>
          <w:rFonts w:cs="Times New Roman"/>
        </w:rPr>
        <w:t xml:space="preserve">Poulin did not, for </w:t>
      </w:r>
      <w:r w:rsidRPr="00D5269A">
        <w:rPr>
          <w:rFonts w:cs="Times New Roman"/>
        </w:rPr>
        <w:lastRenderedPageBreak/>
        <w:t>instance, confess or enter a plea when a conditional sentence was applicable to his offences.</w:t>
      </w:r>
    </w:p>
    <w:p w:rsidR="000738FC" w:rsidRPr="00D5269A" w:rsidRDefault="000738FC" w:rsidP="000738FC">
      <w:pPr>
        <w:pStyle w:val="ParaNoNdepar-AltN"/>
        <w:rPr>
          <w:rFonts w:cs="Times New Roman"/>
        </w:rPr>
      </w:pPr>
      <w:r w:rsidRPr="00D5269A">
        <w:rPr>
          <w:rFonts w:cs="Times New Roman"/>
        </w:rPr>
        <w:t>This appeal therefore asks to what an offender is entitled under s.</w:t>
      </w:r>
      <w:r w:rsidR="00181CD8">
        <w:rPr>
          <w:rFonts w:cs="Times New Roman"/>
        </w:rPr>
        <w:t> </w:t>
      </w:r>
      <w:r w:rsidRPr="00D5269A">
        <w:rPr>
          <w:rFonts w:cs="Times New Roman"/>
        </w:rPr>
        <w:t>11(</w:t>
      </w:r>
      <w:r w:rsidRPr="00D5269A">
        <w:rPr>
          <w:rFonts w:cs="Times New Roman"/>
          <w:i/>
        </w:rPr>
        <w:t>i</w:t>
      </w:r>
      <w:r w:rsidRPr="00D5269A">
        <w:rPr>
          <w:rFonts w:cs="Times New Roman"/>
        </w:rPr>
        <w:t xml:space="preserve">) of the </w:t>
      </w:r>
      <w:r w:rsidRPr="00D5269A">
        <w:rPr>
          <w:rFonts w:cs="Times New Roman"/>
          <w:i/>
        </w:rPr>
        <w:t>Charter</w:t>
      </w:r>
      <w:r w:rsidRPr="00D5269A">
        <w:rPr>
          <w:rFonts w:cs="Times New Roman"/>
        </w:rPr>
        <w:t>. Based on the nature and purposes of this particular constitutional right, which punishments are to be considered when determining the “lesser” one to which t</w:t>
      </w:r>
      <w:r w:rsidR="00553FBA">
        <w:rPr>
          <w:rFonts w:cs="Times New Roman"/>
        </w:rPr>
        <w:t>he accused is entitled? Does s. </w:t>
      </w:r>
      <w:r w:rsidRPr="00D5269A">
        <w:rPr>
          <w:rFonts w:cs="Times New Roman"/>
        </w:rPr>
        <w:t>11(</w:t>
      </w:r>
      <w:r w:rsidRPr="00D5269A">
        <w:rPr>
          <w:rFonts w:cs="Times New Roman"/>
          <w:i/>
        </w:rPr>
        <w:t>i</w:t>
      </w:r>
      <w:r w:rsidRPr="00D5269A">
        <w:rPr>
          <w:rFonts w:cs="Times New Roman"/>
        </w:rPr>
        <w:t>) confer:</w:t>
      </w:r>
    </w:p>
    <w:p w:rsidR="000738FC" w:rsidRPr="00D5269A" w:rsidRDefault="000738FC" w:rsidP="00674CDD">
      <w:pPr>
        <w:pStyle w:val="ContinueParaSuitedupar-AltP"/>
        <w:numPr>
          <w:ilvl w:val="0"/>
          <w:numId w:val="9"/>
        </w:numPr>
        <w:ind w:left="900" w:hanging="900"/>
        <w:rPr>
          <w:rFonts w:cs="Times New Roman"/>
        </w:rPr>
      </w:pPr>
      <w:r w:rsidRPr="00D5269A">
        <w:rPr>
          <w:rFonts w:cs="Times New Roman"/>
        </w:rPr>
        <w:t>a “binary” right — which involves a comparison of the punishments under the laws in force at two set points in time (commission of the offence and sentencing) and the right to receive the lesser of these punishments; or</w:t>
      </w:r>
    </w:p>
    <w:p w:rsidR="000738FC" w:rsidRPr="00D5269A" w:rsidRDefault="000738FC" w:rsidP="00674CDD">
      <w:pPr>
        <w:pStyle w:val="ContinueParaSuitedupar-AltP"/>
        <w:numPr>
          <w:ilvl w:val="0"/>
          <w:numId w:val="9"/>
        </w:numPr>
        <w:ind w:left="900" w:hanging="1080"/>
        <w:rPr>
          <w:rFonts w:cs="Times New Roman"/>
        </w:rPr>
      </w:pPr>
      <w:r w:rsidRPr="00D5269A">
        <w:rPr>
          <w:rFonts w:cs="Times New Roman"/>
        </w:rPr>
        <w:t xml:space="preserve">a “global” right — which involves a review of </w:t>
      </w:r>
      <w:r w:rsidRPr="00D5269A">
        <w:rPr>
          <w:rFonts w:cs="Times New Roman"/>
          <w:i/>
        </w:rPr>
        <w:t>all</w:t>
      </w:r>
      <w:r w:rsidRPr="00D5269A">
        <w:rPr>
          <w:rFonts w:cs="Times New Roman"/>
        </w:rPr>
        <w:t xml:space="preserve"> punishments that have existed for the offence between its commission and sentencing, and the right to receive the </w:t>
      </w:r>
      <w:r w:rsidRPr="00D5269A">
        <w:rPr>
          <w:rFonts w:cs="Times New Roman"/>
          <w:i/>
          <w:iCs/>
        </w:rPr>
        <w:t xml:space="preserve">least severe </w:t>
      </w:r>
      <w:r w:rsidRPr="00D5269A">
        <w:rPr>
          <w:rFonts w:cs="Times New Roman"/>
        </w:rPr>
        <w:t>punishment in that entire span of time?</w:t>
      </w:r>
    </w:p>
    <w:p w:rsidR="000738FC" w:rsidRPr="00D5269A" w:rsidRDefault="000738FC" w:rsidP="000738FC">
      <w:pPr>
        <w:pStyle w:val="ParaNoNdepar-AltN"/>
        <w:rPr>
          <w:rFonts w:cs="Times New Roman"/>
        </w:rPr>
      </w:pPr>
      <w:r w:rsidRPr="00D5269A">
        <w:rPr>
          <w:rFonts w:cs="Times New Roman"/>
        </w:rPr>
        <w:t>I conclude t</w:t>
      </w:r>
      <w:r w:rsidR="00092087">
        <w:rPr>
          <w:rFonts w:cs="Times New Roman"/>
        </w:rPr>
        <w:t>hat, properly interpreted, s. </w:t>
      </w:r>
      <w:r w:rsidRPr="00D5269A">
        <w:rPr>
          <w:rFonts w:cs="Times New Roman"/>
        </w:rPr>
        <w:t>11(</w:t>
      </w:r>
      <w:r w:rsidRPr="00D5269A">
        <w:rPr>
          <w:rFonts w:cs="Times New Roman"/>
          <w:i/>
        </w:rPr>
        <w:t>i</w:t>
      </w:r>
      <w:r w:rsidRPr="00D5269A">
        <w:rPr>
          <w:rFonts w:cs="Times New Roman"/>
        </w:rPr>
        <w:t>) confers a binary r</w:t>
      </w:r>
      <w:r w:rsidR="00092087">
        <w:rPr>
          <w:rFonts w:cs="Times New Roman"/>
        </w:rPr>
        <w:t>ight, not a global one. Section </w:t>
      </w:r>
      <w:r w:rsidRPr="00D5269A">
        <w:rPr>
          <w:rFonts w:cs="Times New Roman"/>
        </w:rPr>
        <w:t>11(</w:t>
      </w:r>
      <w:r w:rsidRPr="00D5269A">
        <w:rPr>
          <w:rFonts w:cs="Times New Roman"/>
          <w:i/>
        </w:rPr>
        <w:t>i</w:t>
      </w:r>
      <w:r w:rsidRPr="00D5269A">
        <w:rPr>
          <w:rFonts w:cs="Times New Roman"/>
        </w:rPr>
        <w:t xml:space="preserve">) entitles an offender to the lesser of (1) the punishment under the laws in force when the offender committed the offence, and (2) the punishment under the laws in force when the offender is sentenced, as these punishments are tethered to two meaningful points in time. The former reflects the jeopardy or legal risk the offender took by offending. That punishment established, in advance of the offender’s conduct, the legal consequences that would flow from that chosen conduct. The latter is the punishment that society considers just at the precise moment the court </w:t>
      </w:r>
      <w:r w:rsidRPr="00D5269A">
        <w:rPr>
          <w:rFonts w:cs="Times New Roman"/>
        </w:rPr>
        <w:lastRenderedPageBreak/>
        <w:t xml:space="preserve">is called upon to pass a sentence. It provides the contours for a sentence </w:t>
      </w:r>
      <w:r w:rsidR="00506DE6">
        <w:rPr>
          <w:rFonts w:cs="Times New Roman"/>
        </w:rPr>
        <w:t>that reflects society’s most up</w:t>
      </w:r>
      <w:r w:rsidR="00506DE6" w:rsidRPr="00A215D4">
        <w:rPr>
          <w:lang w:val="en-US"/>
        </w:rPr>
        <w:noBreakHyphen/>
      </w:r>
      <w:r w:rsidRPr="00D5269A">
        <w:rPr>
          <w:rFonts w:cs="Times New Roman"/>
        </w:rPr>
        <w:t>to</w:t>
      </w:r>
      <w:r w:rsidR="00506DE6" w:rsidRPr="00A215D4">
        <w:rPr>
          <w:lang w:val="en-US"/>
        </w:rPr>
        <w:noBreakHyphen/>
      </w:r>
      <w:r w:rsidRPr="00D5269A">
        <w:rPr>
          <w:rFonts w:cs="Times New Roman"/>
        </w:rPr>
        <w:t xml:space="preserve">date view of the gravity of the offence and the degree of responsibility of the offender. As these two punishments are clearly connected to the offender’s conduct and criminality, there is a strong and principled basis for the offender to have the constitutional right to receive the lesser of the punishments at these two points in time. </w:t>
      </w:r>
    </w:p>
    <w:p w:rsidR="000738FC" w:rsidRPr="00D5269A" w:rsidRDefault="000738FC" w:rsidP="000738FC">
      <w:pPr>
        <w:pStyle w:val="ParaNoNdepar-AltN"/>
        <w:rPr>
          <w:rFonts w:cs="Times New Roman"/>
        </w:rPr>
      </w:pPr>
      <w:r w:rsidRPr="00D5269A">
        <w:rPr>
          <w:rFonts w:cs="Times New Roman"/>
        </w:rPr>
        <w:t xml:space="preserve">By contrast, there is no principled basis for offenders to enjoy the automatic constitutional right to a previous punishment which is lower than </w:t>
      </w:r>
      <w:r w:rsidRPr="00D5269A">
        <w:rPr>
          <w:rFonts w:cs="Times New Roman"/>
          <w:i/>
        </w:rPr>
        <w:t>both</w:t>
      </w:r>
      <w:r w:rsidRPr="00D5269A">
        <w:rPr>
          <w:rFonts w:cs="Times New Roman"/>
        </w:rPr>
        <w:t xml:space="preserve"> the one to which they exposed themselves when they committed the offence and the one that reflects society’s current sense of the gravity of the offence and the responsibili</w:t>
      </w:r>
      <w:r w:rsidR="004570C6">
        <w:rPr>
          <w:rFonts w:cs="Times New Roman"/>
        </w:rPr>
        <w:t>ty of the offenders. Reading s. </w:t>
      </w:r>
      <w:r w:rsidRPr="00D5269A">
        <w:rPr>
          <w:rFonts w:cs="Times New Roman"/>
        </w:rPr>
        <w:t>11(</w:t>
      </w:r>
      <w:r w:rsidRPr="00D5269A">
        <w:rPr>
          <w:rFonts w:cs="Times New Roman"/>
          <w:i/>
        </w:rPr>
        <w:t>i</w:t>
      </w:r>
      <w:r w:rsidRPr="00D5269A">
        <w:rPr>
          <w:rFonts w:cs="Times New Roman"/>
        </w:rPr>
        <w:t>) in a manner that would grant an offender the right to the most lenient punishment that existed for the offence at any point between its commission and sentencing would both exceed</w:t>
      </w:r>
      <w:r w:rsidR="004570C6">
        <w:rPr>
          <w:rFonts w:cs="Times New Roman"/>
        </w:rPr>
        <w:t xml:space="preserve"> and distort the purposes of s. </w:t>
      </w:r>
      <w:r w:rsidRPr="00D5269A">
        <w:rPr>
          <w:rFonts w:cs="Times New Roman"/>
        </w:rPr>
        <w:t>11(</w:t>
      </w:r>
      <w:r w:rsidRPr="00D5269A">
        <w:rPr>
          <w:rFonts w:cs="Times New Roman"/>
          <w:i/>
        </w:rPr>
        <w:t>i</w:t>
      </w:r>
      <w:r w:rsidRPr="00D5269A">
        <w:rPr>
          <w:rFonts w:cs="Times New Roman"/>
        </w:rPr>
        <w:t>). As I will explain, these purposes are the rule of law and fairness. Far from supporting a global readi</w:t>
      </w:r>
      <w:r w:rsidR="00C246DA">
        <w:rPr>
          <w:rFonts w:cs="Times New Roman"/>
        </w:rPr>
        <w:t>ng of s. </w:t>
      </w:r>
      <w:r w:rsidRPr="00D5269A">
        <w:rPr>
          <w:rFonts w:cs="Times New Roman"/>
        </w:rPr>
        <w:t>11(</w:t>
      </w:r>
      <w:r w:rsidRPr="00D5269A">
        <w:rPr>
          <w:rFonts w:cs="Times New Roman"/>
          <w:i/>
        </w:rPr>
        <w:t>i</w:t>
      </w:r>
      <w:r w:rsidRPr="00D5269A">
        <w:rPr>
          <w:rFonts w:cs="Times New Roman"/>
        </w:rPr>
        <w:t>), these purposes stron</w:t>
      </w:r>
      <w:r w:rsidR="00C246DA">
        <w:rPr>
          <w:rFonts w:cs="Times New Roman"/>
        </w:rPr>
        <w:t>gly militate towards reading s. </w:t>
      </w:r>
      <w:r w:rsidRPr="00D5269A">
        <w:rPr>
          <w:rFonts w:cs="Times New Roman"/>
        </w:rPr>
        <w:t>11(</w:t>
      </w:r>
      <w:r w:rsidRPr="00D5269A">
        <w:rPr>
          <w:rFonts w:cs="Times New Roman"/>
          <w:i/>
        </w:rPr>
        <w:t>i</w:t>
      </w:r>
      <w:r w:rsidRPr="00D5269A">
        <w:rPr>
          <w:rFonts w:cs="Times New Roman"/>
        </w:rPr>
        <w:t xml:space="preserve">) in a manner that sets the applicable punishment at the time of the offence as </w:t>
      </w:r>
      <w:r w:rsidRPr="00D5269A">
        <w:rPr>
          <w:rFonts w:cs="Times New Roman"/>
          <w:i/>
        </w:rPr>
        <w:t>the ceiling</w:t>
      </w:r>
      <w:r w:rsidRPr="00D5269A">
        <w:rPr>
          <w:rFonts w:cs="Times New Roman"/>
        </w:rPr>
        <w:t xml:space="preserve">, and entitles the offender to a more clement punishment under the laws in force at the time of sentencing, if one exists. </w:t>
      </w:r>
    </w:p>
    <w:p w:rsidR="000738FC" w:rsidRPr="00D5269A" w:rsidRDefault="001C3094" w:rsidP="000738FC">
      <w:pPr>
        <w:pStyle w:val="ParaNoNdepar-AltN"/>
        <w:rPr>
          <w:rFonts w:cs="Times New Roman"/>
        </w:rPr>
      </w:pPr>
      <w:r>
        <w:rPr>
          <w:rFonts w:cs="Times New Roman"/>
        </w:rPr>
        <w:t>As a result, I conclude that s. </w:t>
      </w:r>
      <w:r w:rsidR="000738FC" w:rsidRPr="00D5269A">
        <w:rPr>
          <w:rFonts w:cs="Times New Roman"/>
        </w:rPr>
        <w:t>11(</w:t>
      </w:r>
      <w:r w:rsidR="000738FC" w:rsidRPr="00D5269A">
        <w:rPr>
          <w:rFonts w:cs="Times New Roman"/>
          <w:i/>
        </w:rPr>
        <w:t>i</w:t>
      </w:r>
      <w:r w:rsidR="000738FC" w:rsidRPr="00D5269A">
        <w:rPr>
          <w:rFonts w:cs="Times New Roman"/>
        </w:rPr>
        <w:t xml:space="preserve">) does not resurrect any temporary reductions in punishment which came after the offence and which bear no connection whatsoever to the offender’s conduct or to contemporary sentencing standards. By </w:t>
      </w:r>
      <w:r w:rsidR="000738FC" w:rsidRPr="00D5269A">
        <w:rPr>
          <w:rFonts w:cs="Times New Roman"/>
        </w:rPr>
        <w:lastRenderedPageBreak/>
        <w:t>granting the offender specific</w:t>
      </w:r>
      <w:r w:rsidR="000738FC" w:rsidRPr="00D5269A">
        <w:rPr>
          <w:rFonts w:cs="Times New Roman"/>
          <w:i/>
        </w:rPr>
        <w:t xml:space="preserve"> </w:t>
      </w:r>
      <w:r w:rsidR="000738FC">
        <w:rPr>
          <w:rFonts w:cs="Times New Roman"/>
        </w:rPr>
        <w:t xml:space="preserve">retrospective access to the </w:t>
      </w:r>
      <w:r w:rsidR="000738FC" w:rsidRPr="00D5269A">
        <w:rPr>
          <w:rFonts w:cs="Times New Roman"/>
        </w:rPr>
        <w:t>applicable punishment</w:t>
      </w:r>
      <w:r w:rsidR="008C31A3">
        <w:rPr>
          <w:rFonts w:cs="Times New Roman"/>
        </w:rPr>
        <w:t xml:space="preserve"> at the time of the offence, s. </w:t>
      </w:r>
      <w:r w:rsidR="000738FC" w:rsidRPr="00D5269A">
        <w:rPr>
          <w:rFonts w:cs="Times New Roman"/>
        </w:rPr>
        <w:t>11(</w:t>
      </w:r>
      <w:r w:rsidR="000738FC" w:rsidRPr="00D5269A">
        <w:rPr>
          <w:rFonts w:cs="Times New Roman"/>
          <w:i/>
        </w:rPr>
        <w:t>i</w:t>
      </w:r>
      <w:r w:rsidR="000738FC" w:rsidRPr="00D5269A">
        <w:rPr>
          <w:rFonts w:cs="Times New Roman"/>
        </w:rPr>
        <w:t>) need not and does not open the door to the lowest identifiable punishment that has ever applied to the offence since the offender committed it. Section</w:t>
      </w:r>
      <w:r w:rsidR="008C31A3">
        <w:rPr>
          <w:rFonts w:cs="Times New Roman"/>
        </w:rPr>
        <w:t> </w:t>
      </w:r>
      <w:r w:rsidR="000738FC" w:rsidRPr="00D5269A">
        <w:rPr>
          <w:rFonts w:cs="Times New Roman"/>
        </w:rPr>
        <w:t>11(</w:t>
      </w:r>
      <w:r w:rsidR="000738FC" w:rsidRPr="00D5269A">
        <w:rPr>
          <w:rFonts w:cs="Times New Roman"/>
          <w:i/>
        </w:rPr>
        <w:t>i</w:t>
      </w:r>
      <w:r w:rsidR="000738FC" w:rsidRPr="00D5269A">
        <w:rPr>
          <w:rFonts w:cs="Times New Roman"/>
        </w:rPr>
        <w:t xml:space="preserve">) did not constitutionalize the right to past punishments that Parliament has since discarded or amended. The legal rights reflected in our </w:t>
      </w:r>
      <w:r w:rsidR="000738FC" w:rsidRPr="00D5269A">
        <w:rPr>
          <w:rFonts w:cs="Times New Roman"/>
          <w:i/>
        </w:rPr>
        <w:t>Charter</w:t>
      </w:r>
      <w:r w:rsidR="000738FC" w:rsidRPr="00D5269A">
        <w:rPr>
          <w:rFonts w:cs="Times New Roman"/>
        </w:rPr>
        <w:t xml:space="preserve"> represent the core tenets of fairness in our criminal justice system. The right to comb the past for the most favourable punishment does</w:t>
      </w:r>
      <w:r w:rsidR="00355EE3">
        <w:rPr>
          <w:rFonts w:cs="Times New Roman"/>
        </w:rPr>
        <w:t xml:space="preserve"> not belong among these rights.</w:t>
      </w:r>
    </w:p>
    <w:p w:rsidR="000738FC" w:rsidRPr="00D5269A" w:rsidRDefault="000738FC" w:rsidP="000738FC">
      <w:pPr>
        <w:pStyle w:val="ParaNoNdepar-AltN"/>
        <w:rPr>
          <w:rFonts w:cs="Times New Roman"/>
        </w:rPr>
      </w:pPr>
      <w:r w:rsidRPr="00D5269A">
        <w:rPr>
          <w:rFonts w:cs="Times New Roman"/>
        </w:rPr>
        <w:t>I would there</w:t>
      </w:r>
      <w:r w:rsidR="00C85B0D">
        <w:rPr>
          <w:rFonts w:cs="Times New Roman"/>
        </w:rPr>
        <w:t>fore allow the Crown’s appeal. Mr. </w:t>
      </w:r>
      <w:r w:rsidRPr="00D5269A">
        <w:rPr>
          <w:rFonts w:cs="Times New Roman"/>
        </w:rPr>
        <w:t>Poulin was not eligible for the conditional sentence imposed on him as it was not applicable to his offences under the sentencing provisions in force either at the time of commission or, according to the parties, of his</w:t>
      </w:r>
      <w:r w:rsidR="00C85B0D">
        <w:rPr>
          <w:rFonts w:cs="Times New Roman"/>
        </w:rPr>
        <w:t xml:space="preserve"> sentencing. However, given Mr. </w:t>
      </w:r>
      <w:r w:rsidRPr="00D5269A">
        <w:rPr>
          <w:rFonts w:cs="Times New Roman"/>
        </w:rPr>
        <w:t>Poulin’s recent death, I decline to pass a different sentence or remit the matter for sen</w:t>
      </w:r>
      <w:r w:rsidR="00A43E16">
        <w:rPr>
          <w:rFonts w:cs="Times New Roman"/>
        </w:rPr>
        <w:t>tencing.</w:t>
      </w:r>
    </w:p>
    <w:p w:rsidR="000738FC" w:rsidRPr="00D5269A" w:rsidRDefault="000738FC" w:rsidP="000738FC">
      <w:pPr>
        <w:pStyle w:val="Title1LevelTitre1Niveau-AltL"/>
        <w:rPr>
          <w:rFonts w:cs="Times New Roman"/>
        </w:rPr>
      </w:pPr>
      <w:bookmarkStart w:id="5" w:name="_Toc11503096"/>
      <w:bookmarkStart w:id="6" w:name="_Toc12005410"/>
      <w:bookmarkStart w:id="7" w:name="_Toc14423803"/>
      <w:bookmarkStart w:id="8" w:name="_Toc15313746"/>
      <w:r w:rsidRPr="00D5269A">
        <w:rPr>
          <w:rFonts w:cs="Times New Roman"/>
        </w:rPr>
        <w:t>Facts and Judicial History</w:t>
      </w:r>
      <w:bookmarkEnd w:id="5"/>
      <w:bookmarkEnd w:id="6"/>
      <w:bookmarkEnd w:id="7"/>
      <w:bookmarkEnd w:id="8"/>
    </w:p>
    <w:p w:rsidR="000738FC" w:rsidRPr="00D5269A" w:rsidRDefault="000E42CF" w:rsidP="000738FC">
      <w:pPr>
        <w:pStyle w:val="ParaNoNdepar-AltN"/>
        <w:rPr>
          <w:rFonts w:cs="Times New Roman"/>
        </w:rPr>
      </w:pPr>
      <w:r>
        <w:rPr>
          <w:rFonts w:cs="Times New Roman"/>
        </w:rPr>
        <w:t>In 2016, Mr. </w:t>
      </w:r>
      <w:r w:rsidR="000738FC" w:rsidRPr="00D5269A">
        <w:rPr>
          <w:rFonts w:cs="Times New Roman"/>
        </w:rPr>
        <w:t xml:space="preserve">Poulin was found guilty of historical sexual offences: two counts of gross indecency and one count of </w:t>
      </w:r>
      <w:r w:rsidR="00702E12">
        <w:rPr>
          <w:rFonts w:cs="Times New Roman"/>
        </w:rPr>
        <w:t>sexual assault, contrary to ss. </w:t>
      </w:r>
      <w:r w:rsidR="000738FC" w:rsidRPr="00D5269A">
        <w:rPr>
          <w:rFonts w:cs="Times New Roman"/>
        </w:rPr>
        <w:t>157 and 246.1(1)(</w:t>
      </w:r>
      <w:r w:rsidR="000738FC" w:rsidRPr="009E45CB">
        <w:rPr>
          <w:rFonts w:cs="Times New Roman"/>
          <w:i/>
        </w:rPr>
        <w:t>a</w:t>
      </w:r>
      <w:r w:rsidR="000738FC" w:rsidRPr="00D5269A">
        <w:rPr>
          <w:rFonts w:cs="Times New Roman"/>
        </w:rPr>
        <w:t xml:space="preserve">) of the </w:t>
      </w:r>
      <w:r w:rsidR="000738FC" w:rsidRPr="00D5269A">
        <w:rPr>
          <w:rFonts w:cs="Times New Roman"/>
          <w:i/>
        </w:rPr>
        <w:t>Criminal Code</w:t>
      </w:r>
      <w:r w:rsidR="00702E12">
        <w:rPr>
          <w:rFonts w:cs="Times New Roman"/>
        </w:rPr>
        <w:t>, R.S.C. 1970, c. </w:t>
      </w:r>
      <w:r w:rsidR="00506DE6">
        <w:rPr>
          <w:rFonts w:cs="Times New Roman"/>
        </w:rPr>
        <w:t>C</w:t>
      </w:r>
      <w:r w:rsidR="00506DE6" w:rsidRPr="00A215D4">
        <w:rPr>
          <w:lang w:val="en-US"/>
        </w:rPr>
        <w:noBreakHyphen/>
      </w:r>
      <w:r>
        <w:rPr>
          <w:rFonts w:cs="Times New Roman"/>
        </w:rPr>
        <w:t>34. Mr. </w:t>
      </w:r>
      <w:r w:rsidR="000738FC" w:rsidRPr="00D5269A">
        <w:rPr>
          <w:rFonts w:cs="Times New Roman"/>
        </w:rPr>
        <w:t>Poulin committed the offences of gross indecency between 1979 and 1983 and the offence of sexual assault between 1983 and 1987 when the complainant was 7 to 15 years old and Mr.</w:t>
      </w:r>
      <w:r>
        <w:rPr>
          <w:rFonts w:cs="Times New Roman"/>
        </w:rPr>
        <w:t> </w:t>
      </w:r>
      <w:r w:rsidR="000738FC" w:rsidRPr="00D5269A">
        <w:rPr>
          <w:rFonts w:cs="Times New Roman"/>
        </w:rPr>
        <w:t xml:space="preserve">Poulin was 44 to 51 years old. </w:t>
      </w:r>
    </w:p>
    <w:p w:rsidR="000738FC" w:rsidRPr="00D5269A" w:rsidRDefault="000738FC" w:rsidP="000738FC">
      <w:pPr>
        <w:pStyle w:val="ParaNoNdepar-AltN"/>
        <w:rPr>
          <w:rFonts w:cs="Times New Roman"/>
        </w:rPr>
      </w:pPr>
      <w:r w:rsidRPr="00D5269A">
        <w:rPr>
          <w:rFonts w:cs="Times New Roman"/>
        </w:rPr>
        <w:lastRenderedPageBreak/>
        <w:t xml:space="preserve">By </w:t>
      </w:r>
      <w:r w:rsidR="000E42CF">
        <w:rPr>
          <w:rFonts w:cs="Times New Roman"/>
        </w:rPr>
        <w:t>the time of his sentencing, Mr. </w:t>
      </w:r>
      <w:r w:rsidRPr="00D5269A">
        <w:rPr>
          <w:rFonts w:cs="Times New Roman"/>
        </w:rPr>
        <w:t>Poulin was 82 years old and suffering from a number of significant health problems. At his sentencing hearing, Mr.</w:t>
      </w:r>
      <w:r w:rsidR="000E42CF">
        <w:rPr>
          <w:rFonts w:cs="Times New Roman"/>
        </w:rPr>
        <w:t> </w:t>
      </w:r>
      <w:r w:rsidRPr="00D5269A">
        <w:rPr>
          <w:rFonts w:cs="Times New Roman"/>
        </w:rPr>
        <w:t>Poulin conceded that a prison sentence of three and a half years would be appropriate for his crimes. However, he argued that, exceptionally, he should receive a conditional sentence — i.e. a sentence of less than two years, to be served in the community — because of his health problems.</w:t>
      </w:r>
    </w:p>
    <w:p w:rsidR="000738FC" w:rsidRPr="00D5269A" w:rsidRDefault="000738FC" w:rsidP="000738FC">
      <w:pPr>
        <w:pStyle w:val="ParaNoNdepar-AltN"/>
        <w:rPr>
          <w:rFonts w:cs="Times New Roman"/>
        </w:rPr>
      </w:pPr>
      <w:r w:rsidRPr="00D5269A">
        <w:rPr>
          <w:rFonts w:cs="Times New Roman"/>
        </w:rPr>
        <w:t>Th</w:t>
      </w:r>
      <w:r w:rsidR="000E42CF">
        <w:rPr>
          <w:rFonts w:cs="Times New Roman"/>
        </w:rPr>
        <w:t>e sentencing judge accepted Mr. </w:t>
      </w:r>
      <w:r w:rsidRPr="00D5269A">
        <w:rPr>
          <w:rFonts w:cs="Times New Roman"/>
        </w:rPr>
        <w:t>Poulin’s position and sentenced him to a conditional sentence of two years less a day for the two counts of gross indecency. This is the sentence at issue in this appeal. The sentence imposed for the count of sexual assault — a suspended sentence with two years’ probation, together with ancillary orders — is not at issue.</w:t>
      </w:r>
    </w:p>
    <w:p w:rsidR="000738FC" w:rsidRPr="00D5269A" w:rsidRDefault="000738FC" w:rsidP="000738FC">
      <w:pPr>
        <w:pStyle w:val="ParaNoNdepar-AltN"/>
        <w:rPr>
          <w:rFonts w:cs="Times New Roman"/>
          <w:lang w:val="en-US"/>
        </w:rPr>
      </w:pPr>
      <w:r w:rsidRPr="00D5269A">
        <w:rPr>
          <w:rFonts w:cs="Times New Roman"/>
        </w:rPr>
        <w:t>Conditional sentences</w:t>
      </w:r>
      <w:r w:rsidR="000E42CF">
        <w:rPr>
          <w:rFonts w:cs="Times New Roman"/>
        </w:rPr>
        <w:t xml:space="preserve"> did not exist when Mr. </w:t>
      </w:r>
      <w:r w:rsidRPr="00D5269A">
        <w:rPr>
          <w:rFonts w:cs="Times New Roman"/>
        </w:rPr>
        <w:t>Poulin committed his acts of gross indecency. The conditional sentence entered into force as a form of sentence in 1996 (</w:t>
      </w:r>
      <w:r w:rsidRPr="00D5269A">
        <w:rPr>
          <w:rFonts w:cs="Times New Roman"/>
          <w:i/>
        </w:rPr>
        <w:t xml:space="preserve">An Act to amend the </w:t>
      </w:r>
      <w:r w:rsidR="00264197">
        <w:rPr>
          <w:rFonts w:cs="Times New Roman"/>
          <w:i/>
        </w:rPr>
        <w:t>C</w:t>
      </w:r>
      <w:r w:rsidRPr="00D5269A">
        <w:rPr>
          <w:rFonts w:cs="Times New Roman"/>
          <w:i/>
        </w:rPr>
        <w:t xml:space="preserve">riminal </w:t>
      </w:r>
      <w:r w:rsidR="00264197">
        <w:rPr>
          <w:rFonts w:cs="Times New Roman"/>
          <w:i/>
        </w:rPr>
        <w:t>C</w:t>
      </w:r>
      <w:r w:rsidRPr="00D5269A">
        <w:rPr>
          <w:rFonts w:cs="Times New Roman"/>
          <w:i/>
        </w:rPr>
        <w:t>ode (sentencing) and other Acts in consequence thereof</w:t>
      </w:r>
      <w:r w:rsidRPr="00D5269A">
        <w:rPr>
          <w:rFonts w:cs="Times New Roman"/>
        </w:rPr>
        <w:t>, S.C. 1995, c. 22, s. 6). The parties agree that a conditional sentence was no longer applicable to the offence of gross indecency, according to the provi</w:t>
      </w:r>
      <w:r w:rsidR="000E42CF">
        <w:rPr>
          <w:rFonts w:cs="Times New Roman"/>
        </w:rPr>
        <w:t>sions in force, by the time Mr. </w:t>
      </w:r>
      <w:r w:rsidRPr="00D5269A">
        <w:rPr>
          <w:rFonts w:cs="Times New Roman"/>
        </w:rPr>
        <w:t xml:space="preserve">Poulin was charged, convicted and sentenced (2014 to 2017). Their view is that, when gross indecency was repealed from the </w:t>
      </w:r>
      <w:r w:rsidRPr="00D5269A">
        <w:rPr>
          <w:rFonts w:cs="Times New Roman"/>
          <w:i/>
        </w:rPr>
        <w:t>Criminal Code</w:t>
      </w:r>
      <w:r w:rsidR="00506DE6">
        <w:rPr>
          <w:rFonts w:cs="Times New Roman"/>
        </w:rPr>
        <w:t>, R.S.C. 1985, c. C</w:t>
      </w:r>
      <w:r w:rsidR="00506DE6" w:rsidRPr="00A215D4">
        <w:rPr>
          <w:lang w:val="en-US"/>
        </w:rPr>
        <w:noBreakHyphen/>
      </w:r>
      <w:r w:rsidRPr="00D5269A">
        <w:rPr>
          <w:rFonts w:cs="Times New Roman"/>
        </w:rPr>
        <w:t>46,</w:t>
      </w:r>
      <w:r w:rsidRPr="00D5269A">
        <w:rPr>
          <w:rFonts w:cs="Times New Roman"/>
          <w:lang w:val="en-US"/>
        </w:rPr>
        <w:t xml:space="preserve"> in 1988 (R.S.C. 1985, c. 19 (3rd Supp.), s. 4, which came into force in 1988), some conduct that had amounted to gross indecency, including </w:t>
      </w:r>
      <w:r w:rsidR="000E42CF">
        <w:rPr>
          <w:rFonts w:cs="Times New Roman"/>
        </w:rPr>
        <w:t>Mr. </w:t>
      </w:r>
      <w:r w:rsidRPr="00D5269A">
        <w:rPr>
          <w:rFonts w:cs="Times New Roman"/>
        </w:rPr>
        <w:t>Poulin</w:t>
      </w:r>
      <w:r w:rsidRPr="00D5269A">
        <w:rPr>
          <w:rFonts w:cs="Times New Roman"/>
          <w:lang w:val="en-US"/>
        </w:rPr>
        <w:t xml:space="preserve">’s, was now captured under other sexual offence provisions, such as ss. 151 and 271 of the </w:t>
      </w:r>
      <w:r w:rsidRPr="00D5269A">
        <w:rPr>
          <w:rFonts w:cs="Times New Roman"/>
          <w:i/>
          <w:lang w:val="en-US"/>
        </w:rPr>
        <w:lastRenderedPageBreak/>
        <w:t>Criminal Code</w:t>
      </w:r>
      <w:r w:rsidRPr="00D5269A">
        <w:rPr>
          <w:rFonts w:cs="Times New Roman"/>
          <w:lang w:val="en-US"/>
        </w:rPr>
        <w:t xml:space="preserve">. Since conditional sentences have been made statutorily unavailable for such sexual offences (see </w:t>
      </w:r>
      <w:r w:rsidRPr="00D5269A">
        <w:rPr>
          <w:rFonts w:cs="Times New Roman"/>
          <w:i/>
          <w:lang w:val="en-US"/>
        </w:rPr>
        <w:t>Criminal Code</w:t>
      </w:r>
      <w:r w:rsidRPr="00D5269A">
        <w:rPr>
          <w:rFonts w:cs="Times New Roman"/>
          <w:lang w:val="en-US"/>
        </w:rPr>
        <w:t xml:space="preserve">, ss. 742.1(b), 151 and 271), the parties consider the conditional sentence to have equally been made unavailable for the indictable acts of gross indecency that are now criminalized under these modern sexual offences. Put differently, the parties agree that the current restriction on conditional sentences for sexual offences extends to </w:t>
      </w:r>
      <w:r w:rsidR="000E42CF">
        <w:rPr>
          <w:rFonts w:cs="Times New Roman"/>
        </w:rPr>
        <w:t>Mr. </w:t>
      </w:r>
      <w:r w:rsidRPr="00D5269A">
        <w:rPr>
          <w:rFonts w:cs="Times New Roman"/>
        </w:rPr>
        <w:t>Poulin</w:t>
      </w:r>
      <w:r w:rsidRPr="00D5269A">
        <w:rPr>
          <w:rFonts w:cs="Times New Roman"/>
          <w:lang w:val="en-US"/>
        </w:rPr>
        <w:t>’s offences of gross indecency. I</w:t>
      </w:r>
      <w:r w:rsidRPr="00D5269A">
        <w:rPr>
          <w:rFonts w:cs="Times New Roman"/>
          <w:szCs w:val="24"/>
        </w:rPr>
        <w:t xml:space="preserve"> do not comment on this interpretation as it is not an issue that has been raised before this Court.</w:t>
      </w:r>
    </w:p>
    <w:p w:rsidR="000738FC" w:rsidRPr="00D5269A" w:rsidRDefault="000738FC" w:rsidP="000738FC">
      <w:pPr>
        <w:pStyle w:val="ParaNoNdepar-AltN"/>
        <w:rPr>
          <w:rFonts w:cs="Times New Roman"/>
          <w:lang w:val="en-US"/>
        </w:rPr>
      </w:pPr>
      <w:r w:rsidRPr="00D5269A">
        <w:rPr>
          <w:rFonts w:cs="Times New Roman"/>
          <w:lang w:val="en-US"/>
        </w:rPr>
        <w:t xml:space="preserve">The sentencing judge did not analyze the threshold question of whether a conditional sentence was actually available for </w:t>
      </w:r>
      <w:r w:rsidR="000E42CF">
        <w:rPr>
          <w:rFonts w:cs="Times New Roman"/>
        </w:rPr>
        <w:t>Mr. </w:t>
      </w:r>
      <w:r w:rsidRPr="00D5269A">
        <w:rPr>
          <w:rFonts w:cs="Times New Roman"/>
        </w:rPr>
        <w:t>Poulin</w:t>
      </w:r>
      <w:r w:rsidRPr="00D5269A">
        <w:rPr>
          <w:rFonts w:cs="Times New Roman"/>
          <w:lang w:val="en-US"/>
        </w:rPr>
        <w:t>’s gross indecencies. Rathe</w:t>
      </w:r>
      <w:r w:rsidR="00DD72B1">
        <w:rPr>
          <w:rFonts w:cs="Times New Roman"/>
          <w:lang w:val="en-US"/>
        </w:rPr>
        <w:t>r, the judge considered that s. </w:t>
      </w:r>
      <w:r w:rsidRPr="00D5269A">
        <w:rPr>
          <w:rFonts w:cs="Times New Roman"/>
          <w:lang w:val="en-US"/>
        </w:rPr>
        <w:t>11(</w:t>
      </w:r>
      <w:r w:rsidRPr="00D5269A">
        <w:rPr>
          <w:rFonts w:cs="Times New Roman"/>
          <w:i/>
          <w:lang w:val="en-US"/>
        </w:rPr>
        <w:t>i</w:t>
      </w:r>
      <w:r w:rsidRPr="00D5269A">
        <w:rPr>
          <w:rFonts w:cs="Times New Roman"/>
          <w:lang w:val="en-US"/>
        </w:rPr>
        <w:t xml:space="preserve">) entitled </w:t>
      </w:r>
      <w:r w:rsidR="000E42CF">
        <w:rPr>
          <w:rFonts w:cs="Times New Roman"/>
        </w:rPr>
        <w:t>Mr. </w:t>
      </w:r>
      <w:r w:rsidRPr="00D5269A">
        <w:rPr>
          <w:rFonts w:cs="Times New Roman"/>
        </w:rPr>
        <w:t>Poulin</w:t>
      </w:r>
      <w:r w:rsidRPr="00D5269A">
        <w:rPr>
          <w:rFonts w:cs="Times New Roman"/>
          <w:lang w:val="en-US"/>
        </w:rPr>
        <w:t xml:space="preserve"> to the benefit of a lesser sentence that was applicable to his offences in the interval between their commission and senten</w:t>
      </w:r>
      <w:r w:rsidR="00FF1315">
        <w:rPr>
          <w:rFonts w:cs="Times New Roman"/>
          <w:lang w:val="en-US"/>
        </w:rPr>
        <w:t>cing (2017 QCCQ 7015, at paras. </w:t>
      </w:r>
      <w:r w:rsidR="00506DE6">
        <w:rPr>
          <w:rFonts w:cs="Times New Roman"/>
          <w:lang w:val="en-US"/>
        </w:rPr>
        <w:t>26</w:t>
      </w:r>
      <w:r w:rsidR="00506DE6" w:rsidRPr="00B35658">
        <w:rPr>
          <w:lang w:val="fr-CA"/>
        </w:rPr>
        <w:noBreakHyphen/>
      </w:r>
      <w:r w:rsidR="00A4115F">
        <w:rPr>
          <w:rFonts w:cs="Times New Roman"/>
          <w:lang w:val="en-US"/>
        </w:rPr>
        <w:t>27 (CanLII)).</w:t>
      </w:r>
    </w:p>
    <w:p w:rsidR="000738FC" w:rsidRPr="00D5269A" w:rsidRDefault="000738FC" w:rsidP="000738FC">
      <w:pPr>
        <w:pStyle w:val="ParaNoNdepar-AltN"/>
        <w:rPr>
          <w:rFonts w:cs="Times New Roman"/>
          <w:lang w:val="en-US"/>
        </w:rPr>
      </w:pPr>
      <w:r w:rsidRPr="00D5269A">
        <w:rPr>
          <w:rFonts w:cs="Times New Roman"/>
          <w:lang w:val="en-US"/>
        </w:rPr>
        <w:t xml:space="preserve">The Crown appealed, arguing, among other things, that a conditional sentence was not available to </w:t>
      </w:r>
      <w:r w:rsidR="000E42CF">
        <w:rPr>
          <w:rFonts w:cs="Times New Roman"/>
        </w:rPr>
        <w:t>Mr. </w:t>
      </w:r>
      <w:r w:rsidRPr="00D5269A">
        <w:rPr>
          <w:rFonts w:cs="Times New Roman"/>
        </w:rPr>
        <w:t>Poulin</w:t>
      </w:r>
      <w:r w:rsidR="00BA38B2">
        <w:rPr>
          <w:rFonts w:cs="Times New Roman"/>
          <w:lang w:val="en-US"/>
        </w:rPr>
        <w:t xml:space="preserve"> under s. </w:t>
      </w:r>
      <w:r w:rsidRPr="00D5269A">
        <w:rPr>
          <w:rFonts w:cs="Times New Roman"/>
          <w:lang w:val="en-US"/>
        </w:rPr>
        <w:t>11(</w:t>
      </w:r>
      <w:r w:rsidRPr="00D5269A">
        <w:rPr>
          <w:rFonts w:cs="Times New Roman"/>
          <w:i/>
          <w:lang w:val="en-US"/>
        </w:rPr>
        <w:t>i</w:t>
      </w:r>
      <w:r w:rsidRPr="00D5269A">
        <w:rPr>
          <w:rFonts w:cs="Times New Roman"/>
          <w:lang w:val="en-US"/>
        </w:rPr>
        <w:t xml:space="preserve">) of the </w:t>
      </w:r>
      <w:r w:rsidRPr="00D5269A">
        <w:rPr>
          <w:rFonts w:cs="Times New Roman"/>
          <w:i/>
          <w:lang w:val="en-US"/>
        </w:rPr>
        <w:t>Charter</w:t>
      </w:r>
      <w:r w:rsidRPr="00D5269A">
        <w:rPr>
          <w:rFonts w:cs="Times New Roman"/>
          <w:lang w:val="en-US"/>
        </w:rPr>
        <w:t xml:space="preserve">. The Court of Appeal rejected the Crown’s argument. It applied its earlier decision in </w:t>
      </w:r>
      <w:r w:rsidRPr="00D5269A">
        <w:rPr>
          <w:rFonts w:cs="Times New Roman"/>
          <w:i/>
          <w:lang w:val="en-US"/>
        </w:rPr>
        <w:t>R. v. Belzil</w:t>
      </w:r>
      <w:r w:rsidRPr="00D5269A">
        <w:rPr>
          <w:rFonts w:cs="Times New Roman"/>
          <w:lang w:val="en-US"/>
        </w:rPr>
        <w:t>, [1989] R.J.Q. 1117 (C.A.),</w:t>
      </w:r>
      <w:r w:rsidR="00E26307">
        <w:rPr>
          <w:rFonts w:cs="Times New Roman"/>
          <w:lang w:val="en-US"/>
        </w:rPr>
        <w:t xml:space="preserve"> which took for granted that s. </w:t>
      </w:r>
      <w:r w:rsidRPr="00D5269A">
        <w:rPr>
          <w:rFonts w:cs="Times New Roman"/>
          <w:lang w:val="en-US"/>
        </w:rPr>
        <w:t>11(</w:t>
      </w:r>
      <w:r w:rsidRPr="00D5269A">
        <w:rPr>
          <w:rFonts w:cs="Times New Roman"/>
          <w:i/>
          <w:lang w:val="en-US"/>
        </w:rPr>
        <w:t>i</w:t>
      </w:r>
      <w:r w:rsidRPr="00D5269A">
        <w:rPr>
          <w:rFonts w:cs="Times New Roman"/>
          <w:lang w:val="en-US"/>
        </w:rPr>
        <w:t>) confers a global right (2018 QCCA 2</w:t>
      </w:r>
      <w:r w:rsidR="00A4115F">
        <w:rPr>
          <w:rFonts w:cs="Times New Roman"/>
          <w:lang w:val="en-US"/>
        </w:rPr>
        <w:t>1, 43 C.R. (7th) 216, at paras. </w:t>
      </w:r>
      <w:r w:rsidR="00506DE6">
        <w:rPr>
          <w:rFonts w:cs="Times New Roman"/>
          <w:lang w:val="en-US"/>
        </w:rPr>
        <w:t>32</w:t>
      </w:r>
      <w:r w:rsidR="00506DE6" w:rsidRPr="00A215D4">
        <w:rPr>
          <w:lang w:val="en-US"/>
        </w:rPr>
        <w:noBreakHyphen/>
      </w:r>
      <w:r w:rsidRPr="00D5269A">
        <w:rPr>
          <w:rFonts w:cs="Times New Roman"/>
          <w:lang w:val="en-US"/>
        </w:rPr>
        <w:t xml:space="preserve">33; </w:t>
      </w:r>
      <w:r w:rsidRPr="00D5269A">
        <w:rPr>
          <w:rFonts w:cs="Times New Roman"/>
          <w:i/>
          <w:lang w:val="en-US"/>
        </w:rPr>
        <w:t>Belzil</w:t>
      </w:r>
      <w:r w:rsidRPr="00D5269A">
        <w:rPr>
          <w:rFonts w:cs="Times New Roman"/>
          <w:lang w:val="en-US"/>
        </w:rPr>
        <w:t>,</w:t>
      </w:r>
      <w:r w:rsidRPr="00D5269A">
        <w:rPr>
          <w:rFonts w:cs="Times New Roman"/>
          <w:i/>
          <w:lang w:val="en-US"/>
        </w:rPr>
        <w:t xml:space="preserve"> </w:t>
      </w:r>
      <w:r w:rsidRPr="00D5269A">
        <w:rPr>
          <w:rFonts w:cs="Times New Roman"/>
          <w:lang w:val="en-US"/>
        </w:rPr>
        <w:t>at p.</w:t>
      </w:r>
      <w:r w:rsidR="00A4115F">
        <w:rPr>
          <w:rFonts w:cs="Times New Roman"/>
          <w:lang w:val="en-US"/>
        </w:rPr>
        <w:t> </w:t>
      </w:r>
      <w:r w:rsidRPr="00D5269A">
        <w:rPr>
          <w:rFonts w:cs="Times New Roman"/>
          <w:lang w:val="en-US"/>
        </w:rPr>
        <w:t>1139). Thus, t</w:t>
      </w:r>
      <w:r w:rsidR="00E26307">
        <w:rPr>
          <w:rFonts w:cs="Times New Roman"/>
          <w:lang w:val="en-US"/>
        </w:rPr>
        <w:t>he Court of Appeal held that s. </w:t>
      </w:r>
      <w:r w:rsidRPr="00D5269A">
        <w:rPr>
          <w:rFonts w:cs="Times New Roman"/>
          <w:lang w:val="en-US"/>
        </w:rPr>
        <w:t>11(</w:t>
      </w:r>
      <w:r w:rsidRPr="00D5269A">
        <w:rPr>
          <w:rFonts w:cs="Times New Roman"/>
          <w:i/>
          <w:lang w:val="en-US"/>
        </w:rPr>
        <w:t>i</w:t>
      </w:r>
      <w:r w:rsidRPr="00D5269A">
        <w:rPr>
          <w:rFonts w:cs="Times New Roman"/>
          <w:lang w:val="en-US"/>
        </w:rPr>
        <w:t xml:space="preserve">) gave </w:t>
      </w:r>
      <w:r w:rsidR="00F25EB7">
        <w:rPr>
          <w:rFonts w:cs="Times New Roman"/>
        </w:rPr>
        <w:t>Mr. </w:t>
      </w:r>
      <w:r w:rsidRPr="00D5269A">
        <w:rPr>
          <w:rFonts w:cs="Times New Roman"/>
        </w:rPr>
        <w:t>Poulin</w:t>
      </w:r>
      <w:r w:rsidRPr="00D5269A">
        <w:rPr>
          <w:rFonts w:cs="Times New Roman"/>
          <w:lang w:val="en-US"/>
        </w:rPr>
        <w:t xml:space="preserve"> the right to a sentence that was not on the books at the time of his offences, and that had been expressly repealed for his offences by the time of his sentencing.</w:t>
      </w:r>
    </w:p>
    <w:p w:rsidR="000738FC" w:rsidRPr="00D5269A" w:rsidRDefault="000738FC" w:rsidP="000738FC">
      <w:pPr>
        <w:pStyle w:val="ParaNoNdepar-AltN"/>
        <w:rPr>
          <w:rFonts w:cs="Times New Roman"/>
          <w:lang w:val="en-US"/>
        </w:rPr>
      </w:pPr>
      <w:r w:rsidRPr="00D5269A">
        <w:rPr>
          <w:rFonts w:cs="Times New Roman"/>
          <w:lang w:val="en-US"/>
        </w:rPr>
        <w:lastRenderedPageBreak/>
        <w:t>The Crown now appeals to this Court by leave.</w:t>
      </w:r>
    </w:p>
    <w:p w:rsidR="000738FC" w:rsidRPr="00D5269A" w:rsidRDefault="00932FCE" w:rsidP="000738FC">
      <w:pPr>
        <w:pStyle w:val="ParaNoNdepar-AltN"/>
        <w:rPr>
          <w:rFonts w:cs="Times New Roman"/>
        </w:rPr>
      </w:pPr>
      <w:r>
        <w:rPr>
          <w:rFonts w:cs="Times New Roman"/>
        </w:rPr>
        <w:t>On February </w:t>
      </w:r>
      <w:r w:rsidR="000738FC" w:rsidRPr="00D5269A">
        <w:rPr>
          <w:rFonts w:cs="Times New Roman"/>
        </w:rPr>
        <w:t xml:space="preserve">22, 2019, shortly before </w:t>
      </w:r>
      <w:r w:rsidR="00F25EB7">
        <w:rPr>
          <w:rFonts w:cs="Times New Roman"/>
        </w:rPr>
        <w:t>the hearing of this appeal, Mr. </w:t>
      </w:r>
      <w:r w:rsidR="000738FC" w:rsidRPr="00D5269A">
        <w:rPr>
          <w:rFonts w:cs="Times New Roman"/>
        </w:rPr>
        <w:t xml:space="preserve">Poulin passed away. The appeal proceeded nonetheless, accompanied by a Crown motion for the Court to adjudicate the appeal even though it had become factually moot. </w:t>
      </w:r>
    </w:p>
    <w:p w:rsidR="000738FC" w:rsidRPr="00D5269A" w:rsidRDefault="000738FC" w:rsidP="000738FC">
      <w:pPr>
        <w:pStyle w:val="Title1LevelTitre1Niveau-AltL"/>
        <w:rPr>
          <w:rFonts w:cs="Times New Roman"/>
        </w:rPr>
      </w:pPr>
      <w:bookmarkStart w:id="9" w:name="_Toc12005411"/>
      <w:bookmarkStart w:id="10" w:name="_Toc14423804"/>
      <w:bookmarkStart w:id="11" w:name="_Toc15313747"/>
      <w:bookmarkStart w:id="12" w:name="_Toc11503097"/>
      <w:r w:rsidRPr="00D5269A">
        <w:rPr>
          <w:rFonts w:cs="Times New Roman"/>
        </w:rPr>
        <w:t>Issues</w:t>
      </w:r>
      <w:bookmarkEnd w:id="9"/>
      <w:bookmarkEnd w:id="10"/>
      <w:bookmarkEnd w:id="11"/>
      <w:r w:rsidRPr="00D5269A">
        <w:rPr>
          <w:rFonts w:cs="Times New Roman"/>
        </w:rPr>
        <w:t xml:space="preserve"> </w:t>
      </w:r>
      <w:bookmarkEnd w:id="12"/>
    </w:p>
    <w:p w:rsidR="000738FC" w:rsidRPr="00D5269A" w:rsidRDefault="000738FC" w:rsidP="000738FC">
      <w:pPr>
        <w:pStyle w:val="ParaNoNdepar-AltN"/>
        <w:rPr>
          <w:rFonts w:cs="Times New Roman"/>
        </w:rPr>
      </w:pPr>
      <w:r w:rsidRPr="00D5269A">
        <w:rPr>
          <w:rFonts w:cs="Times New Roman"/>
        </w:rPr>
        <w:t xml:space="preserve">This appeal raises two issues: </w:t>
      </w:r>
    </w:p>
    <w:p w:rsidR="000738FC" w:rsidRPr="00D5269A" w:rsidRDefault="000738FC" w:rsidP="00674CDD">
      <w:pPr>
        <w:pStyle w:val="ContinueParaSuitedupar-AltP"/>
        <w:numPr>
          <w:ilvl w:val="0"/>
          <w:numId w:val="10"/>
        </w:numPr>
        <w:ind w:left="1170" w:hanging="1170"/>
        <w:rPr>
          <w:rFonts w:cs="Times New Roman"/>
        </w:rPr>
      </w:pPr>
      <w:r w:rsidRPr="00D5269A">
        <w:rPr>
          <w:rFonts w:cs="Times New Roman"/>
        </w:rPr>
        <w:t>Should this Court exercise its discretion to decide this moot appeal?</w:t>
      </w:r>
    </w:p>
    <w:p w:rsidR="000738FC" w:rsidRPr="00D5269A" w:rsidRDefault="00F06C81" w:rsidP="00674CDD">
      <w:pPr>
        <w:pStyle w:val="ContinueParaSuitedupar-AltP"/>
        <w:numPr>
          <w:ilvl w:val="0"/>
          <w:numId w:val="10"/>
        </w:numPr>
        <w:ind w:left="1170" w:hanging="1170"/>
        <w:rPr>
          <w:rFonts w:cs="Times New Roman"/>
        </w:rPr>
      </w:pPr>
      <w:r>
        <w:rPr>
          <w:rFonts w:cs="Times New Roman"/>
        </w:rPr>
        <w:t>Does s. </w:t>
      </w:r>
      <w:r w:rsidR="000738FC" w:rsidRPr="00D5269A">
        <w:rPr>
          <w:rFonts w:cs="Times New Roman"/>
        </w:rPr>
        <w:t>11(</w:t>
      </w:r>
      <w:r w:rsidR="000738FC" w:rsidRPr="00D5269A">
        <w:rPr>
          <w:rFonts w:cs="Times New Roman"/>
          <w:i/>
        </w:rPr>
        <w:t>i</w:t>
      </w:r>
      <w:r w:rsidR="000738FC" w:rsidRPr="00D5269A">
        <w:rPr>
          <w:rFonts w:cs="Times New Roman"/>
        </w:rPr>
        <w:t>) of the</w:t>
      </w:r>
      <w:r w:rsidR="000738FC" w:rsidRPr="00D5269A">
        <w:rPr>
          <w:rFonts w:cs="Times New Roman"/>
          <w:i/>
        </w:rPr>
        <w:t xml:space="preserve"> Charter </w:t>
      </w:r>
      <w:r w:rsidR="000738FC" w:rsidRPr="00D5269A">
        <w:rPr>
          <w:rFonts w:cs="Times New Roman"/>
        </w:rPr>
        <w:t>constitutionalize a binary or a global right?</w:t>
      </w:r>
    </w:p>
    <w:p w:rsidR="000738FC" w:rsidRPr="00D5269A" w:rsidRDefault="000738FC" w:rsidP="000738FC">
      <w:pPr>
        <w:pStyle w:val="Title1LevelTitre1Niveau-AltL"/>
        <w:rPr>
          <w:rFonts w:cs="Times New Roman"/>
        </w:rPr>
      </w:pPr>
      <w:bookmarkStart w:id="13" w:name="_Toc11503098"/>
      <w:bookmarkStart w:id="14" w:name="_Toc12005412"/>
      <w:bookmarkStart w:id="15" w:name="_Toc14423805"/>
      <w:bookmarkStart w:id="16" w:name="_Toc15313748"/>
      <w:r w:rsidRPr="00D5269A">
        <w:rPr>
          <w:rFonts w:cs="Times New Roman"/>
        </w:rPr>
        <w:t>Analysis</w:t>
      </w:r>
      <w:bookmarkEnd w:id="13"/>
      <w:bookmarkEnd w:id="14"/>
      <w:bookmarkEnd w:id="15"/>
      <w:bookmarkEnd w:id="16"/>
    </w:p>
    <w:p w:rsidR="000738FC" w:rsidRPr="00D5269A" w:rsidRDefault="000738FC" w:rsidP="000738FC">
      <w:pPr>
        <w:pStyle w:val="Title2LevelTitre2Niveau"/>
        <w:rPr>
          <w:rFonts w:cs="Times New Roman"/>
        </w:rPr>
      </w:pPr>
      <w:bookmarkStart w:id="17" w:name="_Toc11503099"/>
      <w:bookmarkStart w:id="18" w:name="_Toc12005413"/>
      <w:bookmarkStart w:id="19" w:name="_Toc14423806"/>
      <w:bookmarkStart w:id="20" w:name="_Toc15313749"/>
      <w:r w:rsidRPr="00D5269A">
        <w:rPr>
          <w:rFonts w:cs="Times New Roman"/>
        </w:rPr>
        <w:t xml:space="preserve">Should </w:t>
      </w:r>
      <w:r w:rsidR="0086243A">
        <w:rPr>
          <w:rFonts w:cs="Times New Roman"/>
        </w:rPr>
        <w:t>T</w:t>
      </w:r>
      <w:r w:rsidR="00674CDD">
        <w:rPr>
          <w:rFonts w:cs="Times New Roman"/>
        </w:rPr>
        <w:t>his Court Exercise I</w:t>
      </w:r>
      <w:r w:rsidRPr="00D5269A">
        <w:rPr>
          <w:rFonts w:cs="Times New Roman"/>
        </w:rPr>
        <w:t xml:space="preserve">ts Discretion to Decide </w:t>
      </w:r>
      <w:r w:rsidR="0086243A">
        <w:rPr>
          <w:rFonts w:cs="Times New Roman"/>
        </w:rPr>
        <w:t>T</w:t>
      </w:r>
      <w:r w:rsidRPr="00D5269A">
        <w:rPr>
          <w:rFonts w:cs="Times New Roman"/>
        </w:rPr>
        <w:t>his Moot Appeal?</w:t>
      </w:r>
      <w:bookmarkEnd w:id="17"/>
      <w:bookmarkEnd w:id="18"/>
      <w:bookmarkEnd w:id="19"/>
      <w:bookmarkEnd w:id="20"/>
    </w:p>
    <w:p w:rsidR="000738FC" w:rsidRPr="00D5269A" w:rsidRDefault="000738FC" w:rsidP="000738FC">
      <w:pPr>
        <w:pStyle w:val="ParaNoNdepar-AltN"/>
        <w:rPr>
          <w:rFonts w:cs="Times New Roman"/>
        </w:rPr>
      </w:pPr>
      <w:r w:rsidRPr="00D5269A">
        <w:rPr>
          <w:rFonts w:cs="Times New Roman"/>
        </w:rPr>
        <w:t>As outlined a</w:t>
      </w:r>
      <w:r w:rsidR="00F25EB7">
        <w:rPr>
          <w:rFonts w:cs="Times New Roman"/>
        </w:rPr>
        <w:t>bove, Mr. </w:t>
      </w:r>
      <w:r w:rsidRPr="00D5269A">
        <w:rPr>
          <w:rFonts w:cs="Times New Roman"/>
        </w:rPr>
        <w:t xml:space="preserve">Poulin passed away, a few weeks before </w:t>
      </w:r>
      <w:r w:rsidR="00F25EB7">
        <w:rPr>
          <w:rFonts w:cs="Times New Roman"/>
        </w:rPr>
        <w:t>the hearing of this appeal. Mr. </w:t>
      </w:r>
      <w:r w:rsidRPr="00D5269A">
        <w:rPr>
          <w:rFonts w:cs="Times New Roman"/>
        </w:rPr>
        <w:t>Poulin’s death occurred after the appellant Crown had filed its factum and after this Court had granted leave to intervene to the interveners.</w:t>
      </w:r>
    </w:p>
    <w:p w:rsidR="000738FC" w:rsidRPr="00D5269A" w:rsidRDefault="000738FC" w:rsidP="000738FC">
      <w:pPr>
        <w:pStyle w:val="ParaNoNdepar-AltN"/>
        <w:rPr>
          <w:rFonts w:cs="Times New Roman"/>
        </w:rPr>
      </w:pPr>
      <w:r w:rsidRPr="00D5269A">
        <w:rPr>
          <w:rFonts w:cs="Times New Roman"/>
        </w:rPr>
        <w:t>Upon learning of Mr.</w:t>
      </w:r>
      <w:r w:rsidR="00F25EB7">
        <w:rPr>
          <w:rFonts w:cs="Times New Roman"/>
        </w:rPr>
        <w:t> </w:t>
      </w:r>
      <w:r w:rsidRPr="00D5269A">
        <w:rPr>
          <w:rFonts w:cs="Times New Roman"/>
        </w:rPr>
        <w:t>Poulin’s death, the Crown filed a motion to proceed with it</w:t>
      </w:r>
      <w:r w:rsidR="00F15687">
        <w:rPr>
          <w:rFonts w:cs="Times New Roman"/>
        </w:rPr>
        <w:t>s appeal, in accordance with s. </w:t>
      </w:r>
      <w:r w:rsidRPr="00D5269A">
        <w:rPr>
          <w:rFonts w:cs="Times New Roman"/>
        </w:rPr>
        <w:t xml:space="preserve">76 of the </w:t>
      </w:r>
      <w:r w:rsidRPr="00D5269A">
        <w:rPr>
          <w:rFonts w:cs="Times New Roman"/>
          <w:i/>
        </w:rPr>
        <w:t>Supreme Court Act</w:t>
      </w:r>
      <w:r w:rsidRPr="00D5269A">
        <w:rPr>
          <w:rFonts w:cs="Times New Roman"/>
        </w:rPr>
        <w:t>,</w:t>
      </w:r>
      <w:r w:rsidRPr="00D5269A">
        <w:rPr>
          <w:rFonts w:cs="Times New Roman"/>
          <w:i/>
        </w:rPr>
        <w:t xml:space="preserve"> </w:t>
      </w:r>
      <w:r w:rsidR="002C5FF9">
        <w:rPr>
          <w:rFonts w:cs="Times New Roman"/>
        </w:rPr>
        <w:t xml:space="preserve">R.S.C. </w:t>
      </w:r>
      <w:r w:rsidRPr="00D5269A">
        <w:rPr>
          <w:rFonts w:cs="Times New Roman"/>
        </w:rPr>
        <w:t xml:space="preserve">1985, </w:t>
      </w:r>
      <w:r w:rsidRPr="00D5269A">
        <w:rPr>
          <w:rFonts w:cs="Times New Roman"/>
        </w:rPr>
        <w:lastRenderedPageBreak/>
        <w:t>c.</w:t>
      </w:r>
      <w:r w:rsidR="00F15687">
        <w:rPr>
          <w:rFonts w:cs="Times New Roman"/>
        </w:rPr>
        <w:t> </w:t>
      </w:r>
      <w:r w:rsidRPr="00D5269A">
        <w:rPr>
          <w:rFonts w:cs="Times New Roman"/>
        </w:rPr>
        <w:t>S</w:t>
      </w:r>
      <w:r w:rsidR="00506DE6" w:rsidRPr="00A215D4">
        <w:rPr>
          <w:lang w:val="en-US"/>
        </w:rPr>
        <w:noBreakHyphen/>
      </w:r>
      <w:r w:rsidR="00500A25">
        <w:rPr>
          <w:rFonts w:cs="Times New Roman"/>
        </w:rPr>
        <w:t>26. Mr. </w:t>
      </w:r>
      <w:r w:rsidRPr="00D5269A">
        <w:rPr>
          <w:rFonts w:cs="Times New Roman"/>
        </w:rPr>
        <w:t>Poulin’s counsel wrote to the Crown saying that he would proceed to file the respondent’s appeal materials by the deadlin</w:t>
      </w:r>
      <w:r w:rsidR="00500A25">
        <w:rPr>
          <w:rFonts w:cs="Times New Roman"/>
        </w:rPr>
        <w:t>e applicable to Mr. </w:t>
      </w:r>
      <w:r w:rsidRPr="00D5269A">
        <w:rPr>
          <w:rFonts w:cs="Times New Roman"/>
        </w:rPr>
        <w:t>Pouli</w:t>
      </w:r>
      <w:r w:rsidR="00500A25">
        <w:rPr>
          <w:rFonts w:cs="Times New Roman"/>
        </w:rPr>
        <w:t>n, which he ultimately did. Mr. </w:t>
      </w:r>
      <w:r w:rsidRPr="00D5269A">
        <w:rPr>
          <w:rFonts w:cs="Times New Roman"/>
        </w:rPr>
        <w:t>Poulin’s counsel later provided affidav</w:t>
      </w:r>
      <w:r w:rsidR="00500A25">
        <w:rPr>
          <w:rFonts w:cs="Times New Roman"/>
        </w:rPr>
        <w:t>it evidence confirming that Mr. </w:t>
      </w:r>
      <w:r w:rsidRPr="00D5269A">
        <w:rPr>
          <w:rFonts w:cs="Times New Roman"/>
        </w:rPr>
        <w:t>Pouli</w:t>
      </w:r>
      <w:r w:rsidR="00500A25">
        <w:rPr>
          <w:rFonts w:cs="Times New Roman"/>
        </w:rPr>
        <w:t>n’s executor had instructed Mr. </w:t>
      </w:r>
      <w:r w:rsidRPr="00D5269A">
        <w:rPr>
          <w:rFonts w:cs="Times New Roman"/>
        </w:rPr>
        <w:t>Poulin’s couns</w:t>
      </w:r>
      <w:r w:rsidR="00500A25">
        <w:rPr>
          <w:rFonts w:cs="Times New Roman"/>
        </w:rPr>
        <w:t>el to continue representing Mr. </w:t>
      </w:r>
      <w:r w:rsidRPr="00D5269A">
        <w:rPr>
          <w:rFonts w:cs="Times New Roman"/>
        </w:rPr>
        <w:t xml:space="preserve">Poulin’s position on this appeal should this Court decide to hear it. The Crown’s motion to proceed with the appeal was </w:t>
      </w:r>
      <w:r w:rsidR="00500A25">
        <w:rPr>
          <w:rFonts w:cs="Times New Roman"/>
        </w:rPr>
        <w:t>heard alongside the appeal. Mr. </w:t>
      </w:r>
      <w:r w:rsidRPr="00D5269A">
        <w:rPr>
          <w:rFonts w:cs="Times New Roman"/>
        </w:rPr>
        <w:t xml:space="preserve">Poulin’s counsel did not take a position on the motion to proceed. </w:t>
      </w:r>
    </w:p>
    <w:p w:rsidR="000738FC" w:rsidRPr="00D5269A" w:rsidRDefault="000738FC" w:rsidP="000738FC">
      <w:pPr>
        <w:pStyle w:val="ParaNoNdepar-AltN"/>
        <w:rPr>
          <w:rFonts w:cs="Times New Roman"/>
        </w:rPr>
      </w:pPr>
      <w:r w:rsidRPr="00D5269A">
        <w:rPr>
          <w:rFonts w:cs="Times New Roman"/>
        </w:rPr>
        <w:t>The Crown appropriately concedes that this appeal is moot in light of Mr.</w:t>
      </w:r>
      <w:r>
        <w:rPr>
          <w:rFonts w:cs="Times New Roman"/>
        </w:rPr>
        <w:t> </w:t>
      </w:r>
      <w:r w:rsidRPr="00D5269A">
        <w:rPr>
          <w:rFonts w:cs="Times New Roman"/>
        </w:rPr>
        <w:t>Poulin’s death. However, the Crown argues that this Court should exercise its discretion to adjudicate this appeal despite its mootness. I agree.</w:t>
      </w:r>
    </w:p>
    <w:p w:rsidR="000738FC" w:rsidRPr="00D5269A" w:rsidRDefault="000738FC" w:rsidP="000738FC">
      <w:pPr>
        <w:pStyle w:val="ParaNoNdepar-AltN"/>
        <w:rPr>
          <w:rFonts w:cs="Times New Roman"/>
        </w:rPr>
      </w:pPr>
      <w:r w:rsidRPr="00D5269A">
        <w:rPr>
          <w:rFonts w:cs="Times New Roman"/>
        </w:rPr>
        <w:t xml:space="preserve">In </w:t>
      </w:r>
      <w:r w:rsidRPr="00D5269A">
        <w:rPr>
          <w:rFonts w:cs="Times New Roman"/>
          <w:i/>
        </w:rPr>
        <w:t>R. v. Smith</w:t>
      </w:r>
      <w:r w:rsidRPr="00D5269A">
        <w:rPr>
          <w:rFonts w:cs="Times New Roman"/>
        </w:rPr>
        <w:t>, 2004 SCC 14, [2004] 1 S.C.R. 38</w:t>
      </w:r>
      <w:r w:rsidR="00506DE6">
        <w:rPr>
          <w:rFonts w:cs="Times New Roman"/>
        </w:rPr>
        <w:t>5, this Court set out five (non</w:t>
      </w:r>
      <w:r w:rsidR="00506DE6" w:rsidRPr="00A215D4">
        <w:rPr>
          <w:lang w:val="en-US"/>
        </w:rPr>
        <w:noBreakHyphen/>
      </w:r>
      <w:r w:rsidRPr="00D5269A">
        <w:rPr>
          <w:rFonts w:cs="Times New Roman"/>
        </w:rPr>
        <w:t>exhaustive) factors for determining whether there are exceptional circumstances warranting the adjudication of an appeal rendered moot by the accused’s death. These factors are:</w:t>
      </w:r>
    </w:p>
    <w:p w:rsidR="000738FC" w:rsidRPr="00D5269A" w:rsidRDefault="00674CDD" w:rsidP="000738FC">
      <w:pPr>
        <w:pStyle w:val="Citation-AltC"/>
      </w:pPr>
      <w:r>
        <w:t xml:space="preserve">1. </w:t>
      </w:r>
      <w:r>
        <w:tab/>
      </w:r>
      <w:r w:rsidR="000738FC" w:rsidRPr="00D5269A">
        <w:t>whether the appeal will proceed in a proper adversarial context;</w:t>
      </w:r>
    </w:p>
    <w:p w:rsidR="000738FC" w:rsidRPr="00D5269A" w:rsidRDefault="000738FC" w:rsidP="000738FC">
      <w:pPr>
        <w:pStyle w:val="Citation-AltC"/>
      </w:pPr>
    </w:p>
    <w:p w:rsidR="000738FC" w:rsidRPr="00D5269A" w:rsidRDefault="00674CDD" w:rsidP="000738FC">
      <w:pPr>
        <w:pStyle w:val="Citation-AltC"/>
      </w:pPr>
      <w:r>
        <w:t xml:space="preserve">2. </w:t>
      </w:r>
      <w:r>
        <w:tab/>
      </w:r>
      <w:r w:rsidR="000738FC" w:rsidRPr="00D5269A">
        <w:t>the strength of the grounds of the appeal;</w:t>
      </w:r>
    </w:p>
    <w:p w:rsidR="000738FC" w:rsidRPr="00D5269A" w:rsidRDefault="000738FC" w:rsidP="000738FC">
      <w:pPr>
        <w:pStyle w:val="Citation-AltC"/>
      </w:pPr>
    </w:p>
    <w:p w:rsidR="000738FC" w:rsidRDefault="00674CDD" w:rsidP="000738FC">
      <w:pPr>
        <w:pStyle w:val="Citation-AltC"/>
        <w:ind w:left="1440" w:hanging="274"/>
      </w:pPr>
      <w:r>
        <w:t xml:space="preserve">3. </w:t>
      </w:r>
      <w:r>
        <w:tab/>
      </w:r>
      <w:r w:rsidR="000738FC" w:rsidRPr="00D5269A">
        <w:t>whether there are special circumstances that transcend the death of the   individual appellant/respondent, including:</w:t>
      </w:r>
    </w:p>
    <w:p w:rsidR="00755D10" w:rsidRPr="00D5269A" w:rsidRDefault="00755D10" w:rsidP="000738FC">
      <w:pPr>
        <w:pStyle w:val="Citation-AltC"/>
        <w:ind w:left="1440" w:hanging="274"/>
      </w:pPr>
    </w:p>
    <w:p w:rsidR="000738FC" w:rsidRPr="00D5269A" w:rsidRDefault="000738FC" w:rsidP="000738FC">
      <w:pPr>
        <w:pStyle w:val="Citation-AltC"/>
        <w:ind w:left="1800" w:hanging="360"/>
      </w:pPr>
      <w:r w:rsidRPr="00D5269A">
        <w:t>(a) a legal issue of general public importance, particularly if it is otherwise evasive of appellate review;</w:t>
      </w:r>
    </w:p>
    <w:p w:rsidR="000738FC" w:rsidRPr="00D5269A" w:rsidRDefault="000738FC" w:rsidP="000738FC">
      <w:pPr>
        <w:pStyle w:val="Citation-AltC"/>
        <w:ind w:left="1440"/>
      </w:pPr>
    </w:p>
    <w:p w:rsidR="000738FC" w:rsidRPr="00D5269A" w:rsidRDefault="000738FC" w:rsidP="000738FC">
      <w:pPr>
        <w:pStyle w:val="Citation-AltC"/>
        <w:ind w:left="1440"/>
      </w:pPr>
      <w:r w:rsidRPr="00D5269A">
        <w:t>(b)  a systemic issue related to the administration of justice;</w:t>
      </w:r>
    </w:p>
    <w:p w:rsidR="000738FC" w:rsidRPr="00D5269A" w:rsidRDefault="000738FC" w:rsidP="000738FC">
      <w:pPr>
        <w:pStyle w:val="Citation-AltC"/>
        <w:ind w:left="1440"/>
      </w:pPr>
    </w:p>
    <w:p w:rsidR="000738FC" w:rsidRPr="00D5269A" w:rsidRDefault="000738FC" w:rsidP="000738FC">
      <w:pPr>
        <w:pStyle w:val="Citation-AltC"/>
        <w:ind w:left="1890" w:hanging="450"/>
      </w:pPr>
      <w:r w:rsidRPr="00D5269A">
        <w:lastRenderedPageBreak/>
        <w:t>(c)  collateral consequences to the family of the deceased or to other interested persons or to the public;</w:t>
      </w:r>
    </w:p>
    <w:p w:rsidR="000738FC" w:rsidRPr="00D5269A" w:rsidRDefault="000738FC" w:rsidP="000738FC">
      <w:pPr>
        <w:pStyle w:val="Citation-AltC"/>
        <w:ind w:left="1440"/>
      </w:pPr>
    </w:p>
    <w:p w:rsidR="000738FC" w:rsidRPr="00D5269A" w:rsidRDefault="00674CDD" w:rsidP="000738FC">
      <w:pPr>
        <w:pStyle w:val="Citation-AltC"/>
        <w:ind w:left="1530" w:hanging="274"/>
      </w:pPr>
      <w:r>
        <w:t xml:space="preserve">4. </w:t>
      </w:r>
      <w:r>
        <w:tab/>
      </w:r>
      <w:r w:rsidR="000738FC" w:rsidRPr="00D5269A">
        <w:t>whether the nature of the order which could be made by the appellate court justifies the expenditure of limited judicial (or court) resources to resolve a moot appeal;</w:t>
      </w:r>
    </w:p>
    <w:p w:rsidR="000738FC" w:rsidRPr="00D5269A" w:rsidRDefault="000738FC" w:rsidP="000738FC">
      <w:pPr>
        <w:pStyle w:val="Citation-AltC"/>
      </w:pPr>
    </w:p>
    <w:p w:rsidR="000738FC" w:rsidRPr="00D5269A" w:rsidRDefault="00674CDD" w:rsidP="00674CDD">
      <w:pPr>
        <w:pStyle w:val="Citation-AltC"/>
        <w:ind w:left="1530" w:hanging="274"/>
      </w:pPr>
      <w:r>
        <w:t xml:space="preserve">5. </w:t>
      </w:r>
      <w:r>
        <w:tab/>
      </w:r>
      <w:r w:rsidR="000738FC" w:rsidRPr="00D5269A">
        <w:t>whether continuing the appeal would go beyond the judicial function of resolving concrete disputes and involve the Court in free</w:t>
      </w:r>
      <w:r w:rsidR="00506DE6" w:rsidRPr="00A215D4">
        <w:rPr>
          <w:lang w:val="en-US"/>
        </w:rPr>
        <w:noBreakHyphen/>
      </w:r>
      <w:r w:rsidR="000738FC" w:rsidRPr="00D5269A">
        <w:t>standing, legislative</w:t>
      </w:r>
      <w:r w:rsidR="00506DE6" w:rsidRPr="00A215D4">
        <w:rPr>
          <w:lang w:val="en-US"/>
        </w:rPr>
        <w:noBreakHyphen/>
      </w:r>
      <w:r w:rsidR="000738FC" w:rsidRPr="00D5269A">
        <w:t>type pronouncements more properly left to the legislature itself.</w:t>
      </w:r>
      <w:r>
        <w:t xml:space="preserve"> </w:t>
      </w:r>
      <w:r w:rsidR="0021530D">
        <w:t>[para. </w:t>
      </w:r>
      <w:r w:rsidR="000738FC" w:rsidRPr="00D5269A">
        <w:t>50]</w:t>
      </w:r>
    </w:p>
    <w:p w:rsidR="000738FC" w:rsidRPr="00D5269A" w:rsidRDefault="000738FC" w:rsidP="000738FC">
      <w:pPr>
        <w:pStyle w:val="ParaNoNdepar-AltN"/>
        <w:rPr>
          <w:rFonts w:cs="Times New Roman"/>
        </w:rPr>
      </w:pPr>
      <w:r w:rsidRPr="00D5269A">
        <w:rPr>
          <w:rFonts w:cs="Times New Roman"/>
        </w:rPr>
        <w:t xml:space="preserve">Overall, these factors militate towards adjudicating the Crown’s appeal. </w:t>
      </w:r>
    </w:p>
    <w:p w:rsidR="000738FC" w:rsidRPr="00D5269A" w:rsidRDefault="000738FC" w:rsidP="000738FC">
      <w:pPr>
        <w:pStyle w:val="ParaNoNdepar-AltN"/>
        <w:rPr>
          <w:rFonts w:cs="Times New Roman"/>
        </w:rPr>
      </w:pPr>
      <w:r w:rsidRPr="00D5269A">
        <w:rPr>
          <w:rFonts w:cs="Times New Roman"/>
        </w:rPr>
        <w:t>First, despite Mr.</w:t>
      </w:r>
      <w:r w:rsidR="00F82D55">
        <w:rPr>
          <w:rFonts w:cs="Times New Roman"/>
        </w:rPr>
        <w:t> </w:t>
      </w:r>
      <w:r w:rsidRPr="00D5269A">
        <w:rPr>
          <w:rFonts w:cs="Times New Roman"/>
        </w:rPr>
        <w:t>Poulin’s death, Mr.</w:t>
      </w:r>
      <w:r w:rsidR="00F82D55">
        <w:rPr>
          <w:rFonts w:cs="Times New Roman"/>
        </w:rPr>
        <w:t> </w:t>
      </w:r>
      <w:r w:rsidRPr="00D5269A">
        <w:rPr>
          <w:rFonts w:cs="Times New Roman"/>
        </w:rPr>
        <w:t>Poulin’s counsel submitted a full</w:t>
      </w:r>
      <w:r w:rsidR="00506DE6" w:rsidRPr="00A215D4">
        <w:rPr>
          <w:lang w:val="en-US"/>
        </w:rPr>
        <w:noBreakHyphen/>
      </w:r>
      <w:r w:rsidR="00F82D55">
        <w:rPr>
          <w:rFonts w:cs="Times New Roman"/>
        </w:rPr>
        <w:t>length factum advancing Mr. </w:t>
      </w:r>
      <w:r w:rsidRPr="00D5269A">
        <w:rPr>
          <w:rFonts w:cs="Times New Roman"/>
        </w:rPr>
        <w:t>Poulin’s position and advocated for that position at the hearing of this appeal. The interveners the Criminal Lawyers’ Association (“CLA”) and the Association québécoise des avocats et avocates de la défense (“AQAAD”) also provided the Court with perspectives aligned with Mr</w:t>
      </w:r>
      <w:r w:rsidR="00F82D55">
        <w:rPr>
          <w:rFonts w:cs="Times New Roman"/>
        </w:rPr>
        <w:t>. </w:t>
      </w:r>
      <w:r w:rsidRPr="00D5269A">
        <w:rPr>
          <w:rFonts w:cs="Times New Roman"/>
        </w:rPr>
        <w:t>Poulin’s. Thus, this Court has had the benefit of adversarial submissions in this case.</w:t>
      </w:r>
    </w:p>
    <w:p w:rsidR="000738FC" w:rsidRPr="00D5269A" w:rsidRDefault="000738FC" w:rsidP="000738FC">
      <w:pPr>
        <w:pStyle w:val="ParaNoNdepar-AltN"/>
        <w:rPr>
          <w:rFonts w:cs="Times New Roman"/>
        </w:rPr>
      </w:pPr>
      <w:r w:rsidRPr="00D5269A">
        <w:rPr>
          <w:rFonts w:cs="Times New Roman"/>
        </w:rPr>
        <w:t xml:space="preserve">Second, the appellant’s case is clearly more than “arguable” (see </w:t>
      </w:r>
      <w:r w:rsidRPr="00D5269A">
        <w:rPr>
          <w:rFonts w:cs="Times New Roman"/>
          <w:i/>
        </w:rPr>
        <w:t>R. v. M</w:t>
      </w:r>
      <w:r w:rsidR="0045097E">
        <w:rPr>
          <w:rFonts w:cs="Times New Roman"/>
          <w:i/>
        </w:rPr>
        <w:t>a</w:t>
      </w:r>
      <w:r w:rsidRPr="00D5269A">
        <w:rPr>
          <w:rFonts w:cs="Times New Roman"/>
          <w:i/>
        </w:rPr>
        <w:t>cLellan</w:t>
      </w:r>
      <w:r w:rsidR="00ED327D">
        <w:rPr>
          <w:rFonts w:cs="Times New Roman"/>
        </w:rPr>
        <w:t>, 2019 NSCA 2</w:t>
      </w:r>
      <w:r w:rsidR="00A86211">
        <w:rPr>
          <w:rFonts w:cs="Times New Roman"/>
        </w:rPr>
        <w:t xml:space="preserve">, </w:t>
      </w:r>
      <w:r w:rsidR="002361D6">
        <w:t>369 C.C.C. (3d) 482</w:t>
      </w:r>
      <w:r w:rsidR="00ED327D">
        <w:rPr>
          <w:rFonts w:cs="Times New Roman"/>
        </w:rPr>
        <w:t>, at para. </w:t>
      </w:r>
      <w:r w:rsidR="00A86211">
        <w:rPr>
          <w:rFonts w:cs="Times New Roman"/>
        </w:rPr>
        <w:t>96</w:t>
      </w:r>
      <w:r w:rsidRPr="00D5269A">
        <w:rPr>
          <w:rFonts w:cs="Times New Roman"/>
        </w:rPr>
        <w:t>). The Crown’s appeal raises an important constitutional question that has not yet received comprehensive treatment in the jurisprudence. Indeed, the Crown points out that the existing s.</w:t>
      </w:r>
      <w:r w:rsidR="00E56841">
        <w:rPr>
          <w:rFonts w:cs="Times New Roman"/>
        </w:rPr>
        <w:t> </w:t>
      </w:r>
      <w:r w:rsidRPr="00D5269A">
        <w:rPr>
          <w:rFonts w:cs="Times New Roman"/>
        </w:rPr>
        <w:t>11(</w:t>
      </w:r>
      <w:r w:rsidRPr="00D5269A">
        <w:rPr>
          <w:rFonts w:cs="Times New Roman"/>
          <w:i/>
        </w:rPr>
        <w:t>i</w:t>
      </w:r>
      <w:r w:rsidRPr="00D5269A">
        <w:rPr>
          <w:rFonts w:cs="Times New Roman"/>
        </w:rPr>
        <w:t xml:space="preserve">) decisions addressing the binary/global question, while consistent, do not engage with, let alone identify, the underlying purposes of the right. This is a critical shortcoming because, as discussed below, the interpretation of a </w:t>
      </w:r>
      <w:r w:rsidRPr="00D5269A">
        <w:rPr>
          <w:rFonts w:cs="Times New Roman"/>
          <w:i/>
        </w:rPr>
        <w:t xml:space="preserve">Charter </w:t>
      </w:r>
      <w:r w:rsidRPr="00D5269A">
        <w:rPr>
          <w:rFonts w:cs="Times New Roman"/>
        </w:rPr>
        <w:t xml:space="preserve">right hinges on the right’s </w:t>
      </w:r>
      <w:r w:rsidRPr="00D5269A">
        <w:rPr>
          <w:rFonts w:cs="Times New Roman"/>
        </w:rPr>
        <w:lastRenderedPageBreak/>
        <w:t>purposes. There is, accordingly, “real substance” to the Crown’s appeal and the Crown raises a serious issue (</w:t>
      </w:r>
      <w:r w:rsidR="00CE2F07">
        <w:rPr>
          <w:rFonts w:cs="Times New Roman"/>
          <w:i/>
        </w:rPr>
        <w:t>ibid.</w:t>
      </w:r>
      <w:r w:rsidRPr="00D5269A">
        <w:rPr>
          <w:rFonts w:cs="Times New Roman"/>
        </w:rPr>
        <w:t>).</w:t>
      </w:r>
    </w:p>
    <w:p w:rsidR="000738FC" w:rsidRPr="00D5269A" w:rsidRDefault="000738FC" w:rsidP="000738FC">
      <w:pPr>
        <w:pStyle w:val="ParaNoNdepar-AltN"/>
        <w:rPr>
          <w:rFonts w:cs="Times New Roman"/>
        </w:rPr>
      </w:pPr>
      <w:r w:rsidRPr="00D5269A">
        <w:rPr>
          <w:rFonts w:cs="Times New Roman"/>
        </w:rPr>
        <w:t xml:space="preserve">Third, </w:t>
      </w:r>
      <w:r w:rsidR="00632CB3">
        <w:rPr>
          <w:rFonts w:cs="Times New Roman"/>
        </w:rPr>
        <w:t>the proper interpretation of s. </w:t>
      </w:r>
      <w:r w:rsidRPr="00D5269A">
        <w:rPr>
          <w:rFonts w:cs="Times New Roman"/>
        </w:rPr>
        <w:t>11(</w:t>
      </w:r>
      <w:r w:rsidRPr="00D5269A">
        <w:rPr>
          <w:rFonts w:cs="Times New Roman"/>
          <w:i/>
        </w:rPr>
        <w:t>i</w:t>
      </w:r>
      <w:r w:rsidRPr="00D5269A">
        <w:rPr>
          <w:rFonts w:cs="Times New Roman"/>
        </w:rPr>
        <w:t xml:space="preserve">) is “a legal issue of general public importance” which </w:t>
      </w:r>
      <w:r w:rsidR="00F82D55">
        <w:rPr>
          <w:rFonts w:cs="Times New Roman"/>
        </w:rPr>
        <w:t>“transcend[s] the death” of Mr. </w:t>
      </w:r>
      <w:r w:rsidRPr="00D5269A">
        <w:rPr>
          <w:rFonts w:cs="Times New Roman"/>
        </w:rPr>
        <w:t xml:space="preserve">Poulin. The binary/global question is the sole question on appeal in this case. By granting leave to appeal, this Court signalled that it considers the binary/global question to be of public importance and to merit closer analysis (see </w:t>
      </w:r>
      <w:r w:rsidRPr="00D5269A">
        <w:rPr>
          <w:rFonts w:cs="Times New Roman"/>
          <w:i/>
        </w:rPr>
        <w:t>Supreme Court Act</w:t>
      </w:r>
      <w:r w:rsidRPr="00D5269A">
        <w:rPr>
          <w:rFonts w:cs="Times New Roman"/>
        </w:rPr>
        <w:t>,</w:t>
      </w:r>
      <w:r w:rsidRPr="00D5269A">
        <w:rPr>
          <w:rFonts w:cs="Times New Roman"/>
          <w:i/>
        </w:rPr>
        <w:t xml:space="preserve"> </w:t>
      </w:r>
      <w:r w:rsidRPr="00D5269A">
        <w:rPr>
          <w:rFonts w:cs="Times New Roman"/>
        </w:rPr>
        <w:t xml:space="preserve">s. 40(1)). Further, and unlike in </w:t>
      </w:r>
      <w:r w:rsidRPr="00D5269A">
        <w:rPr>
          <w:rFonts w:cs="Times New Roman"/>
          <w:i/>
        </w:rPr>
        <w:t>Smith</w:t>
      </w:r>
      <w:r w:rsidRPr="00D5269A">
        <w:rPr>
          <w:rFonts w:cs="Times New Roman"/>
        </w:rPr>
        <w:t>,</w:t>
      </w:r>
      <w:r w:rsidRPr="00D5269A">
        <w:rPr>
          <w:rFonts w:cs="Times New Roman"/>
          <w:i/>
        </w:rPr>
        <w:t xml:space="preserve"> </w:t>
      </w:r>
      <w:r w:rsidRPr="00D5269A">
        <w:rPr>
          <w:rFonts w:cs="Times New Roman"/>
        </w:rPr>
        <w:t>the question in this appeal is not restricted to the facts of the case. To the contrary, the proper interpretation of this</w:t>
      </w:r>
      <w:r w:rsidRPr="00D5269A">
        <w:rPr>
          <w:rFonts w:cs="Times New Roman"/>
          <w:i/>
        </w:rPr>
        <w:t xml:space="preserve"> Charter</w:t>
      </w:r>
      <w:r w:rsidRPr="00D5269A">
        <w:rPr>
          <w:rFonts w:cs="Times New Roman"/>
        </w:rPr>
        <w:t xml:space="preserve"> provision engages a systemic issue related to the admi</w:t>
      </w:r>
      <w:r w:rsidR="00BC5915">
        <w:rPr>
          <w:rFonts w:cs="Times New Roman"/>
        </w:rPr>
        <w:t>nistration of justice, since s. </w:t>
      </w:r>
      <w:r w:rsidRPr="00D5269A">
        <w:rPr>
          <w:rFonts w:cs="Times New Roman"/>
        </w:rPr>
        <w:t>11(</w:t>
      </w:r>
      <w:r w:rsidRPr="00D5269A">
        <w:rPr>
          <w:rFonts w:cs="Times New Roman"/>
          <w:i/>
        </w:rPr>
        <w:t>i</w:t>
      </w:r>
      <w:r w:rsidRPr="00D5269A">
        <w:rPr>
          <w:rFonts w:cs="Times New Roman"/>
        </w:rPr>
        <w:t xml:space="preserve">) applies to all sentencing proceedings. As a result, the Crown, acting on behalf of the public, has a strong interest in seeing the question resolved (see </w:t>
      </w:r>
      <w:r w:rsidRPr="00D5269A">
        <w:rPr>
          <w:rFonts w:cs="Times New Roman"/>
          <w:i/>
        </w:rPr>
        <w:t>Forget v. Quebec (Attorney General)</w:t>
      </w:r>
      <w:r w:rsidRPr="00D5269A">
        <w:rPr>
          <w:rFonts w:cs="Times New Roman"/>
        </w:rPr>
        <w:t>, [1988] 2 S.C.R. 90, at p.</w:t>
      </w:r>
      <w:r>
        <w:rPr>
          <w:rFonts w:cs="Times New Roman"/>
        </w:rPr>
        <w:t> </w:t>
      </w:r>
      <w:r w:rsidRPr="00D5269A">
        <w:rPr>
          <w:rFonts w:cs="Times New Roman"/>
        </w:rPr>
        <w:t xml:space="preserve">97). Moreover, this appeal has meaningful collateral consequences; </w:t>
      </w:r>
      <w:r w:rsidR="00B96311">
        <w:rPr>
          <w:rFonts w:cs="Times New Roman"/>
        </w:rPr>
        <w:t>the proper interpretation of s. </w:t>
      </w:r>
      <w:r w:rsidRPr="00D5269A">
        <w:rPr>
          <w:rFonts w:cs="Times New Roman"/>
        </w:rPr>
        <w:t>11(</w:t>
      </w:r>
      <w:r w:rsidRPr="00D5269A">
        <w:rPr>
          <w:rFonts w:cs="Times New Roman"/>
          <w:i/>
        </w:rPr>
        <w:t>i</w:t>
      </w:r>
      <w:r w:rsidRPr="00D5269A">
        <w:rPr>
          <w:rFonts w:cs="Times New Roman"/>
        </w:rPr>
        <w:t xml:space="preserve">) touches not only all persons found guilty of offences and their families, but also all persons interested in the sentencing of those offenders — which extends beyond victims and their loved ones to society at large. As such, it is “in the public interest to address the merits </w:t>
      </w:r>
      <w:r w:rsidR="00AC474C">
        <w:rPr>
          <w:rFonts w:cs="Times New Roman"/>
        </w:rPr>
        <w:t xml:space="preserve">in order </w:t>
      </w:r>
      <w:r w:rsidRPr="00D5269A">
        <w:rPr>
          <w:rFonts w:cs="Times New Roman"/>
        </w:rPr>
        <w:t>to settle the state of the law” (</w:t>
      </w:r>
      <w:r w:rsidRPr="00D5269A">
        <w:rPr>
          <w:rFonts w:cs="Times New Roman"/>
          <w:i/>
        </w:rPr>
        <w:t>Borowski</w:t>
      </w:r>
      <w:r w:rsidRPr="00D5269A">
        <w:rPr>
          <w:rFonts w:cs="Times New Roman"/>
        </w:rPr>
        <w:t xml:space="preserve"> </w:t>
      </w:r>
      <w:r w:rsidRPr="00D5269A">
        <w:rPr>
          <w:rFonts w:cs="Times New Roman"/>
          <w:i/>
        </w:rPr>
        <w:t>v. Canada (Attorney General)</w:t>
      </w:r>
      <w:r w:rsidR="005B28C4">
        <w:rPr>
          <w:rFonts w:cs="Times New Roman"/>
        </w:rPr>
        <w:t>, [1989] 1 S.C.R. 342, at p. </w:t>
      </w:r>
      <w:r w:rsidRPr="00D5269A">
        <w:rPr>
          <w:rFonts w:cs="Times New Roman"/>
        </w:rPr>
        <w:t>364).</w:t>
      </w:r>
    </w:p>
    <w:p w:rsidR="000738FC" w:rsidRPr="00D5269A" w:rsidRDefault="000738FC" w:rsidP="000738FC">
      <w:pPr>
        <w:pStyle w:val="ParaNoNdepar-AltN"/>
        <w:rPr>
          <w:rFonts w:cs="Times New Roman"/>
        </w:rPr>
      </w:pPr>
      <w:r w:rsidRPr="00D5269A">
        <w:rPr>
          <w:rFonts w:cs="Times New Roman"/>
        </w:rPr>
        <w:t xml:space="preserve">Fourth, the value of this Court’s ruling on </w:t>
      </w:r>
      <w:r w:rsidR="009252AF">
        <w:rPr>
          <w:rFonts w:cs="Times New Roman"/>
        </w:rPr>
        <w:t>the proper interpretation of s. </w:t>
      </w:r>
      <w:r w:rsidRPr="00D5269A">
        <w:rPr>
          <w:rFonts w:cs="Times New Roman"/>
        </w:rPr>
        <w:t>11(</w:t>
      </w:r>
      <w:r w:rsidRPr="00D5269A">
        <w:rPr>
          <w:rFonts w:cs="Times New Roman"/>
          <w:i/>
        </w:rPr>
        <w:t>i</w:t>
      </w:r>
      <w:r w:rsidRPr="00D5269A">
        <w:rPr>
          <w:rFonts w:cs="Times New Roman"/>
        </w:rPr>
        <w:t xml:space="preserve">) clearly outweighs any concerns about limited judicial resources. At this stage and in these circumstances, the option most respectful of all participants’ resources is </w:t>
      </w:r>
      <w:r w:rsidRPr="00D5269A">
        <w:rPr>
          <w:rFonts w:cs="Times New Roman"/>
        </w:rPr>
        <w:lastRenderedPageBreak/>
        <w:t xml:space="preserve">to decide the appeal. While a decision not to adjudicate this appeal might save </w:t>
      </w:r>
      <w:r w:rsidRPr="00D5269A">
        <w:rPr>
          <w:rFonts w:cs="Times New Roman"/>
          <w:i/>
        </w:rPr>
        <w:t>this</w:t>
      </w:r>
      <w:r w:rsidRPr="00D5269A">
        <w:rPr>
          <w:rFonts w:cs="Times New Roman"/>
        </w:rPr>
        <w:t xml:space="preserve"> Court some resources in the short term, it would undoubtedly cost </w:t>
      </w:r>
      <w:r w:rsidRPr="00D5269A">
        <w:rPr>
          <w:rFonts w:cs="Times New Roman"/>
          <w:i/>
        </w:rPr>
        <w:t xml:space="preserve">other </w:t>
      </w:r>
      <w:r w:rsidRPr="00D5269A">
        <w:rPr>
          <w:rFonts w:cs="Times New Roman"/>
        </w:rPr>
        <w:t>courts and justice system participants additional resources in the longer term. It is much more efficient and fair for this Court to decide this question of national importance now, rather than cause future litigants and lower courts to expend further resources debating this question until, inevitably, it reaches this Court anew. There is a clear “social cost in leaving the matter undecided” which outweighs any small cost to this Court associated with deciding the appeal (</w:t>
      </w:r>
      <w:r w:rsidRPr="00D5269A">
        <w:rPr>
          <w:rFonts w:cs="Times New Roman"/>
          <w:i/>
        </w:rPr>
        <w:t>Borowski</w:t>
      </w:r>
      <w:r w:rsidR="001D0BC0">
        <w:rPr>
          <w:rFonts w:cs="Times New Roman"/>
        </w:rPr>
        <w:t>, at pp. </w:t>
      </w:r>
      <w:r w:rsidRPr="00D5269A">
        <w:rPr>
          <w:rFonts w:cs="Times New Roman"/>
        </w:rPr>
        <w:t>361</w:t>
      </w:r>
      <w:r w:rsidR="001D0BC0" w:rsidRPr="00A215D4">
        <w:rPr>
          <w:lang w:val="en-US"/>
        </w:rPr>
        <w:noBreakHyphen/>
      </w:r>
      <w:r w:rsidRPr="00D5269A">
        <w:rPr>
          <w:rFonts w:cs="Times New Roman"/>
        </w:rPr>
        <w:t>62).</w:t>
      </w:r>
    </w:p>
    <w:p w:rsidR="000738FC" w:rsidRPr="00D5269A" w:rsidRDefault="000738FC" w:rsidP="000738FC">
      <w:pPr>
        <w:pStyle w:val="ParaNoNdepar-AltN"/>
        <w:rPr>
          <w:rFonts w:cs="Times New Roman"/>
          <w:lang w:val="en-US"/>
        </w:rPr>
      </w:pPr>
      <w:r w:rsidRPr="00D5269A">
        <w:rPr>
          <w:rFonts w:cs="Times New Roman"/>
        </w:rPr>
        <w:t xml:space="preserve">Fifth, and finally, it is for the courts, not Parliament, to define the scope of </w:t>
      </w:r>
      <w:r w:rsidRPr="00D5269A">
        <w:rPr>
          <w:rFonts w:cs="Times New Roman"/>
          <w:i/>
        </w:rPr>
        <w:t xml:space="preserve">Charter </w:t>
      </w:r>
      <w:r w:rsidRPr="00D5269A">
        <w:rPr>
          <w:rFonts w:cs="Times New Roman"/>
        </w:rPr>
        <w:t xml:space="preserve">rights. Unlike in </w:t>
      </w:r>
      <w:r w:rsidRPr="00D5269A">
        <w:rPr>
          <w:rFonts w:cs="Times New Roman"/>
          <w:i/>
        </w:rPr>
        <w:t>Borowski</w:t>
      </w:r>
      <w:r w:rsidRPr="00D5269A">
        <w:rPr>
          <w:rFonts w:cs="Times New Roman"/>
        </w:rPr>
        <w:t xml:space="preserve">, this Court would not be intruding on the legislative role by answering the question put to it. </w:t>
      </w:r>
    </w:p>
    <w:p w:rsidR="000738FC" w:rsidRPr="00D5269A" w:rsidRDefault="000738FC" w:rsidP="000738FC">
      <w:pPr>
        <w:pStyle w:val="ParaNoNdepar-AltN"/>
        <w:rPr>
          <w:rFonts w:cs="Times New Roman"/>
        </w:rPr>
      </w:pPr>
      <w:r w:rsidRPr="00D5269A">
        <w:rPr>
          <w:rFonts w:cs="Times New Roman"/>
        </w:rPr>
        <w:t>Based on these five factors, I am satisfied that there is “a continuing controversy which, notwithstanding the death of the individual most directly affected by the appeal, requires resolution in the interests of justice” (</w:t>
      </w:r>
      <w:r w:rsidRPr="00D5269A">
        <w:rPr>
          <w:rFonts w:cs="Times New Roman"/>
          <w:i/>
        </w:rPr>
        <w:t>Smith</w:t>
      </w:r>
      <w:r w:rsidRPr="00D5269A">
        <w:rPr>
          <w:rFonts w:cs="Times New Roman"/>
        </w:rPr>
        <w:t>,</w:t>
      </w:r>
      <w:r w:rsidRPr="00D5269A">
        <w:rPr>
          <w:rFonts w:cs="Times New Roman"/>
          <w:i/>
        </w:rPr>
        <w:t xml:space="preserve"> </w:t>
      </w:r>
      <w:r w:rsidR="00752315">
        <w:rPr>
          <w:rFonts w:cs="Times New Roman"/>
        </w:rPr>
        <w:t>at para. </w:t>
      </w:r>
      <w:r w:rsidRPr="00D5269A">
        <w:rPr>
          <w:rFonts w:cs="Times New Roman"/>
        </w:rPr>
        <w:t>4; see also para.</w:t>
      </w:r>
      <w:r w:rsidR="00752315">
        <w:rPr>
          <w:rFonts w:cs="Times New Roman"/>
        </w:rPr>
        <w:t> </w:t>
      </w:r>
      <w:r w:rsidRPr="00D5269A">
        <w:rPr>
          <w:rFonts w:cs="Times New Roman"/>
        </w:rPr>
        <w:t>50). The Cro</w:t>
      </w:r>
      <w:r w:rsidR="00F82D55">
        <w:rPr>
          <w:rFonts w:cs="Times New Roman"/>
        </w:rPr>
        <w:t>wn’s factum, filed prior to Mr. </w:t>
      </w:r>
      <w:r w:rsidRPr="00D5269A">
        <w:rPr>
          <w:rFonts w:cs="Times New Roman"/>
        </w:rPr>
        <w:t>Poulin’s death, is exclusively concerned with the proper interpretation of s.</w:t>
      </w:r>
      <w:r w:rsidR="00484BCC">
        <w:rPr>
          <w:rFonts w:cs="Times New Roman"/>
        </w:rPr>
        <w:t> </w:t>
      </w:r>
      <w:r w:rsidRPr="00D5269A">
        <w:rPr>
          <w:rFonts w:cs="Times New Roman"/>
        </w:rPr>
        <w:t>11(</w:t>
      </w:r>
      <w:r w:rsidRPr="00D5269A">
        <w:rPr>
          <w:rFonts w:cs="Times New Roman"/>
          <w:i/>
        </w:rPr>
        <w:t>i</w:t>
      </w:r>
      <w:r w:rsidRPr="00D5269A">
        <w:rPr>
          <w:rFonts w:cs="Times New Roman"/>
        </w:rPr>
        <w:t>), and not the sentencing of Mr.</w:t>
      </w:r>
      <w:r w:rsidR="00F82D55">
        <w:rPr>
          <w:rFonts w:cs="Times New Roman"/>
        </w:rPr>
        <w:t> </w:t>
      </w:r>
      <w:r w:rsidRPr="00D5269A">
        <w:rPr>
          <w:rFonts w:cs="Times New Roman"/>
        </w:rPr>
        <w:t xml:space="preserve">Poulin </w:t>
      </w:r>
      <w:r w:rsidRPr="00D5269A">
        <w:rPr>
          <w:rFonts w:cs="Times New Roman"/>
          <w:i/>
        </w:rPr>
        <w:t>per se</w:t>
      </w:r>
      <w:r w:rsidRPr="00D5269A">
        <w:rPr>
          <w:rFonts w:cs="Times New Roman"/>
        </w:rPr>
        <w:t>. This demonstrates that this appeal raises a pure question of law that stands on its own, independent of the now moot factual context that initially gave rise to it. Indeed, it bears almost all of the hallmarks of an appeal warranting adjudication despite its mootness: it is of “importance to the administration of criminal justice”; has “a constitutional dimension”; requires “the interpretation of a statutory pro</w:t>
      </w:r>
      <w:r w:rsidR="0041645E">
        <w:rPr>
          <w:rFonts w:cs="Times New Roman"/>
        </w:rPr>
        <w:t>vision . </w:t>
      </w:r>
      <w:r w:rsidRPr="00D5269A">
        <w:rPr>
          <w:rFonts w:cs="Times New Roman"/>
        </w:rPr>
        <w:t>.</w:t>
      </w:r>
      <w:r w:rsidR="0041645E">
        <w:rPr>
          <w:rFonts w:cs="Times New Roman"/>
        </w:rPr>
        <w:t> </w:t>
      </w:r>
      <w:r w:rsidRPr="00D5269A">
        <w:rPr>
          <w:rFonts w:cs="Times New Roman"/>
        </w:rPr>
        <w:t xml:space="preserve">. of </w:t>
      </w:r>
      <w:r w:rsidRPr="00D5269A">
        <w:rPr>
          <w:rFonts w:cs="Times New Roman"/>
        </w:rPr>
        <w:lastRenderedPageBreak/>
        <w:t>frequent application”; and involves a matter “in the daily business of our trial courts” (</w:t>
      </w:r>
      <w:r w:rsidRPr="00D5269A">
        <w:rPr>
          <w:rFonts w:cs="Times New Roman"/>
          <w:i/>
        </w:rPr>
        <w:t>R. v. Beaton</w:t>
      </w:r>
      <w:r w:rsidR="00634593">
        <w:rPr>
          <w:rFonts w:cs="Times New Roman"/>
        </w:rPr>
        <w:t>, 2018 ONCA 924, at para. </w:t>
      </w:r>
      <w:r w:rsidRPr="00D5269A">
        <w:rPr>
          <w:rFonts w:cs="Times New Roman"/>
        </w:rPr>
        <w:t>14 (CanLII)). This is therefore one of those “rare and exceptional” cases in which the Court ought to exercise its discretion to adjudicate a moot criminal appeal (</w:t>
      </w:r>
      <w:r w:rsidRPr="00D5269A">
        <w:rPr>
          <w:rFonts w:cs="Times New Roman"/>
          <w:i/>
        </w:rPr>
        <w:t>Smith</w:t>
      </w:r>
      <w:r w:rsidRPr="00D5269A">
        <w:rPr>
          <w:rFonts w:cs="Times New Roman"/>
        </w:rPr>
        <w:t>, at para.</w:t>
      </w:r>
      <w:r w:rsidR="00FB417A">
        <w:rPr>
          <w:rFonts w:cs="Times New Roman"/>
        </w:rPr>
        <w:t> </w:t>
      </w:r>
      <w:r w:rsidRPr="00D5269A">
        <w:rPr>
          <w:rFonts w:cs="Times New Roman"/>
        </w:rPr>
        <w:t>10). I would grant the motion to proceed with the appeal.</w:t>
      </w:r>
    </w:p>
    <w:p w:rsidR="000738FC" w:rsidRDefault="000738FC" w:rsidP="000738FC">
      <w:pPr>
        <w:pStyle w:val="ParaNoNdepar-AltN"/>
        <w:rPr>
          <w:rFonts w:cs="Times New Roman"/>
        </w:rPr>
      </w:pPr>
      <w:r w:rsidRPr="00D5269A">
        <w:rPr>
          <w:rFonts w:cs="Times New Roman"/>
        </w:rPr>
        <w:t>In these reasons, I refer to the pos</w:t>
      </w:r>
      <w:r w:rsidR="000365F4">
        <w:rPr>
          <w:rFonts w:cs="Times New Roman"/>
        </w:rPr>
        <w:t>ition advanced on behalf of Mr. Poulin as “Mr. </w:t>
      </w:r>
      <w:r w:rsidRPr="00D5269A">
        <w:rPr>
          <w:rFonts w:cs="Times New Roman"/>
        </w:rPr>
        <w:t>Poulin’s position”, despite his death.</w:t>
      </w:r>
    </w:p>
    <w:p w:rsidR="000738FC" w:rsidRPr="00D5269A" w:rsidRDefault="000738FC" w:rsidP="000738FC">
      <w:pPr>
        <w:pStyle w:val="Title2LevelTitre2Niveau"/>
        <w:rPr>
          <w:rFonts w:cs="Times New Roman"/>
        </w:rPr>
      </w:pPr>
      <w:bookmarkStart w:id="21" w:name="_Toc12005414"/>
      <w:bookmarkStart w:id="22" w:name="_Toc14423807"/>
      <w:bookmarkStart w:id="23" w:name="_Toc15313750"/>
      <w:r w:rsidRPr="00D5269A">
        <w:rPr>
          <w:rFonts w:cs="Times New Roman"/>
        </w:rPr>
        <w:t>Does Section</w:t>
      </w:r>
      <w:r w:rsidR="00214F81">
        <w:rPr>
          <w:rFonts w:cs="Times New Roman"/>
        </w:rPr>
        <w:t> </w:t>
      </w:r>
      <w:r w:rsidRPr="00D5269A">
        <w:rPr>
          <w:rFonts w:cs="Times New Roman"/>
        </w:rPr>
        <w:t>11(i) of the Charter Constitutionalize a Binary or a Global Right?</w:t>
      </w:r>
      <w:bookmarkEnd w:id="21"/>
      <w:bookmarkEnd w:id="22"/>
      <w:bookmarkEnd w:id="23"/>
    </w:p>
    <w:p w:rsidR="000738FC" w:rsidRPr="00D5269A" w:rsidRDefault="00214F81" w:rsidP="000738FC">
      <w:pPr>
        <w:pStyle w:val="ParaNoNdepar-AltN"/>
        <w:rPr>
          <w:rFonts w:cs="Times New Roman"/>
        </w:rPr>
      </w:pPr>
      <w:r>
        <w:rPr>
          <w:rFonts w:cs="Times New Roman"/>
        </w:rPr>
        <w:t>Section </w:t>
      </w:r>
      <w:r w:rsidR="000738FC" w:rsidRPr="00D5269A">
        <w:rPr>
          <w:rFonts w:cs="Times New Roman"/>
        </w:rPr>
        <w:t>11(</w:t>
      </w:r>
      <w:r w:rsidR="000738FC" w:rsidRPr="00D5269A">
        <w:rPr>
          <w:rFonts w:cs="Times New Roman"/>
          <w:i/>
        </w:rPr>
        <w:t>i</w:t>
      </w:r>
      <w:r w:rsidR="000738FC" w:rsidRPr="00D5269A">
        <w:rPr>
          <w:rFonts w:cs="Times New Roman"/>
        </w:rPr>
        <w:t xml:space="preserve">) of the </w:t>
      </w:r>
      <w:r w:rsidR="000738FC" w:rsidRPr="00D5269A">
        <w:rPr>
          <w:rFonts w:cs="Times New Roman"/>
          <w:i/>
        </w:rPr>
        <w:t>Charter</w:t>
      </w:r>
      <w:r w:rsidR="000738FC" w:rsidRPr="00D5269A">
        <w:rPr>
          <w:rFonts w:cs="Times New Roman"/>
        </w:rPr>
        <w:t xml:space="preserve"> sits within a larger provision that protects “crucial fundamental rights” of the accused (</w:t>
      </w:r>
      <w:r w:rsidR="000738FC" w:rsidRPr="00D5269A">
        <w:rPr>
          <w:rFonts w:cs="Times New Roman"/>
          <w:i/>
        </w:rPr>
        <w:t>R. v. Wigglesworth</w:t>
      </w:r>
      <w:r w:rsidR="000738FC" w:rsidRPr="00D5269A">
        <w:rPr>
          <w:rFonts w:cs="Times New Roman"/>
        </w:rPr>
        <w:t>, [1987] 2 S.C.R. 541, at p. 558, per Wilson J.). Among the rights enshrined in s. 11 are the right to be presumed innocent (s. 11(</w:t>
      </w:r>
      <w:r w:rsidR="000738FC" w:rsidRPr="00D5269A">
        <w:rPr>
          <w:rFonts w:cs="Times New Roman"/>
          <w:i/>
        </w:rPr>
        <w:t>d</w:t>
      </w:r>
      <w:r w:rsidR="000738FC" w:rsidRPr="00D5269A">
        <w:rPr>
          <w:rFonts w:cs="Times New Roman"/>
        </w:rPr>
        <w:t>)); the right to a trial within a reasonable time (s. 11(</w:t>
      </w:r>
      <w:r w:rsidR="000738FC" w:rsidRPr="00D5269A">
        <w:rPr>
          <w:rFonts w:cs="Times New Roman"/>
          <w:i/>
        </w:rPr>
        <w:t>b</w:t>
      </w:r>
      <w:r w:rsidR="000738FC" w:rsidRPr="00D5269A">
        <w:rPr>
          <w:rFonts w:cs="Times New Roman"/>
        </w:rPr>
        <w:t>)); the right to trial by jury for certain serious offences (s. 11(</w:t>
      </w:r>
      <w:r w:rsidR="000738FC" w:rsidRPr="00D5269A">
        <w:rPr>
          <w:rFonts w:cs="Times New Roman"/>
          <w:i/>
        </w:rPr>
        <w:t>f</w:t>
      </w:r>
      <w:r w:rsidR="000738FC" w:rsidRPr="00D5269A">
        <w:rPr>
          <w:rFonts w:cs="Times New Roman"/>
        </w:rPr>
        <w:t>)); the right not to be compelled to be a witness against oneself (s. 11(</w:t>
      </w:r>
      <w:r w:rsidR="000738FC" w:rsidRPr="00D5269A">
        <w:rPr>
          <w:rFonts w:cs="Times New Roman"/>
          <w:i/>
        </w:rPr>
        <w:t>c</w:t>
      </w:r>
      <w:r w:rsidR="000738FC" w:rsidRPr="00D5269A">
        <w:rPr>
          <w:rFonts w:cs="Times New Roman"/>
        </w:rPr>
        <w:t>)); and the right not to be denied reasonable bail without just cause (s. 11(</w:t>
      </w:r>
      <w:r w:rsidR="000738FC" w:rsidRPr="00D5269A">
        <w:rPr>
          <w:rFonts w:cs="Times New Roman"/>
          <w:i/>
        </w:rPr>
        <w:t>e</w:t>
      </w:r>
      <w:r w:rsidR="000738FC" w:rsidRPr="00D5269A">
        <w:rPr>
          <w:rFonts w:cs="Times New Roman"/>
        </w:rPr>
        <w:t xml:space="preserve">)). </w:t>
      </w:r>
    </w:p>
    <w:p w:rsidR="000738FC" w:rsidRPr="00D5269A" w:rsidRDefault="000738FC" w:rsidP="000738FC">
      <w:pPr>
        <w:pStyle w:val="ParaNoNdepar-AltN"/>
        <w:rPr>
          <w:rFonts w:cs="Times New Roman"/>
        </w:rPr>
      </w:pPr>
      <w:r w:rsidRPr="00D5269A">
        <w:rPr>
          <w:rFonts w:cs="Times New Roman"/>
        </w:rPr>
        <w:t>Section</w:t>
      </w:r>
      <w:r w:rsidR="009103A7">
        <w:rPr>
          <w:rFonts w:cs="Times New Roman"/>
        </w:rPr>
        <w:t> </w:t>
      </w:r>
      <w:r w:rsidRPr="00D5269A">
        <w:rPr>
          <w:rFonts w:cs="Times New Roman"/>
        </w:rPr>
        <w:t>11(</w:t>
      </w:r>
      <w:r w:rsidRPr="00D5269A">
        <w:rPr>
          <w:rFonts w:cs="Times New Roman"/>
          <w:i/>
        </w:rPr>
        <w:t>i</w:t>
      </w:r>
      <w:r w:rsidRPr="00D5269A">
        <w:rPr>
          <w:rFonts w:cs="Times New Roman"/>
        </w:rPr>
        <w:t xml:space="preserve">) of the </w:t>
      </w:r>
      <w:r w:rsidRPr="00D5269A">
        <w:rPr>
          <w:rFonts w:cs="Times New Roman"/>
          <w:i/>
        </w:rPr>
        <w:t xml:space="preserve">Charter </w:t>
      </w:r>
      <w:r w:rsidRPr="00D5269A">
        <w:rPr>
          <w:rFonts w:cs="Times New Roman"/>
        </w:rPr>
        <w:t>states:</w:t>
      </w:r>
    </w:p>
    <w:p w:rsidR="000738FC" w:rsidRPr="00D5269A" w:rsidRDefault="000738FC" w:rsidP="00CD3273">
      <w:pPr>
        <w:pStyle w:val="Citation-AltC"/>
        <w:ind w:left="1440"/>
      </w:pPr>
      <w:r w:rsidRPr="00D5269A">
        <w:rPr>
          <w:b/>
          <w:bCs/>
        </w:rPr>
        <w:t>11.</w:t>
      </w:r>
      <w:r w:rsidRPr="00D5269A">
        <w:t> Any person charged with an offence has the right</w:t>
      </w:r>
    </w:p>
    <w:p w:rsidR="000738FC" w:rsidRPr="00D5269A" w:rsidRDefault="000738FC" w:rsidP="000738FC">
      <w:pPr>
        <w:pStyle w:val="Citation-AltC"/>
      </w:pPr>
    </w:p>
    <w:p w:rsidR="000738FC" w:rsidRPr="00D5269A" w:rsidRDefault="00C63309" w:rsidP="000738FC">
      <w:pPr>
        <w:pStyle w:val="Citation-AltC"/>
        <w:jc w:val="center"/>
        <w:rPr>
          <w:bCs/>
        </w:rPr>
      </w:pPr>
      <w:r>
        <w:rPr>
          <w:bCs/>
        </w:rPr>
        <w:t>. </w:t>
      </w:r>
      <w:r w:rsidR="000738FC" w:rsidRPr="00D5269A">
        <w:rPr>
          <w:bCs/>
        </w:rPr>
        <w:t>.</w:t>
      </w:r>
      <w:r>
        <w:rPr>
          <w:bCs/>
        </w:rPr>
        <w:t> </w:t>
      </w:r>
      <w:r w:rsidR="000738FC" w:rsidRPr="00D5269A">
        <w:rPr>
          <w:bCs/>
        </w:rPr>
        <w:t>.</w:t>
      </w:r>
    </w:p>
    <w:p w:rsidR="000738FC" w:rsidRPr="00D5269A" w:rsidRDefault="000738FC" w:rsidP="000738FC">
      <w:pPr>
        <w:pStyle w:val="Citation-AltC"/>
        <w:rPr>
          <w:bCs/>
        </w:rPr>
      </w:pPr>
    </w:p>
    <w:p w:rsidR="000738FC" w:rsidRPr="00D5269A" w:rsidRDefault="000738FC" w:rsidP="00CD3273">
      <w:pPr>
        <w:pStyle w:val="Citation-AltC"/>
        <w:ind w:left="1440"/>
      </w:pPr>
      <w:r w:rsidRPr="00D5269A">
        <w:lastRenderedPageBreak/>
        <w:t>(</w:t>
      </w:r>
      <w:r w:rsidRPr="00D5269A">
        <w:rPr>
          <w:i/>
          <w:iCs/>
        </w:rPr>
        <w:t>i</w:t>
      </w:r>
      <w:r w:rsidRPr="00D5269A">
        <w:t>) if found guilty of the offence and if the punishment for the offence has been varied between the time of commission and the time of sentencing, to the benefit of the lesser punishment.</w:t>
      </w:r>
    </w:p>
    <w:p w:rsidR="000738FC" w:rsidRPr="00D5269A" w:rsidRDefault="000738FC" w:rsidP="000738FC">
      <w:pPr>
        <w:pStyle w:val="ParaNoNdepar-AltN"/>
        <w:rPr>
          <w:rFonts w:cs="Times New Roman"/>
        </w:rPr>
      </w:pPr>
      <w:r w:rsidRPr="00D5269A">
        <w:rPr>
          <w:rFonts w:cs="Times New Roman"/>
        </w:rPr>
        <w:t>The appellant Crown and the intervener the Attorney G</w:t>
      </w:r>
      <w:r w:rsidR="00E261E7">
        <w:rPr>
          <w:rFonts w:cs="Times New Roman"/>
        </w:rPr>
        <w:t>eneral of Ontario argue that s. </w:t>
      </w:r>
      <w:r w:rsidRPr="00D5269A">
        <w:rPr>
          <w:rFonts w:cs="Times New Roman"/>
        </w:rPr>
        <w:t>11(</w:t>
      </w:r>
      <w:r w:rsidRPr="00D5269A">
        <w:rPr>
          <w:rFonts w:cs="Times New Roman"/>
          <w:i/>
        </w:rPr>
        <w:t>i</w:t>
      </w:r>
      <w:r w:rsidRPr="00D5269A">
        <w:rPr>
          <w:rFonts w:cs="Times New Roman"/>
        </w:rPr>
        <w:t>) confers a binary right. In their view, the provision entitles the offender to the lesser of the punishments under the laws in force at two key points in time: commission of the offence and</w:t>
      </w:r>
      <w:r w:rsidR="00A16F8F">
        <w:rPr>
          <w:rFonts w:cs="Times New Roman"/>
        </w:rPr>
        <w:t xml:space="preserve"> sentencing. The respondent Mr. </w:t>
      </w:r>
      <w:r w:rsidRPr="00D5269A">
        <w:rPr>
          <w:rFonts w:cs="Times New Roman"/>
        </w:rPr>
        <w:t>Poulin and the interveners the CLA and the AQAAD claim that</w:t>
      </w:r>
      <w:r w:rsidR="00E261E7">
        <w:rPr>
          <w:rFonts w:cs="Times New Roman"/>
        </w:rPr>
        <w:t xml:space="preserve"> s. </w:t>
      </w:r>
      <w:r w:rsidRPr="00D5269A">
        <w:rPr>
          <w:rFonts w:cs="Times New Roman"/>
        </w:rPr>
        <w:t>11(</w:t>
      </w:r>
      <w:r w:rsidRPr="00D5269A">
        <w:rPr>
          <w:rFonts w:cs="Times New Roman"/>
          <w:i/>
        </w:rPr>
        <w:t>i</w:t>
      </w:r>
      <w:r w:rsidRPr="00D5269A">
        <w:rPr>
          <w:rFonts w:cs="Times New Roman"/>
        </w:rPr>
        <w:t>) confers a global right. On their view, the provision entitles the offender to receive the least onerous punishment that has existed for the offence since it was committed.</w:t>
      </w:r>
    </w:p>
    <w:p w:rsidR="000738FC" w:rsidRPr="00D5269A" w:rsidRDefault="000738FC" w:rsidP="000738FC">
      <w:pPr>
        <w:pStyle w:val="ParaNoNdepar-AltN"/>
        <w:rPr>
          <w:rFonts w:cs="Times New Roman"/>
        </w:rPr>
      </w:pPr>
      <w:r w:rsidRPr="00D5269A">
        <w:rPr>
          <w:rFonts w:cs="Times New Roman"/>
        </w:rPr>
        <w:t>Thus far, Ca</w:t>
      </w:r>
      <w:r w:rsidR="00A16F8F">
        <w:rPr>
          <w:rFonts w:cs="Times New Roman"/>
        </w:rPr>
        <w:t>nadian courts have favoured Mr. </w:t>
      </w:r>
      <w:r w:rsidRPr="00D5269A">
        <w:rPr>
          <w:rFonts w:cs="Times New Roman"/>
        </w:rPr>
        <w:t xml:space="preserve">Poulin’s approach. Courts across this country, including the Quebec Court of Appeal in this </w:t>
      </w:r>
      <w:r w:rsidR="006F2AC0">
        <w:rPr>
          <w:rFonts w:cs="Times New Roman"/>
        </w:rPr>
        <w:t>case, have consistently read s. </w:t>
      </w:r>
      <w:r w:rsidRPr="00D5269A">
        <w:rPr>
          <w:rFonts w:cs="Times New Roman"/>
        </w:rPr>
        <w:t>11(</w:t>
      </w:r>
      <w:r w:rsidRPr="00D5269A">
        <w:rPr>
          <w:rFonts w:cs="Times New Roman"/>
          <w:i/>
        </w:rPr>
        <w:t>i</w:t>
      </w:r>
      <w:r w:rsidRPr="00D5269A">
        <w:rPr>
          <w:rFonts w:cs="Times New Roman"/>
        </w:rPr>
        <w:t xml:space="preserve">) as conferring a global right (see, for instance, </w:t>
      </w:r>
      <w:r w:rsidRPr="00D5269A">
        <w:rPr>
          <w:rFonts w:cs="Times New Roman"/>
          <w:i/>
        </w:rPr>
        <w:t>Belzil</w:t>
      </w:r>
      <w:r w:rsidRPr="00D5269A">
        <w:rPr>
          <w:rFonts w:cs="Times New Roman"/>
        </w:rPr>
        <w:t>;</w:t>
      </w:r>
      <w:r w:rsidRPr="00D5269A">
        <w:rPr>
          <w:rFonts w:cs="Times New Roman"/>
          <w:i/>
        </w:rPr>
        <w:t xml:space="preserve"> R. v. Cadman</w:t>
      </w:r>
      <w:r w:rsidRPr="00D5269A">
        <w:rPr>
          <w:rFonts w:cs="Times New Roman"/>
        </w:rPr>
        <w:t>,</w:t>
      </w:r>
      <w:r w:rsidRPr="00D5269A">
        <w:rPr>
          <w:rFonts w:cs="Times New Roman"/>
          <w:i/>
        </w:rPr>
        <w:t xml:space="preserve"> </w:t>
      </w:r>
      <w:r w:rsidRPr="00D5269A">
        <w:rPr>
          <w:rFonts w:cs="Times New Roman"/>
        </w:rPr>
        <w:t xml:space="preserve">2018 BCCA 100, 359 C.C.C. (3d) 427; </w:t>
      </w:r>
      <w:r w:rsidRPr="00D5269A">
        <w:rPr>
          <w:rFonts w:cs="Times New Roman"/>
          <w:i/>
        </w:rPr>
        <w:t>R. v. Bent</w:t>
      </w:r>
      <w:r w:rsidRPr="00D5269A">
        <w:rPr>
          <w:rFonts w:cs="Times New Roman"/>
        </w:rPr>
        <w:t>,</w:t>
      </w:r>
      <w:r w:rsidRPr="00D5269A">
        <w:rPr>
          <w:rFonts w:cs="Times New Roman"/>
          <w:i/>
        </w:rPr>
        <w:t xml:space="preserve"> </w:t>
      </w:r>
      <w:r w:rsidRPr="00D5269A">
        <w:rPr>
          <w:rFonts w:cs="Times New Roman"/>
        </w:rPr>
        <w:t xml:space="preserve">2017 ONSC 3189, 383 C.R.R. (2d) 161; </w:t>
      </w:r>
      <w:r w:rsidRPr="00D5269A">
        <w:rPr>
          <w:rFonts w:cs="Times New Roman"/>
          <w:i/>
        </w:rPr>
        <w:t>R. v. Yusuf</w:t>
      </w:r>
      <w:r w:rsidRPr="00D5269A">
        <w:rPr>
          <w:rFonts w:cs="Times New Roman"/>
        </w:rPr>
        <w:t>,</w:t>
      </w:r>
      <w:r w:rsidRPr="00D5269A">
        <w:rPr>
          <w:rFonts w:cs="Times New Roman"/>
          <w:i/>
        </w:rPr>
        <w:t xml:space="preserve"> </w:t>
      </w:r>
      <w:r w:rsidRPr="00D5269A">
        <w:rPr>
          <w:rFonts w:cs="Times New Roman"/>
        </w:rPr>
        <w:t xml:space="preserve">2011 BCSC 626; </w:t>
      </w:r>
      <w:r w:rsidRPr="00D5269A">
        <w:rPr>
          <w:rFonts w:cs="Times New Roman"/>
          <w:i/>
        </w:rPr>
        <w:t>R. v. Mehanmal</w:t>
      </w:r>
      <w:r w:rsidRPr="00D5269A">
        <w:rPr>
          <w:rFonts w:cs="Times New Roman"/>
        </w:rPr>
        <w:t>,</w:t>
      </w:r>
      <w:r w:rsidRPr="00D5269A">
        <w:rPr>
          <w:rFonts w:cs="Times New Roman"/>
          <w:i/>
        </w:rPr>
        <w:t xml:space="preserve"> </w:t>
      </w:r>
      <w:r w:rsidRPr="00D5269A">
        <w:rPr>
          <w:rFonts w:cs="Times New Roman"/>
        </w:rPr>
        <w:t>2012 ONCJ 681, 270 C.R.R. (2d) 271). Generally speaking, and as further detailed below, two factors have led t</w:t>
      </w:r>
      <w:r w:rsidR="009940DC">
        <w:rPr>
          <w:rFonts w:cs="Times New Roman"/>
        </w:rPr>
        <w:t>hese courts to conclude that s. </w:t>
      </w:r>
      <w:r w:rsidRPr="00D5269A">
        <w:rPr>
          <w:rFonts w:cs="Times New Roman"/>
        </w:rPr>
        <w:t>11(</w:t>
      </w:r>
      <w:r w:rsidRPr="00D5269A">
        <w:rPr>
          <w:rFonts w:cs="Times New Roman"/>
          <w:i/>
        </w:rPr>
        <w:t>i</w:t>
      </w:r>
      <w:r w:rsidRPr="00D5269A">
        <w:rPr>
          <w:rFonts w:cs="Times New Roman"/>
        </w:rPr>
        <w:t>) entitles an offender to receive a lesser punishment that was not applicable at the time of the offence’s commission or of the offender’s sentencing, but was applicable for a period at some point in between the two. The first factor is s.</w:t>
      </w:r>
      <w:r w:rsidR="00BA43CD">
        <w:rPr>
          <w:rFonts w:cs="Times New Roman"/>
        </w:rPr>
        <w:t> </w:t>
      </w:r>
      <w:r w:rsidRPr="00D5269A">
        <w:rPr>
          <w:rFonts w:cs="Times New Roman"/>
        </w:rPr>
        <w:t>11(</w:t>
      </w:r>
      <w:r w:rsidRPr="00D5269A">
        <w:rPr>
          <w:rFonts w:cs="Times New Roman"/>
          <w:i/>
        </w:rPr>
        <w:t>i</w:t>
      </w:r>
      <w:r w:rsidRPr="00D5269A">
        <w:rPr>
          <w:rFonts w:cs="Times New Roman"/>
        </w:rPr>
        <w:t xml:space="preserve">)’s use of the word “between”. In their view, </w:t>
      </w:r>
      <w:r w:rsidR="00DD0A79">
        <w:rPr>
          <w:rFonts w:cs="Times New Roman"/>
        </w:rPr>
        <w:t>“between” indicates that the s. </w:t>
      </w:r>
      <w:r w:rsidRPr="00D5269A">
        <w:rPr>
          <w:rFonts w:cs="Times New Roman"/>
        </w:rPr>
        <w:t>11(</w:t>
      </w:r>
      <w:r w:rsidRPr="00D5269A">
        <w:rPr>
          <w:rFonts w:cs="Times New Roman"/>
          <w:i/>
        </w:rPr>
        <w:t>i</w:t>
      </w:r>
      <w:r w:rsidRPr="00D5269A">
        <w:rPr>
          <w:rFonts w:cs="Times New Roman"/>
        </w:rPr>
        <w:t xml:space="preserve">) right is concerned with the entire interval of time that elapses between the offence and sentencing. The second factor is the principle of liberal </w:t>
      </w:r>
      <w:r w:rsidRPr="00D5269A">
        <w:rPr>
          <w:rFonts w:cs="Times New Roman"/>
        </w:rPr>
        <w:lastRenderedPageBreak/>
        <w:t xml:space="preserve">interpretation of </w:t>
      </w:r>
      <w:r w:rsidRPr="00D5269A">
        <w:rPr>
          <w:rFonts w:cs="Times New Roman"/>
          <w:i/>
        </w:rPr>
        <w:t xml:space="preserve">Charter </w:t>
      </w:r>
      <w:r w:rsidRPr="00D5269A">
        <w:rPr>
          <w:rFonts w:cs="Times New Roman"/>
        </w:rPr>
        <w:t xml:space="preserve">rights. According to them, </w:t>
      </w:r>
      <w:r w:rsidR="00CF0B61">
        <w:rPr>
          <w:rFonts w:cs="Times New Roman"/>
        </w:rPr>
        <w:t>this principle dictates that s. </w:t>
      </w:r>
      <w:r w:rsidRPr="00D5269A">
        <w:rPr>
          <w:rFonts w:cs="Times New Roman"/>
        </w:rPr>
        <w:t>11(</w:t>
      </w:r>
      <w:r w:rsidRPr="00D5269A">
        <w:rPr>
          <w:rFonts w:cs="Times New Roman"/>
          <w:i/>
        </w:rPr>
        <w:t>i</w:t>
      </w:r>
      <w:r w:rsidRPr="00D5269A">
        <w:rPr>
          <w:rFonts w:cs="Times New Roman"/>
        </w:rPr>
        <w:t xml:space="preserve">) should receive the interpretation most favourable to the offender. </w:t>
      </w:r>
    </w:p>
    <w:p w:rsidR="000738FC" w:rsidRPr="00D5269A" w:rsidRDefault="000738FC" w:rsidP="000738FC">
      <w:pPr>
        <w:pStyle w:val="ParaNoNdepar-AltN"/>
        <w:rPr>
          <w:rFonts w:cs="Times New Roman"/>
        </w:rPr>
      </w:pPr>
      <w:r w:rsidRPr="00D5269A">
        <w:rPr>
          <w:rFonts w:cs="Times New Roman"/>
        </w:rPr>
        <w:t>Absent from these decisions, however, is an analysis rooted in the purposes</w:t>
      </w:r>
      <w:r w:rsidRPr="00D5269A">
        <w:rPr>
          <w:rFonts w:cs="Times New Roman"/>
          <w:i/>
        </w:rPr>
        <w:t xml:space="preserve"> </w:t>
      </w:r>
      <w:r w:rsidR="00B44D7C">
        <w:rPr>
          <w:rFonts w:cs="Times New Roman"/>
        </w:rPr>
        <w:t>of s. </w:t>
      </w:r>
      <w:r w:rsidRPr="00D5269A">
        <w:rPr>
          <w:rFonts w:cs="Times New Roman"/>
        </w:rPr>
        <w:t>11(</w:t>
      </w:r>
      <w:r w:rsidRPr="00D5269A">
        <w:rPr>
          <w:rFonts w:cs="Times New Roman"/>
          <w:i/>
        </w:rPr>
        <w:t>i</w:t>
      </w:r>
      <w:r w:rsidRPr="00D5269A">
        <w:rPr>
          <w:rFonts w:cs="Times New Roman"/>
        </w:rPr>
        <w:t>). Indeed, these decisions do</w:t>
      </w:r>
      <w:r w:rsidR="00B44D7C">
        <w:rPr>
          <w:rFonts w:cs="Times New Roman"/>
        </w:rPr>
        <w:t xml:space="preserve"> not examine the purposes of s. </w:t>
      </w:r>
      <w:r w:rsidRPr="00D5269A">
        <w:rPr>
          <w:rFonts w:cs="Times New Roman"/>
        </w:rPr>
        <w:t>11(</w:t>
      </w:r>
      <w:r w:rsidRPr="00D5269A">
        <w:rPr>
          <w:rFonts w:cs="Times New Roman"/>
          <w:i/>
        </w:rPr>
        <w:t>i</w:t>
      </w:r>
      <w:r w:rsidRPr="00D5269A">
        <w:rPr>
          <w:rFonts w:cs="Times New Roman"/>
        </w:rPr>
        <w:t xml:space="preserve">). Yet, the interpretation of a </w:t>
      </w:r>
      <w:r w:rsidRPr="00D5269A">
        <w:rPr>
          <w:rFonts w:cs="Times New Roman"/>
          <w:i/>
        </w:rPr>
        <w:t xml:space="preserve">Charter </w:t>
      </w:r>
      <w:r w:rsidRPr="00D5269A">
        <w:rPr>
          <w:rFonts w:cs="Times New Roman"/>
        </w:rPr>
        <w:t xml:space="preserve">right is a </w:t>
      </w:r>
      <w:r w:rsidRPr="00D5269A">
        <w:rPr>
          <w:rFonts w:cs="Times New Roman"/>
          <w:i/>
        </w:rPr>
        <w:t xml:space="preserve">purposive </w:t>
      </w:r>
      <w:r w:rsidRPr="00D5269A">
        <w:rPr>
          <w:rFonts w:cs="Times New Roman"/>
        </w:rPr>
        <w:t>endeavour (</w:t>
      </w:r>
      <w:r w:rsidRPr="00D5269A">
        <w:rPr>
          <w:rFonts w:cs="Times New Roman"/>
          <w:i/>
        </w:rPr>
        <w:t>R. v. Big M Drug Mart Ltd.</w:t>
      </w:r>
      <w:r w:rsidRPr="00D5269A">
        <w:rPr>
          <w:rFonts w:cs="Times New Roman"/>
        </w:rPr>
        <w:t>,</w:t>
      </w:r>
      <w:r w:rsidRPr="00D5269A">
        <w:rPr>
          <w:rFonts w:cs="Times New Roman"/>
          <w:i/>
        </w:rPr>
        <w:t xml:space="preserve"> </w:t>
      </w:r>
      <w:r w:rsidRPr="00D5269A">
        <w:rPr>
          <w:rFonts w:cs="Times New Roman"/>
        </w:rPr>
        <w:t xml:space="preserve">[1985] 1 S.C.R. 295, at p. 344). A </w:t>
      </w:r>
      <w:r w:rsidRPr="00D5269A">
        <w:rPr>
          <w:rFonts w:cs="Times New Roman"/>
          <w:i/>
        </w:rPr>
        <w:t xml:space="preserve">Charter </w:t>
      </w:r>
      <w:r w:rsidRPr="00D5269A">
        <w:rPr>
          <w:rFonts w:cs="Times New Roman"/>
        </w:rPr>
        <w:t xml:space="preserve">right must be interpreted in light of the purpose or purposes driving it. In </w:t>
      </w:r>
      <w:r w:rsidRPr="00D5269A">
        <w:rPr>
          <w:rFonts w:cs="Times New Roman"/>
          <w:i/>
        </w:rPr>
        <w:t>Big M</w:t>
      </w:r>
      <w:r w:rsidRPr="00D5269A">
        <w:rPr>
          <w:rFonts w:cs="Times New Roman"/>
        </w:rPr>
        <w:t>,</w:t>
      </w:r>
      <w:r w:rsidRPr="00D5269A">
        <w:rPr>
          <w:rFonts w:cs="Times New Roman"/>
          <w:i/>
        </w:rPr>
        <w:t xml:space="preserve"> </w:t>
      </w:r>
      <w:r w:rsidRPr="00D5269A">
        <w:rPr>
          <w:rFonts w:cs="Times New Roman"/>
        </w:rPr>
        <w:t xml:space="preserve">this Court explained that the purpose of a right or freedom is to be determined “by reference to the character and the larger objects of the </w:t>
      </w:r>
      <w:r w:rsidRPr="00D5269A">
        <w:rPr>
          <w:rFonts w:cs="Times New Roman"/>
          <w:i/>
        </w:rPr>
        <w:t xml:space="preserve">Charter </w:t>
      </w:r>
      <w:r w:rsidRPr="00D5269A">
        <w:rPr>
          <w:rFonts w:cs="Times New Roman"/>
        </w:rPr>
        <w:t xml:space="preserve">itself, to the language chosen to articulate the specific right or freedom, to the historical origins of the concepts enshrined, and where applicable, to the meaning and purpose of the other specific rights and freedoms with which it is associated within the text of the </w:t>
      </w:r>
      <w:r w:rsidRPr="00D5269A">
        <w:rPr>
          <w:rFonts w:cs="Times New Roman"/>
          <w:i/>
        </w:rPr>
        <w:t>Charter</w:t>
      </w:r>
      <w:r w:rsidRPr="00D5269A">
        <w:rPr>
          <w:rFonts w:cs="Times New Roman"/>
        </w:rPr>
        <w:t>” (p. 344). Accordingly, a proper determination of whether s. 11(</w:t>
      </w:r>
      <w:r w:rsidRPr="00D5269A">
        <w:rPr>
          <w:rFonts w:cs="Times New Roman"/>
          <w:i/>
        </w:rPr>
        <w:t>i</w:t>
      </w:r>
      <w:r w:rsidRPr="00D5269A">
        <w:rPr>
          <w:rFonts w:cs="Times New Roman"/>
        </w:rPr>
        <w:t xml:space="preserve">) confers a binary or global right cannot be made without examining the purposes of the right by reference to these considerations. </w:t>
      </w:r>
    </w:p>
    <w:p w:rsidR="000738FC" w:rsidRPr="00D5269A" w:rsidRDefault="000738FC" w:rsidP="000738FC">
      <w:pPr>
        <w:pStyle w:val="ParaNoNdepar-AltN"/>
        <w:rPr>
          <w:rFonts w:cs="Times New Roman"/>
        </w:rPr>
      </w:pPr>
      <w:r w:rsidRPr="00D5269A">
        <w:rPr>
          <w:rFonts w:cs="Times New Roman"/>
        </w:rPr>
        <w:t xml:space="preserve">In </w:t>
      </w:r>
      <w:r w:rsidRPr="00D5269A">
        <w:rPr>
          <w:rFonts w:cs="Times New Roman"/>
          <w:i/>
        </w:rPr>
        <w:t>R. v. K.R.J.</w:t>
      </w:r>
      <w:r w:rsidRPr="00D5269A">
        <w:rPr>
          <w:rFonts w:cs="Times New Roman"/>
        </w:rPr>
        <w:t>,</w:t>
      </w:r>
      <w:r w:rsidRPr="00D5269A">
        <w:rPr>
          <w:rFonts w:cs="Times New Roman"/>
          <w:i/>
        </w:rPr>
        <w:t xml:space="preserve"> </w:t>
      </w:r>
      <w:r w:rsidRPr="00D5269A">
        <w:rPr>
          <w:rFonts w:cs="Times New Roman"/>
        </w:rPr>
        <w:t>2016 SCC 31, [2016] 1 S.C.R. 906, this Court stated that the underlying purposes of s.</w:t>
      </w:r>
      <w:r w:rsidR="007E787A">
        <w:rPr>
          <w:rFonts w:cs="Times New Roman"/>
        </w:rPr>
        <w:t> </w:t>
      </w:r>
      <w:r w:rsidRPr="00D5269A">
        <w:rPr>
          <w:rFonts w:cs="Times New Roman"/>
        </w:rPr>
        <w:t>11(</w:t>
      </w:r>
      <w:r w:rsidRPr="00D5269A">
        <w:rPr>
          <w:rFonts w:cs="Times New Roman"/>
          <w:i/>
        </w:rPr>
        <w:t>i</w:t>
      </w:r>
      <w:r w:rsidRPr="00D5269A">
        <w:rPr>
          <w:rFonts w:cs="Times New Roman"/>
        </w:rPr>
        <w:t>) are the rule of law and fairness. I begin m</w:t>
      </w:r>
      <w:r w:rsidR="00586A88">
        <w:rPr>
          <w:rFonts w:cs="Times New Roman"/>
        </w:rPr>
        <w:t>y analysis by explaining how s. </w:t>
      </w:r>
      <w:r w:rsidRPr="00D5269A">
        <w:rPr>
          <w:rFonts w:cs="Times New Roman"/>
        </w:rPr>
        <w:t>11(</w:t>
      </w:r>
      <w:r w:rsidRPr="00D5269A">
        <w:rPr>
          <w:rFonts w:cs="Times New Roman"/>
          <w:i/>
        </w:rPr>
        <w:t>i</w:t>
      </w:r>
      <w:r w:rsidRPr="00D5269A">
        <w:rPr>
          <w:rFonts w:cs="Times New Roman"/>
        </w:rPr>
        <w:t xml:space="preserve">) reflects these two purposes. Building on this foundation, and in accordance with the methodology articulated in </w:t>
      </w:r>
      <w:r w:rsidRPr="00D5269A">
        <w:rPr>
          <w:rFonts w:cs="Times New Roman"/>
          <w:i/>
        </w:rPr>
        <w:t>Big M</w:t>
      </w:r>
      <w:r w:rsidRPr="00D5269A">
        <w:rPr>
          <w:rFonts w:cs="Times New Roman"/>
        </w:rPr>
        <w:t>, I examine the linguistic and historical context of s.</w:t>
      </w:r>
      <w:r w:rsidR="00B4421A">
        <w:rPr>
          <w:rFonts w:cs="Times New Roman"/>
        </w:rPr>
        <w:t> </w:t>
      </w:r>
      <w:r w:rsidRPr="00D5269A">
        <w:rPr>
          <w:rFonts w:cs="Times New Roman"/>
        </w:rPr>
        <w:t>11(</w:t>
      </w:r>
      <w:r w:rsidRPr="00D5269A">
        <w:rPr>
          <w:rFonts w:cs="Times New Roman"/>
          <w:i/>
        </w:rPr>
        <w:t>i</w:t>
      </w:r>
      <w:r w:rsidRPr="00D5269A">
        <w:rPr>
          <w:rFonts w:cs="Times New Roman"/>
        </w:rPr>
        <w:t>). In my view, the text and history of this provision lend support to the binary interpretation. Furthermore, unlike the global interpretation, the binary interpretation is consistent</w:t>
      </w:r>
      <w:r w:rsidR="00793E42">
        <w:rPr>
          <w:rFonts w:cs="Times New Roman"/>
        </w:rPr>
        <w:t xml:space="preserve"> with the purposes animating s. </w:t>
      </w:r>
      <w:r w:rsidRPr="00D5269A">
        <w:rPr>
          <w:rFonts w:cs="Times New Roman"/>
        </w:rPr>
        <w:t>11(</w:t>
      </w:r>
      <w:r w:rsidRPr="00D5269A">
        <w:rPr>
          <w:rFonts w:cs="Times New Roman"/>
          <w:i/>
        </w:rPr>
        <w:t>i</w:t>
      </w:r>
      <w:r w:rsidRPr="00D5269A">
        <w:rPr>
          <w:rFonts w:cs="Times New Roman"/>
        </w:rPr>
        <w:t xml:space="preserve">). Far from </w:t>
      </w:r>
      <w:r w:rsidRPr="00D5269A">
        <w:rPr>
          <w:rFonts w:cs="Times New Roman"/>
        </w:rPr>
        <w:lastRenderedPageBreak/>
        <w:t>advancing the rule of law and fairness</w:t>
      </w:r>
      <w:r w:rsidR="00C01CB5">
        <w:rPr>
          <w:rFonts w:cs="Times New Roman"/>
        </w:rPr>
        <w:t>, a global interpretation of s. </w:t>
      </w:r>
      <w:r w:rsidRPr="00D5269A">
        <w:rPr>
          <w:rFonts w:cs="Times New Roman"/>
        </w:rPr>
        <w:t>11(</w:t>
      </w:r>
      <w:r w:rsidRPr="00D5269A">
        <w:rPr>
          <w:rFonts w:cs="Times New Roman"/>
          <w:i/>
        </w:rPr>
        <w:t>i</w:t>
      </w:r>
      <w:r w:rsidRPr="00D5269A">
        <w:rPr>
          <w:rFonts w:cs="Times New Roman"/>
        </w:rPr>
        <w:t>) would undermine them. Theref</w:t>
      </w:r>
      <w:r w:rsidR="00920A85">
        <w:rPr>
          <w:rFonts w:cs="Times New Roman"/>
        </w:rPr>
        <w:t>ore, a purposive analysis of s. </w:t>
      </w:r>
      <w:r w:rsidRPr="00D5269A">
        <w:rPr>
          <w:rFonts w:cs="Times New Roman"/>
        </w:rPr>
        <w:t>11(</w:t>
      </w:r>
      <w:r w:rsidRPr="00D5269A">
        <w:rPr>
          <w:rFonts w:cs="Times New Roman"/>
          <w:i/>
        </w:rPr>
        <w:t>i</w:t>
      </w:r>
      <w:r w:rsidRPr="00D5269A">
        <w:rPr>
          <w:rFonts w:cs="Times New Roman"/>
        </w:rPr>
        <w:t>) leads to the conclusion that it confers a binary right.</w:t>
      </w:r>
    </w:p>
    <w:p w:rsidR="000738FC" w:rsidRPr="00D5269A" w:rsidRDefault="000738FC" w:rsidP="000738FC">
      <w:pPr>
        <w:pStyle w:val="ParaNoNdepar-AltN"/>
        <w:rPr>
          <w:rFonts w:cs="Times New Roman"/>
        </w:rPr>
      </w:pPr>
      <w:r w:rsidRPr="00D5269A">
        <w:rPr>
          <w:rFonts w:cs="Times New Roman"/>
        </w:rPr>
        <w:t>In order to engag</w:t>
      </w:r>
      <w:r w:rsidR="00B05564">
        <w:rPr>
          <w:rFonts w:cs="Times New Roman"/>
        </w:rPr>
        <w:t>e in a purposive analysis of s. </w:t>
      </w:r>
      <w:r w:rsidRPr="00D5269A">
        <w:rPr>
          <w:rFonts w:cs="Times New Roman"/>
        </w:rPr>
        <w:t>11(</w:t>
      </w:r>
      <w:r w:rsidRPr="00D5269A">
        <w:rPr>
          <w:rFonts w:cs="Times New Roman"/>
          <w:i/>
        </w:rPr>
        <w:t>i</w:t>
      </w:r>
      <w:r w:rsidRPr="00D5269A">
        <w:rPr>
          <w:rFonts w:cs="Times New Roman"/>
        </w:rPr>
        <w:t>), it is necessary to understand how the provision would operate, both in general as well as under each of the binary and global approaches. We cannot appreciate the implications of the</w:t>
      </w:r>
      <w:r w:rsidR="00083093">
        <w:rPr>
          <w:rFonts w:cs="Times New Roman"/>
        </w:rPr>
        <w:t xml:space="preserve"> two competing approaches to s. </w:t>
      </w:r>
      <w:r w:rsidRPr="00D5269A">
        <w:rPr>
          <w:rFonts w:cs="Times New Roman"/>
        </w:rPr>
        <w:t>11(</w:t>
      </w:r>
      <w:r w:rsidRPr="00D5269A">
        <w:rPr>
          <w:rFonts w:cs="Times New Roman"/>
          <w:i/>
        </w:rPr>
        <w:t>i</w:t>
      </w:r>
      <w:r w:rsidRPr="00D5269A">
        <w:rPr>
          <w:rFonts w:cs="Times New Roman"/>
        </w:rPr>
        <w:t>), and whether these accord with the purposes of s. 11(</w:t>
      </w:r>
      <w:r w:rsidRPr="00D5269A">
        <w:rPr>
          <w:rFonts w:cs="Times New Roman"/>
          <w:i/>
        </w:rPr>
        <w:t>i</w:t>
      </w:r>
      <w:r w:rsidRPr="00D5269A">
        <w:rPr>
          <w:rFonts w:cs="Times New Roman"/>
        </w:rPr>
        <w:t>), without first understanding the basic mechanics of the provision and what each approach to the provision entails. I therefore begin by reviewing these mechanics. As will be seen, four questions arise when applying s.</w:t>
      </w:r>
      <w:r w:rsidR="00083093">
        <w:rPr>
          <w:rFonts w:cs="Times New Roman"/>
        </w:rPr>
        <w:t> </w:t>
      </w:r>
      <w:r w:rsidRPr="00D5269A">
        <w:rPr>
          <w:rFonts w:cs="Times New Roman"/>
        </w:rPr>
        <w:t>11(</w:t>
      </w:r>
      <w:r w:rsidRPr="00D5269A">
        <w:rPr>
          <w:rFonts w:cs="Times New Roman"/>
          <w:i/>
        </w:rPr>
        <w:t>i</w:t>
      </w:r>
      <w:r w:rsidR="005D2E17">
        <w:rPr>
          <w:rFonts w:cs="Times New Roman"/>
        </w:rPr>
        <w:t>). The fact that s. </w:t>
      </w:r>
      <w:r w:rsidRPr="00D5269A">
        <w:rPr>
          <w:rFonts w:cs="Times New Roman"/>
        </w:rPr>
        <w:t>11(</w:t>
      </w:r>
      <w:r w:rsidRPr="00D5269A">
        <w:rPr>
          <w:rFonts w:cs="Times New Roman"/>
          <w:i/>
        </w:rPr>
        <w:t>i</w:t>
      </w:r>
      <w:r w:rsidRPr="00D5269A">
        <w:rPr>
          <w:rFonts w:cs="Times New Roman"/>
        </w:rPr>
        <w:t>) raises these questions is not in dispute. The questions naturally follow from the language o</w:t>
      </w:r>
      <w:r w:rsidR="00EF59E8">
        <w:rPr>
          <w:rFonts w:cs="Times New Roman"/>
        </w:rPr>
        <w:t>f s. </w:t>
      </w:r>
      <w:r w:rsidRPr="00D5269A">
        <w:rPr>
          <w:rFonts w:cs="Times New Roman"/>
        </w:rPr>
        <w:t>11(</w:t>
      </w:r>
      <w:r w:rsidRPr="00D5269A">
        <w:rPr>
          <w:rFonts w:cs="Times New Roman"/>
          <w:i/>
        </w:rPr>
        <w:t>i</w:t>
      </w:r>
      <w:r w:rsidRPr="00D5269A">
        <w:rPr>
          <w:rFonts w:cs="Times New Roman"/>
        </w:rPr>
        <w:t>) and feature in the case law applying the right. As will be seen, what differs between the bin</w:t>
      </w:r>
      <w:r w:rsidR="00791D4C">
        <w:rPr>
          <w:rFonts w:cs="Times New Roman"/>
        </w:rPr>
        <w:t>ary and global approaches to s. </w:t>
      </w:r>
      <w:r w:rsidRPr="00D5269A">
        <w:rPr>
          <w:rFonts w:cs="Times New Roman"/>
        </w:rPr>
        <w:t>11(</w:t>
      </w:r>
      <w:r w:rsidRPr="00D5269A">
        <w:rPr>
          <w:rFonts w:cs="Times New Roman"/>
          <w:i/>
        </w:rPr>
        <w:t>i</w:t>
      </w:r>
      <w:r w:rsidRPr="00D5269A">
        <w:rPr>
          <w:rFonts w:cs="Times New Roman"/>
        </w:rPr>
        <w:t xml:space="preserve">) is what they require to answer each of the four questions. </w:t>
      </w:r>
    </w:p>
    <w:p w:rsidR="000738FC" w:rsidRPr="00D5269A" w:rsidRDefault="00184C70" w:rsidP="000738FC">
      <w:pPr>
        <w:pStyle w:val="Title3LevelTitre3Niveau"/>
        <w:rPr>
          <w:rFonts w:cs="Times New Roman"/>
        </w:rPr>
      </w:pPr>
      <w:bookmarkStart w:id="24" w:name="_Toc12005415"/>
      <w:bookmarkStart w:id="25" w:name="_Toc14423808"/>
      <w:bookmarkStart w:id="26" w:name="_Toc15313751"/>
      <w:r>
        <w:rPr>
          <w:rFonts w:cs="Times New Roman"/>
        </w:rPr>
        <w:t>Context: How Section </w:t>
      </w:r>
      <w:r w:rsidR="000738FC" w:rsidRPr="00D5269A">
        <w:rPr>
          <w:rFonts w:cs="Times New Roman"/>
        </w:rPr>
        <w:t>11(</w:t>
      </w:r>
      <w:r w:rsidR="000738FC" w:rsidRPr="00D5269A">
        <w:rPr>
          <w:rFonts w:cs="Times New Roman"/>
          <w:i/>
        </w:rPr>
        <w:t>i</w:t>
      </w:r>
      <w:r w:rsidR="000738FC" w:rsidRPr="00D5269A">
        <w:rPr>
          <w:rFonts w:cs="Times New Roman"/>
        </w:rPr>
        <w:t>) Operates</w:t>
      </w:r>
      <w:bookmarkEnd w:id="24"/>
      <w:bookmarkEnd w:id="25"/>
      <w:bookmarkEnd w:id="26"/>
    </w:p>
    <w:p w:rsidR="000738FC" w:rsidRPr="00D5269A" w:rsidRDefault="000738FC" w:rsidP="000738FC">
      <w:pPr>
        <w:pStyle w:val="Title4LevelTitre4Niveau"/>
        <w:rPr>
          <w:rFonts w:cs="Times New Roman"/>
        </w:rPr>
      </w:pPr>
      <w:bookmarkStart w:id="27" w:name="_Toc14423809"/>
      <w:bookmarkStart w:id="28" w:name="_Toc15313752"/>
      <w:r w:rsidRPr="00D5269A">
        <w:rPr>
          <w:rFonts w:cs="Times New Roman"/>
        </w:rPr>
        <w:t>Question One: What Are the Applicable Sentencing Provisions</w:t>
      </w:r>
      <w:bookmarkEnd w:id="27"/>
      <w:r w:rsidRPr="00D5269A">
        <w:rPr>
          <w:rFonts w:cs="Times New Roman"/>
        </w:rPr>
        <w:t>?</w:t>
      </w:r>
      <w:bookmarkEnd w:id="28"/>
    </w:p>
    <w:p w:rsidR="000738FC" w:rsidRPr="00D5269A" w:rsidRDefault="000738FC" w:rsidP="000738FC">
      <w:pPr>
        <w:pStyle w:val="ParaNoNdepar-AltN"/>
        <w:rPr>
          <w:rFonts w:cs="Times New Roman"/>
        </w:rPr>
      </w:pPr>
      <w:r w:rsidRPr="00D5269A">
        <w:rPr>
          <w:rFonts w:cs="Times New Roman"/>
        </w:rPr>
        <w:t>It is</w:t>
      </w:r>
      <w:r w:rsidR="00891818">
        <w:rPr>
          <w:rFonts w:cs="Times New Roman"/>
        </w:rPr>
        <w:t xml:space="preserve"> clear from its wording that s. </w:t>
      </w:r>
      <w:r w:rsidRPr="00D5269A">
        <w:rPr>
          <w:rFonts w:cs="Times New Roman"/>
        </w:rPr>
        <w:t>11(</w:t>
      </w:r>
      <w:r w:rsidRPr="00D5269A">
        <w:rPr>
          <w:rFonts w:cs="Times New Roman"/>
          <w:i/>
        </w:rPr>
        <w:t>i</w:t>
      </w:r>
      <w:r w:rsidRPr="00D5269A">
        <w:rPr>
          <w:rFonts w:cs="Times New Roman"/>
        </w:rPr>
        <w:t>) involves a comparison between multiple “punishments” and an entitlement to the lesser of these. Thus, the first questi</w:t>
      </w:r>
      <w:r w:rsidR="004C71F0">
        <w:rPr>
          <w:rFonts w:cs="Times New Roman"/>
        </w:rPr>
        <w:t>on that arises when applying s. </w:t>
      </w:r>
      <w:r w:rsidRPr="00D5269A">
        <w:rPr>
          <w:rFonts w:cs="Times New Roman"/>
        </w:rPr>
        <w:t>11(</w:t>
      </w:r>
      <w:r w:rsidRPr="00D5269A">
        <w:rPr>
          <w:rFonts w:cs="Times New Roman"/>
          <w:i/>
        </w:rPr>
        <w:t>i</w:t>
      </w:r>
      <w:r w:rsidRPr="00D5269A">
        <w:rPr>
          <w:rFonts w:cs="Times New Roman"/>
        </w:rPr>
        <w:t>) is “What are the various sentencing provisions attached to the offence at the relevant points in time?” The sentencin</w:t>
      </w:r>
      <w:r w:rsidR="00E51B28">
        <w:rPr>
          <w:rFonts w:cs="Times New Roman"/>
        </w:rPr>
        <w:t xml:space="preserve">g provisions </w:t>
      </w:r>
      <w:r w:rsidR="00E51B28">
        <w:rPr>
          <w:rFonts w:cs="Times New Roman"/>
        </w:rPr>
        <w:lastRenderedPageBreak/>
        <w:t>needed to apply s. </w:t>
      </w:r>
      <w:r w:rsidRPr="00D5269A">
        <w:rPr>
          <w:rFonts w:cs="Times New Roman"/>
        </w:rPr>
        <w:t>11(</w:t>
      </w:r>
      <w:r w:rsidRPr="00D5269A">
        <w:rPr>
          <w:rFonts w:cs="Times New Roman"/>
          <w:i/>
        </w:rPr>
        <w:t>i</w:t>
      </w:r>
      <w:r w:rsidRPr="00D5269A">
        <w:rPr>
          <w:rFonts w:cs="Times New Roman"/>
        </w:rPr>
        <w:t>) in a binary manner are the ones in force at the time of the offence and the ones in force at the time of sentencing. By co</w:t>
      </w:r>
      <w:r w:rsidR="00DD7435">
        <w:rPr>
          <w:rFonts w:cs="Times New Roman"/>
        </w:rPr>
        <w:t>ntrast, a global approach to s. </w:t>
      </w:r>
      <w:r w:rsidRPr="00D5269A">
        <w:rPr>
          <w:rFonts w:cs="Times New Roman"/>
        </w:rPr>
        <w:t>11(</w:t>
      </w:r>
      <w:r w:rsidRPr="00D5269A">
        <w:rPr>
          <w:rFonts w:cs="Times New Roman"/>
          <w:i/>
        </w:rPr>
        <w:t>i</w:t>
      </w:r>
      <w:r w:rsidRPr="00D5269A">
        <w:rPr>
          <w:rFonts w:cs="Times New Roman"/>
        </w:rPr>
        <w:t>) would require an exhaustive legislative history of all</w:t>
      </w:r>
      <w:r w:rsidRPr="00D5269A">
        <w:rPr>
          <w:rFonts w:cs="Times New Roman"/>
          <w:i/>
        </w:rPr>
        <w:t xml:space="preserve"> </w:t>
      </w:r>
      <w:r w:rsidRPr="00D5269A">
        <w:rPr>
          <w:rFonts w:cs="Times New Roman"/>
        </w:rPr>
        <w:t>sentencing provisions associated with the offence since its commiss</w:t>
      </w:r>
      <w:r w:rsidR="0086039E">
        <w:rPr>
          <w:rFonts w:cs="Times New Roman"/>
        </w:rPr>
        <w:t>ion. To respect Mr. </w:t>
      </w:r>
      <w:r w:rsidR="00D76E79">
        <w:rPr>
          <w:rFonts w:cs="Times New Roman"/>
        </w:rPr>
        <w:t>Poulin’s s. </w:t>
      </w:r>
      <w:r w:rsidRPr="00D5269A">
        <w:rPr>
          <w:rFonts w:cs="Times New Roman"/>
        </w:rPr>
        <w:t>11(</w:t>
      </w:r>
      <w:r w:rsidRPr="00D5269A">
        <w:rPr>
          <w:rFonts w:cs="Times New Roman"/>
          <w:i/>
        </w:rPr>
        <w:t>i</w:t>
      </w:r>
      <w:r w:rsidRPr="00D5269A">
        <w:rPr>
          <w:rFonts w:cs="Times New Roman"/>
        </w:rPr>
        <w:t>) right under a global approach, all of the sentencing provisions bearing on gross indecen</w:t>
      </w:r>
      <w:r w:rsidR="0086039E">
        <w:rPr>
          <w:rFonts w:cs="Times New Roman"/>
        </w:rPr>
        <w:t>cy over the decades between Mr. </w:t>
      </w:r>
      <w:r w:rsidRPr="00D5269A">
        <w:rPr>
          <w:rFonts w:cs="Times New Roman"/>
        </w:rPr>
        <w:t xml:space="preserve">Poulin’s offences and his sentencing would need to be identified. Otherwise, the least onerous punishment available in that interval might inadvertently be overlooked. </w:t>
      </w:r>
    </w:p>
    <w:p w:rsidR="000738FC" w:rsidRPr="00D5269A" w:rsidRDefault="000738FC" w:rsidP="000738FC">
      <w:pPr>
        <w:pStyle w:val="ParaNoNdepar-AltN"/>
        <w:rPr>
          <w:rFonts w:cs="Times New Roman"/>
        </w:rPr>
      </w:pPr>
      <w:r w:rsidRPr="00D5269A">
        <w:rPr>
          <w:rFonts w:cs="Times New Roman"/>
        </w:rPr>
        <w:t>As set ou</w:t>
      </w:r>
      <w:r w:rsidR="003536EF">
        <w:rPr>
          <w:rFonts w:cs="Times New Roman"/>
        </w:rPr>
        <w:t>t above, the crime of which Mr. </w:t>
      </w:r>
      <w:r w:rsidRPr="00D5269A">
        <w:rPr>
          <w:rFonts w:cs="Times New Roman"/>
        </w:rPr>
        <w:t>Poulin was found guilty — gross indecency — was repealed in 1988, after he committed it. However, the parties agree that the sentenci</w:t>
      </w:r>
      <w:r w:rsidR="003536EF">
        <w:rPr>
          <w:rFonts w:cs="Times New Roman"/>
        </w:rPr>
        <w:t>ng provisions applicable to Mr. </w:t>
      </w:r>
      <w:r w:rsidRPr="00D5269A">
        <w:rPr>
          <w:rFonts w:cs="Times New Roman"/>
        </w:rPr>
        <w:t xml:space="preserve">Poulin’s offences of gross indecency after that date are the ones applicable to the indictable sexual offences in the </w:t>
      </w:r>
      <w:r w:rsidRPr="00D5269A">
        <w:rPr>
          <w:rFonts w:cs="Times New Roman"/>
          <w:i/>
        </w:rPr>
        <w:t>Criminal Code</w:t>
      </w:r>
      <w:r w:rsidRPr="00D5269A">
        <w:rPr>
          <w:rFonts w:cs="Times New Roman"/>
        </w:rPr>
        <w:t xml:space="preserve">. Then, because amendments to the </w:t>
      </w:r>
      <w:r w:rsidRPr="00D5269A">
        <w:rPr>
          <w:rFonts w:cs="Times New Roman"/>
          <w:i/>
        </w:rPr>
        <w:t xml:space="preserve">Criminal Code </w:t>
      </w:r>
      <w:r w:rsidRPr="00D5269A">
        <w:rPr>
          <w:rFonts w:cs="Times New Roman"/>
        </w:rPr>
        <w:t xml:space="preserve">made the conditional sentence unavailable for these sexual offences, the parties agree that this sentence was similarly </w:t>
      </w:r>
      <w:r w:rsidR="003536EF">
        <w:rPr>
          <w:rFonts w:cs="Times New Roman"/>
        </w:rPr>
        <w:t>statutorily unavailable for Mr. </w:t>
      </w:r>
      <w:r w:rsidRPr="00D5269A">
        <w:rPr>
          <w:rFonts w:cs="Times New Roman"/>
        </w:rPr>
        <w:t>Poulin’s counts of gross indecency at the time he was sentenced in 2017. Without the parties’ agreement that the sentencing provisions applicable to the mode</w:t>
      </w:r>
      <w:r w:rsidR="003536EF">
        <w:rPr>
          <w:rFonts w:cs="Times New Roman"/>
        </w:rPr>
        <w:t>rn sexual offences apply to Mr. </w:t>
      </w:r>
      <w:r w:rsidRPr="00D5269A">
        <w:rPr>
          <w:rFonts w:cs="Times New Roman"/>
        </w:rPr>
        <w:t>Poulin’s acts of gross indecency, it would have been necessary for the court to determine which crime(s) and associated</w:t>
      </w:r>
      <w:r w:rsidR="003536EF">
        <w:rPr>
          <w:rFonts w:cs="Times New Roman"/>
        </w:rPr>
        <w:t xml:space="preserve"> provisions corresponded to Mr. </w:t>
      </w:r>
      <w:r w:rsidRPr="00D5269A">
        <w:rPr>
          <w:rFonts w:cs="Times New Roman"/>
        </w:rPr>
        <w:t xml:space="preserve">Poulin’s acts of gross indecency after this crime was repealed. </w:t>
      </w:r>
    </w:p>
    <w:p w:rsidR="000738FC" w:rsidRPr="00D5269A" w:rsidRDefault="000738FC" w:rsidP="000738FC">
      <w:pPr>
        <w:pStyle w:val="Title4LevelTitre4Niveau"/>
        <w:rPr>
          <w:rFonts w:cs="Times New Roman"/>
        </w:rPr>
      </w:pPr>
      <w:bookmarkStart w:id="29" w:name="_Toc14423810"/>
      <w:bookmarkStart w:id="30" w:name="_Toc15313753"/>
      <w:r w:rsidRPr="00D5269A">
        <w:rPr>
          <w:rFonts w:cs="Times New Roman"/>
        </w:rPr>
        <w:t>Question Two: Which Measures Contained in These Sentencing Provisions Constitute “Punishments”</w:t>
      </w:r>
      <w:bookmarkEnd w:id="29"/>
      <w:bookmarkEnd w:id="30"/>
      <w:r w:rsidRPr="00D5269A">
        <w:rPr>
          <w:rFonts w:cs="Times New Roman"/>
        </w:rPr>
        <w:t>?</w:t>
      </w:r>
    </w:p>
    <w:p w:rsidR="000738FC" w:rsidRPr="00D5269A" w:rsidRDefault="000738FC" w:rsidP="000738FC">
      <w:pPr>
        <w:pStyle w:val="ParaNoNdepar-AltN"/>
        <w:rPr>
          <w:rFonts w:cs="Times New Roman"/>
        </w:rPr>
      </w:pPr>
      <w:r w:rsidRPr="00D5269A">
        <w:rPr>
          <w:rFonts w:cs="Times New Roman"/>
        </w:rPr>
        <w:lastRenderedPageBreak/>
        <w:t xml:space="preserve">Once the relevant sentencing provisions have been identified, the question becomes which of the measures or sanctions contained within these provisions constitute “punishments” </w:t>
      </w:r>
      <w:r w:rsidR="00172EF8">
        <w:rPr>
          <w:rFonts w:cs="Times New Roman"/>
        </w:rPr>
        <w:t>in the sense contemplated by s. </w:t>
      </w:r>
      <w:r w:rsidRPr="00D5269A">
        <w:rPr>
          <w:rFonts w:cs="Times New Roman"/>
        </w:rPr>
        <w:t>11(</w:t>
      </w:r>
      <w:r w:rsidRPr="00D5269A">
        <w:rPr>
          <w:rFonts w:cs="Times New Roman"/>
          <w:i/>
        </w:rPr>
        <w:t>i</w:t>
      </w:r>
      <w:r w:rsidRPr="00D5269A">
        <w:rPr>
          <w:rFonts w:cs="Times New Roman"/>
        </w:rPr>
        <w:t xml:space="preserve">). In </w:t>
      </w:r>
      <w:r w:rsidRPr="00D5269A">
        <w:rPr>
          <w:rFonts w:cs="Times New Roman"/>
          <w:i/>
        </w:rPr>
        <w:t>K.R.J.</w:t>
      </w:r>
      <w:r w:rsidRPr="00D5269A">
        <w:rPr>
          <w:rFonts w:cs="Times New Roman"/>
        </w:rPr>
        <w:t>,</w:t>
      </w:r>
      <w:r w:rsidRPr="00D5269A">
        <w:rPr>
          <w:rFonts w:cs="Times New Roman"/>
          <w:i/>
        </w:rPr>
        <w:t xml:space="preserve"> </w:t>
      </w:r>
      <w:r w:rsidR="006D2081">
        <w:rPr>
          <w:rFonts w:cs="Times New Roman"/>
        </w:rPr>
        <w:t>at para. </w:t>
      </w:r>
      <w:r w:rsidRPr="00D5269A">
        <w:rPr>
          <w:rFonts w:cs="Times New Roman"/>
        </w:rPr>
        <w:t>41, this Court held that a measure will</w:t>
      </w:r>
      <w:r w:rsidR="00F051C3">
        <w:rPr>
          <w:rFonts w:cs="Times New Roman"/>
        </w:rPr>
        <w:t xml:space="preserve"> constitute punishment under s. </w:t>
      </w:r>
      <w:r w:rsidRPr="00D5269A">
        <w:rPr>
          <w:rFonts w:cs="Times New Roman"/>
        </w:rPr>
        <w:t>11(</w:t>
      </w:r>
      <w:r w:rsidRPr="00D5269A">
        <w:rPr>
          <w:rFonts w:cs="Times New Roman"/>
          <w:i/>
        </w:rPr>
        <w:t>i</w:t>
      </w:r>
      <w:r w:rsidRPr="00D5269A">
        <w:rPr>
          <w:rFonts w:cs="Times New Roman"/>
        </w:rPr>
        <w:t>) when:</w:t>
      </w:r>
    </w:p>
    <w:p w:rsidR="000738FC" w:rsidRPr="00D5269A" w:rsidRDefault="001705C1" w:rsidP="000738FC">
      <w:pPr>
        <w:pStyle w:val="Citation-AltC"/>
      </w:pPr>
      <w:r>
        <w:t xml:space="preserve">. . . </w:t>
      </w:r>
      <w:r w:rsidR="000738FC" w:rsidRPr="00D5269A">
        <w:t>(1) it is a consequence of conviction that forms part of the arsenal of sanctions to which an accused may be liable in respect of a particular offence, and either (2) it is imposed in furtherance of the purpose and principles of sentencing, or (3) it has a significant impact on an offender’s liberty or security inte</w:t>
      </w:r>
      <w:r w:rsidR="00E34BCB">
        <w:t>rests. [Footnote omitted;</w:t>
      </w:r>
      <w:r w:rsidR="00D32EF6">
        <w:t xml:space="preserve"> para. </w:t>
      </w:r>
      <w:r w:rsidR="000738FC" w:rsidRPr="00D5269A">
        <w:t>41.]</w:t>
      </w:r>
    </w:p>
    <w:p w:rsidR="000738FC" w:rsidRPr="00D5269A" w:rsidRDefault="000738FC" w:rsidP="000738FC">
      <w:pPr>
        <w:pStyle w:val="ContinueParaSuitedupar-AltP"/>
        <w:rPr>
          <w:rFonts w:cs="Times New Roman"/>
        </w:rPr>
      </w:pPr>
      <w:r w:rsidRPr="00D5269A">
        <w:rPr>
          <w:rFonts w:cs="Times New Roman"/>
        </w:rPr>
        <w:t xml:space="preserve">Notably, </w:t>
      </w:r>
      <w:r w:rsidRPr="00D5269A">
        <w:rPr>
          <w:rFonts w:cs="Times New Roman"/>
          <w:i/>
        </w:rPr>
        <w:t xml:space="preserve">K.R.J. </w:t>
      </w:r>
      <w:r w:rsidRPr="00D5269A">
        <w:rPr>
          <w:rFonts w:cs="Times New Roman"/>
        </w:rPr>
        <w:t>expanded the s.</w:t>
      </w:r>
      <w:r w:rsidR="00976137">
        <w:rPr>
          <w:rFonts w:cs="Times New Roman"/>
        </w:rPr>
        <w:t> </w:t>
      </w:r>
      <w:r w:rsidRPr="00D5269A">
        <w:rPr>
          <w:rFonts w:cs="Times New Roman"/>
        </w:rPr>
        <w:t>11(</w:t>
      </w:r>
      <w:r w:rsidRPr="00D5269A">
        <w:rPr>
          <w:rFonts w:cs="Times New Roman"/>
          <w:i/>
        </w:rPr>
        <w:t>i</w:t>
      </w:r>
      <w:r w:rsidRPr="00D5269A">
        <w:rPr>
          <w:rFonts w:cs="Times New Roman"/>
        </w:rPr>
        <w:t xml:space="preserve">) concept of “punishment” beyond what it had been before. Specifically, </w:t>
      </w:r>
      <w:r w:rsidRPr="00D5269A">
        <w:rPr>
          <w:rFonts w:cs="Times New Roman"/>
          <w:i/>
        </w:rPr>
        <w:t xml:space="preserve">K.R.J. </w:t>
      </w:r>
      <w:r w:rsidRPr="00D5269A">
        <w:rPr>
          <w:rFonts w:cs="Times New Roman"/>
        </w:rPr>
        <w:t>added factor (3) to the test for punishment “to carve out a clearer and more meaningful role for the consideration of t</w:t>
      </w:r>
      <w:r w:rsidR="007900AF">
        <w:rPr>
          <w:rFonts w:cs="Times New Roman"/>
        </w:rPr>
        <w:t>he impact of a sanction” (para. 41; see also paras. </w:t>
      </w:r>
      <w:r w:rsidRPr="00D5269A">
        <w:rPr>
          <w:rFonts w:cs="Times New Roman"/>
        </w:rPr>
        <w:t>28 and 36).</w:t>
      </w:r>
    </w:p>
    <w:p w:rsidR="000738FC" w:rsidRPr="00D5269A" w:rsidRDefault="000738FC" w:rsidP="000738FC">
      <w:pPr>
        <w:pStyle w:val="ParaNoNdepar-AltN"/>
        <w:rPr>
          <w:rFonts w:cs="Times New Roman"/>
        </w:rPr>
      </w:pPr>
      <w:r w:rsidRPr="00D5269A">
        <w:rPr>
          <w:rFonts w:cs="Times New Roman"/>
        </w:rPr>
        <w:t>Numerous measures and sanctions ha</w:t>
      </w:r>
      <w:r w:rsidR="00782471">
        <w:rPr>
          <w:rFonts w:cs="Times New Roman"/>
        </w:rPr>
        <w:t>ve been assessed against the s. </w:t>
      </w:r>
      <w:r w:rsidRPr="00D5269A">
        <w:rPr>
          <w:rFonts w:cs="Times New Roman"/>
        </w:rPr>
        <w:t>11(</w:t>
      </w:r>
      <w:r w:rsidRPr="00D5269A">
        <w:rPr>
          <w:rFonts w:cs="Times New Roman"/>
          <w:i/>
        </w:rPr>
        <w:t>i</w:t>
      </w:r>
      <w:r w:rsidRPr="00D5269A">
        <w:rPr>
          <w:rFonts w:cs="Times New Roman"/>
        </w:rPr>
        <w:t>) concept of “punishment”. The following measures have been found to qualify as punishment: the timing of eligibility for parole (</w:t>
      </w:r>
      <w:r w:rsidRPr="00D5269A">
        <w:rPr>
          <w:rFonts w:cs="Times New Roman"/>
          <w:i/>
        </w:rPr>
        <w:t>Liang v.</w:t>
      </w:r>
      <w:r w:rsidRPr="00D5269A">
        <w:rPr>
          <w:rFonts w:cs="Times New Roman"/>
        </w:rPr>
        <w:t xml:space="preserve"> </w:t>
      </w:r>
      <w:r w:rsidRPr="00D5269A">
        <w:rPr>
          <w:rFonts w:cs="Times New Roman"/>
          <w:i/>
        </w:rPr>
        <w:t>Canada (Attorney General)</w:t>
      </w:r>
      <w:r w:rsidRPr="00D5269A">
        <w:rPr>
          <w:rFonts w:cs="Times New Roman"/>
        </w:rPr>
        <w:t>,</w:t>
      </w:r>
      <w:r w:rsidRPr="00D5269A">
        <w:rPr>
          <w:rFonts w:cs="Times New Roman"/>
          <w:i/>
        </w:rPr>
        <w:t xml:space="preserve"> </w:t>
      </w:r>
      <w:r w:rsidRPr="00D5269A">
        <w:rPr>
          <w:rFonts w:cs="Times New Roman"/>
        </w:rPr>
        <w:t>2014 BCCA 190,</w:t>
      </w:r>
      <w:r w:rsidR="009D6B88">
        <w:rPr>
          <w:rFonts w:cs="Times New Roman"/>
        </w:rPr>
        <w:t xml:space="preserve"> 355 B.C.A.C. 238, at paras. </w:t>
      </w:r>
      <w:r w:rsidR="001D0BC0">
        <w:rPr>
          <w:rFonts w:cs="Times New Roman"/>
        </w:rPr>
        <w:t>27 and 43); pre</w:t>
      </w:r>
      <w:r w:rsidR="001D0BC0" w:rsidRPr="00A215D4">
        <w:rPr>
          <w:lang w:val="en-US"/>
        </w:rPr>
        <w:noBreakHyphen/>
      </w:r>
      <w:r w:rsidRPr="00D5269A">
        <w:rPr>
          <w:rFonts w:cs="Times New Roman"/>
        </w:rPr>
        <w:t>sentence custody (</w:t>
      </w:r>
      <w:r w:rsidRPr="00D5269A">
        <w:rPr>
          <w:rFonts w:cs="Times New Roman"/>
          <w:i/>
        </w:rPr>
        <w:t>R. v. S. (R.)</w:t>
      </w:r>
      <w:r w:rsidRPr="00D5269A">
        <w:rPr>
          <w:rFonts w:cs="Times New Roman"/>
        </w:rPr>
        <w:t>,</w:t>
      </w:r>
      <w:r w:rsidRPr="00D5269A">
        <w:rPr>
          <w:rFonts w:cs="Times New Roman"/>
          <w:i/>
        </w:rPr>
        <w:t xml:space="preserve"> </w:t>
      </w:r>
      <w:r w:rsidRPr="00D5269A">
        <w:rPr>
          <w:rFonts w:cs="Times New Roman"/>
        </w:rPr>
        <w:t>2015 ONCA 291</w:t>
      </w:r>
      <w:r w:rsidR="009D6B88">
        <w:rPr>
          <w:rFonts w:cs="Times New Roman"/>
        </w:rPr>
        <w:t>, 333 C.R.R. (2d) 160, at para. </w:t>
      </w:r>
      <w:r w:rsidRPr="00D5269A">
        <w:rPr>
          <w:rFonts w:cs="Times New Roman"/>
        </w:rPr>
        <w:t>32); the conditions governing the “faint hope” regime (</w:t>
      </w:r>
      <w:r w:rsidRPr="00D5269A">
        <w:rPr>
          <w:rFonts w:cs="Times New Roman"/>
          <w:i/>
        </w:rPr>
        <w:t>R. v. Simmonds</w:t>
      </w:r>
      <w:r w:rsidRPr="00D5269A">
        <w:rPr>
          <w:rFonts w:cs="Times New Roman"/>
        </w:rPr>
        <w:t>,</w:t>
      </w:r>
      <w:r w:rsidRPr="00D5269A">
        <w:rPr>
          <w:rFonts w:cs="Times New Roman"/>
          <w:i/>
        </w:rPr>
        <w:t xml:space="preserve"> </w:t>
      </w:r>
      <w:r w:rsidRPr="00D5269A">
        <w:rPr>
          <w:rFonts w:cs="Times New Roman"/>
        </w:rPr>
        <w:t>2018 BCCA 205,</w:t>
      </w:r>
      <w:r w:rsidR="00876B54">
        <w:rPr>
          <w:rFonts w:cs="Times New Roman"/>
        </w:rPr>
        <w:t xml:space="preserve"> 362 C.C.C. (3d) 215, at paras. </w:t>
      </w:r>
      <w:r w:rsidR="001D0BC0">
        <w:rPr>
          <w:rFonts w:cs="Times New Roman"/>
        </w:rPr>
        <w:t>88</w:t>
      </w:r>
      <w:r w:rsidR="001D0BC0" w:rsidRPr="00A215D4">
        <w:rPr>
          <w:lang w:val="en-US"/>
        </w:rPr>
        <w:noBreakHyphen/>
      </w:r>
      <w:r w:rsidRPr="00D5269A">
        <w:rPr>
          <w:rFonts w:cs="Times New Roman"/>
        </w:rPr>
        <w:t xml:space="preserve">89); </w:t>
      </w:r>
      <w:r w:rsidRPr="00D5269A">
        <w:rPr>
          <w:rFonts w:cs="Times New Roman"/>
          <w:i/>
        </w:rPr>
        <w:t xml:space="preserve">Criminal Code </w:t>
      </w:r>
      <w:r w:rsidRPr="00D5269A">
        <w:rPr>
          <w:rFonts w:cs="Times New Roman"/>
        </w:rPr>
        <w:t>driving prohibition orders (</w:t>
      </w:r>
      <w:r w:rsidRPr="00D5269A">
        <w:rPr>
          <w:rFonts w:cs="Times New Roman"/>
          <w:i/>
        </w:rPr>
        <w:t>R. v. Wilson</w:t>
      </w:r>
      <w:r w:rsidRPr="00D5269A">
        <w:rPr>
          <w:rFonts w:cs="Times New Roman"/>
        </w:rPr>
        <w:t>,</w:t>
      </w:r>
      <w:r w:rsidRPr="00D5269A">
        <w:rPr>
          <w:rFonts w:cs="Times New Roman"/>
          <w:i/>
        </w:rPr>
        <w:t xml:space="preserve"> </w:t>
      </w:r>
      <w:r w:rsidRPr="00D5269A">
        <w:rPr>
          <w:rFonts w:cs="Times New Roman"/>
        </w:rPr>
        <w:t>2011 ONSC 89</w:t>
      </w:r>
      <w:r w:rsidR="00876B54">
        <w:rPr>
          <w:rFonts w:cs="Times New Roman"/>
        </w:rPr>
        <w:t>, 225 C.R.R. (2d) 234, at para. </w:t>
      </w:r>
      <w:r w:rsidRPr="00D5269A">
        <w:rPr>
          <w:rFonts w:cs="Times New Roman"/>
        </w:rPr>
        <w:t>37); and weapons prohibition orders (</w:t>
      </w:r>
      <w:r w:rsidRPr="00D5269A">
        <w:rPr>
          <w:rFonts w:cs="Times New Roman"/>
          <w:i/>
        </w:rPr>
        <w:t>Bent</w:t>
      </w:r>
      <w:r w:rsidRPr="00D5269A">
        <w:rPr>
          <w:rFonts w:cs="Times New Roman"/>
        </w:rPr>
        <w:t>,</w:t>
      </w:r>
      <w:r w:rsidRPr="00D5269A">
        <w:rPr>
          <w:rFonts w:cs="Times New Roman"/>
          <w:i/>
        </w:rPr>
        <w:t xml:space="preserve"> </w:t>
      </w:r>
      <w:r w:rsidRPr="00D5269A">
        <w:rPr>
          <w:rFonts w:cs="Times New Roman"/>
        </w:rPr>
        <w:t>at para.</w:t>
      </w:r>
      <w:r w:rsidR="00876B54">
        <w:rPr>
          <w:rFonts w:cs="Times New Roman"/>
        </w:rPr>
        <w:t> </w:t>
      </w:r>
      <w:r w:rsidRPr="00D5269A">
        <w:rPr>
          <w:rFonts w:cs="Times New Roman"/>
        </w:rPr>
        <w:t xml:space="preserve">71; see also </w:t>
      </w:r>
      <w:r w:rsidRPr="00D5269A">
        <w:rPr>
          <w:rFonts w:cs="Times New Roman"/>
          <w:i/>
        </w:rPr>
        <w:t>R. v. Wiles</w:t>
      </w:r>
      <w:r w:rsidRPr="00D5269A">
        <w:rPr>
          <w:rFonts w:cs="Times New Roman"/>
        </w:rPr>
        <w:t>,</w:t>
      </w:r>
      <w:r w:rsidRPr="00D5269A">
        <w:rPr>
          <w:rFonts w:cs="Times New Roman"/>
          <w:i/>
        </w:rPr>
        <w:t xml:space="preserve"> </w:t>
      </w:r>
      <w:r w:rsidRPr="00D5269A">
        <w:rPr>
          <w:rFonts w:cs="Times New Roman"/>
        </w:rPr>
        <w:t>2005 SCC 84, [2005] 3 S.C.R. 895, at para.</w:t>
      </w:r>
      <w:r w:rsidR="00602CD9">
        <w:rPr>
          <w:rFonts w:cs="Times New Roman"/>
        </w:rPr>
        <w:t> </w:t>
      </w:r>
      <w:r w:rsidRPr="00D5269A">
        <w:rPr>
          <w:rFonts w:cs="Times New Roman"/>
        </w:rPr>
        <w:t>3 (although not a s. 11(</w:t>
      </w:r>
      <w:r w:rsidRPr="00D5269A">
        <w:rPr>
          <w:rFonts w:cs="Times New Roman"/>
          <w:i/>
        </w:rPr>
        <w:t>i</w:t>
      </w:r>
      <w:r w:rsidRPr="00D5269A">
        <w:rPr>
          <w:rFonts w:cs="Times New Roman"/>
        </w:rPr>
        <w:t xml:space="preserve">) case)). By contrast, the following sanctions have been found </w:t>
      </w:r>
      <w:r w:rsidRPr="00D5269A">
        <w:rPr>
          <w:rFonts w:cs="Times New Roman"/>
          <w:i/>
        </w:rPr>
        <w:t>not</w:t>
      </w:r>
      <w:r w:rsidRPr="00D5269A">
        <w:rPr>
          <w:rFonts w:cs="Times New Roman"/>
        </w:rPr>
        <w:t xml:space="preserve"> to constitute </w:t>
      </w:r>
      <w:r w:rsidRPr="00D5269A">
        <w:rPr>
          <w:rFonts w:cs="Times New Roman"/>
        </w:rPr>
        <w:lastRenderedPageBreak/>
        <w:t>s.</w:t>
      </w:r>
      <w:r w:rsidR="009022DB">
        <w:rPr>
          <w:rFonts w:cs="Times New Roman"/>
        </w:rPr>
        <w:t> </w:t>
      </w:r>
      <w:r w:rsidRPr="00D5269A">
        <w:rPr>
          <w:rFonts w:cs="Times New Roman"/>
        </w:rPr>
        <w:t>11(</w:t>
      </w:r>
      <w:r w:rsidRPr="00D5269A">
        <w:rPr>
          <w:rFonts w:cs="Times New Roman"/>
          <w:i/>
        </w:rPr>
        <w:t>i</w:t>
      </w:r>
      <w:r w:rsidR="001D0BC0">
        <w:rPr>
          <w:rFonts w:cs="Times New Roman"/>
        </w:rPr>
        <w:t>) “punishment”: post</w:t>
      </w:r>
      <w:r w:rsidR="001D0BC0" w:rsidRPr="00A215D4">
        <w:rPr>
          <w:lang w:val="en-US"/>
        </w:rPr>
        <w:noBreakHyphen/>
      </w:r>
      <w:r w:rsidRPr="00D5269A">
        <w:rPr>
          <w:rFonts w:cs="Times New Roman"/>
        </w:rPr>
        <w:t>conviction DNA databank orders (</w:t>
      </w:r>
      <w:r w:rsidRPr="00D5269A">
        <w:rPr>
          <w:rFonts w:cs="Times New Roman"/>
          <w:i/>
        </w:rPr>
        <w:t>R. v. Rodgers</w:t>
      </w:r>
      <w:r w:rsidRPr="00D5269A">
        <w:rPr>
          <w:rFonts w:cs="Times New Roman"/>
        </w:rPr>
        <w:t>,</w:t>
      </w:r>
      <w:r w:rsidRPr="00D5269A">
        <w:rPr>
          <w:rFonts w:cs="Times New Roman"/>
          <w:i/>
        </w:rPr>
        <w:t xml:space="preserve"> </w:t>
      </w:r>
      <w:r w:rsidRPr="00D5269A">
        <w:rPr>
          <w:rFonts w:cs="Times New Roman"/>
        </w:rPr>
        <w:t>2006 SCC 15, [2006] 1 S.C.R. 554, at paras.</w:t>
      </w:r>
      <w:r w:rsidR="004945F6">
        <w:rPr>
          <w:rFonts w:cs="Times New Roman"/>
        </w:rPr>
        <w:t> </w:t>
      </w:r>
      <w:r w:rsidRPr="00D5269A">
        <w:rPr>
          <w:rFonts w:cs="Times New Roman"/>
        </w:rPr>
        <w:t>64</w:t>
      </w:r>
      <w:r w:rsidR="001D0BC0" w:rsidRPr="00A215D4">
        <w:rPr>
          <w:lang w:val="en-US"/>
        </w:rPr>
        <w:noBreakHyphen/>
      </w:r>
      <w:r w:rsidRPr="00D5269A">
        <w:rPr>
          <w:rFonts w:cs="Times New Roman"/>
        </w:rPr>
        <w:t xml:space="preserve">65); sex offender registration (or “SOIRA”) orders (see, for instance, </w:t>
      </w:r>
      <w:r w:rsidRPr="00D5269A">
        <w:rPr>
          <w:rFonts w:cs="Times New Roman"/>
          <w:i/>
        </w:rPr>
        <w:t>R. v. Cross</w:t>
      </w:r>
      <w:r w:rsidRPr="00D5269A">
        <w:rPr>
          <w:rFonts w:cs="Times New Roman"/>
        </w:rPr>
        <w:t>,</w:t>
      </w:r>
      <w:r w:rsidRPr="00D5269A">
        <w:rPr>
          <w:rFonts w:cs="Times New Roman"/>
          <w:i/>
        </w:rPr>
        <w:t xml:space="preserve"> </w:t>
      </w:r>
      <w:r w:rsidRPr="00D5269A">
        <w:rPr>
          <w:rFonts w:cs="Times New Roman"/>
        </w:rPr>
        <w:t>2006 NSCA 30</w:t>
      </w:r>
      <w:r w:rsidR="00162086">
        <w:rPr>
          <w:rFonts w:cs="Times New Roman"/>
        </w:rPr>
        <w:t>, 241 N.S.R. (2d) 349, at para. </w:t>
      </w:r>
      <w:r w:rsidRPr="00D5269A">
        <w:rPr>
          <w:rFonts w:cs="Times New Roman"/>
        </w:rPr>
        <w:t>84); and provincial driving suspensions imposed in response to criminal convictions (</w:t>
      </w:r>
      <w:r w:rsidRPr="00D5269A">
        <w:rPr>
          <w:rFonts w:cs="Times New Roman"/>
          <w:i/>
        </w:rPr>
        <w:t>Wilson</w:t>
      </w:r>
      <w:r w:rsidRPr="00D5269A">
        <w:rPr>
          <w:rFonts w:cs="Times New Roman"/>
        </w:rPr>
        <w:t>,</w:t>
      </w:r>
      <w:r w:rsidRPr="00D5269A">
        <w:rPr>
          <w:rFonts w:cs="Times New Roman"/>
          <w:i/>
        </w:rPr>
        <w:t xml:space="preserve"> </w:t>
      </w:r>
      <w:r w:rsidR="00197B78">
        <w:rPr>
          <w:rFonts w:cs="Times New Roman"/>
        </w:rPr>
        <w:t>at para. </w:t>
      </w:r>
      <w:r w:rsidRPr="00D5269A">
        <w:rPr>
          <w:rFonts w:cs="Times New Roman"/>
        </w:rPr>
        <w:t xml:space="preserve">34). However, without commenting on their merits, I observe that these latter decisions were rendered prior to </w:t>
      </w:r>
      <w:r w:rsidRPr="00D5269A">
        <w:rPr>
          <w:rFonts w:cs="Times New Roman"/>
          <w:i/>
        </w:rPr>
        <w:t>K.R.J</w:t>
      </w:r>
      <w:r w:rsidRPr="00D5269A">
        <w:rPr>
          <w:rFonts w:cs="Times New Roman"/>
        </w:rPr>
        <w:t>.</w:t>
      </w:r>
    </w:p>
    <w:p w:rsidR="000738FC" w:rsidRPr="00D5269A" w:rsidRDefault="000738FC" w:rsidP="000738FC">
      <w:pPr>
        <w:pStyle w:val="ParaNoNdepar-AltN"/>
        <w:rPr>
          <w:rFonts w:cs="Times New Roman"/>
        </w:rPr>
      </w:pPr>
      <w:r w:rsidRPr="00D5269A">
        <w:rPr>
          <w:rFonts w:cs="Times New Roman"/>
        </w:rPr>
        <w:t>In this case, the parties accept that a conditional sentence is a “pun</w:t>
      </w:r>
      <w:r w:rsidR="006F3159">
        <w:rPr>
          <w:rFonts w:cs="Times New Roman"/>
        </w:rPr>
        <w:t>ishment” for the purposes of s. </w:t>
      </w:r>
      <w:r w:rsidRPr="00D5269A">
        <w:rPr>
          <w:rFonts w:cs="Times New Roman"/>
        </w:rPr>
        <w:t>11(</w:t>
      </w:r>
      <w:r w:rsidRPr="00D5269A">
        <w:rPr>
          <w:rFonts w:cs="Times New Roman"/>
          <w:i/>
        </w:rPr>
        <w:t>i</w:t>
      </w:r>
      <w:r w:rsidRPr="00D5269A">
        <w:rPr>
          <w:rFonts w:cs="Times New Roman"/>
        </w:rPr>
        <w:t>). Given my ultimate conclusion that s.</w:t>
      </w:r>
      <w:r w:rsidR="006F3159">
        <w:rPr>
          <w:rFonts w:cs="Times New Roman"/>
        </w:rPr>
        <w:t> </w:t>
      </w:r>
      <w:r w:rsidRPr="00D5269A">
        <w:rPr>
          <w:rFonts w:cs="Times New Roman"/>
        </w:rPr>
        <w:t>11(</w:t>
      </w:r>
      <w:r w:rsidRPr="00D5269A">
        <w:rPr>
          <w:rFonts w:cs="Times New Roman"/>
          <w:i/>
        </w:rPr>
        <w:t>i</w:t>
      </w:r>
      <w:r w:rsidRPr="00D5269A">
        <w:rPr>
          <w:rFonts w:cs="Times New Roman"/>
        </w:rPr>
        <w:t>) confers a binary right and</w:t>
      </w:r>
      <w:r w:rsidR="00DF3637">
        <w:rPr>
          <w:rFonts w:cs="Times New Roman"/>
        </w:rPr>
        <w:t xml:space="preserve"> therefore does not entitle Mr. </w:t>
      </w:r>
      <w:r w:rsidRPr="00D5269A">
        <w:rPr>
          <w:rFonts w:cs="Times New Roman"/>
        </w:rPr>
        <w:t xml:space="preserve">Poulin to </w:t>
      </w:r>
      <w:r w:rsidRPr="00D5269A">
        <w:rPr>
          <w:rFonts w:cs="Times New Roman"/>
          <w:i/>
        </w:rPr>
        <w:t>any</w:t>
      </w:r>
      <w:r w:rsidRPr="00D5269A">
        <w:rPr>
          <w:rFonts w:cs="Times New Roman"/>
        </w:rPr>
        <w:t xml:space="preserve"> “punishments” temporarily available in the interval between his offence and sentencing, I need not determine whether a conditional sentence constitutes a “punishment” to </w:t>
      </w:r>
      <w:r w:rsidR="00DF3637">
        <w:rPr>
          <w:rFonts w:cs="Times New Roman"/>
        </w:rPr>
        <w:t>which Mr. </w:t>
      </w:r>
      <w:r w:rsidRPr="00D5269A">
        <w:rPr>
          <w:rFonts w:cs="Times New Roman"/>
        </w:rPr>
        <w:t>Po</w:t>
      </w:r>
      <w:r w:rsidR="00DC7EF6">
        <w:rPr>
          <w:rFonts w:cs="Times New Roman"/>
        </w:rPr>
        <w:t>ulin could be entitled under s. </w:t>
      </w:r>
      <w:r w:rsidRPr="00D5269A">
        <w:rPr>
          <w:rFonts w:cs="Times New Roman"/>
        </w:rPr>
        <w:t>11(</w:t>
      </w:r>
      <w:r w:rsidRPr="00D5269A">
        <w:rPr>
          <w:rFonts w:cs="Times New Roman"/>
          <w:i/>
        </w:rPr>
        <w:t>i</w:t>
      </w:r>
      <w:r w:rsidRPr="00D5269A">
        <w:rPr>
          <w:rFonts w:cs="Times New Roman"/>
        </w:rPr>
        <w:t>).</w:t>
      </w:r>
    </w:p>
    <w:p w:rsidR="000738FC" w:rsidRPr="00D5269A" w:rsidRDefault="000738FC" w:rsidP="000738FC">
      <w:pPr>
        <w:pStyle w:val="ParaNoNdepar-AltN"/>
        <w:rPr>
          <w:rFonts w:cs="Times New Roman"/>
        </w:rPr>
      </w:pPr>
      <w:r w:rsidRPr="00D5269A">
        <w:rPr>
          <w:rFonts w:cs="Times New Roman"/>
        </w:rPr>
        <w:t xml:space="preserve">As the cases outlined above reveal, “punishment” is a broad concept. It captures not only traditional prison sentences, but also ancillary orders and other statutory measures. The consequence of this is significant: in light of the meaning of </w:t>
      </w:r>
      <w:r w:rsidR="00832575">
        <w:rPr>
          <w:rFonts w:cs="Times New Roman"/>
        </w:rPr>
        <w:t>“punishment”, s. </w:t>
      </w:r>
      <w:r w:rsidRPr="00D5269A">
        <w:rPr>
          <w:rFonts w:cs="Times New Roman"/>
        </w:rPr>
        <w:t>11(</w:t>
      </w:r>
      <w:r w:rsidRPr="00D5269A">
        <w:rPr>
          <w:rFonts w:cs="Times New Roman"/>
          <w:i/>
        </w:rPr>
        <w:t>i</w:t>
      </w:r>
      <w:r w:rsidRPr="00D5269A">
        <w:rPr>
          <w:rFonts w:cs="Times New Roman"/>
        </w:rPr>
        <w:t xml:space="preserve">) does not involve the simple comparison of two or more </w:t>
      </w:r>
      <w:r w:rsidRPr="00D5269A">
        <w:rPr>
          <w:rFonts w:cs="Times New Roman"/>
          <w:i/>
        </w:rPr>
        <w:t>whole</w:t>
      </w:r>
      <w:r w:rsidRPr="00D5269A">
        <w:rPr>
          <w:rFonts w:cs="Times New Roman"/>
        </w:rPr>
        <w:t xml:space="preserve"> sentencing provisions. Rather, s.</w:t>
      </w:r>
      <w:r w:rsidR="00832575">
        <w:rPr>
          <w:rFonts w:cs="Times New Roman"/>
        </w:rPr>
        <w:t> </w:t>
      </w:r>
      <w:r w:rsidRPr="00D5269A">
        <w:rPr>
          <w:rFonts w:cs="Times New Roman"/>
        </w:rPr>
        <w:t>11(</w:t>
      </w:r>
      <w:r w:rsidRPr="00D5269A">
        <w:rPr>
          <w:rFonts w:cs="Times New Roman"/>
          <w:i/>
        </w:rPr>
        <w:t>i</w:t>
      </w:r>
      <w:r w:rsidRPr="00D5269A">
        <w:rPr>
          <w:rFonts w:cs="Times New Roman"/>
        </w:rPr>
        <w:t xml:space="preserve">) requires that the applicable sentencing provisions be parsed into their various measures. Each type of measure must then be evaluated under the </w:t>
      </w:r>
      <w:r w:rsidRPr="00D5269A">
        <w:rPr>
          <w:rFonts w:cs="Times New Roman"/>
          <w:i/>
        </w:rPr>
        <w:t xml:space="preserve">K.R.J. </w:t>
      </w:r>
      <w:r w:rsidRPr="00D5269A">
        <w:rPr>
          <w:rFonts w:cs="Times New Roman"/>
        </w:rPr>
        <w:t>test for “punishment”. In this evaluation, attention must also be paid to whether the measure at issue has been found to constitute “punishment” under ss. 11(</w:t>
      </w:r>
      <w:r w:rsidRPr="00D5269A">
        <w:rPr>
          <w:rFonts w:cs="Times New Roman"/>
          <w:i/>
        </w:rPr>
        <w:t>h</w:t>
      </w:r>
      <w:r w:rsidRPr="00D5269A">
        <w:rPr>
          <w:rFonts w:cs="Times New Roman"/>
        </w:rPr>
        <w:t xml:space="preserve">) or 12 of the </w:t>
      </w:r>
      <w:r w:rsidRPr="00D5269A">
        <w:rPr>
          <w:rFonts w:cs="Times New Roman"/>
          <w:i/>
        </w:rPr>
        <w:t>Charter</w:t>
      </w:r>
      <w:r w:rsidRPr="00D5269A">
        <w:rPr>
          <w:rFonts w:cs="Times New Roman"/>
        </w:rPr>
        <w:t>,</w:t>
      </w:r>
      <w:r w:rsidRPr="00D5269A">
        <w:rPr>
          <w:rFonts w:cs="Times New Roman"/>
          <w:i/>
        </w:rPr>
        <w:t xml:space="preserve"> </w:t>
      </w:r>
      <w:r w:rsidRPr="00D5269A">
        <w:rPr>
          <w:rFonts w:cs="Times New Roman"/>
        </w:rPr>
        <w:t xml:space="preserve">as “punishment should be defined consistently </w:t>
      </w:r>
      <w:r w:rsidRPr="00D5269A">
        <w:rPr>
          <w:rFonts w:cs="Times New Roman"/>
        </w:rPr>
        <w:lastRenderedPageBreak/>
        <w:t xml:space="preserve">across ss. 11 and 12 of the </w:t>
      </w:r>
      <w:r w:rsidRPr="00D5269A">
        <w:rPr>
          <w:rFonts w:cs="Times New Roman"/>
          <w:i/>
        </w:rPr>
        <w:t>Charter</w:t>
      </w:r>
      <w:r w:rsidRPr="00D5269A">
        <w:rPr>
          <w:rFonts w:cs="Times New Roman"/>
        </w:rPr>
        <w:t>” (</w:t>
      </w:r>
      <w:r w:rsidRPr="00D5269A">
        <w:rPr>
          <w:rFonts w:cs="Times New Roman"/>
          <w:i/>
        </w:rPr>
        <w:t>R. v. Boudreault</w:t>
      </w:r>
      <w:r w:rsidRPr="00D5269A">
        <w:rPr>
          <w:rFonts w:cs="Times New Roman"/>
        </w:rPr>
        <w:t>,</w:t>
      </w:r>
      <w:r w:rsidRPr="00D5269A">
        <w:rPr>
          <w:rFonts w:cs="Times New Roman"/>
          <w:i/>
        </w:rPr>
        <w:t xml:space="preserve"> </w:t>
      </w:r>
      <w:r w:rsidR="006924E7">
        <w:rPr>
          <w:rFonts w:cs="Times New Roman"/>
        </w:rPr>
        <w:t>2018 SCC 58</w:t>
      </w:r>
      <w:r w:rsidR="00123BA3">
        <w:rPr>
          <w:rFonts w:cs="Times New Roman"/>
        </w:rPr>
        <w:t xml:space="preserve">, [2018] </w:t>
      </w:r>
      <w:r w:rsidR="00A30617">
        <w:rPr>
          <w:rFonts w:cs="Times New Roman"/>
        </w:rPr>
        <w:t>3</w:t>
      </w:r>
      <w:r w:rsidR="00123BA3">
        <w:rPr>
          <w:rFonts w:cs="Times New Roman"/>
        </w:rPr>
        <w:t xml:space="preserve"> S.C.R. </w:t>
      </w:r>
      <w:r w:rsidR="00A30617">
        <w:rPr>
          <w:rFonts w:cs="Times New Roman"/>
        </w:rPr>
        <w:t>599</w:t>
      </w:r>
      <w:r w:rsidR="006924E7">
        <w:rPr>
          <w:rFonts w:cs="Times New Roman"/>
        </w:rPr>
        <w:t>, at para. </w:t>
      </w:r>
      <w:r w:rsidRPr="00D5269A">
        <w:rPr>
          <w:rFonts w:cs="Times New Roman"/>
        </w:rPr>
        <w:t>38).</w:t>
      </w:r>
    </w:p>
    <w:p w:rsidR="000738FC" w:rsidRPr="00D5269A" w:rsidRDefault="000738FC" w:rsidP="000738FC">
      <w:pPr>
        <w:pStyle w:val="ParaNoNdepar-AltN"/>
        <w:rPr>
          <w:rFonts w:cs="Times New Roman"/>
        </w:rPr>
      </w:pPr>
      <w:r w:rsidRPr="00D5269A">
        <w:rPr>
          <w:rFonts w:cs="Times New Roman"/>
        </w:rPr>
        <w:t>It is only once the evaluation of all of the measures is complete that the court will have before it the various “punishments” that must be compared to identify the “lesser” punishment or punishments to which the offender i</w:t>
      </w:r>
      <w:r w:rsidR="00832575">
        <w:rPr>
          <w:rFonts w:cs="Times New Roman"/>
        </w:rPr>
        <w:t>s entitled under s. </w:t>
      </w:r>
      <w:r w:rsidRPr="00D5269A">
        <w:rPr>
          <w:rFonts w:cs="Times New Roman"/>
        </w:rPr>
        <w:t>11(</w:t>
      </w:r>
      <w:r w:rsidRPr="00D5269A">
        <w:rPr>
          <w:rFonts w:cs="Times New Roman"/>
          <w:i/>
        </w:rPr>
        <w:t>i</w:t>
      </w:r>
      <w:r w:rsidRPr="00D5269A">
        <w:rPr>
          <w:rFonts w:cs="Times New Roman"/>
        </w:rPr>
        <w:t>). A binary approach to s.</w:t>
      </w:r>
      <w:r w:rsidR="00832575">
        <w:rPr>
          <w:rFonts w:cs="Times New Roman"/>
        </w:rPr>
        <w:t> </w:t>
      </w:r>
      <w:r w:rsidRPr="00D5269A">
        <w:rPr>
          <w:rFonts w:cs="Times New Roman"/>
        </w:rPr>
        <w:t>11(</w:t>
      </w:r>
      <w:r w:rsidRPr="00D5269A">
        <w:rPr>
          <w:rFonts w:cs="Times New Roman"/>
          <w:i/>
        </w:rPr>
        <w:t>i</w:t>
      </w:r>
      <w:r w:rsidRPr="00D5269A">
        <w:rPr>
          <w:rFonts w:cs="Times New Roman"/>
        </w:rPr>
        <w:t>) would only require the evaluation of the measures applicable at the two relevant points in time (offence and sentencing). In co</w:t>
      </w:r>
      <w:r w:rsidR="00832575">
        <w:rPr>
          <w:rFonts w:cs="Times New Roman"/>
        </w:rPr>
        <w:t>ntrast, a global approach to s. </w:t>
      </w:r>
      <w:r w:rsidRPr="00D5269A">
        <w:rPr>
          <w:rFonts w:cs="Times New Roman"/>
        </w:rPr>
        <w:t>11(</w:t>
      </w:r>
      <w:r w:rsidRPr="00D5269A">
        <w:rPr>
          <w:rFonts w:cs="Times New Roman"/>
          <w:i/>
        </w:rPr>
        <w:t>i</w:t>
      </w:r>
      <w:r w:rsidRPr="00D5269A">
        <w:rPr>
          <w:rFonts w:cs="Times New Roman"/>
        </w:rPr>
        <w:t xml:space="preserve">) would require the evaluation of each and every type of measure that was applicable at some point during the entire interval between the offence and sentencing, no matter the length of that interval. </w:t>
      </w:r>
    </w:p>
    <w:p w:rsidR="000738FC" w:rsidRPr="00D5269A" w:rsidRDefault="000738FC" w:rsidP="000738FC">
      <w:pPr>
        <w:pStyle w:val="Title4LevelTitre4Niveau"/>
        <w:rPr>
          <w:rFonts w:cs="Times New Roman"/>
        </w:rPr>
      </w:pPr>
      <w:bookmarkStart w:id="31" w:name="_Toc14423811"/>
      <w:bookmarkStart w:id="32" w:name="_Toc15313754"/>
      <w:r w:rsidRPr="00D5269A">
        <w:rPr>
          <w:rFonts w:cs="Times New Roman"/>
        </w:rPr>
        <w:t>Question Three: Which Punishment(s) Represent the “Lesser” Punishment(s)</w:t>
      </w:r>
      <w:bookmarkEnd w:id="31"/>
      <w:r w:rsidRPr="00D5269A">
        <w:rPr>
          <w:rFonts w:cs="Times New Roman"/>
        </w:rPr>
        <w:t>?</w:t>
      </w:r>
      <w:bookmarkEnd w:id="32"/>
    </w:p>
    <w:p w:rsidR="000738FC" w:rsidRPr="00D5269A" w:rsidRDefault="000738FC" w:rsidP="000738FC">
      <w:pPr>
        <w:pStyle w:val="ParaNoNdepar-AltN"/>
        <w:rPr>
          <w:rFonts w:cs="Times New Roman"/>
        </w:rPr>
      </w:pPr>
      <w:r w:rsidRPr="00D5269A">
        <w:rPr>
          <w:rFonts w:cs="Times New Roman"/>
        </w:rPr>
        <w:t>Once the various “punishments” for the offence have been identified, they must be compared and contrasted to determine which one — or ones — reflect the “lesser” punishment. Often, this determination is obvious; it selects the shorter period of incarceration over the longer one, and the absence of a weapons prohibition over the imposition of one. However, sometimes the determination of the lesser punishment is more nuanced. For instance, the sentencing court comparing two competing sentencing regimes must be alive to the possibility that eac</w:t>
      </w:r>
      <w:r w:rsidR="00B31481">
        <w:rPr>
          <w:rFonts w:cs="Times New Roman"/>
        </w:rPr>
        <w:t>h of the regimes contains some “</w:t>
      </w:r>
      <w:r w:rsidRPr="00D5269A">
        <w:rPr>
          <w:rFonts w:cs="Times New Roman"/>
        </w:rPr>
        <w:t>lesser</w:t>
      </w:r>
      <w:r w:rsidR="00B31481">
        <w:rPr>
          <w:rFonts w:cs="Times New Roman"/>
        </w:rPr>
        <w:t>”</w:t>
      </w:r>
      <w:r w:rsidRPr="00D5269A">
        <w:rPr>
          <w:rFonts w:cs="Times New Roman"/>
        </w:rPr>
        <w:t xml:space="preserve"> aspect of punishment. To this end, in </w:t>
      </w:r>
      <w:r w:rsidRPr="00D5269A">
        <w:rPr>
          <w:rFonts w:cs="Times New Roman"/>
          <w:i/>
        </w:rPr>
        <w:t>R. v. Johnson</w:t>
      </w:r>
      <w:r w:rsidRPr="00D5269A">
        <w:rPr>
          <w:rFonts w:cs="Times New Roman"/>
        </w:rPr>
        <w:t>,</w:t>
      </w:r>
      <w:r w:rsidRPr="00D5269A">
        <w:rPr>
          <w:rFonts w:cs="Times New Roman"/>
          <w:i/>
        </w:rPr>
        <w:t xml:space="preserve"> </w:t>
      </w:r>
      <w:r w:rsidRPr="00D5269A">
        <w:rPr>
          <w:rFonts w:cs="Times New Roman"/>
        </w:rPr>
        <w:t>2003 SCC 46,</w:t>
      </w:r>
      <w:r w:rsidRPr="00D5269A">
        <w:rPr>
          <w:rFonts w:cs="Times New Roman"/>
          <w:i/>
        </w:rPr>
        <w:t xml:space="preserve"> </w:t>
      </w:r>
      <w:r w:rsidRPr="00D5269A">
        <w:rPr>
          <w:rFonts w:cs="Times New Roman"/>
        </w:rPr>
        <w:t xml:space="preserve">[2003] 2 S.C.R. 357, this Court observed that while the new sentencing regime was more favourable to </w:t>
      </w:r>
      <w:r w:rsidRPr="00D5269A">
        <w:rPr>
          <w:rFonts w:cs="Times New Roman"/>
        </w:rPr>
        <w:lastRenderedPageBreak/>
        <w:t>Mr.</w:t>
      </w:r>
      <w:r w:rsidR="00596B18">
        <w:rPr>
          <w:rFonts w:cs="Times New Roman"/>
        </w:rPr>
        <w:t> </w:t>
      </w:r>
      <w:r w:rsidRPr="00D5269A">
        <w:rPr>
          <w:rFonts w:cs="Times New Roman"/>
        </w:rPr>
        <w:t>Johnson if he qualified as a long</w:t>
      </w:r>
      <w:r w:rsidR="003F05CD" w:rsidRPr="00A215D4">
        <w:rPr>
          <w:lang w:val="en-US"/>
        </w:rPr>
        <w:noBreakHyphen/>
      </w:r>
      <w:r w:rsidRPr="00D5269A">
        <w:rPr>
          <w:rFonts w:cs="Times New Roman"/>
        </w:rPr>
        <w:t>term offender, the former regime would be more favourable to him if he did not, as it provided him with the benefit of an earlier parole hearing (para.</w:t>
      </w:r>
      <w:r w:rsidR="00072ADE">
        <w:rPr>
          <w:rFonts w:cs="Times New Roman"/>
        </w:rPr>
        <w:t> 46).</w:t>
      </w:r>
    </w:p>
    <w:p w:rsidR="000738FC" w:rsidRPr="00D5269A" w:rsidRDefault="000738FC" w:rsidP="000738FC">
      <w:pPr>
        <w:pStyle w:val="ParaNoNdepar-AltN"/>
        <w:rPr>
          <w:rFonts w:cs="Times New Roman"/>
        </w:rPr>
      </w:pPr>
      <w:r w:rsidRPr="00D5269A">
        <w:rPr>
          <w:rFonts w:cs="Times New Roman"/>
        </w:rPr>
        <w:t xml:space="preserve">Just as it would require an evaluation of all sentencing measures available between the offence and sentencing to answer “Question Two”, the global approach would require a comparison of all </w:t>
      </w:r>
      <w:r w:rsidRPr="00D5269A">
        <w:rPr>
          <w:rFonts w:cs="Times New Roman"/>
          <w:i/>
        </w:rPr>
        <w:t>punishments</w:t>
      </w:r>
      <w:r w:rsidRPr="00D5269A">
        <w:rPr>
          <w:rFonts w:cs="Times New Roman"/>
        </w:rPr>
        <w:t xml:space="preserve"> identified between the offence and sentencing to answer “Question Three”. On the other hand, answering “Question Three” under a binary approach to s.</w:t>
      </w:r>
      <w:r w:rsidR="003A0162">
        <w:rPr>
          <w:rFonts w:cs="Times New Roman"/>
        </w:rPr>
        <w:t> </w:t>
      </w:r>
      <w:r w:rsidRPr="00D5269A">
        <w:rPr>
          <w:rFonts w:cs="Times New Roman"/>
        </w:rPr>
        <w:t>11(</w:t>
      </w:r>
      <w:r w:rsidRPr="00D5269A">
        <w:rPr>
          <w:rFonts w:cs="Times New Roman"/>
          <w:i/>
        </w:rPr>
        <w:t>i</w:t>
      </w:r>
      <w:r w:rsidRPr="00D5269A">
        <w:rPr>
          <w:rFonts w:cs="Times New Roman"/>
        </w:rPr>
        <w:t>) would involve only the comparison of those punishments applicable under the laws in force at the time of the offence and the time of sentencing.</w:t>
      </w:r>
    </w:p>
    <w:p w:rsidR="000738FC" w:rsidRPr="00D5269A" w:rsidRDefault="000738FC" w:rsidP="000738FC">
      <w:pPr>
        <w:pStyle w:val="Title4LevelTitre4Niveau"/>
        <w:rPr>
          <w:rFonts w:cs="Times New Roman"/>
        </w:rPr>
      </w:pPr>
      <w:bookmarkStart w:id="33" w:name="_Toc14423812"/>
      <w:bookmarkStart w:id="34" w:name="_Toc15313755"/>
      <w:r w:rsidRPr="00D5269A">
        <w:rPr>
          <w:rFonts w:cs="Times New Roman"/>
        </w:rPr>
        <w:t>Question Four: What Punishment(s) Must Be Imposed t</w:t>
      </w:r>
      <w:r w:rsidR="002C78E3">
        <w:rPr>
          <w:rFonts w:cs="Times New Roman"/>
        </w:rPr>
        <w:t>o Honour the Offender’s Section </w:t>
      </w:r>
      <w:r w:rsidRPr="00D5269A">
        <w:rPr>
          <w:rFonts w:cs="Times New Roman"/>
        </w:rPr>
        <w:t>11(i) Right?</w:t>
      </w:r>
      <w:bookmarkEnd w:id="33"/>
      <w:bookmarkEnd w:id="34"/>
    </w:p>
    <w:p w:rsidR="000738FC" w:rsidRPr="00D5269A" w:rsidRDefault="000738FC" w:rsidP="000738FC">
      <w:pPr>
        <w:pStyle w:val="ParaNoNdepar-AltN"/>
        <w:rPr>
          <w:rFonts w:cs="Times New Roman"/>
        </w:rPr>
      </w:pPr>
      <w:r w:rsidRPr="00D5269A">
        <w:rPr>
          <w:rFonts w:cs="Times New Roman"/>
        </w:rPr>
        <w:t>Finally, once the sentencing court has isolated the lesser punishment or punishments, it must then sentence the offender according to that punishment or those punishments. This is, after all, the right that s.</w:t>
      </w:r>
      <w:r w:rsidR="006712AF">
        <w:rPr>
          <w:rFonts w:cs="Times New Roman"/>
        </w:rPr>
        <w:t> </w:t>
      </w:r>
      <w:r w:rsidRPr="00D5269A">
        <w:rPr>
          <w:rFonts w:cs="Times New Roman"/>
        </w:rPr>
        <w:t>11(</w:t>
      </w:r>
      <w:r w:rsidRPr="00D5269A">
        <w:rPr>
          <w:rFonts w:cs="Times New Roman"/>
          <w:i/>
        </w:rPr>
        <w:t>i</w:t>
      </w:r>
      <w:r w:rsidRPr="00D5269A">
        <w:rPr>
          <w:rFonts w:cs="Times New Roman"/>
        </w:rPr>
        <w:t>) confers, regardless of whether the right is binary or global. What it looks like to receive “the benefit of the lesser punishment” depends on the nature of the punishment in question.</w:t>
      </w:r>
    </w:p>
    <w:p w:rsidR="000738FC" w:rsidRPr="00D5269A" w:rsidRDefault="000738FC" w:rsidP="000738FC">
      <w:pPr>
        <w:pStyle w:val="ParaNoNdepar-AltN"/>
        <w:rPr>
          <w:rFonts w:cs="Times New Roman"/>
        </w:rPr>
      </w:pPr>
      <w:r w:rsidRPr="00D5269A">
        <w:rPr>
          <w:rFonts w:cs="Times New Roman"/>
        </w:rPr>
        <w:t xml:space="preserve">Where the offender does not need to satisfy any statutory criteria to obtain the lesser punishment, receiving the benefit of the lesser punishment simply means having that punishment applied. Thus, if the punishments being compared are a </w:t>
      </w:r>
      <w:r w:rsidR="00565250">
        <w:rPr>
          <w:rFonts w:cs="Times New Roman"/>
        </w:rPr>
        <w:lastRenderedPageBreak/>
        <w:t>maximum sentence of seven</w:t>
      </w:r>
      <w:r w:rsidRPr="00D5269A">
        <w:rPr>
          <w:rFonts w:cs="Times New Roman"/>
        </w:rPr>
        <w:t xml:space="preserve"> years’ imprisonment and a maximum sentence of 14 years’ imprisonment, receiving the benefit of the lesser punishment means receiving, at most, a sentence of </w:t>
      </w:r>
      <w:r w:rsidR="00565250">
        <w:rPr>
          <w:rFonts w:cs="Times New Roman"/>
        </w:rPr>
        <w:t>seven</w:t>
      </w:r>
      <w:r w:rsidRPr="00D5269A">
        <w:rPr>
          <w:rFonts w:cs="Times New Roman"/>
        </w:rPr>
        <w:t xml:space="preserve"> years’ imprisonment</w:t>
      </w:r>
      <w:r w:rsidRPr="00D5269A">
        <w:rPr>
          <w:rFonts w:cs="Times New Roman"/>
          <w:i/>
        </w:rPr>
        <w:t xml:space="preserve"> </w:t>
      </w:r>
      <w:r w:rsidRPr="00D5269A">
        <w:rPr>
          <w:rFonts w:cs="Times New Roman"/>
        </w:rPr>
        <w:t xml:space="preserve">(see </w:t>
      </w:r>
      <w:r w:rsidRPr="00D5269A">
        <w:rPr>
          <w:rFonts w:cs="Times New Roman"/>
          <w:i/>
        </w:rPr>
        <w:t>Tran v. Canada (Public Safety and Emergency Preparedness)</w:t>
      </w:r>
      <w:r w:rsidRPr="00D5269A">
        <w:rPr>
          <w:rFonts w:cs="Times New Roman"/>
        </w:rPr>
        <w:t>, 2017 SCC 50, [2017] 2 S.C.R. 289,</w:t>
      </w:r>
      <w:r w:rsidRPr="00D5269A">
        <w:rPr>
          <w:rFonts w:cs="Times New Roman"/>
          <w:i/>
        </w:rPr>
        <w:t xml:space="preserve"> </w:t>
      </w:r>
      <w:r w:rsidR="00274F8A">
        <w:rPr>
          <w:rFonts w:cs="Times New Roman"/>
        </w:rPr>
        <w:t>at para. </w:t>
      </w:r>
      <w:r w:rsidRPr="00D5269A">
        <w:rPr>
          <w:rFonts w:cs="Times New Roman"/>
        </w:rPr>
        <w:t>37). In the same vein, s. 11(</w:t>
      </w:r>
      <w:r w:rsidRPr="00D5269A">
        <w:rPr>
          <w:rFonts w:cs="Times New Roman"/>
          <w:i/>
        </w:rPr>
        <w:t>i</w:t>
      </w:r>
      <w:r w:rsidRPr="00D5269A">
        <w:rPr>
          <w:rFonts w:cs="Times New Roman"/>
        </w:rPr>
        <w:t>) would entitle an offender to a fine of $100 if, at the time of his offence, the law imposed a mandatory fine of $500, but, by the time of his sentencing, the amount of the mandatory fine had dropped to $100. Importantly, in such cases, the sentencing judge is bound under s.</w:t>
      </w:r>
      <w:r w:rsidR="00C86E35">
        <w:rPr>
          <w:rFonts w:cs="Times New Roman"/>
        </w:rPr>
        <w:t> </w:t>
      </w:r>
      <w:r w:rsidRPr="00D5269A">
        <w:rPr>
          <w:rFonts w:cs="Times New Roman"/>
        </w:rPr>
        <w:t>11(</w:t>
      </w:r>
      <w:r w:rsidRPr="00D5269A">
        <w:rPr>
          <w:rFonts w:cs="Times New Roman"/>
          <w:i/>
        </w:rPr>
        <w:t>i</w:t>
      </w:r>
      <w:r w:rsidRPr="00D5269A">
        <w:rPr>
          <w:rFonts w:cs="Times New Roman"/>
        </w:rPr>
        <w:t>) to impose the lesser punishment, regardless of whether the judge considers a more onerous punishment to be fit and proportionate.</w:t>
      </w:r>
    </w:p>
    <w:p w:rsidR="000738FC" w:rsidRPr="00D5269A" w:rsidRDefault="000738FC" w:rsidP="000738FC">
      <w:pPr>
        <w:pStyle w:val="ParaNoNdepar-AltN"/>
        <w:rPr>
          <w:rFonts w:cs="Times New Roman"/>
        </w:rPr>
      </w:pPr>
      <w:r w:rsidRPr="00D5269A">
        <w:rPr>
          <w:rFonts w:cs="Times New Roman"/>
        </w:rPr>
        <w:t xml:space="preserve">Where </w:t>
      </w:r>
      <w:r w:rsidR="003F05CD">
        <w:rPr>
          <w:rFonts w:cs="Times New Roman"/>
        </w:rPr>
        <w:t>the lesser punishment has built</w:t>
      </w:r>
      <w:r w:rsidR="003F05CD" w:rsidRPr="00A215D4">
        <w:rPr>
          <w:lang w:val="en-US"/>
        </w:rPr>
        <w:noBreakHyphen/>
      </w:r>
      <w:r w:rsidRPr="00D5269A">
        <w:rPr>
          <w:rFonts w:cs="Times New Roman"/>
        </w:rPr>
        <w:t xml:space="preserve">in criteria that the offender must meet to qualify for the punishment, receiving the benefit of that punishment means, at a minimum, having the court consider the punishment. If the court finds that the offender meets the criteria, the offender becomes entitled to that punishment. This was demonstrated in </w:t>
      </w:r>
      <w:r w:rsidRPr="00D5269A">
        <w:rPr>
          <w:rFonts w:cs="Times New Roman"/>
          <w:i/>
        </w:rPr>
        <w:t>Johnson</w:t>
      </w:r>
      <w:r w:rsidRPr="00D5269A">
        <w:rPr>
          <w:rFonts w:cs="Times New Roman"/>
        </w:rPr>
        <w:t>,</w:t>
      </w:r>
      <w:r w:rsidRPr="00D5269A">
        <w:rPr>
          <w:rFonts w:cs="Times New Roman"/>
          <w:i/>
        </w:rPr>
        <w:t xml:space="preserve"> </w:t>
      </w:r>
      <w:r w:rsidRPr="00D5269A">
        <w:rPr>
          <w:rFonts w:cs="Times New Roman"/>
        </w:rPr>
        <w:t>in which this Court held that s.</w:t>
      </w:r>
      <w:r w:rsidR="008E1204">
        <w:rPr>
          <w:rFonts w:cs="Times New Roman"/>
        </w:rPr>
        <w:t> </w:t>
      </w:r>
      <w:r w:rsidRPr="00D5269A">
        <w:rPr>
          <w:rFonts w:cs="Times New Roman"/>
        </w:rPr>
        <w:t>11(</w:t>
      </w:r>
      <w:r w:rsidRPr="00D5269A">
        <w:rPr>
          <w:rFonts w:cs="Times New Roman"/>
          <w:i/>
        </w:rPr>
        <w:t>i</w:t>
      </w:r>
      <w:r w:rsidRPr="00D5269A">
        <w:rPr>
          <w:rFonts w:cs="Times New Roman"/>
        </w:rPr>
        <w:t>) obliged the sentencing judges to consider whether the offenders satisfied the criteria of the newer, more favourable long</w:t>
      </w:r>
      <w:r w:rsidR="003F05CD" w:rsidRPr="00A215D4">
        <w:rPr>
          <w:lang w:val="en-US"/>
        </w:rPr>
        <w:noBreakHyphen/>
      </w:r>
      <w:r w:rsidRPr="00D5269A">
        <w:rPr>
          <w:rFonts w:cs="Times New Roman"/>
        </w:rPr>
        <w:t>term offender regime, before automatically applying the harsher dangerous offender regime already in place when the offenders committed their offences. If the offenders satisfied the criteria of the long</w:t>
      </w:r>
      <w:r w:rsidR="003F05CD" w:rsidRPr="00A215D4">
        <w:rPr>
          <w:lang w:val="en-US"/>
        </w:rPr>
        <w:noBreakHyphen/>
      </w:r>
      <w:r w:rsidRPr="00D5269A">
        <w:rPr>
          <w:rFonts w:cs="Times New Roman"/>
        </w:rPr>
        <w:t>term offender regime, they were entitled to long</w:t>
      </w:r>
      <w:r w:rsidR="003F05CD" w:rsidRPr="00A215D4">
        <w:rPr>
          <w:lang w:val="en-US"/>
        </w:rPr>
        <w:noBreakHyphen/>
      </w:r>
      <w:r w:rsidRPr="00D5269A">
        <w:rPr>
          <w:rFonts w:cs="Times New Roman"/>
        </w:rPr>
        <w:t>term supervision orders as long</w:t>
      </w:r>
      <w:r w:rsidR="003F05CD" w:rsidRPr="00A215D4">
        <w:rPr>
          <w:lang w:val="en-US"/>
        </w:rPr>
        <w:noBreakHyphen/>
      </w:r>
      <w:r w:rsidRPr="00D5269A">
        <w:rPr>
          <w:rFonts w:cs="Times New Roman"/>
        </w:rPr>
        <w:t>term offenders following determinate periods of incarceration, instead of indeterminate detention as dangerous offen</w:t>
      </w:r>
      <w:r w:rsidR="00425F22">
        <w:rPr>
          <w:rFonts w:cs="Times New Roman"/>
        </w:rPr>
        <w:t>ders (para. 45).</w:t>
      </w:r>
    </w:p>
    <w:p w:rsidR="000738FC" w:rsidRPr="00D5269A" w:rsidRDefault="000738FC" w:rsidP="000738FC">
      <w:pPr>
        <w:pStyle w:val="ParaNoNdepar-AltN"/>
        <w:rPr>
          <w:rFonts w:cs="Times New Roman"/>
        </w:rPr>
      </w:pPr>
      <w:r w:rsidRPr="00D5269A">
        <w:rPr>
          <w:rFonts w:cs="Times New Roman"/>
        </w:rPr>
        <w:lastRenderedPageBreak/>
        <w:t>Notabl</w:t>
      </w:r>
      <w:r w:rsidR="00596B18">
        <w:rPr>
          <w:rFonts w:cs="Times New Roman"/>
        </w:rPr>
        <w:t>y, the punishment sought by Mr. </w:t>
      </w:r>
      <w:r w:rsidRPr="00D5269A">
        <w:rPr>
          <w:rFonts w:cs="Times New Roman"/>
        </w:rPr>
        <w:t>Poulin in this case, a conditional sentence, i</w:t>
      </w:r>
      <w:r w:rsidR="003F05CD">
        <w:rPr>
          <w:rFonts w:cs="Times New Roman"/>
        </w:rPr>
        <w:t>s a form of sentence with built</w:t>
      </w:r>
      <w:r w:rsidR="003F05CD" w:rsidRPr="00A215D4">
        <w:rPr>
          <w:lang w:val="en-US"/>
        </w:rPr>
        <w:noBreakHyphen/>
      </w:r>
      <w:r w:rsidRPr="00D5269A">
        <w:rPr>
          <w:rFonts w:cs="Times New Roman"/>
        </w:rPr>
        <w:t xml:space="preserve">in prerequisites and criteria (see </w:t>
      </w:r>
      <w:r w:rsidRPr="00D5269A">
        <w:rPr>
          <w:rFonts w:cs="Times New Roman"/>
          <w:i/>
        </w:rPr>
        <w:t>Criminal Code</w:t>
      </w:r>
      <w:r w:rsidRPr="00D5269A">
        <w:rPr>
          <w:rFonts w:cs="Times New Roman"/>
        </w:rPr>
        <w:t>,</w:t>
      </w:r>
      <w:r w:rsidRPr="00D5269A">
        <w:rPr>
          <w:rFonts w:cs="Times New Roman"/>
          <w:i/>
        </w:rPr>
        <w:t xml:space="preserve"> </w:t>
      </w:r>
      <w:r w:rsidRPr="00D5269A">
        <w:rPr>
          <w:rFonts w:cs="Times New Roman"/>
        </w:rPr>
        <w:t>s. 742.1, and, in particular, para.</w:t>
      </w:r>
      <w:r w:rsidR="00152758">
        <w:rPr>
          <w:rFonts w:cs="Times New Roman"/>
        </w:rPr>
        <w:t> </w:t>
      </w:r>
      <w:r w:rsidRPr="00D5269A">
        <w:rPr>
          <w:rFonts w:cs="Times New Roman"/>
        </w:rPr>
        <w:t xml:space="preserve">(a); see also </w:t>
      </w:r>
      <w:r w:rsidRPr="00D5269A">
        <w:rPr>
          <w:rFonts w:cs="Times New Roman"/>
          <w:i/>
        </w:rPr>
        <w:t>R. v. R.A.R.</w:t>
      </w:r>
      <w:r w:rsidRPr="00D5269A">
        <w:rPr>
          <w:rFonts w:cs="Times New Roman"/>
        </w:rPr>
        <w:t>,</w:t>
      </w:r>
      <w:r w:rsidRPr="00D5269A">
        <w:rPr>
          <w:rFonts w:cs="Times New Roman"/>
          <w:i/>
        </w:rPr>
        <w:t xml:space="preserve"> </w:t>
      </w:r>
      <w:r w:rsidRPr="00D5269A">
        <w:rPr>
          <w:rFonts w:cs="Times New Roman"/>
        </w:rPr>
        <w:t>2000 SCC 8,</w:t>
      </w:r>
      <w:r w:rsidRPr="00D5269A">
        <w:rPr>
          <w:rFonts w:cs="Times New Roman"/>
          <w:i/>
        </w:rPr>
        <w:t xml:space="preserve"> </w:t>
      </w:r>
      <w:r w:rsidR="008F6D20">
        <w:rPr>
          <w:rFonts w:cs="Times New Roman"/>
        </w:rPr>
        <w:t>[2000] 1 S.C.R. 163, at paras. </w:t>
      </w:r>
      <w:r w:rsidR="003F05CD">
        <w:rPr>
          <w:rFonts w:cs="Times New Roman"/>
        </w:rPr>
        <w:t>14</w:t>
      </w:r>
      <w:r w:rsidR="003F05CD" w:rsidRPr="00A215D4">
        <w:rPr>
          <w:lang w:val="en-US"/>
        </w:rPr>
        <w:noBreakHyphen/>
      </w:r>
      <w:r w:rsidRPr="00D5269A">
        <w:rPr>
          <w:rFonts w:cs="Times New Roman"/>
        </w:rPr>
        <w:t>16 and 25). Therefore, if this sentence were applicable to Mr. Poulin (which I find it is not), and if it were found to consti</w:t>
      </w:r>
      <w:r w:rsidR="00596B18">
        <w:rPr>
          <w:rFonts w:cs="Times New Roman"/>
        </w:rPr>
        <w:t>tute the lesser punishment, Mr. </w:t>
      </w:r>
      <w:r w:rsidRPr="00D5269A">
        <w:rPr>
          <w:rFonts w:cs="Times New Roman"/>
        </w:rPr>
        <w:t>Poulin would only be entitled to it if the sentencing judge found that Mr.</w:t>
      </w:r>
      <w:r w:rsidR="00596B18">
        <w:rPr>
          <w:rFonts w:cs="Times New Roman"/>
        </w:rPr>
        <w:t> </w:t>
      </w:r>
      <w:r w:rsidRPr="00D5269A">
        <w:rPr>
          <w:rFonts w:cs="Times New Roman"/>
        </w:rPr>
        <w:t xml:space="preserve">Poulin met the relevant statutory criteria. </w:t>
      </w:r>
    </w:p>
    <w:p w:rsidR="000738FC" w:rsidRPr="00D5269A" w:rsidRDefault="000738FC" w:rsidP="000738FC">
      <w:pPr>
        <w:pStyle w:val="ParaNoNdepar-AltN"/>
        <w:rPr>
          <w:rFonts w:cs="Times New Roman"/>
        </w:rPr>
      </w:pPr>
      <w:r w:rsidRPr="00D5269A">
        <w:rPr>
          <w:rFonts w:cs="Times New Roman"/>
        </w:rPr>
        <w:t xml:space="preserve">Finally, where the punishments being compared are qualitatively different versions of a provision or sentencing regime, receiving the benefit of the lesser punishment means being sentenced under the more favourable provision or regime. Thus, in </w:t>
      </w:r>
      <w:r w:rsidRPr="00D5269A">
        <w:rPr>
          <w:rFonts w:cs="Times New Roman"/>
          <w:i/>
        </w:rPr>
        <w:t>K.R.J.</w:t>
      </w:r>
      <w:r w:rsidRPr="00D5269A">
        <w:rPr>
          <w:rFonts w:cs="Times New Roman"/>
        </w:rPr>
        <w:t>,</w:t>
      </w:r>
      <w:r w:rsidRPr="00D5269A">
        <w:rPr>
          <w:rFonts w:cs="Times New Roman"/>
          <w:i/>
        </w:rPr>
        <w:t xml:space="preserve"> </w:t>
      </w:r>
      <w:r w:rsidRPr="00D5269A">
        <w:rPr>
          <w:rFonts w:cs="Times New Roman"/>
        </w:rPr>
        <w:t xml:space="preserve">the order prohibiting the offender from communicating with children had to conform with the version of s. 161(1)(c) of the </w:t>
      </w:r>
      <w:r w:rsidRPr="00D5269A">
        <w:rPr>
          <w:rFonts w:cs="Times New Roman"/>
          <w:i/>
        </w:rPr>
        <w:t xml:space="preserve">Criminal Code </w:t>
      </w:r>
      <w:r w:rsidRPr="00D5269A">
        <w:rPr>
          <w:rFonts w:cs="Times New Roman"/>
        </w:rPr>
        <w:t>in force at the time of K.R.J</w:t>
      </w:r>
      <w:r w:rsidR="00052A73">
        <w:rPr>
          <w:rFonts w:cs="Times New Roman"/>
        </w:rPr>
        <w:t>.</w:t>
      </w:r>
      <w:r w:rsidRPr="00D5269A">
        <w:rPr>
          <w:rFonts w:cs="Times New Roman"/>
        </w:rPr>
        <w:t>’s offence, not the version in force when he was sentenced, which was more restrictive of liberty (paras.</w:t>
      </w:r>
      <w:r w:rsidR="00212B66">
        <w:rPr>
          <w:rFonts w:cs="Times New Roman"/>
        </w:rPr>
        <w:t> </w:t>
      </w:r>
      <w:r w:rsidRPr="00D5269A">
        <w:rPr>
          <w:rFonts w:cs="Times New Roman"/>
        </w:rPr>
        <w:t xml:space="preserve">57 and 115). Similarly, in </w:t>
      </w:r>
      <w:r w:rsidRPr="00D5269A">
        <w:rPr>
          <w:rFonts w:cs="Times New Roman"/>
          <w:i/>
        </w:rPr>
        <w:t>Liang</w:t>
      </w:r>
      <w:r w:rsidRPr="00D5269A">
        <w:rPr>
          <w:rFonts w:cs="Times New Roman"/>
        </w:rPr>
        <w:t xml:space="preserve">, the Court of Appeal held that the offenders were entitled to access the automatic, accelerated parole review (“APR”) process that was applicable to them and their offences when they committed </w:t>
      </w:r>
      <w:r w:rsidR="00323997">
        <w:rPr>
          <w:rFonts w:cs="Times New Roman"/>
        </w:rPr>
        <w:t>those offences. By virtue of s. </w:t>
      </w:r>
      <w:r w:rsidRPr="00D5269A">
        <w:rPr>
          <w:rFonts w:cs="Times New Roman"/>
        </w:rPr>
        <w:t>11(</w:t>
      </w:r>
      <w:r w:rsidRPr="00D5269A">
        <w:rPr>
          <w:rFonts w:cs="Times New Roman"/>
          <w:i/>
        </w:rPr>
        <w:t>i</w:t>
      </w:r>
      <w:r w:rsidRPr="00D5269A">
        <w:rPr>
          <w:rFonts w:cs="Times New Roman"/>
        </w:rPr>
        <w:t xml:space="preserve">), the offenders could not be subjected to the more restrictive parole eligibility rules that had replaced the APR regime (see also </w:t>
      </w:r>
      <w:r w:rsidRPr="00D5269A">
        <w:rPr>
          <w:rFonts w:cs="Times New Roman"/>
          <w:i/>
        </w:rPr>
        <w:t>Canada</w:t>
      </w:r>
      <w:r w:rsidRPr="00D5269A">
        <w:rPr>
          <w:rFonts w:cs="Times New Roman"/>
        </w:rPr>
        <w:t xml:space="preserve"> </w:t>
      </w:r>
      <w:r w:rsidRPr="00D5269A">
        <w:rPr>
          <w:rFonts w:cs="Times New Roman"/>
          <w:i/>
        </w:rPr>
        <w:t>(Attorney General) v. Lewis</w:t>
      </w:r>
      <w:r w:rsidRPr="00D5269A">
        <w:rPr>
          <w:rFonts w:cs="Times New Roman"/>
        </w:rPr>
        <w:t>,</w:t>
      </w:r>
      <w:r w:rsidRPr="00D5269A">
        <w:rPr>
          <w:rFonts w:cs="Times New Roman"/>
          <w:i/>
        </w:rPr>
        <w:t xml:space="preserve"> </w:t>
      </w:r>
      <w:r w:rsidRPr="00D5269A">
        <w:rPr>
          <w:rFonts w:cs="Times New Roman"/>
        </w:rPr>
        <w:t xml:space="preserve">2015 ONCA 379, 126 O.R. (3d) 289, and </w:t>
      </w:r>
      <w:r w:rsidRPr="00D5269A">
        <w:rPr>
          <w:rFonts w:cs="Times New Roman"/>
          <w:i/>
        </w:rPr>
        <w:t>Nucci v. Canada (Attorney General)</w:t>
      </w:r>
      <w:r w:rsidRPr="00D5269A">
        <w:rPr>
          <w:rFonts w:cs="Times New Roman"/>
        </w:rPr>
        <w:t>,</w:t>
      </w:r>
      <w:r w:rsidRPr="00D5269A">
        <w:rPr>
          <w:rFonts w:cs="Times New Roman"/>
          <w:i/>
        </w:rPr>
        <w:t xml:space="preserve"> </w:t>
      </w:r>
      <w:r w:rsidRPr="00D5269A">
        <w:rPr>
          <w:rFonts w:cs="Times New Roman"/>
        </w:rPr>
        <w:t>20</w:t>
      </w:r>
      <w:r w:rsidR="005E7A22">
        <w:rPr>
          <w:rFonts w:cs="Times New Roman"/>
        </w:rPr>
        <w:t>15 MBCA 122, 333 C.C.C. (3d) 221</w:t>
      </w:r>
      <w:r w:rsidRPr="00D5269A">
        <w:rPr>
          <w:rFonts w:cs="Times New Roman"/>
        </w:rPr>
        <w:t xml:space="preserve">, which follow </w:t>
      </w:r>
      <w:r w:rsidRPr="00D5269A">
        <w:rPr>
          <w:rFonts w:cs="Times New Roman"/>
          <w:i/>
        </w:rPr>
        <w:t>Liang</w:t>
      </w:r>
      <w:r w:rsidRPr="00D5269A">
        <w:rPr>
          <w:rFonts w:cs="Times New Roman"/>
        </w:rPr>
        <w:t>).</w:t>
      </w:r>
    </w:p>
    <w:p w:rsidR="000738FC" w:rsidRPr="00D5269A" w:rsidRDefault="000738FC" w:rsidP="000738FC">
      <w:pPr>
        <w:pStyle w:val="ParaNoNdepar-AltN"/>
        <w:rPr>
          <w:rFonts w:cs="Times New Roman"/>
        </w:rPr>
      </w:pPr>
      <w:r w:rsidRPr="00D5269A">
        <w:rPr>
          <w:rFonts w:cs="Times New Roman"/>
        </w:rPr>
        <w:lastRenderedPageBreak/>
        <w:t>Crucially, and as a number of these examples illustrate, granting the offender the benefit of the lesser punishment does not simply equate to providing the court with an additional sentencing option (or additional sentencing options) to consider</w:t>
      </w:r>
      <w:r w:rsidRPr="0030489E">
        <w:rPr>
          <w:rFonts w:cs="Times New Roman"/>
        </w:rPr>
        <w:t xml:space="preserve">. </w:t>
      </w:r>
      <w:r w:rsidR="009C3B27">
        <w:rPr>
          <w:rFonts w:cs="Times New Roman"/>
        </w:rPr>
        <w:t>Rather, s. </w:t>
      </w:r>
      <w:r w:rsidRPr="00D5269A">
        <w:rPr>
          <w:rFonts w:cs="Times New Roman"/>
        </w:rPr>
        <w:t>11(</w:t>
      </w:r>
      <w:r w:rsidRPr="00D5269A">
        <w:rPr>
          <w:rFonts w:cs="Times New Roman"/>
          <w:i/>
        </w:rPr>
        <w:t>i</w:t>
      </w:r>
      <w:r w:rsidRPr="00D5269A">
        <w:rPr>
          <w:rFonts w:cs="Times New Roman"/>
        </w:rPr>
        <w:t>) redefines and delimits the scope of the court’s options. It sets the parameters in which the sentencing court is permitted to operate. Those parameters are determined by the lesser punishment. Therefore, instead of lengthening the list of available punishments, a global approach to s.</w:t>
      </w:r>
      <w:r w:rsidR="00FB1551">
        <w:rPr>
          <w:rFonts w:cs="Times New Roman"/>
        </w:rPr>
        <w:t> </w:t>
      </w:r>
      <w:r w:rsidRPr="00D5269A">
        <w:rPr>
          <w:rFonts w:cs="Times New Roman"/>
        </w:rPr>
        <w:t>11(</w:t>
      </w:r>
      <w:r w:rsidRPr="00D5269A">
        <w:rPr>
          <w:rFonts w:cs="Times New Roman"/>
          <w:i/>
        </w:rPr>
        <w:t>i</w:t>
      </w:r>
      <w:r w:rsidRPr="00D5269A">
        <w:rPr>
          <w:rFonts w:cs="Times New Roman"/>
        </w:rPr>
        <w:t xml:space="preserve">) would winnow down the sentencing court’s options to those contained within the least onerous punishment on the books for the relevant offence since the offence’s commission. Of course, if this “least” punishment involved criteria which the offender did not meet, a global approach to </w:t>
      </w:r>
      <w:r w:rsidR="007F4AD9">
        <w:rPr>
          <w:rFonts w:cs="Times New Roman"/>
        </w:rPr>
        <w:t>s. </w:t>
      </w:r>
      <w:r w:rsidRPr="00D5269A">
        <w:rPr>
          <w:rFonts w:cs="Times New Roman"/>
        </w:rPr>
        <w:t>11(</w:t>
      </w:r>
      <w:r w:rsidRPr="00D5269A">
        <w:rPr>
          <w:rFonts w:cs="Times New Roman"/>
          <w:i/>
        </w:rPr>
        <w:t>i</w:t>
      </w:r>
      <w:r w:rsidRPr="00D5269A">
        <w:rPr>
          <w:rFonts w:cs="Times New Roman"/>
        </w:rPr>
        <w:t>) would require the court to apply the “next least” punishm</w:t>
      </w:r>
      <w:r w:rsidR="007F4AD9">
        <w:rPr>
          <w:rFonts w:cs="Times New Roman"/>
        </w:rPr>
        <w:t>ent. In this sense, a global s. </w:t>
      </w:r>
      <w:r w:rsidRPr="00D5269A">
        <w:rPr>
          <w:rFonts w:cs="Times New Roman"/>
        </w:rPr>
        <w:t>11(</w:t>
      </w:r>
      <w:r w:rsidRPr="00D5269A">
        <w:rPr>
          <w:rFonts w:cs="Times New Roman"/>
          <w:i/>
        </w:rPr>
        <w:t>i</w:t>
      </w:r>
      <w:r w:rsidRPr="00D5269A">
        <w:rPr>
          <w:rFonts w:cs="Times New Roman"/>
        </w:rPr>
        <w:t xml:space="preserve">) right would also sometimes require the sentencing court to create a kind of “ranking” of the lowest punishments. </w:t>
      </w:r>
    </w:p>
    <w:p w:rsidR="000738FC" w:rsidRPr="00D5269A" w:rsidRDefault="000738FC" w:rsidP="000738FC">
      <w:pPr>
        <w:pStyle w:val="ParaNoNdepar-AltN"/>
        <w:rPr>
          <w:rFonts w:cs="Times New Roman"/>
        </w:rPr>
      </w:pPr>
      <w:r w:rsidRPr="00D5269A">
        <w:rPr>
          <w:rFonts w:cs="Times New Roman"/>
        </w:rPr>
        <w:t>Having itemized the four questions tha</w:t>
      </w:r>
      <w:r w:rsidR="000C437E">
        <w:rPr>
          <w:rFonts w:cs="Times New Roman"/>
        </w:rPr>
        <w:t>t arise when applying s. </w:t>
      </w:r>
      <w:r w:rsidRPr="00D5269A">
        <w:rPr>
          <w:rFonts w:cs="Times New Roman"/>
        </w:rPr>
        <w:t>11(</w:t>
      </w:r>
      <w:r w:rsidRPr="00D5269A">
        <w:rPr>
          <w:rFonts w:cs="Times New Roman"/>
          <w:i/>
        </w:rPr>
        <w:t>i</w:t>
      </w:r>
      <w:r w:rsidRPr="00D5269A">
        <w:rPr>
          <w:rFonts w:cs="Times New Roman"/>
        </w:rPr>
        <w:t>), I acknowledge that, generally speakin</w:t>
      </w:r>
      <w:r w:rsidR="000C437E">
        <w:rPr>
          <w:rFonts w:cs="Times New Roman"/>
        </w:rPr>
        <w:t>g, parties invoking a global s. </w:t>
      </w:r>
      <w:r w:rsidRPr="00D5269A">
        <w:rPr>
          <w:rFonts w:cs="Times New Roman"/>
        </w:rPr>
        <w:t>11(</w:t>
      </w:r>
      <w:r w:rsidRPr="00D5269A">
        <w:rPr>
          <w:rFonts w:cs="Times New Roman"/>
          <w:i/>
        </w:rPr>
        <w:t>i</w:t>
      </w:r>
      <w:r w:rsidRPr="00D5269A">
        <w:rPr>
          <w:rFonts w:cs="Times New Roman"/>
        </w:rPr>
        <w:t>) right have not systematically asked and answered them. Instead, the offender has typically requested and received a particular lesser punishment available at some time in the interval between the offence and sentencing. Indeed, this is what occurred</w:t>
      </w:r>
      <w:r w:rsidR="006654D7">
        <w:rPr>
          <w:rFonts w:cs="Times New Roman"/>
        </w:rPr>
        <w:t xml:space="preserve"> in Mr. </w:t>
      </w:r>
      <w:r w:rsidRPr="00D5269A">
        <w:rPr>
          <w:rFonts w:cs="Times New Roman"/>
        </w:rPr>
        <w:t>Poulin’s case. Rather than canvassing all of the sentencing measures available for his offence since he committed it, he proposed to the court a conditional sentence, presumably considering it to be the most favourable “lesser punishment”.</w:t>
      </w:r>
    </w:p>
    <w:p w:rsidR="000738FC" w:rsidRPr="00D5269A" w:rsidRDefault="000738FC" w:rsidP="000738FC">
      <w:pPr>
        <w:pStyle w:val="ParaNoNdepar-AltN"/>
        <w:rPr>
          <w:rFonts w:cs="Times New Roman"/>
        </w:rPr>
      </w:pPr>
      <w:r w:rsidRPr="00D5269A">
        <w:rPr>
          <w:rFonts w:cs="Times New Roman"/>
        </w:rPr>
        <w:lastRenderedPageBreak/>
        <w:t>However, this approach is not what the global interpretation of s.</w:t>
      </w:r>
      <w:r w:rsidR="008D7ED0">
        <w:rPr>
          <w:rFonts w:cs="Times New Roman"/>
        </w:rPr>
        <w:t> </w:t>
      </w:r>
      <w:r w:rsidRPr="00D5269A">
        <w:rPr>
          <w:rFonts w:cs="Times New Roman"/>
        </w:rPr>
        <w:t>11(</w:t>
      </w:r>
      <w:r w:rsidRPr="00D5269A">
        <w:rPr>
          <w:rFonts w:cs="Times New Roman"/>
          <w:i/>
        </w:rPr>
        <w:t>i</w:t>
      </w:r>
      <w:r w:rsidRPr="00D5269A">
        <w:rPr>
          <w:rFonts w:cs="Times New Roman"/>
        </w:rPr>
        <w:t>) contemplates. As the jurisprudence reviewed in this section reveals, under the global approach, the sentencing court cannot be satisfied that it has respected the offender’s constitutional right to receive “the benefit of the lesser punishment” unless it has canvassed and evaluated all of the relevant sentencing provisions and compared and contrasted all of the relevant “punishments”. The failure to do so may result in the offender being subjected to a harsher punishment than the one to which they are constitutionally entitle</w:t>
      </w:r>
      <w:r w:rsidR="008D5B90">
        <w:rPr>
          <w:rFonts w:cs="Times New Roman"/>
        </w:rPr>
        <w:t>d if a global approach to s. 11</w:t>
      </w:r>
      <w:r w:rsidRPr="00D5269A">
        <w:rPr>
          <w:rFonts w:cs="Times New Roman"/>
        </w:rPr>
        <w:t>(</w:t>
      </w:r>
      <w:r w:rsidRPr="00D5269A">
        <w:rPr>
          <w:rFonts w:cs="Times New Roman"/>
          <w:i/>
        </w:rPr>
        <w:t>i</w:t>
      </w:r>
      <w:r w:rsidR="0043289C">
        <w:rPr>
          <w:rFonts w:cs="Times New Roman"/>
        </w:rPr>
        <w:t>) is taken.</w:t>
      </w:r>
    </w:p>
    <w:p w:rsidR="000738FC" w:rsidRPr="00D5269A" w:rsidRDefault="000738FC" w:rsidP="000738FC">
      <w:pPr>
        <w:pStyle w:val="ParaNoNdepar-AltN"/>
        <w:rPr>
          <w:rFonts w:cs="Times New Roman"/>
        </w:rPr>
      </w:pPr>
      <w:r w:rsidRPr="00D5269A">
        <w:rPr>
          <w:rFonts w:cs="Times New Roman"/>
        </w:rPr>
        <w:t>In essence, the global approach posits that these numerous historical punishments be considered as potentially applicable sentences even though they bear no temporal relationship to the offender’s unlawful actions or the legal proceedings commenced against the offender in respect of those actions. If such an approach to s. 11(</w:t>
      </w:r>
      <w:r w:rsidRPr="00D5269A">
        <w:rPr>
          <w:rFonts w:cs="Times New Roman"/>
          <w:i/>
        </w:rPr>
        <w:t>i</w:t>
      </w:r>
      <w:r w:rsidRPr="00D5269A">
        <w:rPr>
          <w:rFonts w:cs="Times New Roman"/>
        </w:rPr>
        <w:t>) is to be adopted, it must be warranted by the right’s purposes. I now turn to those purposes.</w:t>
      </w:r>
    </w:p>
    <w:p w:rsidR="000738FC" w:rsidRPr="00D5269A" w:rsidRDefault="000738FC" w:rsidP="000738FC">
      <w:pPr>
        <w:pStyle w:val="Title3LevelTitre3Niveau"/>
        <w:rPr>
          <w:rFonts w:cs="Times New Roman"/>
        </w:rPr>
      </w:pPr>
      <w:bookmarkStart w:id="35" w:name="_Toc14423813"/>
      <w:bookmarkStart w:id="36" w:name="_Toc15313756"/>
      <w:bookmarkStart w:id="37" w:name="_Toc12005416"/>
      <w:r w:rsidRPr="00D5269A">
        <w:rPr>
          <w:rFonts w:cs="Times New Roman"/>
        </w:rPr>
        <w:t>Purposive Analysis</w:t>
      </w:r>
      <w:bookmarkEnd w:id="35"/>
      <w:bookmarkEnd w:id="36"/>
    </w:p>
    <w:p w:rsidR="000738FC" w:rsidRPr="00D5269A" w:rsidRDefault="000738FC" w:rsidP="000738FC">
      <w:pPr>
        <w:pStyle w:val="ParaNoNdepar-AltN"/>
        <w:rPr>
          <w:rFonts w:cs="Times New Roman"/>
        </w:rPr>
      </w:pPr>
      <w:r w:rsidRPr="00D5269A">
        <w:rPr>
          <w:rFonts w:cs="Times New Roman"/>
        </w:rPr>
        <w:t xml:space="preserve">As outlined above, a </w:t>
      </w:r>
      <w:r w:rsidRPr="00D5269A">
        <w:rPr>
          <w:rFonts w:cs="Times New Roman"/>
          <w:i/>
        </w:rPr>
        <w:t xml:space="preserve">Charter </w:t>
      </w:r>
      <w:r w:rsidRPr="00D5269A">
        <w:rPr>
          <w:rFonts w:cs="Times New Roman"/>
        </w:rPr>
        <w:t>right must be interpreted purposively — that is, in a manner that is justified by its purposes. This bears repeating because, as this Court has observed, “purposive” can be mistakenly conflated with “generous” (</w:t>
      </w:r>
      <w:r w:rsidRPr="00D5269A">
        <w:rPr>
          <w:rFonts w:cs="Times New Roman"/>
          <w:i/>
        </w:rPr>
        <w:t>R. v. Grant</w:t>
      </w:r>
      <w:r w:rsidRPr="00D5269A">
        <w:rPr>
          <w:rFonts w:cs="Times New Roman"/>
        </w:rPr>
        <w:t>, 2009 SCC 32, [2009] 2 S.C.R. 353, at para.</w:t>
      </w:r>
      <w:r w:rsidR="00EA317D">
        <w:rPr>
          <w:rFonts w:cs="Times New Roman"/>
        </w:rPr>
        <w:t> </w:t>
      </w:r>
      <w:r w:rsidRPr="00D5269A">
        <w:rPr>
          <w:rFonts w:cs="Times New Roman"/>
        </w:rPr>
        <w:t xml:space="preserve">17; see also P. W. Hogg, </w:t>
      </w:r>
      <w:r w:rsidRPr="00D5269A">
        <w:rPr>
          <w:rFonts w:cs="Times New Roman"/>
          <w:i/>
        </w:rPr>
        <w:t>Constitutional Law of Canada</w:t>
      </w:r>
      <w:r w:rsidRPr="00D5269A">
        <w:rPr>
          <w:rFonts w:cs="Times New Roman"/>
        </w:rPr>
        <w:t xml:space="preserve"> (</w:t>
      </w:r>
      <w:r w:rsidR="003F05CD">
        <w:rPr>
          <w:rFonts w:cs="Times New Roman"/>
        </w:rPr>
        <w:t>5th ed. Supp.)</w:t>
      </w:r>
      <w:r w:rsidR="00A372E2">
        <w:rPr>
          <w:rFonts w:cs="Times New Roman"/>
        </w:rPr>
        <w:t>,</w:t>
      </w:r>
      <w:r w:rsidR="003F05CD">
        <w:rPr>
          <w:rFonts w:cs="Times New Roman"/>
        </w:rPr>
        <w:t xml:space="preserve"> vol. 2, at p. 36</w:t>
      </w:r>
      <w:r w:rsidR="003F05CD" w:rsidRPr="00A215D4">
        <w:rPr>
          <w:lang w:val="en-US"/>
        </w:rPr>
        <w:noBreakHyphen/>
      </w:r>
      <w:r w:rsidRPr="00D5269A">
        <w:rPr>
          <w:rFonts w:cs="Times New Roman"/>
        </w:rPr>
        <w:t xml:space="preserve">30). This is despite this Court’s instruction in </w:t>
      </w:r>
      <w:r w:rsidRPr="00D5269A">
        <w:rPr>
          <w:rFonts w:cs="Times New Roman"/>
          <w:i/>
        </w:rPr>
        <w:t>Big M</w:t>
      </w:r>
      <w:r w:rsidRPr="00D5269A">
        <w:rPr>
          <w:rFonts w:cs="Times New Roman"/>
        </w:rPr>
        <w:t xml:space="preserve"> that, in applying a generous — rather than legalistic — </w:t>
      </w:r>
      <w:r w:rsidRPr="00D5269A">
        <w:rPr>
          <w:rFonts w:cs="Times New Roman"/>
        </w:rPr>
        <w:lastRenderedPageBreak/>
        <w:t xml:space="preserve">lens, “it is important not to overshoot the actual purpose of the right or freedom in question” (p. 344). As was reiterated in </w:t>
      </w:r>
      <w:r w:rsidRPr="00D5269A">
        <w:rPr>
          <w:rFonts w:cs="Times New Roman"/>
          <w:i/>
        </w:rPr>
        <w:t>Grant</w:t>
      </w:r>
      <w:r w:rsidRPr="00D5269A">
        <w:rPr>
          <w:rFonts w:cs="Times New Roman"/>
        </w:rPr>
        <w:t>, “[t]he purpose of a right must always be the dominant concern in its interpretation; generosity of interpretation is subordinate to and cons</w:t>
      </w:r>
      <w:r w:rsidR="005E684B">
        <w:rPr>
          <w:rFonts w:cs="Times New Roman"/>
        </w:rPr>
        <w:t>trained by that purpose” (para. </w:t>
      </w:r>
      <w:r w:rsidRPr="00D5269A">
        <w:rPr>
          <w:rFonts w:cs="Times New Roman"/>
        </w:rPr>
        <w:t>17). This is because an overly generous reading of a right risks protecting “behaviour that is outside the purpose and unworthy of constitu</w:t>
      </w:r>
      <w:r w:rsidR="00E11A22">
        <w:rPr>
          <w:rFonts w:cs="Times New Roman"/>
        </w:rPr>
        <w:t>tional protection” (Hogg, at p. </w:t>
      </w:r>
      <w:r w:rsidRPr="00D5269A">
        <w:rPr>
          <w:rFonts w:cs="Times New Roman"/>
        </w:rPr>
        <w:t>36</w:t>
      </w:r>
      <w:r w:rsidR="00E11A22" w:rsidRPr="00A215D4">
        <w:rPr>
          <w:lang w:val="en-US"/>
        </w:rPr>
        <w:noBreakHyphen/>
      </w:r>
      <w:r w:rsidRPr="00D5269A">
        <w:rPr>
          <w:rFonts w:cs="Times New Roman"/>
        </w:rPr>
        <w:t>30). Indeed, “[i]n the case of most rights .</w:t>
      </w:r>
      <w:r w:rsidR="00C63309">
        <w:rPr>
          <w:rFonts w:cs="Times New Roman"/>
        </w:rPr>
        <w:t> </w:t>
      </w:r>
      <w:r w:rsidRPr="00D5269A">
        <w:rPr>
          <w:rFonts w:cs="Times New Roman"/>
        </w:rPr>
        <w:t>.</w:t>
      </w:r>
      <w:r w:rsidR="00C63309">
        <w:rPr>
          <w:rFonts w:cs="Times New Roman"/>
        </w:rPr>
        <w:t> </w:t>
      </w:r>
      <w:r w:rsidRPr="00D5269A">
        <w:rPr>
          <w:rFonts w:cs="Times New Roman"/>
        </w:rPr>
        <w:t>. the widest possible reading of the right, which is the most generous interpretation, will ‘oversh</w:t>
      </w:r>
      <w:r w:rsidR="000D513D">
        <w:rPr>
          <w:rFonts w:cs="Times New Roman"/>
        </w:rPr>
        <w:t>oot’ the purpose of the right</w:t>
      </w:r>
      <w:r w:rsidR="00E11A22">
        <w:rPr>
          <w:rFonts w:cs="Times New Roman"/>
        </w:rPr>
        <w:t>” (</w:t>
      </w:r>
      <w:r w:rsidR="00A30617" w:rsidRPr="00A30617">
        <w:rPr>
          <w:rFonts w:cs="Times New Roman"/>
          <w:i/>
        </w:rPr>
        <w:t>ibid.</w:t>
      </w:r>
      <w:r w:rsidRPr="00D5269A">
        <w:rPr>
          <w:rFonts w:cs="Times New Roman"/>
        </w:rPr>
        <w:t>).</w:t>
      </w:r>
    </w:p>
    <w:p w:rsidR="000738FC" w:rsidRPr="00D5269A" w:rsidRDefault="000738FC" w:rsidP="000738FC">
      <w:pPr>
        <w:pStyle w:val="ParaNoNdepar-AltN"/>
        <w:rPr>
          <w:rFonts w:cs="Times New Roman"/>
        </w:rPr>
      </w:pPr>
      <w:r w:rsidRPr="00D5269A">
        <w:rPr>
          <w:rFonts w:cs="Times New Roman"/>
        </w:rPr>
        <w:t xml:space="preserve">Thus, while it has often been said that </w:t>
      </w:r>
      <w:r w:rsidRPr="00D5269A">
        <w:rPr>
          <w:rFonts w:cs="Times New Roman"/>
          <w:i/>
        </w:rPr>
        <w:t>Charter</w:t>
      </w:r>
      <w:r w:rsidRPr="00D5269A">
        <w:rPr>
          <w:rFonts w:cs="Times New Roman"/>
        </w:rPr>
        <w:t xml:space="preserve"> rights must be interpreted in a “large and liberal” manner, they are ultimately bounded by their purposes. Put differently, </w:t>
      </w:r>
      <w:r w:rsidRPr="00D5269A">
        <w:rPr>
          <w:rFonts w:cs="Times New Roman"/>
          <w:i/>
        </w:rPr>
        <w:t>Charter</w:t>
      </w:r>
      <w:r w:rsidRPr="00D5269A">
        <w:rPr>
          <w:rFonts w:cs="Times New Roman"/>
        </w:rPr>
        <w:t xml:space="preserve"> rights, includ</w:t>
      </w:r>
      <w:r w:rsidR="008673E2">
        <w:rPr>
          <w:rFonts w:cs="Times New Roman"/>
        </w:rPr>
        <w:t>ing s. </w:t>
      </w:r>
      <w:r w:rsidRPr="00D5269A">
        <w:rPr>
          <w:rFonts w:cs="Times New Roman"/>
        </w:rPr>
        <w:t>11(</w:t>
      </w:r>
      <w:r w:rsidRPr="00D5269A">
        <w:rPr>
          <w:rFonts w:cs="Times New Roman"/>
          <w:i/>
        </w:rPr>
        <w:t>i</w:t>
      </w:r>
      <w:r w:rsidRPr="00D5269A">
        <w:rPr>
          <w:rFonts w:cs="Times New Roman"/>
        </w:rPr>
        <w:t xml:space="preserve">), must be interpreted liberally within the limits that their purposes allow. This was acknowledged in </w:t>
      </w:r>
      <w:r w:rsidRPr="00D5269A">
        <w:rPr>
          <w:rFonts w:cs="Times New Roman"/>
          <w:i/>
        </w:rPr>
        <w:t>K.R.J.</w:t>
      </w:r>
      <w:r w:rsidRPr="00D5269A">
        <w:rPr>
          <w:rFonts w:cs="Times New Roman"/>
        </w:rPr>
        <w:t xml:space="preserve">, </w:t>
      </w:r>
      <w:r w:rsidR="000C24C5">
        <w:rPr>
          <w:rFonts w:cs="Times New Roman"/>
        </w:rPr>
        <w:t>in which the Court held that s. </w:t>
      </w:r>
      <w:r w:rsidRPr="00D5269A">
        <w:rPr>
          <w:rFonts w:cs="Times New Roman"/>
        </w:rPr>
        <w:t>11(</w:t>
      </w:r>
      <w:r w:rsidRPr="00D5269A">
        <w:rPr>
          <w:rFonts w:cs="Times New Roman"/>
          <w:i/>
        </w:rPr>
        <w:t>i</w:t>
      </w:r>
      <w:r w:rsidRPr="00D5269A">
        <w:rPr>
          <w:rFonts w:cs="Times New Roman"/>
        </w:rPr>
        <w:t xml:space="preserve">) warranted a “liberal </w:t>
      </w:r>
      <w:r w:rsidRPr="00D5269A">
        <w:rPr>
          <w:rFonts w:cs="Times New Roman"/>
          <w:i/>
          <w:u w:val="single"/>
        </w:rPr>
        <w:t>and</w:t>
      </w:r>
      <w:r w:rsidRPr="00D5269A">
        <w:rPr>
          <w:rFonts w:cs="Times New Roman"/>
          <w:u w:val="single"/>
        </w:rPr>
        <w:t xml:space="preserve"> purposive</w:t>
      </w:r>
      <w:r w:rsidRPr="00D5269A">
        <w:rPr>
          <w:rFonts w:cs="Times New Roman"/>
        </w:rPr>
        <w:t xml:space="preserve"> approach”</w:t>
      </w:r>
      <w:r w:rsidR="00672546">
        <w:rPr>
          <w:rFonts w:cs="Times New Roman"/>
        </w:rPr>
        <w:t xml:space="preserve"> (para. 37 (emphasis added))</w:t>
      </w:r>
      <w:r w:rsidRPr="00D5269A">
        <w:rPr>
          <w:rFonts w:cs="Times New Roman"/>
        </w:rPr>
        <w:t>. Indeed, in that case, the Court justified its liberal interpretation of the term “punishment” by l</w:t>
      </w:r>
      <w:r w:rsidR="000C24C5">
        <w:rPr>
          <w:rFonts w:cs="Times New Roman"/>
        </w:rPr>
        <w:t>inking it to the purposes of s. </w:t>
      </w:r>
      <w:r w:rsidRPr="00D5269A">
        <w:rPr>
          <w:rFonts w:cs="Times New Roman"/>
        </w:rPr>
        <w:t>11(</w:t>
      </w:r>
      <w:r w:rsidRPr="00D5269A">
        <w:rPr>
          <w:rFonts w:cs="Times New Roman"/>
          <w:i/>
        </w:rPr>
        <w:t>i</w:t>
      </w:r>
      <w:r w:rsidRPr="00D5269A">
        <w:rPr>
          <w:rFonts w:cs="Times New Roman"/>
        </w:rPr>
        <w:t xml:space="preserve">). The Court explained that the rule of </w:t>
      </w:r>
      <w:r w:rsidR="000C5F3A">
        <w:rPr>
          <w:rFonts w:cs="Times New Roman"/>
        </w:rPr>
        <w:t>law and fairness purposes of s. </w:t>
      </w:r>
      <w:r w:rsidRPr="00D5269A">
        <w:rPr>
          <w:rFonts w:cs="Times New Roman"/>
        </w:rPr>
        <w:t>11(</w:t>
      </w:r>
      <w:r w:rsidRPr="00D5269A">
        <w:rPr>
          <w:rFonts w:cs="Times New Roman"/>
          <w:i/>
        </w:rPr>
        <w:t>i</w:t>
      </w:r>
      <w:r w:rsidRPr="00D5269A">
        <w:rPr>
          <w:rFonts w:cs="Times New Roman"/>
        </w:rPr>
        <w:t xml:space="preserve">) would, in fact, be “compromised” if a liberal interpretation of “punishment” were not adopted </w:t>
      </w:r>
      <w:r w:rsidR="004054B6">
        <w:rPr>
          <w:rFonts w:cs="Times New Roman"/>
        </w:rPr>
        <w:t>(para. </w:t>
      </w:r>
      <w:r w:rsidRPr="00D5269A">
        <w:rPr>
          <w:rFonts w:cs="Times New Roman"/>
        </w:rPr>
        <w:t xml:space="preserve">37). Similarly, in </w:t>
      </w:r>
      <w:r w:rsidRPr="00D5269A">
        <w:rPr>
          <w:rFonts w:cs="Times New Roman"/>
          <w:i/>
        </w:rPr>
        <w:t>R. v. Sinclair</w:t>
      </w:r>
      <w:r w:rsidRPr="00D5269A">
        <w:rPr>
          <w:rFonts w:cs="Times New Roman"/>
        </w:rPr>
        <w:t>, 2010 SCC 35, [2010] 2 S.C.R. 310, a majority of this Court held that the right in s. 10(</w:t>
      </w:r>
      <w:r w:rsidRPr="00D5269A">
        <w:rPr>
          <w:rFonts w:cs="Times New Roman"/>
          <w:i/>
        </w:rPr>
        <w:t>b</w:t>
      </w:r>
      <w:r w:rsidRPr="00D5269A">
        <w:rPr>
          <w:rFonts w:cs="Times New Roman"/>
        </w:rPr>
        <w:t xml:space="preserve">) of the </w:t>
      </w:r>
      <w:r w:rsidRPr="00D5269A">
        <w:rPr>
          <w:rFonts w:cs="Times New Roman"/>
          <w:i/>
        </w:rPr>
        <w:t>Charter</w:t>
      </w:r>
      <w:r w:rsidRPr="00D5269A">
        <w:rPr>
          <w:rFonts w:cs="Times New Roman"/>
        </w:rPr>
        <w:t xml:space="preserve"> “to retain and instruct counsel” upon arrest or detention does not grant detainees the right to suspend their police interrogations to consult counsel upon reasonable request. The majority rejected thi</w:t>
      </w:r>
      <w:r w:rsidR="00E11A22">
        <w:rPr>
          <w:rFonts w:cs="Times New Roman"/>
        </w:rPr>
        <w:t>s generous interpretation of s. </w:t>
      </w:r>
      <w:r w:rsidRPr="00D5269A">
        <w:rPr>
          <w:rFonts w:cs="Times New Roman"/>
        </w:rPr>
        <w:t>10(</w:t>
      </w:r>
      <w:r w:rsidRPr="00D5269A">
        <w:rPr>
          <w:rFonts w:cs="Times New Roman"/>
          <w:i/>
        </w:rPr>
        <w:t>b</w:t>
      </w:r>
      <w:r w:rsidRPr="00D5269A">
        <w:rPr>
          <w:rFonts w:cs="Times New Roman"/>
        </w:rPr>
        <w:t>) as the purpose of the right did not warrant it (</w:t>
      </w:r>
      <w:r w:rsidRPr="00D5269A">
        <w:rPr>
          <w:rFonts w:cs="Times New Roman"/>
          <w:i/>
        </w:rPr>
        <w:t>Sinclair</w:t>
      </w:r>
      <w:r w:rsidRPr="00D5269A">
        <w:rPr>
          <w:rFonts w:cs="Times New Roman"/>
        </w:rPr>
        <w:t>,</w:t>
      </w:r>
      <w:r w:rsidRPr="00D5269A">
        <w:rPr>
          <w:rFonts w:cs="Times New Roman"/>
          <w:i/>
        </w:rPr>
        <w:t xml:space="preserve"> </w:t>
      </w:r>
      <w:r w:rsidR="004E1EFA">
        <w:rPr>
          <w:rFonts w:cs="Times New Roman"/>
        </w:rPr>
        <w:t>at paras. </w:t>
      </w:r>
      <w:r w:rsidR="00E11A22">
        <w:rPr>
          <w:rFonts w:cs="Times New Roman"/>
        </w:rPr>
        <w:t>36 and 56</w:t>
      </w:r>
      <w:r w:rsidR="00E11A22" w:rsidRPr="00A215D4">
        <w:rPr>
          <w:lang w:val="en-US"/>
        </w:rPr>
        <w:noBreakHyphen/>
      </w:r>
      <w:r w:rsidRPr="00D5269A">
        <w:rPr>
          <w:rFonts w:cs="Times New Roman"/>
        </w:rPr>
        <w:t xml:space="preserve">57). Rather, the </w:t>
      </w:r>
      <w:r w:rsidRPr="00D5269A">
        <w:rPr>
          <w:rFonts w:cs="Times New Roman"/>
        </w:rPr>
        <w:lastRenderedPageBreak/>
        <w:t>purpose of s.</w:t>
      </w:r>
      <w:r w:rsidR="00E11A22">
        <w:rPr>
          <w:rFonts w:cs="Times New Roman"/>
        </w:rPr>
        <w:t> </w:t>
      </w:r>
      <w:r w:rsidRPr="00D5269A">
        <w:rPr>
          <w:rFonts w:cs="Times New Roman"/>
        </w:rPr>
        <w:t>10(</w:t>
      </w:r>
      <w:r w:rsidRPr="00D5269A">
        <w:rPr>
          <w:rFonts w:cs="Times New Roman"/>
          <w:i/>
        </w:rPr>
        <w:t>b</w:t>
      </w:r>
      <w:r w:rsidRPr="00D5269A">
        <w:rPr>
          <w:rFonts w:cs="Times New Roman"/>
        </w:rPr>
        <w:t xml:space="preserve">) was satisfied by a more measured reading of the right, which permits detainees under interrogation to consult counsel anew when a change of circumstances in the course of the investigation justifies consultation. </w:t>
      </w:r>
    </w:p>
    <w:p w:rsidR="000738FC" w:rsidRPr="00D5269A" w:rsidRDefault="000738FC" w:rsidP="000738FC">
      <w:pPr>
        <w:pStyle w:val="ParaNoNdepar-AltN"/>
        <w:rPr>
          <w:rFonts w:cs="Times New Roman"/>
        </w:rPr>
      </w:pPr>
      <w:r w:rsidRPr="00D5269A">
        <w:rPr>
          <w:rFonts w:cs="Times New Roman"/>
        </w:rPr>
        <w:t>In my respectful view, courts that have given s.</w:t>
      </w:r>
      <w:r w:rsidR="004C00F4">
        <w:rPr>
          <w:rFonts w:cs="Times New Roman"/>
        </w:rPr>
        <w:t> </w:t>
      </w:r>
      <w:r w:rsidRPr="00D5269A">
        <w:rPr>
          <w:rFonts w:cs="Times New Roman"/>
        </w:rPr>
        <w:t>11(</w:t>
      </w:r>
      <w:r w:rsidRPr="00D5269A">
        <w:rPr>
          <w:rFonts w:cs="Times New Roman"/>
          <w:i/>
        </w:rPr>
        <w:t>i</w:t>
      </w:r>
      <w:r w:rsidRPr="00D5269A">
        <w:rPr>
          <w:rFonts w:cs="Times New Roman"/>
        </w:rPr>
        <w:t xml:space="preserve">) a global reading have fallen into the error identified in </w:t>
      </w:r>
      <w:r w:rsidRPr="00D5269A">
        <w:rPr>
          <w:rFonts w:cs="Times New Roman"/>
          <w:i/>
        </w:rPr>
        <w:t xml:space="preserve">Grant </w:t>
      </w:r>
      <w:r w:rsidRPr="00D5269A">
        <w:rPr>
          <w:rFonts w:cs="Times New Roman"/>
        </w:rPr>
        <w:t>of prioritizing generosity over purpose. Rather than identifying the princ</w:t>
      </w:r>
      <w:r w:rsidR="004C00F4">
        <w:rPr>
          <w:rFonts w:cs="Times New Roman"/>
        </w:rPr>
        <w:t>iples or purposes underlying s. </w:t>
      </w:r>
      <w:r w:rsidRPr="00D5269A">
        <w:rPr>
          <w:rFonts w:cs="Times New Roman"/>
        </w:rPr>
        <w:t>11(</w:t>
      </w:r>
      <w:r w:rsidRPr="00D5269A">
        <w:rPr>
          <w:rFonts w:cs="Times New Roman"/>
          <w:i/>
        </w:rPr>
        <w:t>i</w:t>
      </w:r>
      <w:r w:rsidRPr="00D5269A">
        <w:rPr>
          <w:rFonts w:cs="Times New Roman"/>
        </w:rPr>
        <w:t>), the</w:t>
      </w:r>
      <w:r w:rsidR="004C00F4">
        <w:rPr>
          <w:rFonts w:cs="Times New Roman"/>
        </w:rPr>
        <w:t>y have simply concluded that s. </w:t>
      </w:r>
      <w:r w:rsidRPr="00D5269A">
        <w:rPr>
          <w:rFonts w:cs="Times New Roman"/>
        </w:rPr>
        <w:t>11(</w:t>
      </w:r>
      <w:r w:rsidRPr="00D5269A">
        <w:rPr>
          <w:rFonts w:cs="Times New Roman"/>
          <w:i/>
        </w:rPr>
        <w:t>i</w:t>
      </w:r>
      <w:r w:rsidRPr="00D5269A">
        <w:rPr>
          <w:rFonts w:cs="Times New Roman"/>
        </w:rPr>
        <w:t xml:space="preserve">) should be given the interpretation most generous to the accused, which they have called the liberal interpretation (see </w:t>
      </w:r>
      <w:r w:rsidRPr="00D5269A">
        <w:rPr>
          <w:rFonts w:cs="Times New Roman"/>
          <w:i/>
        </w:rPr>
        <w:t>Yusuf</w:t>
      </w:r>
      <w:r w:rsidR="00827A2D">
        <w:rPr>
          <w:rFonts w:cs="Times New Roman"/>
        </w:rPr>
        <w:t>, at para. </w:t>
      </w:r>
      <w:r w:rsidRPr="00D5269A">
        <w:rPr>
          <w:rFonts w:cs="Times New Roman"/>
        </w:rPr>
        <w:t xml:space="preserve">30 (CanLII); </w:t>
      </w:r>
      <w:r w:rsidRPr="00D5269A">
        <w:rPr>
          <w:rFonts w:cs="Times New Roman"/>
          <w:i/>
        </w:rPr>
        <w:t>Mehanmal</w:t>
      </w:r>
      <w:r w:rsidR="00E27B4B">
        <w:rPr>
          <w:rFonts w:cs="Times New Roman"/>
        </w:rPr>
        <w:t>, at paras. </w:t>
      </w:r>
      <w:r w:rsidR="00E11A22">
        <w:rPr>
          <w:rFonts w:cs="Times New Roman"/>
        </w:rPr>
        <w:t>75</w:t>
      </w:r>
      <w:r w:rsidR="00E11A22" w:rsidRPr="00A215D4">
        <w:rPr>
          <w:lang w:val="en-US"/>
        </w:rPr>
        <w:noBreakHyphen/>
      </w:r>
      <w:r w:rsidRPr="00D5269A">
        <w:rPr>
          <w:rFonts w:cs="Times New Roman"/>
        </w:rPr>
        <w:t xml:space="preserve">76; </w:t>
      </w:r>
      <w:r w:rsidRPr="00D5269A">
        <w:rPr>
          <w:rFonts w:cs="Times New Roman"/>
          <w:i/>
        </w:rPr>
        <w:t xml:space="preserve">R. v. </w:t>
      </w:r>
      <w:r w:rsidR="00A215D4">
        <w:rPr>
          <w:rFonts w:cs="Times New Roman"/>
          <w:i/>
        </w:rPr>
        <w:t>D.H.</w:t>
      </w:r>
      <w:r w:rsidR="00AC1ED0">
        <w:rPr>
          <w:rFonts w:cs="Times New Roman"/>
        </w:rPr>
        <w:t>, 2017 ONCJ 51, at para. </w:t>
      </w:r>
      <w:r w:rsidRPr="00D5269A">
        <w:rPr>
          <w:rFonts w:cs="Times New Roman"/>
        </w:rPr>
        <w:t xml:space="preserve">17 (CanLII); </w:t>
      </w:r>
      <w:r w:rsidRPr="00D5269A">
        <w:rPr>
          <w:rFonts w:cs="Times New Roman"/>
          <w:i/>
        </w:rPr>
        <w:t>Bent</w:t>
      </w:r>
      <w:r w:rsidR="00AC1ED0">
        <w:rPr>
          <w:rFonts w:cs="Times New Roman"/>
        </w:rPr>
        <w:t>, at para. </w:t>
      </w:r>
      <w:r w:rsidRPr="00D5269A">
        <w:rPr>
          <w:rFonts w:cs="Times New Roman"/>
        </w:rPr>
        <w:t xml:space="preserve">79; see also </w:t>
      </w:r>
      <w:r w:rsidRPr="00D5269A">
        <w:rPr>
          <w:rFonts w:cs="Times New Roman"/>
          <w:i/>
        </w:rPr>
        <w:t>Cadman</w:t>
      </w:r>
      <w:r w:rsidRPr="00D5269A">
        <w:rPr>
          <w:rFonts w:cs="Times New Roman"/>
        </w:rPr>
        <w:t xml:space="preserve">, which relies on these paragraphs of </w:t>
      </w:r>
      <w:r w:rsidRPr="00D5269A">
        <w:rPr>
          <w:rFonts w:cs="Times New Roman"/>
          <w:i/>
        </w:rPr>
        <w:t xml:space="preserve">Yusuf </w:t>
      </w:r>
      <w:r w:rsidRPr="00D5269A">
        <w:rPr>
          <w:rFonts w:cs="Times New Roman"/>
        </w:rPr>
        <w:t xml:space="preserve">and </w:t>
      </w:r>
      <w:r w:rsidRPr="00D5269A">
        <w:rPr>
          <w:rFonts w:cs="Times New Roman"/>
          <w:i/>
        </w:rPr>
        <w:t>Bent</w:t>
      </w:r>
      <w:r w:rsidRPr="00D5269A">
        <w:rPr>
          <w:rFonts w:cs="Times New Roman"/>
        </w:rPr>
        <w:t xml:space="preserve">). However, the principle that a provision bearing more than one plausible meaning must be read in a manner that favours the accused is not a principle of </w:t>
      </w:r>
      <w:r w:rsidRPr="00D5269A">
        <w:rPr>
          <w:rFonts w:cs="Times New Roman"/>
          <w:i/>
        </w:rPr>
        <w:t>Charter</w:t>
      </w:r>
      <w:r w:rsidRPr="00D5269A">
        <w:rPr>
          <w:rFonts w:cs="Times New Roman"/>
        </w:rPr>
        <w:t xml:space="preserve"> interpretation. It is a principle of penal statutory interpretation (see </w:t>
      </w:r>
      <w:r w:rsidRPr="00D5269A">
        <w:rPr>
          <w:rFonts w:cs="Times New Roman"/>
          <w:i/>
        </w:rPr>
        <w:t>R. v. McIntosh</w:t>
      </w:r>
      <w:r w:rsidRPr="00D5269A">
        <w:rPr>
          <w:rFonts w:cs="Times New Roman"/>
        </w:rPr>
        <w:t>,</w:t>
      </w:r>
      <w:r w:rsidR="00E86AEB">
        <w:rPr>
          <w:rFonts w:cs="Times New Roman"/>
        </w:rPr>
        <w:t xml:space="preserve"> [1995] 1 S.C.R. 686, at paras. </w:t>
      </w:r>
      <w:r w:rsidRPr="00D5269A">
        <w:rPr>
          <w:rFonts w:cs="Times New Roman"/>
        </w:rPr>
        <w:t>27, 29 and 38</w:t>
      </w:r>
      <w:r w:rsidR="00E11A22" w:rsidRPr="00A215D4">
        <w:rPr>
          <w:lang w:val="en-US"/>
        </w:rPr>
        <w:noBreakHyphen/>
      </w:r>
      <w:r w:rsidRPr="00D5269A">
        <w:rPr>
          <w:rFonts w:cs="Times New Roman"/>
        </w:rPr>
        <w:t xml:space="preserve">39; </w:t>
      </w:r>
      <w:r w:rsidRPr="00D5269A">
        <w:rPr>
          <w:rFonts w:cs="Times New Roman"/>
          <w:i/>
        </w:rPr>
        <w:t>R. v. Dunn</w:t>
      </w:r>
      <w:r w:rsidR="00E86AEB">
        <w:rPr>
          <w:rFonts w:cs="Times New Roman"/>
        </w:rPr>
        <w:t>, [1995] 1 S.C.R. 226, at para. </w:t>
      </w:r>
      <w:r w:rsidRPr="00D5269A">
        <w:rPr>
          <w:rFonts w:cs="Times New Roman"/>
        </w:rPr>
        <w:t xml:space="preserve">28). As just explained, </w:t>
      </w:r>
      <w:r w:rsidRPr="00D5269A">
        <w:rPr>
          <w:rFonts w:cs="Times New Roman"/>
          <w:i/>
        </w:rPr>
        <w:t xml:space="preserve">Charter </w:t>
      </w:r>
      <w:r w:rsidRPr="00D5269A">
        <w:rPr>
          <w:rFonts w:cs="Times New Roman"/>
        </w:rPr>
        <w:t xml:space="preserve">rights do not automatically receive the most generous interpretation that their language can bear (see </w:t>
      </w:r>
      <w:r w:rsidRPr="00D5269A">
        <w:rPr>
          <w:rFonts w:cs="Times New Roman"/>
          <w:i/>
        </w:rPr>
        <w:t>Sinclair</w:t>
      </w:r>
      <w:r w:rsidRPr="00D5269A">
        <w:rPr>
          <w:rFonts w:cs="Times New Roman"/>
        </w:rPr>
        <w:t>,</w:t>
      </w:r>
      <w:r w:rsidRPr="00D5269A">
        <w:rPr>
          <w:rFonts w:cs="Times New Roman"/>
          <w:i/>
        </w:rPr>
        <w:t xml:space="preserve"> </w:t>
      </w:r>
      <w:r w:rsidR="001307C0">
        <w:rPr>
          <w:rFonts w:cs="Times New Roman"/>
        </w:rPr>
        <w:t>at paras. </w:t>
      </w:r>
      <w:r w:rsidRPr="00D5269A">
        <w:rPr>
          <w:rFonts w:cs="Times New Roman"/>
        </w:rPr>
        <w:t>19</w:t>
      </w:r>
      <w:r w:rsidR="00E11A22" w:rsidRPr="00A215D4">
        <w:rPr>
          <w:lang w:val="en-US"/>
        </w:rPr>
        <w:noBreakHyphen/>
      </w:r>
      <w:r w:rsidRPr="00D5269A">
        <w:rPr>
          <w:rFonts w:cs="Times New Roman"/>
        </w:rPr>
        <w:t>23 and 35</w:t>
      </w:r>
      <w:r w:rsidR="00E11A22" w:rsidRPr="00A215D4">
        <w:rPr>
          <w:lang w:val="en-US"/>
        </w:rPr>
        <w:noBreakHyphen/>
      </w:r>
      <w:r w:rsidRPr="00D5269A">
        <w:rPr>
          <w:rFonts w:cs="Times New Roman"/>
        </w:rPr>
        <w:t xml:space="preserve">36; see also, for example: </w:t>
      </w:r>
      <w:r w:rsidRPr="00D5269A">
        <w:rPr>
          <w:rFonts w:cs="Times New Roman"/>
          <w:i/>
        </w:rPr>
        <w:t>Wigglesworth</w:t>
      </w:r>
      <w:r w:rsidR="00E11A22">
        <w:rPr>
          <w:rFonts w:cs="Times New Roman"/>
        </w:rPr>
        <w:t>, at pp. </w:t>
      </w:r>
      <w:r w:rsidRPr="00D5269A">
        <w:rPr>
          <w:rFonts w:cs="Times New Roman"/>
        </w:rPr>
        <w:t>553</w:t>
      </w:r>
      <w:r w:rsidR="00E11A22" w:rsidRPr="00A215D4">
        <w:rPr>
          <w:lang w:val="en-US"/>
        </w:rPr>
        <w:noBreakHyphen/>
      </w:r>
      <w:r w:rsidRPr="00D5269A">
        <w:rPr>
          <w:rFonts w:cs="Times New Roman"/>
        </w:rPr>
        <w:t>54, in which this Court gave a “narrower interpretation” t</w:t>
      </w:r>
      <w:r w:rsidR="00E11A22">
        <w:rPr>
          <w:rFonts w:cs="Times New Roman"/>
        </w:rPr>
        <w:t>o the broad opening words of s. </w:t>
      </w:r>
      <w:r w:rsidRPr="00D5269A">
        <w:rPr>
          <w:rFonts w:cs="Times New Roman"/>
        </w:rPr>
        <w:t xml:space="preserve">11 (“[a]ny person charged with an offence”); </w:t>
      </w:r>
      <w:r w:rsidRPr="00D5269A">
        <w:rPr>
          <w:rFonts w:cs="Times New Roman"/>
          <w:i/>
        </w:rPr>
        <w:t>Carter v. The Queen</w:t>
      </w:r>
      <w:r w:rsidRPr="00D5269A">
        <w:rPr>
          <w:rFonts w:cs="Times New Roman"/>
        </w:rPr>
        <w:t xml:space="preserve">, [1986] 1 S.C.R. 981, per Lamer J.; </w:t>
      </w:r>
      <w:r w:rsidRPr="00D5269A">
        <w:rPr>
          <w:rFonts w:cs="Times New Roman"/>
          <w:i/>
        </w:rPr>
        <w:t>R. v. Kalanj</w:t>
      </w:r>
      <w:r w:rsidRPr="00D5269A">
        <w:rPr>
          <w:rFonts w:cs="Times New Roman"/>
        </w:rPr>
        <w:t>, [1989] 1 S.C.R. 1594, per McIntyre</w:t>
      </w:r>
      <w:r w:rsidR="00C46849">
        <w:rPr>
          <w:rFonts w:cs="Times New Roman"/>
        </w:rPr>
        <w:t> </w:t>
      </w:r>
      <w:r w:rsidRPr="00D5269A">
        <w:rPr>
          <w:rFonts w:cs="Times New Roman"/>
        </w:rPr>
        <w:t xml:space="preserve">J.; </w:t>
      </w:r>
      <w:r w:rsidRPr="00D5269A">
        <w:rPr>
          <w:rFonts w:cs="Times New Roman"/>
          <w:i/>
        </w:rPr>
        <w:t>R. v. Potvin</w:t>
      </w:r>
      <w:r w:rsidRPr="00D5269A">
        <w:rPr>
          <w:rFonts w:cs="Times New Roman"/>
        </w:rPr>
        <w:t>, [1993] 2 S.</w:t>
      </w:r>
      <w:r w:rsidR="00002F17">
        <w:rPr>
          <w:rFonts w:cs="Times New Roman"/>
        </w:rPr>
        <w:t>C.R. 880, per Sopinka </w:t>
      </w:r>
      <w:r w:rsidRPr="00D5269A">
        <w:rPr>
          <w:rFonts w:cs="Times New Roman"/>
        </w:rPr>
        <w:t>J., in which this Court held that the right “to be tried within a reasonable time” under s. 11(</w:t>
      </w:r>
      <w:r w:rsidRPr="00D5269A">
        <w:rPr>
          <w:rFonts w:cs="Times New Roman"/>
          <w:i/>
        </w:rPr>
        <w:t>b</w:t>
      </w:r>
      <w:r w:rsidRPr="00D5269A">
        <w:rPr>
          <w:rFonts w:cs="Times New Roman"/>
        </w:rPr>
        <w:t xml:space="preserve">) of the </w:t>
      </w:r>
      <w:r w:rsidRPr="00D5269A">
        <w:rPr>
          <w:rFonts w:cs="Times New Roman"/>
          <w:i/>
        </w:rPr>
        <w:t>Charter</w:t>
      </w:r>
      <w:r w:rsidRPr="00D5269A">
        <w:rPr>
          <w:rFonts w:cs="Times New Roman"/>
        </w:rPr>
        <w:t xml:space="preserve"> </w:t>
      </w:r>
      <w:r w:rsidR="00E11A22">
        <w:rPr>
          <w:rFonts w:cs="Times New Roman"/>
        </w:rPr>
        <w:t>does not protect against pre</w:t>
      </w:r>
      <w:r w:rsidR="00E11A22" w:rsidRPr="00A215D4">
        <w:rPr>
          <w:lang w:val="en-US"/>
        </w:rPr>
        <w:noBreakHyphen/>
      </w:r>
      <w:r w:rsidRPr="00D5269A">
        <w:rPr>
          <w:rFonts w:cs="Times New Roman"/>
        </w:rPr>
        <w:t>ch</w:t>
      </w:r>
      <w:r w:rsidR="00002F17">
        <w:rPr>
          <w:rFonts w:cs="Times New Roman"/>
        </w:rPr>
        <w:t>arge delay or appellate delay).</w:t>
      </w:r>
    </w:p>
    <w:p w:rsidR="000738FC" w:rsidRPr="00D5269A" w:rsidRDefault="000738FC" w:rsidP="000738FC">
      <w:pPr>
        <w:pStyle w:val="ParaNoNdepar-AltN"/>
        <w:rPr>
          <w:rFonts w:cs="Times New Roman"/>
        </w:rPr>
      </w:pPr>
      <w:r w:rsidRPr="00D5269A">
        <w:rPr>
          <w:rFonts w:cs="Times New Roman"/>
        </w:rPr>
        <w:lastRenderedPageBreak/>
        <w:t>In light of the above, it is necessary to approach the determination of whether s.</w:t>
      </w:r>
      <w:r w:rsidR="005F3885">
        <w:rPr>
          <w:rFonts w:cs="Times New Roman"/>
        </w:rPr>
        <w:t> </w:t>
      </w:r>
      <w:r w:rsidRPr="00D5269A">
        <w:rPr>
          <w:rFonts w:cs="Times New Roman"/>
        </w:rPr>
        <w:t>11(</w:t>
      </w:r>
      <w:r w:rsidRPr="00D5269A">
        <w:rPr>
          <w:rFonts w:cs="Times New Roman"/>
          <w:i/>
        </w:rPr>
        <w:t>i</w:t>
      </w:r>
      <w:r w:rsidRPr="00D5269A">
        <w:rPr>
          <w:rFonts w:cs="Times New Roman"/>
        </w:rPr>
        <w:t>) confers a binary or a global right from an unde</w:t>
      </w:r>
      <w:r w:rsidR="005F3885">
        <w:rPr>
          <w:rFonts w:cs="Times New Roman"/>
        </w:rPr>
        <w:t>rstanding of the purposes of s. </w:t>
      </w:r>
      <w:r w:rsidRPr="00D5269A">
        <w:rPr>
          <w:rFonts w:cs="Times New Roman"/>
        </w:rPr>
        <w:t>11(</w:t>
      </w:r>
      <w:r w:rsidRPr="00D5269A">
        <w:rPr>
          <w:rFonts w:cs="Times New Roman"/>
          <w:i/>
        </w:rPr>
        <w:t>i</w:t>
      </w:r>
      <w:r w:rsidRPr="00D5269A">
        <w:rPr>
          <w:rFonts w:cs="Times New Roman"/>
        </w:rPr>
        <w:t xml:space="preserve">) — and not simply from the perspective of the interested offender. </w:t>
      </w:r>
    </w:p>
    <w:p w:rsidR="000738FC" w:rsidRPr="00D5269A" w:rsidRDefault="000738FC" w:rsidP="000738FC">
      <w:pPr>
        <w:pStyle w:val="ParaNoNdepar-AltN"/>
        <w:rPr>
          <w:rFonts w:cs="Times New Roman"/>
        </w:rPr>
      </w:pPr>
      <w:r w:rsidRPr="00D5269A">
        <w:rPr>
          <w:rFonts w:cs="Times New Roman"/>
        </w:rPr>
        <w:t xml:space="preserve">Echoing this Court’s statement in </w:t>
      </w:r>
      <w:r w:rsidRPr="00D5269A">
        <w:rPr>
          <w:rFonts w:cs="Times New Roman"/>
          <w:i/>
        </w:rPr>
        <w:t>Big M</w:t>
      </w:r>
      <w:r w:rsidRPr="00D5269A">
        <w:rPr>
          <w:rFonts w:cs="Times New Roman"/>
        </w:rPr>
        <w:t xml:space="preserve">, Professor Hogg observes that guidance about a right’s purposes “can be obtained from the language in which the right is expressed, from the implications to be drawn from the context in which the right is to be found, including other parts of the </w:t>
      </w:r>
      <w:r w:rsidRPr="005D7A27">
        <w:rPr>
          <w:rFonts w:cs="Times New Roman"/>
        </w:rPr>
        <w:t>Charter</w:t>
      </w:r>
      <w:r w:rsidR="00E11A22" w:rsidRPr="005D7A27">
        <w:rPr>
          <w:rFonts w:cs="Times New Roman"/>
        </w:rPr>
        <w:t>, from the pre</w:t>
      </w:r>
      <w:r w:rsidR="00E11A22" w:rsidRPr="00A215D4">
        <w:rPr>
          <w:lang w:val="en-US"/>
        </w:rPr>
        <w:noBreakHyphen/>
      </w:r>
      <w:r w:rsidRPr="005D7A27">
        <w:rPr>
          <w:rFonts w:cs="Times New Roman"/>
        </w:rPr>
        <w:t>Charter history of the right and from the legislative history of the Charter</w:t>
      </w:r>
      <w:r w:rsidR="00E11A22">
        <w:rPr>
          <w:rFonts w:cs="Times New Roman"/>
        </w:rPr>
        <w:t>” (p. 36</w:t>
      </w:r>
      <w:r w:rsidR="00E11A22" w:rsidRPr="00A215D4">
        <w:rPr>
          <w:lang w:val="en-US"/>
        </w:rPr>
        <w:noBreakHyphen/>
      </w:r>
      <w:r w:rsidRPr="00D5269A">
        <w:rPr>
          <w:rFonts w:cs="Times New Roman"/>
        </w:rPr>
        <w:t>30). In this case, I find that the language and origins of s.</w:t>
      </w:r>
      <w:r w:rsidR="00346EF9">
        <w:rPr>
          <w:rFonts w:cs="Times New Roman"/>
        </w:rPr>
        <w:t> </w:t>
      </w:r>
      <w:r w:rsidRPr="00D5269A">
        <w:rPr>
          <w:rFonts w:cs="Times New Roman"/>
        </w:rPr>
        <w:t>11(</w:t>
      </w:r>
      <w:r w:rsidRPr="00D5269A">
        <w:rPr>
          <w:rFonts w:cs="Times New Roman"/>
          <w:i/>
        </w:rPr>
        <w:t>i</w:t>
      </w:r>
      <w:r w:rsidRPr="00D5269A">
        <w:rPr>
          <w:rFonts w:cs="Times New Roman"/>
        </w:rPr>
        <w:t>), in particular, provide helpful indicia of the provision’s meaning. Therefore, aft</w:t>
      </w:r>
      <w:r w:rsidR="00346EF9">
        <w:rPr>
          <w:rFonts w:cs="Times New Roman"/>
        </w:rPr>
        <w:t>er reviewing the purposes of s. </w:t>
      </w:r>
      <w:r w:rsidRPr="00D5269A">
        <w:rPr>
          <w:rFonts w:cs="Times New Roman"/>
        </w:rPr>
        <w:t>11(</w:t>
      </w:r>
      <w:r w:rsidRPr="00D5269A">
        <w:rPr>
          <w:rFonts w:cs="Times New Roman"/>
          <w:i/>
        </w:rPr>
        <w:t>i</w:t>
      </w:r>
      <w:r w:rsidRPr="00D5269A">
        <w:rPr>
          <w:rFonts w:cs="Times New Roman"/>
        </w:rPr>
        <w:t xml:space="preserve">) already identified in </w:t>
      </w:r>
      <w:r w:rsidRPr="00D5269A">
        <w:rPr>
          <w:rFonts w:cs="Times New Roman"/>
          <w:i/>
        </w:rPr>
        <w:t>K.R.J.</w:t>
      </w:r>
      <w:r w:rsidRPr="00D5269A">
        <w:rPr>
          <w:rFonts w:cs="Times New Roman"/>
        </w:rPr>
        <w:t>, I study</w:t>
      </w:r>
      <w:r w:rsidR="00346EF9">
        <w:rPr>
          <w:rFonts w:cs="Times New Roman"/>
        </w:rPr>
        <w:t xml:space="preserve"> the language and origins of s. </w:t>
      </w:r>
      <w:r w:rsidRPr="00D5269A">
        <w:rPr>
          <w:rFonts w:cs="Times New Roman"/>
        </w:rPr>
        <w:t>11(</w:t>
      </w:r>
      <w:r w:rsidRPr="00D5269A">
        <w:rPr>
          <w:rFonts w:cs="Times New Roman"/>
          <w:i/>
        </w:rPr>
        <w:t>i</w:t>
      </w:r>
      <w:r w:rsidRPr="00D5269A">
        <w:rPr>
          <w:rFonts w:cs="Times New Roman"/>
        </w:rPr>
        <w:t>). Then, with the purpo</w:t>
      </w:r>
      <w:r w:rsidR="00346EF9">
        <w:rPr>
          <w:rFonts w:cs="Times New Roman"/>
        </w:rPr>
        <w:t>ses, language and origins of s. </w:t>
      </w:r>
      <w:r w:rsidRPr="00D5269A">
        <w:rPr>
          <w:rFonts w:cs="Times New Roman"/>
        </w:rPr>
        <w:t>11(</w:t>
      </w:r>
      <w:r w:rsidRPr="00D5269A">
        <w:rPr>
          <w:rFonts w:cs="Times New Roman"/>
          <w:i/>
        </w:rPr>
        <w:t>i</w:t>
      </w:r>
      <w:r w:rsidRPr="00D5269A">
        <w:rPr>
          <w:rFonts w:cs="Times New Roman"/>
        </w:rPr>
        <w:t>) in mind, I turn to the heart of the purposive analysis: deciding which interpretation of s.</w:t>
      </w:r>
      <w:r w:rsidR="00346EF9">
        <w:rPr>
          <w:rFonts w:cs="Times New Roman"/>
        </w:rPr>
        <w:t> </w:t>
      </w:r>
      <w:r w:rsidRPr="00D5269A">
        <w:rPr>
          <w:rFonts w:cs="Times New Roman"/>
        </w:rPr>
        <w:t>11(</w:t>
      </w:r>
      <w:r w:rsidRPr="00D5269A">
        <w:rPr>
          <w:rFonts w:cs="Times New Roman"/>
          <w:i/>
        </w:rPr>
        <w:t>i</w:t>
      </w:r>
      <w:r w:rsidRPr="00D5269A">
        <w:rPr>
          <w:rFonts w:cs="Times New Roman"/>
        </w:rPr>
        <w:t>) is supported by the right’s purposes.</w:t>
      </w:r>
    </w:p>
    <w:p w:rsidR="000738FC" w:rsidRPr="00D5269A" w:rsidRDefault="000738FC" w:rsidP="000738FC">
      <w:pPr>
        <w:pStyle w:val="Title4LevelTitre4Niveau"/>
        <w:rPr>
          <w:rFonts w:cs="Times New Roman"/>
        </w:rPr>
      </w:pPr>
      <w:bookmarkStart w:id="38" w:name="_Toc14423814"/>
      <w:bookmarkStart w:id="39" w:name="_Toc15313757"/>
      <w:r w:rsidRPr="00D5269A">
        <w:rPr>
          <w:rFonts w:cs="Times New Roman"/>
        </w:rPr>
        <w:t>The Recognized</w:t>
      </w:r>
      <w:r w:rsidR="0062244F">
        <w:rPr>
          <w:rFonts w:cs="Times New Roman"/>
        </w:rPr>
        <w:t xml:space="preserve"> Purposes and Effect of Section </w:t>
      </w:r>
      <w:r w:rsidRPr="00D5269A">
        <w:rPr>
          <w:rFonts w:cs="Times New Roman"/>
        </w:rPr>
        <w:t>11(i)</w:t>
      </w:r>
      <w:bookmarkEnd w:id="37"/>
      <w:bookmarkEnd w:id="38"/>
      <w:bookmarkEnd w:id="39"/>
      <w:r w:rsidRPr="00D5269A">
        <w:rPr>
          <w:rFonts w:cs="Times New Roman"/>
        </w:rPr>
        <w:t xml:space="preserve"> </w:t>
      </w:r>
    </w:p>
    <w:p w:rsidR="000738FC" w:rsidRPr="00D5269A" w:rsidRDefault="000738FC" w:rsidP="000738FC">
      <w:pPr>
        <w:pStyle w:val="ParaNoNdepar-AltN"/>
        <w:rPr>
          <w:rFonts w:cs="Times New Roman"/>
          <w:i/>
          <w:lang w:val="en-US"/>
        </w:rPr>
      </w:pPr>
      <w:r w:rsidRPr="00D5269A">
        <w:rPr>
          <w:rFonts w:cs="Times New Roman"/>
        </w:rPr>
        <w:t>At common law, the general rule is that an accused must be tried and punished under the substantive law in force at the time the offence was committed, rather than the law in force at any other time — such as at trial or sentencing (</w:t>
      </w:r>
      <w:r w:rsidRPr="00D5269A">
        <w:rPr>
          <w:rFonts w:cs="Times New Roman"/>
          <w:i/>
        </w:rPr>
        <w:t>R. v. Kelly</w:t>
      </w:r>
      <w:r w:rsidRPr="00D5269A">
        <w:rPr>
          <w:rFonts w:cs="Times New Roman"/>
        </w:rPr>
        <w:t>, [1992] 2 S.C.R. 170, at p. 203, per</w:t>
      </w:r>
      <w:r w:rsidRPr="00D5269A">
        <w:rPr>
          <w:rFonts w:cs="Times New Roman"/>
          <w:i/>
        </w:rPr>
        <w:t xml:space="preserve"> </w:t>
      </w:r>
      <w:r w:rsidRPr="00D5269A">
        <w:rPr>
          <w:rFonts w:cs="Times New Roman"/>
        </w:rPr>
        <w:t xml:space="preserve">McLachlin J.; </w:t>
      </w:r>
      <w:r w:rsidRPr="00D5269A">
        <w:rPr>
          <w:rFonts w:cs="Times New Roman"/>
          <w:i/>
        </w:rPr>
        <w:t>Johnson</w:t>
      </w:r>
      <w:r w:rsidRPr="00D5269A">
        <w:rPr>
          <w:rFonts w:cs="Times New Roman"/>
        </w:rPr>
        <w:t>,</w:t>
      </w:r>
      <w:r w:rsidRPr="00D5269A">
        <w:rPr>
          <w:rFonts w:cs="Times New Roman"/>
          <w:i/>
        </w:rPr>
        <w:t xml:space="preserve"> </w:t>
      </w:r>
      <w:r w:rsidR="00677CEA">
        <w:rPr>
          <w:rFonts w:cs="Times New Roman"/>
        </w:rPr>
        <w:t>at para. </w:t>
      </w:r>
      <w:r w:rsidRPr="00D5269A">
        <w:rPr>
          <w:rFonts w:cs="Times New Roman"/>
        </w:rPr>
        <w:t xml:space="preserve">41; </w:t>
      </w:r>
      <w:r w:rsidRPr="00D5269A">
        <w:rPr>
          <w:rFonts w:cs="Times New Roman"/>
          <w:i/>
        </w:rPr>
        <w:t>K.R.J.</w:t>
      </w:r>
      <w:r w:rsidRPr="00D5269A">
        <w:rPr>
          <w:rFonts w:cs="Times New Roman"/>
        </w:rPr>
        <w:t>,</w:t>
      </w:r>
      <w:r w:rsidRPr="00D5269A">
        <w:rPr>
          <w:rFonts w:cs="Times New Roman"/>
          <w:i/>
        </w:rPr>
        <w:t xml:space="preserve"> </w:t>
      </w:r>
      <w:r w:rsidR="00532443">
        <w:rPr>
          <w:rFonts w:cs="Times New Roman"/>
        </w:rPr>
        <w:t>at para. </w:t>
      </w:r>
      <w:r w:rsidRPr="00D5269A">
        <w:rPr>
          <w:rFonts w:cs="Times New Roman"/>
        </w:rPr>
        <w:t xml:space="preserve">1; </w:t>
      </w:r>
      <w:r w:rsidRPr="00D5269A">
        <w:rPr>
          <w:rFonts w:cs="Times New Roman"/>
          <w:i/>
        </w:rPr>
        <w:t>R. v. Hooyer</w:t>
      </w:r>
      <w:r w:rsidRPr="00D5269A">
        <w:rPr>
          <w:rFonts w:cs="Times New Roman"/>
        </w:rPr>
        <w:t>,</w:t>
      </w:r>
      <w:r w:rsidRPr="00D5269A">
        <w:rPr>
          <w:rFonts w:cs="Times New Roman"/>
          <w:i/>
        </w:rPr>
        <w:t xml:space="preserve"> </w:t>
      </w:r>
      <w:r w:rsidRPr="00D5269A">
        <w:rPr>
          <w:rFonts w:cs="Times New Roman"/>
        </w:rPr>
        <w:t>2016 ONCA</w:t>
      </w:r>
      <w:r w:rsidR="00532443">
        <w:rPr>
          <w:rFonts w:cs="Times New Roman"/>
        </w:rPr>
        <w:t xml:space="preserve"> 44, 129 O.R. (3d) 81, at para. </w:t>
      </w:r>
      <w:r w:rsidRPr="00D5269A">
        <w:rPr>
          <w:rFonts w:cs="Times New Roman"/>
        </w:rPr>
        <w:t xml:space="preserve">42. I call this a “general rule” as it can sometimes be displaced by other interpretive rules or principles). Where the law changes after an offence is committed, the new criminal </w:t>
      </w:r>
      <w:r w:rsidRPr="00D5269A">
        <w:rPr>
          <w:rFonts w:cs="Times New Roman"/>
        </w:rPr>
        <w:lastRenderedPageBreak/>
        <w:t>provisions are generally presumed not to apply retrospectively to the offence (</w:t>
      </w:r>
      <w:r w:rsidRPr="00D5269A">
        <w:rPr>
          <w:rFonts w:cs="Times New Roman"/>
          <w:i/>
        </w:rPr>
        <w:t>R. v. Dineley</w:t>
      </w:r>
      <w:r w:rsidRPr="00D5269A">
        <w:rPr>
          <w:rFonts w:cs="Times New Roman"/>
        </w:rPr>
        <w:t>, 2012 SCC 58,</w:t>
      </w:r>
      <w:r w:rsidR="00294AD1">
        <w:rPr>
          <w:rFonts w:cs="Times New Roman"/>
        </w:rPr>
        <w:t xml:space="preserve"> [2012] 3 S.C.R. 272, at paras. </w:t>
      </w:r>
      <w:r w:rsidR="00E11A22">
        <w:rPr>
          <w:rFonts w:cs="Times New Roman"/>
        </w:rPr>
        <w:t>10, 35 and 45</w:t>
      </w:r>
      <w:r w:rsidR="00E11A22" w:rsidRPr="00A215D4">
        <w:rPr>
          <w:lang w:val="en-US"/>
        </w:rPr>
        <w:noBreakHyphen/>
      </w:r>
      <w:r w:rsidRPr="00D5269A">
        <w:rPr>
          <w:rFonts w:cs="Times New Roman"/>
        </w:rPr>
        <w:t>46;</w:t>
      </w:r>
      <w:r w:rsidRPr="00D5269A">
        <w:rPr>
          <w:rFonts w:cs="Times New Roman"/>
          <w:i/>
        </w:rPr>
        <w:t xml:space="preserve"> </w:t>
      </w:r>
      <w:r w:rsidRPr="00D5269A">
        <w:rPr>
          <w:rFonts w:cs="Times New Roman"/>
          <w:i/>
          <w:lang w:val="en-US"/>
        </w:rPr>
        <w:t>Brosseau v. Alberta Securities Commission</w:t>
      </w:r>
      <w:r w:rsidRPr="00D5269A">
        <w:rPr>
          <w:rFonts w:cs="Times New Roman"/>
          <w:lang w:val="en-US"/>
        </w:rPr>
        <w:t xml:space="preserve">, [1989] 1 S.C.R. 301; </w:t>
      </w:r>
      <w:r w:rsidRPr="00D5269A">
        <w:rPr>
          <w:rFonts w:cs="Times New Roman"/>
          <w:i/>
        </w:rPr>
        <w:t>Tran</w:t>
      </w:r>
      <w:r w:rsidR="00B96E18">
        <w:rPr>
          <w:rFonts w:cs="Times New Roman"/>
        </w:rPr>
        <w:t>, at para. </w:t>
      </w:r>
      <w:r w:rsidRPr="00D5269A">
        <w:rPr>
          <w:rFonts w:cs="Times New Roman"/>
        </w:rPr>
        <w:t xml:space="preserve">43; </w:t>
      </w:r>
      <w:r w:rsidRPr="00D5269A">
        <w:rPr>
          <w:rFonts w:cs="Times New Roman"/>
          <w:i/>
        </w:rPr>
        <w:t>R. v. Bengy</w:t>
      </w:r>
      <w:r w:rsidRPr="00D5269A">
        <w:rPr>
          <w:rFonts w:cs="Times New Roman"/>
        </w:rPr>
        <w:t>,</w:t>
      </w:r>
      <w:r w:rsidRPr="00D5269A">
        <w:rPr>
          <w:rFonts w:cs="Times New Roman"/>
          <w:i/>
        </w:rPr>
        <w:t xml:space="preserve"> </w:t>
      </w:r>
      <w:r w:rsidRPr="00D5269A">
        <w:rPr>
          <w:rFonts w:cs="Times New Roman"/>
        </w:rPr>
        <w:t>2015 ONCA 397, 325 C.C.C. (3d) 22). This explains why, in this case, t</w:t>
      </w:r>
      <w:r w:rsidR="006654D7">
        <w:rPr>
          <w:rFonts w:cs="Times New Roman"/>
        </w:rPr>
        <w:t>he state was able to charge Mr. </w:t>
      </w:r>
      <w:r w:rsidRPr="00D5269A">
        <w:rPr>
          <w:rFonts w:cs="Times New Roman"/>
        </w:rPr>
        <w:t xml:space="preserve">Poulin in 2014 for an offence that had been repealed from the </w:t>
      </w:r>
      <w:r w:rsidRPr="00D5269A">
        <w:rPr>
          <w:rFonts w:cs="Times New Roman"/>
          <w:i/>
        </w:rPr>
        <w:t xml:space="preserve">Criminal Code </w:t>
      </w:r>
      <w:r w:rsidRPr="00D5269A">
        <w:rPr>
          <w:rFonts w:cs="Times New Roman"/>
        </w:rPr>
        <w:t>in 1987. While the off</w:t>
      </w:r>
      <w:r w:rsidR="006654D7">
        <w:rPr>
          <w:rFonts w:cs="Times New Roman"/>
        </w:rPr>
        <w:t>ence no longer existed when Mr. </w:t>
      </w:r>
      <w:r w:rsidRPr="00D5269A">
        <w:rPr>
          <w:rFonts w:cs="Times New Roman"/>
        </w:rPr>
        <w:t xml:space="preserve">Poulin was charged, convicted and sentenced, it existed when he committed his offences of gross indecency between 1979 and 1983 (see also </w:t>
      </w:r>
      <w:r w:rsidRPr="00D5269A">
        <w:rPr>
          <w:rFonts w:cs="Times New Roman"/>
          <w:i/>
        </w:rPr>
        <w:t>Interpretation Act</w:t>
      </w:r>
      <w:r w:rsidR="00E11A22">
        <w:rPr>
          <w:rFonts w:cs="Times New Roman"/>
        </w:rPr>
        <w:t>, R.S.C. 1985, c. I</w:t>
      </w:r>
      <w:r w:rsidR="00E11A22" w:rsidRPr="00A215D4">
        <w:rPr>
          <w:lang w:val="en-US"/>
        </w:rPr>
        <w:noBreakHyphen/>
      </w:r>
      <w:r w:rsidRPr="00D5269A">
        <w:rPr>
          <w:rFonts w:cs="Times New Roman"/>
        </w:rPr>
        <w:t>2</w:t>
      </w:r>
      <w:r w:rsidR="00E11A22">
        <w:rPr>
          <w:rFonts w:cs="Times New Roman"/>
        </w:rPr>
        <w:t>1, s. </w:t>
      </w:r>
      <w:r w:rsidRPr="00D5269A">
        <w:rPr>
          <w:rFonts w:cs="Times New Roman"/>
        </w:rPr>
        <w:t>43)</w:t>
      </w:r>
      <w:r w:rsidRPr="00D5269A">
        <w:rPr>
          <w:rFonts w:cs="Times New Roman"/>
          <w:i/>
        </w:rPr>
        <w:t>.</w:t>
      </w:r>
    </w:p>
    <w:p w:rsidR="000738FC" w:rsidRPr="00D5269A" w:rsidRDefault="000738FC" w:rsidP="000738FC">
      <w:pPr>
        <w:pStyle w:val="ParaNoNdepar-AltN"/>
        <w:rPr>
          <w:rFonts w:cs="Times New Roman"/>
        </w:rPr>
      </w:pPr>
      <w:r w:rsidRPr="00D5269A">
        <w:rPr>
          <w:rFonts w:cs="Times New Roman"/>
        </w:rPr>
        <w:t>The rationale for this common law rule is the rule of law and, more specifically, the principle of legality. The principle of legality dictates that persons who rely on the state of the law in conducting themselves, or who risk the liability associated with a law in breaking it, should not subsequently be held to different laws, particularly more stringent ones (</w:t>
      </w:r>
      <w:r w:rsidRPr="00D5269A">
        <w:rPr>
          <w:rFonts w:cs="Times New Roman"/>
          <w:i/>
        </w:rPr>
        <w:t>K.R.J.</w:t>
      </w:r>
      <w:r w:rsidRPr="00D5269A">
        <w:rPr>
          <w:rFonts w:cs="Times New Roman"/>
        </w:rPr>
        <w:t>,</w:t>
      </w:r>
      <w:r w:rsidRPr="00D5269A">
        <w:rPr>
          <w:rFonts w:cs="Times New Roman"/>
          <w:i/>
        </w:rPr>
        <w:t xml:space="preserve"> </w:t>
      </w:r>
      <w:r w:rsidR="00EA536D">
        <w:rPr>
          <w:rFonts w:cs="Times New Roman"/>
        </w:rPr>
        <w:t>at paras. </w:t>
      </w:r>
      <w:r w:rsidRPr="00D5269A">
        <w:rPr>
          <w:rFonts w:cs="Times New Roman"/>
        </w:rPr>
        <w:t>22</w:t>
      </w:r>
      <w:r w:rsidR="00E11A22" w:rsidRPr="00A215D4">
        <w:rPr>
          <w:lang w:val="en-US"/>
        </w:rPr>
        <w:noBreakHyphen/>
      </w:r>
      <w:r w:rsidRPr="00D5269A">
        <w:rPr>
          <w:rFonts w:cs="Times New Roman"/>
        </w:rPr>
        <w:t xml:space="preserve">25). This principle is a pillar of the criminal law. In </w:t>
      </w:r>
      <w:r w:rsidRPr="00D5269A">
        <w:rPr>
          <w:rFonts w:cs="Times New Roman"/>
          <w:i/>
        </w:rPr>
        <w:t>K.R.J.</w:t>
      </w:r>
      <w:r w:rsidRPr="00D5269A">
        <w:rPr>
          <w:rFonts w:cs="Times New Roman"/>
        </w:rPr>
        <w:t>,</w:t>
      </w:r>
      <w:r w:rsidRPr="00D5269A">
        <w:rPr>
          <w:rFonts w:cs="Times New Roman"/>
          <w:i/>
        </w:rPr>
        <w:t xml:space="preserve"> </w:t>
      </w:r>
      <w:r w:rsidRPr="00D5269A">
        <w:rPr>
          <w:rFonts w:cs="Times New Roman"/>
        </w:rPr>
        <w:t xml:space="preserve">this Court recognized </w:t>
      </w:r>
      <w:r w:rsidR="005E2DC6">
        <w:rPr>
          <w:rFonts w:cs="Times New Roman"/>
        </w:rPr>
        <w:t>that it lies at the heart of s. </w:t>
      </w:r>
      <w:r w:rsidRPr="00D5269A">
        <w:rPr>
          <w:rFonts w:cs="Times New Roman"/>
        </w:rPr>
        <w:t>11(</w:t>
      </w:r>
      <w:r w:rsidRPr="00D5269A">
        <w:rPr>
          <w:rFonts w:cs="Times New Roman"/>
          <w:i/>
        </w:rPr>
        <w:t>i</w:t>
      </w:r>
      <w:r w:rsidRPr="00D5269A">
        <w:rPr>
          <w:rFonts w:cs="Times New Roman"/>
        </w:rPr>
        <w:t>) (paras.</w:t>
      </w:r>
      <w:r w:rsidR="005D3BAB">
        <w:rPr>
          <w:rFonts w:cs="Times New Roman"/>
        </w:rPr>
        <w:t> </w:t>
      </w:r>
      <w:r w:rsidRPr="00D5269A">
        <w:rPr>
          <w:rFonts w:cs="Times New Roman"/>
        </w:rPr>
        <w:t>2, 23</w:t>
      </w:r>
      <w:r w:rsidR="00E11A22" w:rsidRPr="00A215D4">
        <w:rPr>
          <w:lang w:val="en-US"/>
        </w:rPr>
        <w:noBreakHyphen/>
      </w:r>
      <w:r w:rsidRPr="00D5269A">
        <w:rPr>
          <w:rFonts w:cs="Times New Roman"/>
        </w:rPr>
        <w:t xml:space="preserve">24, </w:t>
      </w:r>
      <w:r w:rsidR="00CF7286">
        <w:rPr>
          <w:rFonts w:cs="Times New Roman"/>
        </w:rPr>
        <w:t>27 and 37). Section </w:t>
      </w:r>
      <w:r w:rsidRPr="00D5269A">
        <w:rPr>
          <w:rFonts w:cs="Times New Roman"/>
        </w:rPr>
        <w:t>11(</w:t>
      </w:r>
      <w:r w:rsidRPr="00D5269A">
        <w:rPr>
          <w:rFonts w:cs="Times New Roman"/>
          <w:i/>
        </w:rPr>
        <w:t>i</w:t>
      </w:r>
      <w:r w:rsidRPr="00D5269A">
        <w:rPr>
          <w:rFonts w:cs="Times New Roman"/>
        </w:rPr>
        <w:t>) safeguards the principle of legality by “constitutionally enshrin[ing] the fundamental notion that criminal laws should generally not operate retrospectively” (</w:t>
      </w:r>
      <w:r w:rsidRPr="00D5269A">
        <w:rPr>
          <w:rFonts w:cs="Times New Roman"/>
          <w:i/>
        </w:rPr>
        <w:t>K.R.J.</w:t>
      </w:r>
      <w:r w:rsidRPr="00D5269A">
        <w:rPr>
          <w:rFonts w:cs="Times New Roman"/>
        </w:rPr>
        <w:t>,</w:t>
      </w:r>
      <w:r w:rsidRPr="00D5269A">
        <w:rPr>
          <w:rFonts w:cs="Times New Roman"/>
          <w:i/>
        </w:rPr>
        <w:t xml:space="preserve"> </w:t>
      </w:r>
      <w:r w:rsidR="000069C6">
        <w:rPr>
          <w:rFonts w:cs="Times New Roman"/>
        </w:rPr>
        <w:t>at para. </w:t>
      </w:r>
      <w:r w:rsidRPr="00D5269A">
        <w:rPr>
          <w:rFonts w:cs="Times New Roman"/>
        </w:rPr>
        <w:t>22). The principle of legality also finds expression, for instance, in s. 11(</w:t>
      </w:r>
      <w:r w:rsidRPr="00D5269A">
        <w:rPr>
          <w:rFonts w:cs="Times New Roman"/>
          <w:i/>
        </w:rPr>
        <w:t>g</w:t>
      </w:r>
      <w:r w:rsidRPr="00D5269A">
        <w:rPr>
          <w:rFonts w:cs="Times New Roman"/>
        </w:rPr>
        <w:t xml:space="preserve">) of the </w:t>
      </w:r>
      <w:r w:rsidRPr="00D5269A">
        <w:rPr>
          <w:rFonts w:cs="Times New Roman"/>
          <w:i/>
        </w:rPr>
        <w:t>Charter</w:t>
      </w:r>
      <w:r w:rsidRPr="00D5269A">
        <w:rPr>
          <w:rFonts w:cs="Times New Roman"/>
        </w:rPr>
        <w:t xml:space="preserve">, which protects a person against being convicted for an act which was not a crime when the person engaged in it. As explained in </w:t>
      </w:r>
      <w:r w:rsidR="00D94B9C">
        <w:rPr>
          <w:rFonts w:cs="Times New Roman"/>
          <w:i/>
          <w:lang w:val="en-GB"/>
        </w:rPr>
        <w:t xml:space="preserve">Reference </w:t>
      </w:r>
      <w:r w:rsidRPr="00D5269A">
        <w:rPr>
          <w:rFonts w:cs="Times New Roman"/>
          <w:i/>
          <w:lang w:val="en-GB"/>
        </w:rPr>
        <w:t>re</w:t>
      </w:r>
      <w:r w:rsidR="00D94B9C">
        <w:rPr>
          <w:rFonts w:cs="Times New Roman"/>
          <w:i/>
          <w:iCs/>
          <w:lang w:val="en-GB"/>
        </w:rPr>
        <w:t xml:space="preserve"> </w:t>
      </w:r>
      <w:r w:rsidRPr="00D5269A">
        <w:rPr>
          <w:rFonts w:cs="Times New Roman"/>
          <w:i/>
          <w:iCs/>
          <w:lang w:val="en-GB"/>
        </w:rPr>
        <w:t>ss. 193 and 195.1(1)(c) of the Criminal Code</w:t>
      </w:r>
      <w:r w:rsidR="00D94B9C">
        <w:rPr>
          <w:rFonts w:cs="Times New Roman"/>
          <w:i/>
          <w:lang w:val="en-GB"/>
        </w:rPr>
        <w:t xml:space="preserve"> </w:t>
      </w:r>
      <w:r w:rsidRPr="00D5269A">
        <w:rPr>
          <w:rFonts w:cs="Times New Roman"/>
          <w:i/>
          <w:lang w:val="en-GB"/>
        </w:rPr>
        <w:t>(Man.)</w:t>
      </w:r>
      <w:r w:rsidRPr="00D5269A">
        <w:rPr>
          <w:rFonts w:cs="Times New Roman"/>
          <w:lang w:val="en-GB"/>
        </w:rPr>
        <w:t>, [1990] 1 S.C.R. 1123, at p.</w:t>
      </w:r>
      <w:r>
        <w:rPr>
          <w:rFonts w:cs="Times New Roman"/>
          <w:lang w:val="en-GB"/>
        </w:rPr>
        <w:t> </w:t>
      </w:r>
      <w:r w:rsidRPr="00D5269A">
        <w:rPr>
          <w:rFonts w:cs="Times New Roman"/>
          <w:lang w:val="en-GB"/>
        </w:rPr>
        <w:t>1152:</w:t>
      </w:r>
    </w:p>
    <w:p w:rsidR="000738FC" w:rsidRPr="00D5269A" w:rsidRDefault="000738FC" w:rsidP="000738FC">
      <w:pPr>
        <w:pStyle w:val="Citation-AltC"/>
      </w:pPr>
      <w:r w:rsidRPr="00D5269A">
        <w:lastRenderedPageBreak/>
        <w:t>[T]here can be no crime or punishment unless it is in accordance with law that is certain, unambiguous and not retroactive.  The rationale underlying this principle is clear.  It is essential in a free and democratic society that citizens are able, as far as is possible, to foresee the consequences of their conduct in order that persons be given fair</w:t>
      </w:r>
      <w:r w:rsidR="000D513D">
        <w:t xml:space="preserve"> notice of what to avoid . . .</w:t>
      </w:r>
      <w:r w:rsidR="004A3F88">
        <w:t> .</w:t>
      </w:r>
    </w:p>
    <w:p w:rsidR="000738FC" w:rsidRPr="00D5269A" w:rsidRDefault="00874C99" w:rsidP="000738FC">
      <w:pPr>
        <w:pStyle w:val="ParaNoNdepar-AltN"/>
        <w:rPr>
          <w:rFonts w:cs="Times New Roman"/>
        </w:rPr>
      </w:pPr>
      <w:r>
        <w:rPr>
          <w:rFonts w:cs="Times New Roman"/>
        </w:rPr>
        <w:t>Section </w:t>
      </w:r>
      <w:r w:rsidR="000738FC" w:rsidRPr="00D5269A">
        <w:rPr>
          <w:rFonts w:cs="Times New Roman"/>
        </w:rPr>
        <w:t>11(</w:t>
      </w:r>
      <w:r w:rsidR="000738FC" w:rsidRPr="00D5269A">
        <w:rPr>
          <w:rFonts w:cs="Times New Roman"/>
          <w:i/>
        </w:rPr>
        <w:t>i</w:t>
      </w:r>
      <w:r w:rsidR="000738FC" w:rsidRPr="00D5269A">
        <w:rPr>
          <w:rFonts w:cs="Times New Roman"/>
        </w:rPr>
        <w:t xml:space="preserve">) of the </w:t>
      </w:r>
      <w:r w:rsidR="000738FC" w:rsidRPr="00D5269A">
        <w:rPr>
          <w:rFonts w:cs="Times New Roman"/>
          <w:i/>
        </w:rPr>
        <w:t xml:space="preserve">Charter </w:t>
      </w:r>
      <w:r w:rsidR="000738FC" w:rsidRPr="00D5269A">
        <w:rPr>
          <w:rFonts w:cs="Times New Roman"/>
        </w:rPr>
        <w:t>enshrines the common law rule that an offender should not be retrospectively subjected to a heavier punishment than the one applicable at the time the person committed the offence (</w:t>
      </w:r>
      <w:r w:rsidR="000738FC" w:rsidRPr="00D5269A">
        <w:rPr>
          <w:rFonts w:cs="Times New Roman"/>
          <w:i/>
        </w:rPr>
        <w:t>Canada (Attorney General) v. Whaling</w:t>
      </w:r>
      <w:r w:rsidR="000738FC" w:rsidRPr="00D5269A">
        <w:rPr>
          <w:rFonts w:cs="Times New Roman"/>
        </w:rPr>
        <w:t>,</w:t>
      </w:r>
      <w:r w:rsidR="000738FC" w:rsidRPr="00D5269A">
        <w:rPr>
          <w:rFonts w:cs="Times New Roman"/>
          <w:i/>
        </w:rPr>
        <w:t xml:space="preserve"> </w:t>
      </w:r>
      <w:r w:rsidR="000738FC" w:rsidRPr="00D5269A">
        <w:rPr>
          <w:rFonts w:cs="Times New Roman"/>
        </w:rPr>
        <w:t>2014 SCC 20, [2014] 1 S.C.R. 392, at para.</w:t>
      </w:r>
      <w:r w:rsidR="0075237C">
        <w:rPr>
          <w:rFonts w:cs="Times New Roman"/>
        </w:rPr>
        <w:t> </w:t>
      </w:r>
      <w:r w:rsidR="000738FC" w:rsidRPr="00D5269A">
        <w:rPr>
          <w:rFonts w:cs="Times New Roman"/>
        </w:rPr>
        <w:t xml:space="preserve">55; </w:t>
      </w:r>
      <w:r w:rsidR="000738FC" w:rsidRPr="00D5269A">
        <w:rPr>
          <w:rFonts w:cs="Times New Roman"/>
          <w:i/>
        </w:rPr>
        <w:t>K.R.J.</w:t>
      </w:r>
      <w:r w:rsidR="000738FC" w:rsidRPr="00D5269A">
        <w:rPr>
          <w:rFonts w:cs="Times New Roman"/>
        </w:rPr>
        <w:t>,</w:t>
      </w:r>
      <w:r w:rsidR="000738FC" w:rsidRPr="00D5269A">
        <w:rPr>
          <w:rFonts w:cs="Times New Roman"/>
          <w:i/>
        </w:rPr>
        <w:t xml:space="preserve"> </w:t>
      </w:r>
      <w:r w:rsidR="0075237C">
        <w:rPr>
          <w:rFonts w:cs="Times New Roman"/>
        </w:rPr>
        <w:t>at para. </w:t>
      </w:r>
      <w:r w:rsidR="000738FC" w:rsidRPr="00D5269A">
        <w:rPr>
          <w:rFonts w:cs="Times New Roman"/>
        </w:rPr>
        <w:t xml:space="preserve">22). However, </w:t>
      </w:r>
      <w:r w:rsidR="009D3239">
        <w:rPr>
          <w:rFonts w:cs="Times New Roman"/>
        </w:rPr>
        <w:t>it does not stop there. Section </w:t>
      </w:r>
      <w:r w:rsidR="000738FC" w:rsidRPr="00D5269A">
        <w:rPr>
          <w:rFonts w:cs="Times New Roman"/>
        </w:rPr>
        <w:t>11(</w:t>
      </w:r>
      <w:r w:rsidR="000738FC" w:rsidRPr="00D5269A">
        <w:rPr>
          <w:rFonts w:cs="Times New Roman"/>
          <w:i/>
        </w:rPr>
        <w:t>i</w:t>
      </w:r>
      <w:r w:rsidR="000738FC" w:rsidRPr="00D5269A">
        <w:rPr>
          <w:rFonts w:cs="Times New Roman"/>
        </w:rPr>
        <w:t>) constitutionalizes an additional</w:t>
      </w:r>
      <w:r w:rsidR="000738FC" w:rsidRPr="00D5269A">
        <w:rPr>
          <w:rFonts w:cs="Times New Roman"/>
          <w:i/>
        </w:rPr>
        <w:t xml:space="preserve"> </w:t>
      </w:r>
      <w:r w:rsidR="000738FC" w:rsidRPr="00D5269A">
        <w:rPr>
          <w:rFonts w:cs="Times New Roman"/>
        </w:rPr>
        <w:t xml:space="preserve">protection. It stipulates that, where the law provides a more favourable punishment at the time of the offender’s sentencing than it did at the time of the offence, the offender is entitled to the benefit of this more favourable, current punishment. This is so even though the offender actively risked a greater punishment in committing the offence. </w:t>
      </w:r>
    </w:p>
    <w:p w:rsidR="000738FC" w:rsidRPr="00D5269A" w:rsidRDefault="000738FC" w:rsidP="000738FC">
      <w:pPr>
        <w:pStyle w:val="ParaNoNdepar-AltN"/>
        <w:rPr>
          <w:rFonts w:cs="Times New Roman"/>
        </w:rPr>
      </w:pPr>
      <w:r w:rsidRPr="00D5269A">
        <w:rPr>
          <w:rFonts w:cs="Times New Roman"/>
        </w:rPr>
        <w:t xml:space="preserve">Why, then, should the offender </w:t>
      </w:r>
      <w:r w:rsidR="00E11A22">
        <w:rPr>
          <w:rFonts w:cs="Times New Roman"/>
        </w:rPr>
        <w:t>enjoy access to a lower present</w:t>
      </w:r>
      <w:r w:rsidR="00E11A22" w:rsidRPr="00A215D4">
        <w:rPr>
          <w:lang w:val="en-US"/>
        </w:rPr>
        <w:noBreakHyphen/>
      </w:r>
      <w:r w:rsidRPr="00D5269A">
        <w:rPr>
          <w:rFonts w:cs="Times New Roman"/>
        </w:rPr>
        <w:t xml:space="preserve">day punishment? The clear rationale is fairness (see </w:t>
      </w:r>
      <w:r w:rsidRPr="00D5269A">
        <w:rPr>
          <w:rFonts w:cs="Times New Roman"/>
          <w:i/>
        </w:rPr>
        <w:t>K.R.J.</w:t>
      </w:r>
      <w:r w:rsidRPr="00D5269A">
        <w:rPr>
          <w:rFonts w:cs="Times New Roman"/>
        </w:rPr>
        <w:t>,</w:t>
      </w:r>
      <w:r w:rsidRPr="00D5269A">
        <w:rPr>
          <w:rFonts w:cs="Times New Roman"/>
          <w:i/>
        </w:rPr>
        <w:t xml:space="preserve"> </w:t>
      </w:r>
      <w:r w:rsidR="00623569">
        <w:rPr>
          <w:rFonts w:cs="Times New Roman"/>
        </w:rPr>
        <w:t>at paras. </w:t>
      </w:r>
      <w:r w:rsidRPr="00D5269A">
        <w:rPr>
          <w:rFonts w:cs="Times New Roman"/>
        </w:rPr>
        <w:t>2, 27, 37 and 39). It would not be fair to subject an offender to a punishment which, in choosing to reduce it, Parliament has expressly recognized as no longer appropriate. Further, a criminal sentence is an expression of society’s collective voice; it is meant to reflect contemporary values. It would frustrate a fundamental principle of sentencing — proportionality (</w:t>
      </w:r>
      <w:r w:rsidRPr="00D5269A">
        <w:rPr>
          <w:rFonts w:cs="Times New Roman"/>
          <w:i/>
        </w:rPr>
        <w:t>Criminal Code</w:t>
      </w:r>
      <w:r w:rsidRPr="00D5269A">
        <w:rPr>
          <w:rFonts w:cs="Times New Roman"/>
        </w:rPr>
        <w:t>,</w:t>
      </w:r>
      <w:r w:rsidRPr="00D5269A">
        <w:rPr>
          <w:rFonts w:cs="Times New Roman"/>
          <w:i/>
        </w:rPr>
        <w:t xml:space="preserve"> </w:t>
      </w:r>
      <w:r w:rsidRPr="00D5269A">
        <w:rPr>
          <w:rFonts w:cs="Times New Roman"/>
        </w:rPr>
        <w:t xml:space="preserve">s. 718.1) — to impose a disproportionately high, outdated punishment which no longer reflects the moral blameworthiness of the offence. Thus, an offender who committed an offence at a time when that offence </w:t>
      </w:r>
      <w:r w:rsidRPr="00D5269A">
        <w:rPr>
          <w:rFonts w:cs="Times New Roman"/>
        </w:rPr>
        <w:lastRenderedPageBreak/>
        <w:t xml:space="preserve">attracted a life sentence should not be imprisoned for life if, at the moment of sentencing, the offence now attracts a lesser sentence of imprisonment. Instead of being unfairly subjected to a sentence which is out of step with current moral norms, this offender should receive the benefit of society’s current, modernized view of the offender’s conduct. </w:t>
      </w:r>
    </w:p>
    <w:p w:rsidR="000738FC" w:rsidRPr="00D5269A" w:rsidRDefault="000738FC" w:rsidP="000738FC">
      <w:pPr>
        <w:pStyle w:val="ParaNoNdepar-AltN"/>
        <w:rPr>
          <w:rFonts w:cs="Times New Roman"/>
        </w:rPr>
      </w:pPr>
      <w:r w:rsidRPr="00D5269A">
        <w:rPr>
          <w:rFonts w:cs="Times New Roman"/>
        </w:rPr>
        <w:t xml:space="preserve">By adopting this view and entitling the offender to </w:t>
      </w:r>
      <w:r w:rsidR="00C91E6F">
        <w:rPr>
          <w:rFonts w:cs="Times New Roman"/>
        </w:rPr>
        <w:t>lesser, current punishments, s. </w:t>
      </w:r>
      <w:r w:rsidRPr="00D5269A">
        <w:rPr>
          <w:rFonts w:cs="Times New Roman"/>
        </w:rPr>
        <w:t>11(</w:t>
      </w:r>
      <w:r w:rsidRPr="00D5269A">
        <w:rPr>
          <w:rFonts w:cs="Times New Roman"/>
          <w:i/>
        </w:rPr>
        <w:t>i</w:t>
      </w:r>
      <w:r w:rsidRPr="00D5269A">
        <w:rPr>
          <w:rFonts w:cs="Times New Roman"/>
        </w:rPr>
        <w:t>) involves an expansion of the offender’s common law right to be judged according to the law in force at the time of the offence. Th</w:t>
      </w:r>
      <w:r w:rsidR="00C91E6F">
        <w:rPr>
          <w:rFonts w:cs="Times New Roman"/>
        </w:rPr>
        <w:t>e additional protection that s. </w:t>
      </w:r>
      <w:r w:rsidRPr="00D5269A">
        <w:rPr>
          <w:rFonts w:cs="Times New Roman"/>
        </w:rPr>
        <w:t>11(</w:t>
      </w:r>
      <w:r w:rsidRPr="00D5269A">
        <w:rPr>
          <w:rFonts w:cs="Times New Roman"/>
          <w:i/>
        </w:rPr>
        <w:t>i</w:t>
      </w:r>
      <w:r w:rsidRPr="00D5269A">
        <w:rPr>
          <w:rFonts w:cs="Times New Roman"/>
        </w:rPr>
        <w:t xml:space="preserve">) confers is, therefore, access to a </w:t>
      </w:r>
      <w:r w:rsidRPr="00D5269A">
        <w:rPr>
          <w:rFonts w:cs="Times New Roman"/>
          <w:i/>
        </w:rPr>
        <w:t>decrease</w:t>
      </w:r>
      <w:r w:rsidRPr="00D5269A">
        <w:rPr>
          <w:rFonts w:cs="Times New Roman"/>
        </w:rPr>
        <w:t xml:space="preserve"> in punishment which coincides with an important step in the proceedings — namely, sentencing. Instead of merely guaranteeing to the offender the punishment applicable</w:t>
      </w:r>
      <w:r w:rsidR="00C91E6F">
        <w:rPr>
          <w:rFonts w:cs="Times New Roman"/>
        </w:rPr>
        <w:t xml:space="preserve"> at the time of the offence, s. </w:t>
      </w:r>
      <w:r w:rsidRPr="00D5269A">
        <w:rPr>
          <w:rFonts w:cs="Times New Roman"/>
        </w:rPr>
        <w:t>11(</w:t>
      </w:r>
      <w:r w:rsidRPr="00D5269A">
        <w:rPr>
          <w:rFonts w:cs="Times New Roman"/>
          <w:i/>
        </w:rPr>
        <w:t>i</w:t>
      </w:r>
      <w:r w:rsidRPr="00D5269A">
        <w:rPr>
          <w:rFonts w:cs="Times New Roman"/>
        </w:rPr>
        <w:t xml:space="preserve">) designates that punishment as </w:t>
      </w:r>
      <w:r w:rsidRPr="00D5269A">
        <w:rPr>
          <w:rFonts w:cs="Times New Roman"/>
          <w:i/>
        </w:rPr>
        <w:t>the ceiling</w:t>
      </w:r>
      <w:r w:rsidRPr="00D5269A">
        <w:rPr>
          <w:rFonts w:cs="Times New Roman"/>
        </w:rPr>
        <w:t>. An offender is entitled to the benefit of that punishment if it is favourable to the offender, and to the benefit of a lesser punishment if one has replaced the first punishment. The result is that, where the punishment at the time of the offence is lesser, the offender is entitled to it even though its imposition might mean that the offender receives a punishment which is now considered disproportionately low. Conversely, where the current punishment is lesser, the offender is entitled to it even though the offender might have risked a much higher punishment at the time the offender broke the law. In this way, s.</w:t>
      </w:r>
      <w:r w:rsidR="00EE47A0">
        <w:rPr>
          <w:rFonts w:cs="Times New Roman"/>
        </w:rPr>
        <w:t> </w:t>
      </w:r>
      <w:r w:rsidRPr="00D5269A">
        <w:rPr>
          <w:rFonts w:cs="Times New Roman"/>
        </w:rPr>
        <w:t>11(</w:t>
      </w:r>
      <w:r w:rsidRPr="00D5269A">
        <w:rPr>
          <w:rFonts w:cs="Times New Roman"/>
          <w:i/>
        </w:rPr>
        <w:t>i</w:t>
      </w:r>
      <w:r w:rsidRPr="00D5269A">
        <w:rPr>
          <w:rFonts w:cs="Times New Roman"/>
        </w:rPr>
        <w:t>) balances, on one hand, the principle of the rule of law (or legality) and, on the other, th</w:t>
      </w:r>
      <w:r w:rsidR="00E11A22">
        <w:rPr>
          <w:rFonts w:cs="Times New Roman"/>
        </w:rPr>
        <w:t>e principle of fairness (see F. </w:t>
      </w:r>
      <w:r w:rsidRPr="00D5269A">
        <w:rPr>
          <w:rFonts w:cs="Times New Roman"/>
        </w:rPr>
        <w:t>C</w:t>
      </w:r>
      <w:r w:rsidR="00E11A22">
        <w:rPr>
          <w:rFonts w:cs="Times New Roman"/>
        </w:rPr>
        <w:t>hevrette, H. Cyr and F. Tanguay </w:t>
      </w:r>
      <w:r w:rsidRPr="00D5269A">
        <w:rPr>
          <w:rFonts w:cs="Times New Roman"/>
        </w:rPr>
        <w:t xml:space="preserve">Renaud, “La protection lors de l’arrestation, la détention et la protection contre l’incrimination rétroactive”, in </w:t>
      </w:r>
      <w:r w:rsidRPr="00D5269A">
        <w:rPr>
          <w:rFonts w:cs="Times New Roman"/>
        </w:rPr>
        <w:lastRenderedPageBreak/>
        <w:t>G.</w:t>
      </w:r>
      <w:r w:rsidR="00E11A22" w:rsidRPr="00A215D4">
        <w:rPr>
          <w:lang w:val="en-US"/>
        </w:rPr>
        <w:noBreakHyphen/>
      </w:r>
      <w:r w:rsidR="00E11A22">
        <w:rPr>
          <w:rFonts w:cs="Times New Roman"/>
        </w:rPr>
        <w:t>A. Beaudoin and E. </w:t>
      </w:r>
      <w:r w:rsidRPr="00D5269A">
        <w:rPr>
          <w:rFonts w:cs="Times New Roman"/>
        </w:rPr>
        <w:t xml:space="preserve">Mendes, eds., </w:t>
      </w:r>
      <w:r w:rsidRPr="00D5269A">
        <w:rPr>
          <w:rFonts w:cs="Times New Roman"/>
          <w:i/>
        </w:rPr>
        <w:t xml:space="preserve">Canadian Charter of Rights and Freedoms </w:t>
      </w:r>
      <w:r w:rsidR="00E11A22">
        <w:rPr>
          <w:rFonts w:cs="Times New Roman"/>
        </w:rPr>
        <w:t>(4th ed. 2005), at p. 781).</w:t>
      </w:r>
    </w:p>
    <w:p w:rsidR="000738FC" w:rsidRPr="00D5269A" w:rsidRDefault="000738FC" w:rsidP="000738FC">
      <w:pPr>
        <w:pStyle w:val="ParaNoNdepar-AltN"/>
        <w:rPr>
          <w:rFonts w:cs="Times New Roman"/>
        </w:rPr>
      </w:pPr>
      <w:r w:rsidRPr="00D5269A">
        <w:rPr>
          <w:rFonts w:cs="Times New Roman"/>
        </w:rPr>
        <w:t>The parties and interveners appear to agree that the rule of law and fairnes</w:t>
      </w:r>
      <w:r w:rsidR="005D686E">
        <w:rPr>
          <w:rFonts w:cs="Times New Roman"/>
        </w:rPr>
        <w:t>s are underlying purposes of s. </w:t>
      </w:r>
      <w:r w:rsidRPr="00D5269A">
        <w:rPr>
          <w:rFonts w:cs="Times New Roman"/>
        </w:rPr>
        <w:t>11(</w:t>
      </w:r>
      <w:r w:rsidRPr="00D5269A">
        <w:rPr>
          <w:rFonts w:cs="Times New Roman"/>
          <w:i/>
        </w:rPr>
        <w:t>i</w:t>
      </w:r>
      <w:r w:rsidRPr="00D5269A">
        <w:rPr>
          <w:rFonts w:cs="Times New Roman"/>
        </w:rPr>
        <w:t>). Their dispute centres on whether these purposes support a binary or a global interpretation of s.</w:t>
      </w:r>
      <w:r w:rsidR="005D686E">
        <w:rPr>
          <w:rFonts w:cs="Times New Roman"/>
        </w:rPr>
        <w:t> </w:t>
      </w:r>
      <w:r w:rsidRPr="00D5269A">
        <w:rPr>
          <w:rFonts w:cs="Times New Roman"/>
        </w:rPr>
        <w:t>11(</w:t>
      </w:r>
      <w:r w:rsidRPr="00D5269A">
        <w:rPr>
          <w:rFonts w:cs="Times New Roman"/>
          <w:i/>
        </w:rPr>
        <w:t>i</w:t>
      </w:r>
      <w:r w:rsidRPr="00D5269A">
        <w:rPr>
          <w:rFonts w:cs="Times New Roman"/>
        </w:rPr>
        <w:t>). For its part, and as further discussed below, the CLA asserts t</w:t>
      </w:r>
      <w:r w:rsidR="005D686E">
        <w:rPr>
          <w:rFonts w:cs="Times New Roman"/>
        </w:rPr>
        <w:t>hat an additional purpose of s. </w:t>
      </w:r>
      <w:r w:rsidRPr="00D5269A">
        <w:rPr>
          <w:rFonts w:cs="Times New Roman"/>
        </w:rPr>
        <w:t>11(</w:t>
      </w:r>
      <w:r w:rsidRPr="00D5269A">
        <w:rPr>
          <w:rFonts w:cs="Times New Roman"/>
          <w:i/>
        </w:rPr>
        <w:t>i</w:t>
      </w:r>
      <w:r w:rsidRPr="00D5269A">
        <w:rPr>
          <w:rFonts w:cs="Times New Roman"/>
        </w:rPr>
        <w:t>) is to counteract the randomness or arbitrariness of the timing of one’s sentencing. I see no indication of such a purpose in the right’s language or origins. To the contrary, I find that</w:t>
      </w:r>
      <w:r w:rsidR="005D686E">
        <w:rPr>
          <w:rFonts w:cs="Times New Roman"/>
        </w:rPr>
        <w:t xml:space="preserve"> the language and origins of s. </w:t>
      </w:r>
      <w:r w:rsidRPr="00D5269A">
        <w:rPr>
          <w:rFonts w:cs="Times New Roman"/>
        </w:rPr>
        <w:t>11(</w:t>
      </w:r>
      <w:r w:rsidRPr="00D5269A">
        <w:rPr>
          <w:rFonts w:cs="Times New Roman"/>
          <w:i/>
        </w:rPr>
        <w:t>i</w:t>
      </w:r>
      <w:r w:rsidRPr="00D5269A">
        <w:rPr>
          <w:rFonts w:cs="Times New Roman"/>
        </w:rPr>
        <w:t>) lend support to a binary interpretation of the provision. I examine each of them next.</w:t>
      </w:r>
    </w:p>
    <w:p w:rsidR="000738FC" w:rsidRPr="00D5269A" w:rsidRDefault="00E00A21" w:rsidP="000738FC">
      <w:pPr>
        <w:pStyle w:val="Title4LevelTitre4Niveau"/>
        <w:rPr>
          <w:rFonts w:cs="Times New Roman"/>
        </w:rPr>
      </w:pPr>
      <w:bookmarkStart w:id="40" w:name="_Toc12005417"/>
      <w:bookmarkStart w:id="41" w:name="_Toc14423815"/>
      <w:bookmarkStart w:id="42" w:name="_Toc15313758"/>
      <w:r>
        <w:rPr>
          <w:rFonts w:cs="Times New Roman"/>
        </w:rPr>
        <w:t>The Language of Section </w:t>
      </w:r>
      <w:r w:rsidR="000738FC" w:rsidRPr="00D5269A">
        <w:rPr>
          <w:rFonts w:cs="Times New Roman"/>
        </w:rPr>
        <w:t>11(i)</w:t>
      </w:r>
      <w:bookmarkEnd w:id="40"/>
      <w:bookmarkEnd w:id="41"/>
      <w:bookmarkEnd w:id="42"/>
      <w:r w:rsidR="000738FC" w:rsidRPr="00D5269A">
        <w:rPr>
          <w:rFonts w:cs="Times New Roman"/>
        </w:rPr>
        <w:t xml:space="preserve"> </w:t>
      </w:r>
    </w:p>
    <w:p w:rsidR="000738FC" w:rsidRPr="00D5269A" w:rsidRDefault="000738FC" w:rsidP="000738FC">
      <w:pPr>
        <w:pStyle w:val="ParaNoNdepar-AltN"/>
        <w:rPr>
          <w:rFonts w:cs="Times New Roman"/>
        </w:rPr>
      </w:pPr>
      <w:r w:rsidRPr="00D5269A">
        <w:rPr>
          <w:rFonts w:cs="Times New Roman"/>
        </w:rPr>
        <w:t xml:space="preserve">When conducting a purposive analysis of a </w:t>
      </w:r>
      <w:r w:rsidRPr="00D5269A">
        <w:rPr>
          <w:rFonts w:cs="Times New Roman"/>
          <w:i/>
        </w:rPr>
        <w:t xml:space="preserve">Charter </w:t>
      </w:r>
      <w:r w:rsidRPr="00D5269A">
        <w:rPr>
          <w:rFonts w:cs="Times New Roman"/>
        </w:rPr>
        <w:t>right, “the starting point must be the language of the section” (</w:t>
      </w:r>
      <w:r w:rsidRPr="00D5269A">
        <w:rPr>
          <w:rFonts w:cs="Times New Roman"/>
          <w:i/>
        </w:rPr>
        <w:t>Grant</w:t>
      </w:r>
      <w:r w:rsidRPr="00D5269A">
        <w:rPr>
          <w:rFonts w:cs="Times New Roman"/>
        </w:rPr>
        <w:t>,</w:t>
      </w:r>
      <w:r w:rsidRPr="00D5269A">
        <w:rPr>
          <w:rFonts w:cs="Times New Roman"/>
          <w:i/>
        </w:rPr>
        <w:t xml:space="preserve"> </w:t>
      </w:r>
      <w:r w:rsidR="0050298E">
        <w:rPr>
          <w:rFonts w:cs="Times New Roman"/>
        </w:rPr>
        <w:t>at para. </w:t>
      </w:r>
      <w:r w:rsidR="00E00A21">
        <w:rPr>
          <w:rFonts w:cs="Times New Roman"/>
        </w:rPr>
        <w:t>15). To reiterate, s. </w:t>
      </w:r>
      <w:r w:rsidRPr="00D5269A">
        <w:rPr>
          <w:rFonts w:cs="Times New Roman"/>
        </w:rPr>
        <w:t>11(</w:t>
      </w:r>
      <w:r w:rsidRPr="00D5269A">
        <w:rPr>
          <w:rFonts w:cs="Times New Roman"/>
          <w:i/>
        </w:rPr>
        <w:t>i</w:t>
      </w:r>
      <w:r w:rsidRPr="00D5269A">
        <w:rPr>
          <w:rFonts w:cs="Times New Roman"/>
        </w:rPr>
        <w:t>) reads:</w:t>
      </w:r>
    </w:p>
    <w:p w:rsidR="000738FC" w:rsidRPr="00D5269A" w:rsidRDefault="000738FC" w:rsidP="003F67A3">
      <w:pPr>
        <w:pStyle w:val="Citation-AltC"/>
        <w:ind w:firstLine="274"/>
      </w:pPr>
      <w:r w:rsidRPr="00D5269A">
        <w:rPr>
          <w:b/>
          <w:bCs/>
        </w:rPr>
        <w:t>11.</w:t>
      </w:r>
      <w:r w:rsidRPr="00D5269A">
        <w:t> Any person charged with an offence has the right</w:t>
      </w:r>
    </w:p>
    <w:p w:rsidR="000738FC" w:rsidRPr="00D5269A" w:rsidRDefault="000738FC" w:rsidP="000738FC">
      <w:pPr>
        <w:pStyle w:val="Citation-AltC"/>
        <w:rPr>
          <w:bCs/>
        </w:rPr>
      </w:pPr>
    </w:p>
    <w:p w:rsidR="000738FC" w:rsidRPr="00D5269A" w:rsidRDefault="00021C27" w:rsidP="000738FC">
      <w:pPr>
        <w:pStyle w:val="Citation-AltC"/>
        <w:jc w:val="center"/>
        <w:rPr>
          <w:bCs/>
        </w:rPr>
      </w:pPr>
      <w:r>
        <w:rPr>
          <w:bCs/>
        </w:rPr>
        <w:t>. </w:t>
      </w:r>
      <w:r w:rsidR="000738FC" w:rsidRPr="00D5269A">
        <w:rPr>
          <w:bCs/>
        </w:rPr>
        <w:t>.</w:t>
      </w:r>
      <w:r>
        <w:rPr>
          <w:bCs/>
        </w:rPr>
        <w:t> .</w:t>
      </w:r>
    </w:p>
    <w:p w:rsidR="000738FC" w:rsidRPr="00D5269A" w:rsidRDefault="000738FC" w:rsidP="000738FC">
      <w:pPr>
        <w:pStyle w:val="Citation-AltC"/>
        <w:jc w:val="center"/>
        <w:rPr>
          <w:bCs/>
        </w:rPr>
      </w:pPr>
    </w:p>
    <w:p w:rsidR="000738FC" w:rsidRPr="00D5269A" w:rsidRDefault="000738FC" w:rsidP="003F67A3">
      <w:pPr>
        <w:pStyle w:val="Citation-AltC"/>
        <w:ind w:left="1440"/>
      </w:pPr>
      <w:r w:rsidRPr="00D5269A">
        <w:t>(</w:t>
      </w:r>
      <w:r w:rsidRPr="00D5269A">
        <w:rPr>
          <w:i/>
          <w:iCs/>
        </w:rPr>
        <w:t>i</w:t>
      </w:r>
      <w:r w:rsidRPr="00D5269A">
        <w:t xml:space="preserve">) if found guilty of the offence and if the punishment for the offence has been varied </w:t>
      </w:r>
      <w:r w:rsidRPr="00D5269A">
        <w:rPr>
          <w:u w:val="single"/>
        </w:rPr>
        <w:t>between</w:t>
      </w:r>
      <w:r w:rsidRPr="00D5269A">
        <w:t xml:space="preserve"> the time of commission and the time of sentencing, to the benefit of the </w:t>
      </w:r>
      <w:r w:rsidRPr="00D5269A">
        <w:rPr>
          <w:u w:val="single"/>
        </w:rPr>
        <w:t>lesser</w:t>
      </w:r>
      <w:r w:rsidRPr="00D5269A">
        <w:t xml:space="preserve"> punishment.</w:t>
      </w:r>
    </w:p>
    <w:p w:rsidR="000738FC" w:rsidRPr="00D5269A" w:rsidRDefault="000738FC" w:rsidP="003F67A3">
      <w:pPr>
        <w:pStyle w:val="Citation-AltC"/>
        <w:ind w:left="1440"/>
      </w:pPr>
    </w:p>
    <w:p w:rsidR="000738FC" w:rsidRPr="00D5269A" w:rsidRDefault="000738FC" w:rsidP="003F67A3">
      <w:pPr>
        <w:pStyle w:val="Citation-AltC"/>
        <w:ind w:left="1440"/>
      </w:pPr>
    </w:p>
    <w:p w:rsidR="000738FC" w:rsidRPr="00D5269A" w:rsidRDefault="000738FC" w:rsidP="003F67A3">
      <w:pPr>
        <w:pStyle w:val="Citation-AltC"/>
        <w:ind w:firstLine="274"/>
        <w:rPr>
          <w:lang w:val="fr-CA"/>
        </w:rPr>
      </w:pPr>
      <w:r w:rsidRPr="00D5269A">
        <w:rPr>
          <w:b/>
          <w:bCs/>
          <w:lang w:val="fr-CA"/>
        </w:rPr>
        <w:t>11.</w:t>
      </w:r>
      <w:r w:rsidRPr="00D5269A">
        <w:rPr>
          <w:lang w:val="fr-CA"/>
        </w:rPr>
        <w:t> </w:t>
      </w:r>
      <w:r w:rsidRPr="006604E4">
        <w:rPr>
          <w:lang w:val="fr-CA"/>
        </w:rPr>
        <w:t>Tout</w:t>
      </w:r>
      <w:r w:rsidRPr="00D5269A">
        <w:rPr>
          <w:lang w:val="fr-CA"/>
        </w:rPr>
        <w:t xml:space="preserve"> inculpé a le droit :</w:t>
      </w:r>
    </w:p>
    <w:p w:rsidR="000738FC" w:rsidRPr="00D5269A" w:rsidRDefault="000738FC" w:rsidP="000738FC">
      <w:pPr>
        <w:pStyle w:val="Citation-AltC"/>
        <w:rPr>
          <w:lang w:val="fr-CA"/>
        </w:rPr>
      </w:pPr>
    </w:p>
    <w:p w:rsidR="000738FC" w:rsidRPr="00D5269A" w:rsidRDefault="00642F9B" w:rsidP="000738FC">
      <w:pPr>
        <w:pStyle w:val="Citation-AltC"/>
        <w:jc w:val="center"/>
        <w:rPr>
          <w:bCs/>
          <w:lang w:val="fr-CA"/>
        </w:rPr>
      </w:pPr>
      <w:r>
        <w:rPr>
          <w:bCs/>
          <w:lang w:val="fr-CA"/>
        </w:rPr>
        <w:lastRenderedPageBreak/>
        <w:t>. . .</w:t>
      </w:r>
    </w:p>
    <w:p w:rsidR="000738FC" w:rsidRPr="00D5269A" w:rsidRDefault="000738FC" w:rsidP="000738FC">
      <w:pPr>
        <w:pStyle w:val="Citation-AltC"/>
        <w:jc w:val="center"/>
        <w:rPr>
          <w:bCs/>
          <w:lang w:val="fr-CA"/>
        </w:rPr>
      </w:pPr>
    </w:p>
    <w:p w:rsidR="000738FC" w:rsidRPr="00D5269A" w:rsidRDefault="000738FC" w:rsidP="003F67A3">
      <w:pPr>
        <w:pStyle w:val="Citation-AltC"/>
        <w:ind w:left="1440"/>
        <w:rPr>
          <w:lang w:val="fr-CA"/>
        </w:rPr>
      </w:pPr>
      <w:r w:rsidRPr="00D5269A">
        <w:rPr>
          <w:i/>
          <w:iCs/>
          <w:lang w:val="fr-CA"/>
        </w:rPr>
        <w:t>i</w:t>
      </w:r>
      <w:r w:rsidRPr="00D5269A">
        <w:rPr>
          <w:lang w:val="fr-CA"/>
        </w:rPr>
        <w:t xml:space="preserve">) de bénéficier de la peine </w:t>
      </w:r>
      <w:r w:rsidRPr="00D5269A">
        <w:rPr>
          <w:u w:val="single"/>
          <w:lang w:val="fr-CA"/>
        </w:rPr>
        <w:t>la moins sévère</w:t>
      </w:r>
      <w:r w:rsidRPr="00D5269A">
        <w:rPr>
          <w:lang w:val="fr-CA"/>
        </w:rPr>
        <w:t xml:space="preserve">, lorsque la peine qui sanctionne l’infraction dont il est déclaré coupable est modifiée </w:t>
      </w:r>
      <w:r w:rsidRPr="00D5269A">
        <w:rPr>
          <w:u w:val="single"/>
          <w:lang w:val="fr-CA"/>
        </w:rPr>
        <w:t>entre</w:t>
      </w:r>
      <w:r w:rsidRPr="00D5269A">
        <w:rPr>
          <w:lang w:val="fr-CA"/>
        </w:rPr>
        <w:t xml:space="preserve"> le moment de la perpétration de l’infraction et celui de la sentence.</w:t>
      </w:r>
    </w:p>
    <w:p w:rsidR="000738FC" w:rsidRPr="00D5269A" w:rsidRDefault="000738FC" w:rsidP="000738FC">
      <w:pPr>
        <w:pStyle w:val="ParaNoNdepar-AltN"/>
        <w:rPr>
          <w:rFonts w:cs="Times New Roman"/>
        </w:rPr>
      </w:pPr>
      <w:r w:rsidRPr="00D5269A">
        <w:rPr>
          <w:rFonts w:cs="Times New Roman"/>
        </w:rPr>
        <w:t xml:space="preserve">In support of a binary interpretation of this right, the Crown emphasizes the word “lesser” in “lesser punishment”, which denotes the lower of </w:t>
      </w:r>
      <w:r w:rsidRPr="00D5269A">
        <w:rPr>
          <w:rFonts w:cs="Times New Roman"/>
          <w:i/>
        </w:rPr>
        <w:t xml:space="preserve">two </w:t>
      </w:r>
      <w:r w:rsidRPr="00D5269A">
        <w:rPr>
          <w:rFonts w:cs="Times New Roman"/>
        </w:rPr>
        <w:t>options. It says that, had Parliament</w:t>
      </w:r>
      <w:r w:rsidRPr="00D5269A">
        <w:rPr>
          <w:rFonts w:cs="Times New Roman"/>
          <w:i/>
        </w:rPr>
        <w:t xml:space="preserve"> </w:t>
      </w:r>
      <w:r w:rsidRPr="00D5269A">
        <w:rPr>
          <w:rFonts w:cs="Times New Roman"/>
        </w:rPr>
        <w:t>intended for s.</w:t>
      </w:r>
      <w:r w:rsidR="00304891">
        <w:rPr>
          <w:rFonts w:cs="Times New Roman"/>
        </w:rPr>
        <w:t> </w:t>
      </w:r>
      <w:r w:rsidRPr="00D5269A">
        <w:rPr>
          <w:rFonts w:cs="Times New Roman"/>
        </w:rPr>
        <w:t>11(</w:t>
      </w:r>
      <w:r w:rsidRPr="00D5269A">
        <w:rPr>
          <w:rFonts w:cs="Times New Roman"/>
          <w:i/>
        </w:rPr>
        <w:t>i</w:t>
      </w:r>
      <w:r w:rsidRPr="00D5269A">
        <w:rPr>
          <w:rFonts w:cs="Times New Roman"/>
        </w:rPr>
        <w:t>) to confer a global right, it could have specified that the offender was entitled to the “least severe punishment” instead of the “lesser punishment”. To the extent that the French version of s.</w:t>
      </w:r>
      <w:r w:rsidR="00304891">
        <w:rPr>
          <w:rFonts w:cs="Times New Roman"/>
        </w:rPr>
        <w:t> </w:t>
      </w:r>
      <w:r w:rsidRPr="00D5269A">
        <w:rPr>
          <w:rFonts w:cs="Times New Roman"/>
        </w:rPr>
        <w:t>11(</w:t>
      </w:r>
      <w:r w:rsidRPr="00D5269A">
        <w:rPr>
          <w:rFonts w:cs="Times New Roman"/>
          <w:i/>
        </w:rPr>
        <w:t>i</w:t>
      </w:r>
      <w:r w:rsidRPr="00D5269A">
        <w:rPr>
          <w:rFonts w:cs="Times New Roman"/>
        </w:rPr>
        <w:t>) employs broader language evoking the least severe punishment (“</w:t>
      </w:r>
      <w:r w:rsidRPr="00D5269A">
        <w:rPr>
          <w:rFonts w:cs="Times New Roman"/>
          <w:i/>
        </w:rPr>
        <w:t>la peine la moins sévère</w:t>
      </w:r>
      <w:r w:rsidRPr="00D5269A">
        <w:rPr>
          <w:rFonts w:cs="Times New Roman"/>
        </w:rPr>
        <w:t>”), the Crown says that, in this case, the English wording must take precedence. This is because of the established principle of bilingual interpretation that the authoritative meaning is the common meaning between the two provisions (</w:t>
      </w:r>
      <w:r w:rsidRPr="00D5269A">
        <w:rPr>
          <w:rFonts w:cs="Times New Roman"/>
          <w:i/>
        </w:rPr>
        <w:t>R. v. Daoust</w:t>
      </w:r>
      <w:r w:rsidRPr="00D5269A">
        <w:rPr>
          <w:rFonts w:cs="Times New Roman"/>
        </w:rPr>
        <w:t>,</w:t>
      </w:r>
      <w:r w:rsidRPr="00D5269A">
        <w:rPr>
          <w:rFonts w:cs="Times New Roman"/>
          <w:i/>
        </w:rPr>
        <w:t xml:space="preserve"> </w:t>
      </w:r>
      <w:r w:rsidRPr="00D5269A">
        <w:rPr>
          <w:rFonts w:cs="Times New Roman"/>
        </w:rPr>
        <w:t>2004 SCC 6,</w:t>
      </w:r>
      <w:r w:rsidR="008F7BB6">
        <w:rPr>
          <w:rFonts w:cs="Times New Roman"/>
        </w:rPr>
        <w:t xml:space="preserve"> [2004] 1 S.C.R. 217, at paras. </w:t>
      </w:r>
      <w:r w:rsidRPr="00D5269A">
        <w:rPr>
          <w:rFonts w:cs="Times New Roman"/>
          <w:lang w:val="fr-CA"/>
        </w:rPr>
        <w:t xml:space="preserve">26 and 29; </w:t>
      </w:r>
      <w:r w:rsidRPr="00D5269A">
        <w:rPr>
          <w:rFonts w:cs="Times New Roman"/>
          <w:i/>
          <w:lang w:val="fr-CA"/>
        </w:rPr>
        <w:t>Montréal (City) v. Quebec (Commission des droits de la personne et des droits de la jeunesse)</w:t>
      </w:r>
      <w:r w:rsidRPr="00D5269A">
        <w:rPr>
          <w:rFonts w:cs="Times New Roman"/>
          <w:lang w:val="fr-CA"/>
        </w:rPr>
        <w:t>, 2008 SCC 48</w:t>
      </w:r>
      <w:r w:rsidR="002F2CCD">
        <w:rPr>
          <w:rFonts w:cs="Times New Roman"/>
          <w:lang w:val="fr-CA"/>
        </w:rPr>
        <w:t>, [2008] 2 S.C.R. 698, at para. </w:t>
      </w:r>
      <w:r w:rsidRPr="00D5269A">
        <w:rPr>
          <w:rFonts w:cs="Times New Roman"/>
          <w:lang w:val="en-US"/>
        </w:rPr>
        <w:t>53</w:t>
      </w:r>
      <w:r w:rsidRPr="00D5269A">
        <w:rPr>
          <w:rFonts w:cs="Times New Roman"/>
        </w:rPr>
        <w:t>). As “least” encompasses “lesser”, the latter is the common meaning between the two.</w:t>
      </w:r>
    </w:p>
    <w:p w:rsidR="000738FC" w:rsidRPr="00D5269A" w:rsidRDefault="006654D7" w:rsidP="000738FC">
      <w:pPr>
        <w:pStyle w:val="ParaNoNdepar-AltN"/>
        <w:rPr>
          <w:rFonts w:cs="Times New Roman"/>
        </w:rPr>
      </w:pPr>
      <w:r>
        <w:rPr>
          <w:rFonts w:cs="Times New Roman"/>
        </w:rPr>
        <w:t>For his part, Mr. </w:t>
      </w:r>
      <w:r w:rsidR="000738FC" w:rsidRPr="00D5269A">
        <w:rPr>
          <w:rFonts w:cs="Times New Roman"/>
        </w:rPr>
        <w:t>Poulin emphasizes the word “between”, which he says demonstrates Parliamen</w:t>
      </w:r>
      <w:r w:rsidR="00B373DF">
        <w:rPr>
          <w:rFonts w:cs="Times New Roman"/>
        </w:rPr>
        <w:t>t’s intent that s. </w:t>
      </w:r>
      <w:r w:rsidR="000738FC" w:rsidRPr="00D5269A">
        <w:rPr>
          <w:rFonts w:cs="Times New Roman"/>
        </w:rPr>
        <w:t>11(</w:t>
      </w:r>
      <w:r w:rsidR="000738FC" w:rsidRPr="00D5269A">
        <w:rPr>
          <w:rFonts w:cs="Times New Roman"/>
          <w:i/>
        </w:rPr>
        <w:t>i</w:t>
      </w:r>
      <w:r w:rsidR="000738FC" w:rsidRPr="00D5269A">
        <w:rPr>
          <w:rFonts w:cs="Times New Roman"/>
        </w:rPr>
        <w:t xml:space="preserve">) capture those punishments available </w:t>
      </w:r>
      <w:r w:rsidR="000738FC" w:rsidRPr="00D5269A">
        <w:rPr>
          <w:rFonts w:cs="Times New Roman"/>
          <w:i/>
        </w:rPr>
        <w:t xml:space="preserve">in the interval between </w:t>
      </w:r>
      <w:r w:rsidR="000738FC" w:rsidRPr="00D5269A">
        <w:rPr>
          <w:rFonts w:cs="Times New Roman"/>
        </w:rPr>
        <w:t xml:space="preserve">the offence and sentencing. As set out above, the courts in </w:t>
      </w:r>
      <w:r w:rsidR="000738FC" w:rsidRPr="00D5269A">
        <w:rPr>
          <w:rFonts w:cs="Times New Roman"/>
          <w:i/>
        </w:rPr>
        <w:t>Cadman</w:t>
      </w:r>
      <w:r w:rsidR="000738FC" w:rsidRPr="00D5269A">
        <w:rPr>
          <w:rFonts w:cs="Times New Roman"/>
        </w:rPr>
        <w:t>,</w:t>
      </w:r>
      <w:r w:rsidR="000738FC" w:rsidRPr="00D5269A">
        <w:rPr>
          <w:rFonts w:cs="Times New Roman"/>
          <w:i/>
        </w:rPr>
        <w:t xml:space="preserve"> </w:t>
      </w:r>
      <w:r w:rsidR="000738FC" w:rsidRPr="00D5269A">
        <w:rPr>
          <w:rFonts w:cs="Times New Roman"/>
        </w:rPr>
        <w:t>at para.</w:t>
      </w:r>
      <w:r w:rsidR="005B1C15">
        <w:rPr>
          <w:rFonts w:cs="Times New Roman"/>
        </w:rPr>
        <w:t> </w:t>
      </w:r>
      <w:r w:rsidR="000738FC" w:rsidRPr="00D5269A">
        <w:rPr>
          <w:rFonts w:cs="Times New Roman"/>
        </w:rPr>
        <w:t xml:space="preserve">44, </w:t>
      </w:r>
      <w:r w:rsidR="000738FC" w:rsidRPr="00D5269A">
        <w:rPr>
          <w:rFonts w:cs="Times New Roman"/>
          <w:i/>
        </w:rPr>
        <w:t>Bent</w:t>
      </w:r>
      <w:r w:rsidR="000738FC" w:rsidRPr="00D5269A">
        <w:rPr>
          <w:rFonts w:cs="Times New Roman"/>
        </w:rPr>
        <w:t>,</w:t>
      </w:r>
      <w:r w:rsidR="000738FC" w:rsidRPr="00D5269A">
        <w:rPr>
          <w:rFonts w:cs="Times New Roman"/>
          <w:i/>
        </w:rPr>
        <w:t xml:space="preserve"> </w:t>
      </w:r>
      <w:r w:rsidR="000738FC" w:rsidRPr="00D5269A">
        <w:rPr>
          <w:rFonts w:cs="Times New Roman"/>
        </w:rPr>
        <w:t>at para.</w:t>
      </w:r>
      <w:r w:rsidR="005B1C15">
        <w:rPr>
          <w:rFonts w:cs="Times New Roman"/>
        </w:rPr>
        <w:t> </w:t>
      </w:r>
      <w:r w:rsidR="000738FC" w:rsidRPr="00D5269A">
        <w:rPr>
          <w:rFonts w:cs="Times New Roman"/>
        </w:rPr>
        <w:t xml:space="preserve">79, and </w:t>
      </w:r>
      <w:r w:rsidR="000738FC" w:rsidRPr="00D5269A">
        <w:rPr>
          <w:rFonts w:cs="Times New Roman"/>
          <w:i/>
        </w:rPr>
        <w:t>Mehanmal</w:t>
      </w:r>
      <w:r w:rsidR="000738FC" w:rsidRPr="00D5269A">
        <w:rPr>
          <w:rFonts w:cs="Times New Roman"/>
        </w:rPr>
        <w:t>,</w:t>
      </w:r>
      <w:r w:rsidR="000738FC" w:rsidRPr="00D5269A">
        <w:rPr>
          <w:rFonts w:cs="Times New Roman"/>
          <w:i/>
        </w:rPr>
        <w:t xml:space="preserve"> </w:t>
      </w:r>
      <w:r w:rsidR="005B1C15">
        <w:rPr>
          <w:rFonts w:cs="Times New Roman"/>
        </w:rPr>
        <w:t>at para. </w:t>
      </w:r>
      <w:r w:rsidR="000738FC" w:rsidRPr="00D5269A">
        <w:rPr>
          <w:rFonts w:cs="Times New Roman"/>
        </w:rPr>
        <w:t>75, placed similar reliance on the term “between</w:t>
      </w:r>
      <w:r w:rsidR="00B373DF">
        <w:rPr>
          <w:rFonts w:cs="Times New Roman"/>
        </w:rPr>
        <w:t>” in reading s. </w:t>
      </w:r>
      <w:r w:rsidR="000738FC" w:rsidRPr="00D5269A">
        <w:rPr>
          <w:rFonts w:cs="Times New Roman"/>
        </w:rPr>
        <w:t>11(</w:t>
      </w:r>
      <w:r w:rsidR="000738FC" w:rsidRPr="00D5269A">
        <w:rPr>
          <w:rFonts w:cs="Times New Roman"/>
          <w:i/>
        </w:rPr>
        <w:t>i</w:t>
      </w:r>
      <w:r w:rsidR="000738FC" w:rsidRPr="00D5269A">
        <w:rPr>
          <w:rFonts w:cs="Times New Roman"/>
        </w:rPr>
        <w:t>) globally.</w:t>
      </w:r>
    </w:p>
    <w:p w:rsidR="000738FC" w:rsidRPr="00D5269A" w:rsidRDefault="000738FC" w:rsidP="000738FC">
      <w:pPr>
        <w:pStyle w:val="ParaNoNdepar-AltN"/>
        <w:rPr>
          <w:rFonts w:cs="Times New Roman"/>
        </w:rPr>
      </w:pPr>
      <w:r w:rsidRPr="00D5269A">
        <w:rPr>
          <w:rFonts w:cs="Times New Roman"/>
        </w:rPr>
        <w:lastRenderedPageBreak/>
        <w:t>I do not find that the use of “between”</w:t>
      </w:r>
      <w:r w:rsidR="00C27389">
        <w:rPr>
          <w:rFonts w:cs="Times New Roman"/>
        </w:rPr>
        <w:t xml:space="preserve"> favours a global reading of s. </w:t>
      </w:r>
      <w:r w:rsidRPr="00D5269A">
        <w:rPr>
          <w:rFonts w:cs="Times New Roman"/>
        </w:rPr>
        <w:t>11(</w:t>
      </w:r>
      <w:r w:rsidRPr="00D5269A">
        <w:rPr>
          <w:rFonts w:cs="Times New Roman"/>
          <w:i/>
        </w:rPr>
        <w:t>i</w:t>
      </w:r>
      <w:r w:rsidRPr="00D5269A">
        <w:rPr>
          <w:rFonts w:cs="Times New Roman"/>
        </w:rPr>
        <w:t>). In my view, this wording is consistent with both a binary and a global interpretation of s.</w:t>
      </w:r>
      <w:r w:rsidR="00C27389">
        <w:rPr>
          <w:rFonts w:cs="Times New Roman"/>
        </w:rPr>
        <w:t> </w:t>
      </w:r>
      <w:r w:rsidRPr="00D5269A">
        <w:rPr>
          <w:rFonts w:cs="Times New Roman"/>
        </w:rPr>
        <w:t>11(</w:t>
      </w:r>
      <w:r w:rsidRPr="00D5269A">
        <w:rPr>
          <w:rFonts w:cs="Times New Roman"/>
          <w:i/>
        </w:rPr>
        <w:t>i</w:t>
      </w:r>
      <w:r w:rsidRPr="00D5269A">
        <w:rPr>
          <w:rFonts w:cs="Times New Roman"/>
        </w:rPr>
        <w:t xml:space="preserve">). While it evokes an interval, an interval, in itself, does not suggest a global interpretation. This is because, for a different punishment to exist at the time of sentencing than existed at the time of the offence, the punishment must necessarily have changed </w:t>
      </w:r>
      <w:r w:rsidRPr="00D5269A">
        <w:rPr>
          <w:rFonts w:cs="Times New Roman"/>
          <w:i/>
        </w:rPr>
        <w:t xml:space="preserve">in the interval between </w:t>
      </w:r>
      <w:r w:rsidRPr="00D5269A">
        <w:rPr>
          <w:rFonts w:cs="Times New Roman"/>
        </w:rPr>
        <w:t xml:space="preserve">those two times. By its orientation toward </w:t>
      </w:r>
      <w:r w:rsidR="00095177">
        <w:rPr>
          <w:rFonts w:cs="Times New Roman"/>
        </w:rPr>
        <w:t>change during that interval, s. </w:t>
      </w:r>
      <w:r w:rsidRPr="00D5269A">
        <w:rPr>
          <w:rFonts w:cs="Times New Roman"/>
        </w:rPr>
        <w:t>11(</w:t>
      </w:r>
      <w:r w:rsidRPr="00D5269A">
        <w:rPr>
          <w:rFonts w:cs="Times New Roman"/>
          <w:i/>
        </w:rPr>
        <w:t>i</w:t>
      </w:r>
      <w:r w:rsidRPr="00D5269A">
        <w:rPr>
          <w:rFonts w:cs="Times New Roman"/>
        </w:rPr>
        <w:t>) does not necessarily constitutionalize a right to the most favourable</w:t>
      </w:r>
      <w:r w:rsidRPr="00D5269A">
        <w:rPr>
          <w:rFonts w:cs="Times New Roman"/>
          <w:i/>
        </w:rPr>
        <w:t xml:space="preserve"> </w:t>
      </w:r>
      <w:r w:rsidRPr="00D5269A">
        <w:rPr>
          <w:rFonts w:cs="Times New Roman"/>
        </w:rPr>
        <w:t>of any multiple changes i</w:t>
      </w:r>
      <w:r w:rsidR="00095177">
        <w:rPr>
          <w:rFonts w:cs="Times New Roman"/>
        </w:rPr>
        <w:t>n that interval. Put simply, s. </w:t>
      </w:r>
      <w:r w:rsidRPr="00D5269A">
        <w:rPr>
          <w:rFonts w:cs="Times New Roman"/>
        </w:rPr>
        <w:t>11(</w:t>
      </w:r>
      <w:r w:rsidRPr="00D5269A">
        <w:rPr>
          <w:rFonts w:cs="Times New Roman"/>
          <w:i/>
        </w:rPr>
        <w:t>i</w:t>
      </w:r>
      <w:r w:rsidRPr="00D5269A">
        <w:rPr>
          <w:rFonts w:cs="Times New Roman"/>
        </w:rPr>
        <w:t>)’s use of “between” tells us nothing about whether the right it confers is binary or g</w:t>
      </w:r>
      <w:r w:rsidR="00095177">
        <w:rPr>
          <w:rFonts w:cs="Times New Roman"/>
        </w:rPr>
        <w:t>lobal; it only tells us that s. </w:t>
      </w:r>
      <w:r w:rsidRPr="00D5269A">
        <w:rPr>
          <w:rFonts w:cs="Times New Roman"/>
        </w:rPr>
        <w:t>11(</w:t>
      </w:r>
      <w:r w:rsidRPr="00D5269A">
        <w:rPr>
          <w:rFonts w:cs="Times New Roman"/>
          <w:i/>
        </w:rPr>
        <w:t>i</w:t>
      </w:r>
      <w:r w:rsidRPr="00D5269A">
        <w:rPr>
          <w:rFonts w:cs="Times New Roman"/>
        </w:rPr>
        <w:t xml:space="preserve">) concerns itself with the situation where the punishment has been “varied between” the time of the offence and the time of sentencing — whether only once or multiple times. </w:t>
      </w:r>
    </w:p>
    <w:p w:rsidR="000738FC" w:rsidRPr="00D5269A" w:rsidRDefault="00AD2E83" w:rsidP="000738FC">
      <w:pPr>
        <w:pStyle w:val="ParaNoNdepar-AltN"/>
        <w:rPr>
          <w:rFonts w:cs="Times New Roman"/>
        </w:rPr>
      </w:pPr>
      <w:r>
        <w:rPr>
          <w:rFonts w:cs="Times New Roman"/>
        </w:rPr>
        <w:t>Not only do I reject Mr. </w:t>
      </w:r>
      <w:r w:rsidR="000738FC" w:rsidRPr="00D5269A">
        <w:rPr>
          <w:rFonts w:cs="Times New Roman"/>
        </w:rPr>
        <w:t>Poulin’s reliance on “between”, I agree with the Crown that “lesser” evokes the comparison of two options. Whereas comparative terms ending in “est” or “st” single out one thing from the others, comparative terms ending in “er” contrast one thing with another. For instance, we speak of the “better” of two options and the “best” of multiple, the “higher” of two heights and the “highest” of multiple, the “faster” of two speeds and “fastest” of multiple, to give only a few examples. Instead of employing the obviously global phrase “the least severe punishment” (or even “the lowest punishment”), s.</w:t>
      </w:r>
      <w:r w:rsidR="002F1B70">
        <w:rPr>
          <w:rFonts w:cs="Times New Roman"/>
        </w:rPr>
        <w:t> </w:t>
      </w:r>
      <w:r w:rsidR="000738FC" w:rsidRPr="00D5269A">
        <w:rPr>
          <w:rFonts w:cs="Times New Roman"/>
        </w:rPr>
        <w:t>11(</w:t>
      </w:r>
      <w:r w:rsidR="000738FC" w:rsidRPr="00D5269A">
        <w:rPr>
          <w:rFonts w:cs="Times New Roman"/>
          <w:i/>
        </w:rPr>
        <w:t>i</w:t>
      </w:r>
      <w:r w:rsidR="000738FC" w:rsidRPr="00D5269A">
        <w:rPr>
          <w:rFonts w:cs="Times New Roman"/>
        </w:rPr>
        <w:t>) uses the binary language “the lesser punishment”. “Lesser” further reflects the more specific, common meaning betw</w:t>
      </w:r>
      <w:r w:rsidR="002F1B70">
        <w:rPr>
          <w:rFonts w:cs="Times New Roman"/>
        </w:rPr>
        <w:t>een the two articulations of s. </w:t>
      </w:r>
      <w:r w:rsidR="000738FC" w:rsidRPr="00D5269A">
        <w:rPr>
          <w:rFonts w:cs="Times New Roman"/>
        </w:rPr>
        <w:t>11(</w:t>
      </w:r>
      <w:r w:rsidR="000738FC" w:rsidRPr="00D5269A">
        <w:rPr>
          <w:rFonts w:cs="Times New Roman"/>
          <w:i/>
        </w:rPr>
        <w:t>i</w:t>
      </w:r>
      <w:r w:rsidR="000738FC" w:rsidRPr="00D5269A">
        <w:rPr>
          <w:rFonts w:cs="Times New Roman"/>
        </w:rPr>
        <w:t>) (</w:t>
      </w:r>
      <w:r w:rsidR="000738FC" w:rsidRPr="00D5269A">
        <w:rPr>
          <w:rFonts w:cs="Times New Roman"/>
          <w:i/>
        </w:rPr>
        <w:t>R. v. Stillman</w:t>
      </w:r>
      <w:r w:rsidR="000738FC" w:rsidRPr="00D5269A">
        <w:rPr>
          <w:rFonts w:cs="Times New Roman"/>
        </w:rPr>
        <w:t>,</w:t>
      </w:r>
      <w:r w:rsidR="000738FC" w:rsidRPr="00D5269A">
        <w:rPr>
          <w:rFonts w:cs="Times New Roman"/>
          <w:i/>
        </w:rPr>
        <w:t xml:space="preserve"> </w:t>
      </w:r>
      <w:r w:rsidR="000738FC" w:rsidRPr="00D5269A">
        <w:rPr>
          <w:rFonts w:cs="Times New Roman"/>
        </w:rPr>
        <w:t>2019 SCC 40</w:t>
      </w:r>
      <w:r w:rsidR="000150A0">
        <w:rPr>
          <w:rFonts w:cs="Times New Roman"/>
        </w:rPr>
        <w:t>, [2019] 3</w:t>
      </w:r>
      <w:r w:rsidR="008214C1">
        <w:rPr>
          <w:rFonts w:cs="Times New Roman"/>
        </w:rPr>
        <w:t xml:space="preserve"> S.C.R. </w:t>
      </w:r>
      <w:r w:rsidR="007F76F4">
        <w:rPr>
          <w:rFonts w:cs="Times New Roman"/>
        </w:rPr>
        <w:lastRenderedPageBreak/>
        <w:t>144</w:t>
      </w:r>
      <w:r w:rsidR="000738FC" w:rsidRPr="00D5269A">
        <w:rPr>
          <w:rFonts w:cs="Times New Roman"/>
        </w:rPr>
        <w:t>, at para.</w:t>
      </w:r>
      <w:r w:rsidR="00010A19">
        <w:rPr>
          <w:rFonts w:cs="Times New Roman"/>
        </w:rPr>
        <w:t> </w:t>
      </w:r>
      <w:r w:rsidR="000738FC" w:rsidRPr="00D5269A">
        <w:rPr>
          <w:rFonts w:cs="Times New Roman"/>
        </w:rPr>
        <w:t xml:space="preserve">32; see also </w:t>
      </w:r>
      <w:r w:rsidR="000738FC" w:rsidRPr="00D5269A">
        <w:rPr>
          <w:rFonts w:cs="Times New Roman"/>
          <w:i/>
        </w:rPr>
        <w:t>R. v. Kapp</w:t>
      </w:r>
      <w:r w:rsidR="000738FC" w:rsidRPr="00D5269A">
        <w:rPr>
          <w:rFonts w:cs="Times New Roman"/>
        </w:rPr>
        <w:t>,</w:t>
      </w:r>
      <w:r w:rsidR="000738FC" w:rsidRPr="00D5269A">
        <w:rPr>
          <w:rFonts w:cs="Times New Roman"/>
          <w:i/>
        </w:rPr>
        <w:t xml:space="preserve"> </w:t>
      </w:r>
      <w:r w:rsidR="000738FC" w:rsidRPr="00D5269A">
        <w:rPr>
          <w:rFonts w:cs="Times New Roman"/>
        </w:rPr>
        <w:t>2008 SCC 41,</w:t>
      </w:r>
      <w:r w:rsidR="00010A19">
        <w:rPr>
          <w:rFonts w:cs="Times New Roman"/>
        </w:rPr>
        <w:t xml:space="preserve"> [2008] 2 S.C.R. 483, at paras. </w:t>
      </w:r>
      <w:r w:rsidR="000738FC" w:rsidRPr="00D5269A">
        <w:rPr>
          <w:rFonts w:cs="Times New Roman"/>
        </w:rPr>
        <w:t>85</w:t>
      </w:r>
      <w:r w:rsidR="0030112D" w:rsidRPr="00A215D4">
        <w:rPr>
          <w:lang w:val="en-US"/>
        </w:rPr>
        <w:noBreakHyphen/>
      </w:r>
      <w:r w:rsidR="000738FC" w:rsidRPr="00D5269A">
        <w:rPr>
          <w:rFonts w:cs="Times New Roman"/>
        </w:rPr>
        <w:t>87, per Bastarache</w:t>
      </w:r>
      <w:r w:rsidR="00010A19">
        <w:rPr>
          <w:rFonts w:cs="Times New Roman"/>
        </w:rPr>
        <w:t> </w:t>
      </w:r>
      <w:r w:rsidR="000738FC" w:rsidRPr="00D5269A">
        <w:rPr>
          <w:rFonts w:cs="Times New Roman"/>
        </w:rPr>
        <w:t xml:space="preserve">J., concurring; </w:t>
      </w:r>
      <w:r w:rsidR="000738FC" w:rsidRPr="00D5269A">
        <w:rPr>
          <w:rFonts w:cs="Times New Roman"/>
          <w:i/>
        </w:rPr>
        <w:t>R. v. S.A.C.</w:t>
      </w:r>
      <w:r w:rsidR="000738FC" w:rsidRPr="00D5269A">
        <w:rPr>
          <w:rFonts w:cs="Times New Roman"/>
        </w:rPr>
        <w:t xml:space="preserve">, 2008 SCC 47, </w:t>
      </w:r>
      <w:r w:rsidR="00010A19">
        <w:rPr>
          <w:rFonts w:cs="Times New Roman"/>
          <w:lang w:val="en-US"/>
        </w:rPr>
        <w:t>[2008] 2 S.C.R. 675, at para. </w:t>
      </w:r>
      <w:r w:rsidR="000738FC" w:rsidRPr="00D5269A">
        <w:rPr>
          <w:rFonts w:cs="Times New Roman"/>
          <w:lang w:val="en-US"/>
        </w:rPr>
        <w:t>15</w:t>
      </w:r>
      <w:r w:rsidR="000738FC" w:rsidRPr="00D5269A">
        <w:rPr>
          <w:rFonts w:cs="Times New Roman"/>
        </w:rPr>
        <w:t>). As such, I reject the view that the use of “between” overcomes, or even counterbalances, the use of “lesser”.</w:t>
      </w:r>
    </w:p>
    <w:p w:rsidR="000738FC" w:rsidRPr="00D5269A" w:rsidRDefault="000738FC" w:rsidP="000738FC">
      <w:pPr>
        <w:pStyle w:val="ParaNoNdepar-AltN"/>
        <w:rPr>
          <w:rFonts w:cs="Times New Roman"/>
        </w:rPr>
      </w:pPr>
      <w:r w:rsidRPr="00D5269A">
        <w:rPr>
          <w:rFonts w:cs="Times New Roman"/>
        </w:rPr>
        <w:t>Further, I find tha</w:t>
      </w:r>
      <w:r w:rsidR="00642BCE">
        <w:rPr>
          <w:rFonts w:cs="Times New Roman"/>
        </w:rPr>
        <w:t>t the origins and history of s. </w:t>
      </w:r>
      <w:r w:rsidRPr="00D5269A">
        <w:rPr>
          <w:rFonts w:cs="Times New Roman"/>
        </w:rPr>
        <w:t>11(</w:t>
      </w:r>
      <w:r w:rsidRPr="00D5269A">
        <w:rPr>
          <w:rFonts w:cs="Times New Roman"/>
          <w:i/>
        </w:rPr>
        <w:t>i</w:t>
      </w:r>
      <w:r w:rsidRPr="00D5269A">
        <w:rPr>
          <w:rFonts w:cs="Times New Roman"/>
        </w:rPr>
        <w:t>) corroborate the conclusion that s.</w:t>
      </w:r>
      <w:r w:rsidR="00642BCE">
        <w:rPr>
          <w:rFonts w:cs="Times New Roman"/>
        </w:rPr>
        <w:t> </w:t>
      </w:r>
      <w:r w:rsidRPr="00D5269A">
        <w:rPr>
          <w:rFonts w:cs="Times New Roman"/>
        </w:rPr>
        <w:t>11(</w:t>
      </w:r>
      <w:r w:rsidRPr="00D5269A">
        <w:rPr>
          <w:rFonts w:cs="Times New Roman"/>
          <w:i/>
        </w:rPr>
        <w:t>i</w:t>
      </w:r>
      <w:r w:rsidRPr="00D5269A">
        <w:rPr>
          <w:rFonts w:cs="Times New Roman"/>
        </w:rPr>
        <w:t xml:space="preserve">) was worded to confer a binary right. </w:t>
      </w:r>
    </w:p>
    <w:p w:rsidR="000738FC" w:rsidRPr="00D5269A" w:rsidRDefault="000738FC" w:rsidP="000738FC">
      <w:pPr>
        <w:pStyle w:val="Title4LevelTitre4Niveau"/>
        <w:rPr>
          <w:rFonts w:cs="Times New Roman"/>
        </w:rPr>
      </w:pPr>
      <w:bookmarkStart w:id="43" w:name="_Toc12005418"/>
      <w:bookmarkStart w:id="44" w:name="_Toc14423816"/>
      <w:bookmarkStart w:id="45" w:name="_Toc15313759"/>
      <w:r w:rsidRPr="00D5269A">
        <w:rPr>
          <w:rFonts w:cs="Times New Roman"/>
        </w:rPr>
        <w:t>The Origins of Section</w:t>
      </w:r>
      <w:r w:rsidR="00642BCE">
        <w:rPr>
          <w:rFonts w:cs="Times New Roman"/>
        </w:rPr>
        <w:t> </w:t>
      </w:r>
      <w:r w:rsidRPr="00D5269A">
        <w:rPr>
          <w:rFonts w:cs="Times New Roman"/>
        </w:rPr>
        <w:t>11(i)</w:t>
      </w:r>
      <w:bookmarkEnd w:id="43"/>
      <w:bookmarkEnd w:id="44"/>
      <w:bookmarkEnd w:id="45"/>
    </w:p>
    <w:p w:rsidR="000738FC" w:rsidRPr="00D5269A" w:rsidRDefault="000738FC" w:rsidP="000738FC">
      <w:pPr>
        <w:pStyle w:val="ParaNoNdepar-AltN"/>
        <w:rPr>
          <w:rFonts w:cs="Times New Roman"/>
        </w:rPr>
      </w:pPr>
      <w:r w:rsidRPr="00D5269A">
        <w:rPr>
          <w:rFonts w:cs="Times New Roman"/>
        </w:rPr>
        <w:t xml:space="preserve">Unlike those </w:t>
      </w:r>
      <w:r w:rsidRPr="00D5269A">
        <w:rPr>
          <w:rFonts w:cs="Times New Roman"/>
          <w:i/>
        </w:rPr>
        <w:t xml:space="preserve">Charter </w:t>
      </w:r>
      <w:r w:rsidRPr="00D5269A">
        <w:rPr>
          <w:rFonts w:cs="Times New Roman"/>
        </w:rPr>
        <w:t>rights that refer to evolving, open</w:t>
      </w:r>
      <w:r w:rsidR="0030112D" w:rsidRPr="00A215D4">
        <w:rPr>
          <w:lang w:val="en-US"/>
        </w:rPr>
        <w:noBreakHyphen/>
      </w:r>
      <w:r w:rsidRPr="00D5269A">
        <w:rPr>
          <w:rFonts w:cs="Times New Roman"/>
        </w:rPr>
        <w:t>ended standards — such as “reas</w:t>
      </w:r>
      <w:r w:rsidR="0030112D">
        <w:rPr>
          <w:rFonts w:cs="Times New Roman"/>
        </w:rPr>
        <w:t>onable” and “unreasonable” (ss. </w:t>
      </w:r>
      <w:r w:rsidRPr="00D5269A">
        <w:rPr>
          <w:rFonts w:cs="Times New Roman"/>
        </w:rPr>
        <w:t>8, 11(</w:t>
      </w:r>
      <w:r w:rsidRPr="00D5269A">
        <w:rPr>
          <w:rFonts w:cs="Times New Roman"/>
          <w:i/>
        </w:rPr>
        <w:t>a</w:t>
      </w:r>
      <w:r w:rsidRPr="00D5269A">
        <w:rPr>
          <w:rFonts w:cs="Times New Roman"/>
        </w:rPr>
        <w:t>), 11(</w:t>
      </w:r>
      <w:r w:rsidRPr="00D5269A">
        <w:rPr>
          <w:rFonts w:cs="Times New Roman"/>
          <w:i/>
        </w:rPr>
        <w:t>b</w:t>
      </w:r>
      <w:r w:rsidRPr="00D5269A">
        <w:rPr>
          <w:rFonts w:cs="Times New Roman"/>
        </w:rPr>
        <w:t>) and 11(</w:t>
      </w:r>
      <w:r w:rsidRPr="00D5269A">
        <w:rPr>
          <w:rFonts w:cs="Times New Roman"/>
          <w:i/>
        </w:rPr>
        <w:t>e</w:t>
      </w:r>
      <w:r w:rsidRPr="00D5269A">
        <w:rPr>
          <w:rFonts w:cs="Times New Roman"/>
        </w:rPr>
        <w:t>)), “fundamental justice” (s.</w:t>
      </w:r>
      <w:r w:rsidR="0030112D">
        <w:rPr>
          <w:rFonts w:cs="Times New Roman"/>
        </w:rPr>
        <w:t> </w:t>
      </w:r>
      <w:r w:rsidRPr="00D5269A">
        <w:rPr>
          <w:rFonts w:cs="Times New Roman"/>
        </w:rPr>
        <w:t>7), and “</w:t>
      </w:r>
      <w:r w:rsidR="004A4421">
        <w:rPr>
          <w:rFonts w:cs="Times New Roman"/>
        </w:rPr>
        <w:t>cruel and unusual” (s.</w:t>
      </w:r>
      <w:r w:rsidR="0030112D">
        <w:rPr>
          <w:rFonts w:cs="Times New Roman"/>
        </w:rPr>
        <w:t> </w:t>
      </w:r>
      <w:r w:rsidR="004A4421">
        <w:rPr>
          <w:rFonts w:cs="Times New Roman"/>
        </w:rPr>
        <w:t>12) — s. </w:t>
      </w:r>
      <w:r w:rsidRPr="00D5269A">
        <w:rPr>
          <w:rFonts w:cs="Times New Roman"/>
        </w:rPr>
        <w:t>11(</w:t>
      </w:r>
      <w:r w:rsidRPr="00D5269A">
        <w:rPr>
          <w:rFonts w:cs="Times New Roman"/>
          <w:i/>
        </w:rPr>
        <w:t>i</w:t>
      </w:r>
      <w:r w:rsidRPr="00D5269A">
        <w:rPr>
          <w:rFonts w:cs="Times New Roman"/>
        </w:rPr>
        <w:t>) enunciates a rule with a particular application. In simple terms, s</w:t>
      </w:r>
      <w:r w:rsidR="004A4421">
        <w:rPr>
          <w:rFonts w:cs="Times New Roman"/>
        </w:rPr>
        <w:t>. </w:t>
      </w:r>
      <w:r w:rsidRPr="00D5269A">
        <w:rPr>
          <w:rFonts w:cs="Times New Roman"/>
        </w:rPr>
        <w:t>11(</w:t>
      </w:r>
      <w:r w:rsidRPr="00D5269A">
        <w:rPr>
          <w:rFonts w:cs="Times New Roman"/>
          <w:i/>
        </w:rPr>
        <w:t>i</w:t>
      </w:r>
      <w:r w:rsidRPr="00D5269A">
        <w:rPr>
          <w:rFonts w:cs="Times New Roman"/>
        </w:rPr>
        <w:t>) was enacted to confer a particular, constant protection. As explaine</w:t>
      </w:r>
      <w:r w:rsidR="004A4421">
        <w:rPr>
          <w:rFonts w:cs="Times New Roman"/>
        </w:rPr>
        <w:t>d above, the protection that s. </w:t>
      </w:r>
      <w:r w:rsidRPr="00D5269A">
        <w:rPr>
          <w:rFonts w:cs="Times New Roman"/>
        </w:rPr>
        <w:t>11(</w:t>
      </w:r>
      <w:r w:rsidRPr="00D5269A">
        <w:rPr>
          <w:rFonts w:cs="Times New Roman"/>
          <w:i/>
        </w:rPr>
        <w:t>i</w:t>
      </w:r>
      <w:r w:rsidRPr="00D5269A">
        <w:rPr>
          <w:rFonts w:cs="Times New Roman"/>
        </w:rPr>
        <w:t>) confers is something greater than the general common law entitlement to be judged according to the substantive law in force at the time of the offence. T</w:t>
      </w:r>
      <w:r w:rsidR="00500B7C">
        <w:rPr>
          <w:rFonts w:cs="Times New Roman"/>
        </w:rPr>
        <w:t>o understand what protection s. </w:t>
      </w:r>
      <w:r w:rsidRPr="00D5269A">
        <w:rPr>
          <w:rFonts w:cs="Times New Roman"/>
        </w:rPr>
        <w:t>11(</w:t>
      </w:r>
      <w:r w:rsidRPr="00D5269A">
        <w:rPr>
          <w:rFonts w:cs="Times New Roman"/>
          <w:i/>
        </w:rPr>
        <w:t>i</w:t>
      </w:r>
      <w:r w:rsidRPr="00D5269A">
        <w:rPr>
          <w:rFonts w:cs="Times New Roman"/>
        </w:rPr>
        <w:t xml:space="preserve">) is meant to confer, and in accordance with the direction in </w:t>
      </w:r>
      <w:r w:rsidRPr="00D5269A">
        <w:rPr>
          <w:rFonts w:cs="Times New Roman"/>
          <w:i/>
        </w:rPr>
        <w:t>Big M</w:t>
      </w:r>
      <w:r w:rsidRPr="00D5269A">
        <w:rPr>
          <w:rFonts w:cs="Times New Roman"/>
        </w:rPr>
        <w:t>, it is useful to review the origins of the right. While these are not determinative of the right’s proper scope, they provide an instructive starting point.</w:t>
      </w:r>
    </w:p>
    <w:p w:rsidR="000738FC" w:rsidRPr="00D5269A" w:rsidRDefault="000738FC" w:rsidP="000738FC">
      <w:pPr>
        <w:pStyle w:val="ParaNoNdepar-AltN"/>
        <w:rPr>
          <w:rFonts w:cs="Times New Roman"/>
        </w:rPr>
      </w:pPr>
      <w:r w:rsidRPr="00D5269A">
        <w:rPr>
          <w:rFonts w:cs="Times New Roman"/>
        </w:rPr>
        <w:t>As the following history reveals, there was nothing to inspire a global s. 11(</w:t>
      </w:r>
      <w:r w:rsidRPr="00D5269A">
        <w:rPr>
          <w:rFonts w:cs="Times New Roman"/>
          <w:i/>
        </w:rPr>
        <w:t>i</w:t>
      </w:r>
      <w:r w:rsidRPr="00D5269A">
        <w:rPr>
          <w:rFonts w:cs="Times New Roman"/>
        </w:rPr>
        <w:t xml:space="preserve">) right at the time of its drafting and enactment. A global right was not part of the </w:t>
      </w:r>
      <w:r w:rsidRPr="00D5269A">
        <w:rPr>
          <w:rFonts w:cs="Times New Roman"/>
        </w:rPr>
        <w:lastRenderedPageBreak/>
        <w:t>legal landscape; the common law certainly did not recognize one, and none o</w:t>
      </w:r>
      <w:r w:rsidR="009A5029">
        <w:rPr>
          <w:rFonts w:cs="Times New Roman"/>
        </w:rPr>
        <w:t>f the enactments inspiring s. </w:t>
      </w:r>
      <w:r w:rsidRPr="00D5269A">
        <w:rPr>
          <w:rFonts w:cs="Times New Roman"/>
        </w:rPr>
        <w:t>11(</w:t>
      </w:r>
      <w:r w:rsidRPr="00D5269A">
        <w:rPr>
          <w:rFonts w:cs="Times New Roman"/>
          <w:i/>
        </w:rPr>
        <w:t>i</w:t>
      </w:r>
      <w:r w:rsidRPr="00D5269A">
        <w:rPr>
          <w:rFonts w:cs="Times New Roman"/>
        </w:rPr>
        <w:t>) embraced one either.</w:t>
      </w:r>
    </w:p>
    <w:p w:rsidR="000738FC" w:rsidRPr="00D5269A" w:rsidRDefault="000738FC" w:rsidP="000738FC">
      <w:pPr>
        <w:pStyle w:val="ParaNoNdepar-AltN"/>
        <w:rPr>
          <w:rFonts w:cs="Times New Roman"/>
        </w:rPr>
      </w:pPr>
      <w:r w:rsidRPr="00D5269A">
        <w:rPr>
          <w:rFonts w:cs="Times New Roman"/>
        </w:rPr>
        <w:t>Published by the Government of Canada in 1969, possibly the earliest doc</w:t>
      </w:r>
      <w:r w:rsidR="00C409E7">
        <w:rPr>
          <w:rFonts w:cs="Times New Roman"/>
        </w:rPr>
        <w:t>umented draft of what is now s. </w:t>
      </w:r>
      <w:r w:rsidRPr="00D5269A">
        <w:rPr>
          <w:rFonts w:cs="Times New Roman"/>
        </w:rPr>
        <w:t>11(</w:t>
      </w:r>
      <w:r w:rsidRPr="00D5269A">
        <w:rPr>
          <w:rFonts w:cs="Times New Roman"/>
          <w:i/>
        </w:rPr>
        <w:t>i</w:t>
      </w:r>
      <w:r w:rsidRPr="00D5269A">
        <w:rPr>
          <w:rFonts w:cs="Times New Roman"/>
        </w:rPr>
        <w:t>) (then s. 11(</w:t>
      </w:r>
      <w:r w:rsidRPr="00D5269A">
        <w:rPr>
          <w:rFonts w:cs="Times New Roman"/>
          <w:i/>
        </w:rPr>
        <w:t>g</w:t>
      </w:r>
      <w:r w:rsidRPr="00D5269A">
        <w:rPr>
          <w:rFonts w:cs="Times New Roman"/>
        </w:rPr>
        <w:t>)) read:</w:t>
      </w:r>
    </w:p>
    <w:p w:rsidR="000738FC" w:rsidRPr="00D5269A" w:rsidRDefault="000738FC" w:rsidP="000738FC">
      <w:pPr>
        <w:pStyle w:val="Citation-AltC"/>
      </w:pPr>
      <w:r w:rsidRPr="00D5269A">
        <w:t xml:space="preserve">(g) the right of a person not to be held guilty of an offence on account of any act or omission which at the time of its commission or omission did not constitute an offence, </w:t>
      </w:r>
      <w:r w:rsidRPr="00D5269A">
        <w:rPr>
          <w:u w:val="single"/>
        </w:rPr>
        <w:t>and the right of a person on being found guilty of an offence not to be subjected to a penalty heavier than the one applicable at the time the offence was committed</w:t>
      </w:r>
      <w:r w:rsidR="003777D6">
        <w:t xml:space="preserve"> . . .</w:t>
      </w:r>
      <w:r w:rsidR="00697C06">
        <w:t> .</w:t>
      </w:r>
      <w:r w:rsidR="003557EE" w:rsidRPr="003557EE">
        <w:t xml:space="preserve"> </w:t>
      </w:r>
      <w:r w:rsidR="003557EE">
        <w:t>[</w:t>
      </w:r>
      <w:r w:rsidR="00DC1BD1">
        <w:t>E</w:t>
      </w:r>
      <w:r w:rsidR="003557EE">
        <w:t>mphasis added.]</w:t>
      </w:r>
    </w:p>
    <w:p w:rsidR="000738FC" w:rsidRPr="00D5269A" w:rsidRDefault="000738FC" w:rsidP="000738FC">
      <w:pPr>
        <w:pStyle w:val="Citation-AltC"/>
      </w:pPr>
    </w:p>
    <w:p w:rsidR="000738FC" w:rsidRPr="00D5269A" w:rsidRDefault="000738FC" w:rsidP="00E6078C">
      <w:pPr>
        <w:pStyle w:val="Citation-AltC"/>
        <w:ind w:left="0"/>
      </w:pPr>
      <w:r w:rsidRPr="00D5269A">
        <w:t xml:space="preserve">(Government of Canada, The Right Honourable P. E. Trudeau, </w:t>
      </w:r>
      <w:r w:rsidRPr="00D5269A">
        <w:rPr>
          <w:i/>
        </w:rPr>
        <w:t>The Constitutio</w:t>
      </w:r>
      <w:r w:rsidR="003777D6">
        <w:rPr>
          <w:i/>
        </w:rPr>
        <w:t>n and the People of Canada: An a</w:t>
      </w:r>
      <w:r w:rsidRPr="00D5269A">
        <w:rPr>
          <w:i/>
        </w:rPr>
        <w:t>pproach to the Objectives of Confederation, the Rights of People and the Institutions of Government</w:t>
      </w:r>
      <w:r w:rsidRPr="00D5269A">
        <w:t xml:space="preserve"> (1</w:t>
      </w:r>
      <w:r w:rsidR="00E6078C">
        <w:t>969), at p.</w:t>
      </w:r>
      <w:r w:rsidR="00FF22E8">
        <w:t> </w:t>
      </w:r>
      <w:r w:rsidR="00E6078C">
        <w:t>54)</w:t>
      </w:r>
    </w:p>
    <w:p w:rsidR="000738FC" w:rsidRPr="00D5269A" w:rsidRDefault="000738FC" w:rsidP="000738FC">
      <w:pPr>
        <w:pStyle w:val="ContinueParaSuitedupar-AltP"/>
        <w:rPr>
          <w:rFonts w:cs="Times New Roman"/>
        </w:rPr>
      </w:pPr>
      <w:r w:rsidRPr="00D5269A">
        <w:rPr>
          <w:rFonts w:cs="Times New Roman"/>
        </w:rPr>
        <w:t>As is a</w:t>
      </w:r>
      <w:r w:rsidR="000017D5">
        <w:rPr>
          <w:rFonts w:cs="Times New Roman"/>
        </w:rPr>
        <w:t>pparent, this early draft of s. </w:t>
      </w:r>
      <w:r w:rsidRPr="00D5269A">
        <w:rPr>
          <w:rFonts w:cs="Times New Roman"/>
        </w:rPr>
        <w:t>11(</w:t>
      </w:r>
      <w:r w:rsidRPr="00D5269A">
        <w:rPr>
          <w:rFonts w:cs="Times New Roman"/>
          <w:i/>
        </w:rPr>
        <w:t>i</w:t>
      </w:r>
      <w:r w:rsidRPr="00D5269A">
        <w:rPr>
          <w:rFonts w:cs="Times New Roman"/>
        </w:rPr>
        <w:t xml:space="preserve">) simply enshrined the common law principle that an offender should only face as heavy a punishment as they risked at the time of their offence. This version did not entitle the offender to any decrease in punishment occurring after the offence. </w:t>
      </w:r>
    </w:p>
    <w:p w:rsidR="000738FC" w:rsidRPr="00D5269A" w:rsidRDefault="000738FC" w:rsidP="000738FC">
      <w:pPr>
        <w:pStyle w:val="ParaNoNdepar-AltN"/>
        <w:rPr>
          <w:rFonts w:cs="Times New Roman"/>
        </w:rPr>
      </w:pPr>
      <w:r w:rsidRPr="00D5269A">
        <w:rPr>
          <w:rFonts w:cs="Times New Roman"/>
        </w:rPr>
        <w:t xml:space="preserve">The 1969 publication introducing this provision notes that, unlike many of the other legal rights contained in the </w:t>
      </w:r>
      <w:r w:rsidRPr="00D5269A">
        <w:rPr>
          <w:rFonts w:cs="Times New Roman"/>
          <w:i/>
        </w:rPr>
        <w:t>Charter</w:t>
      </w:r>
      <w:r w:rsidRPr="00D5269A">
        <w:rPr>
          <w:rFonts w:cs="Times New Roman"/>
        </w:rPr>
        <w:t>,</w:t>
      </w:r>
      <w:r w:rsidRPr="00D5269A">
        <w:rPr>
          <w:rFonts w:cs="Times New Roman"/>
          <w:i/>
        </w:rPr>
        <w:t xml:space="preserve"> </w:t>
      </w:r>
      <w:r w:rsidR="00CB78F5">
        <w:rPr>
          <w:rFonts w:cs="Times New Roman"/>
        </w:rPr>
        <w:t>s. </w:t>
      </w:r>
      <w:r w:rsidRPr="00D5269A">
        <w:rPr>
          <w:rFonts w:cs="Times New Roman"/>
        </w:rPr>
        <w:t>11(</w:t>
      </w:r>
      <w:r w:rsidRPr="00D5269A">
        <w:rPr>
          <w:rFonts w:cs="Times New Roman"/>
          <w:i/>
        </w:rPr>
        <w:t>i</w:t>
      </w:r>
      <w:r w:rsidRPr="00D5269A">
        <w:rPr>
          <w:rFonts w:cs="Times New Roman"/>
        </w:rPr>
        <w:t xml:space="preserve">) did not have an existing counterpart in the </w:t>
      </w:r>
      <w:r w:rsidRPr="00D5269A">
        <w:rPr>
          <w:rFonts w:cs="Times New Roman"/>
          <w:i/>
        </w:rPr>
        <w:t>Canadian Bill of Rights</w:t>
      </w:r>
      <w:r w:rsidRPr="00D5269A">
        <w:rPr>
          <w:rFonts w:cs="Times New Roman"/>
        </w:rPr>
        <w:t>,</w:t>
      </w:r>
      <w:r w:rsidRPr="00D5269A">
        <w:rPr>
          <w:rFonts w:cs="Times New Roman"/>
          <w:i/>
        </w:rPr>
        <w:t xml:space="preserve"> </w:t>
      </w:r>
      <w:r w:rsidRPr="00D5269A">
        <w:rPr>
          <w:rFonts w:cs="Times New Roman"/>
        </w:rPr>
        <w:t xml:space="preserve">S.C. 1960, c. </w:t>
      </w:r>
      <w:r w:rsidR="00CB78F5">
        <w:rPr>
          <w:rFonts w:cs="Times New Roman"/>
        </w:rPr>
        <w:t>44 (Government of Canada, at p. </w:t>
      </w:r>
      <w:r w:rsidRPr="00D5269A">
        <w:rPr>
          <w:rFonts w:cs="Times New Roman"/>
        </w:rPr>
        <w:t xml:space="preserve">54). However, the policy paper does not explain the origin of the right. </w:t>
      </w:r>
    </w:p>
    <w:p w:rsidR="000738FC" w:rsidRPr="00D5269A" w:rsidRDefault="000738FC" w:rsidP="000738FC">
      <w:pPr>
        <w:pStyle w:val="ParaNoNdepar-AltN"/>
        <w:rPr>
          <w:rFonts w:cs="Times New Roman"/>
        </w:rPr>
      </w:pPr>
      <w:r w:rsidRPr="00D5269A">
        <w:rPr>
          <w:rFonts w:cs="Times New Roman"/>
        </w:rPr>
        <w:t>Nonetheless, it is reasonable to assume tha</w:t>
      </w:r>
      <w:r w:rsidR="003847C5">
        <w:rPr>
          <w:rFonts w:cs="Times New Roman"/>
        </w:rPr>
        <w:t>t this first articulation of s. </w:t>
      </w:r>
      <w:r w:rsidRPr="00D5269A">
        <w:rPr>
          <w:rFonts w:cs="Times New Roman"/>
        </w:rPr>
        <w:t>11(</w:t>
      </w:r>
      <w:r w:rsidRPr="00D5269A">
        <w:rPr>
          <w:rFonts w:cs="Times New Roman"/>
          <w:i/>
        </w:rPr>
        <w:t>i</w:t>
      </w:r>
      <w:r w:rsidRPr="00D5269A">
        <w:rPr>
          <w:rFonts w:cs="Times New Roman"/>
        </w:rPr>
        <w:t>) was inspired by two similar provisions. The first is s. 37(</w:t>
      </w:r>
      <w:r w:rsidRPr="00E7597C">
        <w:rPr>
          <w:rFonts w:cs="Times New Roman"/>
          <w:i/>
        </w:rPr>
        <w:t>e</w:t>
      </w:r>
      <w:r w:rsidRPr="00D5269A">
        <w:rPr>
          <w:rFonts w:cs="Times New Roman"/>
        </w:rPr>
        <w:t xml:space="preserve">) of the </w:t>
      </w:r>
      <w:r w:rsidRPr="00D5269A">
        <w:rPr>
          <w:rFonts w:cs="Times New Roman"/>
          <w:i/>
        </w:rPr>
        <w:t>Interpretation Act</w:t>
      </w:r>
      <w:r w:rsidRPr="00D5269A">
        <w:rPr>
          <w:rFonts w:cs="Times New Roman"/>
        </w:rPr>
        <w:t>,</w:t>
      </w:r>
      <w:r w:rsidRPr="00D5269A">
        <w:rPr>
          <w:rFonts w:cs="Times New Roman"/>
          <w:i/>
        </w:rPr>
        <w:t xml:space="preserve"> </w:t>
      </w:r>
      <w:r w:rsidR="000D278B">
        <w:rPr>
          <w:rFonts w:cs="Times New Roman"/>
        </w:rPr>
        <w:lastRenderedPageBreak/>
        <w:t>S.C. 1967</w:t>
      </w:r>
      <w:r w:rsidR="000D278B" w:rsidRPr="00A215D4">
        <w:rPr>
          <w:lang w:val="en-US"/>
        </w:rPr>
        <w:noBreakHyphen/>
      </w:r>
      <w:r w:rsidRPr="00D5269A">
        <w:rPr>
          <w:rFonts w:cs="Times New Roman"/>
        </w:rPr>
        <w:t>68, c. 7 — a form of which has existed since 1886 (</w:t>
      </w:r>
      <w:r w:rsidRPr="00D5269A">
        <w:rPr>
          <w:rFonts w:cs="Times New Roman"/>
          <w:i/>
        </w:rPr>
        <w:t>Dunn</w:t>
      </w:r>
      <w:r w:rsidR="004D025E">
        <w:rPr>
          <w:rFonts w:cs="Times New Roman"/>
        </w:rPr>
        <w:t>, at paras. </w:t>
      </w:r>
      <w:r w:rsidRPr="00D5269A">
        <w:rPr>
          <w:rFonts w:cs="Times New Roman"/>
        </w:rPr>
        <w:t xml:space="preserve">17 and 41), and which is now expressed in s. 44(e) of the </w:t>
      </w:r>
      <w:r w:rsidRPr="00D5269A">
        <w:rPr>
          <w:rFonts w:cs="Times New Roman"/>
          <w:i/>
        </w:rPr>
        <w:t>Interpretation Act</w:t>
      </w:r>
      <w:r w:rsidRPr="00D5269A">
        <w:rPr>
          <w:rFonts w:cs="Times New Roman"/>
        </w:rPr>
        <w:t>,</w:t>
      </w:r>
      <w:r w:rsidRPr="00D5269A">
        <w:rPr>
          <w:rFonts w:cs="Times New Roman"/>
          <w:i/>
        </w:rPr>
        <w:t xml:space="preserve"> </w:t>
      </w:r>
      <w:r w:rsidRPr="00D5269A">
        <w:rPr>
          <w:rFonts w:cs="Times New Roman"/>
        </w:rPr>
        <w:t xml:space="preserve">R.S.C. 1985, </w:t>
      </w:r>
      <w:r w:rsidR="000D278B">
        <w:rPr>
          <w:rFonts w:cs="Times New Roman"/>
        </w:rPr>
        <w:t>c.</w:t>
      </w:r>
      <w:r w:rsidR="00F705D2">
        <w:rPr>
          <w:rFonts w:cs="Times New Roman"/>
        </w:rPr>
        <w:t> </w:t>
      </w:r>
      <w:r w:rsidR="000D278B">
        <w:rPr>
          <w:rFonts w:cs="Times New Roman"/>
        </w:rPr>
        <w:t>I</w:t>
      </w:r>
      <w:r w:rsidR="000D278B" w:rsidRPr="00A215D4">
        <w:rPr>
          <w:lang w:val="en-US"/>
        </w:rPr>
        <w:noBreakHyphen/>
      </w:r>
      <w:r w:rsidR="00F705D2">
        <w:rPr>
          <w:rFonts w:cs="Times New Roman"/>
        </w:rPr>
        <w:t>21. Section </w:t>
      </w:r>
      <w:r w:rsidRPr="00D5269A">
        <w:rPr>
          <w:rFonts w:cs="Times New Roman"/>
        </w:rPr>
        <w:t>37(</w:t>
      </w:r>
      <w:r w:rsidRPr="00F705D2">
        <w:rPr>
          <w:rFonts w:cs="Times New Roman"/>
          <w:i/>
        </w:rPr>
        <w:t>e</w:t>
      </w:r>
      <w:r w:rsidRPr="00D5269A">
        <w:rPr>
          <w:rFonts w:cs="Times New Roman"/>
        </w:rPr>
        <w:t>) stated (and s. 44(e) continues to state, with minor changes):</w:t>
      </w:r>
    </w:p>
    <w:p w:rsidR="000738FC" w:rsidRPr="00D5269A" w:rsidRDefault="000738FC" w:rsidP="00C8102C">
      <w:pPr>
        <w:pStyle w:val="Citation-AltC"/>
        <w:ind w:firstLine="274"/>
      </w:pPr>
      <w:r w:rsidRPr="00D5269A">
        <w:rPr>
          <w:b/>
        </w:rPr>
        <w:t>37.</w:t>
      </w:r>
      <w:r w:rsidRPr="00D5269A">
        <w:t xml:space="preserve"> Where an enactment (in this section called the “former e</w:t>
      </w:r>
      <w:r w:rsidR="00C8102C">
        <w:t>nactment”) is repealed and anoth</w:t>
      </w:r>
      <w:r w:rsidRPr="00D5269A">
        <w:t>er enactment (in this section called the “new enactment”) is substituted therefor,</w:t>
      </w:r>
    </w:p>
    <w:p w:rsidR="000738FC" w:rsidRPr="00D5269A" w:rsidRDefault="000738FC" w:rsidP="000738FC">
      <w:pPr>
        <w:pStyle w:val="Citation-AltC"/>
      </w:pPr>
    </w:p>
    <w:p w:rsidR="000738FC" w:rsidRPr="00D5269A" w:rsidRDefault="000738FC" w:rsidP="000738FC">
      <w:pPr>
        <w:pStyle w:val="Citation-AltC"/>
        <w:jc w:val="center"/>
      </w:pPr>
      <w:r w:rsidRPr="00D5269A">
        <w:t>.</w:t>
      </w:r>
      <w:r w:rsidR="00AC4810">
        <w:t> </w:t>
      </w:r>
      <w:r w:rsidRPr="00D5269A">
        <w:t>.</w:t>
      </w:r>
      <w:r w:rsidR="00AC4810">
        <w:t> </w:t>
      </w:r>
      <w:r w:rsidRPr="00D5269A">
        <w:t>.</w:t>
      </w:r>
    </w:p>
    <w:p w:rsidR="000738FC" w:rsidRPr="00D5269A" w:rsidRDefault="000738FC" w:rsidP="000738FC">
      <w:pPr>
        <w:pStyle w:val="Citation-AltC"/>
        <w:jc w:val="center"/>
      </w:pPr>
    </w:p>
    <w:p w:rsidR="000738FC" w:rsidRPr="00D5269A" w:rsidRDefault="000738FC" w:rsidP="003F1648">
      <w:pPr>
        <w:pStyle w:val="Citation-AltC"/>
        <w:ind w:left="1440"/>
      </w:pPr>
      <w:r w:rsidRPr="00D5269A">
        <w:t>(</w:t>
      </w:r>
      <w:r w:rsidRPr="00A37476">
        <w:rPr>
          <w:i/>
        </w:rPr>
        <w:t>e</w:t>
      </w:r>
      <w:r w:rsidRPr="00D5269A">
        <w:t>) when any penalty, forfeiture or punishment is reduced or mitigated by the new enactment, the penalty, forfeiture or punishment if imposed or adjudged after the repeal shall be r</w:t>
      </w:r>
      <w:r w:rsidR="001277C6">
        <w:t>educed or mitigated accordingly </w:t>
      </w:r>
      <w:r w:rsidR="005059B3">
        <w:t>. . .</w:t>
      </w:r>
      <w:r w:rsidR="001277C6">
        <w:t> .</w:t>
      </w:r>
    </w:p>
    <w:p w:rsidR="000738FC" w:rsidRPr="00D5269A" w:rsidRDefault="00AD2E83" w:rsidP="000738FC">
      <w:pPr>
        <w:pStyle w:val="ContinueParaSuitedupar-AltP"/>
        <w:rPr>
          <w:rFonts w:cs="Times New Roman"/>
        </w:rPr>
      </w:pPr>
      <w:r>
        <w:rPr>
          <w:rFonts w:cs="Times New Roman"/>
        </w:rPr>
        <w:t>Mr. </w:t>
      </w:r>
      <w:r w:rsidR="0045221B">
        <w:rPr>
          <w:rFonts w:cs="Times New Roman"/>
        </w:rPr>
        <w:t>Poulin agrees that s. </w:t>
      </w:r>
      <w:r w:rsidR="000738FC" w:rsidRPr="00D5269A">
        <w:rPr>
          <w:rFonts w:cs="Times New Roman"/>
        </w:rPr>
        <w:t>11(</w:t>
      </w:r>
      <w:r w:rsidR="000738FC" w:rsidRPr="00D5269A">
        <w:rPr>
          <w:rFonts w:cs="Times New Roman"/>
          <w:i/>
        </w:rPr>
        <w:t>i</w:t>
      </w:r>
      <w:r w:rsidR="000738FC" w:rsidRPr="00D5269A">
        <w:rPr>
          <w:rFonts w:cs="Times New Roman"/>
        </w:rPr>
        <w:t xml:space="preserve">) was inspired by what </w:t>
      </w:r>
      <w:r w:rsidR="00B03AA9">
        <w:rPr>
          <w:rFonts w:cs="Times New Roman"/>
        </w:rPr>
        <w:t>is now s. </w:t>
      </w:r>
      <w:r w:rsidR="00DE263F">
        <w:rPr>
          <w:rFonts w:cs="Times New Roman"/>
        </w:rPr>
        <w:t>44(e) (R.F., at para. </w:t>
      </w:r>
      <w:r w:rsidR="0045221B">
        <w:rPr>
          <w:rFonts w:cs="Times New Roman"/>
        </w:rPr>
        <w:t>55). Indeed, s. </w:t>
      </w:r>
      <w:r w:rsidR="000738FC" w:rsidRPr="00D5269A">
        <w:rPr>
          <w:rFonts w:cs="Times New Roman"/>
        </w:rPr>
        <w:t>11(</w:t>
      </w:r>
      <w:r w:rsidR="000738FC" w:rsidRPr="00D5269A">
        <w:rPr>
          <w:rFonts w:cs="Times New Roman"/>
          <w:i/>
        </w:rPr>
        <w:t>i</w:t>
      </w:r>
      <w:r w:rsidR="000738FC" w:rsidRPr="00D5269A">
        <w:rPr>
          <w:rFonts w:cs="Times New Roman"/>
        </w:rPr>
        <w:t>) has been characterized as the co</w:t>
      </w:r>
      <w:r w:rsidR="00B03AA9">
        <w:rPr>
          <w:rFonts w:cs="Times New Roman"/>
        </w:rPr>
        <w:t>nstitutional entrenchment of s. </w:t>
      </w:r>
      <w:r w:rsidR="000738FC" w:rsidRPr="00D5269A">
        <w:rPr>
          <w:rFonts w:cs="Times New Roman"/>
        </w:rPr>
        <w:t xml:space="preserve">44(e) of the </w:t>
      </w:r>
      <w:r w:rsidR="000738FC" w:rsidRPr="00D5269A">
        <w:rPr>
          <w:rFonts w:cs="Times New Roman"/>
          <w:i/>
        </w:rPr>
        <w:t xml:space="preserve">Interpretation Act </w:t>
      </w:r>
      <w:r w:rsidR="000738FC" w:rsidRPr="00D5269A">
        <w:rPr>
          <w:rFonts w:cs="Times New Roman"/>
        </w:rPr>
        <w:t>(Chevrette,</w:t>
      </w:r>
      <w:r w:rsidR="00B03AA9">
        <w:rPr>
          <w:rFonts w:cs="Times New Roman"/>
        </w:rPr>
        <w:t xml:space="preserve"> Cyr and Tanguay</w:t>
      </w:r>
      <w:r w:rsidR="000D278B" w:rsidRPr="00A215D4">
        <w:rPr>
          <w:lang w:val="en-US"/>
        </w:rPr>
        <w:noBreakHyphen/>
      </w:r>
      <w:r w:rsidR="00B03AA9">
        <w:rPr>
          <w:rFonts w:cs="Times New Roman"/>
        </w:rPr>
        <w:t>Renaud, at pp. </w:t>
      </w:r>
      <w:r w:rsidR="000738FC" w:rsidRPr="00D5269A">
        <w:rPr>
          <w:rFonts w:cs="Times New Roman"/>
        </w:rPr>
        <w:t>780</w:t>
      </w:r>
      <w:r w:rsidR="000D278B" w:rsidRPr="00A215D4">
        <w:rPr>
          <w:lang w:val="en-US"/>
        </w:rPr>
        <w:noBreakHyphen/>
      </w:r>
      <w:r w:rsidR="000738FC" w:rsidRPr="00D5269A">
        <w:rPr>
          <w:rFonts w:cs="Times New Roman"/>
        </w:rPr>
        <w:t>81; see also the comments of L’H</w:t>
      </w:r>
      <w:r w:rsidR="000D278B">
        <w:rPr>
          <w:rFonts w:cs="Times New Roman"/>
        </w:rPr>
        <w:t>eureux</w:t>
      </w:r>
      <w:r w:rsidR="000D278B" w:rsidRPr="00A215D4">
        <w:rPr>
          <w:lang w:val="en-US"/>
        </w:rPr>
        <w:noBreakHyphen/>
      </w:r>
      <w:r w:rsidR="000738FC" w:rsidRPr="00D5269A">
        <w:rPr>
          <w:rFonts w:cs="Times New Roman"/>
        </w:rPr>
        <w:t>Dub</w:t>
      </w:r>
      <w:r w:rsidR="00127A67">
        <w:rPr>
          <w:rFonts w:cs="Times New Roman"/>
          <w:lang w:val="en-US"/>
        </w:rPr>
        <w:t>é </w:t>
      </w:r>
      <w:r w:rsidR="000738FC" w:rsidRPr="00D5269A">
        <w:rPr>
          <w:rFonts w:cs="Times New Roman"/>
          <w:lang w:val="en-US"/>
        </w:rPr>
        <w:t xml:space="preserve">J. in </w:t>
      </w:r>
      <w:r w:rsidR="000738FC" w:rsidRPr="00D5269A">
        <w:rPr>
          <w:rFonts w:cs="Times New Roman"/>
          <w:i/>
          <w:lang w:val="en-US"/>
        </w:rPr>
        <w:t>Dunn</w:t>
      </w:r>
      <w:r w:rsidR="000738FC" w:rsidRPr="00D5269A">
        <w:rPr>
          <w:rFonts w:cs="Times New Roman"/>
          <w:lang w:val="en-US"/>
        </w:rPr>
        <w:t xml:space="preserve">, at </w:t>
      </w:r>
      <w:r w:rsidR="00744CE8">
        <w:rPr>
          <w:rFonts w:cs="Times New Roman"/>
        </w:rPr>
        <w:t>paras. </w:t>
      </w:r>
      <w:r w:rsidR="000D278B">
        <w:rPr>
          <w:rFonts w:cs="Times New Roman"/>
        </w:rPr>
        <w:t>49</w:t>
      </w:r>
      <w:r w:rsidR="000D278B" w:rsidRPr="00B35658">
        <w:rPr>
          <w:lang w:val="fr-CA"/>
        </w:rPr>
        <w:noBreakHyphen/>
      </w:r>
      <w:r w:rsidR="000738FC" w:rsidRPr="00D5269A">
        <w:rPr>
          <w:rFonts w:cs="Times New Roman"/>
        </w:rPr>
        <w:t>50, although dissenting, she was not</w:t>
      </w:r>
      <w:r w:rsidR="006225A3">
        <w:rPr>
          <w:rFonts w:cs="Times New Roman"/>
        </w:rPr>
        <w:t xml:space="preserve"> contradicted by the majority).</w:t>
      </w:r>
    </w:p>
    <w:p w:rsidR="000738FC" w:rsidRPr="00D5269A" w:rsidRDefault="000738FC" w:rsidP="000738FC">
      <w:pPr>
        <w:pStyle w:val="ParaNoNdepar-AltN"/>
        <w:rPr>
          <w:rFonts w:cs="Times New Roman"/>
        </w:rPr>
      </w:pPr>
      <w:r w:rsidRPr="00D5269A">
        <w:rPr>
          <w:rFonts w:cs="Times New Roman"/>
        </w:rPr>
        <w:t xml:space="preserve">The second provision which can be credited for </w:t>
      </w:r>
      <w:r w:rsidR="00A046AB">
        <w:rPr>
          <w:rFonts w:cs="Times New Roman"/>
        </w:rPr>
        <w:t>inspiring the first draft of s. </w:t>
      </w:r>
      <w:r w:rsidRPr="00D5269A">
        <w:rPr>
          <w:rFonts w:cs="Times New Roman"/>
        </w:rPr>
        <w:t>11(</w:t>
      </w:r>
      <w:r w:rsidRPr="00D5269A">
        <w:rPr>
          <w:rFonts w:cs="Times New Roman"/>
          <w:i/>
        </w:rPr>
        <w:t>i</w:t>
      </w:r>
      <w:r w:rsidR="00A046AB">
        <w:rPr>
          <w:rFonts w:cs="Times New Roman"/>
        </w:rPr>
        <w:t>) is art. </w:t>
      </w:r>
      <w:r w:rsidRPr="00D5269A">
        <w:rPr>
          <w:rFonts w:cs="Times New Roman"/>
        </w:rPr>
        <w:t xml:space="preserve">7(1) of the </w:t>
      </w:r>
      <w:r w:rsidRPr="00D5269A">
        <w:rPr>
          <w:rFonts w:cs="Times New Roman"/>
          <w:i/>
        </w:rPr>
        <w:t>European Convention on Human Rights</w:t>
      </w:r>
      <w:r w:rsidRPr="00D5269A">
        <w:rPr>
          <w:rFonts w:cs="Times New Roman"/>
        </w:rPr>
        <w:t>, 213 U.N.T.S. 221 (“</w:t>
      </w:r>
      <w:r w:rsidRPr="00D5269A">
        <w:rPr>
          <w:rFonts w:cs="Times New Roman"/>
          <w:i/>
        </w:rPr>
        <w:t>ECHR</w:t>
      </w:r>
      <w:r w:rsidRPr="00D5269A">
        <w:rPr>
          <w:rFonts w:cs="Times New Roman"/>
        </w:rPr>
        <w:t>”), whi</w:t>
      </w:r>
      <w:r w:rsidR="002F027D">
        <w:rPr>
          <w:rFonts w:cs="Times New Roman"/>
        </w:rPr>
        <w:t>ch came into force on September </w:t>
      </w:r>
      <w:r w:rsidRPr="00D5269A">
        <w:rPr>
          <w:rFonts w:cs="Times New Roman"/>
        </w:rPr>
        <w:t xml:space="preserve">3, 1953. While Canada is not a party to the </w:t>
      </w:r>
      <w:r w:rsidRPr="00D5269A">
        <w:rPr>
          <w:rFonts w:cs="Times New Roman"/>
          <w:i/>
        </w:rPr>
        <w:t>ECHR</w:t>
      </w:r>
      <w:r w:rsidRPr="00D5269A">
        <w:rPr>
          <w:rFonts w:cs="Times New Roman"/>
        </w:rPr>
        <w:t>,</w:t>
      </w:r>
      <w:r w:rsidRPr="00D5269A">
        <w:rPr>
          <w:rFonts w:cs="Times New Roman"/>
          <w:i/>
        </w:rPr>
        <w:t xml:space="preserve"> </w:t>
      </w:r>
      <w:r w:rsidR="00DE07F2">
        <w:rPr>
          <w:rFonts w:cs="Times New Roman"/>
        </w:rPr>
        <w:t>the first draft of s. </w:t>
      </w:r>
      <w:r w:rsidRPr="00D5269A">
        <w:rPr>
          <w:rFonts w:cs="Times New Roman"/>
        </w:rPr>
        <w:t>11(</w:t>
      </w:r>
      <w:r w:rsidRPr="00D5269A">
        <w:rPr>
          <w:rFonts w:cs="Times New Roman"/>
          <w:i/>
        </w:rPr>
        <w:t>i</w:t>
      </w:r>
      <w:r w:rsidRPr="00D5269A">
        <w:rPr>
          <w:rFonts w:cs="Times New Roman"/>
        </w:rPr>
        <w:t>) b</w:t>
      </w:r>
      <w:r w:rsidR="00DE07F2">
        <w:rPr>
          <w:rFonts w:cs="Times New Roman"/>
        </w:rPr>
        <w:t>ears strong resemblance to art. </w:t>
      </w:r>
      <w:r w:rsidRPr="00D5269A">
        <w:rPr>
          <w:rFonts w:cs="Times New Roman"/>
        </w:rPr>
        <w:t>7(1), which stated (and continues to state):</w:t>
      </w:r>
    </w:p>
    <w:p w:rsidR="000738FC" w:rsidRPr="00D5269A" w:rsidRDefault="000738FC" w:rsidP="000738FC">
      <w:pPr>
        <w:pStyle w:val="Citation-AltC"/>
        <w:ind w:firstLine="274"/>
        <w:rPr>
          <w:u w:val="single"/>
        </w:rPr>
      </w:pPr>
      <w:r w:rsidRPr="00D5269A">
        <w:t xml:space="preserve">(1) No one shall be held guilty of any criminal offence on account of any act or omission which did not constitute a criminal offence under </w:t>
      </w:r>
      <w:r w:rsidRPr="00D5269A">
        <w:lastRenderedPageBreak/>
        <w:t xml:space="preserve">national or international law at the time when it was committed. </w:t>
      </w:r>
      <w:r w:rsidRPr="00D5269A">
        <w:rPr>
          <w:u w:val="single"/>
        </w:rPr>
        <w:t>Nor shall a heavier penalty be imposed than the one that was applicable at the time the criminal offence was committed.</w:t>
      </w:r>
    </w:p>
    <w:p w:rsidR="000738FC" w:rsidRPr="00D5269A" w:rsidRDefault="000738FC" w:rsidP="000738FC">
      <w:pPr>
        <w:pStyle w:val="ParaNoNdepar-AltN"/>
        <w:spacing w:before="240"/>
        <w:rPr>
          <w:rFonts w:cs="Times New Roman"/>
        </w:rPr>
      </w:pPr>
      <w:r w:rsidRPr="00D5269A">
        <w:rPr>
          <w:rFonts w:cs="Times New Roman"/>
        </w:rPr>
        <w:t xml:space="preserve">In 1976, Canada acceded to the </w:t>
      </w:r>
      <w:r w:rsidRPr="00D5269A">
        <w:rPr>
          <w:rFonts w:cs="Times New Roman"/>
          <w:i/>
        </w:rPr>
        <w:t>International Covenant on Civil and Political Rights</w:t>
      </w:r>
      <w:r w:rsidRPr="00D5269A">
        <w:rPr>
          <w:rFonts w:cs="Times New Roman"/>
        </w:rPr>
        <w:t>,</w:t>
      </w:r>
      <w:r w:rsidRPr="00D5269A">
        <w:rPr>
          <w:rFonts w:cs="Times New Roman"/>
          <w:i/>
        </w:rPr>
        <w:t xml:space="preserve"> </w:t>
      </w:r>
      <w:r w:rsidRPr="00D5269A">
        <w:rPr>
          <w:rFonts w:cs="Times New Roman"/>
        </w:rPr>
        <w:t>Can. T.S. 1976 No. 47 (“</w:t>
      </w:r>
      <w:r w:rsidRPr="00D5269A">
        <w:rPr>
          <w:rFonts w:cs="Times New Roman"/>
          <w:i/>
        </w:rPr>
        <w:t>ICCPR</w:t>
      </w:r>
      <w:r w:rsidR="00FE7310">
        <w:rPr>
          <w:rFonts w:cs="Times New Roman"/>
        </w:rPr>
        <w:t>”). Article </w:t>
      </w:r>
      <w:r w:rsidRPr="00D5269A">
        <w:rPr>
          <w:rFonts w:cs="Times New Roman"/>
        </w:rPr>
        <w:t xml:space="preserve">15(1) of the </w:t>
      </w:r>
      <w:r w:rsidRPr="00D5269A">
        <w:rPr>
          <w:rFonts w:cs="Times New Roman"/>
          <w:i/>
        </w:rPr>
        <w:t xml:space="preserve">ICCPR </w:t>
      </w:r>
      <w:r w:rsidRPr="00D5269A">
        <w:rPr>
          <w:rFonts w:cs="Times New Roman"/>
        </w:rPr>
        <w:t>said (and continues to say):</w:t>
      </w:r>
    </w:p>
    <w:p w:rsidR="000738FC" w:rsidRPr="00D5269A" w:rsidRDefault="000738FC" w:rsidP="000738FC">
      <w:pPr>
        <w:pStyle w:val="Citation-AltC"/>
        <w:ind w:firstLine="274"/>
      </w:pPr>
      <w:r w:rsidRPr="00D5269A">
        <w:t xml:space="preserve">1.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w:t>
      </w:r>
      <w:r w:rsidRPr="00D5269A">
        <w:rPr>
          <w:u w:val="single"/>
        </w:rPr>
        <w:t xml:space="preserve">If, subsequent to the commission of the offence, provision is made by law for the imposition of </w:t>
      </w:r>
      <w:r w:rsidR="00F16737">
        <w:rPr>
          <w:u w:val="single"/>
        </w:rPr>
        <w:t>a</w:t>
      </w:r>
      <w:r w:rsidRPr="00D5269A">
        <w:rPr>
          <w:u w:val="single"/>
        </w:rPr>
        <w:t xml:space="preserve"> lighter penalty, the offender shall benefit thereby</w:t>
      </w:r>
      <w:r w:rsidRPr="00F16737">
        <w:rPr>
          <w:u w:val="single"/>
        </w:rPr>
        <w:t>.</w:t>
      </w:r>
    </w:p>
    <w:p w:rsidR="000738FC" w:rsidRPr="00D5269A" w:rsidRDefault="000738FC" w:rsidP="000738FC">
      <w:pPr>
        <w:pStyle w:val="ContinueParaSuitedupar-AltP"/>
        <w:rPr>
          <w:rFonts w:cs="Times New Roman"/>
        </w:rPr>
      </w:pPr>
      <w:r w:rsidRPr="00D5269A">
        <w:rPr>
          <w:rFonts w:cs="Times New Roman"/>
        </w:rPr>
        <w:t xml:space="preserve">Notably, </w:t>
      </w:r>
      <w:r w:rsidR="00F16737">
        <w:rPr>
          <w:rFonts w:cs="Times New Roman"/>
        </w:rPr>
        <w:t>the first two sentences of art. </w:t>
      </w:r>
      <w:r w:rsidRPr="00D5269A">
        <w:rPr>
          <w:rFonts w:cs="Times New Roman"/>
        </w:rPr>
        <w:t>15(1) practically duplicate the entirety of art.</w:t>
      </w:r>
      <w:r w:rsidR="00F16737">
        <w:rPr>
          <w:rFonts w:cs="Times New Roman"/>
        </w:rPr>
        <w:t> </w:t>
      </w:r>
      <w:r w:rsidRPr="00D5269A">
        <w:rPr>
          <w:rFonts w:cs="Times New Roman"/>
        </w:rPr>
        <w:t xml:space="preserve">7(1) of the </w:t>
      </w:r>
      <w:r w:rsidRPr="00D5269A">
        <w:rPr>
          <w:rFonts w:cs="Times New Roman"/>
          <w:i/>
        </w:rPr>
        <w:t>ECHR</w:t>
      </w:r>
      <w:r w:rsidRPr="00E15640">
        <w:rPr>
          <w:rFonts w:cs="Times New Roman"/>
        </w:rPr>
        <w:t xml:space="preserve">. </w:t>
      </w:r>
      <w:r w:rsidRPr="00D5269A">
        <w:rPr>
          <w:rFonts w:cs="Times New Roman"/>
        </w:rPr>
        <w:t>It is only the last sentence of a</w:t>
      </w:r>
      <w:r w:rsidR="00F16737">
        <w:rPr>
          <w:rFonts w:cs="Times New Roman"/>
        </w:rPr>
        <w:t>rt. </w:t>
      </w:r>
      <w:r w:rsidRPr="00D5269A">
        <w:rPr>
          <w:rFonts w:cs="Times New Roman"/>
        </w:rPr>
        <w:t xml:space="preserve">15(1) — which codifies the equivalent of “the benefit of the lesser punishment” — which is distinct. The </w:t>
      </w:r>
      <w:r w:rsidRPr="00D5269A">
        <w:rPr>
          <w:rFonts w:cs="Times New Roman"/>
          <w:i/>
        </w:rPr>
        <w:t>ICCPR</w:t>
      </w:r>
      <w:r w:rsidRPr="00D5269A">
        <w:rPr>
          <w:rFonts w:cs="Times New Roman"/>
        </w:rPr>
        <w:t xml:space="preserve"> appears to have been among the first international instruments to codify the “relatively modern” principle that an offe</w:t>
      </w:r>
      <w:r w:rsidR="000D278B">
        <w:rPr>
          <w:rFonts w:cs="Times New Roman"/>
        </w:rPr>
        <w:t>nder should benefit from a post</w:t>
      </w:r>
      <w:r w:rsidR="000D278B" w:rsidRPr="00A215D4">
        <w:rPr>
          <w:lang w:val="en-US"/>
        </w:rPr>
        <w:noBreakHyphen/>
      </w:r>
      <w:r w:rsidRPr="00D5269A">
        <w:rPr>
          <w:rFonts w:cs="Times New Roman"/>
        </w:rPr>
        <w:t>offence decrease in punishment — which is sometimes called the “</w:t>
      </w:r>
      <w:r w:rsidRPr="00D5269A">
        <w:rPr>
          <w:rFonts w:cs="Times New Roman"/>
          <w:i/>
        </w:rPr>
        <w:t>lex mitior</w:t>
      </w:r>
      <w:r w:rsidRPr="00D5269A">
        <w:rPr>
          <w:rFonts w:cs="Times New Roman"/>
        </w:rPr>
        <w:t>” principle (P. Westen,</w:t>
      </w:r>
      <w:r w:rsidRPr="00D5269A">
        <w:rPr>
          <w:rFonts w:cs="Times New Roman"/>
          <w:i/>
        </w:rPr>
        <w:t xml:space="preserve"> </w:t>
      </w:r>
      <w:r w:rsidRPr="00D5269A">
        <w:rPr>
          <w:rFonts w:cs="Times New Roman"/>
        </w:rPr>
        <w:t>“</w:t>
      </w:r>
      <w:r w:rsidRPr="00D5269A">
        <w:rPr>
          <w:rFonts w:cs="Times New Roman"/>
          <w:i/>
        </w:rPr>
        <w:t>Lex Mitior</w:t>
      </w:r>
      <w:r w:rsidRPr="00D5269A">
        <w:rPr>
          <w:rFonts w:cs="Times New Roman"/>
        </w:rPr>
        <w:t xml:space="preserve">: Converse of </w:t>
      </w:r>
      <w:r w:rsidRPr="00D5269A">
        <w:rPr>
          <w:rFonts w:cs="Times New Roman"/>
          <w:i/>
        </w:rPr>
        <w:t xml:space="preserve">Ex Post Facto </w:t>
      </w:r>
      <w:r w:rsidRPr="00D5269A">
        <w:rPr>
          <w:rFonts w:cs="Times New Roman"/>
        </w:rPr>
        <w:t xml:space="preserve">and Window into Criminal Desert” (2015), 18 </w:t>
      </w:r>
      <w:r w:rsidRPr="00D5269A">
        <w:rPr>
          <w:rFonts w:cs="Times New Roman"/>
          <w:i/>
        </w:rPr>
        <w:t>New Crim. L. Rev.</w:t>
      </w:r>
      <w:r w:rsidR="000D278B">
        <w:rPr>
          <w:rFonts w:cs="Times New Roman"/>
        </w:rPr>
        <w:t xml:space="preserve"> 167, at pp. 169</w:t>
      </w:r>
      <w:r w:rsidR="000D278B" w:rsidRPr="00A215D4">
        <w:rPr>
          <w:lang w:val="en-US"/>
        </w:rPr>
        <w:noBreakHyphen/>
      </w:r>
      <w:r w:rsidRPr="00D5269A">
        <w:rPr>
          <w:rFonts w:cs="Times New Roman"/>
        </w:rPr>
        <w:t>70;</w:t>
      </w:r>
      <w:r w:rsidRPr="00D5269A">
        <w:rPr>
          <w:rFonts w:eastAsia="Times New Roman" w:cs="Times New Roman"/>
          <w:i/>
          <w:szCs w:val="24"/>
          <w:lang w:eastAsia="en-CA"/>
        </w:rPr>
        <w:t xml:space="preserve"> </w:t>
      </w:r>
      <w:r w:rsidRPr="00D5269A">
        <w:rPr>
          <w:rFonts w:cs="Times New Roman"/>
          <w:i/>
        </w:rPr>
        <w:t>R. v. Docherty</w:t>
      </w:r>
      <w:r w:rsidRPr="00D5269A">
        <w:rPr>
          <w:rFonts w:cs="Times New Roman"/>
        </w:rPr>
        <w:t xml:space="preserve">, [2016] UKSC 62, </w:t>
      </w:r>
      <w:r w:rsidR="00F711A3">
        <w:rPr>
          <w:rFonts w:cs="Times New Roman"/>
        </w:rPr>
        <w:t>[2017] 4 All E.R. 263, at para. </w:t>
      </w:r>
      <w:r w:rsidRPr="00D5269A">
        <w:rPr>
          <w:rFonts w:cs="Times New Roman"/>
        </w:rPr>
        <w:t>32).</w:t>
      </w:r>
    </w:p>
    <w:p w:rsidR="000738FC" w:rsidRPr="00D5269A" w:rsidRDefault="000738FC" w:rsidP="000738FC">
      <w:pPr>
        <w:pStyle w:val="ParaNoNdepar-AltN"/>
        <w:rPr>
          <w:rFonts w:cs="Times New Roman"/>
        </w:rPr>
      </w:pPr>
      <w:r w:rsidRPr="00D5269A">
        <w:rPr>
          <w:rFonts w:cs="Times New Roman"/>
        </w:rPr>
        <w:t xml:space="preserve">After Canada acceded to the </w:t>
      </w:r>
      <w:r w:rsidRPr="00D5269A">
        <w:rPr>
          <w:rFonts w:cs="Times New Roman"/>
          <w:i/>
        </w:rPr>
        <w:t>ICCPR</w:t>
      </w:r>
      <w:r w:rsidR="005A00FE">
        <w:rPr>
          <w:rFonts w:cs="Times New Roman"/>
        </w:rPr>
        <w:t>, the draft language of s. </w:t>
      </w:r>
      <w:r w:rsidRPr="00D5269A">
        <w:rPr>
          <w:rFonts w:cs="Times New Roman"/>
        </w:rPr>
        <w:t>11(</w:t>
      </w:r>
      <w:r w:rsidRPr="00D5269A">
        <w:rPr>
          <w:rFonts w:cs="Times New Roman"/>
          <w:i/>
        </w:rPr>
        <w:t>i</w:t>
      </w:r>
      <w:r w:rsidRPr="00D5269A">
        <w:rPr>
          <w:rFonts w:cs="Times New Roman"/>
        </w:rPr>
        <w:t>) changed. By 1979, it reflected the right to a decrease in punishment, saying:</w:t>
      </w:r>
    </w:p>
    <w:p w:rsidR="000738FC" w:rsidRPr="00D5269A" w:rsidRDefault="002D0F30" w:rsidP="000738FC">
      <w:pPr>
        <w:pStyle w:val="Citation-AltC"/>
      </w:pPr>
      <w:r>
        <w:lastRenderedPageBreak/>
        <w:t xml:space="preserve">(g) </w:t>
      </w:r>
      <w:r w:rsidR="000738FC" w:rsidRPr="00D5269A">
        <w:t>the right to the benefit of the lesser punishment where the punishment for an offence of which he or she has been convicted has been varied between the time of commis</w:t>
      </w:r>
      <w:r>
        <w:t>sion and the time of conviction . . .</w:t>
      </w:r>
      <w:r w:rsidR="00643354">
        <w:t> .</w:t>
      </w:r>
    </w:p>
    <w:p w:rsidR="000738FC" w:rsidRPr="00D5269A" w:rsidRDefault="000738FC" w:rsidP="000738FC">
      <w:pPr>
        <w:pStyle w:val="Citation-AltC"/>
      </w:pPr>
    </w:p>
    <w:p w:rsidR="000738FC" w:rsidRPr="00D5269A" w:rsidRDefault="000738FC" w:rsidP="00E67C5A">
      <w:pPr>
        <w:pStyle w:val="Citation-AltC"/>
        <w:ind w:left="0"/>
      </w:pPr>
      <w:r w:rsidRPr="00D5269A">
        <w:t xml:space="preserve">(Meeting of Officials on the Constitution, </w:t>
      </w:r>
      <w:r w:rsidRPr="00D5269A">
        <w:rPr>
          <w:i/>
        </w:rPr>
        <w:t>Canadian Charter of Rights and Freedoms (Draft for Discussion Purposes Only)</w:t>
      </w:r>
      <w:r w:rsidRPr="00D5269A">
        <w:t xml:space="preserve"> </w:t>
      </w:r>
      <w:r w:rsidR="007807D4">
        <w:t>(1979), div. III, at p. </w:t>
      </w:r>
      <w:r w:rsidRPr="00D5269A">
        <w:t>4)</w:t>
      </w:r>
    </w:p>
    <w:p w:rsidR="000738FC" w:rsidRPr="00D5269A" w:rsidRDefault="000738FC" w:rsidP="000738FC">
      <w:pPr>
        <w:pStyle w:val="ContinueParaSuitedupar-AltP"/>
        <w:rPr>
          <w:rFonts w:cs="Times New Roman"/>
        </w:rPr>
      </w:pPr>
      <w:r w:rsidRPr="00D5269A">
        <w:rPr>
          <w:rFonts w:cs="Times New Roman"/>
        </w:rPr>
        <w:t>With the exception of “the time of conviction” as the relevant end point, this is effectively the sa</w:t>
      </w:r>
      <w:r w:rsidR="006F1C4B">
        <w:rPr>
          <w:rFonts w:cs="Times New Roman"/>
        </w:rPr>
        <w:t>me language now enshrined in s. </w:t>
      </w:r>
      <w:r w:rsidRPr="00D5269A">
        <w:rPr>
          <w:rFonts w:cs="Times New Roman"/>
        </w:rPr>
        <w:t>11(</w:t>
      </w:r>
      <w:r w:rsidRPr="00D5269A">
        <w:rPr>
          <w:rFonts w:cs="Times New Roman"/>
          <w:i/>
        </w:rPr>
        <w:t>i</w:t>
      </w:r>
      <w:r w:rsidRPr="00D5269A">
        <w:rPr>
          <w:rFonts w:cs="Times New Roman"/>
        </w:rPr>
        <w:t>), albeit structured differently.  By 1980, the words “time of sentencing” had replaced the words “time of conviction” (“Proposed Resolution for a Joint</w:t>
      </w:r>
      <w:r w:rsidRPr="00D5269A">
        <w:rPr>
          <w:rFonts w:cs="Times New Roman"/>
          <w:i/>
        </w:rPr>
        <w:t xml:space="preserve"> </w:t>
      </w:r>
      <w:r w:rsidRPr="00D5269A">
        <w:rPr>
          <w:rFonts w:cs="Times New Roman"/>
        </w:rPr>
        <w:t>Address to Her Majesty the Queen respecting the Constitution of Canada”</w:t>
      </w:r>
      <w:r w:rsidR="007E3832">
        <w:rPr>
          <w:rFonts w:cs="Times New Roman"/>
        </w:rPr>
        <w:t>,</w:t>
      </w:r>
      <w:r w:rsidRPr="00D5269A">
        <w:rPr>
          <w:rFonts w:cs="Times New Roman"/>
        </w:rPr>
        <w:t xml:space="preserve"> in </w:t>
      </w:r>
      <w:r w:rsidRPr="00D5269A">
        <w:rPr>
          <w:rFonts w:cs="Times New Roman"/>
          <w:i/>
        </w:rPr>
        <w:t>T</w:t>
      </w:r>
      <w:r w:rsidR="00CB3FA1">
        <w:rPr>
          <w:rFonts w:cs="Times New Roman"/>
          <w:i/>
        </w:rPr>
        <w:t xml:space="preserve">he Canadian Constitution 1980: </w:t>
      </w:r>
      <w:r w:rsidRPr="00D5269A">
        <w:rPr>
          <w:rFonts w:cs="Times New Roman"/>
          <w:i/>
        </w:rPr>
        <w:t xml:space="preserve">Proposed Resolution respecting the Constitution of Canada </w:t>
      </w:r>
      <w:r w:rsidR="00B35FF3">
        <w:rPr>
          <w:rFonts w:cs="Times New Roman"/>
        </w:rPr>
        <w:t>(1980), at p. </w:t>
      </w:r>
      <w:r w:rsidR="007E3832">
        <w:rPr>
          <w:rFonts w:cs="Times New Roman"/>
        </w:rPr>
        <w:t>18).</w:t>
      </w:r>
    </w:p>
    <w:p w:rsidR="000738FC" w:rsidRPr="00D5269A" w:rsidRDefault="000738FC" w:rsidP="000738FC">
      <w:pPr>
        <w:pStyle w:val="ParaNoNdepar-AltN"/>
        <w:rPr>
          <w:rFonts w:cs="Times New Roman"/>
        </w:rPr>
      </w:pPr>
      <w:r w:rsidRPr="00D5269A">
        <w:rPr>
          <w:rFonts w:cs="Times New Roman"/>
        </w:rPr>
        <w:t>As stated in the explanat</w:t>
      </w:r>
      <w:r w:rsidR="00CC3BC9">
        <w:rPr>
          <w:rFonts w:cs="Times New Roman"/>
        </w:rPr>
        <w:t>ory notes to the 1980 draft, s. </w:t>
      </w:r>
      <w:r w:rsidRPr="00D5269A">
        <w:rPr>
          <w:rFonts w:cs="Times New Roman"/>
        </w:rPr>
        <w:t>11(</w:t>
      </w:r>
      <w:r w:rsidRPr="00D5269A">
        <w:rPr>
          <w:rFonts w:cs="Times New Roman"/>
          <w:i/>
        </w:rPr>
        <w:t>i</w:t>
      </w:r>
      <w:r w:rsidRPr="00D5269A">
        <w:rPr>
          <w:rFonts w:cs="Times New Roman"/>
        </w:rPr>
        <w:t xml:space="preserve">), among other rights, was drawn from similar provisions in the </w:t>
      </w:r>
      <w:r w:rsidRPr="00D5269A">
        <w:rPr>
          <w:rFonts w:cs="Times New Roman"/>
          <w:i/>
        </w:rPr>
        <w:t>ICCPR</w:t>
      </w:r>
      <w:r w:rsidR="0008258B">
        <w:rPr>
          <w:rFonts w:cs="Times New Roman"/>
        </w:rPr>
        <w:t>, including art. </w:t>
      </w:r>
      <w:r w:rsidRPr="00D5269A">
        <w:rPr>
          <w:rFonts w:cs="Times New Roman"/>
        </w:rPr>
        <w:t>15(1)</w:t>
      </w:r>
      <w:r w:rsidRPr="00D5269A">
        <w:rPr>
          <w:rFonts w:cs="Times New Roman"/>
          <w:i/>
        </w:rPr>
        <w:t xml:space="preserve"> </w:t>
      </w:r>
      <w:r w:rsidRPr="00D5269A">
        <w:rPr>
          <w:rFonts w:cs="Times New Roman"/>
        </w:rPr>
        <w:t>(</w:t>
      </w:r>
      <w:r w:rsidRPr="00D5269A">
        <w:rPr>
          <w:rFonts w:cs="Times New Roman"/>
          <w:i/>
        </w:rPr>
        <w:t>Proposed Resolution</w:t>
      </w:r>
      <w:r w:rsidRPr="00D5269A">
        <w:rPr>
          <w:rFonts w:cs="Times New Roman"/>
        </w:rPr>
        <w:t>, at p.</w:t>
      </w:r>
      <w:r w:rsidR="0008258B">
        <w:rPr>
          <w:rFonts w:cs="Times New Roman"/>
        </w:rPr>
        <w:t> </w:t>
      </w:r>
      <w:r w:rsidRPr="00D5269A">
        <w:rPr>
          <w:rFonts w:cs="Times New Roman"/>
        </w:rPr>
        <w:t>1</w:t>
      </w:r>
      <w:r w:rsidR="000D14CF">
        <w:rPr>
          <w:rFonts w:cs="Times New Roman"/>
        </w:rPr>
        <w:t>6</w:t>
      </w:r>
      <w:r w:rsidRPr="00D5269A">
        <w:rPr>
          <w:rFonts w:cs="Times New Roman"/>
        </w:rPr>
        <w:t>). However, the drafters did</w:t>
      </w:r>
      <w:r w:rsidR="00CC3BC9">
        <w:rPr>
          <w:rFonts w:cs="Times New Roman"/>
        </w:rPr>
        <w:t xml:space="preserve"> not give s. </w:t>
      </w:r>
      <w:r w:rsidRPr="00D5269A">
        <w:rPr>
          <w:rFonts w:cs="Times New Roman"/>
        </w:rPr>
        <w:t>11(</w:t>
      </w:r>
      <w:r w:rsidRPr="00D5269A">
        <w:rPr>
          <w:rFonts w:cs="Times New Roman"/>
          <w:i/>
        </w:rPr>
        <w:t>i</w:t>
      </w:r>
      <w:r w:rsidRPr="00D5269A">
        <w:rPr>
          <w:rFonts w:cs="Times New Roman"/>
        </w:rPr>
        <w:t>) identical scope to art.</w:t>
      </w:r>
      <w:r w:rsidR="00CC3BC9">
        <w:rPr>
          <w:rFonts w:cs="Times New Roman"/>
        </w:rPr>
        <w:t> </w:t>
      </w:r>
      <w:r w:rsidRPr="00D5269A">
        <w:rPr>
          <w:rFonts w:cs="Times New Roman"/>
        </w:rPr>
        <w:t>15(1</w:t>
      </w:r>
      <w:r w:rsidR="00CC3BC9">
        <w:rPr>
          <w:rFonts w:cs="Times New Roman"/>
        </w:rPr>
        <w:t>). Whereas the language of art. </w:t>
      </w:r>
      <w:r w:rsidRPr="00D5269A">
        <w:rPr>
          <w:rFonts w:cs="Times New Roman"/>
        </w:rPr>
        <w:t xml:space="preserve">15(1) grants an offender the seemingly more expansive and indefinite right to a lesser punishment enacted “subsequent to the commission </w:t>
      </w:r>
      <w:r w:rsidR="00FA2D56">
        <w:rPr>
          <w:rFonts w:cs="Times New Roman"/>
        </w:rPr>
        <w:t>of the offence”, the text of s. </w:t>
      </w:r>
      <w:r w:rsidRPr="00D5269A">
        <w:rPr>
          <w:rFonts w:cs="Times New Roman"/>
        </w:rPr>
        <w:t>11(</w:t>
      </w:r>
      <w:r w:rsidRPr="00D5269A">
        <w:rPr>
          <w:rFonts w:cs="Times New Roman"/>
          <w:i/>
        </w:rPr>
        <w:t>i</w:t>
      </w:r>
      <w:r w:rsidRPr="00D5269A">
        <w:rPr>
          <w:rFonts w:cs="Times New Roman"/>
        </w:rPr>
        <w:t xml:space="preserve">) limits the offender’s entitlement to “the time of sentencing”. This important difference was deliberate (see Senate and House of Commons, </w:t>
      </w:r>
      <w:r w:rsidRPr="00D5269A">
        <w:rPr>
          <w:rFonts w:cs="Times New Roman"/>
          <w:i/>
        </w:rPr>
        <w:t>Minutes of Proceedings and Evidence of the Special Joint Committee of the Senate and of the House of Commons on the Constitution of Canada</w:t>
      </w:r>
      <w:r w:rsidRPr="00D5269A">
        <w:rPr>
          <w:rFonts w:cs="Times New Roman"/>
        </w:rPr>
        <w:t>,</w:t>
      </w:r>
      <w:r w:rsidRPr="00D5269A">
        <w:rPr>
          <w:rFonts w:cs="Times New Roman"/>
          <w:i/>
        </w:rPr>
        <w:t xml:space="preserve"> </w:t>
      </w:r>
      <w:r w:rsidRPr="00D5269A">
        <w:rPr>
          <w:rFonts w:cs="Times New Roman"/>
        </w:rPr>
        <w:t>No. 47, 1st Sess., 32nd Parl., January 28, 198</w:t>
      </w:r>
      <w:r w:rsidR="000D278B">
        <w:rPr>
          <w:rFonts w:cs="Times New Roman"/>
        </w:rPr>
        <w:t>1 (“Committee”), at pp. 65</w:t>
      </w:r>
      <w:r w:rsidR="000D278B" w:rsidRPr="00A215D4">
        <w:rPr>
          <w:lang w:val="en-US"/>
        </w:rPr>
        <w:noBreakHyphen/>
      </w:r>
      <w:r w:rsidR="000D278B">
        <w:rPr>
          <w:rFonts w:cs="Times New Roman"/>
        </w:rPr>
        <w:t>69).</w:t>
      </w:r>
    </w:p>
    <w:p w:rsidR="000738FC" w:rsidRPr="00D5269A" w:rsidRDefault="000738FC" w:rsidP="000738FC">
      <w:pPr>
        <w:pStyle w:val="ParaNoNdepar-AltN"/>
        <w:rPr>
          <w:rFonts w:cs="Times New Roman"/>
        </w:rPr>
      </w:pPr>
      <w:r w:rsidRPr="00D5269A">
        <w:rPr>
          <w:rFonts w:cs="Times New Roman"/>
        </w:rPr>
        <w:lastRenderedPageBreak/>
        <w:t xml:space="preserve">The Committee’s </w:t>
      </w:r>
      <w:r w:rsidR="001C2F17">
        <w:rPr>
          <w:rFonts w:cs="Times New Roman"/>
        </w:rPr>
        <w:t>discussion about cutting off s. </w:t>
      </w:r>
      <w:r w:rsidRPr="00D5269A">
        <w:rPr>
          <w:rFonts w:cs="Times New Roman"/>
        </w:rPr>
        <w:t>11(</w:t>
      </w:r>
      <w:r w:rsidRPr="00D5269A">
        <w:rPr>
          <w:rFonts w:cs="Times New Roman"/>
          <w:i/>
        </w:rPr>
        <w:t>i</w:t>
      </w:r>
      <w:r w:rsidRPr="00D5269A">
        <w:rPr>
          <w:rFonts w:cs="Times New Roman"/>
        </w:rPr>
        <w:t>) at “the time of sentencing” w</w:t>
      </w:r>
      <w:r w:rsidR="001C2F17">
        <w:rPr>
          <w:rFonts w:cs="Times New Roman"/>
        </w:rPr>
        <w:t>as its only discussion about s. </w:t>
      </w:r>
      <w:r w:rsidRPr="00D5269A">
        <w:rPr>
          <w:rFonts w:cs="Times New Roman"/>
        </w:rPr>
        <w:t>11(</w:t>
      </w:r>
      <w:r w:rsidRPr="00D5269A">
        <w:rPr>
          <w:rFonts w:cs="Times New Roman"/>
          <w:i/>
        </w:rPr>
        <w:t>i</w:t>
      </w:r>
      <w:r w:rsidRPr="00D5269A">
        <w:rPr>
          <w:rFonts w:cs="Times New Roman"/>
        </w:rPr>
        <w:t>) over its 56 sitting days. The Committee did no</w:t>
      </w:r>
      <w:r w:rsidR="001C2F17">
        <w:rPr>
          <w:rFonts w:cs="Times New Roman"/>
        </w:rPr>
        <w:t>t expressly consider whether s. </w:t>
      </w:r>
      <w:r w:rsidRPr="00D5269A">
        <w:rPr>
          <w:rFonts w:cs="Times New Roman"/>
        </w:rPr>
        <w:t>11(</w:t>
      </w:r>
      <w:r w:rsidRPr="00D5269A">
        <w:rPr>
          <w:rFonts w:cs="Times New Roman"/>
          <w:i/>
        </w:rPr>
        <w:t>i</w:t>
      </w:r>
      <w:r w:rsidRPr="00D5269A">
        <w:rPr>
          <w:rFonts w:cs="Times New Roman"/>
        </w:rPr>
        <w:t xml:space="preserve">) confers a binary or global right. The House of Commons debates from 1980 to 1983 similarly do not reflect any consideration of this question. </w:t>
      </w:r>
    </w:p>
    <w:p w:rsidR="000738FC" w:rsidRPr="00D5269A" w:rsidRDefault="000738FC" w:rsidP="000738FC">
      <w:pPr>
        <w:pStyle w:val="ParaNoNdepar-AltN"/>
        <w:rPr>
          <w:rFonts w:cs="Times New Roman"/>
        </w:rPr>
      </w:pPr>
      <w:r w:rsidRPr="00D5269A">
        <w:rPr>
          <w:rFonts w:cs="Times New Roman"/>
        </w:rPr>
        <w:t>Nonetheless, there is</w:t>
      </w:r>
      <w:r w:rsidR="00BE477D">
        <w:rPr>
          <w:rFonts w:cs="Times New Roman"/>
        </w:rPr>
        <w:t xml:space="preserve"> good reason to believe that s. </w:t>
      </w:r>
      <w:r w:rsidRPr="00D5269A">
        <w:rPr>
          <w:rFonts w:cs="Times New Roman"/>
        </w:rPr>
        <w:t>11(</w:t>
      </w:r>
      <w:r w:rsidRPr="00D5269A">
        <w:rPr>
          <w:rFonts w:cs="Times New Roman"/>
          <w:i/>
        </w:rPr>
        <w:t>i</w:t>
      </w:r>
      <w:r w:rsidRPr="00D5269A">
        <w:rPr>
          <w:rFonts w:cs="Times New Roman"/>
        </w:rPr>
        <w:t>) was intended to confer no more than the binary right reflected in its language; none of th</w:t>
      </w:r>
      <w:r w:rsidR="00BE477D">
        <w:rPr>
          <w:rFonts w:cs="Times New Roman"/>
        </w:rPr>
        <w:t>e three provisions inspiring s. </w:t>
      </w:r>
      <w:r w:rsidRPr="00D5269A">
        <w:rPr>
          <w:rFonts w:cs="Times New Roman"/>
        </w:rPr>
        <w:t>11(</w:t>
      </w:r>
      <w:r w:rsidRPr="00D5269A">
        <w:rPr>
          <w:rFonts w:cs="Times New Roman"/>
          <w:i/>
        </w:rPr>
        <w:t>i</w:t>
      </w:r>
      <w:r w:rsidRPr="00D5269A">
        <w:rPr>
          <w:rFonts w:cs="Times New Roman"/>
        </w:rPr>
        <w:t>) endorsed a global right.</w:t>
      </w:r>
    </w:p>
    <w:p w:rsidR="000738FC" w:rsidRPr="00D5269A" w:rsidRDefault="006159B6" w:rsidP="000738FC">
      <w:pPr>
        <w:pStyle w:val="ParaNoNdepar-AltN"/>
        <w:rPr>
          <w:rFonts w:cs="Times New Roman"/>
        </w:rPr>
      </w:pPr>
      <w:r>
        <w:rPr>
          <w:rFonts w:cs="Times New Roman"/>
        </w:rPr>
        <w:t>As Mr. </w:t>
      </w:r>
      <w:r w:rsidR="000738FC" w:rsidRPr="00D5269A">
        <w:rPr>
          <w:rFonts w:cs="Times New Roman"/>
        </w:rPr>
        <w:t xml:space="preserve">Poulin acknowledges in his factum, s. 44(e) of the </w:t>
      </w:r>
      <w:r w:rsidR="000738FC" w:rsidRPr="00D5269A">
        <w:rPr>
          <w:rFonts w:cs="Times New Roman"/>
          <w:i/>
        </w:rPr>
        <w:t xml:space="preserve">Interpretation Act </w:t>
      </w:r>
      <w:r w:rsidR="000738FC" w:rsidRPr="00D5269A">
        <w:rPr>
          <w:rFonts w:cs="Times New Roman"/>
        </w:rPr>
        <w:t xml:space="preserve">is binary in nature. This provision entitles an offender to a reduced punishment in the “new enactment” if that enactment is in force by the time punishment is “imposed or adjudged”. This merely confers on an offender the benefit of any </w:t>
      </w:r>
      <w:r w:rsidR="000738FC" w:rsidRPr="00D5269A">
        <w:rPr>
          <w:rFonts w:cs="Times New Roman"/>
          <w:i/>
        </w:rPr>
        <w:t xml:space="preserve">current </w:t>
      </w:r>
      <w:r w:rsidR="000738FC" w:rsidRPr="00D5269A">
        <w:rPr>
          <w:rFonts w:cs="Times New Roman"/>
        </w:rPr>
        <w:t>lesser punishment. This provision therefore c</w:t>
      </w:r>
      <w:r w:rsidR="006174E9">
        <w:rPr>
          <w:rFonts w:cs="Times New Roman"/>
        </w:rPr>
        <w:t>annot have inspired a global s. </w:t>
      </w:r>
      <w:r w:rsidR="000738FC" w:rsidRPr="00D5269A">
        <w:rPr>
          <w:rFonts w:cs="Times New Roman"/>
        </w:rPr>
        <w:t>11(</w:t>
      </w:r>
      <w:r w:rsidR="000738FC" w:rsidRPr="00D5269A">
        <w:rPr>
          <w:rFonts w:cs="Times New Roman"/>
          <w:i/>
        </w:rPr>
        <w:t>i</w:t>
      </w:r>
      <w:r w:rsidR="000738FC" w:rsidRPr="00D5269A">
        <w:rPr>
          <w:rFonts w:cs="Times New Roman"/>
        </w:rPr>
        <w:t xml:space="preserve">) right. To the contrary, it seems to have planted the seed of a binary right. </w:t>
      </w:r>
    </w:p>
    <w:p w:rsidR="000738FC" w:rsidRPr="00D5269A" w:rsidRDefault="000738FC" w:rsidP="000738FC">
      <w:pPr>
        <w:pStyle w:val="ParaNoNdepar-AltN"/>
        <w:spacing w:before="240"/>
        <w:rPr>
          <w:rFonts w:cs="Times New Roman"/>
        </w:rPr>
      </w:pPr>
      <w:r w:rsidRPr="00D5269A">
        <w:rPr>
          <w:rFonts w:cs="Times New Roman"/>
        </w:rPr>
        <w:t xml:space="preserve">Likewise, the </w:t>
      </w:r>
      <w:r w:rsidRPr="00D5269A">
        <w:rPr>
          <w:rFonts w:cs="Times New Roman"/>
          <w:i/>
        </w:rPr>
        <w:t xml:space="preserve">ECHR </w:t>
      </w:r>
      <w:r w:rsidRPr="00D5269A">
        <w:rPr>
          <w:rFonts w:cs="Times New Roman"/>
        </w:rPr>
        <w:t>coul</w:t>
      </w:r>
      <w:r w:rsidR="00621EA9">
        <w:rPr>
          <w:rFonts w:cs="Times New Roman"/>
        </w:rPr>
        <w:t>d not have inspired a global s. </w:t>
      </w:r>
      <w:r w:rsidRPr="00D5269A">
        <w:rPr>
          <w:rFonts w:cs="Times New Roman"/>
        </w:rPr>
        <w:t>11(</w:t>
      </w:r>
      <w:r w:rsidRPr="00D5269A">
        <w:rPr>
          <w:rFonts w:cs="Times New Roman"/>
          <w:i/>
        </w:rPr>
        <w:t>i</w:t>
      </w:r>
      <w:r w:rsidRPr="00D5269A">
        <w:rPr>
          <w:rFonts w:cs="Times New Roman"/>
        </w:rPr>
        <w:t xml:space="preserve">) right. From 1978 until 2009, the second sentence of art. 7(1) of the </w:t>
      </w:r>
      <w:r w:rsidRPr="00D5269A">
        <w:rPr>
          <w:rFonts w:cs="Times New Roman"/>
          <w:i/>
        </w:rPr>
        <w:t>ECHR</w:t>
      </w:r>
      <w:r w:rsidRPr="00D5269A">
        <w:rPr>
          <w:rFonts w:cs="Times New Roman"/>
        </w:rPr>
        <w:t xml:space="preserve"> was understood as merely codifying the principle that an offender cannot be subjected to a heavier penalty than the one applicable when the offence was committed (</w:t>
      </w:r>
      <w:r w:rsidRPr="00D5269A">
        <w:rPr>
          <w:rFonts w:cs="Times New Roman"/>
          <w:i/>
        </w:rPr>
        <w:t>X. v. Federal Republic of Germany</w:t>
      </w:r>
      <w:r w:rsidRPr="00D5269A">
        <w:rPr>
          <w:rFonts w:cs="Times New Roman"/>
        </w:rPr>
        <w:t xml:space="preserve">, Application No. </w:t>
      </w:r>
      <w:r w:rsidR="00C60A6E">
        <w:rPr>
          <w:rFonts w:cs="Times New Roman"/>
        </w:rPr>
        <w:t xml:space="preserve">7900/77, March 6, 1978, D.R. 13, </w:t>
      </w:r>
      <w:r w:rsidRPr="00D5269A">
        <w:rPr>
          <w:rFonts w:cs="Times New Roman"/>
        </w:rPr>
        <w:t>p.</w:t>
      </w:r>
      <w:r w:rsidR="00C60A6E">
        <w:rPr>
          <w:rFonts w:cs="Times New Roman"/>
        </w:rPr>
        <w:t> </w:t>
      </w:r>
      <w:r w:rsidRPr="00D5269A">
        <w:rPr>
          <w:rFonts w:cs="Times New Roman"/>
        </w:rPr>
        <w:t xml:space="preserve">70; </w:t>
      </w:r>
      <w:r w:rsidRPr="00D5269A">
        <w:rPr>
          <w:rFonts w:cs="Times New Roman"/>
          <w:i/>
        </w:rPr>
        <w:t>Scoppola v. Italy (No. 2)</w:t>
      </w:r>
      <w:r w:rsidR="00AA154B">
        <w:rPr>
          <w:rFonts w:cs="Times New Roman"/>
        </w:rPr>
        <w:t xml:space="preserve"> (2010)</w:t>
      </w:r>
      <w:r w:rsidRPr="00D5269A">
        <w:rPr>
          <w:rFonts w:cs="Times New Roman"/>
        </w:rPr>
        <w:t xml:space="preserve">, </w:t>
      </w:r>
      <w:r w:rsidR="00AC008C">
        <w:rPr>
          <w:rFonts w:cs="Times New Roman"/>
        </w:rPr>
        <w:t>51 E.H.R.R. 12, at paras. </w:t>
      </w:r>
      <w:r w:rsidR="000D278B">
        <w:rPr>
          <w:rFonts w:cs="Times New Roman"/>
        </w:rPr>
        <w:t>103</w:t>
      </w:r>
      <w:r w:rsidR="000D278B" w:rsidRPr="00B35658">
        <w:rPr>
          <w:lang w:val="fr-CA"/>
        </w:rPr>
        <w:noBreakHyphen/>
      </w:r>
      <w:r w:rsidRPr="00D5269A">
        <w:rPr>
          <w:rFonts w:cs="Times New Roman"/>
        </w:rPr>
        <w:t xml:space="preserve">9). Indeed, there is no language whatsoever in art. 7(1) reflecting the principle that an offender should benefit from a </w:t>
      </w:r>
      <w:r w:rsidRPr="00D5269A">
        <w:rPr>
          <w:rFonts w:cs="Times New Roman"/>
        </w:rPr>
        <w:lastRenderedPageBreak/>
        <w:t xml:space="preserve">decrease in punishment — let alone a </w:t>
      </w:r>
      <w:r w:rsidRPr="00D5269A">
        <w:rPr>
          <w:rFonts w:cs="Times New Roman"/>
          <w:i/>
        </w:rPr>
        <w:t xml:space="preserve">global </w:t>
      </w:r>
      <w:r w:rsidRPr="00D5269A">
        <w:rPr>
          <w:rFonts w:cs="Times New Roman"/>
        </w:rPr>
        <w:t xml:space="preserve">version of that principle. In fact, as the Supreme Court of the United Kingdom observed in </w:t>
      </w:r>
      <w:r w:rsidRPr="00D5269A">
        <w:rPr>
          <w:rFonts w:cs="Times New Roman"/>
          <w:i/>
        </w:rPr>
        <w:t>Docherty</w:t>
      </w:r>
      <w:r w:rsidR="00DC4EC8">
        <w:rPr>
          <w:rFonts w:cs="Times New Roman"/>
        </w:rPr>
        <w:t>, at para. </w:t>
      </w:r>
      <w:r w:rsidRPr="00D5269A">
        <w:rPr>
          <w:rFonts w:cs="Times New Roman"/>
        </w:rPr>
        <w:t>32, “</w:t>
      </w:r>
      <w:r w:rsidR="006C441C">
        <w:rPr>
          <w:rFonts w:cs="Times New Roman"/>
        </w:rPr>
        <w:t>[a]</w:t>
      </w:r>
      <w:r w:rsidRPr="00D5269A">
        <w:rPr>
          <w:rFonts w:cs="Times New Roman"/>
        </w:rPr>
        <w:t>n ad</w:t>
      </w:r>
      <w:r w:rsidR="006C441C">
        <w:rPr>
          <w:rFonts w:cs="Times New Roman"/>
        </w:rPr>
        <w:t>ditional sentence containing th[</w:t>
      </w:r>
      <w:r w:rsidRPr="00D5269A">
        <w:rPr>
          <w:rFonts w:cs="Times New Roman"/>
        </w:rPr>
        <w:t>e] lex mitior</w:t>
      </w:r>
      <w:r w:rsidRPr="00D5269A">
        <w:rPr>
          <w:rFonts w:cs="Times New Roman"/>
          <w:i/>
        </w:rPr>
        <w:t xml:space="preserve"> </w:t>
      </w:r>
      <w:r w:rsidRPr="00D5269A">
        <w:rPr>
          <w:rFonts w:cs="Times New Roman"/>
        </w:rPr>
        <w:t>principle (benefit of a more lenient penalty) was considered and rejected when art. 7 ECHR was adopted in 1950” (see para.</w:t>
      </w:r>
      <w:r w:rsidR="00787D8A">
        <w:rPr>
          <w:rFonts w:cs="Times New Roman"/>
        </w:rPr>
        <w:t> </w:t>
      </w:r>
      <w:r w:rsidRPr="00D5269A">
        <w:rPr>
          <w:rFonts w:cs="Times New Roman"/>
        </w:rPr>
        <w:t xml:space="preserve">55, and the partly dissenting reasons of Judge Nicolaou in </w:t>
      </w:r>
      <w:r w:rsidRPr="00D5269A">
        <w:rPr>
          <w:rFonts w:cs="Times New Roman"/>
          <w:i/>
        </w:rPr>
        <w:t>Scoppola</w:t>
      </w:r>
      <w:r w:rsidR="000D278B">
        <w:rPr>
          <w:rFonts w:cs="Times New Roman"/>
        </w:rPr>
        <w:t>, at pp. 364</w:t>
      </w:r>
      <w:r w:rsidR="000D278B" w:rsidRPr="00A215D4">
        <w:rPr>
          <w:lang w:val="en-US"/>
        </w:rPr>
        <w:noBreakHyphen/>
      </w:r>
      <w:r w:rsidRPr="00D5269A">
        <w:rPr>
          <w:rFonts w:cs="Times New Roman"/>
        </w:rPr>
        <w:t xml:space="preserve">65). I acknowledge that in 2009, in </w:t>
      </w:r>
      <w:r w:rsidRPr="00D5269A">
        <w:rPr>
          <w:rFonts w:cs="Times New Roman"/>
          <w:i/>
        </w:rPr>
        <w:t>Scoppola</w:t>
      </w:r>
      <w:r w:rsidRPr="00D5269A">
        <w:rPr>
          <w:rFonts w:cs="Times New Roman"/>
        </w:rPr>
        <w:t>, a majority of a divided Grand Chamber of the European Court of Human Rights departed from its own precedent and superi</w:t>
      </w:r>
      <w:r w:rsidR="000D278B">
        <w:rPr>
          <w:rFonts w:cs="Times New Roman"/>
        </w:rPr>
        <w:t>mposed a global right onto art. </w:t>
      </w:r>
      <w:r w:rsidRPr="00D5269A">
        <w:rPr>
          <w:rFonts w:cs="Times New Roman"/>
        </w:rPr>
        <w:t xml:space="preserve">7(1). (I address the merits of this decision below.) Nonetheless, it remains the case that, at the time of the </w:t>
      </w:r>
      <w:r w:rsidRPr="00D5269A">
        <w:rPr>
          <w:rFonts w:cs="Times New Roman"/>
          <w:i/>
        </w:rPr>
        <w:t>Charter</w:t>
      </w:r>
      <w:r w:rsidRPr="00D5269A">
        <w:rPr>
          <w:rFonts w:cs="Times New Roman"/>
        </w:rPr>
        <w:t>’s enactment, art.</w:t>
      </w:r>
      <w:r w:rsidR="000D278B">
        <w:rPr>
          <w:rFonts w:cs="Times New Roman"/>
        </w:rPr>
        <w:t> </w:t>
      </w:r>
      <w:r w:rsidRPr="00D5269A">
        <w:rPr>
          <w:rFonts w:cs="Times New Roman"/>
        </w:rPr>
        <w:t xml:space="preserve">7(1) was not understood as conferring a global right. </w:t>
      </w:r>
    </w:p>
    <w:p w:rsidR="000738FC" w:rsidRPr="00D5269A" w:rsidRDefault="005A62F9" w:rsidP="000738FC">
      <w:pPr>
        <w:pStyle w:val="ParaNoNdepar-AltN"/>
        <w:rPr>
          <w:rFonts w:cs="Times New Roman"/>
        </w:rPr>
      </w:pPr>
      <w:r>
        <w:rPr>
          <w:rFonts w:cs="Times New Roman"/>
        </w:rPr>
        <w:t>Article </w:t>
      </w:r>
      <w:r w:rsidR="000738FC" w:rsidRPr="00D5269A">
        <w:rPr>
          <w:rFonts w:cs="Times New Roman"/>
        </w:rPr>
        <w:t xml:space="preserve">15(1) of the </w:t>
      </w:r>
      <w:r w:rsidR="000738FC" w:rsidRPr="00D5269A">
        <w:rPr>
          <w:rFonts w:cs="Times New Roman"/>
          <w:i/>
        </w:rPr>
        <w:t xml:space="preserve">ICCPR </w:t>
      </w:r>
      <w:r w:rsidR="000738FC" w:rsidRPr="00D5269A">
        <w:rPr>
          <w:rFonts w:cs="Times New Roman"/>
        </w:rPr>
        <w:t>is admittedly more ambiguous. Like s.</w:t>
      </w:r>
      <w:r>
        <w:rPr>
          <w:rFonts w:cs="Times New Roman"/>
        </w:rPr>
        <w:t> </w:t>
      </w:r>
      <w:r w:rsidR="000738FC" w:rsidRPr="00D5269A">
        <w:rPr>
          <w:rFonts w:cs="Times New Roman"/>
        </w:rPr>
        <w:t>11(</w:t>
      </w:r>
      <w:r w:rsidR="000738FC" w:rsidRPr="00D5269A">
        <w:rPr>
          <w:rFonts w:cs="Times New Roman"/>
          <w:i/>
        </w:rPr>
        <w:t>i</w:t>
      </w:r>
      <w:r w:rsidR="000738FC" w:rsidRPr="00D5269A">
        <w:rPr>
          <w:rFonts w:cs="Times New Roman"/>
        </w:rPr>
        <w:t>), it employs binary language (“</w:t>
      </w:r>
      <w:r w:rsidR="00C40E1E">
        <w:rPr>
          <w:rFonts w:cs="Times New Roman"/>
        </w:rPr>
        <w:t>a</w:t>
      </w:r>
      <w:r w:rsidR="000738FC" w:rsidRPr="00D5269A">
        <w:rPr>
          <w:rFonts w:cs="Times New Roman"/>
        </w:rPr>
        <w:t xml:space="preserve"> lighter penalty”), but, as stated above, the rest of its language is quite expansive. The parties have not identified, nor am I aware of, any decisions or General Comments of the United Nations Human Rights Committee grappling with the binary/glob</w:t>
      </w:r>
      <w:r w:rsidR="00A02600">
        <w:rPr>
          <w:rFonts w:cs="Times New Roman"/>
        </w:rPr>
        <w:t>al question in relation to art. </w:t>
      </w:r>
      <w:r w:rsidR="000738FC" w:rsidRPr="00D5269A">
        <w:rPr>
          <w:rFonts w:cs="Times New Roman"/>
        </w:rPr>
        <w:t>15(1). It therefore appears t</w:t>
      </w:r>
      <w:r w:rsidR="005E7BDF">
        <w:rPr>
          <w:rFonts w:cs="Times New Roman"/>
        </w:rPr>
        <w:t>o remain undecided whether art. </w:t>
      </w:r>
      <w:r w:rsidR="000738FC" w:rsidRPr="00D5269A">
        <w:rPr>
          <w:rFonts w:cs="Times New Roman"/>
        </w:rPr>
        <w:t>15(1) confers a binary or a global right.</w:t>
      </w:r>
      <w:r w:rsidR="00A02600">
        <w:rPr>
          <w:rFonts w:cs="Times New Roman"/>
        </w:rPr>
        <w:t xml:space="preserve"> As such, I do not see how art. </w:t>
      </w:r>
      <w:r w:rsidR="000738FC" w:rsidRPr="00D5269A">
        <w:rPr>
          <w:rFonts w:cs="Times New Roman"/>
        </w:rPr>
        <w:t xml:space="preserve">15(1) could have caused the drafters of the </w:t>
      </w:r>
      <w:r w:rsidR="000738FC" w:rsidRPr="00D5269A">
        <w:rPr>
          <w:rFonts w:cs="Times New Roman"/>
          <w:i/>
        </w:rPr>
        <w:t xml:space="preserve">Charter </w:t>
      </w:r>
      <w:r w:rsidR="000738FC" w:rsidRPr="00D5269A">
        <w:rPr>
          <w:rFonts w:cs="Times New Roman"/>
        </w:rPr>
        <w:t>to devia</w:t>
      </w:r>
      <w:r w:rsidR="005E7BDF">
        <w:rPr>
          <w:rFonts w:cs="Times New Roman"/>
        </w:rPr>
        <w:t>te from a binary approach to s. </w:t>
      </w:r>
      <w:r w:rsidR="000738FC" w:rsidRPr="00D5269A">
        <w:rPr>
          <w:rFonts w:cs="Times New Roman"/>
        </w:rPr>
        <w:t>11(</w:t>
      </w:r>
      <w:r w:rsidR="000738FC" w:rsidRPr="00D5269A">
        <w:rPr>
          <w:rFonts w:cs="Times New Roman"/>
          <w:i/>
        </w:rPr>
        <w:t>i</w:t>
      </w:r>
      <w:r w:rsidR="005E7BDF">
        <w:rPr>
          <w:rFonts w:cs="Times New Roman"/>
        </w:rPr>
        <w:t>) built upon s. </w:t>
      </w:r>
      <w:r w:rsidR="000738FC" w:rsidRPr="00D5269A">
        <w:rPr>
          <w:rFonts w:cs="Times New Roman"/>
        </w:rPr>
        <w:t xml:space="preserve">37(e) of the </w:t>
      </w:r>
      <w:r w:rsidR="000738FC" w:rsidRPr="00D5269A">
        <w:rPr>
          <w:rFonts w:cs="Times New Roman"/>
          <w:i/>
        </w:rPr>
        <w:t xml:space="preserve">Interpretation Act </w:t>
      </w:r>
      <w:r w:rsidR="00BB39BE">
        <w:rPr>
          <w:rFonts w:cs="Times New Roman"/>
        </w:rPr>
        <w:t>and art. </w:t>
      </w:r>
      <w:r w:rsidR="000738FC" w:rsidRPr="00D5269A">
        <w:rPr>
          <w:rFonts w:cs="Times New Roman"/>
        </w:rPr>
        <w:t xml:space="preserve">7(1) of the </w:t>
      </w:r>
      <w:r w:rsidR="000738FC" w:rsidRPr="00D5269A">
        <w:rPr>
          <w:rFonts w:cs="Times New Roman"/>
          <w:i/>
        </w:rPr>
        <w:t>ECHR</w:t>
      </w:r>
      <w:r w:rsidR="00A02600">
        <w:rPr>
          <w:rFonts w:cs="Times New Roman"/>
        </w:rPr>
        <w:t>.</w:t>
      </w:r>
    </w:p>
    <w:p w:rsidR="000738FC" w:rsidRPr="00D5269A" w:rsidRDefault="000738FC" w:rsidP="000738FC">
      <w:pPr>
        <w:pStyle w:val="ParaNoNdepar-AltN"/>
        <w:rPr>
          <w:rFonts w:cs="Times New Roman"/>
        </w:rPr>
      </w:pPr>
      <w:r w:rsidRPr="00D5269A">
        <w:rPr>
          <w:rFonts w:cs="Times New Roman"/>
        </w:rPr>
        <w:t xml:space="preserve"> From t</w:t>
      </w:r>
      <w:r w:rsidR="00C864FE">
        <w:rPr>
          <w:rFonts w:cs="Times New Roman"/>
        </w:rPr>
        <w:t>his review of the origins of s. </w:t>
      </w:r>
      <w:r w:rsidRPr="00D5269A">
        <w:rPr>
          <w:rFonts w:cs="Times New Roman"/>
        </w:rPr>
        <w:t>11(</w:t>
      </w:r>
      <w:r w:rsidRPr="00D5269A">
        <w:rPr>
          <w:rFonts w:cs="Times New Roman"/>
          <w:i/>
        </w:rPr>
        <w:t>i</w:t>
      </w:r>
      <w:r w:rsidR="00C864FE">
        <w:rPr>
          <w:rFonts w:cs="Times New Roman"/>
        </w:rPr>
        <w:t>), I see no indication that s. </w:t>
      </w:r>
      <w:r w:rsidRPr="00D5269A">
        <w:rPr>
          <w:rFonts w:cs="Times New Roman"/>
        </w:rPr>
        <w:t>11(</w:t>
      </w:r>
      <w:r w:rsidRPr="00D5269A">
        <w:rPr>
          <w:rFonts w:cs="Times New Roman"/>
          <w:i/>
        </w:rPr>
        <w:t>i</w:t>
      </w:r>
      <w:r w:rsidRPr="00D5269A">
        <w:rPr>
          <w:rFonts w:cs="Times New Roman"/>
        </w:rPr>
        <w:t xml:space="preserve">) enshrined a right broader than the binary one suggested in its wording. While a binary </w:t>
      </w:r>
      <w:r w:rsidRPr="00D5269A">
        <w:rPr>
          <w:rFonts w:cs="Times New Roman"/>
        </w:rPr>
        <w:lastRenderedPageBreak/>
        <w:t xml:space="preserve">right was already expressly recognized in the </w:t>
      </w:r>
      <w:r w:rsidRPr="00D5269A">
        <w:rPr>
          <w:rFonts w:cs="Times New Roman"/>
          <w:i/>
        </w:rPr>
        <w:t xml:space="preserve">Interpretation Act </w:t>
      </w:r>
      <w:r w:rsidRPr="00D5269A">
        <w:rPr>
          <w:rFonts w:cs="Times New Roman"/>
        </w:rPr>
        <w:t xml:space="preserve">at the time of the </w:t>
      </w:r>
      <w:r w:rsidRPr="00D5269A">
        <w:rPr>
          <w:rFonts w:cs="Times New Roman"/>
          <w:i/>
        </w:rPr>
        <w:t>Charter</w:t>
      </w:r>
      <w:r w:rsidRPr="00D5269A">
        <w:rPr>
          <w:rFonts w:cs="Times New Roman"/>
        </w:rPr>
        <w:t>’s enactment, a global right was nowhere to be found.</w:t>
      </w:r>
    </w:p>
    <w:p w:rsidR="000738FC" w:rsidRPr="00D5269A" w:rsidRDefault="000738FC" w:rsidP="000738FC">
      <w:pPr>
        <w:pStyle w:val="ParaNoNdepar-AltN"/>
        <w:rPr>
          <w:rFonts w:cs="Times New Roman"/>
        </w:rPr>
      </w:pPr>
      <w:r w:rsidRPr="00D5269A">
        <w:rPr>
          <w:rFonts w:cs="Times New Roman"/>
        </w:rPr>
        <w:t>What remains to be seen is whether the pur</w:t>
      </w:r>
      <w:r w:rsidR="0046457A">
        <w:rPr>
          <w:rFonts w:cs="Times New Roman"/>
        </w:rPr>
        <w:t>poses of s. </w:t>
      </w:r>
      <w:r w:rsidRPr="00D5269A">
        <w:rPr>
          <w:rFonts w:cs="Times New Roman"/>
        </w:rPr>
        <w:t>11(</w:t>
      </w:r>
      <w:r w:rsidRPr="00D5269A">
        <w:rPr>
          <w:rFonts w:cs="Times New Roman"/>
          <w:i/>
        </w:rPr>
        <w:t>i</w:t>
      </w:r>
      <w:r w:rsidRPr="00D5269A">
        <w:rPr>
          <w:rFonts w:cs="Times New Roman"/>
        </w:rPr>
        <w:t>) support a global interpretation of s.</w:t>
      </w:r>
      <w:r w:rsidR="0046457A">
        <w:rPr>
          <w:rFonts w:cs="Times New Roman"/>
        </w:rPr>
        <w:t> </w:t>
      </w:r>
      <w:r w:rsidRPr="00D5269A">
        <w:rPr>
          <w:rFonts w:cs="Times New Roman"/>
        </w:rPr>
        <w:t>11(</w:t>
      </w:r>
      <w:r w:rsidRPr="00D5269A">
        <w:rPr>
          <w:rFonts w:cs="Times New Roman"/>
          <w:i/>
        </w:rPr>
        <w:t>i</w:t>
      </w:r>
      <w:r w:rsidRPr="00D5269A">
        <w:rPr>
          <w:rFonts w:cs="Times New Roman"/>
        </w:rPr>
        <w:t>), or whether there is any purposive basis to read s.</w:t>
      </w:r>
      <w:r w:rsidR="0046457A">
        <w:rPr>
          <w:rFonts w:cs="Times New Roman"/>
        </w:rPr>
        <w:t> </w:t>
      </w:r>
      <w:r w:rsidRPr="00D5269A">
        <w:rPr>
          <w:rFonts w:cs="Times New Roman"/>
        </w:rPr>
        <w:t>11(</w:t>
      </w:r>
      <w:r w:rsidRPr="00D5269A">
        <w:rPr>
          <w:rFonts w:cs="Times New Roman"/>
          <w:i/>
        </w:rPr>
        <w:t>i</w:t>
      </w:r>
      <w:r w:rsidRPr="00D5269A">
        <w:rPr>
          <w:rFonts w:cs="Times New Roman"/>
        </w:rPr>
        <w:t>) gl</w:t>
      </w:r>
      <w:r w:rsidR="0046457A">
        <w:rPr>
          <w:rFonts w:cs="Times New Roman"/>
        </w:rPr>
        <w:t>obally. While the origins of s. </w:t>
      </w:r>
      <w:r w:rsidRPr="00D5269A">
        <w:rPr>
          <w:rFonts w:cs="Times New Roman"/>
        </w:rPr>
        <w:t>11(</w:t>
      </w:r>
      <w:r w:rsidRPr="00D5269A">
        <w:rPr>
          <w:rFonts w:cs="Times New Roman"/>
          <w:i/>
        </w:rPr>
        <w:t>i</w:t>
      </w:r>
      <w:r w:rsidRPr="00D5269A">
        <w:rPr>
          <w:rFonts w:cs="Times New Roman"/>
        </w:rPr>
        <w:t>) do not supp</w:t>
      </w:r>
      <w:r w:rsidR="0046457A">
        <w:rPr>
          <w:rFonts w:cs="Times New Roman"/>
        </w:rPr>
        <w:t>ort a global interpretation, s. </w:t>
      </w:r>
      <w:r w:rsidRPr="00D5269A">
        <w:rPr>
          <w:rFonts w:cs="Times New Roman"/>
        </w:rPr>
        <w:t>11(</w:t>
      </w:r>
      <w:r w:rsidRPr="00D5269A">
        <w:rPr>
          <w:rFonts w:cs="Times New Roman"/>
          <w:i/>
        </w:rPr>
        <w:t>i</w:t>
      </w:r>
      <w:r w:rsidRPr="00D5269A">
        <w:rPr>
          <w:rFonts w:cs="Times New Roman"/>
        </w:rPr>
        <w:t xml:space="preserve">) could still receive that interpretation if its purposes justified it (see </w:t>
      </w:r>
      <w:r w:rsidRPr="00D5269A">
        <w:rPr>
          <w:rFonts w:cs="Times New Roman"/>
          <w:i/>
        </w:rPr>
        <w:t>Re B.C. Motor Vehicle Act</w:t>
      </w:r>
      <w:r w:rsidRPr="00D5269A">
        <w:rPr>
          <w:rFonts w:cs="Times New Roman"/>
        </w:rPr>
        <w:t>,</w:t>
      </w:r>
      <w:r w:rsidRPr="00D5269A">
        <w:rPr>
          <w:rFonts w:cs="Times New Roman"/>
          <w:i/>
        </w:rPr>
        <w:t xml:space="preserve"> </w:t>
      </w:r>
      <w:r w:rsidR="0046457A">
        <w:rPr>
          <w:rFonts w:cs="Times New Roman"/>
        </w:rPr>
        <w:t>[1985] 2 S.C.R. 486, per Lamer </w:t>
      </w:r>
      <w:r w:rsidRPr="00D5269A">
        <w:rPr>
          <w:rFonts w:cs="Times New Roman"/>
        </w:rPr>
        <w:t>J.). However, I find that the purposes of s.</w:t>
      </w:r>
      <w:r w:rsidR="001D65FC">
        <w:rPr>
          <w:rFonts w:cs="Times New Roman"/>
        </w:rPr>
        <w:t> </w:t>
      </w:r>
      <w:r w:rsidRPr="00D5269A">
        <w:rPr>
          <w:rFonts w:cs="Times New Roman"/>
        </w:rPr>
        <w:t>11(</w:t>
      </w:r>
      <w:r w:rsidRPr="00D5269A">
        <w:rPr>
          <w:rFonts w:cs="Times New Roman"/>
          <w:i/>
        </w:rPr>
        <w:t>i</w:t>
      </w:r>
      <w:r w:rsidRPr="00D5269A">
        <w:rPr>
          <w:rFonts w:cs="Times New Roman"/>
        </w:rPr>
        <w:t>) do not support a global right. I now</w:t>
      </w:r>
      <w:r w:rsidR="00CD6C7B">
        <w:rPr>
          <w:rFonts w:cs="Times New Roman"/>
        </w:rPr>
        <w:t xml:space="preserve"> conduct this central analysis.</w:t>
      </w:r>
    </w:p>
    <w:p w:rsidR="000738FC" w:rsidRPr="00D5269A" w:rsidRDefault="000738FC" w:rsidP="000738FC">
      <w:pPr>
        <w:pStyle w:val="Title4LevelTitre4Niveau"/>
        <w:rPr>
          <w:rFonts w:cs="Times New Roman"/>
        </w:rPr>
      </w:pPr>
      <w:bookmarkStart w:id="46" w:name="_Toc12005420"/>
      <w:bookmarkStart w:id="47" w:name="_Toc14423818"/>
      <w:bookmarkStart w:id="48" w:name="_Toc15313760"/>
      <w:r w:rsidRPr="00D5269A">
        <w:rPr>
          <w:rFonts w:cs="Times New Roman"/>
        </w:rPr>
        <w:t>The Purposes of Section</w:t>
      </w:r>
      <w:r w:rsidR="00B22F04">
        <w:rPr>
          <w:rFonts w:cs="Times New Roman"/>
        </w:rPr>
        <w:t> </w:t>
      </w:r>
      <w:r w:rsidRPr="00D5269A">
        <w:rPr>
          <w:rFonts w:cs="Times New Roman"/>
        </w:rPr>
        <w:t>11(i) Give Rise to a Binary Right</w:t>
      </w:r>
      <w:bookmarkEnd w:id="46"/>
      <w:bookmarkEnd w:id="47"/>
      <w:bookmarkEnd w:id="48"/>
    </w:p>
    <w:p w:rsidR="000738FC" w:rsidRPr="00D5269A" w:rsidRDefault="000738FC" w:rsidP="000738FC">
      <w:pPr>
        <w:pStyle w:val="ParaNoNdepar-AltN"/>
        <w:rPr>
          <w:rFonts w:cs="Times New Roman"/>
        </w:rPr>
      </w:pPr>
      <w:r w:rsidRPr="00D5269A">
        <w:rPr>
          <w:rFonts w:cs="Times New Roman"/>
        </w:rPr>
        <w:t>To reite</w:t>
      </w:r>
      <w:r w:rsidR="00B22F04">
        <w:rPr>
          <w:rFonts w:cs="Times New Roman"/>
        </w:rPr>
        <w:t>rate, the purposes animating s. </w:t>
      </w:r>
      <w:r w:rsidRPr="00D5269A">
        <w:rPr>
          <w:rFonts w:cs="Times New Roman"/>
        </w:rPr>
        <w:t>11(</w:t>
      </w:r>
      <w:r w:rsidRPr="00D5269A">
        <w:rPr>
          <w:rFonts w:cs="Times New Roman"/>
          <w:i/>
        </w:rPr>
        <w:t>i</w:t>
      </w:r>
      <w:r w:rsidRPr="00D5269A">
        <w:rPr>
          <w:rFonts w:cs="Times New Roman"/>
        </w:rPr>
        <w:t>) are the rule of law and f</w:t>
      </w:r>
      <w:r w:rsidR="006159B6">
        <w:rPr>
          <w:rFonts w:cs="Times New Roman"/>
        </w:rPr>
        <w:t>airness. Of these purposes, Mr. </w:t>
      </w:r>
      <w:r w:rsidRPr="00D5269A">
        <w:rPr>
          <w:rFonts w:cs="Times New Roman"/>
        </w:rPr>
        <w:t>Poulin and the CLA argue primarily that it is the fairness principle that demands a global interp</w:t>
      </w:r>
      <w:r w:rsidR="00B70847">
        <w:rPr>
          <w:rFonts w:cs="Times New Roman"/>
        </w:rPr>
        <w:t>retation of the right.</w:t>
      </w:r>
    </w:p>
    <w:p w:rsidR="000738FC" w:rsidRPr="00D5269A" w:rsidRDefault="006159B6" w:rsidP="000738FC">
      <w:pPr>
        <w:pStyle w:val="ParaNoNdepar-AltN"/>
        <w:rPr>
          <w:rFonts w:cs="Times New Roman"/>
        </w:rPr>
      </w:pPr>
      <w:r>
        <w:rPr>
          <w:rFonts w:cs="Times New Roman"/>
        </w:rPr>
        <w:t>In particular, Mr. </w:t>
      </w:r>
      <w:r w:rsidR="000738FC" w:rsidRPr="00D5269A">
        <w:rPr>
          <w:rFonts w:cs="Times New Roman"/>
        </w:rPr>
        <w:t>Poulin and the CLA submit tha</w:t>
      </w:r>
      <w:r w:rsidR="005C42E8">
        <w:rPr>
          <w:rFonts w:cs="Times New Roman"/>
        </w:rPr>
        <w:t>t a binary interpretation of s. </w:t>
      </w:r>
      <w:r w:rsidR="000738FC" w:rsidRPr="00D5269A">
        <w:rPr>
          <w:rFonts w:cs="Times New Roman"/>
        </w:rPr>
        <w:t>11(</w:t>
      </w:r>
      <w:r w:rsidR="000738FC" w:rsidRPr="00D5269A">
        <w:rPr>
          <w:rFonts w:cs="Times New Roman"/>
          <w:i/>
        </w:rPr>
        <w:t>i</w:t>
      </w:r>
      <w:r w:rsidR="000738FC" w:rsidRPr="00D5269A">
        <w:rPr>
          <w:rFonts w:cs="Times New Roman"/>
        </w:rPr>
        <w:t>) would result in unfairness where, for instance, two offenders who committed the same crime at the same time are sentenced at different times, when different sentencing regimes are in force. The</w:t>
      </w:r>
      <w:r w:rsidR="005C42E8">
        <w:rPr>
          <w:rFonts w:cs="Times New Roman"/>
        </w:rPr>
        <w:t>y argue that, under a binary s. </w:t>
      </w:r>
      <w:r w:rsidR="000738FC" w:rsidRPr="00D5269A">
        <w:rPr>
          <w:rFonts w:cs="Times New Roman"/>
        </w:rPr>
        <w:t>11(</w:t>
      </w:r>
      <w:r w:rsidR="000738FC" w:rsidRPr="00D5269A">
        <w:rPr>
          <w:rFonts w:cs="Times New Roman"/>
          <w:i/>
        </w:rPr>
        <w:t>i</w:t>
      </w:r>
      <w:r w:rsidR="000738FC" w:rsidRPr="00D5269A">
        <w:rPr>
          <w:rFonts w:cs="Times New Roman"/>
        </w:rPr>
        <w:t xml:space="preserve">) right, these two offenders would have constitutional rights to different punishments. The AQAAD also claims that this result would be arbitrary as offenders do not control the timing of their investigations, prosecutions and sentencings, nor the timing of legislative changes to sentencing provisions. </w:t>
      </w:r>
    </w:p>
    <w:p w:rsidR="000738FC" w:rsidRPr="00D5269A" w:rsidRDefault="000738FC" w:rsidP="000738FC">
      <w:pPr>
        <w:pStyle w:val="ParaNoNdepar-AltN"/>
        <w:rPr>
          <w:rFonts w:cs="Times New Roman"/>
        </w:rPr>
      </w:pPr>
      <w:r w:rsidRPr="00D5269A">
        <w:rPr>
          <w:rFonts w:cs="Times New Roman"/>
        </w:rPr>
        <w:lastRenderedPageBreak/>
        <w:t>I offer the following hypothetical to illustrate the kind of situation contemplated by these parties:</w:t>
      </w:r>
    </w:p>
    <w:p w:rsidR="00746F15" w:rsidRPr="00D5269A" w:rsidRDefault="000738FC" w:rsidP="00746F15">
      <w:pPr>
        <w:pStyle w:val="Citation-AltC"/>
        <w:numPr>
          <w:ilvl w:val="0"/>
          <w:numId w:val="17"/>
        </w:numPr>
        <w:spacing w:after="480" w:line="480" w:lineRule="auto"/>
        <w:ind w:left="720" w:hanging="720"/>
        <w:contextualSpacing w:val="0"/>
      </w:pPr>
      <w:r w:rsidRPr="00D5269A">
        <w:rPr>
          <w:rFonts w:eastAsiaTheme="minorEastAsia"/>
        </w:rPr>
        <w:t>“A” and “B” commit the same offence at the same time. The punishment for the offence is at “Level 3”.</w:t>
      </w:r>
      <w:r w:rsidRPr="00D5269A">
        <w:t xml:space="preserve"> </w:t>
      </w:r>
    </w:p>
    <w:p w:rsidR="000738FC" w:rsidRPr="00D5269A" w:rsidRDefault="000738FC" w:rsidP="00746F15">
      <w:pPr>
        <w:pStyle w:val="Citation-AltC"/>
        <w:numPr>
          <w:ilvl w:val="0"/>
          <w:numId w:val="17"/>
        </w:numPr>
        <w:spacing w:after="480" w:line="480" w:lineRule="auto"/>
        <w:ind w:left="720" w:hanging="720"/>
        <w:contextualSpacing w:val="0"/>
      </w:pPr>
      <w:r w:rsidRPr="00D5269A">
        <w:t xml:space="preserve">The </w:t>
      </w:r>
      <w:r w:rsidRPr="00746F15">
        <w:rPr>
          <w:rFonts w:eastAsiaTheme="minorEastAsia"/>
        </w:rPr>
        <w:t>punishment</w:t>
      </w:r>
      <w:r w:rsidRPr="00D5269A">
        <w:t xml:space="preserve"> for the offence temporarily drops to “Level 1”.</w:t>
      </w:r>
    </w:p>
    <w:p w:rsidR="000738FC" w:rsidRPr="00D5269A" w:rsidRDefault="000738FC" w:rsidP="00746F15">
      <w:pPr>
        <w:pStyle w:val="Citation-AltC"/>
        <w:numPr>
          <w:ilvl w:val="0"/>
          <w:numId w:val="17"/>
        </w:numPr>
        <w:spacing w:after="480" w:line="480" w:lineRule="auto"/>
        <w:ind w:left="720" w:hanging="720"/>
        <w:contextualSpacing w:val="0"/>
      </w:pPr>
      <w:r w:rsidRPr="00D5269A">
        <w:t xml:space="preserve">A is </w:t>
      </w:r>
      <w:r w:rsidRPr="00746F15">
        <w:rPr>
          <w:rFonts w:eastAsiaTheme="minorEastAsia"/>
        </w:rPr>
        <w:t>sentenced</w:t>
      </w:r>
      <w:r w:rsidRPr="00D5269A">
        <w:t xml:space="preserve"> and receives a “Level 1” sentence.</w:t>
      </w:r>
    </w:p>
    <w:p w:rsidR="000738FC" w:rsidRPr="00D5269A" w:rsidRDefault="000738FC" w:rsidP="00746F15">
      <w:pPr>
        <w:pStyle w:val="Citation-AltC"/>
        <w:numPr>
          <w:ilvl w:val="0"/>
          <w:numId w:val="17"/>
        </w:numPr>
        <w:spacing w:after="480" w:line="480" w:lineRule="auto"/>
        <w:ind w:left="720" w:hanging="720"/>
        <w:contextualSpacing w:val="0"/>
      </w:pPr>
      <w:r w:rsidRPr="00D5269A">
        <w:t xml:space="preserve">The </w:t>
      </w:r>
      <w:r w:rsidRPr="00746F15">
        <w:rPr>
          <w:rFonts w:eastAsiaTheme="minorEastAsia"/>
        </w:rPr>
        <w:t>punishment</w:t>
      </w:r>
      <w:r w:rsidRPr="00D5269A">
        <w:t xml:space="preserve"> for the offence rises to “Level 2”.</w:t>
      </w:r>
    </w:p>
    <w:p w:rsidR="000738FC" w:rsidRPr="00D5269A" w:rsidRDefault="000738FC" w:rsidP="00746F15">
      <w:pPr>
        <w:pStyle w:val="Citation-AltC"/>
        <w:numPr>
          <w:ilvl w:val="0"/>
          <w:numId w:val="17"/>
        </w:numPr>
        <w:spacing w:after="480" w:line="480" w:lineRule="auto"/>
        <w:ind w:left="720" w:hanging="720"/>
        <w:contextualSpacing w:val="0"/>
      </w:pPr>
      <w:r w:rsidRPr="00D5269A">
        <w:t xml:space="preserve">B is </w:t>
      </w:r>
      <w:r w:rsidRPr="00746F15">
        <w:rPr>
          <w:rFonts w:eastAsiaTheme="minorEastAsia"/>
        </w:rPr>
        <w:t>sentenced</w:t>
      </w:r>
      <w:r w:rsidRPr="00D5269A">
        <w:t xml:space="preserve"> and receives a “Level 2” sentence.</w:t>
      </w:r>
    </w:p>
    <w:p w:rsidR="000738FC" w:rsidRPr="00D5269A" w:rsidRDefault="000738FC" w:rsidP="000738FC">
      <w:pPr>
        <w:pStyle w:val="ParaNoNdepar-AltN"/>
        <w:rPr>
          <w:rFonts w:cs="Times New Roman"/>
        </w:rPr>
      </w:pPr>
      <w:r w:rsidRPr="00D5269A">
        <w:rPr>
          <w:rFonts w:cs="Times New Roman"/>
        </w:rPr>
        <w:t>There are, in my view, three crucial flaws with the argument that fairness (and, in particular, concerns about arbitrariness) mandate a global interpretation of s. 11(</w:t>
      </w:r>
      <w:r w:rsidRPr="00D5269A">
        <w:rPr>
          <w:rFonts w:cs="Times New Roman"/>
          <w:i/>
        </w:rPr>
        <w:t>i</w:t>
      </w:r>
      <w:r w:rsidRPr="00D5269A">
        <w:rPr>
          <w:rFonts w:cs="Times New Roman"/>
        </w:rPr>
        <w:t>).</w:t>
      </w:r>
    </w:p>
    <w:p w:rsidR="000738FC" w:rsidRPr="00D5269A" w:rsidRDefault="000738FC" w:rsidP="000738FC">
      <w:pPr>
        <w:pStyle w:val="ParaNoNdepar-AltN"/>
        <w:rPr>
          <w:rFonts w:cs="Times New Roman"/>
        </w:rPr>
      </w:pPr>
      <w:r w:rsidRPr="00D5269A">
        <w:rPr>
          <w:rFonts w:cs="Times New Roman"/>
        </w:rPr>
        <w:t xml:space="preserve">First, it is not unfair or arbitrary for an offender like B to be punished according to the laws in force at the time he committed his offence, or a more favourable law, if one is in force when he is sentenced. To the contrary, these two laws are </w:t>
      </w:r>
      <w:r w:rsidRPr="00D5269A">
        <w:rPr>
          <w:rFonts w:cs="Times New Roman"/>
          <w:i/>
        </w:rPr>
        <w:t>linked</w:t>
      </w:r>
      <w:r w:rsidRPr="00D5269A">
        <w:rPr>
          <w:rFonts w:cs="Times New Roman"/>
        </w:rPr>
        <w:t xml:space="preserve"> to the offender and the proceedings against him; the first sets out the punishment he risked incurring at the time he acted, and the other likewise sets the contours for a sentence that reflects society’s attitude about the gravity of the offence </w:t>
      </w:r>
      <w:r w:rsidRPr="00D5269A">
        <w:rPr>
          <w:rFonts w:cs="Times New Roman"/>
        </w:rPr>
        <w:lastRenderedPageBreak/>
        <w:t xml:space="preserve">and the responsibility of the offender at the precise moment that the sentence is imposed. These punishments are therefore tethered to two points in time that bear a deep connection to the offender’s conduct and criminality. It is, accordingly, fair and rational for the offender to have the benefit of one of these punishments. Conversely, there is no principled basis to grant an offender like B the benefit of a punishment which has no connection to his offending conduct or to society’s view of his conduct at the time the court is called upon to pass sentence. </w:t>
      </w:r>
    </w:p>
    <w:p w:rsidR="000738FC" w:rsidRPr="00D5269A" w:rsidRDefault="000738FC" w:rsidP="000738FC">
      <w:pPr>
        <w:pStyle w:val="ParaNoNdepar-AltN"/>
        <w:rPr>
          <w:rFonts w:cs="Times New Roman"/>
        </w:rPr>
      </w:pPr>
      <w:r w:rsidRPr="00D5269A">
        <w:rPr>
          <w:rFonts w:cs="Times New Roman"/>
        </w:rPr>
        <w:t xml:space="preserve">The fact that one of the two hypothetical offenders described above, A, receives a more lenient punishment than the other, B, is justified by society’s changed sense of the gravity of the offence as between the dates of A and B’s sentencings. This is not arbitrary; this is the reality of legislative change. One offender is not treated unfairly, or arbitrarily, by the other being sentenced at a time when society looks more forgivingly upon the offence. </w:t>
      </w:r>
    </w:p>
    <w:p w:rsidR="000738FC" w:rsidRPr="00D5269A" w:rsidRDefault="005238CF" w:rsidP="000738FC">
      <w:pPr>
        <w:pStyle w:val="ParaNoNdepar-AltN"/>
        <w:rPr>
          <w:rFonts w:cs="Times New Roman"/>
        </w:rPr>
      </w:pPr>
      <w:r>
        <w:rPr>
          <w:rFonts w:cs="Times New Roman"/>
        </w:rPr>
        <w:t>Without using its name, Mr. </w:t>
      </w:r>
      <w:r w:rsidR="000738FC" w:rsidRPr="00D5269A">
        <w:rPr>
          <w:rFonts w:cs="Times New Roman"/>
        </w:rPr>
        <w:t>Poulin, the CLA and the AQAAD essentially resort to the sentencing principle</w:t>
      </w:r>
      <w:r w:rsidR="00C458CF">
        <w:rPr>
          <w:rFonts w:cs="Times New Roman"/>
        </w:rPr>
        <w:t xml:space="preserve"> of “parity” in arguing that s. </w:t>
      </w:r>
      <w:r w:rsidR="000738FC" w:rsidRPr="00D5269A">
        <w:rPr>
          <w:rFonts w:cs="Times New Roman"/>
        </w:rPr>
        <w:t>11(</w:t>
      </w:r>
      <w:r w:rsidR="000738FC" w:rsidRPr="00D5269A">
        <w:rPr>
          <w:rFonts w:cs="Times New Roman"/>
          <w:i/>
        </w:rPr>
        <w:t>i</w:t>
      </w:r>
      <w:r w:rsidR="000738FC" w:rsidRPr="00D5269A">
        <w:rPr>
          <w:rFonts w:cs="Times New Roman"/>
        </w:rPr>
        <w:t xml:space="preserve">) must be read in a manner that treats like offenders alike at sentencing. This principle, set out in s. 718.2(b) of the </w:t>
      </w:r>
      <w:r w:rsidR="000738FC" w:rsidRPr="00D5269A">
        <w:rPr>
          <w:rFonts w:cs="Times New Roman"/>
          <w:i/>
        </w:rPr>
        <w:t>Criminal Code</w:t>
      </w:r>
      <w:r w:rsidR="000738FC" w:rsidRPr="00D5269A">
        <w:rPr>
          <w:rFonts w:cs="Times New Roman"/>
        </w:rPr>
        <w:t>,</w:t>
      </w:r>
      <w:r w:rsidR="000738FC" w:rsidRPr="00D5269A">
        <w:rPr>
          <w:rFonts w:cs="Times New Roman"/>
          <w:i/>
        </w:rPr>
        <w:t xml:space="preserve"> </w:t>
      </w:r>
      <w:r w:rsidR="000738FC" w:rsidRPr="00D5269A">
        <w:rPr>
          <w:rFonts w:cs="Times New Roman"/>
        </w:rPr>
        <w:t xml:space="preserve">instructs that “a sentence should be similar to sentences imposed on similar offenders for similar offences committed in similar circumstances”. Yet this principle has never guaranteed similar offenders equivalent sentences across different sentencing regimes. Indeed, it has never guaranteed like </w:t>
      </w:r>
      <w:r w:rsidR="000738FC" w:rsidRPr="00D5269A">
        <w:rPr>
          <w:rFonts w:cs="Times New Roman"/>
        </w:rPr>
        <w:lastRenderedPageBreak/>
        <w:t xml:space="preserve">offenders equivalent sentences within the </w:t>
      </w:r>
      <w:r w:rsidR="000738FC" w:rsidRPr="00D5269A">
        <w:rPr>
          <w:rFonts w:cs="Times New Roman"/>
          <w:i/>
        </w:rPr>
        <w:t>same</w:t>
      </w:r>
      <w:r w:rsidR="000738FC" w:rsidRPr="00D5269A">
        <w:rPr>
          <w:rFonts w:cs="Times New Roman"/>
        </w:rPr>
        <w:t xml:space="preserve"> regime (</w:t>
      </w:r>
      <w:r w:rsidR="000738FC" w:rsidRPr="00D5269A">
        <w:rPr>
          <w:rFonts w:cs="Times New Roman"/>
          <w:i/>
        </w:rPr>
        <w:t>R. v. M. (C.A.)</w:t>
      </w:r>
      <w:r w:rsidR="000738FC" w:rsidRPr="00D5269A">
        <w:rPr>
          <w:rFonts w:cs="Times New Roman"/>
        </w:rPr>
        <w:t xml:space="preserve">, [1996] 1 S.C.R. </w:t>
      </w:r>
      <w:r w:rsidR="009E5CED">
        <w:rPr>
          <w:rFonts w:cs="Times New Roman"/>
        </w:rPr>
        <w:t>500, at para. </w:t>
      </w:r>
      <w:r w:rsidR="000738FC" w:rsidRPr="00D5269A">
        <w:rPr>
          <w:rFonts w:cs="Times New Roman"/>
        </w:rPr>
        <w:t xml:space="preserve">92). As stated in </w:t>
      </w:r>
      <w:r w:rsidR="000738FC" w:rsidRPr="00D5269A">
        <w:rPr>
          <w:rFonts w:cs="Times New Roman"/>
          <w:i/>
        </w:rPr>
        <w:t>R. v. L.M.</w:t>
      </w:r>
      <w:r w:rsidR="000738FC" w:rsidRPr="00D5269A">
        <w:rPr>
          <w:rFonts w:cs="Times New Roman"/>
        </w:rPr>
        <w:t>,</w:t>
      </w:r>
      <w:r w:rsidR="000738FC" w:rsidRPr="00D5269A">
        <w:rPr>
          <w:rFonts w:cs="Times New Roman"/>
          <w:i/>
        </w:rPr>
        <w:t xml:space="preserve"> </w:t>
      </w:r>
      <w:r w:rsidR="000738FC" w:rsidRPr="00D5269A">
        <w:rPr>
          <w:rFonts w:cs="Times New Roman"/>
        </w:rPr>
        <w:t>2008 SCC 31</w:t>
      </w:r>
      <w:r w:rsidR="00301DD6">
        <w:rPr>
          <w:rFonts w:cs="Times New Roman"/>
        </w:rPr>
        <w:t>, [2008] 2 S.C.R. 163, at para. </w:t>
      </w:r>
      <w:r w:rsidR="000738FC" w:rsidRPr="00D5269A">
        <w:rPr>
          <w:rFonts w:cs="Times New Roman"/>
        </w:rPr>
        <w:t>36:</w:t>
      </w:r>
    </w:p>
    <w:p w:rsidR="000738FC" w:rsidRPr="00D5269A" w:rsidRDefault="000738FC" w:rsidP="000738FC">
      <w:pPr>
        <w:pStyle w:val="Citation-AltC"/>
        <w:ind w:firstLine="274"/>
      </w:pPr>
      <w:r w:rsidRPr="00D5269A">
        <w:t>Owing to the very nature of an individualized sentencing process, sentences imposed for offences of the same type will not always be identical. The principle of parity does not preclude disparity </w:t>
      </w:r>
      <w:r w:rsidRPr="00D5269A">
        <w:rPr>
          <w:i/>
          <w:iCs/>
        </w:rPr>
        <w:t>where warranted by the circumstances</w:t>
      </w:r>
      <w:r w:rsidRPr="00D5269A">
        <w:t>, because of the principle of proportionality (see Dadour, at p. 18). As this Court noted in </w:t>
      </w:r>
      <w:r w:rsidRPr="00D5269A">
        <w:rPr>
          <w:i/>
          <w:iCs/>
        </w:rPr>
        <w:t>M. (C.A.)</w:t>
      </w:r>
      <w:r w:rsidRPr="00D5269A">
        <w:t>, at para. 92, “there is no such thing as a uniform sentence for a particular crime”. [Emphasis in original.]</w:t>
      </w:r>
    </w:p>
    <w:p w:rsidR="000738FC" w:rsidRPr="00D5269A" w:rsidRDefault="000738FC" w:rsidP="000738FC">
      <w:pPr>
        <w:pStyle w:val="ContinueParaSuitedupar-AltP"/>
        <w:rPr>
          <w:rFonts w:cs="Times New Roman"/>
        </w:rPr>
      </w:pPr>
      <w:r w:rsidRPr="00D5269A">
        <w:rPr>
          <w:rFonts w:cs="Times New Roman"/>
        </w:rPr>
        <w:t>A different sentencing regime is clearly a circumstance that warrants a different sentence. To put it in terms of the hypothetical above, the difference in punishments for A and B “can be rationally explained” by the change in legislation (</w:t>
      </w:r>
      <w:r w:rsidRPr="00D5269A">
        <w:rPr>
          <w:rFonts w:cs="Times New Roman"/>
          <w:i/>
        </w:rPr>
        <w:t>R. v. Klemenz</w:t>
      </w:r>
      <w:r w:rsidRPr="00D5269A">
        <w:rPr>
          <w:rFonts w:cs="Times New Roman"/>
        </w:rPr>
        <w:t>, 2015 SKCA</w:t>
      </w:r>
      <w:r w:rsidR="005E3BAD">
        <w:rPr>
          <w:rFonts w:cs="Times New Roman"/>
        </w:rPr>
        <w:t xml:space="preserve"> 89, 465 Sask. R. 134, at para. </w:t>
      </w:r>
      <w:r w:rsidRPr="00D5269A">
        <w:rPr>
          <w:rFonts w:cs="Times New Roman"/>
        </w:rPr>
        <w:t>46).</w:t>
      </w:r>
    </w:p>
    <w:p w:rsidR="000738FC" w:rsidRPr="00D5269A" w:rsidRDefault="000738FC" w:rsidP="000738FC">
      <w:pPr>
        <w:pStyle w:val="ParaNoNdepar-AltN"/>
        <w:rPr>
          <w:rFonts w:cs="Times New Roman"/>
        </w:rPr>
      </w:pPr>
      <w:r w:rsidRPr="00D5269A">
        <w:rPr>
          <w:rFonts w:cs="Times New Roman"/>
        </w:rPr>
        <w:t>By insisting that the two offenders in the hypothetical ought to be entitled to the same, lo</w:t>
      </w:r>
      <w:r w:rsidR="005238CF">
        <w:rPr>
          <w:rFonts w:cs="Times New Roman"/>
        </w:rPr>
        <w:t>west punishment, Mr. </w:t>
      </w:r>
      <w:r w:rsidRPr="00D5269A">
        <w:rPr>
          <w:rFonts w:cs="Times New Roman"/>
        </w:rPr>
        <w:t xml:space="preserve">Poulin, the CLA and the AQAAD elevate their misplaced concern about unfairness or arbitrariness </w:t>
      </w:r>
      <w:r w:rsidRPr="00D5269A">
        <w:rPr>
          <w:rFonts w:cs="Times New Roman"/>
          <w:i/>
        </w:rPr>
        <w:t xml:space="preserve">as between these two offenders </w:t>
      </w:r>
      <w:r w:rsidRPr="00D5269A">
        <w:rPr>
          <w:rFonts w:cs="Times New Roman"/>
        </w:rPr>
        <w:t>abo</w:t>
      </w:r>
      <w:r w:rsidR="00C20A06">
        <w:rPr>
          <w:rFonts w:cs="Times New Roman"/>
        </w:rPr>
        <w:t>ve the settled principles of s. </w:t>
      </w:r>
      <w:r w:rsidRPr="00D5269A">
        <w:rPr>
          <w:rFonts w:cs="Times New Roman"/>
        </w:rPr>
        <w:t>11(</w:t>
      </w:r>
      <w:r w:rsidRPr="00D5269A">
        <w:rPr>
          <w:rFonts w:cs="Times New Roman"/>
          <w:i/>
        </w:rPr>
        <w:t>i</w:t>
      </w:r>
      <w:r w:rsidRPr="00D5269A">
        <w:rPr>
          <w:rFonts w:cs="Times New Roman"/>
        </w:rPr>
        <w:t>) — namely that an offender should not be “ambushed” by a subsequent aggravation of the applicable punishment and that an offender should not be subjected to an outdated harsher punishment. Proportionality looks in part to “the gravity of the offence” (</w:t>
      </w:r>
      <w:r w:rsidRPr="00D5269A">
        <w:rPr>
          <w:rFonts w:cs="Times New Roman"/>
          <w:i/>
        </w:rPr>
        <w:t>Criminal Code</w:t>
      </w:r>
      <w:r w:rsidRPr="00D5269A">
        <w:rPr>
          <w:rFonts w:cs="Times New Roman"/>
        </w:rPr>
        <w:t>, s. 718.1). Apart from the time of commission, it does not look to Parliament’s former sense of the gravity of the offence, merely because it had once been more favourable to the offender.</w:t>
      </w:r>
    </w:p>
    <w:p w:rsidR="000738FC" w:rsidRPr="00D5269A" w:rsidRDefault="000738FC" w:rsidP="000738FC">
      <w:pPr>
        <w:pStyle w:val="ParaNoNdepar-AltN"/>
        <w:rPr>
          <w:rFonts w:cs="Times New Roman"/>
        </w:rPr>
      </w:pPr>
      <w:r w:rsidRPr="00D5269A">
        <w:rPr>
          <w:rFonts w:cs="Times New Roman"/>
        </w:rPr>
        <w:lastRenderedPageBreak/>
        <w:t xml:space="preserve">It is worth noting that, in the above hypothetical, both offenders receive a benefit. Both receive a punishment lower than the one in place at the time they committed the offence: A receives a Level 1, and B receives a Level 2, when the punishment they risked at the time of the </w:t>
      </w:r>
      <w:r w:rsidR="00051BC8">
        <w:rPr>
          <w:rFonts w:cs="Times New Roman"/>
        </w:rPr>
        <w:t>offence was a Level 3. While s. </w:t>
      </w:r>
      <w:r w:rsidRPr="00D5269A">
        <w:rPr>
          <w:rFonts w:cs="Times New Roman"/>
        </w:rPr>
        <w:t>11(</w:t>
      </w:r>
      <w:r w:rsidRPr="00D5269A">
        <w:rPr>
          <w:rFonts w:cs="Times New Roman"/>
          <w:i/>
        </w:rPr>
        <w:t>i</w:t>
      </w:r>
      <w:r w:rsidRPr="00D5269A">
        <w:rPr>
          <w:rFonts w:cs="Times New Roman"/>
        </w:rPr>
        <w:t>) provides them with different lesser punishments from each other, they both receiv</w:t>
      </w:r>
      <w:r w:rsidR="00051BC8">
        <w:rPr>
          <w:rFonts w:cs="Times New Roman"/>
        </w:rPr>
        <w:t>e the protection of a binary s. </w:t>
      </w:r>
      <w:r w:rsidRPr="00D5269A">
        <w:rPr>
          <w:rFonts w:cs="Times New Roman"/>
        </w:rPr>
        <w:t>11(</w:t>
      </w:r>
      <w:r w:rsidRPr="00D5269A">
        <w:rPr>
          <w:rFonts w:cs="Times New Roman"/>
          <w:i/>
        </w:rPr>
        <w:t>i</w:t>
      </w:r>
      <w:r w:rsidRPr="00D5269A">
        <w:rPr>
          <w:rFonts w:cs="Times New Roman"/>
        </w:rPr>
        <w:t xml:space="preserve">) right at their time of sentencing. They both face, as a </w:t>
      </w:r>
      <w:r w:rsidRPr="00D5269A">
        <w:rPr>
          <w:rFonts w:cs="Times New Roman"/>
          <w:i/>
        </w:rPr>
        <w:t xml:space="preserve">maximum </w:t>
      </w:r>
      <w:r w:rsidRPr="00D5269A">
        <w:rPr>
          <w:rFonts w:cs="Times New Roman"/>
        </w:rPr>
        <w:t xml:space="preserve">punishment, the punishment applicable at the time of their offence. </w:t>
      </w:r>
    </w:p>
    <w:p w:rsidR="000738FC" w:rsidRPr="00D5269A" w:rsidRDefault="000738FC" w:rsidP="000738FC">
      <w:pPr>
        <w:pStyle w:val="ParaNoNdepar-AltN"/>
        <w:rPr>
          <w:rFonts w:cs="Times New Roman"/>
        </w:rPr>
      </w:pPr>
      <w:r w:rsidRPr="00D5269A">
        <w:rPr>
          <w:rFonts w:cs="Times New Roman"/>
        </w:rPr>
        <w:t>Second, and more fatally to the logic of their position, a global appr</w:t>
      </w:r>
      <w:r w:rsidR="00040ABE">
        <w:rPr>
          <w:rFonts w:cs="Times New Roman"/>
        </w:rPr>
        <w:t>oach to s. </w:t>
      </w:r>
      <w:r w:rsidRPr="00D5269A">
        <w:rPr>
          <w:rFonts w:cs="Times New Roman"/>
        </w:rPr>
        <w:t>11(</w:t>
      </w:r>
      <w:r w:rsidRPr="00D5269A">
        <w:rPr>
          <w:rFonts w:cs="Times New Roman"/>
          <w:i/>
        </w:rPr>
        <w:t>i</w:t>
      </w:r>
      <w:r w:rsidRPr="00D5269A">
        <w:rPr>
          <w:rFonts w:cs="Times New Roman"/>
        </w:rPr>
        <w:t>) would not, in fact, ensure identical results for two offenders who committed their offences at the same time. This is illustrated by the following hypothetical, which, incidentally, was raised by the CLA:</w:t>
      </w:r>
    </w:p>
    <w:p w:rsidR="000738FC" w:rsidRPr="00D5269A" w:rsidRDefault="000738FC" w:rsidP="00746F15">
      <w:pPr>
        <w:pStyle w:val="Citation-AltC"/>
        <w:numPr>
          <w:ilvl w:val="0"/>
          <w:numId w:val="17"/>
        </w:numPr>
        <w:spacing w:after="480" w:line="480" w:lineRule="auto"/>
        <w:ind w:left="720" w:hanging="720"/>
        <w:contextualSpacing w:val="0"/>
      </w:pPr>
      <w:r w:rsidRPr="00D5269A">
        <w:t>“A” and “B” commit an offence together. The punishment is a mandatory minimum sentence.</w:t>
      </w:r>
    </w:p>
    <w:p w:rsidR="000738FC" w:rsidRPr="00D5269A" w:rsidRDefault="000738FC" w:rsidP="00746F15">
      <w:pPr>
        <w:pStyle w:val="Citation-AltC"/>
        <w:numPr>
          <w:ilvl w:val="0"/>
          <w:numId w:val="17"/>
        </w:numPr>
        <w:spacing w:after="480" w:line="480" w:lineRule="auto"/>
        <w:ind w:left="720" w:hanging="720"/>
        <w:contextualSpacing w:val="0"/>
      </w:pPr>
      <w:r w:rsidRPr="00D5269A">
        <w:t>A and B are tried separately.</w:t>
      </w:r>
    </w:p>
    <w:p w:rsidR="000738FC" w:rsidRPr="00D5269A" w:rsidRDefault="000738FC" w:rsidP="00746F15">
      <w:pPr>
        <w:pStyle w:val="Citation-AltC"/>
        <w:numPr>
          <w:ilvl w:val="0"/>
          <w:numId w:val="17"/>
        </w:numPr>
        <w:spacing w:after="480" w:line="480" w:lineRule="auto"/>
        <w:ind w:left="720" w:hanging="720"/>
        <w:contextualSpacing w:val="0"/>
      </w:pPr>
      <w:r w:rsidRPr="00D5269A">
        <w:t xml:space="preserve">A is found </w:t>
      </w:r>
      <w:r w:rsidRPr="00746F15">
        <w:rPr>
          <w:rFonts w:eastAsiaTheme="minorEastAsia"/>
        </w:rPr>
        <w:t>guilty</w:t>
      </w:r>
      <w:r w:rsidRPr="00D5269A">
        <w:t xml:space="preserve"> and sentenced to the mandatory minimum.</w:t>
      </w:r>
    </w:p>
    <w:p w:rsidR="000738FC" w:rsidRPr="00D5269A" w:rsidRDefault="000738FC" w:rsidP="00746F15">
      <w:pPr>
        <w:pStyle w:val="Citation-AltC"/>
        <w:numPr>
          <w:ilvl w:val="0"/>
          <w:numId w:val="17"/>
        </w:numPr>
        <w:spacing w:after="480" w:line="480" w:lineRule="auto"/>
        <w:ind w:left="720" w:hanging="720"/>
        <w:contextualSpacing w:val="0"/>
      </w:pPr>
      <w:r w:rsidRPr="00D5269A">
        <w:t>B’s trial ends in a mistrial. B undergoes a second trial.</w:t>
      </w:r>
    </w:p>
    <w:p w:rsidR="000738FC" w:rsidRPr="00D5269A" w:rsidRDefault="000738FC" w:rsidP="00746F15">
      <w:pPr>
        <w:pStyle w:val="Citation-AltC"/>
        <w:numPr>
          <w:ilvl w:val="0"/>
          <w:numId w:val="17"/>
        </w:numPr>
        <w:spacing w:after="480" w:line="480" w:lineRule="auto"/>
        <w:ind w:left="720" w:hanging="720"/>
        <w:contextualSpacing w:val="0"/>
      </w:pPr>
      <w:r w:rsidRPr="00D5269A">
        <w:t xml:space="preserve">The </w:t>
      </w:r>
      <w:r w:rsidRPr="00746F15">
        <w:rPr>
          <w:rFonts w:eastAsiaTheme="minorEastAsia"/>
        </w:rPr>
        <w:t>mandatory</w:t>
      </w:r>
      <w:r w:rsidRPr="00D5269A">
        <w:t xml:space="preserve"> minimum is abolished.</w:t>
      </w:r>
    </w:p>
    <w:p w:rsidR="000738FC" w:rsidRPr="00D5269A" w:rsidRDefault="000738FC" w:rsidP="00746F15">
      <w:pPr>
        <w:pStyle w:val="Citation-AltC"/>
        <w:numPr>
          <w:ilvl w:val="0"/>
          <w:numId w:val="17"/>
        </w:numPr>
        <w:spacing w:after="480" w:line="480" w:lineRule="auto"/>
        <w:ind w:left="720" w:hanging="720"/>
        <w:contextualSpacing w:val="0"/>
      </w:pPr>
      <w:r w:rsidRPr="00D5269A">
        <w:lastRenderedPageBreak/>
        <w:t>B is found guilty and sentenced, without the mandatory minimum.</w:t>
      </w:r>
    </w:p>
    <w:p w:rsidR="000738FC" w:rsidRPr="00D5269A" w:rsidRDefault="000738FC" w:rsidP="000738FC">
      <w:pPr>
        <w:pStyle w:val="ContinueParaSuitedupar-AltP"/>
        <w:rPr>
          <w:rFonts w:cs="Times New Roman"/>
        </w:rPr>
      </w:pPr>
      <w:r w:rsidRPr="00D5269A">
        <w:rPr>
          <w:rFonts w:cs="Times New Roman"/>
        </w:rPr>
        <w:t>N</w:t>
      </w:r>
      <w:r w:rsidR="00BB7735">
        <w:rPr>
          <w:rFonts w:cs="Times New Roman"/>
        </w:rPr>
        <w:t>otably, a global approach to s. </w:t>
      </w:r>
      <w:r w:rsidRPr="00D5269A">
        <w:rPr>
          <w:rFonts w:cs="Times New Roman"/>
        </w:rPr>
        <w:t>11(</w:t>
      </w:r>
      <w:r w:rsidRPr="00D5269A">
        <w:rPr>
          <w:rFonts w:cs="Times New Roman"/>
          <w:i/>
        </w:rPr>
        <w:t>i</w:t>
      </w:r>
      <w:r w:rsidRPr="00D5269A">
        <w:rPr>
          <w:rFonts w:cs="Times New Roman"/>
        </w:rPr>
        <w:t>) would not assist A here. Unlike in our previous hypothetical, this offender did not lose out on a lesser, intermediary sentence because of the timing of his sentencing. Rather, it just so happened that B’s proceedings took longer, and lasted until a more favourable punishment was enacted. In essence, all that the CLA’s hypothetical serves to illustrate is that individual offenders’ proceedings can, inevitably, progress at different paces. As this hypothetical r</w:t>
      </w:r>
      <w:r w:rsidR="00BB7735">
        <w:rPr>
          <w:rFonts w:cs="Times New Roman"/>
        </w:rPr>
        <w:t>eveals, a global approach to s. </w:t>
      </w:r>
      <w:r w:rsidRPr="00D5269A">
        <w:rPr>
          <w:rFonts w:cs="Times New Roman"/>
        </w:rPr>
        <w:t>11(</w:t>
      </w:r>
      <w:r w:rsidRPr="00D5269A">
        <w:rPr>
          <w:rFonts w:cs="Times New Roman"/>
          <w:i/>
        </w:rPr>
        <w:t>i</w:t>
      </w:r>
      <w:r w:rsidRPr="00D5269A">
        <w:rPr>
          <w:rFonts w:cs="Times New Roman"/>
        </w:rPr>
        <w:t>) cannot prevent or counteract differences in treatment that flow from different proceedings progressing at their own paces.</w:t>
      </w:r>
    </w:p>
    <w:p w:rsidR="000738FC" w:rsidRPr="00D5269A" w:rsidRDefault="000738FC" w:rsidP="000738FC">
      <w:pPr>
        <w:pStyle w:val="ParaNoNdepar-AltN"/>
        <w:rPr>
          <w:rFonts w:cs="Times New Roman"/>
        </w:rPr>
      </w:pPr>
      <w:r w:rsidRPr="00D5269A">
        <w:rPr>
          <w:rFonts w:cs="Times New Roman"/>
        </w:rPr>
        <w:t>I offer a second hypothetical to demonstrate that a glo</w:t>
      </w:r>
      <w:r w:rsidR="00371E1A">
        <w:rPr>
          <w:rFonts w:cs="Times New Roman"/>
        </w:rPr>
        <w:t>bal interpretation of s. </w:t>
      </w:r>
      <w:r w:rsidRPr="00D5269A">
        <w:rPr>
          <w:rFonts w:cs="Times New Roman"/>
        </w:rPr>
        <w:t>11(</w:t>
      </w:r>
      <w:r w:rsidRPr="00D5269A">
        <w:rPr>
          <w:rFonts w:cs="Times New Roman"/>
          <w:i/>
        </w:rPr>
        <w:t>i</w:t>
      </w:r>
      <w:r w:rsidRPr="00D5269A">
        <w:rPr>
          <w:rFonts w:cs="Times New Roman"/>
        </w:rPr>
        <w:t>) could not succeed in ensuring that like offenders receive the same punishment:</w:t>
      </w:r>
    </w:p>
    <w:p w:rsidR="000738FC" w:rsidRPr="00D5269A" w:rsidRDefault="000738FC" w:rsidP="00746F15">
      <w:pPr>
        <w:pStyle w:val="Citation-AltC"/>
        <w:numPr>
          <w:ilvl w:val="0"/>
          <w:numId w:val="17"/>
        </w:numPr>
        <w:spacing w:after="480" w:line="480" w:lineRule="auto"/>
        <w:ind w:left="720" w:hanging="720"/>
        <w:contextualSpacing w:val="0"/>
      </w:pPr>
      <w:r w:rsidRPr="00D5269A">
        <w:t>“A” commits an offence. The punishment for the offence is at “Level 2”.</w:t>
      </w:r>
    </w:p>
    <w:p w:rsidR="000738FC" w:rsidRPr="00D5269A" w:rsidRDefault="000738FC" w:rsidP="00746F15">
      <w:pPr>
        <w:pStyle w:val="Citation-AltC"/>
        <w:numPr>
          <w:ilvl w:val="0"/>
          <w:numId w:val="17"/>
        </w:numPr>
        <w:spacing w:after="480" w:line="480" w:lineRule="auto"/>
        <w:ind w:left="720" w:hanging="720"/>
        <w:contextualSpacing w:val="0"/>
      </w:pPr>
      <w:r w:rsidRPr="00D5269A">
        <w:t>The punishment for the offence temporarily drops to “Level 1”.</w:t>
      </w:r>
    </w:p>
    <w:p w:rsidR="000738FC" w:rsidRPr="00D5269A" w:rsidRDefault="000738FC" w:rsidP="00746F15">
      <w:pPr>
        <w:pStyle w:val="Citation-AltC"/>
        <w:numPr>
          <w:ilvl w:val="0"/>
          <w:numId w:val="17"/>
        </w:numPr>
        <w:spacing w:after="480" w:line="480" w:lineRule="auto"/>
        <w:ind w:left="720" w:hanging="720"/>
        <w:contextualSpacing w:val="0"/>
      </w:pPr>
      <w:r w:rsidRPr="00D5269A">
        <w:t>The punishment for the offence is quickly restored to “Level 2”.</w:t>
      </w:r>
    </w:p>
    <w:p w:rsidR="000738FC" w:rsidRPr="00D5269A" w:rsidRDefault="000738FC" w:rsidP="00746F15">
      <w:pPr>
        <w:pStyle w:val="Citation-AltC"/>
        <w:numPr>
          <w:ilvl w:val="0"/>
          <w:numId w:val="17"/>
        </w:numPr>
        <w:spacing w:after="480" w:line="480" w:lineRule="auto"/>
        <w:ind w:left="720" w:hanging="720"/>
        <w:contextualSpacing w:val="0"/>
      </w:pPr>
      <w:r w:rsidRPr="00D5269A">
        <w:t>“B” commits the same offence.</w:t>
      </w:r>
    </w:p>
    <w:p w:rsidR="000738FC" w:rsidRPr="00D5269A" w:rsidRDefault="000738FC" w:rsidP="00746F15">
      <w:pPr>
        <w:pStyle w:val="Citation-AltC"/>
        <w:numPr>
          <w:ilvl w:val="0"/>
          <w:numId w:val="17"/>
        </w:numPr>
        <w:spacing w:after="480" w:line="480" w:lineRule="auto"/>
        <w:ind w:left="720" w:hanging="720"/>
        <w:contextualSpacing w:val="0"/>
      </w:pPr>
      <w:r w:rsidRPr="00D5269A">
        <w:t>The punishment for the offence is increased to “Level 3”.</w:t>
      </w:r>
    </w:p>
    <w:p w:rsidR="000738FC" w:rsidRPr="00D5269A" w:rsidRDefault="000738FC" w:rsidP="00746F15">
      <w:pPr>
        <w:pStyle w:val="Citation-AltC"/>
        <w:numPr>
          <w:ilvl w:val="0"/>
          <w:numId w:val="17"/>
        </w:numPr>
        <w:spacing w:after="480" w:line="480" w:lineRule="auto"/>
        <w:ind w:left="720" w:hanging="720"/>
        <w:contextualSpacing w:val="0"/>
      </w:pPr>
      <w:r w:rsidRPr="00D5269A">
        <w:lastRenderedPageBreak/>
        <w:t>A and B are both found guilty of the offence and are sentenced on the same day.</w:t>
      </w:r>
    </w:p>
    <w:p w:rsidR="000738FC" w:rsidRPr="00D5269A" w:rsidRDefault="00B16E5D" w:rsidP="000738FC">
      <w:pPr>
        <w:pStyle w:val="ContinueParaSuitedupar-AltP"/>
        <w:rPr>
          <w:rFonts w:cs="Times New Roman"/>
        </w:rPr>
      </w:pPr>
      <w:r>
        <w:rPr>
          <w:rFonts w:cs="Times New Roman"/>
        </w:rPr>
        <w:t>Under a global approach to s. </w:t>
      </w:r>
      <w:r w:rsidR="000738FC" w:rsidRPr="00D5269A">
        <w:rPr>
          <w:rFonts w:cs="Times New Roman"/>
        </w:rPr>
        <w:t>11(</w:t>
      </w:r>
      <w:r w:rsidR="000738FC" w:rsidRPr="00D5269A">
        <w:rPr>
          <w:rFonts w:cs="Times New Roman"/>
          <w:i/>
        </w:rPr>
        <w:t>i</w:t>
      </w:r>
      <w:r w:rsidR="000738FC" w:rsidRPr="00D5269A">
        <w:rPr>
          <w:rFonts w:cs="Times New Roman"/>
        </w:rPr>
        <w:t>), A would receive the benefit of a Level 1 punishment, as it was in place — albeit temporarily — between A’s offence and sentencing. Meanwhile, B would only receive the benefit of a Level 2 sentence, even though the offenders both offended when the applicable punishment was at Level 2 and were both sentenced when the applicable punishment was at Level 3</w:t>
      </w:r>
      <w:r w:rsidR="000738FC" w:rsidRPr="00D5269A">
        <w:rPr>
          <w:rFonts w:cs="Times New Roman"/>
          <w:i/>
        </w:rPr>
        <w:t>.</w:t>
      </w:r>
      <w:r w:rsidR="000738FC" w:rsidRPr="00D5269A">
        <w:rPr>
          <w:rFonts w:cs="Times New Roman"/>
        </w:rPr>
        <w:t xml:space="preserve"> Despite their identical positions</w:t>
      </w:r>
      <w:r w:rsidR="00C84D4C">
        <w:rPr>
          <w:rFonts w:cs="Times New Roman"/>
        </w:rPr>
        <w:t>, a global interpretation of s. </w:t>
      </w:r>
      <w:r w:rsidR="000738FC" w:rsidRPr="00D5269A">
        <w:rPr>
          <w:rFonts w:cs="Times New Roman"/>
        </w:rPr>
        <w:t>11(</w:t>
      </w:r>
      <w:r w:rsidR="000738FC" w:rsidRPr="00D5269A">
        <w:rPr>
          <w:rFonts w:cs="Times New Roman"/>
          <w:i/>
        </w:rPr>
        <w:t>i</w:t>
      </w:r>
      <w:r w:rsidR="000738FC" w:rsidRPr="00D5269A">
        <w:rPr>
          <w:rFonts w:cs="Times New Roman"/>
        </w:rPr>
        <w:t>) arbitrarily bestows a greater benefit upon A.</w:t>
      </w:r>
      <w:r w:rsidR="000738FC" w:rsidRPr="00D5269A">
        <w:rPr>
          <w:rFonts w:cs="Times New Roman"/>
          <w:i/>
        </w:rPr>
        <w:t xml:space="preserve"> </w:t>
      </w:r>
      <w:r w:rsidR="000738FC" w:rsidRPr="00D5269A">
        <w:rPr>
          <w:rFonts w:cs="Times New Roman"/>
        </w:rPr>
        <w:t>I therefore do not see how a global a</w:t>
      </w:r>
      <w:r w:rsidR="00C84D4C">
        <w:rPr>
          <w:rFonts w:cs="Times New Roman"/>
        </w:rPr>
        <w:t>pproach to s. </w:t>
      </w:r>
      <w:r w:rsidR="000738FC" w:rsidRPr="00D5269A">
        <w:rPr>
          <w:rFonts w:cs="Times New Roman"/>
        </w:rPr>
        <w:t>11(</w:t>
      </w:r>
      <w:r w:rsidR="000738FC" w:rsidRPr="00D5269A">
        <w:rPr>
          <w:rFonts w:cs="Times New Roman"/>
          <w:i/>
        </w:rPr>
        <w:t>i</w:t>
      </w:r>
      <w:r w:rsidR="000738FC" w:rsidRPr="00D5269A">
        <w:rPr>
          <w:rFonts w:cs="Times New Roman"/>
        </w:rPr>
        <w:t>) can be championed on the basis that it meaningfully counteracts a certain inherent arbitrariness in the timing of one offender’s sentencing as compared to another’s. To the contrary, and as this hypothetical illustrates, a global approa</w:t>
      </w:r>
      <w:r w:rsidR="00C84D4C">
        <w:rPr>
          <w:rFonts w:cs="Times New Roman"/>
        </w:rPr>
        <w:t>ch to s. </w:t>
      </w:r>
      <w:r w:rsidR="000738FC" w:rsidRPr="00D5269A">
        <w:rPr>
          <w:rFonts w:cs="Times New Roman"/>
        </w:rPr>
        <w:t>11(</w:t>
      </w:r>
      <w:r w:rsidR="000738FC" w:rsidRPr="00D5269A">
        <w:rPr>
          <w:rFonts w:cs="Times New Roman"/>
          <w:i/>
        </w:rPr>
        <w:t>i</w:t>
      </w:r>
      <w:r w:rsidR="000738FC" w:rsidRPr="00D5269A">
        <w:rPr>
          <w:rFonts w:cs="Times New Roman"/>
        </w:rPr>
        <w:t>) can confer arbitrary benefits</w:t>
      </w:r>
      <w:r w:rsidR="00C84D4C">
        <w:rPr>
          <w:rFonts w:cs="Times New Roman"/>
        </w:rPr>
        <w:t>. While a binary approach to s. </w:t>
      </w:r>
      <w:r w:rsidR="000738FC" w:rsidRPr="00D5269A">
        <w:rPr>
          <w:rFonts w:cs="Times New Roman"/>
        </w:rPr>
        <w:t>11(</w:t>
      </w:r>
      <w:r w:rsidR="000738FC" w:rsidRPr="00D5269A">
        <w:rPr>
          <w:rFonts w:cs="Times New Roman"/>
          <w:i/>
        </w:rPr>
        <w:t>i</w:t>
      </w:r>
      <w:r w:rsidR="000738FC" w:rsidRPr="00D5269A">
        <w:rPr>
          <w:rFonts w:cs="Times New Roman"/>
        </w:rPr>
        <w:t xml:space="preserve">) will not ensure that like offenders receive </w:t>
      </w:r>
      <w:r w:rsidR="000738FC" w:rsidRPr="00D5269A">
        <w:rPr>
          <w:rFonts w:cs="Times New Roman"/>
          <w:i/>
        </w:rPr>
        <w:t>the same result</w:t>
      </w:r>
      <w:r w:rsidR="000738FC" w:rsidRPr="00D5269A">
        <w:rPr>
          <w:rFonts w:cs="Times New Roman"/>
        </w:rPr>
        <w:t>,</w:t>
      </w:r>
      <w:r w:rsidR="000738FC" w:rsidRPr="00D5269A">
        <w:rPr>
          <w:rFonts w:cs="Times New Roman"/>
          <w:i/>
        </w:rPr>
        <w:t xml:space="preserve"> </w:t>
      </w:r>
      <w:r w:rsidR="000738FC" w:rsidRPr="00D5269A">
        <w:rPr>
          <w:rFonts w:cs="Times New Roman"/>
        </w:rPr>
        <w:t xml:space="preserve">it will ensure that like offenders are treated </w:t>
      </w:r>
      <w:r w:rsidR="000738FC" w:rsidRPr="00D5269A">
        <w:rPr>
          <w:rFonts w:cs="Times New Roman"/>
          <w:i/>
        </w:rPr>
        <w:t>fairly</w:t>
      </w:r>
      <w:r w:rsidR="000738FC" w:rsidRPr="00D5269A">
        <w:rPr>
          <w:rFonts w:cs="Times New Roman"/>
        </w:rPr>
        <w:t>; they each receive protections which are connected to them and their proceedings.</w:t>
      </w:r>
    </w:p>
    <w:p w:rsidR="000738FC" w:rsidRPr="00D5269A" w:rsidRDefault="000738FC" w:rsidP="000738FC">
      <w:pPr>
        <w:pStyle w:val="ParaNoNdepar-AltN"/>
        <w:rPr>
          <w:rFonts w:cs="Times New Roman"/>
        </w:rPr>
      </w:pPr>
      <w:r w:rsidRPr="00D5269A">
        <w:rPr>
          <w:rFonts w:cs="Times New Roman"/>
        </w:rPr>
        <w:t>Third, there are countervailing fairness considerations that militate against a global approach to s.</w:t>
      </w:r>
      <w:r w:rsidR="008B77A1">
        <w:rPr>
          <w:rFonts w:cs="Times New Roman"/>
        </w:rPr>
        <w:t> </w:t>
      </w:r>
      <w:r w:rsidRPr="00D5269A">
        <w:rPr>
          <w:rFonts w:cs="Times New Roman"/>
        </w:rPr>
        <w:t>11(</w:t>
      </w:r>
      <w:r w:rsidRPr="00D5269A">
        <w:rPr>
          <w:rFonts w:cs="Times New Roman"/>
          <w:i/>
        </w:rPr>
        <w:t>i</w:t>
      </w:r>
      <w:r w:rsidRPr="00D5269A">
        <w:rPr>
          <w:rFonts w:cs="Times New Roman"/>
        </w:rPr>
        <w:t>). Recall that those offenders who stand to benefit most from a global approach to s.</w:t>
      </w:r>
      <w:r w:rsidR="008B77A1">
        <w:rPr>
          <w:rFonts w:cs="Times New Roman"/>
        </w:rPr>
        <w:t> </w:t>
      </w:r>
      <w:r w:rsidRPr="00D5269A">
        <w:rPr>
          <w:rFonts w:cs="Times New Roman"/>
        </w:rPr>
        <w:t>11(</w:t>
      </w:r>
      <w:r w:rsidRPr="00D5269A">
        <w:rPr>
          <w:rFonts w:cs="Times New Roman"/>
          <w:i/>
        </w:rPr>
        <w:t>i</w:t>
      </w:r>
      <w:r w:rsidRPr="00D5269A">
        <w:rPr>
          <w:rFonts w:cs="Times New Roman"/>
        </w:rPr>
        <w:t>) are those who have gone unprosecuted or unsentenced long enough for the punishments in place for their offences to have changed multiple times. In my view, any perceived unfairness or arbitrariness flowi</w:t>
      </w:r>
      <w:r w:rsidR="008B77A1">
        <w:rPr>
          <w:rFonts w:cs="Times New Roman"/>
        </w:rPr>
        <w:t>ng from a binary approach to s. </w:t>
      </w:r>
      <w:r w:rsidRPr="00D5269A">
        <w:rPr>
          <w:rFonts w:cs="Times New Roman"/>
        </w:rPr>
        <w:t>11(</w:t>
      </w:r>
      <w:r w:rsidRPr="00D5269A">
        <w:rPr>
          <w:rFonts w:cs="Times New Roman"/>
          <w:i/>
        </w:rPr>
        <w:t>i</w:t>
      </w:r>
      <w:r w:rsidRPr="00D5269A">
        <w:rPr>
          <w:rFonts w:cs="Times New Roman"/>
        </w:rPr>
        <w:t>) is outweighed</w:t>
      </w:r>
      <w:r w:rsidRPr="00D5269A">
        <w:rPr>
          <w:rFonts w:cs="Times New Roman"/>
          <w:i/>
        </w:rPr>
        <w:t xml:space="preserve"> </w:t>
      </w:r>
      <w:r w:rsidRPr="00D5269A">
        <w:rPr>
          <w:rFonts w:cs="Times New Roman"/>
        </w:rPr>
        <w:t xml:space="preserve">by the unfairness or arbitrariness that would result from according greater constitutional protections to those offenders who are sentenced </w:t>
      </w:r>
      <w:r w:rsidRPr="00D5269A">
        <w:rPr>
          <w:rFonts w:cs="Times New Roman"/>
        </w:rPr>
        <w:lastRenderedPageBreak/>
        <w:t>long after their offences, compared to those offenders who are promptly brought to justice. In simpler</w:t>
      </w:r>
      <w:r w:rsidR="008708BB">
        <w:rPr>
          <w:rFonts w:cs="Times New Roman"/>
        </w:rPr>
        <w:t xml:space="preserve"> terms, a global approach to s. </w:t>
      </w:r>
      <w:r w:rsidRPr="00D5269A">
        <w:rPr>
          <w:rFonts w:cs="Times New Roman"/>
        </w:rPr>
        <w:t>11(</w:t>
      </w:r>
      <w:r w:rsidRPr="00D5269A">
        <w:rPr>
          <w:rFonts w:cs="Times New Roman"/>
          <w:i/>
        </w:rPr>
        <w:t>i</w:t>
      </w:r>
      <w:r w:rsidRPr="00D5269A">
        <w:rPr>
          <w:rFonts w:cs="Times New Roman"/>
        </w:rPr>
        <w:t>) would disproportionately benefit those who are sentenced years, or even decades, after their offences, such as Mr.</w:t>
      </w:r>
      <w:r w:rsidR="005238CF">
        <w:rPr>
          <w:rFonts w:cs="Times New Roman"/>
        </w:rPr>
        <w:t> </w:t>
      </w:r>
      <w:r w:rsidRPr="00D5269A">
        <w:rPr>
          <w:rFonts w:cs="Times New Roman"/>
        </w:rPr>
        <w:t>Poulin himse</w:t>
      </w:r>
      <w:r w:rsidR="005238CF">
        <w:rPr>
          <w:rFonts w:cs="Times New Roman"/>
        </w:rPr>
        <w:t>lf. It bears repeating that Mr. </w:t>
      </w:r>
      <w:r w:rsidRPr="00D5269A">
        <w:rPr>
          <w:rFonts w:cs="Times New Roman"/>
        </w:rPr>
        <w:t>Poulin went over three decades before being held to account for his sexual offences. As this Court has observed, sexual offences like Mr. Poulin’s often go long unreported. Survivors of sexual trauma commonly delay in disclosing abuse for reasons such as “embarrassment, fear, guilt, or a lack of understanding and knowledge” (</w:t>
      </w:r>
      <w:r w:rsidRPr="00D5269A">
        <w:rPr>
          <w:rFonts w:cs="Times New Roman"/>
          <w:i/>
        </w:rPr>
        <w:t>R. v. D.D.</w:t>
      </w:r>
      <w:r w:rsidRPr="00D5269A">
        <w:rPr>
          <w:rFonts w:cs="Times New Roman"/>
        </w:rPr>
        <w:t>, 2000 SCC 43, [2000] 2 S.C.</w:t>
      </w:r>
      <w:r w:rsidR="00B37869">
        <w:rPr>
          <w:rFonts w:cs="Times New Roman"/>
        </w:rPr>
        <w:t>R. 275, at para. </w:t>
      </w:r>
      <w:r w:rsidRPr="00D5269A">
        <w:rPr>
          <w:rFonts w:cs="Times New Roman"/>
        </w:rPr>
        <w:t>65). There should be no addition</w:t>
      </w:r>
      <w:r w:rsidR="00FA76AF">
        <w:rPr>
          <w:rFonts w:cs="Times New Roman"/>
        </w:rPr>
        <w:t>al gain to an offender under s. </w:t>
      </w:r>
      <w:r w:rsidRPr="00D5269A">
        <w:rPr>
          <w:rFonts w:cs="Times New Roman"/>
        </w:rPr>
        <w:t>11(</w:t>
      </w:r>
      <w:r w:rsidRPr="00D5269A">
        <w:rPr>
          <w:rFonts w:cs="Times New Roman"/>
          <w:i/>
        </w:rPr>
        <w:t>i</w:t>
      </w:r>
      <w:r w:rsidRPr="00D5269A">
        <w:rPr>
          <w:rFonts w:cs="Times New Roman"/>
        </w:rPr>
        <w:t>) when</w:t>
      </w:r>
      <w:r w:rsidRPr="00D5269A">
        <w:rPr>
          <w:rFonts w:cs="Times New Roman"/>
          <w:i/>
        </w:rPr>
        <w:t xml:space="preserve"> </w:t>
      </w:r>
      <w:r w:rsidRPr="00D5269A">
        <w:rPr>
          <w:rFonts w:cs="Times New Roman"/>
        </w:rPr>
        <w:t>a victim is traumatized to the point of requiring significant time to overcome any reluctance to report the offence. Offenders whose crimes go long unreported should not have access to a greater number o</w:t>
      </w:r>
      <w:r w:rsidR="00FA76AF">
        <w:rPr>
          <w:rFonts w:cs="Times New Roman"/>
        </w:rPr>
        <w:t>f possible punishments under s. </w:t>
      </w:r>
      <w:r w:rsidRPr="00D5269A">
        <w:rPr>
          <w:rFonts w:cs="Times New Roman"/>
        </w:rPr>
        <w:t>11(</w:t>
      </w:r>
      <w:r w:rsidRPr="00D5269A">
        <w:rPr>
          <w:rFonts w:cs="Times New Roman"/>
          <w:i/>
        </w:rPr>
        <w:t>i</w:t>
      </w:r>
      <w:r w:rsidRPr="00D5269A">
        <w:rPr>
          <w:rFonts w:cs="Times New Roman"/>
        </w:rPr>
        <w:t>) by virtue of their own offending conduct.</w:t>
      </w:r>
    </w:p>
    <w:p w:rsidR="000738FC" w:rsidRPr="00D5269A" w:rsidRDefault="000738FC" w:rsidP="000738FC">
      <w:pPr>
        <w:pStyle w:val="ParaNoNdepar-AltN"/>
        <w:rPr>
          <w:rFonts w:cs="Times New Roman"/>
        </w:rPr>
      </w:pPr>
      <w:r w:rsidRPr="00D5269A">
        <w:rPr>
          <w:rFonts w:cs="Times New Roman"/>
        </w:rPr>
        <w:t>For these reasons, I reject the contention that the principle of fairness animating s.</w:t>
      </w:r>
      <w:r w:rsidR="00FA76AF">
        <w:rPr>
          <w:rFonts w:cs="Times New Roman"/>
        </w:rPr>
        <w:t> </w:t>
      </w:r>
      <w:r w:rsidRPr="00D5269A">
        <w:rPr>
          <w:rFonts w:cs="Times New Roman"/>
        </w:rPr>
        <w:t>11(</w:t>
      </w:r>
      <w:r w:rsidRPr="00D5269A">
        <w:rPr>
          <w:rFonts w:cs="Times New Roman"/>
          <w:i/>
        </w:rPr>
        <w:t>i</w:t>
      </w:r>
      <w:r w:rsidRPr="00D5269A">
        <w:rPr>
          <w:rFonts w:cs="Times New Roman"/>
        </w:rPr>
        <w:t>) supports a global interpretation of that provision. To the contrary</w:t>
      </w:r>
      <w:r w:rsidR="00FA76AF">
        <w:rPr>
          <w:rFonts w:cs="Times New Roman"/>
        </w:rPr>
        <w:t>, a global interpretation of s. </w:t>
      </w:r>
      <w:r w:rsidRPr="00D5269A">
        <w:rPr>
          <w:rFonts w:cs="Times New Roman"/>
        </w:rPr>
        <w:t>11(</w:t>
      </w:r>
      <w:r w:rsidRPr="00D5269A">
        <w:rPr>
          <w:rFonts w:cs="Times New Roman"/>
          <w:i/>
        </w:rPr>
        <w:t>i</w:t>
      </w:r>
      <w:r w:rsidRPr="00D5269A">
        <w:rPr>
          <w:rFonts w:cs="Times New Roman"/>
        </w:rPr>
        <w:t>) would unfairly and arbitrarily benefit certain offenders by granting them the right to a punishment which is utterly disconnected from their conduct or proceedings. It is sufficiently and amply fair for s.</w:t>
      </w:r>
      <w:r w:rsidR="00FA76AF">
        <w:rPr>
          <w:rFonts w:cs="Times New Roman"/>
        </w:rPr>
        <w:t> </w:t>
      </w:r>
      <w:r w:rsidRPr="00D5269A">
        <w:rPr>
          <w:rFonts w:cs="Times New Roman"/>
        </w:rPr>
        <w:t>11(</w:t>
      </w:r>
      <w:r w:rsidRPr="00D5269A">
        <w:rPr>
          <w:rFonts w:cs="Times New Roman"/>
          <w:i/>
        </w:rPr>
        <w:t>i</w:t>
      </w:r>
      <w:r w:rsidRPr="00D5269A">
        <w:rPr>
          <w:rFonts w:cs="Times New Roman"/>
        </w:rPr>
        <w:t xml:space="preserve">) to guarantee to the offender the lesser of the punishments under the laws in force at the time of commission and the time of sentencing. </w:t>
      </w:r>
    </w:p>
    <w:p w:rsidR="000738FC" w:rsidRPr="00D5269A" w:rsidRDefault="000738FC" w:rsidP="000738FC">
      <w:pPr>
        <w:pStyle w:val="ParaNoNdepar-AltN"/>
        <w:rPr>
          <w:rFonts w:cs="Times New Roman"/>
        </w:rPr>
      </w:pPr>
      <w:r w:rsidRPr="00D5269A">
        <w:rPr>
          <w:rFonts w:cs="Times New Roman"/>
        </w:rPr>
        <w:lastRenderedPageBreak/>
        <w:t xml:space="preserve"> In addition, I find that a global interpretation of s.</w:t>
      </w:r>
      <w:r w:rsidR="00855A6C">
        <w:rPr>
          <w:rFonts w:cs="Times New Roman"/>
        </w:rPr>
        <w:t> </w:t>
      </w:r>
      <w:r w:rsidRPr="00D5269A">
        <w:rPr>
          <w:rFonts w:cs="Times New Roman"/>
        </w:rPr>
        <w:t>11(</w:t>
      </w:r>
      <w:r w:rsidRPr="00D5269A">
        <w:rPr>
          <w:rFonts w:cs="Times New Roman"/>
          <w:i/>
        </w:rPr>
        <w:t>i</w:t>
      </w:r>
      <w:r w:rsidRPr="00D5269A">
        <w:rPr>
          <w:rFonts w:cs="Times New Roman"/>
        </w:rPr>
        <w:t>) would have at least two other unwarranted consequences.</w:t>
      </w:r>
    </w:p>
    <w:p w:rsidR="000738FC" w:rsidRPr="00D5269A" w:rsidRDefault="00855A6C" w:rsidP="000738FC">
      <w:pPr>
        <w:pStyle w:val="ParaNoNdepar-AltN"/>
        <w:rPr>
          <w:rFonts w:cs="Times New Roman"/>
        </w:rPr>
      </w:pPr>
      <w:r>
        <w:rPr>
          <w:rFonts w:cs="Times New Roman"/>
        </w:rPr>
        <w:t>First, a global s. </w:t>
      </w:r>
      <w:r w:rsidR="000738FC" w:rsidRPr="00D5269A">
        <w:rPr>
          <w:rFonts w:cs="Times New Roman"/>
        </w:rPr>
        <w:t>11(</w:t>
      </w:r>
      <w:r w:rsidR="000738FC" w:rsidRPr="00D5269A">
        <w:rPr>
          <w:rFonts w:cs="Times New Roman"/>
          <w:i/>
        </w:rPr>
        <w:t>i</w:t>
      </w:r>
      <w:r w:rsidR="000738FC" w:rsidRPr="00D5269A">
        <w:rPr>
          <w:rFonts w:cs="Times New Roman"/>
        </w:rPr>
        <w:t xml:space="preserve">) right would have the effect of resurrecting punishments which Parliament has, by repealing or amending them, expressly rejected — even where such a result is not justified by the principle of legality. As set out above, </w:t>
      </w:r>
      <w:r w:rsidR="00D7680B">
        <w:rPr>
          <w:rFonts w:cs="Times New Roman"/>
        </w:rPr>
        <w:t>s. </w:t>
      </w:r>
      <w:r w:rsidR="000738FC" w:rsidRPr="00D5269A">
        <w:rPr>
          <w:rFonts w:cs="Times New Roman"/>
        </w:rPr>
        <w:t>11(</w:t>
      </w:r>
      <w:r w:rsidR="000738FC" w:rsidRPr="00D5269A">
        <w:rPr>
          <w:rFonts w:cs="Times New Roman"/>
          <w:i/>
        </w:rPr>
        <w:t>i</w:t>
      </w:r>
      <w:r w:rsidR="000738FC" w:rsidRPr="00D5269A">
        <w:rPr>
          <w:rFonts w:cs="Times New Roman"/>
        </w:rPr>
        <w:t xml:space="preserve">) does not merely provide the sentencing court with additional options; it entitles the offender to the lesser punishment. I see no reason why the </w:t>
      </w:r>
      <w:r w:rsidR="000738FC" w:rsidRPr="00D5269A">
        <w:rPr>
          <w:rFonts w:cs="Times New Roman"/>
          <w:i/>
        </w:rPr>
        <w:t>Charter</w:t>
      </w:r>
      <w:r w:rsidR="000738FC" w:rsidRPr="00D5269A">
        <w:rPr>
          <w:rFonts w:cs="Times New Roman"/>
        </w:rPr>
        <w:t xml:space="preserve"> would enshrine</w:t>
      </w:r>
      <w:r w:rsidR="000738FC" w:rsidRPr="00D5269A">
        <w:rPr>
          <w:rFonts w:cs="Times New Roman"/>
          <w:i/>
        </w:rPr>
        <w:t xml:space="preserve"> </w:t>
      </w:r>
      <w:r w:rsidR="000738FC" w:rsidRPr="00D5269A">
        <w:rPr>
          <w:rFonts w:cs="Times New Roman"/>
        </w:rPr>
        <w:t>the constitutional right to access, in all cases, an array of punishments which Parliament has since deemed uns</w:t>
      </w:r>
      <w:r w:rsidR="00D7680B">
        <w:rPr>
          <w:rFonts w:cs="Times New Roman"/>
        </w:rPr>
        <w:t>uitable. It is one thing for s. </w:t>
      </w:r>
      <w:r w:rsidR="000738FC" w:rsidRPr="00D5269A">
        <w:rPr>
          <w:rFonts w:cs="Times New Roman"/>
        </w:rPr>
        <w:t>11(</w:t>
      </w:r>
      <w:r w:rsidR="000738FC" w:rsidRPr="00D5269A">
        <w:rPr>
          <w:rFonts w:cs="Times New Roman"/>
          <w:i/>
        </w:rPr>
        <w:t>i</w:t>
      </w:r>
      <w:r w:rsidR="000738FC" w:rsidRPr="00D5269A">
        <w:rPr>
          <w:rFonts w:cs="Times New Roman"/>
        </w:rPr>
        <w:t>) to resurrect for the offender the lesser punishment under the laws in force when the offender committed the offence. I</w:t>
      </w:r>
      <w:r w:rsidR="00D7680B">
        <w:rPr>
          <w:rFonts w:cs="Times New Roman"/>
        </w:rPr>
        <w:t>t is quite another thing for s. </w:t>
      </w:r>
      <w:r w:rsidR="000738FC" w:rsidRPr="00D5269A">
        <w:rPr>
          <w:rFonts w:cs="Times New Roman"/>
        </w:rPr>
        <w:t>11(</w:t>
      </w:r>
      <w:r w:rsidR="000738FC" w:rsidRPr="00D5269A">
        <w:rPr>
          <w:rFonts w:cs="Times New Roman"/>
          <w:i/>
        </w:rPr>
        <w:t>i</w:t>
      </w:r>
      <w:r w:rsidR="000738FC" w:rsidRPr="00D5269A">
        <w:rPr>
          <w:rFonts w:cs="Times New Roman"/>
        </w:rPr>
        <w:t xml:space="preserve">) to resurrect any temporary reductions in punishment which came after the offence and bear no connection whatsoever to the offender’s conduct or to contemporary sentencing norms (see </w:t>
      </w:r>
      <w:r w:rsidR="000738FC" w:rsidRPr="00D5269A">
        <w:rPr>
          <w:rFonts w:cs="Times New Roman"/>
          <w:i/>
        </w:rPr>
        <w:t>Docherty</w:t>
      </w:r>
      <w:r w:rsidR="00637D33">
        <w:rPr>
          <w:rFonts w:cs="Times New Roman"/>
        </w:rPr>
        <w:t>, at para. </w:t>
      </w:r>
      <w:r w:rsidR="00D7680B">
        <w:rPr>
          <w:rFonts w:cs="Times New Roman"/>
        </w:rPr>
        <w:t>45). An interpretation of s. </w:t>
      </w:r>
      <w:r w:rsidR="000738FC" w:rsidRPr="00D5269A">
        <w:rPr>
          <w:rFonts w:cs="Times New Roman"/>
        </w:rPr>
        <w:t>11(</w:t>
      </w:r>
      <w:r w:rsidR="000738FC" w:rsidRPr="00D5269A">
        <w:rPr>
          <w:rFonts w:cs="Times New Roman"/>
          <w:i/>
        </w:rPr>
        <w:t>i</w:t>
      </w:r>
      <w:r w:rsidR="000738FC" w:rsidRPr="00D5269A">
        <w:rPr>
          <w:rFonts w:cs="Times New Roman"/>
        </w:rPr>
        <w:t>) that entitles an offender to the most favourable punishment in the array of past punishments would not only overshoot the purposes of this constitutional right, it would unduly undermine Parliament’s general and exclusive authority to enact and amend the criminal law.</w:t>
      </w:r>
    </w:p>
    <w:p w:rsidR="000738FC" w:rsidRPr="00D5269A" w:rsidRDefault="000738FC" w:rsidP="000738FC">
      <w:pPr>
        <w:pStyle w:val="ParaNoNdepar-AltN"/>
        <w:rPr>
          <w:rFonts w:cs="Times New Roman"/>
        </w:rPr>
      </w:pPr>
      <w:r w:rsidRPr="00D5269A">
        <w:rPr>
          <w:rFonts w:cs="Times New Roman"/>
        </w:rPr>
        <w:t xml:space="preserve">Moreover, as the Supreme Court of the United Kingdom observed in </w:t>
      </w:r>
      <w:r w:rsidRPr="00D5269A">
        <w:rPr>
          <w:rFonts w:cs="Times New Roman"/>
          <w:i/>
        </w:rPr>
        <w:t>Docherty</w:t>
      </w:r>
      <w:r w:rsidRPr="00D5269A">
        <w:rPr>
          <w:rFonts w:cs="Times New Roman"/>
        </w:rPr>
        <w:t>, there remains the possibility of l</w:t>
      </w:r>
      <w:r w:rsidR="00A25570">
        <w:rPr>
          <w:rFonts w:cs="Times New Roman"/>
        </w:rPr>
        <w:t xml:space="preserve">egislative oversight or error. </w:t>
      </w:r>
      <w:r w:rsidRPr="00D5269A">
        <w:rPr>
          <w:rFonts w:cs="Times New Roman"/>
        </w:rPr>
        <w:t>A global s. 11(</w:t>
      </w:r>
      <w:r w:rsidRPr="00D5269A">
        <w:rPr>
          <w:rFonts w:cs="Times New Roman"/>
          <w:i/>
        </w:rPr>
        <w:t>i</w:t>
      </w:r>
      <w:r w:rsidRPr="00D5269A">
        <w:rPr>
          <w:rFonts w:cs="Times New Roman"/>
        </w:rPr>
        <w:t xml:space="preserve">) right would entitle offenders to the benefit of any intervening oversights or errors in past sentencing provisions, even those not in force during the commission of </w:t>
      </w:r>
      <w:r w:rsidRPr="00D5269A">
        <w:rPr>
          <w:rFonts w:cs="Times New Roman"/>
        </w:rPr>
        <w:lastRenderedPageBreak/>
        <w:t>the offence or at sentencing. But in my view, there is no principled basis to grant an offender the right to that benefit. As that Supreme Court held:</w:t>
      </w:r>
    </w:p>
    <w:p w:rsidR="000738FC" w:rsidRPr="00D5269A" w:rsidRDefault="000738FC" w:rsidP="000738FC">
      <w:pPr>
        <w:pStyle w:val="Citation-AltC"/>
      </w:pPr>
      <w:r w:rsidRPr="00D5269A">
        <w:t>Sentencing legislation and practice may well go up and down as public policy is held by legislators to change, or current responsible views on particular offending are perceived by courts to develop. But there is no injustice to a defendant to be sentenced according either to the law as it existed at the time of his offence or, if more lenient, according to the law as it exists when he is convicted and sentenced. To insist that a defendant should not be sentenced on a basis now authoritatively regarded as excessive is one thing. It is quite another to say that he should be sentenced according to a practice which did not obtain when he committed the offence and does not obtain now, merely because for some time in the interim, however short, a different practice was adopted which has now been abandoned as wrong.</w:t>
      </w:r>
    </w:p>
    <w:p w:rsidR="000738FC" w:rsidRPr="00D5269A" w:rsidRDefault="000738FC" w:rsidP="000738FC">
      <w:pPr>
        <w:pStyle w:val="Citation-AltC"/>
      </w:pPr>
    </w:p>
    <w:p w:rsidR="000738FC" w:rsidRPr="00D5269A" w:rsidRDefault="000738FC" w:rsidP="007F0000">
      <w:pPr>
        <w:pStyle w:val="Citation-AltC"/>
        <w:ind w:left="0"/>
      </w:pPr>
      <w:r w:rsidRPr="00D5269A">
        <w:t>(</w:t>
      </w:r>
      <w:r w:rsidRPr="00D5269A">
        <w:rPr>
          <w:i/>
        </w:rPr>
        <w:t>Docherty</w:t>
      </w:r>
      <w:r w:rsidRPr="00D5269A">
        <w:t>,</w:t>
      </w:r>
      <w:r w:rsidRPr="00D5269A">
        <w:rPr>
          <w:i/>
        </w:rPr>
        <w:t xml:space="preserve"> </w:t>
      </w:r>
      <w:r w:rsidRPr="00D5269A">
        <w:t>at</w:t>
      </w:r>
      <w:r w:rsidR="000005DE">
        <w:t xml:space="preserve"> para. </w:t>
      </w:r>
      <w:r w:rsidRPr="00D5269A">
        <w:t>45)</w:t>
      </w:r>
    </w:p>
    <w:p w:rsidR="000738FC" w:rsidRPr="00D5269A" w:rsidRDefault="000738FC" w:rsidP="000738FC">
      <w:pPr>
        <w:pStyle w:val="ParaNoNdepar-AltN"/>
        <w:rPr>
          <w:rFonts w:cs="Times New Roman"/>
        </w:rPr>
      </w:pPr>
      <w:r w:rsidRPr="00D5269A">
        <w:rPr>
          <w:rFonts w:cs="Times New Roman"/>
        </w:rPr>
        <w:t>Second, and on a more practical level, I have difficulty a</w:t>
      </w:r>
      <w:r w:rsidR="00655F8E">
        <w:rPr>
          <w:rFonts w:cs="Times New Roman"/>
        </w:rPr>
        <w:t>ccepting that the vision for s. </w:t>
      </w:r>
      <w:r w:rsidRPr="00D5269A">
        <w:rPr>
          <w:rFonts w:cs="Times New Roman"/>
        </w:rPr>
        <w:t>11(</w:t>
      </w:r>
      <w:r w:rsidRPr="00D5269A">
        <w:rPr>
          <w:rFonts w:cs="Times New Roman"/>
          <w:i/>
        </w:rPr>
        <w:t>i</w:t>
      </w:r>
      <w:r w:rsidRPr="00D5269A">
        <w:rPr>
          <w:rFonts w:cs="Times New Roman"/>
        </w:rPr>
        <w:t xml:space="preserve">) was for counsel and the court to have to identify and then compare and contrast </w:t>
      </w:r>
      <w:r w:rsidRPr="00D5269A">
        <w:rPr>
          <w:rFonts w:cs="Times New Roman"/>
          <w:i/>
        </w:rPr>
        <w:t xml:space="preserve">every </w:t>
      </w:r>
      <w:r w:rsidRPr="00D5269A">
        <w:rPr>
          <w:rFonts w:cs="Times New Roman"/>
        </w:rPr>
        <w:t>sentencing provision that has applied to the offence since the offender committed it. As set out above (under the heading “Context: How Section</w:t>
      </w:r>
      <w:r w:rsidR="00655F8E">
        <w:rPr>
          <w:rFonts w:cs="Times New Roman"/>
        </w:rPr>
        <w:t> </w:t>
      </w:r>
      <w:r w:rsidRPr="00D5269A">
        <w:rPr>
          <w:rFonts w:cs="Times New Roman"/>
        </w:rPr>
        <w:t>11(</w:t>
      </w:r>
      <w:r w:rsidRPr="00D5269A">
        <w:rPr>
          <w:rFonts w:cs="Times New Roman"/>
          <w:i/>
        </w:rPr>
        <w:t>i</w:t>
      </w:r>
      <w:r w:rsidRPr="00D5269A">
        <w:rPr>
          <w:rFonts w:cs="Times New Roman"/>
        </w:rPr>
        <w:t>) Operates”), a global approach to s.</w:t>
      </w:r>
      <w:r w:rsidR="00655F8E">
        <w:rPr>
          <w:rFonts w:cs="Times New Roman"/>
        </w:rPr>
        <w:t> </w:t>
      </w:r>
      <w:r w:rsidRPr="00D5269A">
        <w:rPr>
          <w:rFonts w:cs="Times New Roman"/>
        </w:rPr>
        <w:t>11(</w:t>
      </w:r>
      <w:r w:rsidRPr="00D5269A">
        <w:rPr>
          <w:rFonts w:cs="Times New Roman"/>
          <w:i/>
        </w:rPr>
        <w:t>i</w:t>
      </w:r>
      <w:r w:rsidRPr="00D5269A">
        <w:rPr>
          <w:rFonts w:cs="Times New Roman"/>
        </w:rPr>
        <w:t xml:space="preserve">) would require just this. I fail to see what would justify this exercise. An offender does not suffer any injustice by not having access to </w:t>
      </w:r>
      <w:r w:rsidRPr="00D5269A">
        <w:rPr>
          <w:rFonts w:cs="Times New Roman"/>
          <w:i/>
        </w:rPr>
        <w:t xml:space="preserve">all </w:t>
      </w:r>
      <w:r w:rsidRPr="00D5269A">
        <w:rPr>
          <w:rFonts w:cs="Times New Roman"/>
        </w:rPr>
        <w:t>punishments that have come and gone through valid legislative change, especially those punishments that are completely disconnected from any step taken by the state against the offender or any step taken by the offender in reliance on the contemporaneous punishment. By claiming the right to a conditional sentence, Mr.</w:t>
      </w:r>
      <w:r>
        <w:rPr>
          <w:rFonts w:cs="Times New Roman"/>
        </w:rPr>
        <w:t> </w:t>
      </w:r>
      <w:r w:rsidRPr="00D5269A">
        <w:rPr>
          <w:rFonts w:cs="Times New Roman"/>
        </w:rPr>
        <w:t xml:space="preserve">Poulin asks for the benefit of a punishment which had no bearing on his conduct, </w:t>
      </w:r>
      <w:r w:rsidRPr="00D5269A">
        <w:rPr>
          <w:rFonts w:cs="Times New Roman"/>
        </w:rPr>
        <w:lastRenderedPageBreak/>
        <w:t>case or sentencing. There is no unfairness in not having access to a sentencing regime which was unknown at the time of the offence and not relied upon when it was in force.</w:t>
      </w:r>
    </w:p>
    <w:p w:rsidR="000738FC" w:rsidRPr="00D5269A" w:rsidRDefault="000738FC" w:rsidP="000738FC">
      <w:pPr>
        <w:pStyle w:val="ParaNoNdepar-AltN"/>
        <w:rPr>
          <w:rFonts w:cs="Times New Roman"/>
        </w:rPr>
      </w:pPr>
      <w:r w:rsidRPr="00D5269A">
        <w:rPr>
          <w:rFonts w:cs="Times New Roman"/>
        </w:rPr>
        <w:t>In closing — and in response t</w:t>
      </w:r>
      <w:r w:rsidR="005238CF">
        <w:rPr>
          <w:rFonts w:cs="Times New Roman"/>
        </w:rPr>
        <w:t>o Mr. </w:t>
      </w:r>
      <w:r w:rsidR="00AD53C2">
        <w:rPr>
          <w:rFonts w:cs="Times New Roman"/>
        </w:rPr>
        <w:t>Poulin’s position that s. </w:t>
      </w:r>
      <w:r w:rsidRPr="00D5269A">
        <w:rPr>
          <w:rFonts w:cs="Times New Roman"/>
        </w:rPr>
        <w:t>11(</w:t>
      </w:r>
      <w:r w:rsidRPr="00D5269A">
        <w:rPr>
          <w:rFonts w:cs="Times New Roman"/>
          <w:i/>
        </w:rPr>
        <w:t>i</w:t>
      </w:r>
      <w:r w:rsidRPr="00D5269A">
        <w:rPr>
          <w:rFonts w:cs="Times New Roman"/>
        </w:rPr>
        <w:t>) should be read in a manner that provides sentencing courts with enhanced sentencing options — I reiterate that it is ina</w:t>
      </w:r>
      <w:r w:rsidR="00AD53C2">
        <w:rPr>
          <w:rFonts w:cs="Times New Roman"/>
        </w:rPr>
        <w:t>ccurate to say that a global s. </w:t>
      </w:r>
      <w:r w:rsidRPr="00D5269A">
        <w:rPr>
          <w:rFonts w:cs="Times New Roman"/>
        </w:rPr>
        <w:t>11(</w:t>
      </w:r>
      <w:r w:rsidRPr="00D5269A">
        <w:rPr>
          <w:rFonts w:cs="Times New Roman"/>
          <w:i/>
        </w:rPr>
        <w:t>i</w:t>
      </w:r>
      <w:r w:rsidRPr="00D5269A">
        <w:rPr>
          <w:rFonts w:cs="Times New Roman"/>
        </w:rPr>
        <w:t>) would normally increase options and discretion in sentencing. As explained above, the effect of s.</w:t>
      </w:r>
      <w:r w:rsidR="00AD53C2">
        <w:rPr>
          <w:rFonts w:cs="Times New Roman"/>
        </w:rPr>
        <w:t> </w:t>
      </w:r>
      <w:r w:rsidRPr="00D5269A">
        <w:rPr>
          <w:rFonts w:cs="Times New Roman"/>
        </w:rPr>
        <w:t>11(</w:t>
      </w:r>
      <w:r w:rsidRPr="00D5269A">
        <w:rPr>
          <w:rFonts w:cs="Times New Roman"/>
          <w:i/>
        </w:rPr>
        <w:t>i</w:t>
      </w:r>
      <w:r w:rsidRPr="00D5269A">
        <w:rPr>
          <w:rFonts w:cs="Times New Roman"/>
        </w:rPr>
        <w:t>) is to confine the sentencing court to sentencing the offender according to the lesser punishment. It i</w:t>
      </w:r>
      <w:r w:rsidR="007C4F14">
        <w:rPr>
          <w:rFonts w:cs="Times New Roman"/>
        </w:rPr>
        <w:t>s appropriate for s. </w:t>
      </w:r>
      <w:r w:rsidRPr="00D5269A">
        <w:rPr>
          <w:rFonts w:cs="Times New Roman"/>
        </w:rPr>
        <w:t>11(</w:t>
      </w:r>
      <w:r w:rsidRPr="00D5269A">
        <w:rPr>
          <w:rFonts w:cs="Times New Roman"/>
          <w:i/>
        </w:rPr>
        <w:t>i</w:t>
      </w:r>
      <w:r w:rsidRPr="00D5269A">
        <w:rPr>
          <w:rFonts w:cs="Times New Roman"/>
        </w:rPr>
        <w:t>) to confine the court to the lesser of the two sentencing regimes mentioned in s.</w:t>
      </w:r>
      <w:r w:rsidR="007C4F14">
        <w:rPr>
          <w:rFonts w:cs="Times New Roman"/>
        </w:rPr>
        <w:t> </w:t>
      </w:r>
      <w:r w:rsidRPr="00D5269A">
        <w:rPr>
          <w:rFonts w:cs="Times New Roman"/>
        </w:rPr>
        <w:t>11(</w:t>
      </w:r>
      <w:r w:rsidRPr="00D5269A">
        <w:rPr>
          <w:rFonts w:cs="Times New Roman"/>
          <w:i/>
        </w:rPr>
        <w:t>i</w:t>
      </w:r>
      <w:r w:rsidRPr="00D5269A">
        <w:rPr>
          <w:rFonts w:cs="Times New Roman"/>
        </w:rPr>
        <w:t xml:space="preserve">). For the reasons given, it is </w:t>
      </w:r>
      <w:r w:rsidRPr="00D5269A">
        <w:rPr>
          <w:rFonts w:cs="Times New Roman"/>
          <w:i/>
        </w:rPr>
        <w:t>not</w:t>
      </w:r>
      <w:r w:rsidRPr="00D5269A">
        <w:rPr>
          <w:rFonts w:cs="Times New Roman"/>
        </w:rPr>
        <w:t xml:space="preserve"> appropriate for s.</w:t>
      </w:r>
      <w:r w:rsidR="007C4F14">
        <w:rPr>
          <w:rFonts w:cs="Times New Roman"/>
        </w:rPr>
        <w:t> </w:t>
      </w:r>
      <w:r w:rsidRPr="00D5269A">
        <w:rPr>
          <w:rFonts w:cs="Times New Roman"/>
        </w:rPr>
        <w:t>11(</w:t>
      </w:r>
      <w:r w:rsidRPr="00D5269A">
        <w:rPr>
          <w:rFonts w:cs="Times New Roman"/>
          <w:i/>
        </w:rPr>
        <w:t>i</w:t>
      </w:r>
      <w:r w:rsidRPr="00D5269A">
        <w:rPr>
          <w:rFonts w:cs="Times New Roman"/>
        </w:rPr>
        <w:t>) to require the court to impose what is, from the offender’s perspective, a random baseline punishment plucked from the past. I agree wholeheartedly with Mr.</w:t>
      </w:r>
      <w:r>
        <w:rPr>
          <w:rFonts w:cs="Times New Roman"/>
        </w:rPr>
        <w:t> </w:t>
      </w:r>
      <w:r w:rsidRPr="00D5269A">
        <w:rPr>
          <w:rFonts w:cs="Times New Roman"/>
        </w:rPr>
        <w:t>Poulin that discretion in sentencing enhances justice in sent</w:t>
      </w:r>
      <w:r w:rsidR="002B583D">
        <w:rPr>
          <w:rFonts w:cs="Times New Roman"/>
        </w:rPr>
        <w:t>encing. I part company with Mr. </w:t>
      </w:r>
      <w:r w:rsidRPr="00D5269A">
        <w:rPr>
          <w:rFonts w:cs="Times New Roman"/>
        </w:rPr>
        <w:t>Poulin in his view that a global approach to s.</w:t>
      </w:r>
      <w:r w:rsidR="00754BD3">
        <w:rPr>
          <w:rFonts w:cs="Times New Roman"/>
        </w:rPr>
        <w:t> </w:t>
      </w:r>
      <w:r w:rsidRPr="00D5269A">
        <w:rPr>
          <w:rFonts w:cs="Times New Roman"/>
        </w:rPr>
        <w:t>11(</w:t>
      </w:r>
      <w:r w:rsidRPr="00D5269A">
        <w:rPr>
          <w:rFonts w:cs="Times New Roman"/>
          <w:i/>
        </w:rPr>
        <w:t>i</w:t>
      </w:r>
      <w:r w:rsidRPr="00D5269A">
        <w:rPr>
          <w:rFonts w:cs="Times New Roman"/>
        </w:rPr>
        <w:t xml:space="preserve">) generally serves discretion; it demonstrably does not. </w:t>
      </w:r>
    </w:p>
    <w:p w:rsidR="000738FC" w:rsidRDefault="000738FC" w:rsidP="000738FC">
      <w:pPr>
        <w:pStyle w:val="ParaNoNdepar-AltN"/>
        <w:rPr>
          <w:rFonts w:cs="Times New Roman"/>
        </w:rPr>
      </w:pPr>
      <w:r w:rsidRPr="00D5269A">
        <w:rPr>
          <w:rFonts w:cs="Times New Roman"/>
        </w:rPr>
        <w:t xml:space="preserve">For these reasons, I conclude that the </w:t>
      </w:r>
      <w:r w:rsidR="00754BD3">
        <w:rPr>
          <w:rFonts w:cs="Times New Roman"/>
        </w:rPr>
        <w:t>principled interpretation of s. </w:t>
      </w:r>
      <w:r w:rsidRPr="00D5269A">
        <w:rPr>
          <w:rFonts w:cs="Times New Roman"/>
        </w:rPr>
        <w:t>11(</w:t>
      </w:r>
      <w:r w:rsidRPr="00D5269A">
        <w:rPr>
          <w:rFonts w:cs="Times New Roman"/>
          <w:i/>
        </w:rPr>
        <w:t>i</w:t>
      </w:r>
      <w:r w:rsidRPr="00D5269A">
        <w:rPr>
          <w:rFonts w:cs="Times New Roman"/>
        </w:rPr>
        <w:t>) is a binary one. Reading s.</w:t>
      </w:r>
      <w:r w:rsidR="00754BD3">
        <w:rPr>
          <w:rFonts w:cs="Times New Roman"/>
        </w:rPr>
        <w:t> </w:t>
      </w:r>
      <w:r w:rsidRPr="00D5269A">
        <w:rPr>
          <w:rFonts w:cs="Times New Roman"/>
        </w:rPr>
        <w:t>11(</w:t>
      </w:r>
      <w:r w:rsidRPr="00D5269A">
        <w:rPr>
          <w:rFonts w:cs="Times New Roman"/>
          <w:i/>
        </w:rPr>
        <w:t>i</w:t>
      </w:r>
      <w:r w:rsidRPr="00D5269A">
        <w:rPr>
          <w:rFonts w:cs="Times New Roman"/>
        </w:rPr>
        <w:t xml:space="preserve">) in a manner that would require the court to impose the most favourable punishment identifiable in the interval between the offence and sentencing does not reflect the kind of generous interpretation that </w:t>
      </w:r>
      <w:r w:rsidRPr="00D5269A">
        <w:rPr>
          <w:rFonts w:cs="Times New Roman"/>
          <w:i/>
        </w:rPr>
        <w:t xml:space="preserve">Charter </w:t>
      </w:r>
      <w:r w:rsidRPr="00D5269A">
        <w:rPr>
          <w:rFonts w:cs="Times New Roman"/>
        </w:rPr>
        <w:t>rights should receive. Rather, it reflects an unduly</w:t>
      </w:r>
      <w:r w:rsidRPr="00D5269A">
        <w:rPr>
          <w:rFonts w:cs="Times New Roman"/>
          <w:i/>
        </w:rPr>
        <w:t xml:space="preserve"> </w:t>
      </w:r>
      <w:r w:rsidRPr="00D5269A">
        <w:rPr>
          <w:rFonts w:cs="Times New Roman"/>
        </w:rPr>
        <w:t>generous interpretation, disconnected from the purposes of the right.</w:t>
      </w:r>
    </w:p>
    <w:p w:rsidR="000738FC" w:rsidRPr="00D5269A" w:rsidRDefault="000738FC" w:rsidP="000738FC">
      <w:pPr>
        <w:pStyle w:val="Title4LevelTitre4Niveau"/>
        <w:rPr>
          <w:rFonts w:cs="Times New Roman"/>
        </w:rPr>
      </w:pPr>
      <w:bookmarkStart w:id="49" w:name="_Toc12005421"/>
      <w:bookmarkStart w:id="50" w:name="_Toc14423819"/>
      <w:bookmarkStart w:id="51" w:name="_Toc15313761"/>
      <w:r w:rsidRPr="00D5269A">
        <w:rPr>
          <w:rFonts w:cs="Times New Roman"/>
        </w:rPr>
        <w:t>Addressing the Contrary Jurisprudence</w:t>
      </w:r>
      <w:bookmarkEnd w:id="49"/>
      <w:bookmarkEnd w:id="50"/>
      <w:bookmarkEnd w:id="51"/>
    </w:p>
    <w:p w:rsidR="000738FC" w:rsidRPr="00D5269A" w:rsidRDefault="000738FC" w:rsidP="000738FC">
      <w:pPr>
        <w:pStyle w:val="ParaNoNdepar-AltN"/>
        <w:rPr>
          <w:rFonts w:cs="Times New Roman"/>
        </w:rPr>
      </w:pPr>
      <w:r w:rsidRPr="00D5269A">
        <w:rPr>
          <w:rFonts w:cs="Times New Roman"/>
        </w:rPr>
        <w:lastRenderedPageBreak/>
        <w:t>In c</w:t>
      </w:r>
      <w:r w:rsidR="0064223F">
        <w:rPr>
          <w:rFonts w:cs="Times New Roman"/>
        </w:rPr>
        <w:t>oming to the conclusion that s. </w:t>
      </w:r>
      <w:r w:rsidRPr="00D5269A">
        <w:rPr>
          <w:rFonts w:cs="Times New Roman"/>
        </w:rPr>
        <w:t>11(</w:t>
      </w:r>
      <w:r w:rsidRPr="00D5269A">
        <w:rPr>
          <w:rFonts w:cs="Times New Roman"/>
          <w:i/>
        </w:rPr>
        <w:t>i</w:t>
      </w:r>
      <w:r w:rsidRPr="00D5269A">
        <w:rPr>
          <w:rFonts w:cs="Times New Roman"/>
        </w:rPr>
        <w:t>) confers a binary right, I am cognizant that Canadian courts ha</w:t>
      </w:r>
      <w:r w:rsidR="0064223F">
        <w:rPr>
          <w:rFonts w:cs="Times New Roman"/>
        </w:rPr>
        <w:t>ve consistently assumed that s. </w:t>
      </w:r>
      <w:r w:rsidRPr="00D5269A">
        <w:rPr>
          <w:rFonts w:cs="Times New Roman"/>
        </w:rPr>
        <w:t>11(</w:t>
      </w:r>
      <w:r w:rsidRPr="00D5269A">
        <w:rPr>
          <w:rFonts w:cs="Times New Roman"/>
          <w:i/>
        </w:rPr>
        <w:t>i</w:t>
      </w:r>
      <w:r w:rsidRPr="00D5269A">
        <w:rPr>
          <w:rFonts w:cs="Times New Roman"/>
        </w:rPr>
        <w:t xml:space="preserve">) confers a global right (with perhaps one exception: see </w:t>
      </w:r>
      <w:r w:rsidRPr="00D5269A">
        <w:rPr>
          <w:rFonts w:cs="Times New Roman"/>
          <w:i/>
        </w:rPr>
        <w:t>R. v. Dubois</w:t>
      </w:r>
      <w:r w:rsidRPr="00D5269A">
        <w:rPr>
          <w:rFonts w:cs="Times New Roman"/>
        </w:rPr>
        <w:t>,</w:t>
      </w:r>
      <w:r w:rsidRPr="00D5269A">
        <w:rPr>
          <w:rFonts w:cs="Times New Roman"/>
          <w:i/>
        </w:rPr>
        <w:t xml:space="preserve"> </w:t>
      </w:r>
      <w:r w:rsidR="00B107E7">
        <w:rPr>
          <w:rFonts w:cs="Times New Roman"/>
        </w:rPr>
        <w:t>Que. Sup. Ct., December 8, 1982</w:t>
      </w:r>
      <w:r w:rsidRPr="00D5269A">
        <w:rPr>
          <w:rFonts w:cs="Times New Roman"/>
        </w:rPr>
        <w:t xml:space="preserve">, cited in R. M. McLeod, J. D. Takach, H. F. Morton, and M. D. Segal, </w:t>
      </w:r>
      <w:r w:rsidRPr="00D5269A">
        <w:rPr>
          <w:rFonts w:cs="Times New Roman"/>
          <w:i/>
        </w:rPr>
        <w:t xml:space="preserve">The Canadian Charter of Rights: The Prosecution and Defence of Criminal and Other Statutory Offences </w:t>
      </w:r>
      <w:r w:rsidR="000D278B">
        <w:rPr>
          <w:rFonts w:cs="Times New Roman"/>
        </w:rPr>
        <w:t>(2019 (loose</w:t>
      </w:r>
      <w:r w:rsidR="000D278B" w:rsidRPr="00A215D4">
        <w:rPr>
          <w:lang w:val="en-US"/>
        </w:rPr>
        <w:noBreakHyphen/>
      </w:r>
      <w:r w:rsidR="000D278B">
        <w:rPr>
          <w:rFonts w:cs="Times New Roman"/>
        </w:rPr>
        <w:t>leaf)), vol.</w:t>
      </w:r>
      <w:r w:rsidR="00104EF1">
        <w:rPr>
          <w:rFonts w:cs="Times New Roman"/>
        </w:rPr>
        <w:t> </w:t>
      </w:r>
      <w:r w:rsidR="000D278B">
        <w:rPr>
          <w:rFonts w:cs="Times New Roman"/>
        </w:rPr>
        <w:t>4, at p. 20</w:t>
      </w:r>
      <w:r w:rsidR="000D278B" w:rsidRPr="00A215D4">
        <w:rPr>
          <w:lang w:val="en-US"/>
        </w:rPr>
        <w:noBreakHyphen/>
      </w:r>
      <w:r w:rsidRPr="00D5269A">
        <w:rPr>
          <w:rFonts w:cs="Times New Roman"/>
        </w:rPr>
        <w:t>10.12). However, as stated above, I do not find these authorities to be based upon a complete or comp</w:t>
      </w:r>
      <w:r w:rsidR="003A1685">
        <w:rPr>
          <w:rFonts w:cs="Times New Roman"/>
        </w:rPr>
        <w:t>elling purposive analysis of s. </w:t>
      </w:r>
      <w:r w:rsidRPr="00D5269A">
        <w:rPr>
          <w:rFonts w:cs="Times New Roman"/>
        </w:rPr>
        <w:t>11(</w:t>
      </w:r>
      <w:r w:rsidRPr="00D5269A">
        <w:rPr>
          <w:rFonts w:cs="Times New Roman"/>
          <w:i/>
        </w:rPr>
        <w:t>i</w:t>
      </w:r>
      <w:r w:rsidRPr="00D5269A">
        <w:rPr>
          <w:rFonts w:cs="Times New Roman"/>
        </w:rPr>
        <w:t>). Had they properly examined an</w:t>
      </w:r>
      <w:r w:rsidR="003A1685">
        <w:rPr>
          <w:rFonts w:cs="Times New Roman"/>
        </w:rPr>
        <w:t>d weighed the functioning of s. </w:t>
      </w:r>
      <w:r w:rsidRPr="00D5269A">
        <w:rPr>
          <w:rFonts w:cs="Times New Roman"/>
        </w:rPr>
        <w:t>11(</w:t>
      </w:r>
      <w:r w:rsidRPr="00D5269A">
        <w:rPr>
          <w:rFonts w:cs="Times New Roman"/>
          <w:i/>
        </w:rPr>
        <w:t>i</w:t>
      </w:r>
      <w:r w:rsidRPr="00D5269A">
        <w:rPr>
          <w:rFonts w:cs="Times New Roman"/>
        </w:rPr>
        <w:t xml:space="preserve">), its language and origins, and the implications of a global right, they should, in my view, have concluded that there is no </w:t>
      </w:r>
      <w:r w:rsidR="003A1685">
        <w:rPr>
          <w:rFonts w:cs="Times New Roman"/>
        </w:rPr>
        <w:t>purposive basis to interpret s. </w:t>
      </w:r>
      <w:r w:rsidRPr="00D5269A">
        <w:rPr>
          <w:rFonts w:cs="Times New Roman"/>
        </w:rPr>
        <w:t>11(</w:t>
      </w:r>
      <w:r w:rsidRPr="00D5269A">
        <w:rPr>
          <w:rFonts w:cs="Times New Roman"/>
          <w:i/>
        </w:rPr>
        <w:t>i</w:t>
      </w:r>
      <w:r w:rsidRPr="00D5269A">
        <w:rPr>
          <w:rFonts w:cs="Times New Roman"/>
        </w:rPr>
        <w:t>) in a global manner. The purposes of s.</w:t>
      </w:r>
      <w:r w:rsidR="003A1685">
        <w:rPr>
          <w:rFonts w:cs="Times New Roman"/>
        </w:rPr>
        <w:t> </w:t>
      </w:r>
      <w:r w:rsidRPr="00D5269A">
        <w:rPr>
          <w:rFonts w:cs="Times New Roman"/>
        </w:rPr>
        <w:t>11(</w:t>
      </w:r>
      <w:r w:rsidRPr="00D5269A">
        <w:rPr>
          <w:rFonts w:cs="Times New Roman"/>
          <w:i/>
        </w:rPr>
        <w:t>i</w:t>
      </w:r>
      <w:r w:rsidRPr="00D5269A">
        <w:rPr>
          <w:rFonts w:cs="Times New Roman"/>
        </w:rPr>
        <w:t>) — including fairne</w:t>
      </w:r>
      <w:r w:rsidR="003A1685">
        <w:rPr>
          <w:rFonts w:cs="Times New Roman"/>
        </w:rPr>
        <w:t>ss — do not support a global s. </w:t>
      </w:r>
      <w:r w:rsidRPr="00D5269A">
        <w:rPr>
          <w:rFonts w:cs="Times New Roman"/>
        </w:rPr>
        <w:t>11(</w:t>
      </w:r>
      <w:r w:rsidRPr="00D5269A">
        <w:rPr>
          <w:rFonts w:cs="Times New Roman"/>
          <w:i/>
        </w:rPr>
        <w:t>i</w:t>
      </w:r>
      <w:r w:rsidRPr="00D5269A">
        <w:rPr>
          <w:rFonts w:cs="Times New Roman"/>
        </w:rPr>
        <w:t>) right; to the contrary, they reject it.</w:t>
      </w:r>
    </w:p>
    <w:p w:rsidR="000738FC" w:rsidRPr="00D5269A" w:rsidRDefault="000738FC" w:rsidP="000738FC">
      <w:pPr>
        <w:pStyle w:val="ParaNoNdepar-AltN"/>
        <w:rPr>
          <w:rFonts w:cs="Times New Roman"/>
        </w:rPr>
      </w:pPr>
      <w:r w:rsidRPr="00D5269A">
        <w:rPr>
          <w:rFonts w:cs="Times New Roman"/>
        </w:rPr>
        <w:t xml:space="preserve">Similarly, I find that the European Court of Human Rights’ majority decision in </w:t>
      </w:r>
      <w:r w:rsidRPr="00D5269A">
        <w:rPr>
          <w:rFonts w:cs="Times New Roman"/>
          <w:i/>
        </w:rPr>
        <w:t>Scoppola</w:t>
      </w:r>
      <w:r w:rsidRPr="00D5269A">
        <w:rPr>
          <w:rFonts w:cs="Times New Roman"/>
        </w:rPr>
        <w:t xml:space="preserve"> does not provide a persuasive basis for reading s.</w:t>
      </w:r>
      <w:r w:rsidR="009569F1">
        <w:rPr>
          <w:rFonts w:cs="Times New Roman"/>
        </w:rPr>
        <w:t> </w:t>
      </w:r>
      <w:r w:rsidRPr="00D5269A">
        <w:rPr>
          <w:rFonts w:cs="Times New Roman"/>
        </w:rPr>
        <w:t>11(</w:t>
      </w:r>
      <w:r w:rsidRPr="00D5269A">
        <w:rPr>
          <w:rFonts w:cs="Times New Roman"/>
          <w:i/>
        </w:rPr>
        <w:t>i</w:t>
      </w:r>
      <w:r w:rsidR="00B07A8C">
        <w:rPr>
          <w:rFonts w:cs="Times New Roman"/>
        </w:rPr>
        <w:t xml:space="preserve">) in a global manner. </w:t>
      </w:r>
      <w:r w:rsidRPr="00D5269A">
        <w:rPr>
          <w:rFonts w:cs="Times New Roman"/>
        </w:rPr>
        <w:t xml:space="preserve">As the U.K. Supreme Court noted, the majority reasons in </w:t>
      </w:r>
      <w:r w:rsidRPr="00D5269A">
        <w:rPr>
          <w:rFonts w:cs="Times New Roman"/>
          <w:i/>
        </w:rPr>
        <w:t xml:space="preserve">Scoppola </w:t>
      </w:r>
      <w:r w:rsidRPr="00D5269A">
        <w:rPr>
          <w:rFonts w:cs="Times New Roman"/>
        </w:rPr>
        <w:t xml:space="preserve">do not appear to recognize the crucial distinction between the binary and global versions of the right to a decrease in punishment. In fact, the majority relied on the justification for a </w:t>
      </w:r>
      <w:r w:rsidRPr="00D5269A">
        <w:rPr>
          <w:rFonts w:cs="Times New Roman"/>
          <w:i/>
        </w:rPr>
        <w:t xml:space="preserve">binary </w:t>
      </w:r>
      <w:r w:rsidRPr="00D5269A">
        <w:rPr>
          <w:rFonts w:cs="Times New Roman"/>
        </w:rPr>
        <w:t xml:space="preserve">right in concluding that art. 7(1) of the </w:t>
      </w:r>
      <w:r w:rsidRPr="00D5269A">
        <w:rPr>
          <w:rFonts w:cs="Times New Roman"/>
          <w:i/>
        </w:rPr>
        <w:t xml:space="preserve">ECHR </w:t>
      </w:r>
      <w:r w:rsidRPr="00D5269A">
        <w:rPr>
          <w:rFonts w:cs="Times New Roman"/>
        </w:rPr>
        <w:t xml:space="preserve">should be </w:t>
      </w:r>
      <w:r w:rsidRPr="00D5269A">
        <w:rPr>
          <w:rFonts w:cs="Times New Roman"/>
          <w:i/>
        </w:rPr>
        <w:t>global</w:t>
      </w:r>
      <w:r w:rsidR="00C05040">
        <w:rPr>
          <w:rFonts w:cs="Times New Roman"/>
        </w:rPr>
        <w:t>; it stated that art. </w:t>
      </w:r>
      <w:r w:rsidRPr="00D5269A">
        <w:rPr>
          <w:rFonts w:cs="Times New Roman"/>
        </w:rPr>
        <w:t>7(1) should not allow the imposit</w:t>
      </w:r>
      <w:r w:rsidR="00FA2B88">
        <w:rPr>
          <w:rFonts w:cs="Times New Roman"/>
        </w:rPr>
        <w:t>ion of a punishment “which the S</w:t>
      </w:r>
      <w:r w:rsidRPr="00D5269A">
        <w:rPr>
          <w:rFonts w:cs="Times New Roman"/>
        </w:rPr>
        <w:t xml:space="preserve">tate — and the community it represents — </w:t>
      </w:r>
      <w:r w:rsidRPr="00D5269A">
        <w:rPr>
          <w:rFonts w:cs="Times New Roman"/>
          <w:u w:val="single"/>
        </w:rPr>
        <w:t>now</w:t>
      </w:r>
      <w:r w:rsidR="00AA5573">
        <w:rPr>
          <w:rFonts w:cs="Times New Roman"/>
        </w:rPr>
        <w:t xml:space="preserve"> consider excessive” (para. </w:t>
      </w:r>
      <w:r w:rsidRPr="00D5269A">
        <w:rPr>
          <w:rFonts w:cs="Times New Roman"/>
        </w:rPr>
        <w:t xml:space="preserve">108 (emphasis added)). I echo the Supreme Court of the United Kingdom’s statement in </w:t>
      </w:r>
      <w:r w:rsidRPr="00D5269A">
        <w:rPr>
          <w:rFonts w:cs="Times New Roman"/>
          <w:i/>
        </w:rPr>
        <w:t xml:space="preserve">Docherty </w:t>
      </w:r>
      <w:r w:rsidRPr="00D5269A">
        <w:rPr>
          <w:rFonts w:cs="Times New Roman"/>
        </w:rPr>
        <w:t>that:</w:t>
      </w:r>
    </w:p>
    <w:p w:rsidR="000738FC" w:rsidRPr="00D5269A" w:rsidRDefault="000738FC" w:rsidP="000738FC">
      <w:pPr>
        <w:pStyle w:val="Citation-AltC"/>
        <w:ind w:firstLine="274"/>
      </w:pPr>
      <w:r w:rsidRPr="00D5269A">
        <w:lastRenderedPageBreak/>
        <w:t xml:space="preserve">There is a very clear difference between (1) a principle which prevents a court from imposing a penalty above and outside the range currently provided for by the state as appropriate to the crime and (2) a principle which requires the court to seek out and apply the most favourable rule which has existed at any intervening time since the offence was committed, even if it has since been abandoned. The first would fall within the rationale of confining the court to a range currently considered appropriate for the offence; the latter would not. The difference between the two is not adverted to, still less explored, in the judgment in </w:t>
      </w:r>
      <w:r w:rsidRPr="00D5269A">
        <w:rPr>
          <w:i/>
        </w:rPr>
        <w:t>Scoppola</w:t>
      </w:r>
      <w:r w:rsidRPr="00D5269A">
        <w:t>. It is, accordingly, by no means clear that the court intended to expand its incorporation of lex mitior into art. 7 by including</w:t>
      </w:r>
      <w:r w:rsidR="00446D96">
        <w:t xml:space="preserve"> the latter proposition. [para. </w:t>
      </w:r>
      <w:r w:rsidRPr="00D5269A">
        <w:t>40]</w:t>
      </w:r>
    </w:p>
    <w:p w:rsidR="000738FC" w:rsidRPr="00D5269A" w:rsidRDefault="000738FC" w:rsidP="000738FC">
      <w:pPr>
        <w:pStyle w:val="ParaNoNdepar-AltN"/>
        <w:tabs>
          <w:tab w:val="left" w:pos="990"/>
        </w:tabs>
        <w:rPr>
          <w:rFonts w:cs="Times New Roman"/>
        </w:rPr>
      </w:pPr>
      <w:r w:rsidRPr="00D5269A">
        <w:rPr>
          <w:rFonts w:cs="Times New Roman"/>
        </w:rPr>
        <w:t xml:space="preserve">I further agree with the Supreme Court that the majority decision in </w:t>
      </w:r>
      <w:r w:rsidRPr="00D5269A">
        <w:rPr>
          <w:rFonts w:cs="Times New Roman"/>
          <w:i/>
        </w:rPr>
        <w:t xml:space="preserve">Scoppola </w:t>
      </w:r>
      <w:r w:rsidRPr="00D5269A">
        <w:rPr>
          <w:rFonts w:cs="Times New Roman"/>
        </w:rPr>
        <w:t xml:space="preserve">must be read in context. First, it is crucial to note that </w:t>
      </w:r>
      <w:r w:rsidRPr="00D5269A">
        <w:rPr>
          <w:rFonts w:cs="Times New Roman"/>
          <w:i/>
        </w:rPr>
        <w:t>Scoppola</w:t>
      </w:r>
      <w:r w:rsidRPr="00D5269A">
        <w:rPr>
          <w:rFonts w:cs="Times New Roman"/>
        </w:rPr>
        <w:t>’s treatment of art. 7(1) was informed by a provision of Italy’s criminal legislation that appeared to confer a global right:</w:t>
      </w:r>
    </w:p>
    <w:p w:rsidR="000738FC" w:rsidRPr="00D5269A" w:rsidRDefault="006C3923" w:rsidP="006C3923">
      <w:pPr>
        <w:pStyle w:val="ContinueParaSuitedupar-AltP"/>
        <w:tabs>
          <w:tab w:val="left" w:pos="1530"/>
        </w:tabs>
        <w:spacing w:before="0" w:after="0" w:line="240" w:lineRule="auto"/>
        <w:ind w:left="1170"/>
        <w:rPr>
          <w:rFonts w:cs="Times New Roman"/>
        </w:rPr>
      </w:pPr>
      <w:r>
        <w:rPr>
          <w:rFonts w:cs="Times New Roman"/>
          <w:lang w:val="en-US"/>
        </w:rPr>
        <w:tab/>
      </w:r>
      <w:r w:rsidR="000738FC" w:rsidRPr="006C3923">
        <w:rPr>
          <w:rFonts w:cs="Times New Roman"/>
          <w:lang w:val="en-US"/>
        </w:rPr>
        <w:t>Article</w:t>
      </w:r>
      <w:r w:rsidR="000738FC" w:rsidRPr="00D5269A">
        <w:rPr>
          <w:rFonts w:cs="Times New Roman"/>
        </w:rPr>
        <w:t xml:space="preserve"> 2 of the 1930 Criminal Code, entitled </w:t>
      </w:r>
      <w:r w:rsidR="007452C4">
        <w:rPr>
          <w:rFonts w:cs="Times New Roman"/>
        </w:rPr>
        <w:t>“</w:t>
      </w:r>
      <w:r w:rsidR="000738FC" w:rsidRPr="00D5269A">
        <w:rPr>
          <w:rFonts w:cs="Times New Roman"/>
        </w:rPr>
        <w:t>Succession of criminal laws</w:t>
      </w:r>
      <w:r w:rsidR="007452C4">
        <w:rPr>
          <w:rFonts w:cs="Times New Roman"/>
        </w:rPr>
        <w:t>”</w:t>
      </w:r>
      <w:r w:rsidR="000738FC" w:rsidRPr="00D5269A">
        <w:rPr>
          <w:rFonts w:cs="Times New Roman"/>
        </w:rPr>
        <w:t>, reads as follows:</w:t>
      </w:r>
    </w:p>
    <w:p w:rsidR="000738FC" w:rsidRPr="00D5269A" w:rsidRDefault="00F169B8" w:rsidP="000738FC">
      <w:pPr>
        <w:pStyle w:val="ContinueParaSuitedupar-AltP"/>
        <w:spacing w:before="0" w:after="0"/>
        <w:ind w:left="1170" w:firstLine="270"/>
        <w:jc w:val="center"/>
        <w:rPr>
          <w:rFonts w:cs="Times New Roman"/>
        </w:rPr>
      </w:pPr>
      <w:r>
        <w:rPr>
          <w:rFonts w:cs="Times New Roman"/>
        </w:rPr>
        <w:t>. </w:t>
      </w:r>
      <w:r w:rsidR="000738FC" w:rsidRPr="00D5269A">
        <w:rPr>
          <w:rFonts w:cs="Times New Roman"/>
        </w:rPr>
        <w:t>.</w:t>
      </w:r>
      <w:r>
        <w:rPr>
          <w:rFonts w:cs="Times New Roman"/>
        </w:rPr>
        <w:t> </w:t>
      </w:r>
      <w:r w:rsidR="000738FC" w:rsidRPr="00D5269A">
        <w:rPr>
          <w:rFonts w:cs="Times New Roman"/>
        </w:rPr>
        <w:t>.</w:t>
      </w:r>
    </w:p>
    <w:p w:rsidR="000738FC" w:rsidRPr="00D5269A" w:rsidRDefault="000738FC" w:rsidP="006C3923">
      <w:pPr>
        <w:tabs>
          <w:tab w:val="left" w:pos="1980"/>
        </w:tabs>
        <w:ind w:left="1980" w:hanging="360"/>
        <w:jc w:val="both"/>
        <w:rPr>
          <w:lang w:val="en-US"/>
        </w:rPr>
      </w:pPr>
      <w:r w:rsidRPr="00D5269A">
        <w:rPr>
          <w:lang w:val="en-US"/>
        </w:rPr>
        <w:t xml:space="preserve">3. </w:t>
      </w:r>
      <w:r w:rsidR="004F0EA7">
        <w:rPr>
          <w:lang w:val="en-US"/>
        </w:rPr>
        <w:tab/>
      </w:r>
      <w:r w:rsidRPr="00D5269A">
        <w:rPr>
          <w:lang w:val="en-US"/>
        </w:rPr>
        <w:t xml:space="preserve">If the law in force at the time when the offence was committed and later [laws] differ, </w:t>
      </w:r>
      <w:r w:rsidRPr="00D5269A">
        <w:rPr>
          <w:u w:val="single"/>
          <w:lang w:val="en-US"/>
        </w:rPr>
        <w:t>the law to be applied is the one whose provisions are most favourable to the defendant</w:t>
      </w:r>
      <w:r w:rsidRPr="00D5269A">
        <w:rPr>
          <w:lang w:val="en-US"/>
        </w:rPr>
        <w:t>, except where a final sentence has already been imposed. [Emphasis added</w:t>
      </w:r>
      <w:r w:rsidR="00025E59">
        <w:rPr>
          <w:lang w:val="en-US"/>
        </w:rPr>
        <w:t>.</w:t>
      </w:r>
      <w:r w:rsidRPr="00D5269A">
        <w:rPr>
          <w:lang w:val="en-US"/>
        </w:rPr>
        <w:t>]</w:t>
      </w:r>
    </w:p>
    <w:p w:rsidR="000738FC" w:rsidRPr="00D5269A" w:rsidRDefault="000738FC" w:rsidP="000738FC">
      <w:pPr>
        <w:pStyle w:val="Citation-AltC"/>
        <w:rPr>
          <w:lang w:val="en-US"/>
        </w:rPr>
      </w:pPr>
    </w:p>
    <w:p w:rsidR="000738FC" w:rsidRPr="00D5269A" w:rsidRDefault="000738FC" w:rsidP="00025E59">
      <w:pPr>
        <w:pStyle w:val="Citation-AltC"/>
        <w:ind w:left="0"/>
        <w:rPr>
          <w:lang w:val="en-US"/>
        </w:rPr>
      </w:pPr>
      <w:r w:rsidRPr="00D5269A">
        <w:rPr>
          <w:lang w:val="en-US"/>
        </w:rPr>
        <w:t>(</w:t>
      </w:r>
      <w:r w:rsidRPr="00D5269A">
        <w:rPr>
          <w:i/>
          <w:lang w:val="en-US"/>
        </w:rPr>
        <w:t>Scoppola</w:t>
      </w:r>
      <w:r w:rsidRPr="00D5269A">
        <w:rPr>
          <w:lang w:val="en-US"/>
        </w:rPr>
        <w:t>, at para.</w:t>
      </w:r>
      <w:r w:rsidR="008B27AD">
        <w:rPr>
          <w:lang w:val="en-US"/>
        </w:rPr>
        <w:t> 32; see also paras. </w:t>
      </w:r>
      <w:r w:rsidRPr="00D5269A">
        <w:rPr>
          <w:lang w:val="en-US"/>
        </w:rPr>
        <w:t>106 and 108)</w:t>
      </w:r>
    </w:p>
    <w:p w:rsidR="000738FC" w:rsidRPr="00D5269A" w:rsidRDefault="000738FC" w:rsidP="000738FC">
      <w:pPr>
        <w:pStyle w:val="ContinueParaSuitedupar-AltP"/>
        <w:rPr>
          <w:rFonts w:cs="Times New Roman"/>
        </w:rPr>
      </w:pPr>
      <w:r w:rsidRPr="00D5269A">
        <w:rPr>
          <w:rFonts w:cs="Times New Roman"/>
        </w:rPr>
        <w:t xml:space="preserve">Second, the facts of </w:t>
      </w:r>
      <w:r w:rsidRPr="00D5269A">
        <w:rPr>
          <w:rFonts w:cs="Times New Roman"/>
          <w:i/>
        </w:rPr>
        <w:t xml:space="preserve">Scoppola </w:t>
      </w:r>
      <w:r w:rsidRPr="00D5269A">
        <w:rPr>
          <w:rFonts w:cs="Times New Roman"/>
        </w:rPr>
        <w:t>were such that</w:t>
      </w:r>
      <w:r w:rsidRPr="00D5269A">
        <w:rPr>
          <w:rFonts w:cs="Times New Roman"/>
          <w:i/>
        </w:rPr>
        <w:t xml:space="preserve"> </w:t>
      </w:r>
      <w:r w:rsidRPr="00D5269A">
        <w:rPr>
          <w:rFonts w:cs="Times New Roman"/>
        </w:rPr>
        <w:t>a global interpret</w:t>
      </w:r>
      <w:r w:rsidR="002B583D">
        <w:rPr>
          <w:rFonts w:cs="Times New Roman"/>
        </w:rPr>
        <w:t>ation of art. 7(1) entitled Mr. </w:t>
      </w:r>
      <w:r w:rsidRPr="00D5269A">
        <w:rPr>
          <w:rFonts w:cs="Times New Roman"/>
        </w:rPr>
        <w:t xml:space="preserve">Scoppola to a lesser punishment on which he had expressly </w:t>
      </w:r>
      <w:r w:rsidRPr="00D5269A">
        <w:rPr>
          <w:rFonts w:cs="Times New Roman"/>
          <w:i/>
        </w:rPr>
        <w:t>relied</w:t>
      </w:r>
      <w:r w:rsidRPr="00D5269A">
        <w:rPr>
          <w:rFonts w:cs="Times New Roman"/>
        </w:rPr>
        <w:t xml:space="preserve"> in conducting his defence. At the time he committed his offences, the offences were punishable by life imprisonment and were not eligible for trial by summary pr</w:t>
      </w:r>
      <w:r w:rsidR="002B583D">
        <w:rPr>
          <w:rFonts w:cs="Times New Roman"/>
        </w:rPr>
        <w:t>ocedure. A few months after Mr. </w:t>
      </w:r>
      <w:r w:rsidRPr="00D5269A">
        <w:rPr>
          <w:rFonts w:cs="Times New Roman"/>
        </w:rPr>
        <w:t xml:space="preserve">Scoppola’s offences (in January 2000), a legislative change made the </w:t>
      </w:r>
      <w:r w:rsidRPr="00D5269A">
        <w:rPr>
          <w:rFonts w:cs="Times New Roman"/>
        </w:rPr>
        <w:lastRenderedPageBreak/>
        <w:t>summ</w:t>
      </w:r>
      <w:r w:rsidR="002B583D">
        <w:rPr>
          <w:rFonts w:cs="Times New Roman"/>
        </w:rPr>
        <w:t>ary procedure available for Mr. </w:t>
      </w:r>
      <w:r w:rsidRPr="00D5269A">
        <w:rPr>
          <w:rFonts w:cs="Times New Roman"/>
        </w:rPr>
        <w:t>Scoppola’s offences and stipulated that a person convicted of such offences through the summary procedure would be liable to face 30 years’ imprisonment, not life. The summary procedure represented a trade</w:t>
      </w:r>
      <w:r w:rsidR="00104EF1" w:rsidRPr="00A215D4">
        <w:rPr>
          <w:lang w:val="en-US"/>
        </w:rPr>
        <w:noBreakHyphen/>
      </w:r>
      <w:r w:rsidRPr="00D5269A">
        <w:rPr>
          <w:rFonts w:cs="Times New Roman"/>
        </w:rPr>
        <w:t>off for the accused who elected it; it entailed a reduction in sentence upon conviction, but came at the expense of important procedural safeguards — such as the ability to present evidence in response to th</w:t>
      </w:r>
      <w:r w:rsidR="002D1DFF">
        <w:rPr>
          <w:rFonts w:cs="Times New Roman"/>
        </w:rPr>
        <w:t>e prosecution’s case (para. </w:t>
      </w:r>
      <w:r w:rsidRPr="00D5269A">
        <w:rPr>
          <w:rFonts w:cs="Times New Roman"/>
        </w:rPr>
        <w:t xml:space="preserve">134). In reliance on that change, </w:t>
      </w:r>
      <w:r w:rsidR="00A415B9">
        <w:rPr>
          <w:rFonts w:cs="Times New Roman"/>
        </w:rPr>
        <w:t>Mr. </w:t>
      </w:r>
      <w:r w:rsidRPr="00D5269A">
        <w:rPr>
          <w:rFonts w:cs="Times New Roman"/>
        </w:rPr>
        <w:t>Scoppola elected to be tried by summary procedure. But a few months after that, on the very day he was convicted and sentenced, yet another legislative amendment entered into force, r</w:t>
      </w:r>
      <w:r w:rsidR="00A415B9">
        <w:rPr>
          <w:rFonts w:cs="Times New Roman"/>
        </w:rPr>
        <w:t>everting the punishment for Mr. </w:t>
      </w:r>
      <w:r w:rsidRPr="00D5269A">
        <w:rPr>
          <w:rFonts w:cs="Times New Roman"/>
        </w:rPr>
        <w:t>Scoppola’s offences back to life imprisonment. It was in these circumstances that the European Court of Human Rights agreed that Mr.</w:t>
      </w:r>
      <w:r w:rsidR="00A415B9">
        <w:rPr>
          <w:rFonts w:cs="Times New Roman"/>
        </w:rPr>
        <w:t> </w:t>
      </w:r>
      <w:r w:rsidRPr="00D5269A">
        <w:rPr>
          <w:rFonts w:cs="Times New Roman"/>
        </w:rPr>
        <w:t>Scoppola’s sentence</w:t>
      </w:r>
      <w:r w:rsidR="006D78E9">
        <w:rPr>
          <w:rFonts w:cs="Times New Roman"/>
        </w:rPr>
        <w:t xml:space="preserve"> of life imprisonment breached a</w:t>
      </w:r>
      <w:r w:rsidRPr="00D5269A">
        <w:rPr>
          <w:rFonts w:cs="Times New Roman"/>
        </w:rPr>
        <w:t>rt</w:t>
      </w:r>
      <w:r w:rsidR="006D78E9">
        <w:rPr>
          <w:rFonts w:cs="Times New Roman"/>
        </w:rPr>
        <w:t>. </w:t>
      </w:r>
      <w:r w:rsidRPr="00D5269A">
        <w:rPr>
          <w:rFonts w:cs="Times New Roman"/>
        </w:rPr>
        <w:t>7.</w:t>
      </w:r>
    </w:p>
    <w:p w:rsidR="000738FC" w:rsidRPr="00D5269A" w:rsidRDefault="000738FC" w:rsidP="000738FC">
      <w:pPr>
        <w:pStyle w:val="ParaNoNdepar-AltN"/>
        <w:rPr>
          <w:rFonts w:cs="Times New Roman"/>
        </w:rPr>
      </w:pPr>
      <w:r w:rsidRPr="00D5269A">
        <w:rPr>
          <w:rFonts w:cs="Times New Roman"/>
        </w:rPr>
        <w:t xml:space="preserve">In my view, it is significant that the European Court of Human Rights appeared to endorse a global right on such facts. The Court did not adopt a global approach in order to give an offender access to a punishment bearing no connection to the offender’s conduct or proceedings. It adopted a global approach in response to a situation in which the offender had reasonably and detrimentally relied on an intervening provision. </w:t>
      </w:r>
    </w:p>
    <w:p w:rsidR="000738FC" w:rsidRPr="00D5269A" w:rsidRDefault="000738FC" w:rsidP="000738FC">
      <w:pPr>
        <w:pStyle w:val="ParaNoNdepar-AltN"/>
        <w:rPr>
          <w:rFonts w:cs="Times New Roman"/>
        </w:rPr>
      </w:pPr>
      <w:r w:rsidRPr="00D5269A">
        <w:rPr>
          <w:rFonts w:cs="Times New Roman"/>
        </w:rPr>
        <w:t xml:space="preserve">Given the legal and factual context in which </w:t>
      </w:r>
      <w:r w:rsidRPr="00D5269A">
        <w:rPr>
          <w:rFonts w:cs="Times New Roman"/>
          <w:i/>
        </w:rPr>
        <w:t xml:space="preserve">Scoppola </w:t>
      </w:r>
      <w:r w:rsidRPr="00D5269A">
        <w:rPr>
          <w:rFonts w:cs="Times New Roman"/>
        </w:rPr>
        <w:t>was decided, and the absence of any treatment of the distinction between a binary and a global interpretation in the majority’s reasons, I do not find that the majority decision lends support t</w:t>
      </w:r>
      <w:r w:rsidR="004F6751">
        <w:rPr>
          <w:rFonts w:cs="Times New Roman"/>
        </w:rPr>
        <w:t>o a global interpretation of s. </w:t>
      </w:r>
      <w:r w:rsidRPr="00D5269A">
        <w:rPr>
          <w:rFonts w:cs="Times New Roman"/>
        </w:rPr>
        <w:t>11(</w:t>
      </w:r>
      <w:r w:rsidRPr="00D5269A">
        <w:rPr>
          <w:rFonts w:cs="Times New Roman"/>
          <w:i/>
        </w:rPr>
        <w:t>i</w:t>
      </w:r>
      <w:r w:rsidRPr="00D5269A">
        <w:rPr>
          <w:rFonts w:cs="Times New Roman"/>
        </w:rPr>
        <w:t>).</w:t>
      </w:r>
    </w:p>
    <w:p w:rsidR="000738FC" w:rsidRPr="00D5269A" w:rsidRDefault="004F6751" w:rsidP="000738FC">
      <w:pPr>
        <w:pStyle w:val="Title4LevelTitre4Niveau"/>
        <w:rPr>
          <w:rFonts w:cs="Times New Roman"/>
        </w:rPr>
      </w:pPr>
      <w:bookmarkStart w:id="52" w:name="_Toc12005423"/>
      <w:bookmarkStart w:id="53" w:name="_Toc14423821"/>
      <w:bookmarkStart w:id="54" w:name="_Toc15313762"/>
      <w:r>
        <w:rPr>
          <w:rFonts w:cs="Times New Roman"/>
        </w:rPr>
        <w:lastRenderedPageBreak/>
        <w:t>Beyond the Section </w:t>
      </w:r>
      <w:r w:rsidR="000738FC" w:rsidRPr="00D5269A">
        <w:rPr>
          <w:rFonts w:cs="Times New Roman"/>
        </w:rPr>
        <w:t>11(i) Binary</w:t>
      </w:r>
      <w:bookmarkEnd w:id="52"/>
      <w:bookmarkEnd w:id="53"/>
      <w:bookmarkEnd w:id="54"/>
    </w:p>
    <w:p w:rsidR="000738FC" w:rsidRPr="00D5269A" w:rsidRDefault="000738FC" w:rsidP="000738FC">
      <w:pPr>
        <w:pStyle w:val="ParaNoNdepar-AltN"/>
        <w:rPr>
          <w:rFonts w:cs="Times New Roman"/>
        </w:rPr>
      </w:pPr>
      <w:r w:rsidRPr="00D5269A">
        <w:rPr>
          <w:rFonts w:cs="Times New Roman"/>
        </w:rPr>
        <w:t xml:space="preserve">While </w:t>
      </w:r>
      <w:r w:rsidRPr="00D5269A">
        <w:rPr>
          <w:rFonts w:cs="Times New Roman"/>
          <w:i/>
        </w:rPr>
        <w:t xml:space="preserve">Scoppola </w:t>
      </w:r>
      <w:r w:rsidRPr="00D5269A">
        <w:rPr>
          <w:rFonts w:cs="Times New Roman"/>
        </w:rPr>
        <w:t>does not justify recognizing a global right un</w:t>
      </w:r>
      <w:r w:rsidR="004F6751">
        <w:rPr>
          <w:rFonts w:cs="Times New Roman"/>
        </w:rPr>
        <w:t>der s. </w:t>
      </w:r>
      <w:r w:rsidRPr="00D5269A">
        <w:rPr>
          <w:rFonts w:cs="Times New Roman"/>
        </w:rPr>
        <w:t>11(</w:t>
      </w:r>
      <w:r w:rsidRPr="00D5269A">
        <w:rPr>
          <w:rFonts w:cs="Times New Roman"/>
          <w:i/>
        </w:rPr>
        <w:t>i</w:t>
      </w:r>
      <w:r w:rsidRPr="00D5269A">
        <w:rPr>
          <w:rFonts w:cs="Times New Roman"/>
        </w:rPr>
        <w:t xml:space="preserve">) of the </w:t>
      </w:r>
      <w:r w:rsidRPr="00D5269A">
        <w:rPr>
          <w:rFonts w:cs="Times New Roman"/>
          <w:i/>
        </w:rPr>
        <w:t>Charter</w:t>
      </w:r>
      <w:r w:rsidRPr="00D5269A">
        <w:rPr>
          <w:rFonts w:cs="Times New Roman"/>
        </w:rPr>
        <w:t>, it does illustrate a potentially attractive feature of the global approach to s.</w:t>
      </w:r>
      <w:r w:rsidR="004F6751">
        <w:rPr>
          <w:rFonts w:cs="Times New Roman"/>
        </w:rPr>
        <w:t> </w:t>
      </w:r>
      <w:r w:rsidRPr="00D5269A">
        <w:rPr>
          <w:rFonts w:cs="Times New Roman"/>
        </w:rPr>
        <w:t>11(</w:t>
      </w:r>
      <w:r w:rsidRPr="00D5269A">
        <w:rPr>
          <w:rFonts w:cs="Times New Roman"/>
          <w:i/>
        </w:rPr>
        <w:t>i</w:t>
      </w:r>
      <w:r w:rsidRPr="00D5269A">
        <w:rPr>
          <w:rFonts w:cs="Times New Roman"/>
        </w:rPr>
        <w:t>): the global approach ensures that the offender will have access to lesser, past punishments on which the offender relied in making decisions implicating their liberty. On</w:t>
      </w:r>
      <w:r w:rsidR="00346DC7">
        <w:rPr>
          <w:rFonts w:cs="Times New Roman"/>
        </w:rPr>
        <w:t xml:space="preserve"> a strict binary approach to s. </w:t>
      </w:r>
      <w:r w:rsidRPr="00D5269A">
        <w:rPr>
          <w:rFonts w:cs="Times New Roman"/>
        </w:rPr>
        <w:t>11(</w:t>
      </w:r>
      <w:r w:rsidRPr="00D5269A">
        <w:rPr>
          <w:rFonts w:cs="Times New Roman"/>
          <w:i/>
        </w:rPr>
        <w:t>i</w:t>
      </w:r>
      <w:r w:rsidRPr="00D5269A">
        <w:rPr>
          <w:rFonts w:cs="Times New Roman"/>
        </w:rPr>
        <w:t>), an offender is only entitled to the lesser of the punishments under the laws in force at the time of commission and the time of sentencing. Such an approach prevents the offender from accessing a lesser punishment that was applicable when the offender cooperated with the police or entered a plea, for example.</w:t>
      </w:r>
    </w:p>
    <w:p w:rsidR="000738FC" w:rsidRPr="00D5269A" w:rsidRDefault="000738FC" w:rsidP="000738FC">
      <w:pPr>
        <w:pStyle w:val="ParaNoNdepar-AltN"/>
        <w:rPr>
          <w:rFonts w:cs="Times New Roman"/>
        </w:rPr>
      </w:pPr>
      <w:r w:rsidRPr="00D5269A">
        <w:rPr>
          <w:rFonts w:cs="Times New Roman"/>
        </w:rPr>
        <w:t>Concerned with this prospect, the Crown in this case is prepared to accept that, in addition to being entitled to the lesser of the two punishments mentioned in s.</w:t>
      </w:r>
      <w:r>
        <w:rPr>
          <w:rFonts w:cs="Times New Roman"/>
        </w:rPr>
        <w:t> </w:t>
      </w:r>
      <w:r w:rsidRPr="00D5269A">
        <w:rPr>
          <w:rFonts w:cs="Times New Roman"/>
        </w:rPr>
        <w:t>11(</w:t>
      </w:r>
      <w:r w:rsidRPr="00D5269A">
        <w:rPr>
          <w:rFonts w:cs="Times New Roman"/>
          <w:i/>
        </w:rPr>
        <w:t>i</w:t>
      </w:r>
      <w:r w:rsidRPr="00D5269A">
        <w:rPr>
          <w:rFonts w:cs="Times New Roman"/>
        </w:rPr>
        <w:t>), an offender should also be entitled to benefit from any lesser punishment in place from the time of charge to the time of sentencing. In the Crown’s view, it would prejudice offenders not to have access to lesser sentences on which they (detrimentally) relied in conducting their defences. While the Crown is only prepared to extend “time of sentencing” to “time of charge”, it seems to me that, on the Crown’s logic, offenders should also be entitled to benefit from any lesser punishment in place when they turned themselves in to the police, confessed, or otherwise detrimentally relied on the law in in</w:t>
      </w:r>
      <w:r w:rsidR="00104EF1">
        <w:rPr>
          <w:rFonts w:cs="Times New Roman"/>
        </w:rPr>
        <w:t>culpating themselves — even pre</w:t>
      </w:r>
      <w:r w:rsidR="00104EF1" w:rsidRPr="00A215D4">
        <w:rPr>
          <w:lang w:val="en-US"/>
        </w:rPr>
        <w:noBreakHyphen/>
      </w:r>
      <w:r w:rsidRPr="00D5269A">
        <w:rPr>
          <w:rFonts w:cs="Times New Roman"/>
        </w:rPr>
        <w:t>charge.</w:t>
      </w:r>
    </w:p>
    <w:p w:rsidR="000738FC" w:rsidRPr="00D5269A" w:rsidRDefault="000738FC" w:rsidP="000738FC">
      <w:pPr>
        <w:pStyle w:val="ParaNoNdepar-AltN"/>
        <w:rPr>
          <w:rFonts w:cs="Times New Roman"/>
        </w:rPr>
      </w:pPr>
      <w:r w:rsidRPr="00D5269A">
        <w:rPr>
          <w:rFonts w:cs="Times New Roman"/>
        </w:rPr>
        <w:lastRenderedPageBreak/>
        <w:t xml:space="preserve">Whether there is, or ought to be, a rule that offenders are entitled to the benefit of lesser sentences on which they </w:t>
      </w:r>
      <w:r w:rsidRPr="00D5269A">
        <w:rPr>
          <w:rFonts w:cs="Times New Roman"/>
          <w:i/>
        </w:rPr>
        <w:t>relied</w:t>
      </w:r>
      <w:r w:rsidRPr="00D5269A">
        <w:rPr>
          <w:rFonts w:cs="Times New Roman"/>
        </w:rPr>
        <w:t xml:space="preserve"> in conducting their defences or inculpating themse</w:t>
      </w:r>
      <w:r w:rsidR="00346DC7">
        <w:rPr>
          <w:rFonts w:cs="Times New Roman"/>
        </w:rPr>
        <w:t>lves — either as a matter of s. </w:t>
      </w:r>
      <w:r w:rsidRPr="00D5269A">
        <w:rPr>
          <w:rFonts w:cs="Times New Roman"/>
        </w:rPr>
        <w:t>11(</w:t>
      </w:r>
      <w:r w:rsidRPr="00D5269A">
        <w:rPr>
          <w:rFonts w:cs="Times New Roman"/>
          <w:i/>
        </w:rPr>
        <w:t>i</w:t>
      </w:r>
      <w:r w:rsidRPr="00D5269A">
        <w:rPr>
          <w:rFonts w:cs="Times New Roman"/>
        </w:rPr>
        <w:t xml:space="preserve">), another section of the </w:t>
      </w:r>
      <w:r w:rsidRPr="00D5269A">
        <w:rPr>
          <w:rFonts w:cs="Times New Roman"/>
          <w:i/>
        </w:rPr>
        <w:t>Charter</w:t>
      </w:r>
      <w:r w:rsidRPr="00D5269A">
        <w:rPr>
          <w:rFonts w:cs="Times New Roman"/>
        </w:rPr>
        <w:t xml:space="preserve">, or common law principles — is a question best left for another case. The question does not arise in this case; there is no indication from the record, nor did the parties suggest, that during the time a conditional sentence was </w:t>
      </w:r>
      <w:r w:rsidR="001D13A6">
        <w:rPr>
          <w:rFonts w:cs="Times New Roman"/>
        </w:rPr>
        <w:t>applicable to his offences, Mr. </w:t>
      </w:r>
      <w:r w:rsidRPr="00D5269A">
        <w:rPr>
          <w:rFonts w:cs="Times New Roman"/>
        </w:rPr>
        <w:t>Poulin made decisions engaging his liberty in reliance on that sentence. As the facts of this case do not raise this question, the parties have not made the submissions required for this Court to address it judiciously.</w:t>
      </w:r>
    </w:p>
    <w:p w:rsidR="000738FC" w:rsidRPr="00D5269A" w:rsidRDefault="00A772E3" w:rsidP="000738FC">
      <w:pPr>
        <w:pStyle w:val="ParaNoNdepar-AltN"/>
        <w:rPr>
          <w:rFonts w:cs="Times New Roman"/>
        </w:rPr>
      </w:pPr>
      <w:r>
        <w:rPr>
          <w:rFonts w:cs="Times New Roman"/>
        </w:rPr>
        <w:t>What is clear is that s. </w:t>
      </w:r>
      <w:r w:rsidR="000738FC" w:rsidRPr="00D5269A">
        <w:rPr>
          <w:rFonts w:cs="Times New Roman"/>
        </w:rPr>
        <w:t>11(</w:t>
      </w:r>
      <w:r w:rsidR="000738FC" w:rsidRPr="00D5269A">
        <w:rPr>
          <w:rFonts w:cs="Times New Roman"/>
          <w:i/>
        </w:rPr>
        <w:t>i</w:t>
      </w:r>
      <w:r w:rsidR="000738FC" w:rsidRPr="00D5269A">
        <w:rPr>
          <w:rFonts w:cs="Times New Roman"/>
        </w:rPr>
        <w:t xml:space="preserve">) does not guarantee to every offender the benefit of </w:t>
      </w:r>
      <w:r w:rsidR="000738FC" w:rsidRPr="00D5269A">
        <w:rPr>
          <w:rFonts w:cs="Times New Roman"/>
          <w:i/>
        </w:rPr>
        <w:t>every</w:t>
      </w:r>
      <w:r w:rsidR="000738FC" w:rsidRPr="00D5269A">
        <w:rPr>
          <w:rFonts w:cs="Times New Roman"/>
        </w:rPr>
        <w:t xml:space="preserve"> change in punishment in the interval between the commission of the offence and sentencing. An offender is not entitled to lesser punishments which are wholly unconnected to significant legal events in the proceedings against them. A legitimate concern for granting the offender access to a punishment on which the offender relied does not justif</w:t>
      </w:r>
      <w:r>
        <w:rPr>
          <w:rFonts w:cs="Times New Roman"/>
        </w:rPr>
        <w:t>y a global interpretation of s. </w:t>
      </w:r>
      <w:r w:rsidR="000738FC" w:rsidRPr="00D5269A">
        <w:rPr>
          <w:rFonts w:cs="Times New Roman"/>
        </w:rPr>
        <w:t>11(</w:t>
      </w:r>
      <w:r w:rsidR="000738FC" w:rsidRPr="00D5269A">
        <w:rPr>
          <w:rFonts w:cs="Times New Roman"/>
          <w:i/>
        </w:rPr>
        <w:t>i</w:t>
      </w:r>
      <w:r w:rsidR="000738FC" w:rsidRPr="00D5269A">
        <w:rPr>
          <w:rFonts w:cs="Times New Roman"/>
        </w:rPr>
        <w:t>). As explained throughout these reasons, a global s.</w:t>
      </w:r>
      <w:r>
        <w:rPr>
          <w:rFonts w:cs="Times New Roman"/>
        </w:rPr>
        <w:t> </w:t>
      </w:r>
      <w:r w:rsidR="000738FC" w:rsidRPr="00D5269A">
        <w:rPr>
          <w:rFonts w:cs="Times New Roman"/>
        </w:rPr>
        <w:t>11(</w:t>
      </w:r>
      <w:r w:rsidR="000738FC" w:rsidRPr="00D5269A">
        <w:rPr>
          <w:rFonts w:cs="Times New Roman"/>
          <w:i/>
        </w:rPr>
        <w:t>i</w:t>
      </w:r>
      <w:r w:rsidR="000738FC" w:rsidRPr="00D5269A">
        <w:rPr>
          <w:rFonts w:cs="Times New Roman"/>
        </w:rPr>
        <w:t>) would vastly overshoot the purposes of s.</w:t>
      </w:r>
      <w:r>
        <w:rPr>
          <w:rFonts w:cs="Times New Roman"/>
        </w:rPr>
        <w:t> </w:t>
      </w:r>
      <w:r w:rsidR="000738FC" w:rsidRPr="00D5269A">
        <w:rPr>
          <w:rFonts w:cs="Times New Roman"/>
        </w:rPr>
        <w:t>11(</w:t>
      </w:r>
      <w:r w:rsidR="000738FC" w:rsidRPr="00D5269A">
        <w:rPr>
          <w:rFonts w:cs="Times New Roman"/>
          <w:i/>
        </w:rPr>
        <w:t>i</w:t>
      </w:r>
      <w:r w:rsidR="000738FC" w:rsidRPr="00D5269A">
        <w:rPr>
          <w:rFonts w:cs="Times New Roman"/>
        </w:rPr>
        <w:t>). Every single offender should not enjoy the constitutional right to the lowest punishment that has ever applied to their offence since they committed it so that those few offenders who relied on particular lesser punishments can gain access to those punishments. To read s.</w:t>
      </w:r>
      <w:r w:rsidR="00520C60">
        <w:rPr>
          <w:rFonts w:cs="Times New Roman"/>
        </w:rPr>
        <w:t> </w:t>
      </w:r>
      <w:r w:rsidR="000738FC" w:rsidRPr="00D5269A">
        <w:rPr>
          <w:rFonts w:cs="Times New Roman"/>
        </w:rPr>
        <w:t>11(</w:t>
      </w:r>
      <w:r w:rsidR="000738FC" w:rsidRPr="00D5269A">
        <w:rPr>
          <w:rFonts w:cs="Times New Roman"/>
          <w:i/>
        </w:rPr>
        <w:t>i</w:t>
      </w:r>
      <w:r w:rsidR="000738FC" w:rsidRPr="00D5269A">
        <w:rPr>
          <w:rFonts w:cs="Times New Roman"/>
        </w:rPr>
        <w:t xml:space="preserve">) globally for the benefit of those few offenders would be to use a cleaver where a scalpel suffices. The situation of those few offenders may, in a subsequent case, require a </w:t>
      </w:r>
      <w:r w:rsidR="000738FC" w:rsidRPr="00D5269A">
        <w:rPr>
          <w:rFonts w:cs="Times New Roman"/>
        </w:rPr>
        <w:lastRenderedPageBreak/>
        <w:t xml:space="preserve">tailored response. It does not, in this case, </w:t>
      </w:r>
      <w:r w:rsidR="00104EF1">
        <w:rPr>
          <w:rFonts w:cs="Times New Roman"/>
        </w:rPr>
        <w:t>call for an unjustified and non</w:t>
      </w:r>
      <w:r w:rsidR="00104EF1" w:rsidRPr="00A215D4">
        <w:rPr>
          <w:lang w:val="en-US"/>
        </w:rPr>
        <w:noBreakHyphen/>
      </w:r>
      <w:r w:rsidR="000738FC" w:rsidRPr="00D5269A">
        <w:rPr>
          <w:rFonts w:cs="Times New Roman"/>
        </w:rPr>
        <w:t>purposive interpretation of s.</w:t>
      </w:r>
      <w:r w:rsidR="00520C60">
        <w:rPr>
          <w:rFonts w:cs="Times New Roman"/>
        </w:rPr>
        <w:t> </w:t>
      </w:r>
      <w:r w:rsidR="000738FC" w:rsidRPr="00D5269A">
        <w:rPr>
          <w:rFonts w:cs="Times New Roman"/>
        </w:rPr>
        <w:t>11(</w:t>
      </w:r>
      <w:r w:rsidR="000738FC" w:rsidRPr="00D5269A">
        <w:rPr>
          <w:rFonts w:cs="Times New Roman"/>
          <w:i/>
        </w:rPr>
        <w:t>i</w:t>
      </w:r>
      <w:r w:rsidR="000738FC" w:rsidRPr="00D5269A">
        <w:rPr>
          <w:rFonts w:cs="Times New Roman"/>
        </w:rPr>
        <w:t>).</w:t>
      </w:r>
    </w:p>
    <w:p w:rsidR="000738FC" w:rsidRPr="00D5269A" w:rsidRDefault="000738FC" w:rsidP="000738FC">
      <w:pPr>
        <w:pStyle w:val="ParaNoNdepar-AltN"/>
        <w:rPr>
          <w:rFonts w:cs="Times New Roman"/>
        </w:rPr>
      </w:pPr>
      <w:r w:rsidRPr="00D5269A">
        <w:rPr>
          <w:rFonts w:cs="Times New Roman"/>
        </w:rPr>
        <w:t xml:space="preserve">I therefore leave for another, more suitable, case the question of whether an offender has any legal entitlement to the benefit of a lesser punishment on which the offender actually relied. The rule of law and fairness considerations of such a case may give rise to a right and remedy under this, or another, section of the </w:t>
      </w:r>
      <w:r w:rsidRPr="00D5269A">
        <w:rPr>
          <w:rFonts w:cs="Times New Roman"/>
          <w:i/>
        </w:rPr>
        <w:t>Charter</w:t>
      </w:r>
      <w:r w:rsidRPr="00D5269A">
        <w:rPr>
          <w:rFonts w:cs="Times New Roman"/>
        </w:rPr>
        <w:t>.</w:t>
      </w:r>
    </w:p>
    <w:p w:rsidR="000738FC" w:rsidRPr="00D5269A" w:rsidRDefault="000738FC" w:rsidP="000738FC">
      <w:pPr>
        <w:pStyle w:val="ParaNoNdepar-AltN"/>
        <w:rPr>
          <w:rFonts w:cs="Times New Roman"/>
        </w:rPr>
      </w:pPr>
      <w:r w:rsidRPr="00D5269A">
        <w:rPr>
          <w:rFonts w:cs="Times New Roman"/>
        </w:rPr>
        <w:t xml:space="preserve">In leaving this question for another case, I am aware that, in </w:t>
      </w:r>
      <w:r w:rsidRPr="00D5269A">
        <w:rPr>
          <w:rFonts w:cs="Times New Roman"/>
          <w:i/>
        </w:rPr>
        <w:t>K.R.J.</w:t>
      </w:r>
      <w:r w:rsidRPr="00D5269A">
        <w:rPr>
          <w:rFonts w:cs="Times New Roman"/>
        </w:rPr>
        <w:t>,</w:t>
      </w:r>
      <w:r w:rsidRPr="00D5269A">
        <w:rPr>
          <w:rFonts w:cs="Times New Roman"/>
          <w:i/>
        </w:rPr>
        <w:t xml:space="preserve"> </w:t>
      </w:r>
      <w:r w:rsidRPr="00D5269A">
        <w:rPr>
          <w:rFonts w:cs="Times New Roman"/>
        </w:rPr>
        <w:t>a majority of the Court made the following statement:</w:t>
      </w:r>
    </w:p>
    <w:p w:rsidR="000738FC" w:rsidRPr="00D5269A" w:rsidRDefault="000738FC" w:rsidP="000738FC">
      <w:pPr>
        <w:pStyle w:val="Citation-AltC"/>
        <w:rPr>
          <w:lang w:val="en-US"/>
        </w:rPr>
      </w:pPr>
      <w:r w:rsidRPr="00D5269A">
        <w:tab/>
        <w:t>Relatedly, retrospective laws implicate fairness. “It is unfair to establish rules, invite people to rely o</w:t>
      </w:r>
      <w:r w:rsidR="00104EF1">
        <w:t>n them, then change them in mid</w:t>
      </w:r>
      <w:r w:rsidR="00104EF1" w:rsidRPr="00A215D4">
        <w:rPr>
          <w:lang w:val="en-US"/>
        </w:rPr>
        <w:noBreakHyphen/>
      </w:r>
      <w:r w:rsidRPr="00D5269A">
        <w:t>stream, especially if the change results in negat</w:t>
      </w:r>
      <w:r w:rsidR="0077342B">
        <w:t xml:space="preserve">ive consequences” (R. Sullivan, </w:t>
      </w:r>
      <w:r w:rsidRPr="00D5269A">
        <w:rPr>
          <w:i/>
          <w:iCs/>
        </w:rPr>
        <w:t>Sullivan on the Construction of Statutes</w:t>
      </w:r>
      <w:r w:rsidR="0077342B">
        <w:t xml:space="preserve"> </w:t>
      </w:r>
      <w:r w:rsidRPr="00D5269A">
        <w:t xml:space="preserve">(6th ed. 2014), at p. 754). </w:t>
      </w:r>
      <w:r w:rsidRPr="00D5269A">
        <w:rPr>
          <w:u w:val="single"/>
        </w:rPr>
        <w:t>For example, an accused who declines to consider a plea and is prepared to take the risk of going to trial should not be subsequently ambushed by an increase in the minimum or maximum penalty for the offence</w:t>
      </w:r>
      <w:r w:rsidRPr="004F6BAC">
        <w:rPr>
          <w:u w:val="single"/>
        </w:rPr>
        <w:t>.</w:t>
      </w:r>
      <w:r w:rsidRPr="00D5269A">
        <w:t xml:space="preserve"> A retrospective law such as this could not only cause unfairness in specific cases, but could also undermine public confidence in the criminal justice system. Instead, fairness in criminal punishment requires rules that are clear and certain. .</w:t>
      </w:r>
      <w:r w:rsidR="00C748C2">
        <w:t> </w:t>
      </w:r>
      <w:r w:rsidRPr="00D5269A">
        <w:t>.</w:t>
      </w:r>
      <w:r w:rsidR="00C748C2">
        <w:t> </w:t>
      </w:r>
      <w:r w:rsidRPr="00D5269A">
        <w:t xml:space="preserve">. </w:t>
      </w:r>
      <w:r w:rsidRPr="00D5269A">
        <w:rPr>
          <w:lang w:val="en-US"/>
        </w:rPr>
        <w:t>[Emphasis added; para.</w:t>
      </w:r>
      <w:r w:rsidR="00D8149C">
        <w:rPr>
          <w:lang w:val="en-US"/>
        </w:rPr>
        <w:t> </w:t>
      </w:r>
      <w:r w:rsidRPr="00D5269A">
        <w:rPr>
          <w:lang w:val="en-US"/>
        </w:rPr>
        <w:t>25</w:t>
      </w:r>
      <w:r w:rsidR="004F6BAC">
        <w:rPr>
          <w:lang w:val="en-US"/>
        </w:rPr>
        <w:t>.</w:t>
      </w:r>
      <w:r w:rsidRPr="00D5269A">
        <w:rPr>
          <w:lang w:val="en-US"/>
        </w:rPr>
        <w:t>]</w:t>
      </w:r>
    </w:p>
    <w:p w:rsidR="000738FC" w:rsidRDefault="000738FC" w:rsidP="000738FC">
      <w:pPr>
        <w:pStyle w:val="ParaNoNdepar-AltN"/>
        <w:rPr>
          <w:rFonts w:cs="Times New Roman"/>
        </w:rPr>
      </w:pPr>
      <w:r w:rsidRPr="00D5269A">
        <w:rPr>
          <w:rFonts w:cs="Times New Roman"/>
        </w:rPr>
        <w:t xml:space="preserve">I do not take this statement to have said anything conclusive about the binary/global debate, or about whether offenders are entitled to the benefit of punishments on which they relied. This is for two reasons. First, </w:t>
      </w:r>
      <w:r w:rsidRPr="00D5269A">
        <w:rPr>
          <w:rFonts w:cs="Times New Roman"/>
          <w:i/>
        </w:rPr>
        <w:t xml:space="preserve">K.R.J. </w:t>
      </w:r>
      <w:r w:rsidRPr="00D5269A">
        <w:rPr>
          <w:rFonts w:cs="Times New Roman"/>
        </w:rPr>
        <w:t>was not contemplating intermediary punishments under the laws in force in the interval between the offence and sentencing. The Court was merely comparing consecutive se</w:t>
      </w:r>
      <w:r w:rsidR="00CA79B5">
        <w:rPr>
          <w:rFonts w:cs="Times New Roman"/>
        </w:rPr>
        <w:t>ntencing provisions (see paras. </w:t>
      </w:r>
      <w:r w:rsidR="00104EF1">
        <w:rPr>
          <w:rFonts w:cs="Times New Roman"/>
        </w:rPr>
        <w:t>9</w:t>
      </w:r>
      <w:r w:rsidR="00104EF1" w:rsidRPr="00A215D4">
        <w:rPr>
          <w:lang w:val="en-US"/>
        </w:rPr>
        <w:noBreakHyphen/>
      </w:r>
      <w:r w:rsidRPr="00D5269A">
        <w:rPr>
          <w:rFonts w:cs="Times New Roman"/>
        </w:rPr>
        <w:t xml:space="preserve">11). The Court in </w:t>
      </w:r>
      <w:r w:rsidRPr="00D5269A">
        <w:rPr>
          <w:rFonts w:cs="Times New Roman"/>
          <w:i/>
        </w:rPr>
        <w:t xml:space="preserve">K.R.J. </w:t>
      </w:r>
      <w:r w:rsidRPr="00D5269A">
        <w:rPr>
          <w:rFonts w:cs="Times New Roman"/>
        </w:rPr>
        <w:t xml:space="preserve">was therefore not addressing the </w:t>
      </w:r>
      <w:r w:rsidRPr="00D5269A">
        <w:rPr>
          <w:rFonts w:cs="Times New Roman"/>
        </w:rPr>
        <w:lastRenderedPageBreak/>
        <w:t>binary/global debate, or the question of reliance. Second, and most tellingly, the Court made this statement in the context of explaining why s.</w:t>
      </w:r>
      <w:r w:rsidR="004F7140">
        <w:rPr>
          <w:rFonts w:cs="Times New Roman"/>
        </w:rPr>
        <w:t> </w:t>
      </w:r>
      <w:r w:rsidRPr="00D5269A">
        <w:rPr>
          <w:rFonts w:cs="Times New Roman"/>
        </w:rPr>
        <w:t>11(</w:t>
      </w:r>
      <w:r w:rsidRPr="00D5269A">
        <w:rPr>
          <w:rFonts w:cs="Times New Roman"/>
          <w:i/>
        </w:rPr>
        <w:t>i</w:t>
      </w:r>
      <w:r>
        <w:rPr>
          <w:rFonts w:cs="Times New Roman"/>
        </w:rPr>
        <w:t xml:space="preserve">) entitles </w:t>
      </w:r>
      <w:r w:rsidRPr="00D5269A">
        <w:rPr>
          <w:rFonts w:cs="Times New Roman"/>
        </w:rPr>
        <w:t>offender</w:t>
      </w:r>
      <w:r>
        <w:rPr>
          <w:rFonts w:cs="Times New Roman"/>
        </w:rPr>
        <w:t>s</w:t>
      </w:r>
      <w:r w:rsidRPr="00D5269A">
        <w:rPr>
          <w:rFonts w:cs="Times New Roman"/>
        </w:rPr>
        <w:t xml:space="preserve"> to the lower punishment applicable when they</w:t>
      </w:r>
      <w:r>
        <w:rPr>
          <w:rFonts w:cs="Times New Roman"/>
        </w:rPr>
        <w:t xml:space="preserve"> committed their</w:t>
      </w:r>
      <w:r w:rsidRPr="00D5269A">
        <w:rPr>
          <w:rFonts w:cs="Times New Roman"/>
        </w:rPr>
        <w:t xml:space="preserve"> offence. The statement envisages the situation in which the punishment remains the same from the time of the offence through to the time of the offender’s plea, but increases thereafter. As such, the statement does not speak to changes in punishment between the time of commission</w:t>
      </w:r>
      <w:r>
        <w:rPr>
          <w:rFonts w:cs="Times New Roman"/>
        </w:rPr>
        <w:t xml:space="preserve"> and sentencing, and whether </w:t>
      </w:r>
      <w:r w:rsidRPr="00D5269A">
        <w:rPr>
          <w:rFonts w:cs="Times New Roman"/>
        </w:rPr>
        <w:t>offender</w:t>
      </w:r>
      <w:r>
        <w:rPr>
          <w:rFonts w:cs="Times New Roman"/>
        </w:rPr>
        <w:t>s</w:t>
      </w:r>
      <w:r w:rsidRPr="00D5269A">
        <w:rPr>
          <w:rFonts w:cs="Times New Roman"/>
        </w:rPr>
        <w:t xml:space="preserve"> ought to have access to any of these.</w:t>
      </w:r>
    </w:p>
    <w:p w:rsidR="000738FC" w:rsidRPr="00D5269A" w:rsidRDefault="000738FC" w:rsidP="000738FC">
      <w:pPr>
        <w:pStyle w:val="Title4LevelTitre4Niveau"/>
        <w:rPr>
          <w:rFonts w:cs="Times New Roman"/>
          <w:i w:val="0"/>
        </w:rPr>
      </w:pPr>
      <w:bookmarkStart w:id="55" w:name="_Toc14423822"/>
      <w:bookmarkStart w:id="56" w:name="_Toc15313763"/>
      <w:r w:rsidRPr="00D5269A">
        <w:rPr>
          <w:rFonts w:cs="Times New Roman"/>
        </w:rPr>
        <w:t>Summary of Purposive Analysis</w:t>
      </w:r>
      <w:bookmarkEnd w:id="55"/>
      <w:bookmarkEnd w:id="56"/>
    </w:p>
    <w:p w:rsidR="000738FC" w:rsidRPr="00D5269A" w:rsidRDefault="000738FC" w:rsidP="000738FC">
      <w:pPr>
        <w:pStyle w:val="ParaNoNdepar-AltN"/>
        <w:rPr>
          <w:rFonts w:cs="Times New Roman"/>
        </w:rPr>
      </w:pPr>
      <w:r w:rsidRPr="00D5269A">
        <w:rPr>
          <w:rFonts w:cs="Times New Roman"/>
        </w:rPr>
        <w:t>A purposive analysis of s.</w:t>
      </w:r>
      <w:r w:rsidR="004F7140">
        <w:rPr>
          <w:rFonts w:cs="Times New Roman"/>
        </w:rPr>
        <w:t> </w:t>
      </w:r>
      <w:r w:rsidRPr="00D5269A">
        <w:rPr>
          <w:rFonts w:cs="Times New Roman"/>
        </w:rPr>
        <w:t>11(</w:t>
      </w:r>
      <w:r w:rsidRPr="00D5269A">
        <w:rPr>
          <w:rFonts w:cs="Times New Roman"/>
          <w:i/>
        </w:rPr>
        <w:t>i</w:t>
      </w:r>
      <w:r w:rsidRPr="00D5269A">
        <w:rPr>
          <w:rFonts w:cs="Times New Roman"/>
        </w:rPr>
        <w:t>) leads me to conclude that it confers a binary right, not a global one. In particular, I find that</w:t>
      </w:r>
      <w:r w:rsidR="004F7140">
        <w:rPr>
          <w:rFonts w:cs="Times New Roman"/>
        </w:rPr>
        <w:t xml:space="preserve"> the language and origins of s. </w:t>
      </w:r>
      <w:r w:rsidRPr="00D5269A">
        <w:rPr>
          <w:rFonts w:cs="Times New Roman"/>
        </w:rPr>
        <w:t>11(</w:t>
      </w:r>
      <w:r w:rsidRPr="00D5269A">
        <w:rPr>
          <w:rFonts w:cs="Times New Roman"/>
          <w:i/>
        </w:rPr>
        <w:t>i</w:t>
      </w:r>
      <w:r w:rsidRPr="00D5269A">
        <w:rPr>
          <w:rFonts w:cs="Times New Roman"/>
        </w:rPr>
        <w:t xml:space="preserve">) both confirm the purposes set out in </w:t>
      </w:r>
      <w:r w:rsidRPr="00D5269A">
        <w:rPr>
          <w:rFonts w:cs="Times New Roman"/>
          <w:i/>
        </w:rPr>
        <w:t xml:space="preserve">K.R.J. </w:t>
      </w:r>
      <w:r w:rsidRPr="00D5269A">
        <w:rPr>
          <w:rFonts w:cs="Times New Roman"/>
        </w:rPr>
        <w:t>— namely the rule of law and fairness — and indicate that s.</w:t>
      </w:r>
      <w:r w:rsidR="004F7140">
        <w:rPr>
          <w:rFonts w:cs="Times New Roman"/>
        </w:rPr>
        <w:t> </w:t>
      </w:r>
      <w:r w:rsidRPr="00D5269A">
        <w:rPr>
          <w:rFonts w:cs="Times New Roman"/>
        </w:rPr>
        <w:t>11(</w:t>
      </w:r>
      <w:r w:rsidRPr="00D5269A">
        <w:rPr>
          <w:rFonts w:cs="Times New Roman"/>
          <w:i/>
        </w:rPr>
        <w:t>i</w:t>
      </w:r>
      <w:r w:rsidRPr="00D5269A">
        <w:rPr>
          <w:rFonts w:cs="Times New Roman"/>
        </w:rPr>
        <w:t>) is intended to confer a binary right consistent with these purposes.  It would not respect the purpos</w:t>
      </w:r>
      <w:r w:rsidR="004F7140">
        <w:rPr>
          <w:rFonts w:cs="Times New Roman"/>
        </w:rPr>
        <w:t>es of s. </w:t>
      </w:r>
      <w:r w:rsidRPr="00D5269A">
        <w:rPr>
          <w:rFonts w:cs="Times New Roman"/>
        </w:rPr>
        <w:t>11(</w:t>
      </w:r>
      <w:r w:rsidRPr="00D5269A">
        <w:rPr>
          <w:rFonts w:cs="Times New Roman"/>
          <w:i/>
        </w:rPr>
        <w:t>i</w:t>
      </w:r>
      <w:r w:rsidRPr="00D5269A">
        <w:rPr>
          <w:rFonts w:cs="Times New Roman"/>
        </w:rPr>
        <w:t>) to read the right globally. Nor would it respect Parliament’s role in adapting sentencing provisions, or the courts’ role in crafting proportionate sentences u</w:t>
      </w:r>
      <w:r w:rsidR="004F7140">
        <w:rPr>
          <w:rFonts w:cs="Times New Roman"/>
        </w:rPr>
        <w:t>nder those provisions. While s. </w:t>
      </w:r>
      <w:r w:rsidRPr="00D5269A">
        <w:rPr>
          <w:rFonts w:cs="Times New Roman"/>
        </w:rPr>
        <w:t>11(</w:t>
      </w:r>
      <w:r w:rsidRPr="00D5269A">
        <w:rPr>
          <w:rFonts w:cs="Times New Roman"/>
          <w:i/>
        </w:rPr>
        <w:t>i</w:t>
      </w:r>
      <w:r w:rsidRPr="00D5269A">
        <w:rPr>
          <w:rFonts w:cs="Times New Roman"/>
        </w:rPr>
        <w:t xml:space="preserve">) embraces a degree of retrospectivity (in allowing the lesser current punishment to replace the harsher punishment at the time of the offence), this principled, purposive retrospectivity does not </w:t>
      </w:r>
      <w:r w:rsidR="004F7140">
        <w:rPr>
          <w:rFonts w:cs="Times New Roman"/>
        </w:rPr>
        <w:t>support an interpretation of s. </w:t>
      </w:r>
      <w:r w:rsidRPr="00D5269A">
        <w:rPr>
          <w:rFonts w:cs="Times New Roman"/>
        </w:rPr>
        <w:t>11(</w:t>
      </w:r>
      <w:r w:rsidRPr="00D5269A">
        <w:rPr>
          <w:rFonts w:cs="Times New Roman"/>
          <w:i/>
        </w:rPr>
        <w:t>i</w:t>
      </w:r>
      <w:r w:rsidRPr="00D5269A">
        <w:rPr>
          <w:rFonts w:cs="Times New Roman"/>
        </w:rPr>
        <w:t>) that embraces retrospectivity writ large.</w:t>
      </w:r>
    </w:p>
    <w:p w:rsidR="000738FC" w:rsidRPr="00D5269A" w:rsidRDefault="008941A4" w:rsidP="000738FC">
      <w:pPr>
        <w:pStyle w:val="Title3LevelTitre3Niveau"/>
        <w:rPr>
          <w:rFonts w:cs="Times New Roman"/>
        </w:rPr>
      </w:pPr>
      <w:bookmarkStart w:id="57" w:name="_Toc12005424"/>
      <w:bookmarkStart w:id="58" w:name="_Toc14423823"/>
      <w:bookmarkStart w:id="59" w:name="_Toc15313764"/>
      <w:r>
        <w:rPr>
          <w:rFonts w:cs="Times New Roman"/>
        </w:rPr>
        <w:t>Application of Section </w:t>
      </w:r>
      <w:r w:rsidR="000738FC" w:rsidRPr="00D5269A">
        <w:rPr>
          <w:rFonts w:cs="Times New Roman"/>
        </w:rPr>
        <w:t>11(</w:t>
      </w:r>
      <w:r w:rsidR="000738FC" w:rsidRPr="00D5269A">
        <w:rPr>
          <w:rFonts w:cs="Times New Roman"/>
          <w:i/>
        </w:rPr>
        <w:t>i</w:t>
      </w:r>
      <w:r w:rsidR="0002080B">
        <w:rPr>
          <w:rFonts w:cs="Times New Roman"/>
        </w:rPr>
        <w:t>) to the Respondent, Mr. </w:t>
      </w:r>
      <w:r w:rsidR="000738FC" w:rsidRPr="00D5269A">
        <w:rPr>
          <w:rFonts w:cs="Times New Roman"/>
        </w:rPr>
        <w:t>Poulin</w:t>
      </w:r>
      <w:bookmarkEnd w:id="57"/>
      <w:bookmarkEnd w:id="58"/>
      <w:bookmarkEnd w:id="59"/>
    </w:p>
    <w:p w:rsidR="000738FC" w:rsidRPr="00D5269A" w:rsidRDefault="000738FC" w:rsidP="000738FC">
      <w:pPr>
        <w:pStyle w:val="ParaNoNdepar-AltN"/>
        <w:rPr>
          <w:rFonts w:cs="Times New Roman"/>
        </w:rPr>
      </w:pPr>
      <w:r w:rsidRPr="00D5269A">
        <w:rPr>
          <w:rFonts w:cs="Times New Roman"/>
        </w:rPr>
        <w:lastRenderedPageBreak/>
        <w:t>In light of the parties’ agreement that a conditional sentence was not applicable under the sentencing provisions in force either at the time o</w:t>
      </w:r>
      <w:r w:rsidR="001D13A6">
        <w:rPr>
          <w:rFonts w:cs="Times New Roman"/>
        </w:rPr>
        <w:t>f Mr. </w:t>
      </w:r>
      <w:r w:rsidRPr="00D5269A">
        <w:rPr>
          <w:rFonts w:cs="Times New Roman"/>
        </w:rPr>
        <w:t>Poulin’s acts of gross indecency (1979 to 1983) or at the time of his sentencing (May 2017), Mr.</w:t>
      </w:r>
      <w:r>
        <w:rPr>
          <w:rFonts w:cs="Times New Roman"/>
        </w:rPr>
        <w:t> </w:t>
      </w:r>
      <w:r w:rsidRPr="00D5269A">
        <w:rPr>
          <w:rFonts w:cs="Times New Roman"/>
        </w:rPr>
        <w:t>Poulin did not have the right to this sentence under s.</w:t>
      </w:r>
      <w:r w:rsidR="0002080B">
        <w:rPr>
          <w:rFonts w:cs="Times New Roman"/>
        </w:rPr>
        <w:t> </w:t>
      </w:r>
      <w:r w:rsidRPr="00D5269A">
        <w:rPr>
          <w:rFonts w:cs="Times New Roman"/>
        </w:rPr>
        <w:t>11(</w:t>
      </w:r>
      <w:r w:rsidRPr="0002080B">
        <w:rPr>
          <w:rFonts w:cs="Times New Roman"/>
          <w:i/>
        </w:rPr>
        <w:t>i</w:t>
      </w:r>
      <w:r w:rsidRPr="00D5269A">
        <w:rPr>
          <w:rFonts w:cs="Times New Roman"/>
        </w:rPr>
        <w:t xml:space="preserve">) of the </w:t>
      </w:r>
      <w:r w:rsidRPr="006C29B6">
        <w:rPr>
          <w:rFonts w:cs="Times New Roman"/>
          <w:i/>
        </w:rPr>
        <w:t>Charter</w:t>
      </w:r>
      <w:r w:rsidRPr="00D5269A">
        <w:rPr>
          <w:rFonts w:cs="Times New Roman"/>
        </w:rPr>
        <w:t>. The courts below therefore erred in imposing it.</w:t>
      </w:r>
    </w:p>
    <w:p w:rsidR="000738FC" w:rsidRPr="00D5269A" w:rsidRDefault="000738FC" w:rsidP="000738FC">
      <w:pPr>
        <w:pStyle w:val="ParaNoNdepar-AltN"/>
        <w:rPr>
          <w:rFonts w:cs="Times New Roman"/>
        </w:rPr>
      </w:pPr>
      <w:r w:rsidRPr="00D5269A">
        <w:rPr>
          <w:rFonts w:cs="Times New Roman"/>
        </w:rPr>
        <w:t xml:space="preserve">The sentencing court was required to impose a sentence in accordance with the lesser punishment as between the punishment applicable at the time of the offence and the punishment applicable at the time of sentencing. In this regard, I note that the sentencing provision in force at </w:t>
      </w:r>
      <w:r w:rsidR="000B5420">
        <w:rPr>
          <w:rFonts w:cs="Times New Roman"/>
        </w:rPr>
        <w:t>the time of Mr. </w:t>
      </w:r>
      <w:r w:rsidRPr="00D5269A">
        <w:rPr>
          <w:rFonts w:cs="Times New Roman"/>
        </w:rPr>
        <w:t>Poulin’s gross indecencies would have offered the sentencing judge significant discretion to impose a sentence that would achieve the same objectives as the conditional sentence he ordered. At the time of Mr.</w:t>
      </w:r>
      <w:r>
        <w:rPr>
          <w:rFonts w:cs="Times New Roman"/>
        </w:rPr>
        <w:t> </w:t>
      </w:r>
      <w:r w:rsidRPr="00D5269A">
        <w:rPr>
          <w:rFonts w:cs="Times New Roman"/>
        </w:rPr>
        <w:t>Poulin’s offences, the sentence for gross indecency was a maximum of five years’ imprisonment (</w:t>
      </w:r>
      <w:r w:rsidRPr="00D5269A">
        <w:rPr>
          <w:rFonts w:cs="Times New Roman"/>
          <w:i/>
        </w:rPr>
        <w:t>Criminal Code</w:t>
      </w:r>
      <w:r w:rsidRPr="00D5269A">
        <w:rPr>
          <w:rFonts w:cs="Times New Roman"/>
        </w:rPr>
        <w:t>,</w:t>
      </w:r>
      <w:r w:rsidRPr="00D5269A">
        <w:rPr>
          <w:rFonts w:cs="Times New Roman"/>
          <w:i/>
        </w:rPr>
        <w:t xml:space="preserve"> </w:t>
      </w:r>
      <w:r w:rsidR="00104EF1">
        <w:rPr>
          <w:rFonts w:cs="Times New Roman"/>
        </w:rPr>
        <w:t>R.S.C. 1970, c. C </w:t>
      </w:r>
      <w:r w:rsidRPr="00D5269A">
        <w:rPr>
          <w:rFonts w:cs="Times New Roman"/>
        </w:rPr>
        <w:t>34, s.</w:t>
      </w:r>
      <w:r w:rsidR="00104EF1">
        <w:rPr>
          <w:rFonts w:cs="Times New Roman"/>
        </w:rPr>
        <w:t> </w:t>
      </w:r>
      <w:r w:rsidRPr="00D5269A">
        <w:rPr>
          <w:rFonts w:cs="Times New Roman"/>
        </w:rPr>
        <w:t>157).</w:t>
      </w:r>
    </w:p>
    <w:p w:rsidR="000738FC" w:rsidRPr="00D5269A" w:rsidRDefault="000738FC" w:rsidP="000738FC">
      <w:pPr>
        <w:pStyle w:val="ParaNoNdepar-AltN"/>
        <w:rPr>
          <w:rFonts w:cs="Times New Roman"/>
        </w:rPr>
      </w:pPr>
      <w:r w:rsidRPr="00D5269A">
        <w:rPr>
          <w:rFonts w:cs="Times New Roman"/>
        </w:rPr>
        <w:t>Given that he is now deceased, it is no longer necessary to sentence Mr.</w:t>
      </w:r>
      <w:r>
        <w:rPr>
          <w:rFonts w:cs="Times New Roman"/>
        </w:rPr>
        <w:t> </w:t>
      </w:r>
      <w:r w:rsidRPr="00D5269A">
        <w:rPr>
          <w:rFonts w:cs="Times New Roman"/>
        </w:rPr>
        <w:t xml:space="preserve">Poulin anew. There is no utility in passing a new sentence which the offender cannot serve (see, likewise, </w:t>
      </w:r>
      <w:r w:rsidRPr="00D5269A">
        <w:rPr>
          <w:rFonts w:cs="Times New Roman"/>
          <w:i/>
        </w:rPr>
        <w:t>R. v. R.N.S.</w:t>
      </w:r>
      <w:r w:rsidRPr="00D5269A">
        <w:rPr>
          <w:rFonts w:cs="Times New Roman"/>
        </w:rPr>
        <w:t>, 2000 SCC 7, [2000] 1 S.C.R. 149, at para.</w:t>
      </w:r>
      <w:r w:rsidR="004464E9">
        <w:rPr>
          <w:rFonts w:cs="Times New Roman"/>
        </w:rPr>
        <w:t> </w:t>
      </w:r>
      <w:r w:rsidRPr="00D5269A">
        <w:rPr>
          <w:rFonts w:cs="Times New Roman"/>
        </w:rPr>
        <w:t>22;</w:t>
      </w:r>
      <w:r w:rsidRPr="00D5269A">
        <w:rPr>
          <w:rFonts w:cs="Times New Roman"/>
          <w:i/>
        </w:rPr>
        <w:t xml:space="preserve"> R.A.R.</w:t>
      </w:r>
      <w:r w:rsidR="004464E9">
        <w:rPr>
          <w:rFonts w:cs="Times New Roman"/>
        </w:rPr>
        <w:t>, at para. </w:t>
      </w:r>
      <w:r w:rsidRPr="00D5269A">
        <w:rPr>
          <w:rFonts w:cs="Times New Roman"/>
        </w:rPr>
        <w:t>34).</w:t>
      </w:r>
    </w:p>
    <w:p w:rsidR="000738FC" w:rsidRPr="00D5269A" w:rsidRDefault="000738FC" w:rsidP="000738FC">
      <w:pPr>
        <w:pStyle w:val="Title1LevelTitre1Niveau-AltL"/>
        <w:rPr>
          <w:rFonts w:cs="Times New Roman"/>
        </w:rPr>
      </w:pPr>
      <w:bookmarkStart w:id="60" w:name="_Toc12005425"/>
      <w:bookmarkStart w:id="61" w:name="_Toc14423824"/>
      <w:bookmarkStart w:id="62" w:name="_Toc15313765"/>
      <w:r w:rsidRPr="00D5269A">
        <w:rPr>
          <w:rFonts w:cs="Times New Roman"/>
        </w:rPr>
        <w:t>Conclusion</w:t>
      </w:r>
      <w:bookmarkEnd w:id="60"/>
      <w:bookmarkEnd w:id="61"/>
      <w:bookmarkEnd w:id="62"/>
    </w:p>
    <w:p w:rsidR="000738FC" w:rsidRPr="00B0696D" w:rsidRDefault="000738FC" w:rsidP="000738FC">
      <w:pPr>
        <w:pStyle w:val="ParaNoNdepar-AltN"/>
        <w:rPr>
          <w:rStyle w:val="SCCCounselPartyRoleChar"/>
          <w:rFonts w:cs="Times New Roman"/>
        </w:rPr>
      </w:pPr>
      <w:r w:rsidRPr="00D5269A">
        <w:rPr>
          <w:rFonts w:cs="Times New Roman"/>
        </w:rPr>
        <w:t xml:space="preserve">An offender is not entitled to the benefit of a temporary reduction in punishment which occurred in the interval between the time of commission and the </w:t>
      </w:r>
      <w:r w:rsidRPr="00D5269A">
        <w:rPr>
          <w:rFonts w:cs="Times New Roman"/>
        </w:rPr>
        <w:lastRenderedPageBreak/>
        <w:t>time of sentencing. Both the sentencing judge and the Court of Appeal erred in sentencing Mr.</w:t>
      </w:r>
      <w:r w:rsidR="000B5420">
        <w:rPr>
          <w:rFonts w:cs="Times New Roman"/>
        </w:rPr>
        <w:t> </w:t>
      </w:r>
      <w:r w:rsidRPr="00D5269A">
        <w:rPr>
          <w:rFonts w:cs="Times New Roman"/>
        </w:rPr>
        <w:t>Poulin to a punishment applicable under the laws in force only in t</w:t>
      </w:r>
      <w:r w:rsidR="000B5420">
        <w:rPr>
          <w:rFonts w:cs="Times New Roman"/>
        </w:rPr>
        <w:t>hat interval and upon which Mr. </w:t>
      </w:r>
      <w:r w:rsidRPr="00D5269A">
        <w:rPr>
          <w:rFonts w:cs="Times New Roman"/>
        </w:rPr>
        <w:t>Poulin placed no reliance. I would therefore allow</w:t>
      </w:r>
      <w:r w:rsidR="000B5420">
        <w:rPr>
          <w:rFonts w:cs="Times New Roman"/>
        </w:rPr>
        <w:t xml:space="preserve"> the appeal. However, given Mr. </w:t>
      </w:r>
      <w:r w:rsidRPr="00D5269A">
        <w:rPr>
          <w:rFonts w:cs="Times New Roman"/>
        </w:rPr>
        <w:t>Poulin’s recent death, I would decline to remit the matter to the sentencing court or to pass a different sentence. The parties do not seek costs and I would not order any.</w:t>
      </w:r>
    </w:p>
    <w:p w:rsidR="000738FC" w:rsidRPr="00644378" w:rsidRDefault="00062B12" w:rsidP="00062B12">
      <w:pPr>
        <w:tabs>
          <w:tab w:val="left" w:pos="1170"/>
        </w:tabs>
        <w:spacing w:line="480" w:lineRule="auto"/>
      </w:pPr>
      <w:r>
        <w:tab/>
      </w:r>
      <w:r w:rsidR="000738FC">
        <w:t>English version of the reasons of Abella</w:t>
      </w:r>
      <w:r w:rsidR="00957BB2">
        <w:t>, Karakatsanis and Brown </w:t>
      </w:r>
      <w:r w:rsidR="000738FC">
        <w:t xml:space="preserve">JJ. </w:t>
      </w:r>
      <w:r w:rsidR="000738FC" w:rsidRPr="00644378">
        <w:t>delivered by</w:t>
      </w:r>
    </w:p>
    <w:p w:rsidR="000738FC" w:rsidRPr="00930F90" w:rsidRDefault="00B0696D" w:rsidP="00B0696D">
      <w:pPr>
        <w:pStyle w:val="ParaNoNdepar-AltN"/>
      </w:pPr>
      <w:r w:rsidRPr="00B0696D">
        <w:rPr>
          <w:smallCaps/>
        </w:rPr>
        <w:t>Karakatsanis J.</w:t>
      </w:r>
      <w:r>
        <w:t xml:space="preserve"> </w:t>
      </w:r>
      <w:r w:rsidR="00B56596">
        <w:t xml:space="preserve">(dissenting) </w:t>
      </w:r>
      <w:r>
        <w:t xml:space="preserve">— </w:t>
      </w:r>
      <w:r w:rsidR="00D23C34">
        <w:t>Section </w:t>
      </w:r>
      <w:r w:rsidR="000738FC" w:rsidRPr="00930F90">
        <w:t>11(</w:t>
      </w:r>
      <w:r w:rsidR="000738FC" w:rsidRPr="00B0696D">
        <w:rPr>
          <w:i/>
        </w:rPr>
        <w:t>i</w:t>
      </w:r>
      <w:r w:rsidR="000738FC" w:rsidRPr="00930F90">
        <w:t xml:space="preserve">) of the </w:t>
      </w:r>
      <w:r w:rsidR="000738FC" w:rsidRPr="00B0696D">
        <w:rPr>
          <w:i/>
        </w:rPr>
        <w:t>Canadian Charter of Rights and Freedoms</w:t>
      </w:r>
      <w:r w:rsidR="000738FC" w:rsidRPr="00930F90">
        <w:t xml:space="preserve"> guarantees that any person found guilty of an offence has the right, if the punishment for the offence “has been varied between the time of commission and the time of sentencing”, to the benefit of the lesser punishment.</w:t>
      </w:r>
    </w:p>
    <w:p w:rsidR="000738FC" w:rsidRPr="00930F90" w:rsidRDefault="000738FC" w:rsidP="000738FC">
      <w:pPr>
        <w:pStyle w:val="ParaNoNdepar-AltN"/>
        <w:spacing w:before="0"/>
        <w:rPr>
          <w:rFonts w:cs="Times New Roman"/>
        </w:rPr>
      </w:pPr>
      <w:r w:rsidRPr="00930F90">
        <w:rPr>
          <w:rFonts w:cs="Times New Roman"/>
        </w:rPr>
        <w:t>The conditional sentence did not exist at the time when the respondent committed the criminal acts in this case. This type of punishment was introduced by Parliament almost a decade after the last of the impugned acts. It continued to be available for crimes of this nature for some time, but was revoked before he was charged. Did the respondent accordingly have a right to the benefit of this type of punishment? Canadian courts have consistently answered this question in the affirmative. Unlike my colleagues, I see no reason to authorize the continuation of the appeal despite the fact that it is now moot given the respondent’s death, or to depart from this consistent line of authority. I explain this below.</w:t>
      </w:r>
    </w:p>
    <w:p w:rsidR="000738FC" w:rsidRPr="00851873" w:rsidRDefault="000738FC" w:rsidP="00851873">
      <w:pPr>
        <w:pStyle w:val="Title1LevelTitre1Niveau-AltL"/>
        <w:numPr>
          <w:ilvl w:val="0"/>
          <w:numId w:val="30"/>
        </w:numPr>
        <w:spacing w:before="0"/>
        <w:rPr>
          <w:rFonts w:cs="Times New Roman"/>
        </w:rPr>
      </w:pPr>
      <w:r w:rsidRPr="00851873">
        <w:rPr>
          <w:rFonts w:cs="Times New Roman"/>
        </w:rPr>
        <w:lastRenderedPageBreak/>
        <w:t>Facts and Proceedings</w:t>
      </w:r>
    </w:p>
    <w:p w:rsidR="000738FC" w:rsidRPr="00930F90" w:rsidRDefault="000738FC" w:rsidP="000738FC">
      <w:pPr>
        <w:pStyle w:val="ParaNoNdepar-AltN"/>
        <w:spacing w:before="0"/>
        <w:rPr>
          <w:rFonts w:cs="Times New Roman"/>
        </w:rPr>
      </w:pPr>
      <w:r w:rsidRPr="00930F90">
        <w:rPr>
          <w:rFonts w:cs="Times New Roman"/>
        </w:rPr>
        <w:t>Between 1979 and 1987, the respondent committed acts of a sexual nature against a young relative. These acts, which began with touching the young child’s genitals, escalated to sodomy when the child reached adolescence. The respondent was charged for the acts in 2014 and was convicted for them only in 2016, before being sentenced in 2017. During the almost 40 years that passed between the commission of the first offence and his sentencing, the legal framework for this type of crime underwent significant changes.</w:t>
      </w:r>
    </w:p>
    <w:p w:rsidR="000738FC" w:rsidRPr="00930F90" w:rsidRDefault="000738FC" w:rsidP="000738FC">
      <w:pPr>
        <w:pStyle w:val="ParaNoNdepar-AltN"/>
        <w:spacing w:before="0"/>
        <w:rPr>
          <w:rFonts w:cs="Times New Roman"/>
        </w:rPr>
      </w:pPr>
      <w:r w:rsidRPr="00930F90">
        <w:rPr>
          <w:rFonts w:cs="Times New Roman"/>
        </w:rPr>
        <w:t xml:space="preserve">At the time of commission, the respondent’s criminal acts fell under the offence of gross indecency: </w:t>
      </w:r>
      <w:r w:rsidRPr="00930F90">
        <w:rPr>
          <w:rFonts w:cs="Times New Roman"/>
          <w:i/>
        </w:rPr>
        <w:t>Criminal Code</w:t>
      </w:r>
      <w:r w:rsidRPr="00930F90">
        <w:rPr>
          <w:rFonts w:cs="Times New Roman"/>
        </w:rPr>
        <w:t>, R.S.C. 1970, c. C</w:t>
      </w:r>
      <w:r w:rsidRPr="00930F90">
        <w:rPr>
          <w:rFonts w:cs="Times New Roman"/>
        </w:rPr>
        <w:noBreakHyphen/>
        <w:t>34, s. 157. That offence did not entail a minimum sentence. The conditional sentence (also known as the “community sentence”) did not exist.</w:t>
      </w:r>
    </w:p>
    <w:p w:rsidR="000738FC" w:rsidRPr="00930F90" w:rsidRDefault="000738FC" w:rsidP="000738FC">
      <w:pPr>
        <w:pStyle w:val="ParaNoNdepar-AltN"/>
        <w:spacing w:before="0"/>
        <w:rPr>
          <w:rFonts w:cs="Times New Roman"/>
        </w:rPr>
      </w:pPr>
      <w:r w:rsidRPr="00930F90">
        <w:rPr>
          <w:rFonts w:cs="Times New Roman"/>
        </w:rPr>
        <w:t>In the late 1980s, the offence of gross indecency was abolished, and it was eventually replaced with equivalent present</w:t>
      </w:r>
      <w:r w:rsidRPr="00930F90">
        <w:rPr>
          <w:rFonts w:cs="Times New Roman"/>
        </w:rPr>
        <w:noBreakHyphen/>
        <w:t xml:space="preserve">day offences, such as sexual assault and sexual interference: </w:t>
      </w:r>
      <w:r w:rsidRPr="00930F90">
        <w:rPr>
          <w:rFonts w:cs="Times New Roman"/>
          <w:i/>
        </w:rPr>
        <w:t>An Act to amend the Criminal Code and the Canada Evidence Act</w:t>
      </w:r>
      <w:r w:rsidRPr="00930F90">
        <w:rPr>
          <w:rFonts w:cs="Times New Roman"/>
        </w:rPr>
        <w:t>, R.S.C. 1985, c. 19 (3rd Supp.), s. 4; see also</w:t>
      </w:r>
      <w:r w:rsidRPr="00930F90">
        <w:rPr>
          <w:rFonts w:cs="Times New Roman"/>
          <w:i/>
        </w:rPr>
        <w:t xml:space="preserve"> R. v</w:t>
      </w:r>
      <w:r>
        <w:rPr>
          <w:rFonts w:cs="Times New Roman"/>
          <w:i/>
        </w:rPr>
        <w:t>. L. (J.</w:t>
      </w:r>
      <w:r>
        <w:rPr>
          <w:rFonts w:cs="Times New Roman"/>
          <w:i/>
        </w:rPr>
        <w:noBreakHyphen/>
      </w:r>
      <w:r w:rsidRPr="00930F90">
        <w:rPr>
          <w:rFonts w:cs="Times New Roman"/>
          <w:i/>
        </w:rPr>
        <w:t>J.)</w:t>
      </w:r>
      <w:r w:rsidRPr="00930F90">
        <w:rPr>
          <w:rFonts w:cs="Times New Roman"/>
        </w:rPr>
        <w:t>, [1998] R.J.Q. 971 (Que. C.A.).</w:t>
      </w:r>
    </w:p>
    <w:p w:rsidR="000738FC" w:rsidRPr="00930F90" w:rsidRDefault="000738FC" w:rsidP="000738FC">
      <w:pPr>
        <w:pStyle w:val="ParaNoNdepar-AltN"/>
        <w:spacing w:before="0"/>
        <w:rPr>
          <w:rFonts w:cs="Times New Roman"/>
        </w:rPr>
      </w:pPr>
      <w:r w:rsidRPr="00930F90">
        <w:rPr>
          <w:rFonts w:cs="Times New Roman"/>
        </w:rPr>
        <w:t xml:space="preserve">In 1996, Parliament introduced the conditional sentence: </w:t>
      </w:r>
      <w:r w:rsidRPr="00930F90">
        <w:rPr>
          <w:rFonts w:cs="Times New Roman"/>
          <w:i/>
        </w:rPr>
        <w:t>An Act to amend the Criminal Code (sentencing) and other Acts in consequence thereof</w:t>
      </w:r>
      <w:r w:rsidRPr="00930F90">
        <w:rPr>
          <w:rFonts w:cs="Times New Roman"/>
        </w:rPr>
        <w:t xml:space="preserve">, S.C. 1995, c. 22, s. 6. The new s. 742.1 of the </w:t>
      </w:r>
      <w:r w:rsidRPr="00930F90">
        <w:rPr>
          <w:rFonts w:cs="Times New Roman"/>
          <w:i/>
        </w:rPr>
        <w:t>Criminal Code</w:t>
      </w:r>
      <w:r w:rsidRPr="00930F90">
        <w:rPr>
          <w:rFonts w:cs="Times New Roman"/>
        </w:rPr>
        <w:t>, R.S.C. 1985, c. C</w:t>
      </w:r>
      <w:r w:rsidRPr="00930F90">
        <w:rPr>
          <w:rFonts w:cs="Times New Roman"/>
        </w:rPr>
        <w:noBreakHyphen/>
        <w:t xml:space="preserve">46, which </w:t>
      </w:r>
      <w:r w:rsidRPr="00930F90">
        <w:rPr>
          <w:rFonts w:cs="Times New Roman"/>
        </w:rPr>
        <w:lastRenderedPageBreak/>
        <w:t>governed the conditional sentence, provided that this type of sentence could be imposed for any offence that was not punishable by a minimum term of imprisonment, which at that time included the offences of sexual assault and sexual interference.</w:t>
      </w:r>
    </w:p>
    <w:p w:rsidR="000738FC" w:rsidRPr="00930F90" w:rsidRDefault="000738FC" w:rsidP="000738FC">
      <w:pPr>
        <w:pStyle w:val="ParaNoNdepar-AltN"/>
        <w:spacing w:before="0"/>
        <w:rPr>
          <w:rFonts w:cs="Times New Roman"/>
        </w:rPr>
      </w:pPr>
      <w:r w:rsidRPr="00930F90">
        <w:rPr>
          <w:rFonts w:cs="Times New Roman"/>
        </w:rPr>
        <w:t xml:space="preserve">In 2005, Parliament imposed, for the first time, a minimum term of imprisonment for the offence of sexual interference: </w:t>
      </w:r>
      <w:r w:rsidRPr="00930F90">
        <w:rPr>
          <w:rFonts w:cs="Times New Roman"/>
          <w:i/>
        </w:rPr>
        <w:t>An Act to amend the Criminal Code (protection of children and other vulnerable persons) and the Canada Evidence Act</w:t>
      </w:r>
      <w:r w:rsidRPr="00930F90">
        <w:rPr>
          <w:rFonts w:cs="Times New Roman"/>
        </w:rPr>
        <w:t xml:space="preserve">, S.C. 2005, c. 32, s. 3. Seven years later, Parliament amended s. 742.1 such that it would no longer apply to the offence of sexual assault: </w:t>
      </w:r>
      <w:r w:rsidRPr="00930F90">
        <w:rPr>
          <w:rFonts w:cs="Times New Roman"/>
          <w:i/>
        </w:rPr>
        <w:t>Safe Streets and Communities Act</w:t>
      </w:r>
      <w:r w:rsidRPr="00930F90">
        <w:rPr>
          <w:rFonts w:cs="Times New Roman"/>
        </w:rPr>
        <w:t>, S.C. 2012, c. 1, s. 34. When the respondent was charged in 2014, therefore, and when he was convicted in 2016 and sentenced in 2017, the conditional sentence was no longer available as a punishment for the offences corresponding to the ones he had committed.</w:t>
      </w:r>
    </w:p>
    <w:p w:rsidR="000738FC" w:rsidRPr="00930F90" w:rsidRDefault="000738FC" w:rsidP="000738FC">
      <w:pPr>
        <w:pStyle w:val="ParaNoNdepar-AltN"/>
        <w:spacing w:before="0"/>
        <w:rPr>
          <w:rFonts w:cs="Times New Roman"/>
        </w:rPr>
      </w:pPr>
      <w:r w:rsidRPr="00930F90">
        <w:rPr>
          <w:rFonts w:cs="Times New Roman"/>
        </w:rPr>
        <w:t>At the sentencing hearing in 2017, Crown counsel suggested that the appropriate sentence would be a term of imprisonment for three and a half to five years. Defence counsel agreed that a sentence of three and a half years would be appropriate. Because the respondent was in poor health, however, he asked, on an exceptional basis, for a community sentence. In support of this request, he filed a medical report to the effect that he had a variety of physical ailments as well as a degenerative neurological disorder. The judge found that the respondent, who was no longer really autonomous, faced the cessation of treatment and death in either the short</w:t>
      </w:r>
      <w:r w:rsidRPr="00930F90">
        <w:rPr>
          <w:rFonts w:cs="Times New Roman"/>
        </w:rPr>
        <w:noBreakHyphen/>
        <w:t xml:space="preserve"> or the medium</w:t>
      </w:r>
      <w:r w:rsidRPr="00930F90">
        <w:rPr>
          <w:rFonts w:cs="Times New Roman"/>
        </w:rPr>
        <w:noBreakHyphen/>
        <w:t>term future.</w:t>
      </w:r>
    </w:p>
    <w:p w:rsidR="000738FC" w:rsidRPr="00930F90" w:rsidRDefault="000738FC" w:rsidP="000738FC">
      <w:pPr>
        <w:pStyle w:val="ParaNoNdepar-AltN"/>
        <w:spacing w:before="0"/>
        <w:rPr>
          <w:rFonts w:cs="Times New Roman"/>
        </w:rPr>
      </w:pPr>
      <w:r w:rsidRPr="00930F90">
        <w:rPr>
          <w:rFonts w:cs="Times New Roman"/>
        </w:rPr>
        <w:lastRenderedPageBreak/>
        <w:t xml:space="preserve">While acknowledging that an offender’s poor health is not in itself a decisive sentencing factor, the judge noted that in this case, the respondent would represent a very heavy burden for the penitentiary system. Although prison officials said that they would be able to assume that responsibility, the judge pointed out that the respondent’s situation would be </w:t>
      </w:r>
      <w:r w:rsidR="00D200DE">
        <w:rPr>
          <w:rFonts w:cs="Times New Roman"/>
        </w:rPr>
        <w:t>[</w:t>
      </w:r>
      <w:r w:rsidR="00D200DE">
        <w:rPr>
          <w:rFonts w:cs="Times New Roman"/>
          <w:smallCaps/>
        </w:rPr>
        <w:t>translation</w:t>
      </w:r>
      <w:r w:rsidR="00D200DE">
        <w:rPr>
          <w:rFonts w:cs="Times New Roman"/>
        </w:rPr>
        <w:t xml:space="preserve">] </w:t>
      </w:r>
      <w:r w:rsidRPr="00930F90">
        <w:rPr>
          <w:rFonts w:cs="Times New Roman"/>
        </w:rPr>
        <w:t>“exactly the same” in a penitentiary hospital as in the extended care facility where he was then living.</w:t>
      </w:r>
    </w:p>
    <w:p w:rsidR="000738FC" w:rsidRPr="00930F90" w:rsidRDefault="000738FC" w:rsidP="000738FC">
      <w:pPr>
        <w:pStyle w:val="ParaNoNdepar-AltN"/>
        <w:spacing w:before="0"/>
        <w:rPr>
          <w:rFonts w:cs="Times New Roman"/>
        </w:rPr>
      </w:pPr>
      <w:r w:rsidRPr="00930F90">
        <w:rPr>
          <w:rFonts w:cs="Times New Roman"/>
        </w:rPr>
        <w:t>The judge recognized that the conditional sentence had not existed at the time when the offences were committed. At the hearing, he asked counsel questions about the possibility of imposing such a sentence, which, everyone agreed, is not one that could be imposed without the protection of s. 11(</w:t>
      </w:r>
      <w:r w:rsidRPr="00930F90">
        <w:rPr>
          <w:rFonts w:cs="Times New Roman"/>
          <w:i/>
        </w:rPr>
        <w:t>i</w:t>
      </w:r>
      <w:r w:rsidRPr="00930F90">
        <w:rPr>
          <w:rFonts w:cs="Times New Roman"/>
        </w:rPr>
        <w:t>). In their submissions, both counsel avoided the question of the temporal aspect of the application of s. 11(</w:t>
      </w:r>
      <w:r w:rsidRPr="00930F90">
        <w:rPr>
          <w:rFonts w:cs="Times New Roman"/>
          <w:i/>
        </w:rPr>
        <w:t>i</w:t>
      </w:r>
      <w:r w:rsidRPr="00930F90">
        <w:rPr>
          <w:rFonts w:cs="Times New Roman"/>
        </w:rPr>
        <w:t>), focusing instead on the various forms taken by the offences and by s. 742.1 itself.</w:t>
      </w:r>
    </w:p>
    <w:p w:rsidR="000738FC" w:rsidRPr="00930F90" w:rsidRDefault="000738FC" w:rsidP="000738FC">
      <w:pPr>
        <w:pStyle w:val="ParaNoNdepar-AltN"/>
        <w:spacing w:before="0"/>
        <w:rPr>
          <w:rFonts w:cs="Times New Roman"/>
        </w:rPr>
      </w:pPr>
      <w:r w:rsidRPr="00930F90">
        <w:rPr>
          <w:rFonts w:cs="Times New Roman"/>
        </w:rPr>
        <w:t>In the end, the judge ruled in the respondent’s favour. He found that any offender has a right to the benefit of the lesser punishment that applied between the time of commission of the offence and the time of sentencing, which meant that the conditional sentence was one of the sentences that could be imposed. Being of the view that the exceptional case before him called for an exceptional solution, the judge sentenced the respondent to a term of two years less a day to be served in the community.</w:t>
      </w:r>
    </w:p>
    <w:p w:rsidR="000738FC" w:rsidRPr="00930F90" w:rsidRDefault="000738FC" w:rsidP="000738FC">
      <w:pPr>
        <w:pStyle w:val="ParaNoNdepar-AltN"/>
        <w:spacing w:before="0"/>
        <w:rPr>
          <w:rFonts w:cs="Times New Roman"/>
        </w:rPr>
      </w:pPr>
      <w:r w:rsidRPr="00930F90">
        <w:rPr>
          <w:rFonts w:cs="Times New Roman"/>
        </w:rPr>
        <w:t xml:space="preserve">The Court of Appeal unanimously affirmed that decision. Dutil J.A. rightly pointed to the great deference shown by appellate courts to the decisions of sentencing </w:t>
      </w:r>
      <w:r w:rsidRPr="00930F90">
        <w:rPr>
          <w:rFonts w:cs="Times New Roman"/>
        </w:rPr>
        <w:lastRenderedPageBreak/>
        <w:t xml:space="preserve">judges. She acknowledged that the evidence did not justify the sentencing judge’s conclusion regarding the respondent’s health, but held that this was not an overriding error. Citing </w:t>
      </w:r>
      <w:r w:rsidRPr="00930F90">
        <w:rPr>
          <w:rFonts w:cs="Times New Roman"/>
          <w:i/>
        </w:rPr>
        <w:t>R. v. Belzil</w:t>
      </w:r>
      <w:r w:rsidRPr="00930F90">
        <w:rPr>
          <w:rFonts w:cs="Times New Roman"/>
        </w:rPr>
        <w:t>, [1989] R.J.Q. 1117 (Que. C.A.), Dutil J.A. rejected Crown counsel’s argument that s. 11(</w:t>
      </w:r>
      <w:r w:rsidRPr="00930F90">
        <w:rPr>
          <w:rFonts w:cs="Times New Roman"/>
          <w:i/>
        </w:rPr>
        <w:t>i</w:t>
      </w:r>
      <w:r w:rsidRPr="00930F90">
        <w:rPr>
          <w:rFonts w:cs="Times New Roman"/>
        </w:rPr>
        <w:t xml:space="preserve">) guarantees the benefit only of the sentences that applied at two specific times, that of commission of the offence and that of sentencing — a position that had not been thoroughly argued at the sentencing hearing. In her view, </w:t>
      </w:r>
      <w:r w:rsidRPr="00930F90">
        <w:rPr>
          <w:rFonts w:cs="Times New Roman"/>
          <w:i/>
        </w:rPr>
        <w:t>Belzil</w:t>
      </w:r>
      <w:r w:rsidRPr="00930F90">
        <w:rPr>
          <w:rFonts w:cs="Times New Roman"/>
        </w:rPr>
        <w:t xml:space="preserve"> instead confirms the interpretation to the effect that s. 11(</w:t>
      </w:r>
      <w:r w:rsidRPr="00930F90">
        <w:rPr>
          <w:rFonts w:cs="Times New Roman"/>
          <w:i/>
        </w:rPr>
        <w:t>i</w:t>
      </w:r>
      <w:r w:rsidRPr="00930F90">
        <w:rPr>
          <w:rFonts w:cs="Times New Roman"/>
        </w:rPr>
        <w:t xml:space="preserve">) guarantees that the accused has a right to the benefit of any sentence that applied </w:t>
      </w:r>
      <w:r w:rsidRPr="00930F90">
        <w:rPr>
          <w:rFonts w:cs="Times New Roman"/>
          <w:i/>
        </w:rPr>
        <w:t>between</w:t>
      </w:r>
      <w:r w:rsidRPr="00930F90">
        <w:rPr>
          <w:rFonts w:cs="Times New Roman"/>
        </w:rPr>
        <w:t xml:space="preserve"> those two times, [</w:t>
      </w:r>
      <w:r w:rsidRPr="00930F90">
        <w:rPr>
          <w:rFonts w:cs="Times New Roman"/>
          <w:smallCaps/>
        </w:rPr>
        <w:t>translation</w:t>
      </w:r>
      <w:r w:rsidRPr="00930F90">
        <w:rPr>
          <w:rFonts w:cs="Times New Roman"/>
        </w:rPr>
        <w:t>] “even if there has been only a temporary reduction of the sentence between the time of the offence and that of sentencing”: 2018 QCCA 21, 43 C.R. (7th) 216, at para. 33. This meant that it had been open to the sentencing judge to impose a conditional sentence.</w:t>
      </w:r>
    </w:p>
    <w:p w:rsidR="000738FC" w:rsidRPr="00930F90" w:rsidRDefault="000738FC" w:rsidP="000738FC">
      <w:pPr>
        <w:pStyle w:val="ParaNoNdepar-AltN"/>
        <w:spacing w:before="0"/>
        <w:rPr>
          <w:rFonts w:cs="Times New Roman"/>
        </w:rPr>
      </w:pPr>
      <w:r w:rsidRPr="00930F90">
        <w:rPr>
          <w:rFonts w:cs="Times New Roman"/>
        </w:rPr>
        <w:t>This Court granted the Crown’s application for leave to appeal in October 2018. The respondent died on February 22, 2019 without having filed his factum. At that time, part of his sentence remained to be served, as a motion to suspend the sentence had been dismissed b</w:t>
      </w:r>
      <w:r w:rsidR="007F7CFF">
        <w:rPr>
          <w:rFonts w:cs="Times New Roman"/>
        </w:rPr>
        <w:t xml:space="preserve">y Doyon J.A. in July 2017: 2017 QCCA </w:t>
      </w:r>
      <w:r w:rsidRPr="00930F90">
        <w:rPr>
          <w:rFonts w:cs="Times New Roman"/>
        </w:rPr>
        <w:t>1137, at para. 12 (CanLII).</w:t>
      </w:r>
    </w:p>
    <w:p w:rsidR="000738FC" w:rsidRPr="00930F90" w:rsidRDefault="000738FC" w:rsidP="000738FC">
      <w:pPr>
        <w:pStyle w:val="ParaNoNdepar-AltN"/>
        <w:spacing w:before="0"/>
        <w:rPr>
          <w:rFonts w:cs="Times New Roman"/>
        </w:rPr>
      </w:pPr>
      <w:r w:rsidRPr="00930F90">
        <w:rPr>
          <w:rFonts w:cs="Times New Roman"/>
        </w:rPr>
        <w:t xml:space="preserve">A week later, Crown counsel filed a motion for authorization to proceed with the appeal despite the respondent’s death. Although he recognized that this Court has a discretion to refuse to hear the case, Crown counsel argued that proceeding with the appeal was in the interests of justice. In his opinion, the question of law in this case </w:t>
      </w:r>
      <w:r w:rsidRPr="00930F90">
        <w:rPr>
          <w:rFonts w:cs="Times New Roman"/>
        </w:rPr>
        <w:lastRenderedPageBreak/>
        <w:t>is one that is often evasive of appellate review and one that transcends the individual case of the respondent. He submitted that to decline to proceed with the appeal would just postpone this Court’s inevitable consideration of the question and would at the same time waste the judicial resources that the Court had already expended on this appeal.</w:t>
      </w:r>
    </w:p>
    <w:p w:rsidR="000738FC" w:rsidRPr="00930F90" w:rsidRDefault="000738FC" w:rsidP="000738FC">
      <w:pPr>
        <w:pStyle w:val="ParaNoNdepar-AltN"/>
        <w:spacing w:before="0"/>
        <w:rPr>
          <w:rFonts w:cs="Times New Roman"/>
        </w:rPr>
      </w:pPr>
      <w:r w:rsidRPr="00930F90">
        <w:rPr>
          <w:rFonts w:cs="Times New Roman"/>
        </w:rPr>
        <w:t>A few days after that, counsel for the respondent filed their response to the appellant’s motion. In it, they indicated that the executor of the deceased respondent, his daughter, did not wish to proceed with the appeal, but that she had nonetheless instructed them to defend the position the respondent had advanced while still alive should the Court decide to hear the case.</w:t>
      </w:r>
    </w:p>
    <w:p w:rsidR="000738FC" w:rsidRPr="00930F90" w:rsidRDefault="000738FC" w:rsidP="000738FC">
      <w:pPr>
        <w:pStyle w:val="Title1LevelTitre1Niveau-AltL"/>
        <w:numPr>
          <w:ilvl w:val="0"/>
          <w:numId w:val="8"/>
        </w:numPr>
        <w:spacing w:before="0"/>
        <w:rPr>
          <w:rFonts w:cs="Times New Roman"/>
        </w:rPr>
      </w:pPr>
      <w:r w:rsidRPr="00930F90">
        <w:rPr>
          <w:rFonts w:cs="Times New Roman"/>
        </w:rPr>
        <w:t>Issues</w:t>
      </w:r>
    </w:p>
    <w:p w:rsidR="000738FC" w:rsidRPr="00930F90" w:rsidRDefault="000738FC" w:rsidP="000738FC">
      <w:pPr>
        <w:pStyle w:val="ParaNoNdepar-AltN"/>
        <w:spacing w:before="0"/>
        <w:rPr>
          <w:rFonts w:cs="Times New Roman"/>
        </w:rPr>
      </w:pPr>
      <w:r w:rsidRPr="00930F90">
        <w:rPr>
          <w:rFonts w:cs="Times New Roman"/>
        </w:rPr>
        <w:t>There are two issues in this appeal. First, should the Court exercise its discretion and hear this appeal that has become moot as a result of the respondent’s death? Second, should the Court overturn 30 years of consistent case law on the interpretation of s. 11(</w:t>
      </w:r>
      <w:r w:rsidRPr="00930F90">
        <w:rPr>
          <w:rFonts w:cs="Times New Roman"/>
          <w:i/>
        </w:rPr>
        <w:t>i</w:t>
      </w:r>
      <w:r w:rsidRPr="00930F90">
        <w:rPr>
          <w:rFonts w:cs="Times New Roman"/>
        </w:rPr>
        <w:t xml:space="preserve">) of the </w:t>
      </w:r>
      <w:r w:rsidRPr="00930F90">
        <w:rPr>
          <w:rFonts w:cs="Times New Roman"/>
          <w:i/>
        </w:rPr>
        <w:t>Charter</w:t>
      </w:r>
      <w:r w:rsidRPr="00930F90">
        <w:rPr>
          <w:rFonts w:cs="Times New Roman"/>
        </w:rPr>
        <w:t>? I would answer both these questions in the negative.</w:t>
      </w:r>
    </w:p>
    <w:p w:rsidR="000738FC" w:rsidRPr="00930F90" w:rsidRDefault="000738FC" w:rsidP="000738FC">
      <w:pPr>
        <w:pStyle w:val="Title1LevelTitre1Niveau-AltL"/>
        <w:numPr>
          <w:ilvl w:val="0"/>
          <w:numId w:val="8"/>
        </w:numPr>
        <w:spacing w:before="0"/>
        <w:rPr>
          <w:rFonts w:cs="Times New Roman"/>
        </w:rPr>
      </w:pPr>
      <w:r w:rsidRPr="00930F90">
        <w:rPr>
          <w:rFonts w:cs="Times New Roman"/>
        </w:rPr>
        <w:t>Mootness of the Appeal</w:t>
      </w:r>
    </w:p>
    <w:p w:rsidR="000738FC" w:rsidRPr="00930F90" w:rsidRDefault="000738FC" w:rsidP="000738FC">
      <w:pPr>
        <w:pStyle w:val="ParaNoNdepar-AltN"/>
        <w:spacing w:before="0"/>
        <w:rPr>
          <w:rFonts w:cs="Times New Roman"/>
        </w:rPr>
      </w:pPr>
      <w:r w:rsidRPr="00930F90">
        <w:rPr>
          <w:rFonts w:cs="Times New Roman"/>
        </w:rPr>
        <w:t xml:space="preserve">The Court noted in </w:t>
      </w:r>
      <w:r w:rsidRPr="00930F90">
        <w:rPr>
          <w:rFonts w:cs="Times New Roman"/>
          <w:i/>
        </w:rPr>
        <w:t>Smith</w:t>
      </w:r>
      <w:r w:rsidRPr="00930F90">
        <w:rPr>
          <w:rFonts w:cs="Times New Roman"/>
        </w:rPr>
        <w:t xml:space="preserve"> that “cases in which it will be proper to exercise jurisdiction to hear a moot criminal appeal will be rare and exceptional”: </w:t>
      </w:r>
      <w:r w:rsidRPr="00930F90">
        <w:rPr>
          <w:rFonts w:cs="Times New Roman"/>
          <w:i/>
        </w:rPr>
        <w:t>R. v. Smith</w:t>
      </w:r>
      <w:r w:rsidRPr="00930F90">
        <w:rPr>
          <w:rFonts w:cs="Times New Roman"/>
        </w:rPr>
        <w:t xml:space="preserve">, </w:t>
      </w:r>
      <w:r w:rsidRPr="00930F90">
        <w:rPr>
          <w:rFonts w:cs="Times New Roman"/>
        </w:rPr>
        <w:lastRenderedPageBreak/>
        <w:t>2004 SCC 14, [2004] 1 S.C.R. 385, at para. 10. In that case, it listed five “helpful rather than exhaustive” factors that can be considered in deciding whether there are special circumstances that make it in “the interests of justice” to proceed with an appeal that has been rendered moot: para. 50. These five factors are as follows:</w:t>
      </w:r>
    </w:p>
    <w:p w:rsidR="000738FC" w:rsidRPr="00930F90" w:rsidRDefault="000738FC" w:rsidP="000738FC">
      <w:pPr>
        <w:pStyle w:val="Citation-AltC"/>
        <w:numPr>
          <w:ilvl w:val="6"/>
          <w:numId w:val="6"/>
        </w:numPr>
        <w:spacing w:after="240"/>
        <w:ind w:left="1620"/>
        <w:contextualSpacing w:val="0"/>
      </w:pPr>
      <w:r w:rsidRPr="00930F90">
        <w:t>whether the appeal will proceed in a proper adversarial context;</w:t>
      </w:r>
    </w:p>
    <w:p w:rsidR="000738FC" w:rsidRPr="00930F90" w:rsidRDefault="000738FC" w:rsidP="000738FC">
      <w:pPr>
        <w:pStyle w:val="Citation-AltC"/>
        <w:numPr>
          <w:ilvl w:val="6"/>
          <w:numId w:val="6"/>
        </w:numPr>
        <w:spacing w:after="240"/>
        <w:ind w:left="1620"/>
        <w:contextualSpacing w:val="0"/>
      </w:pPr>
      <w:r w:rsidRPr="00930F90">
        <w:t>the strength of the grounds of the appeal;</w:t>
      </w:r>
    </w:p>
    <w:p w:rsidR="000738FC" w:rsidRPr="00930F90" w:rsidRDefault="000738FC" w:rsidP="000738FC">
      <w:pPr>
        <w:pStyle w:val="Citation-AltC"/>
        <w:numPr>
          <w:ilvl w:val="6"/>
          <w:numId w:val="6"/>
        </w:numPr>
        <w:spacing w:after="240"/>
        <w:ind w:left="1620"/>
        <w:contextualSpacing w:val="0"/>
      </w:pPr>
      <w:r w:rsidRPr="00930F90">
        <w:t>whether there are special circumstances that transcend the death of the individual appellant/respondent, including:</w:t>
      </w:r>
    </w:p>
    <w:p w:rsidR="000738FC" w:rsidRPr="00930F90" w:rsidRDefault="000738FC" w:rsidP="000738FC">
      <w:pPr>
        <w:pStyle w:val="Citation-AltC"/>
        <w:numPr>
          <w:ilvl w:val="0"/>
          <w:numId w:val="29"/>
        </w:numPr>
        <w:spacing w:after="240"/>
        <w:ind w:left="1980"/>
        <w:contextualSpacing w:val="0"/>
      </w:pPr>
      <w:r w:rsidRPr="00930F90">
        <w:t>a legal issue of general public importance, particularly if it is otherwise evasive of appellate review;</w:t>
      </w:r>
    </w:p>
    <w:p w:rsidR="000738FC" w:rsidRPr="00930F90" w:rsidRDefault="000738FC" w:rsidP="000738FC">
      <w:pPr>
        <w:pStyle w:val="Citation-AltC"/>
        <w:numPr>
          <w:ilvl w:val="0"/>
          <w:numId w:val="29"/>
        </w:numPr>
        <w:spacing w:after="240"/>
        <w:ind w:left="1980"/>
        <w:contextualSpacing w:val="0"/>
      </w:pPr>
      <w:r w:rsidRPr="00930F90">
        <w:t>a systemic issue related to the administration of justice;</w:t>
      </w:r>
    </w:p>
    <w:p w:rsidR="000738FC" w:rsidRPr="00930F90" w:rsidRDefault="000738FC" w:rsidP="000738FC">
      <w:pPr>
        <w:pStyle w:val="Citation-AltC"/>
        <w:numPr>
          <w:ilvl w:val="0"/>
          <w:numId w:val="29"/>
        </w:numPr>
        <w:spacing w:after="240"/>
        <w:ind w:left="1987"/>
        <w:contextualSpacing w:val="0"/>
      </w:pPr>
      <w:r w:rsidRPr="00930F90">
        <w:t>collateral consequences to the family of the deceased or to other interested persons or to the public;</w:t>
      </w:r>
    </w:p>
    <w:p w:rsidR="000738FC" w:rsidRPr="00930F90" w:rsidRDefault="000738FC" w:rsidP="000738FC">
      <w:pPr>
        <w:pStyle w:val="Citation-AltC"/>
        <w:numPr>
          <w:ilvl w:val="6"/>
          <w:numId w:val="6"/>
        </w:numPr>
        <w:spacing w:after="240"/>
        <w:ind w:left="1627"/>
        <w:contextualSpacing w:val="0"/>
      </w:pPr>
      <w:r w:rsidRPr="00930F90">
        <w:t>whether the nature of the order which could be made by the appellate court justifies the expenditure of limited judicial (or court) resources to resolve a moot appeal;</w:t>
      </w:r>
    </w:p>
    <w:p w:rsidR="000738FC" w:rsidRPr="00930F90" w:rsidRDefault="000738FC" w:rsidP="000738FC">
      <w:pPr>
        <w:pStyle w:val="Citation-AltC"/>
        <w:numPr>
          <w:ilvl w:val="6"/>
          <w:numId w:val="6"/>
        </w:numPr>
        <w:ind w:left="1627"/>
        <w:contextualSpacing w:val="0"/>
      </w:pPr>
      <w:r w:rsidRPr="00930F90">
        <w:t>whether continuing the appeal would go beyond the judicial function of resolving concrete disputes and involve the court in free</w:t>
      </w:r>
      <w:r w:rsidRPr="00930F90">
        <w:noBreakHyphen/>
        <w:t>standing, legislative</w:t>
      </w:r>
      <w:r w:rsidRPr="00930F90">
        <w:noBreakHyphen/>
        <w:t>type pronouncements more properly left to the legislature itself. [para. 50]</w:t>
      </w:r>
    </w:p>
    <w:p w:rsidR="000738FC" w:rsidRPr="00930F90" w:rsidRDefault="000738FC" w:rsidP="000738FC">
      <w:pPr>
        <w:pStyle w:val="ParaNoNdepar-AltN"/>
        <w:spacing w:before="0"/>
        <w:rPr>
          <w:rFonts w:cs="Times New Roman"/>
        </w:rPr>
      </w:pPr>
      <w:r w:rsidRPr="00930F90">
        <w:rPr>
          <w:rFonts w:cs="Times New Roman"/>
        </w:rPr>
        <w:t xml:space="preserve">In my view, this case is one of the “overwhelming number of cases” in which proceeding with the appeal would not be in </w:t>
      </w:r>
      <w:r w:rsidR="001A0975" w:rsidRPr="00930F90">
        <w:rPr>
          <w:rFonts w:cs="Times New Roman"/>
        </w:rPr>
        <w:t xml:space="preserve">the </w:t>
      </w:r>
      <w:r w:rsidRPr="00930F90">
        <w:rPr>
          <w:rFonts w:cs="Times New Roman"/>
        </w:rPr>
        <w:t xml:space="preserve">“interests of justice”: </w:t>
      </w:r>
      <w:r w:rsidRPr="00930F90">
        <w:rPr>
          <w:rFonts w:cs="Times New Roman"/>
          <w:i/>
        </w:rPr>
        <w:t>Smith</w:t>
      </w:r>
      <w:r w:rsidR="00094EE6">
        <w:rPr>
          <w:rFonts w:cs="Times New Roman"/>
        </w:rPr>
        <w:t>, at para. 46.</w:t>
      </w:r>
    </w:p>
    <w:p w:rsidR="000738FC" w:rsidRPr="00930F90" w:rsidRDefault="000738FC" w:rsidP="000738FC">
      <w:pPr>
        <w:pStyle w:val="ParaNoNdepar-AltN"/>
        <w:spacing w:before="0"/>
        <w:rPr>
          <w:rFonts w:cs="Times New Roman"/>
        </w:rPr>
      </w:pPr>
      <w:r w:rsidRPr="00930F90">
        <w:rPr>
          <w:rFonts w:cs="Times New Roman"/>
        </w:rPr>
        <w:t>First, I find it hard to conclude that a real adversarial context exists. Although the sentencing judge did raise the question of the application of s. 11(</w:t>
      </w:r>
      <w:r w:rsidRPr="00930F90">
        <w:rPr>
          <w:rFonts w:cs="Times New Roman"/>
          <w:i/>
        </w:rPr>
        <w:t>i</w:t>
      </w:r>
      <w:r w:rsidRPr="00930F90">
        <w:rPr>
          <w:rFonts w:cs="Times New Roman"/>
        </w:rPr>
        <w:t xml:space="preserve">), the </w:t>
      </w:r>
      <w:r w:rsidRPr="00930F90">
        <w:rPr>
          <w:rFonts w:cs="Times New Roman"/>
        </w:rPr>
        <w:lastRenderedPageBreak/>
        <w:t xml:space="preserve">temporal aspect of the application of this paragraph was not argued at the sentencing hearing. The judge’s reasons on this point were particularly brief and cited no authorities. And although the Court of Appeal also touched on the question of the interpretation of this </w:t>
      </w:r>
      <w:r w:rsidRPr="00930F90">
        <w:rPr>
          <w:rFonts w:cs="Times New Roman"/>
          <w:i/>
        </w:rPr>
        <w:t>Charter</w:t>
      </w:r>
      <w:r w:rsidRPr="00930F90">
        <w:rPr>
          <w:rFonts w:cs="Times New Roman"/>
        </w:rPr>
        <w:t xml:space="preserve"> right at the end of its reasons, it did not discuss this question in detail either.</w:t>
      </w:r>
    </w:p>
    <w:p w:rsidR="000738FC" w:rsidRPr="00930F90" w:rsidRDefault="000738FC" w:rsidP="000738FC">
      <w:pPr>
        <w:pStyle w:val="ParaNoNdepar-AltN"/>
        <w:spacing w:before="0"/>
        <w:rPr>
          <w:rFonts w:cs="Times New Roman"/>
        </w:rPr>
      </w:pPr>
      <w:r w:rsidRPr="00930F90">
        <w:rPr>
          <w:rFonts w:cs="Times New Roman"/>
        </w:rPr>
        <w:t xml:space="preserve">Moreover, this is hardly surprising given that there have since 1989 been some 15 judicial decisions — including </w:t>
      </w:r>
      <w:r w:rsidR="00571E91">
        <w:rPr>
          <w:rFonts w:cs="Times New Roman"/>
        </w:rPr>
        <w:t>five</w:t>
      </w:r>
      <w:r w:rsidRPr="00930F90">
        <w:rPr>
          <w:rFonts w:cs="Times New Roman"/>
        </w:rPr>
        <w:t xml:space="preserve"> from courts of appeal — in which a single interpretation of s. 11(</w:t>
      </w:r>
      <w:r w:rsidRPr="00930F90">
        <w:rPr>
          <w:rFonts w:cs="Times New Roman"/>
          <w:i/>
        </w:rPr>
        <w:t>i</w:t>
      </w:r>
      <w:r w:rsidRPr="00930F90">
        <w:rPr>
          <w:rFonts w:cs="Times New Roman"/>
        </w:rPr>
        <w:t>) — the one adopted by the Quebec courts in the instant case — has been applied. Where the courts below have followed what is not just a majority but a unanimous line of cases, it seems to me that deference is in order on appeal. As I will explain below, the strength of Crown counsel’s grounds of appeal is undermined by the solid reasoning that supports that jurisprudence.</w:t>
      </w:r>
    </w:p>
    <w:p w:rsidR="000738FC" w:rsidRPr="00930F90" w:rsidRDefault="000738FC" w:rsidP="000738FC">
      <w:pPr>
        <w:pStyle w:val="ParaNoNdepar-AltN"/>
        <w:spacing w:before="0"/>
        <w:rPr>
          <w:rFonts w:cs="Times New Roman"/>
        </w:rPr>
      </w:pPr>
      <w:r w:rsidRPr="00930F90">
        <w:rPr>
          <w:rFonts w:cs="Times New Roman"/>
        </w:rPr>
        <w:t xml:space="preserve">Second, while it is true that any issue concerning the interpretation of a </w:t>
      </w:r>
      <w:r w:rsidRPr="00930F90">
        <w:rPr>
          <w:rFonts w:cs="Times New Roman"/>
          <w:i/>
        </w:rPr>
        <w:t>Charter</w:t>
      </w:r>
      <w:r w:rsidRPr="00930F90">
        <w:rPr>
          <w:rFonts w:cs="Times New Roman"/>
        </w:rPr>
        <w:t xml:space="preserve"> provision is always of great importance, there are no special circumstances in this case that transcend the death of the respondent. This Court has frequently exercised its discretion and agreed to hear a moot appeal on an issue that is ordinarily evasive of review by courts or on which there is uncertainty in the case law: see, e.g., </w:t>
      </w:r>
      <w:r w:rsidRPr="00930F90">
        <w:rPr>
          <w:rFonts w:cs="Times New Roman"/>
          <w:i/>
        </w:rPr>
        <w:t>Borowski v. Canada (Attorney General)</w:t>
      </w:r>
      <w:r w:rsidRPr="00930F90">
        <w:rPr>
          <w:rFonts w:cs="Times New Roman"/>
        </w:rPr>
        <w:t>, [1989] 1 S.C.R. 342, at pp. 360</w:t>
      </w:r>
      <w:r w:rsidRPr="00930F90">
        <w:rPr>
          <w:rFonts w:cs="Times New Roman"/>
        </w:rPr>
        <w:noBreakHyphen/>
        <w:t xml:space="preserve">61. But in light of 30 years of consistent case law on this issue, I cannot accept the argument that we are facing conflicting lines of cases or the argument that the issue before us is one that is ordinarily evasive of appellate review. It became clear that there is no difference of opinion </w:t>
      </w:r>
      <w:r w:rsidRPr="00930F90">
        <w:rPr>
          <w:rFonts w:cs="Times New Roman"/>
        </w:rPr>
        <w:lastRenderedPageBreak/>
        <w:t>between courts when the only intervener who supports the appellant’s interpretation — the only attorney general who saw fit to intervene — was unable to identify a single Canadian authority in support of that interpretation.</w:t>
      </w:r>
    </w:p>
    <w:p w:rsidR="000738FC" w:rsidRPr="00930F90" w:rsidRDefault="000738FC" w:rsidP="000738FC">
      <w:pPr>
        <w:pStyle w:val="ParaNoNdepar-AltN"/>
        <w:spacing w:before="0"/>
        <w:rPr>
          <w:rFonts w:cs="Times New Roman"/>
        </w:rPr>
      </w:pPr>
      <w:r w:rsidRPr="00930F90">
        <w:rPr>
          <w:rFonts w:cs="Times New Roman"/>
        </w:rPr>
        <w:t>Finally, the inequity of proceeding with an appeal against a deceased offender despite opposition from his family seems obvious to me. That doing so is excessive is clear from the conclusions being sought by the Crown in its motion. Rather than seeking a declaration with respect to the interpretation of s. 11(</w:t>
      </w:r>
      <w:r w:rsidRPr="00930F90">
        <w:rPr>
          <w:rFonts w:cs="Times New Roman"/>
          <w:i/>
        </w:rPr>
        <w:t>i</w:t>
      </w:r>
      <w:r w:rsidRPr="00930F90">
        <w:rPr>
          <w:rFonts w:cs="Times New Roman"/>
        </w:rPr>
        <w:t>), the Crown asks the Court to set aside a sentence imposed on a deceased man and to substitute for it the sentence the Court considers appropriate before simply staying the new sentence. This appeal should not have been heard.</w:t>
      </w:r>
    </w:p>
    <w:p w:rsidR="000738FC" w:rsidRPr="00930F90" w:rsidRDefault="000738FC" w:rsidP="000738FC">
      <w:pPr>
        <w:pStyle w:val="ParaNoNdepar-AltN"/>
        <w:spacing w:before="0"/>
        <w:rPr>
          <w:rFonts w:cs="Times New Roman"/>
        </w:rPr>
      </w:pPr>
      <w:r w:rsidRPr="00930F90">
        <w:rPr>
          <w:rFonts w:cs="Times New Roman"/>
        </w:rPr>
        <w:t>For the foregoing reasons, I would dismiss the motion to proceed with the appeal.</w:t>
      </w:r>
    </w:p>
    <w:p w:rsidR="000738FC" w:rsidRPr="00930F90" w:rsidRDefault="00DE1F26" w:rsidP="000738FC">
      <w:pPr>
        <w:pStyle w:val="Title1LevelTitre1Niveau-AltL"/>
        <w:numPr>
          <w:ilvl w:val="0"/>
          <w:numId w:val="8"/>
        </w:numPr>
        <w:spacing w:before="0"/>
        <w:rPr>
          <w:rFonts w:cs="Times New Roman"/>
        </w:rPr>
      </w:pPr>
      <w:r>
        <w:rPr>
          <w:rFonts w:cs="Times New Roman"/>
        </w:rPr>
        <w:t>Interpretation of Section</w:t>
      </w:r>
      <w:r w:rsidR="000738FC" w:rsidRPr="00930F90">
        <w:rPr>
          <w:rFonts w:cs="Times New Roman"/>
        </w:rPr>
        <w:t> 11(</w:t>
      </w:r>
      <w:r w:rsidR="000738FC" w:rsidRPr="00930F90">
        <w:rPr>
          <w:rFonts w:cs="Times New Roman"/>
          <w:i/>
        </w:rPr>
        <w:t>i</w:t>
      </w:r>
      <w:r w:rsidR="000738FC" w:rsidRPr="00930F90">
        <w:rPr>
          <w:rFonts w:cs="Times New Roman"/>
        </w:rPr>
        <w:t xml:space="preserve">) of the </w:t>
      </w:r>
      <w:r w:rsidR="000738FC" w:rsidRPr="00930F90">
        <w:rPr>
          <w:rFonts w:cs="Times New Roman"/>
          <w:i/>
        </w:rPr>
        <w:t>Charter</w:t>
      </w:r>
    </w:p>
    <w:p w:rsidR="000738FC" w:rsidRPr="00930F90" w:rsidRDefault="000738FC" w:rsidP="000738FC">
      <w:pPr>
        <w:pStyle w:val="ParaNoNdepar-AltN"/>
        <w:spacing w:before="0"/>
        <w:rPr>
          <w:rFonts w:cs="Times New Roman"/>
        </w:rPr>
      </w:pPr>
      <w:r w:rsidRPr="00930F90">
        <w:rPr>
          <w:rFonts w:cs="Times New Roman"/>
        </w:rPr>
        <w:t>The Crown submits that the Court of Appeal erred in interpreting s. 11(</w:t>
      </w:r>
      <w:r w:rsidRPr="00930F90">
        <w:rPr>
          <w:rFonts w:cs="Times New Roman"/>
          <w:i/>
        </w:rPr>
        <w:t>i</w:t>
      </w:r>
      <w:r w:rsidRPr="00930F90">
        <w:rPr>
          <w:rFonts w:cs="Times New Roman"/>
        </w:rPr>
        <w:t>). In the Crown’s opinion, s. 11(</w:t>
      </w:r>
      <w:r w:rsidRPr="00930F90">
        <w:rPr>
          <w:rFonts w:cs="Times New Roman"/>
          <w:i/>
        </w:rPr>
        <w:t>i</w:t>
      </w:r>
      <w:r w:rsidRPr="00930F90">
        <w:rPr>
          <w:rFonts w:cs="Times New Roman"/>
        </w:rPr>
        <w:t xml:space="preserve">) provides that any offender has the right to the benefit of the lesser punishment, but </w:t>
      </w:r>
      <w:r w:rsidRPr="00930F90">
        <w:rPr>
          <w:rFonts w:cs="Times New Roman"/>
          <w:i/>
        </w:rPr>
        <w:t>only</w:t>
      </w:r>
      <w:r w:rsidRPr="00930F90">
        <w:rPr>
          <w:rFonts w:cs="Times New Roman"/>
        </w:rPr>
        <w:t xml:space="preserve"> between two punishments: the one that applied at the time of commission and the one that applied at the time of sentencing. It argues that the interpretation adopted by the courts is contrary to the three objects of s. 11(</w:t>
      </w:r>
      <w:r w:rsidRPr="00930F90">
        <w:rPr>
          <w:rFonts w:cs="Times New Roman"/>
          <w:i/>
        </w:rPr>
        <w:t>i</w:t>
      </w:r>
      <w:r w:rsidRPr="00930F90">
        <w:rPr>
          <w:rFonts w:cs="Times New Roman"/>
        </w:rPr>
        <w:t xml:space="preserve">): (1) protection from the retrospective imposition of a harsher punishment than the one that applied at the time of commission of the offence; (2) preservation of the principle of </w:t>
      </w:r>
      <w:r w:rsidRPr="00930F90">
        <w:rPr>
          <w:rFonts w:cs="Times New Roman"/>
        </w:rPr>
        <w:lastRenderedPageBreak/>
        <w:t>fairness that enables an accused to make decisions in relation to his or her criminal liability in light of the existing law, which the Crown limits to the times of commission of the offence, of the laying of charges and of sentencing; and (3) the principle that Canadian courts impose punishments that correspond to the stigma that contemporary society associates with the offence.</w:t>
      </w:r>
    </w:p>
    <w:p w:rsidR="000738FC" w:rsidRPr="00930F90" w:rsidRDefault="000738FC" w:rsidP="000738FC">
      <w:pPr>
        <w:pStyle w:val="ParaNoNdepar-AltN"/>
        <w:spacing w:before="0"/>
        <w:rPr>
          <w:rFonts w:cs="Times New Roman"/>
        </w:rPr>
      </w:pPr>
      <w:r w:rsidRPr="00930F90">
        <w:rPr>
          <w:rFonts w:cs="Times New Roman"/>
        </w:rPr>
        <w:t>The respondent contends that the interpretation adopted unanimously by the Canadian courts is the right one. In his opinion, the words of s. 11(</w:t>
      </w:r>
      <w:r w:rsidRPr="00930F90">
        <w:rPr>
          <w:rFonts w:cs="Times New Roman"/>
          <w:i/>
        </w:rPr>
        <w:t>i</w:t>
      </w:r>
      <w:r w:rsidRPr="00930F90">
        <w:rPr>
          <w:rFonts w:cs="Times New Roman"/>
        </w:rPr>
        <w:t xml:space="preserve">) are perfectly clear: an offender is guaranteed the mildest punishment that applied during the period </w:t>
      </w:r>
      <w:r w:rsidRPr="00930F90">
        <w:rPr>
          <w:rFonts w:cs="Times New Roman"/>
          <w:i/>
        </w:rPr>
        <w:t>between</w:t>
      </w:r>
      <w:r w:rsidRPr="00930F90">
        <w:rPr>
          <w:rFonts w:cs="Times New Roman"/>
        </w:rPr>
        <w:t xml:space="preserve"> (“</w:t>
      </w:r>
      <w:r w:rsidRPr="00930F90">
        <w:rPr>
          <w:rFonts w:cs="Times New Roman"/>
          <w:i/>
        </w:rPr>
        <w:t>entre</w:t>
      </w:r>
      <w:r w:rsidRPr="00930F90">
        <w:rPr>
          <w:rFonts w:cs="Times New Roman"/>
        </w:rPr>
        <w:t xml:space="preserve">”) the time of commission and the time of sentencing. Its wording suggests no limit in the number of variations in punishments that there might be over that period, which could easily have been indicated by replacing the word “between” with “or”: the punishment available “at the time of commission of the offence </w:t>
      </w:r>
      <w:r w:rsidRPr="00930F90">
        <w:rPr>
          <w:rFonts w:cs="Times New Roman"/>
          <w:u w:val="single"/>
        </w:rPr>
        <w:t>or</w:t>
      </w:r>
      <w:r w:rsidRPr="00930F90">
        <w:rPr>
          <w:rFonts w:cs="Times New Roman"/>
        </w:rPr>
        <w:t xml:space="preserve"> at the time of sentencing” (R.F., at para. 49</w:t>
      </w:r>
      <w:r>
        <w:rPr>
          <w:rFonts w:cs="Times New Roman"/>
        </w:rPr>
        <w:t xml:space="preserve"> </w:t>
      </w:r>
      <w:r w:rsidRPr="00930F90">
        <w:rPr>
          <w:rFonts w:cs="Times New Roman"/>
        </w:rPr>
        <w:t>(emphasis in original)). The respondent argues that the interpretation proposed by the appellant, the effect of which would be to unjustifiably separate the various stages of the criminal process for the purpose of applying s. 11(</w:t>
      </w:r>
      <w:r w:rsidRPr="00930F90">
        <w:rPr>
          <w:rFonts w:cs="Times New Roman"/>
          <w:i/>
        </w:rPr>
        <w:t>i</w:t>
      </w:r>
      <w:r w:rsidRPr="00930F90">
        <w:rPr>
          <w:rFonts w:cs="Times New Roman"/>
        </w:rPr>
        <w:t>), is impractical.</w:t>
      </w:r>
    </w:p>
    <w:p w:rsidR="000738FC" w:rsidRPr="00930F90" w:rsidRDefault="000738FC" w:rsidP="000738FC">
      <w:pPr>
        <w:pStyle w:val="ParaNoNdepar-AltN"/>
        <w:spacing w:before="0"/>
        <w:rPr>
          <w:rFonts w:cs="Times New Roman"/>
        </w:rPr>
      </w:pPr>
      <w:r w:rsidRPr="00930F90">
        <w:rPr>
          <w:rFonts w:cs="Times New Roman"/>
        </w:rPr>
        <w:t>For 30 years, the Canadian courts have interpreted s. 11(</w:t>
      </w:r>
      <w:r w:rsidRPr="00930F90">
        <w:rPr>
          <w:rFonts w:cs="Times New Roman"/>
          <w:i/>
        </w:rPr>
        <w:t>i</w:t>
      </w:r>
      <w:r w:rsidRPr="00930F90">
        <w:rPr>
          <w:rFonts w:cs="Times New Roman"/>
        </w:rPr>
        <w:t xml:space="preserve">) consistently, holding that it guarantees any offender the benefit of the lesser sentence that applied between the time of commission of the offence and the time of sentencing. This conclusion has been reached in five cases in which courts had directly addressed the question raised in this appeal, that is, the possibility of imposing a conditional sentence </w:t>
      </w:r>
      <w:r w:rsidRPr="00930F90">
        <w:rPr>
          <w:rFonts w:cs="Times New Roman"/>
        </w:rPr>
        <w:lastRenderedPageBreak/>
        <w:t xml:space="preserve">for what is described as a “historical” sexual assault: see </w:t>
      </w:r>
      <w:r w:rsidRPr="00930F90">
        <w:rPr>
          <w:rFonts w:cs="Times New Roman"/>
          <w:i/>
        </w:rPr>
        <w:t>R. v. Cadman</w:t>
      </w:r>
      <w:r w:rsidRPr="00930F90">
        <w:rPr>
          <w:rFonts w:cs="Times New Roman"/>
        </w:rPr>
        <w:t xml:space="preserve">, 2018 BCCA 100, 359 C.C.C. (3d) 427; </w:t>
      </w:r>
      <w:r w:rsidRPr="00930F90">
        <w:rPr>
          <w:rFonts w:cs="Times New Roman"/>
          <w:i/>
        </w:rPr>
        <w:t>R. v. A.E.S.</w:t>
      </w:r>
      <w:r w:rsidR="00E833F9">
        <w:rPr>
          <w:rFonts w:cs="Times New Roman"/>
        </w:rPr>
        <w:t xml:space="preserve">, 2018 BCCA </w:t>
      </w:r>
      <w:r w:rsidRPr="00930F90">
        <w:rPr>
          <w:rFonts w:cs="Times New Roman"/>
        </w:rPr>
        <w:t xml:space="preserve">478, 369 C.C.C. (3d) 92; </w:t>
      </w:r>
      <w:r w:rsidRPr="00930F90">
        <w:rPr>
          <w:rFonts w:cs="Times New Roman"/>
          <w:i/>
        </w:rPr>
        <w:t>R. v. Yusuf</w:t>
      </w:r>
      <w:r w:rsidR="00E833F9">
        <w:rPr>
          <w:rFonts w:cs="Times New Roman"/>
        </w:rPr>
        <w:t xml:space="preserve">, 2011 BCSC </w:t>
      </w:r>
      <w:r w:rsidRPr="00930F90">
        <w:rPr>
          <w:rFonts w:cs="Times New Roman"/>
        </w:rPr>
        <w:t xml:space="preserve">626; </w:t>
      </w:r>
      <w:r w:rsidRPr="00930F90">
        <w:rPr>
          <w:rFonts w:cs="Times New Roman"/>
          <w:i/>
        </w:rPr>
        <w:t>R. v. G.C.D.</w:t>
      </w:r>
      <w:r w:rsidRPr="00930F90">
        <w:rPr>
          <w:rFonts w:cs="Times New Roman"/>
        </w:rPr>
        <w:t>, 2</w:t>
      </w:r>
      <w:r w:rsidR="00E833F9">
        <w:rPr>
          <w:rFonts w:cs="Times New Roman"/>
        </w:rPr>
        <w:t xml:space="preserve">011 MBQB </w:t>
      </w:r>
      <w:r w:rsidRPr="00930F90">
        <w:rPr>
          <w:rFonts w:cs="Times New Roman"/>
        </w:rPr>
        <w:t xml:space="preserve">235, 271 Man. R. (2d) 41; </w:t>
      </w:r>
      <w:r w:rsidRPr="00930F90">
        <w:rPr>
          <w:rFonts w:cs="Times New Roman"/>
          <w:i/>
        </w:rPr>
        <w:t>R. v. Mehanmal</w:t>
      </w:r>
      <w:r w:rsidRPr="00930F90">
        <w:rPr>
          <w:rFonts w:cs="Times New Roman"/>
        </w:rPr>
        <w:t xml:space="preserve">, 2012 ONCJ 681, 270 C.R.R. (2d) 271. In some cases, the same reasoning has been adopted implicitly: </w:t>
      </w:r>
      <w:r w:rsidRPr="00930F90">
        <w:rPr>
          <w:rFonts w:cs="Times New Roman"/>
          <w:i/>
        </w:rPr>
        <w:t>R. v. Leroux</w:t>
      </w:r>
      <w:r w:rsidR="00E833F9">
        <w:rPr>
          <w:rFonts w:cs="Times New Roman"/>
        </w:rPr>
        <w:t xml:space="preserve">, 2015 SKCA </w:t>
      </w:r>
      <w:r w:rsidRPr="00930F90">
        <w:rPr>
          <w:rFonts w:cs="Times New Roman"/>
        </w:rPr>
        <w:t xml:space="preserve">48, 460 Sask. R. 1; </w:t>
      </w:r>
      <w:r w:rsidRPr="00930F90">
        <w:rPr>
          <w:rFonts w:cs="Times New Roman"/>
          <w:i/>
        </w:rPr>
        <w:t>R. v. E.H.</w:t>
      </w:r>
      <w:r w:rsidR="00E833F9">
        <w:rPr>
          <w:rFonts w:cs="Times New Roman"/>
        </w:rPr>
        <w:t xml:space="preserve">, 2009 NLTD </w:t>
      </w:r>
      <w:r w:rsidRPr="00930F90">
        <w:rPr>
          <w:rFonts w:cs="Times New Roman"/>
        </w:rPr>
        <w:t xml:space="preserve">62, 285 Nfld. &amp; P.E.I.R. 78; </w:t>
      </w:r>
      <w:r w:rsidRPr="00930F90">
        <w:rPr>
          <w:rFonts w:cs="Times New Roman"/>
          <w:i/>
        </w:rPr>
        <w:t>R. v. Palacios</w:t>
      </w:r>
      <w:r w:rsidR="00E833F9">
        <w:rPr>
          <w:rFonts w:cs="Times New Roman"/>
        </w:rPr>
        <w:t xml:space="preserve">, 2012 ONCJ </w:t>
      </w:r>
      <w:r w:rsidRPr="00930F90">
        <w:rPr>
          <w:rFonts w:cs="Times New Roman"/>
        </w:rPr>
        <w:t xml:space="preserve">195. In other cases, the </w:t>
      </w:r>
      <w:r w:rsidRPr="00930F90">
        <w:rPr>
          <w:rFonts w:cs="Times New Roman"/>
          <w:i/>
        </w:rPr>
        <w:t>same</w:t>
      </w:r>
      <w:r w:rsidRPr="00930F90">
        <w:rPr>
          <w:rFonts w:cs="Times New Roman"/>
        </w:rPr>
        <w:t xml:space="preserve"> interpretation has been applied in contexts as varied as eligibility for parole after being convicted of murder (</w:t>
      </w:r>
      <w:r w:rsidRPr="00930F90">
        <w:rPr>
          <w:rFonts w:cs="Times New Roman"/>
          <w:i/>
        </w:rPr>
        <w:t>Belzil</w:t>
      </w:r>
      <w:r w:rsidRPr="00930F90">
        <w:rPr>
          <w:rFonts w:cs="Times New Roman"/>
        </w:rPr>
        <w:t>), effect of new rules for “faint hope” applications (</w:t>
      </w:r>
      <w:r w:rsidRPr="00930F90">
        <w:rPr>
          <w:rFonts w:cs="Times New Roman"/>
          <w:i/>
        </w:rPr>
        <w:t>R. v. Simmonds</w:t>
      </w:r>
      <w:r w:rsidR="00CF1C88">
        <w:rPr>
          <w:rFonts w:cs="Times New Roman"/>
        </w:rPr>
        <w:t xml:space="preserve">, 2018 BCCA </w:t>
      </w:r>
      <w:r w:rsidRPr="00930F90">
        <w:rPr>
          <w:rFonts w:cs="Times New Roman"/>
        </w:rPr>
        <w:t>205, 415 C.R.R. (2d) 88) and changes to the rules applicable to dangerous offenders (</w:t>
      </w:r>
      <w:r w:rsidRPr="00930F90">
        <w:rPr>
          <w:rFonts w:cs="Times New Roman"/>
          <w:i/>
        </w:rPr>
        <w:t>R. v. F.C.</w:t>
      </w:r>
      <w:r w:rsidR="00CF1C88">
        <w:rPr>
          <w:rFonts w:cs="Times New Roman"/>
        </w:rPr>
        <w:t xml:space="preserve">, 2018 ONSC </w:t>
      </w:r>
      <w:r w:rsidRPr="00930F90">
        <w:rPr>
          <w:rFonts w:cs="Times New Roman"/>
        </w:rPr>
        <w:t xml:space="preserve">561). Not to mention, finally, that there have been a series of Ontario cases in which Crown counsel have </w:t>
      </w:r>
      <w:r w:rsidRPr="00930F90">
        <w:rPr>
          <w:rFonts w:cs="Times New Roman"/>
          <w:i/>
        </w:rPr>
        <w:t xml:space="preserve">conceded </w:t>
      </w:r>
      <w:r w:rsidRPr="00930F90">
        <w:rPr>
          <w:rFonts w:cs="Times New Roman"/>
        </w:rPr>
        <w:t xml:space="preserve">the opposite interpretation to the one the Crown is advancing here: </w:t>
      </w:r>
      <w:r w:rsidRPr="00930F90">
        <w:rPr>
          <w:rFonts w:cs="Times New Roman"/>
          <w:i/>
        </w:rPr>
        <w:t>R. v. Boudreau</w:t>
      </w:r>
      <w:r w:rsidR="00CF1C88">
        <w:rPr>
          <w:rFonts w:cs="Times New Roman"/>
        </w:rPr>
        <w:t xml:space="preserve">, 2012 ONCJ </w:t>
      </w:r>
      <w:r w:rsidRPr="00930F90">
        <w:rPr>
          <w:rFonts w:cs="Times New Roman"/>
        </w:rPr>
        <w:t xml:space="preserve">322, at para. 50 (CanLII); </w:t>
      </w:r>
      <w:r w:rsidRPr="00930F90">
        <w:rPr>
          <w:rFonts w:cs="Times New Roman"/>
          <w:i/>
        </w:rPr>
        <w:t>R. v. D.P.</w:t>
      </w:r>
      <w:r w:rsidR="00CF1C88">
        <w:rPr>
          <w:rFonts w:cs="Times New Roman"/>
        </w:rPr>
        <w:t xml:space="preserve">, 2014 ONSC </w:t>
      </w:r>
      <w:r w:rsidRPr="00930F90">
        <w:rPr>
          <w:rFonts w:cs="Times New Roman"/>
        </w:rPr>
        <w:t xml:space="preserve">386, at para. 10 (CanLII); </w:t>
      </w:r>
      <w:r w:rsidRPr="00930F90">
        <w:rPr>
          <w:rFonts w:cs="Times New Roman"/>
          <w:i/>
        </w:rPr>
        <w:t>R. v. Bent</w:t>
      </w:r>
      <w:r w:rsidRPr="00930F90">
        <w:rPr>
          <w:rFonts w:cs="Times New Roman"/>
        </w:rPr>
        <w:t>,</w:t>
      </w:r>
      <w:r w:rsidRPr="00930F90">
        <w:rPr>
          <w:rFonts w:cs="Times New Roman"/>
          <w:i/>
        </w:rPr>
        <w:t xml:space="preserve"> </w:t>
      </w:r>
      <w:r w:rsidRPr="00930F90">
        <w:rPr>
          <w:rFonts w:cs="Times New Roman"/>
        </w:rPr>
        <w:t>2017</w:t>
      </w:r>
      <w:r w:rsidR="00CF1C88">
        <w:rPr>
          <w:rFonts w:cs="Times New Roman"/>
        </w:rPr>
        <w:t xml:space="preserve"> ONSC </w:t>
      </w:r>
      <w:r w:rsidRPr="00930F90">
        <w:rPr>
          <w:rFonts w:cs="Times New Roman"/>
        </w:rPr>
        <w:t>3189, 383 C.R.R. (2d) 161, at para. 47</w:t>
      </w:r>
      <w:r w:rsidRPr="002E5C59">
        <w:rPr>
          <w:rFonts w:cs="Times New Roman"/>
        </w:rPr>
        <w:t>.</w:t>
      </w:r>
    </w:p>
    <w:p w:rsidR="000738FC" w:rsidRDefault="000738FC" w:rsidP="000738FC">
      <w:pPr>
        <w:pStyle w:val="ParaNoNdepar-AltN"/>
        <w:spacing w:before="0"/>
        <w:rPr>
          <w:rFonts w:cs="Times New Roman"/>
        </w:rPr>
      </w:pPr>
      <w:r w:rsidRPr="00930F90">
        <w:rPr>
          <w:rFonts w:cs="Times New Roman"/>
        </w:rPr>
        <w:t>The approach taken in the above decisions finds ample support in the words of s. 11(</w:t>
      </w:r>
      <w:r w:rsidRPr="00930F90">
        <w:rPr>
          <w:rFonts w:cs="Times New Roman"/>
          <w:i/>
        </w:rPr>
        <w:t>i</w:t>
      </w:r>
      <w:r w:rsidRPr="00930F90">
        <w:rPr>
          <w:rFonts w:cs="Times New Roman"/>
        </w:rPr>
        <w:t xml:space="preserve">), which suggest a continuum </w:t>
      </w:r>
      <w:r w:rsidRPr="00930F90">
        <w:rPr>
          <w:rFonts w:cs="Times New Roman"/>
          <w:i/>
        </w:rPr>
        <w:t>between</w:t>
      </w:r>
      <w:r w:rsidRPr="00930F90">
        <w:rPr>
          <w:rFonts w:cs="Times New Roman"/>
        </w:rPr>
        <w:t xml:space="preserve"> the time of commission and the time of sentencing: see, e.g., </w:t>
      </w:r>
      <w:r w:rsidRPr="00930F90">
        <w:rPr>
          <w:rFonts w:cs="Times New Roman"/>
          <w:i/>
        </w:rPr>
        <w:t>Cadman</w:t>
      </w:r>
      <w:r w:rsidRPr="00930F90">
        <w:rPr>
          <w:rFonts w:cs="Times New Roman"/>
        </w:rPr>
        <w:t>, at paras. </w:t>
      </w:r>
      <w:r w:rsidR="00104EF1">
        <w:rPr>
          <w:rFonts w:cs="Times New Roman"/>
          <w:lang w:val="fr-CA"/>
        </w:rPr>
        <w:t>31</w:t>
      </w:r>
      <w:r w:rsidR="00104EF1" w:rsidRPr="00B35658">
        <w:rPr>
          <w:lang w:val="fr-CA"/>
        </w:rPr>
        <w:noBreakHyphen/>
      </w:r>
      <w:r w:rsidRPr="000738FC">
        <w:rPr>
          <w:rFonts w:cs="Times New Roman"/>
          <w:lang w:val="fr-CA"/>
        </w:rPr>
        <w:t xml:space="preserve">46. See also: M. Vauclair and T. Desjardins, </w:t>
      </w:r>
      <w:r w:rsidRPr="000738FC">
        <w:rPr>
          <w:rFonts w:cs="Times New Roman"/>
          <w:i/>
          <w:lang w:val="fr-CA"/>
        </w:rPr>
        <w:t>Traité général de preuve et de procédure pénales</w:t>
      </w:r>
      <w:r w:rsidRPr="000738FC">
        <w:rPr>
          <w:rFonts w:cs="Times New Roman"/>
          <w:lang w:val="fr-CA"/>
        </w:rPr>
        <w:t xml:space="preserve"> (26th ed. 2019), at para. </w:t>
      </w:r>
      <w:r w:rsidRPr="00930F90">
        <w:rPr>
          <w:rFonts w:cs="Times New Roman"/>
        </w:rPr>
        <w:t>2743. In my opinion, this interpretation is dictated by both the English and the French versions of s. 11(</w:t>
      </w:r>
      <w:r w:rsidRPr="00930F90">
        <w:rPr>
          <w:rFonts w:cs="Times New Roman"/>
          <w:i/>
        </w:rPr>
        <w:t>i</w:t>
      </w:r>
      <w:r w:rsidRPr="00930F90">
        <w:rPr>
          <w:rFonts w:cs="Times New Roman"/>
        </w:rPr>
        <w:t>):</w:t>
      </w:r>
    </w:p>
    <w:p w:rsidR="002B7487" w:rsidRDefault="002B7487" w:rsidP="003F67A3">
      <w:pPr>
        <w:pStyle w:val="Citation-AltC"/>
        <w:ind w:left="1440"/>
      </w:pPr>
      <w:r w:rsidRPr="00D5269A">
        <w:rPr>
          <w:b/>
          <w:bCs/>
        </w:rPr>
        <w:lastRenderedPageBreak/>
        <w:t>11.</w:t>
      </w:r>
      <w:r w:rsidRPr="00D5269A">
        <w:t> Any person charged with an offence has the right</w:t>
      </w:r>
    </w:p>
    <w:p w:rsidR="002B7487" w:rsidRPr="00D5269A" w:rsidRDefault="002B7487" w:rsidP="002B7487">
      <w:pPr>
        <w:pStyle w:val="Citation-AltC"/>
      </w:pPr>
    </w:p>
    <w:p w:rsidR="002B7487" w:rsidRDefault="002B7487" w:rsidP="003F67A3">
      <w:pPr>
        <w:pStyle w:val="Citation-AltC"/>
        <w:ind w:left="1440"/>
        <w:jc w:val="center"/>
      </w:pPr>
      <w:r>
        <w:t>. </w:t>
      </w:r>
      <w:r w:rsidRPr="00D5269A">
        <w:t>.</w:t>
      </w:r>
      <w:r>
        <w:t> </w:t>
      </w:r>
      <w:r w:rsidRPr="00D5269A">
        <w:t>.</w:t>
      </w:r>
    </w:p>
    <w:p w:rsidR="002B7487" w:rsidRPr="00D5269A" w:rsidRDefault="002B7487" w:rsidP="002B7487">
      <w:pPr>
        <w:pStyle w:val="Citation-AltC"/>
        <w:jc w:val="center"/>
      </w:pPr>
    </w:p>
    <w:p w:rsidR="002B7487" w:rsidRDefault="002B7487" w:rsidP="003F67A3">
      <w:pPr>
        <w:pStyle w:val="Citation-AltC"/>
        <w:ind w:left="1440"/>
      </w:pPr>
      <w:r w:rsidRPr="00D5269A">
        <w:t>(</w:t>
      </w:r>
      <w:r w:rsidRPr="00D5269A">
        <w:rPr>
          <w:i/>
          <w:iCs/>
        </w:rPr>
        <w:t>i</w:t>
      </w:r>
      <w:r w:rsidRPr="00D5269A">
        <w:t xml:space="preserve">) if found guilty of the offence and if the punishment for the offence has been varied </w:t>
      </w:r>
      <w:r w:rsidRPr="00DC079C">
        <w:rPr>
          <w:u w:val="single"/>
        </w:rPr>
        <w:t>between</w:t>
      </w:r>
      <w:r w:rsidRPr="00D5269A">
        <w:t xml:space="preserve"> the time of commission and the time of sentencing, to the benefit of the </w:t>
      </w:r>
      <w:r w:rsidRPr="00DC079C">
        <w:rPr>
          <w:u w:val="single"/>
        </w:rPr>
        <w:t>lesser</w:t>
      </w:r>
      <w:r w:rsidRPr="00D5269A">
        <w:t xml:space="preserve"> punishment.</w:t>
      </w:r>
    </w:p>
    <w:p w:rsidR="003F67A3" w:rsidRPr="00D5269A" w:rsidRDefault="003F67A3" w:rsidP="003F67A3">
      <w:pPr>
        <w:pStyle w:val="Citation-AltC"/>
        <w:ind w:left="1440"/>
      </w:pPr>
    </w:p>
    <w:p w:rsidR="002B7487" w:rsidRDefault="002B7487" w:rsidP="003F67A3">
      <w:pPr>
        <w:pStyle w:val="Citation-AltC"/>
        <w:ind w:left="1440"/>
        <w:rPr>
          <w:lang w:val="fr-CA"/>
        </w:rPr>
      </w:pPr>
      <w:r w:rsidRPr="00D5269A">
        <w:rPr>
          <w:b/>
          <w:bCs/>
          <w:lang w:val="fr-CA"/>
        </w:rPr>
        <w:t>11.</w:t>
      </w:r>
      <w:r w:rsidRPr="00D5269A">
        <w:rPr>
          <w:lang w:val="fr-CA"/>
        </w:rPr>
        <w:t xml:space="preserve"> Tout </w:t>
      </w:r>
      <w:r w:rsidRPr="006604E4">
        <w:rPr>
          <w:lang w:val="fr-CA"/>
        </w:rPr>
        <w:t>inculpé</w:t>
      </w:r>
      <w:r w:rsidRPr="00D5269A">
        <w:rPr>
          <w:lang w:val="fr-CA"/>
        </w:rPr>
        <w:t xml:space="preserve"> a le droit :</w:t>
      </w:r>
    </w:p>
    <w:p w:rsidR="002B7487" w:rsidRPr="00D5269A" w:rsidRDefault="002B7487" w:rsidP="002B7487">
      <w:pPr>
        <w:pStyle w:val="Citation-AltC"/>
        <w:rPr>
          <w:lang w:val="fr-CA"/>
        </w:rPr>
      </w:pPr>
    </w:p>
    <w:p w:rsidR="002B7487" w:rsidRDefault="002B7487" w:rsidP="002B7487">
      <w:pPr>
        <w:pStyle w:val="Citation-AltC"/>
        <w:jc w:val="center"/>
        <w:rPr>
          <w:lang w:val="fr-CA"/>
        </w:rPr>
      </w:pPr>
      <w:r>
        <w:rPr>
          <w:lang w:val="fr-CA"/>
        </w:rPr>
        <w:t>. </w:t>
      </w:r>
      <w:r w:rsidRPr="00D5269A">
        <w:rPr>
          <w:lang w:val="fr-CA"/>
        </w:rPr>
        <w:t>.</w:t>
      </w:r>
      <w:r>
        <w:rPr>
          <w:lang w:val="fr-CA"/>
        </w:rPr>
        <w:t> </w:t>
      </w:r>
      <w:r w:rsidRPr="00D5269A">
        <w:rPr>
          <w:lang w:val="fr-CA"/>
        </w:rPr>
        <w:t>.</w:t>
      </w:r>
    </w:p>
    <w:p w:rsidR="002B7487" w:rsidRPr="00D5269A" w:rsidRDefault="002B7487" w:rsidP="002B7487">
      <w:pPr>
        <w:pStyle w:val="Citation-AltC"/>
        <w:jc w:val="center"/>
        <w:rPr>
          <w:lang w:val="fr-CA"/>
        </w:rPr>
      </w:pPr>
    </w:p>
    <w:p w:rsidR="002B7487" w:rsidRPr="00D5269A" w:rsidRDefault="002B7487" w:rsidP="003F67A3">
      <w:pPr>
        <w:pStyle w:val="Citation-AltC"/>
        <w:ind w:left="1440"/>
        <w:rPr>
          <w:lang w:val="fr-CA"/>
        </w:rPr>
      </w:pPr>
      <w:r w:rsidRPr="002B7487">
        <w:rPr>
          <w:i/>
          <w:lang w:val="fr-CA"/>
        </w:rPr>
        <w:t>i</w:t>
      </w:r>
      <w:r w:rsidRPr="00D5269A">
        <w:rPr>
          <w:lang w:val="fr-CA"/>
        </w:rPr>
        <w:t xml:space="preserve">) de </w:t>
      </w:r>
      <w:r w:rsidRPr="006604E4">
        <w:rPr>
          <w:lang w:val="fr-CA"/>
        </w:rPr>
        <w:t>bénéficier</w:t>
      </w:r>
      <w:r w:rsidRPr="00D5269A">
        <w:rPr>
          <w:lang w:val="fr-CA"/>
        </w:rPr>
        <w:t xml:space="preserve"> de la peine </w:t>
      </w:r>
      <w:r w:rsidRPr="00DC079C">
        <w:rPr>
          <w:u w:val="single"/>
          <w:lang w:val="fr-CA"/>
        </w:rPr>
        <w:t>la moins sévère</w:t>
      </w:r>
      <w:r w:rsidRPr="00D5269A">
        <w:rPr>
          <w:lang w:val="fr-CA"/>
        </w:rPr>
        <w:t xml:space="preserve">, lorsque la peine qui sanctionne l’infraction dont il est déclaré coupable est modifiée </w:t>
      </w:r>
      <w:r w:rsidRPr="00DC079C">
        <w:rPr>
          <w:u w:val="single"/>
          <w:lang w:val="fr-CA"/>
        </w:rPr>
        <w:t>entre</w:t>
      </w:r>
      <w:r w:rsidRPr="00D5269A">
        <w:rPr>
          <w:lang w:val="fr-CA"/>
        </w:rPr>
        <w:t xml:space="preserve"> le moment de la perpétration de l’infraction et celui de la sentence.</w:t>
      </w:r>
    </w:p>
    <w:p w:rsidR="000738FC" w:rsidRPr="00930F90" w:rsidRDefault="000738FC" w:rsidP="000738FC">
      <w:pPr>
        <w:pStyle w:val="ParaNoNdepar-AltN"/>
        <w:spacing w:before="0"/>
        <w:rPr>
          <w:rFonts w:cs="Times New Roman"/>
        </w:rPr>
      </w:pPr>
      <w:r w:rsidRPr="00930F90">
        <w:rPr>
          <w:rFonts w:cs="Times New Roman"/>
        </w:rPr>
        <w:t xml:space="preserve">I am not convinced that the English word “lesser” dictates a “binary” interpretation: see, e.g., </w:t>
      </w:r>
      <w:r w:rsidRPr="00930F90">
        <w:rPr>
          <w:rFonts w:cs="Times New Roman"/>
          <w:i/>
        </w:rPr>
        <w:t>Collins Canadian Dictionary</w:t>
      </w:r>
      <w:r w:rsidRPr="00930F90">
        <w:rPr>
          <w:rFonts w:cs="Times New Roman"/>
        </w:rPr>
        <w:t xml:space="preserve"> (2010), definition of “lesser”, “not as great in quantity, size, or worth”; </w:t>
      </w:r>
      <w:r w:rsidRPr="00930F90">
        <w:rPr>
          <w:rFonts w:cs="Times New Roman"/>
          <w:i/>
        </w:rPr>
        <w:t>Canadian Oxford Dictionary</w:t>
      </w:r>
      <w:r w:rsidR="00B61BD3">
        <w:rPr>
          <w:rFonts w:cs="Times New Roman"/>
        </w:rPr>
        <w:t xml:space="preserve"> (2nd </w:t>
      </w:r>
      <w:r w:rsidRPr="00930F90">
        <w:rPr>
          <w:rFonts w:cs="Times New Roman"/>
        </w:rPr>
        <w:t xml:space="preserve">ed. 2004), definition of “lesser”, “not so great or much as the other </w:t>
      </w:r>
      <w:r w:rsidRPr="00930F90">
        <w:rPr>
          <w:rFonts w:cs="Times New Roman"/>
          <w:u w:val="single"/>
        </w:rPr>
        <w:t>or</w:t>
      </w:r>
      <w:r w:rsidRPr="00930F90">
        <w:rPr>
          <w:rFonts w:cs="Times New Roman"/>
        </w:rPr>
        <w:t xml:space="preserve"> the rest”</w:t>
      </w:r>
      <w:r w:rsidRPr="00930F90">
        <w:rPr>
          <w:rFonts w:cs="Times New Roman"/>
          <w:i/>
        </w:rPr>
        <w:t xml:space="preserve"> </w:t>
      </w:r>
      <w:r w:rsidRPr="00930F90">
        <w:rPr>
          <w:rFonts w:cs="Times New Roman"/>
        </w:rPr>
        <w:t>(emphasis added). A non</w:t>
      </w:r>
      <w:r w:rsidRPr="00930F90">
        <w:rPr>
          <w:rFonts w:cs="Times New Roman"/>
        </w:rPr>
        <w:noBreakHyphen/>
        <w:t>binary interpretation of “lesser” corresponds to the French version — “</w:t>
      </w:r>
      <w:r w:rsidRPr="00930F90">
        <w:rPr>
          <w:rFonts w:cs="Times New Roman"/>
          <w:i/>
        </w:rPr>
        <w:t>la peine la moins sévère</w:t>
      </w:r>
      <w:r w:rsidRPr="00930F90">
        <w:rPr>
          <w:rFonts w:cs="Times New Roman"/>
        </w:rPr>
        <w:t xml:space="preserve">” — which is in no way limited to a dual comparison: </w:t>
      </w:r>
      <w:r w:rsidRPr="00930F90">
        <w:rPr>
          <w:rFonts w:cs="Times New Roman"/>
          <w:i/>
        </w:rPr>
        <w:t>Le Petit Robert </w:t>
      </w:r>
      <w:r w:rsidRPr="00930F90">
        <w:rPr>
          <w:rFonts w:cs="Times New Roman"/>
        </w:rPr>
        <w:t>(new ed. 2012), definition of “</w:t>
      </w:r>
      <w:r w:rsidRPr="00930F90">
        <w:rPr>
          <w:rFonts w:cs="Times New Roman"/>
          <w:i/>
        </w:rPr>
        <w:t>le moins</w:t>
      </w:r>
      <w:r w:rsidRPr="00930F90">
        <w:rPr>
          <w:rFonts w:cs="Times New Roman"/>
        </w:rPr>
        <w:t>”, [</w:t>
      </w:r>
      <w:r w:rsidRPr="00930F90">
        <w:rPr>
          <w:rFonts w:cs="Times New Roman"/>
          <w:smallCaps/>
        </w:rPr>
        <w:t>translation</w:t>
      </w:r>
      <w:r w:rsidRPr="00930F90">
        <w:rPr>
          <w:rFonts w:cs="Times New Roman"/>
        </w:rPr>
        <w:t xml:space="preserve">] “superlative of </w:t>
      </w:r>
      <w:r w:rsidRPr="00930F90">
        <w:rPr>
          <w:rFonts w:cs="Times New Roman"/>
          <w:i/>
        </w:rPr>
        <w:t>peu</w:t>
      </w:r>
      <w:r w:rsidRPr="00930F90">
        <w:rPr>
          <w:rFonts w:cs="Times New Roman"/>
        </w:rPr>
        <w:t xml:space="preserve"> (little, not much)”.</w:t>
      </w:r>
    </w:p>
    <w:p w:rsidR="000738FC" w:rsidRPr="00930F90" w:rsidRDefault="000738FC" w:rsidP="000738FC">
      <w:pPr>
        <w:pStyle w:val="ParaNoNdepar-AltN"/>
        <w:spacing w:before="0"/>
        <w:rPr>
          <w:rFonts w:cs="Times New Roman"/>
        </w:rPr>
      </w:pPr>
      <w:r w:rsidRPr="00930F90">
        <w:rPr>
          <w:rFonts w:cs="Times New Roman"/>
        </w:rPr>
        <w:t xml:space="preserve">If the legislature had intended to codify the restrictive interpretation proposed by the appellant, a more precise wording would have been necessary. The appellant’s submissions clearly show that there was no shortage of examples of such wordings: see, e.g., </w:t>
      </w:r>
      <w:r w:rsidRPr="00930F90">
        <w:rPr>
          <w:rFonts w:cs="Times New Roman"/>
          <w:i/>
        </w:rPr>
        <w:t>R. v. Docherty</w:t>
      </w:r>
      <w:r w:rsidRPr="00930F90">
        <w:rPr>
          <w:rFonts w:cs="Times New Roman"/>
        </w:rPr>
        <w:t>, [2016] UKSC 62, [2017] 4 All E.R. 263, at paras. 29 et seq.</w:t>
      </w:r>
    </w:p>
    <w:p w:rsidR="000738FC" w:rsidRPr="00930F90" w:rsidRDefault="000738FC" w:rsidP="000738FC">
      <w:pPr>
        <w:pStyle w:val="ParaNoNdepar-AltN"/>
        <w:spacing w:before="0"/>
        <w:rPr>
          <w:rFonts w:cs="Times New Roman"/>
        </w:rPr>
      </w:pPr>
      <w:r w:rsidRPr="00930F90">
        <w:rPr>
          <w:rFonts w:cs="Times New Roman"/>
        </w:rPr>
        <w:lastRenderedPageBreak/>
        <w:t xml:space="preserve">A technical construction such as the one proposed by the appellant is contrary to this Court’s conclusion that a generous </w:t>
      </w:r>
      <w:r w:rsidRPr="00930F90">
        <w:rPr>
          <w:rFonts w:cs="Times New Roman"/>
          <w:i/>
        </w:rPr>
        <w:t>and</w:t>
      </w:r>
      <w:r w:rsidRPr="00930F90">
        <w:rPr>
          <w:rFonts w:cs="Times New Roman"/>
        </w:rPr>
        <w:t xml:space="preserve"> purposive approach must be taken to the interpretation of </w:t>
      </w:r>
      <w:r w:rsidRPr="00930F90">
        <w:rPr>
          <w:rFonts w:cs="Times New Roman"/>
          <w:i/>
        </w:rPr>
        <w:t>Charter</w:t>
      </w:r>
      <w:r w:rsidRPr="00930F90">
        <w:rPr>
          <w:rFonts w:cs="Times New Roman"/>
        </w:rPr>
        <w:t xml:space="preserve"> rights: </w:t>
      </w:r>
      <w:r w:rsidRPr="00930F90">
        <w:rPr>
          <w:rFonts w:cs="Times New Roman"/>
          <w:i/>
        </w:rPr>
        <w:t>Hunter v. Southam Inc.</w:t>
      </w:r>
      <w:r w:rsidRPr="00930F90">
        <w:rPr>
          <w:rFonts w:cs="Times New Roman"/>
        </w:rPr>
        <w:t>, [1984] 2 S.C.R. 145, at pp. 155</w:t>
      </w:r>
      <w:r w:rsidRPr="00930F90">
        <w:rPr>
          <w:rFonts w:cs="Times New Roman"/>
        </w:rPr>
        <w:noBreakHyphen/>
        <w:t xml:space="preserve">56; </w:t>
      </w:r>
      <w:r w:rsidRPr="00930F90">
        <w:rPr>
          <w:rFonts w:cs="Times New Roman"/>
          <w:i/>
        </w:rPr>
        <w:t>R. v. Big M Drug Mart Ltd.</w:t>
      </w:r>
      <w:r w:rsidRPr="00930F90">
        <w:rPr>
          <w:rFonts w:cs="Times New Roman"/>
        </w:rPr>
        <w:t xml:space="preserve">, [1985] 1 S.C.R. 295, at p. 344; </w:t>
      </w:r>
      <w:r w:rsidRPr="00930F90">
        <w:rPr>
          <w:rFonts w:cs="Times New Roman"/>
          <w:i/>
        </w:rPr>
        <w:t>R. v. Grant</w:t>
      </w:r>
      <w:r w:rsidRPr="00930F90">
        <w:rPr>
          <w:rFonts w:cs="Times New Roman"/>
        </w:rPr>
        <w:t xml:space="preserve">, 2009 SCC 32, [2009] 2 S.C.R. 353, at para. 17. Moreover, the Court has held that the meaning of a </w:t>
      </w:r>
      <w:r w:rsidRPr="00930F90">
        <w:rPr>
          <w:rFonts w:cs="Times New Roman"/>
          <w:i/>
        </w:rPr>
        <w:t>Charter</w:t>
      </w:r>
      <w:r w:rsidRPr="00930F90">
        <w:rPr>
          <w:rFonts w:cs="Times New Roman"/>
        </w:rPr>
        <w:t xml:space="preserve"> provision cannot be limited to rights and freedoms that existed before the enactment of the </w:t>
      </w:r>
      <w:r w:rsidRPr="00930F90">
        <w:rPr>
          <w:rFonts w:cs="Times New Roman"/>
          <w:i/>
        </w:rPr>
        <w:t>Charter</w:t>
      </w:r>
      <w:r w:rsidRPr="00930F90">
        <w:rPr>
          <w:rFonts w:cs="Times New Roman"/>
        </w:rPr>
        <w:t xml:space="preserve">, whether by virtue of the common law, international law or otherwise: </w:t>
      </w:r>
      <w:r w:rsidRPr="00930F90">
        <w:rPr>
          <w:rFonts w:cs="Times New Roman"/>
          <w:i/>
        </w:rPr>
        <w:t>Reference re Public Service Employee Relations Act (Alta.)</w:t>
      </w:r>
      <w:r w:rsidRPr="00930F90">
        <w:rPr>
          <w:rFonts w:cs="Times New Roman"/>
        </w:rPr>
        <w:t xml:space="preserve">, [1987] 1 S.C.R. 313, at p. 360; </w:t>
      </w:r>
      <w:r w:rsidRPr="00930F90">
        <w:rPr>
          <w:rFonts w:cs="Times New Roman"/>
          <w:i/>
        </w:rPr>
        <w:t>Manitoba (Attorney General) v. Metropolitan Stores Ltd.</w:t>
      </w:r>
      <w:r w:rsidRPr="00930F90">
        <w:rPr>
          <w:rFonts w:cs="Times New Roman"/>
        </w:rPr>
        <w:t xml:space="preserve">, [1987] 1 S.C.R. 110, at p. 123; </w:t>
      </w:r>
      <w:r w:rsidRPr="00930F90">
        <w:rPr>
          <w:rFonts w:cs="Times New Roman"/>
          <w:i/>
        </w:rPr>
        <w:t>Big M Drug Mart Ltd.</w:t>
      </w:r>
    </w:p>
    <w:p w:rsidR="000738FC" w:rsidRPr="00930F90" w:rsidRDefault="000738FC" w:rsidP="000738FC">
      <w:pPr>
        <w:pStyle w:val="ParaNoNdepar-AltN"/>
        <w:spacing w:before="0"/>
        <w:rPr>
          <w:rFonts w:cs="Times New Roman"/>
        </w:rPr>
      </w:pPr>
      <w:r w:rsidRPr="00930F90">
        <w:rPr>
          <w:rFonts w:cs="Times New Roman"/>
        </w:rPr>
        <w:t>The interpretation adopted by other Canadian courts reflects two objects of s. 11(</w:t>
      </w:r>
      <w:r w:rsidRPr="00930F90">
        <w:rPr>
          <w:rFonts w:cs="Times New Roman"/>
          <w:i/>
        </w:rPr>
        <w:t>i</w:t>
      </w:r>
      <w:r w:rsidRPr="00930F90">
        <w:rPr>
          <w:rFonts w:cs="Times New Roman"/>
        </w:rPr>
        <w:t>) identified by this Court, namely the rule of law and ensuring fairness in criminal proceedings (</w:t>
      </w:r>
      <w:r w:rsidRPr="00930F90">
        <w:rPr>
          <w:rFonts w:cs="Times New Roman"/>
          <w:i/>
        </w:rPr>
        <w:t>R. v. K.R.J.</w:t>
      </w:r>
      <w:r w:rsidR="000C6CF8">
        <w:rPr>
          <w:rFonts w:cs="Times New Roman"/>
        </w:rPr>
        <w:t xml:space="preserve">, 2016 SCC 31, [2016] 1 S.C.R. </w:t>
      </w:r>
      <w:r w:rsidRPr="00930F90">
        <w:rPr>
          <w:rFonts w:cs="Times New Roman"/>
        </w:rPr>
        <w:t>906, at para. 27). As Lord Diplock put it, “acceptance of the rule of law as a constitutional principle requires that a citizen, before committing himself to any course of action, should be able to know in advance what are the legal consequences that will flow from it” (</w:t>
      </w:r>
      <w:r>
        <w:rPr>
          <w:rFonts w:cs="Times New Roman"/>
          <w:i/>
          <w:iCs/>
        </w:rPr>
        <w:t>Black</w:t>
      </w:r>
      <w:r>
        <w:rPr>
          <w:rFonts w:cs="Times New Roman"/>
          <w:i/>
          <w:iCs/>
        </w:rPr>
        <w:noBreakHyphen/>
      </w:r>
      <w:r w:rsidRPr="00930F90">
        <w:rPr>
          <w:rFonts w:cs="Times New Roman"/>
          <w:i/>
          <w:iCs/>
        </w:rPr>
        <w:t>Clawson International Ltd. v. Papierwerke Waldhof</w:t>
      </w:r>
      <w:r w:rsidR="00997668" w:rsidRPr="00A215D4">
        <w:rPr>
          <w:i/>
          <w:lang w:val="en-US"/>
        </w:rPr>
        <w:noBreakHyphen/>
      </w:r>
      <w:r w:rsidRPr="00930F90">
        <w:rPr>
          <w:rFonts w:cs="Times New Roman"/>
          <w:i/>
          <w:iCs/>
        </w:rPr>
        <w:t>Aschaffenburg A.G.</w:t>
      </w:r>
      <w:r w:rsidRPr="00930F90">
        <w:rPr>
          <w:rFonts w:cs="Times New Roman"/>
        </w:rPr>
        <w:t xml:space="preserve">, [1975] A.C. 591 (H.L.), at p. 638). A change in the possible consequences of such a course of action could not only cause unfairness in certain cases, but could also undermine public confidence in the criminal justice system: </w:t>
      </w:r>
      <w:r w:rsidRPr="00930F90">
        <w:rPr>
          <w:rFonts w:cs="Times New Roman"/>
          <w:i/>
        </w:rPr>
        <w:t>K.R.J.</w:t>
      </w:r>
      <w:r w:rsidRPr="00930F90">
        <w:rPr>
          <w:rFonts w:cs="Times New Roman"/>
        </w:rPr>
        <w:t>, at paras. 23 and 25.</w:t>
      </w:r>
    </w:p>
    <w:p w:rsidR="000738FC" w:rsidRPr="00930F90" w:rsidRDefault="000738FC" w:rsidP="000738FC">
      <w:pPr>
        <w:pStyle w:val="ParaNoNdepar-AltN"/>
        <w:spacing w:before="0"/>
        <w:rPr>
          <w:rFonts w:cs="Times New Roman"/>
        </w:rPr>
      </w:pPr>
      <w:r w:rsidRPr="00930F90">
        <w:rPr>
          <w:rFonts w:cs="Times New Roman"/>
        </w:rPr>
        <w:lastRenderedPageBreak/>
        <w:t xml:space="preserve">The interpretation proposed by the appellant would limit the application of these objects to two steps in the criminal process. In my view, there is no principled argument that would justify such a limitation, which is undermined by, among other things, the appellant’s concession that the time of sentencing includes — possibly — the period after the charge is laid. The example given in </w:t>
      </w:r>
      <w:r w:rsidRPr="00930F90">
        <w:rPr>
          <w:rFonts w:cs="Times New Roman"/>
          <w:i/>
        </w:rPr>
        <w:t xml:space="preserve">K.R.J. </w:t>
      </w:r>
      <w:r w:rsidRPr="00930F90">
        <w:rPr>
          <w:rFonts w:cs="Times New Roman"/>
        </w:rPr>
        <w:t xml:space="preserve">— of an accused who, on the strength of an existing punishment, declines to enter a guilty plea and is prepared to take the risk of going to trial — was in no way limiting. On the contrary, there are </w:t>
      </w:r>
      <w:r w:rsidRPr="00930F90">
        <w:rPr>
          <w:rFonts w:cs="Times New Roman"/>
          <w:i/>
        </w:rPr>
        <w:t>several</w:t>
      </w:r>
      <w:r w:rsidRPr="00930F90">
        <w:rPr>
          <w:rFonts w:cs="Times New Roman"/>
        </w:rPr>
        <w:t xml:space="preserve"> points in the course of a criminal investigation and prosecution — before the time of sentencing — at which an individual might be required to make choices in light of punishments then applicable. Some choices might include, among others, the decision whether to cooperate in an investigation, whether to exercise the right to remain silent, whether to enter a plea or whether to submit a joint submission to the sentencing judge. With respect, it seems artificial to fix at only two specific points in time the moment when knowledge of the applicable rules would be more important for a person who has been or may be charged. In fact, this right is grounded in the very possibility that an accused will be required to make choices in light of the existing law at various points in the criminal process. The protection of s. 11(</w:t>
      </w:r>
      <w:r w:rsidRPr="00930F90">
        <w:rPr>
          <w:rFonts w:cs="Times New Roman"/>
          <w:i/>
        </w:rPr>
        <w:t>i</w:t>
      </w:r>
      <w:r w:rsidRPr="00930F90">
        <w:rPr>
          <w:rFonts w:cs="Times New Roman"/>
        </w:rPr>
        <w:t>) cannot be contingent on evidence that the accused relied on the existing law.</w:t>
      </w:r>
    </w:p>
    <w:p w:rsidR="000738FC" w:rsidRPr="00930F90" w:rsidRDefault="000738FC" w:rsidP="000738FC">
      <w:pPr>
        <w:pStyle w:val="ParaNoNdepar-AltN"/>
        <w:spacing w:before="0"/>
        <w:rPr>
          <w:rFonts w:cs="Times New Roman"/>
        </w:rPr>
      </w:pPr>
      <w:r w:rsidRPr="00930F90">
        <w:rPr>
          <w:rFonts w:cs="Times New Roman"/>
        </w:rPr>
        <w:t xml:space="preserve">Nor am I convinced that the possibility that the interpretation adopted by the courts will complicate the analysis of the applicable punishments should weigh against it. First, counsel for the intervener </w:t>
      </w:r>
      <w:r w:rsidR="002B7487">
        <w:rPr>
          <w:rFonts w:cs="Times New Roman"/>
        </w:rPr>
        <w:t xml:space="preserve">the </w:t>
      </w:r>
      <w:r w:rsidRPr="00930F90">
        <w:rPr>
          <w:rFonts w:cs="Times New Roman"/>
        </w:rPr>
        <w:t xml:space="preserve">Attorney General of Ontario was unaware of any problems arising from the law as it now stands with respect to the interpretation </w:t>
      </w:r>
      <w:r w:rsidRPr="00930F90">
        <w:rPr>
          <w:rFonts w:cs="Times New Roman"/>
        </w:rPr>
        <w:lastRenderedPageBreak/>
        <w:t>of s. 11(</w:t>
      </w:r>
      <w:r w:rsidRPr="00930F90">
        <w:rPr>
          <w:rFonts w:cs="Times New Roman"/>
          <w:i/>
        </w:rPr>
        <w:t>i</w:t>
      </w:r>
      <w:r w:rsidRPr="00930F90">
        <w:rPr>
          <w:rFonts w:cs="Times New Roman"/>
        </w:rPr>
        <w:t xml:space="preserve">), which has applied for at least 30 years. Second, Canadian courts habitually consider the possibility of less restrictive sanctions — indeed, they are required to by the </w:t>
      </w:r>
      <w:r w:rsidRPr="00930F90">
        <w:rPr>
          <w:rFonts w:cs="Times New Roman"/>
          <w:i/>
        </w:rPr>
        <w:t>Criminal Code</w:t>
      </w:r>
      <w:r w:rsidRPr="00930F90">
        <w:rPr>
          <w:rFonts w:cs="Times New Roman"/>
        </w:rPr>
        <w:t>: s. 718.2(d) and (e). All things considered, the time of commission of the offence and the time of sentencing will in most cases not be as far apart as in historical sexual assault cases. The possibility that a punishment will be varied several times in the intervening period is therefore also more remote. I think it would be imprudent to rule out an interpretation that provides offenders with more substantial protection where there is no evidence that there are real difficulties, especially in light of the actual wording of the provision.</w:t>
      </w:r>
    </w:p>
    <w:p w:rsidR="000738FC" w:rsidRPr="00930F90" w:rsidRDefault="000738FC" w:rsidP="000738FC">
      <w:pPr>
        <w:pStyle w:val="ParaNoNdepar-AltN"/>
        <w:spacing w:before="0"/>
        <w:rPr>
          <w:rFonts w:cs="Times New Roman"/>
        </w:rPr>
      </w:pPr>
      <w:r w:rsidRPr="00930F90">
        <w:rPr>
          <w:rFonts w:cs="Times New Roman"/>
        </w:rPr>
        <w:t>Finally, the appellant argues that s. 11(</w:t>
      </w:r>
      <w:r w:rsidRPr="00930F90">
        <w:rPr>
          <w:rFonts w:cs="Times New Roman"/>
          <w:i/>
        </w:rPr>
        <w:t>i</w:t>
      </w:r>
      <w:r w:rsidRPr="00930F90">
        <w:rPr>
          <w:rFonts w:cs="Times New Roman"/>
        </w:rPr>
        <w:t xml:space="preserve">) has a third object: to ensure that the imposed punishment corresponds to the social stigma associated with the offence at the time of sentencing. With respect, this proposal seems to confuse the </w:t>
      </w:r>
      <w:r w:rsidRPr="00930F90">
        <w:rPr>
          <w:rFonts w:cs="Times New Roman"/>
          <w:i/>
        </w:rPr>
        <w:t>availability</w:t>
      </w:r>
      <w:r w:rsidRPr="00930F90">
        <w:rPr>
          <w:rFonts w:cs="Times New Roman"/>
        </w:rPr>
        <w:t xml:space="preserve"> of a punishment with its fairness and appropriateness. Crafting a fair and appropriate punishment is a highly individualized exercise that involves a variety of factors, including the gravity of the offence, the extent of the offender’s responsibility and the specific circumstances of each case:</w:t>
      </w:r>
      <w:r w:rsidRPr="00930F90">
        <w:rPr>
          <w:rFonts w:cs="Times New Roman"/>
          <w:i/>
        </w:rPr>
        <w:t xml:space="preserve"> R. v. Lacasse</w:t>
      </w:r>
      <w:r w:rsidR="00F20051">
        <w:rPr>
          <w:rFonts w:cs="Times New Roman"/>
        </w:rPr>
        <w:t xml:space="preserve">, 2015 SCC 64, [2015] 3 </w:t>
      </w:r>
      <w:r w:rsidRPr="00930F90">
        <w:rPr>
          <w:rFonts w:cs="Times New Roman"/>
        </w:rPr>
        <w:t>S.C.R.</w:t>
      </w:r>
      <w:r w:rsidR="00F20051">
        <w:rPr>
          <w:rFonts w:cs="Times New Roman"/>
        </w:rPr>
        <w:t xml:space="preserve"> </w:t>
      </w:r>
      <w:r w:rsidRPr="00930F90">
        <w:rPr>
          <w:rFonts w:cs="Times New Roman"/>
        </w:rPr>
        <w:t>1089, at para. 58. But the fact that a punishment is available in no way means that it will, if imposed, be fair and appropriate in the case in question. In a case involving multiple incidents in which serious acts of sexual abuse were committed against a young relative, it may be that the conditional sentence was not a fair and appropriate punishment. But that is not the question before the Court.</w:t>
      </w:r>
    </w:p>
    <w:p w:rsidR="002636C6" w:rsidRPr="00FC593F" w:rsidRDefault="000738FC" w:rsidP="00FC593F">
      <w:pPr>
        <w:pStyle w:val="ParaNoNdepar-AltN"/>
        <w:spacing w:before="0"/>
        <w:rPr>
          <w:rFonts w:cs="Times New Roman"/>
        </w:rPr>
      </w:pPr>
      <w:r w:rsidRPr="00930F90">
        <w:rPr>
          <w:rFonts w:cs="Times New Roman"/>
        </w:rPr>
        <w:lastRenderedPageBreak/>
        <w:t>For these reasons, I would dismiss the appeal on the merits.</w:t>
      </w:r>
    </w:p>
    <w:p w:rsidR="009B57B3" w:rsidRPr="0069781B" w:rsidRDefault="009B57B3" w:rsidP="00CC4C40">
      <w:pPr>
        <w:pStyle w:val="SCCNormalDoubleSpacing"/>
        <w:spacing w:after="480"/>
        <w:rPr>
          <w:lang w:val="en-US"/>
        </w:rPr>
      </w:pPr>
      <w:r w:rsidRPr="0069781B">
        <w:tab/>
      </w:r>
      <w:r w:rsidR="00656313" w:rsidRPr="0069781B">
        <w:rPr>
          <w:i/>
          <w:lang w:val="en-US"/>
        </w:rPr>
        <w:t>Appeal</w:t>
      </w:r>
      <w:r w:rsidR="003E6BC8" w:rsidRPr="0069781B">
        <w:rPr>
          <w:i/>
          <w:lang w:val="en-US"/>
        </w:rPr>
        <w:t xml:space="preserve"> allowed</w:t>
      </w:r>
      <w:r w:rsidR="00DE7FB2" w:rsidRPr="0069781B">
        <w:rPr>
          <w:i/>
          <w:lang w:val="en-US"/>
        </w:rPr>
        <w:t xml:space="preserve">, </w:t>
      </w:r>
      <w:r w:rsidR="00DE7FB2" w:rsidRPr="0069781B">
        <w:rPr>
          <w:smallCaps/>
          <w:lang w:val="en"/>
        </w:rPr>
        <w:t>Abella</w:t>
      </w:r>
      <w:r w:rsidR="00DE7FB2" w:rsidRPr="0069781B">
        <w:rPr>
          <w:i/>
          <w:iCs/>
          <w:lang w:val="en"/>
        </w:rPr>
        <w:t>,</w:t>
      </w:r>
      <w:r w:rsidR="00DE7FB2" w:rsidRPr="0069781B">
        <w:rPr>
          <w:smallCaps/>
          <w:lang w:val="en"/>
        </w:rPr>
        <w:t xml:space="preserve"> Karakatsanis</w:t>
      </w:r>
      <w:r w:rsidR="00DE7FB2" w:rsidRPr="0069781B">
        <w:rPr>
          <w:i/>
          <w:iCs/>
          <w:lang w:val="en"/>
        </w:rPr>
        <w:t xml:space="preserve"> and </w:t>
      </w:r>
      <w:r w:rsidR="00DE7FB2" w:rsidRPr="0069781B">
        <w:rPr>
          <w:smallCaps/>
          <w:lang w:val="en"/>
        </w:rPr>
        <w:t xml:space="preserve">Brown JJ. </w:t>
      </w:r>
      <w:r w:rsidR="00DE7FB2" w:rsidRPr="0069781B">
        <w:rPr>
          <w:i/>
          <w:iCs/>
          <w:lang w:val="en"/>
        </w:rPr>
        <w:t>dissenting.</w:t>
      </w:r>
    </w:p>
    <w:p w:rsidR="002636C6" w:rsidRPr="0069781B" w:rsidRDefault="00940D57" w:rsidP="00CC4C40">
      <w:pPr>
        <w:pStyle w:val="SCCLawFirm"/>
        <w:spacing w:after="480"/>
        <w:rPr>
          <w:lang w:val="en-US"/>
        </w:rPr>
      </w:pPr>
      <w:r w:rsidRPr="0069781B">
        <w:rPr>
          <w:lang w:val="en-US"/>
        </w:rPr>
        <w:tab/>
        <w:t>Solicitor for the appellant</w:t>
      </w:r>
      <w:r w:rsidR="00CC4C40" w:rsidRPr="0069781B">
        <w:rPr>
          <w:lang w:val="en-US"/>
        </w:rPr>
        <w:t>: </w:t>
      </w:r>
      <w:r w:rsidR="003A3B26" w:rsidRPr="0069781B">
        <w:t>Director of Criminal and Penal Prosecutions</w:t>
      </w:r>
      <w:r w:rsidR="009F0CF4" w:rsidRPr="0069781B">
        <w:rPr>
          <w:lang w:val="en-US"/>
        </w:rPr>
        <w:t>, Longueuil.</w:t>
      </w:r>
    </w:p>
    <w:p w:rsidR="002636C6" w:rsidRPr="0069781B" w:rsidRDefault="009F0CF4" w:rsidP="00CC4C40">
      <w:pPr>
        <w:pStyle w:val="SCCLawFirm"/>
        <w:spacing w:after="480"/>
        <w:rPr>
          <w:lang w:val="fr-CA"/>
        </w:rPr>
      </w:pPr>
      <w:r w:rsidRPr="0069781B">
        <w:rPr>
          <w:lang w:val="en-US"/>
        </w:rPr>
        <w:tab/>
      </w:r>
      <w:r w:rsidR="00940D57" w:rsidRPr="0069781B">
        <w:rPr>
          <w:lang w:val="fr-CA"/>
        </w:rPr>
        <w:t>Solicitors for the respondent</w:t>
      </w:r>
      <w:r w:rsidR="00CC4C40" w:rsidRPr="0069781B">
        <w:rPr>
          <w:lang w:val="fr-CA"/>
        </w:rPr>
        <w:t>: </w:t>
      </w:r>
      <w:r w:rsidRPr="0069781B">
        <w:rPr>
          <w:lang w:val="fr-CA"/>
        </w:rPr>
        <w:t>Poitras, Fournier, Cossette, Granby</w:t>
      </w:r>
      <w:r w:rsidR="00940D57" w:rsidRPr="0069781B">
        <w:rPr>
          <w:lang w:val="fr-CA"/>
        </w:rPr>
        <w:t>; Desrosiers, Joncas, Nouraie, Massicotte, Montréal</w:t>
      </w:r>
      <w:r w:rsidRPr="0069781B">
        <w:rPr>
          <w:lang w:val="fr-CA"/>
        </w:rPr>
        <w:t>.</w:t>
      </w:r>
    </w:p>
    <w:p w:rsidR="002636C6" w:rsidRPr="0069781B" w:rsidRDefault="009F0CF4" w:rsidP="00CC4C40">
      <w:pPr>
        <w:pStyle w:val="SCCLawFirm"/>
        <w:spacing w:after="480"/>
      </w:pPr>
      <w:r w:rsidRPr="0069781B">
        <w:rPr>
          <w:lang w:val="fr-CA"/>
        </w:rPr>
        <w:tab/>
      </w:r>
      <w:r w:rsidR="00940D57" w:rsidRPr="0069781B">
        <w:t>Solicitor</w:t>
      </w:r>
      <w:r w:rsidRPr="0069781B">
        <w:t xml:space="preserve"> for the intervener</w:t>
      </w:r>
      <w:r w:rsidR="00940D57" w:rsidRPr="0069781B">
        <w:t xml:space="preserve"> the Attorney General of Ontario</w:t>
      </w:r>
      <w:r w:rsidR="00CC4C40" w:rsidRPr="0069781B">
        <w:t>: </w:t>
      </w:r>
      <w:r w:rsidRPr="0069781B">
        <w:t>Attorney General of Ontario, Toronto.</w:t>
      </w:r>
    </w:p>
    <w:p w:rsidR="002636C6" w:rsidRPr="0069781B" w:rsidRDefault="009F0CF4" w:rsidP="00CC4C40">
      <w:pPr>
        <w:pStyle w:val="SCCLawFirm"/>
        <w:spacing w:after="480"/>
        <w:rPr>
          <w:lang w:val="fr-CA"/>
        </w:rPr>
      </w:pPr>
      <w:r w:rsidRPr="0069781B">
        <w:tab/>
      </w:r>
      <w:r w:rsidR="00940D57" w:rsidRPr="0069781B">
        <w:rPr>
          <w:lang w:val="fr-CA"/>
        </w:rPr>
        <w:t>Solicitor</w:t>
      </w:r>
      <w:r w:rsidRPr="0069781B">
        <w:rPr>
          <w:lang w:val="fr-CA"/>
        </w:rPr>
        <w:t>s for the intervener Association québécoise des avoca</w:t>
      </w:r>
      <w:r w:rsidR="00940D57" w:rsidRPr="0069781B">
        <w:rPr>
          <w:lang w:val="fr-CA"/>
        </w:rPr>
        <w:t>ts et avocates de la défense</w:t>
      </w:r>
      <w:r w:rsidR="00CC4C40" w:rsidRPr="0069781B">
        <w:rPr>
          <w:lang w:val="fr-CA"/>
        </w:rPr>
        <w:t>: </w:t>
      </w:r>
      <w:r w:rsidR="00940D57" w:rsidRPr="0069781B">
        <w:rPr>
          <w:lang w:val="fr-CA"/>
        </w:rPr>
        <w:t>Carette Desjardins</w:t>
      </w:r>
      <w:r w:rsidRPr="0069781B">
        <w:rPr>
          <w:lang w:val="fr-CA"/>
        </w:rPr>
        <w:t>, Montréal.</w:t>
      </w:r>
    </w:p>
    <w:p w:rsidR="002636C6" w:rsidRPr="0069781B" w:rsidRDefault="009F0CF4">
      <w:pPr>
        <w:pStyle w:val="SCCLawFirm"/>
      </w:pPr>
      <w:r w:rsidRPr="0069781B">
        <w:rPr>
          <w:lang w:val="fr-CA"/>
        </w:rPr>
        <w:tab/>
      </w:r>
      <w:r w:rsidR="00940D57" w:rsidRPr="0069781B">
        <w:t xml:space="preserve">Solicitors </w:t>
      </w:r>
      <w:r w:rsidRPr="0069781B">
        <w:t xml:space="preserve">for the intervener </w:t>
      </w:r>
      <w:r w:rsidR="00940D57" w:rsidRPr="0069781B">
        <w:t xml:space="preserve">the </w:t>
      </w:r>
      <w:r w:rsidRPr="0069781B">
        <w:t>Criminal Lawyers</w:t>
      </w:r>
      <w:r w:rsidR="00EC5EC1" w:rsidRPr="0069781B">
        <w:t>’</w:t>
      </w:r>
      <w:r w:rsidR="00940D57" w:rsidRPr="0069781B">
        <w:t xml:space="preserve"> Association</w:t>
      </w:r>
      <w:r w:rsidR="00CC4C40" w:rsidRPr="0069781B">
        <w:t>: </w:t>
      </w:r>
      <w:r w:rsidRPr="0069781B">
        <w:t>Rusonik, O</w:t>
      </w:r>
      <w:r w:rsidR="00EC5EC1" w:rsidRPr="0069781B">
        <w:t>’</w:t>
      </w:r>
      <w:r w:rsidR="005C13BA" w:rsidRPr="0069781B">
        <w:t>Connor, Ross, Gorham &amp; Angelini</w:t>
      </w:r>
      <w:r w:rsidRPr="0069781B">
        <w:t>, Toronto</w:t>
      </w:r>
      <w:r w:rsidR="005C13BA" w:rsidRPr="0069781B">
        <w:t>; Edward Royle &amp; Partners, Toronto</w:t>
      </w:r>
      <w:r w:rsidRPr="0069781B">
        <w:t>.</w:t>
      </w:r>
    </w:p>
    <w:sectPr w:rsidR="002636C6" w:rsidRPr="0069781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135" w:rsidRDefault="004A1135">
      <w:r>
        <w:separator/>
      </w:r>
    </w:p>
  </w:endnote>
  <w:endnote w:type="continuationSeparator" w:id="0">
    <w:p w:rsidR="004A1135" w:rsidRDefault="004A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E4" w:rsidRDefault="00C70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E4" w:rsidRDefault="00C70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E4" w:rsidRDefault="00C7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135" w:rsidRDefault="004A1135">
      <w:r>
        <w:separator/>
      </w:r>
    </w:p>
  </w:footnote>
  <w:footnote w:type="continuationSeparator" w:id="0">
    <w:p w:rsidR="004A1135" w:rsidRDefault="004A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E4" w:rsidRDefault="00C70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E4" w:rsidRDefault="00C70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0BF5"/>
    <w:multiLevelType w:val="hybridMultilevel"/>
    <w:tmpl w:val="957E92A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07E27"/>
    <w:multiLevelType w:val="hybridMultilevel"/>
    <w:tmpl w:val="570E42DE"/>
    <w:lvl w:ilvl="0" w:tplc="250471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F6851"/>
    <w:multiLevelType w:val="multilevel"/>
    <w:tmpl w:val="8050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CA0487"/>
    <w:multiLevelType w:val="hybridMultilevel"/>
    <w:tmpl w:val="D6FE5BCE"/>
    <w:lvl w:ilvl="0" w:tplc="D95C3970">
      <w:numFmt w:val="bullet"/>
      <w:lvlText w:val="-"/>
      <w:lvlJc w:val="left"/>
      <w:pPr>
        <w:ind w:left="1526" w:hanging="360"/>
      </w:pPr>
      <w:rPr>
        <w:rFonts w:ascii="Times New Roman" w:eastAsia="Times New Roman" w:hAnsi="Times New Roman" w:cs="Times New Roman"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 w15:restartNumberingAfterBreak="0">
    <w:nsid w:val="38BA6F99"/>
    <w:multiLevelType w:val="hybridMultilevel"/>
    <w:tmpl w:val="A9BAC302"/>
    <w:lvl w:ilvl="0" w:tplc="66A67608">
      <w:start w:val="3"/>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7" w15:restartNumberingAfterBreak="0">
    <w:nsid w:val="436361BF"/>
    <w:multiLevelType w:val="hybridMultilevel"/>
    <w:tmpl w:val="0C9AE180"/>
    <w:lvl w:ilvl="0" w:tplc="915C17E0">
      <w:start w:val="1"/>
      <w:numFmt w:val="upperLetter"/>
      <w:lvlText w:val="%1."/>
      <w:lvlJc w:val="left"/>
      <w:pPr>
        <w:ind w:left="720" w:firstLine="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03130A"/>
    <w:multiLevelType w:val="multilevel"/>
    <w:tmpl w:val="1C6495E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 w:ilvl="3">
      <w:start w:val="1"/>
      <w:numFmt w:val="lowerLetter"/>
      <w:pStyle w:val="Title4LevelTitre4Niveau"/>
      <w:lvlText w:val="(%4)"/>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8285D79"/>
    <w:multiLevelType w:val="multilevel"/>
    <w:tmpl w:val="7BCE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52798"/>
    <w:multiLevelType w:val="hybridMultilevel"/>
    <w:tmpl w:val="AC8E6A7A"/>
    <w:lvl w:ilvl="0" w:tplc="D9D8E070">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283EE8"/>
    <w:multiLevelType w:val="multilevel"/>
    <w:tmpl w:val="581A6600"/>
    <w:lvl w:ilvl="0">
      <w:start w:val="1"/>
      <w:numFmt w:val="decimal"/>
      <w:pStyle w:val="ParaNoNdepar-AltN"/>
      <w:lvlText w:val="[%1]"/>
      <w:lvlJc w:val="left"/>
      <w:pPr>
        <w:tabs>
          <w:tab w:val="num" w:pos="1242"/>
        </w:tabs>
        <w:ind w:left="9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907CB8"/>
    <w:multiLevelType w:val="multilevel"/>
    <w:tmpl w:val="04B0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3841DA"/>
    <w:multiLevelType w:val="hybridMultilevel"/>
    <w:tmpl w:val="2774FCC4"/>
    <w:lvl w:ilvl="0" w:tplc="D83E806C">
      <w:start w:val="1"/>
      <w:numFmt w:val="lowerLetter"/>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6" w15:restartNumberingAfterBreak="0">
    <w:nsid w:val="5C557B7F"/>
    <w:multiLevelType w:val="hybridMultilevel"/>
    <w:tmpl w:val="BB6A77A4"/>
    <w:lvl w:ilvl="0" w:tplc="AA7A921C">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7" w15:restartNumberingAfterBreak="0">
    <w:nsid w:val="5DF001F3"/>
    <w:multiLevelType w:val="hybridMultilevel"/>
    <w:tmpl w:val="93A00604"/>
    <w:lvl w:ilvl="0" w:tplc="CF381052">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4"/>
  </w:num>
  <w:num w:numId="3">
    <w:abstractNumId w:val="1"/>
  </w:num>
  <w:num w:numId="4">
    <w:abstractNumId w:val="11"/>
  </w:num>
  <w:num w:numId="5">
    <w:abstractNumId w:val="12"/>
  </w:num>
  <w:num w:numId="6">
    <w:abstractNumId w:val="13"/>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4"/>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7"/>
  </w:num>
  <w:num w:numId="26">
    <w:abstractNumId w:val="14"/>
  </w:num>
  <w:num w:numId="27">
    <w:abstractNumId w:val="9"/>
  </w:num>
  <w:num w:numId="28">
    <w:abstractNumId w:val="10"/>
  </w:num>
  <w:num w:numId="29">
    <w:abstractNumId w:val="15"/>
  </w:num>
  <w:num w:numId="30">
    <w:abstractNumId w:val="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5DE"/>
    <w:rsid w:val="00000ED4"/>
    <w:rsid w:val="000017D5"/>
    <w:rsid w:val="00002F17"/>
    <w:rsid w:val="000069C6"/>
    <w:rsid w:val="00010A19"/>
    <w:rsid w:val="000150A0"/>
    <w:rsid w:val="0002080B"/>
    <w:rsid w:val="00021C27"/>
    <w:rsid w:val="00025198"/>
    <w:rsid w:val="00025E59"/>
    <w:rsid w:val="000311EF"/>
    <w:rsid w:val="000365F4"/>
    <w:rsid w:val="00040ABE"/>
    <w:rsid w:val="000503B7"/>
    <w:rsid w:val="000519F1"/>
    <w:rsid w:val="00051BC8"/>
    <w:rsid w:val="00052A73"/>
    <w:rsid w:val="000578A3"/>
    <w:rsid w:val="00062B12"/>
    <w:rsid w:val="000648CC"/>
    <w:rsid w:val="00072ADE"/>
    <w:rsid w:val="000738FC"/>
    <w:rsid w:val="0008258B"/>
    <w:rsid w:val="00083093"/>
    <w:rsid w:val="00092087"/>
    <w:rsid w:val="00094EE6"/>
    <w:rsid w:val="00095177"/>
    <w:rsid w:val="000A1265"/>
    <w:rsid w:val="000A551C"/>
    <w:rsid w:val="000B5420"/>
    <w:rsid w:val="000B6612"/>
    <w:rsid w:val="000C2106"/>
    <w:rsid w:val="000C24C5"/>
    <w:rsid w:val="000C2EB3"/>
    <w:rsid w:val="000C437E"/>
    <w:rsid w:val="000C4C1C"/>
    <w:rsid w:val="000C59B8"/>
    <w:rsid w:val="000C5F3A"/>
    <w:rsid w:val="000C6AF0"/>
    <w:rsid w:val="000C6CF8"/>
    <w:rsid w:val="000D14CF"/>
    <w:rsid w:val="000D278B"/>
    <w:rsid w:val="000D513D"/>
    <w:rsid w:val="000E42CF"/>
    <w:rsid w:val="000F1151"/>
    <w:rsid w:val="000F3BAC"/>
    <w:rsid w:val="000F52CD"/>
    <w:rsid w:val="00104EF1"/>
    <w:rsid w:val="00104F33"/>
    <w:rsid w:val="00105460"/>
    <w:rsid w:val="00107E1A"/>
    <w:rsid w:val="001101EE"/>
    <w:rsid w:val="00110344"/>
    <w:rsid w:val="001112C6"/>
    <w:rsid w:val="00111DE2"/>
    <w:rsid w:val="00116B38"/>
    <w:rsid w:val="00123BA3"/>
    <w:rsid w:val="0012560F"/>
    <w:rsid w:val="001277C6"/>
    <w:rsid w:val="00127A67"/>
    <w:rsid w:val="001307C0"/>
    <w:rsid w:val="00135406"/>
    <w:rsid w:val="00135972"/>
    <w:rsid w:val="001419DA"/>
    <w:rsid w:val="00142547"/>
    <w:rsid w:val="001426A9"/>
    <w:rsid w:val="00143EF1"/>
    <w:rsid w:val="00144CE6"/>
    <w:rsid w:val="00152758"/>
    <w:rsid w:val="00154D7C"/>
    <w:rsid w:val="001570B0"/>
    <w:rsid w:val="0015752C"/>
    <w:rsid w:val="00157737"/>
    <w:rsid w:val="00162086"/>
    <w:rsid w:val="00165277"/>
    <w:rsid w:val="00170592"/>
    <w:rsid w:val="001705C1"/>
    <w:rsid w:val="00172EF8"/>
    <w:rsid w:val="001766B9"/>
    <w:rsid w:val="00177E85"/>
    <w:rsid w:val="00181CD8"/>
    <w:rsid w:val="001839F1"/>
    <w:rsid w:val="00184C70"/>
    <w:rsid w:val="001858A5"/>
    <w:rsid w:val="0018593C"/>
    <w:rsid w:val="00186351"/>
    <w:rsid w:val="00195D83"/>
    <w:rsid w:val="00197B78"/>
    <w:rsid w:val="001A00C1"/>
    <w:rsid w:val="001A0975"/>
    <w:rsid w:val="001A1A7A"/>
    <w:rsid w:val="001A5241"/>
    <w:rsid w:val="001A7B61"/>
    <w:rsid w:val="001B0317"/>
    <w:rsid w:val="001B33E0"/>
    <w:rsid w:val="001B4573"/>
    <w:rsid w:val="001C2F17"/>
    <w:rsid w:val="001C3094"/>
    <w:rsid w:val="001C3ECA"/>
    <w:rsid w:val="001C779F"/>
    <w:rsid w:val="001D0BC0"/>
    <w:rsid w:val="001D13A6"/>
    <w:rsid w:val="001D2AC1"/>
    <w:rsid w:val="001D4E88"/>
    <w:rsid w:val="001D65FC"/>
    <w:rsid w:val="001E2D7B"/>
    <w:rsid w:val="001E54AE"/>
    <w:rsid w:val="001E7361"/>
    <w:rsid w:val="001E7998"/>
    <w:rsid w:val="001F0E32"/>
    <w:rsid w:val="00212B66"/>
    <w:rsid w:val="00214F81"/>
    <w:rsid w:val="0021530D"/>
    <w:rsid w:val="00220FC2"/>
    <w:rsid w:val="002222F4"/>
    <w:rsid w:val="00224FC0"/>
    <w:rsid w:val="00225EA4"/>
    <w:rsid w:val="00226EAF"/>
    <w:rsid w:val="002319AA"/>
    <w:rsid w:val="00231F3A"/>
    <w:rsid w:val="00234199"/>
    <w:rsid w:val="002361D6"/>
    <w:rsid w:val="002406EE"/>
    <w:rsid w:val="00243EC8"/>
    <w:rsid w:val="002636C6"/>
    <w:rsid w:val="00264197"/>
    <w:rsid w:val="00270D93"/>
    <w:rsid w:val="002745CC"/>
    <w:rsid w:val="00274F8A"/>
    <w:rsid w:val="0027551D"/>
    <w:rsid w:val="002828B4"/>
    <w:rsid w:val="00282BB4"/>
    <w:rsid w:val="00294AD1"/>
    <w:rsid w:val="0029751C"/>
    <w:rsid w:val="002B583D"/>
    <w:rsid w:val="002B7487"/>
    <w:rsid w:val="002B7924"/>
    <w:rsid w:val="002C3730"/>
    <w:rsid w:val="002C4817"/>
    <w:rsid w:val="002C5FF9"/>
    <w:rsid w:val="002C78E3"/>
    <w:rsid w:val="002D0F30"/>
    <w:rsid w:val="002D1DFF"/>
    <w:rsid w:val="002D1E0F"/>
    <w:rsid w:val="002D28C3"/>
    <w:rsid w:val="002D39A4"/>
    <w:rsid w:val="002E41C3"/>
    <w:rsid w:val="002E5C59"/>
    <w:rsid w:val="002E6705"/>
    <w:rsid w:val="002F027D"/>
    <w:rsid w:val="002F1B70"/>
    <w:rsid w:val="002F2CCD"/>
    <w:rsid w:val="002F50E3"/>
    <w:rsid w:val="002F6086"/>
    <w:rsid w:val="0030112D"/>
    <w:rsid w:val="00301D08"/>
    <w:rsid w:val="00301DD6"/>
    <w:rsid w:val="00302C80"/>
    <w:rsid w:val="0030329A"/>
    <w:rsid w:val="00304891"/>
    <w:rsid w:val="0030489E"/>
    <w:rsid w:val="003049A4"/>
    <w:rsid w:val="003067F3"/>
    <w:rsid w:val="0031086F"/>
    <w:rsid w:val="0031414C"/>
    <w:rsid w:val="00314E01"/>
    <w:rsid w:val="0032089D"/>
    <w:rsid w:val="00323997"/>
    <w:rsid w:val="00326C5D"/>
    <w:rsid w:val="003310DE"/>
    <w:rsid w:val="00331C06"/>
    <w:rsid w:val="003323B0"/>
    <w:rsid w:val="00343057"/>
    <w:rsid w:val="00346DC7"/>
    <w:rsid w:val="00346EF9"/>
    <w:rsid w:val="00351419"/>
    <w:rsid w:val="0035169A"/>
    <w:rsid w:val="0035259D"/>
    <w:rsid w:val="003536EF"/>
    <w:rsid w:val="003557EE"/>
    <w:rsid w:val="00355EE3"/>
    <w:rsid w:val="00364B18"/>
    <w:rsid w:val="00371E1A"/>
    <w:rsid w:val="00371E20"/>
    <w:rsid w:val="003777D6"/>
    <w:rsid w:val="003847C5"/>
    <w:rsid w:val="003A0162"/>
    <w:rsid w:val="003A1239"/>
    <w:rsid w:val="003A125D"/>
    <w:rsid w:val="003A1685"/>
    <w:rsid w:val="003A3B26"/>
    <w:rsid w:val="003A4C70"/>
    <w:rsid w:val="003A729D"/>
    <w:rsid w:val="003B1DD4"/>
    <w:rsid w:val="003B215F"/>
    <w:rsid w:val="003B4F0F"/>
    <w:rsid w:val="003C21CF"/>
    <w:rsid w:val="003C6B96"/>
    <w:rsid w:val="003C799C"/>
    <w:rsid w:val="003D0399"/>
    <w:rsid w:val="003D65D5"/>
    <w:rsid w:val="003D6B02"/>
    <w:rsid w:val="003E1C71"/>
    <w:rsid w:val="003E40FE"/>
    <w:rsid w:val="003E4A77"/>
    <w:rsid w:val="003E6BC8"/>
    <w:rsid w:val="003F05CD"/>
    <w:rsid w:val="003F1648"/>
    <w:rsid w:val="003F327B"/>
    <w:rsid w:val="003F374C"/>
    <w:rsid w:val="003F67A3"/>
    <w:rsid w:val="003F760F"/>
    <w:rsid w:val="004011F6"/>
    <w:rsid w:val="004054B6"/>
    <w:rsid w:val="00406166"/>
    <w:rsid w:val="0040704B"/>
    <w:rsid w:val="00410A55"/>
    <w:rsid w:val="00411300"/>
    <w:rsid w:val="0041428C"/>
    <w:rsid w:val="00415417"/>
    <w:rsid w:val="00415C76"/>
    <w:rsid w:val="00415D58"/>
    <w:rsid w:val="0041645E"/>
    <w:rsid w:val="00416A02"/>
    <w:rsid w:val="004213B8"/>
    <w:rsid w:val="00425F22"/>
    <w:rsid w:val="00426659"/>
    <w:rsid w:val="0043289C"/>
    <w:rsid w:val="0043585A"/>
    <w:rsid w:val="004464E9"/>
    <w:rsid w:val="00446D96"/>
    <w:rsid w:val="00450352"/>
    <w:rsid w:val="004506CB"/>
    <w:rsid w:val="0045097E"/>
    <w:rsid w:val="0045221B"/>
    <w:rsid w:val="00454BDB"/>
    <w:rsid w:val="004570C6"/>
    <w:rsid w:val="00460294"/>
    <w:rsid w:val="0046139E"/>
    <w:rsid w:val="0046457A"/>
    <w:rsid w:val="00464800"/>
    <w:rsid w:val="00465132"/>
    <w:rsid w:val="00476176"/>
    <w:rsid w:val="00480C90"/>
    <w:rsid w:val="0048396F"/>
    <w:rsid w:val="00484BCC"/>
    <w:rsid w:val="00493C18"/>
    <w:rsid w:val="004945F6"/>
    <w:rsid w:val="004966D2"/>
    <w:rsid w:val="004A1135"/>
    <w:rsid w:val="004A2362"/>
    <w:rsid w:val="004A39AF"/>
    <w:rsid w:val="004A3DC6"/>
    <w:rsid w:val="004A3F88"/>
    <w:rsid w:val="004A4421"/>
    <w:rsid w:val="004A600C"/>
    <w:rsid w:val="004A6118"/>
    <w:rsid w:val="004C00F4"/>
    <w:rsid w:val="004C455E"/>
    <w:rsid w:val="004C478D"/>
    <w:rsid w:val="004C71F0"/>
    <w:rsid w:val="004D025E"/>
    <w:rsid w:val="004D5469"/>
    <w:rsid w:val="004E10CB"/>
    <w:rsid w:val="004E1EFA"/>
    <w:rsid w:val="004E28EC"/>
    <w:rsid w:val="004E2C26"/>
    <w:rsid w:val="004E6E34"/>
    <w:rsid w:val="004E7745"/>
    <w:rsid w:val="004F01E0"/>
    <w:rsid w:val="004F0EA7"/>
    <w:rsid w:val="004F36FF"/>
    <w:rsid w:val="004F6751"/>
    <w:rsid w:val="004F6BAC"/>
    <w:rsid w:val="004F7140"/>
    <w:rsid w:val="00500A25"/>
    <w:rsid w:val="00500B7C"/>
    <w:rsid w:val="0050298E"/>
    <w:rsid w:val="005059B3"/>
    <w:rsid w:val="00506DE6"/>
    <w:rsid w:val="0051014E"/>
    <w:rsid w:val="005125A8"/>
    <w:rsid w:val="00520C60"/>
    <w:rsid w:val="00521AE8"/>
    <w:rsid w:val="005238CF"/>
    <w:rsid w:val="0052599C"/>
    <w:rsid w:val="00527180"/>
    <w:rsid w:val="00530658"/>
    <w:rsid w:val="00532443"/>
    <w:rsid w:val="00532935"/>
    <w:rsid w:val="0053510C"/>
    <w:rsid w:val="0054201E"/>
    <w:rsid w:val="00553FBA"/>
    <w:rsid w:val="00555291"/>
    <w:rsid w:val="00565250"/>
    <w:rsid w:val="00566AD1"/>
    <w:rsid w:val="00571E91"/>
    <w:rsid w:val="00583EDE"/>
    <w:rsid w:val="005859C3"/>
    <w:rsid w:val="00586A88"/>
    <w:rsid w:val="00596B18"/>
    <w:rsid w:val="005A00FE"/>
    <w:rsid w:val="005A0BEE"/>
    <w:rsid w:val="005A341A"/>
    <w:rsid w:val="005A6079"/>
    <w:rsid w:val="005A62F9"/>
    <w:rsid w:val="005A6350"/>
    <w:rsid w:val="005A716E"/>
    <w:rsid w:val="005B1C15"/>
    <w:rsid w:val="005B28C4"/>
    <w:rsid w:val="005C13BA"/>
    <w:rsid w:val="005C42E8"/>
    <w:rsid w:val="005D2E17"/>
    <w:rsid w:val="005D3BAB"/>
    <w:rsid w:val="005D4D6D"/>
    <w:rsid w:val="005D686E"/>
    <w:rsid w:val="005D7A27"/>
    <w:rsid w:val="005E2DC6"/>
    <w:rsid w:val="005E3BAD"/>
    <w:rsid w:val="005E4698"/>
    <w:rsid w:val="005E6680"/>
    <w:rsid w:val="005E684B"/>
    <w:rsid w:val="005E719B"/>
    <w:rsid w:val="005E7A22"/>
    <w:rsid w:val="005E7BDF"/>
    <w:rsid w:val="005F3885"/>
    <w:rsid w:val="005F55C5"/>
    <w:rsid w:val="00602CD9"/>
    <w:rsid w:val="00610539"/>
    <w:rsid w:val="00613969"/>
    <w:rsid w:val="006159B6"/>
    <w:rsid w:val="006174E9"/>
    <w:rsid w:val="00621EA9"/>
    <w:rsid w:val="0062244F"/>
    <w:rsid w:val="006225A3"/>
    <w:rsid w:val="00623569"/>
    <w:rsid w:val="00625C35"/>
    <w:rsid w:val="00632CB3"/>
    <w:rsid w:val="00634593"/>
    <w:rsid w:val="00637D33"/>
    <w:rsid w:val="0064223F"/>
    <w:rsid w:val="00642BCE"/>
    <w:rsid w:val="00642F9B"/>
    <w:rsid w:val="00643354"/>
    <w:rsid w:val="00655F8E"/>
    <w:rsid w:val="00656313"/>
    <w:rsid w:val="006565F4"/>
    <w:rsid w:val="006604E4"/>
    <w:rsid w:val="006654D7"/>
    <w:rsid w:val="006712AF"/>
    <w:rsid w:val="00672546"/>
    <w:rsid w:val="00674CDD"/>
    <w:rsid w:val="00677CEA"/>
    <w:rsid w:val="00684EEA"/>
    <w:rsid w:val="00692385"/>
    <w:rsid w:val="006924E7"/>
    <w:rsid w:val="00693B27"/>
    <w:rsid w:val="0069689B"/>
    <w:rsid w:val="0069781B"/>
    <w:rsid w:val="00697C06"/>
    <w:rsid w:val="006A1551"/>
    <w:rsid w:val="006A3180"/>
    <w:rsid w:val="006B5FF5"/>
    <w:rsid w:val="006B6846"/>
    <w:rsid w:val="006C20F5"/>
    <w:rsid w:val="006C3923"/>
    <w:rsid w:val="006C441C"/>
    <w:rsid w:val="006D2081"/>
    <w:rsid w:val="006D78E9"/>
    <w:rsid w:val="006E14D3"/>
    <w:rsid w:val="006E3D96"/>
    <w:rsid w:val="006F0559"/>
    <w:rsid w:val="006F1136"/>
    <w:rsid w:val="006F1C4B"/>
    <w:rsid w:val="006F2AC0"/>
    <w:rsid w:val="006F30AF"/>
    <w:rsid w:val="006F3159"/>
    <w:rsid w:val="006F3778"/>
    <w:rsid w:val="006F4FFD"/>
    <w:rsid w:val="00701759"/>
    <w:rsid w:val="00702E12"/>
    <w:rsid w:val="00705C15"/>
    <w:rsid w:val="0071395E"/>
    <w:rsid w:val="0071600E"/>
    <w:rsid w:val="007208D1"/>
    <w:rsid w:val="007221C5"/>
    <w:rsid w:val="00732F4F"/>
    <w:rsid w:val="00744CE8"/>
    <w:rsid w:val="007452C4"/>
    <w:rsid w:val="00746F15"/>
    <w:rsid w:val="00747288"/>
    <w:rsid w:val="00747DD3"/>
    <w:rsid w:val="00752315"/>
    <w:rsid w:val="0075237C"/>
    <w:rsid w:val="007549C8"/>
    <w:rsid w:val="00754A0B"/>
    <w:rsid w:val="00754BD3"/>
    <w:rsid w:val="00755A51"/>
    <w:rsid w:val="00755D10"/>
    <w:rsid w:val="00760F5C"/>
    <w:rsid w:val="00766D14"/>
    <w:rsid w:val="00767A0F"/>
    <w:rsid w:val="0077342B"/>
    <w:rsid w:val="007807D4"/>
    <w:rsid w:val="00780D64"/>
    <w:rsid w:val="007820F7"/>
    <w:rsid w:val="00782471"/>
    <w:rsid w:val="007852BD"/>
    <w:rsid w:val="00787D8A"/>
    <w:rsid w:val="007900AF"/>
    <w:rsid w:val="00791D4C"/>
    <w:rsid w:val="00793E42"/>
    <w:rsid w:val="00795CA3"/>
    <w:rsid w:val="007A05F6"/>
    <w:rsid w:val="007A49A7"/>
    <w:rsid w:val="007B2313"/>
    <w:rsid w:val="007B6F4A"/>
    <w:rsid w:val="007C3466"/>
    <w:rsid w:val="007C4F14"/>
    <w:rsid w:val="007C6DC3"/>
    <w:rsid w:val="007C74DD"/>
    <w:rsid w:val="007D0E76"/>
    <w:rsid w:val="007E1C47"/>
    <w:rsid w:val="007E337A"/>
    <w:rsid w:val="007E3832"/>
    <w:rsid w:val="007E5C70"/>
    <w:rsid w:val="007E787A"/>
    <w:rsid w:val="007F0000"/>
    <w:rsid w:val="007F2FF5"/>
    <w:rsid w:val="007F3F08"/>
    <w:rsid w:val="007F4AD9"/>
    <w:rsid w:val="007F76F4"/>
    <w:rsid w:val="007F7CFF"/>
    <w:rsid w:val="008038D3"/>
    <w:rsid w:val="00804CC6"/>
    <w:rsid w:val="00816B63"/>
    <w:rsid w:val="00817190"/>
    <w:rsid w:val="00820EE5"/>
    <w:rsid w:val="008214C1"/>
    <w:rsid w:val="008260E2"/>
    <w:rsid w:val="0082639D"/>
    <w:rsid w:val="008272BD"/>
    <w:rsid w:val="00827A2D"/>
    <w:rsid w:val="008322BD"/>
    <w:rsid w:val="00832575"/>
    <w:rsid w:val="00833E0A"/>
    <w:rsid w:val="00834F73"/>
    <w:rsid w:val="00837752"/>
    <w:rsid w:val="008401A0"/>
    <w:rsid w:val="00851873"/>
    <w:rsid w:val="00855A6C"/>
    <w:rsid w:val="0086039E"/>
    <w:rsid w:val="0086243A"/>
    <w:rsid w:val="00864CF8"/>
    <w:rsid w:val="008673E2"/>
    <w:rsid w:val="008708BB"/>
    <w:rsid w:val="00872819"/>
    <w:rsid w:val="00874914"/>
    <w:rsid w:val="00874C99"/>
    <w:rsid w:val="00876B54"/>
    <w:rsid w:val="0088601B"/>
    <w:rsid w:val="00891422"/>
    <w:rsid w:val="00891818"/>
    <w:rsid w:val="00892E1A"/>
    <w:rsid w:val="008941A4"/>
    <w:rsid w:val="008A036F"/>
    <w:rsid w:val="008A3F29"/>
    <w:rsid w:val="008B27AD"/>
    <w:rsid w:val="008B660A"/>
    <w:rsid w:val="008B77A1"/>
    <w:rsid w:val="008C01DA"/>
    <w:rsid w:val="008C31A3"/>
    <w:rsid w:val="008D43B0"/>
    <w:rsid w:val="008D5B90"/>
    <w:rsid w:val="008D7C58"/>
    <w:rsid w:val="008D7ED0"/>
    <w:rsid w:val="008E1204"/>
    <w:rsid w:val="008E2033"/>
    <w:rsid w:val="008F6D20"/>
    <w:rsid w:val="008F78E9"/>
    <w:rsid w:val="008F7BB6"/>
    <w:rsid w:val="009009A5"/>
    <w:rsid w:val="009022DB"/>
    <w:rsid w:val="009103A7"/>
    <w:rsid w:val="00911989"/>
    <w:rsid w:val="009179F9"/>
    <w:rsid w:val="00920A85"/>
    <w:rsid w:val="00921551"/>
    <w:rsid w:val="0092255F"/>
    <w:rsid w:val="009252AF"/>
    <w:rsid w:val="0093069C"/>
    <w:rsid w:val="00932FCE"/>
    <w:rsid w:val="00933E5E"/>
    <w:rsid w:val="00935218"/>
    <w:rsid w:val="009403F3"/>
    <w:rsid w:val="00940D57"/>
    <w:rsid w:val="009501E4"/>
    <w:rsid w:val="00953D40"/>
    <w:rsid w:val="009555B7"/>
    <w:rsid w:val="009567AA"/>
    <w:rsid w:val="009569F1"/>
    <w:rsid w:val="00957BB2"/>
    <w:rsid w:val="00967374"/>
    <w:rsid w:val="00971E04"/>
    <w:rsid w:val="00976137"/>
    <w:rsid w:val="00980E63"/>
    <w:rsid w:val="00991564"/>
    <w:rsid w:val="009928D6"/>
    <w:rsid w:val="009940DC"/>
    <w:rsid w:val="00997668"/>
    <w:rsid w:val="009A343A"/>
    <w:rsid w:val="009A5029"/>
    <w:rsid w:val="009B2F23"/>
    <w:rsid w:val="009B57B3"/>
    <w:rsid w:val="009C3B27"/>
    <w:rsid w:val="009C5B92"/>
    <w:rsid w:val="009D2105"/>
    <w:rsid w:val="009D2920"/>
    <w:rsid w:val="009D3192"/>
    <w:rsid w:val="009D3239"/>
    <w:rsid w:val="009D4ABA"/>
    <w:rsid w:val="009D5AEB"/>
    <w:rsid w:val="009D6B88"/>
    <w:rsid w:val="009E45CB"/>
    <w:rsid w:val="009E5CED"/>
    <w:rsid w:val="009F0CF4"/>
    <w:rsid w:val="009F0E33"/>
    <w:rsid w:val="009F15D9"/>
    <w:rsid w:val="00A01463"/>
    <w:rsid w:val="00A02600"/>
    <w:rsid w:val="00A030CE"/>
    <w:rsid w:val="00A046AB"/>
    <w:rsid w:val="00A149DF"/>
    <w:rsid w:val="00A16F8F"/>
    <w:rsid w:val="00A1755C"/>
    <w:rsid w:val="00A215D4"/>
    <w:rsid w:val="00A21B90"/>
    <w:rsid w:val="00A23B83"/>
    <w:rsid w:val="00A25570"/>
    <w:rsid w:val="00A256D4"/>
    <w:rsid w:val="00A26156"/>
    <w:rsid w:val="00A30617"/>
    <w:rsid w:val="00A30E48"/>
    <w:rsid w:val="00A34D2B"/>
    <w:rsid w:val="00A372E2"/>
    <w:rsid w:val="00A37476"/>
    <w:rsid w:val="00A4115F"/>
    <w:rsid w:val="00A415B9"/>
    <w:rsid w:val="00A41805"/>
    <w:rsid w:val="00A42DCD"/>
    <w:rsid w:val="00A43E16"/>
    <w:rsid w:val="00A52AFB"/>
    <w:rsid w:val="00A548CB"/>
    <w:rsid w:val="00A54C56"/>
    <w:rsid w:val="00A5521C"/>
    <w:rsid w:val="00A6233F"/>
    <w:rsid w:val="00A643E7"/>
    <w:rsid w:val="00A67CE0"/>
    <w:rsid w:val="00A73C38"/>
    <w:rsid w:val="00A772E3"/>
    <w:rsid w:val="00A83185"/>
    <w:rsid w:val="00A86211"/>
    <w:rsid w:val="00A86BD2"/>
    <w:rsid w:val="00A907F7"/>
    <w:rsid w:val="00AA154B"/>
    <w:rsid w:val="00AA206C"/>
    <w:rsid w:val="00AA5573"/>
    <w:rsid w:val="00AB670D"/>
    <w:rsid w:val="00AC008C"/>
    <w:rsid w:val="00AC04E8"/>
    <w:rsid w:val="00AC1ED0"/>
    <w:rsid w:val="00AC474C"/>
    <w:rsid w:val="00AC4810"/>
    <w:rsid w:val="00AC732C"/>
    <w:rsid w:val="00AD2041"/>
    <w:rsid w:val="00AD2E83"/>
    <w:rsid w:val="00AD53C2"/>
    <w:rsid w:val="00AE4535"/>
    <w:rsid w:val="00AF03C5"/>
    <w:rsid w:val="00AF1B25"/>
    <w:rsid w:val="00B000D8"/>
    <w:rsid w:val="00B00F75"/>
    <w:rsid w:val="00B0192A"/>
    <w:rsid w:val="00B03AA9"/>
    <w:rsid w:val="00B05564"/>
    <w:rsid w:val="00B0696D"/>
    <w:rsid w:val="00B07A8C"/>
    <w:rsid w:val="00B10568"/>
    <w:rsid w:val="00B107E7"/>
    <w:rsid w:val="00B145B6"/>
    <w:rsid w:val="00B16444"/>
    <w:rsid w:val="00B16E5D"/>
    <w:rsid w:val="00B22F04"/>
    <w:rsid w:val="00B25C62"/>
    <w:rsid w:val="00B279EB"/>
    <w:rsid w:val="00B27D85"/>
    <w:rsid w:val="00B31122"/>
    <w:rsid w:val="00B31481"/>
    <w:rsid w:val="00B35FF3"/>
    <w:rsid w:val="00B373DF"/>
    <w:rsid w:val="00B37869"/>
    <w:rsid w:val="00B4421A"/>
    <w:rsid w:val="00B44D7C"/>
    <w:rsid w:val="00B50C81"/>
    <w:rsid w:val="00B5146C"/>
    <w:rsid w:val="00B51936"/>
    <w:rsid w:val="00B557F8"/>
    <w:rsid w:val="00B56596"/>
    <w:rsid w:val="00B61BD3"/>
    <w:rsid w:val="00B62A83"/>
    <w:rsid w:val="00B70847"/>
    <w:rsid w:val="00B73DF9"/>
    <w:rsid w:val="00B815FC"/>
    <w:rsid w:val="00B93FBC"/>
    <w:rsid w:val="00B96311"/>
    <w:rsid w:val="00B96E18"/>
    <w:rsid w:val="00BA03A1"/>
    <w:rsid w:val="00BA38B2"/>
    <w:rsid w:val="00BA43CD"/>
    <w:rsid w:val="00BA7DA0"/>
    <w:rsid w:val="00BB1F96"/>
    <w:rsid w:val="00BB2EE4"/>
    <w:rsid w:val="00BB39BE"/>
    <w:rsid w:val="00BB7735"/>
    <w:rsid w:val="00BC2108"/>
    <w:rsid w:val="00BC2369"/>
    <w:rsid w:val="00BC3120"/>
    <w:rsid w:val="00BC5915"/>
    <w:rsid w:val="00BD0E9E"/>
    <w:rsid w:val="00BD1918"/>
    <w:rsid w:val="00BD1BEC"/>
    <w:rsid w:val="00BD32FF"/>
    <w:rsid w:val="00BD6C23"/>
    <w:rsid w:val="00BE07D4"/>
    <w:rsid w:val="00BE477D"/>
    <w:rsid w:val="00BE5935"/>
    <w:rsid w:val="00C01CB5"/>
    <w:rsid w:val="00C02092"/>
    <w:rsid w:val="00C05040"/>
    <w:rsid w:val="00C11BA7"/>
    <w:rsid w:val="00C12D59"/>
    <w:rsid w:val="00C20A06"/>
    <w:rsid w:val="00C246DA"/>
    <w:rsid w:val="00C24D91"/>
    <w:rsid w:val="00C25C71"/>
    <w:rsid w:val="00C26C08"/>
    <w:rsid w:val="00C27389"/>
    <w:rsid w:val="00C350C7"/>
    <w:rsid w:val="00C409E7"/>
    <w:rsid w:val="00C40E1E"/>
    <w:rsid w:val="00C41EC6"/>
    <w:rsid w:val="00C43A5A"/>
    <w:rsid w:val="00C442E8"/>
    <w:rsid w:val="00C458CF"/>
    <w:rsid w:val="00C46849"/>
    <w:rsid w:val="00C53F14"/>
    <w:rsid w:val="00C54458"/>
    <w:rsid w:val="00C56179"/>
    <w:rsid w:val="00C600CF"/>
    <w:rsid w:val="00C6084F"/>
    <w:rsid w:val="00C60A6E"/>
    <w:rsid w:val="00C62A66"/>
    <w:rsid w:val="00C63309"/>
    <w:rsid w:val="00C67178"/>
    <w:rsid w:val="00C700E4"/>
    <w:rsid w:val="00C71458"/>
    <w:rsid w:val="00C744A7"/>
    <w:rsid w:val="00C748C2"/>
    <w:rsid w:val="00C77613"/>
    <w:rsid w:val="00C80DC2"/>
    <w:rsid w:val="00C8102C"/>
    <w:rsid w:val="00C8103D"/>
    <w:rsid w:val="00C826CF"/>
    <w:rsid w:val="00C828E7"/>
    <w:rsid w:val="00C84D4C"/>
    <w:rsid w:val="00C85446"/>
    <w:rsid w:val="00C85B0D"/>
    <w:rsid w:val="00C864FE"/>
    <w:rsid w:val="00C86719"/>
    <w:rsid w:val="00C86E35"/>
    <w:rsid w:val="00C91E6F"/>
    <w:rsid w:val="00C921DD"/>
    <w:rsid w:val="00C93311"/>
    <w:rsid w:val="00C95C32"/>
    <w:rsid w:val="00C965C9"/>
    <w:rsid w:val="00CA180C"/>
    <w:rsid w:val="00CA5063"/>
    <w:rsid w:val="00CA6391"/>
    <w:rsid w:val="00CA79B5"/>
    <w:rsid w:val="00CB3FA1"/>
    <w:rsid w:val="00CB78F5"/>
    <w:rsid w:val="00CC34BD"/>
    <w:rsid w:val="00CC3BC9"/>
    <w:rsid w:val="00CC4254"/>
    <w:rsid w:val="00CC4C40"/>
    <w:rsid w:val="00CC5258"/>
    <w:rsid w:val="00CD3273"/>
    <w:rsid w:val="00CD6C7B"/>
    <w:rsid w:val="00CE161A"/>
    <w:rsid w:val="00CE2F07"/>
    <w:rsid w:val="00CE3171"/>
    <w:rsid w:val="00CF0B61"/>
    <w:rsid w:val="00CF1601"/>
    <w:rsid w:val="00CF1C88"/>
    <w:rsid w:val="00CF3DF8"/>
    <w:rsid w:val="00CF7286"/>
    <w:rsid w:val="00D0172F"/>
    <w:rsid w:val="00D068A7"/>
    <w:rsid w:val="00D17476"/>
    <w:rsid w:val="00D200DE"/>
    <w:rsid w:val="00D23C34"/>
    <w:rsid w:val="00D26CAB"/>
    <w:rsid w:val="00D32086"/>
    <w:rsid w:val="00D32EF6"/>
    <w:rsid w:val="00D3425A"/>
    <w:rsid w:val="00D37A3F"/>
    <w:rsid w:val="00D4431D"/>
    <w:rsid w:val="00D4667A"/>
    <w:rsid w:val="00D54B2D"/>
    <w:rsid w:val="00D55BAF"/>
    <w:rsid w:val="00D6294A"/>
    <w:rsid w:val="00D63A1C"/>
    <w:rsid w:val="00D640EB"/>
    <w:rsid w:val="00D66E6A"/>
    <w:rsid w:val="00D7516F"/>
    <w:rsid w:val="00D7680B"/>
    <w:rsid w:val="00D76E79"/>
    <w:rsid w:val="00D8149C"/>
    <w:rsid w:val="00D8579F"/>
    <w:rsid w:val="00D94B9C"/>
    <w:rsid w:val="00D94D41"/>
    <w:rsid w:val="00D95F8E"/>
    <w:rsid w:val="00D97608"/>
    <w:rsid w:val="00DA0590"/>
    <w:rsid w:val="00DA6CB7"/>
    <w:rsid w:val="00DB7BEA"/>
    <w:rsid w:val="00DC079C"/>
    <w:rsid w:val="00DC1739"/>
    <w:rsid w:val="00DC1788"/>
    <w:rsid w:val="00DC1BD1"/>
    <w:rsid w:val="00DC4EC8"/>
    <w:rsid w:val="00DC7E2C"/>
    <w:rsid w:val="00DC7EF6"/>
    <w:rsid w:val="00DD03C0"/>
    <w:rsid w:val="00DD0A79"/>
    <w:rsid w:val="00DD72B1"/>
    <w:rsid w:val="00DD7435"/>
    <w:rsid w:val="00DE007F"/>
    <w:rsid w:val="00DE07F2"/>
    <w:rsid w:val="00DE1987"/>
    <w:rsid w:val="00DE1F26"/>
    <w:rsid w:val="00DE263F"/>
    <w:rsid w:val="00DE319C"/>
    <w:rsid w:val="00DE7684"/>
    <w:rsid w:val="00DE7FB2"/>
    <w:rsid w:val="00DF0CA8"/>
    <w:rsid w:val="00DF2B48"/>
    <w:rsid w:val="00DF3637"/>
    <w:rsid w:val="00DF49A7"/>
    <w:rsid w:val="00E00A21"/>
    <w:rsid w:val="00E07EE2"/>
    <w:rsid w:val="00E07FD1"/>
    <w:rsid w:val="00E11A22"/>
    <w:rsid w:val="00E15640"/>
    <w:rsid w:val="00E176D8"/>
    <w:rsid w:val="00E24573"/>
    <w:rsid w:val="00E25E1E"/>
    <w:rsid w:val="00E261E7"/>
    <w:rsid w:val="00E26307"/>
    <w:rsid w:val="00E27B4B"/>
    <w:rsid w:val="00E27EE7"/>
    <w:rsid w:val="00E34BCB"/>
    <w:rsid w:val="00E35404"/>
    <w:rsid w:val="00E3770E"/>
    <w:rsid w:val="00E378DD"/>
    <w:rsid w:val="00E45109"/>
    <w:rsid w:val="00E47B7A"/>
    <w:rsid w:val="00E51B28"/>
    <w:rsid w:val="00E56841"/>
    <w:rsid w:val="00E56A44"/>
    <w:rsid w:val="00E60269"/>
    <w:rsid w:val="00E6078C"/>
    <w:rsid w:val="00E67309"/>
    <w:rsid w:val="00E67C5A"/>
    <w:rsid w:val="00E7597C"/>
    <w:rsid w:val="00E77932"/>
    <w:rsid w:val="00E77E2C"/>
    <w:rsid w:val="00E833F9"/>
    <w:rsid w:val="00E86AEB"/>
    <w:rsid w:val="00E97830"/>
    <w:rsid w:val="00EA317D"/>
    <w:rsid w:val="00EA536D"/>
    <w:rsid w:val="00EB1578"/>
    <w:rsid w:val="00EB1880"/>
    <w:rsid w:val="00EB26BF"/>
    <w:rsid w:val="00EB2908"/>
    <w:rsid w:val="00EB2AFD"/>
    <w:rsid w:val="00EC275B"/>
    <w:rsid w:val="00EC3E34"/>
    <w:rsid w:val="00EC5EC1"/>
    <w:rsid w:val="00ED01F4"/>
    <w:rsid w:val="00ED2886"/>
    <w:rsid w:val="00ED327D"/>
    <w:rsid w:val="00ED518F"/>
    <w:rsid w:val="00EE00EC"/>
    <w:rsid w:val="00EE47A0"/>
    <w:rsid w:val="00EE643C"/>
    <w:rsid w:val="00EE7DD9"/>
    <w:rsid w:val="00EF0683"/>
    <w:rsid w:val="00EF59E8"/>
    <w:rsid w:val="00EF69D2"/>
    <w:rsid w:val="00EF766E"/>
    <w:rsid w:val="00F001D0"/>
    <w:rsid w:val="00F0037E"/>
    <w:rsid w:val="00F0070C"/>
    <w:rsid w:val="00F00EB7"/>
    <w:rsid w:val="00F016B6"/>
    <w:rsid w:val="00F051C3"/>
    <w:rsid w:val="00F06C81"/>
    <w:rsid w:val="00F10244"/>
    <w:rsid w:val="00F15687"/>
    <w:rsid w:val="00F16737"/>
    <w:rsid w:val="00F169B8"/>
    <w:rsid w:val="00F20051"/>
    <w:rsid w:val="00F25EB7"/>
    <w:rsid w:val="00F36AB6"/>
    <w:rsid w:val="00F37A09"/>
    <w:rsid w:val="00F409CE"/>
    <w:rsid w:val="00F414C7"/>
    <w:rsid w:val="00F4379D"/>
    <w:rsid w:val="00F50D2D"/>
    <w:rsid w:val="00F534BC"/>
    <w:rsid w:val="00F56C8B"/>
    <w:rsid w:val="00F66810"/>
    <w:rsid w:val="00F705D2"/>
    <w:rsid w:val="00F711A3"/>
    <w:rsid w:val="00F754D4"/>
    <w:rsid w:val="00F82D55"/>
    <w:rsid w:val="00F846D9"/>
    <w:rsid w:val="00F84DF4"/>
    <w:rsid w:val="00F85C97"/>
    <w:rsid w:val="00F92987"/>
    <w:rsid w:val="00FA2B88"/>
    <w:rsid w:val="00FA2D56"/>
    <w:rsid w:val="00FA3B64"/>
    <w:rsid w:val="00FA76AF"/>
    <w:rsid w:val="00FB1551"/>
    <w:rsid w:val="00FB1AE0"/>
    <w:rsid w:val="00FB37D2"/>
    <w:rsid w:val="00FB417A"/>
    <w:rsid w:val="00FC4EFB"/>
    <w:rsid w:val="00FC593F"/>
    <w:rsid w:val="00FC6A80"/>
    <w:rsid w:val="00FD068D"/>
    <w:rsid w:val="00FD2B17"/>
    <w:rsid w:val="00FD49AB"/>
    <w:rsid w:val="00FD4F28"/>
    <w:rsid w:val="00FE6784"/>
    <w:rsid w:val="00FE6EF2"/>
    <w:rsid w:val="00FE7310"/>
    <w:rsid w:val="00FF1315"/>
    <w:rsid w:val="00FF22E8"/>
    <w:rsid w:val="00FF293B"/>
    <w:rsid w:val="00FF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38F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2E41C3"/>
  </w:style>
  <w:style w:type="character" w:customStyle="1" w:styleId="Heading3Char">
    <w:name w:val="Heading 3 Char"/>
    <w:basedOn w:val="DefaultParagraphFont"/>
    <w:link w:val="Heading3"/>
    <w:uiPriority w:val="9"/>
    <w:semiHidden/>
    <w:rsid w:val="000738FC"/>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0738FC"/>
    <w:pPr>
      <w:spacing w:after="480"/>
    </w:pPr>
    <w:rPr>
      <w:rFonts w:eastAsiaTheme="minorHAnsi" w:cstheme="minorBidi"/>
      <w:szCs w:val="22"/>
      <w:lang w:eastAsia="en-US"/>
    </w:rPr>
  </w:style>
  <w:style w:type="paragraph" w:customStyle="1" w:styleId="SCCCoram">
    <w:name w:val="SCC.Coram"/>
    <w:basedOn w:val="Normal"/>
    <w:next w:val="Normal"/>
    <w:link w:val="SCCCoramChar"/>
    <w:rsid w:val="000738F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738F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738FC"/>
    <w:rPr>
      <w:rFonts w:eastAsiaTheme="minorHAnsi" w:cstheme="minorBidi"/>
      <w:sz w:val="24"/>
      <w:szCs w:val="22"/>
      <w:lang w:eastAsia="en-US"/>
    </w:rPr>
  </w:style>
  <w:style w:type="character" w:customStyle="1" w:styleId="SCCBanSummaryChar">
    <w:name w:val="SCC.BanSummary Char"/>
    <w:basedOn w:val="DefaultParagraphFont"/>
    <w:link w:val="SCCBanSummary"/>
    <w:rsid w:val="000738FC"/>
    <w:rPr>
      <w:b/>
      <w:sz w:val="24"/>
    </w:rPr>
  </w:style>
  <w:style w:type="table" w:styleId="TableGrid">
    <w:name w:val="Table Grid"/>
    <w:basedOn w:val="TableNormal"/>
    <w:uiPriority w:val="59"/>
    <w:rsid w:val="000738F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738F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738F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738FC"/>
    <w:pPr>
      <w:tabs>
        <w:tab w:val="left" w:pos="1166"/>
      </w:tabs>
      <w:spacing w:after="480" w:line="480" w:lineRule="auto"/>
    </w:pPr>
    <w:rPr>
      <w:smallCaps/>
      <w:sz w:val="24"/>
      <w:szCs w:val="24"/>
    </w:rPr>
  </w:style>
  <w:style w:type="paragraph" w:customStyle="1" w:styleId="ParaNoNdepar-AltN">
    <w:name w:val="Para. No. / Nº de par. - Alt N"/>
    <w:qFormat/>
    <w:rsid w:val="000738FC"/>
    <w:pPr>
      <w:numPr>
        <w:numId w:val="6"/>
      </w:numPr>
      <w:tabs>
        <w:tab w:val="clear" w:pos="1242"/>
        <w:tab w:val="num" w:pos="1152"/>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738FC"/>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738F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738FC"/>
    <w:pPr>
      <w:numPr>
        <w:ilvl w:val="2"/>
      </w:numPr>
      <w:outlineLvl w:val="2"/>
    </w:pPr>
  </w:style>
  <w:style w:type="paragraph" w:customStyle="1" w:styleId="Title4LevelTitre4Niveau">
    <w:name w:val="Title 4 Level / Titre 4 Niveau"/>
    <w:basedOn w:val="Title3LevelTitre3Niveau"/>
    <w:next w:val="ParaNoNdepar-AltN"/>
    <w:uiPriority w:val="4"/>
    <w:qFormat/>
    <w:rsid w:val="000738F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738FC"/>
    <w:pPr>
      <w:numPr>
        <w:ilvl w:val="4"/>
      </w:numPr>
      <w:outlineLvl w:val="4"/>
    </w:pPr>
  </w:style>
  <w:style w:type="paragraph" w:styleId="TOC1">
    <w:name w:val="toc 1"/>
    <w:basedOn w:val="Normal"/>
    <w:next w:val="Normal"/>
    <w:autoRedefine/>
    <w:uiPriority w:val="39"/>
    <w:unhideWhenUsed/>
    <w:rsid w:val="000738FC"/>
    <w:pPr>
      <w:keepNext/>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738FC"/>
    <w:pPr>
      <w:tabs>
        <w:tab w:val="left" w:pos="720"/>
        <w:tab w:val="right" w:leader="dot" w:pos="8270"/>
      </w:tabs>
      <w:spacing w:before="120" w:after="120"/>
      <w:ind w:left="792" w:hanging="432"/>
    </w:pPr>
    <w:rPr>
      <w:i/>
      <w:szCs w:val="24"/>
    </w:rPr>
  </w:style>
  <w:style w:type="paragraph" w:styleId="TOC3">
    <w:name w:val="toc 3"/>
    <w:basedOn w:val="Normal"/>
    <w:next w:val="Normal"/>
    <w:autoRedefine/>
    <w:uiPriority w:val="39"/>
    <w:unhideWhenUsed/>
    <w:rsid w:val="000738FC"/>
    <w:pPr>
      <w:tabs>
        <w:tab w:val="left" w:pos="1080"/>
        <w:tab w:val="right" w:leader="dot" w:pos="8270"/>
      </w:tabs>
      <w:spacing w:before="120" w:after="120"/>
      <w:ind w:left="1152" w:hanging="432"/>
    </w:pPr>
    <w:rPr>
      <w:noProof/>
      <w:u w:val="single"/>
    </w:rPr>
  </w:style>
  <w:style w:type="paragraph" w:styleId="TOC4">
    <w:name w:val="toc 4"/>
    <w:basedOn w:val="Normal"/>
    <w:next w:val="Normal"/>
    <w:autoRedefine/>
    <w:uiPriority w:val="39"/>
    <w:unhideWhenUsed/>
    <w:rsid w:val="000738FC"/>
    <w:pPr>
      <w:tabs>
        <w:tab w:val="left" w:pos="900"/>
        <w:tab w:val="right" w:leader="dot" w:pos="8270"/>
      </w:tabs>
      <w:spacing w:before="120" w:after="120"/>
      <w:ind w:left="1526" w:hanging="446"/>
    </w:pPr>
    <w:rPr>
      <w:rFonts w:eastAsiaTheme="minorEastAsia" w:cstheme="minorBidi"/>
      <w:i/>
      <w:noProof/>
      <w:szCs w:val="22"/>
    </w:rPr>
  </w:style>
  <w:style w:type="paragraph" w:styleId="TOC5">
    <w:name w:val="toc 5"/>
    <w:basedOn w:val="Normal"/>
    <w:next w:val="Normal"/>
    <w:autoRedefine/>
    <w:uiPriority w:val="39"/>
    <w:unhideWhenUsed/>
    <w:rsid w:val="000738FC"/>
    <w:pPr>
      <w:tabs>
        <w:tab w:val="left" w:pos="1440"/>
        <w:tab w:val="right" w:leader="dot" w:pos="8270"/>
      </w:tabs>
      <w:spacing w:before="120" w:after="120"/>
      <w:ind w:left="1987" w:hanging="547"/>
    </w:pPr>
    <w:rPr>
      <w:noProof/>
      <w:u w:val="single"/>
    </w:rPr>
  </w:style>
  <w:style w:type="paragraph" w:styleId="TOC6">
    <w:name w:val="toc 6"/>
    <w:basedOn w:val="Normal"/>
    <w:next w:val="Normal"/>
    <w:autoRedefine/>
    <w:uiPriority w:val="39"/>
    <w:unhideWhenUsed/>
    <w:rsid w:val="000738FC"/>
    <w:pPr>
      <w:tabs>
        <w:tab w:val="left" w:pos="2160"/>
        <w:tab w:val="right" w:leader="dot" w:pos="8270"/>
      </w:tabs>
      <w:spacing w:after="100"/>
      <w:ind w:left="1800"/>
    </w:pPr>
    <w:rPr>
      <w:noProof/>
    </w:rPr>
  </w:style>
  <w:style w:type="table" w:customStyle="1" w:styleId="TableGrid1">
    <w:name w:val="Table Grid1"/>
    <w:basedOn w:val="TableNormal"/>
    <w:uiPriority w:val="59"/>
    <w:rsid w:val="000738F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738F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738FC"/>
    <w:pPr>
      <w:numPr>
        <w:ilvl w:val="5"/>
      </w:numPr>
      <w:outlineLvl w:val="5"/>
    </w:pPr>
    <w:rPr>
      <w:i/>
      <w:u w:val="none"/>
    </w:rPr>
  </w:style>
  <w:style w:type="paragraph" w:styleId="FootnoteText">
    <w:name w:val="footnote text"/>
    <w:basedOn w:val="Normal"/>
    <w:link w:val="FootnoteTextChar"/>
    <w:uiPriority w:val="99"/>
    <w:unhideWhenUsed/>
    <w:rsid w:val="000738F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738FC"/>
  </w:style>
  <w:style w:type="character" w:styleId="FootnoteReference">
    <w:name w:val="footnote reference"/>
    <w:basedOn w:val="DefaultParagraphFont"/>
    <w:uiPriority w:val="99"/>
    <w:semiHidden/>
    <w:unhideWhenUsed/>
    <w:rsid w:val="000738FC"/>
    <w:rPr>
      <w:vertAlign w:val="superscript"/>
    </w:rPr>
  </w:style>
  <w:style w:type="character" w:styleId="Hyperlink">
    <w:name w:val="Hyperlink"/>
    <w:basedOn w:val="DefaultParagraphFont"/>
    <w:uiPriority w:val="99"/>
    <w:unhideWhenUsed/>
    <w:rsid w:val="000738FC"/>
    <w:rPr>
      <w:color w:val="0000FF" w:themeColor="hyperlink"/>
      <w:u w:val="single"/>
    </w:rPr>
  </w:style>
  <w:style w:type="character" w:customStyle="1" w:styleId="decisia-reflex2-icon">
    <w:name w:val="decisia-reflex2-icon"/>
    <w:basedOn w:val="DefaultParagraphFont"/>
    <w:rsid w:val="000738FC"/>
    <w:rPr>
      <w:sz w:val="19"/>
      <w:szCs w:val="19"/>
    </w:rPr>
  </w:style>
  <w:style w:type="paragraph" w:styleId="CommentText">
    <w:name w:val="annotation text"/>
    <w:basedOn w:val="Normal"/>
    <w:link w:val="CommentTextChar"/>
    <w:uiPriority w:val="99"/>
    <w:unhideWhenUsed/>
    <w:rsid w:val="000738FC"/>
    <w:rPr>
      <w:sz w:val="20"/>
    </w:rPr>
  </w:style>
  <w:style w:type="character" w:customStyle="1" w:styleId="CommentTextChar">
    <w:name w:val="Comment Text Char"/>
    <w:basedOn w:val="DefaultParagraphFont"/>
    <w:link w:val="CommentText"/>
    <w:uiPriority w:val="99"/>
    <w:rsid w:val="000738FC"/>
  </w:style>
  <w:style w:type="paragraph" w:styleId="NoSpacing">
    <w:name w:val="No Spacing"/>
    <w:uiPriority w:val="1"/>
    <w:qFormat/>
    <w:rsid w:val="000738FC"/>
    <w:rPr>
      <w:sz w:val="24"/>
    </w:rPr>
  </w:style>
  <w:style w:type="paragraph" w:customStyle="1" w:styleId="Leg">
    <w:name w:val="Leg"/>
    <w:basedOn w:val="Normal"/>
    <w:uiPriority w:val="2"/>
    <w:qFormat/>
    <w:rsid w:val="000738FC"/>
    <w:pPr>
      <w:keepNext/>
      <w:keepLines/>
      <w:spacing w:before="60" w:after="60"/>
    </w:pPr>
    <w:rPr>
      <w:sz w:val="22"/>
      <w:szCs w:val="22"/>
      <w:lang w:val="fr-CA"/>
    </w:rPr>
  </w:style>
  <w:style w:type="paragraph" w:customStyle="1" w:styleId="Leg-Sub1">
    <w:name w:val="Leg - Sub 1"/>
    <w:basedOn w:val="Leg"/>
    <w:uiPriority w:val="2"/>
    <w:qFormat/>
    <w:rsid w:val="000738FC"/>
    <w:pPr>
      <w:ind w:left="706" w:hanging="346"/>
    </w:pPr>
  </w:style>
  <w:style w:type="character" w:styleId="CommentReference">
    <w:name w:val="annotation reference"/>
    <w:basedOn w:val="DefaultParagraphFont"/>
    <w:uiPriority w:val="99"/>
    <w:semiHidden/>
    <w:unhideWhenUsed/>
    <w:rsid w:val="000738FC"/>
    <w:rPr>
      <w:sz w:val="16"/>
      <w:szCs w:val="16"/>
    </w:rPr>
  </w:style>
  <w:style w:type="paragraph" w:styleId="CommentSubject">
    <w:name w:val="annotation subject"/>
    <w:basedOn w:val="CommentText"/>
    <w:next w:val="CommentText"/>
    <w:link w:val="CommentSubjectChar"/>
    <w:uiPriority w:val="99"/>
    <w:semiHidden/>
    <w:unhideWhenUsed/>
    <w:rsid w:val="000738FC"/>
    <w:rPr>
      <w:b/>
      <w:bCs/>
      <w:lang w:val="fr-CA"/>
    </w:rPr>
  </w:style>
  <w:style w:type="character" w:customStyle="1" w:styleId="CommentSubjectChar">
    <w:name w:val="Comment Subject Char"/>
    <w:basedOn w:val="CommentTextChar"/>
    <w:link w:val="CommentSubject"/>
    <w:uiPriority w:val="99"/>
    <w:semiHidden/>
    <w:rsid w:val="000738FC"/>
    <w:rPr>
      <w:b/>
      <w:bCs/>
      <w:lang w:val="fr-CA"/>
    </w:rPr>
  </w:style>
  <w:style w:type="character" w:customStyle="1" w:styleId="apple-converted-space">
    <w:name w:val="apple-converted-space"/>
    <w:basedOn w:val="DefaultParagraphFont"/>
    <w:rsid w:val="000738FC"/>
  </w:style>
  <w:style w:type="character" w:customStyle="1" w:styleId="formecanonique">
    <w:name w:val="formecanonique"/>
    <w:basedOn w:val="DefaultParagraphFont"/>
    <w:rsid w:val="000738FC"/>
  </w:style>
  <w:style w:type="character" w:customStyle="1" w:styleId="categorie">
    <w:name w:val="categorie"/>
    <w:basedOn w:val="DefaultParagraphFont"/>
    <w:rsid w:val="000738FC"/>
  </w:style>
  <w:style w:type="character" w:customStyle="1" w:styleId="exemple">
    <w:name w:val="exemple"/>
    <w:basedOn w:val="DefaultParagraphFont"/>
    <w:rsid w:val="000738FC"/>
  </w:style>
  <w:style w:type="character" w:customStyle="1" w:styleId="surlignay">
    <w:name w:val="surlignay"/>
    <w:basedOn w:val="DefaultParagraphFont"/>
    <w:rsid w:val="000738FC"/>
  </w:style>
  <w:style w:type="paragraph" w:styleId="Revision">
    <w:name w:val="Revision"/>
    <w:hidden/>
    <w:uiPriority w:val="99"/>
    <w:semiHidden/>
    <w:rsid w:val="000738FC"/>
    <w:rPr>
      <w:sz w:val="24"/>
      <w:lang w:val="fr-CA"/>
    </w:rPr>
  </w:style>
  <w:style w:type="paragraph" w:styleId="ListParagraph">
    <w:name w:val="List Paragraph"/>
    <w:basedOn w:val="Normal"/>
    <w:uiPriority w:val="34"/>
    <w:qFormat/>
    <w:rsid w:val="000738FC"/>
    <w:pPr>
      <w:ind w:left="720"/>
      <w:contextualSpacing/>
    </w:pPr>
    <w:rPr>
      <w:rFonts w:eastAsiaTheme="minorHAnsi" w:cstheme="minorBidi"/>
      <w:szCs w:val="22"/>
      <w:lang w:val="fr-CA" w:eastAsia="en-US"/>
    </w:rPr>
  </w:style>
  <w:style w:type="character" w:customStyle="1" w:styleId="reflex">
    <w:name w:val="reflex"/>
    <w:basedOn w:val="DefaultParagraphFont"/>
    <w:rsid w:val="000738FC"/>
  </w:style>
  <w:style w:type="character" w:customStyle="1" w:styleId="reflex3-block">
    <w:name w:val="reflex3-block"/>
    <w:basedOn w:val="DefaultParagraphFont"/>
    <w:rsid w:val="000738FC"/>
  </w:style>
  <w:style w:type="character" w:customStyle="1" w:styleId="reflex3-alt">
    <w:name w:val="reflex3-alt"/>
    <w:basedOn w:val="DefaultParagraphFont"/>
    <w:rsid w:val="000738FC"/>
  </w:style>
  <w:style w:type="table" w:customStyle="1" w:styleId="TableGrid2">
    <w:name w:val="Table Grid2"/>
    <w:basedOn w:val="TableNormal"/>
    <w:next w:val="TableGrid"/>
    <w:uiPriority w:val="59"/>
    <w:rsid w:val="000738F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FD2B1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FD2B17"/>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BF70-5356-4B91-94E7-3D25DB04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20943</Words>
  <Characters>119377</Characters>
  <Application>Microsoft Office Word</Application>
  <DocSecurity>0</DocSecurity>
  <Lines>994</Lines>
  <Paragraphs>280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2019-10-11T11:27:00Z</dcterms:created>
  <dcterms:modified xsi:type="dcterms:W3CDTF">2022-02-09T19:25:00Z</dcterms:modified>
</cp:coreProperties>
</file>