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360"/>
      </w:tblGrid>
      <w:tr w:rsidR="00A22ADE" w:rsidTr="00374332">
        <w:trPr>
          <w:trHeight w:val="1784"/>
        </w:trPr>
        <w:tc>
          <w:tcPr>
            <w:tcW w:w="5000" w:type="pct"/>
          </w:tcPr>
          <w:p w:rsidR="00A22ADE" w:rsidRDefault="00A22ADE" w:rsidP="00374332">
            <w:pPr>
              <w:jc w:val="center"/>
            </w:pPr>
            <w:r w:rsidRPr="00C22905">
              <w:rPr>
                <w:rFonts w:eastAsia="Calibr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5.4pt" o:ole="">
                  <v:imagedata r:id="rId7" o:title=""/>
                </v:shape>
                <o:OLEObject Type="Embed" ProgID="Presentations.Drawing.15" ShapeID="_x0000_i1025" DrawAspect="Content" ObjectID="_1705907828" r:id="rId8"/>
              </w:object>
            </w:r>
          </w:p>
          <w:p w:rsidR="00A22ADE" w:rsidRDefault="00A22ADE" w:rsidP="00374332">
            <w:pPr>
              <w:spacing w:before="120" w:after="100" w:afterAutospacing="1"/>
              <w:jc w:val="center"/>
              <w:rPr>
                <w:rFonts w:eastAsia="Calibri"/>
              </w:rPr>
            </w:pPr>
            <w:r w:rsidRPr="00C22905">
              <w:rPr>
                <w:rFonts w:eastAsia="Calibri"/>
                <w:b/>
                <w:szCs w:val="24"/>
                <w:lang w:eastAsia="en-US"/>
              </w:rPr>
              <w:t>SUPREME COURT OF CANADA</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619"/>
        <w:gridCol w:w="341"/>
        <w:gridCol w:w="1299"/>
        <w:gridCol w:w="4079"/>
        <w:gridCol w:w="22"/>
      </w:tblGrid>
      <w:tr w:rsidR="00A22ADE" w:rsidTr="00B608A8">
        <w:trPr>
          <w:gridAfter w:val="1"/>
          <w:wAfter w:w="11" w:type="pct"/>
        </w:trPr>
        <w:tc>
          <w:tcPr>
            <w:tcW w:w="2115" w:type="pct"/>
            <w:gridSpan w:val="2"/>
            <w:tcMar>
              <w:top w:w="284" w:type="dxa"/>
            </w:tcMar>
          </w:tcPr>
          <w:p w:rsidR="00A22ADE" w:rsidRPr="005539EF" w:rsidRDefault="00A22ADE" w:rsidP="00374332">
            <w:pPr>
              <w:spacing w:before="100" w:beforeAutospacing="1"/>
              <w:rPr>
                <w:rFonts w:eastAsia="Calibri"/>
                <w:lang w:val="en-US"/>
              </w:rPr>
            </w:pPr>
            <w:r w:rsidRPr="005539EF">
              <w:rPr>
                <w:b/>
                <w:smallCaps/>
                <w:lang w:val="en-US"/>
              </w:rPr>
              <w:t>Citation:</w:t>
            </w:r>
            <w:r w:rsidRPr="005539EF">
              <w:rPr>
                <w:lang w:val="en-US"/>
              </w:rPr>
              <w:t xml:space="preserve"> </w:t>
            </w:r>
            <w:r w:rsidRPr="00025D61">
              <w:rPr>
                <w:lang w:val="fr-CA"/>
              </w:rPr>
              <w:t xml:space="preserve">R. </w:t>
            </w:r>
            <w:r w:rsidRPr="00025D61">
              <w:rPr>
                <w:i/>
                <w:lang w:val="fr-CA"/>
              </w:rPr>
              <w:t>v.</w:t>
            </w:r>
            <w:r w:rsidRPr="00025D61">
              <w:rPr>
                <w:lang w:val="fr-CA"/>
              </w:rPr>
              <w:t xml:space="preserve"> M.R.H., 2019 SCC 46</w:t>
            </w:r>
            <w:r>
              <w:rPr>
                <w:lang w:val="fr-CA"/>
              </w:rPr>
              <w:t xml:space="preserve">, </w:t>
            </w:r>
            <w:r>
              <w:t>[2019] 3 S.C.R. 563</w:t>
            </w:r>
          </w:p>
        </w:tc>
        <w:tc>
          <w:tcPr>
            <w:tcW w:w="694" w:type="pct"/>
          </w:tcPr>
          <w:p w:rsidR="00A22ADE" w:rsidRPr="005539EF" w:rsidRDefault="00A22ADE" w:rsidP="00374332">
            <w:pPr>
              <w:rPr>
                <w:b/>
                <w:smallCaps/>
                <w:lang w:val="en-US"/>
              </w:rPr>
            </w:pPr>
          </w:p>
        </w:tc>
        <w:tc>
          <w:tcPr>
            <w:tcW w:w="2179" w:type="pct"/>
            <w:tcMar>
              <w:top w:w="284" w:type="dxa"/>
            </w:tcMar>
          </w:tcPr>
          <w:p w:rsidR="00A22ADE" w:rsidRDefault="00A22ADE" w:rsidP="00374332">
            <w:r>
              <w:rPr>
                <w:b/>
                <w:smallCaps/>
              </w:rPr>
              <w:t>Appeal Heard:</w:t>
            </w:r>
            <w:r w:rsidRPr="006B210C">
              <w:t xml:space="preserve"> </w:t>
            </w:r>
            <w:r>
              <w:t>October 9, 2019</w:t>
            </w:r>
          </w:p>
          <w:p w:rsidR="00A22ADE" w:rsidRPr="00D00ED2" w:rsidRDefault="00A22ADE" w:rsidP="00374332">
            <w:r>
              <w:rPr>
                <w:b/>
              </w:rPr>
              <w:t>J</w:t>
            </w:r>
            <w:r>
              <w:rPr>
                <w:b/>
                <w:smallCaps/>
              </w:rPr>
              <w:t xml:space="preserve">udgment Rendered: </w:t>
            </w:r>
            <w:r>
              <w:t>October 9, 2019</w:t>
            </w:r>
          </w:p>
          <w:p w:rsidR="00A22ADE" w:rsidRPr="006B210C" w:rsidRDefault="00A22ADE" w:rsidP="00374332">
            <w:r w:rsidRPr="006B210C">
              <w:rPr>
                <w:b/>
                <w:smallCaps/>
              </w:rPr>
              <w:t>Docket</w:t>
            </w:r>
            <w:r>
              <w:rPr>
                <w:b/>
                <w:smallCaps/>
              </w:rPr>
              <w:t>:</w:t>
            </w:r>
            <w:r w:rsidRPr="006B210C">
              <w:t xml:space="preserve"> </w:t>
            </w:r>
            <w:r>
              <w:t>38547</w:t>
            </w:r>
          </w:p>
        </w:tc>
      </w:tr>
      <w:tr w:rsidR="00A22ADE" w:rsidTr="00A2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012"/>
        </w:trPr>
        <w:tc>
          <w:tcPr>
            <w:tcW w:w="5000" w:type="pct"/>
            <w:gridSpan w:val="5"/>
            <w:tcBorders>
              <w:top w:val="nil"/>
              <w:left w:val="nil"/>
              <w:bottom w:val="nil"/>
              <w:right w:val="nil"/>
            </w:tcBorders>
          </w:tcPr>
          <w:p w:rsidR="00A22ADE" w:rsidRPr="006B210C" w:rsidRDefault="00A22ADE" w:rsidP="00374332"/>
          <w:p w:rsidR="00A22ADE" w:rsidRDefault="00A22ADE" w:rsidP="00374332">
            <w:pPr>
              <w:pStyle w:val="SCCLsocPrefix"/>
              <w:ind w:hanging="18"/>
            </w:pPr>
            <w:r>
              <w:t>Between:</w:t>
            </w:r>
          </w:p>
          <w:p w:rsidR="006E3988" w:rsidRPr="006E3988" w:rsidRDefault="006E3988" w:rsidP="006E3988">
            <w:bookmarkStart w:id="0" w:name="_GoBack"/>
            <w:bookmarkEnd w:id="0"/>
          </w:p>
          <w:p w:rsidR="00A22ADE" w:rsidRDefault="00A22ADE" w:rsidP="00374332">
            <w:pPr>
              <w:pStyle w:val="SCCLsocParty"/>
            </w:pPr>
            <w:r>
              <w:t>Her Majesty The Queen</w:t>
            </w:r>
          </w:p>
          <w:p w:rsidR="00A22ADE" w:rsidRDefault="00A22ADE" w:rsidP="00374332">
            <w:pPr>
              <w:pStyle w:val="SCCLsocPartyRole"/>
            </w:pPr>
            <w:r>
              <w:t>Appellant</w:t>
            </w:r>
          </w:p>
          <w:p w:rsidR="00A22ADE" w:rsidRPr="00B17128" w:rsidRDefault="00A22ADE" w:rsidP="00374332"/>
          <w:p w:rsidR="00A22ADE" w:rsidRDefault="00A22ADE" w:rsidP="00374332">
            <w:pPr>
              <w:pStyle w:val="SCCLsocVersus"/>
            </w:pPr>
            <w:r>
              <w:t>and</w:t>
            </w:r>
          </w:p>
          <w:p w:rsidR="00A22ADE" w:rsidRPr="00B17128" w:rsidRDefault="00A22ADE" w:rsidP="00374332"/>
          <w:p w:rsidR="00A22ADE" w:rsidRDefault="00A22ADE" w:rsidP="00374332">
            <w:pPr>
              <w:pStyle w:val="SCCLsocParty"/>
            </w:pPr>
            <w:r>
              <w:t>M.R.H.</w:t>
            </w:r>
          </w:p>
          <w:p w:rsidR="00A22ADE" w:rsidRDefault="00A22ADE" w:rsidP="00374332">
            <w:pPr>
              <w:pStyle w:val="SCCLsocPartyRole"/>
            </w:pPr>
            <w:r>
              <w:t>Respondent</w:t>
            </w:r>
          </w:p>
          <w:p w:rsidR="00A22ADE" w:rsidRDefault="00A22ADE" w:rsidP="00374332"/>
          <w:p w:rsidR="00A22ADE" w:rsidRDefault="00A22ADE" w:rsidP="00374332">
            <w:pPr>
              <w:rPr>
                <w:b/>
                <w:smallCaps/>
              </w:rPr>
            </w:pPr>
          </w:p>
          <w:p w:rsidR="00A22ADE" w:rsidRDefault="00A22ADE" w:rsidP="00374332"/>
        </w:tc>
      </w:tr>
      <w:tr w:rsidR="00A22ADE" w:rsidTr="00A22ADE">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5000" w:type="pct"/>
            <w:gridSpan w:val="5"/>
          </w:tcPr>
          <w:p w:rsidR="00A22ADE" w:rsidRDefault="00A22ADE" w:rsidP="00374332">
            <w:pPr>
              <w:rPr>
                <w:b/>
                <w:smallCaps/>
              </w:rPr>
            </w:pPr>
          </w:p>
          <w:p w:rsidR="00A22ADE" w:rsidRPr="00590B00" w:rsidRDefault="00A22ADE" w:rsidP="00374332">
            <w:r w:rsidRPr="006B210C">
              <w:rPr>
                <w:b/>
                <w:smallCaps/>
              </w:rPr>
              <w:t>Coram</w:t>
            </w:r>
            <w:r>
              <w:rPr>
                <w:b/>
                <w:smallCaps/>
              </w:rPr>
              <w:t>:</w:t>
            </w:r>
            <w:r w:rsidRPr="006B210C">
              <w:t xml:space="preserve"> </w:t>
            </w:r>
            <w:r>
              <w:t>Karakatsanis, Côté, Brown, Martin and Kasirer JJ.</w:t>
            </w:r>
          </w:p>
          <w:p w:rsidR="00A22ADE" w:rsidRDefault="00A22ADE" w:rsidP="00374332">
            <w:pPr>
              <w:rPr>
                <w:b/>
                <w:smallCaps/>
              </w:rPr>
            </w:pPr>
          </w:p>
        </w:tc>
      </w:tr>
      <w:tr w:rsidR="00A22ADE" w:rsidRPr="000872C9" w:rsidTr="00A22ADE">
        <w:tblPrEx>
          <w:tblCellMar>
            <w:top w:w="58" w:type="dxa"/>
            <w:left w:w="58" w:type="dxa"/>
            <w:bottom w:w="58" w:type="dxa"/>
            <w:right w:w="58" w:type="dxa"/>
          </w:tblCellMar>
        </w:tblPrEx>
        <w:trPr>
          <w:cantSplit/>
        </w:trPr>
        <w:tc>
          <w:tcPr>
            <w:tcW w:w="1933" w:type="pct"/>
          </w:tcPr>
          <w:p w:rsidR="00A22ADE" w:rsidRDefault="00A22ADE" w:rsidP="00374332">
            <w:pPr>
              <w:ind w:left="32"/>
              <w:rPr>
                <w:b/>
                <w:smallCaps/>
              </w:rPr>
            </w:pPr>
            <w:r w:rsidRPr="006B210C">
              <w:rPr>
                <w:b/>
                <w:smallCaps/>
              </w:rPr>
              <w:t xml:space="preserve">Reasons for </w:t>
            </w:r>
            <w:r>
              <w:rPr>
                <w:b/>
                <w:smallCaps/>
              </w:rPr>
              <w:t>Judgment:</w:t>
            </w:r>
          </w:p>
          <w:p w:rsidR="00A22ADE" w:rsidRPr="006B210C" w:rsidRDefault="00A22ADE" w:rsidP="00374332">
            <w:pPr>
              <w:ind w:firstLine="32"/>
            </w:pPr>
            <w:r>
              <w:t xml:space="preserve">(paras. 1 </w:t>
            </w:r>
            <w:r w:rsidRPr="00025D61">
              <w:t>to 6)</w:t>
            </w:r>
            <w:r>
              <w:t xml:space="preserve"> </w:t>
            </w:r>
          </w:p>
        </w:tc>
        <w:tc>
          <w:tcPr>
            <w:tcW w:w="3067" w:type="pct"/>
            <w:gridSpan w:val="4"/>
          </w:tcPr>
          <w:p w:rsidR="00A22ADE" w:rsidRPr="00484289" w:rsidRDefault="00A22ADE" w:rsidP="00374332">
            <w:pPr>
              <w:rPr>
                <w:lang w:val="en-US"/>
              </w:rPr>
            </w:pPr>
            <w:r>
              <w:t>Karakatsanis</w:t>
            </w:r>
            <w:r w:rsidRPr="00484289">
              <w:rPr>
                <w:lang w:val="en-US"/>
              </w:rPr>
              <w:t xml:space="preserve"> J. (</w:t>
            </w:r>
            <w:r>
              <w:t xml:space="preserve">Côté, Brown, Martin and Kasirer JJ. </w:t>
            </w:r>
            <w:r w:rsidRPr="00484289">
              <w:rPr>
                <w:lang w:val="en-US"/>
              </w:rPr>
              <w:t>concurring)</w:t>
            </w:r>
          </w:p>
        </w:tc>
      </w:tr>
    </w:tbl>
    <w:p w:rsidR="00A22ADE" w:rsidRDefault="00A22ADE" w:rsidP="00A22ADE">
      <w:pPr>
        <w:rPr>
          <w:lang w:val="en-US"/>
        </w:rPr>
      </w:pPr>
    </w:p>
    <w:p w:rsidR="00A22ADE" w:rsidRPr="00B17128" w:rsidRDefault="00A22ADE" w:rsidP="00A22ADE">
      <w:pPr>
        <w:rPr>
          <w:lang w:val="en-US"/>
        </w:rPr>
      </w:pPr>
    </w:p>
    <w:p w:rsidR="00A22ADE" w:rsidRPr="006B210C" w:rsidRDefault="00A22ADE" w:rsidP="00A22AD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A22ADE" w:rsidTr="00374332">
        <w:tc>
          <w:tcPr>
            <w:tcW w:w="1500" w:type="pct"/>
            <w:tcMar>
              <w:top w:w="284" w:type="dxa"/>
            </w:tcMar>
          </w:tcPr>
          <w:p w:rsidR="00A22ADE" w:rsidRDefault="00A22ADE" w:rsidP="00374332">
            <w:pPr>
              <w:rPr>
                <w:rFonts w:eastAsia="Calibri"/>
              </w:rPr>
            </w:pPr>
          </w:p>
        </w:tc>
        <w:tc>
          <w:tcPr>
            <w:tcW w:w="2000" w:type="pct"/>
            <w:tcBorders>
              <w:bottom w:val="single" w:sz="4" w:space="0" w:color="auto"/>
            </w:tcBorders>
            <w:tcMar>
              <w:top w:w="284" w:type="dxa"/>
            </w:tcMar>
          </w:tcPr>
          <w:p w:rsidR="00A22ADE" w:rsidRDefault="00A22ADE" w:rsidP="00374332">
            <w:pPr>
              <w:rPr>
                <w:rFonts w:eastAsia="Calibri"/>
              </w:rPr>
            </w:pPr>
          </w:p>
        </w:tc>
        <w:tc>
          <w:tcPr>
            <w:tcW w:w="1500" w:type="pct"/>
            <w:tcMar>
              <w:top w:w="284" w:type="dxa"/>
            </w:tcMar>
          </w:tcPr>
          <w:p w:rsidR="00A22ADE" w:rsidRDefault="00A22ADE" w:rsidP="00374332">
            <w:pPr>
              <w:rPr>
                <w:rFonts w:eastAsia="Calibri"/>
              </w:rPr>
            </w:pPr>
          </w:p>
        </w:tc>
      </w:tr>
    </w:tbl>
    <w:p w:rsidR="00A22ADE" w:rsidRDefault="00A22ADE" w:rsidP="0085381F">
      <w:pPr>
        <w:spacing w:before="480" w:after="480" w:line="480" w:lineRule="auto"/>
        <w:jc w:val="both"/>
        <w:rPr>
          <w:rStyle w:val="SCCAppellantForRunningHeadChar"/>
          <w:rFonts w:eastAsiaTheme="minorHAnsi"/>
          <w:smallCaps w:val="0"/>
        </w:rPr>
      </w:pPr>
    </w:p>
    <w:p w:rsidR="0085381F" w:rsidRPr="001426A9" w:rsidRDefault="00A22ADE" w:rsidP="0085381F">
      <w:pPr>
        <w:spacing w:before="480" w:after="480" w:line="480" w:lineRule="auto"/>
        <w:jc w:val="both"/>
      </w:pPr>
      <w:r w:rsidRPr="00A22ADE">
        <w:rPr>
          <w:rStyle w:val="SCCAppellantForRunningHeadChar"/>
          <w:rFonts w:eastAsiaTheme="minorHAnsi"/>
          <w:smallCaps w:val="0"/>
        </w:rPr>
        <w:t>R.</w:t>
      </w:r>
      <w:r w:rsidR="0085381F" w:rsidRPr="001426A9">
        <w:t xml:space="preserve"> </w:t>
      </w:r>
      <w:r w:rsidR="0085381F" w:rsidRPr="00C62A66">
        <w:rPr>
          <w:i/>
        </w:rPr>
        <w:t>v.</w:t>
      </w:r>
      <w:r w:rsidR="0085381F" w:rsidRPr="001426A9">
        <w:t xml:space="preserve"> </w:t>
      </w:r>
      <w:r w:rsidRPr="00A22ADE">
        <w:rPr>
          <w:rStyle w:val="SCCRespondentForRunningHeadChar"/>
          <w:rFonts w:eastAsiaTheme="minorHAnsi"/>
          <w:smallCaps w:val="0"/>
        </w:rPr>
        <w:t>M.R.H.</w:t>
      </w:r>
      <w:r>
        <w:rPr>
          <w:rStyle w:val="SCCRespondentForRunningHeadChar"/>
          <w:rFonts w:eastAsiaTheme="minorHAnsi"/>
          <w:smallCaps w:val="0"/>
        </w:rPr>
        <w:t xml:space="preserve">, </w:t>
      </w:r>
      <w:r>
        <w:t xml:space="preserve">2019 </w:t>
      </w:r>
      <w:r w:rsidRPr="00C02092">
        <w:t>SCC </w:t>
      </w:r>
      <w:r>
        <w:t>46</w:t>
      </w:r>
      <w:r>
        <w:t>, [2019] 3 S.C.R. 563</w:t>
      </w:r>
    </w:p>
    <w:p w:rsidR="0085381F" w:rsidRDefault="0085381F" w:rsidP="0085381F">
      <w:pPr>
        <w:pStyle w:val="SCCLsocLastPartyInRole"/>
        <w:spacing w:before="480" w:after="480" w:line="480" w:lineRule="auto"/>
      </w:pPr>
      <w:r>
        <w:t>Her Majesty The Queen</w:t>
      </w:r>
      <w:r>
        <w:tab/>
      </w:r>
      <w:r w:rsidRPr="00F826EC">
        <w:rPr>
          <w:b w:val="0"/>
          <w:i/>
        </w:rPr>
        <w:t>Appellant</w:t>
      </w:r>
    </w:p>
    <w:p w:rsidR="0085381F" w:rsidRPr="00590B00" w:rsidRDefault="0085381F" w:rsidP="0085381F">
      <w:pPr>
        <w:pStyle w:val="SCCLsocVersus"/>
        <w:spacing w:before="480" w:after="480" w:line="480" w:lineRule="auto"/>
        <w:jc w:val="both"/>
        <w:rPr>
          <w:i/>
        </w:rPr>
      </w:pPr>
      <w:r w:rsidRPr="00590B00">
        <w:rPr>
          <w:i/>
        </w:rPr>
        <w:lastRenderedPageBreak/>
        <w:t>v.</w:t>
      </w:r>
    </w:p>
    <w:p w:rsidR="0085381F" w:rsidRDefault="0085381F" w:rsidP="0085381F">
      <w:pPr>
        <w:pStyle w:val="SCCLsocLastPartyInRole"/>
        <w:spacing w:before="480" w:after="480" w:line="480" w:lineRule="auto"/>
      </w:pPr>
      <w:r>
        <w:t>M.R.H.</w:t>
      </w:r>
      <w:r>
        <w:tab/>
      </w:r>
      <w:r w:rsidRPr="00F826EC">
        <w:rPr>
          <w:b w:val="0"/>
          <w:i/>
        </w:rPr>
        <w:t>Respondent</w:t>
      </w:r>
    </w:p>
    <w:p w:rsidR="0085381F" w:rsidRPr="00426659" w:rsidRDefault="0085381F" w:rsidP="0085381F">
      <w:pPr>
        <w:spacing w:before="480" w:after="480" w:line="480" w:lineRule="auto"/>
        <w:jc w:val="both"/>
        <w:rPr>
          <w:b/>
        </w:rPr>
      </w:pPr>
      <w:r w:rsidRPr="00426659">
        <w:rPr>
          <w:b/>
        </w:rPr>
        <w:t>Indexed as:</w:t>
      </w:r>
      <w:r>
        <w:rPr>
          <w:b/>
        </w:rPr>
        <w:t xml:space="preserve"> </w:t>
      </w:r>
      <w:r>
        <w:rPr>
          <w:rStyle w:val="SCCAppellantForIndexChar"/>
          <w:rFonts w:eastAsiaTheme="minorHAnsi"/>
        </w:rPr>
        <w:t>R.</w:t>
      </w:r>
      <w:r w:rsidRPr="00426659">
        <w:rPr>
          <w:b/>
        </w:rPr>
        <w:t xml:space="preserve"> </w:t>
      </w:r>
      <w:r w:rsidRPr="00426659">
        <w:rPr>
          <w:b/>
          <w:i/>
        </w:rPr>
        <w:t>v.</w:t>
      </w:r>
      <w:r w:rsidRPr="00426659">
        <w:rPr>
          <w:b/>
        </w:rPr>
        <w:t xml:space="preserve"> </w:t>
      </w:r>
      <w:r>
        <w:rPr>
          <w:rStyle w:val="SCCRespondentForIndexChar"/>
          <w:rFonts w:eastAsiaTheme="minorHAnsi"/>
        </w:rPr>
        <w:t>M.R.H.</w:t>
      </w:r>
    </w:p>
    <w:p w:rsidR="0085381F" w:rsidRDefault="0085381F" w:rsidP="0085381F">
      <w:pPr>
        <w:pStyle w:val="SCCSystemYear"/>
        <w:spacing w:before="480" w:after="480" w:line="480" w:lineRule="auto"/>
        <w:jc w:val="both"/>
      </w:pPr>
      <w:r>
        <w:t xml:space="preserve">2019 </w:t>
      </w:r>
      <w:r w:rsidRPr="00C02092">
        <w:t>SCC </w:t>
      </w:r>
      <w:r>
        <w:t>46</w:t>
      </w:r>
    </w:p>
    <w:p w:rsidR="0085381F" w:rsidRDefault="0085381F" w:rsidP="0085381F">
      <w:pPr>
        <w:spacing w:before="480" w:after="480" w:line="480" w:lineRule="auto"/>
        <w:jc w:val="both"/>
      </w:pPr>
      <w:r w:rsidRPr="001426A9">
        <w:t xml:space="preserve">File No.: </w:t>
      </w:r>
      <w:r>
        <w:t>38547</w:t>
      </w:r>
      <w:r w:rsidRPr="001426A9">
        <w:t>.</w:t>
      </w:r>
    </w:p>
    <w:p w:rsidR="0085381F" w:rsidRDefault="0085381F" w:rsidP="0085381F">
      <w:pPr>
        <w:spacing w:before="480" w:after="480" w:line="480" w:lineRule="auto"/>
        <w:jc w:val="both"/>
      </w:pPr>
      <w:r>
        <w:t>2019: October 9.</w:t>
      </w:r>
    </w:p>
    <w:p w:rsidR="0085381F" w:rsidRDefault="0085381F" w:rsidP="0085381F">
      <w:pPr>
        <w:spacing w:before="480" w:after="480" w:line="480" w:lineRule="auto"/>
        <w:jc w:val="both"/>
      </w:pPr>
      <w:r w:rsidRPr="001426A9">
        <w:t xml:space="preserve">Present: </w:t>
      </w:r>
      <w:r>
        <w:t>Karakatsanis, Côté, Brown, Martin and Kasirer JJ.</w:t>
      </w:r>
    </w:p>
    <w:p w:rsidR="0085381F" w:rsidRPr="001C779F" w:rsidRDefault="0085381F" w:rsidP="0085381F">
      <w:pPr>
        <w:pStyle w:val="SCCLowerCourtNameLowercase"/>
        <w:spacing w:before="480" w:after="480"/>
      </w:pPr>
      <w:r>
        <w:t>on appeal from the court of appeal for british columbia</w:t>
      </w:r>
    </w:p>
    <w:p w:rsidR="0085381F" w:rsidRPr="00583EDE" w:rsidRDefault="0085381F" w:rsidP="0085381F">
      <w:pPr>
        <w:pStyle w:val="SCCNormalDoubleSpacing"/>
        <w:spacing w:before="480" w:after="480"/>
      </w:pPr>
      <w:r w:rsidRPr="00583EDE">
        <w:tab/>
      </w:r>
      <w:r>
        <w:rPr>
          <w:i/>
        </w:rPr>
        <w:t xml:space="preserve">Criminal law — Charge to jury — Accused charged with sexual assault and sexual interference — </w:t>
      </w:r>
      <w:r w:rsidRPr="008A465F">
        <w:rPr>
          <w:i/>
        </w:rPr>
        <w:t>Indictment</w:t>
      </w:r>
      <w:r>
        <w:rPr>
          <w:i/>
        </w:rPr>
        <w:t xml:space="preserve"> charging</w:t>
      </w:r>
      <w:r w:rsidRPr="008A465F">
        <w:rPr>
          <w:i/>
        </w:rPr>
        <w:t xml:space="preserve"> </w:t>
      </w:r>
      <w:r>
        <w:rPr>
          <w:i/>
        </w:rPr>
        <w:t xml:space="preserve">both </w:t>
      </w:r>
      <w:r w:rsidRPr="008A465F">
        <w:rPr>
          <w:i/>
        </w:rPr>
        <w:t>offences</w:t>
      </w:r>
      <w:r>
        <w:rPr>
          <w:i/>
        </w:rPr>
        <w:t xml:space="preserve"> and</w:t>
      </w:r>
      <w:r w:rsidRPr="008A465F">
        <w:rPr>
          <w:i/>
        </w:rPr>
        <w:t xml:space="preserve"> cov</w:t>
      </w:r>
      <w:r>
        <w:rPr>
          <w:i/>
        </w:rPr>
        <w:t xml:space="preserve">ering </w:t>
      </w:r>
      <w:r w:rsidRPr="008A465F">
        <w:rPr>
          <w:i/>
        </w:rPr>
        <w:t>period of time during which two separate incidents alleged to have occurred</w:t>
      </w:r>
      <w:r>
        <w:rPr>
          <w:i/>
        </w:rPr>
        <w:t xml:space="preserve"> — Jury asking trial judge during deliberations whether it could convict accused for both offences based on first incident alone — Jury convicting </w:t>
      </w:r>
      <w:r w:rsidRPr="009D517B">
        <w:rPr>
          <w:i/>
        </w:rPr>
        <w:t>accused of both offences</w:t>
      </w:r>
      <w:r>
        <w:rPr>
          <w:i/>
        </w:rPr>
        <w:t xml:space="preserve"> — Majority of Court of Appeal holding that trial judge erred in giving confusing charge to jury as to indictment, in responding to jury’s question and in failing to provide further instructions on credibility — Majority ordering new trial — Dissenting judge holding that trial judge’s charge to jury and response to jury’s question were adequate — Convictions restored. </w:t>
      </w:r>
    </w:p>
    <w:p w:rsidR="0085381F" w:rsidRDefault="0085381F" w:rsidP="0085381F">
      <w:pPr>
        <w:pStyle w:val="SCCNormalDoubleSpacing"/>
        <w:keepNext/>
        <w:keepLines/>
        <w:spacing w:before="480" w:after="480"/>
        <w:rPr>
          <w:b/>
        </w:rPr>
      </w:pPr>
      <w:r w:rsidRPr="00314E01">
        <w:rPr>
          <w:b/>
        </w:rPr>
        <w:lastRenderedPageBreak/>
        <w:t>Cases Cited</w:t>
      </w:r>
    </w:p>
    <w:p w:rsidR="0085381F" w:rsidRPr="007E1C47" w:rsidRDefault="0085381F" w:rsidP="0085381F">
      <w:pPr>
        <w:pStyle w:val="SCCNormalDoubleSpacing"/>
        <w:keepNext/>
        <w:keepLines/>
        <w:spacing w:before="480" w:after="480"/>
      </w:pPr>
      <w:r>
        <w:tab/>
      </w:r>
      <w:r w:rsidRPr="00314E01">
        <w:rPr>
          <w:b/>
        </w:rPr>
        <w:t>Referred to:</w:t>
      </w:r>
      <w:r w:rsidRPr="00BD0E9E">
        <w:t xml:space="preserve"> </w:t>
      </w:r>
      <w:r w:rsidRPr="00C837E4">
        <w:rPr>
          <w:i/>
        </w:rPr>
        <w:t>Guindon v. Canada</w:t>
      </w:r>
      <w:r w:rsidRPr="000A565A">
        <w:t>, 2015 SCC 41, [2015] 3 S.C.R. 3</w:t>
      </w:r>
      <w:r>
        <w:t>.</w:t>
      </w:r>
    </w:p>
    <w:p w:rsidR="0085381F" w:rsidRDefault="0085381F" w:rsidP="0085381F">
      <w:pPr>
        <w:pStyle w:val="SCCNormalDoubleSpacing"/>
        <w:spacing w:before="480" w:after="480"/>
      </w:pPr>
      <w:r w:rsidRPr="00314E01">
        <w:rPr>
          <w:b/>
        </w:rPr>
        <w:t>Statutes and Regulations Cite</w:t>
      </w:r>
      <w:r>
        <w:rPr>
          <w:b/>
        </w:rPr>
        <w:t>d</w:t>
      </w:r>
    </w:p>
    <w:p w:rsidR="0085381F" w:rsidRPr="00AB4B80" w:rsidRDefault="0085381F" w:rsidP="0085381F">
      <w:pPr>
        <w:pStyle w:val="SCCNormalDoubleSpacing"/>
        <w:spacing w:after="720" w:line="240" w:lineRule="auto"/>
        <w:ind w:left="547" w:hanging="547"/>
        <w:rPr>
          <w:i/>
          <w:lang w:val="en-US"/>
        </w:rPr>
      </w:pPr>
      <w:r w:rsidRPr="00AB4B80">
        <w:rPr>
          <w:i/>
          <w:lang w:val="en-US"/>
        </w:rPr>
        <w:t>Criminal Code</w:t>
      </w:r>
      <w:r w:rsidRPr="00AB4B80">
        <w:rPr>
          <w:lang w:val="en-US"/>
        </w:rPr>
        <w:t>, R.S.C. 1985, c. C-46, s. 581(1).</w:t>
      </w:r>
    </w:p>
    <w:p w:rsidR="0085381F" w:rsidRDefault="0085381F" w:rsidP="0085381F">
      <w:pPr>
        <w:pStyle w:val="SCCNormalDoubleSpacing"/>
        <w:spacing w:before="480" w:after="480"/>
      </w:pPr>
      <w:r w:rsidRPr="00AB4B80">
        <w:rPr>
          <w:lang w:val="en-US"/>
        </w:rPr>
        <w:tab/>
      </w:r>
      <w:r w:rsidRPr="001426A9">
        <w:t xml:space="preserve">APPEAL from a judgment of the </w:t>
      </w:r>
      <w:r>
        <w:t xml:space="preserve">British Columbia Court of Appeal (Garson, Harris and Savage JJ.A.), </w:t>
      </w:r>
      <w:r w:rsidRPr="00561FC3">
        <w:rPr>
          <w:lang w:val="en-US"/>
        </w:rPr>
        <w:t>2019 BCCA 39, 373 C.C.C. (3d) 464, [2019] B.C.J. No. 144 (</w:t>
      </w:r>
      <w:r>
        <w:rPr>
          <w:lang w:val="en-US"/>
        </w:rPr>
        <w:t>QL), 2019 CarswellBC 202 (WL Can.</w:t>
      </w:r>
      <w:r w:rsidRPr="00561FC3">
        <w:rPr>
          <w:lang w:val="en-US"/>
        </w:rPr>
        <w:t>)</w:t>
      </w:r>
      <w:r>
        <w:rPr>
          <w:lang w:val="en-US"/>
        </w:rPr>
        <w:t>,</w:t>
      </w:r>
      <w:r>
        <w:t xml:space="preserve"> setting aside the accused’s convictions for sexual interference and sexual assault and ordering a new trial. Appeal allowed.</w:t>
      </w:r>
    </w:p>
    <w:p w:rsidR="0085381F" w:rsidRDefault="0085381F" w:rsidP="0085381F">
      <w:pPr>
        <w:pStyle w:val="SCCNormalDoubleSpacing"/>
        <w:spacing w:before="480" w:after="480"/>
      </w:pPr>
      <w:r>
        <w:rPr>
          <w:rStyle w:val="SCCCounselNameChar"/>
        </w:rPr>
        <w:tab/>
        <w:t>Matthew Scott</w:t>
      </w:r>
      <w:r>
        <w:rPr>
          <w:rStyle w:val="SCCCounselPartyRoleChar"/>
        </w:rPr>
        <w:t xml:space="preserve"> and </w:t>
      </w:r>
      <w:r w:rsidRPr="003B5CDB">
        <w:rPr>
          <w:rStyle w:val="SCCCounselPartyRoleChar"/>
        </w:rPr>
        <w:t>Mary T. Ainslie</w:t>
      </w:r>
      <w:r>
        <w:rPr>
          <w:rStyle w:val="SCCCounselPartyRoleChar"/>
        </w:rPr>
        <w:t xml:space="preserve">, </w:t>
      </w:r>
      <w:r w:rsidRPr="003B5CDB">
        <w:rPr>
          <w:rStyle w:val="SCCCounselPartyRoleChar"/>
        </w:rPr>
        <w:t>Q.C.</w:t>
      </w:r>
      <w:r>
        <w:rPr>
          <w:rStyle w:val="SCCCounselPartyRoleChar"/>
        </w:rPr>
        <w:t>, for the appellant.</w:t>
      </w:r>
    </w:p>
    <w:p w:rsidR="0085381F" w:rsidRDefault="0085381F" w:rsidP="0085381F">
      <w:pPr>
        <w:pStyle w:val="SCCNormalDoubleSpacing"/>
        <w:spacing w:before="480" w:after="480"/>
      </w:pPr>
      <w:r>
        <w:rPr>
          <w:rStyle w:val="SCCCounselNameChar"/>
        </w:rPr>
        <w:tab/>
        <w:t>Brent V. Bagnall</w:t>
      </w:r>
      <w:r>
        <w:rPr>
          <w:rStyle w:val="SCCCounselPartyRoleChar"/>
        </w:rPr>
        <w:t xml:space="preserve">, </w:t>
      </w:r>
      <w:r w:rsidRPr="003B5CDB">
        <w:rPr>
          <w:rStyle w:val="SCCCounselPartyRoleChar"/>
        </w:rPr>
        <w:t>Roger P. Thirkell</w:t>
      </w:r>
      <w:r>
        <w:rPr>
          <w:rStyle w:val="SCCCounselPartyRoleChar"/>
        </w:rPr>
        <w:t xml:space="preserve"> and </w:t>
      </w:r>
      <w:r w:rsidRPr="003B5CDB">
        <w:rPr>
          <w:rStyle w:val="SCCCounselPartyRoleChar"/>
        </w:rPr>
        <w:t>Joseph M. Doyle</w:t>
      </w:r>
      <w:r>
        <w:rPr>
          <w:rStyle w:val="SCCCounselPartyRoleChar"/>
        </w:rPr>
        <w:t>, for the respondent.</w:t>
      </w:r>
    </w:p>
    <w:p w:rsidR="0085381F" w:rsidRPr="00342297" w:rsidRDefault="0085381F" w:rsidP="0085381F">
      <w:pPr>
        <w:pStyle w:val="SCCNormalDoubleSpacing"/>
        <w:spacing w:before="480" w:after="480"/>
        <w:rPr>
          <w:lang w:val="en-US"/>
        </w:rPr>
      </w:pPr>
      <w:r>
        <w:tab/>
      </w:r>
      <w:r>
        <w:rPr>
          <w:lang w:val="en-US"/>
        </w:rPr>
        <w:t>The judgment</w:t>
      </w:r>
      <w:r w:rsidRPr="00D1430B">
        <w:rPr>
          <w:lang w:val="en-US"/>
        </w:rPr>
        <w:t xml:space="preserve"> of the Court was deliv</w:t>
      </w:r>
      <w:r>
        <w:rPr>
          <w:lang w:val="en-US"/>
        </w:rPr>
        <w:t>ered orally by</w:t>
      </w:r>
    </w:p>
    <w:p w:rsidR="0085381F" w:rsidRPr="00CC7A34" w:rsidRDefault="0085381F" w:rsidP="0085381F">
      <w:pPr>
        <w:pStyle w:val="SCCLawFirm"/>
        <w:numPr>
          <w:ilvl w:val="0"/>
          <w:numId w:val="1"/>
        </w:numPr>
        <w:spacing w:before="480" w:after="480"/>
        <w:ind w:left="0" w:firstLine="0"/>
        <w:rPr>
          <w:i w:val="0"/>
        </w:rPr>
      </w:pPr>
      <w:r w:rsidRPr="00CC7A34">
        <w:rPr>
          <w:i w:val="0"/>
          <w:smallCaps/>
        </w:rPr>
        <w:t>Karakatsanis</w:t>
      </w:r>
      <w:r w:rsidRPr="00CC7A34">
        <w:rPr>
          <w:i w:val="0"/>
        </w:rPr>
        <w:t xml:space="preserve"> J. — The appeal is allowed, substantially for the reasons of Mr. Justice Savage (2019 BCCA 39, 373 C.C.C. (3d) 464). </w:t>
      </w:r>
    </w:p>
    <w:p w:rsidR="0085381F" w:rsidRDefault="0085381F" w:rsidP="0085381F">
      <w:pPr>
        <w:pStyle w:val="SCCLawFirm"/>
        <w:numPr>
          <w:ilvl w:val="0"/>
          <w:numId w:val="1"/>
        </w:numPr>
        <w:spacing w:before="480" w:after="480"/>
        <w:ind w:left="0" w:firstLine="0"/>
        <w:rPr>
          <w:i w:val="0"/>
        </w:rPr>
      </w:pPr>
      <w:r w:rsidRPr="00CC7A34">
        <w:rPr>
          <w:i w:val="0"/>
        </w:rPr>
        <w:t>As for the three additional issues raised by the respondent for the first time in this Court, we are not satisfied that they require a new trial.</w:t>
      </w:r>
    </w:p>
    <w:p w:rsidR="0085381F" w:rsidRPr="00CC7A34" w:rsidRDefault="0085381F" w:rsidP="0085381F">
      <w:pPr>
        <w:pStyle w:val="SCCLawFirm"/>
        <w:numPr>
          <w:ilvl w:val="0"/>
          <w:numId w:val="1"/>
        </w:numPr>
        <w:spacing w:before="480" w:after="480"/>
        <w:ind w:left="0" w:firstLine="0"/>
        <w:rPr>
          <w:i w:val="0"/>
        </w:rPr>
      </w:pPr>
      <w:r w:rsidRPr="00CC7A34">
        <w:rPr>
          <w:i w:val="0"/>
        </w:rPr>
        <w:lastRenderedPageBreak/>
        <w:t>First, we are satisfied that no limiting instruction was required on the issue of character evidence, as there was no real risk of propensity reasoning in this case.</w:t>
      </w:r>
    </w:p>
    <w:p w:rsidR="0085381F" w:rsidRPr="00CC7A34" w:rsidRDefault="0085381F" w:rsidP="0085381F">
      <w:pPr>
        <w:pStyle w:val="SCCLawFirm"/>
        <w:numPr>
          <w:ilvl w:val="0"/>
          <w:numId w:val="1"/>
        </w:numPr>
        <w:spacing w:before="480" w:after="480"/>
        <w:ind w:left="0" w:firstLine="0"/>
        <w:rPr>
          <w:i w:val="0"/>
        </w:rPr>
      </w:pPr>
      <w:r w:rsidRPr="00CC7A34">
        <w:rPr>
          <w:i w:val="0"/>
        </w:rPr>
        <w:t>Second, we are of the view that no limiting instruction was necessary regarding prior consistent statements, because the statements were elicited early in the trial, were relied upon by the defence and not by the Crown, and there was no real risk in the circumstances of this case that they would be used as self-corroboration.</w:t>
      </w:r>
    </w:p>
    <w:p w:rsidR="0085381F" w:rsidRPr="00CC7A34" w:rsidRDefault="0085381F" w:rsidP="0085381F">
      <w:pPr>
        <w:pStyle w:val="SCCLawFirm"/>
        <w:numPr>
          <w:ilvl w:val="0"/>
          <w:numId w:val="1"/>
        </w:numPr>
        <w:spacing w:before="480" w:after="480"/>
        <w:ind w:left="0" w:firstLine="0"/>
        <w:rPr>
          <w:i w:val="0"/>
        </w:rPr>
      </w:pPr>
      <w:r w:rsidRPr="00CC7A34">
        <w:rPr>
          <w:i w:val="0"/>
        </w:rPr>
        <w:t xml:space="preserve">Finally, with respect to the interpretation of the phrase “single transaction” in s. 581(1) of the </w:t>
      </w:r>
      <w:r w:rsidRPr="00C837E4">
        <w:t>Criminal Code</w:t>
      </w:r>
      <w:r w:rsidRPr="00CC7A34">
        <w:rPr>
          <w:i w:val="0"/>
        </w:rPr>
        <w:t>, R.S.C. 1985, c. C-46, we agree that the Crown practice of drafting a single count of an indictment to capture multiple distinct incidents creates the risk that the accused may be convicted without the jurors’ unanimous agreement on any one underlying incident. We leave for another day whether the law supports such a practice and whether jury unanimity is required in such circumstances. In essence, the jury in this case asked whether unanimity on the first incident was sufficient to convict. It is not necessary to deal with the issue in this case, because it is clear from the jury’s question and the response it received, that the jurors unanimously agreed that the first incident had been proven. Here, there is no risk of an injustice and the issue need not be considered (</w:t>
      </w:r>
      <w:r w:rsidRPr="00C837E4">
        <w:t>Guindon v. Canada</w:t>
      </w:r>
      <w:r w:rsidRPr="00CC7A34">
        <w:rPr>
          <w:i w:val="0"/>
        </w:rPr>
        <w:t>, 2015 SCC 41, [2015] 3 S.C.R. 3, at para. 22).</w:t>
      </w:r>
    </w:p>
    <w:p w:rsidR="0085381F" w:rsidRPr="00CC7A34" w:rsidRDefault="0085381F" w:rsidP="0085381F">
      <w:pPr>
        <w:pStyle w:val="SCCLawFirm"/>
        <w:numPr>
          <w:ilvl w:val="0"/>
          <w:numId w:val="1"/>
        </w:numPr>
        <w:spacing w:before="480" w:after="480"/>
        <w:ind w:left="0" w:firstLine="0"/>
        <w:rPr>
          <w:i w:val="0"/>
        </w:rPr>
      </w:pPr>
      <w:r w:rsidRPr="00CC7A34">
        <w:rPr>
          <w:i w:val="0"/>
        </w:rPr>
        <w:t>Therefore, the appeal is allowed. The order of the Court of Appeal is set aside. We restore the respondent’s conviction for sexual assault and the judicial stay on the count of sexual interference.</w:t>
      </w:r>
    </w:p>
    <w:p w:rsidR="0085381F" w:rsidRPr="00CC7A34" w:rsidRDefault="0085381F" w:rsidP="0085381F">
      <w:pPr>
        <w:pStyle w:val="SCCLawFirm"/>
        <w:spacing w:before="480" w:after="480"/>
      </w:pPr>
      <w:r w:rsidRPr="00CC7A34">
        <w:rPr>
          <w:lang w:val="en-US"/>
        </w:rPr>
        <w:tab/>
      </w:r>
      <w:r w:rsidRPr="00CC7A34">
        <w:t>J</w:t>
      </w:r>
      <w:r>
        <w:t>udg</w:t>
      </w:r>
      <w:r w:rsidRPr="00CC7A34">
        <w:t>ment accordingly.</w:t>
      </w:r>
    </w:p>
    <w:p w:rsidR="0085381F" w:rsidRDefault="0085381F" w:rsidP="0085381F">
      <w:pPr>
        <w:pStyle w:val="SCCLawFirm"/>
        <w:spacing w:before="480" w:after="480"/>
      </w:pPr>
      <w:r>
        <w:lastRenderedPageBreak/>
        <w:tab/>
        <w:t>Solicitor for the appellant: Attorney General of British Columbia, Vancouver.</w:t>
      </w:r>
    </w:p>
    <w:p w:rsidR="00904937" w:rsidRPr="0085381F" w:rsidRDefault="0085381F" w:rsidP="0085381F">
      <w:pPr>
        <w:tabs>
          <w:tab w:val="left" w:pos="1170"/>
        </w:tabs>
      </w:pPr>
      <w:r>
        <w:tab/>
      </w:r>
      <w:r w:rsidRPr="00590B00">
        <w:rPr>
          <w:i/>
        </w:rPr>
        <w:t>Solicitor for the respondent: Legal Services Society, Vancouver.</w:t>
      </w:r>
    </w:p>
    <w:sectPr w:rsidR="00904937" w:rsidRPr="0085381F"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44" w:rsidRDefault="00EF0E44" w:rsidP="00F72014">
      <w:r>
        <w:separator/>
      </w:r>
    </w:p>
  </w:endnote>
  <w:endnote w:type="continuationSeparator" w:id="0">
    <w:p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44" w:rsidRDefault="00EF0E44" w:rsidP="00F72014">
      <w:r>
        <w:separator/>
      </w:r>
    </w:p>
  </w:footnote>
  <w:footnote w:type="continuationSeparator" w:id="0">
    <w:p w:rsidR="00EF0E44" w:rsidRDefault="00EF0E44" w:rsidP="00F72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ADE"/>
    <w:multiLevelType w:val="hybridMultilevel"/>
    <w:tmpl w:val="C0D0A732"/>
    <w:lvl w:ilvl="0" w:tplc="BD564518">
      <w:start w:val="1"/>
      <w:numFmt w:val="decimal"/>
      <w:lvlText w:val="[%1]"/>
      <w:lvlJc w:val="left"/>
      <w:pPr>
        <w:ind w:left="8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25D61"/>
    <w:rsid w:val="0004276B"/>
    <w:rsid w:val="00051800"/>
    <w:rsid w:val="00057C89"/>
    <w:rsid w:val="000F30E3"/>
    <w:rsid w:val="001311DA"/>
    <w:rsid w:val="001412E4"/>
    <w:rsid w:val="001648D4"/>
    <w:rsid w:val="001B0985"/>
    <w:rsid w:val="001D6B8C"/>
    <w:rsid w:val="001F1F83"/>
    <w:rsid w:val="00205C5C"/>
    <w:rsid w:val="00205C5D"/>
    <w:rsid w:val="00252460"/>
    <w:rsid w:val="00273D07"/>
    <w:rsid w:val="0028675F"/>
    <w:rsid w:val="002C5A33"/>
    <w:rsid w:val="002D4FC9"/>
    <w:rsid w:val="00355967"/>
    <w:rsid w:val="00384384"/>
    <w:rsid w:val="003B2BE1"/>
    <w:rsid w:val="003B3C63"/>
    <w:rsid w:val="003D18B0"/>
    <w:rsid w:val="00460AFC"/>
    <w:rsid w:val="004E69EC"/>
    <w:rsid w:val="004F090E"/>
    <w:rsid w:val="00540106"/>
    <w:rsid w:val="00552537"/>
    <w:rsid w:val="00563188"/>
    <w:rsid w:val="00582136"/>
    <w:rsid w:val="005D4801"/>
    <w:rsid w:val="0062625F"/>
    <w:rsid w:val="0065610C"/>
    <w:rsid w:val="00666F15"/>
    <w:rsid w:val="006B210C"/>
    <w:rsid w:val="006E3988"/>
    <w:rsid w:val="00701ABD"/>
    <w:rsid w:val="007740CA"/>
    <w:rsid w:val="00780AA4"/>
    <w:rsid w:val="00815561"/>
    <w:rsid w:val="00842677"/>
    <w:rsid w:val="008451A0"/>
    <w:rsid w:val="00852D4E"/>
    <w:rsid w:val="0085381F"/>
    <w:rsid w:val="00880B14"/>
    <w:rsid w:val="00904937"/>
    <w:rsid w:val="0093524C"/>
    <w:rsid w:val="00996510"/>
    <w:rsid w:val="0099776C"/>
    <w:rsid w:val="009E1B85"/>
    <w:rsid w:val="00A15427"/>
    <w:rsid w:val="00A22ADE"/>
    <w:rsid w:val="00A51D10"/>
    <w:rsid w:val="00AB2201"/>
    <w:rsid w:val="00B17128"/>
    <w:rsid w:val="00B608A8"/>
    <w:rsid w:val="00BD4217"/>
    <w:rsid w:val="00BD7784"/>
    <w:rsid w:val="00C003E6"/>
    <w:rsid w:val="00CE17A0"/>
    <w:rsid w:val="00D00ED2"/>
    <w:rsid w:val="00D030DA"/>
    <w:rsid w:val="00D76BDF"/>
    <w:rsid w:val="00D96EC7"/>
    <w:rsid w:val="00DF15D7"/>
    <w:rsid w:val="00E22DBA"/>
    <w:rsid w:val="00E356C7"/>
    <w:rsid w:val="00E5364D"/>
    <w:rsid w:val="00E64FA7"/>
    <w:rsid w:val="00E770CB"/>
    <w:rsid w:val="00EC226F"/>
    <w:rsid w:val="00EF0E44"/>
    <w:rsid w:val="00F36AF0"/>
    <w:rsid w:val="00F72014"/>
    <w:rsid w:val="00F826EC"/>
    <w:rsid w:val="00F9518C"/>
    <w:rsid w:val="00FA59EF"/>
    <w:rsid w:val="00FC2782"/>
    <w:rsid w:val="00FC29B3"/>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3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unhideWhenUsed/>
    <w:rsid w:val="00F72014"/>
    <w:pPr>
      <w:tabs>
        <w:tab w:val="center" w:pos="4680"/>
        <w:tab w:val="right" w:pos="9360"/>
      </w:tabs>
    </w:pPr>
  </w:style>
  <w:style w:type="character" w:customStyle="1" w:styleId="FooterChar">
    <w:name w:val="Footer Char"/>
    <w:basedOn w:val="DefaultParagraphFont"/>
    <w:link w:val="Footer"/>
    <w:uiPriority w:val="99"/>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FC29B3"/>
    <w:pPr>
      <w:tabs>
        <w:tab w:val="left" w:pos="1168"/>
      </w:tabs>
      <w:spacing w:line="480" w:lineRule="auto"/>
      <w:jc w:val="both"/>
    </w:pPr>
    <w:rPr>
      <w:rFonts w:eastAsia="Times New Roman" w:cs="Times New Roman"/>
      <w:i/>
      <w:szCs w:val="20"/>
      <w:lang w:eastAsia="en-CA"/>
    </w:rPr>
  </w:style>
  <w:style w:type="character" w:customStyle="1" w:styleId="SCCCounselNameChar">
    <w:name w:val="SCC.CounselName Char"/>
    <w:basedOn w:val="DefaultParagraphFont"/>
    <w:link w:val="SCCCounselName"/>
    <w:rsid w:val="00FC29B3"/>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FC29B3"/>
    <w:pPr>
      <w:tabs>
        <w:tab w:val="left" w:pos="1168"/>
      </w:tabs>
      <w:spacing w:line="480" w:lineRule="auto"/>
      <w:jc w:val="both"/>
    </w:pPr>
    <w:rPr>
      <w:rFonts w:eastAsia="Times New Roman" w:cs="Times New Roman"/>
      <w:szCs w:val="20"/>
      <w:lang w:eastAsia="en-CA"/>
    </w:rPr>
  </w:style>
  <w:style w:type="character" w:customStyle="1" w:styleId="SCCCounselSeparatorChar">
    <w:name w:val="SCC.CounselSeparator Char"/>
    <w:basedOn w:val="DefaultParagraphFont"/>
    <w:link w:val="SCCCounselSeparator"/>
    <w:rsid w:val="00FC29B3"/>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FC29B3"/>
    <w:pPr>
      <w:tabs>
        <w:tab w:val="left" w:pos="1168"/>
      </w:tabs>
      <w:spacing w:line="480" w:lineRule="auto"/>
      <w:jc w:val="both"/>
    </w:pPr>
    <w:rPr>
      <w:rFonts w:eastAsia="Times New Roman" w:cs="Times New Roman"/>
      <w:szCs w:val="20"/>
      <w:lang w:eastAsia="en-CA"/>
    </w:rPr>
  </w:style>
  <w:style w:type="character" w:customStyle="1" w:styleId="SCCCounselPartyRoleChar">
    <w:name w:val="SCC.CounselPartyRole Char"/>
    <w:basedOn w:val="DefaultParagraphFont"/>
    <w:link w:val="SCCCounselPartyRole"/>
    <w:rsid w:val="00FC29B3"/>
    <w:rPr>
      <w:rFonts w:eastAsia="Times New Roman" w:cs="Times New Roman"/>
      <w:szCs w:val="20"/>
      <w:lang w:val="en-CA" w:eastAsia="en-CA"/>
    </w:rPr>
  </w:style>
  <w:style w:type="paragraph" w:customStyle="1" w:styleId="SCCNormalDoubleSpacing">
    <w:name w:val="SCC.Normal.DoubleSpacing"/>
    <w:basedOn w:val="Normal"/>
    <w:link w:val="SCCNormalDoubleSpacingChar"/>
    <w:rsid w:val="0085381F"/>
    <w:pPr>
      <w:tabs>
        <w:tab w:val="left" w:pos="1168"/>
      </w:tabs>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85381F"/>
    <w:rPr>
      <w:rFonts w:eastAsia="Times New Roman" w:cs="Times New Roman"/>
      <w:szCs w:val="20"/>
      <w:lang w:val="en-CA" w:eastAsia="en-CA"/>
    </w:rPr>
  </w:style>
  <w:style w:type="paragraph" w:customStyle="1" w:styleId="SCCAppellantForRunningHead">
    <w:name w:val="SCC.AppellantForRunningHead"/>
    <w:basedOn w:val="Normal"/>
    <w:next w:val="Normal"/>
    <w:link w:val="SCCAppellantForRunningHeadChar"/>
    <w:rsid w:val="0085381F"/>
    <w:rPr>
      <w:rFonts w:eastAsia="Times New Roman" w:cs="Times New Roman"/>
      <w:smallCaps/>
      <w:szCs w:val="20"/>
      <w:lang w:eastAsia="en-CA"/>
    </w:rPr>
  </w:style>
  <w:style w:type="character" w:customStyle="1" w:styleId="SCCAppellantForRunningHeadChar">
    <w:name w:val="SCC.AppellantForRunningHead Char"/>
    <w:basedOn w:val="DefaultParagraphFont"/>
    <w:link w:val="SCCAppellantForRunningHead"/>
    <w:rsid w:val="0085381F"/>
    <w:rPr>
      <w:rFonts w:eastAsia="Times New Roman" w:cs="Times New Roman"/>
      <w:smallCaps/>
      <w:szCs w:val="20"/>
      <w:lang w:val="en-CA" w:eastAsia="en-CA"/>
    </w:rPr>
  </w:style>
  <w:style w:type="paragraph" w:customStyle="1" w:styleId="SCCRespondentForRunningHead">
    <w:name w:val="SCC.RespondentForRunningHead"/>
    <w:basedOn w:val="Normal"/>
    <w:next w:val="Normal"/>
    <w:link w:val="SCCRespondentForRunningHeadChar"/>
    <w:rsid w:val="0085381F"/>
    <w:rPr>
      <w:rFonts w:eastAsia="Times New Roman" w:cs="Times New Roman"/>
      <w:smallCaps/>
      <w:szCs w:val="20"/>
      <w:lang w:eastAsia="en-CA"/>
    </w:rPr>
  </w:style>
  <w:style w:type="character" w:customStyle="1" w:styleId="SCCRespondentForRunningHeadChar">
    <w:name w:val="SCC.RespondentForRunningHead Char"/>
    <w:basedOn w:val="DefaultParagraphFont"/>
    <w:link w:val="SCCRespondentForRunningHead"/>
    <w:rsid w:val="0085381F"/>
    <w:rPr>
      <w:rFonts w:eastAsia="Times New Roman" w:cs="Times New Roman"/>
      <w:smallCaps/>
      <w:szCs w:val="20"/>
      <w:lang w:val="en-CA" w:eastAsia="en-CA"/>
    </w:rPr>
  </w:style>
  <w:style w:type="paragraph" w:customStyle="1" w:styleId="SCCAppellantForIndex">
    <w:name w:val="SCC.AppellantForIndex"/>
    <w:basedOn w:val="Normal"/>
    <w:next w:val="Normal"/>
    <w:link w:val="SCCAppellantForIndexChar"/>
    <w:rsid w:val="0085381F"/>
    <w:rPr>
      <w:rFonts w:eastAsia="Times New Roman" w:cs="Times New Roman"/>
      <w:b/>
      <w:szCs w:val="20"/>
      <w:lang w:eastAsia="en-CA"/>
    </w:rPr>
  </w:style>
  <w:style w:type="character" w:customStyle="1" w:styleId="SCCAppellantForIndexChar">
    <w:name w:val="SCC.AppellantForIndex Char"/>
    <w:basedOn w:val="DefaultParagraphFont"/>
    <w:link w:val="SCCAppellantForIndex"/>
    <w:rsid w:val="0085381F"/>
    <w:rPr>
      <w:rFonts w:eastAsia="Times New Roman" w:cs="Times New Roman"/>
      <w:b/>
      <w:szCs w:val="20"/>
      <w:lang w:val="en-CA" w:eastAsia="en-CA"/>
    </w:rPr>
  </w:style>
  <w:style w:type="paragraph" w:customStyle="1" w:styleId="SCCRespondentForIndex">
    <w:name w:val="SCC.RespondentForIndex"/>
    <w:basedOn w:val="Normal"/>
    <w:next w:val="Normal"/>
    <w:link w:val="SCCRespondentForIndexChar"/>
    <w:rsid w:val="0085381F"/>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85381F"/>
    <w:rPr>
      <w:rFonts w:eastAsia="Times New Roman" w:cs="Times New Roman"/>
      <w:b/>
      <w:szCs w:val="20"/>
      <w:lang w:val="en-CA" w:eastAsia="en-CA"/>
    </w:rPr>
  </w:style>
  <w:style w:type="paragraph" w:customStyle="1" w:styleId="SCCSystemYear">
    <w:name w:val="SCC.SystemYear"/>
    <w:basedOn w:val="Normal"/>
    <w:next w:val="Normal"/>
    <w:link w:val="SCCSystemYearChar"/>
    <w:rsid w:val="0085381F"/>
    <w:rPr>
      <w:rFonts w:eastAsia="Times New Roman" w:cs="Times New Roman"/>
      <w:b/>
      <w:szCs w:val="20"/>
      <w:lang w:eastAsia="en-CA"/>
    </w:rPr>
  </w:style>
  <w:style w:type="character" w:customStyle="1" w:styleId="SCCSystemYearChar">
    <w:name w:val="SCC.SystemYear Char"/>
    <w:basedOn w:val="DefaultParagraphFont"/>
    <w:link w:val="SCCSystemYear"/>
    <w:rsid w:val="0085381F"/>
    <w:rPr>
      <w:rFonts w:eastAsia="Times New Roman" w:cs="Times New Roman"/>
      <w:b/>
      <w:szCs w:val="20"/>
      <w:lang w:val="en-CA" w:eastAsia="en-CA"/>
    </w:rPr>
  </w:style>
  <w:style w:type="paragraph" w:customStyle="1" w:styleId="SCCLowerCourtNameLowercase">
    <w:name w:val="SCC.LowerCourtNameLowercase"/>
    <w:basedOn w:val="SCCNormalDoubleSpacing"/>
    <w:next w:val="SCCNormalDoubleSpacing"/>
    <w:rsid w:val="0085381F"/>
    <w:rPr>
      <w:smallCaps/>
    </w:rPr>
  </w:style>
  <w:style w:type="paragraph" w:customStyle="1" w:styleId="SCCLawFirm">
    <w:name w:val="SCC.LawFirm"/>
    <w:basedOn w:val="SCCNormalDoubleSpacing"/>
    <w:next w:val="SCCNormalDoubleSpacing"/>
    <w:link w:val="SCCLawFirmChar"/>
    <w:rsid w:val="0085381F"/>
    <w:rPr>
      <w:i/>
    </w:rPr>
  </w:style>
  <w:style w:type="character" w:customStyle="1" w:styleId="SCCLawFirmChar">
    <w:name w:val="SCC.LawFirm Char"/>
    <w:basedOn w:val="SCCNormalDoubleSpacingChar"/>
    <w:link w:val="SCCLawFirm"/>
    <w:rsid w:val="0085381F"/>
    <w:rPr>
      <w:rFonts w:eastAsia="Times New Roman" w:cs="Times New Roman"/>
      <w:i/>
      <w:szCs w:val="20"/>
      <w:lang w:val="en-CA" w:eastAsia="en-CA"/>
    </w:rPr>
  </w:style>
  <w:style w:type="paragraph" w:customStyle="1" w:styleId="SCCLsocLastPartyInRole">
    <w:name w:val="SCC.Lsoc.LastPartyInRole"/>
    <w:basedOn w:val="Normal"/>
    <w:next w:val="Normal"/>
    <w:link w:val="SCCLsocLastPartyInRoleChar"/>
    <w:qFormat/>
    <w:rsid w:val="0085381F"/>
    <w:pPr>
      <w:tabs>
        <w:tab w:val="right" w:pos="8222"/>
      </w:tabs>
      <w:spacing w:after="720"/>
    </w:pPr>
    <w:rPr>
      <w:rFonts w:eastAsia="Times New Roman" w:cs="Times New Roman"/>
      <w:b/>
      <w:szCs w:val="20"/>
      <w:lang w:eastAsia="en-CA"/>
    </w:rPr>
  </w:style>
  <w:style w:type="character" w:customStyle="1" w:styleId="SCCLsocLastPartyInRoleChar">
    <w:name w:val="SCC.Lsoc.LastPartyInRole Char"/>
    <w:basedOn w:val="SCCLsocPartyChar"/>
    <w:link w:val="SCCLsocLastPartyInRole"/>
    <w:rsid w:val="0085381F"/>
    <w:rPr>
      <w:rFonts w:eastAsia="Times New Roman" w:cs="Times New Roman"/>
      <w:b/>
      <w:szCs w:val="20"/>
      <w:lang w:val="en-CA" w:eastAsia="en-CA"/>
    </w:rPr>
  </w:style>
  <w:style w:type="table" w:customStyle="1" w:styleId="TableGrid1">
    <w:name w:val="Table Grid1"/>
    <w:basedOn w:val="TableNormal"/>
    <w:next w:val="TableGrid"/>
    <w:uiPriority w:val="59"/>
    <w:rsid w:val="00A22ADE"/>
    <w:rPr>
      <w:rFonts w:eastAsia="Times New Roman" w:cs="Times New Roman"/>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2021-05-20T12:48:00Z</dcterms:created>
  <dcterms:modified xsi:type="dcterms:W3CDTF">2022-02-09T15:30:00Z</dcterms:modified>
</cp:coreProperties>
</file>