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B6" w:rsidRPr="00072E7F" w:rsidRDefault="00484AB6" w:rsidP="00484AB6">
      <w:pPr>
        <w:tabs>
          <w:tab w:val="center" w:pos="4680"/>
          <w:tab w:val="right" w:pos="9360"/>
        </w:tabs>
        <w:jc w:val="center"/>
        <w:rPr>
          <w:rFonts w:eastAsia="Calibri"/>
          <w:szCs w:val="24"/>
          <w:lang w:eastAsia="en-US"/>
        </w:rPr>
      </w:pPr>
      <w:r w:rsidRPr="00072E7F">
        <w:rPr>
          <w:rFonts w:eastAsia="Calibri"/>
          <w:szCs w:val="24"/>
          <w:lang w:eastAsia="en-US"/>
        </w:rPr>
        <w:ptab w:relativeTo="margin" w:alignment="center" w:leader="none"/>
      </w:r>
      <w:r w:rsidRPr="00072E7F">
        <w:rPr>
          <w:rFonts w:eastAsia="Calibri"/>
          <w:szCs w:val="24"/>
          <w:lang w:eastAsia="en-US"/>
        </w:rPr>
        <w:t xml:space="preserve"> </w:t>
      </w:r>
      <w:r w:rsidRPr="00072E7F">
        <w:rPr>
          <w:rFonts w:eastAsia="Calibri"/>
          <w:szCs w:val="24"/>
          <w:lang w:eastAsia="en-US"/>
        </w:rPr>
        <w:object w:dxaOrig="1365" w:dyaOrig="1440">
          <v:shape id="_x0000_i1025" type="#_x0000_t75" style="width:61.45pt;height:64.8pt" o:ole="">
            <v:imagedata r:id="rId8" o:title=""/>
          </v:shape>
          <o:OLEObject Type="Embed" ProgID="Presentations.Drawing.13" ShapeID="_x0000_i1025" DrawAspect="Content" ObjectID="_1708612320" r:id="rId9"/>
        </w:object>
      </w:r>
      <w:r w:rsidRPr="00072E7F">
        <w:rPr>
          <w:rFonts w:eastAsia="Calibri"/>
          <w:szCs w:val="24"/>
          <w:lang w:eastAsia="en-US"/>
        </w:rPr>
        <w:t xml:space="preserve"> </w:t>
      </w:r>
      <w:r w:rsidRPr="00072E7F">
        <w:rPr>
          <w:rFonts w:eastAsia="Calibri"/>
          <w:szCs w:val="24"/>
          <w:lang w:eastAsia="en-US"/>
        </w:rPr>
        <w:ptab w:relativeTo="margin" w:alignment="right" w:leader="none"/>
      </w:r>
    </w:p>
    <w:p w:rsidR="00484AB6" w:rsidRPr="00072E7F" w:rsidRDefault="00484AB6" w:rsidP="00484AB6">
      <w:pPr>
        <w:tabs>
          <w:tab w:val="center" w:pos="4680"/>
          <w:tab w:val="right" w:pos="9360"/>
        </w:tabs>
        <w:rPr>
          <w:rFonts w:eastAsia="Calibri"/>
          <w:szCs w:val="24"/>
          <w:lang w:eastAsia="en-US"/>
        </w:rPr>
      </w:pPr>
    </w:p>
    <w:p w:rsidR="00484AB6" w:rsidRPr="00072E7F" w:rsidRDefault="00484AB6" w:rsidP="00484AB6">
      <w:pPr>
        <w:jc w:val="center"/>
        <w:rPr>
          <w:rFonts w:eastAsia="Calibri"/>
          <w:b/>
          <w:szCs w:val="24"/>
          <w:lang w:eastAsia="en-US"/>
        </w:rPr>
      </w:pPr>
      <w:r w:rsidRPr="00072E7F">
        <w:rPr>
          <w:rFonts w:eastAsia="Calibri"/>
          <w:b/>
          <w:szCs w:val="24"/>
          <w:lang w:eastAsia="en-US"/>
        </w:rPr>
        <w:t>SUPREME COURT OF CANADA</w:t>
      </w:r>
    </w:p>
    <w:p w:rsidR="00484AB6" w:rsidRPr="00484AB6" w:rsidRDefault="00484AB6" w:rsidP="00484AB6">
      <w:pPr>
        <w:rPr>
          <w:rFonts w:eastAsia="Calibri"/>
          <w:szCs w:val="22"/>
          <w:lang w:val="en-US" w:eastAsia="en-US" w:bidi="en-US"/>
        </w:rPr>
      </w:pPr>
    </w:p>
    <w:p w:rsidR="00484AB6" w:rsidRPr="00484AB6" w:rsidRDefault="00484AB6" w:rsidP="00484AB6">
      <w:pPr>
        <w:rPr>
          <w:rFonts w:eastAsia="Calibri"/>
          <w:szCs w:val="22"/>
          <w:lang w:val="en-US" w:eastAsia="en-US" w:bidi="en-US"/>
        </w:rPr>
      </w:pPr>
    </w:p>
    <w:tbl>
      <w:tblPr>
        <w:tblStyle w:val="TableGrid1"/>
        <w:tblW w:w="57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2181"/>
        <w:gridCol w:w="3869"/>
      </w:tblGrid>
      <w:tr w:rsidR="00484AB6" w:rsidRPr="00484AB6" w:rsidTr="00484AB6">
        <w:tc>
          <w:tcPr>
            <w:tcW w:w="1829" w:type="pct"/>
            <w:tcMar>
              <w:top w:w="284" w:type="dxa"/>
            </w:tcMar>
          </w:tcPr>
          <w:p w:rsidR="00484AB6" w:rsidRPr="00484AB6" w:rsidRDefault="00484AB6" w:rsidP="00484AB6">
            <w:pPr>
              <w:spacing w:before="100" w:beforeAutospacing="1"/>
              <w:rPr>
                <w:rFonts w:eastAsia="Calibri"/>
                <w:lang w:val="fr-CA"/>
              </w:rPr>
            </w:pPr>
            <w:r w:rsidRPr="00072E7F">
              <w:rPr>
                <w:b/>
                <w:smallCaps/>
                <w:lang w:val="fr-CA"/>
              </w:rPr>
              <w:t>Citation:</w:t>
            </w:r>
            <w:r w:rsidRPr="00072E7F">
              <w:rPr>
                <w:lang w:val="fr-CA"/>
              </w:rPr>
              <w:t xml:space="preserve"> R. </w:t>
            </w:r>
            <w:r w:rsidRPr="00072E7F">
              <w:rPr>
                <w:i/>
                <w:lang w:val="fr-CA"/>
              </w:rPr>
              <w:t>v.</w:t>
            </w:r>
            <w:r w:rsidRPr="00072E7F">
              <w:rPr>
                <w:lang w:val="fr-CA"/>
              </w:rPr>
              <w:t xml:space="preserve"> Rafilovich, 2019 SCC </w:t>
            </w:r>
            <w:r w:rsidRPr="00072E7F">
              <w:t>51</w:t>
            </w:r>
            <w:r>
              <w:t>, [2019] 3 S.C.R. 838</w:t>
            </w:r>
          </w:p>
        </w:tc>
        <w:tc>
          <w:tcPr>
            <w:tcW w:w="1143" w:type="pct"/>
          </w:tcPr>
          <w:p w:rsidR="00484AB6" w:rsidRPr="00484AB6" w:rsidRDefault="00484AB6" w:rsidP="00484AB6">
            <w:pPr>
              <w:rPr>
                <w:b/>
                <w:smallCaps/>
                <w:lang w:val="fr-CA"/>
              </w:rPr>
            </w:pPr>
          </w:p>
        </w:tc>
        <w:tc>
          <w:tcPr>
            <w:tcW w:w="2028" w:type="pct"/>
            <w:tcMar>
              <w:top w:w="284" w:type="dxa"/>
            </w:tcMar>
          </w:tcPr>
          <w:p w:rsidR="00484AB6" w:rsidRPr="00072E7F" w:rsidRDefault="00484AB6" w:rsidP="00484AB6">
            <w:r w:rsidRPr="00072E7F">
              <w:rPr>
                <w:b/>
                <w:smallCaps/>
              </w:rPr>
              <w:t>Appeal Heard:</w:t>
            </w:r>
            <w:r w:rsidRPr="00072E7F">
              <w:t xml:space="preserve"> January 25, 2019</w:t>
            </w:r>
          </w:p>
          <w:p w:rsidR="00484AB6" w:rsidRPr="00072E7F" w:rsidRDefault="00484AB6" w:rsidP="00484AB6">
            <w:r w:rsidRPr="00072E7F">
              <w:rPr>
                <w:b/>
                <w:smallCaps/>
              </w:rPr>
              <w:t>Judgment Rendered:</w:t>
            </w:r>
            <w:r w:rsidRPr="00072E7F">
              <w:t xml:space="preserve"> November 8, 2019</w:t>
            </w:r>
          </w:p>
          <w:p w:rsidR="00484AB6" w:rsidRPr="00484AB6" w:rsidRDefault="00484AB6" w:rsidP="00484AB6">
            <w:r w:rsidRPr="00072E7F">
              <w:rPr>
                <w:b/>
                <w:smallCaps/>
              </w:rPr>
              <w:t>Docket:</w:t>
            </w:r>
            <w:r w:rsidRPr="00072E7F">
              <w:t xml:space="preserve"> 37791</w:t>
            </w:r>
          </w:p>
        </w:tc>
      </w:tr>
    </w:tbl>
    <w:p w:rsidR="00484AB6" w:rsidRPr="00484AB6" w:rsidRDefault="00484AB6" w:rsidP="00484AB6">
      <w:pPr>
        <w:rPr>
          <w:rFonts w:eastAsia="Calibri"/>
          <w:szCs w:val="22"/>
          <w:lang w:val="fr-CA" w:eastAsia="en-US" w:bidi="en-US"/>
        </w:rPr>
      </w:pPr>
    </w:p>
    <w:p w:rsidR="00484AB6" w:rsidRDefault="00484AB6" w:rsidP="00484AB6">
      <w:pPr>
        <w:rPr>
          <w:rFonts w:eastAsia="Calibri"/>
          <w:b/>
          <w:smallCaps/>
          <w:szCs w:val="24"/>
          <w:lang w:eastAsia="en-US"/>
        </w:rPr>
      </w:pPr>
      <w:r w:rsidRPr="00072E7F">
        <w:rPr>
          <w:rFonts w:eastAsia="Calibri"/>
          <w:b/>
          <w:smallCaps/>
          <w:szCs w:val="24"/>
          <w:lang w:eastAsia="en-US"/>
        </w:rPr>
        <w:t>Between:</w:t>
      </w:r>
    </w:p>
    <w:p w:rsidR="00484AB6" w:rsidRPr="00072E7F" w:rsidRDefault="00484AB6" w:rsidP="00484AB6">
      <w:pPr>
        <w:rPr>
          <w:rFonts w:eastAsia="Calibri"/>
          <w:b/>
          <w:smallCaps/>
          <w:szCs w:val="24"/>
          <w:lang w:eastAsia="en-US"/>
        </w:rPr>
      </w:pPr>
      <w:bookmarkStart w:id="0" w:name="_GoBack"/>
      <w:bookmarkEnd w:id="0"/>
    </w:p>
    <w:p w:rsidR="00484AB6" w:rsidRPr="00072E7F" w:rsidRDefault="00484AB6" w:rsidP="00484AB6">
      <w:pPr>
        <w:jc w:val="center"/>
        <w:rPr>
          <w:rFonts w:eastAsia="Calibri"/>
          <w:b/>
          <w:szCs w:val="24"/>
          <w:lang w:eastAsia="en-US"/>
        </w:rPr>
      </w:pPr>
      <w:r w:rsidRPr="00072E7F">
        <w:rPr>
          <w:rFonts w:eastAsia="Calibri"/>
          <w:b/>
          <w:szCs w:val="24"/>
          <w:lang w:eastAsia="en-US"/>
        </w:rPr>
        <w:t>Yulik Rafilovich</w:t>
      </w:r>
    </w:p>
    <w:p w:rsidR="00484AB6" w:rsidRPr="00072E7F" w:rsidRDefault="00484AB6" w:rsidP="00484AB6">
      <w:pPr>
        <w:jc w:val="center"/>
        <w:rPr>
          <w:rFonts w:eastAsia="Calibri"/>
          <w:szCs w:val="24"/>
          <w:lang w:eastAsia="en-US"/>
        </w:rPr>
      </w:pPr>
      <w:r w:rsidRPr="00072E7F">
        <w:rPr>
          <w:rFonts w:eastAsia="Calibri"/>
          <w:szCs w:val="24"/>
          <w:lang w:eastAsia="en-US"/>
        </w:rPr>
        <w:t>Appellant</w:t>
      </w:r>
    </w:p>
    <w:p w:rsidR="00484AB6" w:rsidRPr="00072E7F" w:rsidRDefault="00484AB6" w:rsidP="00484AB6">
      <w:pPr>
        <w:jc w:val="center"/>
        <w:rPr>
          <w:rFonts w:eastAsia="Calibri"/>
          <w:szCs w:val="24"/>
          <w:lang w:eastAsia="en-US"/>
        </w:rPr>
      </w:pPr>
    </w:p>
    <w:p w:rsidR="00484AB6" w:rsidRPr="00072E7F" w:rsidRDefault="00484AB6" w:rsidP="00484AB6">
      <w:pPr>
        <w:jc w:val="center"/>
        <w:rPr>
          <w:rFonts w:eastAsia="Calibri"/>
          <w:szCs w:val="24"/>
          <w:lang w:eastAsia="en-US"/>
        </w:rPr>
      </w:pPr>
      <w:r w:rsidRPr="00072E7F">
        <w:rPr>
          <w:rFonts w:eastAsia="Calibri"/>
          <w:szCs w:val="24"/>
          <w:lang w:eastAsia="en-US"/>
        </w:rPr>
        <w:t>and</w:t>
      </w:r>
    </w:p>
    <w:p w:rsidR="00484AB6" w:rsidRPr="00072E7F" w:rsidRDefault="00484AB6" w:rsidP="00484AB6">
      <w:pPr>
        <w:rPr>
          <w:rFonts w:eastAsia="Calibri"/>
          <w:szCs w:val="24"/>
          <w:lang w:eastAsia="en-US"/>
        </w:rPr>
      </w:pPr>
    </w:p>
    <w:p w:rsidR="00484AB6" w:rsidRPr="00072E7F" w:rsidRDefault="00484AB6" w:rsidP="00484AB6">
      <w:pPr>
        <w:jc w:val="center"/>
        <w:rPr>
          <w:rFonts w:eastAsia="Calibri"/>
          <w:b/>
          <w:szCs w:val="24"/>
          <w:lang w:eastAsia="en-US"/>
        </w:rPr>
      </w:pPr>
      <w:r w:rsidRPr="00072E7F">
        <w:rPr>
          <w:rFonts w:eastAsia="Calibri"/>
          <w:b/>
          <w:szCs w:val="24"/>
          <w:lang w:eastAsia="en-US"/>
        </w:rPr>
        <w:t>Her Majesty The Queen</w:t>
      </w:r>
    </w:p>
    <w:p w:rsidR="00484AB6" w:rsidRPr="00072E7F" w:rsidRDefault="00484AB6" w:rsidP="00484AB6">
      <w:pPr>
        <w:jc w:val="center"/>
        <w:rPr>
          <w:rFonts w:eastAsia="Calibri"/>
          <w:szCs w:val="24"/>
          <w:lang w:eastAsia="en-US"/>
        </w:rPr>
      </w:pPr>
      <w:r w:rsidRPr="00072E7F">
        <w:rPr>
          <w:rFonts w:eastAsia="Calibri"/>
          <w:szCs w:val="24"/>
          <w:lang w:eastAsia="en-US"/>
        </w:rPr>
        <w:t>Respondent</w:t>
      </w:r>
    </w:p>
    <w:p w:rsidR="00484AB6" w:rsidRPr="00072E7F" w:rsidRDefault="00484AB6" w:rsidP="00484AB6">
      <w:pPr>
        <w:rPr>
          <w:rFonts w:eastAsia="Calibri"/>
          <w:szCs w:val="24"/>
          <w:lang w:eastAsia="en-US"/>
        </w:rPr>
      </w:pPr>
    </w:p>
    <w:p w:rsidR="00484AB6" w:rsidRPr="00072E7F" w:rsidRDefault="00484AB6" w:rsidP="00484AB6">
      <w:pPr>
        <w:jc w:val="center"/>
        <w:rPr>
          <w:rFonts w:eastAsia="Calibri"/>
          <w:szCs w:val="24"/>
          <w:lang w:eastAsia="en-US"/>
        </w:rPr>
      </w:pPr>
      <w:r w:rsidRPr="00072E7F">
        <w:rPr>
          <w:rFonts w:eastAsia="Calibri"/>
          <w:szCs w:val="24"/>
          <w:lang w:eastAsia="en-US"/>
        </w:rPr>
        <w:t>- and -</w:t>
      </w:r>
    </w:p>
    <w:p w:rsidR="00484AB6" w:rsidRPr="00072E7F" w:rsidRDefault="00484AB6" w:rsidP="00484AB6">
      <w:pPr>
        <w:rPr>
          <w:rFonts w:eastAsia="Calibri"/>
          <w:szCs w:val="24"/>
          <w:lang w:eastAsia="en-US"/>
        </w:rPr>
      </w:pPr>
    </w:p>
    <w:p w:rsidR="00484AB6" w:rsidRPr="00072E7F" w:rsidRDefault="00484AB6" w:rsidP="00484AB6">
      <w:pPr>
        <w:jc w:val="center"/>
        <w:rPr>
          <w:rFonts w:eastAsia="Calibri"/>
          <w:b/>
          <w:szCs w:val="24"/>
          <w:lang w:eastAsia="en-US"/>
        </w:rPr>
      </w:pPr>
      <w:r w:rsidRPr="00072E7F">
        <w:rPr>
          <w:rFonts w:eastAsia="Calibri"/>
          <w:b/>
          <w:szCs w:val="24"/>
          <w:lang w:eastAsia="en-US"/>
        </w:rPr>
        <w:t>Attorney General of Ontario,</w:t>
      </w:r>
    </w:p>
    <w:p w:rsidR="00484AB6" w:rsidRPr="00072E7F" w:rsidRDefault="00484AB6" w:rsidP="00484AB6">
      <w:pPr>
        <w:jc w:val="center"/>
        <w:rPr>
          <w:rFonts w:eastAsia="Calibri"/>
          <w:b/>
          <w:szCs w:val="24"/>
          <w:lang w:eastAsia="en-US"/>
        </w:rPr>
      </w:pPr>
      <w:r w:rsidRPr="00072E7F">
        <w:rPr>
          <w:rFonts w:eastAsia="Calibri"/>
          <w:b/>
          <w:szCs w:val="24"/>
          <w:lang w:eastAsia="en-US"/>
        </w:rPr>
        <w:t>Canadian Civil Liberties Association,</w:t>
      </w:r>
    </w:p>
    <w:p w:rsidR="00484AB6" w:rsidRPr="00072E7F" w:rsidRDefault="00484AB6" w:rsidP="00484AB6">
      <w:pPr>
        <w:jc w:val="center"/>
        <w:rPr>
          <w:rFonts w:eastAsia="Calibri"/>
          <w:b/>
          <w:szCs w:val="24"/>
          <w:lang w:eastAsia="en-US"/>
        </w:rPr>
      </w:pPr>
      <w:r w:rsidRPr="00072E7F">
        <w:rPr>
          <w:rFonts w:eastAsia="Calibri"/>
          <w:b/>
          <w:szCs w:val="24"/>
          <w:lang w:eastAsia="en-US"/>
        </w:rPr>
        <w:t>Criminal Lawyers’ Association of Ontario and</w:t>
      </w:r>
    </w:p>
    <w:p w:rsidR="00484AB6" w:rsidRPr="00072E7F" w:rsidRDefault="00484AB6" w:rsidP="00484AB6">
      <w:pPr>
        <w:ind w:left="720" w:right="720"/>
        <w:jc w:val="center"/>
        <w:rPr>
          <w:rFonts w:eastAsia="Calibri"/>
          <w:b/>
          <w:szCs w:val="24"/>
          <w:lang w:eastAsia="en-US"/>
        </w:rPr>
      </w:pPr>
      <w:r w:rsidRPr="00072E7F">
        <w:rPr>
          <w:rFonts w:eastAsia="Calibri"/>
          <w:b/>
          <w:szCs w:val="24"/>
          <w:lang w:eastAsia="en-US"/>
        </w:rPr>
        <w:t>British Columbia Civil Liberties Association</w:t>
      </w:r>
    </w:p>
    <w:p w:rsidR="00484AB6" w:rsidRPr="00072E7F" w:rsidRDefault="00484AB6" w:rsidP="00484AB6">
      <w:pPr>
        <w:jc w:val="center"/>
        <w:rPr>
          <w:rFonts w:eastAsia="Calibri"/>
          <w:szCs w:val="24"/>
          <w:lang w:val="en-US" w:eastAsia="en-US"/>
        </w:rPr>
      </w:pPr>
      <w:r w:rsidRPr="00072E7F">
        <w:rPr>
          <w:rFonts w:eastAsia="Calibri"/>
          <w:szCs w:val="24"/>
          <w:lang w:val="en-US" w:eastAsia="en-US"/>
        </w:rPr>
        <w:t>Interveners</w:t>
      </w:r>
    </w:p>
    <w:p w:rsidR="00484AB6" w:rsidRPr="00072E7F" w:rsidRDefault="00484AB6" w:rsidP="00484AB6">
      <w:pPr>
        <w:rPr>
          <w:rFonts w:eastAsia="Calibri"/>
          <w:szCs w:val="24"/>
          <w:lang w:val="en-US" w:eastAsia="en-US"/>
        </w:rPr>
      </w:pPr>
    </w:p>
    <w:p w:rsidR="00484AB6" w:rsidRPr="00072E7F" w:rsidRDefault="00484AB6" w:rsidP="00484AB6">
      <w:pPr>
        <w:rPr>
          <w:rFonts w:eastAsia="Calibri"/>
          <w:szCs w:val="24"/>
          <w:lang w:val="en-US" w:eastAsia="en-US"/>
        </w:rPr>
      </w:pPr>
    </w:p>
    <w:p w:rsidR="00484AB6" w:rsidRPr="00072E7F" w:rsidRDefault="00484AB6" w:rsidP="00484AB6">
      <w:pPr>
        <w:jc w:val="both"/>
        <w:rPr>
          <w:rFonts w:eastAsia="Calibri"/>
          <w:szCs w:val="24"/>
          <w:lang w:eastAsia="en-US"/>
        </w:rPr>
      </w:pPr>
      <w:r w:rsidRPr="00072E7F">
        <w:rPr>
          <w:rFonts w:eastAsia="Calibri"/>
          <w:b/>
          <w:smallCaps/>
          <w:szCs w:val="24"/>
          <w:lang w:eastAsia="en-US"/>
        </w:rPr>
        <w:t>Coram :</w:t>
      </w:r>
      <w:r w:rsidRPr="00072E7F">
        <w:rPr>
          <w:rFonts w:eastAsia="Calibri"/>
          <w:szCs w:val="24"/>
          <w:lang w:eastAsia="en-US"/>
        </w:rPr>
        <w:t xml:space="preserve"> Wagner C.J. and Abella, Moldaver, Karakatsanis, Gascon, Côté, Brown, Rowe and Martin JJ.</w:t>
      </w:r>
    </w:p>
    <w:p w:rsidR="00484AB6" w:rsidRPr="00072E7F" w:rsidRDefault="00484AB6" w:rsidP="00484AB6">
      <w:pPr>
        <w:rPr>
          <w:rFonts w:eastAsia="Calibr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84AB6" w:rsidRPr="00072E7F" w:rsidTr="0049785F">
        <w:trPr>
          <w:cantSplit/>
        </w:trPr>
        <w:tc>
          <w:tcPr>
            <w:tcW w:w="3618" w:type="dxa"/>
          </w:tcPr>
          <w:p w:rsidR="00484AB6" w:rsidRPr="00072E7F" w:rsidRDefault="00484AB6" w:rsidP="0049785F">
            <w:pPr>
              <w:rPr>
                <w:b/>
                <w:smallCaps/>
              </w:rPr>
            </w:pPr>
            <w:r w:rsidRPr="00072E7F">
              <w:rPr>
                <w:b/>
                <w:smallCaps/>
              </w:rPr>
              <w:t>Reasons for Judgment:</w:t>
            </w:r>
          </w:p>
          <w:p w:rsidR="00484AB6" w:rsidRPr="00072E7F" w:rsidRDefault="00484AB6" w:rsidP="0049785F">
            <w:r w:rsidRPr="00072E7F">
              <w:t>(paras. 1 to 87)</w:t>
            </w:r>
          </w:p>
        </w:tc>
        <w:tc>
          <w:tcPr>
            <w:tcW w:w="5958" w:type="dxa"/>
          </w:tcPr>
          <w:p w:rsidR="00484AB6" w:rsidRPr="00072E7F" w:rsidRDefault="00484AB6" w:rsidP="0049785F">
            <w:r w:rsidRPr="00072E7F">
              <w:t>Martin J. (Abella, Karakatsanis, Gascon, Brown and Rowe JJ. concurring)</w:t>
            </w:r>
          </w:p>
        </w:tc>
      </w:tr>
    </w:tbl>
    <w:p w:rsidR="00484AB6" w:rsidRPr="00072E7F" w:rsidRDefault="00484AB6" w:rsidP="00484AB6">
      <w:pPr>
        <w:rPr>
          <w:rFonts w:eastAsia="Calibri"/>
          <w:szCs w:val="24"/>
          <w:lang w:val="en-US"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84AB6" w:rsidRPr="00072E7F" w:rsidTr="0049785F">
        <w:trPr>
          <w:cantSplit/>
        </w:trPr>
        <w:tc>
          <w:tcPr>
            <w:tcW w:w="3618" w:type="dxa"/>
          </w:tcPr>
          <w:p w:rsidR="00484AB6" w:rsidRPr="00072E7F" w:rsidRDefault="00484AB6" w:rsidP="0049785F">
            <w:pPr>
              <w:rPr>
                <w:b/>
                <w:smallCaps/>
              </w:rPr>
            </w:pPr>
            <w:r w:rsidRPr="00072E7F">
              <w:rPr>
                <w:b/>
                <w:smallCaps/>
              </w:rPr>
              <w:t>Reasons Dissenting in Part:</w:t>
            </w:r>
          </w:p>
          <w:p w:rsidR="00484AB6" w:rsidRPr="00072E7F" w:rsidRDefault="00484AB6" w:rsidP="0049785F">
            <w:r w:rsidRPr="00072E7F">
              <w:t>(paras. 88 to 176)</w:t>
            </w:r>
          </w:p>
          <w:p w:rsidR="00484AB6" w:rsidRPr="00072E7F" w:rsidRDefault="00484AB6" w:rsidP="0049785F"/>
        </w:tc>
        <w:tc>
          <w:tcPr>
            <w:tcW w:w="5958" w:type="dxa"/>
          </w:tcPr>
          <w:p w:rsidR="00484AB6" w:rsidRPr="00072E7F" w:rsidRDefault="00484AB6" w:rsidP="0049785F">
            <w:r w:rsidRPr="00072E7F">
              <w:t>Moldaver J. (Wagner C.J. and Côté J. concurring)</w:t>
            </w:r>
          </w:p>
          <w:p w:rsidR="00484AB6" w:rsidRPr="00072E7F" w:rsidRDefault="00484AB6" w:rsidP="0049785F"/>
        </w:tc>
      </w:tr>
    </w:tbl>
    <w:p w:rsidR="00484AB6" w:rsidRPr="00072E7F" w:rsidRDefault="00484AB6" w:rsidP="00484AB6">
      <w:pPr>
        <w:rPr>
          <w:rFonts w:eastAsia="Calibri"/>
          <w:szCs w:val="24"/>
          <w:lang w:eastAsia="en-US"/>
        </w:rPr>
      </w:pPr>
      <w:r w:rsidRPr="00072E7F">
        <w:rPr>
          <w:rFonts w:eastAsia="Calibri"/>
          <w:noProof/>
          <w:szCs w:val="24"/>
          <w:lang w:val="en-US" w:eastAsia="en-US"/>
        </w:rPr>
        <mc:AlternateContent>
          <mc:Choice Requires="wps">
            <w:drawing>
              <wp:anchor distT="0" distB="0" distL="114300" distR="114300" simplePos="0" relativeHeight="251659264" behindDoc="0" locked="0" layoutInCell="1" allowOverlap="1" wp14:anchorId="46D596B8" wp14:editId="0B03D96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7ACC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84AB6" w:rsidRPr="00072E7F" w:rsidRDefault="00484AB6" w:rsidP="00484AB6">
      <w:pPr>
        <w:rPr>
          <w:rFonts w:eastAsia="Calibri"/>
          <w:szCs w:val="24"/>
          <w:lang w:eastAsia="en-US"/>
        </w:rPr>
      </w:pPr>
    </w:p>
    <w:p w:rsidR="00484AB6" w:rsidRPr="00072E7F" w:rsidRDefault="00484AB6" w:rsidP="00484AB6">
      <w:pPr>
        <w:rPr>
          <w:rFonts w:eastAsia="Calibri"/>
          <w:szCs w:val="24"/>
          <w:lang w:eastAsia="en-US"/>
        </w:rPr>
      </w:pPr>
    </w:p>
    <w:p w:rsidR="00484AB6" w:rsidRDefault="00484AB6" w:rsidP="00BA0848">
      <w:pPr>
        <w:spacing w:after="720"/>
        <w:jc w:val="both"/>
        <w:rPr>
          <w:rStyle w:val="SCCAppellantForRunningHeadChar"/>
          <w:smallCaps w:val="0"/>
        </w:rPr>
      </w:pPr>
    </w:p>
    <w:p w:rsidR="00484AB6" w:rsidRDefault="00484AB6" w:rsidP="00BA0848">
      <w:pPr>
        <w:spacing w:after="720"/>
        <w:jc w:val="both"/>
        <w:rPr>
          <w:rStyle w:val="SCCAppellantForRunningHeadChar"/>
          <w:smallCaps w:val="0"/>
        </w:rPr>
      </w:pPr>
    </w:p>
    <w:p w:rsidR="008322BD" w:rsidRPr="00BA3F2F" w:rsidRDefault="005E3596" w:rsidP="00BA0848">
      <w:pPr>
        <w:spacing w:after="720"/>
        <w:jc w:val="both"/>
      </w:pPr>
      <w:r w:rsidRPr="00BA3F2F">
        <w:rPr>
          <w:rStyle w:val="SCCAppellantForRunningHeadChar"/>
        </w:rPr>
        <w:t xml:space="preserve">r. </w:t>
      </w:r>
      <w:r w:rsidR="009B57B3" w:rsidRPr="00BA3F2F">
        <w:rPr>
          <w:i/>
        </w:rPr>
        <w:t>v.</w:t>
      </w:r>
      <w:r w:rsidR="00B000D8" w:rsidRPr="00BA3F2F">
        <w:t xml:space="preserve"> </w:t>
      </w:r>
      <w:r w:rsidRPr="00BA3F2F">
        <w:rPr>
          <w:rStyle w:val="SCCAppellantForRunningHeadChar"/>
        </w:rPr>
        <w:t>rafilovich</w:t>
      </w:r>
    </w:p>
    <w:p w:rsidR="00F90EC8" w:rsidRPr="00BA3F2F" w:rsidRDefault="00576530" w:rsidP="00BA0848">
      <w:pPr>
        <w:pStyle w:val="SCCLsocLastPartyInRole"/>
      </w:pPr>
      <w:r w:rsidRPr="00BA3F2F">
        <w:t>Yulik Rafilovich</w:t>
      </w:r>
      <w:r w:rsidRPr="00BA3F2F">
        <w:rPr>
          <w:rStyle w:val="SCCLsocPartyRole"/>
        </w:rPr>
        <w:tab/>
        <w:t>Appellant</w:t>
      </w:r>
    </w:p>
    <w:p w:rsidR="00F90EC8" w:rsidRPr="00BA3F2F" w:rsidRDefault="00576530" w:rsidP="00BA0848">
      <w:pPr>
        <w:pStyle w:val="SCCLsocVersus"/>
      </w:pPr>
      <w:r w:rsidRPr="00BA3F2F">
        <w:t>v.</w:t>
      </w:r>
    </w:p>
    <w:p w:rsidR="00F90EC8" w:rsidRPr="00BA3F2F" w:rsidRDefault="00F527E1" w:rsidP="00BA0848">
      <w:pPr>
        <w:pStyle w:val="SCCLsocLastPartyInRole"/>
      </w:pPr>
      <w:r w:rsidRPr="00BA3F2F">
        <w:t>Her Majesty T</w:t>
      </w:r>
      <w:r w:rsidR="00576530" w:rsidRPr="00BA3F2F">
        <w:t>he Queen</w:t>
      </w:r>
      <w:r w:rsidR="00576530" w:rsidRPr="00BA3F2F">
        <w:rPr>
          <w:rStyle w:val="SCCLsocPartyRole"/>
        </w:rPr>
        <w:tab/>
        <w:t>Respondent</w:t>
      </w:r>
    </w:p>
    <w:p w:rsidR="00F90EC8" w:rsidRPr="00BA3F2F" w:rsidRDefault="00576530" w:rsidP="00BA0848">
      <w:pPr>
        <w:pStyle w:val="SCCLsocOtherPartySeparator"/>
      </w:pPr>
      <w:r w:rsidRPr="00BA3F2F">
        <w:t>and</w:t>
      </w:r>
    </w:p>
    <w:p w:rsidR="00F90EC8" w:rsidRPr="00BA3F2F" w:rsidRDefault="00576530">
      <w:pPr>
        <w:pStyle w:val="SCCLsocParty"/>
      </w:pPr>
      <w:r w:rsidRPr="00BA3F2F">
        <w:t>Attorney General of Ontario,</w:t>
      </w:r>
    </w:p>
    <w:p w:rsidR="00F90EC8" w:rsidRPr="00BA3F2F" w:rsidRDefault="00576530">
      <w:pPr>
        <w:pStyle w:val="SCCLsocParty"/>
      </w:pPr>
      <w:r w:rsidRPr="00BA3F2F">
        <w:t>Canadian Civil Liberties Association,</w:t>
      </w:r>
    </w:p>
    <w:p w:rsidR="00F90EC8" w:rsidRPr="00BA3F2F" w:rsidRDefault="00576530">
      <w:pPr>
        <w:pStyle w:val="SCCLsocParty"/>
      </w:pPr>
      <w:r w:rsidRPr="00BA3F2F">
        <w:t>Criminal Lawyers</w:t>
      </w:r>
      <w:r w:rsidR="00F527E1" w:rsidRPr="00BA3F2F">
        <w:t>’ Association of Ontario and</w:t>
      </w:r>
    </w:p>
    <w:p w:rsidR="00F90EC8" w:rsidRPr="00BA3F2F" w:rsidRDefault="00576530" w:rsidP="00BA0848">
      <w:pPr>
        <w:pStyle w:val="SCCLsocLastPartyInRole"/>
      </w:pPr>
      <w:r w:rsidRPr="00BA3F2F">
        <w:t>British Columbia Civil Liberties Association</w:t>
      </w:r>
      <w:r w:rsidRPr="00BA3F2F">
        <w:rPr>
          <w:rStyle w:val="SCCLsocPartyRole"/>
        </w:rPr>
        <w:tab/>
        <w:t>Interveners</w:t>
      </w:r>
    </w:p>
    <w:p w:rsidR="00426659" w:rsidRPr="00BA3F2F" w:rsidRDefault="00426659" w:rsidP="00BA0848">
      <w:pPr>
        <w:spacing w:after="720"/>
        <w:jc w:val="both"/>
        <w:rPr>
          <w:b/>
        </w:rPr>
      </w:pPr>
      <w:r w:rsidRPr="00BA3F2F">
        <w:rPr>
          <w:b/>
        </w:rPr>
        <w:t>Indexed as:</w:t>
      </w:r>
      <w:r w:rsidR="00576530" w:rsidRPr="00BA3F2F">
        <w:rPr>
          <w:b/>
        </w:rPr>
        <w:t xml:space="preserve"> </w:t>
      </w:r>
      <w:r w:rsidRPr="00BA3F2F">
        <w:rPr>
          <w:rStyle w:val="SCCAppellantForIndexChar"/>
        </w:rPr>
        <w:t>R</w:t>
      </w:r>
      <w:r w:rsidR="00576530" w:rsidRPr="00BA3F2F">
        <w:rPr>
          <w:rStyle w:val="SCCAppellantForIndexChar"/>
        </w:rPr>
        <w:t xml:space="preserve">. </w:t>
      </w:r>
      <w:r w:rsidRPr="00BA3F2F">
        <w:rPr>
          <w:b/>
          <w:i/>
        </w:rPr>
        <w:t>v.</w:t>
      </w:r>
      <w:r w:rsidRPr="00BA3F2F">
        <w:rPr>
          <w:b/>
        </w:rPr>
        <w:t xml:space="preserve"> </w:t>
      </w:r>
      <w:r w:rsidR="00576530" w:rsidRPr="00BA3F2F">
        <w:rPr>
          <w:rStyle w:val="SCCAppellantForIndexChar"/>
        </w:rPr>
        <w:t>Rafilovich</w:t>
      </w:r>
    </w:p>
    <w:p w:rsidR="00426659" w:rsidRPr="00BA3F2F" w:rsidRDefault="00AE4535" w:rsidP="00BA0848">
      <w:pPr>
        <w:pStyle w:val="SCCSystemYear"/>
        <w:spacing w:after="720"/>
        <w:jc w:val="both"/>
      </w:pPr>
      <w:r w:rsidRPr="00BA3F2F">
        <w:t>2019</w:t>
      </w:r>
      <w:r w:rsidR="003D0399" w:rsidRPr="00BA3F2F">
        <w:t xml:space="preserve"> </w:t>
      </w:r>
      <w:r w:rsidR="00426659" w:rsidRPr="00BA3F2F">
        <w:t>SCC </w:t>
      </w:r>
      <w:r w:rsidR="00333980">
        <w:t>51</w:t>
      </w:r>
    </w:p>
    <w:p w:rsidR="008322BD" w:rsidRPr="00BA3F2F" w:rsidRDefault="00576530" w:rsidP="00BA0848">
      <w:pPr>
        <w:spacing w:after="720"/>
        <w:jc w:val="both"/>
      </w:pPr>
      <w:r w:rsidRPr="00BA3F2F">
        <w:t xml:space="preserve">File No.: </w:t>
      </w:r>
      <w:r w:rsidR="009B57B3" w:rsidRPr="00BA3F2F">
        <w:t>37791.</w:t>
      </w:r>
    </w:p>
    <w:p w:rsidR="008322BD" w:rsidRPr="00BA3F2F" w:rsidRDefault="00576530" w:rsidP="00BA0848">
      <w:pPr>
        <w:spacing w:after="720"/>
        <w:jc w:val="both"/>
      </w:pPr>
      <w:r w:rsidRPr="00BA3F2F">
        <w:t>2019:</w:t>
      </w:r>
      <w:r w:rsidR="00BA0848" w:rsidRPr="00BA3F2F">
        <w:t> January </w:t>
      </w:r>
      <w:r w:rsidR="00AE4535" w:rsidRPr="00BA3F2F">
        <w:t>25</w:t>
      </w:r>
      <w:r w:rsidR="00060B2F" w:rsidRPr="00BA3F2F">
        <w:t>; 2019: </w:t>
      </w:r>
      <w:r w:rsidR="00EA76D5" w:rsidRPr="00BA3F2F">
        <w:t>November </w:t>
      </w:r>
      <w:r w:rsidR="00267917" w:rsidRPr="00BA3F2F">
        <w:t>8</w:t>
      </w:r>
      <w:r w:rsidR="00BE24B0" w:rsidRPr="00BA3F2F">
        <w:t>.</w:t>
      </w:r>
    </w:p>
    <w:p w:rsidR="00F90EC8" w:rsidRPr="00BA3F2F" w:rsidRDefault="009B57B3" w:rsidP="00BA0848">
      <w:pPr>
        <w:spacing w:after="720"/>
        <w:jc w:val="both"/>
      </w:pPr>
      <w:r w:rsidRPr="00BA3F2F">
        <w:lastRenderedPageBreak/>
        <w:t>Present: Wagner C.J. and Abella, Moldaver, Karakatsanis, Gascon, Côté, Brown, Rowe and Martin JJ.</w:t>
      </w:r>
    </w:p>
    <w:p w:rsidR="008322BD" w:rsidRPr="00BA3F2F" w:rsidRDefault="00656313" w:rsidP="00BA0848">
      <w:pPr>
        <w:pStyle w:val="SCCLowerCourtNameLowercase"/>
        <w:spacing w:after="720" w:line="240" w:lineRule="auto"/>
      </w:pPr>
      <w:r w:rsidRPr="00BA3F2F">
        <w:t>o</w:t>
      </w:r>
      <w:r w:rsidR="00170592" w:rsidRPr="00BA3F2F">
        <w:t>n</w:t>
      </w:r>
      <w:r w:rsidR="00224FC0" w:rsidRPr="00BA3F2F">
        <w:t xml:space="preserve"> </w:t>
      </w:r>
      <w:r w:rsidRPr="00BA3F2F">
        <w:t>a</w:t>
      </w:r>
      <w:r w:rsidR="00170592" w:rsidRPr="00BA3F2F">
        <w:t>ppeal</w:t>
      </w:r>
      <w:r w:rsidR="00224FC0" w:rsidRPr="00BA3F2F">
        <w:t xml:space="preserve"> </w:t>
      </w:r>
      <w:r w:rsidR="00170592" w:rsidRPr="00BA3F2F">
        <w:t>from</w:t>
      </w:r>
      <w:r w:rsidR="009567AA" w:rsidRPr="00BA3F2F">
        <w:t xml:space="preserve"> the</w:t>
      </w:r>
      <w:r w:rsidR="00224FC0" w:rsidRPr="00BA3F2F">
        <w:t xml:space="preserve"> </w:t>
      </w:r>
      <w:r w:rsidR="009B57B3" w:rsidRPr="00BA3F2F">
        <w:t>court of appeal for ontario</w:t>
      </w:r>
    </w:p>
    <w:p w:rsidR="007F4E00" w:rsidRPr="00301BD2" w:rsidRDefault="001A72CE" w:rsidP="00941516">
      <w:pPr>
        <w:pStyle w:val="SCCNormalDoubleSpacing"/>
        <w:spacing w:after="480"/>
        <w:rPr>
          <w:i/>
        </w:rPr>
      </w:pPr>
      <w:r w:rsidRPr="00BA3F2F">
        <w:tab/>
      </w:r>
      <w:r w:rsidR="007F4E00" w:rsidRPr="00301BD2">
        <w:rPr>
          <w:i/>
        </w:rPr>
        <w:t xml:space="preserve">Criminal law — </w:t>
      </w:r>
      <w:r w:rsidR="007F4E00" w:rsidRPr="00301BD2">
        <w:rPr>
          <w:i/>
          <w:lang w:val="en"/>
        </w:rPr>
        <w:t>Proceeds of crime</w:t>
      </w:r>
      <w:r w:rsidR="007F4E00" w:rsidRPr="00301BD2">
        <w:rPr>
          <w:i/>
        </w:rPr>
        <w:t xml:space="preserve"> —</w:t>
      </w:r>
      <w:r w:rsidR="007F4E00" w:rsidRPr="00301BD2">
        <w:rPr>
          <w:i/>
          <w:lang w:val="en"/>
        </w:rPr>
        <w:t xml:space="preserve"> Fine instead of forfeiture</w:t>
      </w:r>
      <w:r w:rsidR="007F4E00" w:rsidRPr="00301BD2">
        <w:rPr>
          <w:i/>
        </w:rPr>
        <w:t xml:space="preserve"> — Return of seized property for legal expenses — </w:t>
      </w:r>
      <w:r w:rsidR="007F4E00" w:rsidRPr="00301BD2">
        <w:rPr>
          <w:i/>
          <w:lang w:val="en"/>
        </w:rPr>
        <w:t xml:space="preserve">Property believed to be proceeds of crime seized </w:t>
      </w:r>
      <w:r w:rsidR="007F4E00" w:rsidRPr="00301BD2">
        <w:rPr>
          <w:i/>
        </w:rPr>
        <w:t xml:space="preserve">from accused — Judge ordering that property be returned </w:t>
      </w:r>
      <w:r w:rsidR="007F4E00" w:rsidRPr="00301BD2">
        <w:rPr>
          <w:i/>
          <w:lang w:val="en"/>
        </w:rPr>
        <w:t xml:space="preserve">to accused </w:t>
      </w:r>
      <w:r w:rsidR="007F4E00" w:rsidRPr="00301BD2">
        <w:rPr>
          <w:i/>
        </w:rPr>
        <w:t xml:space="preserve">for payment of </w:t>
      </w:r>
      <w:r w:rsidR="007F4E00" w:rsidRPr="00301BD2">
        <w:rPr>
          <w:i/>
          <w:lang w:val="en"/>
        </w:rPr>
        <w:t>reasonable legal expenses</w:t>
      </w:r>
      <w:r w:rsidR="007F4E00" w:rsidRPr="00301BD2">
        <w:rPr>
          <w:i/>
        </w:rPr>
        <w:t xml:space="preserve"> for his defence — Accused convicted — </w:t>
      </w:r>
      <w:r w:rsidR="007F4E00" w:rsidRPr="00301BD2">
        <w:rPr>
          <w:i/>
          <w:lang w:val="en"/>
        </w:rPr>
        <w:t>S</w:t>
      </w:r>
      <w:r w:rsidR="007F4E00" w:rsidRPr="00301BD2">
        <w:rPr>
          <w:i/>
        </w:rPr>
        <w:t xml:space="preserve">entencing judge deeming returned property to be proceeds of crime subject to forfeiture — </w:t>
      </w:r>
      <w:r w:rsidR="007F4E00" w:rsidRPr="00301BD2">
        <w:rPr>
          <w:i/>
          <w:lang w:val="en"/>
        </w:rPr>
        <w:t>Property</w:t>
      </w:r>
      <w:r w:rsidR="007F4E00" w:rsidRPr="00301BD2">
        <w:rPr>
          <w:i/>
        </w:rPr>
        <w:t xml:space="preserve"> used for legal expenses and no longer available for forfeiture — Whether fine instead of forfeiture may be imposed in relation to funds that have been judicially returned for payment of legal expenses for accused’s defence —</w:t>
      </w:r>
      <w:r w:rsidRPr="00301BD2">
        <w:rPr>
          <w:i/>
        </w:rPr>
        <w:t xml:space="preserve"> Criminal Code, R.S.C. 1985, c. C</w:t>
      </w:r>
      <w:r w:rsidRPr="00301BD2">
        <w:rPr>
          <w:i/>
        </w:rPr>
        <w:noBreakHyphen/>
        <w:t>46, ss. </w:t>
      </w:r>
      <w:r w:rsidR="007F4E00" w:rsidRPr="00301BD2">
        <w:rPr>
          <w:i/>
        </w:rPr>
        <w:t>462.34(4)(c)(ii), 462.37(3)</w:t>
      </w:r>
      <w:r w:rsidRPr="00301BD2">
        <w:rPr>
          <w:i/>
        </w:rPr>
        <w:t>.</w:t>
      </w:r>
    </w:p>
    <w:p w:rsidR="007F4E00" w:rsidRPr="00BA3F2F" w:rsidRDefault="001A72CE" w:rsidP="00941516">
      <w:pPr>
        <w:pStyle w:val="SCCNormalDoubleSpacing"/>
        <w:spacing w:after="480"/>
      </w:pPr>
      <w:r w:rsidRPr="00BA3F2F">
        <w:tab/>
      </w:r>
      <w:r w:rsidR="007F4E00" w:rsidRPr="00BA3F2F">
        <w:t xml:space="preserve">R was arrested for possession of cocaine for the purpose of trafficking. The police seized about $42,000 in cash, found when searching his car and apartments, as potential proceeds of crime under Part XII.2 of the </w:t>
      </w:r>
      <w:r w:rsidR="007F4E00" w:rsidRPr="00BA3F2F">
        <w:rPr>
          <w:i/>
        </w:rPr>
        <w:t>Criminal Code</w:t>
      </w:r>
      <w:r w:rsidR="00EB6756" w:rsidRPr="00BA3F2F">
        <w:t xml:space="preserve">. </w:t>
      </w:r>
      <w:r w:rsidR="007F4E00" w:rsidRPr="00BA3F2F">
        <w:t>Before trial, R applied</w:t>
      </w:r>
      <w:r w:rsidRPr="00BA3F2F">
        <w:t xml:space="preserve"> under s. </w:t>
      </w:r>
      <w:r w:rsidR="007F4E00" w:rsidRPr="00BA3F2F">
        <w:t xml:space="preserve">462.34(4)(c)(ii) of the </w:t>
      </w:r>
      <w:r w:rsidR="007F4E00" w:rsidRPr="00BA3F2F">
        <w:rPr>
          <w:i/>
        </w:rPr>
        <w:t>Criminal Code</w:t>
      </w:r>
      <w:r w:rsidR="007F4E00" w:rsidRPr="00BA3F2F">
        <w:t xml:space="preserve"> for the return of the seized fun</w:t>
      </w:r>
      <w:r w:rsidR="00EB6756" w:rsidRPr="00BA3F2F">
        <w:t>ds to pay for reasonable legal expenses associated with his</w:t>
      </w:r>
      <w:r w:rsidR="007F4E00" w:rsidRPr="00BA3F2F">
        <w:t xml:space="preserve"> case</w:t>
      </w:r>
      <w:r w:rsidR="007F4E00" w:rsidRPr="00BA3F2F">
        <w:rPr>
          <w:lang w:val="en-US"/>
        </w:rPr>
        <w:t xml:space="preserve">. </w:t>
      </w:r>
      <w:r w:rsidR="00EB6756" w:rsidRPr="00BA3F2F">
        <w:rPr>
          <w:lang w:val="en-US"/>
        </w:rPr>
        <w:t>The application was allowed</w:t>
      </w:r>
      <w:r w:rsidR="007F4E00" w:rsidRPr="00BA3F2F">
        <w:rPr>
          <w:lang w:val="en-US"/>
        </w:rPr>
        <w:t xml:space="preserve"> and the funds ret</w:t>
      </w:r>
      <w:r w:rsidR="00EB6756" w:rsidRPr="00BA3F2F">
        <w:rPr>
          <w:lang w:val="en-US"/>
        </w:rPr>
        <w:t xml:space="preserve">urned </w:t>
      </w:r>
      <w:r w:rsidR="007F4E00" w:rsidRPr="00BA3F2F">
        <w:rPr>
          <w:lang w:val="en-US"/>
        </w:rPr>
        <w:t>t</w:t>
      </w:r>
      <w:r w:rsidR="00EB6756" w:rsidRPr="00BA3F2F">
        <w:rPr>
          <w:lang w:val="en-US"/>
        </w:rPr>
        <w:t>o pay for reasonable legal fees</w:t>
      </w:r>
      <w:r w:rsidR="007F4E00" w:rsidRPr="00BA3F2F">
        <w:rPr>
          <w:lang w:val="en-US"/>
        </w:rPr>
        <w:t xml:space="preserve">, with conditions. </w:t>
      </w:r>
      <w:r w:rsidR="00EB6756" w:rsidRPr="00BA3F2F">
        <w:t>R pled guilty to several offences</w:t>
      </w:r>
      <w:r w:rsidR="007F4E00" w:rsidRPr="00BA3F2F">
        <w:t xml:space="preserve"> at trial. The sentencing judge imposed a term of imprisonment and forfeiture of R’s interest in an apartment, but declined to impose a fine instea</w:t>
      </w:r>
      <w:r w:rsidR="00EB6756" w:rsidRPr="00BA3F2F">
        <w:t xml:space="preserve">d of forfeiture </w:t>
      </w:r>
      <w:r w:rsidR="007F4E00" w:rsidRPr="00BA3F2F">
        <w:t>equal to the amount of the returned fun</w:t>
      </w:r>
      <w:r w:rsidR="00EB6756" w:rsidRPr="00BA3F2F">
        <w:t>ds spent by R on his legal fees</w:t>
      </w:r>
      <w:r w:rsidR="007F4E00" w:rsidRPr="00BA3F2F">
        <w:t xml:space="preserve"> as </w:t>
      </w:r>
      <w:r w:rsidRPr="00BA3F2F">
        <w:lastRenderedPageBreak/>
        <w:t>requested by the Crown under s. </w:t>
      </w:r>
      <w:r w:rsidR="007F4E00" w:rsidRPr="00BA3F2F">
        <w:t xml:space="preserve">462.37(3) of the </w:t>
      </w:r>
      <w:r w:rsidR="007F4E00" w:rsidRPr="00BA3F2F">
        <w:rPr>
          <w:i/>
        </w:rPr>
        <w:t>Criminal Code</w:t>
      </w:r>
      <w:r w:rsidR="007F4E00" w:rsidRPr="00BA3F2F">
        <w:t xml:space="preserve">. The Crown appealed. The </w:t>
      </w:r>
      <w:r w:rsidR="00EB6756" w:rsidRPr="00BA3F2F">
        <w:t xml:space="preserve">Court of Appeal </w:t>
      </w:r>
      <w:r w:rsidR="007F4E00" w:rsidRPr="00BA3F2F">
        <w:t>varied the</w:t>
      </w:r>
      <w:r w:rsidR="00EB6756" w:rsidRPr="00BA3F2F">
        <w:rPr>
          <w:szCs w:val="24"/>
        </w:rPr>
        <w:t xml:space="preserve"> sentencing order, adding</w:t>
      </w:r>
      <w:r w:rsidR="007F4E00" w:rsidRPr="00BA3F2F">
        <w:rPr>
          <w:szCs w:val="24"/>
        </w:rPr>
        <w:t xml:space="preserve"> a fine instead of forfeiture </w:t>
      </w:r>
      <w:r w:rsidR="007F4E00" w:rsidRPr="00BA3F2F">
        <w:t xml:space="preserve">of $41,976.39, equal to the amount of the returned funds, </w:t>
      </w:r>
      <w:r w:rsidR="00EB6756" w:rsidRPr="00BA3F2F">
        <w:rPr>
          <w:szCs w:val="24"/>
        </w:rPr>
        <w:t>and 12 months’ imprisonment should R not pay his</w:t>
      </w:r>
      <w:r w:rsidR="007F4E00" w:rsidRPr="00BA3F2F">
        <w:rPr>
          <w:szCs w:val="24"/>
        </w:rPr>
        <w:t xml:space="preserve"> fine</w:t>
      </w:r>
      <w:r w:rsidR="007F4E00" w:rsidRPr="00BA3F2F">
        <w:t>.</w:t>
      </w:r>
    </w:p>
    <w:p w:rsidR="007F4E00" w:rsidRPr="00BA3F2F" w:rsidRDefault="001A72CE" w:rsidP="00941516">
      <w:pPr>
        <w:pStyle w:val="SCCNormalDoubleSpacing"/>
        <w:spacing w:after="480"/>
        <w:rPr>
          <w:szCs w:val="24"/>
        </w:rPr>
      </w:pPr>
      <w:r w:rsidRPr="00BA3F2F">
        <w:rPr>
          <w:i/>
          <w:szCs w:val="24"/>
        </w:rPr>
        <w:tab/>
      </w:r>
      <w:r w:rsidR="007F4E00" w:rsidRPr="00BA3F2F">
        <w:rPr>
          <w:i/>
          <w:szCs w:val="24"/>
        </w:rPr>
        <w:t>Held</w:t>
      </w:r>
      <w:r w:rsidR="00EA76D5" w:rsidRPr="00BA3F2F">
        <w:rPr>
          <w:szCs w:val="24"/>
        </w:rPr>
        <w:t xml:space="preserve"> (Wagner </w:t>
      </w:r>
      <w:r w:rsidR="007F4E00" w:rsidRPr="00BA3F2F">
        <w:rPr>
          <w:szCs w:val="24"/>
        </w:rPr>
        <w:t xml:space="preserve">C.J. and Moldaver and </w:t>
      </w:r>
      <w:r w:rsidR="007F4E00" w:rsidRPr="00BA3F2F">
        <w:rPr>
          <w:rStyle w:val="SCCCoramChar"/>
          <w:rFonts w:cs="Times New Roman"/>
        </w:rPr>
        <w:t>Côté</w:t>
      </w:r>
      <w:r w:rsidR="00EA76D5" w:rsidRPr="00BA3F2F">
        <w:rPr>
          <w:szCs w:val="24"/>
        </w:rPr>
        <w:t> </w:t>
      </w:r>
      <w:r w:rsidR="007F4E00" w:rsidRPr="00BA3F2F">
        <w:rPr>
          <w:szCs w:val="24"/>
        </w:rPr>
        <w:t>JJ. dissenting in part): The appeal should be allowed and the Court of Appeal’s order set aside.</w:t>
      </w:r>
    </w:p>
    <w:p w:rsidR="007F4E00" w:rsidRPr="00BA3F2F" w:rsidRDefault="001A72CE" w:rsidP="00941516">
      <w:pPr>
        <w:pStyle w:val="SCCNormalDoubleSpacing"/>
        <w:spacing w:after="480"/>
        <w:rPr>
          <w:rFonts w:eastAsiaTheme="minorHAnsi"/>
          <w:lang w:val="en-US" w:bidi="en-US"/>
        </w:rPr>
      </w:pPr>
      <w:r w:rsidRPr="00BA3F2F">
        <w:rPr>
          <w:i/>
          <w:szCs w:val="24"/>
        </w:rPr>
        <w:tab/>
      </w:r>
      <w:r w:rsidR="007F4E00" w:rsidRPr="00BA3F2F">
        <w:rPr>
          <w:i/>
          <w:szCs w:val="24"/>
        </w:rPr>
        <w:t xml:space="preserve">Per </w:t>
      </w:r>
      <w:r w:rsidR="007F4E00" w:rsidRPr="00BA3F2F">
        <w:rPr>
          <w:rStyle w:val="SCCCoramChar"/>
          <w:rFonts w:cs="Times New Roman"/>
        </w:rPr>
        <w:t xml:space="preserve">Abella, Karakatsanis, Gascon, Brown, Rowe and </w:t>
      </w:r>
      <w:r w:rsidR="007F4E00" w:rsidRPr="001B337E">
        <w:rPr>
          <w:rStyle w:val="SCCCoramChar"/>
          <w:rFonts w:cs="Times New Roman"/>
        </w:rPr>
        <w:t>Martin</w:t>
      </w:r>
      <w:r w:rsidR="007F4E00" w:rsidRPr="00BA3F2F">
        <w:rPr>
          <w:rStyle w:val="SCCCoramChar"/>
          <w:rFonts w:cs="Times New Roman"/>
        </w:rPr>
        <w:t xml:space="preserve"> JJ.: </w:t>
      </w:r>
      <w:r w:rsidR="007F4E00" w:rsidRPr="00BA3F2F">
        <w:t>Generally speaking, sentencing judges should not impose a fine instead of forfeiture in relation to funds that have been judicially returned for t</w:t>
      </w:r>
      <w:r w:rsidR="00EB6756" w:rsidRPr="00BA3F2F">
        <w:t>he payment of reasonable legal expenses</w:t>
      </w:r>
      <w:r w:rsidR="007F4E00" w:rsidRPr="00BA3F2F">
        <w:t xml:space="preserve"> associated with an accused’s criminal defence. The statutory discretion to impos</w:t>
      </w:r>
      <w:r w:rsidR="00EB6756" w:rsidRPr="00BA3F2F">
        <w:t xml:space="preserve">e a fine instead of forfeiture </w:t>
      </w:r>
      <w:r w:rsidRPr="00BA3F2F">
        <w:t>under s. </w:t>
      </w:r>
      <w:r w:rsidR="007F4E00" w:rsidRPr="00BA3F2F">
        <w:t xml:space="preserve">462.37(3) of the </w:t>
      </w:r>
      <w:r w:rsidR="007F4E00" w:rsidRPr="00BA3F2F">
        <w:rPr>
          <w:i/>
        </w:rPr>
        <w:t>Criminal Code</w:t>
      </w:r>
      <w:r w:rsidR="007F4E00" w:rsidRPr="00BA3F2F">
        <w:t xml:space="preserve"> must be exercised in accordance with the purposes of the proceeds of crime regime. This regime as a whole seeks to ensure that crime does not pay or benefit the offender; </w:t>
      </w:r>
      <w:r w:rsidR="00EB6756" w:rsidRPr="00BA3F2F">
        <w:t xml:space="preserve">however, by enacting the legal expenses return provision </w:t>
      </w:r>
      <w:r w:rsidRPr="00BA3F2F">
        <w:t>at s. </w:t>
      </w:r>
      <w:r w:rsidR="007F4E00" w:rsidRPr="00BA3F2F">
        <w:t xml:space="preserve">462.34(4)(c)(ii) of the </w:t>
      </w:r>
      <w:r w:rsidR="007F4E00" w:rsidRPr="00BA3F2F">
        <w:rPr>
          <w:i/>
        </w:rPr>
        <w:t>Criminal Code</w:t>
      </w:r>
      <w:r w:rsidR="007F4E00" w:rsidRPr="00BA3F2F">
        <w:t>, Parliament not only foresaw the possibility that seized funds may be needed to mount a defence, but explicitly allowed individuals to spend returned funds for this purpose. The return provision pursues two secondary purposes: providing access to counsel and giving meaningful weight t</w:t>
      </w:r>
      <w:r w:rsidR="00EB6756" w:rsidRPr="00BA3F2F">
        <w:t>o the presumption of innocence. These secondary objectives</w:t>
      </w:r>
      <w:r w:rsidR="007F4E00" w:rsidRPr="00BA3F2F">
        <w:t xml:space="preserve"> ensure fairness to the accused in criminal prosecutions. </w:t>
      </w:r>
      <w:r w:rsidR="00EB6756" w:rsidRPr="00BA3F2F">
        <w:t>Clawing back reasonable legal expenses</w:t>
      </w:r>
      <w:r w:rsidR="007F4E00" w:rsidRPr="00BA3F2F">
        <w:t xml:space="preserve"> as a fine instead of forfeiture would, in most ca</w:t>
      </w:r>
      <w:r w:rsidR="00EB6756" w:rsidRPr="00BA3F2F">
        <w:t>ses, undermine these purposes. If</w:t>
      </w:r>
      <w:r w:rsidR="007F4E00" w:rsidRPr="00BA3F2F">
        <w:t xml:space="preserve"> it turns out that the offender did not have a real financial need or the funds were not </w:t>
      </w:r>
      <w:r w:rsidR="007F4E00" w:rsidRPr="00BA3F2F">
        <w:lastRenderedPageBreak/>
        <w:t xml:space="preserve">used to alleviate that need, it would be appropriate to impose a fine instead of forfeiture, as this would align with Parliament’s intent. This might occur where there is wrongdoing in the return of funds application or in the administration of the return order or if the accused experiences an unexpected change in circumstances after </w:t>
      </w:r>
      <w:r w:rsidRPr="00BA3F2F">
        <w:t>the funds have been returned.</w:t>
      </w:r>
      <w:r w:rsidR="007F4E00" w:rsidRPr="00BA3F2F">
        <w:t xml:space="preserve"> In the context of this </w:t>
      </w:r>
      <w:r w:rsidR="00EB6756" w:rsidRPr="00BA3F2F">
        <w:t>case, ordering a fine undermines</w:t>
      </w:r>
      <w:r w:rsidR="007F4E00" w:rsidRPr="00BA3F2F">
        <w:t xml:space="preserve"> Parliament’s intent in enacting the return provision. There is no evidence that R misrepresented his financial position, misused returned funds, or experienced any change in circumstances. Therefore, the sentencing judge’s exercise of discretion was appropriate and should not be interfered with.</w:t>
      </w:r>
    </w:p>
    <w:p w:rsidR="007F4E00" w:rsidRPr="00BA3F2F" w:rsidRDefault="001A72CE" w:rsidP="00941516">
      <w:pPr>
        <w:pStyle w:val="SCCNormalDoubleSpacing"/>
        <w:spacing w:after="480"/>
      </w:pPr>
      <w:r w:rsidRPr="00BA3F2F">
        <w:tab/>
      </w:r>
      <w:r w:rsidR="007F4E00" w:rsidRPr="00BA3F2F">
        <w:t xml:space="preserve">As the </w:t>
      </w:r>
      <w:r w:rsidR="007F4E00" w:rsidRPr="00BA3F2F">
        <w:rPr>
          <w:i/>
        </w:rPr>
        <w:t>Criminal Code</w:t>
      </w:r>
      <w:r w:rsidR="007F4E00" w:rsidRPr="00BA3F2F">
        <w:t xml:space="preserve"> does not expressly indicate whether judicially returned funds ought to be subject to a fine instead of forfeiture, the resolution of t</w:t>
      </w:r>
      <w:r w:rsidR="00EB6756" w:rsidRPr="00BA3F2F">
        <w:t>his issue requires recourse to the</w:t>
      </w:r>
      <w:r w:rsidR="007F4E00" w:rsidRPr="00BA3F2F">
        <w:t xml:space="preserve"> rules of statutory interpretation. This analysis is guided by the words that Parliament has chosen to use, the way it intended to achieve its objectives, and the scheme it has put in place. Where the dispute involves multiple legislative objectives and the inter-relationship between two or more statutory provisions, the scheme of the Act and the objectives underlying each of the relevant provisions are particularly significant. Parliament had several objectives in mind when it enacted the proceeds of crime regime. Parliament’s primary goal was to ensure that crime does not pay and that it does not benefit the offender. Forfeiture is intended to deprive offenders of the proceeds of their crime. Seizure allows the state to take control of property believed to be proceeds of crime before trial and sentencing, to ensure it remains available for possible forfeiture. The fine instead of forfeiture provision </w:t>
      </w:r>
      <w:r w:rsidR="007F4E00" w:rsidRPr="00BA3F2F">
        <w:lastRenderedPageBreak/>
        <w:t>ensures that, if accused persons are able to keep proceeds of crime throughout criminal proceedings, they must in the end pay a fine equivalent to the value of the property that is</w:t>
      </w:r>
      <w:r w:rsidRPr="00BA3F2F">
        <w:t xml:space="preserve"> not available to be forfeited.</w:t>
      </w:r>
    </w:p>
    <w:p w:rsidR="007F4E00" w:rsidRPr="00BA3F2F" w:rsidRDefault="001A72CE" w:rsidP="00941516">
      <w:pPr>
        <w:pStyle w:val="SCCNormalDoubleSpacing"/>
        <w:spacing w:after="480"/>
      </w:pPr>
      <w:r w:rsidRPr="00BA3F2F">
        <w:tab/>
      </w:r>
      <w:r w:rsidR="00EB6756" w:rsidRPr="00BA3F2F">
        <w:t>The legal expenses</w:t>
      </w:r>
      <w:r w:rsidR="007F4E00" w:rsidRPr="00BA3F2F">
        <w:t xml:space="preserve"> return provision shows</w:t>
      </w:r>
      <w:r w:rsidR="00EB6756" w:rsidRPr="00BA3F2F">
        <w:t xml:space="preserve"> that Parliament intended that the secondary objectives underpinning it</w:t>
      </w:r>
      <w:r w:rsidRPr="00BA3F2F">
        <w:t xml:space="preserve"> —</w:t>
      </w:r>
      <w:r w:rsidR="007F4E00" w:rsidRPr="00BA3F2F">
        <w:t xml:space="preserve"> providing access to counsel and giving meaningful weight t</w:t>
      </w:r>
      <w:r w:rsidRPr="00BA3F2F">
        <w:t>o the presumption of innocence —</w:t>
      </w:r>
      <w:r w:rsidR="007F4E00" w:rsidRPr="00BA3F2F">
        <w:t xml:space="preserve"> must be balanced against the primary objective of ens</w:t>
      </w:r>
      <w:r w:rsidR="00EB6756" w:rsidRPr="00BA3F2F">
        <w:t xml:space="preserve">uring that crime does not pay. </w:t>
      </w:r>
      <w:r w:rsidR="007F4E00" w:rsidRPr="00BA3F2F">
        <w:t xml:space="preserve">The wording and the elaborate and detailed nature of the return provision indicates that Parliament clearly and deliberately sought to address an accused’s need for legal counsel, in the limited and narrow circumstances where the accused has no other assets or means and </w:t>
      </w:r>
      <w:r w:rsidR="007F4E00" w:rsidRPr="00BA3F2F">
        <w:rPr>
          <w:lang w:val="en"/>
        </w:rPr>
        <w:t xml:space="preserve">no other person appears to be the lawful owner of or lawfully entitled to possession of the property. </w:t>
      </w:r>
      <w:r w:rsidR="007F4E00" w:rsidRPr="00BA3F2F">
        <w:t xml:space="preserve">The secondary objectives reflect an underlying intention to promote fairness in criminal prosecutions that runs through the proceeds of crime scheme. They constrain the pursuit of the primary objective. The return provision was intended to respect the principle of fairness in criminal prosecutions, including concepts of fair notice and reliance. It can be expected that accused people will rely on a court order authorized </w:t>
      </w:r>
      <w:r w:rsidR="00EB6756" w:rsidRPr="00BA3F2F">
        <w:t>by a specific statutory scheme and</w:t>
      </w:r>
      <w:r w:rsidR="007F4E00" w:rsidRPr="00BA3F2F">
        <w:t xml:space="preserve"> those accused persons cannot reasonably know that doing so will </w:t>
      </w:r>
      <w:r w:rsidRPr="00BA3F2F">
        <w:t xml:space="preserve">lead to additional punishment. </w:t>
      </w:r>
      <w:r w:rsidR="00EB6756" w:rsidRPr="00BA3F2F">
        <w:t>Also,</w:t>
      </w:r>
      <w:r w:rsidR="007F4E00" w:rsidRPr="00BA3F2F">
        <w:t xml:space="preserve"> accused persons who understand that judicially returned funds will be clawed back later may not apply for the return of funds and represent themselves instead. When an accused person cannot access legal counsel, the presumption of innocence suffers</w:t>
      </w:r>
      <w:r w:rsidR="00EB6756" w:rsidRPr="00BA3F2F">
        <w:rPr>
          <w:lang w:val="en-US"/>
        </w:rPr>
        <w:t xml:space="preserve"> because</w:t>
      </w:r>
      <w:r w:rsidR="007F4E00" w:rsidRPr="00BA3F2F">
        <w:rPr>
          <w:lang w:val="en-US"/>
        </w:rPr>
        <w:t xml:space="preserve"> it is difficult for lay persons to effectively navigate </w:t>
      </w:r>
      <w:r w:rsidR="007F4E00" w:rsidRPr="00BA3F2F">
        <w:rPr>
          <w:lang w:val="en"/>
        </w:rPr>
        <w:t xml:space="preserve">the complexity of criminal cases. </w:t>
      </w:r>
      <w:r w:rsidR="007F4E00" w:rsidRPr="00BA3F2F">
        <w:t xml:space="preserve">Imposing retroactive </w:t>
      </w:r>
      <w:r w:rsidR="007F4E00" w:rsidRPr="00BA3F2F">
        <w:lastRenderedPageBreak/>
        <w:t xml:space="preserve">penalties on accused persons who rely on the presumption of innocence undermines the presumption </w:t>
      </w:r>
      <w:r w:rsidRPr="00BA3F2F">
        <w:t>and the protections it affords.</w:t>
      </w:r>
    </w:p>
    <w:p w:rsidR="007F4E00" w:rsidRPr="00BA3F2F" w:rsidRDefault="007F4E00" w:rsidP="00941516">
      <w:pPr>
        <w:pStyle w:val="SCCNormalDoubleSpacing"/>
        <w:spacing w:after="480"/>
      </w:pPr>
      <w:r w:rsidRPr="00BA3F2F">
        <w:tab/>
        <w:t>The judicial return of funds to pay for a lawyer is not the type of benefit that Parliament sought to take away by way of a fine. It is a tightly controlled benefit Parliament expressly intended for</w:t>
      </w:r>
      <w:r w:rsidR="00EB6756" w:rsidRPr="00BA3F2F">
        <w:t xml:space="preserve"> </w:t>
      </w:r>
      <w:r w:rsidRPr="00BA3F2F">
        <w:t>a narrow categ</w:t>
      </w:r>
      <w:r w:rsidR="00EB6756" w:rsidRPr="00BA3F2F">
        <w:t>ory of accused persons in need. In the instant case,</w:t>
      </w:r>
      <w:r w:rsidRPr="00BA3F2F">
        <w:t xml:space="preserve"> the return provision allowed R, who had no other assets or means to pay for his defence, an opportunity to access seized funds under close judicial scrutiny and tight conditions. It is undeniable that there is less money available to be forfeited to the Crown </w:t>
      </w:r>
      <w:r w:rsidR="00EB6756" w:rsidRPr="00BA3F2F">
        <w:t xml:space="preserve">but </w:t>
      </w:r>
      <w:r w:rsidRPr="00BA3F2F">
        <w:t>a fundamental purpose of the criminal justice system is to provide a fair process to achieve just results, not to extract maximum retribution at any cost. Seized property returned pursuant to a judicial order is not thematically analog</w:t>
      </w:r>
      <w:r w:rsidR="001A72CE" w:rsidRPr="00BA3F2F">
        <w:t>ous to the reasons listed in s. </w:t>
      </w:r>
      <w:r w:rsidRPr="00BA3F2F">
        <w:t xml:space="preserve">462.37(3) of the </w:t>
      </w:r>
      <w:r w:rsidRPr="00BA3F2F">
        <w:rPr>
          <w:i/>
        </w:rPr>
        <w:t xml:space="preserve">Criminal Code </w:t>
      </w:r>
      <w:r w:rsidRPr="00BA3F2F">
        <w:t>for ordering a fine instead of forfeiture. All of the circumstances listed reflect Parliament’s concern that an accused person might hide, dissipate or distribute property that may later be deter</w:t>
      </w:r>
      <w:r w:rsidR="001A72CE" w:rsidRPr="00BA3F2F">
        <w:t xml:space="preserve">mined to be proceeds of crime. </w:t>
      </w:r>
      <w:r w:rsidRPr="00BA3F2F">
        <w:rPr>
          <w:szCs w:val="24"/>
        </w:rPr>
        <w:t xml:space="preserve">The accused’s lawyer is not some unknown person receiving funds by way of an uncontrolled, private transaction. </w:t>
      </w:r>
      <w:r w:rsidR="00EB6756" w:rsidRPr="00BA3F2F">
        <w:rPr>
          <w:szCs w:val="24"/>
        </w:rPr>
        <w:t>They have</w:t>
      </w:r>
      <w:r w:rsidRPr="00BA3F2F">
        <w:rPr>
          <w:szCs w:val="24"/>
        </w:rPr>
        <w:t xml:space="preserve"> been specifically authorized by a judge to be paid in aid of the accused’s defence. Further,</w:t>
      </w:r>
      <w:r w:rsidR="00EB6756" w:rsidRPr="00BA3F2F">
        <w:rPr>
          <w:szCs w:val="24"/>
        </w:rPr>
        <w:t xml:space="preserve"> </w:t>
      </w:r>
      <w:r w:rsidRPr="00BA3F2F">
        <w:t>Parliament has set out its desired statutory requirements for the judicial return of seized funds. Nothing indicates any intention to require the accused to d</w:t>
      </w:r>
      <w:r w:rsidR="00EB6756" w:rsidRPr="00BA3F2F">
        <w:t xml:space="preserve">emonstrate, </w:t>
      </w:r>
      <w:r w:rsidRPr="00BA3F2F">
        <w:t>in order to avoid the imposition o</w:t>
      </w:r>
      <w:r w:rsidR="00EB6756" w:rsidRPr="00BA3F2F">
        <w:t>f a fine instead of forfeiture,</w:t>
      </w:r>
      <w:r w:rsidRPr="00BA3F2F">
        <w:t xml:space="preserve"> that the nature of the proceedings are such that it is essential to have counsel. </w:t>
      </w:r>
      <w:r w:rsidR="00EB6756" w:rsidRPr="00BA3F2F">
        <w:t>Accordingly, not imposing</w:t>
      </w:r>
      <w:r w:rsidRPr="00BA3F2F">
        <w:t xml:space="preserve"> a fine instead of forfeiture in relation to funds that have been judicially returned for t</w:t>
      </w:r>
      <w:r w:rsidR="00EB6756" w:rsidRPr="00BA3F2F">
        <w:t>he payment of reasonable legal expenses</w:t>
      </w:r>
      <w:r w:rsidRPr="00BA3F2F">
        <w:t xml:space="preserve"> </w:t>
      </w:r>
      <w:r w:rsidRPr="00BA3F2F">
        <w:lastRenderedPageBreak/>
        <w:t>associated with</w:t>
      </w:r>
      <w:r w:rsidR="00EB6756" w:rsidRPr="00BA3F2F">
        <w:t xml:space="preserve"> an accused’s criminal defence will generally be</w:t>
      </w:r>
      <w:r w:rsidRPr="00BA3F2F">
        <w:t xml:space="preserve"> most faithful to Parliament’s intent.</w:t>
      </w:r>
    </w:p>
    <w:p w:rsidR="00A3711C" w:rsidRPr="00BA3F2F" w:rsidRDefault="001A72CE" w:rsidP="00941516">
      <w:pPr>
        <w:pStyle w:val="SCCNormalDoubleSpacing"/>
        <w:spacing w:after="480"/>
        <w:rPr>
          <w:szCs w:val="24"/>
        </w:rPr>
      </w:pPr>
      <w:r w:rsidRPr="00BA3F2F">
        <w:rPr>
          <w:i/>
          <w:szCs w:val="24"/>
        </w:rPr>
        <w:tab/>
      </w:r>
      <w:r w:rsidR="00A3711C" w:rsidRPr="00BA3F2F">
        <w:rPr>
          <w:i/>
          <w:szCs w:val="24"/>
        </w:rPr>
        <w:t xml:space="preserve">Per </w:t>
      </w:r>
      <w:r w:rsidR="00EA76D5" w:rsidRPr="00BA3F2F">
        <w:rPr>
          <w:szCs w:val="24"/>
        </w:rPr>
        <w:t>Wagner </w:t>
      </w:r>
      <w:r w:rsidR="00A3711C" w:rsidRPr="00BA3F2F">
        <w:rPr>
          <w:szCs w:val="24"/>
        </w:rPr>
        <w:t xml:space="preserve">C.J. and </w:t>
      </w:r>
      <w:r w:rsidR="00A3711C" w:rsidRPr="009509DE">
        <w:rPr>
          <w:szCs w:val="24"/>
        </w:rPr>
        <w:t>Moldaver</w:t>
      </w:r>
      <w:r w:rsidR="00A3711C" w:rsidRPr="00F25526">
        <w:rPr>
          <w:szCs w:val="24"/>
        </w:rPr>
        <w:t xml:space="preserve"> </w:t>
      </w:r>
      <w:r w:rsidR="00A3711C" w:rsidRPr="00BA3F2F">
        <w:rPr>
          <w:szCs w:val="24"/>
        </w:rPr>
        <w:t xml:space="preserve">and </w:t>
      </w:r>
      <w:r w:rsidR="00A3711C" w:rsidRPr="00BA3F2F">
        <w:rPr>
          <w:rStyle w:val="SCCCoramChar"/>
          <w:rFonts w:cs="Times New Roman"/>
        </w:rPr>
        <w:t>Côté</w:t>
      </w:r>
      <w:r w:rsidR="00EA76D5" w:rsidRPr="00BA3F2F">
        <w:rPr>
          <w:szCs w:val="24"/>
        </w:rPr>
        <w:t> </w:t>
      </w:r>
      <w:r w:rsidR="00A3711C" w:rsidRPr="00BA3F2F">
        <w:rPr>
          <w:szCs w:val="24"/>
        </w:rPr>
        <w:t xml:space="preserve">JJ. (dissenting in part): </w:t>
      </w:r>
      <w:r w:rsidR="00EB6756" w:rsidRPr="00BA3F2F">
        <w:t>Imposing a fine in lieu of forfeiture</w:t>
      </w:r>
      <w:r w:rsidR="00A3711C" w:rsidRPr="00BA3F2F">
        <w:t xml:space="preserve"> where an offender has used proceeds of crime to pay for his or her own defence achieves the </w:t>
      </w:r>
      <w:r w:rsidR="00EB6756" w:rsidRPr="00BA3F2F">
        <w:t>forfeiture</w:t>
      </w:r>
      <w:r w:rsidR="00A3711C" w:rsidRPr="00BA3F2F">
        <w:t xml:space="preserve"> regime’s primary objective of ensuring crime does not pay; and it does no</w:t>
      </w:r>
      <w:r w:rsidR="00EB6756" w:rsidRPr="00BA3F2F">
        <w:t xml:space="preserve">t undermine the utility of the </w:t>
      </w:r>
      <w:r w:rsidR="00A3711C" w:rsidRPr="00BA3F2F">
        <w:t>le</w:t>
      </w:r>
      <w:r w:rsidR="00EB6756" w:rsidRPr="00BA3F2F">
        <w:t>gal expenses</w:t>
      </w:r>
      <w:r w:rsidR="00A3711C" w:rsidRPr="00BA3F2F">
        <w:t xml:space="preserve"> restoration provision, which facilitates access to counsel in a manner that is both fair and consistent with the presumption of innocence. </w:t>
      </w:r>
      <w:r w:rsidR="00A3711C" w:rsidRPr="00BA3F2F">
        <w:rPr>
          <w:szCs w:val="24"/>
        </w:rPr>
        <w:t xml:space="preserve">There is nothing inconsistent about allowing accused persons, who are presumed innocent, to access seized funds to pay for legal counsel but requiring offenders, who are proven guilty, to pay them back in the event that they are determined to be proceeds of crime. </w:t>
      </w:r>
      <w:r w:rsidR="00A3711C" w:rsidRPr="00BA3F2F">
        <w:t xml:space="preserve">However, </w:t>
      </w:r>
      <w:r w:rsidR="00A3711C" w:rsidRPr="00BA3F2F">
        <w:rPr>
          <w:szCs w:val="24"/>
        </w:rPr>
        <w:t>t</w:t>
      </w:r>
      <w:r w:rsidR="00A3711C" w:rsidRPr="00BA3F2F">
        <w:t>here is an important</w:t>
      </w:r>
      <w:r w:rsidR="00EB6756" w:rsidRPr="00BA3F2F">
        <w:t xml:space="preserve"> exception to this general rule:</w:t>
      </w:r>
      <w:r w:rsidR="00A3711C" w:rsidRPr="00BA3F2F">
        <w:t xml:space="preserve"> </w:t>
      </w:r>
      <w:r w:rsidR="00A3711C" w:rsidRPr="00BA3F2F">
        <w:rPr>
          <w:szCs w:val="24"/>
        </w:rPr>
        <w:t>where a sentencing judge is satisfied that representation by counsel was essential to the offender’s constitutional right to a fair trial, the judge should exercise his or her limited discretio</w:t>
      </w:r>
      <w:r w:rsidR="00EB6756" w:rsidRPr="00BA3F2F">
        <w:rPr>
          <w:szCs w:val="24"/>
        </w:rPr>
        <w:t>n not to impose a fine in lieu of forfeiture</w:t>
      </w:r>
      <w:r w:rsidR="00A3711C" w:rsidRPr="00BA3F2F">
        <w:rPr>
          <w:szCs w:val="24"/>
        </w:rPr>
        <w:t xml:space="preserve">. </w:t>
      </w:r>
      <w:r w:rsidR="00A3711C" w:rsidRPr="00BA3F2F">
        <w:t>This interpretation gives proper effect to Parliament’s objective of ensuring an effective forfeiture regime while still vindicating the constitutionally protected right to counsel, and more particularly, th</w:t>
      </w:r>
      <w:r w:rsidR="00155FB8" w:rsidRPr="00BA3F2F">
        <w:t>e constitutional right to state</w:t>
      </w:r>
      <w:r w:rsidR="00155FB8" w:rsidRPr="00BA3F2F">
        <w:noBreakHyphen/>
      </w:r>
      <w:r w:rsidR="00A3711C" w:rsidRPr="00BA3F2F">
        <w:t>funded counsel in limited circumstances.</w:t>
      </w:r>
    </w:p>
    <w:p w:rsidR="00A3711C" w:rsidRPr="00BA3F2F" w:rsidRDefault="00155FB8" w:rsidP="00941516">
      <w:pPr>
        <w:pStyle w:val="SCCNormalDoubleSpacing"/>
        <w:spacing w:after="480"/>
      </w:pPr>
      <w:r w:rsidRPr="00BA3F2F">
        <w:tab/>
      </w:r>
      <w:r w:rsidR="00A3711C" w:rsidRPr="00BA3F2F">
        <w:t xml:space="preserve">Part XII.2 of the </w:t>
      </w:r>
      <w:r w:rsidR="00A3711C" w:rsidRPr="00BA3F2F">
        <w:rPr>
          <w:i/>
        </w:rPr>
        <w:t>Criminal Code</w:t>
      </w:r>
      <w:r w:rsidR="00A3711C" w:rsidRPr="00BA3F2F">
        <w:t xml:space="preserve">, which governs the seizure, restraint, and forfeiture of proceeds of crime, seeks to ensure that crime does not pay. To further this objective, it permits the state to seize and detain property believed on reasonable </w:t>
      </w:r>
      <w:r w:rsidR="00A3711C" w:rsidRPr="00BA3F2F">
        <w:lastRenderedPageBreak/>
        <w:t>grounds to be proceeds of crime, thereby preserving it and facilitating the enforcement o</w:t>
      </w:r>
      <w:r w:rsidR="00EB6756" w:rsidRPr="00BA3F2F">
        <w:t>f any future forfeiture order. At the same time,</w:t>
      </w:r>
      <w:r w:rsidR="00A3711C" w:rsidRPr="00BA3F2F">
        <w:t xml:space="preserve"> Parliament recognized that the seizure and detention of property that is reasonably believed, though not yet proven, to be proceeds of crime may have a significant financial impact on accused persons, including by limiting their ability to access couns</w:t>
      </w:r>
      <w:r w:rsidRPr="00BA3F2F">
        <w:t>el. To address this concern, s. </w:t>
      </w:r>
      <w:r w:rsidR="00A3711C" w:rsidRPr="00BA3F2F">
        <w:t xml:space="preserve">462.34 of the </w:t>
      </w:r>
      <w:r w:rsidR="00A3711C" w:rsidRPr="00BA3F2F">
        <w:rPr>
          <w:i/>
        </w:rPr>
        <w:t>Criminal Code</w:t>
      </w:r>
      <w:r w:rsidR="00A3711C" w:rsidRPr="00BA3F2F">
        <w:t xml:space="preserve"> permits accused persons to apply for a restoration order authorizing the release of seized property to pay for various expenses — one being reasonable legal expenses — where they have no other means available and </w:t>
      </w:r>
      <w:r w:rsidR="00A3711C" w:rsidRPr="00BA3F2F">
        <w:rPr>
          <w:lang w:val="en-US"/>
        </w:rPr>
        <w:t>no other person appears to be the lawful owner of or lawf</w:t>
      </w:r>
      <w:r w:rsidR="00EB6756" w:rsidRPr="00BA3F2F">
        <w:rPr>
          <w:lang w:val="en-US"/>
        </w:rPr>
        <w:t xml:space="preserve">ully entitled to possession of </w:t>
      </w:r>
      <w:r w:rsidR="00A3711C" w:rsidRPr="00BA3F2F">
        <w:rPr>
          <w:lang w:val="en-US"/>
        </w:rPr>
        <w:t>the s</w:t>
      </w:r>
      <w:r w:rsidR="00EB6756" w:rsidRPr="00BA3F2F">
        <w:rPr>
          <w:lang w:val="en-US"/>
        </w:rPr>
        <w:t>eized</w:t>
      </w:r>
      <w:r w:rsidR="00A3711C" w:rsidRPr="00BA3F2F">
        <w:rPr>
          <w:lang w:val="en-US"/>
        </w:rPr>
        <w:t xml:space="preserve"> property. </w:t>
      </w:r>
      <w:r w:rsidR="00A3711C" w:rsidRPr="00BA3F2F">
        <w:t>In creating this provision, Parliament struck a balance between ensuring an effective forfeiture regime and permitting otherwise impecunious accused perso</w:t>
      </w:r>
      <w:r w:rsidR="00EB6756" w:rsidRPr="00BA3F2F">
        <w:t>ns to access funds for certain legitimate purposes. However,</w:t>
      </w:r>
      <w:r w:rsidR="00A3711C" w:rsidRPr="00BA3F2F">
        <w:t xml:space="preserve"> a court must, when sentencing an offender for an indictable offence, order the forfeiture of property deter</w:t>
      </w:r>
      <w:r w:rsidR="00EB6756" w:rsidRPr="00BA3F2F">
        <w:t>mined to be proceeds of crime. Alternatively,</w:t>
      </w:r>
      <w:r w:rsidR="00A3711C" w:rsidRPr="00BA3F2F">
        <w:t xml:space="preserve"> where a court is satisfied that a forfeiture order should be made in respect of any “property of an offender”, but the property cannot be made subject to such an order, the court “may</w:t>
      </w:r>
      <w:r w:rsidRPr="00BA3F2F">
        <w:t>” order a fine in lieu under s. </w:t>
      </w:r>
      <w:r w:rsidR="00A3711C" w:rsidRPr="00BA3F2F">
        <w:t xml:space="preserve">462.37(3) of the </w:t>
      </w:r>
      <w:r w:rsidR="00A3711C" w:rsidRPr="00BA3F2F">
        <w:rPr>
          <w:i/>
        </w:rPr>
        <w:t>Criminal Code</w:t>
      </w:r>
      <w:r w:rsidR="00A3711C" w:rsidRPr="00BA3F2F">
        <w:t>.</w:t>
      </w:r>
    </w:p>
    <w:p w:rsidR="00A3711C" w:rsidRPr="00BA3F2F" w:rsidRDefault="00155FB8" w:rsidP="00941516">
      <w:pPr>
        <w:pStyle w:val="SCCNormalDoubleSpacing"/>
        <w:spacing w:after="480"/>
        <w:rPr>
          <w:szCs w:val="24"/>
        </w:rPr>
      </w:pPr>
      <w:r w:rsidRPr="00BA3F2F">
        <w:rPr>
          <w:szCs w:val="24"/>
        </w:rPr>
        <w:tab/>
      </w:r>
      <w:r w:rsidR="00A3711C" w:rsidRPr="00BA3F2F">
        <w:rPr>
          <w:szCs w:val="24"/>
        </w:rPr>
        <w:t>Offenders who have used proceeds of crim</w:t>
      </w:r>
      <w:r w:rsidR="00EB6756" w:rsidRPr="00BA3F2F">
        <w:rPr>
          <w:szCs w:val="24"/>
        </w:rPr>
        <w:t xml:space="preserve">e to pay for their own defence derive a benefit from their crime </w:t>
      </w:r>
      <w:r w:rsidR="00A3711C" w:rsidRPr="00BA3F2F">
        <w:rPr>
          <w:szCs w:val="24"/>
        </w:rPr>
        <w:t>an</w:t>
      </w:r>
      <w:r w:rsidR="00EB6756" w:rsidRPr="00BA3F2F">
        <w:rPr>
          <w:szCs w:val="24"/>
        </w:rPr>
        <w:t>d</w:t>
      </w:r>
      <w:r w:rsidR="00A3711C" w:rsidRPr="00BA3F2F">
        <w:rPr>
          <w:szCs w:val="24"/>
        </w:rPr>
        <w:t xml:space="preserve"> should generally be required to repay that </w:t>
      </w:r>
      <w:r w:rsidR="00EB6756" w:rsidRPr="00BA3F2F">
        <w:rPr>
          <w:szCs w:val="24"/>
        </w:rPr>
        <w:t>benefit through a fine in lieu of forfeiture</w:t>
      </w:r>
      <w:r w:rsidR="00A3711C" w:rsidRPr="00BA3F2F">
        <w:rPr>
          <w:szCs w:val="24"/>
        </w:rPr>
        <w:t>. This follows from a straightforward application of the primary objective of the proceeds of crime regime — namely, ens</w:t>
      </w:r>
      <w:r w:rsidR="00EB6756" w:rsidRPr="00BA3F2F">
        <w:rPr>
          <w:szCs w:val="24"/>
        </w:rPr>
        <w:t xml:space="preserve">uring that crime does not pay. </w:t>
      </w:r>
      <w:r w:rsidRPr="00BA3F2F">
        <w:rPr>
          <w:szCs w:val="24"/>
        </w:rPr>
        <w:t>The proper interpretation of s. </w:t>
      </w:r>
      <w:r w:rsidR="00A3711C" w:rsidRPr="00BA3F2F">
        <w:rPr>
          <w:szCs w:val="24"/>
        </w:rPr>
        <w:t xml:space="preserve">462.37(3) of the </w:t>
      </w:r>
      <w:r w:rsidR="00A3711C" w:rsidRPr="00BA3F2F">
        <w:rPr>
          <w:i/>
          <w:szCs w:val="24"/>
        </w:rPr>
        <w:t>Criminal Code</w:t>
      </w:r>
      <w:r w:rsidR="00EB6756" w:rsidRPr="00BA3F2F">
        <w:rPr>
          <w:szCs w:val="24"/>
        </w:rPr>
        <w:t xml:space="preserve"> reveals </w:t>
      </w:r>
      <w:r w:rsidR="00EB6756" w:rsidRPr="00BA3F2F">
        <w:rPr>
          <w:szCs w:val="24"/>
        </w:rPr>
        <w:lastRenderedPageBreak/>
        <w:t xml:space="preserve">that </w:t>
      </w:r>
      <w:r w:rsidRPr="00BA3F2F">
        <w:rPr>
          <w:szCs w:val="24"/>
        </w:rPr>
        <w:t>w</w:t>
      </w:r>
      <w:r w:rsidR="00C17F05">
        <w:rPr>
          <w:szCs w:val="24"/>
        </w:rPr>
        <w:t>h</w:t>
      </w:r>
      <w:r w:rsidRPr="00BA3F2F">
        <w:rPr>
          <w:szCs w:val="24"/>
        </w:rPr>
        <w:t>ere</w:t>
      </w:r>
      <w:r w:rsidR="00A3711C" w:rsidRPr="00BA3F2F">
        <w:rPr>
          <w:szCs w:val="24"/>
        </w:rPr>
        <w:t xml:space="preserve"> seized funds are released to an offender and then transferred to a lawyer, both prerequisites to i</w:t>
      </w:r>
      <w:r w:rsidR="00EB6756" w:rsidRPr="00BA3F2F">
        <w:rPr>
          <w:szCs w:val="24"/>
        </w:rPr>
        <w:t xml:space="preserve">mposing a fine in lieu are met. First, </w:t>
      </w:r>
      <w:r w:rsidR="00A3711C" w:rsidRPr="00BA3F2F">
        <w:rPr>
          <w:szCs w:val="24"/>
        </w:rPr>
        <w:t>these funds are captured in the bro</w:t>
      </w:r>
      <w:r w:rsidR="00EB6756" w:rsidRPr="00BA3F2F">
        <w:rPr>
          <w:szCs w:val="24"/>
        </w:rPr>
        <w:t>ad definition of</w:t>
      </w:r>
      <w:r w:rsidR="00A3711C" w:rsidRPr="00BA3F2F">
        <w:rPr>
          <w:szCs w:val="24"/>
        </w:rPr>
        <w:t xml:space="preserve"> “property of an offender”, which includes property originally in the possession or und</w:t>
      </w:r>
      <w:r w:rsidR="00F81BA0" w:rsidRPr="00BA3F2F">
        <w:rPr>
          <w:szCs w:val="24"/>
        </w:rPr>
        <w:t xml:space="preserve">er the control of any person. </w:t>
      </w:r>
      <w:r w:rsidR="00EB6756" w:rsidRPr="00BA3F2F">
        <w:rPr>
          <w:szCs w:val="24"/>
        </w:rPr>
        <w:t>Second,</w:t>
      </w:r>
      <w:r w:rsidR="00A3711C" w:rsidRPr="00BA3F2F">
        <w:rPr>
          <w:b/>
          <w:szCs w:val="24"/>
        </w:rPr>
        <w:t xml:space="preserve"> </w:t>
      </w:r>
      <w:r w:rsidR="00A3711C" w:rsidRPr="00BA3F2F">
        <w:rPr>
          <w:szCs w:val="24"/>
        </w:rPr>
        <w:t>a transfer</w:t>
      </w:r>
      <w:r w:rsidR="00EB6756" w:rsidRPr="00BA3F2F">
        <w:rPr>
          <w:szCs w:val="24"/>
        </w:rPr>
        <w:t xml:space="preserve"> of released funds to a lawyer </w:t>
      </w:r>
      <w:r w:rsidR="00A3711C" w:rsidRPr="00BA3F2F">
        <w:rPr>
          <w:szCs w:val="24"/>
        </w:rPr>
        <w:t>cannot be mad</w:t>
      </w:r>
      <w:r w:rsidR="00EB6756" w:rsidRPr="00BA3F2F">
        <w:rPr>
          <w:szCs w:val="24"/>
        </w:rPr>
        <w:t>e subject to a forfeiture order</w:t>
      </w:r>
      <w:r w:rsidR="00A3711C" w:rsidRPr="00BA3F2F">
        <w:rPr>
          <w:szCs w:val="24"/>
        </w:rPr>
        <w:t xml:space="preserve">. </w:t>
      </w:r>
      <w:r w:rsidR="00A3711C" w:rsidRPr="00BA3F2F">
        <w:t>S</w:t>
      </w:r>
      <w:r w:rsidR="00EB6756" w:rsidRPr="00BA3F2F">
        <w:t>ection 462.37(3) sets out</w:t>
      </w:r>
      <w:r w:rsidR="00F81BA0" w:rsidRPr="00BA3F2F">
        <w:t xml:space="preserve"> a non</w:t>
      </w:r>
      <w:r w:rsidR="00F81BA0" w:rsidRPr="00BA3F2F">
        <w:noBreakHyphen/>
      </w:r>
      <w:r w:rsidR="00A3711C" w:rsidRPr="00BA3F2F">
        <w:t>exhaustive</w:t>
      </w:r>
      <w:r w:rsidR="00EB6756" w:rsidRPr="00BA3F2F">
        <w:t xml:space="preserve"> list of example circumstances </w:t>
      </w:r>
      <w:r w:rsidR="00A3711C" w:rsidRPr="00BA3F2F">
        <w:t>where this cr</w:t>
      </w:r>
      <w:r w:rsidR="00EB6756" w:rsidRPr="00BA3F2F">
        <w:t>iterion is met, one of which is</w:t>
      </w:r>
      <w:r w:rsidR="00A3711C" w:rsidRPr="00BA3F2F">
        <w:rPr>
          <w:szCs w:val="24"/>
        </w:rPr>
        <w:t xml:space="preserve"> where property has been “transferred to a third party”. P</w:t>
      </w:r>
      <w:r w:rsidR="00EB6756" w:rsidRPr="00BA3F2F">
        <w:rPr>
          <w:szCs w:val="24"/>
        </w:rPr>
        <w:t>arliament could have limited this</w:t>
      </w:r>
      <w:r w:rsidR="00A3711C" w:rsidRPr="00BA3F2F">
        <w:rPr>
          <w:szCs w:val="24"/>
        </w:rPr>
        <w:t xml:space="preserve"> </w:t>
      </w:r>
      <w:r w:rsidR="00F81BA0" w:rsidRPr="00BA3F2F">
        <w:rPr>
          <w:szCs w:val="24"/>
        </w:rPr>
        <w:t>class of transfers but did not.</w:t>
      </w:r>
      <w:r w:rsidR="00A3711C" w:rsidRPr="00BA3F2F">
        <w:rPr>
          <w:szCs w:val="24"/>
        </w:rPr>
        <w:t xml:space="preserve"> </w:t>
      </w:r>
      <w:r w:rsidR="00A3711C" w:rsidRPr="00BA3F2F">
        <w:t>In the absence of any limiting language, the grammatical and ordinary sense of “transfer” — to move a thing from one place to another — must prevail.</w:t>
      </w:r>
      <w:r w:rsidR="00A3711C" w:rsidRPr="00BA3F2F">
        <w:rPr>
          <w:szCs w:val="24"/>
        </w:rPr>
        <w:t xml:space="preserve"> A</w:t>
      </w:r>
      <w:r w:rsidR="00A3711C" w:rsidRPr="00BA3F2F">
        <w:t xml:space="preserve"> judicially authorized transfer of</w:t>
      </w:r>
      <w:r w:rsidR="00EB6756" w:rsidRPr="00BA3F2F">
        <w:t xml:space="preserve"> released funds to a lawyer is therefore</w:t>
      </w:r>
      <w:r w:rsidR="00A3711C" w:rsidRPr="00BA3F2F">
        <w:t xml:space="preserve"> a “transfer to a third party”.</w:t>
      </w:r>
      <w:r w:rsidR="00EB6756" w:rsidRPr="00BA3F2F">
        <w:rPr>
          <w:szCs w:val="24"/>
        </w:rPr>
        <w:t xml:space="preserve"> </w:t>
      </w:r>
      <w:r w:rsidR="00A3711C" w:rsidRPr="00BA3F2F">
        <w:rPr>
          <w:szCs w:val="24"/>
        </w:rPr>
        <w:t>Th</w:t>
      </w:r>
      <w:r w:rsidR="00EB6756" w:rsidRPr="00BA3F2F">
        <w:rPr>
          <w:szCs w:val="24"/>
        </w:rPr>
        <w:t>is also fits comfortably within</w:t>
      </w:r>
      <w:r w:rsidR="00A3711C" w:rsidRPr="00BA3F2F">
        <w:rPr>
          <w:szCs w:val="24"/>
        </w:rPr>
        <w:t xml:space="preserve"> </w:t>
      </w:r>
      <w:r w:rsidR="00EB6756" w:rsidRPr="00BA3F2F">
        <w:rPr>
          <w:szCs w:val="24"/>
        </w:rPr>
        <w:t>t</w:t>
      </w:r>
      <w:r w:rsidR="00A3711C" w:rsidRPr="00BA3F2F">
        <w:rPr>
          <w:szCs w:val="24"/>
        </w:rPr>
        <w:t>he co</w:t>
      </w:r>
      <w:r w:rsidR="00EB6756" w:rsidRPr="00BA3F2F">
        <w:rPr>
          <w:szCs w:val="24"/>
        </w:rPr>
        <w:t xml:space="preserve">nsistent theme running through </w:t>
      </w:r>
      <w:r w:rsidR="00A3711C" w:rsidRPr="00BA3F2F">
        <w:rPr>
          <w:szCs w:val="24"/>
        </w:rPr>
        <w:t>the example</w:t>
      </w:r>
      <w:r w:rsidR="00F81BA0" w:rsidRPr="00BA3F2F">
        <w:rPr>
          <w:szCs w:val="24"/>
        </w:rPr>
        <w:t>s listed in s. </w:t>
      </w:r>
      <w:r w:rsidR="00EB6756" w:rsidRPr="00BA3F2F">
        <w:rPr>
          <w:szCs w:val="24"/>
        </w:rPr>
        <w:t>462.37(3), which is simply</w:t>
      </w:r>
      <w:r w:rsidR="00A3711C" w:rsidRPr="00BA3F2F">
        <w:rPr>
          <w:szCs w:val="24"/>
        </w:rPr>
        <w:t xml:space="preserve"> that the property cannot be made </w:t>
      </w:r>
      <w:r w:rsidR="00F81BA0" w:rsidRPr="00BA3F2F">
        <w:rPr>
          <w:szCs w:val="24"/>
        </w:rPr>
        <w:t>subject to a forfeiture order.</w:t>
      </w:r>
    </w:p>
    <w:p w:rsidR="00A3711C" w:rsidRPr="00BA3F2F" w:rsidRDefault="00F81BA0" w:rsidP="00941516">
      <w:pPr>
        <w:pStyle w:val="SCCNormalDoubleSpacing"/>
        <w:spacing w:after="480"/>
      </w:pPr>
      <w:r w:rsidRPr="00BA3F2F">
        <w:tab/>
      </w:r>
      <w:r w:rsidR="00A3711C" w:rsidRPr="00BA3F2F">
        <w:t xml:space="preserve">There is an exception to the general rule that a fine in lieu should be imposed where an offender has used proceeds of crime to pay for his or her own defence. Where a sentencing judge is satisfied, applying the test set out in </w:t>
      </w:r>
      <w:r w:rsidR="00A3711C" w:rsidRPr="00BA3F2F">
        <w:rPr>
          <w:i/>
        </w:rPr>
        <w:t xml:space="preserve">R. v. Rowbotham </w:t>
      </w:r>
      <w:r w:rsidR="00A3711C" w:rsidRPr="00BA3F2F">
        <w:t xml:space="preserve">(1988), 41 C.C.C. (3d) 1 (Ont. C.A.), that representation by counsel was essential to the offender’s constitutional </w:t>
      </w:r>
      <w:r w:rsidRPr="00BA3F2F">
        <w:t>right to a fair trial under ss. </w:t>
      </w:r>
      <w:r w:rsidR="00A3711C" w:rsidRPr="00BA3F2F">
        <w:t>7 and 11(</w:t>
      </w:r>
      <w:r w:rsidR="00A3711C" w:rsidRPr="00BA3F2F">
        <w:rPr>
          <w:i/>
        </w:rPr>
        <w:t>d</w:t>
      </w:r>
      <w:r w:rsidR="00A3711C" w:rsidRPr="00BA3F2F">
        <w:t xml:space="preserve">) of the </w:t>
      </w:r>
      <w:r w:rsidR="00A3711C" w:rsidRPr="00BA3F2F">
        <w:rPr>
          <w:i/>
        </w:rPr>
        <w:t>Canadian Charter of Rights and Freedoms</w:t>
      </w:r>
      <w:r w:rsidR="00A3711C" w:rsidRPr="00BA3F2F">
        <w:t>, the judge should exercise his or her limited discretion not to impose a fine in lieu in respect of the released funds.</w:t>
      </w:r>
      <w:r w:rsidRPr="00BA3F2F">
        <w:rPr>
          <w:szCs w:val="24"/>
        </w:rPr>
        <w:t xml:space="preserve"> The language of s. </w:t>
      </w:r>
      <w:r w:rsidR="00A3711C" w:rsidRPr="00BA3F2F">
        <w:rPr>
          <w:szCs w:val="24"/>
        </w:rPr>
        <w:t xml:space="preserve">462.37(3) is permissive and confers a limited discretion not to impose a fine. </w:t>
      </w:r>
      <w:r w:rsidR="00EB6756" w:rsidRPr="00BA3F2F">
        <w:rPr>
          <w:szCs w:val="24"/>
        </w:rPr>
        <w:t>This limited</w:t>
      </w:r>
      <w:r w:rsidR="00A3711C" w:rsidRPr="00BA3F2F">
        <w:rPr>
          <w:szCs w:val="24"/>
        </w:rPr>
        <w:t xml:space="preserve"> discretion must be exercised in a manner consistent with the spirit of Part XII.2 </w:t>
      </w:r>
      <w:r w:rsidR="00A3711C" w:rsidRPr="00BA3F2F">
        <w:rPr>
          <w:szCs w:val="24"/>
        </w:rPr>
        <w:lastRenderedPageBreak/>
        <w:t xml:space="preserve">as a whole. Part XII.2 seeks to balance the need to ensure an effective forfeiture regime and the constitutionally protected right to counsel. </w:t>
      </w:r>
      <w:r w:rsidR="00A3711C" w:rsidRPr="00BA3F2F">
        <w:t>To properly understand this balance, however, it is first necessary to examine what the constitutionally protected right to counsel does — and does not — entail.</w:t>
      </w:r>
      <w:r w:rsidR="00A3711C" w:rsidRPr="00BA3F2F">
        <w:rPr>
          <w:szCs w:val="24"/>
        </w:rPr>
        <w:t xml:space="preserve"> </w:t>
      </w:r>
      <w:r w:rsidRPr="00BA3F2F">
        <w:t>Neither s. </w:t>
      </w:r>
      <w:r w:rsidR="00A3711C" w:rsidRPr="00BA3F2F">
        <w:t>10(</w:t>
      </w:r>
      <w:r w:rsidR="00A3711C" w:rsidRPr="00BA3F2F">
        <w:rPr>
          <w:i/>
        </w:rPr>
        <w:t>b</w:t>
      </w:r>
      <w:r w:rsidR="00A3711C" w:rsidRPr="00BA3F2F">
        <w:t>) nor any other</w:t>
      </w:r>
      <w:r w:rsidR="00A3711C" w:rsidRPr="00BA3F2F">
        <w:rPr>
          <w:b/>
        </w:rPr>
        <w:t xml:space="preserve"> </w:t>
      </w:r>
      <w:r w:rsidR="00A3711C" w:rsidRPr="00BA3F2F">
        <w:rPr>
          <w:i/>
          <w:szCs w:val="24"/>
        </w:rPr>
        <w:t xml:space="preserve">Charter </w:t>
      </w:r>
      <w:r w:rsidR="00A3711C" w:rsidRPr="00BA3F2F">
        <w:rPr>
          <w:szCs w:val="24"/>
        </w:rPr>
        <w:t>right postulates a general right to legal</w:t>
      </w:r>
      <w:r w:rsidRPr="00BA3F2F">
        <w:rPr>
          <w:szCs w:val="24"/>
        </w:rPr>
        <w:t xml:space="preserve"> assistance. The right to state</w:t>
      </w:r>
      <w:r w:rsidRPr="00BA3F2F">
        <w:rPr>
          <w:szCs w:val="24"/>
        </w:rPr>
        <w:noBreakHyphen/>
      </w:r>
      <w:r w:rsidR="00A3711C" w:rsidRPr="00BA3F2F">
        <w:rPr>
          <w:szCs w:val="24"/>
        </w:rPr>
        <w:t>funded legal counsel in crimi</w:t>
      </w:r>
      <w:r w:rsidRPr="00BA3F2F">
        <w:rPr>
          <w:szCs w:val="24"/>
        </w:rPr>
        <w:t>nal proceedings grounded in ss. </w:t>
      </w:r>
      <w:r w:rsidR="00A3711C" w:rsidRPr="00BA3F2F">
        <w:rPr>
          <w:szCs w:val="24"/>
        </w:rPr>
        <w:t>7 and 11(</w:t>
      </w:r>
      <w:r w:rsidR="00A3711C" w:rsidRPr="00BA3F2F">
        <w:rPr>
          <w:i/>
          <w:szCs w:val="24"/>
        </w:rPr>
        <w:t>d</w:t>
      </w:r>
      <w:r w:rsidR="00A3711C" w:rsidRPr="00BA3F2F">
        <w:rPr>
          <w:szCs w:val="24"/>
        </w:rPr>
        <w:t xml:space="preserve">) of the </w:t>
      </w:r>
      <w:r w:rsidR="00A3711C" w:rsidRPr="00BA3F2F">
        <w:rPr>
          <w:i/>
          <w:szCs w:val="24"/>
        </w:rPr>
        <w:t>Charter</w:t>
      </w:r>
      <w:r w:rsidR="00EB6756" w:rsidRPr="00BA3F2F">
        <w:rPr>
          <w:szCs w:val="24"/>
        </w:rPr>
        <w:t xml:space="preserve"> is limited </w:t>
      </w:r>
      <w:r w:rsidR="00A3711C" w:rsidRPr="00BA3F2F">
        <w:rPr>
          <w:szCs w:val="24"/>
        </w:rPr>
        <w:t>t</w:t>
      </w:r>
      <w:r w:rsidR="00EB6756" w:rsidRPr="00BA3F2F">
        <w:rPr>
          <w:szCs w:val="24"/>
        </w:rPr>
        <w:t>o circumstances</w:t>
      </w:r>
      <w:r w:rsidR="00A3711C" w:rsidRPr="00BA3F2F">
        <w:rPr>
          <w:szCs w:val="24"/>
        </w:rPr>
        <w:t xml:space="preserve"> where legal aid has been denied, the accused lacks other means, and representation by counsel is essential to the accused’s constitutional right to a fair trial. </w:t>
      </w:r>
      <w:r w:rsidR="00EB6756" w:rsidRPr="00BA3F2F">
        <w:rPr>
          <w:szCs w:val="24"/>
        </w:rPr>
        <w:t>Thus,</w:t>
      </w:r>
      <w:r w:rsidR="00A3711C" w:rsidRPr="00BA3F2F">
        <w:rPr>
          <w:szCs w:val="24"/>
        </w:rPr>
        <w:t xml:space="preserve"> where an offender can show that he or she was con</w:t>
      </w:r>
      <w:r w:rsidRPr="00BA3F2F">
        <w:rPr>
          <w:szCs w:val="24"/>
        </w:rPr>
        <w:t>stitutionally entitled to state</w:t>
      </w:r>
      <w:r w:rsidRPr="00BA3F2F">
        <w:rPr>
          <w:szCs w:val="24"/>
        </w:rPr>
        <w:noBreakHyphen/>
      </w:r>
      <w:r w:rsidR="00A3711C" w:rsidRPr="00BA3F2F">
        <w:rPr>
          <w:szCs w:val="24"/>
        </w:rPr>
        <w:t xml:space="preserve">funded legal counsel, it would be inconsistent to order the offender to pay back his or her legal expenses through a fine in lieu. This approach gives proper effect to Parliament’s objective of ensuring an effective forfeiture regime while still vindicating the constitutionally protected right to counsel. </w:t>
      </w:r>
      <w:r w:rsidR="00A3711C" w:rsidRPr="00BA3F2F">
        <w:t>To go further would not only upset the careful balance struck by Parliament, it would effectively grant a constitutional entitlement where none exists.</w:t>
      </w:r>
    </w:p>
    <w:p w:rsidR="00A3711C" w:rsidRPr="00BA3F2F" w:rsidRDefault="00F81BA0" w:rsidP="00941516">
      <w:pPr>
        <w:pStyle w:val="SCCNormalDoubleSpacing"/>
        <w:spacing w:after="480"/>
        <w:rPr>
          <w:szCs w:val="24"/>
        </w:rPr>
      </w:pPr>
      <w:r w:rsidRPr="00BA3F2F">
        <w:rPr>
          <w:szCs w:val="24"/>
        </w:rPr>
        <w:tab/>
      </w:r>
      <w:r w:rsidR="00A3711C" w:rsidRPr="00BA3F2F">
        <w:rPr>
          <w:szCs w:val="24"/>
        </w:rPr>
        <w:t>Contrary to the majority’</w:t>
      </w:r>
      <w:r w:rsidR="00EB6756" w:rsidRPr="00BA3F2F">
        <w:rPr>
          <w:szCs w:val="24"/>
        </w:rPr>
        <w:t>s approach,</w:t>
      </w:r>
      <w:r w:rsidR="00A3711C" w:rsidRPr="00BA3F2F">
        <w:rPr>
          <w:szCs w:val="24"/>
        </w:rPr>
        <w:t xml:space="preserve"> </w:t>
      </w:r>
      <w:r w:rsidR="00EB6756" w:rsidRPr="00BA3F2F">
        <w:rPr>
          <w:szCs w:val="24"/>
        </w:rPr>
        <w:t>the primary objective of the proceeds of crime regime</w:t>
      </w:r>
      <w:r w:rsidR="00A3711C" w:rsidRPr="00BA3F2F">
        <w:rPr>
          <w:szCs w:val="24"/>
        </w:rPr>
        <w:t xml:space="preserve"> need no</w:t>
      </w:r>
      <w:r w:rsidR="00EB6756" w:rsidRPr="00BA3F2F">
        <w:rPr>
          <w:szCs w:val="24"/>
        </w:rPr>
        <w:t>t be sacrificed to achieve the restoration provision’s</w:t>
      </w:r>
      <w:r w:rsidR="00A3711C" w:rsidRPr="00BA3F2F">
        <w:rPr>
          <w:szCs w:val="24"/>
        </w:rPr>
        <w:t xml:space="preserve"> “secondary purposes” of providing access to counsel, giving meaningful weight to the presumption of innocence, and giving effect to the underlying intention to ensure fairness in criminal prosecutions. </w:t>
      </w:r>
      <w:r w:rsidR="00A3711C" w:rsidRPr="00BA3F2F">
        <w:t>Once the respective roles of the restoration provision and the fine in lieu provision are properly understood, it becomes clear that all</w:t>
      </w:r>
      <w:r w:rsidR="00A3711C" w:rsidRPr="00BA3F2F">
        <w:rPr>
          <w:i/>
        </w:rPr>
        <w:t xml:space="preserve"> </w:t>
      </w:r>
      <w:r w:rsidR="00A3711C" w:rsidRPr="00BA3F2F">
        <w:t xml:space="preserve">of the statutory scheme’s objectives can be achieved. The restoration provision facilitates access to counsel in a </w:t>
      </w:r>
      <w:r w:rsidR="00A3711C" w:rsidRPr="00BA3F2F">
        <w:lastRenderedPageBreak/>
        <w:t>manner that is both fair and consistent with the presumption of innocence. But where a restoration order is followed by a conviction, an “accus</w:t>
      </w:r>
      <w:r w:rsidR="00EB6756" w:rsidRPr="00BA3F2F">
        <w:t xml:space="preserve">ed” becomes an “offender”, and </w:t>
      </w:r>
      <w:r w:rsidR="00A3711C" w:rsidRPr="00BA3F2F">
        <w:t>a fine in lie</w:t>
      </w:r>
      <w:r w:rsidR="00EB6756" w:rsidRPr="00BA3F2F">
        <w:t>u should be ordered because the</w:t>
      </w:r>
      <w:r w:rsidR="00A3711C" w:rsidRPr="00BA3F2F">
        <w:t xml:space="preserve"> primary objective of ensuring that crime does not pay takes centre stage. </w:t>
      </w:r>
      <w:r w:rsidR="00A3711C" w:rsidRPr="00BA3F2F">
        <w:rPr>
          <w:szCs w:val="24"/>
        </w:rPr>
        <w:t>While Parliament intended to give accused persons the benefit of having access to seized funds to pay for reasonable legal expenses, it did not intend to give offenders the benefit of never having to pay them back. Had that been Parliament’s intent</w:t>
      </w:r>
      <w:r w:rsidR="00EB6756" w:rsidRPr="00BA3F2F">
        <w:rPr>
          <w:szCs w:val="24"/>
        </w:rPr>
        <w:t>, it could easily have enacted such</w:t>
      </w:r>
      <w:r w:rsidRPr="00BA3F2F">
        <w:rPr>
          <w:szCs w:val="24"/>
        </w:rPr>
        <w:t xml:space="preserve"> a provision.</w:t>
      </w:r>
    </w:p>
    <w:p w:rsidR="007F4E00" w:rsidRPr="00BA3F2F" w:rsidRDefault="00F81BA0" w:rsidP="00941516">
      <w:pPr>
        <w:pStyle w:val="SCCNormalDoubleSpacing"/>
        <w:spacing w:after="480"/>
        <w:rPr>
          <w:szCs w:val="24"/>
        </w:rPr>
      </w:pPr>
      <w:r w:rsidRPr="00BA3F2F">
        <w:tab/>
      </w:r>
      <w:r w:rsidR="00EB6756" w:rsidRPr="00BA3F2F">
        <w:t xml:space="preserve">In this instance, the funds </w:t>
      </w:r>
      <w:r w:rsidR="00A3711C" w:rsidRPr="00BA3F2F">
        <w:t xml:space="preserve">transferred to R’s lawyer qualified as R’s property and were determined to be proceeds of crime. They </w:t>
      </w:r>
      <w:r w:rsidR="00A3711C" w:rsidRPr="00BA3F2F">
        <w:rPr>
          <w:lang w:val="en-US"/>
        </w:rPr>
        <w:t>could not be made subject to a forfeiture order</w:t>
      </w:r>
      <w:r w:rsidR="00A3711C" w:rsidRPr="00BA3F2F">
        <w:t xml:space="preserve">. </w:t>
      </w:r>
      <w:r w:rsidR="00A3711C" w:rsidRPr="00BA3F2F">
        <w:rPr>
          <w:szCs w:val="24"/>
        </w:rPr>
        <w:t xml:space="preserve">Consequently, the authority to order a fine in lieu was engaged. </w:t>
      </w:r>
      <w:r w:rsidR="00B14E74" w:rsidRPr="00BA3F2F">
        <w:t>In exercising her limited discretion not to invoke this authority, the sentencing judge did not consider</w:t>
      </w:r>
      <w:r w:rsidR="00A3711C" w:rsidRPr="00BA3F2F">
        <w:rPr>
          <w:szCs w:val="24"/>
        </w:rPr>
        <w:t xml:space="preserve"> whether representation by counsel was essential to R’s consti</w:t>
      </w:r>
      <w:r w:rsidR="00EB6756" w:rsidRPr="00BA3F2F">
        <w:rPr>
          <w:szCs w:val="24"/>
        </w:rPr>
        <w:t xml:space="preserve">tutional right to a fair trial </w:t>
      </w:r>
      <w:r w:rsidR="00A3711C" w:rsidRPr="00BA3F2F">
        <w:rPr>
          <w:szCs w:val="24"/>
        </w:rPr>
        <w:t>and</w:t>
      </w:r>
      <w:r w:rsidR="00EB6756" w:rsidRPr="00BA3F2F">
        <w:rPr>
          <w:szCs w:val="24"/>
        </w:rPr>
        <w:t xml:space="preserve"> </w:t>
      </w:r>
      <w:r w:rsidR="00A3711C" w:rsidRPr="00BA3F2F">
        <w:rPr>
          <w:szCs w:val="24"/>
        </w:rPr>
        <w:t>the record is insu</w:t>
      </w:r>
      <w:r w:rsidR="00EB6756" w:rsidRPr="00BA3F2F">
        <w:rPr>
          <w:szCs w:val="24"/>
        </w:rPr>
        <w:t xml:space="preserve">fficient to decide this issue. </w:t>
      </w:r>
      <w:r w:rsidR="00A3711C" w:rsidRPr="00BA3F2F">
        <w:rPr>
          <w:szCs w:val="24"/>
        </w:rPr>
        <w:t>The Court of Appe</w:t>
      </w:r>
      <w:r w:rsidR="00EB6756" w:rsidRPr="00BA3F2F">
        <w:rPr>
          <w:szCs w:val="24"/>
        </w:rPr>
        <w:t>al’s order should therefore</w:t>
      </w:r>
      <w:r w:rsidR="00A3711C" w:rsidRPr="00BA3F2F">
        <w:rPr>
          <w:szCs w:val="24"/>
        </w:rPr>
        <w:t xml:space="preserve"> be set aside and the case remitted to the sentencing judge for determination.</w:t>
      </w:r>
    </w:p>
    <w:p w:rsidR="007E1C47" w:rsidRPr="00BA3F2F" w:rsidRDefault="002E6705" w:rsidP="00941516">
      <w:pPr>
        <w:pStyle w:val="SCCNormalDoubleSpacing"/>
        <w:spacing w:after="720" w:line="240" w:lineRule="auto"/>
        <w:rPr>
          <w:b/>
        </w:rPr>
      </w:pPr>
      <w:r w:rsidRPr="00BA3F2F">
        <w:rPr>
          <w:b/>
        </w:rPr>
        <w:t>Cases Cited</w:t>
      </w:r>
    </w:p>
    <w:p w:rsidR="00BD248B" w:rsidRPr="00BA3F2F" w:rsidRDefault="002265D4" w:rsidP="00941516">
      <w:pPr>
        <w:pStyle w:val="SCCNormalDoubleSpacing"/>
        <w:spacing w:after="720" w:line="240" w:lineRule="auto"/>
      </w:pPr>
      <w:r w:rsidRPr="00BA3F2F">
        <w:t xml:space="preserve">By </w:t>
      </w:r>
      <w:r w:rsidR="000919A3" w:rsidRPr="00BA3F2F">
        <w:t>Martin</w:t>
      </w:r>
      <w:r w:rsidR="00BA0848" w:rsidRPr="00BA3F2F">
        <w:t> </w:t>
      </w:r>
      <w:r w:rsidRPr="00BA3F2F">
        <w:t>J.</w:t>
      </w:r>
    </w:p>
    <w:p w:rsidR="002701D7" w:rsidRPr="00BA3F2F" w:rsidRDefault="00BD248B" w:rsidP="00941516">
      <w:pPr>
        <w:pStyle w:val="SCCNormalDoubleSpacing"/>
        <w:spacing w:after="480"/>
      </w:pPr>
      <w:r w:rsidRPr="00BA3F2F">
        <w:tab/>
      </w:r>
      <w:r w:rsidR="00A91746" w:rsidRPr="00A91746">
        <w:rPr>
          <w:b/>
        </w:rPr>
        <w:t>Distinguished:</w:t>
      </w:r>
      <w:r w:rsidR="00A91746">
        <w:t xml:space="preserve"> </w:t>
      </w:r>
      <w:r w:rsidR="00A91746" w:rsidRPr="00BA3F2F">
        <w:rPr>
          <w:i/>
        </w:rPr>
        <w:t xml:space="preserve">R. v. Rowbotham </w:t>
      </w:r>
      <w:r w:rsidR="00A91746" w:rsidRPr="00BA3F2F">
        <w:t>(1988), 41 C.C.C. (3d) 1</w:t>
      </w:r>
      <w:r w:rsidR="00A91746">
        <w:t xml:space="preserve">; </w:t>
      </w:r>
      <w:r w:rsidR="00A91746">
        <w:rPr>
          <w:b/>
        </w:rPr>
        <w:t>c</w:t>
      </w:r>
      <w:r w:rsidR="008D2958" w:rsidRPr="00BA3F2F">
        <w:rPr>
          <w:b/>
        </w:rPr>
        <w:t>onsidered:</w:t>
      </w:r>
      <w:r w:rsidR="008D2958" w:rsidRPr="00BA3F2F">
        <w:t xml:space="preserve"> </w:t>
      </w:r>
      <w:r w:rsidR="008D2958" w:rsidRPr="00BA3F2F">
        <w:rPr>
          <w:i/>
        </w:rPr>
        <w:t>R. v. Lavigne</w:t>
      </w:r>
      <w:r w:rsidR="008D2958" w:rsidRPr="00BA3F2F">
        <w:t>, 2</w:t>
      </w:r>
      <w:r w:rsidR="00A91746">
        <w:t>006 SCC 10, [2006] 1 S.C.R. 392</w:t>
      </w:r>
      <w:r w:rsidR="008D2958" w:rsidRPr="00BA3F2F">
        <w:t xml:space="preserve">; </w:t>
      </w:r>
      <w:r w:rsidR="008D2958" w:rsidRPr="00BA3F2F">
        <w:rPr>
          <w:b/>
        </w:rPr>
        <w:t>referred to:</w:t>
      </w:r>
      <w:r w:rsidR="008D2958" w:rsidRPr="00BA3F2F">
        <w:t xml:space="preserve"> </w:t>
      </w:r>
      <w:r w:rsidR="008D2958" w:rsidRPr="00BA3F2F">
        <w:rPr>
          <w:i/>
        </w:rPr>
        <w:t>R. v. Appleby</w:t>
      </w:r>
      <w:r w:rsidR="008D2958" w:rsidRPr="00BA3F2F">
        <w:t xml:space="preserve">, 2009 NLCA 6, 282 Nfld. &amp; P.E.I.R. 134; </w:t>
      </w:r>
      <w:r w:rsidR="008D2958" w:rsidRPr="00BA3F2F">
        <w:rPr>
          <w:i/>
        </w:rPr>
        <w:t>R. v. Wilson</w:t>
      </w:r>
      <w:r w:rsidR="008D2958" w:rsidRPr="00BA3F2F">
        <w:t xml:space="preserve"> (1993), 15 O.R. (3d) 645; </w:t>
      </w:r>
      <w:r w:rsidR="008D2958" w:rsidRPr="00BA3F2F">
        <w:rPr>
          <w:i/>
        </w:rPr>
        <w:t>R. v. Smith</w:t>
      </w:r>
      <w:r w:rsidR="008D2958" w:rsidRPr="00BA3F2F">
        <w:t xml:space="preserve">, 2008 </w:t>
      </w:r>
      <w:r w:rsidR="008D2958" w:rsidRPr="00BA3F2F">
        <w:lastRenderedPageBreak/>
        <w:t xml:space="preserve">SKCA 20, 307 Sask. R. 45; </w:t>
      </w:r>
      <w:r w:rsidR="008D2958" w:rsidRPr="00BA3F2F">
        <w:rPr>
          <w:i/>
        </w:rPr>
        <w:t>R. v. MacLean</w:t>
      </w:r>
      <w:r w:rsidR="008D2958" w:rsidRPr="00BA3F2F">
        <w:t xml:space="preserve"> (1996), 184 N.B.R. (2d) 26; </w:t>
      </w:r>
      <w:r w:rsidR="008D2958" w:rsidRPr="00BA3F2F">
        <w:rPr>
          <w:i/>
        </w:rPr>
        <w:t>R. v. Wu</w:t>
      </w:r>
      <w:r w:rsidR="008D2958" w:rsidRPr="00BA3F2F">
        <w:t>,</w:t>
      </w:r>
      <w:r w:rsidR="008D2958" w:rsidRPr="00BA3F2F">
        <w:rPr>
          <w:i/>
        </w:rPr>
        <w:t xml:space="preserve"> </w:t>
      </w:r>
      <w:r w:rsidR="008D2958" w:rsidRPr="00BA3F2F">
        <w:t xml:space="preserve">2003 SCC 73, [2003] 3 S.C.R. 530; </w:t>
      </w:r>
      <w:r w:rsidR="008D2958" w:rsidRPr="00BA3F2F">
        <w:rPr>
          <w:i/>
        </w:rPr>
        <w:t>Rizzo &amp; Rizzo Shoes Ltd. (Re)</w:t>
      </w:r>
      <w:r w:rsidR="008D2958" w:rsidRPr="00BA3F2F">
        <w:t>,</w:t>
      </w:r>
      <w:r w:rsidR="008D2958" w:rsidRPr="00BA3F2F">
        <w:rPr>
          <w:i/>
        </w:rPr>
        <w:t xml:space="preserve"> </w:t>
      </w:r>
      <w:r w:rsidR="008D2958" w:rsidRPr="00BA3F2F">
        <w:t xml:space="preserve">[1998] 1 S.C.R. 27; </w:t>
      </w:r>
      <w:r w:rsidR="008D2958" w:rsidRPr="00BA3F2F">
        <w:rPr>
          <w:i/>
        </w:rPr>
        <w:t>ATCO Gas and Pipelines Ltd. v. Alberta (Energy and Utilities Board)</w:t>
      </w:r>
      <w:r w:rsidR="008D2958" w:rsidRPr="00BA3F2F">
        <w:t xml:space="preserve">, 2006 SCC 4, [2006] 1 S.C.R. 140; </w:t>
      </w:r>
      <w:r w:rsidR="008D2958" w:rsidRPr="00BA3F2F">
        <w:rPr>
          <w:i/>
        </w:rPr>
        <w:t>Sun Indalex Finance, LLC v. United Steelworkers</w:t>
      </w:r>
      <w:r w:rsidR="008D2958" w:rsidRPr="00BA3F2F">
        <w:t xml:space="preserve">, 2013 SCC 6, [2013] 1 S.C.R. 271; </w:t>
      </w:r>
      <w:r w:rsidR="008D2958" w:rsidRPr="00BA3F2F">
        <w:rPr>
          <w:i/>
        </w:rPr>
        <w:t>R. v. Davidson</w:t>
      </w:r>
      <w:r w:rsidR="008D2958" w:rsidRPr="00BA3F2F">
        <w:t xml:space="preserve">, 2016 ONSC 7440; </w:t>
      </w:r>
      <w:r w:rsidR="008D2958" w:rsidRPr="00BA3F2F">
        <w:rPr>
          <w:i/>
        </w:rPr>
        <w:t>R. v. Alves</w:t>
      </w:r>
      <w:r w:rsidR="008D2958" w:rsidRPr="00BA3F2F">
        <w:t xml:space="preserve">, 2015 ONSC 4489; </w:t>
      </w:r>
      <w:r w:rsidR="008D2958" w:rsidRPr="00BA3F2F">
        <w:rPr>
          <w:i/>
        </w:rPr>
        <w:t>R. v. Borean</w:t>
      </w:r>
      <w:r w:rsidR="008D2958" w:rsidRPr="00BA3F2F">
        <w:t xml:space="preserve">, 2007 NBQB 335, 321 N.B.R. (2d) 309; </w:t>
      </w:r>
      <w:r w:rsidR="008D2958" w:rsidRPr="00BA3F2F">
        <w:rPr>
          <w:i/>
        </w:rPr>
        <w:t>R. v. Gagnon</w:t>
      </w:r>
      <w:r w:rsidR="008D2958" w:rsidRPr="00BA3F2F">
        <w:t xml:space="preserve"> (1993), 80 C.C.C. (3d) 508; </w:t>
      </w:r>
      <w:r w:rsidR="008D2958" w:rsidRPr="00BA3F2F">
        <w:rPr>
          <w:i/>
        </w:rPr>
        <w:t>R. v. Chaulk</w:t>
      </w:r>
      <w:r w:rsidR="008D2958" w:rsidRPr="00BA3F2F">
        <w:t xml:space="preserve">, [1990] 3 S.C.R. 1303; </w:t>
      </w:r>
      <w:r w:rsidR="008D2958" w:rsidRPr="00BA3F2F">
        <w:rPr>
          <w:i/>
        </w:rPr>
        <w:t>R. v. Oakes</w:t>
      </w:r>
      <w:r w:rsidR="008D2958" w:rsidRPr="00BA3F2F">
        <w:t xml:space="preserve">, [1986] 1 S.C.R. 103; </w:t>
      </w:r>
      <w:r w:rsidR="008D2958" w:rsidRPr="00BA3F2F">
        <w:rPr>
          <w:i/>
        </w:rPr>
        <w:t>R. v. Whyte</w:t>
      </w:r>
      <w:r w:rsidR="008D2958" w:rsidRPr="00BA3F2F">
        <w:t xml:space="preserve">, [1988] 2 S.C.R. 3; </w:t>
      </w:r>
      <w:r w:rsidR="008D2958" w:rsidRPr="00BA3F2F">
        <w:rPr>
          <w:i/>
        </w:rPr>
        <w:t>R. v. Hodgson</w:t>
      </w:r>
      <w:r w:rsidR="008D2958" w:rsidRPr="00BA3F2F">
        <w:t xml:space="preserve">, [1998] 2 S.C.R. 449; </w:t>
      </w:r>
      <w:r w:rsidR="008D2958" w:rsidRPr="00BA3F2F">
        <w:rPr>
          <w:i/>
        </w:rPr>
        <w:t>Greenshields v. The Queen</w:t>
      </w:r>
      <w:r w:rsidR="008D2958" w:rsidRPr="00BA3F2F">
        <w:t xml:space="preserve">, [1958] S.C.R. 216; </w:t>
      </w:r>
      <w:r w:rsidR="008D2958" w:rsidRPr="00BA3F2F">
        <w:rPr>
          <w:i/>
          <w:iCs/>
        </w:rPr>
        <w:t>R. v. G.D.B.</w:t>
      </w:r>
      <w:r w:rsidR="008D2958" w:rsidRPr="00BA3F2F">
        <w:t xml:space="preserve">, 2000 SCC 22, [2000] 1 S.C.R. 520; </w:t>
      </w:r>
      <w:r w:rsidR="008D2958" w:rsidRPr="00BA3F2F">
        <w:rPr>
          <w:i/>
        </w:rPr>
        <w:t>R. v. Jordan</w:t>
      </w:r>
      <w:r w:rsidR="008D2958" w:rsidRPr="00BA3F2F">
        <w:t xml:space="preserve">, 2016 SCC 27, [2016] 1 S.C.R. 631; </w:t>
      </w:r>
      <w:r w:rsidR="008D2958" w:rsidRPr="00BA3F2F">
        <w:rPr>
          <w:i/>
        </w:rPr>
        <w:t>R. v. Antic</w:t>
      </w:r>
      <w:r w:rsidR="008D2958" w:rsidRPr="00BA3F2F">
        <w:t xml:space="preserve">, 2017 SCC 27, [2017] 1 S.C.R. 509; </w:t>
      </w:r>
      <w:r w:rsidR="008D2958" w:rsidRPr="00BA3F2F">
        <w:rPr>
          <w:i/>
          <w:iCs/>
          <w:lang w:val="en-US"/>
        </w:rPr>
        <w:t>R. v. Mabior</w:t>
      </w:r>
      <w:r w:rsidR="008D2958" w:rsidRPr="00BA3F2F">
        <w:rPr>
          <w:lang w:val="en-US"/>
        </w:rPr>
        <w:t xml:space="preserve">, 2012 SCC 47, [2012] 2 S.C.R. 584; </w:t>
      </w:r>
      <w:r w:rsidR="008D2958" w:rsidRPr="00BA3F2F">
        <w:rPr>
          <w:i/>
          <w:iCs/>
          <w:lang w:val="en-US"/>
        </w:rPr>
        <w:t>R. v. Levkovic</w:t>
      </w:r>
      <w:r w:rsidR="008D2958" w:rsidRPr="00BA3F2F">
        <w:rPr>
          <w:lang w:val="en-US"/>
        </w:rPr>
        <w:t xml:space="preserve">, 2013 SCC 25, [2013] 2 S.C.R. 204; </w:t>
      </w:r>
      <w:r w:rsidR="008D2958" w:rsidRPr="00BA3F2F">
        <w:rPr>
          <w:i/>
        </w:rPr>
        <w:t>R. v. Taylor</w:t>
      </w:r>
      <w:r w:rsidR="008D2958" w:rsidRPr="00BA3F2F">
        <w:t xml:space="preserve">, 2014 SCC 50, [2014] 2 S.C.R. 495; </w:t>
      </w:r>
      <w:r w:rsidR="008D2958" w:rsidRPr="00BA3F2F">
        <w:rPr>
          <w:i/>
        </w:rPr>
        <w:t>R. v. Keating</w:t>
      </w:r>
      <w:r w:rsidR="008D2958" w:rsidRPr="00BA3F2F">
        <w:t xml:space="preserve"> (1997), 159 N.S.R. (2d) 357; </w:t>
      </w:r>
      <w:r w:rsidR="008D2958" w:rsidRPr="00BA3F2F">
        <w:rPr>
          <w:i/>
        </w:rPr>
        <w:t>R. v. Hobeika</w:t>
      </w:r>
      <w:r w:rsidR="008D2958" w:rsidRPr="00BA3F2F">
        <w:t xml:space="preserve">, 2014 ONSC 5453; </w:t>
      </w:r>
      <w:r w:rsidR="008D2958" w:rsidRPr="00BA3F2F">
        <w:rPr>
          <w:i/>
        </w:rPr>
        <w:t>R. v. Kizir</w:t>
      </w:r>
      <w:r w:rsidR="008D2958" w:rsidRPr="00BA3F2F">
        <w:t>, 2014 ONSC 1676, 304 C.R.R. (2d) 287;</w:t>
      </w:r>
      <w:r w:rsidR="008D2958" w:rsidRPr="00BA3F2F">
        <w:rPr>
          <w:lang w:val="en-US"/>
        </w:rPr>
        <w:t xml:space="preserve"> </w:t>
      </w:r>
      <w:r w:rsidR="008D2958" w:rsidRPr="00BA3F2F">
        <w:rPr>
          <w:i/>
        </w:rPr>
        <w:t>R. v. Ro</w:t>
      </w:r>
      <w:r w:rsidR="008D2958" w:rsidRPr="00BA3F2F">
        <w:t>, [2006] O.J. No. 3347</w:t>
      </w:r>
      <w:r w:rsidR="00846B56">
        <w:t xml:space="preserve"> (QL)</w:t>
      </w:r>
      <w:r w:rsidR="008D2958" w:rsidRPr="00BA3F2F">
        <w:t>.</w:t>
      </w:r>
    </w:p>
    <w:p w:rsidR="00723749" w:rsidRPr="00BA3F2F" w:rsidRDefault="00723749" w:rsidP="00941516">
      <w:pPr>
        <w:pStyle w:val="SCCNormalDoubleSpacing"/>
        <w:spacing w:after="720" w:line="240" w:lineRule="auto"/>
      </w:pPr>
      <w:r w:rsidRPr="00BA3F2F">
        <w:t>By Moldaver J.</w:t>
      </w:r>
      <w:r w:rsidR="00E373CB" w:rsidRPr="00BA3F2F">
        <w:t xml:space="preserve"> (dissenting</w:t>
      </w:r>
      <w:r w:rsidR="006D3CE4" w:rsidRPr="00BA3F2F">
        <w:t xml:space="preserve"> in part</w:t>
      </w:r>
      <w:r w:rsidR="00E373CB" w:rsidRPr="00BA3F2F">
        <w:t>)</w:t>
      </w:r>
    </w:p>
    <w:p w:rsidR="008D2958" w:rsidRPr="00BA3F2F" w:rsidRDefault="00723749" w:rsidP="008D2958">
      <w:pPr>
        <w:pStyle w:val="SCCNormalDoubleSpacing"/>
        <w:spacing w:after="480"/>
      </w:pPr>
      <w:r w:rsidRPr="00BA3F2F">
        <w:tab/>
      </w:r>
      <w:r w:rsidR="008D2958" w:rsidRPr="00BA3F2F">
        <w:rPr>
          <w:i/>
        </w:rPr>
        <w:t>R. v. Lavigne</w:t>
      </w:r>
      <w:r w:rsidR="008D2958" w:rsidRPr="00BA3F2F">
        <w:t xml:space="preserve">, 2006 SCC 10, [2006] 1 S.C.R. 392; </w:t>
      </w:r>
      <w:r w:rsidR="008D2958" w:rsidRPr="00BA3F2F">
        <w:rPr>
          <w:i/>
        </w:rPr>
        <w:t>Quebec (Attorney General) v. Laroche</w:t>
      </w:r>
      <w:r w:rsidR="008D2958" w:rsidRPr="00BA3F2F">
        <w:t xml:space="preserve">, 2002 SCC 72, [2002] 3 S.C.R. 708; </w:t>
      </w:r>
      <w:r w:rsidR="008D2958" w:rsidRPr="00BA3F2F">
        <w:rPr>
          <w:i/>
        </w:rPr>
        <w:t xml:space="preserve">R. v. Rowbotham </w:t>
      </w:r>
      <w:r w:rsidR="008D2958" w:rsidRPr="00BA3F2F">
        <w:t xml:space="preserve">(1988), 41 C.C.C. (3d) 1; </w:t>
      </w:r>
      <w:r w:rsidR="008D2958" w:rsidRPr="00BA3F2F">
        <w:rPr>
          <w:i/>
        </w:rPr>
        <w:t>Bell ExpressVu Limited Partnership v. Rex</w:t>
      </w:r>
      <w:r w:rsidR="008D2958" w:rsidRPr="00BA3F2F">
        <w:t xml:space="preserve">, 2002 SCC 42, [2002] 2 S.C.R. 559; </w:t>
      </w:r>
      <w:r w:rsidR="008D2958" w:rsidRPr="00BA3F2F">
        <w:rPr>
          <w:i/>
        </w:rPr>
        <w:t>United States v. Monsanto</w:t>
      </w:r>
      <w:r w:rsidR="008D2958" w:rsidRPr="00BA3F2F">
        <w:t xml:space="preserve">, 491 U.S. 600 (1989); </w:t>
      </w:r>
      <w:r w:rsidR="008D2958" w:rsidRPr="00BA3F2F">
        <w:rPr>
          <w:i/>
          <w:lang w:val="en-US"/>
        </w:rPr>
        <w:t>R. v. Dieckmann</w:t>
      </w:r>
      <w:r w:rsidR="008D2958" w:rsidRPr="00BA3F2F">
        <w:rPr>
          <w:lang w:val="en-US"/>
        </w:rPr>
        <w:t xml:space="preserve">, 2017 ONCA 575, 355 C.C.C. (3d) 216; </w:t>
      </w:r>
      <w:r w:rsidR="008D2958" w:rsidRPr="00BA3F2F">
        <w:rPr>
          <w:i/>
          <w:lang w:val="en-US"/>
        </w:rPr>
        <w:t>R. v. Angelis</w:t>
      </w:r>
      <w:r w:rsidR="008D2958" w:rsidRPr="00BA3F2F">
        <w:rPr>
          <w:lang w:val="en-US"/>
        </w:rPr>
        <w:t xml:space="preserve">, 2016 ONCA 675, 133 O.R. (3d) 575; </w:t>
      </w:r>
      <w:r w:rsidR="008D2958" w:rsidRPr="00BA3F2F">
        <w:rPr>
          <w:i/>
        </w:rPr>
        <w:t>R. v. Khatchatourov</w:t>
      </w:r>
      <w:r w:rsidR="008D2958" w:rsidRPr="00BA3F2F">
        <w:t xml:space="preserve">, 2014 ONCA 464, 313 C.C.C. (3d) 94; </w:t>
      </w:r>
      <w:r w:rsidR="008D2958" w:rsidRPr="00BA3F2F">
        <w:rPr>
          <w:i/>
        </w:rPr>
        <w:t>R. v. Bourque</w:t>
      </w:r>
      <w:r w:rsidR="008D2958" w:rsidRPr="00BA3F2F">
        <w:t xml:space="preserve"> (2005), 193 </w:t>
      </w:r>
      <w:r w:rsidR="008D2958" w:rsidRPr="00BA3F2F">
        <w:lastRenderedPageBreak/>
        <w:t xml:space="preserve">C.C.C. (3d) 485; </w:t>
      </w:r>
      <w:r w:rsidR="008D2958" w:rsidRPr="00BA3F2F">
        <w:rPr>
          <w:i/>
        </w:rPr>
        <w:t>R. v. Wu</w:t>
      </w:r>
      <w:r w:rsidR="008D2958" w:rsidRPr="00BA3F2F">
        <w:t xml:space="preserve">, 2003 SCC 73, [2003] 3 S.C.R. 530; </w:t>
      </w:r>
      <w:r w:rsidR="008D2958" w:rsidRPr="00BA3F2F">
        <w:rPr>
          <w:i/>
        </w:rPr>
        <w:t>R. v. Appleby</w:t>
      </w:r>
      <w:r w:rsidR="008D2958" w:rsidRPr="00BA3F2F">
        <w:t xml:space="preserve">, 2009 NLCA 6, 282 Nfld. &amp; P.E.I.R. 134; </w:t>
      </w:r>
      <w:r w:rsidR="008D2958" w:rsidRPr="00BA3F2F">
        <w:rPr>
          <w:i/>
        </w:rPr>
        <w:t>R. v. Dwyer</w:t>
      </w:r>
      <w:r w:rsidR="008D2958" w:rsidRPr="00BA3F2F">
        <w:t xml:space="preserve">, 2013 ONCA 34, 296 C.C.C. (3d) 193; </w:t>
      </w:r>
      <w:r w:rsidR="008D2958" w:rsidRPr="00BA3F2F">
        <w:rPr>
          <w:i/>
        </w:rPr>
        <w:t>R. v. Wilson</w:t>
      </w:r>
      <w:r w:rsidR="008D2958" w:rsidRPr="00BA3F2F">
        <w:t xml:space="preserve"> (1993), 15 O.R. (3d) 645; </w:t>
      </w:r>
      <w:r w:rsidR="008D2958" w:rsidRPr="00BA3F2F">
        <w:rPr>
          <w:i/>
        </w:rPr>
        <w:t>R. v. MacLean</w:t>
      </w:r>
      <w:r w:rsidR="008D2958" w:rsidRPr="00BA3F2F">
        <w:t xml:space="preserve"> (1996), 184 N.B.R. (2d) 26; </w:t>
      </w:r>
      <w:r w:rsidR="008D2958" w:rsidRPr="00BA3F2F">
        <w:rPr>
          <w:i/>
        </w:rPr>
        <w:t>R. v. Smith</w:t>
      </w:r>
      <w:r w:rsidR="008D2958" w:rsidRPr="00BA3F2F">
        <w:t xml:space="preserve">, 2008 SKCA 20, 307 Sask. R. 45; </w:t>
      </w:r>
      <w:r w:rsidR="008D2958" w:rsidRPr="00BA3F2F">
        <w:rPr>
          <w:i/>
        </w:rPr>
        <w:t>R. v. Sinclair</w:t>
      </w:r>
      <w:r w:rsidR="008D2958" w:rsidRPr="00BA3F2F">
        <w:t xml:space="preserve">, 2010 SCC 35, [2010] 2 S.C.R. 310; </w:t>
      </w:r>
      <w:r w:rsidR="008D2958" w:rsidRPr="00BA3F2F">
        <w:rPr>
          <w:i/>
        </w:rPr>
        <w:t>R. v. Manninen</w:t>
      </w:r>
      <w:r w:rsidR="008D2958" w:rsidRPr="00BA3F2F">
        <w:t xml:space="preserve">, [1987] 1 S.C.R. 1233; </w:t>
      </w:r>
      <w:r w:rsidR="008D2958" w:rsidRPr="00BA3F2F">
        <w:rPr>
          <w:i/>
        </w:rPr>
        <w:t>British Columbia (Attorney General) v. Christie</w:t>
      </w:r>
      <w:r w:rsidR="008D2958" w:rsidRPr="00BA3F2F">
        <w:t xml:space="preserve">, 2007 SCC 21, [2007] 1 S.C.R. 873; </w:t>
      </w:r>
      <w:r w:rsidR="008D2958" w:rsidRPr="00BA3F2F">
        <w:rPr>
          <w:i/>
        </w:rPr>
        <w:t>R. v. Willier</w:t>
      </w:r>
      <w:r w:rsidR="008D2958" w:rsidRPr="00BA3F2F">
        <w:t xml:space="preserve">, 2010 SCC 37, [2010] 2 S.C.R. 429; </w:t>
      </w:r>
      <w:r w:rsidR="008D2958" w:rsidRPr="00BA3F2F">
        <w:rPr>
          <w:i/>
        </w:rPr>
        <w:t>R. v. Smith</w:t>
      </w:r>
      <w:r w:rsidR="008D2958" w:rsidRPr="00BA3F2F">
        <w:t xml:space="preserve">, 2004 SCC 14, [2004] 1 S.C.R. 385; </w:t>
      </w:r>
      <w:r w:rsidR="008D2958" w:rsidRPr="00BA3F2F">
        <w:rPr>
          <w:i/>
        </w:rPr>
        <w:t>R. v. McIntosh</w:t>
      </w:r>
      <w:r w:rsidR="008D2958" w:rsidRPr="00BA3F2F">
        <w:t xml:space="preserve">, [1995] 1 S.C.R. 686; </w:t>
      </w:r>
      <w:r w:rsidR="008D2958" w:rsidRPr="00BA3F2F">
        <w:rPr>
          <w:i/>
        </w:rPr>
        <w:t>R. v. MacDougall</w:t>
      </w:r>
      <w:r w:rsidR="008D2958" w:rsidRPr="00BA3F2F">
        <w:t xml:space="preserve">, [1982] 2 S.C.R. 605; </w:t>
      </w:r>
      <w:r w:rsidR="008D2958" w:rsidRPr="00BA3F2F">
        <w:rPr>
          <w:i/>
        </w:rPr>
        <w:t>R. v. Nova Scotia Pharmaceutical Society</w:t>
      </w:r>
      <w:r w:rsidR="008D2958" w:rsidRPr="00BA3F2F">
        <w:t xml:space="preserve">, [1992] 2 S.C.R. 606; </w:t>
      </w:r>
      <w:r w:rsidR="008D2958" w:rsidRPr="00BA3F2F">
        <w:rPr>
          <w:i/>
          <w:iCs/>
        </w:rPr>
        <w:t>R. v. G.D.B.</w:t>
      </w:r>
      <w:r w:rsidR="008D2958" w:rsidRPr="00BA3F2F">
        <w:t>, 2000 SCC 22, [2000] 1 S.C.R. 520.</w:t>
      </w:r>
    </w:p>
    <w:p w:rsidR="003B215F" w:rsidRPr="00BA3F2F" w:rsidRDefault="002E6705" w:rsidP="008D2958">
      <w:pPr>
        <w:pStyle w:val="SCCNormalDoubleSpacing"/>
        <w:spacing w:after="480"/>
        <w:rPr>
          <w:b/>
        </w:rPr>
      </w:pPr>
      <w:r w:rsidRPr="00BA3F2F">
        <w:rPr>
          <w:b/>
        </w:rPr>
        <w:t>Statutes and Regulations Cite</w:t>
      </w:r>
      <w:r w:rsidR="00A41805" w:rsidRPr="00BA3F2F">
        <w:rPr>
          <w:b/>
        </w:rPr>
        <w:t>d</w:t>
      </w:r>
    </w:p>
    <w:p w:rsidR="004F6B7C" w:rsidRPr="00BA3F2F" w:rsidRDefault="004F6B7C" w:rsidP="00FC3631">
      <w:pPr>
        <w:pStyle w:val="SCCNormalDoubleSpacing"/>
        <w:spacing w:after="240" w:line="240" w:lineRule="auto"/>
        <w:ind w:left="547" w:hanging="547"/>
      </w:pPr>
      <w:r w:rsidRPr="00BA3F2F">
        <w:rPr>
          <w:i/>
        </w:rPr>
        <w:t>Act for enabling Persons indicted of Felony to make their Defence by Counsel or Attorney</w:t>
      </w:r>
      <w:r w:rsidRPr="00BA3F2F">
        <w:t xml:space="preserve"> (U.K.), 1836, 6 &amp; 7 Will</w:t>
      </w:r>
      <w:r w:rsidR="00722546" w:rsidRPr="00BA3F2F">
        <w:t>. 4, c. </w:t>
      </w:r>
      <w:r w:rsidR="00FC3631" w:rsidRPr="00BA3F2F">
        <w:t>114, s. </w:t>
      </w:r>
      <w:r w:rsidRPr="00BA3F2F">
        <w:t>1.</w:t>
      </w:r>
    </w:p>
    <w:p w:rsidR="004F6B7C" w:rsidRPr="00BA3F2F" w:rsidRDefault="004F6B7C" w:rsidP="00FC3631">
      <w:pPr>
        <w:pStyle w:val="SCCNormalDoubleSpacing"/>
        <w:spacing w:after="240" w:line="240" w:lineRule="auto"/>
        <w:ind w:left="547" w:hanging="547"/>
        <w:rPr>
          <w:szCs w:val="24"/>
        </w:rPr>
      </w:pPr>
      <w:r w:rsidRPr="00BA3F2F">
        <w:rPr>
          <w:i/>
        </w:rPr>
        <w:t>Canadian</w:t>
      </w:r>
      <w:r w:rsidRPr="00BA3F2F">
        <w:rPr>
          <w:i/>
          <w:szCs w:val="24"/>
        </w:rPr>
        <w:t xml:space="preserve"> Charter of Rights and Freedoms</w:t>
      </w:r>
      <w:r w:rsidRPr="00BA3F2F">
        <w:rPr>
          <w:szCs w:val="24"/>
        </w:rPr>
        <w:t xml:space="preserve">, </w:t>
      </w:r>
      <w:r w:rsidR="00060B2F" w:rsidRPr="00BA3F2F">
        <w:rPr>
          <w:szCs w:val="24"/>
        </w:rPr>
        <w:t>ss. </w:t>
      </w:r>
      <w:r w:rsidRPr="00BA3F2F">
        <w:rPr>
          <w:szCs w:val="24"/>
        </w:rPr>
        <w:t>7, 10(</w:t>
      </w:r>
      <w:r w:rsidRPr="00BA3F2F">
        <w:rPr>
          <w:i/>
          <w:szCs w:val="24"/>
        </w:rPr>
        <w:t>b</w:t>
      </w:r>
      <w:r w:rsidRPr="00BA3F2F">
        <w:rPr>
          <w:szCs w:val="24"/>
        </w:rPr>
        <w:t>), 11(</w:t>
      </w:r>
      <w:r w:rsidRPr="00BA3F2F">
        <w:rPr>
          <w:i/>
          <w:szCs w:val="24"/>
        </w:rPr>
        <w:t>d</w:t>
      </w:r>
      <w:r w:rsidRPr="00BA3F2F">
        <w:rPr>
          <w:szCs w:val="24"/>
        </w:rPr>
        <w:t>), 24(1).</w:t>
      </w:r>
    </w:p>
    <w:p w:rsidR="004F6B7C" w:rsidRPr="00BA3F2F" w:rsidRDefault="004F6B7C" w:rsidP="00FC3631">
      <w:pPr>
        <w:pStyle w:val="SCCNormalDoubleSpacing"/>
        <w:spacing w:after="240" w:line="240" w:lineRule="auto"/>
        <w:ind w:left="547" w:hanging="547"/>
        <w:rPr>
          <w:lang w:val="en-US"/>
        </w:rPr>
      </w:pPr>
      <w:r w:rsidRPr="00BA3F2F">
        <w:rPr>
          <w:i/>
        </w:rPr>
        <w:t>Controlled Drugs and Substances Act</w:t>
      </w:r>
      <w:r w:rsidRPr="00BA3F2F">
        <w:t>, S.C. 1996, c. 19, s. 2.</w:t>
      </w:r>
    </w:p>
    <w:p w:rsidR="004F6B7C" w:rsidRPr="00BA3F2F" w:rsidRDefault="004F6B7C" w:rsidP="00FC3631">
      <w:pPr>
        <w:pStyle w:val="SCCNormalDoubleSpacing"/>
        <w:spacing w:after="720" w:line="240" w:lineRule="auto"/>
        <w:ind w:left="547" w:hanging="547"/>
        <w:rPr>
          <w:lang w:val="en-US"/>
        </w:rPr>
      </w:pPr>
      <w:r w:rsidRPr="00BA3F2F">
        <w:rPr>
          <w:i/>
          <w:lang w:val="en-US"/>
        </w:rPr>
        <w:t>Criminal Code</w:t>
      </w:r>
      <w:r w:rsidRPr="00BA3F2F">
        <w:rPr>
          <w:lang w:val="en-US"/>
        </w:rPr>
        <w:t>, R.S.C. 1985, c. C</w:t>
      </w:r>
      <w:r w:rsidR="00060B2F" w:rsidRPr="00BA3F2F">
        <w:rPr>
          <w:lang w:val="en-US"/>
        </w:rPr>
        <w:noBreakHyphen/>
      </w:r>
      <w:r w:rsidRPr="00BA3F2F">
        <w:rPr>
          <w:lang w:val="en-US"/>
        </w:rPr>
        <w:t xml:space="preserve">46, </w:t>
      </w:r>
      <w:r w:rsidR="00060B2F" w:rsidRPr="00BA3F2F">
        <w:rPr>
          <w:lang w:val="en-US"/>
        </w:rPr>
        <w:t>ss. </w:t>
      </w:r>
      <w:r w:rsidRPr="00BA3F2F">
        <w:rPr>
          <w:lang w:val="en-US"/>
        </w:rPr>
        <w:t>2, 354</w:t>
      </w:r>
      <w:r w:rsidR="006E3DCF" w:rsidRPr="00BA3F2F">
        <w:rPr>
          <w:lang w:val="en-US"/>
        </w:rPr>
        <w:t>(1)</w:t>
      </w:r>
      <w:r w:rsidRPr="00BA3F2F">
        <w:rPr>
          <w:lang w:val="en-US"/>
        </w:rPr>
        <w:t xml:space="preserve">, Part XII.2 [ad. </w:t>
      </w:r>
      <w:r w:rsidR="00060B2F" w:rsidRPr="00BA3F2F">
        <w:t>c. </w:t>
      </w:r>
      <w:r w:rsidRPr="00BA3F2F">
        <w:t>42</w:t>
      </w:r>
      <w:r w:rsidRPr="00BA3F2F">
        <w:rPr>
          <w:i/>
        </w:rPr>
        <w:t xml:space="preserve"> </w:t>
      </w:r>
      <w:r w:rsidRPr="00BA3F2F">
        <w:t>(4th Supp.)</w:t>
      </w:r>
      <w:r w:rsidR="00060B2F" w:rsidRPr="00BA3F2F">
        <w:t>, s. </w:t>
      </w:r>
      <w:r w:rsidRPr="00BA3F2F">
        <w:t>2</w:t>
      </w:r>
      <w:r w:rsidRPr="00BA3F2F">
        <w:rPr>
          <w:lang w:val="en-US"/>
        </w:rPr>
        <w:t xml:space="preserve">], 462.3(1), 462.32, 462.33, 462.34, </w:t>
      </w:r>
      <w:r w:rsidR="00890EBC" w:rsidRPr="00BA3F2F">
        <w:rPr>
          <w:lang w:val="en-US"/>
        </w:rPr>
        <w:t>462.37(1), (2), (3), (4)</w:t>
      </w:r>
      <w:r w:rsidRPr="00BA3F2F">
        <w:rPr>
          <w:lang w:val="en-US"/>
        </w:rPr>
        <w:t>, 730.</w:t>
      </w:r>
    </w:p>
    <w:p w:rsidR="002E6705" w:rsidRPr="00BA3F2F" w:rsidRDefault="002E6705" w:rsidP="00BA0848">
      <w:pPr>
        <w:pStyle w:val="SCCNormalDoubleSpacing"/>
        <w:spacing w:after="720" w:line="240" w:lineRule="auto"/>
        <w:rPr>
          <w:b/>
        </w:rPr>
      </w:pPr>
      <w:r w:rsidRPr="00BA3F2F">
        <w:rPr>
          <w:b/>
        </w:rPr>
        <w:t>Authors Cited</w:t>
      </w:r>
    </w:p>
    <w:p w:rsidR="004845F0" w:rsidRPr="00BA3F2F" w:rsidRDefault="004845F0" w:rsidP="00FC3631">
      <w:pPr>
        <w:pStyle w:val="SCCNormalDoubleSpacing"/>
        <w:spacing w:after="240" w:line="240" w:lineRule="auto"/>
        <w:ind w:left="547" w:hanging="547"/>
      </w:pPr>
      <w:r w:rsidRPr="00BA3F2F">
        <w:t xml:space="preserve">Canada. House of Commons. </w:t>
      </w:r>
      <w:r w:rsidRPr="00BA3F2F">
        <w:rPr>
          <w:i/>
          <w:iCs/>
        </w:rPr>
        <w:t>Debates</w:t>
      </w:r>
      <w:r w:rsidRPr="00BA3F2F">
        <w:t xml:space="preserve">, </w:t>
      </w:r>
      <w:r w:rsidR="00060B2F" w:rsidRPr="00BA3F2F">
        <w:t>vol. </w:t>
      </w:r>
      <w:r w:rsidRPr="00BA3F2F">
        <w:t xml:space="preserve">14, 2nd Sess., 33rd Parl., July 7, 1988, </w:t>
      </w:r>
      <w:r w:rsidR="00060B2F" w:rsidRPr="00BA3F2F">
        <w:t>pp. </w:t>
      </w:r>
      <w:r w:rsidRPr="00BA3F2F">
        <w:t>17258</w:t>
      </w:r>
      <w:r w:rsidR="00060B2F" w:rsidRPr="00BA3F2F">
        <w:noBreakHyphen/>
      </w:r>
      <w:r w:rsidRPr="00BA3F2F">
        <w:t>59.</w:t>
      </w:r>
    </w:p>
    <w:p w:rsidR="004845F0" w:rsidRPr="00BA3F2F" w:rsidRDefault="004845F0" w:rsidP="00FC3631">
      <w:pPr>
        <w:pStyle w:val="SCCNormalDoubleSpacing"/>
        <w:spacing w:after="240" w:line="240" w:lineRule="auto"/>
        <w:ind w:left="547" w:hanging="547"/>
      </w:pPr>
      <w:r w:rsidRPr="00BA3F2F">
        <w:t xml:space="preserve">Canada. House of Commons. </w:t>
      </w:r>
      <w:r w:rsidRPr="00BA3F2F">
        <w:rPr>
          <w:i/>
        </w:rPr>
        <w:t>Minutes of Proceedings and Evidence of the Legislative Committee on Bill C</w:t>
      </w:r>
      <w:r w:rsidR="00060B2F" w:rsidRPr="00BA3F2F">
        <w:rPr>
          <w:i/>
        </w:rPr>
        <w:noBreakHyphen/>
      </w:r>
      <w:r w:rsidRPr="00BA3F2F">
        <w:rPr>
          <w:i/>
        </w:rPr>
        <w:t>61: An Act to amend the Criminal Code, the Food and Drugs Act and the Narcotic Act</w:t>
      </w:r>
      <w:r w:rsidRPr="00BA3F2F">
        <w:t xml:space="preserve">, </w:t>
      </w:r>
      <w:r w:rsidR="00060B2F" w:rsidRPr="00BA3F2F">
        <w:t>No. </w:t>
      </w:r>
      <w:r w:rsidRPr="00BA3F2F">
        <w:t xml:space="preserve">1, 2nd </w:t>
      </w:r>
      <w:r w:rsidR="00060B2F" w:rsidRPr="00BA3F2F">
        <w:t>Sess., 33rd Parl., November 5, 1987, p. </w:t>
      </w:r>
      <w:r w:rsidRPr="00BA3F2F">
        <w:t>1:8.</w:t>
      </w:r>
    </w:p>
    <w:p w:rsidR="004845F0" w:rsidRPr="00BA3F2F" w:rsidRDefault="004845F0" w:rsidP="00FC3631">
      <w:pPr>
        <w:pStyle w:val="SCCNormalDoubleSpacing"/>
        <w:spacing w:after="240" w:line="240" w:lineRule="auto"/>
        <w:ind w:left="547" w:hanging="547"/>
      </w:pPr>
      <w:r w:rsidRPr="00BA3F2F">
        <w:lastRenderedPageBreak/>
        <w:t xml:space="preserve">Canada. House of Commons. </w:t>
      </w:r>
      <w:r w:rsidRPr="00BA3F2F">
        <w:rPr>
          <w:i/>
        </w:rPr>
        <w:t>Minutes of Proceedings and Evidence of the Legislative Committee on Bill C</w:t>
      </w:r>
      <w:r w:rsidR="00060B2F" w:rsidRPr="00BA3F2F">
        <w:rPr>
          <w:i/>
        </w:rPr>
        <w:noBreakHyphen/>
      </w:r>
      <w:r w:rsidRPr="00BA3F2F">
        <w:rPr>
          <w:i/>
        </w:rPr>
        <w:t>61: An Act to amend the Criminal Code, the Food and Drugs Act and the Narcotic Act</w:t>
      </w:r>
      <w:r w:rsidR="00060B2F" w:rsidRPr="00BA3F2F">
        <w:t>, No. </w:t>
      </w:r>
      <w:r w:rsidR="00FF7376" w:rsidRPr="00BA3F2F">
        <w:t>5, 2nd Sess., 33rd Parl., May </w:t>
      </w:r>
      <w:r w:rsidRPr="00BA3F2F">
        <w:t xml:space="preserve">10, 1988, </w:t>
      </w:r>
      <w:r w:rsidR="00060B2F" w:rsidRPr="00BA3F2F">
        <w:t>pp. </w:t>
      </w:r>
      <w:r w:rsidRPr="00BA3F2F">
        <w:t>5:5 and 5:9.</w:t>
      </w:r>
    </w:p>
    <w:p w:rsidR="004845F0" w:rsidRPr="00BA3F2F" w:rsidRDefault="004845F0" w:rsidP="00FC3631">
      <w:pPr>
        <w:pStyle w:val="SCCNormalDoubleSpacing"/>
        <w:spacing w:after="240" w:line="240" w:lineRule="auto"/>
        <w:ind w:left="547" w:hanging="547"/>
      </w:pPr>
      <w:r w:rsidRPr="00BA3F2F">
        <w:t xml:space="preserve">Canada. House of Commons. </w:t>
      </w:r>
      <w:r w:rsidRPr="00BA3F2F">
        <w:rPr>
          <w:i/>
        </w:rPr>
        <w:t>Minutes of Proceedings and Evidence of the Legislative Committee on Bill C</w:t>
      </w:r>
      <w:r w:rsidR="00060B2F" w:rsidRPr="00BA3F2F">
        <w:rPr>
          <w:i/>
        </w:rPr>
        <w:noBreakHyphen/>
      </w:r>
      <w:r w:rsidRPr="00BA3F2F">
        <w:rPr>
          <w:i/>
        </w:rPr>
        <w:t>61: An Act to amend the Criminal Code, the Food and Drugs Act and the Narcotic Act</w:t>
      </w:r>
      <w:r w:rsidRPr="00BA3F2F">
        <w:t xml:space="preserve">, </w:t>
      </w:r>
      <w:r w:rsidR="00060B2F" w:rsidRPr="00BA3F2F">
        <w:t>No. </w:t>
      </w:r>
      <w:r w:rsidR="00722546" w:rsidRPr="00BA3F2F">
        <w:t>1, 2nd Sess., 33rd Parl., June </w:t>
      </w:r>
      <w:r w:rsidRPr="00BA3F2F">
        <w:t>1</w:t>
      </w:r>
      <w:r w:rsidR="00060B2F" w:rsidRPr="00BA3F2F">
        <w:t>, 1988, pp. </w:t>
      </w:r>
      <w:r w:rsidRPr="00BA3F2F">
        <w:t>9:22</w:t>
      </w:r>
      <w:r w:rsidR="00060B2F" w:rsidRPr="00BA3F2F">
        <w:noBreakHyphen/>
      </w:r>
      <w:r w:rsidRPr="00BA3F2F">
        <w:t>9:24.</w:t>
      </w:r>
    </w:p>
    <w:p w:rsidR="004845F0" w:rsidRPr="00BA3F2F" w:rsidRDefault="004845F0" w:rsidP="00FC3631">
      <w:pPr>
        <w:pStyle w:val="SCCNormalDoubleSpacing"/>
        <w:spacing w:after="240" w:line="240" w:lineRule="auto"/>
        <w:ind w:left="547" w:hanging="547"/>
      </w:pPr>
      <w:r w:rsidRPr="00BA3F2F">
        <w:t xml:space="preserve">Canada. House of Commons. </w:t>
      </w:r>
      <w:r w:rsidRPr="00BA3F2F">
        <w:rPr>
          <w:i/>
        </w:rPr>
        <w:t>Minutes of Proceedings and Evidence of the Legislative Committee on Bill C</w:t>
      </w:r>
      <w:r w:rsidR="00060B2F" w:rsidRPr="00BA3F2F">
        <w:rPr>
          <w:i/>
        </w:rPr>
        <w:noBreakHyphen/>
      </w:r>
      <w:r w:rsidRPr="00BA3F2F">
        <w:rPr>
          <w:i/>
        </w:rPr>
        <w:t>61: An Act to amend the Criminal Code, the Food and Drugs Act and the Narcotic Act</w:t>
      </w:r>
      <w:r w:rsidRPr="00BA3F2F">
        <w:t xml:space="preserve">, </w:t>
      </w:r>
      <w:r w:rsidR="00060B2F" w:rsidRPr="00BA3F2F">
        <w:t>No. </w:t>
      </w:r>
      <w:r w:rsidRPr="00BA3F2F">
        <w:t>1, 2nd Sess.</w:t>
      </w:r>
      <w:r w:rsidR="00722546" w:rsidRPr="00BA3F2F">
        <w:t>, 33rd Parl., June </w:t>
      </w:r>
      <w:r w:rsidR="00060B2F" w:rsidRPr="00BA3F2F">
        <w:t>2, 1988, pp. </w:t>
      </w:r>
      <w:r w:rsidRPr="00BA3F2F">
        <w:t>10:17</w:t>
      </w:r>
      <w:r w:rsidR="00060B2F" w:rsidRPr="00BA3F2F">
        <w:noBreakHyphen/>
      </w:r>
      <w:r w:rsidRPr="00BA3F2F">
        <w:t>10:18.</w:t>
      </w:r>
    </w:p>
    <w:p w:rsidR="004845F0" w:rsidRPr="00BA3F2F" w:rsidRDefault="00060B2F" w:rsidP="00FC3631">
      <w:pPr>
        <w:pStyle w:val="SCCNormalDoubleSpacing"/>
        <w:spacing w:after="240" w:line="240" w:lineRule="auto"/>
        <w:ind w:left="547" w:hanging="547"/>
      </w:pPr>
      <w:r w:rsidRPr="00BA3F2F">
        <w:t>Driedger, Elmer </w:t>
      </w:r>
      <w:r w:rsidR="004845F0" w:rsidRPr="00BA3F2F">
        <w:t xml:space="preserve">A. </w:t>
      </w:r>
      <w:r w:rsidR="004845F0" w:rsidRPr="00BA3F2F">
        <w:rPr>
          <w:i/>
        </w:rPr>
        <w:t>Construction of Statutes</w:t>
      </w:r>
      <w:r w:rsidR="004845F0" w:rsidRPr="00BA3F2F">
        <w:t>, 2nd ed. Toronto: Butterworths, 1983.</w:t>
      </w:r>
    </w:p>
    <w:p w:rsidR="004845F0" w:rsidRPr="00BA3F2F" w:rsidRDefault="00060B2F" w:rsidP="00FC3631">
      <w:pPr>
        <w:pStyle w:val="SCCNormalDoubleSpacing"/>
        <w:spacing w:after="240" w:line="240" w:lineRule="auto"/>
        <w:ind w:left="547" w:hanging="547"/>
      </w:pPr>
      <w:r w:rsidRPr="00BA3F2F">
        <w:t>German, Peter </w:t>
      </w:r>
      <w:r w:rsidR="004845F0" w:rsidRPr="00BA3F2F">
        <w:t xml:space="preserve">M. </w:t>
      </w:r>
      <w:r w:rsidR="004845F0" w:rsidRPr="00BA3F2F">
        <w:rPr>
          <w:i/>
        </w:rPr>
        <w:t>Proceeds of Crime and Money Laundering</w:t>
      </w:r>
      <w:r w:rsidR="004845F0" w:rsidRPr="00BA3F2F">
        <w:t>,</w:t>
      </w:r>
      <w:r w:rsidR="00FC3631" w:rsidRPr="00BA3F2F">
        <w:t xml:space="preserve"> vol. </w:t>
      </w:r>
      <w:r w:rsidR="0064423E" w:rsidRPr="00BA3F2F">
        <w:t>1,</w:t>
      </w:r>
      <w:r w:rsidR="004845F0" w:rsidRPr="00BA3F2F">
        <w:t xml:space="preserve"> 2nd ed. Toronto: Thomson Reuters, 2018 (loose</w:t>
      </w:r>
      <w:r w:rsidRPr="00BA3F2F">
        <w:noBreakHyphen/>
      </w:r>
      <w:r w:rsidR="004845F0" w:rsidRPr="00BA3F2F">
        <w:t>leaf updated April 2019</w:t>
      </w:r>
      <w:r w:rsidR="001942F8" w:rsidRPr="00BA3F2F">
        <w:t>, release 1</w:t>
      </w:r>
      <w:r w:rsidR="004845F0" w:rsidRPr="00BA3F2F">
        <w:t>).</w:t>
      </w:r>
    </w:p>
    <w:p w:rsidR="004845F0" w:rsidRPr="00BA3F2F" w:rsidRDefault="00060B2F" w:rsidP="00FC3631">
      <w:pPr>
        <w:pStyle w:val="SCCNormalDoubleSpacing"/>
        <w:spacing w:after="240" w:line="240" w:lineRule="auto"/>
        <w:ind w:left="547" w:hanging="547"/>
      </w:pPr>
      <w:r w:rsidRPr="00BA3F2F">
        <w:rPr>
          <w:lang w:val="en-US"/>
        </w:rPr>
        <w:t>Hubbard, Robert </w:t>
      </w:r>
      <w:r w:rsidR="004845F0" w:rsidRPr="00BA3F2F">
        <w:rPr>
          <w:lang w:val="en-US"/>
        </w:rPr>
        <w:t xml:space="preserve">W. et </w:t>
      </w:r>
      <w:r w:rsidRPr="00BA3F2F">
        <w:rPr>
          <w:lang w:val="en-US"/>
        </w:rPr>
        <w:t>al. </w:t>
      </w:r>
      <w:r w:rsidR="004845F0" w:rsidRPr="00BA3F2F">
        <w:rPr>
          <w:i/>
        </w:rPr>
        <w:t>Money Laundering and Proceeds of Crime</w:t>
      </w:r>
      <w:r w:rsidR="004F21C9" w:rsidRPr="00BA3F2F">
        <w:t>,</w:t>
      </w:r>
      <w:r w:rsidR="001942F8" w:rsidRPr="00BA3F2F">
        <w:t xml:space="preserve"> </w:t>
      </w:r>
      <w:r w:rsidR="004845F0" w:rsidRPr="00BA3F2F">
        <w:t>Toronto: Irwin Law, 2004.</w:t>
      </w:r>
    </w:p>
    <w:p w:rsidR="000D3F95" w:rsidRPr="00BA3F2F" w:rsidRDefault="000D3F95" w:rsidP="00FC3631">
      <w:pPr>
        <w:pStyle w:val="SCCNormalDoubleSpacing"/>
        <w:spacing w:after="240" w:line="240" w:lineRule="auto"/>
        <w:ind w:left="547" w:hanging="547"/>
        <w:rPr>
          <w:lang w:val="en-US"/>
        </w:rPr>
      </w:pPr>
      <w:r w:rsidRPr="00BA3F2F">
        <w:t>Langbein,</w:t>
      </w:r>
      <w:r w:rsidR="00060B2F" w:rsidRPr="00BA3F2F">
        <w:t xml:space="preserve"> John </w:t>
      </w:r>
      <w:r w:rsidRPr="00BA3F2F">
        <w:t xml:space="preserve">H. </w:t>
      </w:r>
      <w:r w:rsidRPr="00BA3F2F">
        <w:rPr>
          <w:i/>
        </w:rPr>
        <w:t>The Origins of Adversary Criminal Trial</w:t>
      </w:r>
      <w:r w:rsidRPr="00BA3F2F">
        <w:t>, Oxford: Oxford University Press, 2003.</w:t>
      </w:r>
    </w:p>
    <w:p w:rsidR="004845F0" w:rsidRPr="00BA3F2F" w:rsidRDefault="00060B2F" w:rsidP="00FC3631">
      <w:pPr>
        <w:pStyle w:val="SCCNormalDoubleSpacing"/>
        <w:spacing w:after="240" w:line="240" w:lineRule="auto"/>
        <w:ind w:left="547" w:hanging="547"/>
      </w:pPr>
      <w:r w:rsidRPr="00BA3F2F">
        <w:rPr>
          <w:lang w:val="en-US"/>
        </w:rPr>
        <w:t>MacFarlane, Bruce </w:t>
      </w:r>
      <w:r w:rsidR="004845F0" w:rsidRPr="00BA3F2F">
        <w:rPr>
          <w:lang w:val="en-US"/>
        </w:rPr>
        <w:t>A.,</w:t>
      </w:r>
      <w:r w:rsidRPr="00BA3F2F">
        <w:rPr>
          <w:lang w:val="en-US"/>
        </w:rPr>
        <w:t xml:space="preserve"> Robert </w:t>
      </w:r>
      <w:r w:rsidR="004845F0" w:rsidRPr="00BA3F2F">
        <w:rPr>
          <w:lang w:val="en-US"/>
        </w:rPr>
        <w:t>J. Frater and Croft Michaelson.</w:t>
      </w:r>
      <w:r w:rsidR="004845F0" w:rsidRPr="00BA3F2F">
        <w:t xml:space="preserve"> </w:t>
      </w:r>
      <w:r w:rsidR="004845F0" w:rsidRPr="00BA3F2F">
        <w:rPr>
          <w:i/>
        </w:rPr>
        <w:t>Drug Offences in Canada</w:t>
      </w:r>
      <w:r w:rsidR="004845F0" w:rsidRPr="00BA3F2F">
        <w:t xml:space="preserve">, 4th ed. Toronto: Thomson Reuters, </w:t>
      </w:r>
      <w:r w:rsidR="00A842D6" w:rsidRPr="00BA3F2F">
        <w:t>2019</w:t>
      </w:r>
      <w:r w:rsidR="004845F0" w:rsidRPr="00BA3F2F">
        <w:t xml:space="preserve"> (loose</w:t>
      </w:r>
      <w:r w:rsidRPr="00BA3F2F">
        <w:noBreakHyphen/>
      </w:r>
      <w:r w:rsidR="004845F0" w:rsidRPr="00BA3F2F">
        <w:t xml:space="preserve">leaf updated </w:t>
      </w:r>
      <w:r w:rsidR="001942F8" w:rsidRPr="00BA3F2F">
        <w:t>April 2019, release 2</w:t>
      </w:r>
      <w:r w:rsidR="004845F0" w:rsidRPr="00BA3F2F">
        <w:t>).</w:t>
      </w:r>
    </w:p>
    <w:p w:rsidR="004845F0" w:rsidRPr="00BA3F2F" w:rsidRDefault="004845F0" w:rsidP="00FC3631">
      <w:pPr>
        <w:pStyle w:val="SCCNormalDoubleSpacing"/>
        <w:spacing w:after="240" w:line="240" w:lineRule="auto"/>
        <w:ind w:left="547" w:hanging="547"/>
      </w:pPr>
      <w:r w:rsidRPr="00BA3F2F">
        <w:t>Rose,</w:t>
      </w:r>
      <w:r w:rsidR="00060B2F" w:rsidRPr="00BA3F2F">
        <w:t xml:space="preserve"> Gregory </w:t>
      </w:r>
      <w:r w:rsidRPr="00BA3F2F">
        <w:t>J. “Non</w:t>
      </w:r>
      <w:r w:rsidR="00060B2F" w:rsidRPr="00BA3F2F">
        <w:noBreakHyphen/>
      </w:r>
      <w:r w:rsidRPr="00BA3F2F">
        <w:t xml:space="preserve">Part XII.2 Warrants and Proceeds of Crime” (1996), 38 </w:t>
      </w:r>
      <w:r w:rsidRPr="00BA3F2F">
        <w:rPr>
          <w:i/>
        </w:rPr>
        <w:t xml:space="preserve">Crim. L.Q. </w:t>
      </w:r>
      <w:r w:rsidRPr="00BA3F2F">
        <w:t>206.</w:t>
      </w:r>
    </w:p>
    <w:p w:rsidR="004845F0" w:rsidRPr="00BA3F2F" w:rsidRDefault="00060B2F" w:rsidP="00FC3631">
      <w:pPr>
        <w:pStyle w:val="SCCNormalDoubleSpacing"/>
        <w:tabs>
          <w:tab w:val="left" w:pos="7335"/>
        </w:tabs>
        <w:spacing w:after="720" w:line="240" w:lineRule="auto"/>
        <w:ind w:left="533" w:hanging="533"/>
      </w:pPr>
      <w:r w:rsidRPr="00BA3F2F">
        <w:t xml:space="preserve">Sullivan, </w:t>
      </w:r>
      <w:r w:rsidR="004845F0" w:rsidRPr="00BA3F2F">
        <w:t xml:space="preserve">Ruth. </w:t>
      </w:r>
      <w:r w:rsidR="004845F0" w:rsidRPr="00BA3F2F">
        <w:rPr>
          <w:i/>
        </w:rPr>
        <w:t>Sullivan on the Construction of Statutes</w:t>
      </w:r>
      <w:r w:rsidR="004845F0" w:rsidRPr="00BA3F2F">
        <w:t>,</w:t>
      </w:r>
      <w:r w:rsidR="00FC3631" w:rsidRPr="00BA3F2F">
        <w:t xml:space="preserve"> 6th ed. Markham, Ont.: </w:t>
      </w:r>
      <w:r w:rsidR="004845F0" w:rsidRPr="00BA3F2F">
        <w:t>LexisNexis, 2014.</w:t>
      </w:r>
    </w:p>
    <w:p w:rsidR="00656313" w:rsidRPr="00BA3F2F" w:rsidRDefault="009B57B3" w:rsidP="00A3178B">
      <w:pPr>
        <w:pStyle w:val="SCCNormalDoubleSpacing"/>
        <w:spacing w:after="480"/>
      </w:pPr>
      <w:r w:rsidRPr="00BA3F2F">
        <w:tab/>
        <w:t>APPEAL from a judg</w:t>
      </w:r>
      <w:r w:rsidR="00AB6037" w:rsidRPr="00BA3F2F">
        <w:t xml:space="preserve">ment of the Ontario Court of Appeal </w:t>
      </w:r>
      <w:r w:rsidR="00F527E1" w:rsidRPr="00BA3F2F">
        <w:t>(</w:t>
      </w:r>
      <w:r w:rsidR="00BB7A43" w:rsidRPr="00BA3F2F">
        <w:t xml:space="preserve">Weiler, Hourigan and Pardu JJ.A.) </w:t>
      </w:r>
      <w:r w:rsidR="009D6496" w:rsidRPr="00BA3F2F">
        <w:t xml:space="preserve">2017 ONCA 634, 137 O.R. (3d) 81, 353 C.C.C. (3d) 293, [2017] O.J. </w:t>
      </w:r>
      <w:r w:rsidR="00060B2F" w:rsidRPr="00BA3F2F">
        <w:t>No. </w:t>
      </w:r>
      <w:r w:rsidR="009D6496" w:rsidRPr="00BA3F2F">
        <w:t xml:space="preserve">4064 (QL), 2017 CarswellOnt 11968 (WL Can.), varying </w:t>
      </w:r>
      <w:r w:rsidR="00EE40FC">
        <w:t xml:space="preserve">a </w:t>
      </w:r>
      <w:r w:rsidR="009D6496" w:rsidRPr="00BA3F2F">
        <w:t>sentencing decision</w:t>
      </w:r>
      <w:r w:rsidR="00EE40FC" w:rsidRPr="00EE40FC">
        <w:t xml:space="preserve"> </w:t>
      </w:r>
      <w:r w:rsidR="00EE40FC">
        <w:t xml:space="preserve">of </w:t>
      </w:r>
      <w:r w:rsidR="00EE40FC" w:rsidRPr="00BA3F2F">
        <w:t>Croll J.</w:t>
      </w:r>
      <w:r w:rsidR="00FB67C1" w:rsidRPr="00BA3F2F">
        <w:t>, 2013 ONSC 7293, [2013] O</w:t>
      </w:r>
      <w:r w:rsidR="00B04A23" w:rsidRPr="00BA3F2F">
        <w:t>.</w:t>
      </w:r>
      <w:r w:rsidR="00FB67C1" w:rsidRPr="00BA3F2F">
        <w:t xml:space="preserve">J. </w:t>
      </w:r>
      <w:r w:rsidR="00060B2F" w:rsidRPr="00BA3F2F">
        <w:t>No. </w:t>
      </w:r>
      <w:r w:rsidR="00FB67C1" w:rsidRPr="00BA3F2F">
        <w:t xml:space="preserve">5421 (QL), 2013 CarswellOnt </w:t>
      </w:r>
      <w:r w:rsidR="00FB67C1" w:rsidRPr="00BA3F2F">
        <w:lastRenderedPageBreak/>
        <w:t>16580 (WL Can.)</w:t>
      </w:r>
      <w:r w:rsidR="00BB7A43" w:rsidRPr="00BA3F2F">
        <w:t>.</w:t>
      </w:r>
      <w:r w:rsidR="008B3F78" w:rsidRPr="00BA3F2F">
        <w:t xml:space="preserve"> Appeal</w:t>
      </w:r>
      <w:r w:rsidR="00BD248B" w:rsidRPr="00BA3F2F">
        <w:t xml:space="preserve"> allowed</w:t>
      </w:r>
      <w:r w:rsidR="00E86902" w:rsidRPr="00BA3F2F">
        <w:t>,</w:t>
      </w:r>
      <w:r w:rsidR="002D0E41" w:rsidRPr="00BA3F2F">
        <w:t xml:space="preserve"> Wagner C.J. and</w:t>
      </w:r>
      <w:r w:rsidR="00E86902" w:rsidRPr="00BA3F2F">
        <w:t xml:space="preserve"> </w:t>
      </w:r>
      <w:r w:rsidR="002D0E41" w:rsidRPr="00BA3F2F">
        <w:rPr>
          <w:szCs w:val="24"/>
        </w:rPr>
        <w:t xml:space="preserve">Moldaver and Côté JJ. </w:t>
      </w:r>
      <w:r w:rsidR="00E86902" w:rsidRPr="00BA3F2F">
        <w:t>dissenting</w:t>
      </w:r>
      <w:r w:rsidR="001403D3" w:rsidRPr="00BA3F2F">
        <w:t xml:space="preserve"> in part</w:t>
      </w:r>
      <w:r w:rsidR="00E86902" w:rsidRPr="00BA3F2F">
        <w:t>.</w:t>
      </w:r>
    </w:p>
    <w:p w:rsidR="00F90EC8" w:rsidRPr="00BA3F2F" w:rsidRDefault="00576530" w:rsidP="00A3178B">
      <w:pPr>
        <w:pStyle w:val="SCCNormalDoubleSpacing"/>
        <w:spacing w:after="480"/>
      </w:pPr>
      <w:r w:rsidRPr="00BA3F2F">
        <w:rPr>
          <w:rStyle w:val="SCCCounselNameChar"/>
        </w:rPr>
        <w:tab/>
        <w:t>Gregory Lafontaine</w:t>
      </w:r>
      <w:r w:rsidR="009D6496" w:rsidRPr="00BA3F2F">
        <w:rPr>
          <w:rStyle w:val="SCCCounselNameChar"/>
        </w:rPr>
        <w:t xml:space="preserve"> </w:t>
      </w:r>
      <w:r w:rsidR="009D6496" w:rsidRPr="00BA3F2F">
        <w:rPr>
          <w:rStyle w:val="SCCCounselNameChar"/>
          <w:i w:val="0"/>
        </w:rPr>
        <w:t xml:space="preserve">and </w:t>
      </w:r>
      <w:r w:rsidR="009D6496" w:rsidRPr="00BA3F2F">
        <w:rPr>
          <w:rStyle w:val="SCCCounselNameChar"/>
        </w:rPr>
        <w:t>Carly Eastwood</w:t>
      </w:r>
      <w:r w:rsidRPr="00BA3F2F">
        <w:rPr>
          <w:rStyle w:val="SCCCounselPartyRoleChar"/>
        </w:rPr>
        <w:t>, for the appellant.</w:t>
      </w:r>
    </w:p>
    <w:p w:rsidR="00F90EC8" w:rsidRPr="00BA3F2F" w:rsidRDefault="00576530" w:rsidP="00A3178B">
      <w:pPr>
        <w:pStyle w:val="SCCNormalDoubleSpacing"/>
        <w:spacing w:after="480"/>
      </w:pPr>
      <w:r w:rsidRPr="00BA3F2F">
        <w:rPr>
          <w:rStyle w:val="SCCCounselNameChar"/>
        </w:rPr>
        <w:tab/>
        <w:t>Bradley Reitz</w:t>
      </w:r>
      <w:r w:rsidRPr="00BA3F2F">
        <w:rPr>
          <w:rStyle w:val="SCCCounselSeparatorChar"/>
        </w:rPr>
        <w:t xml:space="preserve"> and </w:t>
      </w:r>
      <w:r w:rsidRPr="00BA3F2F">
        <w:rPr>
          <w:rStyle w:val="SCCCounselNameChar"/>
        </w:rPr>
        <w:t>Sarah Egan</w:t>
      </w:r>
      <w:r w:rsidRPr="00BA3F2F">
        <w:rPr>
          <w:rStyle w:val="SCCCounselPartyRoleChar"/>
        </w:rPr>
        <w:t>, for the respondent.</w:t>
      </w:r>
    </w:p>
    <w:p w:rsidR="00F90EC8" w:rsidRPr="00BA3F2F" w:rsidRDefault="00576530" w:rsidP="00A3178B">
      <w:pPr>
        <w:pStyle w:val="SCCNormalDoubleSpacing"/>
        <w:spacing w:after="480"/>
      </w:pPr>
      <w:r w:rsidRPr="00BA3F2F">
        <w:rPr>
          <w:rStyle w:val="SCCCounselNameChar"/>
        </w:rPr>
        <w:tab/>
      </w:r>
      <w:r w:rsidR="009D6496" w:rsidRPr="00BA3F2F">
        <w:rPr>
          <w:rStyle w:val="SCCCounselNameChar"/>
        </w:rPr>
        <w:t xml:space="preserve">Brett Cohen </w:t>
      </w:r>
      <w:r w:rsidRPr="00BA3F2F">
        <w:rPr>
          <w:rStyle w:val="SCCCounselSeparatorChar"/>
        </w:rPr>
        <w:t>and</w:t>
      </w:r>
      <w:r w:rsidR="009D6496" w:rsidRPr="00BA3F2F">
        <w:rPr>
          <w:rStyle w:val="SCCCounselNameChar"/>
        </w:rPr>
        <w:t xml:space="preserve"> Melissa Adams</w:t>
      </w:r>
      <w:r w:rsidRPr="00BA3F2F">
        <w:rPr>
          <w:rStyle w:val="SCCCounselPartyRoleChar"/>
        </w:rPr>
        <w:t xml:space="preserve">, for the intervener </w:t>
      </w:r>
      <w:r w:rsidR="009D6496" w:rsidRPr="00BA3F2F">
        <w:rPr>
          <w:rStyle w:val="SCCCounselPartyRoleChar"/>
        </w:rPr>
        <w:t xml:space="preserve">the </w:t>
      </w:r>
      <w:r w:rsidRPr="00BA3F2F">
        <w:rPr>
          <w:rStyle w:val="SCCCounselPartyRoleChar"/>
        </w:rPr>
        <w:t>Attorney General of Ontario.</w:t>
      </w:r>
    </w:p>
    <w:p w:rsidR="00F90EC8" w:rsidRPr="00BA3F2F" w:rsidRDefault="00BA0848" w:rsidP="00A3178B">
      <w:pPr>
        <w:pStyle w:val="SCCNormalDoubleSpacing"/>
        <w:spacing w:after="480"/>
      </w:pPr>
      <w:r w:rsidRPr="00BA3F2F">
        <w:rPr>
          <w:rStyle w:val="SCCCounselNameChar"/>
        </w:rPr>
        <w:tab/>
        <w:t>Michael </w:t>
      </w:r>
      <w:r w:rsidR="00576530" w:rsidRPr="00BA3F2F">
        <w:rPr>
          <w:rStyle w:val="SCCCounselNameChar"/>
        </w:rPr>
        <w:t>W. Lacy</w:t>
      </w:r>
      <w:r w:rsidR="00576530" w:rsidRPr="00BA3F2F">
        <w:rPr>
          <w:rStyle w:val="SCCCounselSeparatorChar"/>
        </w:rPr>
        <w:t xml:space="preserve"> and </w:t>
      </w:r>
      <w:r w:rsidR="00576530" w:rsidRPr="00BA3F2F">
        <w:rPr>
          <w:rStyle w:val="SCCCounselNameChar"/>
        </w:rPr>
        <w:t>Bryan Badali</w:t>
      </w:r>
      <w:r w:rsidR="00576530" w:rsidRPr="00BA3F2F">
        <w:rPr>
          <w:rStyle w:val="SCCCounselPartyRoleChar"/>
        </w:rPr>
        <w:t xml:space="preserve">, for the intervener </w:t>
      </w:r>
      <w:r w:rsidR="009D6496" w:rsidRPr="00BA3F2F">
        <w:rPr>
          <w:rStyle w:val="SCCCounselPartyRoleChar"/>
        </w:rPr>
        <w:t xml:space="preserve">the </w:t>
      </w:r>
      <w:r w:rsidR="00576530" w:rsidRPr="00BA3F2F">
        <w:rPr>
          <w:rStyle w:val="SCCCounselPartyRoleChar"/>
        </w:rPr>
        <w:t>Canadian Civil Liberties Association.</w:t>
      </w:r>
    </w:p>
    <w:p w:rsidR="00F90EC8" w:rsidRPr="00BA3F2F" w:rsidRDefault="00976CD6" w:rsidP="00A3178B">
      <w:pPr>
        <w:pStyle w:val="SCCNormalDoubleSpacing"/>
        <w:spacing w:after="480"/>
      </w:pPr>
      <w:r w:rsidRPr="00BA3F2F">
        <w:rPr>
          <w:rStyle w:val="SCCCounselNameChar"/>
        </w:rPr>
        <w:tab/>
        <w:t>Alan </w:t>
      </w:r>
      <w:r w:rsidR="00576530" w:rsidRPr="00BA3F2F">
        <w:rPr>
          <w:rStyle w:val="SCCCounselNameChar"/>
        </w:rPr>
        <w:t>D. Gold</w:t>
      </w:r>
      <w:r w:rsidR="00576530" w:rsidRPr="00BA3F2F">
        <w:rPr>
          <w:rStyle w:val="SCCCounselSeparatorChar"/>
        </w:rPr>
        <w:t xml:space="preserve"> and </w:t>
      </w:r>
      <w:r w:rsidR="00576530" w:rsidRPr="00BA3F2F">
        <w:rPr>
          <w:rStyle w:val="SCCCounselNameChar"/>
        </w:rPr>
        <w:t>Deepa Negandhi</w:t>
      </w:r>
      <w:r w:rsidR="00576530" w:rsidRPr="00BA3F2F">
        <w:rPr>
          <w:rStyle w:val="SCCCounselPartyRoleChar"/>
        </w:rPr>
        <w:t xml:space="preserve">, for the intervener </w:t>
      </w:r>
      <w:r w:rsidR="009D6496" w:rsidRPr="00BA3F2F">
        <w:rPr>
          <w:rStyle w:val="SCCCounselPartyRoleChar"/>
        </w:rPr>
        <w:t xml:space="preserve">the </w:t>
      </w:r>
      <w:r w:rsidR="00576530" w:rsidRPr="00BA3F2F">
        <w:rPr>
          <w:rStyle w:val="SCCCounselPartyRoleChar"/>
        </w:rPr>
        <w:t>Criminal Lawyers</w:t>
      </w:r>
      <w:r w:rsidR="00F527E1" w:rsidRPr="00BA3F2F">
        <w:rPr>
          <w:rStyle w:val="SCCCounselPartyRoleChar"/>
        </w:rPr>
        <w:t>’</w:t>
      </w:r>
      <w:r w:rsidR="00576530" w:rsidRPr="00BA3F2F">
        <w:rPr>
          <w:rStyle w:val="SCCCounselPartyRoleChar"/>
        </w:rPr>
        <w:t xml:space="preserve"> Association of Ontario.</w:t>
      </w:r>
    </w:p>
    <w:p w:rsidR="00072E7F" w:rsidRDefault="00576530" w:rsidP="00A3178B">
      <w:pPr>
        <w:pStyle w:val="SCCNormalDoubleSpacing"/>
        <w:spacing w:after="480"/>
        <w:rPr>
          <w:rStyle w:val="SCCCounselPartyRoleChar"/>
        </w:rPr>
      </w:pPr>
      <w:r w:rsidRPr="00BA3F2F">
        <w:rPr>
          <w:rStyle w:val="SCCCounselNameChar"/>
        </w:rPr>
        <w:tab/>
      </w:r>
      <w:r w:rsidR="009D6496" w:rsidRPr="00BA3F2F">
        <w:rPr>
          <w:rStyle w:val="SCCCounselNameChar"/>
        </w:rPr>
        <w:t>Gregory DelBigio</w:t>
      </w:r>
      <w:r w:rsidR="009D6496" w:rsidRPr="002849AF">
        <w:rPr>
          <w:rStyle w:val="SCCCounselNameChar"/>
          <w:i w:val="0"/>
        </w:rPr>
        <w:t>,</w:t>
      </w:r>
      <w:r w:rsidR="009D6496" w:rsidRPr="00BA3F2F">
        <w:rPr>
          <w:rStyle w:val="SCCCounselNameChar"/>
        </w:rPr>
        <w:t xml:space="preserve"> Q.C.</w:t>
      </w:r>
      <w:r w:rsidR="002849AF" w:rsidRPr="002849AF">
        <w:rPr>
          <w:rStyle w:val="SCCCounselNameChar"/>
          <w:i w:val="0"/>
        </w:rPr>
        <w:t>,</w:t>
      </w:r>
      <w:r w:rsidR="009D6496" w:rsidRPr="00BA3F2F">
        <w:rPr>
          <w:rStyle w:val="SCCCounselNameChar"/>
        </w:rPr>
        <w:t xml:space="preserve"> </w:t>
      </w:r>
      <w:r w:rsidR="009D6496" w:rsidRPr="00BA3F2F">
        <w:rPr>
          <w:rStyle w:val="SCCCounselPartyRoleChar"/>
        </w:rPr>
        <w:t xml:space="preserve">and </w:t>
      </w:r>
      <w:r w:rsidRPr="00BA3F2F">
        <w:rPr>
          <w:rStyle w:val="SCCCounselNameChar"/>
        </w:rPr>
        <w:t>Alison M. Latimer</w:t>
      </w:r>
      <w:r w:rsidR="009D6496" w:rsidRPr="00BA3F2F">
        <w:rPr>
          <w:rStyle w:val="SCCCounselNameChar"/>
          <w:i w:val="0"/>
        </w:rPr>
        <w:t>,</w:t>
      </w:r>
      <w:r w:rsidRPr="00BA3F2F">
        <w:rPr>
          <w:rStyle w:val="SCCCounselSeparatorChar"/>
        </w:rPr>
        <w:t xml:space="preserve"> </w:t>
      </w:r>
      <w:r w:rsidRPr="00BA3F2F">
        <w:rPr>
          <w:rStyle w:val="SCCCounselPartyRoleChar"/>
        </w:rPr>
        <w:t>for the intervener</w:t>
      </w:r>
      <w:r w:rsidR="009D6496" w:rsidRPr="00BA3F2F">
        <w:rPr>
          <w:rStyle w:val="SCCCounselPartyRoleChar"/>
        </w:rPr>
        <w:t xml:space="preserve"> the</w:t>
      </w:r>
      <w:r w:rsidRPr="00BA3F2F">
        <w:rPr>
          <w:rStyle w:val="SCCCounselPartyRoleChar"/>
        </w:rPr>
        <w:t xml:space="preserve"> British Columbia Civil Liberties Association.</w:t>
      </w:r>
    </w:p>
    <w:p w:rsidR="00D54B24" w:rsidRPr="00831024" w:rsidRDefault="00D06554" w:rsidP="00D06554">
      <w:pPr>
        <w:pStyle w:val="SCCNormalDoubleSpacing"/>
        <w:spacing w:after="480"/>
        <w:rPr>
          <w:szCs w:val="24"/>
        </w:rPr>
      </w:pPr>
      <w:r>
        <w:rPr>
          <w:szCs w:val="24"/>
        </w:rPr>
        <w:tab/>
      </w:r>
      <w:r w:rsidR="00072E7F" w:rsidRPr="00831024">
        <w:rPr>
          <w:szCs w:val="24"/>
        </w:rPr>
        <w:t xml:space="preserve">The judgment of </w:t>
      </w:r>
      <w:r w:rsidR="00072E7F">
        <w:rPr>
          <w:szCs w:val="24"/>
        </w:rPr>
        <w:t xml:space="preserve">Abella, </w:t>
      </w:r>
      <w:r w:rsidR="00072E7F" w:rsidRPr="00D06554">
        <w:rPr>
          <w:rStyle w:val="SCCCounselPartyRoleChar"/>
        </w:rPr>
        <w:t>Karakatsanis</w:t>
      </w:r>
      <w:r w:rsidR="00072E7F">
        <w:rPr>
          <w:szCs w:val="24"/>
        </w:rPr>
        <w:t>, Gascon, Brown, Rowe and Martin JJ.</w:t>
      </w:r>
      <w:r w:rsidR="00072E7F" w:rsidRPr="00831024">
        <w:rPr>
          <w:szCs w:val="24"/>
        </w:rPr>
        <w:t xml:space="preserve"> was delivered by</w:t>
      </w:r>
    </w:p>
    <w:p w:rsidR="00072E7F" w:rsidRPr="009D27E8" w:rsidRDefault="003160CC" w:rsidP="00072E7F">
      <w:pPr>
        <w:pStyle w:val="JudgeJuge"/>
        <w:tabs>
          <w:tab w:val="left" w:pos="3065"/>
        </w:tabs>
      </w:pPr>
      <w:r>
        <w:tab/>
        <w:t xml:space="preserve">Martin J. — </w:t>
      </w:r>
    </w:p>
    <w:p w:rsidR="00072E7F" w:rsidRPr="009D27E8" w:rsidRDefault="00072E7F" w:rsidP="00072E7F">
      <w:pPr>
        <w:pStyle w:val="Title1LevelTitre1Niveau-AltL"/>
        <w:numPr>
          <w:ilvl w:val="0"/>
          <w:numId w:val="9"/>
        </w:numPr>
        <w:rPr>
          <w:rFonts w:cs="Times New Roman"/>
        </w:rPr>
      </w:pPr>
      <w:r w:rsidRPr="009D27E8">
        <w:rPr>
          <w:rFonts w:cs="Times New Roman"/>
        </w:rPr>
        <w:lastRenderedPageBreak/>
        <w:t>Introduction</w:t>
      </w:r>
    </w:p>
    <w:p w:rsidR="00072E7F" w:rsidRPr="009D27E8" w:rsidRDefault="00072E7F" w:rsidP="00072E7F">
      <w:pPr>
        <w:pStyle w:val="ParaNoNdepar-AltN"/>
        <w:rPr>
          <w:rFonts w:cs="Times New Roman"/>
        </w:rPr>
      </w:pPr>
      <w:r w:rsidRPr="009D27E8">
        <w:rPr>
          <w:rFonts w:cs="Times New Roman"/>
        </w:rPr>
        <w:t xml:space="preserve">Do the proceeds of crime provisions of the </w:t>
      </w:r>
      <w:r w:rsidRPr="009D27E8">
        <w:rPr>
          <w:rFonts w:cs="Times New Roman"/>
          <w:i/>
        </w:rPr>
        <w:t>Criminal Code</w:t>
      </w:r>
      <w:r w:rsidRPr="000C743C">
        <w:rPr>
          <w:rFonts w:cs="Times New Roman"/>
        </w:rPr>
        <w:t>,</w:t>
      </w:r>
      <w:r w:rsidRPr="009D27E8">
        <w:rPr>
          <w:rFonts w:cs="Times New Roman"/>
        </w:rPr>
        <w:t xml:space="preserve"> R.S.C. 1985, c.</w:t>
      </w:r>
      <w:r>
        <w:rPr>
          <w:rFonts w:cs="Times New Roman"/>
        </w:rPr>
        <w:t> </w:t>
      </w:r>
      <w:r w:rsidRPr="009D27E8">
        <w:rPr>
          <w:rFonts w:cs="Times New Roman"/>
        </w:rPr>
        <w:t>C-46 (“</w:t>
      </w:r>
      <w:r w:rsidRPr="000C743C">
        <w:rPr>
          <w:rFonts w:cs="Times New Roman"/>
          <w:i/>
        </w:rPr>
        <w:t>Code</w:t>
      </w:r>
      <w:r w:rsidRPr="009D27E8">
        <w:rPr>
          <w:rFonts w:cs="Times New Roman"/>
        </w:rPr>
        <w:t xml:space="preserve">”), require courts to give with one hand, only to take away with the other? The appellant, Yulik Rafilovich, applied for and was returned funds that the state had initially seized from him as potential proceeds of crime, because he needed the funds to pay for his legal defence to charges related to drug trafficking. After he pled guilty, the Crown asked the sentencing judge to impose a fine on Mr. Rafilovich under the forfeiture provisions of the </w:t>
      </w:r>
      <w:r w:rsidRPr="009D27E8">
        <w:rPr>
          <w:rFonts w:cs="Times New Roman"/>
          <w:i/>
        </w:rPr>
        <w:t>Code</w:t>
      </w:r>
      <w:r w:rsidRPr="009D27E8">
        <w:rPr>
          <w:rFonts w:cs="Times New Roman"/>
        </w:rPr>
        <w:t>, on the basis that by using his returned funds for his defence, he had thereby benefitted from the proceeds of crime. In my view, Parliament did not intend these provisions to operate in such an inconsistent manner.</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In 1988, Parliament enacted a comprehensive and distinct legal regime to address proceeds of crime, which now forms Part XII.2 of the </w:t>
      </w:r>
      <w:r w:rsidRPr="009D27E8">
        <w:rPr>
          <w:rFonts w:cs="Times New Roman"/>
          <w:i/>
        </w:rPr>
        <w:t>Code</w:t>
      </w:r>
      <w:r w:rsidRPr="009D27E8">
        <w:rPr>
          <w:rFonts w:cs="Times New Roman"/>
        </w:rPr>
        <w:t xml:space="preserve">. The overall goal of this complex and multi-factored regime was to ensure that “crime does not pay”, and to deter offenders by depriving them of their ill-gotten gains. </w:t>
      </w:r>
    </w:p>
    <w:p w:rsidR="00072E7F" w:rsidRPr="009D27E8" w:rsidRDefault="00072E7F" w:rsidP="00072E7F">
      <w:pPr>
        <w:pStyle w:val="ParaNoNdepar-AltN"/>
        <w:tabs>
          <w:tab w:val="clear" w:pos="1152"/>
          <w:tab w:val="left" w:pos="1166"/>
        </w:tabs>
        <w:rPr>
          <w:rFonts w:cs="Times New Roman"/>
        </w:rPr>
      </w:pPr>
      <w:r w:rsidRPr="009D27E8">
        <w:rPr>
          <w:rFonts w:cs="Times New Roman"/>
        </w:rPr>
        <w:t>Under this regime, the state may seize property from accused persons where the property is believed, on reasonable and probable grounds, to be proceeds of crime.</w:t>
      </w:r>
      <w:r w:rsidRPr="00056A93">
        <w:rPr>
          <w:rStyle w:val="Hyperlink"/>
          <w:vertAlign w:val="superscript"/>
        </w:rPr>
        <w:footnoteReference w:id="1"/>
      </w:r>
      <w:r w:rsidRPr="009D27E8">
        <w:rPr>
          <w:rFonts w:cs="Times New Roman"/>
        </w:rPr>
        <w:t xml:space="preserve"> The seized property is then held for possible forfeiture to the Crown at a future </w:t>
      </w:r>
      <w:r w:rsidRPr="009D27E8">
        <w:rPr>
          <w:rFonts w:cs="Times New Roman"/>
        </w:rPr>
        <w:lastRenderedPageBreak/>
        <w:t>sentencing hearing (ss. 462.32(1), 462.33(1), 462.33(2) and 462.33(3)).</w:t>
      </w:r>
      <w:r w:rsidRPr="00056A93">
        <w:rPr>
          <w:rStyle w:val="Hyperlink"/>
          <w:vertAlign w:val="superscript"/>
        </w:rPr>
        <w:footnoteReference w:id="2"/>
      </w:r>
      <w:r w:rsidRPr="009D27E8">
        <w:rPr>
          <w:rFonts w:cs="Times New Roman"/>
        </w:rPr>
        <w:t xml:space="preserve"> This initial seizure means that accused persons, who are presumed innocent and have not been found guilty of any crime, may nevertheless have their property taken away and held by the state prior to and throughout trial. If their property had not been seized, these accused persons would have had unfettered access to their property to finance their defence. But, when some or all of their assets have been seized, many accused persons will not be able to afford to hire lawyers to answer the charges against them. Parliament was alive to the serious problems created by such a situation and recognized the need to alleviate them. </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In response, Parliament created a specific procedure within the </w:t>
      </w:r>
      <w:r w:rsidRPr="009D27E8">
        <w:rPr>
          <w:rFonts w:cs="Times New Roman"/>
          <w:i/>
        </w:rPr>
        <w:t>Code</w:t>
      </w:r>
      <w:r w:rsidRPr="009D27E8">
        <w:rPr>
          <w:rFonts w:cs="Times New Roman"/>
        </w:rPr>
        <w:t>’s proceeds of crime regime that allows accused persons to seek the return of some or all of the seized property for certain designated purposes if the accused has “no other assets or means available” (s. 462.34(4)).</w:t>
      </w:r>
      <w:r w:rsidRPr="00056A93">
        <w:rPr>
          <w:rStyle w:val="Hyperlink"/>
          <w:vertAlign w:val="superscript"/>
        </w:rPr>
        <w:footnoteReference w:id="3"/>
      </w:r>
      <w:r w:rsidRPr="009D27E8">
        <w:rPr>
          <w:rFonts w:cs="Times New Roman"/>
        </w:rPr>
        <w:t xml:space="preserve"> Parliament’s list of approved purposes expressly includes reasonable legal expenses (s. 462.34(4)(c)(ii)). Under this procedure, which occurs early in a criminal proceeding, an accused applies to a judge to ask for the return of seized property to pay for a lawyer (s. 462.34(1)). Thereafter, two separate hearings are held, evidence is tendered, and the judge determines: (1) whether the accused </w:t>
      </w:r>
      <w:r w:rsidRPr="009D27E8">
        <w:rPr>
          <w:rFonts w:cs="Times New Roman"/>
        </w:rPr>
        <w:lastRenderedPageBreak/>
        <w:t>actually needs any of the seized property to pay for reasonable legal fees (ss. 462.34(4) and 462.34(5)); (2) what amount may be returned; and (3) the appropriate terms related to the return of the funds (s. 462.34(4)). The return of any seized funds is, therefore, done under the authority of a judicial order. Returned funds are normally held in trust by legal counsel, to be used only for the defence of the accused, and such funds are no longer considered to be seized property held by the state.</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The criminal process will then proceed. If the accused person is convicted or pleads guilty, there will be a sentencing hearing to impose a fit and proportionate criminal penalty. The sentencing judge will also determine what, if any, of the offender’s property (including property previously seized) has been proven to be proceeds of crime. As a general rule, property proven to be proceeds of crime must be forfeited to the Crown (s. 462.37(1)). </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Parliament has also addressed the situation in which property proven to be proceeds of crime at sentencing is not available for forfeiture to the Crown, such as situations where the money has been spent or given to a third person. In such a case, the sentencing judge </w:t>
      </w:r>
      <w:r w:rsidRPr="009D27E8">
        <w:rPr>
          <w:rFonts w:cs="Times New Roman"/>
          <w:i/>
        </w:rPr>
        <w:t>may</w:t>
      </w:r>
      <w:r w:rsidRPr="009D27E8">
        <w:rPr>
          <w:rFonts w:cs="Times New Roman"/>
        </w:rPr>
        <w:t xml:space="preserve"> order a “fine instead of forfeiture” equal to the amount proven to be proceeds of crime (s. 462.37(3)).</w:t>
      </w:r>
      <w:r w:rsidRPr="00056A93">
        <w:rPr>
          <w:rStyle w:val="Hyperlink"/>
          <w:vertAlign w:val="superscript"/>
        </w:rPr>
        <w:footnoteReference w:id="4"/>
      </w:r>
      <w:r w:rsidRPr="009D27E8">
        <w:rPr>
          <w:rFonts w:cs="Times New Roman"/>
        </w:rPr>
        <w:t xml:space="preserve"> The offender’s failure to pay the fine may result in imprisonment (s. 462.37(4)). </w:t>
      </w:r>
    </w:p>
    <w:p w:rsidR="00072E7F" w:rsidRPr="009D27E8" w:rsidRDefault="00072E7F" w:rsidP="00072E7F">
      <w:pPr>
        <w:pStyle w:val="ParaNoNdepar-AltN"/>
        <w:rPr>
          <w:rFonts w:cs="Times New Roman"/>
        </w:rPr>
      </w:pPr>
      <w:r w:rsidRPr="009D27E8">
        <w:rPr>
          <w:rFonts w:cs="Times New Roman"/>
        </w:rPr>
        <w:lastRenderedPageBreak/>
        <w:t>This case concerns the legal relationship between a judicial order returning funds to pay for reasonable legal fees and the sentencing judge’s discretion to order a fine instead of forfeiture. This Court is, for the first time, being asked to address when, if ever, a sentencing judge should use the statutory discretion to order a fine instead of forfeiture in respect of property that was used, with prior judicial authorization, to pay for the reasonable costs of an accused’s legal defence. Parliament has provided no express response to this question. The courts below have reached opposing conclusions and the limited jurisprudence across the country on these two provisions is similarly divided (</w:t>
      </w:r>
      <w:r w:rsidRPr="009D27E8">
        <w:rPr>
          <w:rFonts w:cs="Times New Roman"/>
          <w:i/>
        </w:rPr>
        <w:t>R. v. Appleby</w:t>
      </w:r>
      <w:r w:rsidRPr="009D27E8">
        <w:rPr>
          <w:rFonts w:cs="Times New Roman"/>
        </w:rPr>
        <w:t xml:space="preserve">, 2009 NLCA 6, 282 Nfld. &amp; P.E.I.R. 134; </w:t>
      </w:r>
      <w:r w:rsidRPr="009D27E8">
        <w:rPr>
          <w:rFonts w:cs="Times New Roman"/>
          <w:i/>
        </w:rPr>
        <w:t xml:space="preserve">R. v. Wilson </w:t>
      </w:r>
      <w:r>
        <w:rPr>
          <w:rFonts w:cs="Times New Roman"/>
        </w:rPr>
        <w:t>(1993</w:t>
      </w:r>
      <w:r w:rsidRPr="009D27E8">
        <w:rPr>
          <w:rFonts w:cs="Times New Roman"/>
        </w:rPr>
        <w:t xml:space="preserve">), 15 O.R. (3d) 645 (C.A.); </w:t>
      </w:r>
      <w:r w:rsidRPr="009D27E8">
        <w:rPr>
          <w:rFonts w:cs="Times New Roman"/>
          <w:i/>
        </w:rPr>
        <w:t>R. v. Smith</w:t>
      </w:r>
      <w:r w:rsidRPr="009D27E8">
        <w:rPr>
          <w:rFonts w:cs="Times New Roman"/>
        </w:rPr>
        <w:t xml:space="preserve">, 2008 SKCA 20, 307 Sask. R. 45; </w:t>
      </w:r>
      <w:r w:rsidRPr="009D27E8">
        <w:rPr>
          <w:rFonts w:cs="Times New Roman"/>
          <w:i/>
        </w:rPr>
        <w:t xml:space="preserve">R. v. MacLean </w:t>
      </w:r>
      <w:r w:rsidRPr="009D27E8">
        <w:rPr>
          <w:rFonts w:cs="Times New Roman"/>
        </w:rPr>
        <w:t>(1996</w:t>
      </w:r>
      <w:r w:rsidR="00041A75">
        <w:rPr>
          <w:rFonts w:cs="Times New Roman"/>
        </w:rPr>
        <w:t>), 184 N.B.R. (2d) 26 (C.A.)).</w:t>
      </w:r>
    </w:p>
    <w:p w:rsidR="00072E7F" w:rsidRPr="009D27E8" w:rsidRDefault="00072E7F" w:rsidP="00072E7F">
      <w:pPr>
        <w:pStyle w:val="ParaNoNdepar-AltN"/>
        <w:rPr>
          <w:rFonts w:cs="Times New Roman"/>
        </w:rPr>
      </w:pPr>
      <w:r w:rsidRPr="009D27E8">
        <w:rPr>
          <w:rFonts w:cs="Times New Roman"/>
        </w:rPr>
        <w:t>In my view, the application of the principles of statutory interpretation leads to the conclusion that, generally speaking, sentencing judges should not impose a fine instead of forfeiture in relation to funds that have been judicially returned for the payment of reasonable legal fees associated with an accused’s criminal defence. This approach is most faithful to Parliament’s intent.</w:t>
      </w:r>
    </w:p>
    <w:p w:rsidR="00072E7F" w:rsidRPr="009D27E8" w:rsidRDefault="00072E7F" w:rsidP="00072E7F">
      <w:pPr>
        <w:pStyle w:val="ParaNoNdepar-AltN"/>
        <w:rPr>
          <w:rFonts w:cs="Times New Roman"/>
        </w:rPr>
      </w:pPr>
      <w:r w:rsidRPr="009D27E8">
        <w:rPr>
          <w:rFonts w:cs="Times New Roman"/>
        </w:rPr>
        <w:t>The statutory discretion afforded to sentencing judges to impose a fine must be exercised in accordance with the purposes of the provisions in the proceeds of crime regime (</w:t>
      </w:r>
      <w:r w:rsidRPr="009D27E8">
        <w:rPr>
          <w:rFonts w:cs="Times New Roman"/>
          <w:i/>
        </w:rPr>
        <w:t>R. v. Lavigne</w:t>
      </w:r>
      <w:r w:rsidRPr="009D27E8">
        <w:rPr>
          <w:rFonts w:cs="Times New Roman"/>
        </w:rPr>
        <w:t xml:space="preserve">, 2006 SCC 10, [2006] 1 S.C.R. 392, at para. 28). Those purposes can be found by examining the </w:t>
      </w:r>
      <w:r w:rsidRPr="009D27E8">
        <w:rPr>
          <w:rFonts w:cs="Times New Roman"/>
          <w:i/>
        </w:rPr>
        <w:t xml:space="preserve">Code </w:t>
      </w:r>
      <w:r w:rsidRPr="009D27E8">
        <w:rPr>
          <w:rFonts w:cs="Times New Roman"/>
        </w:rPr>
        <w:t xml:space="preserve">to discern Parliament’s intent about how the legal expenses return provision and the fine instead of forfeiture provision should </w:t>
      </w:r>
      <w:r w:rsidRPr="009D27E8">
        <w:rPr>
          <w:rFonts w:cs="Times New Roman"/>
        </w:rPr>
        <w:lastRenderedPageBreak/>
        <w:t>operate together. By enacting the return provision, Parliament not only foresaw the possibility that seized funds may be needed to mount a defence, but explicitly allowed individuals to spend re</w:t>
      </w:r>
      <w:r w:rsidR="00041A75">
        <w:rPr>
          <w:rFonts w:cs="Times New Roman"/>
        </w:rPr>
        <w:t xml:space="preserve">turned funds for this purpose. </w:t>
      </w:r>
      <w:r w:rsidRPr="009D27E8">
        <w:rPr>
          <w:rFonts w:cs="Times New Roman"/>
        </w:rPr>
        <w:t xml:space="preserve">While it is true that the proceeds of crime regime as a whole seeks to ensure that crime does not pay or benefit the offender, the legal expenses return provision pursues secondary purposes, namely: (1) providing access to counsel and (2) giving meaningful weight to the presumption of innocence. Underlying both of these objectives is a desire to ensure fairness to the accused in criminal prosecutions. Clawing back reasonable legal fees as a fine instead of forfeiture would, in most cases, undermine these equally valid purposes. </w:t>
      </w:r>
    </w:p>
    <w:p w:rsidR="00072E7F" w:rsidRPr="009D27E8" w:rsidRDefault="00072E7F" w:rsidP="00072E7F">
      <w:pPr>
        <w:pStyle w:val="ParaNoNdepar-AltN"/>
        <w:rPr>
          <w:rFonts w:cs="Times New Roman"/>
        </w:rPr>
      </w:pPr>
      <w:r w:rsidRPr="009D27E8">
        <w:rPr>
          <w:rFonts w:cs="Times New Roman"/>
        </w:rPr>
        <w:t xml:space="preserve"> At the same time, where it turns out that the offender did not have a real financial need or the funds were not used to alleviate that need, it would be appropriate for a judge to impose a fine instead of forfeiture, as this would align with Parliament’s intent. For example, this might occur where there is wrongdoing in the return of funds application, such as the misrepresentation of the accused’s financial position. It might also occur where there is wrongdoing in the administration of the return order, such as funds not being applied in the manner contemplated, expenditures for purposes outside the scope of the return order, or fees in exces</w:t>
      </w:r>
      <w:r w:rsidR="00D02EB5">
        <w:rPr>
          <w:rFonts w:cs="Times New Roman"/>
        </w:rPr>
        <w:t xml:space="preserve">s of judicially </w:t>
      </w:r>
      <w:r w:rsidRPr="009D27E8">
        <w:rPr>
          <w:rFonts w:cs="Times New Roman"/>
        </w:rPr>
        <w:t xml:space="preserve">authorized limits. Further, it might occur where the accused experiences an unexpected change in circumstances after the funds have been returned but before sentencing, such that recourse to returned funds is no longer necessary after the accused became aware of the changed circumstances. These are examples of the kinds of situations that undermine the basis </w:t>
      </w:r>
      <w:r w:rsidRPr="009D27E8">
        <w:rPr>
          <w:rFonts w:cs="Times New Roman"/>
        </w:rPr>
        <w:lastRenderedPageBreak/>
        <w:t xml:space="preserve">of the return order such that Parliament would have intended to recover the returned monies by way of a fine. </w:t>
      </w:r>
    </w:p>
    <w:p w:rsidR="00072E7F" w:rsidRPr="009D27E8" w:rsidRDefault="00072E7F" w:rsidP="00072E7F">
      <w:pPr>
        <w:pStyle w:val="ParaNoNdepar-AltN"/>
        <w:rPr>
          <w:rFonts w:cs="Times New Roman"/>
        </w:rPr>
      </w:pPr>
      <w:r w:rsidRPr="009D27E8">
        <w:rPr>
          <w:rFonts w:cs="Times New Roman"/>
        </w:rPr>
        <w:t xml:space="preserve">In the context of this case, because ordering a fine would undermine Parliament’s intent in enacting the legal expenses return provision, I would allow the appeal and set aside the Court of Appeal’s order, which imposed a fine and imprisonment in default of payment. </w:t>
      </w:r>
    </w:p>
    <w:p w:rsidR="00072E7F" w:rsidRPr="009D27E8" w:rsidRDefault="00072E7F" w:rsidP="00072E7F">
      <w:pPr>
        <w:pStyle w:val="Title1LevelTitre1Niveau-AltL"/>
        <w:tabs>
          <w:tab w:val="clear" w:pos="1926"/>
          <w:tab w:val="num" w:pos="576"/>
        </w:tabs>
        <w:ind w:left="576"/>
        <w:rPr>
          <w:rFonts w:cs="Times New Roman"/>
        </w:rPr>
      </w:pPr>
      <w:r w:rsidRPr="009D27E8">
        <w:rPr>
          <w:rFonts w:cs="Times New Roman"/>
        </w:rPr>
        <w:t>Facts and Ju</w:t>
      </w:r>
      <w:r w:rsidR="00041A75">
        <w:rPr>
          <w:rFonts w:cs="Times New Roman"/>
        </w:rPr>
        <w:t>dicial History</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The appellant, Mr. Rafilovich, was arrested for possession of cocaine for the purpose of trafficking twice in fourteen months. The police searched Mr. Rafilovich’s car and two apartments, and seized, among other things, a fake Social Insurance Number identification card, about $47,000 worth of cocaine, and about $42,000 in cash. The cash was seized by the Crown as potential proceeds of crime. </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In 2009, before his trial, Mr. Rafilovich’s counsel brought an application under s. 462.34 of the </w:t>
      </w:r>
      <w:r w:rsidRPr="009D27E8">
        <w:rPr>
          <w:rFonts w:cs="Times New Roman"/>
          <w:i/>
        </w:rPr>
        <w:t xml:space="preserve">Code </w:t>
      </w:r>
      <w:r w:rsidRPr="009D27E8">
        <w:rPr>
          <w:rFonts w:cs="Times New Roman"/>
        </w:rPr>
        <w:t xml:space="preserve">for the return of some of the seized funds to pay for reasonable legal fees associated with the case. Justice MacDonald of the Ontario Superior Court of Justice granted the application pursuant to s. 462.34(4)(c)(ii). He was satisfied that Mr. Rafilovich met </w:t>
      </w:r>
      <w:r w:rsidRPr="009D27E8">
        <w:rPr>
          <w:rFonts w:cs="Times New Roman"/>
          <w:lang w:val="en-US"/>
        </w:rPr>
        <w:t xml:space="preserve">the financial need requirement in s. 462.34(4) of the </w:t>
      </w:r>
      <w:r w:rsidRPr="009D27E8">
        <w:rPr>
          <w:rFonts w:cs="Times New Roman"/>
          <w:i/>
          <w:lang w:val="en-US"/>
        </w:rPr>
        <w:t xml:space="preserve">Code </w:t>
      </w:r>
      <w:r w:rsidRPr="009D27E8">
        <w:rPr>
          <w:rFonts w:cs="Times New Roman"/>
          <w:lang w:val="en-US"/>
        </w:rPr>
        <w:t>(A.R., vol. II, at p. 1). He ordered that the returned funds be held by Mr. Rafilovich’s counsel in an interest-bearing trust account and imp</w:t>
      </w:r>
      <w:r w:rsidR="00041A75">
        <w:rPr>
          <w:rFonts w:cs="Times New Roman"/>
          <w:lang w:val="en-US"/>
        </w:rPr>
        <w:t xml:space="preserve">osed the following conditions: </w:t>
      </w:r>
      <w:r w:rsidRPr="009D27E8">
        <w:rPr>
          <w:rFonts w:cs="Times New Roman"/>
          <w:lang w:val="en-US"/>
        </w:rPr>
        <w:t xml:space="preserve">the returned funds were to be used only for the payment of legal fees and, </w:t>
      </w:r>
      <w:r w:rsidRPr="009D27E8">
        <w:rPr>
          <w:rFonts w:cs="Times New Roman"/>
          <w:lang w:val="en-US"/>
        </w:rPr>
        <w:lastRenderedPageBreak/>
        <w:t xml:space="preserve">before any fees could be paid, Mr. Rafilovich’s counsel had to provide “an itemized account justifying such fees to Mr. Rafilovich and he [had to] sign that account acknowledging his agreement as to the reasonableness of the fees and his consent to payment” (A.R., vol. II, at p. 2). Justice MacDonald also determined the hourly rate and maximum court hours that could be billed up to the conclusion of the preliminary inquiry. </w:t>
      </w:r>
    </w:p>
    <w:p w:rsidR="00072E7F" w:rsidRPr="009D27E8" w:rsidRDefault="00072E7F" w:rsidP="00072E7F">
      <w:pPr>
        <w:pStyle w:val="ParaNoNdepar-AltN"/>
        <w:tabs>
          <w:tab w:val="clear" w:pos="1152"/>
          <w:tab w:val="left" w:pos="1166"/>
        </w:tabs>
        <w:rPr>
          <w:rFonts w:cs="Times New Roman"/>
        </w:rPr>
      </w:pPr>
      <w:r w:rsidRPr="009D27E8">
        <w:rPr>
          <w:rFonts w:cs="Times New Roman"/>
        </w:rPr>
        <w:t>At trial, Mr. Rafilovich pled guilty to: possession of a counterfeit mark (a Social Insurance Number card); two counts of possession of cocaine for the purpose of trafficking; and two counts of possession of property exceeding $5,000, knowing that it was obtained or derived directly or indirectly as a result of the commission in Canada of an offence punishable by indictment. The sentencing judge sentenced Mr. Rafilovich to 36 months in custody, which was reduced by 13 months for pretrial custody and by another 9 months to account for the terms of his interim release. In addition to this sentence, Mr. Rafilovich was required to forfeit to the Crown his 50</w:t>
      </w:r>
      <w:r w:rsidR="00404711">
        <w:rPr>
          <w:rFonts w:cs="Times New Roman"/>
        </w:rPr>
        <w:t> </w:t>
      </w:r>
      <w:r w:rsidRPr="009D27E8">
        <w:rPr>
          <w:rFonts w:cs="Times New Roman"/>
        </w:rPr>
        <w:t>percent interest in an apartment that was “offence-related property” as defined in s.</w:t>
      </w:r>
      <w:r w:rsidR="00404711">
        <w:rPr>
          <w:rFonts w:cs="Times New Roman"/>
        </w:rPr>
        <w:t> </w:t>
      </w:r>
      <w:r w:rsidRPr="009D27E8">
        <w:rPr>
          <w:rFonts w:cs="Times New Roman"/>
        </w:rPr>
        <w:t xml:space="preserve">2 of the </w:t>
      </w:r>
      <w:r w:rsidRPr="009D27E8">
        <w:rPr>
          <w:rFonts w:cs="Times New Roman"/>
          <w:i/>
        </w:rPr>
        <w:t>Controlled Drugs and Substances Act</w:t>
      </w:r>
      <w:r w:rsidRPr="009D27E8">
        <w:rPr>
          <w:rFonts w:cs="Times New Roman"/>
        </w:rPr>
        <w:t>, S.C. 1996, c. 19 (“</w:t>
      </w:r>
      <w:r w:rsidRPr="009D27E8">
        <w:rPr>
          <w:rFonts w:cs="Times New Roman"/>
          <w:i/>
        </w:rPr>
        <w:t>CDSA</w:t>
      </w:r>
      <w:r w:rsidRPr="009D27E8">
        <w:rPr>
          <w:rFonts w:cs="Times New Roman"/>
        </w:rPr>
        <w:t xml:space="preserve">”). Mr. Rafilovich’s term of imprisonment and the forfeiture of the interest in the apartment are not at issue in this appeal. While the interest in the apartment was forfeited under the </w:t>
      </w:r>
      <w:r w:rsidRPr="009D27E8">
        <w:rPr>
          <w:rFonts w:cs="Times New Roman"/>
          <w:i/>
        </w:rPr>
        <w:t>CDSA</w:t>
      </w:r>
      <w:r w:rsidRPr="009D27E8">
        <w:rPr>
          <w:rFonts w:cs="Times New Roman"/>
        </w:rPr>
        <w:t xml:space="preserve">, the parties agree that the forfeiture provisions applicable to the funds at issue in this case are those found in the </w:t>
      </w:r>
      <w:r w:rsidRPr="009D27E8">
        <w:rPr>
          <w:rFonts w:cs="Times New Roman"/>
          <w:i/>
        </w:rPr>
        <w:t>Code</w:t>
      </w:r>
      <w:r w:rsidRPr="009D27E8">
        <w:rPr>
          <w:rFonts w:cs="Times New Roman"/>
        </w:rPr>
        <w:t xml:space="preserve">. For the purposes of this appeal I accept, without deciding, that the governing provisions are those in the </w:t>
      </w:r>
      <w:r w:rsidRPr="009D27E8">
        <w:rPr>
          <w:rFonts w:cs="Times New Roman"/>
          <w:i/>
        </w:rPr>
        <w:t>Code</w:t>
      </w:r>
      <w:r w:rsidRPr="009D27E8">
        <w:rPr>
          <w:rFonts w:cs="Times New Roman"/>
        </w:rPr>
        <w:t xml:space="preserve">, not the </w:t>
      </w:r>
      <w:r w:rsidRPr="009D27E8">
        <w:rPr>
          <w:rFonts w:cs="Times New Roman"/>
          <w:i/>
        </w:rPr>
        <w:t>CDSA</w:t>
      </w:r>
      <w:r w:rsidRPr="009D27E8">
        <w:rPr>
          <w:rFonts w:cs="Times New Roman"/>
        </w:rPr>
        <w:t>.</w:t>
      </w:r>
    </w:p>
    <w:p w:rsidR="00072E7F" w:rsidRPr="009D27E8" w:rsidRDefault="00072E7F" w:rsidP="00072E7F">
      <w:pPr>
        <w:pStyle w:val="ParaNoNdepar-AltN"/>
        <w:tabs>
          <w:tab w:val="clear" w:pos="1152"/>
          <w:tab w:val="left" w:pos="1166"/>
        </w:tabs>
        <w:rPr>
          <w:rFonts w:cs="Times New Roman"/>
        </w:rPr>
      </w:pPr>
      <w:r w:rsidRPr="009D27E8">
        <w:rPr>
          <w:rFonts w:cs="Times New Roman"/>
        </w:rPr>
        <w:lastRenderedPageBreak/>
        <w:t>At the sentencing hearing, the Crown also sought a fine instead of forfeiture under s. 462.37(3), equal to the amount seized and then returned to Mr. Rafilovich to pay for his legal counsel. The sentencing judge declined to impose the discretionary fine for four reasons. First, as the application judge found, Mr. Rafilovich did not have any funds to pay for legal representation and did not qualify for legal aid. Therefore, “[i]t was necessary for the seized funds to be released” (2013 ONSC 7293, at p. 20 (CanLII)). Second, Mr. Rafilovich did not obtain a benefit from the returned funds except to have legal representation. This was not a situation where an offender profited from criminal conduct. Third, Mr. Rafilovich did not squander or divert any of his other assets. Fourth, the non-payment of the fine would lead to the imposition of a further sentence of imprisonment of 12 to 18 months — an outcome that offenders who have access to funds or legal aid would not have to face.</w:t>
      </w:r>
    </w:p>
    <w:p w:rsidR="00072E7F" w:rsidRPr="009D27E8" w:rsidRDefault="00072E7F" w:rsidP="00072E7F">
      <w:pPr>
        <w:pStyle w:val="ParaNoNdepar-AltN"/>
        <w:tabs>
          <w:tab w:val="clear" w:pos="1152"/>
          <w:tab w:val="left" w:pos="1166"/>
        </w:tabs>
        <w:rPr>
          <w:rFonts w:cs="Times New Roman"/>
        </w:rPr>
      </w:pPr>
      <w:r w:rsidRPr="009D27E8">
        <w:rPr>
          <w:rFonts w:cs="Times New Roman"/>
        </w:rPr>
        <w:t xml:space="preserve">The Crown appealed. The Court of Appeal for Ontario unanimously held that the sentencing judge’s exercise of discretion in this case was inappropriate. While it recognized that sentencing judges have a statutory discretion to not impose a fine, the exercise of this discretion, according to </w:t>
      </w:r>
      <w:r w:rsidRPr="009D27E8">
        <w:rPr>
          <w:rFonts w:cs="Times New Roman"/>
          <w:i/>
        </w:rPr>
        <w:t>Lavigne</w:t>
      </w:r>
      <w:r w:rsidRPr="009D27E8">
        <w:rPr>
          <w:rFonts w:cs="Times New Roman"/>
        </w:rPr>
        <w:t>, cannot hinder the achievement of the objectives that the proceeds of crime regime seeks to achieve. One of these objectives is that offenders cannot profit from their criminal conduct, and the Court of Appeal con</w:t>
      </w:r>
      <w:r w:rsidR="00DC6424">
        <w:rPr>
          <w:rFonts w:cs="Times New Roman"/>
        </w:rPr>
        <w:t>sidered Mr. </w:t>
      </w:r>
      <w:r w:rsidRPr="009D27E8">
        <w:rPr>
          <w:rFonts w:cs="Times New Roman"/>
        </w:rPr>
        <w:t xml:space="preserve">Rafilovich to be profiting from his criminal conduct by having access to seized funds to pay for his legal fees. It viewed the fact that the </w:t>
      </w:r>
      <w:r w:rsidRPr="009D27E8">
        <w:rPr>
          <w:rFonts w:cs="Times New Roman"/>
          <w:i/>
        </w:rPr>
        <w:t xml:space="preserve">Code </w:t>
      </w:r>
      <w:r w:rsidRPr="009D27E8">
        <w:rPr>
          <w:rFonts w:cs="Times New Roman"/>
        </w:rPr>
        <w:t xml:space="preserve">allows judges to return seized funds for payment of reasonable legal fees as compatible with the imposition of a fine instead of forfeiture at a later stage in the criminal proceedings. </w:t>
      </w:r>
    </w:p>
    <w:p w:rsidR="00072E7F" w:rsidRPr="009D27E8" w:rsidRDefault="00072E7F" w:rsidP="00072E7F">
      <w:pPr>
        <w:pStyle w:val="ParaNoNdepar-AltN"/>
        <w:tabs>
          <w:tab w:val="clear" w:pos="1152"/>
          <w:tab w:val="left" w:pos="1166"/>
        </w:tabs>
        <w:rPr>
          <w:rFonts w:cs="Times New Roman"/>
        </w:rPr>
      </w:pPr>
      <w:r w:rsidRPr="009D27E8">
        <w:rPr>
          <w:rFonts w:cs="Times New Roman"/>
        </w:rPr>
        <w:lastRenderedPageBreak/>
        <w:t xml:space="preserve">The Court of Appeal also held that the sentencing judge erred in considering the possibility of imprisonment for non-payment of a fine. It considered that, according to this Court’s decision in </w:t>
      </w:r>
      <w:r w:rsidRPr="009D27E8">
        <w:rPr>
          <w:rFonts w:cs="Times New Roman"/>
          <w:i/>
        </w:rPr>
        <w:t>R. v. Wu</w:t>
      </w:r>
      <w:r w:rsidRPr="009D27E8">
        <w:rPr>
          <w:rFonts w:cs="Times New Roman"/>
        </w:rPr>
        <w:t>,</w:t>
      </w:r>
      <w:r w:rsidRPr="009D27E8">
        <w:rPr>
          <w:rFonts w:cs="Times New Roman"/>
          <w:i/>
        </w:rPr>
        <w:t xml:space="preserve"> </w:t>
      </w:r>
      <w:r w:rsidRPr="009D27E8">
        <w:rPr>
          <w:rFonts w:cs="Times New Roman"/>
        </w:rPr>
        <w:t>2003 SCC 73, [2003] 3 S.C.R. 530, an offender cannot be imprisoned for failing to pay a fine if the offender has a reasonable excuse. Since inability to pay constitutes a reasonable excuse, Mr.</w:t>
      </w:r>
      <w:r w:rsidR="00DC6424">
        <w:rPr>
          <w:rFonts w:cs="Times New Roman"/>
        </w:rPr>
        <w:t> </w:t>
      </w:r>
      <w:r w:rsidRPr="009D27E8">
        <w:rPr>
          <w:rFonts w:cs="Times New Roman"/>
        </w:rPr>
        <w:t xml:space="preserve">Rafilovich would not face any risk of additional imprisonment if he were ultimately unable to pay the fine. </w:t>
      </w:r>
    </w:p>
    <w:p w:rsidR="00072E7F" w:rsidRPr="009D27E8" w:rsidRDefault="00072E7F" w:rsidP="00072E7F">
      <w:pPr>
        <w:pStyle w:val="ParaNoNdepar-AltN"/>
        <w:tabs>
          <w:tab w:val="clear" w:pos="1152"/>
          <w:tab w:val="left" w:pos="1166"/>
        </w:tabs>
        <w:rPr>
          <w:rFonts w:cs="Times New Roman"/>
        </w:rPr>
      </w:pPr>
      <w:r w:rsidRPr="009D27E8">
        <w:rPr>
          <w:rFonts w:cs="Times New Roman"/>
        </w:rPr>
        <w:t>On the basis of the above analysis, the Court of Appeal imposed a fine instead of forfeiture of $41,976.39, equal to the amount of the seized and returned funds. It further ordered that, in the event that Mr. Rafilovich did not pay the fine and did not have a reasonable excuse, he would be sentenced to an additional 12 months of imprisonment over and above the 14 months that remained in his prison sentence. Mr. Rafilovich now appeals to this Court by leave.</w:t>
      </w:r>
    </w:p>
    <w:p w:rsidR="00072E7F" w:rsidRPr="009D27E8" w:rsidRDefault="00072E7F" w:rsidP="00072E7F">
      <w:pPr>
        <w:pStyle w:val="Title1LevelTitre1Niveau-AltL"/>
        <w:numPr>
          <w:ilvl w:val="0"/>
          <w:numId w:val="9"/>
        </w:numPr>
        <w:rPr>
          <w:rFonts w:cs="Times New Roman"/>
        </w:rPr>
      </w:pPr>
      <w:r w:rsidRPr="009D27E8">
        <w:rPr>
          <w:rFonts w:cs="Times New Roman"/>
        </w:rPr>
        <w:t>Issue</w:t>
      </w:r>
    </w:p>
    <w:p w:rsidR="00072E7F" w:rsidRPr="009D27E8" w:rsidRDefault="00072E7F" w:rsidP="00072E7F">
      <w:pPr>
        <w:pStyle w:val="ParaNoNdepar-AltN"/>
        <w:rPr>
          <w:rFonts w:cs="Times New Roman"/>
        </w:rPr>
      </w:pPr>
      <w:r w:rsidRPr="009D27E8">
        <w:rPr>
          <w:rFonts w:cs="Times New Roman"/>
        </w:rPr>
        <w:t xml:space="preserve">The issue before this Court is: how should a sentencing judge, who has discretion whether to impose a fine instead of forfeiture under s. 462.37(3) for property proven to be proceeds of crime, treat property that has been judicially returned for the payment of reasonable legal expenses under s. 462.34(4)(c)(ii)? Stated otherwise, what is the intended relationship between the return provision and the fine instead of forfeiture provision in the context of reasonable legal fees? </w:t>
      </w:r>
    </w:p>
    <w:p w:rsidR="00072E7F" w:rsidRPr="009D27E8" w:rsidRDefault="00072E7F" w:rsidP="00072E7F">
      <w:pPr>
        <w:pStyle w:val="Title1LevelTitre1Niveau-AltL"/>
        <w:numPr>
          <w:ilvl w:val="0"/>
          <w:numId w:val="9"/>
        </w:numPr>
        <w:rPr>
          <w:rFonts w:cs="Times New Roman"/>
        </w:rPr>
      </w:pPr>
      <w:r w:rsidRPr="009D27E8">
        <w:rPr>
          <w:rFonts w:cs="Times New Roman"/>
        </w:rPr>
        <w:lastRenderedPageBreak/>
        <w:t>Analysis</w:t>
      </w:r>
    </w:p>
    <w:p w:rsidR="00072E7F" w:rsidRPr="009D27E8" w:rsidRDefault="00072E7F" w:rsidP="00072E7F">
      <w:pPr>
        <w:pStyle w:val="ParaNoNdepar-AltN"/>
        <w:rPr>
          <w:rFonts w:cs="Times New Roman"/>
        </w:rPr>
      </w:pPr>
      <w:r w:rsidRPr="009D27E8">
        <w:rPr>
          <w:rFonts w:cs="Times New Roman"/>
        </w:rPr>
        <w:t xml:space="preserve">As the </w:t>
      </w:r>
      <w:r w:rsidRPr="009D27E8">
        <w:rPr>
          <w:rFonts w:cs="Times New Roman"/>
          <w:i/>
        </w:rPr>
        <w:t>Code</w:t>
      </w:r>
      <w:r w:rsidRPr="009D27E8">
        <w:rPr>
          <w:rFonts w:cs="Times New Roman"/>
        </w:rPr>
        <w:t xml:space="preserve"> does not expressly indicate whether judicially returned funds ought to be subject to a fine instead of forfeiture, the resolution of this issue requires recourse to well-established rules of statutory interpretation. This analysis, which is concerned with legislative intent, is guided by the words that Parliament has chosen to use, the way it intended to achieve its objectives, and the scheme it has put in place (</w:t>
      </w:r>
      <w:r w:rsidRPr="009D27E8">
        <w:rPr>
          <w:rFonts w:cs="Times New Roman"/>
          <w:i/>
        </w:rPr>
        <w:t>Rizzo &amp; Rizzo Shoes Ltd. (Re)</w:t>
      </w:r>
      <w:r w:rsidRPr="009D27E8">
        <w:rPr>
          <w:rFonts w:cs="Times New Roman"/>
        </w:rPr>
        <w:t>,</w:t>
      </w:r>
      <w:r w:rsidRPr="009D27E8">
        <w:rPr>
          <w:rFonts w:cs="Times New Roman"/>
          <w:i/>
        </w:rPr>
        <w:t xml:space="preserve"> </w:t>
      </w:r>
      <w:r w:rsidRPr="009D27E8">
        <w:rPr>
          <w:rFonts w:cs="Times New Roman"/>
        </w:rPr>
        <w:t>[1998] 1 S.C.R. 27, at para. 21). Under the modern approach to statutory interpretation, the meaning of words and phrases are interpreted in their context and within the scheme of the Act in which they are found (</w:t>
      </w:r>
      <w:r w:rsidRPr="009D27E8">
        <w:rPr>
          <w:rFonts w:cs="Times New Roman"/>
          <w:i/>
        </w:rPr>
        <w:t>ATCO Gas and Pipelines Ltd. v. Alberta (Energy and Utilities Board)</w:t>
      </w:r>
      <w:r w:rsidRPr="009D27E8">
        <w:rPr>
          <w:rFonts w:cs="Times New Roman"/>
        </w:rPr>
        <w:t>, 2006 SCC 4, [2006] 1 S.C.R. 140, at para. 48). Parliament also is presumed to intend for its provisions to be read harmoniously, and to be interpreted and applied so they fit together in a way that respects Parliament’s multiple objectives and gives purpose and meaning to each provision. In the present case, where the dispute involves multiple legislative objectives and the inter-relationship between two or more statutory provisions, the scheme of the Act and the objectives underlying each of the relevant provisions are particularly significant.</w:t>
      </w:r>
    </w:p>
    <w:p w:rsidR="00072E7F" w:rsidRPr="009D27E8" w:rsidRDefault="00072E7F" w:rsidP="00072E7F">
      <w:pPr>
        <w:pStyle w:val="ParaNoNdepar-AltN"/>
        <w:rPr>
          <w:rFonts w:cs="Times New Roman"/>
        </w:rPr>
      </w:pPr>
      <w:r w:rsidRPr="009D27E8">
        <w:rPr>
          <w:rFonts w:cs="Times New Roman"/>
        </w:rPr>
        <w:t xml:space="preserve">To engage in that analysis, I will therefore proceed as follows. First, I summarize the overall framework in which this narrow issue arises and highlight the two provisions at the heart of the controversy. Second, I review the multiple objectives of the proceeds of crime regime, the return process, and the fine instead of forfeiture </w:t>
      </w:r>
      <w:r w:rsidRPr="009D27E8">
        <w:rPr>
          <w:rFonts w:cs="Times New Roman"/>
        </w:rPr>
        <w:lastRenderedPageBreak/>
        <w:t>provision, and discuss how courts should interpret s</w:t>
      </w:r>
      <w:r w:rsidR="00041A75">
        <w:rPr>
          <w:rFonts w:cs="Times New Roman"/>
        </w:rPr>
        <w:t xml:space="preserve">chemes with multiple purposes. </w:t>
      </w:r>
      <w:r w:rsidRPr="009D27E8">
        <w:rPr>
          <w:rFonts w:cs="Times New Roman"/>
        </w:rPr>
        <w:t>Third, I consider whether interpreting the return provision as something akin to a loan to the accused person would hono</w:t>
      </w:r>
      <w:r w:rsidR="00322356">
        <w:rPr>
          <w:rFonts w:cs="Times New Roman"/>
        </w:rPr>
        <w:t>ur and uphold those objectives.</w:t>
      </w:r>
      <w:r w:rsidRPr="009D27E8">
        <w:rPr>
          <w:rFonts w:cs="Times New Roman"/>
        </w:rPr>
        <w:t xml:space="preserve"> Fourth, I examine whether returned property constitutes the kind of benefit targeted by the regime. Fifth, I consider whether judicially</w:t>
      </w:r>
      <w:r w:rsidR="001F7005">
        <w:rPr>
          <w:rFonts w:cs="Times New Roman"/>
        </w:rPr>
        <w:t xml:space="preserve"> </w:t>
      </w:r>
      <w:r w:rsidRPr="009D27E8">
        <w:rPr>
          <w:rFonts w:cs="Times New Roman"/>
        </w:rPr>
        <w:t>returned funds are analogous to the examples listed in the fine instead of forfeiture provision. Sixth, I suggest when the discretion to impose a fine instead of forfeiture should be exercised. Finally, I respond to the suggestion that this Court should impose the criteria for providing state-funded counsel set out in</w:t>
      </w:r>
      <w:r w:rsidRPr="009D27E8">
        <w:rPr>
          <w:rFonts w:cs="Times New Roman"/>
          <w:i/>
        </w:rPr>
        <w:t xml:space="preserve"> R. v. Rowbotham </w:t>
      </w:r>
      <w:r w:rsidRPr="009D27E8">
        <w:rPr>
          <w:rFonts w:cs="Times New Roman"/>
        </w:rPr>
        <w:t>(1988), 41 C.C.C. (3d) 1 (Ont. C.A.)</w:t>
      </w:r>
      <w:r w:rsidR="00D06554">
        <w:rPr>
          <w:rFonts w:cs="Times New Roman"/>
        </w:rPr>
        <w:t>,</w:t>
      </w:r>
      <w:r w:rsidRPr="009D27E8">
        <w:rPr>
          <w:rFonts w:cs="Times New Roman"/>
        </w:rPr>
        <w:t xml:space="preserve"> on judges’ discretion to order a fine instead of forfeiture for reasonable legal expenses, over and above Parliament’s requirements for the return of funds for reasonable legal expenses.</w:t>
      </w:r>
    </w:p>
    <w:p w:rsidR="00072E7F" w:rsidRPr="0011176A" w:rsidRDefault="00072E7F" w:rsidP="00D06554">
      <w:pPr>
        <w:pStyle w:val="Title2LevelTitre2Niveau"/>
        <w:numPr>
          <w:ilvl w:val="1"/>
          <w:numId w:val="9"/>
        </w:numPr>
        <w:tabs>
          <w:tab w:val="clear" w:pos="-774"/>
          <w:tab w:val="num" w:pos="567"/>
        </w:tabs>
        <w:ind w:left="567" w:hanging="567"/>
        <w:jc w:val="both"/>
        <w:rPr>
          <w:rFonts w:cs="Times New Roman"/>
        </w:rPr>
      </w:pPr>
      <w:r w:rsidRPr="0011176A">
        <w:rPr>
          <w:rFonts w:cs="Times New Roman"/>
        </w:rPr>
        <w:t xml:space="preserve">The Statutory Scheme, the Return Process and the Fine </w:t>
      </w:r>
      <w:r w:rsidR="005E1A4B">
        <w:rPr>
          <w:rFonts w:cs="Times New Roman"/>
        </w:rPr>
        <w:t>Instead of Forfeiture Provision</w:t>
      </w:r>
    </w:p>
    <w:p w:rsidR="00072E7F" w:rsidRPr="009D27E8" w:rsidRDefault="00072E7F" w:rsidP="00072E7F">
      <w:pPr>
        <w:pStyle w:val="ParaNoNdepar-AltN"/>
        <w:rPr>
          <w:rFonts w:cs="Times New Roman"/>
        </w:rPr>
      </w:pPr>
      <w:r w:rsidRPr="009D27E8">
        <w:rPr>
          <w:rFonts w:cs="Times New Roman"/>
        </w:rPr>
        <w:t xml:space="preserve">Under the scheme of the proceeds of crime regime in the </w:t>
      </w:r>
      <w:r w:rsidRPr="009D27E8">
        <w:rPr>
          <w:rFonts w:cs="Times New Roman"/>
          <w:i/>
        </w:rPr>
        <w:t>Code</w:t>
      </w:r>
      <w:r w:rsidRPr="009D27E8">
        <w:rPr>
          <w:rFonts w:cs="Times New Roman"/>
        </w:rPr>
        <w:t>, the issue before this Court only arises in limited circumstances when five pre-conditions are met.</w:t>
      </w:r>
    </w:p>
    <w:p w:rsidR="00072E7F" w:rsidRPr="009D27E8" w:rsidRDefault="00072E7F" w:rsidP="00072E7F">
      <w:pPr>
        <w:pStyle w:val="ParaNoNdepar-AltN"/>
        <w:rPr>
          <w:rFonts w:cs="Times New Roman"/>
        </w:rPr>
      </w:pPr>
      <w:r w:rsidRPr="009D27E8">
        <w:rPr>
          <w:rFonts w:cs="Times New Roman"/>
        </w:rPr>
        <w:t xml:space="preserve">First, the accused is charged with a “designated offence”, as defined under s. 462.3(1). </w:t>
      </w:r>
    </w:p>
    <w:p w:rsidR="00072E7F" w:rsidRPr="009D27E8" w:rsidRDefault="00072E7F" w:rsidP="00072E7F">
      <w:pPr>
        <w:pStyle w:val="ParaNoNdepar-AltN"/>
        <w:rPr>
          <w:rFonts w:cs="Times New Roman"/>
        </w:rPr>
      </w:pPr>
      <w:r w:rsidRPr="009D27E8">
        <w:rPr>
          <w:rFonts w:cs="Times New Roman"/>
        </w:rPr>
        <w:t xml:space="preserve">Second, property is seized. Parliament has allowed the state to take property from an accused on the basis of reasonable and probable grounds that the property may eventually be proven to be proceeds of crime (ss. 462.32(1) and </w:t>
      </w:r>
      <w:r w:rsidRPr="009D27E8">
        <w:rPr>
          <w:rFonts w:cs="Times New Roman"/>
        </w:rPr>
        <w:lastRenderedPageBreak/>
        <w:t xml:space="preserve">462.33(1)). This seizure occurs at a time when the accused is presumed innocent and, in law, remains the legal owner of the seized property unless and until the property is forfeited at sentencing. The seizure of property from persons still presumed to be innocent was quite extraordinary at the time the proceeds of crime regime was enacted in 1988 (G. J. Rose, “Non-Part XII.2 Warrants and Proceeds of Crime” (1996), 38 </w:t>
      </w:r>
      <w:r w:rsidRPr="009D27E8">
        <w:rPr>
          <w:rFonts w:cs="Times New Roman"/>
          <w:i/>
        </w:rPr>
        <w:t>Crim. L.Q.</w:t>
      </w:r>
      <w:r w:rsidRPr="009D27E8">
        <w:rPr>
          <w:rFonts w:cs="Times New Roman"/>
        </w:rPr>
        <w:t xml:space="preserve"> 206, at pp. 210-11).</w:t>
      </w:r>
    </w:p>
    <w:p w:rsidR="00072E7F" w:rsidRPr="009D27E8" w:rsidRDefault="00072E7F" w:rsidP="00072E7F">
      <w:pPr>
        <w:pStyle w:val="ParaNoNdepar-AltN"/>
        <w:rPr>
          <w:rFonts w:cs="Times New Roman"/>
        </w:rPr>
      </w:pPr>
      <w:r w:rsidRPr="009D27E8">
        <w:rPr>
          <w:rFonts w:cs="Times New Roman"/>
        </w:rPr>
        <w:t>Third, the accused makes an application for the return of the seized property to pay for reasonable legal f</w:t>
      </w:r>
      <w:r w:rsidR="00322356">
        <w:rPr>
          <w:rFonts w:cs="Times New Roman"/>
        </w:rPr>
        <w:t xml:space="preserve">ees under s. 462.34(4) to (6). </w:t>
      </w:r>
      <w:r w:rsidRPr="009D27E8">
        <w:rPr>
          <w:rFonts w:cs="Times New Roman"/>
        </w:rPr>
        <w:t>For our purposes, the relevant portions of the section read:</w:t>
      </w:r>
    </w:p>
    <w:p w:rsidR="00072E7F" w:rsidRDefault="00072E7F" w:rsidP="00072E7F">
      <w:pPr>
        <w:pStyle w:val="Citation-AltC"/>
        <w:rPr>
          <w:lang w:val="en"/>
        </w:rPr>
      </w:pPr>
      <w:r w:rsidRPr="009D27E8">
        <w:rPr>
          <w:b/>
          <w:bCs/>
          <w:lang w:val="en"/>
        </w:rPr>
        <w:t>(4)</w:t>
      </w:r>
      <w:r w:rsidRPr="009D27E8">
        <w:rPr>
          <w:lang w:val="en"/>
        </w:rPr>
        <w:t> On an application made to a judge under paragraph (1)(a) in respect of any property and after hearing the applicant and the Attorney General and any other person to whom notice was given pursuant to paragraph (2)(b), the judge may order that the property or a part thereof be returned to the applicant or, in the case of a restraint order made under subsection 462.33(3), revoke the order, vary the order to exclude the property or any interest in the property or part thereof from the application of the order or make the order subject to such reasonable conditions as the judge thinks fit,</w:t>
      </w:r>
    </w:p>
    <w:p w:rsidR="00A532A1" w:rsidRPr="009D27E8" w:rsidRDefault="00A532A1" w:rsidP="00072E7F">
      <w:pPr>
        <w:pStyle w:val="Citation-AltC"/>
        <w:rPr>
          <w:lang w:val="en"/>
        </w:rPr>
      </w:pPr>
    </w:p>
    <w:p w:rsidR="00072E7F" w:rsidRDefault="00F72416" w:rsidP="00072E7F">
      <w:pPr>
        <w:pStyle w:val="Citation-AltC"/>
        <w:jc w:val="center"/>
        <w:rPr>
          <w:bCs/>
          <w:lang w:val="en" w:eastAsia="en-US"/>
        </w:rPr>
      </w:pPr>
      <w:r>
        <w:rPr>
          <w:bCs/>
          <w:lang w:val="en" w:eastAsia="en-US"/>
        </w:rPr>
        <w:t>. . .</w:t>
      </w:r>
    </w:p>
    <w:p w:rsidR="00072E7F" w:rsidRPr="009D27E8" w:rsidRDefault="00072E7F" w:rsidP="00072E7F">
      <w:pPr>
        <w:pStyle w:val="Citation-AltC"/>
        <w:jc w:val="center"/>
        <w:rPr>
          <w:lang w:val="en" w:eastAsia="en-US"/>
        </w:rPr>
      </w:pPr>
    </w:p>
    <w:p w:rsidR="00072E7F" w:rsidRDefault="00072E7F" w:rsidP="00072E7F">
      <w:pPr>
        <w:pStyle w:val="Citation-AltC"/>
        <w:ind w:firstLine="274"/>
        <w:rPr>
          <w:lang w:val="en" w:eastAsia="en-US"/>
        </w:rPr>
      </w:pPr>
      <w:r w:rsidRPr="009D27E8">
        <w:rPr>
          <w:b/>
          <w:bCs/>
          <w:lang w:val="en" w:eastAsia="en-US"/>
        </w:rPr>
        <w:t>(c)</w:t>
      </w:r>
      <w:r w:rsidRPr="009D27E8">
        <w:rPr>
          <w:lang w:val="en" w:eastAsia="en-US"/>
        </w:rPr>
        <w:t> for the purpose of</w:t>
      </w:r>
    </w:p>
    <w:p w:rsidR="00A532A1" w:rsidRPr="009D27E8" w:rsidRDefault="00A532A1" w:rsidP="00072E7F">
      <w:pPr>
        <w:pStyle w:val="Citation-AltC"/>
        <w:ind w:firstLine="274"/>
        <w:rPr>
          <w:lang w:val="en" w:eastAsia="en-US"/>
        </w:rPr>
      </w:pPr>
    </w:p>
    <w:p w:rsidR="00072E7F" w:rsidRDefault="00F72416" w:rsidP="00072E7F">
      <w:pPr>
        <w:pStyle w:val="Citation-AltC"/>
        <w:jc w:val="center"/>
        <w:rPr>
          <w:bCs/>
          <w:lang w:val="en" w:eastAsia="en-US"/>
        </w:rPr>
      </w:pPr>
      <w:r>
        <w:rPr>
          <w:bCs/>
          <w:lang w:val="en" w:eastAsia="en-US"/>
        </w:rPr>
        <w:t>. . .</w:t>
      </w:r>
    </w:p>
    <w:p w:rsidR="00A532A1" w:rsidRPr="009D27E8" w:rsidRDefault="00A532A1" w:rsidP="00072E7F">
      <w:pPr>
        <w:pStyle w:val="Citation-AltC"/>
        <w:jc w:val="center"/>
        <w:rPr>
          <w:lang w:val="en" w:eastAsia="en-US"/>
        </w:rPr>
      </w:pPr>
    </w:p>
    <w:p w:rsidR="00072E7F" w:rsidRDefault="00072E7F" w:rsidP="00072E7F">
      <w:pPr>
        <w:pStyle w:val="Citation-AltC"/>
        <w:ind w:left="1714"/>
        <w:rPr>
          <w:lang w:val="en" w:eastAsia="en-US"/>
        </w:rPr>
      </w:pPr>
      <w:r w:rsidRPr="009D27E8">
        <w:rPr>
          <w:b/>
          <w:bCs/>
          <w:lang w:val="en" w:eastAsia="en-US"/>
        </w:rPr>
        <w:t>(ii)</w:t>
      </w:r>
      <w:r w:rsidRPr="009D27E8">
        <w:rPr>
          <w:lang w:val="en" w:eastAsia="en-US"/>
        </w:rPr>
        <w:t> meeting the reasonable business and legal expenses of a perso</w:t>
      </w:r>
      <w:r w:rsidR="00F72416">
        <w:rPr>
          <w:lang w:val="en" w:eastAsia="en-US"/>
        </w:rPr>
        <w:t>n referred to in subparagraph</w:t>
      </w:r>
      <w:r w:rsidR="00A532A1">
        <w:rPr>
          <w:lang w:val="en" w:eastAsia="en-US"/>
        </w:rPr>
        <w:t xml:space="preserve"> (i)</w:t>
      </w:r>
      <w:r w:rsidR="00F72416">
        <w:rPr>
          <w:lang w:val="en" w:eastAsia="en-US"/>
        </w:rPr>
        <w:t xml:space="preserve"> . . .</w:t>
      </w:r>
    </w:p>
    <w:p w:rsidR="00425F75" w:rsidRPr="009D27E8" w:rsidRDefault="00425F75" w:rsidP="00072E7F">
      <w:pPr>
        <w:pStyle w:val="Citation-AltC"/>
        <w:ind w:left="1714"/>
        <w:rPr>
          <w:lang w:val="en" w:eastAsia="en-US"/>
        </w:rPr>
      </w:pPr>
    </w:p>
    <w:p w:rsidR="00072E7F" w:rsidRDefault="00F72416" w:rsidP="00072E7F">
      <w:pPr>
        <w:pStyle w:val="Citation-AltC"/>
        <w:ind w:left="446" w:firstLine="720"/>
        <w:jc w:val="center"/>
        <w:rPr>
          <w:lang w:val="en" w:eastAsia="en-US"/>
        </w:rPr>
      </w:pPr>
      <w:r>
        <w:rPr>
          <w:lang w:val="en" w:eastAsia="en-US"/>
        </w:rPr>
        <w:t>. . .</w:t>
      </w:r>
    </w:p>
    <w:p w:rsidR="00425F75" w:rsidRPr="009D27E8" w:rsidRDefault="00425F75" w:rsidP="00072E7F">
      <w:pPr>
        <w:pStyle w:val="Citation-AltC"/>
        <w:ind w:left="446" w:firstLine="720"/>
        <w:jc w:val="center"/>
        <w:rPr>
          <w:lang w:val="en" w:eastAsia="en-US"/>
        </w:rPr>
      </w:pPr>
    </w:p>
    <w:p w:rsidR="00072E7F" w:rsidRPr="009D27E8" w:rsidRDefault="00072E7F" w:rsidP="00072E7F">
      <w:pPr>
        <w:pStyle w:val="Citation-AltC"/>
        <w:rPr>
          <w:lang w:val="en" w:eastAsia="en-US"/>
        </w:rPr>
      </w:pPr>
      <w:r w:rsidRPr="009D27E8">
        <w:rPr>
          <w:lang w:val="en" w:eastAsia="en-US"/>
        </w:rPr>
        <w:t xml:space="preserve">if the judge is satisfied that the applicant has no other assets or means available for the purposes set out in this paragraph and that no other person </w:t>
      </w:r>
      <w:r w:rsidRPr="009D27E8">
        <w:rPr>
          <w:lang w:val="en" w:eastAsia="en-US"/>
        </w:rPr>
        <w:lastRenderedPageBreak/>
        <w:t>appears to be the lawful owner of or lawfully entitle</w:t>
      </w:r>
      <w:r w:rsidR="005D0165">
        <w:rPr>
          <w:lang w:val="en" w:eastAsia="en-US"/>
        </w:rPr>
        <w:t>d to possession of the property.</w:t>
      </w:r>
    </w:p>
    <w:p w:rsidR="00072E7F" w:rsidRPr="009D27E8" w:rsidRDefault="00072E7F" w:rsidP="00072E7F">
      <w:pPr>
        <w:pStyle w:val="ParaNoNdepar-AltN"/>
        <w:rPr>
          <w:rFonts w:cs="Times New Roman"/>
        </w:rPr>
      </w:pPr>
      <w:r w:rsidRPr="009D27E8">
        <w:rPr>
          <w:rFonts w:cs="Times New Roman"/>
        </w:rPr>
        <w:t xml:space="preserve">In these return provisions, Parliament has allowed for tight judicial control over if, when, and how seized property may be returned to pay </w:t>
      </w:r>
      <w:r w:rsidR="00322356">
        <w:rPr>
          <w:rFonts w:cs="Times New Roman"/>
        </w:rPr>
        <w:t xml:space="preserve">for reasonable legal expenses. </w:t>
      </w:r>
      <w:r w:rsidRPr="009D27E8">
        <w:rPr>
          <w:rFonts w:cs="Times New Roman"/>
        </w:rPr>
        <w:t>Seized property can only be returned “if the judge is satisfied that the applicant has no other assets or means available” to pay for legal expenses (s. 462.34(4)(c)(ii)). These return provisions and process, as well as Parliament’s purpose in enacting them, will be explored in further detail in a subsequent section.</w:t>
      </w:r>
    </w:p>
    <w:p w:rsidR="00072E7F" w:rsidRPr="009D27E8" w:rsidRDefault="00072E7F" w:rsidP="00072E7F">
      <w:pPr>
        <w:pStyle w:val="ParaNoNdepar-AltN"/>
        <w:rPr>
          <w:rFonts w:cs="Times New Roman"/>
        </w:rPr>
      </w:pPr>
      <w:r w:rsidRPr="009D27E8">
        <w:rPr>
          <w:rFonts w:cs="Times New Roman"/>
        </w:rPr>
        <w:t xml:space="preserve"> Fourth, the Crown proves that certain property meets the statutory definition</w:t>
      </w:r>
      <w:r w:rsidR="004124CE">
        <w:rPr>
          <w:rFonts w:cs="Times New Roman"/>
        </w:rPr>
        <w:t xml:space="preserve"> of proceeds of crime under ss. </w:t>
      </w:r>
      <w:r w:rsidRPr="009D27E8">
        <w:rPr>
          <w:rFonts w:cs="Times New Roman"/>
        </w:rPr>
        <w:t>462</w:t>
      </w:r>
      <w:r w:rsidR="00322356">
        <w:rPr>
          <w:rFonts w:cs="Times New Roman"/>
        </w:rPr>
        <w:t xml:space="preserve">.37(1) or 462.37(2). </w:t>
      </w:r>
      <w:r w:rsidRPr="009D27E8">
        <w:rPr>
          <w:rFonts w:cs="Times New Roman"/>
        </w:rPr>
        <w:t xml:space="preserve">Only property determined to be “proceeds of crime” at the end of the process, whether at sentencing or a forfeiture hearing, is subject to forfeiture or a fine instead of forfeiture. </w:t>
      </w:r>
    </w:p>
    <w:p w:rsidR="00072E7F" w:rsidRPr="009D27E8" w:rsidRDefault="00072E7F" w:rsidP="00072E7F">
      <w:pPr>
        <w:pStyle w:val="ParaNoNdepar-AltN"/>
        <w:rPr>
          <w:rFonts w:cs="Times New Roman"/>
        </w:rPr>
      </w:pPr>
      <w:r w:rsidRPr="009D27E8">
        <w:rPr>
          <w:rFonts w:cs="Times New Roman"/>
        </w:rPr>
        <w:t>Fifth, some or all of the property proven to be proceeds of crime at sentencing is no longer available for forfeiture to the Crown. In such cases, the sentencing judge may order a “fine instead</w:t>
      </w:r>
      <w:r w:rsidR="004124CE">
        <w:rPr>
          <w:rFonts w:cs="Times New Roman"/>
        </w:rPr>
        <w:t xml:space="preserve"> of forfeiture” according to s. </w:t>
      </w:r>
      <w:r w:rsidRPr="009D27E8">
        <w:rPr>
          <w:rFonts w:cs="Times New Roman"/>
        </w:rPr>
        <w:t xml:space="preserve">462.37(3) and (4). The imposition of a fine is </w:t>
      </w:r>
      <w:r w:rsidR="004124CE">
        <w:rPr>
          <w:rFonts w:cs="Times New Roman"/>
        </w:rPr>
        <w:t>a discretionary decision and s. </w:t>
      </w:r>
      <w:r w:rsidRPr="009D27E8">
        <w:rPr>
          <w:rFonts w:cs="Times New Roman"/>
        </w:rPr>
        <w:t>462.37(3) sets out a non-exhaustive list of circumstances when a fine may be imposed instead of forfeiture, including where property “has been tr</w:t>
      </w:r>
      <w:r w:rsidR="004124CE">
        <w:rPr>
          <w:rFonts w:cs="Times New Roman"/>
        </w:rPr>
        <w:t>ansferred to a third party” (s. </w:t>
      </w:r>
      <w:r w:rsidRPr="009D27E8">
        <w:rPr>
          <w:rFonts w:cs="Times New Roman"/>
        </w:rPr>
        <w:t>462.37(3)(b)).</w:t>
      </w:r>
      <w:r w:rsidR="004124CE">
        <w:rPr>
          <w:rFonts w:cs="Times New Roman"/>
        </w:rPr>
        <w:t xml:space="preserve"> Subsection </w:t>
      </w:r>
      <w:r w:rsidR="00322356">
        <w:rPr>
          <w:rFonts w:cs="Times New Roman"/>
        </w:rPr>
        <w:t>462.37(3) reads:</w:t>
      </w:r>
    </w:p>
    <w:p w:rsidR="00072E7F" w:rsidRPr="009D27E8" w:rsidRDefault="00072E7F" w:rsidP="00072E7F">
      <w:pPr>
        <w:pStyle w:val="Citation-AltC"/>
      </w:pPr>
      <w:r w:rsidRPr="009D27E8">
        <w:rPr>
          <w:b/>
        </w:rPr>
        <w:t xml:space="preserve">(3) </w:t>
      </w:r>
      <w:r w:rsidRPr="009D27E8">
        <w:t xml:space="preserve">If a court is satisfied that an order of forfeiture under subsection (1) or (2.01) should be made in respect of any property of an offender but that the </w:t>
      </w:r>
      <w:r w:rsidRPr="009D27E8">
        <w:lastRenderedPageBreak/>
        <w:t>property or any part of or interest in the property cannot be made subject to an order, the court may, instead of ordering the property or any part of or interest in the property to be forfeited, order the offender to pay a fine in an amount equal to the value of the property or the part of or interest in the property. In particular, a court may order the offender to pay a fine if the property or any part of or interest in the property</w:t>
      </w:r>
    </w:p>
    <w:p w:rsidR="00072E7F" w:rsidRPr="009D27E8" w:rsidRDefault="00072E7F" w:rsidP="00072E7F">
      <w:pPr>
        <w:pStyle w:val="Citation-AltC"/>
        <w:ind w:left="1440"/>
      </w:pPr>
      <w:r w:rsidRPr="009D27E8">
        <w:br/>
      </w:r>
      <w:r w:rsidRPr="009D27E8">
        <w:rPr>
          <w:b/>
        </w:rPr>
        <w:t>(a)</w:t>
      </w:r>
      <w:r w:rsidRPr="009D27E8">
        <w:t xml:space="preserve"> cannot, on the exercise of due diligence, be located;</w:t>
      </w:r>
    </w:p>
    <w:p w:rsidR="00072E7F" w:rsidRPr="009D27E8" w:rsidRDefault="00072E7F" w:rsidP="00072E7F">
      <w:pPr>
        <w:pStyle w:val="Citation-AltC"/>
        <w:ind w:left="1440"/>
      </w:pPr>
      <w:r w:rsidRPr="009D27E8">
        <w:br/>
      </w:r>
      <w:r w:rsidRPr="009D27E8">
        <w:rPr>
          <w:b/>
        </w:rPr>
        <w:t>(b)</w:t>
      </w:r>
      <w:r w:rsidRPr="009D27E8">
        <w:t xml:space="preserve"> has been transferred to a third party;</w:t>
      </w:r>
    </w:p>
    <w:p w:rsidR="00072E7F" w:rsidRPr="009D27E8" w:rsidRDefault="00072E7F" w:rsidP="00072E7F">
      <w:pPr>
        <w:pStyle w:val="Citation-AltC"/>
        <w:ind w:left="1440"/>
      </w:pPr>
      <w:r w:rsidRPr="009D27E8">
        <w:br/>
      </w:r>
      <w:r w:rsidRPr="009D27E8">
        <w:rPr>
          <w:b/>
        </w:rPr>
        <w:t>(c)</w:t>
      </w:r>
      <w:r w:rsidRPr="009D27E8">
        <w:t xml:space="preserve"> is located outside Canada;</w:t>
      </w:r>
    </w:p>
    <w:p w:rsidR="00072E7F" w:rsidRPr="009D27E8" w:rsidRDefault="00072E7F" w:rsidP="00072E7F">
      <w:pPr>
        <w:pStyle w:val="Citation-AltC"/>
        <w:ind w:left="1440"/>
      </w:pPr>
      <w:r w:rsidRPr="009D27E8">
        <w:br/>
      </w:r>
      <w:r w:rsidRPr="009D27E8">
        <w:rPr>
          <w:b/>
        </w:rPr>
        <w:t>(d)</w:t>
      </w:r>
      <w:r w:rsidRPr="009D27E8">
        <w:t xml:space="preserve"> has been substantially diminished in value or rendered worthless; or</w:t>
      </w:r>
    </w:p>
    <w:p w:rsidR="00072E7F" w:rsidRPr="009D27E8" w:rsidRDefault="00072E7F" w:rsidP="00072E7F">
      <w:pPr>
        <w:pStyle w:val="Citation-AltC"/>
        <w:ind w:left="1440"/>
      </w:pPr>
      <w:r w:rsidRPr="009D27E8">
        <w:br/>
      </w:r>
      <w:r w:rsidRPr="009D27E8">
        <w:rPr>
          <w:b/>
        </w:rPr>
        <w:t>(e)</w:t>
      </w:r>
      <w:r w:rsidRPr="009D27E8">
        <w:t xml:space="preserve"> has been commingled with other property that cannot be divided without difficulty.</w:t>
      </w:r>
    </w:p>
    <w:p w:rsidR="00072E7F" w:rsidRPr="009D27E8" w:rsidRDefault="00072E7F" w:rsidP="00072E7F">
      <w:pPr>
        <w:pStyle w:val="ParaNoNdepar-AltN"/>
        <w:numPr>
          <w:ilvl w:val="0"/>
          <w:numId w:val="0"/>
        </w:numPr>
        <w:rPr>
          <w:rFonts w:cs="Times New Roman"/>
        </w:rPr>
      </w:pPr>
      <w:r w:rsidRPr="009D27E8">
        <w:rPr>
          <w:rFonts w:cs="Times New Roman"/>
        </w:rPr>
        <w:t>When imposed, the fine must be equal to the amount proven to be proceeds of crime. An offender who fails to pay the fine is liable to an additional term of imprisonment (s. 462.37(4)).</w:t>
      </w:r>
    </w:p>
    <w:p w:rsidR="00072E7F" w:rsidRPr="009D27E8" w:rsidRDefault="00072E7F" w:rsidP="00072E7F">
      <w:pPr>
        <w:pStyle w:val="Title2LevelTitre2Niveau"/>
        <w:numPr>
          <w:ilvl w:val="1"/>
          <w:numId w:val="32"/>
        </w:numPr>
        <w:rPr>
          <w:rFonts w:cs="Times New Roman"/>
        </w:rPr>
      </w:pPr>
      <w:r w:rsidRPr="009D27E8">
        <w:rPr>
          <w:rFonts w:cs="Times New Roman"/>
        </w:rPr>
        <w:t>The Multiple Purposes of the Proceeds of Crime Regime</w:t>
      </w:r>
    </w:p>
    <w:p w:rsidR="00072E7F" w:rsidRPr="009D27E8" w:rsidRDefault="00072E7F" w:rsidP="0011176A">
      <w:pPr>
        <w:pStyle w:val="Title3LevelTitre3Niveau"/>
        <w:numPr>
          <w:ilvl w:val="2"/>
          <w:numId w:val="9"/>
        </w:numPr>
        <w:tabs>
          <w:tab w:val="clear" w:pos="-198"/>
          <w:tab w:val="num" w:pos="1134"/>
        </w:tabs>
        <w:ind w:left="1134" w:hanging="567"/>
        <w:rPr>
          <w:rFonts w:cs="Times New Roman"/>
        </w:rPr>
      </w:pPr>
      <w:r w:rsidRPr="009D27E8">
        <w:rPr>
          <w:rFonts w:cs="Times New Roman"/>
        </w:rPr>
        <w:t>General Principles</w:t>
      </w:r>
    </w:p>
    <w:p w:rsidR="00072E7F" w:rsidRPr="009D27E8" w:rsidRDefault="00072E7F" w:rsidP="00072E7F">
      <w:pPr>
        <w:pStyle w:val="ParaNoNdepar-AltN"/>
        <w:rPr>
          <w:rFonts w:cs="Times New Roman"/>
        </w:rPr>
      </w:pPr>
      <w:r w:rsidRPr="009D27E8">
        <w:rPr>
          <w:rFonts w:cs="Times New Roman"/>
        </w:rPr>
        <w:t>I accept that Parliament had several objectives in mind when it enacted this comprehensive proceeds of crime regime: what Professor Sullivan refers to as “the desired mix of goals” (</w:t>
      </w:r>
      <w:r w:rsidRPr="009D27E8">
        <w:rPr>
          <w:rFonts w:cs="Times New Roman"/>
          <w:i/>
        </w:rPr>
        <w:t>Sullivan on the Construction of Statutes</w:t>
      </w:r>
      <w:r w:rsidRPr="009D27E8">
        <w:rPr>
          <w:rFonts w:cs="Times New Roman"/>
        </w:rPr>
        <w:t xml:space="preserve"> (6th ed. 2014), at p. 409). </w:t>
      </w:r>
    </w:p>
    <w:p w:rsidR="00072E7F" w:rsidRPr="009D27E8" w:rsidRDefault="00072E7F" w:rsidP="00072E7F">
      <w:pPr>
        <w:pStyle w:val="ParaNoNdepar-AltN"/>
        <w:rPr>
          <w:rFonts w:cs="Times New Roman"/>
        </w:rPr>
      </w:pPr>
      <w:r w:rsidRPr="009D27E8">
        <w:rPr>
          <w:rFonts w:cs="Times New Roman"/>
        </w:rPr>
        <w:lastRenderedPageBreak/>
        <w:t>When interpreting a complex scheme such as this one, it is necessary to avoid fixating on one objecti</w:t>
      </w:r>
      <w:r w:rsidR="00322356">
        <w:rPr>
          <w:rFonts w:cs="Times New Roman"/>
        </w:rPr>
        <w:t xml:space="preserve">ve to the exclusion of others. </w:t>
      </w:r>
      <w:r w:rsidRPr="009D27E8">
        <w:rPr>
          <w:rFonts w:cs="Times New Roman"/>
        </w:rPr>
        <w:t>As Professor Sullivan explains, secondary purposes must be given an active role in the statutory interpretation analysis:</w:t>
      </w:r>
    </w:p>
    <w:p w:rsidR="00072E7F" w:rsidRPr="009D27E8" w:rsidRDefault="00072E7F" w:rsidP="00072E7F">
      <w:pPr>
        <w:pStyle w:val="Citation-AltC"/>
        <w:ind w:firstLine="274"/>
      </w:pPr>
      <w:r w:rsidRPr="009D27E8">
        <w:t xml:space="preserve">While legislation may be enacted to promote a primary policy or principle, the primary goals of legislation are almost never pursued single-mindedly or whole-heartedly; various secondary principles and policies are inevitably included in a way that qualifies or modifies the pursuit of the primary goals. Observing the principles of fairness or natural justice, for example, may preclude adopting the most efficient and cost-effective means of pursuing a </w:t>
      </w:r>
      <w:r w:rsidR="00E90B27">
        <w:t>policy like national security . </w:t>
      </w:r>
      <w:r w:rsidRPr="009D27E8">
        <w:t>.</w:t>
      </w:r>
      <w:r w:rsidR="00E90B27">
        <w:t> </w:t>
      </w:r>
      <w:r w:rsidRPr="009D27E8">
        <w:t>.</w:t>
      </w:r>
      <w:r w:rsidR="00D06554">
        <w:t> .</w:t>
      </w:r>
    </w:p>
    <w:p w:rsidR="00072E7F" w:rsidRPr="009D27E8" w:rsidRDefault="00072E7F" w:rsidP="00072E7F">
      <w:pPr>
        <w:pStyle w:val="Citation-AltC"/>
        <w:ind w:firstLine="274"/>
      </w:pPr>
    </w:p>
    <w:p w:rsidR="00072E7F" w:rsidRPr="009D27E8" w:rsidRDefault="00072E7F" w:rsidP="00072E7F">
      <w:pPr>
        <w:pStyle w:val="Citation-AltC"/>
      </w:pPr>
      <w:r w:rsidRPr="009D27E8">
        <w:tab/>
        <w:t>Secondary purposes are not often mentioned in the preamble to legislation or in formal purpose statements. It is through analysis of the legislative scheme, and more particularly through analysis of the relation of each provision to the others in the Act, that these secondary purposes are revealed. [Footnotes omitted; p. 271.]</w:t>
      </w:r>
    </w:p>
    <w:p w:rsidR="00072E7F" w:rsidRPr="009D27E8" w:rsidRDefault="00072E7F" w:rsidP="00072E7F">
      <w:pPr>
        <w:pStyle w:val="ContinueParaSuitedupar-AltP"/>
        <w:rPr>
          <w:rFonts w:cs="Times New Roman"/>
        </w:rPr>
      </w:pPr>
      <w:r w:rsidRPr="009D27E8">
        <w:rPr>
          <w:rFonts w:cs="Times New Roman"/>
        </w:rPr>
        <w:t xml:space="preserve">Likewise, in </w:t>
      </w:r>
      <w:r w:rsidRPr="009D27E8">
        <w:rPr>
          <w:rFonts w:cs="Times New Roman"/>
          <w:i/>
        </w:rPr>
        <w:t>Sun Indalex Finance, LLC v. United Steelworkers</w:t>
      </w:r>
      <w:r w:rsidRPr="009D27E8">
        <w:rPr>
          <w:rFonts w:cs="Times New Roman"/>
        </w:rPr>
        <w:t>, 2013 SCC 6, [2013] 1 S.C.R. 271, Cromwell J. cautioned that primary legislative purposes, however important, “are not pursued at all costs and are clearly intended to be balanced with other important interests within the context of a carefully calibrated scheme” (para.</w:t>
      </w:r>
      <w:r w:rsidR="000E2563">
        <w:rPr>
          <w:rFonts w:cs="Times New Roman"/>
        </w:rPr>
        <w:t> </w:t>
      </w:r>
      <w:r w:rsidRPr="009D27E8">
        <w:rPr>
          <w:rFonts w:cs="Times New Roman"/>
        </w:rPr>
        <w:t xml:space="preserve">174). In other words, the overarching purpose of a legislative </w:t>
      </w:r>
      <w:r w:rsidRPr="009D27E8">
        <w:rPr>
          <w:rFonts w:cs="Times New Roman"/>
          <w:i/>
        </w:rPr>
        <w:t>scheme</w:t>
      </w:r>
      <w:r w:rsidRPr="009D27E8">
        <w:rPr>
          <w:rFonts w:cs="Times New Roman"/>
        </w:rPr>
        <w:t xml:space="preserve"> informs, but need not be the decisive factor in the interpretation of a particular </w:t>
      </w:r>
      <w:r w:rsidRPr="009D27E8">
        <w:rPr>
          <w:rFonts w:cs="Times New Roman"/>
          <w:i/>
        </w:rPr>
        <w:t xml:space="preserve">provision </w:t>
      </w:r>
      <w:r w:rsidR="00322356">
        <w:rPr>
          <w:rFonts w:cs="Times New Roman"/>
        </w:rPr>
        <w:t>within that scheme.</w:t>
      </w:r>
    </w:p>
    <w:p w:rsidR="00072E7F" w:rsidRPr="009D27E8" w:rsidRDefault="00072E7F" w:rsidP="00072E7F">
      <w:pPr>
        <w:pStyle w:val="ParaNoNdepar-AltN"/>
        <w:rPr>
          <w:rFonts w:cs="Times New Roman"/>
        </w:rPr>
      </w:pPr>
      <w:r w:rsidRPr="009D27E8">
        <w:rPr>
          <w:rFonts w:cs="Times New Roman"/>
        </w:rPr>
        <w:t xml:space="preserve">Keeping these principles in mind, it is necessary to: address both the decision of this Court in </w:t>
      </w:r>
      <w:r w:rsidRPr="009D27E8">
        <w:rPr>
          <w:rFonts w:cs="Times New Roman"/>
          <w:i/>
        </w:rPr>
        <w:t>Lavigne</w:t>
      </w:r>
      <w:r w:rsidRPr="009D27E8">
        <w:rPr>
          <w:rFonts w:cs="Times New Roman"/>
        </w:rPr>
        <w:t xml:space="preserve"> and how it does not provide the answer to the issue in this case; assess how the return process was intended to work given that a sentencing </w:t>
      </w:r>
      <w:r w:rsidRPr="009D27E8">
        <w:rPr>
          <w:rFonts w:cs="Times New Roman"/>
        </w:rPr>
        <w:lastRenderedPageBreak/>
        <w:t>judge subsequently has a discretion to impose a fine instead of forfeiture; and canvass the particular purposes animating the return provisions.</w:t>
      </w:r>
    </w:p>
    <w:p w:rsidR="00072E7F" w:rsidRPr="009D27E8" w:rsidRDefault="00072E7F" w:rsidP="0011176A">
      <w:pPr>
        <w:pStyle w:val="Title3LevelTitre3Niveau"/>
        <w:numPr>
          <w:ilvl w:val="2"/>
          <w:numId w:val="9"/>
        </w:numPr>
        <w:tabs>
          <w:tab w:val="clear" w:pos="-198"/>
          <w:tab w:val="num" w:pos="1134"/>
        </w:tabs>
        <w:ind w:left="1134" w:hanging="567"/>
        <w:rPr>
          <w:rFonts w:cs="Times New Roman"/>
        </w:rPr>
      </w:pPr>
      <w:r w:rsidRPr="009D27E8">
        <w:rPr>
          <w:rFonts w:cs="Times New Roman"/>
        </w:rPr>
        <w:t xml:space="preserve">The </w:t>
      </w:r>
      <w:r w:rsidRPr="009D27E8">
        <w:rPr>
          <w:rFonts w:cs="Times New Roman"/>
          <w:i/>
        </w:rPr>
        <w:t xml:space="preserve">Lavigne </w:t>
      </w:r>
      <w:r w:rsidRPr="009D27E8">
        <w:rPr>
          <w:rFonts w:cs="Times New Roman"/>
        </w:rPr>
        <w:t>decision</w:t>
      </w:r>
    </w:p>
    <w:p w:rsidR="00072E7F" w:rsidRPr="009D27E8" w:rsidRDefault="00072E7F" w:rsidP="00072E7F">
      <w:pPr>
        <w:pStyle w:val="ParaNoNdepar-AltN"/>
        <w:rPr>
          <w:rFonts w:cs="Times New Roman"/>
        </w:rPr>
      </w:pPr>
      <w:r w:rsidRPr="009D27E8">
        <w:rPr>
          <w:rFonts w:cs="Times New Roman"/>
        </w:rPr>
        <w:t xml:space="preserve">This Court addressed the general objectives of the proceeds of crime regime and the fine instead of forfeiture provision in </w:t>
      </w:r>
      <w:r w:rsidRPr="009D27E8">
        <w:rPr>
          <w:rFonts w:cs="Times New Roman"/>
          <w:i/>
        </w:rPr>
        <w:t>Lavigne</w:t>
      </w:r>
      <w:r w:rsidRPr="009D27E8">
        <w:rPr>
          <w:rFonts w:cs="Times New Roman"/>
        </w:rPr>
        <w:t xml:space="preserve">. The legal issue in </w:t>
      </w:r>
      <w:r w:rsidRPr="009D27E8">
        <w:rPr>
          <w:rFonts w:cs="Times New Roman"/>
          <w:i/>
        </w:rPr>
        <w:t>Lavigne</w:t>
      </w:r>
      <w:r w:rsidRPr="009D27E8">
        <w:rPr>
          <w:rFonts w:cs="Times New Roman"/>
        </w:rPr>
        <w:t xml:space="preserve"> was whether sentencing judges could take an offender’s ability to pay into account when determining whether to impose a fine instead of forfeiture, and the amount of the fine. Mr. Lavigne admitted he had received $150,000 from his criminal enterprise, but argued that he did not benefit from the money because it was spent “on his friends and family” (para. 3). This Court held that Parliament had not intended for Mr. Lavigne’s inability to pay a fine to be a factor considered by the sentencing judge when deciding whether to impose a fine instead of forfeiture. To allow him to claim impecuniosity, and to reduce the amount of that fine by what he chose to spend on gifts and other purchases for his friends and family, would effectively allow Mr. Lavigne to benefit from his crimes in a manner that would defeat the purposes underlying the proceeds of crime regime.</w:t>
      </w:r>
    </w:p>
    <w:p w:rsidR="00072E7F" w:rsidRPr="009D27E8" w:rsidRDefault="00072E7F" w:rsidP="00072E7F">
      <w:pPr>
        <w:pStyle w:val="ParaNoNdepar-AltN"/>
        <w:rPr>
          <w:rFonts w:cs="Times New Roman"/>
        </w:rPr>
      </w:pPr>
      <w:r w:rsidRPr="009D27E8">
        <w:rPr>
          <w:rFonts w:cs="Times New Roman"/>
        </w:rPr>
        <w:t xml:space="preserve">In </w:t>
      </w:r>
      <w:r w:rsidRPr="009D27E8">
        <w:rPr>
          <w:rFonts w:cs="Times New Roman"/>
          <w:i/>
        </w:rPr>
        <w:t>Lavigne</w:t>
      </w:r>
      <w:r w:rsidRPr="006F06D1">
        <w:rPr>
          <w:rFonts w:cs="Times New Roman"/>
        </w:rPr>
        <w:t xml:space="preserve">, </w:t>
      </w:r>
      <w:r w:rsidRPr="009D27E8">
        <w:rPr>
          <w:rFonts w:cs="Times New Roman"/>
        </w:rPr>
        <w:t>this Court found that sentencing judges should exercise their discretion to order a fine instead of forfeiture in a way that does not undermine the objectives of the proceeds of crime regime. This Court held that Parliament’s primary, or overall, goal in the proceeds of crime regime was to ensure that profit-generating offences do not “benefit the offender”, and “to ensure that crime doe</w:t>
      </w:r>
      <w:r w:rsidR="00322356">
        <w:rPr>
          <w:rFonts w:cs="Times New Roman"/>
        </w:rPr>
        <w:t xml:space="preserve">s not pay” </w:t>
      </w:r>
      <w:r w:rsidR="00322356">
        <w:rPr>
          <w:rFonts w:cs="Times New Roman"/>
        </w:rPr>
        <w:lastRenderedPageBreak/>
        <w:t>(para.</w:t>
      </w:r>
      <w:r w:rsidR="006F06D1">
        <w:rPr>
          <w:rFonts w:cs="Times New Roman"/>
        </w:rPr>
        <w:t> </w:t>
      </w:r>
      <w:r w:rsidR="00322356">
        <w:rPr>
          <w:rFonts w:cs="Times New Roman"/>
        </w:rPr>
        <w:t xml:space="preserve">10). </w:t>
      </w:r>
      <w:r w:rsidRPr="009D27E8">
        <w:rPr>
          <w:rFonts w:cs="Times New Roman"/>
        </w:rPr>
        <w:t>The forfeiture provision was intended “to deprive the offender and the criminal organization of the proceeds of their crime and to deter them from committing crimes in the future” (</w:t>
      </w:r>
      <w:r w:rsidRPr="009D27E8">
        <w:rPr>
          <w:rFonts w:cs="Times New Roman"/>
          <w:i/>
        </w:rPr>
        <w:t>Lavigne</w:t>
      </w:r>
      <w:r w:rsidRPr="009D27E8">
        <w:rPr>
          <w:rFonts w:cs="Times New Roman"/>
        </w:rPr>
        <w:t xml:space="preserve">, at para. 16; also see para. 23). In order to accomplish this, it was necessary to prevent accused persons from avoiding forfeiture by hiding or dissipating property. Thus, the seizure provisions allow the state to take control of property believed to be proceeds of crime before trial and sentencing, to ensure it remains available for possible forfeiture. Likewise, the fine instead of forfeiture provision ensures that, if accused persons were able to keep proceeds of crime from the state throughout the criminal proceedings, they must in the end pay a fine equivalent to the value of the property that is not available to be forfeited. As observed in </w:t>
      </w:r>
      <w:r w:rsidRPr="009D27E8">
        <w:rPr>
          <w:rFonts w:cs="Times New Roman"/>
          <w:i/>
        </w:rPr>
        <w:t>Lavigne</w:t>
      </w:r>
      <w:r w:rsidRPr="009D27E8">
        <w:rPr>
          <w:rFonts w:cs="Times New Roman"/>
        </w:rPr>
        <w:t>, this ensures “that the proceeds of a crime do not indirectly benefit those who committed it” (para. 18).</w:t>
      </w:r>
    </w:p>
    <w:p w:rsidR="00072E7F" w:rsidRPr="009D27E8" w:rsidRDefault="00072E7F" w:rsidP="00072E7F">
      <w:pPr>
        <w:pStyle w:val="ParaNoNdepar-AltN"/>
        <w:rPr>
          <w:rFonts w:cs="Times New Roman"/>
        </w:rPr>
      </w:pPr>
      <w:r w:rsidRPr="009D27E8">
        <w:rPr>
          <w:rFonts w:cs="Times New Roman"/>
        </w:rPr>
        <w:t xml:space="preserve">However, </w:t>
      </w:r>
      <w:r w:rsidRPr="009D27E8">
        <w:rPr>
          <w:rFonts w:cs="Times New Roman"/>
          <w:i/>
        </w:rPr>
        <w:t>Lavigne</w:t>
      </w:r>
      <w:r w:rsidRPr="009D27E8">
        <w:rPr>
          <w:rFonts w:cs="Times New Roman"/>
        </w:rPr>
        <w:t xml:space="preserve"> did not involve the return provision at all. Thus, for our purposes, </w:t>
      </w:r>
      <w:r w:rsidRPr="009D27E8">
        <w:rPr>
          <w:rFonts w:cs="Times New Roman"/>
          <w:i/>
        </w:rPr>
        <w:t>Lavigne</w:t>
      </w:r>
      <w:r w:rsidRPr="009D27E8">
        <w:rPr>
          <w:rFonts w:cs="Times New Roman"/>
        </w:rPr>
        <w:t xml:space="preserve"> addressed some of Parliament’s objectives, and did not consider the separate purposes unde</w:t>
      </w:r>
      <w:r w:rsidR="00322356">
        <w:rPr>
          <w:rFonts w:cs="Times New Roman"/>
        </w:rPr>
        <w:t xml:space="preserve">rpinning the return provision. </w:t>
      </w:r>
      <w:r w:rsidRPr="009D27E8">
        <w:rPr>
          <w:rFonts w:cs="Times New Roman"/>
        </w:rPr>
        <w:t xml:space="preserve">This appeal, in contrast, turns on the return provision and its interaction with the other parts of the proceeds of crime regime; especially its relationship with the fine instead of forfeiture provision. It is therefore necessary in this case for the Court to determine how a judge’s discretion should be exercised in order to balance the objectives underlying the proceeds of crime regime as a whole and the specific additional objectives of the legal expenses return provision. The return provision shows that Parliament intended that other secondary objectives would have to be balanced against the primary objective of ensuring that </w:t>
      </w:r>
      <w:r w:rsidRPr="009D27E8">
        <w:rPr>
          <w:rFonts w:cs="Times New Roman"/>
        </w:rPr>
        <w:lastRenderedPageBreak/>
        <w:t>“crime does not pay”. As a result, the purposes behind the express and distinct return provision are now of crucial significance as they will inform how the return provision can be read harmoniously with the fine in</w:t>
      </w:r>
      <w:r w:rsidR="00322356">
        <w:rPr>
          <w:rFonts w:cs="Times New Roman"/>
        </w:rPr>
        <w:t>stead of forfeiture provision.</w:t>
      </w:r>
    </w:p>
    <w:p w:rsidR="00072E7F" w:rsidRPr="009D27E8" w:rsidRDefault="00072E7F" w:rsidP="0011176A">
      <w:pPr>
        <w:pStyle w:val="Title3LevelTitre3Niveau"/>
        <w:numPr>
          <w:ilvl w:val="2"/>
          <w:numId w:val="9"/>
        </w:numPr>
        <w:tabs>
          <w:tab w:val="clear" w:pos="-198"/>
          <w:tab w:val="num" w:pos="1134"/>
        </w:tabs>
        <w:ind w:left="1134" w:hanging="567"/>
        <w:rPr>
          <w:rFonts w:cs="Times New Roman"/>
        </w:rPr>
      </w:pPr>
      <w:r w:rsidRPr="009D27E8">
        <w:rPr>
          <w:rFonts w:cs="Times New Roman"/>
        </w:rPr>
        <w:t>The Return Process for Reasonable Legal Expenses</w:t>
      </w:r>
    </w:p>
    <w:p w:rsidR="00072E7F" w:rsidRPr="009D27E8" w:rsidRDefault="00072E7F" w:rsidP="00072E7F">
      <w:pPr>
        <w:pStyle w:val="ParaNoNdepar-AltN"/>
        <w:rPr>
          <w:rFonts w:cs="Times New Roman"/>
          <w:szCs w:val="20"/>
        </w:rPr>
      </w:pPr>
      <w:r w:rsidRPr="009D27E8">
        <w:rPr>
          <w:rFonts w:cs="Times New Roman"/>
        </w:rPr>
        <w:t>Through the return provision, Parliament created a distinct and special process that allows an accused to reclaim seized property for specific purposes listed in s. 462.34(4), which incl</w:t>
      </w:r>
      <w:r w:rsidR="00322356">
        <w:rPr>
          <w:rFonts w:cs="Times New Roman"/>
        </w:rPr>
        <w:t xml:space="preserve">ude reasonable legal expenses. </w:t>
      </w:r>
      <w:r w:rsidRPr="009D27E8">
        <w:rPr>
          <w:rFonts w:cs="Times New Roman"/>
        </w:rPr>
        <w:t xml:space="preserve">Parliament prescribed a particular application procedure, which involves two hearings before a judge; required applicants to show that they had no other assets or means; prohibited the return of the funds where a third party appeared to be the lawful owner or lawfully entitled to possession of the property; allowed a judge to decide what amount should be returned; ensured that any return is effected by judicial order that can specify amounts, number of counsel, etc.; and provided for a subsequent review of these amounts to ensure they were in fact reasonable. </w:t>
      </w:r>
    </w:p>
    <w:p w:rsidR="00072E7F" w:rsidRPr="009D27E8" w:rsidRDefault="00072E7F" w:rsidP="00072E7F">
      <w:pPr>
        <w:pStyle w:val="ParaNoNdepar-AltN"/>
        <w:rPr>
          <w:rFonts w:cs="Times New Roman"/>
          <w:szCs w:val="20"/>
        </w:rPr>
      </w:pPr>
      <w:r w:rsidRPr="009D27E8">
        <w:rPr>
          <w:rFonts w:cs="Times New Roman"/>
        </w:rPr>
        <w:t xml:space="preserve"> Often, a proposed budget is submitted to the court </w:t>
      </w:r>
      <w:r w:rsidRPr="009D27E8">
        <w:rPr>
          <w:rFonts w:cs="Times New Roman"/>
          <w:i/>
        </w:rPr>
        <w:t xml:space="preserve">in camera </w:t>
      </w:r>
      <w:r w:rsidRPr="009D27E8">
        <w:rPr>
          <w:rFonts w:cs="Times New Roman"/>
        </w:rPr>
        <w:t xml:space="preserve">(as in </w:t>
      </w:r>
      <w:r w:rsidRPr="009D27E8">
        <w:rPr>
          <w:rFonts w:cs="Times New Roman"/>
          <w:i/>
        </w:rPr>
        <w:t>R. v. Davidson</w:t>
      </w:r>
      <w:r w:rsidR="00F756A4">
        <w:rPr>
          <w:rFonts w:cs="Times New Roman"/>
        </w:rPr>
        <w:t>, 2016 ONSC 7440, at para. </w:t>
      </w:r>
      <w:r w:rsidRPr="009D27E8">
        <w:rPr>
          <w:rFonts w:cs="Times New Roman"/>
        </w:rPr>
        <w:t>21 (CanLII)), but where this is not done, the judge may fix the allowable hours and incidental fees (</w:t>
      </w:r>
      <w:r w:rsidRPr="009D27E8">
        <w:rPr>
          <w:rFonts w:cs="Times New Roman"/>
          <w:i/>
        </w:rPr>
        <w:t>R. v. Alves</w:t>
      </w:r>
      <w:r w:rsidR="00F756A4">
        <w:rPr>
          <w:rFonts w:cs="Times New Roman"/>
        </w:rPr>
        <w:t>, 2015 ONSC 4489, at paras. 46-51</w:t>
      </w:r>
      <w:r w:rsidR="00F42A79">
        <w:rPr>
          <w:rFonts w:cs="Times New Roman"/>
        </w:rPr>
        <w:t xml:space="preserve"> (CanLII)</w:t>
      </w:r>
      <w:r w:rsidR="00F756A4">
        <w:rPr>
          <w:rFonts w:cs="Times New Roman"/>
        </w:rPr>
        <w:t>). Further, s. </w:t>
      </w:r>
      <w:r w:rsidRPr="009D27E8">
        <w:rPr>
          <w:rFonts w:cs="Times New Roman"/>
        </w:rPr>
        <w:t>462.34(5) requires the judge to “take into account the legal aid tariff</w:t>
      </w:r>
      <w:r w:rsidR="00F756A4">
        <w:rPr>
          <w:rFonts w:cs="Times New Roman"/>
        </w:rPr>
        <w:t xml:space="preserve"> of the province” and, under s. </w:t>
      </w:r>
      <w:r w:rsidRPr="009D27E8">
        <w:rPr>
          <w:rFonts w:cs="Times New Roman"/>
        </w:rPr>
        <w:t xml:space="preserve">462.34(5.2), the legal fees may be taxed (that is, reviewed or audited). The judge’s inquiry into the financial situation of the accused “must be more than cursory” and “[a] significant and in-depth review of </w:t>
      </w:r>
      <w:r w:rsidRPr="009D27E8">
        <w:rPr>
          <w:rFonts w:cs="Times New Roman"/>
        </w:rPr>
        <w:lastRenderedPageBreak/>
        <w:t>the facts is required” (</w:t>
      </w:r>
      <w:r w:rsidRPr="009D27E8">
        <w:rPr>
          <w:rFonts w:cs="Times New Roman"/>
          <w:i/>
        </w:rPr>
        <w:t>R. v. Borean</w:t>
      </w:r>
      <w:r w:rsidRPr="009D27E8">
        <w:rPr>
          <w:rFonts w:cs="Times New Roman"/>
        </w:rPr>
        <w:t xml:space="preserve">, 2007 NBQB 335, 321 N.B.R. (2d) 309, at para. 8). The seized funds will then be returned in accordance with the terms of the judicial order. </w:t>
      </w:r>
    </w:p>
    <w:p w:rsidR="00072E7F" w:rsidRDefault="00072E7F" w:rsidP="00072E7F">
      <w:pPr>
        <w:pStyle w:val="ParaNoNdepar-AltN"/>
        <w:rPr>
          <w:rFonts w:cs="Times New Roman"/>
          <w:szCs w:val="20"/>
        </w:rPr>
      </w:pPr>
      <w:r w:rsidRPr="009D27E8">
        <w:rPr>
          <w:rFonts w:cs="Times New Roman"/>
        </w:rPr>
        <w:t xml:space="preserve">The wording of the relevant provisions and the elaborate and detailed nature of the return provision indicate that Parliament clearly and deliberately </w:t>
      </w:r>
      <w:r w:rsidRPr="009D27E8">
        <w:rPr>
          <w:rFonts w:cs="Times New Roman"/>
          <w:szCs w:val="20"/>
        </w:rPr>
        <w:t>sought to address an accused’s need for legal counsel, but only in limited and narrow circumstances: (1) where the accused has “no other assets or means” and, therefore, access to the funds is truly necessary; and (2) where “</w:t>
      </w:r>
      <w:r w:rsidRPr="009D27E8">
        <w:rPr>
          <w:rFonts w:cs="Times New Roman"/>
          <w:lang w:val="en"/>
        </w:rPr>
        <w:t>no other person appears to be the lawful owner of or lawfully entitled to possession of the property” (s. 462.34(4))</w:t>
      </w:r>
      <w:r w:rsidRPr="009D27E8">
        <w:rPr>
          <w:rFonts w:cs="Times New Roman"/>
          <w:szCs w:val="20"/>
        </w:rPr>
        <w:t>. The return provision is thus intended to provide a safety net for those accused per</w:t>
      </w:r>
      <w:r w:rsidR="002C3B96">
        <w:rPr>
          <w:rFonts w:cs="Times New Roman"/>
          <w:szCs w:val="20"/>
        </w:rPr>
        <w:t>sons who are in financial need.</w:t>
      </w:r>
    </w:p>
    <w:p w:rsidR="00072E7F" w:rsidRPr="009D27E8" w:rsidRDefault="00072E7F" w:rsidP="0011176A">
      <w:pPr>
        <w:pStyle w:val="Title3LevelTitre3Niveau"/>
        <w:numPr>
          <w:ilvl w:val="2"/>
          <w:numId w:val="9"/>
        </w:numPr>
        <w:tabs>
          <w:tab w:val="clear" w:pos="-198"/>
          <w:tab w:val="num" w:pos="1134"/>
        </w:tabs>
        <w:ind w:left="1134" w:hanging="567"/>
        <w:rPr>
          <w:rFonts w:cs="Times New Roman"/>
        </w:rPr>
      </w:pPr>
      <w:r w:rsidRPr="009D27E8">
        <w:rPr>
          <w:rFonts w:cs="Times New Roman"/>
        </w:rPr>
        <w:t>The Purposes of the Return Provision</w:t>
      </w:r>
    </w:p>
    <w:p w:rsidR="00072E7F" w:rsidRPr="009D27E8" w:rsidRDefault="00072E7F" w:rsidP="00072E7F">
      <w:pPr>
        <w:pStyle w:val="ParaNoNdepar-AltN"/>
        <w:rPr>
          <w:rFonts w:cs="Times New Roman"/>
        </w:rPr>
      </w:pPr>
      <w:r w:rsidRPr="009D27E8">
        <w:rPr>
          <w:rFonts w:cs="Times New Roman"/>
        </w:rPr>
        <w:t>A review of the Parliamentary debates during the enactment of the proceeds of crime regime reveals two objectives that underpin the legal expenses return provision under s. 462.34(4)(c)(ii): (1) providing access to counsel; and (2) giving meaningful weight to the presumption of i</w:t>
      </w:r>
      <w:r w:rsidR="00322356">
        <w:rPr>
          <w:rFonts w:cs="Times New Roman"/>
        </w:rPr>
        <w:t xml:space="preserve">nnocence. </w:t>
      </w:r>
      <w:r w:rsidRPr="009D27E8">
        <w:rPr>
          <w:rFonts w:cs="Times New Roman"/>
        </w:rPr>
        <w:t>These objectives reflect an underlying intention to promote fairness in criminal prosecutions that runs through the proceeds of crime scheme established by Parliament.</w:t>
      </w:r>
    </w:p>
    <w:p w:rsidR="00072E7F" w:rsidRPr="009D27E8" w:rsidRDefault="00072E7F" w:rsidP="00072E7F">
      <w:pPr>
        <w:pStyle w:val="ParaNoNdepar-AltN"/>
        <w:rPr>
          <w:rFonts w:cs="Times New Roman"/>
        </w:rPr>
      </w:pPr>
      <w:r w:rsidRPr="009D27E8">
        <w:rPr>
          <w:rFonts w:cs="Times New Roman"/>
        </w:rPr>
        <w:lastRenderedPageBreak/>
        <w:t xml:space="preserve">In testimony before the legislative committee studying the bill that introduced the proceeds of crime regime in the </w:t>
      </w:r>
      <w:r w:rsidRPr="009D27E8">
        <w:rPr>
          <w:rFonts w:cs="Times New Roman"/>
          <w:i/>
        </w:rPr>
        <w:t>Code</w:t>
      </w:r>
      <w:r w:rsidRPr="009D27E8">
        <w:rPr>
          <w:rFonts w:cs="Times New Roman"/>
        </w:rPr>
        <w:t>, the Minister of Justice indicated that:</w:t>
      </w:r>
    </w:p>
    <w:p w:rsidR="00072E7F" w:rsidRPr="009D27E8" w:rsidRDefault="00072E7F" w:rsidP="00072E7F">
      <w:pPr>
        <w:pStyle w:val="Citation-AltC"/>
      </w:pPr>
      <w:r w:rsidRPr="009D27E8">
        <w:t>[T]hese measures guarantee the rights of innocent third parties and ensure safe</w:t>
      </w:r>
      <w:r w:rsidR="00F72416">
        <w:t>guards for the accused person. . . .</w:t>
      </w:r>
      <w:r w:rsidRPr="009D27E8">
        <w:t xml:space="preserve"> There is nothing in the bill to change the guarantees of the presumption of innocence or the requirement that guilt be established beyond a reasonable doubt at the time of trial.</w:t>
      </w:r>
    </w:p>
    <w:p w:rsidR="00072E7F" w:rsidRPr="009D27E8" w:rsidRDefault="00072E7F" w:rsidP="00072E7F">
      <w:pPr>
        <w:pStyle w:val="Citation-AltC"/>
      </w:pPr>
    </w:p>
    <w:p w:rsidR="00072E7F" w:rsidRPr="009D27E8" w:rsidRDefault="00072E7F" w:rsidP="00060FC0">
      <w:pPr>
        <w:pStyle w:val="Citation-AltC"/>
        <w:ind w:left="0"/>
      </w:pPr>
      <w:r w:rsidRPr="009D27E8">
        <w:t xml:space="preserve">(House of Commons, </w:t>
      </w:r>
      <w:r w:rsidRPr="009D27E8">
        <w:rPr>
          <w:i/>
        </w:rPr>
        <w:t>Minutes of Proceedings and Evidence of the Leg</w:t>
      </w:r>
      <w:r>
        <w:rPr>
          <w:i/>
        </w:rPr>
        <w:t>islative Committee on Bill C-61:</w:t>
      </w:r>
      <w:r w:rsidRPr="009D27E8">
        <w:rPr>
          <w:i/>
        </w:rPr>
        <w:t xml:space="preserve"> An Act to amend the Criminal Code, the Food and Drugs Act and the Narcotic Act</w:t>
      </w:r>
      <w:r w:rsidRPr="009D27E8">
        <w:t>, No. 1, 2nd Sess., 33rd Parl., November 5, 1987, at p. 1:8)</w:t>
      </w:r>
    </w:p>
    <w:p w:rsidR="00072E7F" w:rsidRPr="009D27E8" w:rsidRDefault="00072E7F" w:rsidP="00072E7F">
      <w:pPr>
        <w:pStyle w:val="ContinueParaSuitedupar-AltP"/>
        <w:rPr>
          <w:rFonts w:cs="Times New Roman"/>
        </w:rPr>
      </w:pPr>
      <w:r w:rsidRPr="009D27E8">
        <w:rPr>
          <w:rFonts w:cs="Times New Roman"/>
        </w:rPr>
        <w:t>In later testimony, the Minister underscored the goal of fairness:</w:t>
      </w:r>
    </w:p>
    <w:p w:rsidR="00072E7F" w:rsidRPr="009D27E8" w:rsidRDefault="00072E7F" w:rsidP="00072E7F">
      <w:pPr>
        <w:pStyle w:val="Citation-AltC"/>
      </w:pPr>
      <w:r w:rsidRPr="009D27E8">
        <w:t>[T]his proposal is intended to be a tough and effective tool against enterprise crime. I would, however, remind everyone of my continued intention to create a fair procedure in relation to accused persons as well as to innocent third parties who become involved with crime proceeds.</w:t>
      </w:r>
    </w:p>
    <w:p w:rsidR="00072E7F" w:rsidRPr="009D27E8" w:rsidRDefault="00072E7F" w:rsidP="00072E7F">
      <w:pPr>
        <w:pStyle w:val="Citation-AltC"/>
      </w:pPr>
    </w:p>
    <w:p w:rsidR="00072E7F" w:rsidRPr="009D27E8" w:rsidRDefault="00072E7F" w:rsidP="003342C9">
      <w:pPr>
        <w:pStyle w:val="Citation-AltC"/>
        <w:ind w:left="0"/>
      </w:pPr>
      <w:r w:rsidRPr="009D27E8">
        <w:t xml:space="preserve">(House of Commons, </w:t>
      </w:r>
      <w:r w:rsidRPr="009D27E8">
        <w:rPr>
          <w:i/>
        </w:rPr>
        <w:t>Minutes of Proceedings and Evidence of the Leg</w:t>
      </w:r>
      <w:r>
        <w:rPr>
          <w:i/>
        </w:rPr>
        <w:t>islative Committee on Bill C-61:</w:t>
      </w:r>
      <w:r w:rsidRPr="009D27E8">
        <w:rPr>
          <w:i/>
        </w:rPr>
        <w:t xml:space="preserve"> An Act to amend the Criminal Code, the Food and Drugs Act and the Narcotic Act</w:t>
      </w:r>
      <w:r w:rsidRPr="009D27E8">
        <w:t>, No. 5, 2nd Sess., 33rd Parl., May 10, 1988, at p. 5:5)</w:t>
      </w:r>
    </w:p>
    <w:p w:rsidR="00072E7F" w:rsidRPr="009D27E8" w:rsidRDefault="00072E7F" w:rsidP="00072E7F">
      <w:pPr>
        <w:pStyle w:val="ParaNoNdepar-AltN"/>
        <w:rPr>
          <w:rFonts w:cs="Times New Roman"/>
        </w:rPr>
      </w:pPr>
      <w:r w:rsidRPr="009D27E8">
        <w:rPr>
          <w:rFonts w:cs="Times New Roman"/>
        </w:rPr>
        <w:t>The Minister went on to explain the legal expenses return provision:</w:t>
      </w:r>
    </w:p>
    <w:p w:rsidR="00072E7F" w:rsidRPr="009D27E8" w:rsidRDefault="00072E7F" w:rsidP="00072E7F">
      <w:pPr>
        <w:pStyle w:val="Citation-AltC"/>
        <w:ind w:firstLine="274"/>
      </w:pPr>
      <w:r w:rsidRPr="009D27E8">
        <w:t xml:space="preserve">I believe that this provision does strike a reasonable balance between the right to counsel of choice and the interest of state and forfeiture of </w:t>
      </w:r>
      <w:r w:rsidR="00335B39">
        <w:t>the illicit proceeds of crime. </w:t>
      </w:r>
      <w:r w:rsidR="00F72416">
        <w:t>. . .</w:t>
      </w:r>
      <w:r w:rsidRPr="009D27E8">
        <w:t xml:space="preserve"> The provision of allowing an application for reasonable legal fees is in fact a notable improvement to the present law, and one which I think we have to acknowledge will ensure the constitutional right to retain and instruct counsel.</w:t>
      </w:r>
    </w:p>
    <w:p w:rsidR="00072E7F" w:rsidRPr="009D27E8" w:rsidRDefault="00072E7F" w:rsidP="00072E7F">
      <w:pPr>
        <w:pStyle w:val="Citation-AltC"/>
      </w:pPr>
    </w:p>
    <w:p w:rsidR="00072E7F" w:rsidRPr="009D27E8" w:rsidRDefault="00072E7F" w:rsidP="00C91857">
      <w:pPr>
        <w:pStyle w:val="Citation-AltC"/>
        <w:ind w:left="0"/>
      </w:pPr>
      <w:r w:rsidRPr="009D27E8">
        <w:t xml:space="preserve">(House of Commons, </w:t>
      </w:r>
      <w:r w:rsidRPr="009D27E8">
        <w:rPr>
          <w:i/>
        </w:rPr>
        <w:t>Minutes</w:t>
      </w:r>
      <w:r w:rsidRPr="009D27E8">
        <w:t>, May 10, 1988, at p. 5:9)</w:t>
      </w:r>
    </w:p>
    <w:p w:rsidR="00072E7F" w:rsidRPr="009D27E8" w:rsidRDefault="00072E7F" w:rsidP="00072E7F">
      <w:pPr>
        <w:pStyle w:val="ParaNoNdepar-AltN"/>
        <w:rPr>
          <w:rFonts w:cs="Times New Roman"/>
        </w:rPr>
      </w:pPr>
      <w:r w:rsidRPr="009D27E8">
        <w:rPr>
          <w:rFonts w:cs="Times New Roman"/>
        </w:rPr>
        <w:lastRenderedPageBreak/>
        <w:t xml:space="preserve">At third reading, the Minister of Justice explained how these objectives underpinned the return and fine instead of forfeiture provisions: </w:t>
      </w:r>
    </w:p>
    <w:p w:rsidR="00072E7F" w:rsidRPr="009D27E8" w:rsidRDefault="00072E7F" w:rsidP="00072E7F">
      <w:pPr>
        <w:pStyle w:val="Citation-AltC"/>
      </w:pPr>
      <w:r w:rsidRPr="009D27E8">
        <w:t>A process of immediate judicial review of these powers [of seizure and restraint], upon application by the persons concerned, has been provided for and includes an opportunity for an accused person to claim the payments of reasonable living, business, and legal expenses out of the seized or restrained property.</w:t>
      </w:r>
    </w:p>
    <w:p w:rsidR="00072E7F" w:rsidRPr="009D27E8" w:rsidRDefault="00072E7F" w:rsidP="00072E7F">
      <w:pPr>
        <w:pStyle w:val="Citation-AltC"/>
      </w:pPr>
    </w:p>
    <w:p w:rsidR="00072E7F" w:rsidRPr="009D27E8" w:rsidRDefault="00072E7F" w:rsidP="00072E7F">
      <w:pPr>
        <w:pStyle w:val="Citation-AltC"/>
        <w:ind w:firstLine="274"/>
      </w:pPr>
      <w:r w:rsidRPr="009D27E8">
        <w:t>I must point out that these types of safeguards are unprecedented in Canadian law. In addition, the rights of third parties are recognized throughout the entire process of seizure, restraint, and forfeiture. The legislation has balanced an effective forfeiture mechanism with the constitutionally protected right to counsel in a manner that is characteristic of the Government’s approach to criminal matters and avoids the criticisms that have been levied at similar Ame</w:t>
      </w:r>
      <w:r w:rsidR="00975DCF">
        <w:t>rican legislation in this area.</w:t>
      </w:r>
    </w:p>
    <w:p w:rsidR="00072E7F" w:rsidRPr="009D27E8" w:rsidRDefault="00072E7F" w:rsidP="00975DCF">
      <w:pPr>
        <w:pStyle w:val="Citation-AltC"/>
        <w:ind w:left="0"/>
      </w:pPr>
    </w:p>
    <w:p w:rsidR="00072E7F" w:rsidRPr="009D27E8" w:rsidRDefault="00072E7F" w:rsidP="00975DCF">
      <w:pPr>
        <w:pStyle w:val="Citation-AltC"/>
        <w:ind w:left="0"/>
      </w:pPr>
      <w:r w:rsidRPr="009D27E8">
        <w:t xml:space="preserve">(House of Commons, </w:t>
      </w:r>
      <w:r w:rsidRPr="009D27E8">
        <w:rPr>
          <w:i/>
        </w:rPr>
        <w:t>Debates</w:t>
      </w:r>
      <w:r w:rsidRPr="009D27E8">
        <w:t>, vol. 14, 2nd Sess., 33</w:t>
      </w:r>
      <w:r w:rsidRPr="00A453B6">
        <w:t>rd</w:t>
      </w:r>
      <w:r w:rsidR="00322356">
        <w:t xml:space="preserve"> Parl., July 7, 1988, at p. </w:t>
      </w:r>
      <w:r w:rsidRPr="009D27E8">
        <w:t>17258)</w:t>
      </w:r>
    </w:p>
    <w:p w:rsidR="00072E7F" w:rsidRPr="009D27E8" w:rsidRDefault="00072E7F" w:rsidP="00072E7F">
      <w:pPr>
        <w:pStyle w:val="ParaNoNdepar-AltN"/>
        <w:rPr>
          <w:rFonts w:cs="Times New Roman"/>
        </w:rPr>
      </w:pPr>
      <w:r w:rsidRPr="009D27E8">
        <w:rPr>
          <w:rFonts w:cs="Times New Roman"/>
        </w:rPr>
        <w:t xml:space="preserve">The “criticisms </w:t>
      </w:r>
      <w:r w:rsidR="009E1014">
        <w:rPr>
          <w:rFonts w:cs="Times New Roman"/>
        </w:rPr>
        <w:t xml:space="preserve">. . . </w:t>
      </w:r>
      <w:r w:rsidRPr="009D27E8">
        <w:rPr>
          <w:rFonts w:cs="Times New Roman"/>
        </w:rPr>
        <w:t xml:space="preserve">levied at similar American legislation” referred to provisions that retroactively vested proceeds of crime in the state with no exception for legal fees. As Justice Veit observed in </w:t>
      </w:r>
      <w:r w:rsidRPr="009D27E8">
        <w:rPr>
          <w:rFonts w:cs="Times New Roman"/>
          <w:i/>
          <w:lang w:val="en-US"/>
        </w:rPr>
        <w:t xml:space="preserve">R. v. Gagnon </w:t>
      </w:r>
      <w:r w:rsidRPr="009D27E8">
        <w:rPr>
          <w:rFonts w:cs="Times New Roman"/>
          <w:lang w:val="en-US"/>
        </w:rPr>
        <w:t>(1993), 80 C.C.C. (3d)</w:t>
      </w:r>
      <w:r w:rsidR="000001D5">
        <w:rPr>
          <w:rFonts w:cs="Times New Roman"/>
          <w:lang w:val="en-US"/>
        </w:rPr>
        <w:t xml:space="preserve"> 508 (Alta. Q.B.), at p. </w:t>
      </w:r>
      <w:r w:rsidRPr="009D27E8">
        <w:rPr>
          <w:rFonts w:cs="Times New Roman"/>
          <w:lang w:val="en-US"/>
        </w:rPr>
        <w:t>512</w:t>
      </w:r>
      <w:r w:rsidRPr="009D27E8">
        <w:rPr>
          <w:rFonts w:cs="Times New Roman"/>
        </w:rPr>
        <w:t>:</w:t>
      </w:r>
    </w:p>
    <w:p w:rsidR="00072E7F" w:rsidRPr="009D27E8" w:rsidRDefault="00072E7F" w:rsidP="00072E7F">
      <w:pPr>
        <w:pStyle w:val="Citation-AltC"/>
        <w:ind w:firstLine="274"/>
      </w:pPr>
      <w:r w:rsidRPr="009D27E8">
        <w:t>It is noteworthy that Parliament, presumably knowing of the American model using blanket seizures and the American case-law, modified the American approach by allowing moneys to be spent by an accused person for such expenses as reasonable living expenses, reasonable business expenses, lawyers’ fees and recognizances.</w:t>
      </w:r>
    </w:p>
    <w:p w:rsidR="00072E7F" w:rsidRPr="009D27E8" w:rsidRDefault="00072E7F" w:rsidP="00072E7F">
      <w:pPr>
        <w:pStyle w:val="Citation-AltC"/>
      </w:pPr>
    </w:p>
    <w:p w:rsidR="00072E7F" w:rsidRPr="009D27E8" w:rsidRDefault="00072E7F" w:rsidP="00072E7F">
      <w:pPr>
        <w:pStyle w:val="ParaNoNdepar-AltN"/>
        <w:rPr>
          <w:rFonts w:cs="Times New Roman"/>
        </w:rPr>
      </w:pPr>
      <w:r w:rsidRPr="009D27E8">
        <w:rPr>
          <w:rFonts w:cs="Times New Roman"/>
        </w:rPr>
        <w:t xml:space="preserve">The Minister’s statements indicate that ensuring an accused’s ability to access legal counsel is a main objective of the legal expenses return provision. While </w:t>
      </w:r>
      <w:r w:rsidRPr="009D27E8">
        <w:rPr>
          <w:rFonts w:cs="Times New Roman"/>
        </w:rPr>
        <w:lastRenderedPageBreak/>
        <w:t>seizing funds helps protect the state’s contingent interest in the property, Parliament has signalled that this contingent interest should take a back seat where it imperils an accused’s ability to access counsel.</w:t>
      </w:r>
    </w:p>
    <w:p w:rsidR="00072E7F" w:rsidRPr="009D27E8" w:rsidRDefault="00072E7F" w:rsidP="00072E7F">
      <w:pPr>
        <w:pStyle w:val="ParaNoNdepar-AltN"/>
        <w:rPr>
          <w:rFonts w:cs="Times New Roman"/>
        </w:rPr>
      </w:pPr>
      <w:r w:rsidRPr="009D27E8">
        <w:rPr>
          <w:rFonts w:cs="Times New Roman"/>
        </w:rPr>
        <w:t>Parliament’s chosen safeguard builds upon the fact that the ability of accused persons to hire a lawyer to defend themselves in criminal proceedings has been a part of English law since 1836 (</w:t>
      </w:r>
      <w:r w:rsidRPr="009D27E8">
        <w:rPr>
          <w:rFonts w:cs="Times New Roman"/>
          <w:i/>
        </w:rPr>
        <w:t xml:space="preserve">An Act for enabling Persons indicted of Felony to make their Defence by Counsel or Attorney </w:t>
      </w:r>
      <w:r w:rsidRPr="009D27E8">
        <w:rPr>
          <w:rFonts w:cs="Times New Roman"/>
        </w:rPr>
        <w:t xml:space="preserve">(U.K.), 1836, 6 &amp; 7 Will. 4, c. 114, s. 1), although it existed in a more limited form for treason and some other serious crimes much earlier (J. H. Langbein, </w:t>
      </w:r>
      <w:r w:rsidRPr="009D27E8">
        <w:rPr>
          <w:rFonts w:cs="Times New Roman"/>
          <w:i/>
        </w:rPr>
        <w:t xml:space="preserve">The Origins of Adversary Criminal Trial </w:t>
      </w:r>
      <w:r w:rsidRPr="009D27E8">
        <w:rPr>
          <w:rFonts w:cs="Times New Roman"/>
        </w:rPr>
        <w:t>(2003), at pp. 101-2). It is undoubtedly a fundamental tenet of the criminal justice system.</w:t>
      </w:r>
    </w:p>
    <w:p w:rsidR="00072E7F" w:rsidRPr="009D27E8" w:rsidRDefault="00072E7F" w:rsidP="00072E7F">
      <w:pPr>
        <w:pStyle w:val="ParaNoNdepar-AltN"/>
        <w:rPr>
          <w:rFonts w:cs="Times New Roman"/>
        </w:rPr>
      </w:pPr>
      <w:r w:rsidRPr="009D27E8">
        <w:rPr>
          <w:rFonts w:cs="Times New Roman"/>
        </w:rPr>
        <w:t>The Minister’s statements indicate that Parliament was also concerned with the presumption of innocence, “the cornerstone of our criminal justice system” (</w:t>
      </w:r>
      <w:r w:rsidRPr="009D27E8">
        <w:rPr>
          <w:rFonts w:cs="Times New Roman"/>
          <w:i/>
        </w:rPr>
        <w:t>R. v. Chaulk</w:t>
      </w:r>
      <w:r w:rsidRPr="009D27E8">
        <w:rPr>
          <w:rFonts w:cs="Times New Roman"/>
        </w:rPr>
        <w:t xml:space="preserve">, [1990] 3 S.C.R. 1303, at p. 1368). The return provision reflects the fact that, in Canada, property can be seized based only on a reasonable belief it may be proceeds of crime, and it presumptively belongs to a person who is presumed to be innocent (B. A. MacFarlane, R. J. Frater and C. Michaelson, </w:t>
      </w:r>
      <w:r w:rsidRPr="009D27E8">
        <w:rPr>
          <w:rFonts w:cs="Times New Roman"/>
          <w:i/>
        </w:rPr>
        <w:t>Drug Offences in Canada</w:t>
      </w:r>
      <w:r w:rsidRPr="009D27E8">
        <w:rPr>
          <w:rFonts w:cs="Times New Roman"/>
        </w:rPr>
        <w:t xml:space="preserve"> (4th ed. (</w:t>
      </w:r>
      <w:r w:rsidR="00D169EA">
        <w:rPr>
          <w:rFonts w:cs="Times New Roman"/>
        </w:rPr>
        <w:t>loose-leaf)</w:t>
      </w:r>
      <w:r w:rsidR="00FA4C13">
        <w:rPr>
          <w:rFonts w:cs="Times New Roman"/>
        </w:rPr>
        <w:t>)</w:t>
      </w:r>
      <w:r w:rsidR="00D169EA">
        <w:rPr>
          <w:rFonts w:cs="Times New Roman"/>
        </w:rPr>
        <w:t xml:space="preserve">, § 14:180.40.120). </w:t>
      </w:r>
      <w:r w:rsidRPr="009D27E8">
        <w:rPr>
          <w:rFonts w:cs="Times New Roman"/>
        </w:rPr>
        <w:t>Indeed, the accused may never be convicted, or the property may never be proven to be proceeds of crime. Thus, when accused persons spend returned funds on reasonable legal fees, they are spending their own</w:t>
      </w:r>
      <w:r w:rsidR="00D169EA">
        <w:rPr>
          <w:rFonts w:cs="Times New Roman"/>
        </w:rPr>
        <w:t xml:space="preserve"> money on their legal defence. </w:t>
      </w:r>
      <w:r w:rsidRPr="009D27E8">
        <w:rPr>
          <w:rFonts w:cs="Times New Roman"/>
        </w:rPr>
        <w:t xml:space="preserve">Parliament was clearly concerned with the harshness of a scheme </w:t>
      </w:r>
      <w:r w:rsidRPr="009D27E8">
        <w:rPr>
          <w:rFonts w:cs="Times New Roman"/>
        </w:rPr>
        <w:lastRenderedPageBreak/>
        <w:t>that seized the property of persons still presumed to be innocent, and took steps to protect their interests.</w:t>
      </w:r>
    </w:p>
    <w:p w:rsidR="00072E7F" w:rsidRPr="009D27E8" w:rsidRDefault="00072E7F" w:rsidP="00072E7F">
      <w:pPr>
        <w:pStyle w:val="ParaNoNdepar-AltN"/>
        <w:rPr>
          <w:rFonts w:cs="Times New Roman"/>
        </w:rPr>
      </w:pPr>
      <w:r w:rsidRPr="009D27E8">
        <w:rPr>
          <w:rFonts w:cs="Times New Roman"/>
        </w:rPr>
        <w:t>Finally, the Minister’s statements reflect an underlying concern for fairness to the accused in criminal prosecutions. The principle of fairness in criminal trials is foundational to our justice system (</w:t>
      </w:r>
      <w:r w:rsidRPr="009D27E8">
        <w:rPr>
          <w:rFonts w:cs="Times New Roman"/>
          <w:i/>
        </w:rPr>
        <w:t>R. v. Oakes</w:t>
      </w:r>
      <w:r w:rsidRPr="009D27E8">
        <w:rPr>
          <w:rFonts w:cs="Times New Roman"/>
        </w:rPr>
        <w:t xml:space="preserve">, [1986] 1 S.C.R. 103, at p. 121; </w:t>
      </w:r>
      <w:r w:rsidRPr="009D27E8">
        <w:rPr>
          <w:rFonts w:cs="Times New Roman"/>
          <w:i/>
        </w:rPr>
        <w:t>R. v. Whyte</w:t>
      </w:r>
      <w:r w:rsidRPr="009D27E8">
        <w:rPr>
          <w:rFonts w:cs="Times New Roman"/>
        </w:rPr>
        <w:t xml:space="preserve">, [1988] 2 S.C.R. 3, at p. 15; </w:t>
      </w:r>
      <w:r w:rsidRPr="009D27E8">
        <w:rPr>
          <w:rFonts w:cs="Times New Roman"/>
          <w:i/>
        </w:rPr>
        <w:t>R. v. Hodgson</w:t>
      </w:r>
      <w:r w:rsidRPr="009D27E8">
        <w:rPr>
          <w:rFonts w:cs="Times New Roman"/>
        </w:rPr>
        <w:t>, [1998] 2 S.C.R. 449, at para. 18).</w:t>
      </w:r>
      <w:r w:rsidR="00D169EA">
        <w:rPr>
          <w:rFonts w:cs="Times New Roman"/>
        </w:rPr>
        <w:t xml:space="preserve"> </w:t>
      </w:r>
      <w:r w:rsidRPr="009D27E8">
        <w:rPr>
          <w:rFonts w:cs="Times New Roman"/>
        </w:rPr>
        <w:t>The Minister emphasized the importance of the “fair procedure” that was being created via the “safeguar</w:t>
      </w:r>
      <w:r w:rsidR="00647694">
        <w:rPr>
          <w:rFonts w:cs="Times New Roman"/>
        </w:rPr>
        <w:t>[</w:t>
      </w:r>
      <w:r w:rsidRPr="009D27E8">
        <w:rPr>
          <w:rFonts w:cs="Times New Roman"/>
        </w:rPr>
        <w:t>d</w:t>
      </w:r>
      <w:r w:rsidR="00647694">
        <w:rPr>
          <w:rFonts w:cs="Times New Roman"/>
        </w:rPr>
        <w:t>]</w:t>
      </w:r>
      <w:r w:rsidRPr="009D27E8">
        <w:rPr>
          <w:rFonts w:cs="Times New Roman"/>
        </w:rPr>
        <w:t>” of access to counsel. Further, the Minister stated that “[t]his Bill is a balanced and fair piece of legislation which does not contain some of the excesses seen in previous legislation.</w:t>
      </w:r>
      <w:r w:rsidR="00335B39">
        <w:rPr>
          <w:rFonts w:cs="Times New Roman"/>
        </w:rPr>
        <w:t> </w:t>
      </w:r>
      <w:r w:rsidRPr="009D27E8">
        <w:rPr>
          <w:rFonts w:cs="Times New Roman"/>
        </w:rPr>
        <w:t>.</w:t>
      </w:r>
      <w:r w:rsidR="00E90B27">
        <w:rPr>
          <w:rFonts w:cs="Times New Roman"/>
        </w:rPr>
        <w:t> </w:t>
      </w:r>
      <w:r w:rsidRPr="009D27E8">
        <w:rPr>
          <w:rFonts w:cs="Times New Roman"/>
        </w:rPr>
        <w:t>.</w:t>
      </w:r>
      <w:r w:rsidR="00E90B27">
        <w:rPr>
          <w:rFonts w:cs="Times New Roman"/>
        </w:rPr>
        <w:t> </w:t>
      </w:r>
      <w:r w:rsidRPr="009D27E8">
        <w:rPr>
          <w:rFonts w:cs="Times New Roman"/>
        </w:rPr>
        <w:t>. We want to make sure, when we are attacking the proceeds of crime, that we do so in a fair way” (</w:t>
      </w:r>
      <w:r w:rsidRPr="009D27E8">
        <w:rPr>
          <w:rFonts w:cs="Times New Roman"/>
          <w:i/>
        </w:rPr>
        <w:t>Debates</w:t>
      </w:r>
      <w:r w:rsidR="00E90B27">
        <w:rPr>
          <w:rFonts w:cs="Times New Roman"/>
        </w:rPr>
        <w:t>, at p. 17259).</w:t>
      </w:r>
    </w:p>
    <w:p w:rsidR="00072E7F" w:rsidRPr="009D27E8" w:rsidRDefault="00072E7F" w:rsidP="00072E7F">
      <w:pPr>
        <w:pStyle w:val="ParaNoNdepar-AltN"/>
        <w:rPr>
          <w:rFonts w:cs="Times New Roman"/>
        </w:rPr>
      </w:pPr>
      <w:r w:rsidRPr="009D27E8">
        <w:rPr>
          <w:rFonts w:cs="Times New Roman"/>
        </w:rPr>
        <w:t>As Justice Doherty put it, the return provision “recognizes that the state should not be allowed to beggar a person who will often need to retain the assistance of counsel in order to defend himself or herself against state action directed at depriving that person of their property and liberty” (</w:t>
      </w:r>
      <w:r w:rsidRPr="009D27E8">
        <w:rPr>
          <w:rFonts w:cs="Times New Roman"/>
          <w:i/>
        </w:rPr>
        <w:t>Wilson</w:t>
      </w:r>
      <w:r w:rsidRPr="009D27E8">
        <w:rPr>
          <w:rFonts w:cs="Times New Roman"/>
        </w:rPr>
        <w:t>, at p. 659). The return provision was intended to respect the principle of fair</w:t>
      </w:r>
      <w:r w:rsidR="00D169EA">
        <w:rPr>
          <w:rFonts w:cs="Times New Roman"/>
        </w:rPr>
        <w:t xml:space="preserve">ness in criminal prosecutions: </w:t>
      </w:r>
      <w:r w:rsidRPr="009D27E8">
        <w:rPr>
          <w:rFonts w:cs="Times New Roman"/>
        </w:rPr>
        <w:t>an individual should not be left unable to hire legal representation because the state seized the funds with which they could have paid couns</w:t>
      </w:r>
      <w:r w:rsidR="00D169EA">
        <w:rPr>
          <w:rFonts w:cs="Times New Roman"/>
        </w:rPr>
        <w:t>el.</w:t>
      </w:r>
    </w:p>
    <w:p w:rsidR="00072E7F" w:rsidRPr="009D27E8" w:rsidRDefault="00072E7F" w:rsidP="00072E7F">
      <w:pPr>
        <w:pStyle w:val="ParaNoNdepar-AltN"/>
        <w:rPr>
          <w:rFonts w:cs="Times New Roman"/>
        </w:rPr>
      </w:pPr>
      <w:r w:rsidRPr="009D27E8">
        <w:rPr>
          <w:rFonts w:cs="Times New Roman"/>
        </w:rPr>
        <w:t xml:space="preserve"> Parliament’s intention was to create a “fair procedure” to allow for accused people to apply for the judicially authorized return of seized funds for specific purposes. This principle of fairness, including concepts of fair notice and reliance, </w:t>
      </w:r>
      <w:r w:rsidRPr="009D27E8">
        <w:rPr>
          <w:rFonts w:cs="Times New Roman"/>
        </w:rPr>
        <w:lastRenderedPageBreak/>
        <w:t>should therefore inform the interpretation of the return provision, especially recognizing its designated role in the larger proceeds of crime regime.</w:t>
      </w:r>
    </w:p>
    <w:p w:rsidR="00072E7F" w:rsidRPr="009D27E8" w:rsidRDefault="00072E7F" w:rsidP="00072E7F">
      <w:pPr>
        <w:pStyle w:val="ParaNoNdepar-AltN"/>
        <w:rPr>
          <w:rFonts w:cs="Times New Roman"/>
        </w:rPr>
      </w:pPr>
      <w:r w:rsidRPr="009D27E8">
        <w:rPr>
          <w:rFonts w:cs="Times New Roman"/>
        </w:rPr>
        <w:t xml:space="preserve">This review illustrates that, while Parliament was clearly motivated by the desire to remove the financial incentive from certain crimes, it also wanted to ensure that accused persons would have access to legal representation and that the presumption of innocence would be protected, in order to maintain a procedure that is fair to the accused. These purposes constrain the pursuit of the primary objective. Judicial interpretation should foster, not frustrate, the balance of rights and interests in this part of the </w:t>
      </w:r>
      <w:r w:rsidRPr="009D27E8">
        <w:rPr>
          <w:rFonts w:cs="Times New Roman"/>
          <w:i/>
        </w:rPr>
        <w:t>Code</w:t>
      </w:r>
      <w:r w:rsidR="00D169EA">
        <w:rPr>
          <w:rFonts w:cs="Times New Roman"/>
        </w:rPr>
        <w:t xml:space="preserve">. </w:t>
      </w:r>
      <w:r w:rsidRPr="009D27E8">
        <w:rPr>
          <w:rFonts w:cs="Times New Roman"/>
        </w:rPr>
        <w:t>In my view, the correct interpretation does not ignore or minimize the secondary purposes in order to achieve the primary goal of ensuring crime does not pay. Rather, all parts of Parliament’s scheme and its multiple objectives must be read together, “construed as a whole, each portion throwing light, if need be, on the rest” (</w:t>
      </w:r>
      <w:r w:rsidRPr="009D27E8">
        <w:rPr>
          <w:rFonts w:cs="Times New Roman"/>
          <w:i/>
        </w:rPr>
        <w:t>Greenshields v. The Queen</w:t>
      </w:r>
      <w:r w:rsidRPr="009D27E8">
        <w:rPr>
          <w:rFonts w:cs="Times New Roman"/>
        </w:rPr>
        <w:t xml:space="preserve">, [1958] S.C.R. 216, at p. 225). </w:t>
      </w:r>
    </w:p>
    <w:p w:rsidR="00072E7F" w:rsidRPr="009D27E8" w:rsidRDefault="00072E7F" w:rsidP="00072E7F">
      <w:pPr>
        <w:pStyle w:val="ParaNoNdepar-AltN"/>
        <w:rPr>
          <w:rFonts w:cs="Times New Roman"/>
        </w:rPr>
      </w:pPr>
      <w:r w:rsidRPr="009D27E8">
        <w:rPr>
          <w:rFonts w:cs="Times New Roman"/>
        </w:rPr>
        <w:t>Although the appellant and two interveners, the British Columbia Civil Liberties Association and Criminal Lawyers’ Association of Ontario, made arguments in constitutional terms, it is unnecessary to delineate the parameters of a constitutional right of accused persons to spend their own money on legal counsel in order to decide this appeal. This Court has stated that access to effective legal representation is anchored in the presumption of innocence, the principle of fair criminal prosecutions, and the principles of fundamental justice (</w:t>
      </w:r>
      <w:r w:rsidRPr="009D27E8">
        <w:rPr>
          <w:rFonts w:cs="Times New Roman"/>
          <w:i/>
          <w:iCs/>
        </w:rPr>
        <w:t>R. v. G.D.B.</w:t>
      </w:r>
      <w:r w:rsidRPr="009D27E8">
        <w:rPr>
          <w:rFonts w:cs="Times New Roman"/>
        </w:rPr>
        <w:t>, 2000 SCC 22,</w:t>
      </w:r>
      <w:r w:rsidR="00F5712C">
        <w:rPr>
          <w:rFonts w:cs="Times New Roman"/>
        </w:rPr>
        <w:t xml:space="preserve"> [2000] 1 S.C.R. 520, at paras. </w:t>
      </w:r>
      <w:r w:rsidRPr="009D27E8">
        <w:rPr>
          <w:rFonts w:cs="Times New Roman"/>
        </w:rPr>
        <w:t>24-</w:t>
      </w:r>
      <w:r w:rsidR="009B349C">
        <w:rPr>
          <w:rFonts w:cs="Times New Roman"/>
        </w:rPr>
        <w:t>2</w:t>
      </w:r>
      <w:r w:rsidRPr="009D27E8">
        <w:rPr>
          <w:rFonts w:cs="Times New Roman"/>
        </w:rPr>
        <w:t xml:space="preserve">5). It suffices to say that Parliament crafted its proceeds of crime </w:t>
      </w:r>
      <w:r w:rsidRPr="009D27E8">
        <w:rPr>
          <w:rFonts w:cs="Times New Roman"/>
        </w:rPr>
        <w:lastRenderedPageBreak/>
        <w:t>regime to establish fair safeguards for the accused, notably the opportunity to pay legal expenses out of seized or restrained property when necessary.</w:t>
      </w:r>
    </w:p>
    <w:p w:rsidR="00072E7F" w:rsidRDefault="00072E7F" w:rsidP="00072E7F">
      <w:pPr>
        <w:pStyle w:val="ParaNoNdepar-AltN"/>
        <w:rPr>
          <w:rFonts w:cs="Times New Roman"/>
        </w:rPr>
      </w:pPr>
      <w:r w:rsidRPr="009D27E8">
        <w:rPr>
          <w:rFonts w:cs="Times New Roman"/>
        </w:rPr>
        <w:t>With these purposes in mind, I turn now to the fine instead of forfeiture provision itself.</w:t>
      </w:r>
    </w:p>
    <w:p w:rsidR="00072E7F" w:rsidRPr="009D27E8" w:rsidRDefault="00072E7F" w:rsidP="00BB0426">
      <w:pPr>
        <w:pStyle w:val="Title2LevelTitre2Niveau"/>
        <w:numPr>
          <w:ilvl w:val="1"/>
          <w:numId w:val="9"/>
        </w:numPr>
        <w:tabs>
          <w:tab w:val="clear" w:pos="-774"/>
        </w:tabs>
        <w:ind w:left="567" w:hanging="567"/>
        <w:jc w:val="both"/>
        <w:rPr>
          <w:rFonts w:cs="Times New Roman"/>
        </w:rPr>
      </w:pPr>
      <w:r w:rsidRPr="009D27E8">
        <w:rPr>
          <w:rFonts w:cs="Times New Roman"/>
        </w:rPr>
        <w:t>Imposing a Fine Instead of Forfeiture on Judicially Returned Funds Would Undermine the Purposes of the Return Provision</w:t>
      </w:r>
    </w:p>
    <w:p w:rsidR="00072E7F" w:rsidRPr="009D27E8" w:rsidRDefault="00072E7F" w:rsidP="00072E7F">
      <w:pPr>
        <w:pStyle w:val="ParaNoNdepar-AltN"/>
        <w:rPr>
          <w:rFonts w:cs="Times New Roman"/>
        </w:rPr>
      </w:pPr>
      <w:r w:rsidRPr="009D27E8">
        <w:rPr>
          <w:rFonts w:cs="Times New Roman"/>
        </w:rPr>
        <w:t>The appellant, Mr. Rafilovich, argues that the fine instead of forfeiture provision does not apply to funds returned under a court order by a judge for the payment of reasonable legal fees. The respondent Crown says that unless the judge imposes a fine instead of forfeiture for amounts returned for legal fees, the accused benefits in a manner that undermines the goals of forfeiture. The Crown advanced the theory that the return provision was meant to provide only interim relief to an accused person, to be recouped later as a fine instead of forfeiture. On this reasoning, the return of seized funds is a temporary advance of funds, to be recovered as a fine at a subsequent sentencing hearing. At the hearing the respondent Crown characterized a return order as “something akin to a loan, the source of the loan being the tainted</w:t>
      </w:r>
      <w:r w:rsidR="00511134">
        <w:rPr>
          <w:rFonts w:cs="Times New Roman"/>
        </w:rPr>
        <w:t xml:space="preserve"> funds” (t</w:t>
      </w:r>
      <w:r w:rsidR="00F81E82">
        <w:rPr>
          <w:rFonts w:cs="Times New Roman"/>
        </w:rPr>
        <w:t>ranscript, at p. </w:t>
      </w:r>
      <w:r w:rsidR="00636A39">
        <w:rPr>
          <w:rFonts w:cs="Times New Roman"/>
        </w:rPr>
        <w:t>78).</w:t>
      </w:r>
    </w:p>
    <w:p w:rsidR="00072E7F" w:rsidRPr="009D27E8" w:rsidRDefault="00072E7F" w:rsidP="00072E7F">
      <w:pPr>
        <w:pStyle w:val="ParaNoNdepar-AltN"/>
        <w:rPr>
          <w:rFonts w:cs="Times New Roman"/>
        </w:rPr>
      </w:pPr>
      <w:r w:rsidRPr="009D27E8">
        <w:rPr>
          <w:rFonts w:cs="Times New Roman"/>
        </w:rPr>
        <w:t>Overall, I agree with Mr. Rafilovich. The judge’s exercise of discretion to impose a fine instead of forfeiture should be “consistent with the spirit” and “compatible with the objectives” of the scheme as a whole (</w:t>
      </w:r>
      <w:r w:rsidRPr="009D27E8">
        <w:rPr>
          <w:rFonts w:cs="Times New Roman"/>
          <w:i/>
        </w:rPr>
        <w:t>Lavigne</w:t>
      </w:r>
      <w:r w:rsidRPr="00155F57">
        <w:rPr>
          <w:rFonts w:cs="Times New Roman"/>
        </w:rPr>
        <w:t>,</w:t>
      </w:r>
      <w:r w:rsidRPr="009D27E8">
        <w:rPr>
          <w:rFonts w:cs="Times New Roman"/>
          <w:i/>
        </w:rPr>
        <w:t xml:space="preserve"> </w:t>
      </w:r>
      <w:r w:rsidRPr="009D27E8">
        <w:rPr>
          <w:rFonts w:cs="Times New Roman"/>
        </w:rPr>
        <w:t>at paras.</w:t>
      </w:r>
      <w:r w:rsidR="00BE4E3C">
        <w:rPr>
          <w:rFonts w:cs="Times New Roman"/>
        </w:rPr>
        <w:t> </w:t>
      </w:r>
      <w:r w:rsidRPr="009D27E8">
        <w:rPr>
          <w:rFonts w:cs="Times New Roman"/>
        </w:rPr>
        <w:t xml:space="preserve">28 and </w:t>
      </w:r>
      <w:r w:rsidRPr="009D27E8">
        <w:rPr>
          <w:rFonts w:cs="Times New Roman"/>
        </w:rPr>
        <w:lastRenderedPageBreak/>
        <w:t>52). The objectives of the legal expenses return provision are to ensure access to counsel and uphold the presumption of innocence and such must be balanced with the primary objective of the proceeds of crime regime, which is to ensure that crime does not pay. Applying these objectives to this exercise of judicial discretion results in the conclusion that, generally, judges should not impose a fine for amounts returned under judicial authorization for the payment of reasonable legal fees.</w:t>
      </w:r>
    </w:p>
    <w:p w:rsidR="00072E7F" w:rsidRPr="009D27E8" w:rsidRDefault="00072E7F" w:rsidP="00072E7F">
      <w:pPr>
        <w:pStyle w:val="ParaNoNdepar-AltN"/>
        <w:rPr>
          <w:rFonts w:cs="Times New Roman"/>
        </w:rPr>
      </w:pPr>
      <w:r w:rsidRPr="009D27E8">
        <w:rPr>
          <w:rFonts w:cs="Times New Roman"/>
        </w:rPr>
        <w:t>Conversely</w:t>
      </w:r>
      <w:r w:rsidRPr="009D27E8">
        <w:rPr>
          <w:rFonts w:cs="Times New Roman"/>
          <w:lang w:val="en-US"/>
        </w:rPr>
        <w:t>, the Crown’s interpretation undermines the objectives of the return provision for reasonable legal expenses</w:t>
      </w:r>
      <w:r>
        <w:rPr>
          <w:rFonts w:cs="Times New Roman"/>
          <w:lang w:val="en-US"/>
        </w:rPr>
        <w:t xml:space="preserve"> </w:t>
      </w:r>
      <w:r w:rsidRPr="009D27E8">
        <w:rPr>
          <w:rFonts w:cs="Times New Roman"/>
          <w:lang w:val="en-US"/>
        </w:rPr>
        <w:t>—</w:t>
      </w:r>
      <w:r>
        <w:rPr>
          <w:rFonts w:cs="Times New Roman"/>
          <w:lang w:val="en-US"/>
        </w:rPr>
        <w:t xml:space="preserve"> </w:t>
      </w:r>
      <w:r w:rsidRPr="009D27E8">
        <w:rPr>
          <w:rFonts w:cs="Times New Roman"/>
          <w:lang w:val="en-US"/>
        </w:rPr>
        <w:t>providing access to counsel and giving meaningful weight to the presumption of innocence</w:t>
      </w:r>
      <w:r>
        <w:rPr>
          <w:rFonts w:cs="Times New Roman"/>
          <w:lang w:val="en-US"/>
        </w:rPr>
        <w:t xml:space="preserve"> </w:t>
      </w:r>
      <w:r w:rsidRPr="009D27E8">
        <w:rPr>
          <w:rFonts w:cs="Times New Roman"/>
          <w:lang w:val="en-US"/>
        </w:rPr>
        <w:t>—</w:t>
      </w:r>
      <w:r>
        <w:rPr>
          <w:rFonts w:cs="Times New Roman"/>
          <w:lang w:val="en-US"/>
        </w:rPr>
        <w:t xml:space="preserve"> </w:t>
      </w:r>
      <w:r w:rsidRPr="009D27E8">
        <w:rPr>
          <w:rFonts w:cs="Times New Roman"/>
          <w:lang w:val="en-US"/>
        </w:rPr>
        <w:t>and fails to promote Parliament’s intention of establishing a “fair procedure”.</w:t>
      </w:r>
      <w:r w:rsidRPr="009D27E8">
        <w:rPr>
          <w:rFonts w:cs="Times New Roman"/>
        </w:rPr>
        <w:t xml:space="preserve"> In so doing, it fails to properly balance the rights and interests in this part of the </w:t>
      </w:r>
      <w:r w:rsidRPr="009D27E8">
        <w:rPr>
          <w:rFonts w:cs="Times New Roman"/>
          <w:i/>
        </w:rPr>
        <w:t xml:space="preserve">Code </w:t>
      </w:r>
      <w:r w:rsidRPr="009D27E8">
        <w:rPr>
          <w:rFonts w:cs="Times New Roman"/>
        </w:rPr>
        <w:t>and should not, therefore, be adopted. For this reason, and to respect the multiplicity of Parliament’s objectives, generally speaking, sentencing judges should not impose a fine instead of forfeiture in relation to funds that have been judicially returned for the payment of reasonable legal fees associated with an accused’s criminal defence.</w:t>
      </w:r>
    </w:p>
    <w:p w:rsidR="00072E7F" w:rsidRPr="009D27E8" w:rsidRDefault="00072E7F" w:rsidP="00072E7F">
      <w:pPr>
        <w:pStyle w:val="ParaNoNdepar-AltN"/>
        <w:rPr>
          <w:rFonts w:cs="Times New Roman"/>
        </w:rPr>
      </w:pPr>
      <w:r w:rsidRPr="009D27E8">
        <w:rPr>
          <w:rFonts w:cs="Times New Roman"/>
        </w:rPr>
        <w:t xml:space="preserve">Access to legal counsel is a main objective of the legal expenses return provision. If the return order is viewed as a loan, and a fine instead of forfeiture is imposed on judicially returned funds as a matter of course, then the accused’s ability to access legal counsel is largely illusory. Fearing a fine or additional imprisonment, accused persons may choose not to apply for the return of funds at all and to represent themselves instead. Thus, instead of facilitating an accused person’s access to legal </w:t>
      </w:r>
      <w:r w:rsidRPr="009D27E8">
        <w:rPr>
          <w:rFonts w:cs="Times New Roman"/>
        </w:rPr>
        <w:lastRenderedPageBreak/>
        <w:t xml:space="preserve">counsel, the provision would do precisely the opposite: it would </w:t>
      </w:r>
      <w:r w:rsidRPr="009D27E8">
        <w:rPr>
          <w:rFonts w:cs="Times New Roman"/>
          <w:lang w:val="en-US"/>
        </w:rPr>
        <w:t>dissuade accused persons from accessing legal representation.</w:t>
      </w:r>
      <w:r w:rsidRPr="009D27E8">
        <w:rPr>
          <w:rFonts w:cs="Times New Roman"/>
        </w:rPr>
        <w:t xml:space="preserve"> The return provision was intended to ensure that individuals whose funds have been seized by the state will not be left unable to hire legal counsel. However, accused persons who understand that the judicially returned funds will be clawed back later, through the imposition of a fine, and possibly imprisonment, will likely choose to represent themselves. As a result, individuals whose funds have been seized by the state </w:t>
      </w:r>
      <w:r w:rsidRPr="009D27E8">
        <w:rPr>
          <w:rFonts w:cs="Times New Roman"/>
          <w:i/>
        </w:rPr>
        <w:t xml:space="preserve">will </w:t>
      </w:r>
      <w:r w:rsidRPr="009D27E8">
        <w:rPr>
          <w:rFonts w:cs="Times New Roman"/>
        </w:rPr>
        <w:t xml:space="preserve">often be without the benefit of legal counsel. </w:t>
      </w:r>
    </w:p>
    <w:p w:rsidR="00072E7F" w:rsidRPr="009D27E8" w:rsidRDefault="00072E7F" w:rsidP="00072E7F">
      <w:pPr>
        <w:pStyle w:val="ParaNoNdepar-AltN"/>
        <w:rPr>
          <w:rFonts w:cs="Times New Roman"/>
          <w:lang w:val="en-US"/>
        </w:rPr>
      </w:pPr>
      <w:r w:rsidRPr="009D27E8">
        <w:rPr>
          <w:rFonts w:cs="Times New Roman"/>
        </w:rPr>
        <w:t>When an accused person cannot access legal counsel, the presumption of innocence suffers. This is because, in facilitating the accused’s right to make full answer and defence, d</w:t>
      </w:r>
      <w:r w:rsidRPr="009D27E8">
        <w:rPr>
          <w:rFonts w:cs="Times New Roman"/>
          <w:lang w:val="en-US"/>
        </w:rPr>
        <w:t>efence counsel help</w:t>
      </w:r>
      <w:r w:rsidR="00B82C86">
        <w:rPr>
          <w:rFonts w:cs="Times New Roman"/>
          <w:lang w:val="en-US"/>
        </w:rPr>
        <w:t>s</w:t>
      </w:r>
      <w:r w:rsidRPr="009D27E8">
        <w:rPr>
          <w:rFonts w:cs="Times New Roman"/>
          <w:lang w:val="en-US"/>
        </w:rPr>
        <w:t xml:space="preserve"> to ensure that the case remains the Crown’s to prove. It is difficult for lay persons accused of criminal offences to effectively navigate “</w:t>
      </w:r>
      <w:r w:rsidRPr="009D27E8">
        <w:rPr>
          <w:rFonts w:cs="Times New Roman"/>
          <w:lang w:val="en"/>
        </w:rPr>
        <w:t>the increased complexity of criminal cases” that this Court has described as affecting “most cases” in our criminal justice system (</w:t>
      </w:r>
      <w:r w:rsidRPr="009D27E8">
        <w:rPr>
          <w:rFonts w:cs="Times New Roman"/>
          <w:i/>
          <w:lang w:val="en"/>
        </w:rPr>
        <w:t>R. v.</w:t>
      </w:r>
      <w:r w:rsidRPr="009D27E8">
        <w:rPr>
          <w:rFonts w:cs="Times New Roman"/>
          <w:lang w:val="en"/>
        </w:rPr>
        <w:t xml:space="preserve"> </w:t>
      </w:r>
      <w:r w:rsidRPr="009D27E8">
        <w:rPr>
          <w:rFonts w:cs="Times New Roman"/>
          <w:i/>
          <w:lang w:val="en"/>
        </w:rPr>
        <w:t>Jordan</w:t>
      </w:r>
      <w:r w:rsidRPr="009D27E8">
        <w:rPr>
          <w:rFonts w:cs="Times New Roman"/>
          <w:lang w:val="en"/>
        </w:rPr>
        <w:t xml:space="preserve">, 2016 SCC 27, [2016] 1 S.C.R. 631, at paras. 53 and 83). </w:t>
      </w:r>
    </w:p>
    <w:p w:rsidR="00072E7F" w:rsidRPr="009D27E8" w:rsidRDefault="00072E7F" w:rsidP="00072E7F">
      <w:pPr>
        <w:pStyle w:val="ParaNoNdepar-AltN"/>
        <w:rPr>
          <w:rFonts w:cs="Times New Roman"/>
          <w:lang w:val="en-US"/>
        </w:rPr>
      </w:pPr>
      <w:r w:rsidRPr="009D27E8">
        <w:rPr>
          <w:rFonts w:cs="Times New Roman"/>
        </w:rPr>
        <w:t xml:space="preserve">Nor is the importance </w:t>
      </w:r>
      <w:r w:rsidR="00A70E82">
        <w:rPr>
          <w:rFonts w:cs="Times New Roman"/>
        </w:rPr>
        <w:t>of the presumption of innocence</w:t>
      </w:r>
      <w:r w:rsidRPr="009D27E8">
        <w:rPr>
          <w:rFonts w:cs="Times New Roman"/>
        </w:rPr>
        <w:t xml:space="preserve"> “spent” once an accused person</w:t>
      </w:r>
      <w:r w:rsidR="00D169EA">
        <w:rPr>
          <w:rFonts w:cs="Times New Roman"/>
        </w:rPr>
        <w:t xml:space="preserve"> is found guilty (at para. </w:t>
      </w:r>
      <w:r w:rsidR="00335B39">
        <w:rPr>
          <w:rFonts w:cs="Times New Roman"/>
        </w:rPr>
        <w:t>159</w:t>
      </w:r>
      <w:r w:rsidR="00D169EA">
        <w:rPr>
          <w:rFonts w:cs="Times New Roman"/>
        </w:rPr>
        <w:t>).</w:t>
      </w:r>
      <w:r w:rsidRPr="009D27E8">
        <w:rPr>
          <w:rFonts w:cs="Times New Roman"/>
        </w:rPr>
        <w:t xml:space="preserve"> The criminal justice system does not, and should not, retroactively dilute the presumption of innocence after an accused is found guilty, nor does it attach preconditions or penalties to reliance on the presumption. Imposing retroactive penalties on accused persons who rely on the presumption of innocence can have no effect but to undermine the presumption and the protections it </w:t>
      </w:r>
      <w:r w:rsidRPr="009D27E8">
        <w:rPr>
          <w:rFonts w:cs="Times New Roman"/>
        </w:rPr>
        <w:lastRenderedPageBreak/>
        <w:t>affords to accused persons. For example, the presumption of innocence underlies the concept of bail (</w:t>
      </w:r>
      <w:r w:rsidRPr="009D27E8">
        <w:rPr>
          <w:rFonts w:cs="Times New Roman"/>
          <w:i/>
        </w:rPr>
        <w:t>R. v. Antic</w:t>
      </w:r>
      <w:r w:rsidRPr="009D27E8">
        <w:rPr>
          <w:rFonts w:cs="Times New Roman"/>
        </w:rPr>
        <w:t>, 2017 SCC 27, [20</w:t>
      </w:r>
      <w:r w:rsidR="00D169EA">
        <w:rPr>
          <w:rFonts w:cs="Times New Roman"/>
        </w:rPr>
        <w:t xml:space="preserve">17] 1 S.C.R. 509, at para. 1). </w:t>
      </w:r>
      <w:r w:rsidRPr="009D27E8">
        <w:rPr>
          <w:rFonts w:cs="Times New Roman"/>
        </w:rPr>
        <w:t>The time spent free on bail is not added back at sentencing; to the contrary, restrictive bail conditions can be a m</w:t>
      </w:r>
      <w:r w:rsidR="00DE7435">
        <w:rPr>
          <w:rFonts w:cs="Times New Roman"/>
        </w:rPr>
        <w:t>itigating factor at sentencing.</w:t>
      </w:r>
    </w:p>
    <w:p w:rsidR="00072E7F" w:rsidRPr="009D27E8" w:rsidRDefault="00072E7F" w:rsidP="00072E7F">
      <w:pPr>
        <w:pStyle w:val="ParaNoNdepar-AltN"/>
        <w:rPr>
          <w:rFonts w:cs="Times New Roman"/>
          <w:lang w:val="en-US"/>
        </w:rPr>
      </w:pPr>
      <w:r w:rsidRPr="009D27E8">
        <w:rPr>
          <w:rFonts w:cs="Times New Roman"/>
        </w:rPr>
        <w:t xml:space="preserve">Just as there is no statutory mechanism to “recover” time spent free on bail in the judicial interim release regime because such a mechanism would be at cross-purposes with the regime’s entrenchment of the presumption of innocence, the fine instead of forfeiture provision cannot represent, as a matter of course, a retroactive dilution of the presumption of innocence in respect of property that has been judicially returned for the payment of reasonable legal expenses. Although there is a statutory mechanism to recover spent proceeds of crime through the fine instead of forfeiture regime, this analogy to bail emphasizes that offenders generally are not punished for reliance on the presumption of innocence. </w:t>
      </w:r>
      <w:r w:rsidRPr="009D27E8">
        <w:rPr>
          <w:rFonts w:cs="Times New Roman"/>
          <w:lang w:val="en-US"/>
        </w:rPr>
        <w:t>By enacting the legal expenses return provision, Parliament sought to give meaningful weight to the fundamental principle of the presumption of innocence, in part by ensuring that accused persons could access counsel. Interpreting the return provision as merely temporary, thereby dissuading accused persons from retaining and instructing counsel, undermines the very objective that Parliament sought to achieve.</w:t>
      </w:r>
    </w:p>
    <w:p w:rsidR="00072E7F" w:rsidRPr="009D27E8" w:rsidRDefault="00072E7F" w:rsidP="00072E7F">
      <w:pPr>
        <w:pStyle w:val="ParaNoNdepar-AltN"/>
        <w:rPr>
          <w:rFonts w:cs="Times New Roman"/>
        </w:rPr>
      </w:pPr>
      <w:r w:rsidRPr="009D27E8">
        <w:rPr>
          <w:rFonts w:cs="Times New Roman"/>
        </w:rPr>
        <w:t xml:space="preserve"> Further, imposing a fine on judicially returned funds raises concerns of notice and reliance that are rooted in the principle of fairness to the accused in criminal prosecutions. It can be expected that accused people will rely on a court order </w:t>
      </w:r>
      <w:r w:rsidRPr="009D27E8">
        <w:rPr>
          <w:rFonts w:cs="Times New Roman"/>
        </w:rPr>
        <w:lastRenderedPageBreak/>
        <w:t>authorized by a specific statutory scheme. Those accused persons</w:t>
      </w:r>
      <w:r w:rsidRPr="009D27E8">
        <w:rPr>
          <w:rFonts w:cs="Times New Roman"/>
          <w:lang w:val="en-US"/>
        </w:rPr>
        <w:t xml:space="preserve"> cannot reasonably know that doing so will lead to additional punishment. Yet “</w:t>
      </w:r>
      <w:r w:rsidRPr="009D27E8">
        <w:rPr>
          <w:rFonts w:cs="Times New Roman"/>
        </w:rPr>
        <w:t>[t]he rule of law requires that laws provide in advance what can and cannot be done”</w:t>
      </w:r>
      <w:r w:rsidRPr="009D27E8">
        <w:rPr>
          <w:rFonts w:cs="Times New Roman"/>
          <w:lang w:val="en-US"/>
        </w:rPr>
        <w:t xml:space="preserve"> (</w:t>
      </w:r>
      <w:r w:rsidRPr="009D27E8">
        <w:rPr>
          <w:rFonts w:cs="Times New Roman"/>
          <w:i/>
          <w:iCs/>
          <w:lang w:val="en-US"/>
        </w:rPr>
        <w:t>R. v. Mabior</w:t>
      </w:r>
      <w:r w:rsidRPr="009D27E8">
        <w:rPr>
          <w:rFonts w:cs="Times New Roman"/>
          <w:lang w:val="en-US"/>
        </w:rPr>
        <w:t xml:space="preserve">, 2012 SCC 47, [2012] 2 S.C.R. 584, at para. 14; </w:t>
      </w:r>
      <w:r w:rsidRPr="009D27E8">
        <w:rPr>
          <w:rFonts w:cs="Times New Roman"/>
          <w:i/>
          <w:iCs/>
          <w:lang w:val="en-US"/>
        </w:rPr>
        <w:t>R. v. Levkovic</w:t>
      </w:r>
      <w:r w:rsidRPr="009D27E8">
        <w:rPr>
          <w:rFonts w:cs="Times New Roman"/>
          <w:lang w:val="en-US"/>
        </w:rPr>
        <w:t>, 2013 SCC 25, [2013] 2 S.C.R. 204, at para. 3). The general imposition of a fine inst</w:t>
      </w:r>
      <w:r w:rsidR="00305497">
        <w:rPr>
          <w:rFonts w:cs="Times New Roman"/>
          <w:lang w:val="en-US"/>
        </w:rPr>
        <w:t xml:space="preserve">ead of forfeiture on judicially </w:t>
      </w:r>
      <w:r w:rsidRPr="009D27E8">
        <w:rPr>
          <w:rFonts w:cs="Times New Roman"/>
          <w:lang w:val="en-US"/>
        </w:rPr>
        <w:t>returned funds would not respect principles of fair notice, further undermining Parliament’s intent to create a fair procedure that enables access to counsel and ensures the presumption of innocence.</w:t>
      </w:r>
    </w:p>
    <w:p w:rsidR="00072E7F" w:rsidRPr="009D27E8" w:rsidRDefault="00072E7F" w:rsidP="00072E7F">
      <w:pPr>
        <w:pStyle w:val="ParaNoNdepar-AltN"/>
        <w:rPr>
          <w:rFonts w:cs="Times New Roman"/>
        </w:rPr>
      </w:pPr>
      <w:r w:rsidRPr="009D27E8">
        <w:rPr>
          <w:rFonts w:cs="Times New Roman"/>
        </w:rPr>
        <w:t>My colleague minimizes these concerns by stating that while the “choice” to retain counsel in the face of having a fine imposed on the judicially returned funds “may not be an easy one, our criminal justice system does not promise an experience free of difficult choices” (para. 142). With respect, there is a difference between a difficult choice and no real choice at all. The “choice” faced by an accused person in this instance is a Hobson’s choice — an apparently free choice in which there is effectively only one option. In this case, that option is to go without legal representation. This Court has cautioned against creating a Hobson’s choice like this in the criminal law context (</w:t>
      </w:r>
      <w:r w:rsidRPr="009D27E8">
        <w:rPr>
          <w:rFonts w:cs="Times New Roman"/>
          <w:i/>
        </w:rPr>
        <w:t>R. v. Taylor</w:t>
      </w:r>
      <w:r w:rsidRPr="009D27E8">
        <w:rPr>
          <w:rFonts w:cs="Times New Roman"/>
        </w:rPr>
        <w:t>, 2014 SCC 50, [2014] 2 S</w:t>
      </w:r>
      <w:r>
        <w:rPr>
          <w:rFonts w:cs="Times New Roman"/>
        </w:rPr>
        <w:t>.</w:t>
      </w:r>
      <w:r w:rsidRPr="009D27E8">
        <w:rPr>
          <w:rFonts w:cs="Times New Roman"/>
        </w:rPr>
        <w:t>C</w:t>
      </w:r>
      <w:r>
        <w:rPr>
          <w:rFonts w:cs="Times New Roman"/>
        </w:rPr>
        <w:t>.</w:t>
      </w:r>
      <w:r w:rsidRPr="009D27E8">
        <w:rPr>
          <w:rFonts w:cs="Times New Roman"/>
        </w:rPr>
        <w:t>R</w:t>
      </w:r>
      <w:r>
        <w:rPr>
          <w:rFonts w:cs="Times New Roman"/>
        </w:rPr>
        <w:t>.</w:t>
      </w:r>
      <w:r w:rsidRPr="009D27E8">
        <w:rPr>
          <w:rFonts w:cs="Times New Roman"/>
        </w:rPr>
        <w:t xml:space="preserve"> 495, at para. 40).</w:t>
      </w:r>
    </w:p>
    <w:p w:rsidR="00072E7F" w:rsidRDefault="00072E7F" w:rsidP="00072E7F">
      <w:pPr>
        <w:pStyle w:val="ParaNoNdepar-AltN"/>
        <w:rPr>
          <w:rFonts w:cs="Times New Roman"/>
        </w:rPr>
      </w:pPr>
      <w:r w:rsidRPr="009D27E8">
        <w:rPr>
          <w:rFonts w:cs="Times New Roman"/>
        </w:rPr>
        <w:t>For all of the above reasons, interpreting the judicially authorized return of funds as a loan from the state to the accused of the accused’s own money — effectively turning it into a baited trap — would dissuade its use and ultimately frustrate Parliament’s objectives in enacting the legal expenses return provision.</w:t>
      </w:r>
    </w:p>
    <w:p w:rsidR="00072E7F" w:rsidRPr="009D27E8" w:rsidRDefault="00072E7F" w:rsidP="0011176A">
      <w:pPr>
        <w:pStyle w:val="Title2LevelTitre2Niveau"/>
        <w:numPr>
          <w:ilvl w:val="1"/>
          <w:numId w:val="9"/>
        </w:numPr>
        <w:tabs>
          <w:tab w:val="clear" w:pos="-774"/>
          <w:tab w:val="num" w:pos="567"/>
        </w:tabs>
        <w:ind w:left="567" w:hanging="567"/>
        <w:rPr>
          <w:rFonts w:cs="Times New Roman"/>
        </w:rPr>
      </w:pPr>
      <w:r w:rsidRPr="009D27E8">
        <w:rPr>
          <w:rFonts w:cs="Times New Roman"/>
        </w:rPr>
        <w:lastRenderedPageBreak/>
        <w:t>Is the Return of Funds for Reasonable Legal Expenses a Benefit?</w:t>
      </w:r>
    </w:p>
    <w:p w:rsidR="00072E7F" w:rsidRPr="009D27E8" w:rsidRDefault="00072E7F" w:rsidP="00072E7F">
      <w:pPr>
        <w:pStyle w:val="ParaNoNdepar-AltN"/>
        <w:rPr>
          <w:rFonts w:cs="Times New Roman"/>
        </w:rPr>
      </w:pPr>
      <w:r w:rsidRPr="009D27E8">
        <w:rPr>
          <w:rFonts w:cs="Times New Roman"/>
        </w:rPr>
        <w:t xml:space="preserve">The Crown also argues that Mr. Rafilovich received a “benefit” — the payment of his legal fees — that he must be deprived of through the imposition of a fine instead of forfeiture in order to uphold the purpose of the proceeds of crime regime </w:t>
      </w:r>
      <w:r w:rsidR="008976EA">
        <w:rPr>
          <w:rFonts w:cs="Times New Roman"/>
        </w:rPr>
        <w:t>(R.F.</w:t>
      </w:r>
      <w:r w:rsidR="00D41BAA">
        <w:rPr>
          <w:rFonts w:cs="Times New Roman"/>
        </w:rPr>
        <w:t>, at para. </w:t>
      </w:r>
      <w:r w:rsidR="008976EA">
        <w:rPr>
          <w:rFonts w:cs="Times New Roman"/>
        </w:rPr>
        <w:t>49). I disagree.</w:t>
      </w:r>
    </w:p>
    <w:p w:rsidR="00072E7F" w:rsidRPr="009D27E8" w:rsidRDefault="00072E7F" w:rsidP="00072E7F">
      <w:pPr>
        <w:pStyle w:val="ParaNoNdepar-AltN"/>
        <w:rPr>
          <w:rFonts w:cs="Times New Roman"/>
        </w:rPr>
      </w:pPr>
      <w:r w:rsidRPr="009D27E8">
        <w:rPr>
          <w:rFonts w:cs="Times New Roman"/>
        </w:rPr>
        <w:t xml:space="preserve">Although this Court in </w:t>
      </w:r>
      <w:r w:rsidRPr="009D27E8">
        <w:rPr>
          <w:rFonts w:cs="Times New Roman"/>
          <w:i/>
        </w:rPr>
        <w:t xml:space="preserve">Lavigne </w:t>
      </w:r>
      <w:r w:rsidRPr="009D27E8">
        <w:rPr>
          <w:rFonts w:cs="Times New Roman"/>
        </w:rPr>
        <w:t>found that the primary purpose of the proceeds of crime regime and the fine instead of forfeiture provision is to prevent offenders from directly or indirectly</w:t>
      </w:r>
      <w:r w:rsidR="009349F4">
        <w:rPr>
          <w:rFonts w:cs="Times New Roman"/>
        </w:rPr>
        <w:t xml:space="preserve"> benefitting from crime (paras. </w:t>
      </w:r>
      <w:r w:rsidRPr="009D27E8">
        <w:rPr>
          <w:rFonts w:cs="Times New Roman"/>
        </w:rPr>
        <w:t>10</w:t>
      </w:r>
      <w:r w:rsidR="009A089F">
        <w:rPr>
          <w:rFonts w:cs="Times New Roman"/>
        </w:rPr>
        <w:t xml:space="preserve"> and</w:t>
      </w:r>
      <w:r w:rsidRPr="009D27E8">
        <w:rPr>
          <w:rFonts w:cs="Times New Roman"/>
        </w:rPr>
        <w:t xml:space="preserve"> 18), this purpose is not undermined by allowing for accused persons to use seized funds to pay</w:t>
      </w:r>
      <w:r w:rsidR="00D04219">
        <w:rPr>
          <w:rFonts w:cs="Times New Roman"/>
        </w:rPr>
        <w:t xml:space="preserve"> for reasonable legal expenses.</w:t>
      </w:r>
    </w:p>
    <w:p w:rsidR="00072E7F" w:rsidRPr="009D27E8" w:rsidRDefault="00072E7F" w:rsidP="00072E7F">
      <w:pPr>
        <w:pStyle w:val="ParaNoNdepar-AltN"/>
        <w:rPr>
          <w:rFonts w:cs="Times New Roman"/>
        </w:rPr>
      </w:pPr>
      <w:r w:rsidRPr="009D27E8">
        <w:rPr>
          <w:rFonts w:cs="Times New Roman"/>
        </w:rPr>
        <w:t xml:space="preserve">In one limited sense, an accused person with access to funds for legal counsel has a benefit that other accused persons may not have. In my view, however, the judicial return of funds to pay for a lawyer is not the type of benefit that Parliament sought to take away from offenders by way of a fine. Rather, it is a benefit that Parliament expressly intended them to have, which is evident from the very existence of the return provision. As discussed above, the alternative, which would amount to a temporary loan of the seized funds, would tilt the balance sharply towards the state and marginalize Parliament’s important secondary purposes behind the protections and principles of the legal expenses return provision. </w:t>
      </w:r>
    </w:p>
    <w:p w:rsidR="00072E7F" w:rsidRPr="009D27E8" w:rsidRDefault="00072E7F" w:rsidP="00072E7F">
      <w:pPr>
        <w:pStyle w:val="ParaNoNdepar-AltN"/>
        <w:rPr>
          <w:rFonts w:cs="Times New Roman"/>
        </w:rPr>
      </w:pPr>
      <w:r w:rsidRPr="009D27E8">
        <w:rPr>
          <w:rFonts w:cs="Times New Roman"/>
        </w:rPr>
        <w:lastRenderedPageBreak/>
        <w:t xml:space="preserve"> Instead of a temporary loan, Parliament balanced the multiple objectives by tightly controlling the extent of any benefit. The </w:t>
      </w:r>
      <w:r w:rsidRPr="009D27E8">
        <w:rPr>
          <w:rFonts w:cs="Times New Roman"/>
          <w:i/>
        </w:rPr>
        <w:t xml:space="preserve">Code </w:t>
      </w:r>
      <w:r w:rsidRPr="009D27E8">
        <w:rPr>
          <w:rFonts w:cs="Times New Roman"/>
        </w:rPr>
        <w:t>requires applicants to show that they have no other means to pay a lawyer before a judge returns funds for that purpose. “Other means” has been interpreted broadly to include support entitlements or other sources of financial assistance (</w:t>
      </w:r>
      <w:r w:rsidRPr="009D27E8">
        <w:rPr>
          <w:rFonts w:cs="Times New Roman"/>
          <w:i/>
        </w:rPr>
        <w:t>R. v. Keating</w:t>
      </w:r>
      <w:r w:rsidRPr="009D27E8">
        <w:rPr>
          <w:rFonts w:cs="Times New Roman"/>
        </w:rPr>
        <w:t xml:space="preserve"> (1997), 159 N.S.R. (2d) 357 (C.A.), at para. 28), help from family members (</w:t>
      </w:r>
      <w:r w:rsidRPr="009D27E8">
        <w:rPr>
          <w:rFonts w:cs="Times New Roman"/>
          <w:i/>
        </w:rPr>
        <w:t>R. v. Hobeika</w:t>
      </w:r>
      <w:r w:rsidRPr="009D27E8">
        <w:rPr>
          <w:rFonts w:cs="Times New Roman"/>
        </w:rPr>
        <w:t xml:space="preserve">, 2014 ONSC 5453, at para. 24 (CanLII); </w:t>
      </w:r>
      <w:r w:rsidRPr="009D27E8">
        <w:rPr>
          <w:rFonts w:cs="Times New Roman"/>
          <w:i/>
        </w:rPr>
        <w:t>R. v. Kizir</w:t>
      </w:r>
      <w:r w:rsidRPr="009D27E8">
        <w:rPr>
          <w:rFonts w:cs="Times New Roman"/>
        </w:rPr>
        <w:t>, 2014 ONSC 1676, 304 C.R.R. (2d) 287, at paras. 16-18), as well as the accused’s access to credit, so long as that credit is capable of being serviced (</w:t>
      </w:r>
      <w:r w:rsidRPr="009D27E8">
        <w:rPr>
          <w:rFonts w:cs="Times New Roman"/>
          <w:i/>
        </w:rPr>
        <w:t>R. v. Ro</w:t>
      </w:r>
      <w:r w:rsidRPr="009D27E8">
        <w:rPr>
          <w:rFonts w:cs="Times New Roman"/>
        </w:rPr>
        <w:t xml:space="preserve">, [2006] O.J. No. 3347 </w:t>
      </w:r>
      <w:r w:rsidR="00CA789B">
        <w:rPr>
          <w:rFonts w:cs="Times New Roman"/>
        </w:rPr>
        <w:t xml:space="preserve">(QL) </w:t>
      </w:r>
      <w:r w:rsidRPr="009D27E8">
        <w:rPr>
          <w:rFonts w:cs="Times New Roman"/>
        </w:rPr>
        <w:t xml:space="preserve">(Sup. Ct.), at paras. 35-39). Even if an accused has no other means, funds cannot be returned unless the judge is satisfied </w:t>
      </w:r>
      <w:r w:rsidRPr="009D27E8">
        <w:rPr>
          <w:rFonts w:cs="Times New Roman"/>
          <w:lang w:bidi="en-US"/>
        </w:rPr>
        <w:t xml:space="preserve">that “no other person appears to be the lawful owner of or lawfully entitled to possession of the property”. </w:t>
      </w:r>
      <w:r w:rsidRPr="009D27E8">
        <w:rPr>
          <w:rFonts w:cs="Times New Roman"/>
        </w:rPr>
        <w:t>As well, accused persons often cannot receive legal aid because the seized property is attributed to them and effectively disqualifies them from receiving assistance, even though they cannot actually access their seized property.</w:t>
      </w:r>
      <w:r w:rsidRPr="00056A93">
        <w:rPr>
          <w:rStyle w:val="Hyperlink"/>
          <w:vertAlign w:val="superscript"/>
        </w:rPr>
        <w:footnoteReference w:id="5"/>
      </w:r>
      <w:r w:rsidRPr="009D27E8">
        <w:rPr>
          <w:rFonts w:cs="Times New Roman"/>
        </w:rPr>
        <w:t xml:space="preserve"> This</w:t>
      </w:r>
      <w:r w:rsidR="00D169EA">
        <w:rPr>
          <w:rFonts w:cs="Times New Roman"/>
        </w:rPr>
        <w:t xml:space="preserve"> occurred with Mr. Rafilovich. </w:t>
      </w:r>
      <w:r w:rsidRPr="009D27E8">
        <w:rPr>
          <w:rFonts w:cs="Times New Roman"/>
        </w:rPr>
        <w:t>The legal expenses return provision, therefore, achieves a balance by providing a safety valve for a narrow category of accused persons in need while still depriving offenders from accessing the proceeds of crime in most other cases.</w:t>
      </w:r>
    </w:p>
    <w:p w:rsidR="00072E7F" w:rsidRPr="009D27E8" w:rsidRDefault="00072E7F" w:rsidP="00072E7F">
      <w:pPr>
        <w:pStyle w:val="ParaNoNdepar-AltN"/>
        <w:rPr>
          <w:rFonts w:cs="Times New Roman"/>
        </w:rPr>
      </w:pPr>
      <w:r w:rsidRPr="009D27E8">
        <w:rPr>
          <w:rFonts w:cs="Times New Roman"/>
        </w:rPr>
        <w:t xml:space="preserve">This conclusion is consistent with </w:t>
      </w:r>
      <w:r w:rsidRPr="009D27E8">
        <w:rPr>
          <w:rFonts w:cs="Times New Roman"/>
          <w:i/>
        </w:rPr>
        <w:t>Lavigne</w:t>
      </w:r>
      <w:r w:rsidRPr="009D27E8">
        <w:rPr>
          <w:rFonts w:cs="Times New Roman"/>
        </w:rPr>
        <w:t xml:space="preserve">’s </w:t>
      </w:r>
      <w:r w:rsidRPr="009D27E8">
        <w:rPr>
          <w:rFonts w:cs="Times New Roman"/>
          <w:szCs w:val="24"/>
        </w:rPr>
        <w:t>statements on how a sentencing judge should exercise discretion</w:t>
      </w:r>
      <w:r w:rsidR="00D169EA">
        <w:rPr>
          <w:rFonts w:cs="Times New Roman"/>
        </w:rPr>
        <w:t xml:space="preserve"> to impose a fine. </w:t>
      </w:r>
      <w:r w:rsidRPr="009D27E8">
        <w:rPr>
          <w:rFonts w:cs="Times New Roman"/>
        </w:rPr>
        <w:t xml:space="preserve">In </w:t>
      </w:r>
      <w:r w:rsidRPr="009D27E8">
        <w:rPr>
          <w:rFonts w:cs="Times New Roman"/>
          <w:i/>
        </w:rPr>
        <w:t>Lavigne</w:t>
      </w:r>
      <w:r w:rsidRPr="009D27E8">
        <w:rPr>
          <w:rFonts w:cs="Times New Roman"/>
        </w:rPr>
        <w:t xml:space="preserve">, imposing a </w:t>
      </w:r>
      <w:r w:rsidRPr="009D27E8">
        <w:rPr>
          <w:rFonts w:cs="Times New Roman"/>
        </w:rPr>
        <w:lastRenderedPageBreak/>
        <w:t xml:space="preserve">fine instead of forfeiture advanced the purpose of the proceeds of crime regime; in Mr. Rafilovich’s case, imposing a fine would undermine the purpose of the legal expenses return provision that Parliament included in that same regime. </w:t>
      </w:r>
    </w:p>
    <w:p w:rsidR="00072E7F" w:rsidRPr="009D27E8" w:rsidRDefault="00072E7F" w:rsidP="00072E7F">
      <w:pPr>
        <w:pStyle w:val="ParaNoNdepar-AltN"/>
        <w:rPr>
          <w:rFonts w:cs="Times New Roman"/>
        </w:rPr>
      </w:pPr>
      <w:r w:rsidRPr="009D27E8">
        <w:rPr>
          <w:rFonts w:cs="Times New Roman"/>
        </w:rPr>
        <w:t xml:space="preserve">In my view, the Court of Appeal over-emphasized the broad objective of the fine instead of forfeiture provision to prevent indirect benefit to the accused and gave inadequate attention to the important objectives in the detailed return process enacted by Parliament. The legal expenses return provision allowed Mr. Rafilovich, who had no other assets or means to pay for his defence, an opportunity to access seized funds (which remained his property) under close judicial </w:t>
      </w:r>
      <w:r w:rsidR="00D169EA">
        <w:rPr>
          <w:rFonts w:cs="Times New Roman"/>
        </w:rPr>
        <w:t xml:space="preserve">scrutiny and tight conditions. </w:t>
      </w:r>
      <w:r w:rsidRPr="009D27E8">
        <w:rPr>
          <w:rFonts w:cs="Times New Roman"/>
        </w:rPr>
        <w:t xml:space="preserve">This “benefit” is not the kind of benefit that the fine instead of forfeiture provision is aimed at preventing. As Veit J. observed in </w:t>
      </w:r>
      <w:r w:rsidRPr="009D27E8">
        <w:rPr>
          <w:rFonts w:cs="Times New Roman"/>
          <w:i/>
        </w:rPr>
        <w:t>Gagnon</w:t>
      </w:r>
      <w:r w:rsidR="009043C7">
        <w:rPr>
          <w:rFonts w:cs="Times New Roman"/>
        </w:rPr>
        <w:t>,</w:t>
      </w:r>
    </w:p>
    <w:p w:rsidR="00072E7F" w:rsidRPr="009D27E8" w:rsidRDefault="00072E7F" w:rsidP="00C30DBB">
      <w:pPr>
        <w:pStyle w:val="Citation-AltC"/>
      </w:pPr>
      <w:r w:rsidRPr="009D27E8">
        <w:t>I do not agree with the Crown’s contention that lawyers’ fees are like hairdressers’ fees: that they represent the exercise by an accused of discretion in relation to disposable income. Although Parliament’s intention is to strip a convict of the right to exercise that general kind of discretion, it characterized lawyers’ fees as a special type of expenditure</w:t>
      </w:r>
      <w:r w:rsidR="00F72416">
        <w:t xml:space="preserve"> </w:t>
      </w:r>
      <w:r w:rsidR="00CA789B">
        <w:t xml:space="preserve">. . . . </w:t>
      </w:r>
      <w:r w:rsidR="00B81112">
        <w:t>[p. </w:t>
      </w:r>
      <w:r w:rsidRPr="009D27E8">
        <w:t>512]</w:t>
      </w:r>
    </w:p>
    <w:p w:rsidR="00072E7F" w:rsidRPr="009D27E8" w:rsidRDefault="00072E7F" w:rsidP="00072E7F">
      <w:pPr>
        <w:pStyle w:val="ParaNoNdepar-AltN"/>
        <w:rPr>
          <w:rFonts w:cs="Times New Roman"/>
        </w:rPr>
      </w:pPr>
      <w:r w:rsidRPr="009D27E8">
        <w:rPr>
          <w:rFonts w:cs="Times New Roman"/>
        </w:rPr>
        <w:t>It is undeniable that because Mr. Rafilovich used the returned funds to finance his legal defence, there is less money available</w:t>
      </w:r>
      <w:r w:rsidR="00D169EA">
        <w:rPr>
          <w:rFonts w:cs="Times New Roman"/>
        </w:rPr>
        <w:t xml:space="preserve"> to be forfeited to the Crown. </w:t>
      </w:r>
      <w:r w:rsidRPr="009D27E8">
        <w:rPr>
          <w:rFonts w:cs="Times New Roman"/>
        </w:rPr>
        <w:t>But this by-product of accused persons exercising their rights is not unusual. A fundamental purpose of the criminal justice system is to provide a fair process to achieve just results, not to extract maximum retribution at any cost.</w:t>
      </w:r>
    </w:p>
    <w:p w:rsidR="00072E7F" w:rsidRPr="009D27E8" w:rsidRDefault="00072E7F" w:rsidP="00C4089E">
      <w:pPr>
        <w:pStyle w:val="Title2LevelTitre2Niveau"/>
        <w:numPr>
          <w:ilvl w:val="1"/>
          <w:numId w:val="9"/>
        </w:numPr>
        <w:tabs>
          <w:tab w:val="clear" w:pos="-774"/>
          <w:tab w:val="num" w:pos="567"/>
        </w:tabs>
        <w:ind w:left="567"/>
        <w:jc w:val="both"/>
        <w:rPr>
          <w:rFonts w:cs="Times New Roman"/>
        </w:rPr>
      </w:pPr>
      <w:r w:rsidRPr="009D27E8">
        <w:rPr>
          <w:rFonts w:cs="Times New Roman"/>
        </w:rPr>
        <w:lastRenderedPageBreak/>
        <w:t>The Payment of Reasonable Legal Fees Is Not the Kind of Transfer to</w:t>
      </w:r>
      <w:r w:rsidR="0085344D">
        <w:rPr>
          <w:rFonts w:cs="Times New Roman"/>
        </w:rPr>
        <w:t xml:space="preserve"> a Third Party Contemplated in S</w:t>
      </w:r>
      <w:r w:rsidRPr="009D27E8">
        <w:rPr>
          <w:rFonts w:cs="Times New Roman"/>
        </w:rPr>
        <w:t>ection</w:t>
      </w:r>
      <w:r w:rsidR="0011176A">
        <w:rPr>
          <w:rFonts w:cs="Times New Roman"/>
        </w:rPr>
        <w:t xml:space="preserve"> 462.37(3)</w:t>
      </w:r>
    </w:p>
    <w:p w:rsidR="00072E7F" w:rsidRPr="009D27E8" w:rsidRDefault="00072E7F" w:rsidP="00072E7F">
      <w:pPr>
        <w:pStyle w:val="ParaNoNdepar-AltN"/>
        <w:rPr>
          <w:rFonts w:cs="Times New Roman"/>
        </w:rPr>
      </w:pPr>
      <w:r w:rsidRPr="009D27E8">
        <w:rPr>
          <w:rFonts w:cs="Times New Roman"/>
        </w:rPr>
        <w:t xml:space="preserve">The purposes of the fine instead of forfeiture provision further support the interpretation that judges are not to use their discretion to generally impose fines on funds returned by court order </w:t>
      </w:r>
      <w:r w:rsidR="00D169EA">
        <w:rPr>
          <w:rFonts w:cs="Times New Roman"/>
        </w:rPr>
        <w:t>for reasonable legal expenses. Section </w:t>
      </w:r>
      <w:r w:rsidRPr="009D27E8">
        <w:rPr>
          <w:rFonts w:cs="Times New Roman"/>
        </w:rPr>
        <w:t>462.37(3) sets out two conditions before a fine may be imposed. First, there must be “property or any part of or interest in the property [that] cannot be made subject to an order”</w:t>
      </w:r>
      <w:r w:rsidR="00765840">
        <w:rPr>
          <w:rFonts w:cs="Times New Roman"/>
        </w:rPr>
        <w:t>.</w:t>
      </w:r>
      <w:r w:rsidRPr="009D27E8">
        <w:rPr>
          <w:rFonts w:cs="Times New Roman"/>
        </w:rPr>
        <w:t xml:space="preserve"> If this precondition is met, the analysis conti</w:t>
      </w:r>
      <w:r w:rsidR="00765840">
        <w:rPr>
          <w:rFonts w:cs="Times New Roman"/>
        </w:rPr>
        <w:t>nues to the list of examples:</w:t>
      </w:r>
    </w:p>
    <w:p w:rsidR="00072E7F" w:rsidRPr="009D27E8" w:rsidRDefault="001D63D0" w:rsidP="00072E7F">
      <w:pPr>
        <w:pStyle w:val="Citation-AltC"/>
      </w:pPr>
      <w:r>
        <w:t xml:space="preserve">. . . </w:t>
      </w:r>
      <w:r w:rsidR="00072E7F" w:rsidRPr="009D27E8">
        <w:t>In particular, a court may order the offender to pay a fine if the property or any part of or interest in the property</w:t>
      </w:r>
    </w:p>
    <w:p w:rsidR="00072E7F" w:rsidRPr="009D27E8" w:rsidRDefault="00072E7F" w:rsidP="00072E7F">
      <w:pPr>
        <w:pStyle w:val="Citation-AltC"/>
      </w:pPr>
      <w:r w:rsidRPr="009D27E8">
        <w:br/>
      </w:r>
      <w:r w:rsidRPr="009D27E8">
        <w:rPr>
          <w:b/>
        </w:rPr>
        <w:t>(a)</w:t>
      </w:r>
      <w:r w:rsidRPr="009D27E8">
        <w:t xml:space="preserve"> cannot, on the exercise of due diligence, be located;</w:t>
      </w:r>
    </w:p>
    <w:p w:rsidR="00072E7F" w:rsidRPr="009D27E8" w:rsidRDefault="00072E7F" w:rsidP="00072E7F">
      <w:pPr>
        <w:pStyle w:val="Citation-AltC"/>
      </w:pPr>
      <w:r w:rsidRPr="009D27E8">
        <w:br/>
      </w:r>
      <w:r w:rsidRPr="009D27E8">
        <w:rPr>
          <w:b/>
        </w:rPr>
        <w:t>(b)</w:t>
      </w:r>
      <w:r w:rsidRPr="009D27E8">
        <w:t xml:space="preserve"> has been transferred to a third party;</w:t>
      </w:r>
    </w:p>
    <w:p w:rsidR="00072E7F" w:rsidRPr="009D27E8" w:rsidRDefault="00072E7F" w:rsidP="00072E7F">
      <w:pPr>
        <w:pStyle w:val="Citation-AltC"/>
      </w:pPr>
      <w:r w:rsidRPr="009D27E8">
        <w:br/>
      </w:r>
      <w:r w:rsidRPr="009D27E8">
        <w:rPr>
          <w:b/>
        </w:rPr>
        <w:t>(c)</w:t>
      </w:r>
      <w:r w:rsidRPr="009D27E8">
        <w:t xml:space="preserve"> is located outside Canada;</w:t>
      </w:r>
    </w:p>
    <w:p w:rsidR="00072E7F" w:rsidRPr="009D27E8" w:rsidRDefault="00072E7F" w:rsidP="00072E7F">
      <w:pPr>
        <w:pStyle w:val="Citation-AltC"/>
      </w:pPr>
      <w:r w:rsidRPr="009D27E8">
        <w:br/>
      </w:r>
      <w:r w:rsidRPr="009D27E8">
        <w:rPr>
          <w:b/>
        </w:rPr>
        <w:t>(d)</w:t>
      </w:r>
      <w:r w:rsidRPr="009D27E8">
        <w:t xml:space="preserve"> has been substantially diminished in value or rendered worthless; or</w:t>
      </w:r>
    </w:p>
    <w:p w:rsidR="00072E7F" w:rsidRPr="009D27E8" w:rsidRDefault="00072E7F" w:rsidP="00072E7F">
      <w:pPr>
        <w:pStyle w:val="Citation-AltC"/>
      </w:pPr>
      <w:r w:rsidRPr="009D27E8">
        <w:br/>
      </w:r>
      <w:r w:rsidRPr="009D27E8">
        <w:rPr>
          <w:b/>
        </w:rPr>
        <w:t>(e)</w:t>
      </w:r>
      <w:r w:rsidRPr="009D27E8">
        <w:t xml:space="preserve"> has been commingled with other property that cannot be divided without difficulty.</w:t>
      </w:r>
    </w:p>
    <w:p w:rsidR="00072E7F" w:rsidRPr="009D27E8" w:rsidRDefault="00072E7F" w:rsidP="00072E7F">
      <w:pPr>
        <w:pStyle w:val="ContinueParaSuitedupar-AltP"/>
        <w:rPr>
          <w:rFonts w:cs="Times New Roman"/>
        </w:rPr>
      </w:pPr>
      <w:r w:rsidRPr="009D27E8">
        <w:rPr>
          <w:rFonts w:cs="Times New Roman"/>
        </w:rPr>
        <w:t>The phrase “in particular” implies a non-exhaustive list of circumstances in which a fine may be appropriate.</w:t>
      </w:r>
    </w:p>
    <w:p w:rsidR="00072E7F" w:rsidRPr="009D27E8" w:rsidRDefault="00072E7F" w:rsidP="00072E7F">
      <w:pPr>
        <w:pStyle w:val="ParaNoNdepar-AltN"/>
        <w:rPr>
          <w:rFonts w:cs="Times New Roman"/>
        </w:rPr>
      </w:pPr>
      <w:r w:rsidRPr="009D27E8">
        <w:rPr>
          <w:rFonts w:cs="Times New Roman"/>
        </w:rPr>
        <w:t xml:space="preserve">In </w:t>
      </w:r>
      <w:r w:rsidRPr="009D27E8">
        <w:rPr>
          <w:rFonts w:cs="Times New Roman"/>
          <w:i/>
        </w:rPr>
        <w:t>Lavigne</w:t>
      </w:r>
      <w:r w:rsidRPr="009D27E8">
        <w:rPr>
          <w:rFonts w:cs="Times New Roman"/>
        </w:rPr>
        <w:t>,</w:t>
      </w:r>
      <w:r w:rsidRPr="009D27E8">
        <w:rPr>
          <w:rFonts w:cs="Times New Roman"/>
          <w:i/>
        </w:rPr>
        <w:t xml:space="preserve"> </w:t>
      </w:r>
      <w:r w:rsidRPr="009D27E8">
        <w:rPr>
          <w:rFonts w:cs="Times New Roman"/>
        </w:rPr>
        <w:t xml:space="preserve">Justice Deschamps acknowledged that the use of “in particular” in s. 462.37(3) suggests there “are other circumstances that do not appear on the list. However, those circumstances must be similar in nature to the ones that are expressly </w:t>
      </w:r>
      <w:r w:rsidRPr="009D27E8">
        <w:rPr>
          <w:rFonts w:cs="Times New Roman"/>
        </w:rPr>
        <w:lastRenderedPageBreak/>
        <w:t>mentioned” (para. 24). This determination requires us to consider the unifying features behind the examples that Parliament has provided as situations that would attract the imposition o</w:t>
      </w:r>
      <w:r w:rsidR="002636D7">
        <w:rPr>
          <w:rFonts w:cs="Times New Roman"/>
        </w:rPr>
        <w:t>f a fine instead of forfeiture.</w:t>
      </w:r>
    </w:p>
    <w:p w:rsidR="00072E7F" w:rsidRPr="009D27E8" w:rsidRDefault="00072E7F" w:rsidP="00072E7F">
      <w:pPr>
        <w:pStyle w:val="ParaNoNdepar-AltN"/>
        <w:rPr>
          <w:rFonts w:cs="Times New Roman"/>
        </w:rPr>
      </w:pPr>
      <w:r w:rsidRPr="009D27E8">
        <w:rPr>
          <w:rFonts w:cs="Times New Roman"/>
        </w:rPr>
        <w:t>In this case, the Crown’s argument focussed on the notion that the property judicially returned to the accused for legal expenses had “been transferred to a third party” — Mr. Rafilovich’s lawyer — and thus fell within s. 462.37(3)(b). Even if the judicial return of funds to pay legal fees constitutes a “transfe</w:t>
      </w:r>
      <w:r w:rsidR="00622746">
        <w:rPr>
          <w:rFonts w:cs="Times New Roman"/>
        </w:rPr>
        <w:t>[</w:t>
      </w:r>
      <w:r w:rsidRPr="009D27E8">
        <w:rPr>
          <w:rFonts w:cs="Times New Roman"/>
        </w:rPr>
        <w:t>r</w:t>
      </w:r>
      <w:r w:rsidR="00622746">
        <w:rPr>
          <w:rFonts w:cs="Times New Roman"/>
        </w:rPr>
        <w:t>]</w:t>
      </w:r>
      <w:r w:rsidRPr="009D27E8">
        <w:rPr>
          <w:rFonts w:cs="Times New Roman"/>
        </w:rPr>
        <w:t>” to a third party, judges retain a discretion to nevertheless decline to order the fine where it would be contrary to the objectives of the return provision. In my view, the judicially authorized payment of reasonable legal fees is not the kind of “transfer” that Parliament intended to capture in this subsection.</w:t>
      </w:r>
    </w:p>
    <w:p w:rsidR="00072E7F" w:rsidRPr="009D27E8" w:rsidRDefault="00072E7F" w:rsidP="00072E7F">
      <w:pPr>
        <w:pStyle w:val="ParaNoNdepar-AltN"/>
        <w:rPr>
          <w:rFonts w:cs="Times New Roman"/>
        </w:rPr>
      </w:pPr>
      <w:r w:rsidRPr="009D27E8">
        <w:rPr>
          <w:rFonts w:cs="Times New Roman"/>
        </w:rPr>
        <w:t xml:space="preserve">The key distinguishing feature here is judicial authorization. The returned funds are never held or transferred by the accused person: they are sent directly from the state </w:t>
      </w:r>
      <w:r w:rsidR="00BF7BF7" w:rsidRPr="009D27E8">
        <w:rPr>
          <w:rFonts w:cs="Times New Roman"/>
        </w:rPr>
        <w:t>—</w:t>
      </w:r>
      <w:r w:rsidRPr="009D27E8">
        <w:rPr>
          <w:rFonts w:cs="Times New Roman"/>
        </w:rPr>
        <w:t xml:space="preserve"> with judicial permission </w:t>
      </w:r>
      <w:r w:rsidR="00BF7BF7" w:rsidRPr="009D27E8">
        <w:rPr>
          <w:rFonts w:cs="Times New Roman"/>
        </w:rPr>
        <w:t>—</w:t>
      </w:r>
      <w:r w:rsidRPr="009D27E8">
        <w:rPr>
          <w:rFonts w:cs="Times New Roman"/>
        </w:rPr>
        <w:t xml:space="preserve"> to a designated person for permitted purposes under st</w:t>
      </w:r>
      <w:r w:rsidR="00BF7BF7">
        <w:rPr>
          <w:rFonts w:cs="Times New Roman"/>
        </w:rPr>
        <w:t>rict judicial supervision. The a</w:t>
      </w:r>
      <w:r w:rsidRPr="009D27E8">
        <w:rPr>
          <w:rFonts w:cs="Times New Roman"/>
        </w:rPr>
        <w:t xml:space="preserve">ccused’s lawyer is not some unknown person receiving the funds by way of an entirely uncontrolled, private transaction, as was the case in </w:t>
      </w:r>
      <w:r w:rsidRPr="009D27E8">
        <w:rPr>
          <w:rFonts w:cs="Times New Roman"/>
          <w:i/>
        </w:rPr>
        <w:t>Lavigne</w:t>
      </w:r>
      <w:r w:rsidRPr="009D27E8">
        <w:rPr>
          <w:rFonts w:cs="Times New Roman"/>
        </w:rPr>
        <w:t xml:space="preserve">. Rather, they have been specifically authorized by a judge through a return order to be paid at a stipulated hourly rate for specified services in aid of the accused’s defence. As the Newfoundland and Labrador Court of Appeal held in </w:t>
      </w:r>
      <w:r w:rsidRPr="009D27E8">
        <w:rPr>
          <w:rFonts w:cs="Times New Roman"/>
          <w:i/>
        </w:rPr>
        <w:t>Appleby</w:t>
      </w:r>
      <w:r w:rsidRPr="009D27E8">
        <w:rPr>
          <w:rFonts w:cs="Times New Roman"/>
        </w:rPr>
        <w:t xml:space="preserve">, it is inappropriate “to treat the transfer of funds upon the order of a judge, specifically authorized to so order for a purpose and in the limited circumstances </w:t>
      </w:r>
      <w:r w:rsidRPr="009D27E8">
        <w:rPr>
          <w:rFonts w:cs="Times New Roman"/>
        </w:rPr>
        <w:lastRenderedPageBreak/>
        <w:t xml:space="preserve">expressly authorized by the statute, as being activities of the same character as” funds that are transferred privately to third parties with no judicial oversight (para. 53). </w:t>
      </w:r>
    </w:p>
    <w:p w:rsidR="00072E7F" w:rsidRPr="009D27E8" w:rsidRDefault="006D4F32" w:rsidP="00072E7F">
      <w:pPr>
        <w:pStyle w:val="ParaNoNdepar-AltN"/>
        <w:rPr>
          <w:rFonts w:cs="Times New Roman"/>
        </w:rPr>
      </w:pPr>
      <w:r>
        <w:rPr>
          <w:rFonts w:cs="Times New Roman"/>
        </w:rPr>
        <w:t xml:space="preserve">Nor is the judicially </w:t>
      </w:r>
      <w:r w:rsidR="00072E7F" w:rsidRPr="009D27E8">
        <w:rPr>
          <w:rFonts w:cs="Times New Roman"/>
        </w:rPr>
        <w:t xml:space="preserve">authorized use of property for reasonable legal fees thematically analogous to any of the other listed reasons for ordering a fine instead of forfeiture. All of the circumstances listed in s. 462.37(3) reflect Parliament’s concern that an accused person </w:t>
      </w:r>
      <w:r w:rsidRPr="009D27E8">
        <w:rPr>
          <w:rFonts w:cs="Times New Roman"/>
        </w:rPr>
        <w:t>—</w:t>
      </w:r>
      <w:r w:rsidR="00072E7F" w:rsidRPr="009D27E8">
        <w:rPr>
          <w:rFonts w:cs="Times New Roman"/>
        </w:rPr>
        <w:t xml:space="preserve"> not a judge </w:t>
      </w:r>
      <w:r w:rsidRPr="009D27E8">
        <w:rPr>
          <w:rFonts w:cs="Times New Roman"/>
        </w:rPr>
        <w:t>—</w:t>
      </w:r>
      <w:r w:rsidR="00072E7F" w:rsidRPr="009D27E8">
        <w:rPr>
          <w:rFonts w:cs="Times New Roman"/>
        </w:rPr>
        <w:t xml:space="preserve"> m</w:t>
      </w:r>
      <w:r>
        <w:rPr>
          <w:rFonts w:cs="Times New Roman"/>
        </w:rPr>
        <w:t>i</w:t>
      </w:r>
      <w:r w:rsidR="00072E7F" w:rsidRPr="009D27E8">
        <w:rPr>
          <w:rFonts w:cs="Times New Roman"/>
        </w:rPr>
        <w:t>ght hide, dissipate or distribute property that may later be determined to be proceeds of crime. Indeed, this was the prevailing interpretation at the time the provision was enacted. In his testimony before the legislative committee, the Minister of Justice explained the concern that underpins the fine instead of forfeiture provision:</w:t>
      </w:r>
    </w:p>
    <w:p w:rsidR="00072E7F" w:rsidRPr="009D27E8" w:rsidRDefault="00072E7F" w:rsidP="00072E7F">
      <w:pPr>
        <w:pStyle w:val="Citation-AltC"/>
        <w:ind w:firstLine="274"/>
      </w:pPr>
      <w:r w:rsidRPr="009D27E8">
        <w:t xml:space="preserve">To encourage offenders to deliver up their proceeds of crime, courts will be entitled to impose special fines with jail terms in default representing the value of illicit assets intentionally placed beyond the reach of the authorities. </w:t>
      </w:r>
    </w:p>
    <w:p w:rsidR="00072E7F" w:rsidRPr="009D27E8" w:rsidRDefault="00072E7F" w:rsidP="00072E7F">
      <w:pPr>
        <w:pStyle w:val="Citation-AltC"/>
      </w:pPr>
    </w:p>
    <w:p w:rsidR="00072E7F" w:rsidRPr="009D27E8" w:rsidRDefault="00072E7F" w:rsidP="0069068F">
      <w:pPr>
        <w:pStyle w:val="Citation-AltC"/>
        <w:ind w:left="0"/>
      </w:pPr>
      <w:r w:rsidRPr="009D27E8">
        <w:t xml:space="preserve">(House of Commons, </w:t>
      </w:r>
      <w:r w:rsidRPr="009D27E8">
        <w:rPr>
          <w:i/>
        </w:rPr>
        <w:t>Minutes</w:t>
      </w:r>
      <w:r w:rsidR="0069068F">
        <w:t>, November 5, 1987, at p. </w:t>
      </w:r>
      <w:r w:rsidRPr="009D27E8">
        <w:t>1:8)</w:t>
      </w:r>
    </w:p>
    <w:p w:rsidR="00072E7F" w:rsidRPr="009D27E8" w:rsidRDefault="00072E7F" w:rsidP="00072E7F">
      <w:pPr>
        <w:pStyle w:val="ContinueParaSuitedupar-AltP"/>
        <w:rPr>
          <w:rFonts w:cs="Times New Roman"/>
        </w:rPr>
      </w:pPr>
      <w:r w:rsidRPr="009D27E8">
        <w:rPr>
          <w:rFonts w:cs="Times New Roman"/>
        </w:rPr>
        <w:t xml:space="preserve">Later, in third reading debate, the Minister said: </w:t>
      </w:r>
    </w:p>
    <w:p w:rsidR="00072E7F" w:rsidRPr="009D27E8" w:rsidRDefault="00072E7F" w:rsidP="00072E7F">
      <w:pPr>
        <w:pStyle w:val="Citation-AltC"/>
        <w:ind w:firstLine="274"/>
      </w:pPr>
      <w:r w:rsidRPr="009D27E8">
        <w:t>The Bill also provides that a court may order the payment of a fine when forfeiture is impossible either because the offender has hidden his [or her] illicit gains or has removed them from the jurisdiction of Canadian courts.</w:t>
      </w:r>
    </w:p>
    <w:p w:rsidR="00072E7F" w:rsidRPr="009D27E8" w:rsidRDefault="00072E7F" w:rsidP="00072E7F">
      <w:pPr>
        <w:pStyle w:val="Citation-AltC"/>
      </w:pPr>
    </w:p>
    <w:p w:rsidR="00072E7F" w:rsidRPr="009D27E8" w:rsidRDefault="00072E7F" w:rsidP="0069068F">
      <w:pPr>
        <w:pStyle w:val="Citation-AltC"/>
        <w:ind w:left="0"/>
      </w:pPr>
      <w:r w:rsidRPr="009D27E8">
        <w:t xml:space="preserve">(House of Commons, </w:t>
      </w:r>
      <w:r w:rsidRPr="009D27E8">
        <w:rPr>
          <w:i/>
        </w:rPr>
        <w:t>Debates</w:t>
      </w:r>
      <w:r w:rsidR="0069068F">
        <w:t>, at p. </w:t>
      </w:r>
      <w:r w:rsidRPr="009D27E8">
        <w:t>17258)</w:t>
      </w:r>
    </w:p>
    <w:p w:rsidR="00072E7F" w:rsidRPr="009D27E8" w:rsidRDefault="00072E7F" w:rsidP="00072E7F">
      <w:pPr>
        <w:pStyle w:val="ParaNoNdepar-AltN"/>
        <w:rPr>
          <w:rFonts w:cs="Times New Roman"/>
        </w:rPr>
      </w:pPr>
      <w:r w:rsidRPr="009D27E8">
        <w:rPr>
          <w:rFonts w:cs="Times New Roman"/>
        </w:rPr>
        <w:lastRenderedPageBreak/>
        <w:t xml:space="preserve">Thus, in my </w:t>
      </w:r>
      <w:r w:rsidR="0069068F">
        <w:rPr>
          <w:rFonts w:cs="Times New Roman"/>
        </w:rPr>
        <w:t xml:space="preserve">view, the payment of judicially </w:t>
      </w:r>
      <w:r w:rsidRPr="009D27E8">
        <w:rPr>
          <w:rFonts w:cs="Times New Roman"/>
        </w:rPr>
        <w:t>returned funds to the accused’s lawyer is not the kind of “transfer” that Parliament intended to capture with the fine instead of forfeiture provision. Therefore, even if the transfer of funds to a lawyer is technically a transfer to a third party, judges generally should not exercise their discretion to fine an accused for their use of returned funds to pay for their reasonable legal expenses.</w:t>
      </w:r>
    </w:p>
    <w:p w:rsidR="00072E7F" w:rsidRPr="009D27E8" w:rsidRDefault="00072E7F" w:rsidP="0011176A">
      <w:pPr>
        <w:pStyle w:val="Title2LevelTitre2Niveau"/>
        <w:numPr>
          <w:ilvl w:val="1"/>
          <w:numId w:val="9"/>
        </w:numPr>
        <w:tabs>
          <w:tab w:val="clear" w:pos="-774"/>
          <w:tab w:val="num" w:pos="567"/>
        </w:tabs>
        <w:ind w:left="567"/>
        <w:rPr>
          <w:rFonts w:cs="Times New Roman"/>
        </w:rPr>
      </w:pPr>
      <w:r w:rsidRPr="009D27E8">
        <w:rPr>
          <w:rFonts w:cs="Times New Roman"/>
        </w:rPr>
        <w:t xml:space="preserve">A Fine Instead of Forfeiture Can Be Imposed When the Rationale for the Return Provision Is Undermined </w:t>
      </w:r>
    </w:p>
    <w:p w:rsidR="00072E7F" w:rsidRPr="009D27E8" w:rsidRDefault="00072E7F" w:rsidP="00072E7F">
      <w:pPr>
        <w:pStyle w:val="ParaNoNdepar-AltN"/>
        <w:rPr>
          <w:rFonts w:cs="Times New Roman"/>
        </w:rPr>
      </w:pPr>
      <w:r w:rsidRPr="009D27E8">
        <w:rPr>
          <w:rFonts w:cs="Times New Roman"/>
        </w:rPr>
        <w:t>If, generally speaking, Parliament did not intend to impose a fine instead of forf</w:t>
      </w:r>
      <w:r w:rsidR="00DA12B7">
        <w:rPr>
          <w:rFonts w:cs="Times New Roman"/>
        </w:rPr>
        <w:t xml:space="preserve">eiture in respect of judicially </w:t>
      </w:r>
      <w:r w:rsidRPr="009D27E8">
        <w:rPr>
          <w:rFonts w:cs="Times New Roman"/>
        </w:rPr>
        <w:t xml:space="preserve">returned funds spent on reasonable legal expenses, how should the discretion provided in s. 462.37(3) be exercised? This Court in </w:t>
      </w:r>
      <w:r w:rsidRPr="009D27E8">
        <w:rPr>
          <w:rFonts w:cs="Times New Roman"/>
          <w:i/>
        </w:rPr>
        <w:t xml:space="preserve">Lavigne </w:t>
      </w:r>
      <w:r w:rsidRPr="009D27E8">
        <w:rPr>
          <w:rFonts w:cs="Times New Roman"/>
        </w:rPr>
        <w:t xml:space="preserve">held that the discretion must be exercised in a manner consistent with the objectives of the proceeds of crime regime. Justice Deschamps acknowledged in </w:t>
      </w:r>
      <w:r w:rsidRPr="009D27E8">
        <w:rPr>
          <w:rFonts w:cs="Times New Roman"/>
          <w:i/>
        </w:rPr>
        <w:t xml:space="preserve">Lavigne </w:t>
      </w:r>
      <w:r w:rsidRPr="009D27E8">
        <w:rPr>
          <w:rFonts w:cs="Times New Roman"/>
        </w:rPr>
        <w:t xml:space="preserve">that “a court may face circumstances in which the objectives of the provisions do not call for a fine to be imposed” (para. 28). For example, a fine would be inappropriate if “the offender did not profit from the crime and if it was an isolated crime committed by an offender acting alone” (para. 28). Based on the foregoing analysis, I add the further example: that the accused was authorized by court order to spend returned funds on reasonable legal expenses. </w:t>
      </w:r>
    </w:p>
    <w:p w:rsidR="00072E7F" w:rsidRPr="009D27E8" w:rsidRDefault="00072E7F" w:rsidP="00072E7F">
      <w:pPr>
        <w:pStyle w:val="ParaNoNdepar-AltN"/>
        <w:rPr>
          <w:rFonts w:cs="Times New Roman"/>
        </w:rPr>
      </w:pPr>
      <w:r w:rsidRPr="009D27E8">
        <w:rPr>
          <w:rFonts w:cs="Times New Roman"/>
        </w:rPr>
        <w:t xml:space="preserve">The circumstances under which it is possible to impose a fine instead of forfeiture on funds returned for reasonable legal expenses must be anchored to </w:t>
      </w:r>
      <w:r w:rsidRPr="009D27E8">
        <w:rPr>
          <w:rFonts w:cs="Times New Roman"/>
        </w:rPr>
        <w:lastRenderedPageBreak/>
        <w:t xml:space="preserve">Parliament’s intent, and sentencing judges must consider whether the offender’s use of funds advanced or undermined the purposes of the return provision. If it turns out that the financial need was not real, or the funds were not used to alleviate that need, the imposition of a fine instead of forfeiture might be appropriate. I can foresee three situations where this could occur, although there may be others. </w:t>
      </w:r>
    </w:p>
    <w:p w:rsidR="00072E7F" w:rsidRPr="009D27E8" w:rsidRDefault="00072E7F" w:rsidP="00072E7F">
      <w:pPr>
        <w:pStyle w:val="ParaNoNdepar-AltN"/>
        <w:rPr>
          <w:rFonts w:cs="Times New Roman"/>
        </w:rPr>
      </w:pPr>
      <w:r w:rsidRPr="009D27E8">
        <w:rPr>
          <w:rFonts w:cs="Times New Roman"/>
        </w:rPr>
        <w:t>The first is some kind of wrongdoing in the return of funds application, such as the misrepresentation of the accused’s financial position. The second is wrongdoing by the offender in the administration of the return order, such as funds not being applied in the manner contemplated, expenditures for purposes outside the scope of the return order, or fees in excess of judicially</w:t>
      </w:r>
      <w:r w:rsidR="00D422E9">
        <w:rPr>
          <w:rFonts w:cs="Times New Roman"/>
        </w:rPr>
        <w:t xml:space="preserve"> </w:t>
      </w:r>
      <w:r w:rsidRPr="009D27E8">
        <w:rPr>
          <w:rFonts w:cs="Times New Roman"/>
        </w:rPr>
        <w:t>authorized limits. The third is where the accused experiences an unexpected change in financial circumstances after the funds have been returned but before sentencing, such that recourse to returned funds is no longer necessary after the accused became aware of the changed circumstances. Indeed, counsel for Mr. Rafilovich conceded that judicial discretion to impose a fine should be exercised “</w:t>
      </w:r>
      <w:r w:rsidR="006C6860">
        <w:rPr>
          <w:rFonts w:cs="Times New Roman"/>
        </w:rPr>
        <w:t>[</w:t>
      </w:r>
      <w:r w:rsidRPr="009D27E8">
        <w:rPr>
          <w:rFonts w:cs="Times New Roman"/>
        </w:rPr>
        <w:t>i</w:t>
      </w:r>
      <w:r w:rsidR="006C6860">
        <w:rPr>
          <w:rFonts w:cs="Times New Roman"/>
        </w:rPr>
        <w:t>]</w:t>
      </w:r>
      <w:r w:rsidRPr="009D27E8">
        <w:rPr>
          <w:rFonts w:cs="Times New Roman"/>
        </w:rPr>
        <w:t>f there had been an unforeseen enrichment in between the period of the making of the [return] order and the conclusion of the trial, [such as]</w:t>
      </w:r>
      <w:r w:rsidR="006C6860">
        <w:rPr>
          <w:rFonts w:cs="Times New Roman"/>
        </w:rPr>
        <w:t xml:space="preserve"> the person wins the lottery” (t</w:t>
      </w:r>
      <w:r w:rsidR="00D422E9">
        <w:rPr>
          <w:rFonts w:cs="Times New Roman"/>
        </w:rPr>
        <w:t xml:space="preserve">ranscript, </w:t>
      </w:r>
      <w:r w:rsidR="00277B08">
        <w:rPr>
          <w:rFonts w:cs="Times New Roman"/>
        </w:rPr>
        <w:t xml:space="preserve">at </w:t>
      </w:r>
      <w:r w:rsidR="00D422E9">
        <w:rPr>
          <w:rFonts w:cs="Times New Roman"/>
        </w:rPr>
        <w:t>p. 24, lines 16-19).</w:t>
      </w:r>
    </w:p>
    <w:p w:rsidR="00072E7F" w:rsidRPr="009D27E8" w:rsidRDefault="00072E7F" w:rsidP="00072E7F">
      <w:pPr>
        <w:pStyle w:val="ParaNoNdepar-AltN"/>
        <w:rPr>
          <w:rFonts w:cs="Times New Roman"/>
        </w:rPr>
      </w:pPr>
      <w:r w:rsidRPr="009D27E8">
        <w:rPr>
          <w:rFonts w:cs="Times New Roman"/>
        </w:rPr>
        <w:t xml:space="preserve">These are examples of situations where the accused has obtained something beyond what Parliament intended, and the sentencing judge may honour that intent by recovering the returned monies by way of a fine. By ordering a fine in such circumstances, courts will respect the balance between Parliament’s objectives in </w:t>
      </w:r>
      <w:r w:rsidRPr="009D27E8">
        <w:rPr>
          <w:rFonts w:cs="Times New Roman"/>
        </w:rPr>
        <w:lastRenderedPageBreak/>
        <w:t>ensuring access to counsel and protecting the presumption of innocence through the legal expenses return provision, and its objective of depriving offenders of proceeds of crime thr</w:t>
      </w:r>
      <w:r w:rsidR="00D169EA">
        <w:rPr>
          <w:rFonts w:cs="Times New Roman"/>
        </w:rPr>
        <w:t>ough the forfeiture provision.</w:t>
      </w:r>
    </w:p>
    <w:p w:rsidR="00072E7F" w:rsidRPr="009D27E8" w:rsidRDefault="00072E7F" w:rsidP="0011176A">
      <w:pPr>
        <w:pStyle w:val="Title2LevelTitre2Niveau"/>
        <w:numPr>
          <w:ilvl w:val="1"/>
          <w:numId w:val="9"/>
        </w:numPr>
        <w:tabs>
          <w:tab w:val="clear" w:pos="-774"/>
          <w:tab w:val="num" w:pos="567"/>
        </w:tabs>
        <w:ind w:left="567" w:hanging="567"/>
        <w:rPr>
          <w:rFonts w:cs="Times New Roman"/>
        </w:rPr>
      </w:pPr>
      <w:r w:rsidRPr="009D27E8">
        <w:rPr>
          <w:rFonts w:cs="Times New Roman"/>
        </w:rPr>
        <w:t>Rowbotham and Fines Instead of Forfeiture</w:t>
      </w:r>
    </w:p>
    <w:p w:rsidR="00072E7F" w:rsidRPr="009D27E8" w:rsidRDefault="00072E7F" w:rsidP="00072E7F">
      <w:pPr>
        <w:pStyle w:val="ParaNoNdepar-AltN"/>
        <w:rPr>
          <w:rFonts w:cs="Times New Roman"/>
        </w:rPr>
      </w:pPr>
      <w:r w:rsidRPr="009D27E8">
        <w:rPr>
          <w:rFonts w:cs="Times New Roman"/>
        </w:rPr>
        <w:t xml:space="preserve">My colleague holds that the discretion not to impose a fine instead of forfeiture can be exercised only if an offender was constitutionally entitled to state-funded legal counsel. This should be determined by “applying the test set out in </w:t>
      </w:r>
      <w:r w:rsidRPr="009D27E8">
        <w:rPr>
          <w:rFonts w:cs="Times New Roman"/>
          <w:i/>
        </w:rPr>
        <w:t>R. v. Rowbotham</w:t>
      </w:r>
      <w:r w:rsidRPr="009D27E8">
        <w:rPr>
          <w:rFonts w:cs="Times New Roman"/>
        </w:rPr>
        <w:t>” (para. 93). He says this approach gives “proper effect to Parliament’s objective of ensuring an effective forfeiture regime while still vindicating the constitutionally protected right to co</w:t>
      </w:r>
      <w:r w:rsidR="00F70B90">
        <w:rPr>
          <w:rFonts w:cs="Times New Roman"/>
        </w:rPr>
        <w:t>unsel” (para. 141). I disagree.</w:t>
      </w:r>
    </w:p>
    <w:p w:rsidR="00072E7F" w:rsidRPr="009D27E8" w:rsidRDefault="00072E7F" w:rsidP="00072E7F">
      <w:pPr>
        <w:pStyle w:val="ParaNoNdepar-AltN"/>
        <w:rPr>
          <w:rFonts w:cs="Times New Roman"/>
        </w:rPr>
      </w:pPr>
      <w:r w:rsidRPr="009D27E8">
        <w:rPr>
          <w:rFonts w:cs="Times New Roman"/>
          <w:i/>
        </w:rPr>
        <w:t>Rowbotham</w:t>
      </w:r>
      <w:r w:rsidRPr="009D27E8">
        <w:rPr>
          <w:rFonts w:cs="Times New Roman"/>
        </w:rPr>
        <w:t xml:space="preserve"> is an exceptional constitutional regime that addresses when an accused can insist upon state-funded counsel because there would otherwise be a breach of the accused’s right to a fair trial. It operates only in very discrete circumstances, and leads to a stay of proceedings unless funding is provided by the state. Under </w:t>
      </w:r>
      <w:r w:rsidRPr="009D27E8">
        <w:rPr>
          <w:rFonts w:cs="Times New Roman"/>
          <w:i/>
        </w:rPr>
        <w:t>Rowbotham</w:t>
      </w:r>
      <w:r w:rsidRPr="003511EA">
        <w:rPr>
          <w:rFonts w:cs="Times New Roman"/>
        </w:rPr>
        <w:t xml:space="preserve">, </w:t>
      </w:r>
      <w:r w:rsidRPr="009D27E8">
        <w:rPr>
          <w:rFonts w:cs="Times New Roman"/>
        </w:rPr>
        <w:t>the right to a fair trial is not engaged unless three preconditions are met: (1) legal aid is denied, (2) the accused does not have other financial means, and (3) “representation of the accused by counsel is essential to a fair trial” (</w:t>
      </w:r>
      <w:r w:rsidRPr="009D27E8">
        <w:rPr>
          <w:rFonts w:cs="Times New Roman"/>
          <w:i/>
        </w:rPr>
        <w:t>Rowbotham</w:t>
      </w:r>
      <w:r w:rsidRPr="009D27E8">
        <w:rPr>
          <w:rFonts w:cs="Times New Roman"/>
        </w:rPr>
        <w:t>,</w:t>
      </w:r>
      <w:r w:rsidRPr="009D27E8">
        <w:rPr>
          <w:rFonts w:cs="Times New Roman"/>
          <w:i/>
        </w:rPr>
        <w:t xml:space="preserve"> </w:t>
      </w:r>
      <w:r w:rsidR="003511EA">
        <w:rPr>
          <w:rFonts w:cs="Times New Roman"/>
        </w:rPr>
        <w:t>at p</w:t>
      </w:r>
      <w:r w:rsidRPr="009D27E8">
        <w:rPr>
          <w:rFonts w:cs="Times New Roman"/>
        </w:rPr>
        <w:t>.</w:t>
      </w:r>
      <w:r w:rsidR="003511EA">
        <w:rPr>
          <w:rFonts w:cs="Times New Roman"/>
        </w:rPr>
        <w:t> 6</w:t>
      </w:r>
      <w:r w:rsidRPr="009D27E8">
        <w:rPr>
          <w:rFonts w:cs="Times New Roman"/>
        </w:rPr>
        <w:t xml:space="preserve">6). To some extent, it might appear that the first and second elements of the </w:t>
      </w:r>
      <w:r w:rsidRPr="009D27E8">
        <w:rPr>
          <w:rFonts w:cs="Times New Roman"/>
          <w:i/>
        </w:rPr>
        <w:t xml:space="preserve">Rowbotham </w:t>
      </w:r>
      <w:r w:rsidRPr="009D27E8">
        <w:rPr>
          <w:rFonts w:cs="Times New Roman"/>
        </w:rPr>
        <w:t xml:space="preserve">test are conceptually similar to the s. 462.34(4) requirement that “the applicant has no other assets or means available”. However, the mere existence of seized funds will generally lead a court to find an accused person </w:t>
      </w:r>
      <w:r w:rsidRPr="009D27E8">
        <w:rPr>
          <w:rFonts w:cs="Times New Roman"/>
        </w:rPr>
        <w:lastRenderedPageBreak/>
        <w:t xml:space="preserve">ineligible for a </w:t>
      </w:r>
      <w:r w:rsidRPr="009D27E8">
        <w:rPr>
          <w:rFonts w:cs="Times New Roman"/>
          <w:i/>
        </w:rPr>
        <w:t xml:space="preserve">Rowbotham </w:t>
      </w:r>
      <w:r w:rsidRPr="009D27E8">
        <w:rPr>
          <w:rFonts w:cs="Times New Roman"/>
        </w:rPr>
        <w:t xml:space="preserve">order because the seized funds are available through the return provision. Most obviously, it is the third element, that legal counsel be “essential to a fair trial”, that my colleague would effectively import, as an additional requirement, into the proceeds of crime regime. </w:t>
      </w:r>
    </w:p>
    <w:p w:rsidR="00072E7F" w:rsidRPr="009D27E8" w:rsidRDefault="00072E7F" w:rsidP="00072E7F">
      <w:pPr>
        <w:pStyle w:val="ParaNoNdepar-AltN"/>
        <w:rPr>
          <w:rFonts w:cs="Times New Roman"/>
        </w:rPr>
      </w:pPr>
      <w:r w:rsidRPr="009D27E8">
        <w:rPr>
          <w:rFonts w:cs="Times New Roman"/>
        </w:rPr>
        <w:t xml:space="preserve">In my view, Parliament has set out its desired statutory requirements for the judicial return of seized funds. Returning the funds only where it is “essential to a fair trial” is not one of them. Moreover, the </w:t>
      </w:r>
      <w:r w:rsidRPr="009D27E8">
        <w:rPr>
          <w:rFonts w:cs="Times New Roman"/>
          <w:i/>
        </w:rPr>
        <w:t xml:space="preserve">Rowbotham </w:t>
      </w:r>
      <w:r w:rsidRPr="009D27E8">
        <w:rPr>
          <w:rFonts w:cs="Times New Roman"/>
        </w:rPr>
        <w:t>criteria are designed to respond to a very different set of circumstances than the legal expenses return provision.</w:t>
      </w:r>
      <w:r w:rsidRPr="009D27E8">
        <w:rPr>
          <w:rFonts w:cs="Times New Roman"/>
          <w:i/>
        </w:rPr>
        <w:t xml:space="preserve"> </w:t>
      </w:r>
      <w:r w:rsidRPr="009D27E8">
        <w:rPr>
          <w:rFonts w:cs="Times New Roman"/>
        </w:rPr>
        <w:t xml:space="preserve">The legal expenses return provision does not involve a request for state-funded counsel; rather, it allows a court to return seized monies, which still belong to the accused, when necessary to pay for reasonable legal expenses. The return provision respects the accused’s access to, and choice of, legal representation, which is very different from the right to state-funded counsel. </w:t>
      </w:r>
      <w:r w:rsidRPr="009D27E8">
        <w:rPr>
          <w:rFonts w:cs="Times New Roman"/>
          <w:i/>
        </w:rPr>
        <w:t>Rowbotham</w:t>
      </w:r>
      <w:r w:rsidRPr="009D27E8">
        <w:rPr>
          <w:rFonts w:cs="Times New Roman"/>
        </w:rPr>
        <w:t xml:space="preserve">, conversely, is geared towards the right to a fair trial (see </w:t>
      </w:r>
      <w:r w:rsidRPr="009D27E8">
        <w:rPr>
          <w:rFonts w:cs="Times New Roman"/>
          <w:i/>
        </w:rPr>
        <w:t>Rowbotham</w:t>
      </w:r>
      <w:r w:rsidRPr="009D27E8">
        <w:rPr>
          <w:rFonts w:cs="Times New Roman"/>
        </w:rPr>
        <w:t xml:space="preserve">, at </w:t>
      </w:r>
      <w:r w:rsidR="00FD1FF7">
        <w:rPr>
          <w:rFonts w:cs="Times New Roman"/>
        </w:rPr>
        <w:t>pp. </w:t>
      </w:r>
      <w:r w:rsidR="00C93C30">
        <w:rPr>
          <w:rFonts w:cs="Times New Roman"/>
        </w:rPr>
        <w:t>65-67 and 69-70</w:t>
      </w:r>
      <w:r w:rsidR="00D169EA">
        <w:rPr>
          <w:rFonts w:cs="Times New Roman"/>
        </w:rPr>
        <w:t>).</w:t>
      </w:r>
      <w:r w:rsidRPr="009D27E8">
        <w:rPr>
          <w:rFonts w:cs="Times New Roman"/>
        </w:rPr>
        <w:t xml:space="preserve"> There is nothing in the proceeds of crime regime that indicates any intention to also require the accused to demonstrate that the nature of the proceedings are such that it </w:t>
      </w:r>
      <w:r w:rsidR="00C9413F">
        <w:rPr>
          <w:rFonts w:cs="Times New Roman"/>
        </w:rPr>
        <w:t>is “essential” to have counsel.</w:t>
      </w:r>
    </w:p>
    <w:p w:rsidR="00072E7F" w:rsidRPr="009D27E8" w:rsidRDefault="00072E7F" w:rsidP="00072E7F">
      <w:pPr>
        <w:pStyle w:val="ParaNoNdepar-AltN"/>
        <w:rPr>
          <w:rFonts w:cs="Times New Roman"/>
        </w:rPr>
      </w:pPr>
      <w:r w:rsidRPr="009D27E8">
        <w:rPr>
          <w:rFonts w:cs="Times New Roman"/>
        </w:rPr>
        <w:t xml:space="preserve">While both </w:t>
      </w:r>
      <w:r w:rsidRPr="009D27E8">
        <w:rPr>
          <w:rFonts w:cs="Times New Roman"/>
          <w:i/>
        </w:rPr>
        <w:t xml:space="preserve">Rowbotham </w:t>
      </w:r>
      <w:r w:rsidRPr="009D27E8">
        <w:rPr>
          <w:rFonts w:cs="Times New Roman"/>
        </w:rPr>
        <w:t xml:space="preserve">orders and the legal expenses return provision operate to ensure proper representation, they do so in different contexts. In </w:t>
      </w:r>
      <w:r w:rsidRPr="009D27E8">
        <w:rPr>
          <w:rFonts w:cs="Times New Roman"/>
          <w:i/>
        </w:rPr>
        <w:t>Rowbotham</w:t>
      </w:r>
      <w:r w:rsidRPr="009D27E8">
        <w:rPr>
          <w:rFonts w:cs="Times New Roman"/>
        </w:rPr>
        <w:t xml:space="preserve">, judges are required to assess the complexity of the case and consider whether proceeding without counsel would jeopardize the accused’s fair trial rights. This is the high bar that triggers the state’s obligation to fund legal representation. Conversely, in </w:t>
      </w:r>
      <w:r w:rsidRPr="009D27E8">
        <w:rPr>
          <w:rFonts w:cs="Times New Roman"/>
        </w:rPr>
        <w:lastRenderedPageBreak/>
        <w:t xml:space="preserve">the legal expenses return provision, the judge is not directing the payment of public funds, but is ordering the return of presumptively </w:t>
      </w:r>
      <w:r w:rsidRPr="009D27E8">
        <w:rPr>
          <w:rFonts w:cs="Times New Roman"/>
          <w:i/>
        </w:rPr>
        <w:t>private</w:t>
      </w:r>
      <w:r w:rsidRPr="009D27E8">
        <w:rPr>
          <w:rFonts w:cs="Times New Roman"/>
        </w:rPr>
        <w:t xml:space="preserve"> property to permit access to legal representation. This is a very different purpose, and if Parliament intended these further criteria to be a precondition for the exercise of the discretion not to impose a fine, it would have said so explicitly.</w:t>
      </w:r>
    </w:p>
    <w:p w:rsidR="00072E7F" w:rsidRPr="008A6234" w:rsidRDefault="00072E7F" w:rsidP="00072E7F">
      <w:pPr>
        <w:pStyle w:val="ParaNoNdepar-AltN"/>
        <w:rPr>
          <w:rFonts w:cs="Times New Roman"/>
          <w:lang w:val="en-US"/>
        </w:rPr>
      </w:pPr>
      <w:r w:rsidRPr="009D27E8">
        <w:rPr>
          <w:rFonts w:cs="Times New Roman"/>
        </w:rPr>
        <w:t xml:space="preserve">My colleague’s approach would essentially limit the legal expenses return provision to those accused persons who can satisfy the stricter </w:t>
      </w:r>
      <w:r w:rsidRPr="009D27E8">
        <w:rPr>
          <w:rFonts w:cs="Times New Roman"/>
          <w:i/>
        </w:rPr>
        <w:t xml:space="preserve">Rowbotham </w:t>
      </w:r>
      <w:r w:rsidRPr="009D27E8">
        <w:rPr>
          <w:rFonts w:cs="Times New Roman"/>
        </w:rPr>
        <w:t xml:space="preserve">requirements. Because the determination of whether an accused would have qualified for a </w:t>
      </w:r>
      <w:r w:rsidRPr="009D27E8">
        <w:rPr>
          <w:rFonts w:cs="Times New Roman"/>
          <w:i/>
        </w:rPr>
        <w:t>Rowbotham</w:t>
      </w:r>
      <w:r w:rsidRPr="009D27E8">
        <w:rPr>
          <w:rFonts w:cs="Times New Roman"/>
        </w:rPr>
        <w:t xml:space="preserve"> order is made at the sentencing stage, even an accused who believes that he or she could satisfy the </w:t>
      </w:r>
      <w:r w:rsidRPr="009D27E8">
        <w:rPr>
          <w:rFonts w:cs="Times New Roman"/>
          <w:i/>
        </w:rPr>
        <w:t>Rowbotham</w:t>
      </w:r>
      <w:r w:rsidRPr="009D27E8">
        <w:rPr>
          <w:rFonts w:cs="Times New Roman"/>
        </w:rPr>
        <w:t xml:space="preserve"> criteria may shy away from applying for a return of the seized funds out of fear that the sentencing judge may ultimately disagree. This means that accused persons who cannot be certain that their </w:t>
      </w:r>
      <w:r w:rsidRPr="009D27E8">
        <w:rPr>
          <w:rFonts w:cs="Times New Roman"/>
          <w:i/>
        </w:rPr>
        <w:t xml:space="preserve">Rowbotham </w:t>
      </w:r>
      <w:r w:rsidRPr="009D27E8">
        <w:rPr>
          <w:rFonts w:cs="Times New Roman"/>
        </w:rPr>
        <w:t xml:space="preserve">application will be successful at some later time may act with even greater caution and represent themselves, even if legal counsel is in fact constitutionally “essential” to their fair trial rights. </w:t>
      </w:r>
    </w:p>
    <w:p w:rsidR="00072E7F" w:rsidRPr="009D27E8" w:rsidRDefault="00072E7F" w:rsidP="0011176A">
      <w:pPr>
        <w:pStyle w:val="Title2LevelTitre2Niveau"/>
        <w:numPr>
          <w:ilvl w:val="1"/>
          <w:numId w:val="9"/>
        </w:numPr>
        <w:tabs>
          <w:tab w:val="clear" w:pos="-774"/>
        </w:tabs>
        <w:ind w:left="567" w:hanging="567"/>
        <w:rPr>
          <w:rFonts w:cs="Times New Roman"/>
          <w:lang w:val="en-US"/>
        </w:rPr>
      </w:pPr>
      <w:r w:rsidRPr="009D27E8">
        <w:rPr>
          <w:rFonts w:cs="Times New Roman"/>
          <w:lang w:val="en-US"/>
        </w:rPr>
        <w:t>Summary</w:t>
      </w:r>
    </w:p>
    <w:p w:rsidR="00072E7F" w:rsidRPr="009D27E8" w:rsidRDefault="00072E7F" w:rsidP="00072E7F">
      <w:pPr>
        <w:pStyle w:val="ParaNoNdepar-AltN"/>
        <w:rPr>
          <w:rFonts w:cs="Times New Roman"/>
          <w:lang w:val="en-US"/>
        </w:rPr>
      </w:pPr>
      <w:r w:rsidRPr="009D27E8">
        <w:rPr>
          <w:rFonts w:cs="Times New Roman"/>
        </w:rPr>
        <w:t xml:space="preserve">The discretion to order a fine must be exercised in a manner consistent with all of Parliament’s objectives of the proceeds of crime regime including, where applicable, the return provision. The purposes of the legal expenses return provision include providing access to counsel and giving meaningful weight to the presumption of innocence. Underlying these two purposes is an intent of Parliament to create a fair </w:t>
      </w:r>
      <w:r w:rsidRPr="009D27E8">
        <w:rPr>
          <w:rFonts w:cs="Times New Roman"/>
        </w:rPr>
        <w:lastRenderedPageBreak/>
        <w:t xml:space="preserve">procedure for the return of funds for reasonable legal expenses while also allowing for the seizure, return, and forfeiture of proceeds of crime. In most cases, clawing back reasonable legal fees as a fine instead of forfeiture would undermine these purposes. </w:t>
      </w:r>
      <w:r w:rsidRPr="009D27E8">
        <w:rPr>
          <w:rFonts w:cs="Times New Roman"/>
          <w:lang w:val="en-US"/>
        </w:rPr>
        <w:t xml:space="preserve">Moreover, the payment of reasonable legal fees is neither the type of benefit at which the provisions are aimed nor the kind of “transfer” to a third party contemplated in the fine instead of forfeiture provision. </w:t>
      </w:r>
    </w:p>
    <w:p w:rsidR="00072E7F" w:rsidRPr="008A6234" w:rsidRDefault="00072E7F" w:rsidP="00072E7F">
      <w:pPr>
        <w:pStyle w:val="ParaNoNdepar-AltN"/>
        <w:rPr>
          <w:rFonts w:cs="Times New Roman"/>
          <w:lang w:val="en-US"/>
        </w:rPr>
      </w:pPr>
      <w:r w:rsidRPr="009D27E8">
        <w:rPr>
          <w:rFonts w:cs="Times New Roman"/>
          <w:lang w:val="en-US"/>
        </w:rPr>
        <w:t>For all of these reasons, generally speaking, a fine instead of forfeiture should not be imposed on funds that have been judicially returned for the payment of reasonable legal expenses.</w:t>
      </w:r>
      <w:r w:rsidRPr="009D27E8">
        <w:rPr>
          <w:rFonts w:cs="Times New Roman"/>
        </w:rPr>
        <w:t xml:space="preserve"> There remains, however, discretion to order a fine in cases where the offender did not have a real financial need for the returned funds, or the offender did not use the funds to alleviate that need. In this way, courts can give full effect to Parliament’s intended purposes.</w:t>
      </w:r>
    </w:p>
    <w:p w:rsidR="00072E7F" w:rsidRPr="009D27E8" w:rsidRDefault="00072E7F" w:rsidP="00072E7F">
      <w:pPr>
        <w:pStyle w:val="Title1LevelTitre1Niveau-AltL"/>
        <w:numPr>
          <w:ilvl w:val="0"/>
          <w:numId w:val="9"/>
        </w:numPr>
        <w:rPr>
          <w:rFonts w:cs="Times New Roman"/>
        </w:rPr>
      </w:pPr>
      <w:r w:rsidRPr="009D27E8">
        <w:rPr>
          <w:rFonts w:cs="Times New Roman"/>
        </w:rPr>
        <w:t>Application</w:t>
      </w:r>
    </w:p>
    <w:p w:rsidR="00072E7F" w:rsidRPr="009D27E8" w:rsidRDefault="00072E7F" w:rsidP="00072E7F">
      <w:pPr>
        <w:pStyle w:val="ParaNoNdepar-AltN"/>
        <w:rPr>
          <w:rFonts w:cs="Times New Roman"/>
        </w:rPr>
      </w:pPr>
      <w:r w:rsidRPr="009D27E8">
        <w:rPr>
          <w:rFonts w:cs="Times New Roman"/>
        </w:rPr>
        <w:t xml:space="preserve">In this case, the sentencing judge exercised her discretion not to impose a fine instead of forfeiture. There is no evidence that Mr. Rafilovich misrepresented his financial position, misused the returned funds, or experienced any change in circumstances. Therefore, the sentencing judge’s exercise of discretion was appropriate and should not be interfered with. </w:t>
      </w:r>
    </w:p>
    <w:p w:rsidR="00072E7F" w:rsidRPr="009D27E8" w:rsidRDefault="00072E7F" w:rsidP="00072E7F">
      <w:pPr>
        <w:pStyle w:val="Title1LevelTitre1Niveau-AltL"/>
        <w:numPr>
          <w:ilvl w:val="0"/>
          <w:numId w:val="9"/>
        </w:numPr>
        <w:rPr>
          <w:rFonts w:cs="Times New Roman"/>
        </w:rPr>
      </w:pPr>
      <w:r w:rsidRPr="009D27E8">
        <w:rPr>
          <w:rFonts w:cs="Times New Roman"/>
        </w:rPr>
        <w:t>Conclusion</w:t>
      </w:r>
    </w:p>
    <w:p w:rsidR="00072E7F" w:rsidRPr="008D30A6" w:rsidRDefault="00072E7F" w:rsidP="00A3178B">
      <w:pPr>
        <w:pStyle w:val="ParaNoNdepar-AltN"/>
        <w:rPr>
          <w:rStyle w:val="SCCCounselPartyRoleChar"/>
          <w:rFonts w:cs="Times New Roman"/>
        </w:rPr>
      </w:pPr>
      <w:r w:rsidRPr="009D27E8">
        <w:rPr>
          <w:rFonts w:cs="Times New Roman"/>
        </w:rPr>
        <w:lastRenderedPageBreak/>
        <w:t>I would, therefore, allow the appeal and set aside the Court of Appeal’s variance of the sentencing judge’s order adding a fine instead of forfeiture and 12 months imprisonment in default of payment of this fine. The appellant did not seek costs and none are ordered.</w:t>
      </w:r>
    </w:p>
    <w:p w:rsidR="00072E7F" w:rsidRPr="00CA789B" w:rsidRDefault="00CA789B" w:rsidP="00CA789B">
      <w:pPr>
        <w:pStyle w:val="JudgeJuge"/>
        <w:jc w:val="both"/>
        <w:rPr>
          <w:smallCaps w:val="0"/>
          <w:szCs w:val="24"/>
        </w:rPr>
      </w:pPr>
      <w:r>
        <w:rPr>
          <w:szCs w:val="24"/>
        </w:rPr>
        <w:tab/>
      </w:r>
      <w:r w:rsidR="00072E7F" w:rsidRPr="00CA789B">
        <w:rPr>
          <w:smallCaps w:val="0"/>
          <w:szCs w:val="24"/>
        </w:rPr>
        <w:t>The reasons of Wagner C.J. and Moldaver and Côté JJ. were delivered by</w:t>
      </w:r>
    </w:p>
    <w:p w:rsidR="00072E7F" w:rsidRPr="00C24125" w:rsidRDefault="00072E7F" w:rsidP="00072E7F">
      <w:pPr>
        <w:pStyle w:val="JudgeJuge"/>
      </w:pPr>
      <w:r w:rsidRPr="00C24125">
        <w:tab/>
        <w:t xml:space="preserve">Moldaver J. </w:t>
      </w:r>
      <w:r w:rsidR="006836AE" w:rsidRPr="006836AE">
        <w:rPr>
          <w:smallCaps w:val="0"/>
          <w:color w:val="000000"/>
        </w:rPr>
        <w:t>(dissenting in part)</w:t>
      </w:r>
      <w:r w:rsidR="006836AE">
        <w:rPr>
          <w:color w:val="000000"/>
        </w:rPr>
        <w:t xml:space="preserve"> </w:t>
      </w:r>
      <w:r w:rsidRPr="00C24125">
        <w:t xml:space="preserve">— </w:t>
      </w:r>
    </w:p>
    <w:p w:rsidR="00072E7F" w:rsidRPr="002B2F8D" w:rsidRDefault="00072E7F" w:rsidP="002B2F8D">
      <w:pPr>
        <w:pStyle w:val="Title1LevelTitre1Niveau-AltL"/>
        <w:numPr>
          <w:ilvl w:val="0"/>
          <w:numId w:val="34"/>
        </w:numPr>
        <w:jc w:val="both"/>
        <w:rPr>
          <w:rFonts w:cs="Times New Roman"/>
        </w:rPr>
      </w:pPr>
      <w:r w:rsidRPr="002B2F8D">
        <w:rPr>
          <w:rFonts w:cs="Times New Roman"/>
        </w:rPr>
        <w:t>Overview</w:t>
      </w:r>
    </w:p>
    <w:p w:rsidR="00072E7F" w:rsidRPr="00C24125" w:rsidRDefault="00072E7F" w:rsidP="00072E7F">
      <w:pPr>
        <w:pStyle w:val="ParaNoNdepar-AltN"/>
        <w:rPr>
          <w:rFonts w:cs="Times New Roman"/>
        </w:rPr>
      </w:pPr>
      <w:r w:rsidRPr="00C24125">
        <w:rPr>
          <w:rFonts w:cs="Times New Roman"/>
        </w:rPr>
        <w:t xml:space="preserve">Part XII.2 of the </w:t>
      </w:r>
      <w:r w:rsidRPr="00C24125">
        <w:rPr>
          <w:rFonts w:cs="Times New Roman"/>
          <w:i/>
        </w:rPr>
        <w:t>Criminal Code</w:t>
      </w:r>
      <w:r w:rsidRPr="00C24125">
        <w:rPr>
          <w:rFonts w:cs="Times New Roman"/>
        </w:rPr>
        <w:t>, R.S.C. 1985, c. C-46,</w:t>
      </w:r>
      <w:r w:rsidRPr="00056A93">
        <w:rPr>
          <w:rStyle w:val="Hyperlink"/>
          <w:vertAlign w:val="superscript"/>
        </w:rPr>
        <w:footnoteReference w:id="6"/>
      </w:r>
      <w:r w:rsidRPr="00C24125">
        <w:rPr>
          <w:rFonts w:cs="Times New Roman"/>
        </w:rPr>
        <w:t xml:space="preserve"> which governs the seizure, restraint, and forfeiture of proceeds of crime, seeks to ensure that crime does not pay (see </w:t>
      </w:r>
      <w:r w:rsidRPr="00C24125">
        <w:rPr>
          <w:rFonts w:cs="Times New Roman"/>
          <w:i/>
        </w:rPr>
        <w:t>R. v. Lavigne</w:t>
      </w:r>
      <w:r w:rsidRPr="00C24125">
        <w:rPr>
          <w:rFonts w:cs="Times New Roman"/>
        </w:rPr>
        <w:t xml:space="preserve">, 2006 SCC 10, [2006] 1 S.C.R. 392, at para. 10; </w:t>
      </w:r>
      <w:r w:rsidRPr="00C24125">
        <w:rPr>
          <w:rFonts w:cs="Times New Roman"/>
          <w:i/>
        </w:rPr>
        <w:t>Quebec (Attorney General) v. Laroche</w:t>
      </w:r>
      <w:r w:rsidRPr="00C24125">
        <w:rPr>
          <w:rFonts w:cs="Times New Roman"/>
        </w:rPr>
        <w:t xml:space="preserve">, 2002 SCC 72, [2002] 3 S.C.R. 708, at para. 25). To further this objective, it permits the state to seize and detain property believed on reasonable grounds to be proceeds of crime, thereby preserving it and facilitating the enforcement of any future forfeiture order. It also provides that a court must, when sentencing an offender for an indictable offence, order the forfeiture of property determined to be proceeds of crime. Alternatively, where the property cannot be made </w:t>
      </w:r>
      <w:r w:rsidRPr="00C24125">
        <w:rPr>
          <w:rFonts w:cs="Times New Roman"/>
        </w:rPr>
        <w:lastRenderedPageBreak/>
        <w:t xml:space="preserve">subject to a forfeiture order, the court may order a fine in lieu of forfeiture (“fine in lieu”). </w:t>
      </w:r>
    </w:p>
    <w:p w:rsidR="00072E7F" w:rsidRPr="00C24125" w:rsidRDefault="00072E7F" w:rsidP="00072E7F">
      <w:pPr>
        <w:pStyle w:val="ParaNoNdepar-AltN"/>
        <w:rPr>
          <w:rFonts w:cs="Times New Roman"/>
        </w:rPr>
      </w:pPr>
      <w:r w:rsidRPr="00C24125">
        <w:rPr>
          <w:rFonts w:cs="Times New Roman"/>
        </w:rPr>
        <w:t>Parliament recognized, however, that the seizure and detention of property that is reasonably believed, though not yet proven, to be proceeds of crime may have a significant financial impact on accused persons, including by limiting their ability to access counsel. To address this concern, Part XII.2 permits accused persons to apply to a judge for a “restoration order” authorizing the release of seized property to pay for various expenses — one being reasonable legal expenses — where they have no other means available. In this way, Parliament struck a balance between ensuring an effective forfeiture regime and permitting otherwise impecunious accused persons to access funds for certain purposes.</w:t>
      </w:r>
    </w:p>
    <w:p w:rsidR="00072E7F" w:rsidRPr="00C24125" w:rsidRDefault="00072E7F" w:rsidP="00072E7F">
      <w:pPr>
        <w:pStyle w:val="ParaNoNdepar-AltN"/>
        <w:rPr>
          <w:rFonts w:cs="Times New Roman"/>
        </w:rPr>
      </w:pPr>
      <w:r w:rsidRPr="00C24125">
        <w:rPr>
          <w:rFonts w:cs="Times New Roman"/>
        </w:rPr>
        <w:t>But appellate courts have reached different conclusions about what this balance requires when seized funds that have been released to an accused to pay for reasonable legal expenses are</w:t>
      </w:r>
      <w:r w:rsidRPr="00C24125">
        <w:rPr>
          <w:rFonts w:cs="Times New Roman"/>
          <w:b/>
        </w:rPr>
        <w:t xml:space="preserve"> </w:t>
      </w:r>
      <w:r w:rsidRPr="00C24125">
        <w:rPr>
          <w:rFonts w:cs="Times New Roman"/>
        </w:rPr>
        <w:t>later found to be proceeds of crime. Can a sentencing judge order a fine in lieu in respect of those funds? If so, under what circumstances should a judge decline to do so? These are the issues raised on appeal.</w:t>
      </w:r>
    </w:p>
    <w:p w:rsidR="00072E7F" w:rsidRPr="00C24125" w:rsidRDefault="00072E7F" w:rsidP="00072E7F">
      <w:pPr>
        <w:pStyle w:val="ParaNoNdepar-AltN"/>
        <w:rPr>
          <w:rFonts w:cs="Times New Roman"/>
        </w:rPr>
      </w:pPr>
      <w:r w:rsidRPr="00C24125">
        <w:rPr>
          <w:rFonts w:cs="Times New Roman"/>
        </w:rPr>
        <w:t xml:space="preserve">My colleague Martin J. concludes that where a court has authorized the release of seized funds to pay for reasonable legal expenses, a fine in lieu should not “generally” be imposed, subject to two exceptions: “where it turns out that the offender did not have a real financial need or the funds were not used to alleviate that need” (paras. 8 and 10). She maintains that this conclusion flows from a combination of the </w:t>
      </w:r>
      <w:r w:rsidRPr="00C24125">
        <w:rPr>
          <w:rFonts w:cs="Times New Roman"/>
        </w:rPr>
        <w:lastRenderedPageBreak/>
        <w:t xml:space="preserve">two “secondary purposes” pursued by the restoration provision — providing access to counsel and giving meaningful weight to the presumption of innocence — and Parliament’s underlying intention to ensure fairness in criminal prosecutions (paras. 9 and 38). These purposes, she says, “constrain the pursuit of the primary objective” of ensuring that crime does not pay (para. 49). </w:t>
      </w:r>
    </w:p>
    <w:p w:rsidR="00072E7F" w:rsidRPr="00C24125" w:rsidRDefault="00072E7F" w:rsidP="00072E7F">
      <w:pPr>
        <w:pStyle w:val="ParaNoNdepar-AltN"/>
        <w:rPr>
          <w:rFonts w:cs="Times New Roman"/>
        </w:rPr>
      </w:pPr>
      <w:r w:rsidRPr="00C24125">
        <w:rPr>
          <w:rFonts w:cs="Times New Roman"/>
        </w:rPr>
        <w:t xml:space="preserve">With respect, I reject this approach. Stripped of the legal niceties in which it is couched, the approach taken by my colleague sends a clear and unmistakeable message — crime does indeed pay. For reasons that follow, I am of the view that the statutory regime’s primary objective of ensuring that crime does not pay need not and should not be sacrificed on the altar of the “secondary purposes” relied on by my colleague. Imposing a fine in lieu where an offender has used proceeds of crime to pay for his or her own defence achieves the regime’s primary objective of ensuring that crime does not pay; and it does not undermine the utility of the restoration provision, which facilitates access to counsel in a manner that is both fair and consistent with the presumption of innocence. In this way, </w:t>
      </w:r>
      <w:r w:rsidRPr="00C24125">
        <w:rPr>
          <w:rFonts w:cs="Times New Roman"/>
          <w:i/>
        </w:rPr>
        <w:t xml:space="preserve">all </w:t>
      </w:r>
      <w:r w:rsidRPr="00C24125">
        <w:rPr>
          <w:rFonts w:cs="Times New Roman"/>
        </w:rPr>
        <w:t>of the statutory scheme’s objectives can be achieved.</w:t>
      </w:r>
    </w:p>
    <w:p w:rsidR="00072E7F" w:rsidRPr="00C24125" w:rsidRDefault="00072E7F" w:rsidP="00072E7F">
      <w:pPr>
        <w:pStyle w:val="ParaNoNdepar-AltN"/>
        <w:rPr>
          <w:rFonts w:cs="Times New Roman"/>
        </w:rPr>
      </w:pPr>
      <w:r w:rsidRPr="00C24125">
        <w:rPr>
          <w:rFonts w:cs="Times New Roman"/>
        </w:rPr>
        <w:t xml:space="preserve">However, there is in my view an important exception to the general rule that a fine in lieu should be imposed where an offender has used proceeds of crime to pay for his or her own defence. Where a sentencing judge is satisfied, applying the test set out in </w:t>
      </w:r>
      <w:r w:rsidRPr="00C24125">
        <w:rPr>
          <w:rFonts w:cs="Times New Roman"/>
          <w:i/>
        </w:rPr>
        <w:t xml:space="preserve">R. v. Rowbotham </w:t>
      </w:r>
      <w:r w:rsidRPr="00C24125">
        <w:rPr>
          <w:rFonts w:cs="Times New Roman"/>
        </w:rPr>
        <w:t xml:space="preserve">(1988), 41 C.C.C. (3d) 1 (Ont. C.A.), that representation by counsel was essential to the offender’s constitutional right to a fair trial under ss. 7 and </w:t>
      </w:r>
      <w:r w:rsidRPr="00C24125">
        <w:rPr>
          <w:rFonts w:cs="Times New Roman"/>
        </w:rPr>
        <w:lastRenderedPageBreak/>
        <w:t>11(</w:t>
      </w:r>
      <w:r w:rsidRPr="00C24125">
        <w:rPr>
          <w:rFonts w:cs="Times New Roman"/>
          <w:i/>
        </w:rPr>
        <w:t>d</w:t>
      </w:r>
      <w:r w:rsidRPr="00C24125">
        <w:rPr>
          <w:rFonts w:cs="Times New Roman"/>
        </w:rPr>
        <w:t xml:space="preserve">) of the </w:t>
      </w:r>
      <w:r w:rsidRPr="00C24125">
        <w:rPr>
          <w:rFonts w:cs="Times New Roman"/>
          <w:i/>
        </w:rPr>
        <w:t>Canadian Charter of Rights and Freedoms</w:t>
      </w:r>
      <w:r w:rsidRPr="00C24125">
        <w:rPr>
          <w:rFonts w:cs="Times New Roman"/>
        </w:rPr>
        <w:t>, the judge should exercise his or her limited discretion not to impose a fine in lieu in respect of the released funds. This interpretation gives proper effect to Parliament’s objective of ensuring an effective forfeiture regime while still vindicating the constitutionally protected right to counsel, and more particularly, the constitutional right to state-funded counsel in limited circumstances.</w:t>
      </w:r>
    </w:p>
    <w:p w:rsidR="00072E7F" w:rsidRPr="00C24125" w:rsidRDefault="00072E7F" w:rsidP="00072E7F">
      <w:pPr>
        <w:pStyle w:val="ParaNoNdepar-AltN"/>
        <w:rPr>
          <w:rFonts w:cs="Times New Roman"/>
        </w:rPr>
      </w:pPr>
      <w:r w:rsidRPr="00C24125">
        <w:rPr>
          <w:rFonts w:cs="Times New Roman"/>
        </w:rPr>
        <w:t>In this instance, the sentencing judge did not consider whether representation by counsel was essential to Mr. Rafilovich’s constitutional right to a fair trial before exercising her limited discretion not to impose a fine in lieu. As the record before this Court is insufficient to decide this issue, I would remit the case to the sentencing judge for determination.</w:t>
      </w:r>
    </w:p>
    <w:p w:rsidR="00072E7F" w:rsidRPr="00C24125" w:rsidRDefault="00072E7F" w:rsidP="00072E7F">
      <w:pPr>
        <w:pStyle w:val="Title1LevelTitre1Niveau-AltL"/>
        <w:tabs>
          <w:tab w:val="clear" w:pos="1926"/>
          <w:tab w:val="num" w:pos="576"/>
        </w:tabs>
        <w:ind w:left="576"/>
        <w:jc w:val="both"/>
        <w:rPr>
          <w:rFonts w:cs="Times New Roman"/>
        </w:rPr>
      </w:pPr>
      <w:r w:rsidRPr="00C24125">
        <w:rPr>
          <w:rFonts w:cs="Times New Roman"/>
        </w:rPr>
        <w:t>Background</w:t>
      </w:r>
    </w:p>
    <w:p w:rsidR="00072E7F" w:rsidRPr="00C24125" w:rsidRDefault="00072E7F" w:rsidP="00072E7F">
      <w:pPr>
        <w:pStyle w:val="ParaNoNdepar-AltN"/>
        <w:rPr>
          <w:rFonts w:cs="Times New Roman"/>
        </w:rPr>
      </w:pPr>
      <w:r w:rsidRPr="00C24125">
        <w:rPr>
          <w:rFonts w:cs="Times New Roman"/>
        </w:rPr>
        <w:t xml:space="preserve">My colleague has set out the relevant facts and judicial history, and I see no need to duplicate her work. </w:t>
      </w:r>
    </w:p>
    <w:p w:rsidR="00072E7F" w:rsidRPr="00C24125" w:rsidRDefault="00072E7F" w:rsidP="00072E7F">
      <w:pPr>
        <w:pStyle w:val="Title1LevelTitre1Niveau-AltL"/>
        <w:tabs>
          <w:tab w:val="clear" w:pos="1926"/>
          <w:tab w:val="num" w:pos="576"/>
        </w:tabs>
        <w:ind w:left="576"/>
        <w:jc w:val="both"/>
        <w:rPr>
          <w:rFonts w:cs="Times New Roman"/>
        </w:rPr>
      </w:pPr>
      <w:r w:rsidRPr="00C24125">
        <w:rPr>
          <w:rFonts w:cs="Times New Roman"/>
        </w:rPr>
        <w:t>Issue</w:t>
      </w:r>
    </w:p>
    <w:p w:rsidR="00072E7F" w:rsidRPr="00C24125" w:rsidRDefault="00072E7F" w:rsidP="00072E7F">
      <w:pPr>
        <w:pStyle w:val="ParaNoNdepar-AltN"/>
        <w:rPr>
          <w:rFonts w:cs="Times New Roman"/>
        </w:rPr>
      </w:pPr>
      <w:r w:rsidRPr="00C24125">
        <w:rPr>
          <w:rFonts w:cs="Times New Roman"/>
        </w:rPr>
        <w:t xml:space="preserve">The issue on appeal centres on the relationship between the restoration provision and the fine in lieu provision in Part XII.2: under what circumstances, if any, should a fine in lieu be imposed in respect of seized funds that have been released to </w:t>
      </w:r>
      <w:r w:rsidRPr="00C24125">
        <w:rPr>
          <w:rFonts w:cs="Times New Roman"/>
        </w:rPr>
        <w:lastRenderedPageBreak/>
        <w:t xml:space="preserve">an accused to pay for reasonable legal expenses but later determined to be proceeds of crime? </w:t>
      </w:r>
    </w:p>
    <w:p w:rsidR="00072E7F" w:rsidRPr="00C24125" w:rsidRDefault="00072E7F" w:rsidP="00072E7F">
      <w:pPr>
        <w:pStyle w:val="Title1LevelTitre1Niveau-AltL"/>
        <w:tabs>
          <w:tab w:val="clear" w:pos="1926"/>
          <w:tab w:val="num" w:pos="576"/>
        </w:tabs>
        <w:ind w:left="576"/>
        <w:jc w:val="both"/>
        <w:rPr>
          <w:rFonts w:cs="Times New Roman"/>
        </w:rPr>
      </w:pPr>
      <w:r w:rsidRPr="00C24125">
        <w:rPr>
          <w:rFonts w:cs="Times New Roman"/>
        </w:rPr>
        <w:t>Analysis</w:t>
      </w:r>
    </w:p>
    <w:p w:rsidR="00072E7F" w:rsidRPr="00C24125" w:rsidRDefault="00072E7F" w:rsidP="00072E7F">
      <w:pPr>
        <w:pStyle w:val="Title2LevelTitre2Niveau"/>
        <w:jc w:val="both"/>
        <w:rPr>
          <w:rFonts w:cs="Times New Roman"/>
        </w:rPr>
      </w:pPr>
      <w:r w:rsidRPr="00C24125">
        <w:rPr>
          <w:rFonts w:cs="Times New Roman"/>
        </w:rPr>
        <w:t>Statutory Interpretation — The Modern Approach</w:t>
      </w:r>
    </w:p>
    <w:p w:rsidR="00072E7F" w:rsidRPr="00C24125" w:rsidRDefault="00072E7F" w:rsidP="00072E7F">
      <w:pPr>
        <w:pStyle w:val="ParaNoNdepar-AltN"/>
        <w:rPr>
          <w:rFonts w:cs="Times New Roman"/>
        </w:rPr>
      </w:pPr>
      <w:r w:rsidRPr="00C24125">
        <w:rPr>
          <w:rFonts w:cs="Times New Roman"/>
        </w:rPr>
        <w:t xml:space="preserve">The issue on appeal is one of statutory interpretation. Accordingly, the analysis is to be guided by the modern approach to statutory interpretation: “the words of an Act are to be read in their entire context and in their grammatical and ordinary sense harmoniously with the scheme of the Act, the object of the Act, and the intention of Parliament” (E. A. Driedger, </w:t>
      </w:r>
      <w:r w:rsidRPr="00C24125">
        <w:rPr>
          <w:rFonts w:cs="Times New Roman"/>
          <w:i/>
        </w:rPr>
        <w:t>Construction of Statutes</w:t>
      </w:r>
      <w:r w:rsidRPr="00C24125">
        <w:rPr>
          <w:rFonts w:cs="Times New Roman"/>
        </w:rPr>
        <w:t xml:space="preserve"> (2nd ed. 1983), at p.</w:t>
      </w:r>
      <w:r w:rsidR="00F84B44">
        <w:rPr>
          <w:rFonts w:cs="Times New Roman"/>
        </w:rPr>
        <w:t> </w:t>
      </w:r>
      <w:r w:rsidRPr="00C24125">
        <w:rPr>
          <w:rFonts w:cs="Times New Roman"/>
        </w:rPr>
        <w:t xml:space="preserve">87; </w:t>
      </w:r>
      <w:r w:rsidRPr="00C24125">
        <w:rPr>
          <w:rFonts w:cs="Times New Roman"/>
          <w:i/>
        </w:rPr>
        <w:t>Bell ExpressVu Limited Partnership v. Rex</w:t>
      </w:r>
      <w:r w:rsidRPr="00C24125">
        <w:rPr>
          <w:rFonts w:cs="Times New Roman"/>
        </w:rPr>
        <w:t>, 2002 SCC 42, [2002] 2 S.C.R. 559, at para.</w:t>
      </w:r>
      <w:r w:rsidR="00F84B44">
        <w:rPr>
          <w:rFonts w:cs="Times New Roman"/>
        </w:rPr>
        <w:t> </w:t>
      </w:r>
      <w:r w:rsidRPr="00C24125">
        <w:rPr>
          <w:rFonts w:cs="Times New Roman"/>
        </w:rPr>
        <w:t>26).</w:t>
      </w:r>
    </w:p>
    <w:p w:rsidR="00072E7F" w:rsidRPr="00C24125" w:rsidRDefault="00072E7F" w:rsidP="00072E7F">
      <w:pPr>
        <w:pStyle w:val="Title2LevelTitre2Niveau"/>
        <w:jc w:val="both"/>
        <w:rPr>
          <w:rFonts w:cs="Times New Roman"/>
        </w:rPr>
      </w:pPr>
      <w:r w:rsidRPr="00C24125">
        <w:rPr>
          <w:rFonts w:cs="Times New Roman"/>
        </w:rPr>
        <w:t>Overview of the Part XII.2 Regime</w:t>
      </w:r>
    </w:p>
    <w:p w:rsidR="00072E7F" w:rsidRPr="00C24125" w:rsidRDefault="00072E7F" w:rsidP="00072E7F">
      <w:pPr>
        <w:pStyle w:val="Title3LevelTitre3Niveau"/>
        <w:jc w:val="both"/>
        <w:rPr>
          <w:rFonts w:cs="Times New Roman"/>
        </w:rPr>
      </w:pPr>
      <w:r w:rsidRPr="00C24125">
        <w:rPr>
          <w:rFonts w:cs="Times New Roman"/>
        </w:rPr>
        <w:t>Overall Objective</w:t>
      </w:r>
    </w:p>
    <w:p w:rsidR="00072E7F" w:rsidRPr="00C24125" w:rsidRDefault="00072E7F" w:rsidP="00072E7F">
      <w:pPr>
        <w:pStyle w:val="ParaNoNdepar-AltN"/>
        <w:rPr>
          <w:rFonts w:cs="Times New Roman"/>
        </w:rPr>
      </w:pPr>
      <w:r w:rsidRPr="00C24125">
        <w:rPr>
          <w:rFonts w:cs="Times New Roman"/>
        </w:rPr>
        <w:t xml:space="preserve">As this Court stated in </w:t>
      </w:r>
      <w:r w:rsidRPr="00C24125">
        <w:rPr>
          <w:rFonts w:cs="Times New Roman"/>
          <w:i/>
        </w:rPr>
        <w:t>Lavigne</w:t>
      </w:r>
      <w:r w:rsidRPr="00C24125">
        <w:rPr>
          <w:rFonts w:cs="Times New Roman"/>
        </w:rPr>
        <w:t xml:space="preserve">, the overall objective of the proceeds of crime regime under Part XII.2 is two-fold: (1) to deprive offenders and criminal organizations of the proceeds of crime; and (2) to deter them from committing crimes in the future (see paras. 16, 28, and 36). Stated succinctly, this regime seeks to ensure that crime does not pay (see </w:t>
      </w:r>
      <w:r w:rsidRPr="00C24125">
        <w:rPr>
          <w:rFonts w:cs="Times New Roman"/>
          <w:i/>
        </w:rPr>
        <w:t>Lavigne</w:t>
      </w:r>
      <w:r w:rsidR="00214B87">
        <w:rPr>
          <w:rFonts w:cs="Times New Roman"/>
        </w:rPr>
        <w:t>, at para. </w:t>
      </w:r>
      <w:r w:rsidRPr="00C24125">
        <w:rPr>
          <w:rFonts w:cs="Times New Roman"/>
        </w:rPr>
        <w:t xml:space="preserve">10; </w:t>
      </w:r>
      <w:r w:rsidRPr="00C24125">
        <w:rPr>
          <w:rFonts w:cs="Times New Roman"/>
          <w:i/>
        </w:rPr>
        <w:t>Laroche</w:t>
      </w:r>
      <w:r w:rsidR="00214B87">
        <w:rPr>
          <w:rFonts w:cs="Times New Roman"/>
        </w:rPr>
        <w:t>, at para. 25).</w:t>
      </w:r>
    </w:p>
    <w:p w:rsidR="00072E7F" w:rsidRPr="00C24125" w:rsidRDefault="00072E7F" w:rsidP="00072E7F">
      <w:pPr>
        <w:pStyle w:val="Title3LevelTitre3Niveau"/>
        <w:jc w:val="both"/>
        <w:rPr>
          <w:rFonts w:cs="Times New Roman"/>
        </w:rPr>
      </w:pPr>
      <w:r w:rsidRPr="00C24125">
        <w:rPr>
          <w:rFonts w:cs="Times New Roman"/>
        </w:rPr>
        <w:lastRenderedPageBreak/>
        <w:t>“Property” and “Proceeds of Crime” — Sections 2 and 462.3(1)</w:t>
      </w:r>
    </w:p>
    <w:p w:rsidR="00072E7F" w:rsidRPr="00C24125" w:rsidRDefault="00072E7F" w:rsidP="00072E7F">
      <w:pPr>
        <w:pStyle w:val="ParaNoNdepar-AltN"/>
        <w:rPr>
          <w:rFonts w:cs="Times New Roman"/>
        </w:rPr>
      </w:pPr>
      <w:r w:rsidRPr="00C24125">
        <w:rPr>
          <w:rFonts w:cs="Times New Roman"/>
        </w:rPr>
        <w:t>“[P]roceeds of crime” is defined in s. 462.3(1) as “any property, benefit or advantage” obtained or derived directly or indirectly as a result of the commission of a “designated offence”, which includes any federal indictable offence. “[P]roperty” is defined in s. 2 as including “real and personal property of every description”, as well as “property originally in the possession or under the control of any person, and any property into or for which it has been converted or exchanged and anything acquired at any time by the conversion or exchange”. As these definitions demonstrate, the proceeds of crime provisions apply to “the widest possible range of property” (</w:t>
      </w:r>
      <w:r w:rsidRPr="00C24125">
        <w:rPr>
          <w:rFonts w:cs="Times New Roman"/>
          <w:i/>
        </w:rPr>
        <w:t>Lavigne</w:t>
      </w:r>
      <w:r w:rsidRPr="00C24125">
        <w:rPr>
          <w:rFonts w:cs="Times New Roman"/>
        </w:rPr>
        <w:t>, at para. 15).</w:t>
      </w:r>
    </w:p>
    <w:p w:rsidR="00072E7F" w:rsidRPr="00C24125" w:rsidRDefault="00072E7F" w:rsidP="00072E7F">
      <w:pPr>
        <w:pStyle w:val="Title3LevelTitre3Niveau"/>
        <w:jc w:val="both"/>
        <w:rPr>
          <w:rFonts w:cs="Times New Roman"/>
        </w:rPr>
      </w:pPr>
      <w:r w:rsidRPr="00C24125">
        <w:rPr>
          <w:rFonts w:cs="Times New Roman"/>
        </w:rPr>
        <w:t>The Seizure Provision — Section 462.32</w:t>
      </w:r>
    </w:p>
    <w:p w:rsidR="00072E7F" w:rsidRPr="00C24125" w:rsidRDefault="00072E7F" w:rsidP="00072E7F">
      <w:pPr>
        <w:pStyle w:val="ParaNoNdepar-AltN"/>
        <w:rPr>
          <w:rFonts w:cs="Times New Roman"/>
        </w:rPr>
      </w:pPr>
      <w:r w:rsidRPr="00C24125">
        <w:rPr>
          <w:rFonts w:cs="Times New Roman"/>
        </w:rPr>
        <w:t xml:space="preserve">Section 462.32(1) and (4) permit the state to seize and detain property believed on reasonable grounds to be proceeds of crime. Like a restraint order (see </w:t>
      </w:r>
      <w:r w:rsidRPr="00C24125">
        <w:rPr>
          <w:rFonts w:cs="Times New Roman"/>
          <w:i/>
        </w:rPr>
        <w:t>Laroche</w:t>
      </w:r>
      <w:r w:rsidRPr="00C24125">
        <w:rPr>
          <w:rFonts w:cs="Times New Roman"/>
        </w:rPr>
        <w:t>, at para. 55), a warrant authorizing seizure and detention preserves the property and facilitates the enforcement of any future forfeiture order. In doing so, it furthers the objective of depriving offenders and criminal organizations of the proceeds of crime.</w:t>
      </w:r>
    </w:p>
    <w:p w:rsidR="00072E7F" w:rsidRPr="00C24125" w:rsidRDefault="00072E7F" w:rsidP="00072E7F">
      <w:pPr>
        <w:pStyle w:val="Title3LevelTitre3Niveau"/>
        <w:jc w:val="both"/>
        <w:rPr>
          <w:rFonts w:cs="Times New Roman"/>
        </w:rPr>
      </w:pPr>
      <w:r w:rsidRPr="00C24125">
        <w:rPr>
          <w:rFonts w:cs="Times New Roman"/>
        </w:rPr>
        <w:t>The Restoration Provision — Section 462.34(4)</w:t>
      </w:r>
    </w:p>
    <w:p w:rsidR="00072E7F" w:rsidRPr="00C24125" w:rsidRDefault="00072E7F" w:rsidP="00072E7F">
      <w:pPr>
        <w:pStyle w:val="ParaNoNdepar-AltN"/>
        <w:rPr>
          <w:rFonts w:cs="Times New Roman"/>
        </w:rPr>
      </w:pPr>
      <w:r w:rsidRPr="00C24125">
        <w:rPr>
          <w:rFonts w:cs="Times New Roman"/>
        </w:rPr>
        <w:lastRenderedPageBreak/>
        <w:t xml:space="preserve">Parliament recognized, however, that the seizure and detention of property that is reasonably believed, though not yet proven, to be proceeds of crime may have a significant financial impact on accused persons, including by limiting their ability to access counsel. To address this concern, s. 462.34 permits any person with an interest in the property, including accused persons, to apply for a “restoration order” authorizing the release of seized property to pay for various expenses — one being reasonable legal expenses — where they have no other means available and </w:t>
      </w:r>
      <w:r w:rsidRPr="00C24125">
        <w:rPr>
          <w:rFonts w:cs="Times New Roman"/>
          <w:lang w:val="en-US"/>
        </w:rPr>
        <w:t>no other person appears to be the lawful owner of or lawfully entitled to possession of the property</w:t>
      </w:r>
      <w:r w:rsidRPr="00C24125">
        <w:rPr>
          <w:rFonts w:cs="Times New Roman"/>
        </w:rPr>
        <w:t>:</w:t>
      </w:r>
    </w:p>
    <w:p w:rsidR="00072E7F" w:rsidRPr="00C24125" w:rsidRDefault="00072E7F" w:rsidP="00072E7F">
      <w:pPr>
        <w:pStyle w:val="Citation-AltC"/>
        <w:rPr>
          <w:b/>
          <w:lang w:val="en-US"/>
        </w:rPr>
      </w:pPr>
      <w:r w:rsidRPr="00C24125">
        <w:rPr>
          <w:b/>
          <w:lang w:val="en-US"/>
        </w:rPr>
        <w:t>Application for review of special warrants and restraint orders</w:t>
      </w:r>
    </w:p>
    <w:p w:rsidR="00072E7F" w:rsidRPr="00C24125" w:rsidRDefault="00072E7F" w:rsidP="00072E7F">
      <w:pPr>
        <w:pStyle w:val="Citation-AltC"/>
        <w:rPr>
          <w:b/>
          <w:lang w:val="en-US"/>
        </w:rPr>
      </w:pPr>
    </w:p>
    <w:p w:rsidR="00072E7F" w:rsidRPr="00C24125" w:rsidRDefault="00072E7F" w:rsidP="00072E7F">
      <w:pPr>
        <w:pStyle w:val="Citation-AltC"/>
        <w:rPr>
          <w:lang w:val="en-US"/>
        </w:rPr>
      </w:pPr>
      <w:r w:rsidRPr="00C24125">
        <w:rPr>
          <w:b/>
          <w:lang w:val="en-US"/>
        </w:rPr>
        <w:t>462.34 (1)</w:t>
      </w:r>
      <w:r w:rsidRPr="00C24125">
        <w:rPr>
          <w:lang w:val="en-US"/>
        </w:rPr>
        <w:t xml:space="preserve"> Any person who has an interest in property that was seized under a warrant issued pursuant to section 462.32 or in respect of which a restraint order was made under subsection 462.33(3) may, at any time, apply to a judge</w:t>
      </w:r>
    </w:p>
    <w:p w:rsidR="00072E7F" w:rsidRPr="00C24125" w:rsidRDefault="00072E7F" w:rsidP="00072E7F">
      <w:pPr>
        <w:pStyle w:val="Citation-AltC"/>
        <w:rPr>
          <w:lang w:val="en-US"/>
        </w:rPr>
      </w:pPr>
    </w:p>
    <w:p w:rsidR="00072E7F" w:rsidRPr="00C24125" w:rsidRDefault="00072E7F" w:rsidP="00072E7F">
      <w:pPr>
        <w:pStyle w:val="Citation-AltC"/>
        <w:ind w:left="1440"/>
        <w:rPr>
          <w:lang w:val="en-US"/>
        </w:rPr>
      </w:pPr>
      <w:r w:rsidRPr="00C24125">
        <w:rPr>
          <w:b/>
          <w:lang w:val="en-US"/>
        </w:rPr>
        <w:t>(a)</w:t>
      </w:r>
      <w:r w:rsidRPr="00C24125">
        <w:rPr>
          <w:lang w:val="en-US"/>
        </w:rPr>
        <w:t xml:space="preserve"> for an order under subsection (4); or</w:t>
      </w:r>
    </w:p>
    <w:p w:rsidR="00072E7F" w:rsidRPr="00C24125" w:rsidRDefault="00072E7F" w:rsidP="00072E7F">
      <w:pPr>
        <w:pStyle w:val="Citation-AltC"/>
        <w:ind w:left="1440"/>
        <w:rPr>
          <w:lang w:val="en-US"/>
        </w:rPr>
      </w:pPr>
    </w:p>
    <w:p w:rsidR="00072E7F" w:rsidRPr="00C24125" w:rsidRDefault="00072E7F" w:rsidP="00072E7F">
      <w:pPr>
        <w:pStyle w:val="Citation-AltC"/>
        <w:ind w:left="1440"/>
        <w:rPr>
          <w:lang w:val="en-US"/>
        </w:rPr>
      </w:pPr>
      <w:r w:rsidRPr="00C24125">
        <w:rPr>
          <w:b/>
          <w:lang w:val="en-US"/>
        </w:rPr>
        <w:t>(b)</w:t>
      </w:r>
      <w:r w:rsidRPr="00C24125">
        <w:rPr>
          <w:lang w:val="en-US"/>
        </w:rPr>
        <w:t xml:space="preserve"> for permission to examine the property.</w:t>
      </w:r>
    </w:p>
    <w:p w:rsidR="00072E7F" w:rsidRPr="00C24125" w:rsidRDefault="00072E7F" w:rsidP="00072E7F">
      <w:pPr>
        <w:pStyle w:val="Citation-AltC"/>
        <w:rPr>
          <w:b/>
          <w:lang w:val="en-US"/>
        </w:rPr>
      </w:pPr>
    </w:p>
    <w:p w:rsidR="00072E7F" w:rsidRPr="00C24125" w:rsidRDefault="00DD68F7" w:rsidP="00072E7F">
      <w:pPr>
        <w:pStyle w:val="Citation-AltC"/>
        <w:ind w:left="4046" w:firstLine="274"/>
        <w:rPr>
          <w:lang w:val="en-US"/>
        </w:rPr>
      </w:pPr>
      <w:r>
        <w:rPr>
          <w:lang w:val="en-US"/>
        </w:rPr>
        <w:t>. </w:t>
      </w:r>
      <w:r w:rsidR="00072E7F" w:rsidRPr="00C24125">
        <w:rPr>
          <w:lang w:val="en-US"/>
        </w:rPr>
        <w:t>.</w:t>
      </w:r>
      <w:r>
        <w:rPr>
          <w:lang w:val="en-US"/>
        </w:rPr>
        <w:t> </w:t>
      </w:r>
      <w:r w:rsidR="00072E7F" w:rsidRPr="00C24125">
        <w:rPr>
          <w:lang w:val="en-US"/>
        </w:rPr>
        <w:t>.</w:t>
      </w:r>
    </w:p>
    <w:p w:rsidR="00072E7F" w:rsidRPr="00C24125" w:rsidRDefault="00072E7F" w:rsidP="00072E7F">
      <w:pPr>
        <w:pStyle w:val="Citation-AltC"/>
        <w:rPr>
          <w:b/>
          <w:lang w:val="en-US"/>
        </w:rPr>
      </w:pPr>
    </w:p>
    <w:p w:rsidR="00072E7F" w:rsidRPr="00C24125" w:rsidRDefault="00072E7F" w:rsidP="00072E7F">
      <w:pPr>
        <w:pStyle w:val="Citation-AltC"/>
        <w:rPr>
          <w:b/>
          <w:lang w:val="en-US"/>
        </w:rPr>
      </w:pPr>
      <w:r w:rsidRPr="00C24125">
        <w:rPr>
          <w:b/>
          <w:lang w:val="en-US"/>
        </w:rPr>
        <w:t>Order of restoration of property or revocation or variation of order</w:t>
      </w:r>
    </w:p>
    <w:p w:rsidR="00072E7F" w:rsidRPr="00C24125" w:rsidRDefault="00072E7F" w:rsidP="00072E7F">
      <w:pPr>
        <w:pStyle w:val="Citation-AltC"/>
        <w:rPr>
          <w:lang w:val="en-US"/>
        </w:rPr>
      </w:pPr>
    </w:p>
    <w:p w:rsidR="00072E7F" w:rsidRPr="00C24125" w:rsidRDefault="00072E7F" w:rsidP="00072E7F">
      <w:pPr>
        <w:pStyle w:val="Citation-AltC"/>
        <w:rPr>
          <w:lang w:val="en-US"/>
        </w:rPr>
      </w:pPr>
      <w:r w:rsidRPr="00C24125">
        <w:rPr>
          <w:b/>
          <w:lang w:val="en-US"/>
        </w:rPr>
        <w:t>(4)</w:t>
      </w:r>
      <w:r w:rsidRPr="00C24125">
        <w:rPr>
          <w:lang w:val="en-US"/>
        </w:rPr>
        <w:t xml:space="preserve"> On an application made to a judge under paragraph (1)(a) in respect of any property and after hearing the applicant and the Attorney General and any other person to whom notice was given pursuant to paragraph (2)(b), the judge may order that the property or a part thereof be returned to the applicant or, in the case of a restraint order made under subsection 462.33(3), revoke the order, vary the order to exclude the property or any interest in the property or part thereof from the application of the order or make the order subject to such reasonable conditions as the judge thinks fit,</w:t>
      </w:r>
    </w:p>
    <w:p w:rsidR="00072E7F" w:rsidRPr="00C24125" w:rsidRDefault="00072E7F" w:rsidP="00072E7F">
      <w:pPr>
        <w:pStyle w:val="Citation-AltC"/>
        <w:rPr>
          <w:lang w:val="en-US"/>
        </w:rPr>
      </w:pPr>
    </w:p>
    <w:p w:rsidR="00072E7F" w:rsidRPr="00C24125" w:rsidRDefault="00072E7F" w:rsidP="00072E7F">
      <w:pPr>
        <w:pStyle w:val="Citation-AltC"/>
        <w:ind w:left="4046" w:firstLine="274"/>
        <w:rPr>
          <w:lang w:val="en-US"/>
        </w:rPr>
      </w:pPr>
      <w:r w:rsidRPr="00C24125">
        <w:rPr>
          <w:lang w:val="en-US"/>
        </w:rPr>
        <w:t>.</w:t>
      </w:r>
      <w:r w:rsidR="00DD68F7">
        <w:rPr>
          <w:lang w:val="en-US"/>
        </w:rPr>
        <w:t> </w:t>
      </w:r>
      <w:r w:rsidRPr="00C24125">
        <w:rPr>
          <w:lang w:val="en-US"/>
        </w:rPr>
        <w:t>.</w:t>
      </w:r>
      <w:r w:rsidR="00DD68F7">
        <w:rPr>
          <w:lang w:val="en-US"/>
        </w:rPr>
        <w:t> </w:t>
      </w:r>
      <w:r w:rsidRPr="00C24125">
        <w:rPr>
          <w:lang w:val="en-US"/>
        </w:rPr>
        <w:t>.</w:t>
      </w:r>
    </w:p>
    <w:p w:rsidR="00072E7F" w:rsidRPr="00C24125" w:rsidRDefault="00072E7F" w:rsidP="00072E7F">
      <w:pPr>
        <w:pStyle w:val="Citation-AltC"/>
        <w:ind w:left="1440"/>
        <w:rPr>
          <w:lang w:val="en-US"/>
        </w:rPr>
      </w:pPr>
    </w:p>
    <w:p w:rsidR="00072E7F" w:rsidRPr="00C24125" w:rsidRDefault="00072E7F" w:rsidP="00072E7F">
      <w:pPr>
        <w:pStyle w:val="Citation-AltC"/>
        <w:ind w:left="1440"/>
        <w:rPr>
          <w:lang w:val="en-US"/>
        </w:rPr>
      </w:pPr>
      <w:r w:rsidRPr="00C24125">
        <w:rPr>
          <w:b/>
          <w:lang w:val="en-US"/>
        </w:rPr>
        <w:t>(c)</w:t>
      </w:r>
      <w:r w:rsidRPr="00C24125">
        <w:rPr>
          <w:lang w:val="en-US"/>
        </w:rPr>
        <w:t xml:space="preserve"> for the purpose of</w:t>
      </w:r>
    </w:p>
    <w:p w:rsidR="00072E7F" w:rsidRPr="00C24125" w:rsidRDefault="00072E7F" w:rsidP="00072E7F">
      <w:pPr>
        <w:pStyle w:val="Citation-AltC"/>
        <w:ind w:left="1440"/>
        <w:rPr>
          <w:lang w:val="en-US"/>
        </w:rPr>
      </w:pPr>
    </w:p>
    <w:p w:rsidR="00072E7F" w:rsidRPr="00C24125" w:rsidRDefault="00072E7F" w:rsidP="005F76C1">
      <w:pPr>
        <w:pStyle w:val="Citation-AltC"/>
        <w:ind w:left="1800"/>
        <w:rPr>
          <w:lang w:val="en-US"/>
        </w:rPr>
      </w:pPr>
      <w:r w:rsidRPr="00C24125">
        <w:rPr>
          <w:b/>
          <w:lang w:val="en-US"/>
        </w:rPr>
        <w:t>(i)</w:t>
      </w:r>
      <w:r w:rsidRPr="00C24125">
        <w:rPr>
          <w:lang w:val="en-US"/>
        </w:rPr>
        <w:t xml:space="preserve"> meeting the reasonable living expenses of the person who was in possession of the property at the time the warrant was executed or the order was made or any person who, in the opinion of the judge, has a valid interest in the property and of the dependants of that person,</w:t>
      </w:r>
    </w:p>
    <w:p w:rsidR="00072E7F" w:rsidRPr="00C24125" w:rsidRDefault="00072E7F" w:rsidP="005F76C1">
      <w:pPr>
        <w:pStyle w:val="Citation-AltC"/>
        <w:ind w:left="1800"/>
        <w:rPr>
          <w:lang w:val="en-US"/>
        </w:rPr>
      </w:pPr>
    </w:p>
    <w:p w:rsidR="00072E7F" w:rsidRPr="00C24125" w:rsidRDefault="00072E7F" w:rsidP="005F76C1">
      <w:pPr>
        <w:pStyle w:val="Citation-AltC"/>
        <w:ind w:left="1800"/>
        <w:rPr>
          <w:lang w:val="en-US"/>
        </w:rPr>
      </w:pPr>
      <w:r w:rsidRPr="00C24125">
        <w:rPr>
          <w:b/>
          <w:lang w:val="en-US"/>
        </w:rPr>
        <w:t>(ii)</w:t>
      </w:r>
      <w:r w:rsidRPr="00C24125">
        <w:rPr>
          <w:lang w:val="en-US"/>
        </w:rPr>
        <w:t xml:space="preserve"> meeting the reasonable business and legal expenses of a person referred to in subparagraph (i), or</w:t>
      </w:r>
    </w:p>
    <w:p w:rsidR="00072E7F" w:rsidRPr="00C24125" w:rsidRDefault="00072E7F" w:rsidP="005F76C1">
      <w:pPr>
        <w:pStyle w:val="Citation-AltC"/>
        <w:ind w:left="1800"/>
        <w:rPr>
          <w:lang w:val="en-US"/>
        </w:rPr>
      </w:pPr>
    </w:p>
    <w:p w:rsidR="00072E7F" w:rsidRPr="00C24125" w:rsidRDefault="00072E7F" w:rsidP="005F76C1">
      <w:pPr>
        <w:pStyle w:val="Citation-AltC"/>
        <w:ind w:left="1800"/>
        <w:rPr>
          <w:lang w:val="en-US"/>
        </w:rPr>
      </w:pPr>
      <w:r w:rsidRPr="00C24125">
        <w:rPr>
          <w:b/>
          <w:lang w:val="en-US"/>
        </w:rPr>
        <w:t>(iii)</w:t>
      </w:r>
      <w:r w:rsidRPr="00C24125">
        <w:rPr>
          <w:lang w:val="en-US"/>
        </w:rPr>
        <w:t xml:space="preserve"> permitting the use of the property in order to enter into a recognizance under Part XVI,</w:t>
      </w:r>
    </w:p>
    <w:p w:rsidR="00072E7F" w:rsidRPr="00C24125" w:rsidRDefault="00072E7F" w:rsidP="00072E7F">
      <w:pPr>
        <w:pStyle w:val="Citation-AltC"/>
        <w:ind w:left="2160"/>
        <w:rPr>
          <w:lang w:val="en-US"/>
        </w:rPr>
      </w:pPr>
    </w:p>
    <w:p w:rsidR="00072E7F" w:rsidRPr="00C24125" w:rsidRDefault="00072E7F" w:rsidP="00072E7F">
      <w:pPr>
        <w:pStyle w:val="Citation-AltC"/>
        <w:ind w:left="1440"/>
        <w:rPr>
          <w:lang w:val="en-US"/>
        </w:rPr>
      </w:pPr>
      <w:r w:rsidRPr="00C24125">
        <w:rPr>
          <w:lang w:val="en-US"/>
        </w:rPr>
        <w:t>if the judge is satisfied that the applicant has no other assets or means available for the purposes set out in this paragraph and that no other person appears to be the lawful owner of or lawfully entitled to possession of the property.</w:t>
      </w:r>
    </w:p>
    <w:p w:rsidR="00072E7F" w:rsidRPr="00C24125" w:rsidRDefault="00072E7F" w:rsidP="00072E7F">
      <w:pPr>
        <w:pStyle w:val="ParaNoNdepar-AltN"/>
        <w:rPr>
          <w:rFonts w:cs="Times New Roman"/>
        </w:rPr>
      </w:pPr>
      <w:r w:rsidRPr="00C24125">
        <w:rPr>
          <w:rFonts w:cs="Times New Roman"/>
        </w:rPr>
        <w:t>In creating this provision, Parliament struck a balance between ensuring an effective forfeiture regime and permitting otherwise impecunious accused persons to access funds for certain purposes. More particularly, as the Minister of Justice explained when the bill that would later become Part XII.2 was introduced, “[t]he legislation has balanced an effective forfeiture mechanism with the constitutionally protected right to counsel in a manner that is characteristic of the Government’s approach to criminal matters and avoids the criticisms that have been levied at similar American legislation in this area” (House of Commons,</w:t>
      </w:r>
      <w:r w:rsidRPr="00C24125">
        <w:rPr>
          <w:rFonts w:cs="Times New Roman"/>
          <w:i/>
        </w:rPr>
        <w:t xml:space="preserve"> Debates</w:t>
      </w:r>
      <w:r w:rsidRPr="00C24125">
        <w:rPr>
          <w:rFonts w:cs="Times New Roman"/>
        </w:rPr>
        <w:t xml:space="preserve">, vol. 14, 2nd Sess., 33rd Parl., July 7, 1988, </w:t>
      </w:r>
      <w:r w:rsidR="00DD68F7">
        <w:rPr>
          <w:rFonts w:cs="Times New Roman"/>
        </w:rPr>
        <w:t>at p. 17258). The “criticisms . </w:t>
      </w:r>
      <w:r w:rsidRPr="00C24125">
        <w:rPr>
          <w:rFonts w:cs="Times New Roman"/>
        </w:rPr>
        <w:t>.</w:t>
      </w:r>
      <w:r w:rsidR="00DD68F7">
        <w:rPr>
          <w:rFonts w:cs="Times New Roman"/>
        </w:rPr>
        <w:t> </w:t>
      </w:r>
      <w:r w:rsidRPr="00C24125">
        <w:rPr>
          <w:rFonts w:cs="Times New Roman"/>
        </w:rPr>
        <w:t xml:space="preserve">. levied at similar American legislation” refer to the fact that, at the time the bill was introduced, accused persons in the United States could not use seized funds to pay for legal fees under any </w:t>
      </w:r>
      <w:r w:rsidRPr="00C24125">
        <w:rPr>
          <w:rFonts w:cs="Times New Roman"/>
        </w:rPr>
        <w:lastRenderedPageBreak/>
        <w:t xml:space="preserve">circumstances (see R. W. Hubbard et al., </w:t>
      </w:r>
      <w:r w:rsidRPr="00C24125">
        <w:rPr>
          <w:rFonts w:cs="Times New Roman"/>
          <w:i/>
        </w:rPr>
        <w:t>Money Laundering and Proceeds of Crime</w:t>
      </w:r>
      <w:r w:rsidRPr="00C24125">
        <w:rPr>
          <w:rFonts w:cs="Times New Roman"/>
        </w:rPr>
        <w:t xml:space="preserve"> (2004), at pp. 118-20; </w:t>
      </w:r>
      <w:r w:rsidRPr="00C24125">
        <w:rPr>
          <w:rFonts w:cs="Times New Roman"/>
          <w:i/>
        </w:rPr>
        <w:t>United States v. Monsanto</w:t>
      </w:r>
      <w:r w:rsidRPr="00C24125">
        <w:rPr>
          <w:rFonts w:cs="Times New Roman"/>
        </w:rPr>
        <w:t xml:space="preserve">, 491 U.S. 600 (1989)). </w:t>
      </w:r>
    </w:p>
    <w:p w:rsidR="00072E7F" w:rsidRPr="00C24125" w:rsidRDefault="00072E7F" w:rsidP="00072E7F">
      <w:pPr>
        <w:pStyle w:val="Title3LevelTitre3Niveau"/>
        <w:jc w:val="both"/>
        <w:rPr>
          <w:rFonts w:cs="Times New Roman"/>
        </w:rPr>
      </w:pPr>
      <w:r w:rsidRPr="00C24125">
        <w:rPr>
          <w:rFonts w:cs="Times New Roman"/>
        </w:rPr>
        <w:t>The Forfeiture Provision — Section 462.37(1)</w:t>
      </w:r>
    </w:p>
    <w:p w:rsidR="00072E7F" w:rsidRPr="00C24125" w:rsidRDefault="00072E7F" w:rsidP="00072E7F">
      <w:pPr>
        <w:pStyle w:val="ParaNoNdepar-AltN"/>
        <w:rPr>
          <w:rFonts w:cs="Times New Roman"/>
        </w:rPr>
      </w:pPr>
      <w:r w:rsidRPr="00C24125">
        <w:rPr>
          <w:rFonts w:cs="Times New Roman"/>
        </w:rPr>
        <w:t>Under s. 462.37(1), a court must, when sentencing</w:t>
      </w:r>
      <w:r w:rsidRPr="00C24125">
        <w:rPr>
          <w:rFonts w:cs="Times New Roman"/>
          <w:vertAlign w:val="superscript"/>
        </w:rPr>
        <w:footnoteReference w:id="7"/>
      </w:r>
      <w:r w:rsidRPr="00C24125">
        <w:rPr>
          <w:rFonts w:cs="Times New Roman"/>
        </w:rPr>
        <w:t xml:space="preserve"> an offender for a designated offence, order the forfeiture of property determined to be proceeds of crime obtained through the commission of the designated offence. Alternatively, if the court is not satisfied that the </w:t>
      </w:r>
      <w:r w:rsidRPr="00C24125">
        <w:rPr>
          <w:rFonts w:cs="Times New Roman"/>
          <w:lang w:val="en-US"/>
        </w:rPr>
        <w:t>property was obtained through the commission of the designated offence, but it is satisfied beyond a reasonable doubt that the property is proceeds of crime, then the court may order its forfeiture pursuant to s. 462.37(2).</w:t>
      </w:r>
    </w:p>
    <w:p w:rsidR="00072E7F" w:rsidRPr="00C24125" w:rsidRDefault="00072E7F" w:rsidP="00072E7F">
      <w:pPr>
        <w:pStyle w:val="Title3LevelTitre3Niveau"/>
        <w:jc w:val="both"/>
        <w:rPr>
          <w:rFonts w:cs="Times New Roman"/>
        </w:rPr>
      </w:pPr>
      <w:r w:rsidRPr="00C24125">
        <w:rPr>
          <w:rFonts w:cs="Times New Roman"/>
        </w:rPr>
        <w:t>The Fine in Lieu Provision — Section 462.37(3)</w:t>
      </w:r>
    </w:p>
    <w:p w:rsidR="00072E7F" w:rsidRPr="00C24125" w:rsidRDefault="00072E7F" w:rsidP="00072E7F">
      <w:pPr>
        <w:pStyle w:val="ParaNoNdepar-AltN"/>
        <w:rPr>
          <w:rFonts w:cs="Times New Roman"/>
        </w:rPr>
      </w:pPr>
      <w:r w:rsidRPr="00C24125">
        <w:rPr>
          <w:rFonts w:cs="Times New Roman"/>
        </w:rPr>
        <w:t>Where a court is satisfied that a forfeitur</w:t>
      </w:r>
      <w:r w:rsidR="000942D4">
        <w:rPr>
          <w:rFonts w:cs="Times New Roman"/>
        </w:rPr>
        <w:t>e order should be made under s. </w:t>
      </w:r>
      <w:r w:rsidRPr="00C24125">
        <w:rPr>
          <w:rFonts w:cs="Times New Roman"/>
        </w:rPr>
        <w:t>462.37(1) in respect of any “property of an offender”, but the property (or any part of or interest in the property) cannot be made subject to such an order, the court “may” order a fine in lie</w:t>
      </w:r>
      <w:r w:rsidR="000942D4">
        <w:rPr>
          <w:rFonts w:cs="Times New Roman"/>
        </w:rPr>
        <w:t>u under s. 462.37(3):</w:t>
      </w:r>
    </w:p>
    <w:p w:rsidR="00072E7F" w:rsidRPr="00C24125" w:rsidRDefault="00072E7F" w:rsidP="00072E7F">
      <w:pPr>
        <w:pStyle w:val="Citation-AltC"/>
        <w:rPr>
          <w:b/>
          <w:lang w:val="en-US"/>
        </w:rPr>
      </w:pPr>
      <w:r w:rsidRPr="00C24125">
        <w:rPr>
          <w:b/>
          <w:lang w:val="en-US"/>
        </w:rPr>
        <w:t xml:space="preserve">Fine instead of forfeiture </w:t>
      </w:r>
    </w:p>
    <w:p w:rsidR="00072E7F" w:rsidRPr="00C24125" w:rsidRDefault="00072E7F" w:rsidP="00072E7F">
      <w:pPr>
        <w:pStyle w:val="Citation-AltC"/>
        <w:rPr>
          <w:b/>
          <w:lang w:val="en-US"/>
        </w:rPr>
      </w:pPr>
    </w:p>
    <w:p w:rsidR="00072E7F" w:rsidRPr="00C24125" w:rsidRDefault="00072E7F" w:rsidP="00072E7F">
      <w:pPr>
        <w:pStyle w:val="Citation-AltC"/>
        <w:rPr>
          <w:lang w:val="en-US"/>
        </w:rPr>
      </w:pPr>
      <w:r w:rsidRPr="00C24125">
        <w:rPr>
          <w:b/>
          <w:lang w:val="en-US"/>
        </w:rPr>
        <w:t>(3)</w:t>
      </w:r>
      <w:r w:rsidRPr="00C24125">
        <w:rPr>
          <w:lang w:val="en-US"/>
        </w:rPr>
        <w:t xml:space="preserve"> If a court is satisfied that an order of forfeiture under subsection (1) or (2.01) should be made in respect of any property of an offender but that the property or any part of or interest in the property cannot be made subject to an order, the court may, instead of ordering the property or any part of or interest in the property to be forfeited, order the offender to pay a fine </w:t>
      </w:r>
      <w:r w:rsidRPr="00C24125">
        <w:rPr>
          <w:lang w:val="en-US"/>
        </w:rPr>
        <w:lastRenderedPageBreak/>
        <w:t>in an amount equal to the value of the property or the part of or interest in the property. In particular, a court may order the offender to pay a fine if the property or any part of or interest in the property</w:t>
      </w:r>
    </w:p>
    <w:p w:rsidR="00072E7F" w:rsidRPr="00C24125" w:rsidRDefault="00072E7F" w:rsidP="00072E7F">
      <w:pPr>
        <w:pStyle w:val="Citation-AltC"/>
        <w:rPr>
          <w:lang w:val="en-US"/>
        </w:rPr>
      </w:pPr>
    </w:p>
    <w:p w:rsidR="00072E7F" w:rsidRPr="00C24125" w:rsidRDefault="00072E7F" w:rsidP="00072E7F">
      <w:pPr>
        <w:pStyle w:val="Citation-AltC"/>
        <w:ind w:left="1440"/>
        <w:rPr>
          <w:lang w:val="en-US"/>
        </w:rPr>
      </w:pPr>
      <w:r w:rsidRPr="00C24125">
        <w:rPr>
          <w:b/>
          <w:lang w:val="en-US"/>
        </w:rPr>
        <w:t>(a)</w:t>
      </w:r>
      <w:r w:rsidRPr="00C24125">
        <w:rPr>
          <w:lang w:val="en-US"/>
        </w:rPr>
        <w:t xml:space="preserve"> cannot, on the exercise of due diligence, be located;</w:t>
      </w:r>
    </w:p>
    <w:p w:rsidR="00072E7F" w:rsidRPr="00C24125" w:rsidRDefault="00072E7F" w:rsidP="00072E7F">
      <w:pPr>
        <w:pStyle w:val="Citation-AltC"/>
        <w:ind w:left="1440"/>
        <w:rPr>
          <w:lang w:val="en-US"/>
        </w:rPr>
      </w:pPr>
    </w:p>
    <w:p w:rsidR="00072E7F" w:rsidRPr="00C24125" w:rsidRDefault="00072E7F" w:rsidP="00072E7F">
      <w:pPr>
        <w:pStyle w:val="Citation-AltC"/>
        <w:ind w:left="1440"/>
        <w:rPr>
          <w:lang w:val="en-US"/>
        </w:rPr>
      </w:pPr>
      <w:r w:rsidRPr="00C24125">
        <w:rPr>
          <w:b/>
          <w:lang w:val="en-US"/>
        </w:rPr>
        <w:t>(b)</w:t>
      </w:r>
      <w:r w:rsidRPr="00C24125">
        <w:rPr>
          <w:lang w:val="en-US"/>
        </w:rPr>
        <w:t xml:space="preserve"> has been transferred to a third party;</w:t>
      </w:r>
    </w:p>
    <w:p w:rsidR="00072E7F" w:rsidRPr="00C24125" w:rsidRDefault="00072E7F" w:rsidP="00072E7F">
      <w:pPr>
        <w:pStyle w:val="Citation-AltC"/>
        <w:ind w:left="1440"/>
        <w:rPr>
          <w:lang w:val="en-US"/>
        </w:rPr>
      </w:pPr>
    </w:p>
    <w:p w:rsidR="00072E7F" w:rsidRPr="00C24125" w:rsidRDefault="00072E7F" w:rsidP="00072E7F">
      <w:pPr>
        <w:pStyle w:val="Citation-AltC"/>
        <w:ind w:left="1440"/>
        <w:rPr>
          <w:lang w:val="en-US"/>
        </w:rPr>
      </w:pPr>
      <w:r w:rsidRPr="00C24125">
        <w:rPr>
          <w:b/>
          <w:lang w:val="en-US"/>
        </w:rPr>
        <w:t>(c)</w:t>
      </w:r>
      <w:r w:rsidRPr="00C24125">
        <w:rPr>
          <w:lang w:val="en-US"/>
        </w:rPr>
        <w:t xml:space="preserve"> is located outside Canada;</w:t>
      </w:r>
    </w:p>
    <w:p w:rsidR="00072E7F" w:rsidRPr="00C24125" w:rsidRDefault="00072E7F" w:rsidP="00072E7F">
      <w:pPr>
        <w:pStyle w:val="Citation-AltC"/>
        <w:ind w:left="1440"/>
        <w:rPr>
          <w:lang w:val="en-US"/>
        </w:rPr>
      </w:pPr>
    </w:p>
    <w:p w:rsidR="00072E7F" w:rsidRPr="00C24125" w:rsidRDefault="00072E7F" w:rsidP="00072E7F">
      <w:pPr>
        <w:pStyle w:val="Citation-AltC"/>
        <w:ind w:left="1440"/>
        <w:rPr>
          <w:lang w:val="en-US"/>
        </w:rPr>
      </w:pPr>
      <w:r w:rsidRPr="00C24125">
        <w:rPr>
          <w:b/>
          <w:lang w:val="en-US"/>
        </w:rPr>
        <w:t>(d)</w:t>
      </w:r>
      <w:r w:rsidRPr="00C24125">
        <w:rPr>
          <w:lang w:val="en-US"/>
        </w:rPr>
        <w:t xml:space="preserve"> has been substantially diminished in value or rendered worthless; or</w:t>
      </w:r>
    </w:p>
    <w:p w:rsidR="00072E7F" w:rsidRPr="00C24125" w:rsidRDefault="00072E7F" w:rsidP="00072E7F">
      <w:pPr>
        <w:pStyle w:val="Citation-AltC"/>
        <w:ind w:left="1440"/>
        <w:rPr>
          <w:lang w:val="en-US"/>
        </w:rPr>
      </w:pPr>
    </w:p>
    <w:p w:rsidR="00072E7F" w:rsidRPr="00C24125" w:rsidRDefault="00072E7F" w:rsidP="00072E7F">
      <w:pPr>
        <w:pStyle w:val="Citation-AltC"/>
        <w:ind w:left="1440"/>
        <w:rPr>
          <w:lang w:val="en-US"/>
        </w:rPr>
      </w:pPr>
      <w:r w:rsidRPr="00C24125">
        <w:rPr>
          <w:b/>
          <w:lang w:val="en-US"/>
        </w:rPr>
        <w:t>(e)</w:t>
      </w:r>
      <w:r w:rsidRPr="00C24125">
        <w:rPr>
          <w:lang w:val="en-US"/>
        </w:rPr>
        <w:t xml:space="preserve"> has been commingled with other property that cannot be divided without difficulty.</w:t>
      </w:r>
    </w:p>
    <w:p w:rsidR="00072E7F" w:rsidRPr="00C24125" w:rsidRDefault="00072E7F" w:rsidP="00072E7F">
      <w:pPr>
        <w:pStyle w:val="ParaNoNdepar-AltN"/>
        <w:rPr>
          <w:rFonts w:cs="Times New Roman"/>
        </w:rPr>
      </w:pPr>
      <w:r w:rsidRPr="00C24125">
        <w:rPr>
          <w:rFonts w:cs="Times New Roman"/>
        </w:rPr>
        <w:t xml:space="preserve">This provision was considered in </w:t>
      </w:r>
      <w:r w:rsidRPr="00C24125">
        <w:rPr>
          <w:rFonts w:cs="Times New Roman"/>
          <w:i/>
        </w:rPr>
        <w:t>Lavigne</w:t>
      </w:r>
      <w:r w:rsidRPr="00C24125">
        <w:rPr>
          <w:rFonts w:cs="Times New Roman"/>
        </w:rPr>
        <w:t xml:space="preserve">, which examined whether an offender’s inability to pay a fine could be used as a basis for declining to impose a fine in lieu. Justice Deschamps, writing for a unanimous Court, stated that a fine in lieu </w:t>
      </w:r>
      <w:r w:rsidRPr="00C24125">
        <w:rPr>
          <w:rFonts w:cs="Times New Roman"/>
          <w:lang w:val="en-US"/>
        </w:rPr>
        <w:t>“</w:t>
      </w:r>
      <w:r w:rsidRPr="00C24125">
        <w:rPr>
          <w:rFonts w:cs="Times New Roman"/>
        </w:rPr>
        <w:t>is not regarded as punishment specifically for the designated offence”; rather, “its purpose is to replace the proceeds of crime</w:t>
      </w:r>
      <w:r w:rsidRPr="00C24125">
        <w:rPr>
          <w:rFonts w:cs="Times New Roman"/>
          <w:lang w:val="en-US"/>
        </w:rPr>
        <w:t xml:space="preserve">” (para. 25; see also </w:t>
      </w:r>
      <w:r w:rsidRPr="00C24125">
        <w:rPr>
          <w:rFonts w:cs="Times New Roman"/>
          <w:i/>
          <w:lang w:val="en-US"/>
        </w:rPr>
        <w:t>R. v. Dieckmann</w:t>
      </w:r>
      <w:r w:rsidRPr="00C24125">
        <w:rPr>
          <w:rFonts w:cs="Times New Roman"/>
          <w:lang w:val="en-US"/>
        </w:rPr>
        <w:t xml:space="preserve">, 2017 ONCA 575, 355 C.C.C. (3d) 216, at para. 88; </w:t>
      </w:r>
      <w:r w:rsidRPr="00C24125">
        <w:rPr>
          <w:rFonts w:cs="Times New Roman"/>
          <w:i/>
          <w:lang w:val="en-US"/>
        </w:rPr>
        <w:t>R. v. Angelis</w:t>
      </w:r>
      <w:r w:rsidRPr="00C24125">
        <w:rPr>
          <w:rFonts w:cs="Times New Roman"/>
          <w:lang w:val="en-US"/>
        </w:rPr>
        <w:t>, 2016 ONCA 675, 133 O.R. (3d) 575, at para. 39)</w:t>
      </w:r>
      <w:r w:rsidRPr="00C24125">
        <w:rPr>
          <w:rFonts w:cs="Times New Roman"/>
        </w:rPr>
        <w:t xml:space="preserve">. </w:t>
      </w:r>
    </w:p>
    <w:p w:rsidR="00072E7F" w:rsidRPr="00C24125" w:rsidRDefault="00072E7F" w:rsidP="00072E7F">
      <w:pPr>
        <w:pStyle w:val="ParaNoNdepar-AltN"/>
        <w:rPr>
          <w:rFonts w:cs="Times New Roman"/>
        </w:rPr>
      </w:pPr>
      <w:r w:rsidRPr="00C24125">
        <w:rPr>
          <w:rFonts w:cs="Times New Roman"/>
        </w:rPr>
        <w:t>Justice Deschamps clarified that although s. 462.37(3) provides that the court “may” order a fine in lieu, this permissive language does not confer a broad discretion not to do so. Rather, the discretion is “limited”</w:t>
      </w:r>
      <w:r w:rsidRPr="00C24125">
        <w:rPr>
          <w:rFonts w:eastAsia="Times New Roman" w:cs="Times New Roman"/>
          <w:szCs w:val="24"/>
          <w:lang w:eastAsia="en-CA"/>
        </w:rPr>
        <w:t xml:space="preserve"> </w:t>
      </w:r>
      <w:r w:rsidRPr="00C24125">
        <w:rPr>
          <w:rFonts w:cs="Times New Roman"/>
        </w:rPr>
        <w:t>(paras. 1, 23, 27, 29, 34, and 44). In particular, it is limited by “the objective of the provision, the nature of the order and the circumstances in which the order is made” and must be exercised in a manner “consistent with the spirit of the whole of the provisions in question” (paras. 27-28).</w:t>
      </w:r>
    </w:p>
    <w:p w:rsidR="00072E7F" w:rsidRPr="00C24125" w:rsidRDefault="00072E7F" w:rsidP="00072E7F">
      <w:pPr>
        <w:pStyle w:val="ParaNoNdepar-AltN"/>
        <w:rPr>
          <w:rFonts w:cs="Times New Roman"/>
        </w:rPr>
      </w:pPr>
      <w:r w:rsidRPr="00C24125">
        <w:rPr>
          <w:rFonts w:cs="Times New Roman"/>
        </w:rPr>
        <w:lastRenderedPageBreak/>
        <w:t>These considerations led Deschamps J.</w:t>
      </w:r>
      <w:r w:rsidRPr="00C24125">
        <w:rPr>
          <w:rFonts w:cs="Times New Roman"/>
          <w:i/>
        </w:rPr>
        <w:t xml:space="preserve"> </w:t>
      </w:r>
      <w:r w:rsidRPr="00C24125">
        <w:rPr>
          <w:rFonts w:cs="Times New Roman"/>
        </w:rPr>
        <w:t>to conclude that an offender’s inability to pay cannot be taken into account when deciding whether to impose a fine (see paras. 1, 37, and 48).</w:t>
      </w:r>
      <w:r w:rsidRPr="00056A93">
        <w:rPr>
          <w:rStyle w:val="Hyperlink"/>
          <w:vertAlign w:val="superscript"/>
        </w:rPr>
        <w:footnoteReference w:id="8"/>
      </w:r>
      <w:r w:rsidRPr="00C24125">
        <w:rPr>
          <w:rFonts w:cs="Times New Roman"/>
        </w:rPr>
        <w:t xml:space="preserve"> Further, the mere fact that property has been used cannot justify a refusal to impose a fine (see para. 32). Nor does the provision leave any room to reduce the value of a fine; rather, the quantum is fixed at the value of the property (</w:t>
      </w:r>
      <w:r w:rsidRPr="00C24125">
        <w:rPr>
          <w:rFonts w:cs="Times New Roman"/>
          <w:lang w:val="en-US"/>
        </w:rPr>
        <w:t>or the part of or interest in the property, as applicable)</w:t>
      </w:r>
      <w:r w:rsidRPr="00C24125">
        <w:rPr>
          <w:rFonts w:cs="Times New Roman"/>
        </w:rPr>
        <w:t xml:space="preserve"> (see paras. 34-35). </w:t>
      </w:r>
    </w:p>
    <w:p w:rsidR="00072E7F" w:rsidRPr="00C24125" w:rsidRDefault="00072E7F" w:rsidP="00072E7F">
      <w:pPr>
        <w:pStyle w:val="ParaNoNdepar-AltN"/>
        <w:rPr>
          <w:rFonts w:cs="Times New Roman"/>
        </w:rPr>
      </w:pPr>
      <w:r w:rsidRPr="00C24125">
        <w:rPr>
          <w:rFonts w:cs="Times New Roman"/>
        </w:rPr>
        <w:t>That said, Deschamps J. acknowledged that there may be cases where the objectives of Part XII.2 do not call for the imposition of a fine. An example would be “if the offender did not profit from the crime and if it was an isolated crime committed by an offender acting alone” (para. 28). In that case, “none of the objectives [of Part XII.2] would be furthered or frustrated by a decision not to impose a fine instead of forfeiture” (</w:t>
      </w:r>
      <w:r w:rsidRPr="00C24125">
        <w:rPr>
          <w:rFonts w:cs="Times New Roman"/>
          <w:i/>
        </w:rPr>
        <w:t>ibid.</w:t>
      </w:r>
      <w:r w:rsidRPr="00C24125">
        <w:rPr>
          <w:rFonts w:cs="Times New Roman"/>
        </w:rPr>
        <w:t>). Justice Deschamps did not expressly consider whether the objectives of Part XII.2 would call for the imposition of a fine in lieu where seized funds that have been released to pay for reasonable legal expenses are later dete</w:t>
      </w:r>
      <w:r w:rsidR="00932850">
        <w:rPr>
          <w:rFonts w:cs="Times New Roman"/>
        </w:rPr>
        <w:t>rmined to be proceeds of crime.</w:t>
      </w:r>
    </w:p>
    <w:p w:rsidR="00072E7F" w:rsidRPr="00C24125" w:rsidRDefault="00072E7F" w:rsidP="00072E7F">
      <w:pPr>
        <w:pStyle w:val="Title3LevelTitre3Niveau"/>
        <w:jc w:val="both"/>
        <w:rPr>
          <w:rFonts w:cs="Times New Roman"/>
        </w:rPr>
      </w:pPr>
      <w:r w:rsidRPr="00C24125">
        <w:rPr>
          <w:rFonts w:cs="Times New Roman"/>
        </w:rPr>
        <w:t>The Default Provision — Section 462.37(4)</w:t>
      </w:r>
    </w:p>
    <w:p w:rsidR="00072E7F" w:rsidRPr="00C24125" w:rsidRDefault="00072E7F" w:rsidP="00072E7F">
      <w:pPr>
        <w:pStyle w:val="ParaNoNdepar-AltN"/>
        <w:rPr>
          <w:rFonts w:cs="Times New Roman"/>
        </w:rPr>
      </w:pPr>
      <w:r w:rsidRPr="00C24125">
        <w:rPr>
          <w:rFonts w:cs="Times New Roman"/>
        </w:rPr>
        <w:t xml:space="preserve"> If a fine in lieu is imposed, but the offender defaults on payment, then the court must order a term of imprisonment, which varies based on the amount owing </w:t>
      </w:r>
      <w:r w:rsidRPr="00C24125">
        <w:rPr>
          <w:rFonts w:cs="Times New Roman"/>
        </w:rPr>
        <w:lastRenderedPageBreak/>
        <w:t>(s.</w:t>
      </w:r>
      <w:r w:rsidR="00E96396">
        <w:rPr>
          <w:rFonts w:cs="Times New Roman"/>
        </w:rPr>
        <w:t> </w:t>
      </w:r>
      <w:r w:rsidRPr="00C24125">
        <w:rPr>
          <w:rFonts w:cs="Times New Roman"/>
        </w:rPr>
        <w:t xml:space="preserve">462.37(4)(a)). This term of imprisonment must be served consecutively to any other term of imprisonment imposed on </w:t>
      </w:r>
      <w:r w:rsidR="00E96396">
        <w:rPr>
          <w:rFonts w:cs="Times New Roman"/>
        </w:rPr>
        <w:t>the offender (s. 462.37(4)(b)).</w:t>
      </w:r>
    </w:p>
    <w:p w:rsidR="00072E7F" w:rsidRPr="00C24125" w:rsidRDefault="00072E7F" w:rsidP="00072E7F">
      <w:pPr>
        <w:pStyle w:val="ParaNoNdepar-AltN"/>
        <w:rPr>
          <w:rFonts w:cs="Times New Roman"/>
          <w:lang w:val="fr-CA"/>
        </w:rPr>
      </w:pPr>
      <w:r w:rsidRPr="00C24125">
        <w:rPr>
          <w:rFonts w:cs="Times New Roman"/>
        </w:rPr>
        <w:t xml:space="preserve">A term of imprisonment imposed for defaulting on a fine in lieu is not regarded as a punishment for the designated offence, but rather as an enforcement mechanism to encourage payment by those who have the resources (see </w:t>
      </w:r>
      <w:r w:rsidRPr="00C24125">
        <w:rPr>
          <w:rFonts w:cs="Times New Roman"/>
          <w:i/>
        </w:rPr>
        <w:t>Angelis</w:t>
      </w:r>
      <w:r w:rsidR="00286E5A">
        <w:rPr>
          <w:rFonts w:cs="Times New Roman"/>
        </w:rPr>
        <w:t>, at para. </w:t>
      </w:r>
      <w:r w:rsidRPr="00C24125">
        <w:rPr>
          <w:rFonts w:cs="Times New Roman"/>
        </w:rPr>
        <w:t xml:space="preserve">50, citing </w:t>
      </w:r>
      <w:r w:rsidRPr="00C24125">
        <w:rPr>
          <w:rFonts w:cs="Times New Roman"/>
          <w:i/>
        </w:rPr>
        <w:t>R. v. Khatchatourov</w:t>
      </w:r>
      <w:r w:rsidRPr="00C24125">
        <w:rPr>
          <w:rFonts w:cs="Times New Roman"/>
        </w:rPr>
        <w:t>, 2014 ONCA 464, 313 C.C.C. (3d) 94, at paras.</w:t>
      </w:r>
      <w:r w:rsidR="00286E5A">
        <w:rPr>
          <w:rFonts w:cs="Times New Roman"/>
        </w:rPr>
        <w:t> </w:t>
      </w:r>
      <w:r w:rsidRPr="00C24125">
        <w:rPr>
          <w:rFonts w:cs="Times New Roman"/>
          <w:lang w:val="fr-CA"/>
        </w:rPr>
        <w:t xml:space="preserve">55-56; </w:t>
      </w:r>
      <w:r w:rsidRPr="00C24125">
        <w:rPr>
          <w:rFonts w:cs="Times New Roman"/>
          <w:i/>
          <w:lang w:val="fr-CA"/>
        </w:rPr>
        <w:t>R. v. Bourque</w:t>
      </w:r>
      <w:r w:rsidRPr="00C24125">
        <w:rPr>
          <w:rFonts w:cs="Times New Roman"/>
          <w:lang w:val="fr-CA"/>
        </w:rPr>
        <w:t xml:space="preserve"> (2005), 193 C.C.C.</w:t>
      </w:r>
      <w:r w:rsidR="00286E5A">
        <w:rPr>
          <w:rFonts w:cs="Times New Roman"/>
          <w:lang w:val="fr-CA"/>
        </w:rPr>
        <w:t xml:space="preserve"> (3d) 485 (Ont. C.A.), at para. 20).</w:t>
      </w:r>
    </w:p>
    <w:p w:rsidR="00072E7F" w:rsidRPr="00C24125" w:rsidRDefault="00072E7F" w:rsidP="00072E7F">
      <w:pPr>
        <w:pStyle w:val="ParaNoNdepar-AltN"/>
        <w:rPr>
          <w:rFonts w:cs="Times New Roman"/>
        </w:rPr>
      </w:pPr>
      <w:r w:rsidRPr="00C24125">
        <w:rPr>
          <w:rFonts w:cs="Times New Roman"/>
        </w:rPr>
        <w:t xml:space="preserve">Pursuant to this Court’s decision in </w:t>
      </w:r>
      <w:r w:rsidRPr="00C24125">
        <w:rPr>
          <w:rFonts w:cs="Times New Roman"/>
          <w:i/>
        </w:rPr>
        <w:t>R. v. Wu</w:t>
      </w:r>
      <w:r w:rsidRPr="00C24125">
        <w:rPr>
          <w:rFonts w:cs="Times New Roman"/>
        </w:rPr>
        <w:t>, 2003 SCC 73, [2003] 3 S.C.R. 530, a warrant of committal cannot be issued for a default on a fine if the offender has a g</w:t>
      </w:r>
      <w:r w:rsidR="009D7C6E">
        <w:rPr>
          <w:rFonts w:cs="Times New Roman"/>
        </w:rPr>
        <w:t>enuine inability to pay (paras. </w:t>
      </w:r>
      <w:r w:rsidRPr="00C24125">
        <w:rPr>
          <w:rFonts w:cs="Times New Roman"/>
        </w:rPr>
        <w:t xml:space="preserve">3 and 60-66; see also </w:t>
      </w:r>
      <w:r w:rsidRPr="00C24125">
        <w:rPr>
          <w:rFonts w:cs="Times New Roman"/>
          <w:i/>
        </w:rPr>
        <w:t>Lavigne</w:t>
      </w:r>
      <w:r w:rsidRPr="00C24125">
        <w:rPr>
          <w:rFonts w:cs="Times New Roman"/>
        </w:rPr>
        <w:t>, at para.</w:t>
      </w:r>
      <w:r w:rsidR="009D7C6E">
        <w:rPr>
          <w:rFonts w:cs="Times New Roman"/>
        </w:rPr>
        <w:t> </w:t>
      </w:r>
      <w:r w:rsidRPr="00C24125">
        <w:rPr>
          <w:rFonts w:cs="Times New Roman"/>
        </w:rPr>
        <w:t>47). Thus, only an offender who has the means to pay, but refuses to do so in the time allotted (which is determined by reference to “what is reasonable in all the circumstances” (</w:t>
      </w:r>
      <w:r w:rsidRPr="00C24125">
        <w:rPr>
          <w:rFonts w:cs="Times New Roman"/>
          <w:i/>
        </w:rPr>
        <w:t>Wu</w:t>
      </w:r>
      <w:r w:rsidRPr="00C24125">
        <w:rPr>
          <w:rFonts w:cs="Times New Roman"/>
        </w:rPr>
        <w:t>, at para.</w:t>
      </w:r>
      <w:r w:rsidR="009D7C6E">
        <w:rPr>
          <w:rFonts w:cs="Times New Roman"/>
        </w:rPr>
        <w:t> </w:t>
      </w:r>
      <w:r w:rsidR="008D10A2">
        <w:rPr>
          <w:rFonts w:cs="Times New Roman"/>
        </w:rPr>
        <w:t>31)), can be imprisoned.</w:t>
      </w:r>
    </w:p>
    <w:p w:rsidR="00072E7F" w:rsidRPr="00C24125" w:rsidRDefault="00072E7F" w:rsidP="00072E7F">
      <w:pPr>
        <w:pStyle w:val="Title2LevelTitre2Niveau"/>
        <w:jc w:val="both"/>
        <w:rPr>
          <w:rFonts w:cs="Times New Roman"/>
        </w:rPr>
      </w:pPr>
      <w:r w:rsidRPr="00C24125">
        <w:rPr>
          <w:rFonts w:cs="Times New Roman"/>
        </w:rPr>
        <w:t>The Relationship Between the Restoration Provision and the Fine in Lieu Provision</w:t>
      </w:r>
    </w:p>
    <w:p w:rsidR="00072E7F" w:rsidRPr="00C24125" w:rsidRDefault="00072E7F" w:rsidP="00072E7F">
      <w:pPr>
        <w:pStyle w:val="ParaNoNdepar-AltN"/>
        <w:rPr>
          <w:rFonts w:cs="Times New Roman"/>
        </w:rPr>
      </w:pPr>
      <w:r w:rsidRPr="00C24125">
        <w:rPr>
          <w:rFonts w:cs="Times New Roman"/>
        </w:rPr>
        <w:t xml:space="preserve">The parties take different views of the relationship between the restoration provision and the fine in lieu provision. Mr. Rafilovich submits that where the court has authorized the release of seized funds to pay for reasonable legal expenses, those funds are presumptively exempt from a fine in lieu. He further submits that this presumption can be rebutted only where there has been a material change in </w:t>
      </w:r>
      <w:r w:rsidRPr="00C24125">
        <w:rPr>
          <w:rFonts w:cs="Times New Roman"/>
        </w:rPr>
        <w:lastRenderedPageBreak/>
        <w:t xml:space="preserve">circumstances between the release of the funds and sentencing (e.g., an unforeseen enrichment or new evidence of a fraud on the court). The Crown, by contrast, submits that the release of funds is of no moment from a sentencing perspective: the funds should generally be subject to a fine in lieu, subject only to a limited discretion. </w:t>
      </w:r>
    </w:p>
    <w:p w:rsidR="00072E7F" w:rsidRPr="00C24125" w:rsidRDefault="00072E7F" w:rsidP="00072E7F">
      <w:pPr>
        <w:pStyle w:val="ParaNoNdepar-AltN"/>
        <w:rPr>
          <w:rFonts w:cs="Times New Roman"/>
        </w:rPr>
      </w:pPr>
      <w:r w:rsidRPr="00C24125">
        <w:rPr>
          <w:rFonts w:cs="Times New Roman"/>
        </w:rPr>
        <w:t xml:space="preserve">My colleague’s conclusion aligns with Mr. Rafilovich’s position. She concludes that where a court has authorized the release of seized funds to pay for reasonable legal expenses, a fine in lieu should not “generally” be imposed, subject to two exceptions: “where it turns out that the offender did not have a real financial need or the funds were not used </w:t>
      </w:r>
      <w:r w:rsidR="002867CB">
        <w:rPr>
          <w:rFonts w:cs="Times New Roman"/>
        </w:rPr>
        <w:t>to alleviate that need” (paras. </w:t>
      </w:r>
      <w:r w:rsidRPr="00C24125">
        <w:rPr>
          <w:rFonts w:cs="Times New Roman"/>
        </w:rPr>
        <w:t>8 and 10).</w:t>
      </w:r>
    </w:p>
    <w:p w:rsidR="00072E7F" w:rsidRPr="00C24125" w:rsidRDefault="00072E7F" w:rsidP="00072E7F">
      <w:pPr>
        <w:pStyle w:val="ParaNoNdepar-AltN"/>
        <w:rPr>
          <w:rFonts w:cs="Times New Roman"/>
        </w:rPr>
      </w:pPr>
      <w:r w:rsidRPr="00C24125">
        <w:rPr>
          <w:rFonts w:cs="Times New Roman"/>
        </w:rPr>
        <w:t xml:space="preserve">With respect, I would adopt a distinct approach. For reasons that follow, I conclude that offenders who have used proceeds of crime to pay for their own defence, thereby deriving a benefit from their crime, should generally be required to repay that benefit through a fine in lieu. This follows from a straightforward application of the primary objective of the proceeds of crime regime — namely, ensuring that crime does not pay. However, where a sentencing judge is satisfied that representation by counsel was essential to the offender’s constitutional </w:t>
      </w:r>
      <w:r w:rsidR="001D7E95">
        <w:rPr>
          <w:rFonts w:cs="Times New Roman"/>
        </w:rPr>
        <w:t>right to a fair trial under ss. </w:t>
      </w:r>
      <w:r w:rsidRPr="00C24125">
        <w:rPr>
          <w:rFonts w:cs="Times New Roman"/>
        </w:rPr>
        <w:t>7 and 11(</w:t>
      </w:r>
      <w:r w:rsidRPr="00C24125">
        <w:rPr>
          <w:rFonts w:cs="Times New Roman"/>
          <w:i/>
        </w:rPr>
        <w:t>d</w:t>
      </w:r>
      <w:r w:rsidRPr="00C24125">
        <w:rPr>
          <w:rFonts w:cs="Times New Roman"/>
        </w:rPr>
        <w:t xml:space="preserve">) of the </w:t>
      </w:r>
      <w:r w:rsidRPr="00C24125">
        <w:rPr>
          <w:rFonts w:cs="Times New Roman"/>
          <w:i/>
        </w:rPr>
        <w:t>Charter</w:t>
      </w:r>
      <w:r w:rsidRPr="00C24125">
        <w:rPr>
          <w:rFonts w:cs="Times New Roman"/>
        </w:rPr>
        <w:t xml:space="preserve">, the judge should exercise his or her limited discretion not to impose a fine in lieu in respect of the released funds. </w:t>
      </w:r>
    </w:p>
    <w:p w:rsidR="00072E7F" w:rsidRPr="00C24125" w:rsidRDefault="00072E7F" w:rsidP="00072E7F">
      <w:pPr>
        <w:pStyle w:val="Title3LevelTitre3Niveau"/>
        <w:jc w:val="both"/>
        <w:rPr>
          <w:rFonts w:cs="Times New Roman"/>
        </w:rPr>
      </w:pPr>
      <w:r w:rsidRPr="00C24125">
        <w:rPr>
          <w:rFonts w:cs="Times New Roman"/>
        </w:rPr>
        <w:t>Released Funds Transferred to a Lawyer Are “Property of an Offender” Under Section 462.37(3)</w:t>
      </w:r>
    </w:p>
    <w:p w:rsidR="00072E7F" w:rsidRPr="00C24125" w:rsidRDefault="00072E7F" w:rsidP="00072E7F">
      <w:pPr>
        <w:pStyle w:val="ParaNoNdepar-AltN"/>
        <w:rPr>
          <w:rFonts w:cs="Times New Roman"/>
        </w:rPr>
      </w:pPr>
      <w:r w:rsidRPr="00C24125">
        <w:rPr>
          <w:rFonts w:cs="Times New Roman"/>
        </w:rPr>
        <w:lastRenderedPageBreak/>
        <w:t xml:space="preserve">As indicated, s. 462.37(3) provides that a fine in lieu may be imposed in respect of any “property of an offender” that would ordinarily be made subject to a forfeiture order but cannot. In </w:t>
      </w:r>
      <w:r w:rsidRPr="00C24125">
        <w:rPr>
          <w:rFonts w:cs="Times New Roman"/>
          <w:i/>
        </w:rPr>
        <w:t>R. v. Appleby</w:t>
      </w:r>
      <w:r w:rsidRPr="00C24125">
        <w:rPr>
          <w:rFonts w:cs="Times New Roman"/>
        </w:rPr>
        <w:t>, 2009 NLCA 6, 282 Nfld. &amp; P.E.I.R. 134, the Newfoundland and Labrador Court of Appeal concluded that where seized funds are transferred to a lawyer pursuant to a restoration order, they lose their character as “property of an offender” and therefore cannot be subject to a fine in lieu (see para.</w:t>
      </w:r>
      <w:r w:rsidR="007D76E8">
        <w:rPr>
          <w:rFonts w:cs="Times New Roman"/>
        </w:rPr>
        <w:t> 65).</w:t>
      </w:r>
    </w:p>
    <w:p w:rsidR="00072E7F" w:rsidRPr="00C24125" w:rsidRDefault="00072E7F" w:rsidP="00072E7F">
      <w:pPr>
        <w:pStyle w:val="ParaNoNdepar-AltN"/>
        <w:rPr>
          <w:rFonts w:cs="Times New Roman"/>
        </w:rPr>
      </w:pPr>
      <w:r w:rsidRPr="00C24125">
        <w:rPr>
          <w:rFonts w:cs="Times New Roman"/>
        </w:rPr>
        <w:t>With respect, I cannot agree. The</w:t>
      </w:r>
      <w:r w:rsidR="00091627">
        <w:rPr>
          <w:rFonts w:cs="Times New Roman"/>
        </w:rPr>
        <w:t xml:space="preserve"> definition of “property” in s. </w:t>
      </w:r>
      <w:r w:rsidRPr="00C24125">
        <w:rPr>
          <w:rFonts w:cs="Times New Roman"/>
        </w:rPr>
        <w:t xml:space="preserve">2 includes “property </w:t>
      </w:r>
      <w:r w:rsidRPr="00C24125">
        <w:rPr>
          <w:rFonts w:cs="Times New Roman"/>
          <w:u w:val="single"/>
        </w:rPr>
        <w:t>originally</w:t>
      </w:r>
      <w:r w:rsidRPr="00C24125">
        <w:rPr>
          <w:rFonts w:cs="Times New Roman"/>
        </w:rPr>
        <w:t xml:space="preserve"> in the possession or under the control of any person”. By virtue of this broad definition, seized funds that have been released to an offender, but then subsequently transferred to a lawyer, are still “property of an offender” because they were “originally” in the offender’s possession or control. </w:t>
      </w:r>
    </w:p>
    <w:p w:rsidR="00072E7F" w:rsidRPr="00C24125" w:rsidRDefault="00072E7F" w:rsidP="00072E7F">
      <w:pPr>
        <w:pStyle w:val="ParaNoNdepar-AltN"/>
        <w:rPr>
          <w:rFonts w:cs="Times New Roman"/>
        </w:rPr>
      </w:pPr>
      <w:r w:rsidRPr="00C24125">
        <w:rPr>
          <w:rFonts w:cs="Times New Roman"/>
        </w:rPr>
        <w:t>This conclusion finds support in the jurisprudence. Courts have interpreted “pr</w:t>
      </w:r>
      <w:r w:rsidR="005818F1">
        <w:rPr>
          <w:rFonts w:cs="Times New Roman"/>
        </w:rPr>
        <w:t>operty of an offender” under s. </w:t>
      </w:r>
      <w:r w:rsidRPr="00C24125">
        <w:rPr>
          <w:rFonts w:cs="Times New Roman"/>
        </w:rPr>
        <w:t xml:space="preserve">462.37(3) as requiring that, </w:t>
      </w:r>
      <w:r w:rsidRPr="00C24125">
        <w:rPr>
          <w:rFonts w:cs="Times New Roman"/>
          <w:i/>
        </w:rPr>
        <w:t>at some point</w:t>
      </w:r>
      <w:r w:rsidRPr="00C24125">
        <w:rPr>
          <w:rFonts w:cs="Times New Roman"/>
        </w:rPr>
        <w:t xml:space="preserve">, the offender must have had possession or control of the property (see P. M. German, </w:t>
      </w:r>
      <w:r w:rsidRPr="00C24125">
        <w:rPr>
          <w:rFonts w:cs="Times New Roman"/>
          <w:i/>
        </w:rPr>
        <w:t>Proceeds of Crime and Money Laundering</w:t>
      </w:r>
      <w:r w:rsidR="005818F1">
        <w:rPr>
          <w:rFonts w:cs="Times New Roman"/>
        </w:rPr>
        <w:t xml:space="preserve"> (2nd ed. (loose-leaf)),</w:t>
      </w:r>
      <w:r w:rsidR="00B8034D">
        <w:rPr>
          <w:rFonts w:cs="Times New Roman"/>
        </w:rPr>
        <w:t xml:space="preserve"> vol. 1,</w:t>
      </w:r>
      <w:r w:rsidR="005818F1">
        <w:rPr>
          <w:rFonts w:cs="Times New Roman"/>
        </w:rPr>
        <w:t xml:space="preserve"> at § </w:t>
      </w:r>
      <w:r w:rsidRPr="00C24125">
        <w:rPr>
          <w:rFonts w:cs="Times New Roman"/>
        </w:rPr>
        <w:t xml:space="preserve">9.6(a.2); see, e.g., </w:t>
      </w:r>
      <w:r w:rsidRPr="00C24125">
        <w:rPr>
          <w:rFonts w:cs="Times New Roman"/>
          <w:i/>
        </w:rPr>
        <w:t>R. v. Dwyer</w:t>
      </w:r>
      <w:r w:rsidRPr="00C24125">
        <w:rPr>
          <w:rFonts w:cs="Times New Roman"/>
        </w:rPr>
        <w:t xml:space="preserve">, 2013 ONCA 34, 296 C.C.C. (3d) 193, </w:t>
      </w:r>
      <w:r w:rsidR="005818F1">
        <w:rPr>
          <w:rFonts w:cs="Times New Roman"/>
        </w:rPr>
        <w:t>at para. </w:t>
      </w:r>
      <w:r w:rsidR="00D169EA">
        <w:rPr>
          <w:rFonts w:cs="Times New Roman"/>
        </w:rPr>
        <w:t xml:space="preserve">24). </w:t>
      </w:r>
      <w:r w:rsidRPr="00C24125">
        <w:rPr>
          <w:rFonts w:cs="Times New Roman"/>
        </w:rPr>
        <w:t xml:space="preserve">It is also consistent with this Court’s observation in </w:t>
      </w:r>
      <w:r w:rsidRPr="00C24125">
        <w:rPr>
          <w:rFonts w:cs="Times New Roman"/>
          <w:i/>
        </w:rPr>
        <w:t xml:space="preserve">Lavigne </w:t>
      </w:r>
      <w:r w:rsidRPr="00C24125">
        <w:rPr>
          <w:rFonts w:cs="Times New Roman"/>
        </w:rPr>
        <w:t>that the proceeds of crime provisions apply to “the widest pos</w:t>
      </w:r>
      <w:r w:rsidR="005818F1">
        <w:rPr>
          <w:rFonts w:cs="Times New Roman"/>
        </w:rPr>
        <w:t>sible range of property” (para. </w:t>
      </w:r>
      <w:r w:rsidRPr="00C24125">
        <w:rPr>
          <w:rFonts w:cs="Times New Roman"/>
        </w:rPr>
        <w:t>15).</w:t>
      </w:r>
    </w:p>
    <w:p w:rsidR="00072E7F" w:rsidRPr="00C24125" w:rsidRDefault="00072E7F" w:rsidP="00072E7F">
      <w:pPr>
        <w:pStyle w:val="ParaNoNdepar-AltN"/>
        <w:rPr>
          <w:rFonts w:cs="Times New Roman"/>
        </w:rPr>
      </w:pPr>
      <w:r w:rsidRPr="00C24125">
        <w:rPr>
          <w:rFonts w:cs="Times New Roman"/>
        </w:rPr>
        <w:t xml:space="preserve">This conclusion also finds support in academic commentary. As the authors of </w:t>
      </w:r>
      <w:r w:rsidRPr="00C24125">
        <w:rPr>
          <w:rFonts w:cs="Times New Roman"/>
          <w:i/>
        </w:rPr>
        <w:t xml:space="preserve">Drug Offences in Canada </w:t>
      </w:r>
      <w:r w:rsidRPr="00C24125">
        <w:rPr>
          <w:rFonts w:cs="Times New Roman"/>
        </w:rPr>
        <w:t>write:</w:t>
      </w:r>
    </w:p>
    <w:p w:rsidR="00072E7F" w:rsidRPr="00C24125" w:rsidRDefault="00072E7F" w:rsidP="00072E7F">
      <w:pPr>
        <w:pStyle w:val="Citation-AltC"/>
      </w:pPr>
      <w:r w:rsidRPr="00C24125">
        <w:lastRenderedPageBreak/>
        <w:t>Property of an offender that has been seized or restrained is the offender’s property until it is ordered forfeited. If an offender brings an application under s. 462.34, a judge may order that all or part of the seized property be “returned” to the applicant, or may vary or revoke the restraint order, for the purpose of paying his or her reasonable legal expenses (s.</w:t>
      </w:r>
      <w:r w:rsidR="00C05826">
        <w:t> </w:t>
      </w:r>
      <w:r w:rsidRPr="00C24125">
        <w:t>462.34(4)(</w:t>
      </w:r>
      <w:r w:rsidRPr="00C24125">
        <w:rPr>
          <w:i/>
          <w:iCs/>
        </w:rPr>
        <w:t>c</w:t>
      </w:r>
      <w:r w:rsidRPr="00C24125">
        <w:t xml:space="preserve">)). The funds remain the property of the offender, even after they are released for that purpose. </w:t>
      </w:r>
    </w:p>
    <w:p w:rsidR="00072E7F" w:rsidRPr="00C24125" w:rsidRDefault="00072E7F" w:rsidP="00072E7F">
      <w:pPr>
        <w:pStyle w:val="Citation-AltC"/>
      </w:pPr>
    </w:p>
    <w:p w:rsidR="00072E7F" w:rsidRPr="00C24125" w:rsidRDefault="00072E7F" w:rsidP="00597860">
      <w:pPr>
        <w:pStyle w:val="Citation-AltC"/>
        <w:ind w:left="0"/>
      </w:pPr>
      <w:r w:rsidRPr="00C24125">
        <w:t xml:space="preserve">(B. A. MacFarlane, R. J. Frater and C. Michaelson, </w:t>
      </w:r>
      <w:r w:rsidRPr="00C24125">
        <w:rPr>
          <w:i/>
        </w:rPr>
        <w:t>Drug Offences in Canada</w:t>
      </w:r>
      <w:r w:rsidRPr="00C24125">
        <w:t xml:space="preserve"> (4th ed. (loose-leaf)), at § 14:180.40.120)</w:t>
      </w:r>
    </w:p>
    <w:p w:rsidR="00072E7F" w:rsidRPr="00C24125" w:rsidRDefault="00072E7F" w:rsidP="00072E7F">
      <w:pPr>
        <w:pStyle w:val="ParaNoNdepar-AltN"/>
        <w:rPr>
          <w:rFonts w:cs="Times New Roman"/>
        </w:rPr>
      </w:pPr>
      <w:r w:rsidRPr="00C24125">
        <w:rPr>
          <w:rFonts w:cs="Times New Roman"/>
        </w:rPr>
        <w:t xml:space="preserve">Further, to accept that a transfer to a third party strips the property of its status as “property of an offender”, thereby placing it beyond the reach of the proceeds of crime regime, would be to ignore that the act of transferring the property to a third party is the very rationale for imposing a fine in lieu in the first place (s. 462.37(3)(b)). This reasoning would transform a rationale for imposing a fine into a rationale for </w:t>
      </w:r>
      <w:r w:rsidRPr="00C24125">
        <w:rPr>
          <w:rFonts w:cs="Times New Roman"/>
          <w:i/>
        </w:rPr>
        <w:t xml:space="preserve">not </w:t>
      </w:r>
      <w:r w:rsidRPr="00C24125">
        <w:rPr>
          <w:rFonts w:cs="Times New Roman"/>
        </w:rPr>
        <w:t xml:space="preserve">imposing a fine, contrary to this Court’s statement in </w:t>
      </w:r>
      <w:r w:rsidRPr="00C24125">
        <w:rPr>
          <w:rFonts w:cs="Times New Roman"/>
          <w:i/>
        </w:rPr>
        <w:t>Lavigne</w:t>
      </w:r>
      <w:r w:rsidRPr="00C24125">
        <w:rPr>
          <w:rFonts w:cs="Times New Roman"/>
        </w:rPr>
        <w:t xml:space="preserve"> that courts “cannot transform circumstances in which a fine may be ordered instead of forfeiture into circumstances that justify not imposing a fine” (para. 24).</w:t>
      </w:r>
      <w:r w:rsidRPr="00C24125">
        <w:rPr>
          <w:rFonts w:eastAsia="Times New Roman" w:cs="Times New Roman"/>
          <w:szCs w:val="24"/>
          <w:lang w:eastAsia="en-CA"/>
        </w:rPr>
        <w:t xml:space="preserve"> More pointedly, it would make it impossible to impose a fine in lieu where the offender has transferred the property to a third party, thereby blowing a hole in the forfeiture regime and undermining its effectiveness.</w:t>
      </w:r>
    </w:p>
    <w:p w:rsidR="00072E7F" w:rsidRPr="00C24125" w:rsidRDefault="00072E7F" w:rsidP="00072E7F">
      <w:pPr>
        <w:pStyle w:val="ParaNoNdepar-AltN"/>
        <w:rPr>
          <w:rFonts w:cs="Times New Roman"/>
        </w:rPr>
      </w:pPr>
      <w:r w:rsidRPr="00C24125">
        <w:rPr>
          <w:rFonts w:cs="Times New Roman"/>
        </w:rPr>
        <w:t>In addition, that proceeds of crime have been released to an offender pursuant to a court order does nothing to change the fact that the property was “obtained or derived directly or indirectly as a result of” the commission of a designated offence. As such, the property retains its character as “proceeds of crime” under s. 462.3(1).</w:t>
      </w:r>
    </w:p>
    <w:p w:rsidR="00072E7F" w:rsidRPr="00C24125" w:rsidRDefault="00072E7F" w:rsidP="00072E7F">
      <w:pPr>
        <w:pStyle w:val="ParaNoNdepar-AltN"/>
        <w:rPr>
          <w:rFonts w:cs="Times New Roman"/>
        </w:rPr>
      </w:pPr>
      <w:r w:rsidRPr="00C24125">
        <w:rPr>
          <w:rFonts w:cs="Times New Roman"/>
        </w:rPr>
        <w:lastRenderedPageBreak/>
        <w:t>For these reasons, I conclude that seized funds that have been released to an offender and then transferred to a lawyer remain “property of an offender” for pu</w:t>
      </w:r>
      <w:r w:rsidR="009705BF">
        <w:rPr>
          <w:rFonts w:cs="Times New Roman"/>
        </w:rPr>
        <w:t>rposes of s. 462.37(3).</w:t>
      </w:r>
    </w:p>
    <w:p w:rsidR="00072E7F" w:rsidRPr="00C24125" w:rsidRDefault="00072E7F" w:rsidP="00072E7F">
      <w:pPr>
        <w:pStyle w:val="Title3LevelTitre3Niveau"/>
        <w:jc w:val="both"/>
        <w:rPr>
          <w:rFonts w:cs="Times New Roman"/>
        </w:rPr>
      </w:pPr>
      <w:r w:rsidRPr="00C24125">
        <w:rPr>
          <w:rFonts w:cs="Times New Roman"/>
        </w:rPr>
        <w:t>A Transfer of Released Funds to a Lawyer Is a “Transfe</w:t>
      </w:r>
      <w:r w:rsidR="00EB5B23">
        <w:rPr>
          <w:rFonts w:cs="Times New Roman"/>
        </w:rPr>
        <w:t>[</w:t>
      </w:r>
      <w:r w:rsidRPr="00C24125">
        <w:rPr>
          <w:rFonts w:cs="Times New Roman"/>
        </w:rPr>
        <w:t>r</w:t>
      </w:r>
      <w:r w:rsidR="00EB5B23">
        <w:rPr>
          <w:rFonts w:cs="Times New Roman"/>
        </w:rPr>
        <w:t>]</w:t>
      </w:r>
      <w:r w:rsidRPr="00C24125">
        <w:rPr>
          <w:rFonts w:cs="Times New Roman"/>
        </w:rPr>
        <w:t xml:space="preserve"> to a Third Party” Under Section 462.37(3)(b)</w:t>
      </w:r>
    </w:p>
    <w:p w:rsidR="00072E7F" w:rsidRPr="00C24125" w:rsidRDefault="00072E7F" w:rsidP="00072E7F">
      <w:pPr>
        <w:pStyle w:val="ParaNoNdepar-AltN"/>
        <w:rPr>
          <w:rFonts w:cs="Times New Roman"/>
        </w:rPr>
      </w:pPr>
      <w:r w:rsidRPr="00C24125">
        <w:rPr>
          <w:rFonts w:cs="Times New Roman"/>
        </w:rPr>
        <w:t>A further issue is whether a judicially authorized transfer of released funds to a lawyer is a “transfe</w:t>
      </w:r>
      <w:r w:rsidR="00634241">
        <w:rPr>
          <w:rFonts w:cs="Times New Roman"/>
        </w:rPr>
        <w:t>[</w:t>
      </w:r>
      <w:r w:rsidRPr="00C24125">
        <w:rPr>
          <w:rFonts w:cs="Times New Roman"/>
        </w:rPr>
        <w:t>r</w:t>
      </w:r>
      <w:r w:rsidR="00634241">
        <w:rPr>
          <w:rFonts w:cs="Times New Roman"/>
        </w:rPr>
        <w:t>]</w:t>
      </w:r>
      <w:r w:rsidRPr="00C24125">
        <w:rPr>
          <w:rFonts w:cs="Times New Roman"/>
        </w:rPr>
        <w:t xml:space="preserve"> to a third party” under s. 462.37(3)(b). As I will explain, it clearly is.</w:t>
      </w:r>
    </w:p>
    <w:p w:rsidR="00072E7F" w:rsidRPr="00C24125" w:rsidRDefault="00072E7F" w:rsidP="00072E7F">
      <w:pPr>
        <w:pStyle w:val="ParaNoNdepar-AltN"/>
        <w:rPr>
          <w:rFonts w:cs="Times New Roman"/>
        </w:rPr>
      </w:pPr>
      <w:r w:rsidRPr="00C24125">
        <w:rPr>
          <w:rFonts w:cs="Times New Roman"/>
        </w:rPr>
        <w:t xml:space="preserve">Section 462.37(3) provides that where a court is satisfied that a forfeiture order should be made, but the property “cannot be made subject to an order [of forfeiture]”, it may impose a fine in lieu. This language, which is followed by a non-exhaustive list of example circumstances where property “cannot be made subject to an order [of forfeiture]” (see </w:t>
      </w:r>
      <w:r w:rsidRPr="00C24125">
        <w:rPr>
          <w:rFonts w:cs="Times New Roman"/>
          <w:i/>
        </w:rPr>
        <w:t>Lavigne</w:t>
      </w:r>
      <w:r w:rsidRPr="00C24125">
        <w:rPr>
          <w:rFonts w:cs="Times New Roman"/>
        </w:rPr>
        <w:t xml:space="preserve">, at para. 24), is broad. As one author points out, it “does not distinguish between innocent transfers and those intended to defeat forfeiture” (German, § 9.6(a.3) (footnote omitted)). In fact, two attempts were made to amend s. 462.37(3) during committee proceedings on Bill C-61, the legislation that introduced Part XII.2, to require that an offender must have wilfully attempted to avoid a forfeiture order before a fine in lieu may be imposed. But both proposed amendments were defeated (see House of Commons, </w:t>
      </w:r>
      <w:r w:rsidRPr="00C24125">
        <w:rPr>
          <w:rFonts w:cs="Times New Roman"/>
          <w:i/>
        </w:rPr>
        <w:t xml:space="preserve">Minutes of Proceedings and Evidence of the Legislative Committee on Bill C-61: An Act to amend the Criminal Code, the Food and </w:t>
      </w:r>
      <w:r w:rsidRPr="00C24125">
        <w:rPr>
          <w:rFonts w:cs="Times New Roman"/>
          <w:i/>
        </w:rPr>
        <w:lastRenderedPageBreak/>
        <w:t>Drugs Act and the Narcotic Act</w:t>
      </w:r>
      <w:r w:rsidRPr="00C24125">
        <w:rPr>
          <w:rFonts w:cs="Times New Roman"/>
        </w:rPr>
        <w:t>, No. 1, 2nd Sess., 33rd Parl., June 1, 1988, at pp. 9:22-9:24; June 2, 1988, at pp. 10:17-10:18).</w:t>
      </w:r>
    </w:p>
    <w:p w:rsidR="00072E7F" w:rsidRPr="00C24125" w:rsidRDefault="00072E7F" w:rsidP="00072E7F">
      <w:pPr>
        <w:pStyle w:val="ParaNoNdepar-AltN"/>
        <w:rPr>
          <w:rFonts w:cs="Times New Roman"/>
        </w:rPr>
      </w:pPr>
      <w:r w:rsidRPr="00C24125">
        <w:rPr>
          <w:rFonts w:cs="Times New Roman"/>
        </w:rPr>
        <w:t xml:space="preserve">Section 462.37(3)(b) contemplates the imposition of a fine in lieu where any property that would otherwise be subject to forfeiture “has been transferred to a third party”. Parliament could have limited the class of transfers caught by this provision. For example, it could have referred to situations in which the property “has been transferred to a third party, </w:t>
      </w:r>
      <w:r w:rsidRPr="00C24125">
        <w:rPr>
          <w:rFonts w:cs="Times New Roman"/>
          <w:u w:val="single"/>
        </w:rPr>
        <w:t>other than a lawyer</w:t>
      </w:r>
      <w:r w:rsidRPr="00C24125">
        <w:rPr>
          <w:rFonts w:cs="Times New Roman"/>
        </w:rPr>
        <w:t xml:space="preserve">” or to situations in which the property “has been transferred to a third party, </w:t>
      </w:r>
      <w:r w:rsidRPr="00C24125">
        <w:rPr>
          <w:rFonts w:cs="Times New Roman"/>
          <w:u w:val="single"/>
        </w:rPr>
        <w:t>except where authorized by court order under s. 462.34(4)(c)</w:t>
      </w:r>
      <w:r w:rsidRPr="00C24125">
        <w:rPr>
          <w:rFonts w:cs="Times New Roman"/>
        </w:rPr>
        <w:t>”, thereby creating a safe harbour for such transfers. But it did not. In the absence of any such limiting language, the grammatical and ordinary sense of “transfer” — to move a thing from one place to another — must prevail.</w:t>
      </w:r>
    </w:p>
    <w:p w:rsidR="00072E7F" w:rsidRPr="00C24125" w:rsidRDefault="00072E7F" w:rsidP="00072E7F">
      <w:pPr>
        <w:pStyle w:val="ParaNoNdepar-AltN"/>
        <w:rPr>
          <w:rFonts w:cs="Times New Roman"/>
        </w:rPr>
      </w:pPr>
      <w:r w:rsidRPr="00C24125">
        <w:rPr>
          <w:rFonts w:cs="Times New Roman"/>
        </w:rPr>
        <w:t>The weight of appellate jurisprudence favours the conclusion that a judicially authorized transfer of released funds to a lawyer is a “transfe</w:t>
      </w:r>
      <w:r w:rsidR="00620A1C">
        <w:rPr>
          <w:rFonts w:cs="Times New Roman"/>
        </w:rPr>
        <w:t>[</w:t>
      </w:r>
      <w:r w:rsidRPr="00C24125">
        <w:rPr>
          <w:rFonts w:cs="Times New Roman"/>
        </w:rPr>
        <w:t>r</w:t>
      </w:r>
      <w:r w:rsidR="00620A1C">
        <w:rPr>
          <w:rFonts w:cs="Times New Roman"/>
        </w:rPr>
        <w:t>]</w:t>
      </w:r>
      <w:r w:rsidRPr="00C24125">
        <w:rPr>
          <w:rFonts w:cs="Times New Roman"/>
        </w:rPr>
        <w:t xml:space="preserve"> to a third party” under s. 462.37(3)(b) and may give rise to a fine in lieu (see, e.g., </w:t>
      </w:r>
      <w:r w:rsidRPr="00C24125">
        <w:rPr>
          <w:rFonts w:cs="Times New Roman"/>
          <w:i/>
        </w:rPr>
        <w:t xml:space="preserve">R. v. Wilson </w:t>
      </w:r>
      <w:r w:rsidRPr="00C24125">
        <w:rPr>
          <w:rFonts w:cs="Times New Roman"/>
        </w:rPr>
        <w:t xml:space="preserve">(1993), 15 O.R. (3d) 645 (C.A.); </w:t>
      </w:r>
      <w:r w:rsidRPr="00C24125">
        <w:rPr>
          <w:rFonts w:cs="Times New Roman"/>
          <w:i/>
        </w:rPr>
        <w:t>R. v. MacLean</w:t>
      </w:r>
      <w:r w:rsidRPr="00C24125">
        <w:rPr>
          <w:rFonts w:cs="Times New Roman"/>
        </w:rPr>
        <w:t xml:space="preserve"> (1996), 184 N.B.R. (2d) 26 (C.A.); </w:t>
      </w:r>
      <w:r w:rsidRPr="00C24125">
        <w:rPr>
          <w:rFonts w:cs="Times New Roman"/>
          <w:i/>
        </w:rPr>
        <w:t>R. v. Smith</w:t>
      </w:r>
      <w:r w:rsidRPr="00C24125">
        <w:rPr>
          <w:rFonts w:cs="Times New Roman"/>
        </w:rPr>
        <w:t xml:space="preserve">, 2008 SKCA 20, 307 Sask. R. 45 </w:t>
      </w:r>
      <w:r w:rsidR="009A44D8">
        <w:rPr>
          <w:rFonts w:cs="Times New Roman"/>
        </w:rPr>
        <w:t>(</w:t>
      </w:r>
      <w:r w:rsidRPr="00C24125">
        <w:rPr>
          <w:rFonts w:cs="Times New Roman"/>
        </w:rPr>
        <w:t>“</w:t>
      </w:r>
      <w:r w:rsidRPr="00C24125">
        <w:rPr>
          <w:rFonts w:cs="Times New Roman"/>
          <w:i/>
        </w:rPr>
        <w:t>Smith</w:t>
      </w:r>
      <w:r w:rsidRPr="00C24125">
        <w:rPr>
          <w:rFonts w:cs="Times New Roman"/>
        </w:rPr>
        <w:t>”</w:t>
      </w:r>
      <w:r w:rsidR="009A44D8">
        <w:rPr>
          <w:rFonts w:cs="Times New Roman"/>
        </w:rPr>
        <w:t>)</w:t>
      </w:r>
      <w:r w:rsidRPr="00C24125">
        <w:rPr>
          <w:rFonts w:cs="Times New Roman"/>
        </w:rPr>
        <w:t xml:space="preserve">). The only outlier is </w:t>
      </w:r>
      <w:r w:rsidRPr="00C24125">
        <w:rPr>
          <w:rFonts w:cs="Times New Roman"/>
          <w:i/>
        </w:rPr>
        <w:t>Appleby</w:t>
      </w:r>
      <w:r w:rsidRPr="00C24125">
        <w:rPr>
          <w:rFonts w:cs="Times New Roman"/>
        </w:rPr>
        <w:t>, which, for reasons I have already explained, is undermined by an erroneous interpretation of the words “property of an offender” in s. 462.37(3)(b).</w:t>
      </w:r>
    </w:p>
    <w:p w:rsidR="00072E7F" w:rsidRPr="00C24125" w:rsidRDefault="00072E7F" w:rsidP="00072E7F">
      <w:pPr>
        <w:pStyle w:val="ParaNoNdepar-AltN"/>
        <w:rPr>
          <w:rFonts w:cs="Times New Roman"/>
        </w:rPr>
      </w:pPr>
      <w:r w:rsidRPr="00C24125">
        <w:rPr>
          <w:rFonts w:cs="Times New Roman"/>
        </w:rPr>
        <w:t xml:space="preserve">As for my colleague’s insistence that a judicially authorized transfer of released funds to a lawyer is not “thematically analogous” to any of the examples listed in s. 462.37(3) because it bears the court’s stamp of approval (paras. 72-73), this </w:t>
      </w:r>
      <w:r w:rsidRPr="00C24125">
        <w:rPr>
          <w:rFonts w:cs="Times New Roman"/>
        </w:rPr>
        <w:lastRenderedPageBreak/>
        <w:t xml:space="preserve">reasoning must be rejected. The consistent “theme” running through these examples is that the </w:t>
      </w:r>
      <w:r w:rsidRPr="00C24125">
        <w:rPr>
          <w:rFonts w:cs="Times New Roman"/>
          <w:lang w:val="en-US"/>
        </w:rPr>
        <w:t xml:space="preserve">property cannot be made subject to a forfeiture order (see </w:t>
      </w:r>
      <w:r w:rsidRPr="00C24125">
        <w:rPr>
          <w:rFonts w:cs="Times New Roman"/>
          <w:i/>
          <w:lang w:val="en-US"/>
        </w:rPr>
        <w:t>Lavigne</w:t>
      </w:r>
      <w:r w:rsidRPr="00C24125">
        <w:rPr>
          <w:rFonts w:cs="Times New Roman"/>
          <w:lang w:val="en-US"/>
        </w:rPr>
        <w:t xml:space="preserve">, at paras. 23 and 32). It is that simple. A judicially authorized transfer of released funds to a lawyer — a third party — fits comfortably within this “theme”, as a court </w:t>
      </w:r>
      <w:r w:rsidRPr="00C24125">
        <w:rPr>
          <w:rFonts w:cs="Times New Roman"/>
        </w:rPr>
        <w:t>has no ability to reach into the pockets of a lawyer who lawfully came into possession of the funds. This is consistent with s. 462.34(7), which shields third parties who come into possession of released property from being charged with certain proceeds of crime offences.</w:t>
      </w:r>
    </w:p>
    <w:p w:rsidR="00072E7F" w:rsidRPr="00C24125" w:rsidRDefault="00072E7F" w:rsidP="00072E7F">
      <w:pPr>
        <w:pStyle w:val="ParaNoNdepar-AltN"/>
        <w:rPr>
          <w:rFonts w:cs="Times New Roman"/>
        </w:rPr>
      </w:pPr>
      <w:r w:rsidRPr="00C24125">
        <w:rPr>
          <w:rFonts w:cs="Times New Roman"/>
        </w:rPr>
        <w:t xml:space="preserve">In my view, the mere fact that a court has given its blessing to the release of seized funds to pay for reasonable legal expenses does not offer a sound basis for declining to impose a fine in lieu. This view is shared by the authors of </w:t>
      </w:r>
      <w:r w:rsidRPr="00C24125">
        <w:rPr>
          <w:rFonts w:cs="Times New Roman"/>
          <w:i/>
        </w:rPr>
        <w:t>Drug Offences in Canada</w:t>
      </w:r>
      <w:r w:rsidRPr="00C24125">
        <w:rPr>
          <w:rFonts w:cs="Times New Roman"/>
        </w:rPr>
        <w:t>, who</w:t>
      </w:r>
      <w:r w:rsidRPr="00C24125">
        <w:rPr>
          <w:rFonts w:cs="Times New Roman"/>
          <w:i/>
        </w:rPr>
        <w:t xml:space="preserve"> </w:t>
      </w:r>
      <w:r w:rsidR="00AF5935">
        <w:rPr>
          <w:rFonts w:cs="Times New Roman"/>
        </w:rPr>
        <w:t>write: “[i]</w:t>
      </w:r>
      <w:r w:rsidR="005F7BA0">
        <w:rPr>
          <w:rFonts w:cs="Times New Roman"/>
        </w:rPr>
        <w:t>t strains the meaning of ss. </w:t>
      </w:r>
      <w:r w:rsidRPr="00C24125">
        <w:rPr>
          <w:rFonts w:cs="Times New Roman"/>
        </w:rPr>
        <w:t>462.34 and 462.37(3)(</w:t>
      </w:r>
      <w:r w:rsidRPr="00C24125">
        <w:rPr>
          <w:rFonts w:cs="Times New Roman"/>
          <w:i/>
          <w:iCs/>
        </w:rPr>
        <w:t>b</w:t>
      </w:r>
      <w:r w:rsidRPr="00C24125">
        <w:rPr>
          <w:rFonts w:cs="Times New Roman"/>
        </w:rPr>
        <w:t>) to suggest that, just because the transfer has occurred with the imprimatur of a judicial official, a fine in lieu of forfeiture cannot be ordered” (MacFarlane, Frater and M</w:t>
      </w:r>
      <w:r w:rsidR="005F7BA0">
        <w:rPr>
          <w:rFonts w:cs="Times New Roman"/>
        </w:rPr>
        <w:t>ichaelson, at § </w:t>
      </w:r>
      <w:r w:rsidR="00AF5935">
        <w:rPr>
          <w:rFonts w:cs="Times New Roman"/>
        </w:rPr>
        <w:t>14:180.40.120).</w:t>
      </w:r>
    </w:p>
    <w:p w:rsidR="00072E7F" w:rsidRPr="00C24125" w:rsidRDefault="00072E7F" w:rsidP="00072E7F">
      <w:pPr>
        <w:pStyle w:val="ParaNoNdepar-AltN"/>
        <w:rPr>
          <w:rFonts w:cs="Times New Roman"/>
        </w:rPr>
      </w:pPr>
      <w:r w:rsidRPr="00C24125">
        <w:rPr>
          <w:rFonts w:cs="Times New Roman"/>
        </w:rPr>
        <w:t>In sum, I conclude that a judicially authorized transfer of released funds to a lawyer is a “tran</w:t>
      </w:r>
      <w:r w:rsidR="00012D67">
        <w:rPr>
          <w:rFonts w:cs="Times New Roman"/>
        </w:rPr>
        <w:t>sfe</w:t>
      </w:r>
      <w:r w:rsidR="005E0591">
        <w:rPr>
          <w:rFonts w:cs="Times New Roman"/>
        </w:rPr>
        <w:t>[</w:t>
      </w:r>
      <w:r w:rsidR="00012D67">
        <w:rPr>
          <w:rFonts w:cs="Times New Roman"/>
        </w:rPr>
        <w:t>r</w:t>
      </w:r>
      <w:r w:rsidR="005E0591">
        <w:rPr>
          <w:rFonts w:cs="Times New Roman"/>
        </w:rPr>
        <w:t>]</w:t>
      </w:r>
      <w:r w:rsidR="00012D67">
        <w:rPr>
          <w:rFonts w:cs="Times New Roman"/>
        </w:rPr>
        <w:t xml:space="preserve"> to a third party” under s. </w:t>
      </w:r>
      <w:r w:rsidRPr="00C24125">
        <w:rPr>
          <w:rFonts w:cs="Times New Roman"/>
        </w:rPr>
        <w:t>462.37(3)(b). As such, a sentencing judge may impose a fine in lieu in respect of such funds. But this conclusion does not end the analysis. While it opens the door to a fine in lieu, it will not always be appropriate for sentencing judges to walk through that door. In particular, as I will develop, the constitutionally protected right to state-funded counsel in limited circumstances may require otherwise.</w:t>
      </w:r>
    </w:p>
    <w:p w:rsidR="00072E7F" w:rsidRPr="00C24125" w:rsidRDefault="00072E7F" w:rsidP="00072E7F">
      <w:pPr>
        <w:pStyle w:val="Title3LevelTitre3Niveau"/>
        <w:jc w:val="both"/>
        <w:rPr>
          <w:rFonts w:cs="Times New Roman"/>
        </w:rPr>
      </w:pPr>
      <w:r w:rsidRPr="00C24125">
        <w:rPr>
          <w:rFonts w:cs="Times New Roman"/>
        </w:rPr>
        <w:lastRenderedPageBreak/>
        <w:t xml:space="preserve">The Limited Discretion Not to Impose a Fine in Lieu </w:t>
      </w:r>
    </w:p>
    <w:p w:rsidR="00072E7F" w:rsidRPr="00C24125" w:rsidRDefault="00072E7F" w:rsidP="00072E7F">
      <w:pPr>
        <w:pStyle w:val="Title4LevelTitre4Niveau"/>
        <w:tabs>
          <w:tab w:val="clear" w:pos="900"/>
        </w:tabs>
        <w:jc w:val="both"/>
        <w:rPr>
          <w:rFonts w:cs="Times New Roman"/>
        </w:rPr>
      </w:pPr>
      <w:r w:rsidRPr="00C24125">
        <w:rPr>
          <w:rFonts w:cs="Times New Roman"/>
        </w:rPr>
        <w:t>The Discretion Not to Impose a Fine in Lieu Should Be Exercised Where Legal Representation Was Essential to the Offender’s Right to a Fair Trial Under Sections 7 and 11(d) of the Charter</w:t>
      </w:r>
    </w:p>
    <w:p w:rsidR="00072E7F" w:rsidRPr="00C24125" w:rsidRDefault="00C82A6E" w:rsidP="00072E7F">
      <w:pPr>
        <w:pStyle w:val="ParaNoNdepar-AltN"/>
        <w:rPr>
          <w:rFonts w:cs="Times New Roman"/>
        </w:rPr>
      </w:pPr>
      <w:r>
        <w:rPr>
          <w:rFonts w:cs="Times New Roman"/>
        </w:rPr>
        <w:t>As indicated, s. </w:t>
      </w:r>
      <w:r w:rsidR="00072E7F" w:rsidRPr="00C24125">
        <w:rPr>
          <w:rFonts w:cs="Times New Roman"/>
        </w:rPr>
        <w:t xml:space="preserve">462.37(3) provides that where a sentencing judge is satisfied that a forfeiture order should be made in respect of any property of an offender, but the property cannot be made subject to such an order, the judge “may” order a fine in lieu. This language is permissive and confers a “limited” discretion not to impose a fine (see </w:t>
      </w:r>
      <w:r w:rsidR="00072E7F" w:rsidRPr="00C24125">
        <w:rPr>
          <w:rFonts w:cs="Times New Roman"/>
          <w:i/>
        </w:rPr>
        <w:t>Lavigne</w:t>
      </w:r>
      <w:r w:rsidR="00072E7F" w:rsidRPr="00C24125">
        <w:rPr>
          <w:rFonts w:cs="Times New Roman"/>
        </w:rPr>
        <w:t xml:space="preserve">, at paras. 1, 23, 27, 29, 34, and 44). This discretion must be exercised in a manner consistent with the spirit of Part XII.2 as a whole (see </w:t>
      </w:r>
      <w:r w:rsidR="00072E7F" w:rsidRPr="00C24125">
        <w:rPr>
          <w:rFonts w:cs="Times New Roman"/>
          <w:i/>
        </w:rPr>
        <w:t>ibid.</w:t>
      </w:r>
      <w:r w:rsidR="00072E7F" w:rsidRPr="00C24125">
        <w:rPr>
          <w:rFonts w:cs="Times New Roman"/>
        </w:rPr>
        <w:t>,</w:t>
      </w:r>
      <w:r w:rsidR="00072E7F" w:rsidRPr="00C24125">
        <w:rPr>
          <w:rFonts w:cs="Times New Roman"/>
          <w:i/>
        </w:rPr>
        <w:t xml:space="preserve"> </w:t>
      </w:r>
      <w:r w:rsidR="00072E7F" w:rsidRPr="00C24125">
        <w:rPr>
          <w:rFonts w:cs="Times New Roman"/>
        </w:rPr>
        <w:t>at para. 28).</w:t>
      </w:r>
    </w:p>
    <w:p w:rsidR="00072E7F" w:rsidRPr="00C24125" w:rsidRDefault="00072E7F" w:rsidP="00072E7F">
      <w:pPr>
        <w:pStyle w:val="ParaNoNdepar-AltN"/>
        <w:rPr>
          <w:rFonts w:cs="Times New Roman"/>
        </w:rPr>
      </w:pPr>
      <w:r w:rsidRPr="00C24125">
        <w:rPr>
          <w:rFonts w:cs="Times New Roman"/>
        </w:rPr>
        <w:t xml:space="preserve">As the debates leading up to the enactment of the proceeds of crime regime reveal, Part XII.2 seeks to balance the need to ensure an effective forfeiture regime and the “constitutionally protected right to counsel”. To properly understand this balance, however, it is first necessary to examine what the constitutionally protected right to counsel does — and </w:t>
      </w:r>
      <w:r w:rsidRPr="00C24125">
        <w:rPr>
          <w:rFonts w:cs="Times New Roman"/>
          <w:i/>
        </w:rPr>
        <w:t>does not</w:t>
      </w:r>
      <w:r w:rsidRPr="00C24125">
        <w:rPr>
          <w:rFonts w:cs="Times New Roman"/>
        </w:rPr>
        <w:t xml:space="preserve"> — entail.</w:t>
      </w:r>
    </w:p>
    <w:p w:rsidR="00072E7F" w:rsidRPr="00C24125" w:rsidRDefault="00072E7F" w:rsidP="00072E7F">
      <w:pPr>
        <w:pStyle w:val="ParaNoNdepar-AltN"/>
        <w:rPr>
          <w:rFonts w:cs="Times New Roman"/>
        </w:rPr>
      </w:pPr>
      <w:r w:rsidRPr="00C24125">
        <w:rPr>
          <w:rFonts w:cs="Times New Roman"/>
        </w:rPr>
        <w:t>Under s. 10(</w:t>
      </w:r>
      <w:r w:rsidRPr="00C24125">
        <w:rPr>
          <w:rFonts w:cs="Times New Roman"/>
          <w:i/>
        </w:rPr>
        <w:t>b</w:t>
      </w:r>
      <w:r w:rsidRPr="00C24125">
        <w:rPr>
          <w:rFonts w:cs="Times New Roman"/>
        </w:rPr>
        <w:t xml:space="preserve">) of the </w:t>
      </w:r>
      <w:r w:rsidRPr="00C24125">
        <w:rPr>
          <w:rFonts w:cs="Times New Roman"/>
          <w:i/>
        </w:rPr>
        <w:t>Charter</w:t>
      </w:r>
      <w:r w:rsidRPr="00C24125">
        <w:rPr>
          <w:rFonts w:cs="Times New Roman"/>
        </w:rPr>
        <w:t>, “[e]veryone has the right on arrest or detention .</w:t>
      </w:r>
      <w:r w:rsidR="00255DF4">
        <w:rPr>
          <w:rFonts w:cs="Times New Roman"/>
        </w:rPr>
        <w:t> </w:t>
      </w:r>
      <w:r w:rsidRPr="00C24125">
        <w:rPr>
          <w:rFonts w:cs="Times New Roman"/>
        </w:rPr>
        <w:t>.</w:t>
      </w:r>
      <w:r w:rsidR="00255DF4">
        <w:rPr>
          <w:rFonts w:cs="Times New Roman"/>
        </w:rPr>
        <w:t> </w:t>
      </w:r>
      <w:r w:rsidRPr="00C24125">
        <w:rPr>
          <w:rFonts w:cs="Times New Roman"/>
        </w:rPr>
        <w:t xml:space="preserve">. to retain and instruct counsel without delay and to be informed of that right”. The purpose of this right is to provide arrestees and detainees with the opportunity, upon arrest or detention, to access legal advice relevant to their situation (see </w:t>
      </w:r>
      <w:r w:rsidRPr="00C24125">
        <w:rPr>
          <w:rFonts w:cs="Times New Roman"/>
          <w:i/>
        </w:rPr>
        <w:t>R. v. Sinclair</w:t>
      </w:r>
      <w:r w:rsidRPr="00C24125">
        <w:rPr>
          <w:rFonts w:cs="Times New Roman"/>
        </w:rPr>
        <w:t xml:space="preserve">, 2010 SCC 35, [2010] 2 S.C.R. 310, at paras. 24-26; </w:t>
      </w:r>
      <w:r w:rsidRPr="00C24125">
        <w:rPr>
          <w:rFonts w:cs="Times New Roman"/>
          <w:i/>
        </w:rPr>
        <w:t>R. v. Manninen</w:t>
      </w:r>
      <w:r w:rsidRPr="00C24125">
        <w:rPr>
          <w:rFonts w:cs="Times New Roman"/>
        </w:rPr>
        <w:t xml:space="preserve">, [1987] 1 S.C.R. 1233, at pp. 1242-43). </w:t>
      </w:r>
    </w:p>
    <w:p w:rsidR="00072E7F" w:rsidRPr="00C24125" w:rsidRDefault="00072E7F" w:rsidP="00072E7F">
      <w:pPr>
        <w:pStyle w:val="ParaNoNdepar-AltN"/>
        <w:rPr>
          <w:rFonts w:cs="Times New Roman"/>
        </w:rPr>
      </w:pPr>
      <w:r w:rsidRPr="00C24125">
        <w:rPr>
          <w:rFonts w:cs="Times New Roman"/>
        </w:rPr>
        <w:lastRenderedPageBreak/>
        <w:t xml:space="preserve">But as this Court noted in </w:t>
      </w:r>
      <w:r w:rsidRPr="00C24125">
        <w:rPr>
          <w:rFonts w:cs="Times New Roman"/>
          <w:i/>
        </w:rPr>
        <w:t>British Columbia (Attorney General) v. Christie</w:t>
      </w:r>
      <w:r w:rsidRPr="00C24125">
        <w:rPr>
          <w:rFonts w:cs="Times New Roman"/>
        </w:rPr>
        <w:t>, 2007 SCC 21, [2007] 1 S.C.R. 873, neither s. 10(</w:t>
      </w:r>
      <w:r w:rsidRPr="00C24125">
        <w:rPr>
          <w:rFonts w:cs="Times New Roman"/>
          <w:i/>
        </w:rPr>
        <w:t>b</w:t>
      </w:r>
      <w:r w:rsidRPr="00C24125">
        <w:rPr>
          <w:rFonts w:cs="Times New Roman"/>
        </w:rPr>
        <w:t xml:space="preserve">) nor any other </w:t>
      </w:r>
      <w:r w:rsidRPr="00C24125">
        <w:rPr>
          <w:rFonts w:cs="Times New Roman"/>
          <w:i/>
        </w:rPr>
        <w:t xml:space="preserve">Charter </w:t>
      </w:r>
      <w:r w:rsidRPr="00C24125">
        <w:rPr>
          <w:rFonts w:cs="Times New Roman"/>
        </w:rPr>
        <w:t>right postulates “a general rig</w:t>
      </w:r>
      <w:r w:rsidR="008D29CE">
        <w:rPr>
          <w:rFonts w:cs="Times New Roman"/>
        </w:rPr>
        <w:t>ht to legal assistance” (paras. </w:t>
      </w:r>
      <w:r w:rsidRPr="00C24125">
        <w:rPr>
          <w:rFonts w:cs="Times New Roman"/>
        </w:rPr>
        <w:t>24</w:t>
      </w:r>
      <w:r w:rsidR="008D29CE">
        <w:rPr>
          <w:rFonts w:cs="Times New Roman"/>
        </w:rPr>
        <w:t>-</w:t>
      </w:r>
      <w:r w:rsidRPr="00C24125">
        <w:rPr>
          <w:rFonts w:cs="Times New Roman"/>
        </w:rPr>
        <w:t>25). To be clear, s. 10(</w:t>
      </w:r>
      <w:r w:rsidRPr="00C24125">
        <w:rPr>
          <w:rFonts w:cs="Times New Roman"/>
          <w:i/>
        </w:rPr>
        <w:t>b</w:t>
      </w:r>
      <w:r w:rsidRPr="00C24125">
        <w:rPr>
          <w:rFonts w:cs="Times New Roman"/>
        </w:rPr>
        <w:t>) does not contemplate a general entitlement to legal representation throughout a criminal proceeding, much less representation paid for by the state. This is reinforced by the fact that s. 10(</w:t>
      </w:r>
      <w:r w:rsidRPr="00C24125">
        <w:rPr>
          <w:rFonts w:cs="Times New Roman"/>
          <w:i/>
        </w:rPr>
        <w:t>b</w:t>
      </w:r>
      <w:r w:rsidRPr="00C24125">
        <w:rPr>
          <w:rFonts w:cs="Times New Roman"/>
        </w:rPr>
        <w:t xml:space="preserve">)’s focus is fixed squarely at the time of “arrest or detention”. As this Court explained in </w:t>
      </w:r>
      <w:r w:rsidRPr="00C24125">
        <w:rPr>
          <w:rFonts w:cs="Times New Roman"/>
          <w:i/>
        </w:rPr>
        <w:t>Sinclair</w:t>
      </w:r>
      <w:r w:rsidRPr="00C24125">
        <w:rPr>
          <w:rFonts w:cs="Times New Roman"/>
        </w:rPr>
        <w:t>, s. 10(</w:t>
      </w:r>
      <w:r w:rsidRPr="00C24125">
        <w:rPr>
          <w:rFonts w:cs="Times New Roman"/>
          <w:i/>
        </w:rPr>
        <w:t>b</w:t>
      </w:r>
      <w:r w:rsidRPr="00C24125">
        <w:rPr>
          <w:rFonts w:cs="Times New Roman"/>
        </w:rPr>
        <w:t xml:space="preserve">) has consistently been defined “in terms of the right to consult counsel to obtain information and advice </w:t>
      </w:r>
      <w:r w:rsidRPr="00C24125">
        <w:rPr>
          <w:rFonts w:cs="Times New Roman"/>
          <w:u w:val="single"/>
        </w:rPr>
        <w:t>immediately upon detention</w:t>
      </w:r>
      <w:r w:rsidRPr="00C24125">
        <w:rPr>
          <w:rFonts w:cs="Times New Roman"/>
        </w:rPr>
        <w:t xml:space="preserve">”, not as providing a right to ongoing legal assistance thereafter (para. 31 (emphasis added); see also </w:t>
      </w:r>
      <w:r w:rsidRPr="00C24125">
        <w:rPr>
          <w:rFonts w:cs="Times New Roman"/>
          <w:i/>
        </w:rPr>
        <w:t>R. v. Willier</w:t>
      </w:r>
      <w:r w:rsidRPr="00C24125">
        <w:rPr>
          <w:rFonts w:cs="Times New Roman"/>
        </w:rPr>
        <w:t xml:space="preserve">, 2010 SCC 37, [2010] 2 S.C.R. 429, at para. 28). </w:t>
      </w:r>
    </w:p>
    <w:p w:rsidR="00072E7F" w:rsidRPr="00C24125" w:rsidRDefault="00072E7F" w:rsidP="00072E7F">
      <w:pPr>
        <w:pStyle w:val="ParaNoNdepar-AltN"/>
        <w:rPr>
          <w:rFonts w:cs="Times New Roman"/>
        </w:rPr>
      </w:pPr>
      <w:r w:rsidRPr="00C24125">
        <w:rPr>
          <w:rFonts w:cs="Times New Roman"/>
        </w:rPr>
        <w:t>My colleague hints at “a constitutional right of accused persons to spend their own money on legal counsel” (para. 50). Frankly, I have no idea what this means. For my part, the question is not whether accused persons can spend their own money on legal counsel — they clearly can, and they do not need a constitutional right to do so. Rather, the question is whether offenders who have secured the benefit of legal representation by using proceeds of crime — the unlawful possession of which constitutes a criminal offence (s. 354(1)) — are excused from having to pay back that benefit through a fine in lieu. Much as my colleague might wish it were otherwise, neither s. 10(</w:t>
      </w:r>
      <w:r w:rsidRPr="00C24125">
        <w:rPr>
          <w:rFonts w:cs="Times New Roman"/>
          <w:i/>
        </w:rPr>
        <w:t>b</w:t>
      </w:r>
      <w:r w:rsidRPr="00C24125">
        <w:rPr>
          <w:rFonts w:cs="Times New Roman"/>
        </w:rPr>
        <w:t xml:space="preserve">) nor any other section of the </w:t>
      </w:r>
      <w:r w:rsidRPr="00C24125">
        <w:rPr>
          <w:rFonts w:cs="Times New Roman"/>
          <w:i/>
        </w:rPr>
        <w:t>Charter</w:t>
      </w:r>
      <w:r w:rsidRPr="00C24125">
        <w:rPr>
          <w:rFonts w:cs="Times New Roman"/>
        </w:rPr>
        <w:t xml:space="preserve"> provides for a right to use proceeds of crime to pay for legal counsel without consequence. </w:t>
      </w:r>
    </w:p>
    <w:p w:rsidR="00072E7F" w:rsidRPr="00C24125" w:rsidRDefault="00072E7F" w:rsidP="00072E7F">
      <w:pPr>
        <w:pStyle w:val="ParaNoNdepar-AltN"/>
        <w:rPr>
          <w:rFonts w:cs="Times New Roman"/>
        </w:rPr>
      </w:pPr>
      <w:r w:rsidRPr="00C24125">
        <w:rPr>
          <w:rFonts w:cs="Times New Roman"/>
        </w:rPr>
        <w:lastRenderedPageBreak/>
        <w:t>The right to state-funded legal counsel in criminal proceedings does exist, but it is limited in scope and grounded in ss.</w:t>
      </w:r>
      <w:r w:rsidR="00092385">
        <w:rPr>
          <w:rFonts w:cs="Times New Roman"/>
        </w:rPr>
        <w:t> </w:t>
      </w:r>
      <w:r w:rsidRPr="00C24125">
        <w:rPr>
          <w:rFonts w:cs="Times New Roman"/>
        </w:rPr>
        <w:t>7 and 11(</w:t>
      </w:r>
      <w:r w:rsidRPr="00C24125">
        <w:rPr>
          <w:rFonts w:cs="Times New Roman"/>
          <w:i/>
        </w:rPr>
        <w:t>d</w:t>
      </w:r>
      <w:r w:rsidRPr="00C24125">
        <w:rPr>
          <w:rFonts w:cs="Times New Roman"/>
        </w:rPr>
        <w:t xml:space="preserve">) of the </w:t>
      </w:r>
      <w:r w:rsidRPr="00C24125">
        <w:rPr>
          <w:rFonts w:cs="Times New Roman"/>
          <w:i/>
        </w:rPr>
        <w:t>Charter</w:t>
      </w:r>
      <w:r w:rsidRPr="00C24125">
        <w:rPr>
          <w:rFonts w:cs="Times New Roman"/>
        </w:rPr>
        <w:t xml:space="preserve">. In </w:t>
      </w:r>
      <w:r w:rsidRPr="00C24125">
        <w:rPr>
          <w:rFonts w:cs="Times New Roman"/>
          <w:i/>
        </w:rPr>
        <w:t>Rowbotham</w:t>
      </w:r>
      <w:r w:rsidRPr="00C24125">
        <w:rPr>
          <w:rFonts w:cs="Times New Roman"/>
        </w:rPr>
        <w:t xml:space="preserve">, the Ontario Court of Appeal recognized a limited right to state-funded counsel where legal aid has been denied, the accused lacks other means, and representation by counsel is essential to the accused’s constitutional </w:t>
      </w:r>
      <w:r w:rsidR="00092385">
        <w:rPr>
          <w:rFonts w:cs="Times New Roman"/>
        </w:rPr>
        <w:t>right to a fair trial under ss. </w:t>
      </w:r>
      <w:r w:rsidRPr="00C24125">
        <w:rPr>
          <w:rFonts w:cs="Times New Roman"/>
        </w:rPr>
        <w:t>7 and 11(</w:t>
      </w:r>
      <w:r w:rsidRPr="00C24125">
        <w:rPr>
          <w:rFonts w:cs="Times New Roman"/>
          <w:i/>
        </w:rPr>
        <w:t>d</w:t>
      </w:r>
      <w:r w:rsidRPr="00C24125">
        <w:rPr>
          <w:rFonts w:cs="Times New Roman"/>
        </w:rPr>
        <w:t xml:space="preserve">) of the </w:t>
      </w:r>
      <w:r w:rsidRPr="00C24125">
        <w:rPr>
          <w:rFonts w:cs="Times New Roman"/>
          <w:i/>
        </w:rPr>
        <w:t>Charter</w:t>
      </w:r>
      <w:r w:rsidRPr="00C24125">
        <w:rPr>
          <w:rFonts w:cs="Times New Roman"/>
        </w:rPr>
        <w:t xml:space="preserve"> (see p</w:t>
      </w:r>
      <w:r w:rsidR="0088076B">
        <w:rPr>
          <w:rFonts w:cs="Times New Roman"/>
        </w:rPr>
        <w:t>p. 65-66 and 69-70</w:t>
      </w:r>
      <w:r w:rsidRPr="00C24125">
        <w:rPr>
          <w:rFonts w:cs="Times New Roman"/>
        </w:rPr>
        <w:t>). Where the application judge is satisfied that all three criteria are met</w:t>
      </w:r>
      <w:r w:rsidR="00092385">
        <w:rPr>
          <w:rFonts w:cs="Times New Roman"/>
        </w:rPr>
        <w:t>, he or she may, pursuant to s. </w:t>
      </w:r>
      <w:r w:rsidRPr="00C24125">
        <w:rPr>
          <w:rFonts w:cs="Times New Roman"/>
        </w:rPr>
        <w:t xml:space="preserve">24(1) of the </w:t>
      </w:r>
      <w:r w:rsidRPr="00C24125">
        <w:rPr>
          <w:rFonts w:cs="Times New Roman"/>
          <w:i/>
        </w:rPr>
        <w:t>Charter</w:t>
      </w:r>
      <w:r w:rsidRPr="00C24125">
        <w:rPr>
          <w:rFonts w:cs="Times New Roman"/>
        </w:rPr>
        <w:t>, stay the proceeding against the accused until the necessary</w:t>
      </w:r>
      <w:r w:rsidR="00092385">
        <w:rPr>
          <w:rFonts w:cs="Times New Roman"/>
        </w:rPr>
        <w:t xml:space="preserve"> funding is provided (see p. </w:t>
      </w:r>
      <w:r w:rsidR="00CC4C5E">
        <w:rPr>
          <w:rFonts w:cs="Times New Roman"/>
        </w:rPr>
        <w:t>69</w:t>
      </w:r>
      <w:r w:rsidRPr="00C24125">
        <w:rPr>
          <w:rFonts w:cs="Times New Roman"/>
        </w:rPr>
        <w:t>). This leaves the Crown with a choice: fund the defence, or see the proceeding stayed. On the other hand, if any of the criteria are not met (e.g., the accused is capable of handling the matter without the assistance of counsel), then the accused will be left with no other option but to self-represent.</w:t>
      </w:r>
    </w:p>
    <w:p w:rsidR="00072E7F" w:rsidRPr="00C24125" w:rsidRDefault="00072E7F" w:rsidP="00072E7F">
      <w:pPr>
        <w:pStyle w:val="ParaNoNdepar-AltN"/>
        <w:rPr>
          <w:rFonts w:cs="Times New Roman"/>
        </w:rPr>
      </w:pPr>
      <w:r w:rsidRPr="00C24125">
        <w:rPr>
          <w:rFonts w:cs="Times New Roman"/>
        </w:rPr>
        <w:t xml:space="preserve">Mr. Rafilovich submits that the </w:t>
      </w:r>
      <w:r w:rsidRPr="00C24125">
        <w:rPr>
          <w:rFonts w:cs="Times New Roman"/>
          <w:i/>
        </w:rPr>
        <w:t xml:space="preserve">Rowbotham </w:t>
      </w:r>
      <w:r w:rsidRPr="00C24125">
        <w:rPr>
          <w:rFonts w:cs="Times New Roman"/>
        </w:rPr>
        <w:t>requirements are implicit in the restoration provision. In particular, he sugges</w:t>
      </w:r>
      <w:r w:rsidR="00051127">
        <w:rPr>
          <w:rFonts w:cs="Times New Roman"/>
        </w:rPr>
        <w:t>ts that the words “reasonable . </w:t>
      </w:r>
      <w:r w:rsidRPr="00C24125">
        <w:rPr>
          <w:rFonts w:cs="Times New Roman"/>
        </w:rPr>
        <w:t>.</w:t>
      </w:r>
      <w:r w:rsidR="00051127">
        <w:rPr>
          <w:rFonts w:cs="Times New Roman"/>
        </w:rPr>
        <w:t> </w:t>
      </w:r>
      <w:r w:rsidR="00521601">
        <w:rPr>
          <w:rFonts w:cs="Times New Roman"/>
        </w:rPr>
        <w:t>. legal expenses” in s. </w:t>
      </w:r>
      <w:r w:rsidRPr="00C24125">
        <w:rPr>
          <w:rFonts w:cs="Times New Roman"/>
        </w:rPr>
        <w:t xml:space="preserve">462.34(4)(c)(ii) incorporate the requirement that representation by counsel be essential to a fair trial. Accordingly, he maintains that where a court has authorized the release of seized funds to pay for reasonable legal expenses, that entails a finding that counsel was essential to a fair trial. </w:t>
      </w:r>
    </w:p>
    <w:p w:rsidR="00072E7F" w:rsidRPr="00C24125" w:rsidRDefault="00072E7F" w:rsidP="00072E7F">
      <w:pPr>
        <w:pStyle w:val="ParaNoNdepar-AltN"/>
        <w:rPr>
          <w:rFonts w:cs="Times New Roman"/>
        </w:rPr>
      </w:pPr>
      <w:r w:rsidRPr="00C24125">
        <w:rPr>
          <w:rFonts w:cs="Times New Roman"/>
        </w:rPr>
        <w:t>Respectfully, for at least three reasons, I cannot agree.</w:t>
      </w:r>
    </w:p>
    <w:p w:rsidR="00072E7F" w:rsidRPr="00C24125" w:rsidRDefault="00072E7F" w:rsidP="00072E7F">
      <w:pPr>
        <w:pStyle w:val="ParaNoNdepar-AltN"/>
        <w:rPr>
          <w:rFonts w:cs="Times New Roman"/>
        </w:rPr>
      </w:pPr>
      <w:r w:rsidRPr="00C24125">
        <w:rPr>
          <w:rFonts w:cs="Times New Roman"/>
        </w:rPr>
        <w:t>First, on i</w:t>
      </w:r>
      <w:r w:rsidR="00521601">
        <w:rPr>
          <w:rFonts w:cs="Times New Roman"/>
        </w:rPr>
        <w:t>ts terms, s. </w:t>
      </w:r>
      <w:r w:rsidRPr="00C24125">
        <w:rPr>
          <w:rFonts w:cs="Times New Roman"/>
        </w:rPr>
        <w:t xml:space="preserve">462.34(4)(c)(ii) authorizes accused persons to seek the release of seized funds to pay for “reasonable” legal expenses. The scope of what </w:t>
      </w:r>
      <w:r w:rsidRPr="00C24125">
        <w:rPr>
          <w:rFonts w:cs="Times New Roman"/>
        </w:rPr>
        <w:lastRenderedPageBreak/>
        <w:t xml:space="preserve">is “reasonable” is clearly broader than the scope of what is strictly “necessary” or “essential”. Accordingly, the provision permits the release of funds where representation by counsel may be </w:t>
      </w:r>
      <w:r w:rsidRPr="00C24125">
        <w:rPr>
          <w:rFonts w:cs="Times New Roman"/>
          <w:i/>
        </w:rPr>
        <w:t>preferable</w:t>
      </w:r>
      <w:r w:rsidRPr="00C24125">
        <w:rPr>
          <w:rFonts w:cs="Times New Roman"/>
        </w:rPr>
        <w:t xml:space="preserve">, but not </w:t>
      </w:r>
      <w:r w:rsidRPr="00C24125">
        <w:rPr>
          <w:rFonts w:cs="Times New Roman"/>
          <w:i/>
        </w:rPr>
        <w:t>essential</w:t>
      </w:r>
      <w:r w:rsidRPr="00C24125">
        <w:rPr>
          <w:rFonts w:cs="Times New Roman"/>
        </w:rPr>
        <w:t xml:space="preserve">. In such circumstances, the accused’s </w:t>
      </w:r>
      <w:r w:rsidR="00521601">
        <w:rPr>
          <w:rFonts w:cs="Times New Roman"/>
        </w:rPr>
        <w:t>right to a fair trial under ss. </w:t>
      </w:r>
      <w:r w:rsidRPr="00C24125">
        <w:rPr>
          <w:rFonts w:cs="Times New Roman"/>
        </w:rPr>
        <w:t>7 and 11(</w:t>
      </w:r>
      <w:r w:rsidRPr="00C24125">
        <w:rPr>
          <w:rFonts w:cs="Times New Roman"/>
          <w:i/>
        </w:rPr>
        <w:t>d</w:t>
      </w:r>
      <w:r w:rsidRPr="00C24125">
        <w:rPr>
          <w:rFonts w:cs="Times New Roman"/>
        </w:rPr>
        <w:t xml:space="preserve">) of the </w:t>
      </w:r>
      <w:r w:rsidRPr="00C24125">
        <w:rPr>
          <w:rFonts w:cs="Times New Roman"/>
          <w:i/>
        </w:rPr>
        <w:t xml:space="preserve">Charter </w:t>
      </w:r>
      <w:r w:rsidR="00521601">
        <w:rPr>
          <w:rFonts w:cs="Times New Roman"/>
        </w:rPr>
        <w:t>would not be engaged.</w:t>
      </w:r>
    </w:p>
    <w:p w:rsidR="00072E7F" w:rsidRPr="00C24125" w:rsidRDefault="00072E7F" w:rsidP="00072E7F">
      <w:pPr>
        <w:pStyle w:val="ParaNoNdepar-AltN"/>
        <w:rPr>
          <w:rFonts w:cs="Times New Roman"/>
        </w:rPr>
      </w:pPr>
      <w:r w:rsidRPr="00C24125">
        <w:rPr>
          <w:rFonts w:cs="Times New Roman"/>
        </w:rPr>
        <w:t xml:space="preserve">Second, to read a full </w:t>
      </w:r>
      <w:r w:rsidRPr="00C24125">
        <w:rPr>
          <w:rFonts w:cs="Times New Roman"/>
          <w:i/>
        </w:rPr>
        <w:t xml:space="preserve">Rowbotham </w:t>
      </w:r>
      <w:r w:rsidRPr="00C24125">
        <w:rPr>
          <w:rFonts w:cs="Times New Roman"/>
        </w:rPr>
        <w:t>analysis into the word “reasonable” in s.</w:t>
      </w:r>
      <w:r w:rsidR="00521601">
        <w:rPr>
          <w:rFonts w:cs="Times New Roman"/>
        </w:rPr>
        <w:t> </w:t>
      </w:r>
      <w:r w:rsidRPr="00C24125">
        <w:rPr>
          <w:rFonts w:cs="Times New Roman"/>
        </w:rPr>
        <w:t xml:space="preserve">462.34(4)(c)(ii) would be to stretch the meaning of that term beyond what it can reasonably bear. If the legislature had intended to embed a </w:t>
      </w:r>
      <w:r w:rsidRPr="00C24125">
        <w:rPr>
          <w:rFonts w:cs="Times New Roman"/>
          <w:i/>
        </w:rPr>
        <w:t xml:space="preserve">Rowbotham </w:t>
      </w:r>
      <w:r w:rsidRPr="00C24125">
        <w:rPr>
          <w:rFonts w:cs="Times New Roman"/>
        </w:rPr>
        <w:t>analysis in s.</w:t>
      </w:r>
      <w:r w:rsidR="00521601">
        <w:rPr>
          <w:rFonts w:cs="Times New Roman"/>
        </w:rPr>
        <w:t> </w:t>
      </w:r>
      <w:r w:rsidRPr="00C24125">
        <w:rPr>
          <w:rFonts w:cs="Times New Roman"/>
        </w:rPr>
        <w:t>462.34(4)(c)(ii), it would have done so expressly. The more plausible interpretation is that the word “reasonable” simply imports a requirement of proportionality. For example, it would not be “reasonable” to pay counsel an exorbitant hourly rate or to seek the return of hundreds of thousands of dollars to defend against straightforward drug trafficking charges.</w:t>
      </w:r>
      <w:r w:rsidRPr="00C24125">
        <w:rPr>
          <w:rFonts w:eastAsia="Times New Roman" w:cs="Times New Roman"/>
          <w:szCs w:val="24"/>
          <w:lang w:eastAsia="en-CA"/>
        </w:rPr>
        <w:t xml:space="preserve"> </w:t>
      </w:r>
      <w:r w:rsidRPr="00C24125">
        <w:rPr>
          <w:rFonts w:cs="Times New Roman"/>
        </w:rPr>
        <w:t>Releasing such disproportionate sums would unduly jeopardize the objectives of preserving potential proceeds of crime and facilitating the enforcement of any future forfeiture order. This interpretation finds support in s.</w:t>
      </w:r>
      <w:r w:rsidR="00C744CD">
        <w:rPr>
          <w:rFonts w:cs="Times New Roman"/>
        </w:rPr>
        <w:t> </w:t>
      </w:r>
      <w:r w:rsidRPr="00C24125">
        <w:rPr>
          <w:rFonts w:cs="Times New Roman"/>
        </w:rPr>
        <w:t>462.34(5), which requires courts to take into account legal aid tariffs when determining the “reasonableness” of legal expe</w:t>
      </w:r>
      <w:r w:rsidR="00C744CD">
        <w:rPr>
          <w:rFonts w:cs="Times New Roman"/>
        </w:rPr>
        <w:t>nses under s. 462.34(4)(c)(ii).</w:t>
      </w:r>
    </w:p>
    <w:p w:rsidR="00072E7F" w:rsidRPr="00C24125" w:rsidRDefault="00072E7F" w:rsidP="00072E7F">
      <w:pPr>
        <w:pStyle w:val="ParaNoNdepar-AltN"/>
        <w:rPr>
          <w:rFonts w:cs="Times New Roman"/>
        </w:rPr>
      </w:pPr>
      <w:r w:rsidRPr="00C24125">
        <w:rPr>
          <w:rFonts w:cs="Times New Roman"/>
        </w:rPr>
        <w:t xml:space="preserve">Third, the word “reasonable” qualifies both “business” and “legal” expenses in s. 462.34(4)(c)(ii). Yet the </w:t>
      </w:r>
      <w:r w:rsidRPr="00C24125">
        <w:rPr>
          <w:rFonts w:cs="Times New Roman"/>
          <w:i/>
        </w:rPr>
        <w:t xml:space="preserve">Rowbotham </w:t>
      </w:r>
      <w:r w:rsidRPr="00C24125">
        <w:rPr>
          <w:rFonts w:cs="Times New Roman"/>
        </w:rPr>
        <w:t xml:space="preserve">test has no application to business expenses. It would defy logic, not to mention basic principles of statutory interpretation, to think that the same word in the same provision can mean two </w:t>
      </w:r>
      <w:r w:rsidRPr="00C24125">
        <w:rPr>
          <w:rFonts w:cs="Times New Roman"/>
        </w:rPr>
        <w:lastRenderedPageBreak/>
        <w:t xml:space="preserve">completely different things depending on whether the expenses are “business” expenses or “legal” expenses. </w:t>
      </w:r>
    </w:p>
    <w:p w:rsidR="00072E7F" w:rsidRPr="00C24125" w:rsidRDefault="00072E7F" w:rsidP="00072E7F">
      <w:pPr>
        <w:pStyle w:val="ParaNoNdepar-AltN"/>
        <w:rPr>
          <w:rFonts w:cs="Times New Roman"/>
        </w:rPr>
      </w:pPr>
      <w:r w:rsidRPr="00C24125">
        <w:rPr>
          <w:rFonts w:cs="Times New Roman"/>
        </w:rPr>
        <w:t>Accordingly, I conclude that s. 462.34(4)(c)(ii) permits accused persons to access funds to pay for reasonable legal expenses even where representation by counsel is not essential to a fair trial under ss. 7 and 11(</w:t>
      </w:r>
      <w:r w:rsidRPr="00C24125">
        <w:rPr>
          <w:rFonts w:cs="Times New Roman"/>
          <w:i/>
        </w:rPr>
        <w:t>d</w:t>
      </w:r>
      <w:r w:rsidRPr="00C24125">
        <w:rPr>
          <w:rFonts w:cs="Times New Roman"/>
        </w:rPr>
        <w:t xml:space="preserve">) of the </w:t>
      </w:r>
      <w:r w:rsidRPr="00C24125">
        <w:rPr>
          <w:rFonts w:cs="Times New Roman"/>
          <w:i/>
        </w:rPr>
        <w:t>Charter</w:t>
      </w:r>
      <w:r w:rsidRPr="00C24125">
        <w:rPr>
          <w:rFonts w:cs="Times New Roman"/>
        </w:rPr>
        <w:t xml:space="preserve">. The question that remains, however, is whether sentencing judges should exercise their limited discretion not to impose a fine in lieu in respect of funds that have been released to pay for reasonable legal expenses where representation by counsel was essential to the offender’s right to a fair trial. In my view, the answer is “yes”. </w:t>
      </w:r>
    </w:p>
    <w:p w:rsidR="00072E7F" w:rsidRPr="00C24125" w:rsidRDefault="00072E7F" w:rsidP="00072E7F">
      <w:pPr>
        <w:pStyle w:val="ParaNoNdepar-AltN"/>
        <w:rPr>
          <w:rFonts w:cs="Times New Roman"/>
        </w:rPr>
      </w:pPr>
      <w:r w:rsidRPr="00C24125">
        <w:rPr>
          <w:rFonts w:cs="Times New Roman"/>
        </w:rPr>
        <w:t xml:space="preserve">Where an offender can show that he or she was constitutionally entitled to state-funded legal counsel, it would in my view be inconsistent with that constitutional entitlement to order the offender to pay back his or her legal expenses through a fine in lieu. This approach to the limited discretion afforded by s. 462.37(3), which responds to situations in which the availability of the seized funds is the only thing standing between the offender and a </w:t>
      </w:r>
      <w:r w:rsidRPr="00C24125">
        <w:rPr>
          <w:rFonts w:cs="Times New Roman"/>
          <w:i/>
        </w:rPr>
        <w:t xml:space="preserve">Rowbotham </w:t>
      </w:r>
      <w:r w:rsidRPr="00C24125">
        <w:rPr>
          <w:rFonts w:cs="Times New Roman"/>
        </w:rPr>
        <w:t xml:space="preserve">order, gives proper effect to Parliament’s objective of ensuring an effective forfeiture regime while still vindicating the constitutionally protected right to counsel. It also recognizes that if legal representation was in fact essential to the offender’s constitutional right to a fair trial, then he or she would have derived no net benefit from being able to use seized funds to pay for counsel, since such funds would simply be a substitute for state funds to which the person would otherwise have been entitled. But to go further as my colleague does and </w:t>
      </w:r>
      <w:r w:rsidRPr="00C24125">
        <w:rPr>
          <w:rFonts w:cs="Times New Roman"/>
        </w:rPr>
        <w:lastRenderedPageBreak/>
        <w:t xml:space="preserve">exempt </w:t>
      </w:r>
      <w:r w:rsidRPr="00C24125">
        <w:rPr>
          <w:rFonts w:cs="Times New Roman"/>
          <w:i/>
        </w:rPr>
        <w:t xml:space="preserve">all </w:t>
      </w:r>
      <w:r w:rsidRPr="00C24125">
        <w:rPr>
          <w:rFonts w:cs="Times New Roman"/>
        </w:rPr>
        <w:t>funds that have been released to pay for reasonable legal expenses from a fine in lieu, whether or not the offender was constitutionally entitled to state-funded counsel, would not only upset the careful balance struck by Parliament, it would effectively grant a constitutional entitlement where none exists.</w:t>
      </w:r>
    </w:p>
    <w:p w:rsidR="00072E7F" w:rsidRPr="00C24125" w:rsidRDefault="00072E7F" w:rsidP="00072E7F">
      <w:pPr>
        <w:pStyle w:val="ParaNoNdepar-AltN"/>
        <w:rPr>
          <w:rFonts w:cs="Times New Roman"/>
        </w:rPr>
      </w:pPr>
      <w:r w:rsidRPr="00C24125">
        <w:rPr>
          <w:rFonts w:cs="Times New Roman"/>
        </w:rPr>
        <w:t xml:space="preserve">At the time an accused has to make a choice about whether to seek a release of seized funds to pay for reasonable legal expenses, it will not always be clear whether representation by counsel is essential to the accused’s right to a fair trial, and a </w:t>
      </w:r>
      <w:r w:rsidRPr="00C24125">
        <w:rPr>
          <w:rFonts w:cs="Times New Roman"/>
          <w:i/>
        </w:rPr>
        <w:t xml:space="preserve">Rowbotham </w:t>
      </w:r>
      <w:r w:rsidRPr="00C24125">
        <w:rPr>
          <w:rFonts w:cs="Times New Roman"/>
        </w:rPr>
        <w:t>application would generally be denied due to the availability of the seized funds. This places the accused in the position of having to choose between: (a) seeking a release of funds to pay for counsel and, if convicted, potentially having to pay that money back through a fine in lieu; and (b) not seeking a release of funds and instead self-representing. But making difficult choices is not an uncommon feature of the criminal justice system. On the contrary, accused persons are often called upon to make difficult calls. For example, some may have to decide whether to plead guilty and receive a lighter sentence, or maintain their innocence and risk a more severe sentence if convicted. Others may have to decide whether to make financial sacrifices at great personal hardship or represent themselves. Yet others may have no choice at all but to self-represent. One thing is certain. Accused persons with access to a pool of funds that may be used to pay for counsel are clearly in a more advantageous position than those who have no choice at all. While that choice may not be an easy one, our criminal justice system does not promise an experie</w:t>
      </w:r>
      <w:r w:rsidR="00D169EA">
        <w:rPr>
          <w:rFonts w:cs="Times New Roman"/>
        </w:rPr>
        <w:t>nce free of difficult choices.</w:t>
      </w:r>
    </w:p>
    <w:p w:rsidR="00072E7F" w:rsidRPr="00C24125" w:rsidRDefault="00072E7F" w:rsidP="00072E7F">
      <w:pPr>
        <w:pStyle w:val="ParaNoNdepar-AltN"/>
        <w:rPr>
          <w:rFonts w:cs="Times New Roman"/>
        </w:rPr>
      </w:pPr>
      <w:r w:rsidRPr="00C24125">
        <w:rPr>
          <w:rFonts w:cs="Times New Roman"/>
        </w:rPr>
        <w:lastRenderedPageBreak/>
        <w:t xml:space="preserve">My colleague notes that the statutory requirements for a restoration order do not require accused persons to demonstrate that legal representation is essential to their right to a fair trial (para. 81). To be clear, I do not suggest otherwise. As I have explained, the inquiry into whether legal representation was essential to ensure a fair trial is relevant to the question of whether a fine in lieu should be imposed, not whether a restoration order should have been granted. </w:t>
      </w:r>
    </w:p>
    <w:p w:rsidR="00072E7F" w:rsidRPr="00C24125" w:rsidRDefault="00072E7F" w:rsidP="00072E7F">
      <w:pPr>
        <w:pStyle w:val="ParaNoNdepar-AltN"/>
        <w:rPr>
          <w:rFonts w:cs="Times New Roman"/>
        </w:rPr>
      </w:pPr>
      <w:r w:rsidRPr="00C24125">
        <w:rPr>
          <w:rFonts w:cs="Times New Roman"/>
        </w:rPr>
        <w:t>In sum, I conclude that where a sentencing judge is satisfied that representation by counsel was essential to the offender’s constitutional right to a fair trial under ss. 7 and 11(</w:t>
      </w:r>
      <w:r w:rsidRPr="00C24125">
        <w:rPr>
          <w:rFonts w:cs="Times New Roman"/>
          <w:i/>
        </w:rPr>
        <w:t>d</w:t>
      </w:r>
      <w:r w:rsidRPr="00C24125">
        <w:rPr>
          <w:rFonts w:cs="Times New Roman"/>
        </w:rPr>
        <w:t xml:space="preserve">) of the </w:t>
      </w:r>
      <w:r w:rsidRPr="00C24125">
        <w:rPr>
          <w:rFonts w:cs="Times New Roman"/>
          <w:i/>
        </w:rPr>
        <w:t>Charter</w:t>
      </w:r>
      <w:r w:rsidRPr="00C24125">
        <w:rPr>
          <w:rFonts w:cs="Times New Roman"/>
        </w:rPr>
        <w:t xml:space="preserve">, the judge should exercise his or her limited discretion not to impose a fine in lieu in respect of the released funds. However, where no such right arises, it will generally be appropriate to impose a fine in lieu. This follows from a straightforward application of the primary objective of the proceeds of crime regime — namely, ensuring that crime does not pay. As my colleague acknowledges, accused persons who have access to seized funds to pay for legal counsel enjoy a benefit that others do not (see para. 64; see also </w:t>
      </w:r>
      <w:r w:rsidRPr="00C24125">
        <w:rPr>
          <w:rFonts w:cs="Times New Roman"/>
          <w:i/>
        </w:rPr>
        <w:t>Smith</w:t>
      </w:r>
      <w:r w:rsidRPr="00C24125">
        <w:rPr>
          <w:rFonts w:cs="Times New Roman"/>
        </w:rPr>
        <w:t>, at para. 106). Where this benefit was derived from proceeds of crime, offenders who were not constitutionally entitled to state-funded counsel should generally be required to repay that benefit through a fine in lieu. Otherwise,</w:t>
      </w:r>
      <w:r w:rsidRPr="00C24125">
        <w:rPr>
          <w:rFonts w:eastAsia="Times New Roman" w:cs="Times New Roman"/>
          <w:szCs w:val="24"/>
          <w:lang w:eastAsia="en-CA"/>
        </w:rPr>
        <w:t xml:space="preserve"> </w:t>
      </w:r>
      <w:r w:rsidRPr="00C24125">
        <w:rPr>
          <w:rFonts w:cs="Times New Roman"/>
        </w:rPr>
        <w:t>contrary to the overall purpose of the statutory regime, crime would</w:t>
      </w:r>
      <w:r w:rsidRPr="00C24125">
        <w:rPr>
          <w:rFonts w:cs="Times New Roman"/>
          <w:i/>
        </w:rPr>
        <w:t xml:space="preserve"> </w:t>
      </w:r>
      <w:r w:rsidR="006B281F">
        <w:rPr>
          <w:rFonts w:cs="Times New Roman"/>
        </w:rPr>
        <w:t>indeed pay.</w:t>
      </w:r>
    </w:p>
    <w:p w:rsidR="00072E7F" w:rsidRPr="00C24125" w:rsidRDefault="00771984" w:rsidP="00072E7F">
      <w:pPr>
        <w:pStyle w:val="Title4LevelTitre4Niveau"/>
        <w:tabs>
          <w:tab w:val="clear" w:pos="900"/>
        </w:tabs>
        <w:jc w:val="both"/>
        <w:rPr>
          <w:rFonts w:cs="Times New Roman"/>
        </w:rPr>
      </w:pPr>
      <w:r>
        <w:rPr>
          <w:rFonts w:cs="Times New Roman"/>
        </w:rPr>
        <w:t>Issues Arising O</w:t>
      </w:r>
      <w:r w:rsidR="00072E7F" w:rsidRPr="00C24125">
        <w:rPr>
          <w:rFonts w:cs="Times New Roman"/>
        </w:rPr>
        <w:t>ut of the Majority’s Approach</w:t>
      </w:r>
    </w:p>
    <w:p w:rsidR="00072E7F" w:rsidRPr="00C24125" w:rsidRDefault="00072E7F" w:rsidP="00072E7F">
      <w:pPr>
        <w:pStyle w:val="ParaNoNdepar-AltN"/>
        <w:rPr>
          <w:rFonts w:cs="Times New Roman"/>
        </w:rPr>
      </w:pPr>
      <w:r w:rsidRPr="00C24125">
        <w:rPr>
          <w:rFonts w:cs="Times New Roman"/>
        </w:rPr>
        <w:lastRenderedPageBreak/>
        <w:t xml:space="preserve">Having set out my own analysis of how sentencing judges should exercise their limited discretion not to impose a fine in lieu in respect of funds that were released to pay for reasonable legal expenses, I wish to address three fundamental flaws in my colleague’s approach to this issue. First, it sacrifices the statutory regime’s primary objective of ensuring that crime does not pay in order to achieve the two “secondary purposes” of the restoration provision and to give effect to Parliament’s underlying intention to ensure fairness in criminal prosecutions. Yet, as I will explain, </w:t>
      </w:r>
      <w:r w:rsidRPr="00C24125">
        <w:rPr>
          <w:rFonts w:cs="Times New Roman"/>
          <w:i/>
        </w:rPr>
        <w:t xml:space="preserve">all </w:t>
      </w:r>
      <w:r w:rsidRPr="00C24125">
        <w:rPr>
          <w:rFonts w:cs="Times New Roman"/>
        </w:rPr>
        <w:t xml:space="preserve">of the statutory scheme’s objectives can be achieved, and imposing a fine in lieu where an offender has used proceeds of crime to pay for his or her own defence does not undermine the utility of the restoration provision. Second, the notion that Parliament was prepared to give offenders the benefit of using proceeds of crime to pay for their own defence without consequence, and that it was content to simply wave goodbye to any released funds even if they were later proven to be proceeds of crime, defies logic and common sense. Third, it turns the “limited discretion” not to impose a fine on its head. I will address these points in turn. </w:t>
      </w:r>
    </w:p>
    <w:p w:rsidR="00072E7F" w:rsidRPr="00C24125" w:rsidRDefault="00072E7F" w:rsidP="00BD7E07">
      <w:pPr>
        <w:pStyle w:val="Title5LevelTitre5Niveau"/>
        <w:tabs>
          <w:tab w:val="clear" w:pos="1440"/>
          <w:tab w:val="num" w:pos="1170"/>
        </w:tabs>
        <w:ind w:left="1170" w:hanging="630"/>
        <w:jc w:val="both"/>
        <w:rPr>
          <w:rFonts w:cs="Times New Roman"/>
        </w:rPr>
      </w:pPr>
      <w:r w:rsidRPr="00C24125">
        <w:rPr>
          <w:rFonts w:cs="Times New Roman"/>
        </w:rPr>
        <w:t>The Statutory Regime’s Primary Objective of Ensuring That Crime Does Not Pay Need Not and Should Not Be Sacrificed in Order to Achieve the “Secondary Purposes” of the Restoration Provision</w:t>
      </w:r>
    </w:p>
    <w:p w:rsidR="00072E7F" w:rsidRPr="00C24125" w:rsidRDefault="00072E7F" w:rsidP="00072E7F">
      <w:pPr>
        <w:pStyle w:val="ParaNoNdepar-AltN"/>
        <w:rPr>
          <w:rFonts w:cs="Times New Roman"/>
        </w:rPr>
      </w:pPr>
      <w:r w:rsidRPr="00C24125">
        <w:rPr>
          <w:rFonts w:cs="Times New Roman"/>
        </w:rPr>
        <w:t xml:space="preserve">My colleague maintains that beyond the primary objective of the proceeds of crime regime as a whole — namely, depriving offenders and criminal organizations of the proceeds of crime and deterring them from committing crimes in the future (see </w:t>
      </w:r>
      <w:r w:rsidRPr="00C24125">
        <w:rPr>
          <w:rFonts w:cs="Times New Roman"/>
          <w:i/>
        </w:rPr>
        <w:t>Lavigne</w:t>
      </w:r>
      <w:r w:rsidR="002579AF">
        <w:rPr>
          <w:rFonts w:cs="Times New Roman"/>
        </w:rPr>
        <w:t>, at paras. </w:t>
      </w:r>
      <w:r w:rsidRPr="00C24125">
        <w:rPr>
          <w:rFonts w:cs="Times New Roman"/>
        </w:rPr>
        <w:t xml:space="preserve">16, 28, and 36) — there are two “secondary purposes” that underpin </w:t>
      </w:r>
      <w:r w:rsidRPr="00C24125">
        <w:rPr>
          <w:rFonts w:cs="Times New Roman"/>
        </w:rPr>
        <w:lastRenderedPageBreak/>
        <w:t>the restoration provision in particular: providing access to counsel and giving meaningful weight to the presumption of innocence (paras. 9 and 38). She adds that underlying these “secondary purposes” is a “desire” or “intention” to ensure fairness to the accused in criminal prosecutions, and that this underlying intention “runs through the proceeds of crime scheme established by Parliament” (</w:t>
      </w:r>
      <w:r w:rsidRPr="00C24125">
        <w:rPr>
          <w:rFonts w:cs="Times New Roman"/>
          <w:i/>
        </w:rPr>
        <w:t>ibid</w:t>
      </w:r>
      <w:r w:rsidRPr="000C6A40">
        <w:rPr>
          <w:rFonts w:cs="Times New Roman"/>
          <w:i/>
        </w:rPr>
        <w:t>.</w:t>
      </w:r>
      <w:r w:rsidRPr="00C24125">
        <w:rPr>
          <w:rFonts w:cs="Times New Roman"/>
        </w:rPr>
        <w:t xml:space="preserve">). She stresses that the Court in </w:t>
      </w:r>
      <w:r w:rsidRPr="00C24125">
        <w:rPr>
          <w:rFonts w:cs="Times New Roman"/>
          <w:i/>
        </w:rPr>
        <w:t xml:space="preserve">Lavigne </w:t>
      </w:r>
      <w:r w:rsidRPr="00C24125">
        <w:rPr>
          <w:rFonts w:cs="Times New Roman"/>
        </w:rPr>
        <w:t xml:space="preserve">did not address these separate purposes and that they “constrain the pursuit of the primary objective” (paras. 34 and 49). Ultimately, this leads her to conclude that, as a general rule, sentencing judges should not impose a fine in lieu in respect of funds that were released to pay for reasonable legal expenses. </w:t>
      </w:r>
    </w:p>
    <w:p w:rsidR="00072E7F" w:rsidRPr="00C24125" w:rsidRDefault="00072E7F" w:rsidP="00072E7F">
      <w:pPr>
        <w:pStyle w:val="ParaNoNdepar-AltN"/>
        <w:rPr>
          <w:rFonts w:cs="Times New Roman"/>
        </w:rPr>
      </w:pPr>
      <w:r w:rsidRPr="00C24125">
        <w:rPr>
          <w:rFonts w:cs="Times New Roman"/>
        </w:rPr>
        <w:t>Much as my colleague purports to distinguish the two identified “secondary purposes” of the restoration provision from the underlying intention to ensure fairness to the accused that, in her view, “runs through the proceeds of crime scheme established by Parliament” (para. 38), all three of these appear to play exactly the same role in her interpretation of the restoration provision. Indeed, this underlying intention might easily have been a third secondary purpose. Whatever the case, as I see it, the distinction my colleague purports to draw is a dis</w:t>
      </w:r>
      <w:r w:rsidR="00D169EA">
        <w:rPr>
          <w:rFonts w:cs="Times New Roman"/>
        </w:rPr>
        <w:t xml:space="preserve">tinction without a difference. </w:t>
      </w:r>
      <w:r w:rsidRPr="00C24125">
        <w:rPr>
          <w:rFonts w:cs="Times New Roman"/>
        </w:rPr>
        <w:t>In the end, it does not affect the analysis I bring to bear on the issue before this Court.</w:t>
      </w:r>
    </w:p>
    <w:p w:rsidR="00072E7F" w:rsidRPr="00C24125" w:rsidRDefault="00072E7F" w:rsidP="00072E7F">
      <w:pPr>
        <w:pStyle w:val="ParaNoNdepar-AltN"/>
        <w:rPr>
          <w:rFonts w:cs="Times New Roman"/>
        </w:rPr>
      </w:pPr>
      <w:r w:rsidRPr="00C24125">
        <w:rPr>
          <w:rFonts w:cs="Times New Roman"/>
        </w:rPr>
        <w:t xml:space="preserve">As I will demonstrate, the answer to my colleague’s analysis is that the statutory regime’s primary objective of ensuring that crime does not pay need not and should not be sacrificed either to achieve the “secondary purposes” of the restoration provision or to give effect </w:t>
      </w:r>
      <w:r w:rsidR="00AB25CE">
        <w:rPr>
          <w:rFonts w:cs="Times New Roman"/>
        </w:rPr>
        <w:t xml:space="preserve">to </w:t>
      </w:r>
      <w:r w:rsidRPr="00C24125">
        <w:rPr>
          <w:rFonts w:cs="Times New Roman"/>
        </w:rPr>
        <w:t xml:space="preserve">the intention underlying them. Once the respective roles </w:t>
      </w:r>
      <w:r w:rsidRPr="00C24125">
        <w:rPr>
          <w:rFonts w:cs="Times New Roman"/>
        </w:rPr>
        <w:lastRenderedPageBreak/>
        <w:t xml:space="preserve">of the restoration provision and the fine in lieu provision are properly understood, it becomes clear that </w:t>
      </w:r>
      <w:r w:rsidRPr="00C24125">
        <w:rPr>
          <w:rFonts w:cs="Times New Roman"/>
          <w:i/>
        </w:rPr>
        <w:t xml:space="preserve">all </w:t>
      </w:r>
      <w:r w:rsidRPr="00C24125">
        <w:rPr>
          <w:rFonts w:cs="Times New Roman"/>
        </w:rPr>
        <w:t xml:space="preserve">of the statutory scheme’s objectives can be achieved. </w:t>
      </w:r>
    </w:p>
    <w:p w:rsidR="00072E7F" w:rsidRPr="00C24125" w:rsidRDefault="00072E7F" w:rsidP="00072E7F">
      <w:pPr>
        <w:pStyle w:val="ParaNoNdepar-AltN"/>
        <w:rPr>
          <w:rFonts w:cs="Times New Roman"/>
        </w:rPr>
      </w:pPr>
      <w:r w:rsidRPr="00C24125">
        <w:rPr>
          <w:rFonts w:cs="Times New Roman"/>
        </w:rPr>
        <w:t xml:space="preserve">The restoration provision facilitates access to counsel in a manner that is both fair and consistent with the presumption of innocence. The alternative — withholding seized funds from presumptively innocent accused persons who have no other means and thereby depriving them of their ability to access counsel — would do the opposite. </w:t>
      </w:r>
    </w:p>
    <w:p w:rsidR="00072E7F" w:rsidRPr="00C24125" w:rsidRDefault="00072E7F" w:rsidP="00072E7F">
      <w:pPr>
        <w:pStyle w:val="ParaNoNdepar-AltN"/>
        <w:rPr>
          <w:rFonts w:cs="Times New Roman"/>
        </w:rPr>
      </w:pPr>
      <w:r w:rsidRPr="00C24125">
        <w:rPr>
          <w:rFonts w:cs="Times New Roman"/>
        </w:rPr>
        <w:t xml:space="preserve">But where a restoration order is followed by a conviction, the situation takes on a very different hue. Upon conviction, an “accused” becomes an “offender”, and funds that were once presumed to be legitimate are now known to have been proceeds of crime all along. At this point, seeing that the offender has used proceeds of crime to pay for his or her own defence, the statutory regime’s primary objective of ensuring that crime does not pay takes centre stage. </w:t>
      </w:r>
    </w:p>
    <w:p w:rsidR="00072E7F" w:rsidRPr="00C24125" w:rsidRDefault="00072E7F" w:rsidP="00072E7F">
      <w:pPr>
        <w:pStyle w:val="ParaNoNdepar-AltN"/>
        <w:rPr>
          <w:rFonts w:cs="Times New Roman"/>
        </w:rPr>
      </w:pPr>
      <w:r w:rsidRPr="00C24125">
        <w:rPr>
          <w:rFonts w:cs="Times New Roman"/>
        </w:rPr>
        <w:t xml:space="preserve">Yet my colleague’s approach turns this objective on its head and creates situations in which crime </w:t>
      </w:r>
      <w:r w:rsidRPr="00C24125">
        <w:rPr>
          <w:rFonts w:cs="Times New Roman"/>
          <w:i/>
        </w:rPr>
        <w:t xml:space="preserve">does </w:t>
      </w:r>
      <w:r w:rsidRPr="00C24125">
        <w:rPr>
          <w:rFonts w:cs="Times New Roman"/>
        </w:rPr>
        <w:t xml:space="preserve">pay. For cases where there is no constitutional right to state-funded counsel, it creates a clear inequality between accused persons who </w:t>
      </w:r>
      <w:r w:rsidRPr="00C24125">
        <w:rPr>
          <w:rFonts w:cs="Times New Roman"/>
          <w:i/>
        </w:rPr>
        <w:t>do</w:t>
      </w:r>
      <w:r w:rsidRPr="00C24125">
        <w:rPr>
          <w:rFonts w:cs="Times New Roman"/>
        </w:rPr>
        <w:t xml:space="preserve"> have access to a pool of funds to pay for their defence and those who </w:t>
      </w:r>
      <w:r w:rsidRPr="00C24125">
        <w:rPr>
          <w:rFonts w:cs="Times New Roman"/>
          <w:i/>
        </w:rPr>
        <w:t>do not</w:t>
      </w:r>
      <w:r w:rsidRPr="00C24125">
        <w:rPr>
          <w:rFonts w:cs="Times New Roman"/>
        </w:rPr>
        <w:t xml:space="preserve">. Those who are fortunate enough to fall within the former category are permitted to draw upon this pool of resources to fund their own defence with almost no strings attached. This is no doubt a benefit, as my colleague acknowledges (para. 64). By comparison, those who have </w:t>
      </w:r>
      <w:r w:rsidRPr="00C24125">
        <w:rPr>
          <w:rFonts w:cs="Times New Roman"/>
        </w:rPr>
        <w:lastRenderedPageBreak/>
        <w:t>the misfortune of falling within the latter category — of whom there are many — may often be left with no choice but to represent themselves.</w:t>
      </w:r>
    </w:p>
    <w:p w:rsidR="00072E7F" w:rsidRPr="00C24125" w:rsidRDefault="00072E7F" w:rsidP="00072E7F">
      <w:pPr>
        <w:pStyle w:val="ParaNoNdepar-AltN"/>
        <w:rPr>
          <w:rFonts w:cs="Times New Roman"/>
        </w:rPr>
      </w:pPr>
      <w:r w:rsidRPr="00C24125">
        <w:rPr>
          <w:rFonts w:cs="Times New Roman"/>
        </w:rPr>
        <w:t>Rewarding offenders for procuring proceeds of crime by allowing them to spend those funds on their own defence without consequence is hardly consistent with the two-fold purpose of the proceeds of crime regime. It does nothing to deprive offenders and criminal organizations of the benefits they derived from crime, nor does it deter them from committing crimes in the future. On this latter point, sending a strong and unequivocal message that crime does not pay is far more likely to achieve specific and general deterrence than sending the opposite message. More pointedly, from a common sense perspective, ordinary Canadians would no doubt find it troubling, if not wholly unacceptable, that someone could commit robbery and then use part of the stolen money to fund his or her own defence without ever having to pay it back.</w:t>
      </w:r>
    </w:p>
    <w:p w:rsidR="00072E7F" w:rsidRPr="00C24125" w:rsidRDefault="00072E7F" w:rsidP="00072E7F">
      <w:pPr>
        <w:pStyle w:val="ParaNoNdepar-AltN"/>
        <w:rPr>
          <w:rFonts w:cs="Times New Roman"/>
        </w:rPr>
      </w:pPr>
      <w:r w:rsidRPr="00C24125">
        <w:rPr>
          <w:rFonts w:cs="Times New Roman"/>
        </w:rPr>
        <w:t xml:space="preserve">In short, my colleague’s approach undermines the overall purpose of the proceeds of crime regime. While she insists that courts must not “ignore or minimize the secondary purposes in order to achieve the primary goal of ensuring crime does not pay” (para. 49), her solution is to do precisely that, but in reverse: sacrificing the primary objective of ensuring that crime does not pay in order to achieve the “secondary purposes” of the restoration provision. But as I will explain, this zero-sum approach is unnecessary because it is possible to ensure that crime does not pay while still providing access to counsel, giving meaningful weight to the presumption of </w:t>
      </w:r>
      <w:r w:rsidRPr="00C24125">
        <w:rPr>
          <w:rFonts w:cs="Times New Roman"/>
        </w:rPr>
        <w:lastRenderedPageBreak/>
        <w:t xml:space="preserve">innocence, and giving effect to the underlying intention to ensure fairness to the accused in criminal prosecutions. </w:t>
      </w:r>
    </w:p>
    <w:p w:rsidR="00072E7F" w:rsidRPr="00C24125" w:rsidRDefault="00072E7F" w:rsidP="00D93AD5">
      <w:pPr>
        <w:pStyle w:val="Title6LevelTitre6Niveau"/>
        <w:numPr>
          <w:ilvl w:val="5"/>
          <w:numId w:val="33"/>
        </w:numPr>
        <w:tabs>
          <w:tab w:val="clear" w:pos="1728"/>
          <w:tab w:val="num" w:pos="1170"/>
        </w:tabs>
        <w:ind w:left="1170" w:hanging="630"/>
        <w:rPr>
          <w:rFonts w:cs="Times New Roman"/>
        </w:rPr>
      </w:pPr>
      <w:r w:rsidRPr="00C24125">
        <w:rPr>
          <w:rFonts w:cs="Times New Roman"/>
        </w:rPr>
        <w:t>Providing Access to Counsel</w:t>
      </w:r>
    </w:p>
    <w:p w:rsidR="00072E7F" w:rsidRPr="00C24125" w:rsidRDefault="00072E7F" w:rsidP="00072E7F">
      <w:pPr>
        <w:pStyle w:val="ParaNoNdepar-AltN"/>
        <w:rPr>
          <w:rFonts w:cs="Times New Roman"/>
        </w:rPr>
      </w:pPr>
      <w:r w:rsidRPr="00C24125">
        <w:rPr>
          <w:rFonts w:cs="Times New Roman"/>
        </w:rPr>
        <w:t xml:space="preserve">Beginning with the objective of providing access to counsel, my colleague’s main concern is that if funds that have been released to pay for reasonable legal expenses must generally be paid back upon conviction, then some accused persons, out of a fear of having to pay a fine in lieu on pain of imprisonment if convicted, may choose not to seek a restoration order and to represent themselves instead (para. 55). She maintains that imposing a fine in lieu in these circumstances would render the restoration provision “largely illusory” and leave accused persons with a “Hobson’s choice” in which the only real option is to proceed without legal representation (paras. 55 and 60). </w:t>
      </w:r>
    </w:p>
    <w:p w:rsidR="00072E7F" w:rsidRPr="00C24125" w:rsidRDefault="00072E7F" w:rsidP="00072E7F">
      <w:pPr>
        <w:pStyle w:val="ParaNoNdepar-AltN"/>
        <w:rPr>
          <w:rFonts w:cs="Times New Roman"/>
        </w:rPr>
      </w:pPr>
      <w:r w:rsidRPr="00C24125">
        <w:rPr>
          <w:rFonts w:cs="Times New Roman"/>
        </w:rPr>
        <w:t xml:space="preserve">With respect, I cannot agree. The prospect that an accused may, if convicted, have to repay funds that have been released to pay for reasonable legal expenses does not render the restoration provision “largely illusory” or leave accused persons with no choice but to represent themselves. Accused persons who have access to seized funds to pay for reasonable legal expenses can either use those funds or leave them. At bottom, having this choice puts them in a better position than those who have no means whatsoever of accessing counsel. While some who have the option may decide not to seek a restoration order, others will. </w:t>
      </w:r>
    </w:p>
    <w:p w:rsidR="00072E7F" w:rsidRPr="00C24125" w:rsidRDefault="00072E7F" w:rsidP="00072E7F">
      <w:pPr>
        <w:pStyle w:val="ParaNoNdepar-AltN"/>
        <w:rPr>
          <w:rFonts w:cs="Times New Roman"/>
        </w:rPr>
      </w:pPr>
      <w:r w:rsidRPr="00C24125">
        <w:rPr>
          <w:rFonts w:cs="Times New Roman"/>
        </w:rPr>
        <w:lastRenderedPageBreak/>
        <w:t xml:space="preserve">As for my colleague’s suggestion that the risk of imprisonment for non-payment of a fine in lieu may deter accused persons from invoking the restoration provision, this concern is mitigated by this Court’s decision in </w:t>
      </w:r>
      <w:r w:rsidRPr="00C24125">
        <w:rPr>
          <w:rFonts w:cs="Times New Roman"/>
          <w:i/>
        </w:rPr>
        <w:t>Wu</w:t>
      </w:r>
      <w:r w:rsidRPr="00C24125">
        <w:rPr>
          <w:rFonts w:cs="Times New Roman"/>
        </w:rPr>
        <w:t xml:space="preserve">, which makes clear that a warrant of committal cannot be issued for non-payment of a fine if the offender has a genuine inability to pay (paras. 3 and 60-66; see also </w:t>
      </w:r>
      <w:r w:rsidRPr="00C24125">
        <w:rPr>
          <w:rFonts w:cs="Times New Roman"/>
          <w:i/>
        </w:rPr>
        <w:t>Lavigne</w:t>
      </w:r>
      <w:r w:rsidRPr="00C24125">
        <w:rPr>
          <w:rFonts w:cs="Times New Roman"/>
        </w:rPr>
        <w:t>, at para. 47). Consequently, the risk of imprisonment arises only where an offender has the means to pay but refuses to do so.</w:t>
      </w:r>
    </w:p>
    <w:p w:rsidR="00072E7F" w:rsidRPr="00C24125" w:rsidRDefault="00072E7F" w:rsidP="00072E7F">
      <w:pPr>
        <w:pStyle w:val="ParaNoNdepar-AltN"/>
        <w:rPr>
          <w:rFonts w:cs="Times New Roman"/>
        </w:rPr>
      </w:pPr>
      <w:r w:rsidRPr="00C24125">
        <w:rPr>
          <w:rFonts w:cs="Times New Roman"/>
        </w:rPr>
        <w:t xml:space="preserve">Finally, the case law recognizes that the objective of providing access to counsel need not come at the expense of the primary objective of the proceeds of crime regime. In </w:t>
      </w:r>
      <w:r w:rsidRPr="00C24125">
        <w:rPr>
          <w:rFonts w:cs="Times New Roman"/>
          <w:i/>
        </w:rPr>
        <w:t>Wilson</w:t>
      </w:r>
      <w:r w:rsidRPr="00C24125">
        <w:rPr>
          <w:rFonts w:cs="Times New Roman"/>
        </w:rPr>
        <w:t xml:space="preserve">, Doherty J.A. stated in </w:t>
      </w:r>
      <w:r w:rsidRPr="00C24125">
        <w:rPr>
          <w:rFonts w:cs="Times New Roman"/>
          <w:i/>
        </w:rPr>
        <w:t>obiter</w:t>
      </w:r>
      <w:r w:rsidRPr="00C24125">
        <w:rPr>
          <w:rFonts w:cs="Times New Roman"/>
        </w:rPr>
        <w:t xml:space="preserve"> that imposing a fine in lieu in respect of funds that were released to pay for reasonable legal expenses would serve the “ultimate purpose” of the proceeds of crime regime “while at the same time allowing the accused access to the seized property for the purposes of paying reasonable legal expenses” (p. 660).</w:t>
      </w:r>
      <w:r w:rsidRPr="00C24125">
        <w:rPr>
          <w:rFonts w:eastAsia="Times New Roman" w:cs="Times New Roman"/>
          <w:szCs w:val="24"/>
          <w:lang w:eastAsia="en-CA"/>
        </w:rPr>
        <w:t xml:space="preserve"> </w:t>
      </w:r>
      <w:r w:rsidRPr="00C24125">
        <w:rPr>
          <w:rFonts w:cs="Times New Roman"/>
        </w:rPr>
        <w:t>In short, the primary objective of the proceeds of crime regime is not incompatible with the goal of facilitating access to counsel.</w:t>
      </w:r>
    </w:p>
    <w:p w:rsidR="00072E7F" w:rsidRPr="00C24125" w:rsidRDefault="00072E7F" w:rsidP="001B5017">
      <w:pPr>
        <w:pStyle w:val="Title6LevelTitre6Niveau"/>
        <w:numPr>
          <w:ilvl w:val="5"/>
          <w:numId w:val="33"/>
        </w:numPr>
        <w:tabs>
          <w:tab w:val="clear" w:pos="1728"/>
          <w:tab w:val="num" w:pos="1170"/>
        </w:tabs>
        <w:ind w:left="1170" w:hanging="630"/>
        <w:rPr>
          <w:rFonts w:cs="Times New Roman"/>
        </w:rPr>
      </w:pPr>
      <w:r w:rsidRPr="00C24125">
        <w:rPr>
          <w:rFonts w:cs="Times New Roman"/>
        </w:rPr>
        <w:t>Giving Meaningful Weight to the Presumption of Innocence</w:t>
      </w:r>
    </w:p>
    <w:p w:rsidR="00072E7F" w:rsidRPr="00C24125" w:rsidRDefault="00072E7F" w:rsidP="00072E7F">
      <w:pPr>
        <w:pStyle w:val="ParaNoNdepar-AltN"/>
        <w:rPr>
          <w:rFonts w:cs="Times New Roman"/>
        </w:rPr>
      </w:pPr>
      <w:r w:rsidRPr="00C24125">
        <w:rPr>
          <w:rFonts w:cs="Times New Roman"/>
        </w:rPr>
        <w:t xml:space="preserve">Turning to the presumption of innocence, I respectfully do not share my colleague’s view that if offenders are generally required to pay back funds that they have used to pay for their own defence, then the presumption of innocence will suffer. The presumption of innocence prevents the state from requiring accused persons to immediately forfeit property that is reasonably believed, though not yet proven, to be </w:t>
      </w:r>
      <w:r w:rsidRPr="00C24125">
        <w:rPr>
          <w:rFonts w:cs="Times New Roman"/>
        </w:rPr>
        <w:lastRenderedPageBreak/>
        <w:t>proceeds of crime. This presumption also finds expression through the restoration provision, which allows accused persons to “receiv[e] the benefit of the</w:t>
      </w:r>
      <w:r w:rsidR="00E34E58">
        <w:rPr>
          <w:rFonts w:cs="Times New Roman"/>
        </w:rPr>
        <w:t xml:space="preserve"> presumption of innocence . </w:t>
      </w:r>
      <w:r w:rsidRPr="00C24125">
        <w:rPr>
          <w:rFonts w:cs="Times New Roman"/>
        </w:rPr>
        <w:t>.</w:t>
      </w:r>
      <w:r w:rsidR="00E34E58">
        <w:rPr>
          <w:rFonts w:cs="Times New Roman"/>
        </w:rPr>
        <w:t> </w:t>
      </w:r>
      <w:r w:rsidRPr="00C24125">
        <w:rPr>
          <w:rFonts w:cs="Times New Roman"/>
        </w:rPr>
        <w:t>. in the most meaningful way — through ready access to the funds seized” (</w:t>
      </w:r>
      <w:r w:rsidRPr="00C24125">
        <w:rPr>
          <w:rFonts w:cs="Times New Roman"/>
          <w:i/>
        </w:rPr>
        <w:t>Smith</w:t>
      </w:r>
      <w:r w:rsidR="009F417A">
        <w:rPr>
          <w:rFonts w:cs="Times New Roman"/>
        </w:rPr>
        <w:t>, at para. </w:t>
      </w:r>
      <w:r w:rsidR="00A168FD">
        <w:rPr>
          <w:rFonts w:cs="Times New Roman"/>
        </w:rPr>
        <w:t>106).</w:t>
      </w:r>
    </w:p>
    <w:p w:rsidR="00072E7F" w:rsidRPr="00C24125" w:rsidRDefault="00072E7F" w:rsidP="00072E7F">
      <w:pPr>
        <w:pStyle w:val="ParaNoNdepar-AltN"/>
        <w:rPr>
          <w:rFonts w:cs="Times New Roman"/>
        </w:rPr>
      </w:pPr>
      <w:r w:rsidRPr="00C24125">
        <w:rPr>
          <w:rFonts w:cs="Times New Roman"/>
        </w:rPr>
        <w:t xml:space="preserve">But the presumption of innocence does not exist in perpetuity. As this Court stated in </w:t>
      </w:r>
      <w:r w:rsidRPr="00C24125">
        <w:rPr>
          <w:rFonts w:cs="Times New Roman"/>
          <w:i/>
        </w:rPr>
        <w:t>R. v. Smith</w:t>
      </w:r>
      <w:r w:rsidRPr="00C24125">
        <w:rPr>
          <w:rFonts w:cs="Times New Roman"/>
        </w:rPr>
        <w:t>, 2004 SCC 14, [2004] 1 S.C.R. 385, “the presumption of innocence does not</w:t>
      </w:r>
      <w:r w:rsidR="003651C0">
        <w:rPr>
          <w:rFonts w:cs="Times New Roman"/>
        </w:rPr>
        <w:t xml:space="preserve"> survive [a] conviction” (para. </w:t>
      </w:r>
      <w:r w:rsidRPr="00C24125">
        <w:rPr>
          <w:rFonts w:cs="Times New Roman"/>
        </w:rPr>
        <w:t>16). It is at this point, after</w:t>
      </w:r>
      <w:r w:rsidRPr="00C24125">
        <w:rPr>
          <w:rFonts w:cs="Times New Roman"/>
          <w:i/>
        </w:rPr>
        <w:t xml:space="preserve"> </w:t>
      </w:r>
      <w:r w:rsidRPr="00C24125">
        <w:rPr>
          <w:rFonts w:cs="Times New Roman"/>
        </w:rPr>
        <w:t xml:space="preserve">both the released funds and the presumption of innocence have been spent, that the fine in lieu provision comes into play. There is nothing inconsistent about allowing </w:t>
      </w:r>
      <w:r w:rsidRPr="00C24125">
        <w:rPr>
          <w:rFonts w:cs="Times New Roman"/>
          <w:i/>
        </w:rPr>
        <w:t>accused persons</w:t>
      </w:r>
      <w:r w:rsidRPr="00C24125">
        <w:rPr>
          <w:rFonts w:cs="Times New Roman"/>
        </w:rPr>
        <w:t xml:space="preserve">, who are presumed innocent, to access seized funds to pay for legal counsel but requiring </w:t>
      </w:r>
      <w:r w:rsidRPr="00C24125">
        <w:rPr>
          <w:rFonts w:cs="Times New Roman"/>
          <w:i/>
        </w:rPr>
        <w:t>offenders</w:t>
      </w:r>
      <w:r w:rsidRPr="00C24125">
        <w:rPr>
          <w:rFonts w:cs="Times New Roman"/>
        </w:rPr>
        <w:t>, who are proven guilty,</w:t>
      </w:r>
      <w:r w:rsidRPr="00C24125">
        <w:rPr>
          <w:rFonts w:cs="Times New Roman"/>
          <w:i/>
        </w:rPr>
        <w:t xml:space="preserve"> </w:t>
      </w:r>
      <w:r w:rsidRPr="00C24125">
        <w:rPr>
          <w:rFonts w:cs="Times New Roman"/>
        </w:rPr>
        <w:t>to pay back those funds once they are determined to be proceeds of crime. Doing so does not, contrary to my colleague’s contention, “retroactively dilute the presumption of innocence”</w:t>
      </w:r>
      <w:r w:rsidR="003651C0">
        <w:rPr>
          <w:rFonts w:cs="Times New Roman"/>
        </w:rPr>
        <w:t xml:space="preserve"> (para. </w:t>
      </w:r>
      <w:r w:rsidRPr="00C24125">
        <w:rPr>
          <w:rFonts w:cs="Times New Roman"/>
        </w:rPr>
        <w:t>57), as that presumption remains in full force until the point of conviction. Stated succinctly, the presumption of innocence does not shield offenders from the consequences of a conviction, including the obligation to forfeit any proceeds of crime or pay a fine in lieu.</w:t>
      </w:r>
    </w:p>
    <w:p w:rsidR="00072E7F" w:rsidRPr="00C24125" w:rsidRDefault="00072E7F" w:rsidP="00072E7F">
      <w:pPr>
        <w:pStyle w:val="ParaNoNdepar-AltN"/>
        <w:rPr>
          <w:rFonts w:cs="Times New Roman"/>
        </w:rPr>
      </w:pPr>
      <w:r w:rsidRPr="00C24125">
        <w:rPr>
          <w:rFonts w:cs="Times New Roman"/>
        </w:rPr>
        <w:t xml:space="preserve">My colleague also attempts to draw an analogy between the present context and the bail context. She suggests that “recover[ing]” time spent free on bail would “retroactively dilute” the presumption of innocence, and that “recover[ing]” proceeds of crime spent by an offender on his or her defence would have the same effect </w:t>
      </w:r>
      <w:r w:rsidRPr="00C24125">
        <w:rPr>
          <w:rFonts w:cs="Times New Roman"/>
        </w:rPr>
        <w:lastRenderedPageBreak/>
        <w:t>(paras.</w:t>
      </w:r>
      <w:r w:rsidR="003651C0">
        <w:rPr>
          <w:rFonts w:cs="Times New Roman"/>
        </w:rPr>
        <w:t> </w:t>
      </w:r>
      <w:r w:rsidRPr="00C24125">
        <w:rPr>
          <w:rFonts w:cs="Times New Roman"/>
        </w:rPr>
        <w:t>57-58). With respect, the bail context is far removed from the present context, and the considerations at play are very different. Setting aside the simple fact that there is no statutory provision authorizing the “recovery” of time spent free on bail, one of the crucial differences that my colleague overlooks is that, unlike the ability to retain counsel using proceeds of crime, time spent free on bail is not a benefit derived from crime. Thus, while there is a rational basis for requiring offenders to “pay back” proceeds of crime spent on legal counsel, there is no rational basis whatsoever for requiring offenders to “pay back” time spent free on bail. Put simply, spending time free on bail is nothing like spending proceeds of crime on legal counsel. The analogy, with respect, is inapt.</w:t>
      </w:r>
    </w:p>
    <w:p w:rsidR="00072E7F" w:rsidRPr="00C24125" w:rsidRDefault="00072E7F" w:rsidP="00873165">
      <w:pPr>
        <w:pStyle w:val="Title6LevelTitre6Niveau"/>
        <w:numPr>
          <w:ilvl w:val="5"/>
          <w:numId w:val="33"/>
        </w:numPr>
        <w:tabs>
          <w:tab w:val="clear" w:pos="1728"/>
          <w:tab w:val="num" w:pos="1170"/>
        </w:tabs>
        <w:ind w:left="1170" w:hanging="630"/>
        <w:rPr>
          <w:rFonts w:cs="Times New Roman"/>
        </w:rPr>
      </w:pPr>
      <w:r w:rsidRPr="00C24125">
        <w:rPr>
          <w:rFonts w:cs="Times New Roman"/>
        </w:rPr>
        <w:t>Intention to Ensure Fairness to the Accused in Criminal Prosecutions</w:t>
      </w:r>
    </w:p>
    <w:p w:rsidR="00072E7F" w:rsidRPr="00C24125" w:rsidRDefault="00072E7F" w:rsidP="00072E7F">
      <w:pPr>
        <w:pStyle w:val="ParaNoNdepar-AltN"/>
        <w:rPr>
          <w:rFonts w:cs="Times New Roman"/>
        </w:rPr>
      </w:pPr>
      <w:r w:rsidRPr="00C24125">
        <w:rPr>
          <w:rFonts w:cs="Times New Roman"/>
        </w:rPr>
        <w:t>Finally, concerns over the potential unfairness — procedural or otherwise — of withholding seized funds from presumptively innocent accused persons in a way that limits or removes their ability to access counsel are addressed through the restoration provision, and there is nothing unfair about requiring offenders who have used proceeds of crime to pay for their own defence to repay that benefit.</w:t>
      </w:r>
    </w:p>
    <w:p w:rsidR="00072E7F" w:rsidRPr="00C24125" w:rsidRDefault="00072E7F" w:rsidP="00072E7F">
      <w:pPr>
        <w:pStyle w:val="ParaNoNdepar-AltN"/>
        <w:rPr>
          <w:rFonts w:cs="Times New Roman"/>
        </w:rPr>
      </w:pPr>
      <w:r w:rsidRPr="00C24125">
        <w:rPr>
          <w:rFonts w:cs="Times New Roman"/>
        </w:rPr>
        <w:t xml:space="preserve">My colleague claims that imposing a fine in lieu in respect of funds that have been released to pay for reasonable legal expenses would raise “concerns of notice and reliance that are rooted in the principle of fairness to the accused in criminal prosecutions” (para. 59). She maintains that accused persons “will rely on a court order </w:t>
      </w:r>
      <w:r w:rsidRPr="00C24125">
        <w:rPr>
          <w:rFonts w:cs="Times New Roman"/>
        </w:rPr>
        <w:lastRenderedPageBreak/>
        <w:t>authorized by a specific statutory scheme” and that “[t]hose accused persons</w:t>
      </w:r>
      <w:r w:rsidRPr="00C24125">
        <w:rPr>
          <w:rFonts w:cs="Times New Roman"/>
          <w:lang w:val="en-US"/>
        </w:rPr>
        <w:t xml:space="preserve"> cannot reasonably know that doing so will lead to additional punishment” (</w:t>
      </w:r>
      <w:r w:rsidRPr="00C24125">
        <w:rPr>
          <w:rFonts w:cs="Times New Roman"/>
          <w:i/>
          <w:lang w:val="en-US"/>
        </w:rPr>
        <w:t>ibid.</w:t>
      </w:r>
      <w:r w:rsidRPr="00C24125">
        <w:rPr>
          <w:rFonts w:cs="Times New Roman"/>
          <w:lang w:val="en-US"/>
        </w:rPr>
        <w:t>).</w:t>
      </w:r>
    </w:p>
    <w:p w:rsidR="00072E7F" w:rsidRPr="00C24125" w:rsidRDefault="00072E7F" w:rsidP="00072E7F">
      <w:pPr>
        <w:pStyle w:val="ParaNoNdepar-AltN"/>
        <w:rPr>
          <w:rFonts w:cs="Times New Roman"/>
        </w:rPr>
      </w:pPr>
      <w:r w:rsidRPr="00C24125">
        <w:rPr>
          <w:rFonts w:cs="Times New Roman"/>
          <w:lang w:val="en-US"/>
        </w:rPr>
        <w:t xml:space="preserve">Respectfully, I reject the suggestion that the relevant provisions of the </w:t>
      </w:r>
      <w:r w:rsidRPr="00C24125">
        <w:rPr>
          <w:rFonts w:cs="Times New Roman"/>
          <w:i/>
          <w:lang w:val="en-US"/>
        </w:rPr>
        <w:t>Criminal Code</w:t>
      </w:r>
      <w:r w:rsidRPr="00C24125">
        <w:rPr>
          <w:rFonts w:cs="Times New Roman"/>
          <w:lang w:val="en-US"/>
        </w:rPr>
        <w:t>, coupled with a decision of this Court explaining the proper effect of those provisions, would leave accused persons with no notice about the potential adverse consequences of using seized funds to pay for reasonable legal expenses in the event of a conviction. My colleague’s reasoning is fundamentally incompatible with the well-established maxim in criminal law that ignorance of the law is no excuse (</w:t>
      </w:r>
      <w:r w:rsidRPr="00C24125">
        <w:rPr>
          <w:rFonts w:cs="Times New Roman"/>
          <w:i/>
          <w:lang w:val="en-US"/>
        </w:rPr>
        <w:t>ignorantia juris non excusat</w:t>
      </w:r>
      <w:r w:rsidRPr="00C24125">
        <w:rPr>
          <w:rFonts w:cs="Times New Roman"/>
          <w:lang w:val="en-US"/>
        </w:rPr>
        <w:t xml:space="preserve">). </w:t>
      </w:r>
      <w:r w:rsidRPr="00C24125">
        <w:rPr>
          <w:rFonts w:cs="Times New Roman"/>
        </w:rPr>
        <w:t xml:space="preserve">As Chief Justice Lamer explained in </w:t>
      </w:r>
      <w:r w:rsidRPr="00C24125">
        <w:rPr>
          <w:rFonts w:cs="Times New Roman"/>
          <w:i/>
        </w:rPr>
        <w:t>R. v. McIntosh</w:t>
      </w:r>
      <w:r w:rsidRPr="00C24125">
        <w:rPr>
          <w:rFonts w:cs="Times New Roman"/>
        </w:rPr>
        <w:t xml:space="preserve">, [1995] 1 S.C.R. 686, “[o]ur criminal justice system presumes that everyone knows the law” (para. 38; see also </w:t>
      </w:r>
      <w:r w:rsidRPr="00C24125">
        <w:rPr>
          <w:rFonts w:cs="Times New Roman"/>
          <w:i/>
        </w:rPr>
        <w:t>R. v. MacDougall</w:t>
      </w:r>
      <w:r w:rsidRPr="00C24125">
        <w:rPr>
          <w:rFonts w:cs="Times New Roman"/>
        </w:rPr>
        <w:t xml:space="preserve">, [1982] 2 S.C.R. 605; </w:t>
      </w:r>
      <w:r w:rsidRPr="00C24125">
        <w:rPr>
          <w:rFonts w:cs="Times New Roman"/>
          <w:i/>
        </w:rPr>
        <w:t>R. v. Nova Scotia Pharmaceutical Society</w:t>
      </w:r>
      <w:r w:rsidRPr="00C24125">
        <w:rPr>
          <w:rFonts w:cs="Times New Roman"/>
        </w:rPr>
        <w:t>, [1992] 2 S.C.R. 606, at p. 633</w:t>
      </w:r>
      <w:r w:rsidRPr="00C24125">
        <w:rPr>
          <w:rFonts w:cs="Times New Roman"/>
          <w:lang w:val="en-US"/>
        </w:rPr>
        <w:t>). Unlike my colleague, I am not prepared to upend this well-established presumption.</w:t>
      </w:r>
    </w:p>
    <w:p w:rsidR="00072E7F" w:rsidRPr="00C24125" w:rsidRDefault="00072E7F" w:rsidP="00072E7F">
      <w:pPr>
        <w:pStyle w:val="ParaNoNdepar-AltN"/>
        <w:rPr>
          <w:rFonts w:cs="Times New Roman"/>
        </w:rPr>
      </w:pPr>
      <w:r w:rsidRPr="00C24125">
        <w:rPr>
          <w:rFonts w:cs="Times New Roman"/>
          <w:lang w:val="en-US"/>
        </w:rPr>
        <w:t xml:space="preserve"> Lastly, I note my colleague’s reliance on </w:t>
      </w:r>
      <w:r w:rsidRPr="00C24125">
        <w:rPr>
          <w:rFonts w:cs="Times New Roman"/>
          <w:i/>
          <w:iCs/>
        </w:rPr>
        <w:t>R. v. G.D.B.</w:t>
      </w:r>
      <w:r w:rsidRPr="00C24125">
        <w:rPr>
          <w:rFonts w:cs="Times New Roman"/>
        </w:rPr>
        <w:t>, 2000 SCC 22, [2000] 1 S.C.R. 520, where this Court stated that “the right to effective assistance of counsel extends to all accused persons” and explained that this right is a principle of fundamental justice (para. 24). It is important to recognize, however, that the right to effective assistance of counsel does not equate to a right to counsel. The right to effective assistance of counsel protects against incompetent performance by counsel that results in a miscarriage of justice (</w:t>
      </w:r>
      <w:r w:rsidRPr="00C24125">
        <w:rPr>
          <w:rFonts w:cs="Times New Roman"/>
          <w:i/>
        </w:rPr>
        <w:t>G.D.B.</w:t>
      </w:r>
      <w:r w:rsidRPr="00C24125">
        <w:rPr>
          <w:rFonts w:cs="Times New Roman"/>
        </w:rPr>
        <w:t xml:space="preserve">, at para. 26); it does not, however, </w:t>
      </w:r>
      <w:r w:rsidRPr="00C24125">
        <w:rPr>
          <w:rFonts w:cs="Times New Roman"/>
        </w:rPr>
        <w:lastRenderedPageBreak/>
        <w:t xml:space="preserve">guarantee all accused persons the right to counsel. With respect, my colleague takes </w:t>
      </w:r>
      <w:r w:rsidRPr="00C24125">
        <w:rPr>
          <w:rFonts w:cs="Times New Roman"/>
          <w:i/>
        </w:rPr>
        <w:t xml:space="preserve">G.D.B. </w:t>
      </w:r>
      <w:r w:rsidRPr="00C24125">
        <w:rPr>
          <w:rFonts w:cs="Times New Roman"/>
        </w:rPr>
        <w:t>out of its proper context.</w:t>
      </w:r>
    </w:p>
    <w:p w:rsidR="00072E7F" w:rsidRPr="00C24125" w:rsidRDefault="00072E7F" w:rsidP="004D7CCA">
      <w:pPr>
        <w:pStyle w:val="Title5LevelTitre5Niveau"/>
        <w:tabs>
          <w:tab w:val="clear" w:pos="1440"/>
          <w:tab w:val="num" w:pos="1170"/>
        </w:tabs>
        <w:ind w:left="1170" w:hanging="630"/>
        <w:jc w:val="both"/>
        <w:rPr>
          <w:rFonts w:cs="Times New Roman"/>
        </w:rPr>
      </w:pPr>
      <w:r w:rsidRPr="00C24125">
        <w:rPr>
          <w:rFonts w:cs="Times New Roman"/>
        </w:rPr>
        <w:t xml:space="preserve">Parliament Did Not Intend to Give Offenders the Benefit of </w:t>
      </w:r>
      <w:r w:rsidR="002B0F7B">
        <w:rPr>
          <w:rFonts w:cs="Times New Roman"/>
        </w:rPr>
        <w:t>Using Proceeds of Crime to Pay f</w:t>
      </w:r>
      <w:r w:rsidRPr="00C24125">
        <w:rPr>
          <w:rFonts w:cs="Times New Roman"/>
        </w:rPr>
        <w:t>or Their Defence Without Consequence</w:t>
      </w:r>
    </w:p>
    <w:p w:rsidR="00072E7F" w:rsidRPr="00C24125" w:rsidRDefault="00072E7F" w:rsidP="00072E7F">
      <w:pPr>
        <w:pStyle w:val="ParaNoNdepar-AltN"/>
        <w:rPr>
          <w:rFonts w:cs="Times New Roman"/>
        </w:rPr>
      </w:pPr>
      <w:r w:rsidRPr="00C24125">
        <w:rPr>
          <w:rFonts w:cs="Times New Roman"/>
        </w:rPr>
        <w:t>My colleague acknowledges that accused persons who have access to funds to pay for legal counsel enjoy a be</w:t>
      </w:r>
      <w:r w:rsidR="0036135E">
        <w:rPr>
          <w:rFonts w:cs="Times New Roman"/>
        </w:rPr>
        <w:t>nefit that others do not (para. </w:t>
      </w:r>
      <w:r w:rsidRPr="00C24125">
        <w:rPr>
          <w:rFonts w:cs="Times New Roman"/>
        </w:rPr>
        <w:t xml:space="preserve">64; see also </w:t>
      </w:r>
      <w:r w:rsidRPr="00C24125">
        <w:rPr>
          <w:rFonts w:cs="Times New Roman"/>
          <w:i/>
        </w:rPr>
        <w:t>Smith</w:t>
      </w:r>
      <w:r w:rsidRPr="00C24125">
        <w:rPr>
          <w:rFonts w:cs="Times New Roman"/>
        </w:rPr>
        <w:t>, at para.</w:t>
      </w:r>
      <w:r w:rsidR="0036135E">
        <w:rPr>
          <w:rFonts w:cs="Times New Roman"/>
        </w:rPr>
        <w:t> </w:t>
      </w:r>
      <w:r w:rsidRPr="00C24125">
        <w:rPr>
          <w:rFonts w:cs="Times New Roman"/>
        </w:rPr>
        <w:t>106). Yet she maintains that this “is not the type of benefit that Parliament sought to take away from offenders” and is instead “a benefit that Parliament expressly intended them to have” (</w:t>
      </w:r>
      <w:r w:rsidRPr="00C24125">
        <w:rPr>
          <w:rFonts w:cs="Times New Roman"/>
          <w:i/>
        </w:rPr>
        <w:t>ibid.</w:t>
      </w:r>
      <w:r w:rsidRPr="00C24125">
        <w:rPr>
          <w:rFonts w:cs="Times New Roman"/>
        </w:rPr>
        <w:t>).</w:t>
      </w:r>
    </w:p>
    <w:p w:rsidR="00072E7F" w:rsidRPr="00C24125" w:rsidRDefault="00072E7F" w:rsidP="00072E7F">
      <w:pPr>
        <w:pStyle w:val="ParaNoNdepar-AltN"/>
        <w:rPr>
          <w:rFonts w:cs="Times New Roman"/>
        </w:rPr>
      </w:pPr>
      <w:r w:rsidRPr="00C24125">
        <w:rPr>
          <w:rFonts w:cs="Times New Roman"/>
        </w:rPr>
        <w:t xml:space="preserve">With respect, I disagree. My colleague conflates two distinct concepts: (1) Parliament’s intention as to the circumstances in which accused persons may access seized funds; and (2) Parliament’s intention as to the circumstances in which offenders may be required to pay them back. Again, there is nothing inconsistent about allowing </w:t>
      </w:r>
      <w:r w:rsidRPr="00C24125">
        <w:rPr>
          <w:rFonts w:cs="Times New Roman"/>
          <w:i/>
        </w:rPr>
        <w:t>accused persons</w:t>
      </w:r>
      <w:r w:rsidRPr="00C24125">
        <w:rPr>
          <w:rFonts w:cs="Times New Roman"/>
        </w:rPr>
        <w:t xml:space="preserve"> to access seized funds to pay for legal counsel but requiring </w:t>
      </w:r>
      <w:r w:rsidRPr="00C24125">
        <w:rPr>
          <w:rFonts w:cs="Times New Roman"/>
          <w:i/>
        </w:rPr>
        <w:t xml:space="preserve">offenders </w:t>
      </w:r>
      <w:r w:rsidRPr="00C24125">
        <w:rPr>
          <w:rFonts w:cs="Times New Roman"/>
        </w:rPr>
        <w:t>to pay them back in the event that they are determined to be proceeds of crime. While Parliament intended to give accused persons the benefit of having access to seized funds to pay for reasonable legal expenses, it did not, in my view, intend to give offenders the benefit of never having to pay them back.</w:t>
      </w:r>
    </w:p>
    <w:p w:rsidR="00072E7F" w:rsidRPr="00C24125" w:rsidRDefault="00072E7F" w:rsidP="00072E7F">
      <w:pPr>
        <w:pStyle w:val="ParaNoNdepar-AltN"/>
        <w:rPr>
          <w:rFonts w:cs="Times New Roman"/>
        </w:rPr>
      </w:pPr>
      <w:r w:rsidRPr="00C24125">
        <w:rPr>
          <w:rFonts w:cs="Times New Roman"/>
        </w:rPr>
        <w:t xml:space="preserve">Had that been Parliament’s intent, it could easily have enacted a provision stipulating that any funds released pursuant to a restoration order would be exempt </w:t>
      </w:r>
      <w:r w:rsidRPr="00C24125">
        <w:rPr>
          <w:rFonts w:cs="Times New Roman"/>
        </w:rPr>
        <w:lastRenderedPageBreak/>
        <w:t xml:space="preserve">from forfeiture or a fine in lieu, or that such funds would be exempt unless “it turns out that the [offender’s] financial need was not real, or the funds were not used to alleviate that need”, as my colleague proposes (para. 76). But it did not. In the absence of any such provision, there is no compelling basis on which to conclude that Parliament was prepared to simply write off any funds released to pay for legal counsel — which may amount to hundreds of thousands of dollars (see </w:t>
      </w:r>
      <w:r w:rsidRPr="00C24125">
        <w:rPr>
          <w:rFonts w:cs="Times New Roman"/>
          <w:i/>
        </w:rPr>
        <w:t>Smith</w:t>
      </w:r>
      <w:r w:rsidRPr="00C24125">
        <w:rPr>
          <w:rFonts w:cs="Times New Roman"/>
        </w:rPr>
        <w:t>) — as a gift.</w:t>
      </w:r>
    </w:p>
    <w:p w:rsidR="00072E7F" w:rsidRPr="00C24125" w:rsidRDefault="00072E7F" w:rsidP="00072E7F">
      <w:pPr>
        <w:pStyle w:val="ParaNoNdepar-AltN"/>
        <w:rPr>
          <w:rFonts w:cs="Times New Roman"/>
        </w:rPr>
      </w:pPr>
      <w:r w:rsidRPr="00C24125">
        <w:rPr>
          <w:rFonts w:cs="Times New Roman"/>
        </w:rPr>
        <w:t xml:space="preserve">Of course, if an accused is acquitted and the funds are not found to be proceeds of crime, then the accused has simply paid for his or her own defence using his or her own money. In that event, the state has not been deprived of any property that would otherwise have been forfeited. But where an accused is convicted and the funds are found to be proceeds of crime, every dollar that was spent on the offender’s defence using proceeds of crime is a dollar that would otherwise have been forfeited to the state — a fact which my colleague acknowledges is “undeniable” (para. 68). In those circumstances, it is unthinkable that Parliament would have been content to simply absorb the loss. </w:t>
      </w:r>
    </w:p>
    <w:p w:rsidR="00072E7F" w:rsidRPr="00C24125" w:rsidRDefault="00072E7F" w:rsidP="00072E7F">
      <w:pPr>
        <w:pStyle w:val="ParaNoNdepar-AltN"/>
        <w:rPr>
          <w:rFonts w:cs="Times New Roman"/>
        </w:rPr>
      </w:pPr>
      <w:r w:rsidRPr="00C24125">
        <w:rPr>
          <w:rFonts w:cs="Times New Roman"/>
        </w:rPr>
        <w:t xml:space="preserve">While Parliament enacted statutory safeguards that control the amount of funds released, this cannot be taken as an indication that it was prepared to let those funds go for good. The purpose of controlling the amount of funds released to accused persons is to protect the state’s legitimate interest in preserving property that is reasonably believed to be proceeds of crime to the greatest extent possible, thereby facilitating the enforcement of any subsequent forfeiture order. Releasing the entirety </w:t>
      </w:r>
      <w:r w:rsidRPr="00C24125">
        <w:rPr>
          <w:rFonts w:cs="Times New Roman"/>
        </w:rPr>
        <w:lastRenderedPageBreak/>
        <w:t>of the seized funds, regardless of whether the accused actually needs the full amount, would create an unnecessary risk that the funds may be long gone by the time of any future sentencing hearing. Furthermore, while a fine in lieu may be imposed where some or all of the funds have been spent, an offender may take years to pay the fine and in some cases may never pay it, either because the offender refuses to pay or because the offender has a genuine inability to pay. Hence, the constraints placed on the amount released serve a legitimate purpose and cannot be taken as a signal that Parliament was prepared to let those funds go for good.</w:t>
      </w:r>
    </w:p>
    <w:p w:rsidR="00072E7F" w:rsidRPr="00C24125" w:rsidRDefault="00072E7F" w:rsidP="00BF26B9">
      <w:pPr>
        <w:pStyle w:val="Title5LevelTitre5Niveau"/>
        <w:tabs>
          <w:tab w:val="clear" w:pos="1440"/>
          <w:tab w:val="num" w:pos="1170"/>
        </w:tabs>
        <w:ind w:left="1170" w:hanging="630"/>
        <w:jc w:val="both"/>
        <w:rPr>
          <w:rFonts w:cs="Times New Roman"/>
        </w:rPr>
      </w:pPr>
      <w:r w:rsidRPr="00C24125">
        <w:rPr>
          <w:rFonts w:cs="Times New Roman"/>
        </w:rPr>
        <w:t>The Major</w:t>
      </w:r>
      <w:r w:rsidR="00AB788E">
        <w:rPr>
          <w:rFonts w:cs="Times New Roman"/>
        </w:rPr>
        <w:t>ity’s Approach Is Inconsistent W</w:t>
      </w:r>
      <w:r w:rsidRPr="00C24125">
        <w:rPr>
          <w:rFonts w:cs="Times New Roman"/>
        </w:rPr>
        <w:t xml:space="preserve">ith the “Limited Discretion” Described in </w:t>
      </w:r>
      <w:r w:rsidRPr="00C24125">
        <w:rPr>
          <w:rFonts w:cs="Times New Roman"/>
          <w:i/>
        </w:rPr>
        <w:t>Lavigne</w:t>
      </w:r>
    </w:p>
    <w:p w:rsidR="00072E7F" w:rsidRPr="00C24125" w:rsidRDefault="00072E7F" w:rsidP="00072E7F">
      <w:pPr>
        <w:pStyle w:val="ParaNoNdepar-AltN"/>
        <w:rPr>
          <w:rFonts w:cs="Times New Roman"/>
        </w:rPr>
      </w:pPr>
      <w:r w:rsidRPr="00C24125">
        <w:rPr>
          <w:rFonts w:cs="Times New Roman"/>
        </w:rPr>
        <w:t xml:space="preserve">Finally, with respect, my colleague’s approach to the exercise of a sentencing judge’s limited discretion not to impose a fine in lieu is inconsistent with this Court’s decision in </w:t>
      </w:r>
      <w:r w:rsidRPr="00C24125">
        <w:rPr>
          <w:rFonts w:cs="Times New Roman"/>
          <w:i/>
        </w:rPr>
        <w:t>Lavigne</w:t>
      </w:r>
      <w:r w:rsidRPr="00C24125">
        <w:rPr>
          <w:rFonts w:cs="Times New Roman"/>
        </w:rPr>
        <w:t>, which reiterated on a number of occasions that the discretion not to impose a fine i</w:t>
      </w:r>
      <w:r w:rsidR="00C75613">
        <w:rPr>
          <w:rFonts w:cs="Times New Roman"/>
        </w:rPr>
        <w:t>n lieu is “limited” (see paras. </w:t>
      </w:r>
      <w:r w:rsidRPr="00C24125">
        <w:rPr>
          <w:rFonts w:cs="Times New Roman"/>
        </w:rPr>
        <w:t>1, 23, 27, 29, 34, and 44). My colleague’s approach turns this concept</w:t>
      </w:r>
      <w:r w:rsidRPr="00C24125">
        <w:rPr>
          <w:rFonts w:cs="Times New Roman"/>
          <w:i/>
        </w:rPr>
        <w:t xml:space="preserve"> </w:t>
      </w:r>
      <w:r w:rsidRPr="00C24125">
        <w:rPr>
          <w:rFonts w:cs="Times New Roman"/>
        </w:rPr>
        <w:t>on its head by transforming this limited discretion not to impose a fine into a presumptive rule against imposing a fine, at least in respect of funds that have been released to pay for reasonable legal expenses.</w:t>
      </w:r>
    </w:p>
    <w:p w:rsidR="00072E7F" w:rsidRPr="00C24125" w:rsidRDefault="00072E7F" w:rsidP="00072E7F">
      <w:pPr>
        <w:pStyle w:val="ParaNoNdepar-AltN"/>
        <w:rPr>
          <w:rFonts w:cs="Times New Roman"/>
        </w:rPr>
      </w:pPr>
      <w:r w:rsidRPr="00C24125">
        <w:rPr>
          <w:rFonts w:cs="Times New Roman"/>
        </w:rPr>
        <w:t>Having explained why I reject the approach taken by my colleague, I turn to the application of the relevant principles to the case at hand.</w:t>
      </w:r>
    </w:p>
    <w:p w:rsidR="00072E7F" w:rsidRPr="00C24125" w:rsidRDefault="00072E7F" w:rsidP="00072E7F">
      <w:pPr>
        <w:pStyle w:val="Title1LevelTitre1Niveau-AltL"/>
        <w:tabs>
          <w:tab w:val="clear" w:pos="1926"/>
          <w:tab w:val="num" w:pos="576"/>
        </w:tabs>
        <w:ind w:left="576"/>
        <w:jc w:val="both"/>
        <w:rPr>
          <w:rFonts w:cs="Times New Roman"/>
        </w:rPr>
      </w:pPr>
      <w:r w:rsidRPr="00C24125">
        <w:rPr>
          <w:rFonts w:cs="Times New Roman"/>
        </w:rPr>
        <w:t>Application</w:t>
      </w:r>
    </w:p>
    <w:p w:rsidR="00072E7F" w:rsidRPr="00C24125" w:rsidRDefault="00072E7F" w:rsidP="00072E7F">
      <w:pPr>
        <w:pStyle w:val="ParaNoNdepar-AltN"/>
        <w:rPr>
          <w:rFonts w:cs="Times New Roman"/>
        </w:rPr>
      </w:pPr>
      <w:r w:rsidRPr="00C24125">
        <w:rPr>
          <w:rFonts w:cs="Times New Roman"/>
        </w:rPr>
        <w:lastRenderedPageBreak/>
        <w:t>In this instance, the police seized funds that were later determined t</w:t>
      </w:r>
      <w:r w:rsidR="006064E9">
        <w:rPr>
          <w:rFonts w:cs="Times New Roman"/>
        </w:rPr>
        <w:t>o be proceeds of crime upon Mr. </w:t>
      </w:r>
      <w:r w:rsidRPr="00C24125">
        <w:rPr>
          <w:rFonts w:cs="Times New Roman"/>
        </w:rPr>
        <w:t>Rafilovich’s guilty pleas. These funds were released to him to pay for reasonable legal expenses pursuant to s. 462.34(4). Those funds, which qualified as “property of an offender”, were subsequently tra</w:t>
      </w:r>
      <w:r w:rsidR="006064E9">
        <w:rPr>
          <w:rFonts w:cs="Times New Roman"/>
        </w:rPr>
        <w:t>nsferred to a third party — Mr. </w:t>
      </w:r>
      <w:r w:rsidRPr="00C24125">
        <w:rPr>
          <w:rFonts w:cs="Times New Roman"/>
        </w:rPr>
        <w:t xml:space="preserve">Rafilovich’s lawyer — such that they </w:t>
      </w:r>
      <w:r w:rsidRPr="00C24125">
        <w:rPr>
          <w:rFonts w:cs="Times New Roman"/>
          <w:lang w:val="en-US"/>
        </w:rPr>
        <w:t>could not be made subject to a forfeiture order</w:t>
      </w:r>
      <w:r w:rsidRPr="00C24125">
        <w:rPr>
          <w:rFonts w:cs="Times New Roman"/>
        </w:rPr>
        <w:t>. Consequently, the authority t</w:t>
      </w:r>
      <w:r w:rsidR="006064E9">
        <w:rPr>
          <w:rFonts w:cs="Times New Roman"/>
        </w:rPr>
        <w:t>o order a fine in lieu under s. </w:t>
      </w:r>
      <w:r w:rsidRPr="00C24125">
        <w:rPr>
          <w:rFonts w:cs="Times New Roman"/>
        </w:rPr>
        <w:t>462.37(3) was engaged.</w:t>
      </w:r>
    </w:p>
    <w:p w:rsidR="00072E7F" w:rsidRPr="00C24125" w:rsidRDefault="00072E7F" w:rsidP="00072E7F">
      <w:pPr>
        <w:pStyle w:val="ParaNoNdepar-AltN"/>
        <w:rPr>
          <w:rFonts w:cs="Times New Roman"/>
        </w:rPr>
      </w:pPr>
      <w:r w:rsidRPr="00C24125">
        <w:rPr>
          <w:rFonts w:cs="Times New Roman"/>
        </w:rPr>
        <w:t>But the sentencing judge exercised her limited discretion not to invoke this a</w:t>
      </w:r>
      <w:r w:rsidR="006064E9">
        <w:rPr>
          <w:rFonts w:cs="Times New Roman"/>
        </w:rPr>
        <w:t>uthority. She reasoned that Mr. </w:t>
      </w:r>
      <w:r w:rsidRPr="00C24125">
        <w:rPr>
          <w:rFonts w:cs="Times New Roman"/>
        </w:rPr>
        <w:t>Rafilovich “did not profit from hi</w:t>
      </w:r>
      <w:r w:rsidR="006064E9">
        <w:rPr>
          <w:rFonts w:cs="Times New Roman"/>
        </w:rPr>
        <w:t>s crime” (2013 ONSC 7293, at p. </w:t>
      </w:r>
      <w:r w:rsidRPr="00C24125">
        <w:rPr>
          <w:rFonts w:cs="Times New Roman"/>
        </w:rPr>
        <w:t>20 (CanLII)). She stressed that he “obtained no benefit from these funds other than enabling him to pay for legal representation to which he [was] constitutionally entitled” (</w:t>
      </w:r>
      <w:r w:rsidRPr="00C24125">
        <w:rPr>
          <w:rFonts w:cs="Times New Roman"/>
          <w:i/>
        </w:rPr>
        <w:t>ibid.</w:t>
      </w:r>
      <w:r w:rsidRPr="00C24125">
        <w:rPr>
          <w:rFonts w:cs="Times New Roman"/>
        </w:rPr>
        <w:t>). She also expressed concern about exposing Mr.</w:t>
      </w:r>
      <w:r w:rsidR="006064E9">
        <w:rPr>
          <w:rFonts w:cs="Times New Roman"/>
        </w:rPr>
        <w:t> </w:t>
      </w:r>
      <w:r w:rsidRPr="00C24125">
        <w:rPr>
          <w:rFonts w:cs="Times New Roman"/>
        </w:rPr>
        <w:t>Rafilovich to a term of imprisonment in the event of default, which similarly situated offenders who had alternative means or who qualified</w:t>
      </w:r>
      <w:r w:rsidR="00D169EA">
        <w:rPr>
          <w:rFonts w:cs="Times New Roman"/>
        </w:rPr>
        <w:t xml:space="preserve"> for legal aid would not face.</w:t>
      </w:r>
    </w:p>
    <w:p w:rsidR="00072E7F" w:rsidRPr="00C24125" w:rsidRDefault="00072E7F" w:rsidP="00072E7F">
      <w:pPr>
        <w:pStyle w:val="ParaNoNdepar-AltN"/>
        <w:rPr>
          <w:rFonts w:cs="Times New Roman"/>
        </w:rPr>
      </w:pPr>
      <w:r w:rsidRPr="00C24125">
        <w:rPr>
          <w:rFonts w:cs="Times New Roman"/>
        </w:rPr>
        <w:t>With respect, I am unable to agree with the learned s</w:t>
      </w:r>
      <w:r w:rsidR="00EF51F9">
        <w:rPr>
          <w:rFonts w:cs="Times New Roman"/>
        </w:rPr>
        <w:t>entencing judge’s analysis. Mr. </w:t>
      </w:r>
      <w:r w:rsidRPr="00C24125">
        <w:rPr>
          <w:rFonts w:cs="Times New Roman"/>
        </w:rPr>
        <w:t>Rafilovich did, in fact, receive a benefit from his crime: he retained an experienced lawyer of his choice through the use of about $42,000 derived from the commission of criminal offences. U</w:t>
      </w:r>
      <w:r w:rsidR="00EF51F9">
        <w:rPr>
          <w:rFonts w:cs="Times New Roman"/>
        </w:rPr>
        <w:t>nlike many accused persons, Mr. </w:t>
      </w:r>
      <w:r w:rsidRPr="00C24125">
        <w:rPr>
          <w:rFonts w:cs="Times New Roman"/>
        </w:rPr>
        <w:t xml:space="preserve">Rafilovich had the benefit of a pool of resources to draw upon to fund his defence. Moreover, the sentencing judge’s concerns about the prospect of imprisonment were misplaced. </w:t>
      </w:r>
      <w:r w:rsidRPr="00C24125">
        <w:rPr>
          <w:rFonts w:cs="Times New Roman"/>
        </w:rPr>
        <w:lastRenderedPageBreak/>
        <w:t>Pursuant to this Court’s decision in</w:t>
      </w:r>
      <w:r w:rsidRPr="00C24125">
        <w:rPr>
          <w:rFonts w:cs="Times New Roman"/>
          <w:i/>
        </w:rPr>
        <w:t xml:space="preserve"> Wu</w:t>
      </w:r>
      <w:r w:rsidRPr="00C24125">
        <w:rPr>
          <w:rFonts w:cs="Times New Roman"/>
        </w:rPr>
        <w:t>, a warrant of commit</w:t>
      </w:r>
      <w:r w:rsidR="00EF51F9">
        <w:rPr>
          <w:rFonts w:cs="Times New Roman"/>
        </w:rPr>
        <w:t>tal would be issued only if Mr. </w:t>
      </w:r>
      <w:r w:rsidRPr="00C24125">
        <w:rPr>
          <w:rFonts w:cs="Times New Roman"/>
        </w:rPr>
        <w:t>Rafilovich had the means to pay a fine in lieu but refused to do so within the time allotted.</w:t>
      </w:r>
    </w:p>
    <w:p w:rsidR="00072E7F" w:rsidRPr="00C24125" w:rsidRDefault="00072E7F" w:rsidP="00072E7F">
      <w:pPr>
        <w:pStyle w:val="ParaNoNdepar-AltN"/>
        <w:rPr>
          <w:rFonts w:cs="Times New Roman"/>
        </w:rPr>
      </w:pPr>
      <w:r w:rsidRPr="00C24125">
        <w:rPr>
          <w:rFonts w:cs="Times New Roman"/>
        </w:rPr>
        <w:t>Finally, although the sentencing judge stated that Mr. Rafilovich used the released funds to obtain “legal representation to which he [was] constitutionally entitled” (p. 20), she did not consider whether representation by counsel was essential to his constitutional right to a fair trial. This inquiry was, as a matter of law, a prerequisite to a finding that Mr. Rafilovich was constitutionally entitled to state-funded legal counsel and, in turn, the proper exercise of the limited discretion not to impose a</w:t>
      </w:r>
      <w:r w:rsidR="00EF51F9">
        <w:rPr>
          <w:rFonts w:cs="Times New Roman"/>
        </w:rPr>
        <w:t xml:space="preserve"> fine in lieu in this instance.</w:t>
      </w:r>
    </w:p>
    <w:p w:rsidR="00072E7F" w:rsidRPr="00C24125" w:rsidRDefault="00072E7F" w:rsidP="00072E7F">
      <w:pPr>
        <w:pStyle w:val="ParaNoNdepar-AltN"/>
        <w:rPr>
          <w:rFonts w:cs="Times New Roman"/>
        </w:rPr>
      </w:pPr>
      <w:r w:rsidRPr="00C24125">
        <w:rPr>
          <w:rFonts w:cs="Times New Roman"/>
        </w:rPr>
        <w:t>As the record before this Court is insufficient to decide this issue, I would set aside the order of the Court of Appeal and remit the case to the sentencing judge for determination.</w:t>
      </w:r>
    </w:p>
    <w:p w:rsidR="009B57B3" w:rsidRPr="00BA3F2F" w:rsidRDefault="009B57B3" w:rsidP="00A3178B">
      <w:pPr>
        <w:pStyle w:val="SCCNormalDoubleSpacing"/>
        <w:spacing w:after="480"/>
        <w:rPr>
          <w:smallCaps/>
        </w:rPr>
      </w:pPr>
      <w:r w:rsidRPr="00BA3F2F">
        <w:tab/>
      </w:r>
      <w:r w:rsidR="00656313" w:rsidRPr="00BA3F2F">
        <w:rPr>
          <w:i/>
        </w:rPr>
        <w:t>Appeal</w:t>
      </w:r>
      <w:r w:rsidR="009D6496" w:rsidRPr="00BA3F2F">
        <w:rPr>
          <w:i/>
        </w:rPr>
        <w:t xml:space="preserve"> </w:t>
      </w:r>
      <w:r w:rsidR="00BD248B" w:rsidRPr="00BA3F2F">
        <w:rPr>
          <w:i/>
        </w:rPr>
        <w:t>allowed</w:t>
      </w:r>
      <w:r w:rsidR="00E86902" w:rsidRPr="00BA3F2F">
        <w:rPr>
          <w:i/>
        </w:rPr>
        <w:t>,</w:t>
      </w:r>
      <w:r w:rsidR="00E86902" w:rsidRPr="00BA3F2F">
        <w:t xml:space="preserve"> </w:t>
      </w:r>
      <w:r w:rsidR="006D05A9" w:rsidRPr="00BA3F2F">
        <w:rPr>
          <w:smallCaps/>
        </w:rPr>
        <w:t>Wagner C.J.</w:t>
      </w:r>
      <w:r w:rsidR="006D05A9" w:rsidRPr="00BA3F2F">
        <w:t xml:space="preserve"> </w:t>
      </w:r>
      <w:r w:rsidR="006D05A9" w:rsidRPr="00BA3F2F">
        <w:rPr>
          <w:i/>
        </w:rPr>
        <w:t>and</w:t>
      </w:r>
      <w:r w:rsidR="006D05A9" w:rsidRPr="00BA3F2F">
        <w:t xml:space="preserve"> </w:t>
      </w:r>
      <w:r w:rsidR="006D05A9" w:rsidRPr="00BA3F2F">
        <w:rPr>
          <w:smallCaps/>
          <w:szCs w:val="24"/>
        </w:rPr>
        <w:t>Moldaver</w:t>
      </w:r>
      <w:r w:rsidR="006D05A9" w:rsidRPr="00BA3F2F">
        <w:rPr>
          <w:szCs w:val="24"/>
        </w:rPr>
        <w:t xml:space="preserve"> </w:t>
      </w:r>
      <w:r w:rsidR="006D05A9" w:rsidRPr="00BA3F2F">
        <w:rPr>
          <w:i/>
          <w:szCs w:val="24"/>
        </w:rPr>
        <w:t>and</w:t>
      </w:r>
      <w:r w:rsidR="006D05A9" w:rsidRPr="00BA3F2F">
        <w:rPr>
          <w:szCs w:val="24"/>
        </w:rPr>
        <w:t xml:space="preserve"> </w:t>
      </w:r>
      <w:r w:rsidR="006D05A9" w:rsidRPr="00BA3F2F">
        <w:rPr>
          <w:smallCaps/>
          <w:szCs w:val="24"/>
        </w:rPr>
        <w:t>Côté JJ.</w:t>
      </w:r>
      <w:r w:rsidR="006D05A9" w:rsidRPr="00BA3F2F">
        <w:rPr>
          <w:szCs w:val="24"/>
        </w:rPr>
        <w:t xml:space="preserve"> </w:t>
      </w:r>
      <w:r w:rsidR="006D05A9" w:rsidRPr="00BA3F2F">
        <w:rPr>
          <w:i/>
        </w:rPr>
        <w:t>dissenting</w:t>
      </w:r>
      <w:r w:rsidR="006D3CE4" w:rsidRPr="00BA3F2F">
        <w:rPr>
          <w:i/>
        </w:rPr>
        <w:t xml:space="preserve"> in part</w:t>
      </w:r>
      <w:r w:rsidR="006D05A9" w:rsidRPr="00BA3F2F">
        <w:rPr>
          <w:i/>
        </w:rPr>
        <w:t>.</w:t>
      </w:r>
    </w:p>
    <w:p w:rsidR="00F90EC8" w:rsidRPr="00BA3F2F" w:rsidRDefault="009D6496" w:rsidP="00A3178B">
      <w:pPr>
        <w:pStyle w:val="SCCLawFirm"/>
        <w:spacing w:after="480"/>
      </w:pPr>
      <w:r w:rsidRPr="00BA3F2F">
        <w:tab/>
        <w:t>Solicitors</w:t>
      </w:r>
      <w:r w:rsidR="00BA0848" w:rsidRPr="00BA3F2F">
        <w:t xml:space="preserve"> for the appellant: </w:t>
      </w:r>
      <w:r w:rsidR="00576530" w:rsidRPr="00BA3F2F">
        <w:t>Lafontaine &amp; Associates, Toronto.</w:t>
      </w:r>
    </w:p>
    <w:p w:rsidR="00F90EC8" w:rsidRPr="00BA3F2F" w:rsidRDefault="009D6496" w:rsidP="00A3178B">
      <w:pPr>
        <w:pStyle w:val="SCCLawFirm"/>
        <w:spacing w:after="480"/>
      </w:pPr>
      <w:r w:rsidRPr="00BA3F2F">
        <w:tab/>
        <w:t>Solicitor</w:t>
      </w:r>
      <w:r w:rsidR="00576530" w:rsidRPr="00BA3F2F">
        <w:t xml:space="preserve"> for the respondent:</w:t>
      </w:r>
      <w:r w:rsidR="00BA0848" w:rsidRPr="00BA3F2F">
        <w:t> </w:t>
      </w:r>
      <w:r w:rsidR="00576530" w:rsidRPr="00BA3F2F">
        <w:t>Public Prosecution Service of Canada, Toronto.</w:t>
      </w:r>
    </w:p>
    <w:p w:rsidR="00F90EC8" w:rsidRPr="00BA3F2F" w:rsidRDefault="009D6496" w:rsidP="00A3178B">
      <w:pPr>
        <w:pStyle w:val="SCCLawFirm"/>
        <w:spacing w:after="480"/>
      </w:pPr>
      <w:r w:rsidRPr="00BA3F2F">
        <w:lastRenderedPageBreak/>
        <w:tab/>
        <w:t>Solicitor</w:t>
      </w:r>
      <w:r w:rsidR="00576530" w:rsidRPr="00BA3F2F">
        <w:t xml:space="preserve"> for the intervener </w:t>
      </w:r>
      <w:r w:rsidRPr="00BA3F2F">
        <w:t xml:space="preserve">the </w:t>
      </w:r>
      <w:r w:rsidR="00576530" w:rsidRPr="00BA3F2F">
        <w:t>Attorney General of Ontario:</w:t>
      </w:r>
      <w:r w:rsidR="00BA0848" w:rsidRPr="00BA3F2F">
        <w:t> </w:t>
      </w:r>
      <w:r w:rsidR="00576530" w:rsidRPr="00BA3F2F">
        <w:t>Attorney General of Ontario, Toronto.</w:t>
      </w:r>
    </w:p>
    <w:p w:rsidR="00F90EC8" w:rsidRPr="00BA3F2F" w:rsidRDefault="009D6496" w:rsidP="00A3178B">
      <w:pPr>
        <w:pStyle w:val="SCCLawFirm"/>
        <w:spacing w:after="480"/>
      </w:pPr>
      <w:r w:rsidRPr="00BA3F2F">
        <w:tab/>
        <w:t>Solicitors</w:t>
      </w:r>
      <w:r w:rsidR="00576530" w:rsidRPr="00BA3F2F">
        <w:t xml:space="preserve"> for the intervener </w:t>
      </w:r>
      <w:r w:rsidRPr="00BA3F2F">
        <w:t xml:space="preserve">the </w:t>
      </w:r>
      <w:r w:rsidR="00576530" w:rsidRPr="00BA3F2F">
        <w:t>Canadian Civil Liberties Association:</w:t>
      </w:r>
      <w:r w:rsidR="00BA0848" w:rsidRPr="00BA3F2F">
        <w:t> </w:t>
      </w:r>
      <w:r w:rsidR="00576530" w:rsidRPr="00BA3F2F">
        <w:t>Brauti Thorning, Toronto.</w:t>
      </w:r>
    </w:p>
    <w:p w:rsidR="00F90EC8" w:rsidRPr="00BA3F2F" w:rsidRDefault="009D6496" w:rsidP="00A3178B">
      <w:pPr>
        <w:pStyle w:val="SCCLawFirm"/>
        <w:spacing w:after="480"/>
      </w:pPr>
      <w:r w:rsidRPr="00BA3F2F">
        <w:tab/>
        <w:t>Solicitors</w:t>
      </w:r>
      <w:r w:rsidR="00576530" w:rsidRPr="00BA3F2F">
        <w:t xml:space="preserve"> for the intervener </w:t>
      </w:r>
      <w:r w:rsidRPr="00BA3F2F">
        <w:t xml:space="preserve">the </w:t>
      </w:r>
      <w:r w:rsidR="00576530" w:rsidRPr="00BA3F2F">
        <w:t>Criminal Lawyers</w:t>
      </w:r>
      <w:r w:rsidR="00F527E1" w:rsidRPr="00BA3F2F">
        <w:t>’</w:t>
      </w:r>
      <w:r w:rsidR="00576530" w:rsidRPr="00BA3F2F">
        <w:t xml:space="preserve"> Association of Ontario:</w:t>
      </w:r>
      <w:r w:rsidR="00BA0848" w:rsidRPr="00BA3F2F">
        <w:t> </w:t>
      </w:r>
      <w:r w:rsidR="00B16D0A" w:rsidRPr="00083E91">
        <w:t>Alan D. Gold</w:t>
      </w:r>
      <w:r w:rsidR="00576530" w:rsidRPr="00BA3F2F">
        <w:t xml:space="preserve"> Professional Corporation, Toronto</w:t>
      </w:r>
      <w:r w:rsidRPr="00BA3F2F">
        <w:t>; Brauti Thorning, Toronto</w:t>
      </w:r>
      <w:r w:rsidR="00576530" w:rsidRPr="00BA3F2F">
        <w:t>.</w:t>
      </w:r>
    </w:p>
    <w:p w:rsidR="00F90EC8" w:rsidRPr="00BA3F2F" w:rsidRDefault="009D6496" w:rsidP="00A3178B">
      <w:pPr>
        <w:pStyle w:val="SCCLawFirm"/>
        <w:spacing w:after="480"/>
      </w:pPr>
      <w:r w:rsidRPr="00BA3F2F">
        <w:tab/>
        <w:t>Solicitors</w:t>
      </w:r>
      <w:r w:rsidR="00576530" w:rsidRPr="00BA3F2F">
        <w:t xml:space="preserve"> for the intervener</w:t>
      </w:r>
      <w:r w:rsidRPr="00BA3F2F">
        <w:t xml:space="preserve"> the</w:t>
      </w:r>
      <w:r w:rsidR="00576530" w:rsidRPr="00BA3F2F">
        <w:t xml:space="preserve"> British Columbia C</w:t>
      </w:r>
      <w:r w:rsidR="00BA0848" w:rsidRPr="00BA3F2F">
        <w:t>ivil Liberties Association: </w:t>
      </w:r>
      <w:r w:rsidRPr="00BA3F2F">
        <w:t xml:space="preserve">Thorsteinssons, Vancouver; </w:t>
      </w:r>
      <w:r w:rsidR="00576530" w:rsidRPr="00BA3F2F">
        <w:t>Arvay Finlay, Vancouver.</w:t>
      </w:r>
    </w:p>
    <w:sectPr w:rsidR="00F90EC8" w:rsidRPr="00BA3F2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E44" w:rsidRDefault="00A03E44">
      <w:r>
        <w:separator/>
      </w:r>
    </w:p>
  </w:endnote>
  <w:endnote w:type="continuationSeparator" w:id="0">
    <w:p w:rsidR="00A03E44" w:rsidRDefault="00A0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6" w:rsidRDefault="008D3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6" w:rsidRDefault="008D3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6" w:rsidRDefault="008D3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E44" w:rsidRDefault="00A03E44">
      <w:r>
        <w:separator/>
      </w:r>
    </w:p>
  </w:footnote>
  <w:footnote w:type="continuationSeparator" w:id="0">
    <w:p w:rsidR="00A03E44" w:rsidRDefault="00A03E44">
      <w:r>
        <w:continuationSeparator/>
      </w:r>
    </w:p>
  </w:footnote>
  <w:footnote w:id="1">
    <w:p w:rsidR="008D30A6" w:rsidRPr="00D07C32" w:rsidRDefault="008D30A6" w:rsidP="00072E7F">
      <w:pPr>
        <w:pStyle w:val="FootnoteText"/>
      </w:pPr>
      <w:r>
        <w:rPr>
          <w:rStyle w:val="FootnoteReference"/>
        </w:rPr>
        <w:footnoteRef/>
      </w:r>
      <w:r>
        <w:t xml:space="preserve"> </w:t>
      </w:r>
      <w:r w:rsidR="00D06554">
        <w:tab/>
        <w:t>T</w:t>
      </w:r>
      <w:r>
        <w:t xml:space="preserve">he </w:t>
      </w:r>
      <w:r>
        <w:rPr>
          <w:i/>
        </w:rPr>
        <w:t>Code</w:t>
      </w:r>
      <w:r>
        <w:t xml:space="preserve"> provides two mechanisms by which the state can take control of property believed to be the proceeds of crime. The mechanism at issue in this appeal — seizure — is authorized by warrant issued under s. 462.32 of the </w:t>
      </w:r>
      <w:r>
        <w:rPr>
          <w:i/>
        </w:rPr>
        <w:t>Code</w:t>
      </w:r>
      <w:r>
        <w:t xml:space="preserve">. The second mechanism is a restraint order issued under s. 462.33 of the </w:t>
      </w:r>
      <w:r>
        <w:rPr>
          <w:i/>
        </w:rPr>
        <w:t>Code</w:t>
      </w:r>
      <w:r>
        <w:t>, which prohibits “any person from disposing of, or otherwise dealing with any interest in, the property specified in the order otherwise than in the manner that may be specified in the order” (s. 462.33(3)). For simplicity, these reasons will use the term “seized” to mean “seized or restrained”.</w:t>
      </w:r>
    </w:p>
  </w:footnote>
  <w:footnote w:id="2">
    <w:p w:rsidR="008D30A6" w:rsidRPr="003F5983" w:rsidRDefault="008D30A6" w:rsidP="00072E7F">
      <w:pPr>
        <w:pStyle w:val="FootnoteText"/>
      </w:pPr>
      <w:r>
        <w:rPr>
          <w:rStyle w:val="FootnoteReference"/>
        </w:rPr>
        <w:footnoteRef/>
      </w:r>
      <w:r>
        <w:t xml:space="preserve"> </w:t>
      </w:r>
      <w:r w:rsidR="00D06554">
        <w:tab/>
      </w:r>
      <w:r w:rsidRPr="001E0A9D">
        <w:t xml:space="preserve">As discussed in para. </w:t>
      </w:r>
      <w:r w:rsidRPr="007A6F84">
        <w:t>2</w:t>
      </w:r>
      <w:r>
        <w:t>7</w:t>
      </w:r>
      <w:r w:rsidRPr="001E0A9D">
        <w:t>, forfeiture can occur even if the accused is not convicted, if the Crown can prove beyond a reasonable doubt that property is the proceeds of crime. In this case, there will be a “forfeiture hearing” rather than a “sentencing hearing”</w:t>
      </w:r>
      <w:r>
        <w:t>.</w:t>
      </w:r>
      <w:r w:rsidRPr="001E0A9D">
        <w:t xml:space="preserve"> These reasons will use the term “sentencing hearing” to mean “s</w:t>
      </w:r>
      <w:r>
        <w:t>entencing or forfeiture hearing</w:t>
      </w:r>
      <w:r w:rsidRPr="001E0A9D">
        <w:t>”</w:t>
      </w:r>
      <w:r>
        <w:t>.</w:t>
      </w:r>
    </w:p>
  </w:footnote>
  <w:footnote w:id="3">
    <w:p w:rsidR="008D30A6" w:rsidRPr="0020685C" w:rsidRDefault="008D30A6" w:rsidP="00072E7F">
      <w:pPr>
        <w:pStyle w:val="FootnoteText"/>
      </w:pPr>
      <w:r>
        <w:rPr>
          <w:rStyle w:val="FootnoteReference"/>
        </w:rPr>
        <w:footnoteRef/>
      </w:r>
      <w:r>
        <w:t xml:space="preserve"> </w:t>
      </w:r>
      <w:r w:rsidR="00D06554">
        <w:tab/>
      </w:r>
      <w:r>
        <w:t xml:space="preserve">Section </w:t>
      </w:r>
      <w:r w:rsidRPr="007A6F84">
        <w:t xml:space="preserve">462.34(4) </w:t>
      </w:r>
      <w:r>
        <w:t xml:space="preserve">of the </w:t>
      </w:r>
      <w:r>
        <w:rPr>
          <w:i/>
        </w:rPr>
        <w:t>Code</w:t>
      </w:r>
      <w:r>
        <w:t xml:space="preserve"> allows a judge to order the return of property that was seized under a warrant issued pursuant to s. 462.32. Where property was the subject of a restraint order made under s. 462.33(3), the judge may “revoke the order, vary the order to exclude the property or any interest in the property or part thereof from the application of the order or make the order subject to such reasonable conditions as the judge thinks fit”. For simplicity, these reasons will use the term “return” to refer to both situations.</w:t>
      </w:r>
      <w:r w:rsidRPr="007A6F84">
        <w:t xml:space="preserve"> When referring specifically to the return provision for reasonable legal expenses under s. 462.34(4)(c)(ii), these reasons will use the term “legal expenses return provision”.</w:t>
      </w:r>
    </w:p>
  </w:footnote>
  <w:footnote w:id="4">
    <w:p w:rsidR="008D30A6" w:rsidRPr="0016152D" w:rsidRDefault="008D30A6" w:rsidP="00072E7F">
      <w:pPr>
        <w:pStyle w:val="FootnoteText"/>
      </w:pPr>
      <w:r>
        <w:rPr>
          <w:rStyle w:val="FootnoteReference"/>
        </w:rPr>
        <w:footnoteRef/>
      </w:r>
      <w:r>
        <w:t xml:space="preserve"> </w:t>
      </w:r>
      <w:r w:rsidR="00D06554">
        <w:tab/>
      </w:r>
      <w:r>
        <w:t xml:space="preserve">Some of the jurisprudence refers to this as a “fine in lieu of forfeiture”. For clarity, these reasons use </w:t>
      </w:r>
      <w:r w:rsidRPr="008B691C">
        <w:t>the word “instead”, which is consistent</w:t>
      </w:r>
      <w:r>
        <w:t xml:space="preserve"> with the language of s. 462.37(3) of the </w:t>
      </w:r>
      <w:r>
        <w:rPr>
          <w:i/>
        </w:rPr>
        <w:t>Code</w:t>
      </w:r>
      <w:r>
        <w:t>.</w:t>
      </w:r>
    </w:p>
  </w:footnote>
  <w:footnote w:id="5">
    <w:p w:rsidR="008D30A6" w:rsidRPr="00484DE9" w:rsidRDefault="008D30A6" w:rsidP="00072E7F">
      <w:pPr>
        <w:pStyle w:val="FootnoteText"/>
      </w:pPr>
      <w:r w:rsidRPr="00484DE9">
        <w:rPr>
          <w:rStyle w:val="FootnoteReference"/>
        </w:rPr>
        <w:footnoteRef/>
      </w:r>
      <w:r w:rsidRPr="00484DE9">
        <w:t xml:space="preserve"> </w:t>
      </w:r>
      <w:r w:rsidR="00CA789B">
        <w:tab/>
      </w:r>
      <w:r w:rsidRPr="00484DE9">
        <w:rPr>
          <w:lang w:val="en-US"/>
        </w:rPr>
        <w:t>There is debate in the jurisprudence about whether an accused must apply for legal aid before obtaining a return order. This issue was not argued on this appeal and I do not intend to resolve it here.</w:t>
      </w:r>
    </w:p>
  </w:footnote>
  <w:footnote w:id="6">
    <w:p w:rsidR="008D30A6" w:rsidRPr="00530221" w:rsidRDefault="008D30A6" w:rsidP="00072E7F">
      <w:pPr>
        <w:pStyle w:val="FootnoteText"/>
      </w:pPr>
      <w:r>
        <w:rPr>
          <w:rStyle w:val="FootnoteReference"/>
        </w:rPr>
        <w:footnoteRef/>
      </w:r>
      <w:r>
        <w:t xml:space="preserve"> </w:t>
      </w:r>
      <w:r>
        <w:tab/>
      </w:r>
      <w:r>
        <w:tab/>
        <w:t xml:space="preserve">Unless otherwise indicated, all section number references are to the </w:t>
      </w:r>
      <w:r>
        <w:rPr>
          <w:i/>
        </w:rPr>
        <w:t>Criminal Code</w:t>
      </w:r>
      <w:r>
        <w:t>.</w:t>
      </w:r>
    </w:p>
  </w:footnote>
  <w:footnote w:id="7">
    <w:p w:rsidR="008D30A6" w:rsidRDefault="008D30A6" w:rsidP="00072E7F">
      <w:pPr>
        <w:pStyle w:val="FootnoteText"/>
      </w:pPr>
      <w:r>
        <w:rPr>
          <w:rStyle w:val="FootnoteReference"/>
        </w:rPr>
        <w:footnoteRef/>
      </w:r>
      <w:r>
        <w:t xml:space="preserve"> </w:t>
      </w:r>
      <w:r>
        <w:tab/>
      </w:r>
      <w:r>
        <w:tab/>
        <w:t>A conviction is not a prerequisite to a forfeiture order, as such an order may also follow a discharge under s. 730.</w:t>
      </w:r>
    </w:p>
  </w:footnote>
  <w:footnote w:id="8">
    <w:p w:rsidR="008D30A6" w:rsidRPr="00101863" w:rsidRDefault="008D30A6" w:rsidP="00072E7F">
      <w:pPr>
        <w:pStyle w:val="FootnoteText"/>
      </w:pPr>
      <w:r>
        <w:rPr>
          <w:rStyle w:val="FootnoteReference"/>
        </w:rPr>
        <w:footnoteRef/>
      </w:r>
      <w:r>
        <w:t xml:space="preserve"> </w:t>
      </w:r>
      <w:r>
        <w:tab/>
      </w:r>
      <w:r>
        <w:tab/>
        <w:t>It can, however, be taken into account when determining how much time an offender should be given to pay the fine (see paras. 47-48).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6" w:rsidRDefault="008D3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6" w:rsidRPr="006F2E88" w:rsidRDefault="008D30A6" w:rsidP="006F2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A6" w:rsidRDefault="008D3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F85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77FE"/>
    <w:multiLevelType w:val="hybridMultilevel"/>
    <w:tmpl w:val="443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8610E"/>
    <w:multiLevelType w:val="multilevel"/>
    <w:tmpl w:val="48C8A59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0A4638"/>
    <w:multiLevelType w:val="multilevel"/>
    <w:tmpl w:val="E042E2E4"/>
    <w:lvl w:ilvl="0">
      <w:start w:val="1"/>
      <w:numFmt w:val="decimal"/>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BD1908"/>
    <w:multiLevelType w:val="multilevel"/>
    <w:tmpl w:val="F82C35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C321E"/>
    <w:multiLevelType w:val="multilevel"/>
    <w:tmpl w:val="EEA6058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1A569C7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EA6002"/>
    <w:multiLevelType w:val="hybridMultilevel"/>
    <w:tmpl w:val="E53A89C2"/>
    <w:lvl w:ilvl="0" w:tplc="04090011">
      <w:start w:val="1"/>
      <w:numFmt w:val="decimal"/>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BF4B7D"/>
    <w:multiLevelType w:val="multilevel"/>
    <w:tmpl w:val="92FA202A"/>
    <w:lvl w:ilvl="0">
      <w:start w:val="1"/>
      <w:numFmt w:val="decimal"/>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D51440"/>
    <w:multiLevelType w:val="hybridMultilevel"/>
    <w:tmpl w:val="0CFA115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2"/>
  </w:num>
  <w:num w:numId="6">
    <w:abstractNumId w:val="20"/>
  </w:num>
  <w:num w:numId="7">
    <w:abstractNumId w:val="21"/>
  </w:num>
  <w:num w:numId="8">
    <w:abstractNumId w:val="18"/>
  </w:num>
  <w:num w:numId="9">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774"/>
          </w:tabs>
          <w:ind w:left="-774"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98"/>
          </w:tabs>
          <w:ind w:left="-198"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98"/>
          </w:tabs>
          <w:ind w:left="-198" w:hanging="576"/>
        </w:pPr>
        <w:rPr>
          <w:rFonts w:hint="default"/>
          <w:b w:val="0"/>
          <w:i w:val="0"/>
        </w:rPr>
      </w:lvl>
    </w:lvlOverride>
    <w:lvlOverride w:ilvl="4">
      <w:lvl w:ilvl="4">
        <w:start w:val="1"/>
        <w:numFmt w:val="lowerRoman"/>
        <w:pStyle w:val="Title5LevelTitre5Niveau"/>
        <w:lvlText w:val="(%5)"/>
        <w:lvlJc w:val="left"/>
        <w:pPr>
          <w:tabs>
            <w:tab w:val="num" w:pos="378"/>
          </w:tabs>
          <w:ind w:left="378" w:hanging="576"/>
        </w:pPr>
        <w:rPr>
          <w:rFonts w:hint="default"/>
        </w:rPr>
      </w:lvl>
    </w:lvlOverride>
    <w:lvlOverride w:ilvl="5">
      <w:lvl w:ilvl="5">
        <w:start w:val="1"/>
        <w:numFmt w:val="decimal"/>
        <w:pStyle w:val="Title6LevelTitre6Niveau"/>
        <w:lvlText w:val="%6."/>
        <w:lvlJc w:val="left"/>
        <w:pPr>
          <w:tabs>
            <w:tab w:val="num" w:pos="378"/>
          </w:tabs>
          <w:ind w:left="378" w:hanging="576"/>
        </w:pPr>
        <w:rPr>
          <w:rFonts w:hint="default"/>
          <w:b w:val="0"/>
          <w:i w:val="0"/>
        </w:rPr>
      </w:lvl>
    </w:lvlOverride>
    <w:lvlOverride w:ilvl="6">
      <w:lvl w:ilvl="6">
        <w:start w:val="1"/>
        <w:numFmt w:val="decimal"/>
        <w:lvlText w:val="%7."/>
        <w:lvlJc w:val="left"/>
        <w:pPr>
          <w:ind w:left="6858" w:hanging="432"/>
        </w:pPr>
        <w:rPr>
          <w:rFonts w:hint="default"/>
        </w:rPr>
      </w:lvl>
    </w:lvlOverride>
    <w:lvlOverride w:ilvl="7">
      <w:lvl w:ilvl="7">
        <w:start w:val="1"/>
        <w:numFmt w:val="lowerLetter"/>
        <w:lvlText w:val="%8."/>
        <w:lvlJc w:val="left"/>
        <w:pPr>
          <w:ind w:left="7290" w:hanging="432"/>
        </w:pPr>
        <w:rPr>
          <w:rFonts w:hint="default"/>
        </w:rPr>
      </w:lvl>
    </w:lvlOverride>
    <w:lvlOverride w:ilvl="8">
      <w:lvl w:ilvl="8">
        <w:start w:val="1"/>
        <w:numFmt w:val="lowerRoman"/>
        <w:lvlText w:val="%9."/>
        <w:lvlJc w:val="left"/>
        <w:pPr>
          <w:ind w:left="7722" w:hanging="432"/>
        </w:pPr>
        <w:rPr>
          <w:rFonts w:hint="default"/>
        </w:rPr>
      </w:lvl>
    </w:lvlOverride>
  </w:num>
  <w:num w:numId="10">
    <w:abstractNumId w:val="15"/>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num>
  <w:num w:numId="13">
    <w:abstractNumId w:val="25"/>
  </w:num>
  <w:num w:numId="14">
    <w:abstractNumId w:val="13"/>
  </w:num>
  <w:num w:numId="15">
    <w:abstractNumId w:val="23"/>
  </w:num>
  <w:num w:numId="16">
    <w:abstractNumId w:val="18"/>
    <w:lvlOverride w:ilvl="0">
      <w:startOverride w:val="1"/>
    </w:lvlOverride>
    <w:lvlOverride w:ilvl="1">
      <w:startOverride w:val="1"/>
    </w:lvlOverride>
  </w:num>
  <w:num w:numId="17">
    <w:abstractNumId w:val="26"/>
  </w:num>
  <w:num w:numId="18">
    <w:abstractNumId w:val="10"/>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8"/>
    <w:lvlOverride w:ilvl="0">
      <w:startOverride w:val="1"/>
      <w:lvl w:ilvl="0">
        <w:start w:val="1"/>
        <w:numFmt w:val="upperRoman"/>
        <w:pStyle w:val="Title1LevelTitre1Niveau-AltL"/>
        <w:lvlText w:val="%1."/>
        <w:lvlJc w:val="left"/>
        <w:pPr>
          <w:tabs>
            <w:tab w:val="num" w:pos="1926"/>
          </w:tabs>
          <w:ind w:left="192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num>
  <w:num w:numId="3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4">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774"/>
          </w:tabs>
          <w:ind w:left="-774"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98"/>
          </w:tabs>
          <w:ind w:left="-198"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98"/>
          </w:tabs>
          <w:ind w:left="-198" w:hanging="576"/>
        </w:pPr>
        <w:rPr>
          <w:rFonts w:hint="default"/>
          <w:b w:val="0"/>
          <w:i w:val="0"/>
        </w:rPr>
      </w:lvl>
    </w:lvlOverride>
    <w:lvlOverride w:ilvl="4">
      <w:startOverride w:val="1"/>
      <w:lvl w:ilvl="4">
        <w:start w:val="1"/>
        <w:numFmt w:val="lowerRoman"/>
        <w:pStyle w:val="Title5LevelTitre5Niveau"/>
        <w:lvlText w:val="(%5)"/>
        <w:lvlJc w:val="left"/>
        <w:pPr>
          <w:tabs>
            <w:tab w:val="num" w:pos="378"/>
          </w:tabs>
          <w:ind w:left="378" w:hanging="576"/>
        </w:pPr>
        <w:rPr>
          <w:rFonts w:hint="default"/>
        </w:rPr>
      </w:lvl>
    </w:lvlOverride>
    <w:lvlOverride w:ilvl="5">
      <w:startOverride w:val="1"/>
      <w:lvl w:ilvl="5">
        <w:start w:val="1"/>
        <w:numFmt w:val="decimal"/>
        <w:pStyle w:val="Title6LevelTitre6Niveau"/>
        <w:lvlText w:val="%6."/>
        <w:lvlJc w:val="left"/>
        <w:pPr>
          <w:tabs>
            <w:tab w:val="num" w:pos="378"/>
          </w:tabs>
          <w:ind w:left="378" w:hanging="576"/>
        </w:pPr>
        <w:rPr>
          <w:rFonts w:hint="default"/>
          <w:b w:val="0"/>
          <w:i w:val="0"/>
        </w:rPr>
      </w:lvl>
    </w:lvlOverride>
    <w:lvlOverride w:ilvl="6">
      <w:startOverride w:val="1"/>
      <w:lvl w:ilvl="6">
        <w:start w:val="1"/>
        <w:numFmt w:val="decimal"/>
        <w:lvlText w:val="%7."/>
        <w:lvlJc w:val="left"/>
        <w:pPr>
          <w:ind w:left="6858" w:hanging="432"/>
        </w:pPr>
        <w:rPr>
          <w:rFonts w:hint="default"/>
        </w:rPr>
      </w:lvl>
    </w:lvlOverride>
    <w:lvlOverride w:ilvl="7">
      <w:startOverride w:val="1"/>
      <w:lvl w:ilvl="7">
        <w:start w:val="1"/>
        <w:numFmt w:val="lowerLetter"/>
        <w:lvlText w:val="%8."/>
        <w:lvlJc w:val="left"/>
        <w:pPr>
          <w:ind w:left="7290" w:hanging="432"/>
        </w:pPr>
        <w:rPr>
          <w:rFonts w:hint="default"/>
        </w:rPr>
      </w:lvl>
    </w:lvlOverride>
    <w:lvlOverride w:ilvl="8">
      <w:startOverride w:val="1"/>
      <w:lvl w:ilvl="8">
        <w:start w:val="1"/>
        <w:numFmt w:val="lowerRoman"/>
        <w:lvlText w:val="%9."/>
        <w:lvlJc w:val="left"/>
        <w:pPr>
          <w:ind w:left="7722" w:hanging="432"/>
        </w:pPr>
        <w:rPr>
          <w:rFonts w:hint="default"/>
        </w:rPr>
      </w:lvl>
    </w:lvlOverride>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1D5"/>
    <w:rsid w:val="00000ED4"/>
    <w:rsid w:val="00012D67"/>
    <w:rsid w:val="00014198"/>
    <w:rsid w:val="00025198"/>
    <w:rsid w:val="00032152"/>
    <w:rsid w:val="000404B8"/>
    <w:rsid w:val="00041A75"/>
    <w:rsid w:val="00051127"/>
    <w:rsid w:val="00056A93"/>
    <w:rsid w:val="000578A3"/>
    <w:rsid w:val="00060B2F"/>
    <w:rsid w:val="00060D17"/>
    <w:rsid w:val="00060FC0"/>
    <w:rsid w:val="0006197B"/>
    <w:rsid w:val="00062017"/>
    <w:rsid w:val="0006397E"/>
    <w:rsid w:val="000648CC"/>
    <w:rsid w:val="00072E7F"/>
    <w:rsid w:val="00080B6A"/>
    <w:rsid w:val="00082EEC"/>
    <w:rsid w:val="00091627"/>
    <w:rsid w:val="000919A3"/>
    <w:rsid w:val="00092385"/>
    <w:rsid w:val="000942D4"/>
    <w:rsid w:val="0009690A"/>
    <w:rsid w:val="000A3456"/>
    <w:rsid w:val="000B3393"/>
    <w:rsid w:val="000C59B8"/>
    <w:rsid w:val="000C6A40"/>
    <w:rsid w:val="000C6AF0"/>
    <w:rsid w:val="000C743C"/>
    <w:rsid w:val="000D3F95"/>
    <w:rsid w:val="000E2563"/>
    <w:rsid w:val="000E6DF8"/>
    <w:rsid w:val="000F4127"/>
    <w:rsid w:val="00104F33"/>
    <w:rsid w:val="00105BE0"/>
    <w:rsid w:val="0011176A"/>
    <w:rsid w:val="00111DE2"/>
    <w:rsid w:val="00113F8D"/>
    <w:rsid w:val="00116B38"/>
    <w:rsid w:val="0012231B"/>
    <w:rsid w:val="00126748"/>
    <w:rsid w:val="00127624"/>
    <w:rsid w:val="00134150"/>
    <w:rsid w:val="00135406"/>
    <w:rsid w:val="00135972"/>
    <w:rsid w:val="001403D3"/>
    <w:rsid w:val="001426A9"/>
    <w:rsid w:val="00154D0F"/>
    <w:rsid w:val="00154D7C"/>
    <w:rsid w:val="00155F57"/>
    <w:rsid w:val="00155FB8"/>
    <w:rsid w:val="001570B0"/>
    <w:rsid w:val="0015752C"/>
    <w:rsid w:val="00157737"/>
    <w:rsid w:val="00165277"/>
    <w:rsid w:val="00170592"/>
    <w:rsid w:val="00170F7F"/>
    <w:rsid w:val="0017409B"/>
    <w:rsid w:val="00177D83"/>
    <w:rsid w:val="00186351"/>
    <w:rsid w:val="00191B45"/>
    <w:rsid w:val="001942F8"/>
    <w:rsid w:val="00195D83"/>
    <w:rsid w:val="001A00C1"/>
    <w:rsid w:val="001A2108"/>
    <w:rsid w:val="001A72CE"/>
    <w:rsid w:val="001B337E"/>
    <w:rsid w:val="001B33E0"/>
    <w:rsid w:val="001B4573"/>
    <w:rsid w:val="001B5017"/>
    <w:rsid w:val="001C6831"/>
    <w:rsid w:val="001C779F"/>
    <w:rsid w:val="001D2AC1"/>
    <w:rsid w:val="001D3D64"/>
    <w:rsid w:val="001D4357"/>
    <w:rsid w:val="001D4E88"/>
    <w:rsid w:val="001D63C1"/>
    <w:rsid w:val="001D63D0"/>
    <w:rsid w:val="001D7E95"/>
    <w:rsid w:val="001E1D9E"/>
    <w:rsid w:val="001F136A"/>
    <w:rsid w:val="001F1DC8"/>
    <w:rsid w:val="001F29AB"/>
    <w:rsid w:val="001F7005"/>
    <w:rsid w:val="00214B87"/>
    <w:rsid w:val="00217F90"/>
    <w:rsid w:val="00220FC2"/>
    <w:rsid w:val="00221305"/>
    <w:rsid w:val="002222F4"/>
    <w:rsid w:val="00223895"/>
    <w:rsid w:val="00224FC0"/>
    <w:rsid w:val="00225EA4"/>
    <w:rsid w:val="002265D4"/>
    <w:rsid w:val="00226EAF"/>
    <w:rsid w:val="00227376"/>
    <w:rsid w:val="00231F3A"/>
    <w:rsid w:val="0023289B"/>
    <w:rsid w:val="00234199"/>
    <w:rsid w:val="00236339"/>
    <w:rsid w:val="002406EE"/>
    <w:rsid w:val="00243EC8"/>
    <w:rsid w:val="00255DF4"/>
    <w:rsid w:val="002579AF"/>
    <w:rsid w:val="002636D7"/>
    <w:rsid w:val="00266954"/>
    <w:rsid w:val="00267917"/>
    <w:rsid w:val="002701D7"/>
    <w:rsid w:val="00270D93"/>
    <w:rsid w:val="002745CC"/>
    <w:rsid w:val="00277B08"/>
    <w:rsid w:val="002828AB"/>
    <w:rsid w:val="002849AF"/>
    <w:rsid w:val="00284BC2"/>
    <w:rsid w:val="002867CB"/>
    <w:rsid w:val="00286E5A"/>
    <w:rsid w:val="00292247"/>
    <w:rsid w:val="002964E9"/>
    <w:rsid w:val="002B0F7B"/>
    <w:rsid w:val="002B2F8D"/>
    <w:rsid w:val="002B7924"/>
    <w:rsid w:val="002C37F0"/>
    <w:rsid w:val="002C3B96"/>
    <w:rsid w:val="002D06A3"/>
    <w:rsid w:val="002D0E41"/>
    <w:rsid w:val="002D28C3"/>
    <w:rsid w:val="002D39A4"/>
    <w:rsid w:val="002D6039"/>
    <w:rsid w:val="002E4C59"/>
    <w:rsid w:val="002E6705"/>
    <w:rsid w:val="002F1456"/>
    <w:rsid w:val="002F656B"/>
    <w:rsid w:val="00301BD2"/>
    <w:rsid w:val="00301D08"/>
    <w:rsid w:val="0030329A"/>
    <w:rsid w:val="00305497"/>
    <w:rsid w:val="0030717E"/>
    <w:rsid w:val="003078C6"/>
    <w:rsid w:val="0031086F"/>
    <w:rsid w:val="003130FB"/>
    <w:rsid w:val="0031414C"/>
    <w:rsid w:val="00314E01"/>
    <w:rsid w:val="003160CC"/>
    <w:rsid w:val="0032089D"/>
    <w:rsid w:val="00320E84"/>
    <w:rsid w:val="00322356"/>
    <w:rsid w:val="00330B1A"/>
    <w:rsid w:val="003310DE"/>
    <w:rsid w:val="003323B0"/>
    <w:rsid w:val="00333980"/>
    <w:rsid w:val="003342C9"/>
    <w:rsid w:val="00335B39"/>
    <w:rsid w:val="0033669C"/>
    <w:rsid w:val="003511EA"/>
    <w:rsid w:val="0035169A"/>
    <w:rsid w:val="0035259D"/>
    <w:rsid w:val="00352A27"/>
    <w:rsid w:val="0035487B"/>
    <w:rsid w:val="00361339"/>
    <w:rsid w:val="0036135E"/>
    <w:rsid w:val="00364B18"/>
    <w:rsid w:val="003651C0"/>
    <w:rsid w:val="0037279C"/>
    <w:rsid w:val="00376A36"/>
    <w:rsid w:val="00382FDF"/>
    <w:rsid w:val="00385546"/>
    <w:rsid w:val="00386EDF"/>
    <w:rsid w:val="00390628"/>
    <w:rsid w:val="003948C5"/>
    <w:rsid w:val="003A125D"/>
    <w:rsid w:val="003A4C70"/>
    <w:rsid w:val="003A4EF3"/>
    <w:rsid w:val="003B215F"/>
    <w:rsid w:val="003B334F"/>
    <w:rsid w:val="003B3D63"/>
    <w:rsid w:val="003C462B"/>
    <w:rsid w:val="003C799C"/>
    <w:rsid w:val="003D0399"/>
    <w:rsid w:val="003D183C"/>
    <w:rsid w:val="003E1C71"/>
    <w:rsid w:val="003F327B"/>
    <w:rsid w:val="003F4E80"/>
    <w:rsid w:val="00404711"/>
    <w:rsid w:val="00406166"/>
    <w:rsid w:val="0040704B"/>
    <w:rsid w:val="00410A55"/>
    <w:rsid w:val="00411300"/>
    <w:rsid w:val="004124CE"/>
    <w:rsid w:val="00414DB6"/>
    <w:rsid w:val="00415417"/>
    <w:rsid w:val="004249BC"/>
    <w:rsid w:val="00425F75"/>
    <w:rsid w:val="00426659"/>
    <w:rsid w:val="004271F2"/>
    <w:rsid w:val="004470C0"/>
    <w:rsid w:val="00450352"/>
    <w:rsid w:val="00454BDB"/>
    <w:rsid w:val="00464800"/>
    <w:rsid w:val="00465132"/>
    <w:rsid w:val="00473F96"/>
    <w:rsid w:val="00475F39"/>
    <w:rsid w:val="00480C90"/>
    <w:rsid w:val="0048396F"/>
    <w:rsid w:val="004845F0"/>
    <w:rsid w:val="00484AB6"/>
    <w:rsid w:val="00493C18"/>
    <w:rsid w:val="004951F2"/>
    <w:rsid w:val="004A600C"/>
    <w:rsid w:val="004A6118"/>
    <w:rsid w:val="004B2630"/>
    <w:rsid w:val="004B72A9"/>
    <w:rsid w:val="004C478D"/>
    <w:rsid w:val="004D7CCA"/>
    <w:rsid w:val="004E269F"/>
    <w:rsid w:val="004E2C26"/>
    <w:rsid w:val="004F1F94"/>
    <w:rsid w:val="004F21C9"/>
    <w:rsid w:val="004F3329"/>
    <w:rsid w:val="004F36FF"/>
    <w:rsid w:val="004F42F1"/>
    <w:rsid w:val="004F6B7C"/>
    <w:rsid w:val="00505EEA"/>
    <w:rsid w:val="00511134"/>
    <w:rsid w:val="005125A8"/>
    <w:rsid w:val="00516964"/>
    <w:rsid w:val="00521601"/>
    <w:rsid w:val="00521AE8"/>
    <w:rsid w:val="00527180"/>
    <w:rsid w:val="00533206"/>
    <w:rsid w:val="00540952"/>
    <w:rsid w:val="0054201E"/>
    <w:rsid w:val="00553041"/>
    <w:rsid w:val="00555291"/>
    <w:rsid w:val="005565D0"/>
    <w:rsid w:val="00566AD1"/>
    <w:rsid w:val="00576530"/>
    <w:rsid w:val="005818F1"/>
    <w:rsid w:val="00583EDE"/>
    <w:rsid w:val="0059455C"/>
    <w:rsid w:val="00597860"/>
    <w:rsid w:val="005A6079"/>
    <w:rsid w:val="005B7B58"/>
    <w:rsid w:val="005C1BF1"/>
    <w:rsid w:val="005C7B61"/>
    <w:rsid w:val="005D0165"/>
    <w:rsid w:val="005E0591"/>
    <w:rsid w:val="005E1A4B"/>
    <w:rsid w:val="005E3596"/>
    <w:rsid w:val="005E4698"/>
    <w:rsid w:val="005E6E31"/>
    <w:rsid w:val="005F76C1"/>
    <w:rsid w:val="005F7BA0"/>
    <w:rsid w:val="006064E9"/>
    <w:rsid w:val="00610539"/>
    <w:rsid w:val="00613969"/>
    <w:rsid w:val="00616AF7"/>
    <w:rsid w:val="00620A1C"/>
    <w:rsid w:val="0062241D"/>
    <w:rsid w:val="00622746"/>
    <w:rsid w:val="00625C35"/>
    <w:rsid w:val="00634241"/>
    <w:rsid w:val="00636A39"/>
    <w:rsid w:val="006379E7"/>
    <w:rsid w:val="0064423E"/>
    <w:rsid w:val="00647694"/>
    <w:rsid w:val="0065469E"/>
    <w:rsid w:val="00656313"/>
    <w:rsid w:val="006565F4"/>
    <w:rsid w:val="006836AE"/>
    <w:rsid w:val="00684EEA"/>
    <w:rsid w:val="0069068F"/>
    <w:rsid w:val="0069689B"/>
    <w:rsid w:val="006A1551"/>
    <w:rsid w:val="006A4324"/>
    <w:rsid w:val="006B14C9"/>
    <w:rsid w:val="006B281F"/>
    <w:rsid w:val="006B5FF5"/>
    <w:rsid w:val="006C2546"/>
    <w:rsid w:val="006C555D"/>
    <w:rsid w:val="006C6355"/>
    <w:rsid w:val="006C6860"/>
    <w:rsid w:val="006C691B"/>
    <w:rsid w:val="006D05A9"/>
    <w:rsid w:val="006D3CE4"/>
    <w:rsid w:val="006D4F32"/>
    <w:rsid w:val="006E224C"/>
    <w:rsid w:val="006E3DCF"/>
    <w:rsid w:val="006F06D1"/>
    <w:rsid w:val="006F1740"/>
    <w:rsid w:val="006F2E88"/>
    <w:rsid w:val="006F30AF"/>
    <w:rsid w:val="00701759"/>
    <w:rsid w:val="00705C15"/>
    <w:rsid w:val="0071600E"/>
    <w:rsid w:val="00716449"/>
    <w:rsid w:val="007208D1"/>
    <w:rsid w:val="007220B5"/>
    <w:rsid w:val="00722546"/>
    <w:rsid w:val="00723749"/>
    <w:rsid w:val="00731318"/>
    <w:rsid w:val="007327ED"/>
    <w:rsid w:val="00733BE4"/>
    <w:rsid w:val="00747288"/>
    <w:rsid w:val="00747DD3"/>
    <w:rsid w:val="00750CA4"/>
    <w:rsid w:val="007521E0"/>
    <w:rsid w:val="007549C8"/>
    <w:rsid w:val="00754A0B"/>
    <w:rsid w:val="00765840"/>
    <w:rsid w:val="00766D14"/>
    <w:rsid w:val="00767A0F"/>
    <w:rsid w:val="00771984"/>
    <w:rsid w:val="00776100"/>
    <w:rsid w:val="00784E38"/>
    <w:rsid w:val="007A05F6"/>
    <w:rsid w:val="007A6291"/>
    <w:rsid w:val="007B1822"/>
    <w:rsid w:val="007B5ED3"/>
    <w:rsid w:val="007B6F4A"/>
    <w:rsid w:val="007C2F4D"/>
    <w:rsid w:val="007C4D6D"/>
    <w:rsid w:val="007D76E8"/>
    <w:rsid w:val="007E1C47"/>
    <w:rsid w:val="007E337A"/>
    <w:rsid w:val="007E5C70"/>
    <w:rsid w:val="007F2FF5"/>
    <w:rsid w:val="007F3F08"/>
    <w:rsid w:val="007F4E00"/>
    <w:rsid w:val="00804CC6"/>
    <w:rsid w:val="008120D2"/>
    <w:rsid w:val="00816676"/>
    <w:rsid w:val="00817190"/>
    <w:rsid w:val="00820EE5"/>
    <w:rsid w:val="008260E2"/>
    <w:rsid w:val="008322BD"/>
    <w:rsid w:val="008329C9"/>
    <w:rsid w:val="00833E0A"/>
    <w:rsid w:val="0083489C"/>
    <w:rsid w:val="00834F73"/>
    <w:rsid w:val="00846B56"/>
    <w:rsid w:val="00851038"/>
    <w:rsid w:val="0085344D"/>
    <w:rsid w:val="00856D92"/>
    <w:rsid w:val="00863221"/>
    <w:rsid w:val="00864CF8"/>
    <w:rsid w:val="008716EA"/>
    <w:rsid w:val="00872819"/>
    <w:rsid w:val="00873165"/>
    <w:rsid w:val="00874914"/>
    <w:rsid w:val="0088076B"/>
    <w:rsid w:val="00890E77"/>
    <w:rsid w:val="00890EBC"/>
    <w:rsid w:val="00891422"/>
    <w:rsid w:val="00892D70"/>
    <w:rsid w:val="00892E1A"/>
    <w:rsid w:val="008976EA"/>
    <w:rsid w:val="008A3F29"/>
    <w:rsid w:val="008B03C4"/>
    <w:rsid w:val="008B20C3"/>
    <w:rsid w:val="008B322B"/>
    <w:rsid w:val="008B3F78"/>
    <w:rsid w:val="008B660A"/>
    <w:rsid w:val="008C01DA"/>
    <w:rsid w:val="008C6C16"/>
    <w:rsid w:val="008D10A2"/>
    <w:rsid w:val="008D2958"/>
    <w:rsid w:val="008D29CE"/>
    <w:rsid w:val="008D30A6"/>
    <w:rsid w:val="008E0449"/>
    <w:rsid w:val="008F4F53"/>
    <w:rsid w:val="008F78E9"/>
    <w:rsid w:val="009043C7"/>
    <w:rsid w:val="009050AD"/>
    <w:rsid w:val="0091023B"/>
    <w:rsid w:val="00911989"/>
    <w:rsid w:val="00914B2A"/>
    <w:rsid w:val="009179F9"/>
    <w:rsid w:val="009253CB"/>
    <w:rsid w:val="00931516"/>
    <w:rsid w:val="00932850"/>
    <w:rsid w:val="00933E5E"/>
    <w:rsid w:val="009349F4"/>
    <w:rsid w:val="00934CDC"/>
    <w:rsid w:val="00935218"/>
    <w:rsid w:val="009403F3"/>
    <w:rsid w:val="00941516"/>
    <w:rsid w:val="009509DE"/>
    <w:rsid w:val="00953364"/>
    <w:rsid w:val="009555B7"/>
    <w:rsid w:val="00955DFC"/>
    <w:rsid w:val="009567AA"/>
    <w:rsid w:val="00956992"/>
    <w:rsid w:val="00964081"/>
    <w:rsid w:val="009661B3"/>
    <w:rsid w:val="00967374"/>
    <w:rsid w:val="009705BF"/>
    <w:rsid w:val="00975DCF"/>
    <w:rsid w:val="00976CD6"/>
    <w:rsid w:val="009A089F"/>
    <w:rsid w:val="009A343A"/>
    <w:rsid w:val="009A44D8"/>
    <w:rsid w:val="009B2F23"/>
    <w:rsid w:val="009B349C"/>
    <w:rsid w:val="009B57B3"/>
    <w:rsid w:val="009B7F1F"/>
    <w:rsid w:val="009C2E78"/>
    <w:rsid w:val="009C5B92"/>
    <w:rsid w:val="009C79B2"/>
    <w:rsid w:val="009D2920"/>
    <w:rsid w:val="009D5AEB"/>
    <w:rsid w:val="009D6496"/>
    <w:rsid w:val="009D7C6E"/>
    <w:rsid w:val="009E1014"/>
    <w:rsid w:val="009E4C0B"/>
    <w:rsid w:val="009E500A"/>
    <w:rsid w:val="009F0E33"/>
    <w:rsid w:val="009F417A"/>
    <w:rsid w:val="009F44BA"/>
    <w:rsid w:val="00A030CE"/>
    <w:rsid w:val="00A03E44"/>
    <w:rsid w:val="00A0689C"/>
    <w:rsid w:val="00A06C7F"/>
    <w:rsid w:val="00A149DF"/>
    <w:rsid w:val="00A168FD"/>
    <w:rsid w:val="00A1755C"/>
    <w:rsid w:val="00A21B90"/>
    <w:rsid w:val="00A251EA"/>
    <w:rsid w:val="00A3178B"/>
    <w:rsid w:val="00A327E5"/>
    <w:rsid w:val="00A3711C"/>
    <w:rsid w:val="00A41805"/>
    <w:rsid w:val="00A42DCD"/>
    <w:rsid w:val="00A46653"/>
    <w:rsid w:val="00A52AFB"/>
    <w:rsid w:val="00A532A1"/>
    <w:rsid w:val="00A548CB"/>
    <w:rsid w:val="00A5521C"/>
    <w:rsid w:val="00A618B4"/>
    <w:rsid w:val="00A643E7"/>
    <w:rsid w:val="00A672A9"/>
    <w:rsid w:val="00A70E82"/>
    <w:rsid w:val="00A72299"/>
    <w:rsid w:val="00A73C38"/>
    <w:rsid w:val="00A75753"/>
    <w:rsid w:val="00A75C0F"/>
    <w:rsid w:val="00A842D6"/>
    <w:rsid w:val="00A87558"/>
    <w:rsid w:val="00A91746"/>
    <w:rsid w:val="00A9496D"/>
    <w:rsid w:val="00A96D3D"/>
    <w:rsid w:val="00AA4A16"/>
    <w:rsid w:val="00AB0C31"/>
    <w:rsid w:val="00AB25CE"/>
    <w:rsid w:val="00AB49DD"/>
    <w:rsid w:val="00AB6037"/>
    <w:rsid w:val="00AB670D"/>
    <w:rsid w:val="00AB7265"/>
    <w:rsid w:val="00AB788E"/>
    <w:rsid w:val="00AC2FC3"/>
    <w:rsid w:val="00AD06EB"/>
    <w:rsid w:val="00AE0B95"/>
    <w:rsid w:val="00AE4535"/>
    <w:rsid w:val="00AF03C5"/>
    <w:rsid w:val="00AF4F39"/>
    <w:rsid w:val="00AF5935"/>
    <w:rsid w:val="00AF6C22"/>
    <w:rsid w:val="00B000D8"/>
    <w:rsid w:val="00B00F75"/>
    <w:rsid w:val="00B04A23"/>
    <w:rsid w:val="00B12E04"/>
    <w:rsid w:val="00B145B6"/>
    <w:rsid w:val="00B14E74"/>
    <w:rsid w:val="00B16D0A"/>
    <w:rsid w:val="00B22004"/>
    <w:rsid w:val="00B257A9"/>
    <w:rsid w:val="00B279EB"/>
    <w:rsid w:val="00B37EA4"/>
    <w:rsid w:val="00B41406"/>
    <w:rsid w:val="00B50C81"/>
    <w:rsid w:val="00B520D4"/>
    <w:rsid w:val="00B54F78"/>
    <w:rsid w:val="00B557F8"/>
    <w:rsid w:val="00B64A43"/>
    <w:rsid w:val="00B65856"/>
    <w:rsid w:val="00B77007"/>
    <w:rsid w:val="00B8034D"/>
    <w:rsid w:val="00B81112"/>
    <w:rsid w:val="00B815FC"/>
    <w:rsid w:val="00B82C86"/>
    <w:rsid w:val="00B843BE"/>
    <w:rsid w:val="00B91659"/>
    <w:rsid w:val="00B93FBC"/>
    <w:rsid w:val="00BA0848"/>
    <w:rsid w:val="00BA3F2F"/>
    <w:rsid w:val="00BA7DA0"/>
    <w:rsid w:val="00BB0426"/>
    <w:rsid w:val="00BB2EE4"/>
    <w:rsid w:val="00BB46BC"/>
    <w:rsid w:val="00BB7A43"/>
    <w:rsid w:val="00BC2108"/>
    <w:rsid w:val="00BD0E9E"/>
    <w:rsid w:val="00BD1BEC"/>
    <w:rsid w:val="00BD248B"/>
    <w:rsid w:val="00BD32FF"/>
    <w:rsid w:val="00BD7E07"/>
    <w:rsid w:val="00BE24B0"/>
    <w:rsid w:val="00BE4974"/>
    <w:rsid w:val="00BE4E3C"/>
    <w:rsid w:val="00BF2560"/>
    <w:rsid w:val="00BF26B9"/>
    <w:rsid w:val="00BF7BF7"/>
    <w:rsid w:val="00BF7C29"/>
    <w:rsid w:val="00C002E4"/>
    <w:rsid w:val="00C02092"/>
    <w:rsid w:val="00C05826"/>
    <w:rsid w:val="00C0783F"/>
    <w:rsid w:val="00C152EE"/>
    <w:rsid w:val="00C16EC2"/>
    <w:rsid w:val="00C17F05"/>
    <w:rsid w:val="00C24D91"/>
    <w:rsid w:val="00C2764A"/>
    <w:rsid w:val="00C30DBB"/>
    <w:rsid w:val="00C4089E"/>
    <w:rsid w:val="00C53F14"/>
    <w:rsid w:val="00C600CF"/>
    <w:rsid w:val="00C6084F"/>
    <w:rsid w:val="00C622AB"/>
    <w:rsid w:val="00C6261F"/>
    <w:rsid w:val="00C62A66"/>
    <w:rsid w:val="00C644DD"/>
    <w:rsid w:val="00C65A63"/>
    <w:rsid w:val="00C71458"/>
    <w:rsid w:val="00C744CD"/>
    <w:rsid w:val="00C75613"/>
    <w:rsid w:val="00C77613"/>
    <w:rsid w:val="00C828E7"/>
    <w:rsid w:val="00C82A6E"/>
    <w:rsid w:val="00C86719"/>
    <w:rsid w:val="00C90A1E"/>
    <w:rsid w:val="00C91857"/>
    <w:rsid w:val="00C921DD"/>
    <w:rsid w:val="00C93C30"/>
    <w:rsid w:val="00C9413F"/>
    <w:rsid w:val="00CA52AF"/>
    <w:rsid w:val="00CA6391"/>
    <w:rsid w:val="00CA789B"/>
    <w:rsid w:val="00CC34BD"/>
    <w:rsid w:val="00CC4C5E"/>
    <w:rsid w:val="00CC77AC"/>
    <w:rsid w:val="00CE161A"/>
    <w:rsid w:val="00CE3171"/>
    <w:rsid w:val="00CE66D0"/>
    <w:rsid w:val="00CF1601"/>
    <w:rsid w:val="00CF1F08"/>
    <w:rsid w:val="00CF4C06"/>
    <w:rsid w:val="00D0172F"/>
    <w:rsid w:val="00D02EB5"/>
    <w:rsid w:val="00D03F02"/>
    <w:rsid w:val="00D04219"/>
    <w:rsid w:val="00D06554"/>
    <w:rsid w:val="00D068A7"/>
    <w:rsid w:val="00D169EA"/>
    <w:rsid w:val="00D17476"/>
    <w:rsid w:val="00D21482"/>
    <w:rsid w:val="00D2500C"/>
    <w:rsid w:val="00D301AA"/>
    <w:rsid w:val="00D32086"/>
    <w:rsid w:val="00D37A3F"/>
    <w:rsid w:val="00D41BAA"/>
    <w:rsid w:val="00D422E9"/>
    <w:rsid w:val="00D4431D"/>
    <w:rsid w:val="00D4667A"/>
    <w:rsid w:val="00D50C1C"/>
    <w:rsid w:val="00D54B24"/>
    <w:rsid w:val="00D60E74"/>
    <w:rsid w:val="00D63A1C"/>
    <w:rsid w:val="00D70DC8"/>
    <w:rsid w:val="00D7516F"/>
    <w:rsid w:val="00D76CD1"/>
    <w:rsid w:val="00D806B5"/>
    <w:rsid w:val="00D8579F"/>
    <w:rsid w:val="00D93AD5"/>
    <w:rsid w:val="00D95F8E"/>
    <w:rsid w:val="00DA0590"/>
    <w:rsid w:val="00DA12B7"/>
    <w:rsid w:val="00DB3F89"/>
    <w:rsid w:val="00DB5EC0"/>
    <w:rsid w:val="00DB7BEA"/>
    <w:rsid w:val="00DC1739"/>
    <w:rsid w:val="00DC1788"/>
    <w:rsid w:val="00DC5E38"/>
    <w:rsid w:val="00DC6424"/>
    <w:rsid w:val="00DD4BA2"/>
    <w:rsid w:val="00DD68F7"/>
    <w:rsid w:val="00DE319C"/>
    <w:rsid w:val="00DE6504"/>
    <w:rsid w:val="00DE7435"/>
    <w:rsid w:val="00DF0CA8"/>
    <w:rsid w:val="00DF2B48"/>
    <w:rsid w:val="00DF49A7"/>
    <w:rsid w:val="00E07EE2"/>
    <w:rsid w:val="00E07FD1"/>
    <w:rsid w:val="00E176D8"/>
    <w:rsid w:val="00E200BF"/>
    <w:rsid w:val="00E24573"/>
    <w:rsid w:val="00E25E1E"/>
    <w:rsid w:val="00E27EE7"/>
    <w:rsid w:val="00E34E58"/>
    <w:rsid w:val="00E35404"/>
    <w:rsid w:val="00E363FB"/>
    <w:rsid w:val="00E373CB"/>
    <w:rsid w:val="00E42CE2"/>
    <w:rsid w:val="00E44C6B"/>
    <w:rsid w:val="00E45109"/>
    <w:rsid w:val="00E469F5"/>
    <w:rsid w:val="00E47B7A"/>
    <w:rsid w:val="00E56A44"/>
    <w:rsid w:val="00E60269"/>
    <w:rsid w:val="00E7352C"/>
    <w:rsid w:val="00E77932"/>
    <w:rsid w:val="00E81E10"/>
    <w:rsid w:val="00E84910"/>
    <w:rsid w:val="00E86902"/>
    <w:rsid w:val="00E90223"/>
    <w:rsid w:val="00E90B27"/>
    <w:rsid w:val="00E96396"/>
    <w:rsid w:val="00E97830"/>
    <w:rsid w:val="00EA5BA1"/>
    <w:rsid w:val="00EA5F65"/>
    <w:rsid w:val="00EA6BB1"/>
    <w:rsid w:val="00EA76D5"/>
    <w:rsid w:val="00EB0376"/>
    <w:rsid w:val="00EB5B23"/>
    <w:rsid w:val="00EB6756"/>
    <w:rsid w:val="00ED1AB6"/>
    <w:rsid w:val="00ED764C"/>
    <w:rsid w:val="00EE027E"/>
    <w:rsid w:val="00EE40FC"/>
    <w:rsid w:val="00EE5186"/>
    <w:rsid w:val="00EE6179"/>
    <w:rsid w:val="00EE643C"/>
    <w:rsid w:val="00EF0683"/>
    <w:rsid w:val="00EF21D7"/>
    <w:rsid w:val="00EF51F9"/>
    <w:rsid w:val="00EF69D2"/>
    <w:rsid w:val="00EF766E"/>
    <w:rsid w:val="00F0069C"/>
    <w:rsid w:val="00F0070C"/>
    <w:rsid w:val="00F00EB7"/>
    <w:rsid w:val="00F1465E"/>
    <w:rsid w:val="00F1669A"/>
    <w:rsid w:val="00F25526"/>
    <w:rsid w:val="00F276BF"/>
    <w:rsid w:val="00F30A26"/>
    <w:rsid w:val="00F36AB6"/>
    <w:rsid w:val="00F37A09"/>
    <w:rsid w:val="00F409CE"/>
    <w:rsid w:val="00F42A79"/>
    <w:rsid w:val="00F4379D"/>
    <w:rsid w:val="00F50D2D"/>
    <w:rsid w:val="00F527E1"/>
    <w:rsid w:val="00F54C2A"/>
    <w:rsid w:val="00F56C8B"/>
    <w:rsid w:val="00F5712C"/>
    <w:rsid w:val="00F5723C"/>
    <w:rsid w:val="00F64924"/>
    <w:rsid w:val="00F66810"/>
    <w:rsid w:val="00F70B90"/>
    <w:rsid w:val="00F716A8"/>
    <w:rsid w:val="00F72416"/>
    <w:rsid w:val="00F73BA7"/>
    <w:rsid w:val="00F74257"/>
    <w:rsid w:val="00F756A4"/>
    <w:rsid w:val="00F81BA0"/>
    <w:rsid w:val="00F81E82"/>
    <w:rsid w:val="00F846D9"/>
    <w:rsid w:val="00F84B44"/>
    <w:rsid w:val="00F84DF4"/>
    <w:rsid w:val="00F85C97"/>
    <w:rsid w:val="00F90EC8"/>
    <w:rsid w:val="00F91DEB"/>
    <w:rsid w:val="00FA00C1"/>
    <w:rsid w:val="00FA4C13"/>
    <w:rsid w:val="00FB0676"/>
    <w:rsid w:val="00FB1368"/>
    <w:rsid w:val="00FB37D2"/>
    <w:rsid w:val="00FB4094"/>
    <w:rsid w:val="00FB67C1"/>
    <w:rsid w:val="00FC3631"/>
    <w:rsid w:val="00FC4EFB"/>
    <w:rsid w:val="00FD068D"/>
    <w:rsid w:val="00FD1FF7"/>
    <w:rsid w:val="00FD4F28"/>
    <w:rsid w:val="00FE18AF"/>
    <w:rsid w:val="00FE6784"/>
    <w:rsid w:val="00FE7675"/>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9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E7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72E7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72E7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72E7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72E7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72E7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72E7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Citation-AltC">
    <w:name w:val="Citation - Alt C"/>
    <w:uiPriority w:val="2"/>
    <w:qFormat/>
    <w:rsid w:val="00E84910"/>
    <w:pPr>
      <w:spacing w:after="720"/>
      <w:ind w:left="1166"/>
      <w:contextualSpacing/>
      <w:jc w:val="both"/>
    </w:pPr>
    <w:rPr>
      <w:sz w:val="24"/>
      <w:szCs w:val="24"/>
    </w:rPr>
  </w:style>
  <w:style w:type="character" w:customStyle="1" w:styleId="solexhl">
    <w:name w:val="solexhl"/>
    <w:basedOn w:val="DefaultParagraphFont"/>
    <w:rsid w:val="00B64A43"/>
  </w:style>
  <w:style w:type="paragraph" w:customStyle="1" w:styleId="ParaNoNdepar-AltN">
    <w:name w:val="Para. No. / Nº de par. - Alt N"/>
    <w:qFormat/>
    <w:rsid w:val="007F4E00"/>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7F4E0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F4E00"/>
    <w:rPr>
      <w:rFonts w:eastAsiaTheme="minorHAnsi" w:cstheme="minorBidi"/>
      <w:sz w:val="24"/>
      <w:szCs w:val="22"/>
      <w:lang w:val="en-US" w:eastAsia="en-US" w:bidi="en-US"/>
    </w:rPr>
  </w:style>
  <w:style w:type="character" w:customStyle="1" w:styleId="Heading3Char">
    <w:name w:val="Heading 3 Char"/>
    <w:basedOn w:val="DefaultParagraphFont"/>
    <w:link w:val="Heading3"/>
    <w:uiPriority w:val="9"/>
    <w:rsid w:val="00072E7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72E7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72E7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72E7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72E7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72E7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72E7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72E7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072E7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72E7F"/>
    <w:rPr>
      <w:b/>
      <w:sz w:val="24"/>
    </w:rPr>
  </w:style>
  <w:style w:type="table" w:styleId="TableGrid">
    <w:name w:val="Table Grid"/>
    <w:basedOn w:val="TableNormal"/>
    <w:uiPriority w:val="59"/>
    <w:rsid w:val="00072E7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072E7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72E7F"/>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072E7F"/>
    <w:pPr>
      <w:numPr>
        <w:numId w:val="8"/>
      </w:numPr>
      <w:tabs>
        <w:tab w:val="clear" w:pos="576"/>
        <w:tab w:val="num" w:pos="1926"/>
      </w:tabs>
      <w:spacing w:before="480" w:after="720"/>
      <w:ind w:left="1926"/>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72E7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72E7F"/>
    <w:pPr>
      <w:numPr>
        <w:ilvl w:val="2"/>
      </w:numPr>
      <w:outlineLvl w:val="2"/>
    </w:pPr>
  </w:style>
  <w:style w:type="paragraph" w:customStyle="1" w:styleId="Title4LevelTitre4Niveau">
    <w:name w:val="Title 4 Level / Titre 4 Niveau"/>
    <w:basedOn w:val="Title3LevelTitre3Niveau"/>
    <w:next w:val="ParaNoNdepar-AltN"/>
    <w:uiPriority w:val="4"/>
    <w:qFormat/>
    <w:rsid w:val="00072E7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72E7F"/>
    <w:pPr>
      <w:numPr>
        <w:ilvl w:val="4"/>
      </w:numPr>
      <w:tabs>
        <w:tab w:val="clear" w:pos="1728"/>
        <w:tab w:val="num" w:pos="1440"/>
      </w:tabs>
      <w:outlineLvl w:val="4"/>
    </w:pPr>
  </w:style>
  <w:style w:type="paragraph" w:styleId="TOC1">
    <w:name w:val="toc 1"/>
    <w:basedOn w:val="Normal"/>
    <w:next w:val="Normal"/>
    <w:autoRedefine/>
    <w:uiPriority w:val="39"/>
    <w:unhideWhenUsed/>
    <w:rsid w:val="00072E7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72E7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72E7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72E7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72E7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72E7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72E7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72E7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72E7F"/>
    <w:pPr>
      <w:numPr>
        <w:ilvl w:val="5"/>
      </w:numPr>
      <w:jc w:val="both"/>
      <w:outlineLvl w:val="5"/>
    </w:pPr>
    <w:rPr>
      <w:i/>
      <w:u w:val="none"/>
    </w:rPr>
  </w:style>
  <w:style w:type="paragraph" w:styleId="FootnoteText">
    <w:name w:val="footnote text"/>
    <w:basedOn w:val="Normal"/>
    <w:link w:val="FootnoteTextChar"/>
    <w:uiPriority w:val="99"/>
    <w:unhideWhenUsed/>
    <w:rsid w:val="00072E7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72E7F"/>
  </w:style>
  <w:style w:type="character" w:styleId="FootnoteReference">
    <w:name w:val="footnote reference"/>
    <w:basedOn w:val="DefaultParagraphFont"/>
    <w:uiPriority w:val="99"/>
    <w:semiHidden/>
    <w:unhideWhenUsed/>
    <w:rsid w:val="00072E7F"/>
    <w:rPr>
      <w:vertAlign w:val="superscript"/>
    </w:rPr>
  </w:style>
  <w:style w:type="paragraph" w:customStyle="1" w:styleId="subparagraph">
    <w:name w:val="subparagraph"/>
    <w:basedOn w:val="Normal"/>
    <w:rsid w:val="00072E7F"/>
    <w:pPr>
      <w:spacing w:before="168" w:after="120"/>
      <w:ind w:left="720"/>
    </w:pPr>
    <w:rPr>
      <w:rFonts w:eastAsiaTheme="minorHAnsi" w:cstheme="minorBidi"/>
      <w:szCs w:val="22"/>
      <w:lang w:val="en-US" w:eastAsia="en-US" w:bidi="en-US"/>
    </w:rPr>
  </w:style>
  <w:style w:type="character" w:customStyle="1" w:styleId="lawlabel2">
    <w:name w:val="lawlabel2"/>
    <w:basedOn w:val="DefaultParagraphFont"/>
    <w:rsid w:val="00072E7F"/>
    <w:rPr>
      <w:b/>
      <w:bCs/>
      <w:color w:val="000000"/>
    </w:rPr>
  </w:style>
  <w:style w:type="paragraph" w:customStyle="1" w:styleId="subsection">
    <w:name w:val="subsection"/>
    <w:basedOn w:val="Normal"/>
    <w:rsid w:val="00072E7F"/>
    <w:pPr>
      <w:spacing w:before="168" w:after="120"/>
    </w:pPr>
    <w:rPr>
      <w:rFonts w:eastAsiaTheme="minorHAnsi" w:cstheme="minorBidi"/>
      <w:szCs w:val="22"/>
      <w:lang w:val="en-US" w:eastAsia="en-US" w:bidi="en-US"/>
    </w:rPr>
  </w:style>
  <w:style w:type="paragraph" w:customStyle="1" w:styleId="continuedsectionsubsection">
    <w:name w:val="continuedsectionsubsection"/>
    <w:basedOn w:val="Normal"/>
    <w:rsid w:val="00072E7F"/>
    <w:pPr>
      <w:spacing w:before="168" w:after="120"/>
    </w:pPr>
    <w:rPr>
      <w:rFonts w:eastAsiaTheme="minorHAnsi" w:cstheme="minorBidi"/>
      <w:szCs w:val="22"/>
      <w:lang w:val="en-US" w:eastAsia="en-US" w:bidi="en-US"/>
    </w:rPr>
  </w:style>
  <w:style w:type="paragraph" w:customStyle="1" w:styleId="paragraph">
    <w:name w:val="paragraph"/>
    <w:basedOn w:val="Normal"/>
    <w:rsid w:val="00072E7F"/>
    <w:pPr>
      <w:spacing w:before="168" w:after="120"/>
      <w:ind w:left="360"/>
    </w:pPr>
    <w:rPr>
      <w:rFonts w:eastAsiaTheme="minorHAnsi" w:cstheme="minorBidi"/>
      <w:szCs w:val="22"/>
      <w:lang w:val="en-US" w:eastAsia="en-US" w:bidi="en-US"/>
    </w:rPr>
  </w:style>
  <w:style w:type="paragraph" w:styleId="ListParagraph">
    <w:name w:val="List Paragraph"/>
    <w:basedOn w:val="Normal"/>
    <w:uiPriority w:val="34"/>
    <w:rsid w:val="00072E7F"/>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072E7F"/>
    <w:rPr>
      <w:sz w:val="16"/>
      <w:szCs w:val="16"/>
    </w:rPr>
  </w:style>
  <w:style w:type="paragraph" w:styleId="CommentText">
    <w:name w:val="annotation text"/>
    <w:basedOn w:val="Normal"/>
    <w:link w:val="CommentTextChar"/>
    <w:uiPriority w:val="99"/>
    <w:semiHidden/>
    <w:unhideWhenUsed/>
    <w:rsid w:val="00072E7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72E7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72E7F"/>
    <w:rPr>
      <w:b/>
      <w:bCs/>
    </w:rPr>
  </w:style>
  <w:style w:type="character" w:customStyle="1" w:styleId="CommentSubjectChar">
    <w:name w:val="Comment Subject Char"/>
    <w:basedOn w:val="CommentTextChar"/>
    <w:link w:val="CommentSubject"/>
    <w:uiPriority w:val="99"/>
    <w:semiHidden/>
    <w:rsid w:val="00072E7F"/>
    <w:rPr>
      <w:rFonts w:eastAsiaTheme="minorHAnsi" w:cstheme="minorBidi"/>
      <w:b/>
      <w:bCs/>
      <w:szCs w:val="22"/>
      <w:lang w:val="en-US" w:eastAsia="en-US" w:bidi="en-US"/>
    </w:rPr>
  </w:style>
  <w:style w:type="paragraph" w:customStyle="1" w:styleId="continuedparagraph">
    <w:name w:val="continuedparagraph"/>
    <w:basedOn w:val="Normal"/>
    <w:rsid w:val="00072E7F"/>
    <w:pPr>
      <w:spacing w:before="100" w:beforeAutospacing="1" w:after="100" w:afterAutospacing="1"/>
      <w:ind w:left="360"/>
    </w:pPr>
    <w:rPr>
      <w:rFonts w:eastAsiaTheme="minorHAnsi" w:cstheme="minorBidi"/>
      <w:szCs w:val="22"/>
      <w:lang w:val="en-US" w:eastAsia="en-US" w:bidi="en-US"/>
    </w:rPr>
  </w:style>
  <w:style w:type="paragraph" w:styleId="Revision">
    <w:name w:val="Revision"/>
    <w:hidden/>
    <w:uiPriority w:val="99"/>
    <w:semiHidden/>
    <w:rsid w:val="00072E7F"/>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072E7F"/>
    <w:rPr>
      <w:smallCaps/>
      <w:sz w:val="24"/>
    </w:rPr>
  </w:style>
  <w:style w:type="paragraph" w:styleId="NoSpacing">
    <w:name w:val="No Spacing"/>
    <w:uiPriority w:val="1"/>
    <w:rsid w:val="00072E7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72E7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72E7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72E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72E7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72E7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72E7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72E7F"/>
    <w:rPr>
      <w:i/>
      <w:iCs/>
    </w:rPr>
  </w:style>
  <w:style w:type="paragraph" w:styleId="IntenseQuote">
    <w:name w:val="Intense Quote"/>
    <w:basedOn w:val="Normal"/>
    <w:next w:val="Normal"/>
    <w:link w:val="IntenseQuoteChar"/>
    <w:uiPriority w:val="30"/>
    <w:rsid w:val="00072E7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72E7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72E7F"/>
    <w:rPr>
      <w:i/>
      <w:iCs/>
      <w:color w:val="808080" w:themeColor="text1" w:themeTint="7F"/>
    </w:rPr>
  </w:style>
  <w:style w:type="character" w:styleId="IntenseEmphasis">
    <w:name w:val="Intense Emphasis"/>
    <w:basedOn w:val="DefaultParagraphFont"/>
    <w:uiPriority w:val="21"/>
    <w:rsid w:val="00072E7F"/>
    <w:rPr>
      <w:b/>
      <w:bCs/>
      <w:i/>
      <w:iCs/>
      <w:color w:val="4F81BD" w:themeColor="accent1"/>
    </w:rPr>
  </w:style>
  <w:style w:type="character" w:styleId="SubtleReference">
    <w:name w:val="Subtle Reference"/>
    <w:basedOn w:val="DefaultParagraphFont"/>
    <w:uiPriority w:val="31"/>
    <w:rsid w:val="00072E7F"/>
    <w:rPr>
      <w:smallCaps/>
      <w:color w:val="C0504D" w:themeColor="accent2"/>
      <w:u w:val="single"/>
    </w:rPr>
  </w:style>
  <w:style w:type="character" w:styleId="IntenseReference">
    <w:name w:val="Intense Reference"/>
    <w:basedOn w:val="DefaultParagraphFont"/>
    <w:uiPriority w:val="32"/>
    <w:rsid w:val="00072E7F"/>
    <w:rPr>
      <w:b/>
      <w:bCs/>
      <w:smallCaps/>
      <w:color w:val="C0504D" w:themeColor="accent2"/>
      <w:spacing w:val="5"/>
      <w:u w:val="single"/>
    </w:rPr>
  </w:style>
  <w:style w:type="character" w:styleId="BookTitle">
    <w:name w:val="Book Title"/>
    <w:basedOn w:val="DefaultParagraphFont"/>
    <w:uiPriority w:val="33"/>
    <w:rsid w:val="00072E7F"/>
    <w:rPr>
      <w:b/>
      <w:bCs/>
      <w:smallCaps/>
      <w:spacing w:val="5"/>
    </w:rPr>
  </w:style>
  <w:style w:type="character" w:styleId="Hyperlink">
    <w:name w:val="Hyperlink"/>
    <w:basedOn w:val="DefaultParagraphFont"/>
    <w:uiPriority w:val="99"/>
    <w:unhideWhenUsed/>
    <w:rsid w:val="00072E7F"/>
    <w:rPr>
      <w:color w:val="0000FF" w:themeColor="hyperlink"/>
      <w:u w:val="single"/>
    </w:rPr>
  </w:style>
  <w:style w:type="paragraph" w:styleId="ListBullet">
    <w:name w:val="List Bullet"/>
    <w:basedOn w:val="Normal"/>
    <w:uiPriority w:val="99"/>
    <w:unhideWhenUsed/>
    <w:rsid w:val="00072E7F"/>
    <w:pPr>
      <w:tabs>
        <w:tab w:val="num" w:pos="360"/>
      </w:tabs>
      <w:ind w:left="360" w:hanging="360"/>
      <w:contextualSpacing/>
    </w:pPr>
    <w:rPr>
      <w:szCs w:val="24"/>
    </w:rPr>
  </w:style>
  <w:style w:type="character" w:customStyle="1" w:styleId="decisia-reflex2-icon">
    <w:name w:val="decisia-reflex2-icon"/>
    <w:basedOn w:val="DefaultParagraphFont"/>
    <w:rsid w:val="00072E7F"/>
  </w:style>
  <w:style w:type="table" w:customStyle="1" w:styleId="TableGrid2">
    <w:name w:val="Table Grid2"/>
    <w:basedOn w:val="TableNormal"/>
    <w:next w:val="TableGrid"/>
    <w:uiPriority w:val="59"/>
    <w:rsid w:val="00072E7F"/>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258">
      <w:bodyDiv w:val="1"/>
      <w:marLeft w:val="0"/>
      <w:marRight w:val="0"/>
      <w:marTop w:val="0"/>
      <w:marBottom w:val="0"/>
      <w:divBdr>
        <w:top w:val="none" w:sz="0" w:space="0" w:color="auto"/>
        <w:left w:val="none" w:sz="0" w:space="0" w:color="auto"/>
        <w:bottom w:val="none" w:sz="0" w:space="0" w:color="auto"/>
        <w:right w:val="none" w:sz="0" w:space="0" w:color="auto"/>
      </w:divBdr>
    </w:div>
    <w:div w:id="8329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C8AC-DC9F-425B-A91B-08A6570A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22541</Words>
  <Characters>128486</Characters>
  <Application>Microsoft Office Word</Application>
  <DocSecurity>0</DocSecurity>
  <Lines>1070</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2019-11-25T15:37:00Z</dcterms:created>
  <dcterms:modified xsi:type="dcterms:W3CDTF">2022-03-12T22:45:00Z</dcterms:modified>
</cp:coreProperties>
</file>