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25" w:rsidRPr="00E36225" w:rsidRDefault="00E36225" w:rsidP="00E36225">
      <w:pPr>
        <w:tabs>
          <w:tab w:val="center" w:pos="4680"/>
          <w:tab w:val="right" w:pos="9360"/>
        </w:tabs>
      </w:pPr>
      <w:r w:rsidRPr="00E36225">
        <w:ptab w:relativeTo="margin" w:alignment="center" w:leader="none"/>
      </w:r>
      <w:r w:rsidRPr="00E36225">
        <w:t xml:space="preserve"> </w:t>
      </w:r>
      <w:r w:rsidRPr="00E36225"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64.4pt" o:ole="">
            <v:imagedata r:id="rId8" o:title=""/>
          </v:shape>
          <o:OLEObject Type="Embed" ProgID="Presentations.Drawing.13" ShapeID="_x0000_i1025" DrawAspect="Content" ObjectID="_1709814003" r:id="rId9"/>
        </w:object>
      </w:r>
      <w:r w:rsidRPr="00E36225">
        <w:t xml:space="preserve"> </w:t>
      </w:r>
      <w:r w:rsidRPr="00E36225">
        <w:ptab w:relativeTo="margin" w:alignment="right" w:leader="none"/>
      </w:r>
    </w:p>
    <w:p w:rsidR="00E36225" w:rsidRPr="00E36225" w:rsidRDefault="00E36225" w:rsidP="00E36225">
      <w:pPr>
        <w:tabs>
          <w:tab w:val="center" w:pos="4680"/>
          <w:tab w:val="right" w:pos="9360"/>
        </w:tabs>
      </w:pPr>
    </w:p>
    <w:p w:rsidR="00E36225" w:rsidRPr="00E36225" w:rsidRDefault="00E36225" w:rsidP="00E36225">
      <w:pPr>
        <w:jc w:val="center"/>
        <w:rPr>
          <w:b/>
        </w:rPr>
      </w:pPr>
      <w:r w:rsidRPr="00E36225">
        <w:rPr>
          <w:b/>
        </w:rPr>
        <w:t>SUPREME COURT OF CANADA</w:t>
      </w:r>
    </w:p>
    <w:p w:rsidR="00E36225" w:rsidRPr="00E36225" w:rsidRDefault="00E36225" w:rsidP="00E36225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680"/>
        <w:gridCol w:w="4770"/>
      </w:tblGrid>
      <w:tr w:rsidR="00E36225" w:rsidRPr="00E36225" w:rsidTr="0033225A">
        <w:trPr>
          <w:cantSplit/>
        </w:trPr>
        <w:tc>
          <w:tcPr>
            <w:tcW w:w="4680" w:type="dxa"/>
          </w:tcPr>
          <w:p w:rsidR="00E36225" w:rsidRPr="00E36225" w:rsidRDefault="00E36225" w:rsidP="00E36225">
            <w:pPr>
              <w:ind w:left="-58"/>
            </w:pPr>
            <w:r w:rsidRPr="00E36225">
              <w:rPr>
                <w:b/>
                <w:smallCaps/>
              </w:rPr>
              <w:t>Citation:</w:t>
            </w:r>
            <w:r w:rsidRPr="00E36225">
              <w:t xml:space="preserve"> R. </w:t>
            </w:r>
            <w:r w:rsidRPr="00E36225">
              <w:rPr>
                <w:i/>
              </w:rPr>
              <w:t>v</w:t>
            </w:r>
            <w:r w:rsidRPr="00E36225">
              <w:t>. Shlah, 2019 SCC 56,</w:t>
            </w:r>
          </w:p>
          <w:p w:rsidR="00E36225" w:rsidRPr="00E36225" w:rsidRDefault="00E36225" w:rsidP="00E36225">
            <w:pPr>
              <w:ind w:left="-58"/>
            </w:pPr>
            <w:r w:rsidRPr="00E36225">
              <w:rPr>
                <w:smallCaps/>
              </w:rPr>
              <w:t>[2019] 4 S.</w:t>
            </w:r>
            <w:r w:rsidRPr="00E36225">
              <w:t>C.R. 136</w:t>
            </w:r>
          </w:p>
        </w:tc>
        <w:tc>
          <w:tcPr>
            <w:tcW w:w="4770" w:type="dxa"/>
          </w:tcPr>
          <w:p w:rsidR="00E36225" w:rsidRPr="00E36225" w:rsidRDefault="00E36225" w:rsidP="00E36225">
            <w:r w:rsidRPr="00E36225">
              <w:rPr>
                <w:b/>
                <w:smallCaps/>
              </w:rPr>
              <w:t>Appeals Heard:</w:t>
            </w:r>
            <w:r w:rsidRPr="00E36225">
              <w:t xml:space="preserve"> November 15, 2019</w:t>
            </w:r>
          </w:p>
          <w:p w:rsidR="00E36225" w:rsidRPr="00E36225" w:rsidRDefault="00E36225" w:rsidP="00E36225">
            <w:r w:rsidRPr="00E36225">
              <w:rPr>
                <w:b/>
              </w:rPr>
              <w:t>J</w:t>
            </w:r>
            <w:r w:rsidRPr="00E36225">
              <w:rPr>
                <w:b/>
                <w:smallCaps/>
              </w:rPr>
              <w:t xml:space="preserve">udgment Rendered: </w:t>
            </w:r>
            <w:r w:rsidRPr="00E36225">
              <w:t>November 15, 2019</w:t>
            </w:r>
          </w:p>
          <w:p w:rsidR="00E36225" w:rsidRPr="00E36225" w:rsidRDefault="00E36225" w:rsidP="00E36225">
            <w:r w:rsidRPr="00E36225">
              <w:rPr>
                <w:b/>
                <w:smallCaps/>
              </w:rPr>
              <w:t>Dockets:</w:t>
            </w:r>
            <w:r w:rsidRPr="00E36225">
              <w:t xml:space="preserve"> 38661, 38677</w:t>
            </w:r>
          </w:p>
        </w:tc>
      </w:tr>
    </w:tbl>
    <w:p w:rsidR="00E36225" w:rsidRPr="00E36225" w:rsidRDefault="00E36225" w:rsidP="00E36225"/>
    <w:p w:rsidR="00E36225" w:rsidRDefault="00E36225" w:rsidP="00E36225">
      <w:pPr>
        <w:rPr>
          <w:b/>
          <w:smallCaps/>
        </w:rPr>
      </w:pPr>
      <w:r w:rsidRPr="00E36225">
        <w:rPr>
          <w:b/>
          <w:smallCaps/>
        </w:rPr>
        <w:t>Between:</w:t>
      </w:r>
    </w:p>
    <w:p w:rsidR="00E36225" w:rsidRPr="00E36225" w:rsidRDefault="00E36225" w:rsidP="00E36225">
      <w:pPr>
        <w:rPr>
          <w:b/>
          <w:smallCaps/>
        </w:rPr>
      </w:pPr>
      <w:bookmarkStart w:id="0" w:name="_GoBack"/>
      <w:bookmarkEnd w:id="0"/>
    </w:p>
    <w:p w:rsidR="00E36225" w:rsidRPr="00E36225" w:rsidRDefault="00E36225" w:rsidP="00E36225">
      <w:pPr>
        <w:jc w:val="center"/>
        <w:rPr>
          <w:b/>
        </w:rPr>
      </w:pPr>
      <w:r w:rsidRPr="00E36225">
        <w:rPr>
          <w:b/>
        </w:rPr>
        <w:t>Assmar Ryiad Shlah</w:t>
      </w:r>
    </w:p>
    <w:p w:rsidR="00E36225" w:rsidRPr="00E36225" w:rsidRDefault="00E36225" w:rsidP="00E36225">
      <w:pPr>
        <w:jc w:val="center"/>
      </w:pPr>
      <w:r w:rsidRPr="00E36225">
        <w:t>Appellant</w:t>
      </w:r>
    </w:p>
    <w:p w:rsidR="00E36225" w:rsidRPr="00E36225" w:rsidRDefault="00E36225" w:rsidP="00E36225">
      <w:pPr>
        <w:jc w:val="center"/>
      </w:pPr>
    </w:p>
    <w:p w:rsidR="00E36225" w:rsidRPr="00E36225" w:rsidRDefault="00E36225" w:rsidP="00E36225">
      <w:pPr>
        <w:jc w:val="center"/>
      </w:pPr>
      <w:r w:rsidRPr="00E36225">
        <w:t>and</w:t>
      </w:r>
    </w:p>
    <w:p w:rsidR="00E36225" w:rsidRPr="00E36225" w:rsidRDefault="00E36225" w:rsidP="00E36225"/>
    <w:p w:rsidR="00E36225" w:rsidRPr="00E36225" w:rsidRDefault="00E36225" w:rsidP="00E36225">
      <w:pPr>
        <w:jc w:val="center"/>
        <w:rPr>
          <w:b/>
        </w:rPr>
      </w:pPr>
      <w:r w:rsidRPr="00E36225">
        <w:rPr>
          <w:b/>
        </w:rPr>
        <w:t>Her Majesty The Queen</w:t>
      </w:r>
    </w:p>
    <w:p w:rsidR="00E36225" w:rsidRPr="00E36225" w:rsidRDefault="00E36225" w:rsidP="00E36225">
      <w:pPr>
        <w:jc w:val="center"/>
      </w:pPr>
      <w:r w:rsidRPr="00E36225">
        <w:t>Respondent</w:t>
      </w:r>
      <w:r w:rsidRPr="00E36225">
        <w:br/>
      </w:r>
    </w:p>
    <w:p w:rsidR="00E36225" w:rsidRPr="00E36225" w:rsidRDefault="00E36225" w:rsidP="00E36225">
      <w:pPr>
        <w:rPr>
          <w:b/>
          <w:smallCaps/>
        </w:rPr>
      </w:pPr>
      <w:r w:rsidRPr="00E36225">
        <w:rPr>
          <w:b/>
          <w:smallCaps/>
        </w:rPr>
        <w:t>And Between:</w:t>
      </w:r>
    </w:p>
    <w:p w:rsidR="00E36225" w:rsidRPr="00E36225" w:rsidRDefault="00E36225" w:rsidP="00E36225"/>
    <w:p w:rsidR="00E36225" w:rsidRPr="00E36225" w:rsidRDefault="00E36225" w:rsidP="00E36225">
      <w:pPr>
        <w:jc w:val="center"/>
        <w:rPr>
          <w:b/>
        </w:rPr>
      </w:pPr>
      <w:r w:rsidRPr="00E36225">
        <w:rPr>
          <w:b/>
        </w:rPr>
        <w:t>Franz Emir Cabrera</w:t>
      </w:r>
    </w:p>
    <w:p w:rsidR="00E36225" w:rsidRPr="00E36225" w:rsidRDefault="00E36225" w:rsidP="00E36225">
      <w:pPr>
        <w:jc w:val="center"/>
      </w:pPr>
      <w:r w:rsidRPr="00E36225">
        <w:t>Appellant</w:t>
      </w:r>
    </w:p>
    <w:p w:rsidR="00E36225" w:rsidRPr="00E36225" w:rsidRDefault="00E36225" w:rsidP="00E36225"/>
    <w:p w:rsidR="00E36225" w:rsidRPr="00E36225" w:rsidRDefault="00E36225" w:rsidP="00E36225">
      <w:pPr>
        <w:jc w:val="center"/>
      </w:pPr>
      <w:r w:rsidRPr="00E36225">
        <w:t>and</w:t>
      </w:r>
    </w:p>
    <w:p w:rsidR="00E36225" w:rsidRPr="00E36225" w:rsidRDefault="00E36225" w:rsidP="00E36225">
      <w:pPr>
        <w:jc w:val="center"/>
      </w:pPr>
    </w:p>
    <w:p w:rsidR="00E36225" w:rsidRPr="00E36225" w:rsidRDefault="00E36225" w:rsidP="00E36225">
      <w:pPr>
        <w:jc w:val="center"/>
        <w:rPr>
          <w:b/>
        </w:rPr>
      </w:pPr>
      <w:r w:rsidRPr="00E36225">
        <w:rPr>
          <w:b/>
        </w:rPr>
        <w:t>Her Majesty The Queen</w:t>
      </w:r>
    </w:p>
    <w:p w:rsidR="00E36225" w:rsidRPr="00E36225" w:rsidRDefault="00E36225" w:rsidP="00E36225">
      <w:pPr>
        <w:jc w:val="center"/>
      </w:pPr>
      <w:r w:rsidRPr="00E36225">
        <w:t>Respondent</w:t>
      </w:r>
    </w:p>
    <w:p w:rsidR="00E36225" w:rsidRPr="00E36225" w:rsidRDefault="00E36225" w:rsidP="00E36225"/>
    <w:p w:rsidR="00E36225" w:rsidRPr="00E36225" w:rsidRDefault="00E36225" w:rsidP="00E36225"/>
    <w:p w:rsidR="00E36225" w:rsidRPr="00E36225" w:rsidRDefault="00E36225" w:rsidP="00E36225"/>
    <w:p w:rsidR="00E36225" w:rsidRPr="00E36225" w:rsidRDefault="00E36225" w:rsidP="00E36225">
      <w:r w:rsidRPr="00E36225">
        <w:rPr>
          <w:b/>
          <w:smallCaps/>
        </w:rPr>
        <w:t>Coram:</w:t>
      </w:r>
      <w:r w:rsidRPr="00E36225">
        <w:t xml:space="preserve"> Abella, Moldaver, Karakatsanis, Côté, Brown, Rowe and Kasirer JJ.</w:t>
      </w:r>
    </w:p>
    <w:p w:rsidR="00E36225" w:rsidRPr="00E36225" w:rsidRDefault="00E36225" w:rsidP="00E36225"/>
    <w:p w:rsidR="00E36225" w:rsidRPr="00E36225" w:rsidRDefault="00E36225" w:rsidP="00E362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36225" w:rsidRPr="00E36225" w:rsidTr="0033225A">
        <w:trPr>
          <w:cantSplit/>
        </w:trPr>
        <w:tc>
          <w:tcPr>
            <w:tcW w:w="3618" w:type="dxa"/>
          </w:tcPr>
          <w:p w:rsidR="00E36225" w:rsidRPr="00E36225" w:rsidRDefault="00E36225" w:rsidP="00E36225">
            <w:pPr>
              <w:ind w:left="-58"/>
              <w:rPr>
                <w:b/>
                <w:smallCaps/>
              </w:rPr>
            </w:pPr>
            <w:r w:rsidRPr="00E36225">
              <w:rPr>
                <w:b/>
                <w:smallCaps/>
              </w:rPr>
              <w:t>Reasons for Judgment:</w:t>
            </w:r>
          </w:p>
          <w:p w:rsidR="00E36225" w:rsidRPr="00E36225" w:rsidRDefault="00E36225" w:rsidP="00E36225">
            <w:pPr>
              <w:ind w:left="-58"/>
            </w:pPr>
            <w:r w:rsidRPr="00E36225">
              <w:t>(paras. 1 to 2)</w:t>
            </w:r>
          </w:p>
        </w:tc>
        <w:tc>
          <w:tcPr>
            <w:tcW w:w="5958" w:type="dxa"/>
          </w:tcPr>
          <w:p w:rsidR="00E36225" w:rsidRPr="00E36225" w:rsidRDefault="00E36225" w:rsidP="00E36225">
            <w:r w:rsidRPr="00E36225">
              <w:t>Moldaver J. (Abella, Karakatsanis, Côté, Brown, Rowe and Kasirer JJ. concurring)</w:t>
            </w:r>
          </w:p>
        </w:tc>
      </w:tr>
    </w:tbl>
    <w:p w:rsidR="00E36225" w:rsidRPr="00E36225" w:rsidRDefault="00E36225" w:rsidP="00E36225"/>
    <w:p w:rsidR="00E36225" w:rsidRPr="00E36225" w:rsidRDefault="00E36225" w:rsidP="00E36225"/>
    <w:p w:rsidR="00E36225" w:rsidRPr="00E36225" w:rsidRDefault="00E36225" w:rsidP="00E36225">
      <w:r w:rsidRPr="00E362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05BD" wp14:editId="2F1D028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4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36225" w:rsidRDefault="00E36225">
      <w:pPr>
        <w:rPr>
          <w:rFonts w:eastAsia="Times New Roman" w:cs="Times New Roman"/>
          <w:smallCaps/>
          <w:szCs w:val="20"/>
          <w:lang w:val="en-US" w:eastAsia="en-CA"/>
        </w:rPr>
      </w:pPr>
      <w:r>
        <w:rPr>
          <w:rFonts w:eastAsia="Times New Roman" w:cs="Times New Roman"/>
          <w:smallCaps/>
          <w:szCs w:val="20"/>
          <w:lang w:val="en-US" w:eastAsia="en-CA"/>
        </w:rPr>
        <w:br w:type="page"/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smallCaps/>
          <w:szCs w:val="20"/>
          <w:lang w:val="en-US" w:eastAsia="en-CA"/>
        </w:rPr>
      </w:pPr>
      <w:r w:rsidRPr="007B711C">
        <w:rPr>
          <w:rFonts w:eastAsia="Times New Roman" w:cs="Times New Roman"/>
          <w:smallCaps/>
          <w:szCs w:val="20"/>
          <w:lang w:val="en-US" w:eastAsia="en-CA"/>
        </w:rPr>
        <w:lastRenderedPageBreak/>
        <w:t>r.</w:t>
      </w:r>
      <w:r w:rsidRPr="007B711C">
        <w:rPr>
          <w:rFonts w:eastAsia="Times New Roman" w:cs="Times New Roman"/>
          <w:szCs w:val="20"/>
          <w:lang w:val="en-US" w:eastAsia="en-CA"/>
        </w:rPr>
        <w:t xml:space="preserve"> </w:t>
      </w:r>
      <w:r w:rsidRPr="007B711C">
        <w:rPr>
          <w:rFonts w:eastAsia="Times New Roman" w:cs="Times New Roman"/>
          <w:i/>
          <w:szCs w:val="20"/>
          <w:lang w:val="en-US" w:eastAsia="en-CA"/>
        </w:rPr>
        <w:t>v.</w:t>
      </w:r>
      <w:r w:rsidRPr="007B711C">
        <w:rPr>
          <w:rFonts w:eastAsia="Times New Roman" w:cs="Times New Roman"/>
          <w:szCs w:val="20"/>
          <w:lang w:val="en-US" w:eastAsia="en-CA"/>
        </w:rPr>
        <w:t xml:space="preserve"> </w:t>
      </w:r>
      <w:r w:rsidRPr="007B711C">
        <w:rPr>
          <w:rFonts w:eastAsia="Times New Roman" w:cs="Times New Roman"/>
          <w:smallCaps/>
          <w:szCs w:val="20"/>
          <w:lang w:val="en-US" w:eastAsia="en-CA"/>
        </w:rPr>
        <w:t>shlah</w:t>
      </w:r>
    </w:p>
    <w:p w:rsidR="00026F56" w:rsidRPr="007B711C" w:rsidRDefault="00026F56" w:rsidP="00026F56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val="en-US" w:eastAsia="en-CA"/>
        </w:rPr>
      </w:pPr>
      <w:r w:rsidRPr="007B711C">
        <w:rPr>
          <w:rFonts w:eastAsia="Times New Roman" w:cs="Times New Roman"/>
          <w:b/>
          <w:szCs w:val="20"/>
          <w:lang w:val="en-US" w:eastAsia="en-CA"/>
        </w:rPr>
        <w:t>Assmar Ryiad Shlah</w:t>
      </w:r>
      <w:r w:rsidRPr="007B711C">
        <w:rPr>
          <w:rFonts w:eastAsia="Times New Roman" w:cs="Times New Roman"/>
          <w:i/>
          <w:szCs w:val="20"/>
          <w:lang w:val="en-US" w:eastAsia="en-CA"/>
        </w:rPr>
        <w:tab/>
        <w:t>Appellant</w:t>
      </w:r>
    </w:p>
    <w:p w:rsidR="00026F56" w:rsidRPr="007B711C" w:rsidRDefault="00026F56" w:rsidP="00026F56">
      <w:pPr>
        <w:spacing w:after="720"/>
        <w:rPr>
          <w:rFonts w:eastAsia="Times New Roman" w:cs="Times New Roman"/>
          <w:i/>
          <w:szCs w:val="20"/>
          <w:lang w:eastAsia="en-CA"/>
        </w:rPr>
      </w:pPr>
      <w:r w:rsidRPr="007B711C">
        <w:rPr>
          <w:rFonts w:eastAsia="Times New Roman" w:cs="Times New Roman"/>
          <w:i/>
          <w:szCs w:val="20"/>
          <w:lang w:eastAsia="en-CA"/>
        </w:rPr>
        <w:t>v.</w:t>
      </w:r>
    </w:p>
    <w:p w:rsidR="00026F56" w:rsidRPr="007B711C" w:rsidRDefault="00026F56" w:rsidP="00026F56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7B711C">
        <w:rPr>
          <w:rFonts w:eastAsia="Times New Roman" w:cs="Times New Roman"/>
          <w:b/>
          <w:szCs w:val="20"/>
          <w:lang w:eastAsia="en-CA"/>
        </w:rPr>
        <w:t>Her Majesty The Queen</w:t>
      </w:r>
      <w:r w:rsidRPr="007B711C">
        <w:rPr>
          <w:rFonts w:eastAsia="Times New Roman" w:cs="Times New Roman"/>
          <w:i/>
          <w:szCs w:val="20"/>
          <w:lang w:eastAsia="en-CA"/>
        </w:rPr>
        <w:tab/>
        <w:t>Respondent</w:t>
      </w:r>
    </w:p>
    <w:p w:rsidR="00026F56" w:rsidRPr="007B711C" w:rsidRDefault="00026F56" w:rsidP="00026F56">
      <w:pPr>
        <w:spacing w:after="720"/>
        <w:rPr>
          <w:rFonts w:eastAsia="Times New Roman" w:cs="Times New Roman"/>
          <w:szCs w:val="20"/>
          <w:lang w:val="en-US" w:eastAsia="en-CA"/>
        </w:rPr>
      </w:pPr>
      <w:r w:rsidRPr="007B711C">
        <w:rPr>
          <w:rFonts w:eastAsia="Times New Roman" w:cs="Times New Roman"/>
          <w:szCs w:val="20"/>
          <w:lang w:val="en-US" w:eastAsia="en-CA"/>
        </w:rPr>
        <w:t>- and -</w:t>
      </w:r>
    </w:p>
    <w:p w:rsidR="00026F56" w:rsidRPr="007B711C" w:rsidRDefault="00026F56" w:rsidP="00026F56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val="en-US" w:eastAsia="en-CA"/>
        </w:rPr>
      </w:pPr>
      <w:r w:rsidRPr="007B711C">
        <w:rPr>
          <w:rFonts w:eastAsia="Times New Roman" w:cs="Times New Roman"/>
          <w:b/>
          <w:szCs w:val="20"/>
          <w:lang w:val="en-US" w:eastAsia="en-CA"/>
        </w:rPr>
        <w:t>Franz Emir Cabrera</w:t>
      </w:r>
      <w:r w:rsidRPr="007B711C">
        <w:rPr>
          <w:rFonts w:eastAsia="Times New Roman" w:cs="Times New Roman"/>
          <w:i/>
          <w:szCs w:val="20"/>
          <w:lang w:val="en-US" w:eastAsia="en-CA"/>
        </w:rPr>
        <w:tab/>
        <w:t>Appellant</w:t>
      </w:r>
    </w:p>
    <w:p w:rsidR="00026F56" w:rsidRPr="007B711C" w:rsidRDefault="00026F56" w:rsidP="00026F56">
      <w:pPr>
        <w:spacing w:after="720"/>
        <w:rPr>
          <w:rFonts w:eastAsia="Times New Roman" w:cs="Times New Roman"/>
          <w:i/>
          <w:szCs w:val="20"/>
          <w:lang w:eastAsia="en-CA"/>
        </w:rPr>
      </w:pPr>
      <w:r w:rsidRPr="007B711C">
        <w:rPr>
          <w:rFonts w:eastAsia="Times New Roman" w:cs="Times New Roman"/>
          <w:i/>
          <w:szCs w:val="20"/>
          <w:lang w:eastAsia="en-CA"/>
        </w:rPr>
        <w:t>v.</w:t>
      </w:r>
    </w:p>
    <w:p w:rsidR="00026F56" w:rsidRPr="007B711C" w:rsidRDefault="00026F56" w:rsidP="00026F56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7B711C">
        <w:rPr>
          <w:rFonts w:eastAsia="Times New Roman" w:cs="Times New Roman"/>
          <w:b/>
          <w:szCs w:val="20"/>
          <w:lang w:eastAsia="en-CA"/>
        </w:rPr>
        <w:t>Her Majesty The Queen</w:t>
      </w:r>
      <w:r w:rsidRPr="007B711C">
        <w:rPr>
          <w:rFonts w:eastAsia="Times New Roman" w:cs="Times New Roman"/>
          <w:i/>
          <w:szCs w:val="20"/>
          <w:lang w:eastAsia="en-CA"/>
        </w:rPr>
        <w:tab/>
        <w:t>Respondent</w:t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7B711C">
        <w:rPr>
          <w:rFonts w:eastAsia="Times New Roman" w:cs="Times New Roman"/>
          <w:b/>
          <w:szCs w:val="20"/>
          <w:lang w:eastAsia="en-CA"/>
        </w:rPr>
        <w:t xml:space="preserve">Indexed as: R. </w:t>
      </w:r>
      <w:r w:rsidRPr="007B711C">
        <w:rPr>
          <w:rFonts w:eastAsia="Times New Roman" w:cs="Times New Roman"/>
          <w:b/>
          <w:i/>
          <w:szCs w:val="20"/>
          <w:lang w:eastAsia="en-CA"/>
        </w:rPr>
        <w:t>v.</w:t>
      </w:r>
      <w:r w:rsidRPr="007B711C">
        <w:rPr>
          <w:rFonts w:eastAsia="Times New Roman" w:cs="Times New Roman"/>
          <w:b/>
          <w:szCs w:val="20"/>
          <w:lang w:eastAsia="en-CA"/>
        </w:rPr>
        <w:t xml:space="preserve"> Shlah</w:t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7B711C">
        <w:rPr>
          <w:rFonts w:eastAsia="Times New Roman" w:cs="Times New Roman"/>
          <w:b/>
          <w:szCs w:val="20"/>
          <w:lang w:eastAsia="en-CA"/>
        </w:rPr>
        <w:t>2019 SCC 56</w:t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>File Nos.: 38661, 38677.</w:t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>2019: November 15.</w:t>
      </w:r>
    </w:p>
    <w:p w:rsidR="00026F56" w:rsidRPr="007B711C" w:rsidRDefault="00026F56" w:rsidP="00026F56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>Present: Abella, Moldaver, Karakatsanis, Côté, Brown, Rowe and Kasirer JJ.</w:t>
      </w:r>
    </w:p>
    <w:p w:rsidR="00026F56" w:rsidRPr="007B711C" w:rsidRDefault="00026F56" w:rsidP="00026F56">
      <w:pPr>
        <w:tabs>
          <w:tab w:val="left" w:pos="1168"/>
        </w:tabs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7B711C">
        <w:rPr>
          <w:rFonts w:eastAsia="Times New Roman" w:cs="Times New Roman"/>
          <w:smallCaps/>
          <w:szCs w:val="20"/>
          <w:lang w:eastAsia="en-CA"/>
        </w:rPr>
        <w:lastRenderedPageBreak/>
        <w:t>on appeal from the court of appeal for alberta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</w:r>
      <w:r w:rsidRPr="007B711C">
        <w:rPr>
          <w:rFonts w:eastAsia="Times New Roman" w:cs="Times New Roman"/>
          <w:i/>
          <w:szCs w:val="20"/>
          <w:lang w:eastAsia="en-CA"/>
        </w:rPr>
        <w:t>Criminal law — Charge to jury — Co-principal liability — Unreasonable verdict — Victim beaten and stabbed to death by group of people — Accused both convicted by jury of second degree murder for participation in assault — Court of Appeal holding that charge to jury did not disclose reviewable error as it adequately addressed various paths to liability — Court of Appeal holding that it was open to jury to conclude that accused were liable either as principals or as co-principals in assault and acted with requisite intent for murder — Verdicts not unreasonable — Convictions upheld.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val="en"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val="en-US"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  <w:t>APPEALS from a judgment of the Alberta Court of Appeal (</w:t>
      </w:r>
      <w:r w:rsidRPr="007B711C">
        <w:rPr>
          <w:rFonts w:eastAsia="Times New Roman" w:cs="Times New Roman"/>
          <w:szCs w:val="20"/>
          <w:lang w:val="en-US" w:eastAsia="en-CA"/>
        </w:rPr>
        <w:t>Fraser C.J. and Veldhuis and Schutz JJ.A.), 2019 ABCA 184, 442 D.L.R. (4th) 368, 95 Alta. L.R. (6th) 258, [2019] A.J. No. 614 (QL), 2019 CarswellAlta 914 (WL Can.), affirming the convictions of the accused for second degree murder. Appeals dismissed.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val="en-US"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</w:r>
      <w:r w:rsidRPr="007B711C">
        <w:rPr>
          <w:rFonts w:eastAsia="Times New Roman" w:cs="Times New Roman"/>
          <w:i/>
          <w:szCs w:val="20"/>
          <w:lang w:val="en-US" w:eastAsia="en-CA"/>
        </w:rPr>
        <w:t>Balfour Q. H. Der</w:t>
      </w:r>
      <w:r w:rsidRPr="007B711C">
        <w:rPr>
          <w:rFonts w:eastAsia="Times New Roman" w:cs="Times New Roman"/>
          <w:szCs w:val="20"/>
          <w:lang w:val="en-US" w:eastAsia="en-CA"/>
        </w:rPr>
        <w:t xml:space="preserve">, </w:t>
      </w:r>
      <w:r w:rsidRPr="007B711C">
        <w:rPr>
          <w:rFonts w:eastAsia="Times New Roman" w:cs="Times New Roman"/>
          <w:i/>
          <w:szCs w:val="20"/>
          <w:lang w:val="en-US" w:eastAsia="en-CA"/>
        </w:rPr>
        <w:t>Q.C.</w:t>
      </w:r>
      <w:r w:rsidRPr="007B711C">
        <w:rPr>
          <w:rFonts w:eastAsia="Times New Roman" w:cs="Times New Roman"/>
          <w:szCs w:val="20"/>
          <w:lang w:val="en-US" w:eastAsia="en-CA"/>
        </w:rPr>
        <w:t xml:space="preserve">, and </w:t>
      </w:r>
      <w:r w:rsidRPr="007B711C">
        <w:rPr>
          <w:rFonts w:eastAsia="Times New Roman" w:cs="Times New Roman"/>
          <w:i/>
          <w:szCs w:val="20"/>
          <w:lang w:val="en-US" w:eastAsia="en-CA"/>
        </w:rPr>
        <w:t>James O. Wyman</w:t>
      </w:r>
      <w:r w:rsidRPr="007B711C">
        <w:rPr>
          <w:rFonts w:eastAsia="Times New Roman" w:cs="Times New Roman"/>
          <w:szCs w:val="20"/>
          <w:lang w:val="en-US" w:eastAsia="en-CA"/>
        </w:rPr>
        <w:t>, for the appellant Assmar Ryiad Shlah.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val="en-US"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i/>
          <w:szCs w:val="20"/>
          <w:lang w:val="en-US" w:eastAsia="en-CA"/>
        </w:rPr>
        <w:tab/>
      </w:r>
      <w:r w:rsidRPr="007B711C">
        <w:rPr>
          <w:rFonts w:eastAsia="Times New Roman" w:cs="Times New Roman"/>
          <w:i/>
          <w:szCs w:val="20"/>
          <w:lang w:eastAsia="en-CA"/>
        </w:rPr>
        <w:t>Gavin Wolch</w:t>
      </w:r>
      <w:r w:rsidRPr="007B711C">
        <w:rPr>
          <w:rFonts w:eastAsia="Times New Roman" w:cs="Times New Roman"/>
          <w:szCs w:val="20"/>
          <w:lang w:eastAsia="en-CA"/>
        </w:rPr>
        <w:t xml:space="preserve"> and </w:t>
      </w:r>
      <w:r w:rsidRPr="007B711C">
        <w:rPr>
          <w:rFonts w:eastAsia="Times New Roman" w:cs="Times New Roman"/>
          <w:i/>
          <w:szCs w:val="20"/>
          <w:lang w:eastAsia="en-CA"/>
        </w:rPr>
        <w:t>Agathon Fric</w:t>
      </w:r>
      <w:r w:rsidRPr="007B711C">
        <w:rPr>
          <w:rFonts w:eastAsia="Times New Roman" w:cs="Times New Roman"/>
          <w:szCs w:val="20"/>
          <w:lang w:eastAsia="en-CA"/>
        </w:rPr>
        <w:t>, for the appellant Franz Emir Cabrera.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i/>
          <w:szCs w:val="20"/>
          <w:lang w:eastAsia="en-CA"/>
        </w:rPr>
        <w:tab/>
        <w:t>Iwona Kuklicz</w:t>
      </w:r>
      <w:r w:rsidRPr="007B711C">
        <w:rPr>
          <w:rFonts w:eastAsia="Times New Roman" w:cs="Times New Roman"/>
          <w:szCs w:val="20"/>
          <w:lang w:eastAsia="en-CA"/>
        </w:rPr>
        <w:t xml:space="preserve">, </w:t>
      </w:r>
      <w:r w:rsidRPr="007B711C">
        <w:rPr>
          <w:rFonts w:eastAsia="Times New Roman" w:cs="Times New Roman"/>
          <w:i/>
          <w:szCs w:val="20"/>
          <w:lang w:eastAsia="en-CA"/>
        </w:rPr>
        <w:t>Brian Graff</w:t>
      </w:r>
      <w:r w:rsidRPr="007B711C">
        <w:rPr>
          <w:rFonts w:eastAsia="Times New Roman" w:cs="Times New Roman"/>
          <w:szCs w:val="20"/>
          <w:lang w:eastAsia="en-CA"/>
        </w:rPr>
        <w:t xml:space="preserve"> and </w:t>
      </w:r>
      <w:r w:rsidRPr="007B711C">
        <w:rPr>
          <w:rFonts w:eastAsia="Times New Roman" w:cs="Times New Roman"/>
          <w:i/>
          <w:szCs w:val="20"/>
          <w:lang w:eastAsia="en-CA"/>
        </w:rPr>
        <w:t>Rajbir Dhillon</w:t>
      </w:r>
      <w:r w:rsidRPr="007B711C">
        <w:rPr>
          <w:rFonts w:eastAsia="Times New Roman" w:cs="Times New Roman"/>
          <w:szCs w:val="20"/>
          <w:lang w:eastAsia="en-CA"/>
        </w:rPr>
        <w:t>, for the respondent.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  <w:t>The judgment of the Court was delivered orally by</w:t>
      </w:r>
    </w:p>
    <w:p w:rsidR="00026F56" w:rsidRDefault="00026F56" w:rsidP="00026F56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B72613">
        <w:rPr>
          <w:smallCaps/>
        </w:rPr>
        <w:lastRenderedPageBreak/>
        <w:t>Moldaver</w:t>
      </w:r>
      <w:r w:rsidRPr="00B72613">
        <w:t xml:space="preserve"> J. —</w:t>
      </w:r>
      <w:r>
        <w:t xml:space="preserve"> The </w:t>
      </w:r>
      <w:r w:rsidRPr="00C57765">
        <w:rPr>
          <w:lang w:val="en-US"/>
        </w:rPr>
        <w:t>appeals</w:t>
      </w:r>
      <w:r w:rsidRPr="00C57765">
        <w:t xml:space="preserve"> </w:t>
      </w:r>
      <w:r>
        <w:t>are</w:t>
      </w:r>
      <w:r w:rsidRPr="00B72613">
        <w:t xml:space="preserve"> dismissed substantially for the reasons of </w:t>
      </w:r>
      <w:r w:rsidRPr="00A812B0">
        <w:t>Chief Justice Fraser</w:t>
      </w:r>
      <w:r w:rsidRPr="00B72613">
        <w:t xml:space="preserve">. We agree with the majority of the Court of Appeal that the charge to the jury does not disclose </w:t>
      </w:r>
      <w:r>
        <w:t xml:space="preserve">a </w:t>
      </w:r>
      <w:r w:rsidRPr="00B72613">
        <w:t xml:space="preserve">reviewable error, and the jury’s </w:t>
      </w:r>
      <w:r w:rsidRPr="00A812B0">
        <w:t>verdict</w:t>
      </w:r>
      <w:r>
        <w:t>s</w:t>
      </w:r>
      <w:r w:rsidRPr="00A812B0">
        <w:t xml:space="preserve"> w</w:t>
      </w:r>
      <w:r>
        <w:t>ere</w:t>
      </w:r>
      <w:r w:rsidRPr="00A812B0">
        <w:t xml:space="preserve"> </w:t>
      </w:r>
      <w:r w:rsidRPr="00E0071B">
        <w:t>not unreasonable.</w:t>
      </w:r>
    </w:p>
    <w:p w:rsidR="00026F56" w:rsidRDefault="00026F56" w:rsidP="00026F56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B72613">
        <w:t xml:space="preserve">However, </w:t>
      </w:r>
      <w:r w:rsidRPr="00AB1AA6">
        <w:rPr>
          <w:lang w:val="en-US"/>
        </w:rPr>
        <w:t>we</w:t>
      </w:r>
      <w:r w:rsidRPr="00B72613">
        <w:t xml:space="preserve"> do not endorse </w:t>
      </w:r>
      <w:r w:rsidRPr="00A812B0">
        <w:t>para. 27</w:t>
      </w:r>
      <w:r w:rsidRPr="00B72613">
        <w:t xml:space="preserve"> of the majority’s reasons to the extent it may be taken as suggesting that the reviewing court must identify an extricable error as a precondition to concluding that the jury’s verdict was unreasonable. A determination that the jury’s verdict was unreasonable is itself an error of law warranting appellate intervention.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</w:r>
      <w:r w:rsidRPr="007B711C">
        <w:rPr>
          <w:rFonts w:eastAsia="Times New Roman" w:cs="Times New Roman"/>
          <w:i/>
          <w:szCs w:val="20"/>
          <w:lang w:eastAsia="en-CA"/>
        </w:rPr>
        <w:t>Judgment accordingly.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7B711C">
        <w:rPr>
          <w:rFonts w:eastAsia="Times New Roman" w:cs="Times New Roman"/>
          <w:szCs w:val="20"/>
          <w:lang w:eastAsia="en-CA"/>
        </w:rPr>
        <w:tab/>
      </w:r>
      <w:r w:rsidRPr="007B711C">
        <w:rPr>
          <w:rFonts w:eastAsia="Times New Roman" w:cs="Times New Roman"/>
          <w:i/>
          <w:szCs w:val="20"/>
          <w:lang w:eastAsia="en-CA"/>
        </w:rPr>
        <w:t>Solicitors for the appellant Assmar Ryiad Shlah: Der Barristers, Calgary.</w:t>
      </w: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26F56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7B711C">
        <w:rPr>
          <w:rFonts w:eastAsia="Times New Roman" w:cs="Times New Roman"/>
          <w:i/>
          <w:szCs w:val="20"/>
          <w:lang w:eastAsia="en-CA"/>
        </w:rPr>
        <w:tab/>
        <w:t>Solicitors for the appellant Franz Emir Cabrera: Wolch Watts Wilson &amp; Jugnauth, Calgary.</w:t>
      </w:r>
    </w:p>
    <w:p w:rsidR="00026F56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026F56" w:rsidRPr="007B711C" w:rsidRDefault="00026F56" w:rsidP="00026F56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>
        <w:rPr>
          <w:rFonts w:eastAsia="Times New Roman" w:cs="Times New Roman"/>
          <w:i/>
          <w:szCs w:val="20"/>
          <w:lang w:eastAsia="en-CA"/>
        </w:rPr>
        <w:tab/>
      </w:r>
      <w:r w:rsidRPr="007B711C">
        <w:rPr>
          <w:i/>
        </w:rPr>
        <w:t>Solicitor for the respondent: Attorney General of Alberta, Calgary.</w:t>
      </w:r>
    </w:p>
    <w:p w:rsidR="006612B6" w:rsidRPr="006B210C" w:rsidRDefault="006612B6"/>
    <w:sectPr w:rsidR="006612B6" w:rsidRPr="006B210C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A9" w:rsidRDefault="000C7EA9" w:rsidP="00F72014">
      <w:r>
        <w:separator/>
      </w:r>
    </w:p>
  </w:endnote>
  <w:endnote w:type="continuationSeparator" w:id="0">
    <w:p w:rsidR="000C7EA9" w:rsidRDefault="000C7EA9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A9" w:rsidRDefault="000C7EA9" w:rsidP="00F72014">
      <w:r>
        <w:separator/>
      </w:r>
    </w:p>
  </w:footnote>
  <w:footnote w:type="continuationSeparator" w:id="0">
    <w:p w:rsidR="000C7EA9" w:rsidRDefault="000C7EA9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26F56"/>
    <w:rsid w:val="000C7EA9"/>
    <w:rsid w:val="001311DA"/>
    <w:rsid w:val="001412E4"/>
    <w:rsid w:val="001648D4"/>
    <w:rsid w:val="001B0985"/>
    <w:rsid w:val="001D6B8C"/>
    <w:rsid w:val="001F1F83"/>
    <w:rsid w:val="00205C5C"/>
    <w:rsid w:val="00205C5D"/>
    <w:rsid w:val="00252460"/>
    <w:rsid w:val="00256DBA"/>
    <w:rsid w:val="00273D07"/>
    <w:rsid w:val="0028675F"/>
    <w:rsid w:val="002B1B6C"/>
    <w:rsid w:val="002C5A33"/>
    <w:rsid w:val="002D4FC9"/>
    <w:rsid w:val="00355967"/>
    <w:rsid w:val="00384384"/>
    <w:rsid w:val="003B2BE1"/>
    <w:rsid w:val="003B3C63"/>
    <w:rsid w:val="00460AFC"/>
    <w:rsid w:val="00467B44"/>
    <w:rsid w:val="004E69EC"/>
    <w:rsid w:val="004F090E"/>
    <w:rsid w:val="004F2D67"/>
    <w:rsid w:val="00540106"/>
    <w:rsid w:val="00582136"/>
    <w:rsid w:val="00590B24"/>
    <w:rsid w:val="005A7D8C"/>
    <w:rsid w:val="005D4801"/>
    <w:rsid w:val="006612B6"/>
    <w:rsid w:val="006B210C"/>
    <w:rsid w:val="00701ABD"/>
    <w:rsid w:val="007740CA"/>
    <w:rsid w:val="00800DE8"/>
    <w:rsid w:val="008111A5"/>
    <w:rsid w:val="00815561"/>
    <w:rsid w:val="00842677"/>
    <w:rsid w:val="00852D4E"/>
    <w:rsid w:val="00880B14"/>
    <w:rsid w:val="0088455F"/>
    <w:rsid w:val="00904937"/>
    <w:rsid w:val="0093524C"/>
    <w:rsid w:val="00940601"/>
    <w:rsid w:val="009533B6"/>
    <w:rsid w:val="00985C99"/>
    <w:rsid w:val="009932F7"/>
    <w:rsid w:val="00996510"/>
    <w:rsid w:val="0099776C"/>
    <w:rsid w:val="009E1B85"/>
    <w:rsid w:val="00A15427"/>
    <w:rsid w:val="00A51D10"/>
    <w:rsid w:val="00AB2201"/>
    <w:rsid w:val="00BD4217"/>
    <w:rsid w:val="00C003E6"/>
    <w:rsid w:val="00CE17A0"/>
    <w:rsid w:val="00D030DA"/>
    <w:rsid w:val="00D76BDF"/>
    <w:rsid w:val="00D82363"/>
    <w:rsid w:val="00DF15D7"/>
    <w:rsid w:val="00E22DBA"/>
    <w:rsid w:val="00E356C7"/>
    <w:rsid w:val="00E36225"/>
    <w:rsid w:val="00E5364D"/>
    <w:rsid w:val="00E54474"/>
    <w:rsid w:val="00E54D83"/>
    <w:rsid w:val="00E64FA7"/>
    <w:rsid w:val="00E770CB"/>
    <w:rsid w:val="00E92F04"/>
    <w:rsid w:val="00EB5576"/>
    <w:rsid w:val="00EF0E44"/>
    <w:rsid w:val="00F36AF0"/>
    <w:rsid w:val="00F419CA"/>
    <w:rsid w:val="00F6137D"/>
    <w:rsid w:val="00F72014"/>
    <w:rsid w:val="00F75912"/>
    <w:rsid w:val="00F9518C"/>
    <w:rsid w:val="00FA59EF"/>
    <w:rsid w:val="00FC2782"/>
    <w:rsid w:val="00FC70CB"/>
    <w:rsid w:val="00FE57D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252460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252460"/>
    <w:rPr>
      <w:b/>
      <w:smallCaps/>
      <w:lang w:val="en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252460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252460"/>
    <w:rPr>
      <w:lang w:val="en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99776C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99776C"/>
    <w:rPr>
      <w:lang w:val="en-CA"/>
    </w:rPr>
  </w:style>
  <w:style w:type="paragraph" w:customStyle="1" w:styleId="SCCLsocParty">
    <w:name w:val="SCC.Lsoc.Party"/>
    <w:basedOn w:val="Normal"/>
    <w:next w:val="Normal"/>
    <w:link w:val="SCCLsocPartyChar"/>
    <w:rsid w:val="0099776C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9776C"/>
    <w:rPr>
      <w:b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5ED5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FE5ED5"/>
    <w:rPr>
      <w:b/>
      <w:smallCaps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99776C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99776C"/>
    <w:rPr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99776C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99776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E5ED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FE5ED5"/>
    <w:rPr>
      <w:b/>
      <w:smallCaps/>
      <w:lang w:val="en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003E6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003E6"/>
    <w:rPr>
      <w:lang w:val="en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003E6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003E6"/>
    <w:rPr>
      <w:b/>
      <w:smallCaps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2C5A33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2C5A33"/>
    <w:rPr>
      <w:lang w:val="en-CA"/>
    </w:rPr>
  </w:style>
  <w:style w:type="paragraph" w:customStyle="1" w:styleId="SCCCounselName">
    <w:name w:val="SCC.CounselName"/>
    <w:basedOn w:val="Normal"/>
    <w:next w:val="Normal"/>
    <w:link w:val="SCCCounselNameChar"/>
    <w:rsid w:val="00256DBA"/>
    <w:pPr>
      <w:tabs>
        <w:tab w:val="left" w:pos="1168"/>
      </w:tabs>
      <w:spacing w:line="480" w:lineRule="auto"/>
      <w:jc w:val="both"/>
    </w:pPr>
    <w:rPr>
      <w:rFonts w:eastAsia="Times New Roman" w:cs="Times New Roman"/>
      <w:i/>
      <w:szCs w:val="20"/>
      <w:lang w:eastAsia="en-CA"/>
    </w:rPr>
  </w:style>
  <w:style w:type="character" w:customStyle="1" w:styleId="SCCCounselNameChar">
    <w:name w:val="SCC.CounselName Char"/>
    <w:basedOn w:val="DefaultParagraphFont"/>
    <w:link w:val="SCCCounselName"/>
    <w:rsid w:val="00256DBA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256DBA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CounselPartyRoleChar">
    <w:name w:val="SCC.CounselPartyRole Char"/>
    <w:basedOn w:val="DefaultParagraphFont"/>
    <w:link w:val="SCCCounselPartyRole"/>
    <w:rsid w:val="00256DBA"/>
    <w:rPr>
      <w:rFonts w:eastAsia="Times New Roman" w:cs="Times New Roman"/>
      <w:szCs w:val="20"/>
      <w:lang w:val="en-CA" w:eastAsia="en-CA"/>
    </w:rPr>
  </w:style>
  <w:style w:type="paragraph" w:customStyle="1" w:styleId="SCCNormalDoubleSpacing">
    <w:name w:val="SCC.Normal.DoubleSpacing"/>
    <w:basedOn w:val="Normal"/>
    <w:link w:val="SCCNormalDoubleSpacingChar"/>
    <w:rsid w:val="00026F56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026F56"/>
    <w:rPr>
      <w:rFonts w:eastAsia="Times New Roman" w:cs="Times New Roman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7D9F-A2BF-4AEE-81E7-20A676EC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2021-05-20T12:56:00Z</dcterms:created>
  <dcterms:modified xsi:type="dcterms:W3CDTF">2022-03-26T19:33:00Z</dcterms:modified>
</cp:coreProperties>
</file>