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BE" w:rsidRPr="004449BE" w:rsidRDefault="004449BE" w:rsidP="004449BE">
      <w:pPr>
        <w:tabs>
          <w:tab w:val="center" w:pos="4680"/>
          <w:tab w:val="right" w:pos="9360"/>
        </w:tabs>
        <w:rPr>
          <w:rFonts w:eastAsia="Calibri"/>
          <w:szCs w:val="24"/>
          <w:lang w:eastAsia="en-US"/>
        </w:rPr>
      </w:pPr>
      <w:bookmarkStart w:id="0" w:name="_GoBack"/>
      <w:bookmarkEnd w:id="0"/>
      <w:r w:rsidRPr="004449BE">
        <w:rPr>
          <w:rFonts w:eastAsia="Calibri"/>
          <w:szCs w:val="24"/>
          <w:lang w:eastAsia="en-US"/>
        </w:rPr>
        <w:ptab w:relativeTo="margin" w:alignment="center" w:leader="none"/>
      </w:r>
      <w:r w:rsidRPr="004449BE">
        <w:rPr>
          <w:rFonts w:eastAsia="Calibri"/>
          <w:szCs w:val="24"/>
          <w:lang w:eastAsia="en-US"/>
        </w:rPr>
        <w:t xml:space="preserve"> </w:t>
      </w:r>
      <w:r w:rsidRPr="004449BE">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64.4pt" o:ole="">
            <v:imagedata r:id="rId8" o:title=""/>
          </v:shape>
          <o:OLEObject Type="Embed" ProgID="Presentations.Drawing.13" ShapeID="_x0000_i1025" DrawAspect="Content" ObjectID="_1709816479" r:id="rId9"/>
        </w:object>
      </w:r>
      <w:r w:rsidRPr="004449BE">
        <w:rPr>
          <w:rFonts w:eastAsia="Calibri"/>
          <w:szCs w:val="24"/>
          <w:lang w:eastAsia="en-US"/>
        </w:rPr>
        <w:t xml:space="preserve"> </w:t>
      </w:r>
      <w:r w:rsidRPr="004449BE">
        <w:rPr>
          <w:rFonts w:eastAsia="Calibri"/>
          <w:szCs w:val="24"/>
          <w:lang w:eastAsia="en-US"/>
        </w:rPr>
        <w:ptab w:relativeTo="margin" w:alignment="right" w:leader="none"/>
      </w:r>
    </w:p>
    <w:p w:rsidR="004449BE" w:rsidRPr="004449BE" w:rsidRDefault="004449BE" w:rsidP="004449BE">
      <w:pPr>
        <w:tabs>
          <w:tab w:val="center" w:pos="4680"/>
          <w:tab w:val="right" w:pos="9360"/>
        </w:tabs>
        <w:rPr>
          <w:rFonts w:eastAsia="Calibri"/>
          <w:szCs w:val="24"/>
          <w:lang w:eastAsia="en-US"/>
        </w:rPr>
      </w:pPr>
    </w:p>
    <w:p w:rsidR="004449BE" w:rsidRPr="004449BE" w:rsidRDefault="004449BE" w:rsidP="004449BE">
      <w:pPr>
        <w:jc w:val="center"/>
        <w:rPr>
          <w:rFonts w:eastAsia="Calibri"/>
          <w:b/>
          <w:szCs w:val="24"/>
          <w:lang w:eastAsia="en-US"/>
        </w:rPr>
      </w:pPr>
      <w:r w:rsidRPr="004449BE">
        <w:rPr>
          <w:rFonts w:eastAsia="Calibri"/>
          <w:b/>
          <w:szCs w:val="24"/>
          <w:lang w:eastAsia="en-US"/>
        </w:rPr>
        <w:t>SUPREME COURT OF CANADA</w:t>
      </w:r>
    </w:p>
    <w:p w:rsidR="004449BE" w:rsidRPr="004449BE" w:rsidRDefault="004449BE" w:rsidP="004449BE">
      <w:pPr>
        <w:rPr>
          <w:rFonts w:eastAsia="Calibri"/>
          <w:szCs w:val="24"/>
          <w:lang w:eastAsia="en-US"/>
        </w:rPr>
      </w:pPr>
    </w:p>
    <w:tbl>
      <w:tblPr>
        <w:tblStyle w:val="TableGrid3"/>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590"/>
      </w:tblGrid>
      <w:tr w:rsidR="004449BE" w:rsidRPr="004449BE" w:rsidTr="0033225A">
        <w:trPr>
          <w:cantSplit/>
        </w:trPr>
        <w:tc>
          <w:tcPr>
            <w:tcW w:w="5400" w:type="dxa"/>
          </w:tcPr>
          <w:p w:rsidR="004449BE" w:rsidRPr="004449BE" w:rsidRDefault="004449BE" w:rsidP="004449BE">
            <w:pPr>
              <w:rPr>
                <w:lang w:val="fr-CA"/>
              </w:rPr>
            </w:pPr>
            <w:r w:rsidRPr="004449BE">
              <w:rPr>
                <w:b/>
                <w:smallCaps/>
                <w:lang w:val="fr-CA"/>
              </w:rPr>
              <w:t>Citation:</w:t>
            </w:r>
            <w:r w:rsidRPr="004449BE">
              <w:rPr>
                <w:lang w:val="fr-CA"/>
              </w:rPr>
              <w:t xml:space="preserve"> </w:t>
            </w:r>
            <w:proofErr w:type="spellStart"/>
            <w:r w:rsidRPr="004449BE">
              <w:rPr>
                <w:lang w:val="fr-CA"/>
              </w:rPr>
              <w:t>Kosoian</w:t>
            </w:r>
            <w:proofErr w:type="spellEnd"/>
            <w:r w:rsidRPr="004449BE">
              <w:rPr>
                <w:lang w:val="fr-CA"/>
              </w:rPr>
              <w:t xml:space="preserve"> </w:t>
            </w:r>
            <w:r w:rsidRPr="004449BE">
              <w:rPr>
                <w:i/>
                <w:lang w:val="fr-CA"/>
              </w:rPr>
              <w:t>v.</w:t>
            </w:r>
            <w:r w:rsidRPr="004449BE">
              <w:rPr>
                <w:lang w:val="fr-CA"/>
              </w:rPr>
              <w:t xml:space="preserve"> Société de transport de Montréal, 2019 SCC 59, [2019] 4 S.C.R. 335</w:t>
            </w:r>
          </w:p>
        </w:tc>
        <w:tc>
          <w:tcPr>
            <w:tcW w:w="4590" w:type="dxa"/>
          </w:tcPr>
          <w:p w:rsidR="004449BE" w:rsidRPr="004449BE" w:rsidRDefault="004449BE" w:rsidP="004449BE">
            <w:r w:rsidRPr="004449BE">
              <w:rPr>
                <w:b/>
                <w:smallCaps/>
              </w:rPr>
              <w:t>Appeal Heard:</w:t>
            </w:r>
            <w:r w:rsidRPr="004449BE">
              <w:t xml:space="preserve"> April 16, 2019</w:t>
            </w:r>
          </w:p>
          <w:p w:rsidR="004449BE" w:rsidRPr="004449BE" w:rsidRDefault="004449BE" w:rsidP="004449BE">
            <w:r w:rsidRPr="004449BE">
              <w:rPr>
                <w:b/>
                <w:smallCaps/>
              </w:rPr>
              <w:t>Judgment Rendered</w:t>
            </w:r>
            <w:r w:rsidRPr="004449BE">
              <w:rPr>
                <w:b/>
              </w:rPr>
              <w:t>:</w:t>
            </w:r>
            <w:r w:rsidRPr="004449BE">
              <w:t xml:space="preserve"> November 29, 2019</w:t>
            </w:r>
          </w:p>
          <w:p w:rsidR="004449BE" w:rsidRPr="004449BE" w:rsidRDefault="004449BE" w:rsidP="004449BE">
            <w:r w:rsidRPr="004449BE">
              <w:rPr>
                <w:b/>
                <w:smallCaps/>
              </w:rPr>
              <w:t>Docket:</w:t>
            </w:r>
            <w:r w:rsidRPr="004449BE">
              <w:t xml:space="preserve"> 38012</w:t>
            </w:r>
          </w:p>
        </w:tc>
      </w:tr>
    </w:tbl>
    <w:p w:rsidR="004449BE" w:rsidRPr="004449BE" w:rsidRDefault="004449BE" w:rsidP="004449BE">
      <w:pPr>
        <w:rPr>
          <w:rFonts w:eastAsia="Calibri"/>
          <w:szCs w:val="24"/>
          <w:lang w:eastAsia="en-US"/>
        </w:rPr>
      </w:pPr>
    </w:p>
    <w:p w:rsidR="004449BE" w:rsidRPr="004449BE" w:rsidRDefault="004449BE" w:rsidP="004449BE">
      <w:pPr>
        <w:rPr>
          <w:rFonts w:eastAsia="Calibri"/>
          <w:b/>
          <w:smallCaps/>
          <w:szCs w:val="24"/>
          <w:lang w:eastAsia="en-US"/>
        </w:rPr>
      </w:pPr>
      <w:r w:rsidRPr="004449BE">
        <w:rPr>
          <w:rFonts w:eastAsia="Calibri"/>
          <w:b/>
          <w:smallCaps/>
          <w:szCs w:val="24"/>
          <w:lang w:eastAsia="en-US"/>
        </w:rPr>
        <w:t>Between:</w:t>
      </w:r>
    </w:p>
    <w:p w:rsidR="004449BE" w:rsidRPr="004449BE" w:rsidRDefault="004449BE" w:rsidP="004449BE">
      <w:pPr>
        <w:rPr>
          <w:rFonts w:eastAsia="Calibri"/>
          <w:szCs w:val="24"/>
          <w:lang w:eastAsia="en-US"/>
        </w:rPr>
      </w:pPr>
    </w:p>
    <w:p w:rsidR="004449BE" w:rsidRPr="004449BE" w:rsidRDefault="004449BE" w:rsidP="004449BE">
      <w:pPr>
        <w:jc w:val="center"/>
        <w:rPr>
          <w:rFonts w:eastAsia="Calibri"/>
          <w:b/>
          <w:szCs w:val="24"/>
          <w:lang w:eastAsia="en-US"/>
        </w:rPr>
      </w:pPr>
      <w:r w:rsidRPr="004449BE">
        <w:rPr>
          <w:rFonts w:eastAsia="Calibri"/>
          <w:b/>
          <w:szCs w:val="24"/>
          <w:lang w:eastAsia="en-US"/>
        </w:rPr>
        <w:t xml:space="preserve">Bela </w:t>
      </w:r>
      <w:proofErr w:type="spellStart"/>
      <w:r w:rsidRPr="004449BE">
        <w:rPr>
          <w:rFonts w:eastAsia="Calibri"/>
          <w:b/>
          <w:szCs w:val="24"/>
          <w:lang w:eastAsia="en-US"/>
        </w:rPr>
        <w:t>Kosoian</w:t>
      </w:r>
      <w:proofErr w:type="spellEnd"/>
      <w:r w:rsidRPr="004449BE">
        <w:rPr>
          <w:rFonts w:eastAsia="Calibri"/>
          <w:b/>
          <w:szCs w:val="24"/>
          <w:lang w:val="en-US" w:eastAsia="en-US"/>
        </w:rPr>
        <w:t xml:space="preserve"> </w:t>
      </w:r>
    </w:p>
    <w:p w:rsidR="004449BE" w:rsidRPr="004449BE" w:rsidRDefault="004449BE" w:rsidP="004449BE">
      <w:pPr>
        <w:jc w:val="center"/>
        <w:rPr>
          <w:rFonts w:eastAsia="Calibri"/>
          <w:szCs w:val="24"/>
          <w:lang w:eastAsia="en-US"/>
        </w:rPr>
      </w:pPr>
      <w:r w:rsidRPr="004449BE">
        <w:rPr>
          <w:rFonts w:eastAsia="Calibri"/>
          <w:szCs w:val="24"/>
          <w:lang w:eastAsia="en-US"/>
        </w:rPr>
        <w:t>Appellant</w:t>
      </w:r>
    </w:p>
    <w:p w:rsidR="004449BE" w:rsidRPr="004449BE" w:rsidRDefault="004449BE" w:rsidP="004449BE">
      <w:pPr>
        <w:rPr>
          <w:rFonts w:eastAsia="Calibri"/>
          <w:szCs w:val="24"/>
          <w:lang w:eastAsia="en-US"/>
        </w:rPr>
      </w:pPr>
    </w:p>
    <w:p w:rsidR="004449BE" w:rsidRPr="004449BE" w:rsidRDefault="004449BE" w:rsidP="004449BE">
      <w:pPr>
        <w:jc w:val="center"/>
        <w:rPr>
          <w:rFonts w:eastAsia="Calibri"/>
          <w:szCs w:val="24"/>
          <w:lang w:val="fr-CA" w:eastAsia="en-US"/>
        </w:rPr>
      </w:pPr>
      <w:proofErr w:type="gramStart"/>
      <w:r w:rsidRPr="004449BE">
        <w:rPr>
          <w:rFonts w:eastAsia="Calibri"/>
          <w:szCs w:val="24"/>
          <w:lang w:val="fr-CA" w:eastAsia="en-US"/>
        </w:rPr>
        <w:t>and</w:t>
      </w:r>
      <w:proofErr w:type="gramEnd"/>
    </w:p>
    <w:p w:rsidR="004449BE" w:rsidRPr="004449BE" w:rsidRDefault="004449BE" w:rsidP="004449BE">
      <w:pPr>
        <w:rPr>
          <w:rFonts w:eastAsia="Calibri"/>
          <w:szCs w:val="24"/>
          <w:lang w:val="fr-CA" w:eastAsia="en-US"/>
        </w:rPr>
      </w:pPr>
    </w:p>
    <w:p w:rsidR="004449BE" w:rsidRPr="004449BE" w:rsidRDefault="004449BE" w:rsidP="004449BE">
      <w:pPr>
        <w:jc w:val="center"/>
        <w:rPr>
          <w:rFonts w:eastAsia="Calibri"/>
          <w:b/>
          <w:szCs w:val="24"/>
          <w:lang w:val="fr-CA" w:eastAsia="en-US"/>
        </w:rPr>
      </w:pPr>
      <w:r w:rsidRPr="004449BE">
        <w:rPr>
          <w:rFonts w:eastAsia="Calibri"/>
          <w:b/>
          <w:szCs w:val="24"/>
          <w:lang w:val="fr-CA" w:eastAsia="en-US"/>
        </w:rPr>
        <w:t>Société de transport de Montréal,</w:t>
      </w:r>
    </w:p>
    <w:p w:rsidR="004449BE" w:rsidRPr="004449BE" w:rsidRDefault="004449BE" w:rsidP="004449BE">
      <w:pPr>
        <w:jc w:val="center"/>
        <w:rPr>
          <w:rFonts w:eastAsia="Calibri"/>
          <w:b/>
          <w:szCs w:val="24"/>
          <w:lang w:val="fr-CA" w:eastAsia="en-US"/>
        </w:rPr>
      </w:pPr>
      <w:r w:rsidRPr="004449BE">
        <w:rPr>
          <w:rFonts w:eastAsia="Calibri"/>
          <w:b/>
          <w:szCs w:val="24"/>
          <w:lang w:val="fr-CA" w:eastAsia="en-US"/>
        </w:rPr>
        <w:t>Ville de Laval and</w:t>
      </w:r>
    </w:p>
    <w:p w:rsidR="004449BE" w:rsidRPr="004449BE" w:rsidRDefault="004449BE" w:rsidP="004449BE">
      <w:pPr>
        <w:jc w:val="center"/>
        <w:rPr>
          <w:rFonts w:eastAsia="Calibri"/>
          <w:b/>
          <w:szCs w:val="24"/>
          <w:lang w:val="fr-CA" w:eastAsia="en-US"/>
        </w:rPr>
      </w:pPr>
      <w:r w:rsidRPr="004449BE">
        <w:rPr>
          <w:rFonts w:eastAsia="Calibri"/>
          <w:b/>
          <w:szCs w:val="24"/>
          <w:lang w:val="fr-CA" w:eastAsia="en-US"/>
        </w:rPr>
        <w:t xml:space="preserve">Fabio </w:t>
      </w:r>
      <w:proofErr w:type="spellStart"/>
      <w:r w:rsidRPr="004449BE">
        <w:rPr>
          <w:rFonts w:eastAsia="Calibri"/>
          <w:b/>
          <w:szCs w:val="24"/>
          <w:lang w:val="fr-CA" w:eastAsia="en-US"/>
        </w:rPr>
        <w:t>Camacho</w:t>
      </w:r>
      <w:proofErr w:type="spellEnd"/>
      <w:r w:rsidRPr="004449BE">
        <w:rPr>
          <w:rFonts w:eastAsia="Calibri"/>
          <w:b/>
          <w:szCs w:val="24"/>
          <w:lang w:val="fr-CA" w:eastAsia="en-US"/>
        </w:rPr>
        <w:t xml:space="preserve"> </w:t>
      </w:r>
    </w:p>
    <w:p w:rsidR="004449BE" w:rsidRPr="004449BE" w:rsidRDefault="004449BE" w:rsidP="004449BE">
      <w:pPr>
        <w:jc w:val="center"/>
        <w:rPr>
          <w:rFonts w:eastAsia="Calibri"/>
          <w:szCs w:val="24"/>
          <w:lang w:val="en-US" w:eastAsia="en-US"/>
        </w:rPr>
      </w:pPr>
      <w:r w:rsidRPr="004449BE">
        <w:rPr>
          <w:rFonts w:eastAsia="Calibri"/>
          <w:szCs w:val="24"/>
          <w:lang w:val="en-US" w:eastAsia="en-US"/>
        </w:rPr>
        <w:t>Respondents</w:t>
      </w:r>
    </w:p>
    <w:p w:rsidR="004449BE" w:rsidRPr="004449BE" w:rsidRDefault="004449BE" w:rsidP="004449BE">
      <w:pPr>
        <w:rPr>
          <w:rFonts w:eastAsia="Calibri"/>
          <w:szCs w:val="24"/>
          <w:lang w:val="en-US" w:eastAsia="en-US"/>
        </w:rPr>
      </w:pPr>
    </w:p>
    <w:p w:rsidR="004449BE" w:rsidRPr="004449BE" w:rsidRDefault="004449BE" w:rsidP="004449BE">
      <w:pPr>
        <w:jc w:val="center"/>
        <w:rPr>
          <w:rFonts w:eastAsia="Calibri"/>
          <w:szCs w:val="24"/>
          <w:lang w:val="en-US" w:eastAsia="en-US"/>
        </w:rPr>
      </w:pPr>
      <w:r w:rsidRPr="004449BE">
        <w:rPr>
          <w:rFonts w:eastAsia="Calibri"/>
          <w:szCs w:val="24"/>
          <w:lang w:val="en-US" w:eastAsia="en-US"/>
        </w:rPr>
        <w:t xml:space="preserve">- </w:t>
      </w:r>
      <w:proofErr w:type="gramStart"/>
      <w:r w:rsidRPr="004449BE">
        <w:rPr>
          <w:rFonts w:eastAsia="Calibri"/>
          <w:szCs w:val="24"/>
          <w:lang w:val="en-US" w:eastAsia="en-US"/>
        </w:rPr>
        <w:t>and</w:t>
      </w:r>
      <w:proofErr w:type="gramEnd"/>
      <w:r w:rsidRPr="004449BE">
        <w:rPr>
          <w:rFonts w:eastAsia="Calibri"/>
          <w:szCs w:val="24"/>
          <w:lang w:val="en-US" w:eastAsia="en-US"/>
        </w:rPr>
        <w:t xml:space="preserve"> -</w:t>
      </w:r>
    </w:p>
    <w:p w:rsidR="004449BE" w:rsidRPr="004449BE" w:rsidRDefault="004449BE" w:rsidP="004449BE">
      <w:pPr>
        <w:jc w:val="center"/>
        <w:rPr>
          <w:rFonts w:eastAsia="Calibri"/>
          <w:b/>
          <w:szCs w:val="24"/>
          <w:lang w:val="en-US" w:eastAsia="en-US"/>
        </w:rPr>
      </w:pPr>
    </w:p>
    <w:p w:rsidR="004449BE" w:rsidRPr="004449BE" w:rsidRDefault="004449BE" w:rsidP="004449BE">
      <w:pPr>
        <w:jc w:val="center"/>
        <w:rPr>
          <w:rFonts w:eastAsia="Calibri"/>
          <w:b/>
          <w:szCs w:val="24"/>
          <w:lang w:eastAsia="en-US"/>
        </w:rPr>
      </w:pPr>
      <w:r w:rsidRPr="004449BE">
        <w:rPr>
          <w:rFonts w:eastAsia="Calibri"/>
          <w:b/>
          <w:szCs w:val="24"/>
          <w:lang w:val="en-US" w:eastAsia="en-US"/>
        </w:rPr>
        <w:t xml:space="preserve">Canadian Civil Liberties Association </w:t>
      </w:r>
    </w:p>
    <w:p w:rsidR="004449BE" w:rsidRPr="004449BE" w:rsidRDefault="004449BE" w:rsidP="004449BE">
      <w:pPr>
        <w:jc w:val="center"/>
        <w:rPr>
          <w:rFonts w:eastAsia="Calibri"/>
          <w:szCs w:val="24"/>
          <w:lang w:eastAsia="en-US"/>
        </w:rPr>
      </w:pPr>
      <w:r w:rsidRPr="004449BE">
        <w:rPr>
          <w:rFonts w:eastAsia="Calibri"/>
          <w:szCs w:val="24"/>
          <w:lang w:eastAsia="en-US"/>
        </w:rPr>
        <w:t>Intervener</w:t>
      </w:r>
    </w:p>
    <w:p w:rsidR="004449BE" w:rsidRPr="004449BE" w:rsidRDefault="004449BE" w:rsidP="004449BE">
      <w:pPr>
        <w:rPr>
          <w:rFonts w:eastAsia="Calibri"/>
          <w:szCs w:val="24"/>
          <w:lang w:eastAsia="en-US"/>
        </w:rPr>
      </w:pPr>
    </w:p>
    <w:p w:rsidR="004449BE" w:rsidRPr="004449BE" w:rsidRDefault="004449BE" w:rsidP="004449BE">
      <w:pPr>
        <w:rPr>
          <w:rFonts w:eastAsia="Calibri"/>
          <w:szCs w:val="24"/>
          <w:lang w:eastAsia="en-US"/>
        </w:rPr>
      </w:pPr>
    </w:p>
    <w:p w:rsidR="004449BE" w:rsidRPr="004449BE" w:rsidRDefault="004449BE" w:rsidP="004449BE">
      <w:pPr>
        <w:jc w:val="center"/>
        <w:rPr>
          <w:rFonts w:eastAsia="Calibri"/>
          <w:b/>
          <w:smallCaps/>
          <w:szCs w:val="24"/>
          <w:lang w:eastAsia="en-US"/>
        </w:rPr>
      </w:pPr>
      <w:r w:rsidRPr="004449BE">
        <w:rPr>
          <w:rFonts w:eastAsia="Calibri"/>
          <w:b/>
          <w:smallCaps/>
          <w:szCs w:val="24"/>
          <w:lang w:eastAsia="en-US"/>
        </w:rPr>
        <w:t>Official English Translation</w:t>
      </w:r>
    </w:p>
    <w:p w:rsidR="004449BE" w:rsidRPr="004449BE" w:rsidRDefault="004449BE" w:rsidP="004449BE">
      <w:pPr>
        <w:jc w:val="center"/>
        <w:rPr>
          <w:rFonts w:eastAsia="Calibri"/>
          <w:szCs w:val="24"/>
          <w:lang w:eastAsia="en-US"/>
        </w:rPr>
      </w:pPr>
    </w:p>
    <w:p w:rsidR="004449BE" w:rsidRPr="004449BE" w:rsidRDefault="004449BE" w:rsidP="004449BE">
      <w:pPr>
        <w:rPr>
          <w:rFonts w:eastAsia="Calibri"/>
          <w:szCs w:val="24"/>
          <w:lang w:eastAsia="en-US"/>
        </w:rPr>
      </w:pPr>
      <w:r w:rsidRPr="004449BE">
        <w:rPr>
          <w:rFonts w:eastAsia="Calibri"/>
          <w:b/>
          <w:smallCaps/>
          <w:szCs w:val="24"/>
          <w:lang w:eastAsia="en-US"/>
        </w:rPr>
        <w:t>Coram:</w:t>
      </w:r>
      <w:r w:rsidRPr="004449BE">
        <w:rPr>
          <w:rFonts w:eastAsia="Calibri"/>
          <w:szCs w:val="24"/>
          <w:lang w:eastAsia="en-US"/>
        </w:rPr>
        <w:t xml:space="preserve"> Wagner C.J. and </w:t>
      </w:r>
      <w:proofErr w:type="spellStart"/>
      <w:r w:rsidRPr="004449BE">
        <w:rPr>
          <w:rFonts w:eastAsia="Calibri"/>
          <w:szCs w:val="24"/>
          <w:lang w:eastAsia="en-US"/>
        </w:rPr>
        <w:t>Abella</w:t>
      </w:r>
      <w:proofErr w:type="spellEnd"/>
      <w:r w:rsidRPr="004449BE">
        <w:rPr>
          <w:rFonts w:eastAsia="Calibri"/>
          <w:szCs w:val="24"/>
          <w:lang w:eastAsia="en-US"/>
        </w:rPr>
        <w:t xml:space="preserve">, </w:t>
      </w:r>
      <w:proofErr w:type="spellStart"/>
      <w:r w:rsidRPr="004449BE">
        <w:rPr>
          <w:rFonts w:eastAsia="Calibri"/>
          <w:szCs w:val="24"/>
          <w:lang w:eastAsia="en-US"/>
        </w:rPr>
        <w:t>Moldaver</w:t>
      </w:r>
      <w:proofErr w:type="spellEnd"/>
      <w:r w:rsidRPr="004449BE">
        <w:rPr>
          <w:rFonts w:eastAsia="Calibri"/>
          <w:szCs w:val="24"/>
          <w:lang w:eastAsia="en-US"/>
        </w:rPr>
        <w:t xml:space="preserve">, </w:t>
      </w:r>
      <w:proofErr w:type="spellStart"/>
      <w:r w:rsidRPr="004449BE">
        <w:rPr>
          <w:rFonts w:eastAsia="Calibri"/>
          <w:szCs w:val="24"/>
          <w:lang w:eastAsia="en-US"/>
        </w:rPr>
        <w:t>Karakatsanis</w:t>
      </w:r>
      <w:proofErr w:type="spellEnd"/>
      <w:r w:rsidRPr="004449BE">
        <w:rPr>
          <w:rFonts w:eastAsia="Calibri"/>
          <w:szCs w:val="24"/>
          <w:lang w:eastAsia="en-US"/>
        </w:rPr>
        <w:t xml:space="preserve">, </w:t>
      </w:r>
      <w:proofErr w:type="spellStart"/>
      <w:r w:rsidRPr="004449BE">
        <w:rPr>
          <w:rFonts w:eastAsia="Calibri"/>
          <w:szCs w:val="24"/>
          <w:lang w:eastAsia="en-US"/>
        </w:rPr>
        <w:t>Gascon</w:t>
      </w:r>
      <w:proofErr w:type="spellEnd"/>
      <w:r w:rsidRPr="004449BE">
        <w:rPr>
          <w:rFonts w:eastAsia="Calibri"/>
          <w:szCs w:val="24"/>
          <w:lang w:eastAsia="en-US"/>
        </w:rPr>
        <w:t>, Côté, Brown, Rowe and Martin JJ.</w:t>
      </w:r>
    </w:p>
    <w:p w:rsidR="004449BE" w:rsidRPr="004449BE" w:rsidRDefault="004449BE" w:rsidP="004449BE">
      <w:pPr>
        <w:rPr>
          <w:rFonts w:eastAsia="Calibr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4449BE" w:rsidRPr="004449BE" w:rsidTr="0033225A">
        <w:trPr>
          <w:cantSplit/>
        </w:trPr>
        <w:tc>
          <w:tcPr>
            <w:tcW w:w="3780" w:type="dxa"/>
          </w:tcPr>
          <w:p w:rsidR="004449BE" w:rsidRPr="004449BE" w:rsidRDefault="004449BE" w:rsidP="004449BE">
            <w:pPr>
              <w:rPr>
                <w:b/>
                <w:smallCaps/>
              </w:rPr>
            </w:pPr>
            <w:r w:rsidRPr="004449BE">
              <w:rPr>
                <w:b/>
                <w:smallCaps/>
              </w:rPr>
              <w:t>Reasons for Judgment:</w:t>
            </w:r>
          </w:p>
          <w:p w:rsidR="004449BE" w:rsidRPr="004449BE" w:rsidRDefault="004449BE" w:rsidP="004449BE">
            <w:r w:rsidRPr="004449BE">
              <w:t>(paras. 1 to 141)</w:t>
            </w:r>
          </w:p>
        </w:tc>
        <w:tc>
          <w:tcPr>
            <w:tcW w:w="5796" w:type="dxa"/>
          </w:tcPr>
          <w:p w:rsidR="004449BE" w:rsidRPr="004449BE" w:rsidRDefault="004449BE" w:rsidP="004449BE">
            <w:r w:rsidRPr="004449BE">
              <w:t xml:space="preserve">Côté J. (Wagner C.J. and </w:t>
            </w:r>
            <w:proofErr w:type="spellStart"/>
            <w:r w:rsidRPr="004449BE">
              <w:t>Abella</w:t>
            </w:r>
            <w:proofErr w:type="spellEnd"/>
            <w:r w:rsidRPr="004449BE">
              <w:t xml:space="preserve">, </w:t>
            </w:r>
            <w:proofErr w:type="spellStart"/>
            <w:r w:rsidRPr="004449BE">
              <w:t>Moldaver</w:t>
            </w:r>
            <w:proofErr w:type="spellEnd"/>
            <w:r w:rsidRPr="004449BE">
              <w:t xml:space="preserve">, </w:t>
            </w:r>
            <w:proofErr w:type="spellStart"/>
            <w:r w:rsidRPr="004449BE">
              <w:t>Karakatsanis</w:t>
            </w:r>
            <w:proofErr w:type="spellEnd"/>
            <w:r w:rsidRPr="004449BE">
              <w:t xml:space="preserve">, </w:t>
            </w:r>
            <w:proofErr w:type="spellStart"/>
            <w:r w:rsidRPr="004449BE">
              <w:t>Gascon</w:t>
            </w:r>
            <w:proofErr w:type="spellEnd"/>
            <w:r w:rsidRPr="004449BE">
              <w:t>, Brown, Rowe and Martin JJ. concurring)</w:t>
            </w:r>
          </w:p>
          <w:p w:rsidR="004449BE" w:rsidRPr="004449BE" w:rsidRDefault="004449BE" w:rsidP="004449BE"/>
        </w:tc>
      </w:tr>
    </w:tbl>
    <w:p w:rsidR="004449BE" w:rsidRPr="004449BE" w:rsidRDefault="004449BE" w:rsidP="004449BE">
      <w:pPr>
        <w:rPr>
          <w:rFonts w:eastAsia="Calibri"/>
          <w:szCs w:val="24"/>
          <w:lang w:eastAsia="en-US"/>
        </w:rPr>
      </w:pPr>
      <w:r w:rsidRPr="004449BE">
        <w:rPr>
          <w:rFonts w:eastAsia="Calibri"/>
          <w:noProof/>
          <w:szCs w:val="24"/>
          <w:lang w:val="en-US" w:eastAsia="en-US"/>
        </w:rPr>
        <mc:AlternateContent>
          <mc:Choice Requires="wps">
            <w:drawing>
              <wp:anchor distT="0" distB="0" distL="114300" distR="114300" simplePos="0" relativeHeight="251659264" behindDoc="0" locked="0" layoutInCell="1" allowOverlap="1" wp14:anchorId="2C90FB91" wp14:editId="510FB7AD">
                <wp:simplePos x="0" y="0"/>
                <wp:positionH relativeFrom="column">
                  <wp:posOffset>1609725</wp:posOffset>
                </wp:positionH>
                <wp:positionV relativeFrom="paragraph">
                  <wp:posOffset>184150</wp:posOffset>
                </wp:positionV>
                <wp:extent cx="2505075" cy="0"/>
                <wp:effectExtent l="9525" t="13335" r="952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9B6B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F0SC2h4CAAA7BAAADgAAAAAAAAAAAAAAAAAuAgAAZHJzL2Uyb0RvYy54bWxQSwEC&#10;LQAUAAYACAAAACEAqm+CLt0AAAAJAQAADwAAAAAAAAAAAAAAAAB4BAAAZHJzL2Rvd25yZXYueG1s&#10;UEsFBgAAAAAEAAQA8wAAAIIFAAAAAA==&#10;"/>
            </w:pict>
          </mc:Fallback>
        </mc:AlternateContent>
      </w:r>
    </w:p>
    <w:p w:rsidR="004449BE" w:rsidRPr="004449BE" w:rsidRDefault="004449BE" w:rsidP="004449BE">
      <w:pPr>
        <w:rPr>
          <w:rFonts w:eastAsia="Calibri"/>
          <w:szCs w:val="24"/>
          <w:lang w:eastAsia="en-US"/>
        </w:rPr>
      </w:pPr>
    </w:p>
    <w:p w:rsidR="004449BE" w:rsidRPr="004449BE" w:rsidRDefault="004449BE" w:rsidP="004449BE">
      <w:pPr>
        <w:rPr>
          <w:rFonts w:eastAsia="Calibri"/>
          <w:szCs w:val="24"/>
          <w:lang w:eastAsia="en-US"/>
        </w:rPr>
      </w:pPr>
    </w:p>
    <w:p w:rsidR="004449BE" w:rsidRPr="004449BE" w:rsidRDefault="004449BE" w:rsidP="004449BE">
      <w:pPr>
        <w:rPr>
          <w:rFonts w:eastAsia="Calibri"/>
          <w:szCs w:val="24"/>
          <w:lang w:eastAsia="en-US"/>
        </w:rPr>
      </w:pPr>
    </w:p>
    <w:p w:rsidR="004449BE" w:rsidRPr="004449BE" w:rsidRDefault="004449BE">
      <w:pPr>
        <w:rPr>
          <w:rStyle w:val="SCCAppellantForRunningHeadChar"/>
          <w:lang w:val="en-US"/>
        </w:rPr>
      </w:pPr>
      <w:r w:rsidRPr="004449BE">
        <w:rPr>
          <w:rStyle w:val="SCCAppellantForRunningHeadChar"/>
          <w:lang w:val="en-US"/>
        </w:rPr>
        <w:br w:type="page"/>
      </w:r>
    </w:p>
    <w:p w:rsidR="008322BD" w:rsidRPr="002035EE" w:rsidRDefault="00D619A6" w:rsidP="00077E7A">
      <w:pPr>
        <w:spacing w:after="720"/>
        <w:jc w:val="both"/>
        <w:rPr>
          <w:lang w:val="fr-CA"/>
        </w:rPr>
      </w:pPr>
      <w:proofErr w:type="spellStart"/>
      <w:r w:rsidRPr="002035EE">
        <w:rPr>
          <w:rStyle w:val="SCCAppellantForRunningHeadChar"/>
          <w:lang w:val="fr-CA"/>
        </w:rPr>
        <w:lastRenderedPageBreak/>
        <w:t>k</w:t>
      </w:r>
      <w:r w:rsidR="008F78E9" w:rsidRPr="002035EE">
        <w:rPr>
          <w:rStyle w:val="SCCAppellantForRunningHeadChar"/>
          <w:lang w:val="fr-CA"/>
        </w:rPr>
        <w:t>osoian</w:t>
      </w:r>
      <w:proofErr w:type="spellEnd"/>
      <w:r w:rsidR="00480C90" w:rsidRPr="002035EE">
        <w:rPr>
          <w:lang w:val="fr-CA"/>
        </w:rPr>
        <w:t xml:space="preserve"> </w:t>
      </w:r>
      <w:r w:rsidR="009B57B3" w:rsidRPr="002035EE">
        <w:rPr>
          <w:i/>
          <w:lang w:val="fr-CA"/>
        </w:rPr>
        <w:t>v.</w:t>
      </w:r>
      <w:r w:rsidR="00B000D8" w:rsidRPr="002035EE">
        <w:rPr>
          <w:lang w:val="fr-CA"/>
        </w:rPr>
        <w:t xml:space="preserve"> </w:t>
      </w:r>
      <w:r w:rsidRPr="002035EE">
        <w:rPr>
          <w:rStyle w:val="SCCRespondentForRunningHeadChar"/>
          <w:lang w:val="fr-CA"/>
        </w:rPr>
        <w:t xml:space="preserve">société de transport de </w:t>
      </w:r>
      <w:proofErr w:type="spellStart"/>
      <w:r w:rsidRPr="002035EE">
        <w:rPr>
          <w:rStyle w:val="SCCRespondentForRunningHeadChar"/>
          <w:lang w:val="fr-CA"/>
        </w:rPr>
        <w:t>m</w:t>
      </w:r>
      <w:r w:rsidR="00751BCA" w:rsidRPr="002035EE">
        <w:rPr>
          <w:rStyle w:val="SCCRespondentForRunningHeadChar"/>
          <w:lang w:val="fr-CA"/>
        </w:rPr>
        <w:t>ontréal</w:t>
      </w:r>
      <w:proofErr w:type="spellEnd"/>
    </w:p>
    <w:p w:rsidR="008C2A05" w:rsidRPr="002035EE" w:rsidRDefault="000912C0" w:rsidP="00077E7A">
      <w:pPr>
        <w:pStyle w:val="SCCLsocLastPartyInRole"/>
        <w:rPr>
          <w:lang w:val="fr-CA"/>
        </w:rPr>
      </w:pPr>
      <w:proofErr w:type="spellStart"/>
      <w:r w:rsidRPr="002035EE">
        <w:rPr>
          <w:lang w:val="fr-CA"/>
        </w:rPr>
        <w:t>Bela</w:t>
      </w:r>
      <w:proofErr w:type="spellEnd"/>
      <w:r w:rsidRPr="002035EE">
        <w:rPr>
          <w:lang w:val="fr-CA"/>
        </w:rPr>
        <w:t xml:space="preserve"> </w:t>
      </w:r>
      <w:proofErr w:type="spellStart"/>
      <w:r w:rsidRPr="002035EE">
        <w:rPr>
          <w:lang w:val="fr-CA"/>
        </w:rPr>
        <w:t>Kosoian</w:t>
      </w:r>
      <w:proofErr w:type="spellEnd"/>
      <w:r w:rsidRPr="002035EE">
        <w:rPr>
          <w:rStyle w:val="SCCLsocPartyRole"/>
          <w:lang w:val="fr-CA"/>
        </w:rPr>
        <w:tab/>
      </w:r>
      <w:proofErr w:type="spellStart"/>
      <w:r w:rsidRPr="002035EE">
        <w:rPr>
          <w:rStyle w:val="SCCLsocPartyRole"/>
          <w:lang w:val="fr-CA"/>
        </w:rPr>
        <w:t>Appellant</w:t>
      </w:r>
      <w:proofErr w:type="spellEnd"/>
    </w:p>
    <w:p w:rsidR="008C2A05" w:rsidRPr="002035EE" w:rsidRDefault="000912C0" w:rsidP="00077E7A">
      <w:pPr>
        <w:pStyle w:val="SCCLsocVersus"/>
        <w:rPr>
          <w:lang w:val="fr-CA"/>
        </w:rPr>
      </w:pPr>
      <w:r w:rsidRPr="002035EE">
        <w:rPr>
          <w:lang w:val="fr-CA"/>
        </w:rPr>
        <w:t>v.</w:t>
      </w:r>
    </w:p>
    <w:p w:rsidR="008C2A05" w:rsidRPr="002035EE" w:rsidRDefault="000912C0">
      <w:pPr>
        <w:pStyle w:val="SCCLsocParty"/>
        <w:rPr>
          <w:lang w:val="fr-CA"/>
        </w:rPr>
      </w:pPr>
      <w:r w:rsidRPr="002035EE">
        <w:rPr>
          <w:lang w:val="fr-CA"/>
        </w:rPr>
        <w:t>Société de transport de Montréal,</w:t>
      </w:r>
    </w:p>
    <w:p w:rsidR="008C2A05" w:rsidRPr="002035EE" w:rsidRDefault="00D619A6">
      <w:pPr>
        <w:pStyle w:val="SCCLsocParty"/>
        <w:rPr>
          <w:lang w:val="fr-CA"/>
        </w:rPr>
      </w:pPr>
      <w:r w:rsidRPr="002035EE">
        <w:rPr>
          <w:lang w:val="fr-CA"/>
        </w:rPr>
        <w:t>Ville de Laval and</w:t>
      </w:r>
    </w:p>
    <w:p w:rsidR="008C2A05" w:rsidRPr="002035EE" w:rsidRDefault="000912C0" w:rsidP="00077E7A">
      <w:pPr>
        <w:pStyle w:val="SCCLsocLastPartyInRole"/>
        <w:rPr>
          <w:lang w:val="fr-CA"/>
        </w:rPr>
      </w:pPr>
      <w:r w:rsidRPr="002035EE">
        <w:rPr>
          <w:lang w:val="fr-CA"/>
        </w:rPr>
        <w:t xml:space="preserve">Fabio </w:t>
      </w:r>
      <w:proofErr w:type="spellStart"/>
      <w:r w:rsidRPr="002035EE">
        <w:rPr>
          <w:lang w:val="fr-CA"/>
        </w:rPr>
        <w:t>Camacho</w:t>
      </w:r>
      <w:proofErr w:type="spellEnd"/>
      <w:r w:rsidRPr="002035EE">
        <w:rPr>
          <w:rStyle w:val="SCCLsocPartyRole"/>
          <w:lang w:val="fr-CA"/>
        </w:rPr>
        <w:tab/>
      </w:r>
      <w:proofErr w:type="spellStart"/>
      <w:r w:rsidRPr="002035EE">
        <w:rPr>
          <w:rStyle w:val="SCCLsocPartyRole"/>
          <w:lang w:val="fr-CA"/>
        </w:rPr>
        <w:t>Respondents</w:t>
      </w:r>
      <w:proofErr w:type="spellEnd"/>
    </w:p>
    <w:p w:rsidR="008C2A05" w:rsidRPr="002035EE" w:rsidRDefault="000912C0" w:rsidP="00077E7A">
      <w:pPr>
        <w:pStyle w:val="SCCLsocOtherPartySeparator"/>
        <w:rPr>
          <w:lang w:val="fr-CA"/>
        </w:rPr>
      </w:pPr>
      <w:proofErr w:type="gramStart"/>
      <w:r w:rsidRPr="002035EE">
        <w:rPr>
          <w:lang w:val="fr-CA"/>
        </w:rPr>
        <w:t>and</w:t>
      </w:r>
      <w:proofErr w:type="gramEnd"/>
    </w:p>
    <w:p w:rsidR="008C2A05" w:rsidRPr="002035EE" w:rsidRDefault="000912C0" w:rsidP="00077E7A">
      <w:pPr>
        <w:pStyle w:val="SCCLsocLastPartyInRole"/>
        <w:rPr>
          <w:lang w:val="fr-CA"/>
        </w:rPr>
      </w:pPr>
      <w:r w:rsidRPr="002035EE">
        <w:rPr>
          <w:lang w:val="fr-CA"/>
        </w:rPr>
        <w:t xml:space="preserve">Canadian Civil </w:t>
      </w:r>
      <w:proofErr w:type="spellStart"/>
      <w:r w:rsidRPr="002035EE">
        <w:rPr>
          <w:lang w:val="fr-CA"/>
        </w:rPr>
        <w:t>Liberties</w:t>
      </w:r>
      <w:proofErr w:type="spellEnd"/>
      <w:r w:rsidRPr="002035EE">
        <w:rPr>
          <w:lang w:val="fr-CA"/>
        </w:rPr>
        <w:t xml:space="preserve"> Association</w:t>
      </w:r>
      <w:r w:rsidRPr="002035EE">
        <w:rPr>
          <w:rStyle w:val="SCCLsocPartyRole"/>
          <w:lang w:val="fr-CA"/>
        </w:rPr>
        <w:tab/>
      </w:r>
      <w:proofErr w:type="spellStart"/>
      <w:r w:rsidRPr="002035EE">
        <w:rPr>
          <w:rStyle w:val="SCCLsocPartyRole"/>
          <w:lang w:val="fr-CA"/>
        </w:rPr>
        <w:t>Intervener</w:t>
      </w:r>
      <w:proofErr w:type="spellEnd"/>
    </w:p>
    <w:p w:rsidR="00426659" w:rsidRPr="002035EE" w:rsidRDefault="00426659" w:rsidP="00077E7A">
      <w:pPr>
        <w:spacing w:after="720"/>
        <w:jc w:val="both"/>
        <w:rPr>
          <w:b/>
          <w:lang w:val="fr-CA"/>
        </w:rPr>
      </w:pPr>
      <w:proofErr w:type="spellStart"/>
      <w:r w:rsidRPr="002035EE">
        <w:rPr>
          <w:b/>
          <w:lang w:val="fr-CA"/>
        </w:rPr>
        <w:t>Indexed</w:t>
      </w:r>
      <w:proofErr w:type="spellEnd"/>
      <w:r w:rsidRPr="002035EE">
        <w:rPr>
          <w:b/>
          <w:lang w:val="fr-CA"/>
        </w:rPr>
        <w:t xml:space="preserve"> as: </w:t>
      </w:r>
      <w:proofErr w:type="spellStart"/>
      <w:r w:rsidRPr="002035EE">
        <w:rPr>
          <w:rStyle w:val="SCCAppellantForIndexChar"/>
          <w:lang w:val="fr-CA"/>
        </w:rPr>
        <w:t>Kosoian</w:t>
      </w:r>
      <w:proofErr w:type="spellEnd"/>
      <w:r w:rsidRPr="002035EE">
        <w:rPr>
          <w:b/>
          <w:lang w:val="fr-CA"/>
        </w:rPr>
        <w:t xml:space="preserve"> </w:t>
      </w:r>
      <w:r w:rsidRPr="002035EE">
        <w:rPr>
          <w:b/>
          <w:i/>
          <w:lang w:val="fr-CA"/>
        </w:rPr>
        <w:t>v.</w:t>
      </w:r>
      <w:r w:rsidRPr="002035EE">
        <w:rPr>
          <w:b/>
          <w:lang w:val="fr-CA"/>
        </w:rPr>
        <w:t xml:space="preserve"> </w:t>
      </w:r>
      <w:r w:rsidRPr="002035EE">
        <w:rPr>
          <w:rStyle w:val="SCCRespondentForIndexChar"/>
          <w:lang w:val="fr-CA"/>
        </w:rPr>
        <w:t xml:space="preserve">Société de transport de Montréal </w:t>
      </w:r>
    </w:p>
    <w:p w:rsidR="00426659" w:rsidRPr="00283996" w:rsidRDefault="00AE4535" w:rsidP="00077E7A">
      <w:pPr>
        <w:pStyle w:val="SCCSystemYear"/>
        <w:spacing w:after="720"/>
        <w:jc w:val="both"/>
        <w:rPr>
          <w:lang w:val="en-US"/>
        </w:rPr>
      </w:pPr>
      <w:r w:rsidRPr="00283996">
        <w:rPr>
          <w:lang w:val="en-US"/>
        </w:rPr>
        <w:t>2019</w:t>
      </w:r>
      <w:r w:rsidR="003D0399" w:rsidRPr="00283996">
        <w:rPr>
          <w:lang w:val="en-US"/>
        </w:rPr>
        <w:t xml:space="preserve"> </w:t>
      </w:r>
      <w:r w:rsidR="00426659" w:rsidRPr="00283996">
        <w:rPr>
          <w:lang w:val="en-US"/>
        </w:rPr>
        <w:t>SCC </w:t>
      </w:r>
      <w:r w:rsidR="008E7036" w:rsidRPr="00283996">
        <w:rPr>
          <w:lang w:val="en-US"/>
        </w:rPr>
        <w:t>59</w:t>
      </w:r>
    </w:p>
    <w:p w:rsidR="008322BD" w:rsidRPr="00283996" w:rsidRDefault="00077E7A" w:rsidP="00077E7A">
      <w:pPr>
        <w:spacing w:after="720"/>
        <w:jc w:val="both"/>
        <w:rPr>
          <w:lang w:val="en-US"/>
        </w:rPr>
      </w:pPr>
      <w:r w:rsidRPr="00283996">
        <w:rPr>
          <w:lang w:val="en-US"/>
        </w:rPr>
        <w:t xml:space="preserve">File No.: </w:t>
      </w:r>
      <w:r w:rsidR="009B57B3" w:rsidRPr="00283996">
        <w:rPr>
          <w:lang w:val="en-US"/>
        </w:rPr>
        <w:t>38012.</w:t>
      </w:r>
    </w:p>
    <w:p w:rsidR="008322BD" w:rsidRPr="00283996" w:rsidRDefault="00077E7A" w:rsidP="00077E7A">
      <w:pPr>
        <w:spacing w:after="720"/>
        <w:jc w:val="both"/>
        <w:rPr>
          <w:lang w:val="en-US"/>
        </w:rPr>
      </w:pPr>
      <w:r w:rsidRPr="00283996">
        <w:rPr>
          <w:lang w:val="en-US"/>
        </w:rPr>
        <w:t>2019: April </w:t>
      </w:r>
      <w:r w:rsidR="00AE4535" w:rsidRPr="00283996">
        <w:rPr>
          <w:lang w:val="en-US"/>
        </w:rPr>
        <w:t>16</w:t>
      </w:r>
      <w:r w:rsidR="009B57B3" w:rsidRPr="00283996">
        <w:rPr>
          <w:lang w:val="en-US"/>
        </w:rPr>
        <w:t xml:space="preserve">; </w:t>
      </w:r>
      <w:r w:rsidR="00566F9A" w:rsidRPr="00283996">
        <w:rPr>
          <w:lang w:val="en-US"/>
        </w:rPr>
        <w:t>2019: November 29</w:t>
      </w:r>
      <w:r w:rsidR="009B57B3" w:rsidRPr="00283996">
        <w:rPr>
          <w:lang w:val="en-US"/>
        </w:rPr>
        <w:t>.</w:t>
      </w:r>
    </w:p>
    <w:p w:rsidR="008322BD" w:rsidRPr="00283996" w:rsidRDefault="00077E7A" w:rsidP="00077E7A">
      <w:pPr>
        <w:spacing w:after="720"/>
        <w:jc w:val="both"/>
        <w:rPr>
          <w:lang w:val="en-US"/>
        </w:rPr>
      </w:pPr>
      <w:r w:rsidRPr="00283996">
        <w:rPr>
          <w:lang w:val="en-US"/>
        </w:rPr>
        <w:t xml:space="preserve">Present: </w:t>
      </w:r>
      <w:r w:rsidR="009B57B3" w:rsidRPr="00283996">
        <w:rPr>
          <w:lang w:val="en-US"/>
        </w:rPr>
        <w:t xml:space="preserve">Wagner C.J. and </w:t>
      </w:r>
      <w:proofErr w:type="spellStart"/>
      <w:r w:rsidR="009B57B3" w:rsidRPr="00283996">
        <w:rPr>
          <w:lang w:val="en-US"/>
        </w:rPr>
        <w:t>Abella</w:t>
      </w:r>
      <w:proofErr w:type="spellEnd"/>
      <w:r w:rsidR="009B57B3" w:rsidRPr="00283996">
        <w:rPr>
          <w:lang w:val="en-US"/>
        </w:rPr>
        <w:t xml:space="preserve">, </w:t>
      </w:r>
      <w:proofErr w:type="spellStart"/>
      <w:r w:rsidR="009B57B3" w:rsidRPr="00283996">
        <w:rPr>
          <w:lang w:val="en-US"/>
        </w:rPr>
        <w:t>Moldaver</w:t>
      </w:r>
      <w:proofErr w:type="spellEnd"/>
      <w:r w:rsidR="009B57B3" w:rsidRPr="00283996">
        <w:rPr>
          <w:lang w:val="en-US"/>
        </w:rPr>
        <w:t xml:space="preserve">, </w:t>
      </w:r>
      <w:proofErr w:type="spellStart"/>
      <w:r w:rsidR="009B57B3" w:rsidRPr="00283996">
        <w:rPr>
          <w:lang w:val="en-US"/>
        </w:rPr>
        <w:t>Karakatsanis</w:t>
      </w:r>
      <w:proofErr w:type="spellEnd"/>
      <w:r w:rsidR="009B57B3" w:rsidRPr="00283996">
        <w:rPr>
          <w:lang w:val="en-US"/>
        </w:rPr>
        <w:t xml:space="preserve">, </w:t>
      </w:r>
      <w:proofErr w:type="spellStart"/>
      <w:r w:rsidR="009B57B3" w:rsidRPr="00283996">
        <w:rPr>
          <w:lang w:val="en-US"/>
        </w:rPr>
        <w:t>Gascon</w:t>
      </w:r>
      <w:proofErr w:type="spellEnd"/>
      <w:r w:rsidR="009B57B3" w:rsidRPr="00283996">
        <w:rPr>
          <w:lang w:val="en-US"/>
        </w:rPr>
        <w:t>, Côté, Brown, Rowe and Martin JJ.</w:t>
      </w:r>
    </w:p>
    <w:p w:rsidR="008322BD" w:rsidRPr="00283996" w:rsidRDefault="00656313" w:rsidP="00077E7A">
      <w:pPr>
        <w:pStyle w:val="SCCLowerCourtNameLowercase"/>
        <w:spacing w:after="720" w:line="240" w:lineRule="auto"/>
        <w:rPr>
          <w:lang w:val="en-US"/>
        </w:rPr>
      </w:pPr>
      <w:r w:rsidRPr="00283996">
        <w:rPr>
          <w:lang w:val="en-US"/>
        </w:rPr>
        <w:t>o</w:t>
      </w:r>
      <w:r w:rsidR="00170592" w:rsidRPr="00283996">
        <w:rPr>
          <w:lang w:val="en-US"/>
        </w:rPr>
        <w:t>n</w:t>
      </w:r>
      <w:r w:rsidR="00224FC0" w:rsidRPr="00283996">
        <w:rPr>
          <w:lang w:val="en-US"/>
        </w:rPr>
        <w:t xml:space="preserve"> </w:t>
      </w:r>
      <w:r w:rsidRPr="00283996">
        <w:rPr>
          <w:lang w:val="en-US"/>
        </w:rPr>
        <w:t>a</w:t>
      </w:r>
      <w:r w:rsidR="00170592" w:rsidRPr="00283996">
        <w:rPr>
          <w:lang w:val="en-US"/>
        </w:rPr>
        <w:t>ppeal</w:t>
      </w:r>
      <w:r w:rsidR="00224FC0" w:rsidRPr="00283996">
        <w:rPr>
          <w:lang w:val="en-US"/>
        </w:rPr>
        <w:t xml:space="preserve"> </w:t>
      </w:r>
      <w:r w:rsidR="00170592" w:rsidRPr="00283996">
        <w:rPr>
          <w:lang w:val="en-US"/>
        </w:rPr>
        <w:t>from</w:t>
      </w:r>
      <w:r w:rsidR="009567AA" w:rsidRPr="00283996">
        <w:rPr>
          <w:lang w:val="en-US"/>
        </w:rPr>
        <w:t xml:space="preserve"> the</w:t>
      </w:r>
      <w:r w:rsidR="00224FC0" w:rsidRPr="00283996">
        <w:rPr>
          <w:lang w:val="en-US"/>
        </w:rPr>
        <w:t xml:space="preserve"> </w:t>
      </w:r>
      <w:r w:rsidR="00D619A6" w:rsidRPr="00283996">
        <w:rPr>
          <w:lang w:val="en-US"/>
        </w:rPr>
        <w:t xml:space="preserve">court of appeal </w:t>
      </w:r>
      <w:r w:rsidR="009B57B3" w:rsidRPr="00283996">
        <w:rPr>
          <w:lang w:val="en-US"/>
        </w:rPr>
        <w:t>f</w:t>
      </w:r>
      <w:r w:rsidR="00D619A6" w:rsidRPr="00283996">
        <w:rPr>
          <w:lang w:val="en-US"/>
        </w:rPr>
        <w:t>or</w:t>
      </w:r>
      <w:r w:rsidR="00751BCA" w:rsidRPr="00283996">
        <w:rPr>
          <w:lang w:val="en-US"/>
        </w:rPr>
        <w:t xml:space="preserve"> </w:t>
      </w:r>
      <w:proofErr w:type="spellStart"/>
      <w:r w:rsidR="00751BCA" w:rsidRPr="00283996">
        <w:rPr>
          <w:lang w:val="en-US"/>
        </w:rPr>
        <w:t>quebec</w:t>
      </w:r>
      <w:proofErr w:type="spellEnd"/>
    </w:p>
    <w:p w:rsidR="00932A75" w:rsidRPr="00283996" w:rsidRDefault="009B57B3" w:rsidP="00E46284">
      <w:pPr>
        <w:pStyle w:val="SCCNormalDoubleSpacing"/>
        <w:spacing w:after="480"/>
        <w:rPr>
          <w:i/>
          <w:lang w:val="en-US"/>
        </w:rPr>
      </w:pPr>
      <w:r w:rsidRPr="00283996">
        <w:rPr>
          <w:lang w:val="en-US"/>
        </w:rPr>
        <w:lastRenderedPageBreak/>
        <w:tab/>
      </w:r>
      <w:r w:rsidR="00932A75" w:rsidRPr="00283996">
        <w:rPr>
          <w:i/>
          <w:lang w:val="en-US"/>
        </w:rPr>
        <w:t>Police — Civil liability —</w:t>
      </w:r>
      <w:r w:rsidR="00396D69" w:rsidRPr="00283996">
        <w:rPr>
          <w:i/>
          <w:lang w:val="en-US"/>
        </w:rPr>
        <w:t xml:space="preserve"> </w:t>
      </w:r>
      <w:r w:rsidR="00932A75" w:rsidRPr="00283996">
        <w:rPr>
          <w:i/>
          <w:lang w:val="en-US"/>
        </w:rPr>
        <w:t>Fault — Offence non</w:t>
      </w:r>
      <w:r w:rsidR="00932A75" w:rsidRPr="00283996">
        <w:rPr>
          <w:i/>
          <w:lang w:val="en-US"/>
        </w:rPr>
        <w:noBreakHyphen/>
        <w:t xml:space="preserve">existent in law — Police officer arresting and searching citizen </w:t>
      </w:r>
      <w:r w:rsidR="00396D69" w:rsidRPr="00283996">
        <w:rPr>
          <w:i/>
          <w:lang w:val="en-US"/>
        </w:rPr>
        <w:t xml:space="preserve">after she refused </w:t>
      </w:r>
      <w:r w:rsidR="00932A75" w:rsidRPr="00283996">
        <w:rPr>
          <w:i/>
          <w:lang w:val="en-US"/>
        </w:rPr>
        <w:t xml:space="preserve">to hold escalator handrail </w:t>
      </w:r>
      <w:r w:rsidR="00396D69" w:rsidRPr="00283996">
        <w:rPr>
          <w:i/>
          <w:lang w:val="en-US"/>
        </w:rPr>
        <w:t xml:space="preserve">in subway </w:t>
      </w:r>
      <w:r w:rsidR="00932A75" w:rsidRPr="00283996">
        <w:rPr>
          <w:i/>
          <w:lang w:val="en-US"/>
        </w:rPr>
        <w:t xml:space="preserve">and to identify herself — Citizen </w:t>
      </w:r>
      <w:r w:rsidR="00EB4F8C" w:rsidRPr="00283996">
        <w:rPr>
          <w:i/>
          <w:lang w:val="en-US"/>
        </w:rPr>
        <w:t>bringing</w:t>
      </w:r>
      <w:r w:rsidR="00932A75" w:rsidRPr="00283996">
        <w:rPr>
          <w:i/>
          <w:lang w:val="en-US"/>
        </w:rPr>
        <w:t xml:space="preserve"> civil liability action against police officer, </w:t>
      </w:r>
      <w:r w:rsidR="00F16B94" w:rsidRPr="00283996">
        <w:rPr>
          <w:i/>
          <w:lang w:val="en-US"/>
        </w:rPr>
        <w:t>his</w:t>
      </w:r>
      <w:r w:rsidR="00932A75" w:rsidRPr="00283996">
        <w:rPr>
          <w:i/>
          <w:lang w:val="en-US"/>
        </w:rPr>
        <w:t xml:space="preserve"> employer and public transit authority for which </w:t>
      </w:r>
      <w:r w:rsidR="00F16B94" w:rsidRPr="00283996">
        <w:rPr>
          <w:i/>
          <w:lang w:val="en-US"/>
        </w:rPr>
        <w:t>he</w:t>
      </w:r>
      <w:r w:rsidR="00932A75" w:rsidRPr="00283996">
        <w:rPr>
          <w:i/>
          <w:lang w:val="en-US"/>
        </w:rPr>
        <w:t xml:space="preserve"> acted as inspector — Whether police officer incurred civil liability and engaged his employer’s civil liability by acting as he did toward citizen — Whether citizen must bear share of liability because of her refusal to cooperate with police</w:t>
      </w:r>
      <w:r w:rsidR="00F16B94" w:rsidRPr="00283996">
        <w:rPr>
          <w:i/>
          <w:lang w:val="en-US"/>
        </w:rPr>
        <w:t xml:space="preserve"> officer</w:t>
      </w:r>
      <w:r w:rsidR="00932A75" w:rsidRPr="00283996">
        <w:rPr>
          <w:i/>
          <w:lang w:val="en-US"/>
        </w:rPr>
        <w:t xml:space="preserve"> — Civil Code of Québec, art. 1457.</w:t>
      </w:r>
    </w:p>
    <w:p w:rsidR="00932A75" w:rsidRPr="00283996" w:rsidRDefault="00A63E4C" w:rsidP="00E46284">
      <w:pPr>
        <w:pStyle w:val="SCCNormalDoubleSpacing"/>
        <w:spacing w:after="480"/>
        <w:rPr>
          <w:i/>
          <w:lang w:val="en-US"/>
        </w:rPr>
      </w:pPr>
      <w:r w:rsidRPr="00283996">
        <w:rPr>
          <w:i/>
          <w:lang w:val="en-US"/>
        </w:rPr>
        <w:tab/>
      </w:r>
      <w:r w:rsidR="00932A75" w:rsidRPr="00283996">
        <w:rPr>
          <w:i/>
          <w:lang w:val="en-US"/>
        </w:rPr>
        <w:t xml:space="preserve">Civil liability — Legal person established in public interest — Immunity — Fault — Public transit authority providing police officers designated as subway inspectors with training </w:t>
      </w:r>
      <w:r w:rsidR="00757E06" w:rsidRPr="00283996">
        <w:rPr>
          <w:i/>
          <w:lang w:val="en-US"/>
        </w:rPr>
        <w:t xml:space="preserve">indicating that </w:t>
      </w:r>
      <w:r w:rsidR="00932A75" w:rsidRPr="00283996">
        <w:rPr>
          <w:i/>
          <w:lang w:val="en-US"/>
        </w:rPr>
        <w:t>holding escalator handrail was obligation under by</w:t>
      </w:r>
      <w:r w:rsidR="00932A75" w:rsidRPr="00283996">
        <w:rPr>
          <w:i/>
          <w:lang w:val="en-US"/>
        </w:rPr>
        <w:noBreakHyphen/>
        <w:t xml:space="preserve">law — Police officer arresting and searching citizen who did not hold handrail on basis of that training — </w:t>
      </w:r>
      <w:r w:rsidR="00C23A5F" w:rsidRPr="00283996">
        <w:rPr>
          <w:i/>
          <w:lang w:val="en-US"/>
        </w:rPr>
        <w:t xml:space="preserve">Citizen bringing civil liability action against police officer, his employer and public transit authority — </w:t>
      </w:r>
      <w:r w:rsidR="00932A75" w:rsidRPr="00283996">
        <w:rPr>
          <w:i/>
          <w:lang w:val="en-US"/>
        </w:rPr>
        <w:t>Whether public transit authority incurred civil liability — If so, whether it can claim public law relative immunity.</w:t>
      </w:r>
    </w:p>
    <w:p w:rsidR="00932A75" w:rsidRPr="00283996" w:rsidRDefault="00932A75" w:rsidP="00E46284">
      <w:pPr>
        <w:pStyle w:val="SCCNormalDoubleSpacing"/>
        <w:spacing w:after="480"/>
        <w:rPr>
          <w:lang w:val="en-US"/>
        </w:rPr>
      </w:pPr>
      <w:r w:rsidRPr="00283996">
        <w:rPr>
          <w:lang w:val="en-US"/>
        </w:rPr>
        <w:tab/>
        <w:t xml:space="preserve">K took the descending escalator in a subway station without holding the handrail. A police officer employed by the city, who had been designated as an inspector by the authority responsible for the subway system (“STM”), ordered </w:t>
      </w:r>
      <w:r w:rsidR="00A50225" w:rsidRPr="00283996">
        <w:rPr>
          <w:lang w:val="en-US"/>
        </w:rPr>
        <w:t>her</w:t>
      </w:r>
      <w:r w:rsidRPr="00283996">
        <w:rPr>
          <w:lang w:val="en-US"/>
        </w:rPr>
        <w:t xml:space="preserve"> several times to hold the handrail, since the STM taught police officers that holding the handrail was an obligation under a by</w:t>
      </w:r>
      <w:r w:rsidRPr="00283996">
        <w:rPr>
          <w:lang w:val="en-US"/>
        </w:rPr>
        <w:noBreakHyphen/>
        <w:t xml:space="preserve">law. K refused to comply and to identify herself. The police officer arrested her and searched her bag. He gave her a statement of offence </w:t>
      </w:r>
      <w:r w:rsidRPr="00283996">
        <w:rPr>
          <w:lang w:val="en-US"/>
        </w:rPr>
        <w:lastRenderedPageBreak/>
        <w:t>for disobeying a pictogram indicating that the handrail should be held, which the STM had posted near the escalator pursuant to its By</w:t>
      </w:r>
      <w:r w:rsidRPr="00283996">
        <w:rPr>
          <w:lang w:val="en-US"/>
        </w:rPr>
        <w:noBreakHyphen/>
        <w:t>law R</w:t>
      </w:r>
      <w:r w:rsidRPr="00283996">
        <w:rPr>
          <w:lang w:val="en-US"/>
        </w:rPr>
        <w:noBreakHyphen/>
        <w:t xml:space="preserve">036, and another statement of offence for hindering </w:t>
      </w:r>
      <w:r w:rsidR="00A50225" w:rsidRPr="00283996">
        <w:rPr>
          <w:lang w:val="en-US"/>
        </w:rPr>
        <w:t xml:space="preserve">the </w:t>
      </w:r>
      <w:r w:rsidRPr="00283996">
        <w:rPr>
          <w:lang w:val="en-US"/>
        </w:rPr>
        <w:t>police in their duties. After being acquitted in the Municipal Court, K instituted a civil liability action against the police officer, his employer and the STM, arguing that the arrest was unlawful and unreasonable and that it constituted a fault</w:t>
      </w:r>
      <w:r w:rsidR="0039481C" w:rsidRPr="00283996">
        <w:rPr>
          <w:lang w:val="en-US"/>
        </w:rPr>
        <w:t xml:space="preserve"> because</w:t>
      </w:r>
      <w:r w:rsidRPr="00283996">
        <w:rPr>
          <w:lang w:val="en-US"/>
        </w:rPr>
        <w:t xml:space="preserve"> holding the handrail was not an obligation under a by</w:t>
      </w:r>
      <w:r w:rsidRPr="00283996">
        <w:rPr>
          <w:lang w:val="en-US"/>
        </w:rPr>
        <w:noBreakHyphen/>
        <w:t>law</w:t>
      </w:r>
      <w:r w:rsidR="00727081" w:rsidRPr="00283996">
        <w:rPr>
          <w:lang w:val="en-US"/>
        </w:rPr>
        <w:t>,</w:t>
      </w:r>
      <w:r w:rsidRPr="00283996">
        <w:rPr>
          <w:lang w:val="en-US"/>
        </w:rPr>
        <w:t xml:space="preserve"> but simply a warning. The trial judge dismissed the action, finding that the police officer had not committed any civil fault and that it was K who had behaved in an inconceivable manner by refusing to comply with the officer’s order. A majority of the Court of Appeal</w:t>
      </w:r>
      <w:r w:rsidR="0039481C" w:rsidRPr="00283996">
        <w:rPr>
          <w:lang w:val="en-US"/>
        </w:rPr>
        <w:t xml:space="preserve"> affirmed</w:t>
      </w:r>
      <w:r w:rsidR="00F825C2" w:rsidRPr="00283996">
        <w:rPr>
          <w:lang w:val="en-US"/>
        </w:rPr>
        <w:t xml:space="preserve"> that decision.</w:t>
      </w:r>
    </w:p>
    <w:p w:rsidR="00932A75" w:rsidRPr="00283996" w:rsidRDefault="00A63E4C" w:rsidP="00E46284">
      <w:pPr>
        <w:pStyle w:val="SCCNormalDoubleSpacing"/>
        <w:spacing w:after="480"/>
        <w:rPr>
          <w:i/>
          <w:lang w:val="en-US"/>
        </w:rPr>
      </w:pPr>
      <w:r w:rsidRPr="00283996">
        <w:rPr>
          <w:i/>
          <w:lang w:val="en-US"/>
        </w:rPr>
        <w:tab/>
      </w:r>
      <w:r w:rsidR="00932A75" w:rsidRPr="00283996">
        <w:rPr>
          <w:i/>
          <w:lang w:val="en-US"/>
        </w:rPr>
        <w:t>Held</w:t>
      </w:r>
      <w:r w:rsidR="00932A75" w:rsidRPr="00283996">
        <w:rPr>
          <w:lang w:val="en-US"/>
        </w:rPr>
        <w:t>: The appeal should be allowed.</w:t>
      </w:r>
    </w:p>
    <w:p w:rsidR="00932A75" w:rsidRPr="00283996" w:rsidRDefault="00932A75" w:rsidP="00E46284">
      <w:pPr>
        <w:pStyle w:val="SCCNormalDoubleSpacing"/>
        <w:spacing w:after="480"/>
        <w:rPr>
          <w:lang w:val="en-US"/>
        </w:rPr>
      </w:pPr>
      <w:r w:rsidRPr="00283996">
        <w:rPr>
          <w:lang w:val="en-US"/>
        </w:rPr>
        <w:tab/>
        <w:t>A reasonable police officer in the same circumstances would not have considered failure to hold the handrail to be an offence. The police officer therefore committed a fault when he arrested K</w:t>
      </w:r>
      <w:r w:rsidRPr="00283996">
        <w:rPr>
          <w:rStyle w:val="Italic"/>
          <w:i w:val="0"/>
          <w:lang w:val="en-US"/>
        </w:rPr>
        <w:t>. The STM</w:t>
      </w:r>
      <w:r w:rsidRPr="00283996">
        <w:rPr>
          <w:i/>
          <w:lang w:val="en-US"/>
        </w:rPr>
        <w:t xml:space="preserve"> </w:t>
      </w:r>
      <w:r w:rsidRPr="00283996">
        <w:rPr>
          <w:lang w:val="en-US"/>
        </w:rPr>
        <w:t>committed a fault by teaching police officers that the pictogram in question imposed an obligation to hold the handrail, a fault that explains — at least in part — the officer’s conduct. Finally, as the officer’s principal, the city must be held liable for his fault. As for K, she was entitled to refuse to obey an unlawful order, and she therefore committed no fault that would justify an apportionment of liability</w:t>
      </w:r>
      <w:r w:rsidR="005E4944" w:rsidRPr="00283996">
        <w:rPr>
          <w:lang w:val="en-US"/>
        </w:rPr>
        <w:t>.</w:t>
      </w:r>
    </w:p>
    <w:p w:rsidR="00932A75" w:rsidRPr="00283996" w:rsidRDefault="00932A75" w:rsidP="00E46284">
      <w:pPr>
        <w:pStyle w:val="SCCNormalDoubleSpacing"/>
        <w:spacing w:after="480"/>
        <w:rPr>
          <w:lang w:val="en-US"/>
        </w:rPr>
      </w:pPr>
      <w:r w:rsidRPr="00283996">
        <w:rPr>
          <w:lang w:val="en-US"/>
        </w:rPr>
        <w:tab/>
        <w:t xml:space="preserve">To carry out their mission of maintaining peace, order and public security, police officers are required to limit citizens’ rights and freedoms using the coercive </w:t>
      </w:r>
      <w:r w:rsidRPr="00283996">
        <w:rPr>
          <w:lang w:val="en-US"/>
        </w:rPr>
        <w:lastRenderedPageBreak/>
        <w:t xml:space="preserve">power of the state. Because the risk of abuse is undeniable, it is important that there always be a legal basis for the actions taken by police officers; in the absence of such justification, their conduct is unlawful and cannot be tolerated. In exercising their powers, police officers are therefore bound by strict rules of conduct that are meant to prevent arbitrariness and unjustified restrictions on rights and freedoms. Police officers who deviate from these rules have no public law immunity. Under Quebec law, a police officer, like any other person, is held civilly liable for the injury caused to another by his or her fault, in accordance with art. 1457 </w:t>
      </w:r>
      <w:r w:rsidRPr="00283996">
        <w:rPr>
          <w:i/>
          <w:lang w:val="en-US"/>
        </w:rPr>
        <w:t>C.C.Q.</w:t>
      </w:r>
      <w:r w:rsidRPr="00283996">
        <w:rPr>
          <w:lang w:val="en-US"/>
        </w:rPr>
        <w:t>,</w:t>
      </w:r>
      <w:r w:rsidRPr="00283996">
        <w:rPr>
          <w:i/>
          <w:lang w:val="en-US"/>
        </w:rPr>
        <w:t xml:space="preserve"> </w:t>
      </w:r>
      <w:r w:rsidRPr="00283996">
        <w:rPr>
          <w:lang w:val="en-US"/>
        </w:rPr>
        <w:t>which imposes on every person “a duty to abide by the rules of conduct incumbent on him, according to the circumstances, usage or law, so as not to cause injury to another”. A police officer commits a civil fault where he or she acts in a manner that departs from the conduct of a reasonable officer in the same circumstances. Police conduct must be assessed according to the test of the normally prudent, diligent and competent police officer in the same circumstances; this test recognizes the largely discretionary nature of police work.</w:t>
      </w:r>
    </w:p>
    <w:p w:rsidR="00932A75" w:rsidRPr="00283996" w:rsidRDefault="00932A75" w:rsidP="00E46284">
      <w:pPr>
        <w:pStyle w:val="SCCNormalDoubleSpacing"/>
        <w:spacing w:after="480"/>
        <w:rPr>
          <w:rStyle w:val="Italic"/>
          <w:i w:val="0"/>
          <w:lang w:val="en-US"/>
        </w:rPr>
      </w:pPr>
      <w:r w:rsidRPr="00283996">
        <w:rPr>
          <w:lang w:val="en-US"/>
        </w:rPr>
        <w:tab/>
        <w:t xml:space="preserve">The standard of conduct that a reasonable police officer is expected to meet corresponds to an obligation of means: it is not enough to show that the officer’s conduct was unlawful. Nevertheless, the mere fact that there is a legal basis for a police officer’s actions does not necessarily exempt the officer from civil liability. </w:t>
      </w:r>
      <w:r w:rsidRPr="00283996">
        <w:rPr>
          <w:rStyle w:val="Italic"/>
          <w:i w:val="0"/>
          <w:lang w:val="en-US"/>
        </w:rPr>
        <w:t>Police officers are obliged to have an adequate knowledge and understanding of</w:t>
      </w:r>
      <w:r w:rsidRPr="00283996">
        <w:rPr>
          <w:rStyle w:val="Italic"/>
          <w:lang w:val="en-US"/>
        </w:rPr>
        <w:t xml:space="preserve"> </w:t>
      </w:r>
      <w:r w:rsidRPr="00283996">
        <w:rPr>
          <w:lang w:val="en-US"/>
        </w:rPr>
        <w:t xml:space="preserve">criminal and penal law, of the offences they are called upon to prevent and repress and of the rights and freedoms protected by the Charters. They </w:t>
      </w:r>
      <w:r w:rsidRPr="00283996">
        <w:rPr>
          <w:rStyle w:val="Italic"/>
          <w:i w:val="0"/>
          <w:lang w:val="en-US"/>
        </w:rPr>
        <w:t xml:space="preserve">must be able to exercise judgment with </w:t>
      </w:r>
      <w:r w:rsidRPr="00283996">
        <w:rPr>
          <w:rStyle w:val="Italic"/>
          <w:i w:val="0"/>
          <w:lang w:val="en-US"/>
        </w:rPr>
        <w:lastRenderedPageBreak/>
        <w:t xml:space="preserve">respect to the applicable law and cannot rely blindly on the training and instructions received, which, although they must be considered in assessing an officer’s conduct, are not conclusive in themselves. Police officers cannot avoid personal civil liability simply by arguing that they were merely carrying out an order that they knew or ought to have known was unlawful. </w:t>
      </w:r>
      <w:r w:rsidR="000827C0" w:rsidRPr="00283996">
        <w:rPr>
          <w:rStyle w:val="Italic"/>
          <w:i w:val="0"/>
          <w:lang w:val="en-US"/>
        </w:rPr>
        <w:t>Therefore, t</w:t>
      </w:r>
      <w:r w:rsidRPr="00283996">
        <w:rPr>
          <w:lang w:val="en-US"/>
        </w:rPr>
        <w:t xml:space="preserve">hey </w:t>
      </w:r>
      <w:r w:rsidRPr="00283996">
        <w:rPr>
          <w:rStyle w:val="Italic"/>
          <w:i w:val="0"/>
          <w:lang w:val="en-US"/>
        </w:rPr>
        <w:t>will sometimes commit a civil fault if they act unlawfully, even where their conduct is otherwise consistent with the training and instructions received, with existing policies, directives and procedures and with the usual practices. It is all a matter of context: the question is whether a reasonable police officer would have acted in the same manner. Police officers will generally not be civilly liable for enforcing a provision — presumed to be valid at the time of the events — that is subsequently declared invalid, provided that they do not otherwise commit a fault in exercising their powers. However, it does not follow that the existence in law — or the scope — of an offence must be assumed in a civil liability action on the basis of bare assertions to this effect made by the state, a legal person established in the public interest or one of their representatives.</w:t>
      </w:r>
    </w:p>
    <w:p w:rsidR="00932A75" w:rsidRPr="00283996" w:rsidRDefault="00932A75" w:rsidP="00E46284">
      <w:pPr>
        <w:pStyle w:val="SCCNormalDoubleSpacing"/>
        <w:spacing w:after="480"/>
        <w:rPr>
          <w:u w:val="single"/>
          <w:lang w:val="en-US"/>
        </w:rPr>
      </w:pPr>
      <w:r w:rsidRPr="00283996">
        <w:rPr>
          <w:lang w:val="en-US"/>
        </w:rPr>
        <w:tab/>
        <w:t>In the case</w:t>
      </w:r>
      <w:r w:rsidR="00702A08" w:rsidRPr="00283996">
        <w:rPr>
          <w:lang w:val="en-US"/>
        </w:rPr>
        <w:t xml:space="preserve"> at bar</w:t>
      </w:r>
      <w:r w:rsidRPr="00283996">
        <w:rPr>
          <w:lang w:val="en-US"/>
        </w:rPr>
        <w:t>, the police officer committed a civil fault by ordering K to identify herself and by arresting her and conducting a search based on a non</w:t>
      </w:r>
      <w:r w:rsidRPr="00283996">
        <w:rPr>
          <w:lang w:val="en-US"/>
        </w:rPr>
        <w:noBreakHyphen/>
        <w:t>existent offence, namely disobeying the pictogram indicating that the handrail should be held. A reasonable police officer in the same circumstances would not have concluded that disobeying the pictogram was an offence under a by</w:t>
      </w:r>
      <w:r w:rsidRPr="00283996">
        <w:rPr>
          <w:lang w:val="en-US"/>
        </w:rPr>
        <w:noBreakHyphen/>
        <w:t>law.</w:t>
      </w:r>
      <w:r w:rsidRPr="00283996">
        <w:rPr>
          <w:rStyle w:val="PageNumber"/>
          <w:lang w:val="en-US"/>
        </w:rPr>
        <w:t xml:space="preserve"> </w:t>
      </w:r>
      <w:r w:rsidRPr="00283996">
        <w:rPr>
          <w:lang w:val="en-US"/>
        </w:rPr>
        <w:t xml:space="preserve">Before depriving K of her liberty, the officer had to ensure that there was valid legal justification for his actions. A reasonable police officer would have concluded that the pictogram simply advises </w:t>
      </w:r>
      <w:r w:rsidRPr="00283996">
        <w:rPr>
          <w:lang w:val="en-US"/>
        </w:rPr>
        <w:lastRenderedPageBreak/>
        <w:t>users to be careful, despite the training received. Therefore, the officer’s conduct necessarily constituted a fault insofar as it resulted from an unreasonable belief in the existence of an offence that did not exist in law. As principal, the city is also bound</w:t>
      </w:r>
      <w:r w:rsidR="00CA27A5" w:rsidRPr="00283996">
        <w:rPr>
          <w:lang w:val="en-US"/>
        </w:rPr>
        <w:t xml:space="preserve"> </w:t>
      </w:r>
      <w:r w:rsidRPr="00283996">
        <w:rPr>
          <w:lang w:val="en-US"/>
        </w:rPr>
        <w:t>to make reparation for the injury caused</w:t>
      </w:r>
      <w:r w:rsidR="00CA27A5" w:rsidRPr="00283996">
        <w:rPr>
          <w:lang w:val="en-US"/>
        </w:rPr>
        <w:t xml:space="preserve">, </w:t>
      </w:r>
      <w:r w:rsidR="00727081" w:rsidRPr="00283996">
        <w:rPr>
          <w:lang w:val="en-US"/>
        </w:rPr>
        <w:t xml:space="preserve">pursuant to arts. 1463 and 1464 </w:t>
      </w:r>
      <w:r w:rsidR="00727081" w:rsidRPr="00283996">
        <w:rPr>
          <w:i/>
          <w:lang w:val="en-US"/>
        </w:rPr>
        <w:t>C.C.Q.</w:t>
      </w:r>
      <w:r w:rsidR="00727081" w:rsidRPr="00283996">
        <w:rPr>
          <w:lang w:val="en-US"/>
        </w:rPr>
        <w:t xml:space="preserve">, </w:t>
      </w:r>
      <w:r w:rsidR="00CA27A5" w:rsidRPr="00283996">
        <w:rPr>
          <w:lang w:val="en-US"/>
        </w:rPr>
        <w:t>b</w:t>
      </w:r>
      <w:r w:rsidRPr="00283996">
        <w:rPr>
          <w:lang w:val="en-US"/>
        </w:rPr>
        <w:t>ecause it is not in dispute that the police officer was acting in the performance of his duties when the fault was committed, even though his conduct was also unlawful</w:t>
      </w:r>
      <w:r w:rsidR="00F825C2" w:rsidRPr="00283996">
        <w:rPr>
          <w:lang w:val="en-US"/>
        </w:rPr>
        <w:t>.</w:t>
      </w:r>
    </w:p>
    <w:p w:rsidR="00932A75" w:rsidRPr="00283996" w:rsidRDefault="00932A75" w:rsidP="00E46284">
      <w:pPr>
        <w:pStyle w:val="SCCNormalDoubleSpacing"/>
        <w:spacing w:after="480"/>
        <w:rPr>
          <w:lang w:val="en-US"/>
        </w:rPr>
      </w:pPr>
      <w:r w:rsidRPr="00283996">
        <w:rPr>
          <w:rStyle w:val="Italic"/>
          <w:lang w:val="en-US"/>
        </w:rPr>
        <w:tab/>
      </w:r>
      <w:r w:rsidRPr="00283996">
        <w:rPr>
          <w:rStyle w:val="Italic"/>
          <w:i w:val="0"/>
          <w:lang w:val="en-US"/>
        </w:rPr>
        <w:t>As for the</w:t>
      </w:r>
      <w:r w:rsidRPr="00283996">
        <w:rPr>
          <w:lang w:val="en-US"/>
        </w:rPr>
        <w:t xml:space="preserve"> STM, it has no public law immunity</w:t>
      </w:r>
      <w:r w:rsidRPr="00283996">
        <w:rPr>
          <w:rStyle w:val="Italic"/>
          <w:i w:val="0"/>
          <w:lang w:val="en-US"/>
        </w:rPr>
        <w:t>.</w:t>
      </w:r>
      <w:r w:rsidRPr="00283996">
        <w:rPr>
          <w:lang w:val="en-US"/>
        </w:rPr>
        <w:t xml:space="preserve"> The general rules of </w:t>
      </w:r>
      <w:proofErr w:type="spellStart"/>
      <w:r w:rsidRPr="00283996">
        <w:rPr>
          <w:lang w:val="en-US"/>
        </w:rPr>
        <w:t>extracontractual</w:t>
      </w:r>
      <w:proofErr w:type="spellEnd"/>
      <w:r w:rsidRPr="00283996">
        <w:rPr>
          <w:lang w:val="en-US"/>
        </w:rPr>
        <w:t xml:space="preserve"> civil liability are, in principle, applicable to a legal person established in the public interest, unless that person shows that a specific rule of public law derogates from them. </w:t>
      </w:r>
      <w:r w:rsidR="0039481C" w:rsidRPr="00283996">
        <w:rPr>
          <w:lang w:val="en-US"/>
        </w:rPr>
        <w:t>A legal person established in the public interest does not incur civil liability where it makes or passes a regulation or by</w:t>
      </w:r>
      <w:r w:rsidR="0039481C" w:rsidRPr="00283996">
        <w:rPr>
          <w:lang w:val="en-US"/>
        </w:rPr>
        <w:noBreakHyphen/>
        <w:t>law that is subsequently held to be invalid, unless its decision to do so was made in bad faith or was irrational</w:t>
      </w:r>
      <w:r w:rsidRPr="00283996">
        <w:rPr>
          <w:lang w:val="en-US"/>
        </w:rPr>
        <w:t>. It may nonetheless be civilly liable if it makes an error of law in implementing its own regulations or by</w:t>
      </w:r>
      <w:r w:rsidRPr="00283996">
        <w:rPr>
          <w:lang w:val="en-US"/>
        </w:rPr>
        <w:noBreakHyphen/>
        <w:t xml:space="preserve">laws. In the instant case, the training provided to police officers </w:t>
      </w:r>
      <w:r w:rsidR="00CA27A5" w:rsidRPr="00283996">
        <w:rPr>
          <w:lang w:val="en-US"/>
        </w:rPr>
        <w:t xml:space="preserve">by the STM </w:t>
      </w:r>
      <w:r w:rsidRPr="00283996">
        <w:rPr>
          <w:lang w:val="en-US"/>
        </w:rPr>
        <w:t>is part of the implementation of By</w:t>
      </w:r>
      <w:r w:rsidRPr="00283996">
        <w:rPr>
          <w:lang w:val="en-US"/>
        </w:rPr>
        <w:noBreakHyphen/>
        <w:t>law R</w:t>
      </w:r>
      <w:r w:rsidRPr="00283996">
        <w:rPr>
          <w:lang w:val="en-US"/>
        </w:rPr>
        <w:noBreakHyphen/>
        <w:t xml:space="preserve">036. In this respect, the STM cannot avoid the rules in art. 1457 </w:t>
      </w:r>
      <w:r w:rsidRPr="00283996">
        <w:rPr>
          <w:i/>
          <w:lang w:val="en-US"/>
        </w:rPr>
        <w:t>C.C.Q.</w:t>
      </w:r>
      <w:r w:rsidRPr="00283996">
        <w:rPr>
          <w:lang w:val="en-US"/>
        </w:rPr>
        <w:t xml:space="preserve"> It committed a direct fault</w:t>
      </w:r>
      <w:r w:rsidR="00D1677A" w:rsidRPr="00283996">
        <w:rPr>
          <w:lang w:val="en-US"/>
        </w:rPr>
        <w:t xml:space="preserve"> </w:t>
      </w:r>
      <w:r w:rsidRPr="00283996">
        <w:rPr>
          <w:lang w:val="en-US"/>
        </w:rPr>
        <w:t>in the implementation of the by</w:t>
      </w:r>
      <w:r w:rsidRPr="00283996">
        <w:rPr>
          <w:lang w:val="en-US"/>
        </w:rPr>
        <w:noBreakHyphen/>
        <w:t>law</w:t>
      </w:r>
      <w:r w:rsidR="00BB5114" w:rsidRPr="00283996">
        <w:rPr>
          <w:lang w:val="en-US"/>
        </w:rPr>
        <w:t xml:space="preserve"> by providing training that suggested to police officers called upon to enforce its by</w:t>
      </w:r>
      <w:r w:rsidR="00BB5114" w:rsidRPr="00283996">
        <w:rPr>
          <w:lang w:val="en-US"/>
        </w:rPr>
        <w:noBreakHyphen/>
        <w:t>laws that holding the handrail was an obligation pursuant to a by</w:t>
      </w:r>
      <w:r w:rsidR="00BB5114" w:rsidRPr="00283996">
        <w:rPr>
          <w:lang w:val="en-US"/>
        </w:rPr>
        <w:noBreakHyphen/>
        <w:t>law. Once the STM undertook to provide police officers with training</w:t>
      </w:r>
      <w:r w:rsidRPr="00283996">
        <w:rPr>
          <w:lang w:val="en-US"/>
        </w:rPr>
        <w:t>, it had to ensure that the training would be appropriate and that it would reflect the law. If the police officer was at fault for believing that holding the handrail was an obligation, the STM was equally at fault for misinterpreting the by</w:t>
      </w:r>
      <w:r w:rsidRPr="00283996">
        <w:rPr>
          <w:lang w:val="en-US"/>
        </w:rPr>
        <w:noBreakHyphen/>
        <w:t>law and providing training accordingly.</w:t>
      </w:r>
    </w:p>
    <w:p w:rsidR="00932A75" w:rsidRPr="00283996" w:rsidRDefault="00932A75" w:rsidP="00E46284">
      <w:pPr>
        <w:pStyle w:val="SCCNormalDoubleSpacing"/>
        <w:spacing w:after="480"/>
        <w:rPr>
          <w:lang w:val="en-US"/>
        </w:rPr>
      </w:pPr>
      <w:r w:rsidRPr="00283996">
        <w:rPr>
          <w:lang w:val="en-US"/>
        </w:rPr>
        <w:lastRenderedPageBreak/>
        <w:tab/>
        <w:t xml:space="preserve">The STM is also liable as </w:t>
      </w:r>
      <w:proofErr w:type="spellStart"/>
      <w:r w:rsidRPr="00283996">
        <w:rPr>
          <w:lang w:val="en-US"/>
        </w:rPr>
        <w:t>mandator</w:t>
      </w:r>
      <w:proofErr w:type="spellEnd"/>
      <w:r w:rsidRPr="00283996">
        <w:rPr>
          <w:lang w:val="en-US"/>
        </w:rPr>
        <w:t xml:space="preserve"> for the police officer’s fault. The designation of a police officer as a</w:t>
      </w:r>
      <w:r w:rsidR="00CA27A5" w:rsidRPr="00283996">
        <w:rPr>
          <w:lang w:val="en-US"/>
        </w:rPr>
        <w:t xml:space="preserve"> subway</w:t>
      </w:r>
      <w:r w:rsidRPr="00283996">
        <w:rPr>
          <w:lang w:val="en-US"/>
        </w:rPr>
        <w:t xml:space="preserve"> inspector creates a legal relationship analogous to that of mandate within the meaning of art. 2130 </w:t>
      </w:r>
      <w:r w:rsidR="00B73495" w:rsidRPr="00283996">
        <w:rPr>
          <w:lang w:val="en-US"/>
        </w:rPr>
        <w:t xml:space="preserve">para. 1 </w:t>
      </w:r>
      <w:r w:rsidRPr="00283996">
        <w:rPr>
          <w:i/>
          <w:lang w:val="en-US"/>
        </w:rPr>
        <w:t>C.C.Q.</w:t>
      </w:r>
      <w:r w:rsidRPr="00283996">
        <w:rPr>
          <w:lang w:val="en-US"/>
        </w:rPr>
        <w:t>, in which a public transit authority may incur civil liability to a third person. In enforcing the by</w:t>
      </w:r>
      <w:r w:rsidRPr="00283996">
        <w:rPr>
          <w:lang w:val="en-US"/>
        </w:rPr>
        <w:noBreakHyphen/>
        <w:t xml:space="preserve">laws of a public transit authority, a police officer </w:t>
      </w:r>
      <w:r w:rsidRPr="00283996">
        <w:rPr>
          <w:i/>
          <w:lang w:val="en-US"/>
        </w:rPr>
        <w:t>ipso facto</w:t>
      </w:r>
      <w:r w:rsidRPr="00283996">
        <w:rPr>
          <w:lang w:val="en-US"/>
        </w:rPr>
        <w:t xml:space="preserve"> represents that authority in the performance of a juridical act, which must be interpreted broadly. This conclusion in no way compromises the autonomy that a police officer has in exercising his or her powers. If a police officer can be characterized as a subordinate, there is no reason why he or she could not be a mandatary</w:t>
      </w:r>
      <w:r w:rsidRPr="00283996">
        <w:rPr>
          <w:i/>
          <w:lang w:val="en-US"/>
        </w:rPr>
        <w:t xml:space="preserve"> </w:t>
      </w:r>
      <w:r w:rsidRPr="00283996">
        <w:rPr>
          <w:lang w:val="en-US"/>
        </w:rPr>
        <w:t>under the rules of civil liability — a relationship that does not require any relationship of subordination.</w:t>
      </w:r>
    </w:p>
    <w:p w:rsidR="00932A75" w:rsidRPr="00283996" w:rsidRDefault="00932A75" w:rsidP="00E46284">
      <w:pPr>
        <w:pStyle w:val="SCCNormalDoubleSpacing"/>
        <w:spacing w:after="480"/>
        <w:rPr>
          <w:lang w:val="en-US"/>
        </w:rPr>
      </w:pPr>
      <w:r w:rsidRPr="00283996">
        <w:rPr>
          <w:b/>
          <w:lang w:val="en-US"/>
        </w:rPr>
        <w:tab/>
      </w:r>
      <w:r w:rsidRPr="00283996">
        <w:rPr>
          <w:lang w:val="en-US"/>
        </w:rPr>
        <w:t xml:space="preserve">K was entitled to refuse to obey an unlawful order and therefore committed no fault that would justify an apportionment of liability under art. 1478 para. 2 </w:t>
      </w:r>
      <w:r w:rsidRPr="00283996">
        <w:rPr>
          <w:i/>
          <w:lang w:val="en-US"/>
        </w:rPr>
        <w:t>C.C.Q.</w:t>
      </w:r>
      <w:r w:rsidRPr="00283996">
        <w:rPr>
          <w:lang w:val="en-US"/>
        </w:rPr>
        <w:t xml:space="preserve"> </w:t>
      </w:r>
      <w:proofErr w:type="gramStart"/>
      <w:r w:rsidRPr="00283996">
        <w:rPr>
          <w:lang w:val="en-US"/>
        </w:rPr>
        <w:t>Unless</w:t>
      </w:r>
      <w:proofErr w:type="gramEnd"/>
      <w:r w:rsidRPr="00283996">
        <w:rPr>
          <w:lang w:val="en-US"/>
        </w:rPr>
        <w:t xml:space="preserve"> a statutory provision or common law rule clearly imposes it, there is no obligation to identify oneself to, or indeed to cooperate with, a police officer. To conclude that K must be apportioned a share of the liability would amount to saying that there is, in all circumstances, a rule of conduct requiring compliance with an unlawful order given by a police officer, even where the order is based on an offence that simply does not exist in law. A well</w:t>
      </w:r>
      <w:r w:rsidRPr="00283996">
        <w:rPr>
          <w:lang w:val="en-US"/>
        </w:rPr>
        <w:noBreakHyphen/>
        <w:t xml:space="preserve">informed person whose rights are infringed must be able to respond — within reason — without being held civilly liable. </w:t>
      </w:r>
      <w:r w:rsidR="00101349" w:rsidRPr="00283996">
        <w:rPr>
          <w:lang w:val="en-US"/>
        </w:rPr>
        <w:t xml:space="preserve">Similarly, </w:t>
      </w:r>
      <w:r w:rsidRPr="00283996">
        <w:rPr>
          <w:lang w:val="en-US"/>
        </w:rPr>
        <w:t xml:space="preserve">K cannot be faulted for not doing anything to mitigate the injury she suffered. A reasonable, prudent and diligent person is not under an obligation to obey an unlawful order. The duty to mitigate must sometimes be displaced where it conflicts with respect </w:t>
      </w:r>
      <w:r w:rsidRPr="00283996">
        <w:rPr>
          <w:lang w:val="en-US"/>
        </w:rPr>
        <w:lastRenderedPageBreak/>
        <w:t>for rights and freedoms. In a free and democratic society, no one should accept — or expect to be subjected to — unjustified state intrusions. Interference with freedom of movement, just like invasion of privacy, must not be trivialized.</w:t>
      </w:r>
    </w:p>
    <w:p w:rsidR="007E1C47" w:rsidRPr="00283996" w:rsidRDefault="002E6705" w:rsidP="00101349">
      <w:pPr>
        <w:pStyle w:val="SCCNormalDoubleSpacing"/>
        <w:spacing w:after="720" w:line="240" w:lineRule="auto"/>
        <w:rPr>
          <w:b/>
          <w:lang w:val="en-US"/>
        </w:rPr>
      </w:pPr>
      <w:r w:rsidRPr="00283996">
        <w:rPr>
          <w:b/>
          <w:lang w:val="en-US"/>
        </w:rPr>
        <w:t>Cases Cited</w:t>
      </w:r>
    </w:p>
    <w:p w:rsidR="00BC1C68" w:rsidRPr="00283996" w:rsidRDefault="002E6705" w:rsidP="00077E7A">
      <w:pPr>
        <w:pStyle w:val="SCCNormalDoubleSpacing"/>
        <w:spacing w:after="480"/>
        <w:rPr>
          <w:b/>
          <w:lang w:val="en-US"/>
        </w:rPr>
      </w:pPr>
      <w:r w:rsidRPr="00283996">
        <w:rPr>
          <w:lang w:val="en-US"/>
        </w:rPr>
        <w:tab/>
      </w:r>
      <w:r w:rsidRPr="00283996">
        <w:rPr>
          <w:b/>
          <w:lang w:val="en-US"/>
        </w:rPr>
        <w:t>Referred to:</w:t>
      </w:r>
      <w:r w:rsidR="00BD0E9E" w:rsidRPr="00283996">
        <w:rPr>
          <w:lang w:val="en-US"/>
        </w:rPr>
        <w:t xml:space="preserve"> </w:t>
      </w:r>
      <w:r w:rsidR="001E7C5A" w:rsidRPr="00283996">
        <w:rPr>
          <w:i/>
          <w:lang w:val="en-US"/>
        </w:rPr>
        <w:t>Godin v. Montréal (Ville de)</w:t>
      </w:r>
      <w:r w:rsidR="001E7C5A" w:rsidRPr="00283996">
        <w:rPr>
          <w:lang w:val="en-US"/>
        </w:rPr>
        <w:t xml:space="preserve">, 2015 QCCQ 5513; </w:t>
      </w:r>
      <w:r w:rsidR="00AB4060" w:rsidRPr="00283996">
        <w:rPr>
          <w:i/>
          <w:lang w:val="en-US"/>
        </w:rPr>
        <w:t xml:space="preserve">Mustapha v. </w:t>
      </w:r>
      <w:proofErr w:type="spellStart"/>
      <w:r w:rsidR="00AB4060" w:rsidRPr="00283996">
        <w:rPr>
          <w:i/>
          <w:lang w:val="en-US"/>
        </w:rPr>
        <w:t>Culligan</w:t>
      </w:r>
      <w:proofErr w:type="spellEnd"/>
      <w:r w:rsidR="00AB4060" w:rsidRPr="00283996">
        <w:rPr>
          <w:i/>
          <w:lang w:val="en-US"/>
        </w:rPr>
        <w:t xml:space="preserve"> of Canada Ltd.</w:t>
      </w:r>
      <w:r w:rsidR="00AB4060" w:rsidRPr="00283996">
        <w:rPr>
          <w:lang w:val="en-US"/>
        </w:rPr>
        <w:t xml:space="preserve">, 2008 SCC 27, [2008] 2 S.C.R. 114; </w:t>
      </w:r>
      <w:proofErr w:type="spellStart"/>
      <w:r w:rsidR="00643699" w:rsidRPr="00283996">
        <w:rPr>
          <w:i/>
          <w:iCs/>
          <w:lang w:val="en-US"/>
        </w:rPr>
        <w:t>Dedman</w:t>
      </w:r>
      <w:proofErr w:type="spellEnd"/>
      <w:r w:rsidR="00643699" w:rsidRPr="00283996">
        <w:rPr>
          <w:i/>
          <w:iCs/>
          <w:lang w:val="en-US"/>
        </w:rPr>
        <w:t> v. The Queen</w:t>
      </w:r>
      <w:r w:rsidR="00643699" w:rsidRPr="00283996">
        <w:rPr>
          <w:lang w:val="en-US"/>
        </w:rPr>
        <w:t xml:space="preserve">, [1985] 2 S.C.R. 2; </w:t>
      </w:r>
      <w:r w:rsidR="007B7F79" w:rsidRPr="00283996">
        <w:rPr>
          <w:i/>
          <w:lang w:val="en-US"/>
        </w:rPr>
        <w:t>R. v. Sharma</w:t>
      </w:r>
      <w:r w:rsidR="007B7F79" w:rsidRPr="00283996">
        <w:rPr>
          <w:lang w:val="en-US"/>
        </w:rPr>
        <w:t>, [1993] 1 S.C.R. 650;</w:t>
      </w:r>
      <w:r w:rsidR="00557936" w:rsidRPr="00283996">
        <w:rPr>
          <w:lang w:val="en-US"/>
        </w:rPr>
        <w:t xml:space="preserve"> </w:t>
      </w:r>
      <w:r w:rsidR="00557936" w:rsidRPr="00283996">
        <w:rPr>
          <w:i/>
          <w:lang w:val="en-US"/>
        </w:rPr>
        <w:t>Hill v. Hamilton</w:t>
      </w:r>
      <w:r w:rsidR="007E61AD" w:rsidRPr="00283996">
        <w:rPr>
          <w:i/>
          <w:lang w:val="en-US"/>
        </w:rPr>
        <w:noBreakHyphen/>
      </w:r>
      <w:r w:rsidR="00557936" w:rsidRPr="00283996">
        <w:rPr>
          <w:i/>
          <w:lang w:val="en-US"/>
        </w:rPr>
        <w:t>Wentworth Regional Police Services Board</w:t>
      </w:r>
      <w:r w:rsidR="00557936" w:rsidRPr="00283996">
        <w:rPr>
          <w:lang w:val="en-US"/>
        </w:rPr>
        <w:t>, 2007 SCC 41, [2007] 3 S.C.R. 129;</w:t>
      </w:r>
      <w:r w:rsidR="00372257" w:rsidRPr="00283996">
        <w:rPr>
          <w:i/>
          <w:iCs/>
          <w:lang w:val="en-US"/>
        </w:rPr>
        <w:t xml:space="preserve"> </w:t>
      </w:r>
      <w:proofErr w:type="spellStart"/>
      <w:r w:rsidR="00372257" w:rsidRPr="00283996">
        <w:rPr>
          <w:i/>
          <w:iCs/>
          <w:lang w:val="en-US"/>
        </w:rPr>
        <w:t>Jauvin</w:t>
      </w:r>
      <w:proofErr w:type="spellEnd"/>
      <w:r w:rsidR="00372257" w:rsidRPr="00283996">
        <w:rPr>
          <w:i/>
          <w:iCs/>
          <w:lang w:val="en-US"/>
        </w:rPr>
        <w:t> v. Québec</w:t>
      </w:r>
      <w:r w:rsidR="00781B68" w:rsidRPr="00283996">
        <w:rPr>
          <w:i/>
          <w:iCs/>
          <w:lang w:val="en-US"/>
        </w:rPr>
        <w:t xml:space="preserve"> (</w:t>
      </w:r>
      <w:proofErr w:type="spellStart"/>
      <w:r w:rsidR="00781B68" w:rsidRPr="00283996">
        <w:rPr>
          <w:i/>
          <w:iCs/>
          <w:lang w:val="en-US"/>
        </w:rPr>
        <w:t>Procureur</w:t>
      </w:r>
      <w:proofErr w:type="spellEnd"/>
      <w:r w:rsidR="00781B68" w:rsidRPr="00283996">
        <w:rPr>
          <w:i/>
          <w:iCs/>
          <w:lang w:val="en-US"/>
        </w:rPr>
        <w:t xml:space="preserve"> </w:t>
      </w:r>
      <w:proofErr w:type="spellStart"/>
      <w:r w:rsidR="00781B68" w:rsidRPr="00283996">
        <w:rPr>
          <w:i/>
          <w:iCs/>
          <w:lang w:val="en-US"/>
        </w:rPr>
        <w:t>général</w:t>
      </w:r>
      <w:proofErr w:type="spellEnd"/>
      <w:r w:rsidR="00781B68" w:rsidRPr="00283996">
        <w:rPr>
          <w:i/>
          <w:iCs/>
          <w:lang w:val="en-US"/>
        </w:rPr>
        <w:t>)</w:t>
      </w:r>
      <w:r w:rsidR="00372257" w:rsidRPr="00283996">
        <w:rPr>
          <w:lang w:val="en-US"/>
        </w:rPr>
        <w:t>, [2004] R.R.A. 37;</w:t>
      </w:r>
      <w:r w:rsidR="0097353D" w:rsidRPr="00283996">
        <w:rPr>
          <w:i/>
          <w:lang w:val="en-US"/>
        </w:rPr>
        <w:t xml:space="preserve"> </w:t>
      </w:r>
      <w:proofErr w:type="spellStart"/>
      <w:r w:rsidR="0097353D" w:rsidRPr="00283996">
        <w:rPr>
          <w:i/>
          <w:lang w:val="en-US"/>
        </w:rPr>
        <w:t>Régie</w:t>
      </w:r>
      <w:proofErr w:type="spellEnd"/>
      <w:r w:rsidR="0097353D" w:rsidRPr="00283996">
        <w:rPr>
          <w:i/>
          <w:lang w:val="en-US"/>
        </w:rPr>
        <w:t xml:space="preserve"> </w:t>
      </w:r>
      <w:proofErr w:type="spellStart"/>
      <w:r w:rsidR="0097353D" w:rsidRPr="00283996">
        <w:rPr>
          <w:i/>
          <w:lang w:val="en-US"/>
        </w:rPr>
        <w:t>intermunicipale</w:t>
      </w:r>
      <w:proofErr w:type="spellEnd"/>
      <w:r w:rsidR="0097353D" w:rsidRPr="00283996">
        <w:rPr>
          <w:i/>
          <w:lang w:val="en-US"/>
        </w:rPr>
        <w:t xml:space="preserve"> de police des Seigneuries v. Michaelson</w:t>
      </w:r>
      <w:r w:rsidR="0097353D" w:rsidRPr="00283996">
        <w:rPr>
          <w:lang w:val="en-US"/>
        </w:rPr>
        <w:t xml:space="preserve">, [2005] R.R.A. 7; </w:t>
      </w:r>
      <w:proofErr w:type="spellStart"/>
      <w:r w:rsidR="0097353D" w:rsidRPr="00283996">
        <w:rPr>
          <w:i/>
          <w:lang w:val="en-US"/>
        </w:rPr>
        <w:t>Popovic</w:t>
      </w:r>
      <w:proofErr w:type="spellEnd"/>
      <w:r w:rsidR="0097353D" w:rsidRPr="00283996">
        <w:rPr>
          <w:i/>
          <w:lang w:val="en-US"/>
        </w:rPr>
        <w:t xml:space="preserve"> v. Montréal (Ville de)</w:t>
      </w:r>
      <w:r w:rsidR="0097353D" w:rsidRPr="00283996">
        <w:rPr>
          <w:lang w:val="en-US"/>
        </w:rPr>
        <w:t>, 2008 QCCA 2371, [2009] R.R.A. 1;</w:t>
      </w:r>
      <w:r w:rsidR="00D626DC" w:rsidRPr="00283996">
        <w:rPr>
          <w:i/>
          <w:lang w:val="en-US"/>
        </w:rPr>
        <w:t xml:space="preserve"> St. Lawrence Cement Inc. v. Barrette</w:t>
      </w:r>
      <w:r w:rsidR="00D626DC" w:rsidRPr="00283996">
        <w:rPr>
          <w:lang w:val="en-US"/>
        </w:rPr>
        <w:t>, 2008 SCC 64, [2008] 3 S.C.R. 392;</w:t>
      </w:r>
      <w:r w:rsidR="005F2403" w:rsidRPr="00283996">
        <w:rPr>
          <w:i/>
          <w:lang w:val="en-US"/>
        </w:rPr>
        <w:t xml:space="preserve"> </w:t>
      </w:r>
      <w:proofErr w:type="spellStart"/>
      <w:r w:rsidR="005F2403" w:rsidRPr="00283996">
        <w:rPr>
          <w:i/>
          <w:lang w:val="en-US"/>
        </w:rPr>
        <w:t>Bou</w:t>
      </w:r>
      <w:proofErr w:type="spellEnd"/>
      <w:r w:rsidR="005F2403" w:rsidRPr="00283996">
        <w:rPr>
          <w:i/>
          <w:lang w:val="en-US"/>
        </w:rPr>
        <w:t xml:space="preserve"> </w:t>
      </w:r>
      <w:proofErr w:type="spellStart"/>
      <w:r w:rsidR="005F2403" w:rsidRPr="00283996">
        <w:rPr>
          <w:i/>
          <w:lang w:val="en-US"/>
        </w:rPr>
        <w:t>Malhab</w:t>
      </w:r>
      <w:proofErr w:type="spellEnd"/>
      <w:r w:rsidR="005F2403" w:rsidRPr="00283996">
        <w:rPr>
          <w:i/>
          <w:lang w:val="en-US"/>
        </w:rPr>
        <w:t xml:space="preserve"> v. Diffusion </w:t>
      </w:r>
      <w:proofErr w:type="spellStart"/>
      <w:r w:rsidR="005F2403" w:rsidRPr="00283996">
        <w:rPr>
          <w:i/>
          <w:lang w:val="en-US"/>
        </w:rPr>
        <w:t>Métromédia</w:t>
      </w:r>
      <w:proofErr w:type="spellEnd"/>
      <w:r w:rsidR="005F2403" w:rsidRPr="00283996">
        <w:rPr>
          <w:i/>
          <w:lang w:val="en-US"/>
        </w:rPr>
        <w:t xml:space="preserve"> CMR </w:t>
      </w:r>
      <w:proofErr w:type="spellStart"/>
      <w:r w:rsidR="005F2403" w:rsidRPr="00283996">
        <w:rPr>
          <w:i/>
          <w:lang w:val="en-US"/>
        </w:rPr>
        <w:t>inc.</w:t>
      </w:r>
      <w:proofErr w:type="spellEnd"/>
      <w:r w:rsidR="005F2403" w:rsidRPr="00283996">
        <w:rPr>
          <w:lang w:val="en-US"/>
        </w:rPr>
        <w:t>, 2011 SCC 9, [2011] 1 S.C.R. 214;</w:t>
      </w:r>
      <w:r w:rsidR="00E2257F" w:rsidRPr="00283996">
        <w:rPr>
          <w:i/>
          <w:lang w:val="en-US"/>
        </w:rPr>
        <w:t xml:space="preserve"> </w:t>
      </w:r>
      <w:proofErr w:type="spellStart"/>
      <w:r w:rsidR="00E2257F" w:rsidRPr="00283996">
        <w:rPr>
          <w:i/>
          <w:lang w:val="en-US"/>
        </w:rPr>
        <w:t>Roberge</w:t>
      </w:r>
      <w:proofErr w:type="spellEnd"/>
      <w:r w:rsidR="00E2257F" w:rsidRPr="00283996">
        <w:rPr>
          <w:i/>
          <w:lang w:val="en-US"/>
        </w:rPr>
        <w:t xml:space="preserve"> v. Bolduc</w:t>
      </w:r>
      <w:r w:rsidR="00E2257F" w:rsidRPr="00283996">
        <w:rPr>
          <w:lang w:val="en-US"/>
        </w:rPr>
        <w:t>, [1991] 1 S.C.R. 374;</w:t>
      </w:r>
      <w:r w:rsidR="00BC4401" w:rsidRPr="00283996">
        <w:rPr>
          <w:i/>
          <w:lang w:val="en-US"/>
        </w:rPr>
        <w:t xml:space="preserve"> </w:t>
      </w:r>
      <w:proofErr w:type="spellStart"/>
      <w:r w:rsidR="00BC4401" w:rsidRPr="00283996">
        <w:rPr>
          <w:rStyle w:val="solexhl"/>
          <w:rFonts w:eastAsiaTheme="majorEastAsia"/>
          <w:i/>
          <w:iCs/>
          <w:lang w:val="en-US"/>
        </w:rPr>
        <w:t>Chartier</w:t>
      </w:r>
      <w:proofErr w:type="spellEnd"/>
      <w:r w:rsidR="00701291" w:rsidRPr="00283996">
        <w:rPr>
          <w:i/>
          <w:iCs/>
          <w:lang w:val="en-US"/>
        </w:rPr>
        <w:t xml:space="preserve"> </w:t>
      </w:r>
      <w:r w:rsidR="00BC4401" w:rsidRPr="00283996">
        <w:rPr>
          <w:i/>
          <w:iCs/>
          <w:lang w:val="en-US"/>
        </w:rPr>
        <w:t>v. Attorney General of Quebec</w:t>
      </w:r>
      <w:r w:rsidR="00BC4401" w:rsidRPr="00283996">
        <w:rPr>
          <w:lang w:val="en-US"/>
        </w:rPr>
        <w:t>, [1979] 2 S.C.R. 474;</w:t>
      </w:r>
      <w:r w:rsidR="00247BDF" w:rsidRPr="00283996">
        <w:rPr>
          <w:lang w:val="en-US"/>
        </w:rPr>
        <w:t xml:space="preserve"> </w:t>
      </w:r>
      <w:r w:rsidR="00247BDF" w:rsidRPr="00283996">
        <w:rPr>
          <w:i/>
          <w:iCs/>
          <w:lang w:val="en-US"/>
        </w:rPr>
        <w:t>Lacombe v. André</w:t>
      </w:r>
      <w:r w:rsidR="00247BDF" w:rsidRPr="00283996">
        <w:rPr>
          <w:lang w:val="en-US"/>
        </w:rPr>
        <w:t>, [2003] R.J.Q. 720;</w:t>
      </w:r>
      <w:r w:rsidR="00362714" w:rsidRPr="00283996">
        <w:rPr>
          <w:i/>
          <w:lang w:val="en-US"/>
        </w:rPr>
        <w:t xml:space="preserve"> St</w:t>
      </w:r>
      <w:r w:rsidR="007E61AD" w:rsidRPr="00283996">
        <w:rPr>
          <w:i/>
          <w:lang w:val="en-US"/>
        </w:rPr>
        <w:noBreakHyphen/>
      </w:r>
      <w:r w:rsidR="00362714" w:rsidRPr="00283996">
        <w:rPr>
          <w:i/>
          <w:lang w:val="en-US"/>
        </w:rPr>
        <w:t>Martin v. Morin (Succession de)</w:t>
      </w:r>
      <w:r w:rsidR="00362714" w:rsidRPr="00283996">
        <w:rPr>
          <w:lang w:val="en-US"/>
        </w:rPr>
        <w:t>, 2008 QCCA 2106, [2008] R.J.Q. 2539;</w:t>
      </w:r>
      <w:r w:rsidR="005F1D5C" w:rsidRPr="00283996">
        <w:rPr>
          <w:i/>
          <w:lang w:val="en-US"/>
        </w:rPr>
        <w:t xml:space="preserve"> Infineon Technologies AG v. Option </w:t>
      </w:r>
      <w:proofErr w:type="spellStart"/>
      <w:r w:rsidR="005F1D5C" w:rsidRPr="00283996">
        <w:rPr>
          <w:i/>
          <w:lang w:val="en-US"/>
        </w:rPr>
        <w:t>consommateurs</w:t>
      </w:r>
      <w:proofErr w:type="spellEnd"/>
      <w:r w:rsidR="005F1D5C" w:rsidRPr="00283996">
        <w:rPr>
          <w:lang w:val="en-US"/>
        </w:rPr>
        <w:t>, 2013 SCC 59, [2013] 3 S.C.R. 600;</w:t>
      </w:r>
      <w:r w:rsidR="00101349" w:rsidRPr="00283996">
        <w:rPr>
          <w:rStyle w:val="Heading2Char"/>
          <w:rFonts w:ascii="Times New Roman" w:hAnsi="Times New Roman" w:cs="Times New Roman"/>
          <w:b w:val="0"/>
          <w:iCs/>
          <w:color w:val="auto"/>
          <w:sz w:val="24"/>
          <w:szCs w:val="24"/>
          <w:lang w:val="en-US"/>
        </w:rPr>
        <w:t xml:space="preserve"> </w:t>
      </w:r>
      <w:proofErr w:type="spellStart"/>
      <w:r w:rsidR="003E41BE" w:rsidRPr="00283996">
        <w:rPr>
          <w:rStyle w:val="solexhl"/>
          <w:rFonts w:eastAsiaTheme="majorEastAsia"/>
          <w:i/>
          <w:iCs/>
          <w:lang w:val="en-US"/>
        </w:rPr>
        <w:t>Compagnie</w:t>
      </w:r>
      <w:proofErr w:type="spellEnd"/>
      <w:r w:rsidR="003E41BE" w:rsidRPr="00283996">
        <w:rPr>
          <w:rStyle w:val="solexhl"/>
          <w:rFonts w:eastAsiaTheme="majorEastAsia"/>
          <w:i/>
          <w:iCs/>
          <w:lang w:val="en-US"/>
        </w:rPr>
        <w:t xml:space="preserve"> </w:t>
      </w:r>
      <w:proofErr w:type="spellStart"/>
      <w:r w:rsidR="003E41BE" w:rsidRPr="00283996">
        <w:rPr>
          <w:rStyle w:val="solexhl"/>
          <w:rFonts w:eastAsiaTheme="majorEastAsia"/>
          <w:i/>
          <w:iCs/>
          <w:lang w:val="en-US"/>
        </w:rPr>
        <w:t>d</w:t>
      </w:r>
      <w:r w:rsidR="00D75B96" w:rsidRPr="00283996">
        <w:rPr>
          <w:rStyle w:val="solexhl"/>
          <w:rFonts w:eastAsiaTheme="majorEastAsia"/>
          <w:i/>
          <w:iCs/>
          <w:lang w:val="en-US"/>
        </w:rPr>
        <w:t>’</w:t>
      </w:r>
      <w:r w:rsidR="003E41BE" w:rsidRPr="00283996">
        <w:rPr>
          <w:rStyle w:val="solexhl"/>
          <w:rFonts w:eastAsiaTheme="majorEastAsia"/>
          <w:i/>
          <w:iCs/>
          <w:lang w:val="en-US"/>
        </w:rPr>
        <w:t>assurance</w:t>
      </w:r>
      <w:proofErr w:type="spellEnd"/>
      <w:r w:rsidR="003E41BE" w:rsidRPr="00283996">
        <w:rPr>
          <w:rStyle w:val="solexhl"/>
          <w:rFonts w:eastAsiaTheme="majorEastAsia"/>
          <w:i/>
          <w:iCs/>
          <w:lang w:val="en-US"/>
        </w:rPr>
        <w:t xml:space="preserve"> Continental du Canada</w:t>
      </w:r>
      <w:r w:rsidR="003E41BE" w:rsidRPr="00283996">
        <w:rPr>
          <w:i/>
          <w:iCs/>
          <w:lang w:val="en-US"/>
        </w:rPr>
        <w:t xml:space="preserve"> v. 136500 Canada </w:t>
      </w:r>
      <w:proofErr w:type="spellStart"/>
      <w:r w:rsidR="003E41BE" w:rsidRPr="00283996">
        <w:rPr>
          <w:i/>
          <w:iCs/>
          <w:lang w:val="en-US"/>
        </w:rPr>
        <w:t>inc.</w:t>
      </w:r>
      <w:proofErr w:type="spellEnd"/>
      <w:r w:rsidR="003E41BE" w:rsidRPr="00283996">
        <w:rPr>
          <w:lang w:val="en-US"/>
        </w:rPr>
        <w:t>, [1998] R.R.A. 707;</w:t>
      </w:r>
      <w:r w:rsidR="00EE087B" w:rsidRPr="00283996">
        <w:rPr>
          <w:i/>
          <w:lang w:val="en-US"/>
        </w:rPr>
        <w:t xml:space="preserve"> Morin v. </w:t>
      </w:r>
      <w:proofErr w:type="spellStart"/>
      <w:r w:rsidR="00EE087B" w:rsidRPr="00283996">
        <w:rPr>
          <w:i/>
          <w:lang w:val="en-US"/>
        </w:rPr>
        <w:t>Blais</w:t>
      </w:r>
      <w:proofErr w:type="spellEnd"/>
      <w:r w:rsidR="00EE087B" w:rsidRPr="00283996">
        <w:rPr>
          <w:lang w:val="en-US"/>
        </w:rPr>
        <w:t>, [1977] 1 S.C.R. 570;</w:t>
      </w:r>
      <w:r w:rsidR="00376466" w:rsidRPr="00283996">
        <w:rPr>
          <w:i/>
          <w:lang w:val="en-US"/>
        </w:rPr>
        <w:t xml:space="preserve"> Harvey v. Trois</w:t>
      </w:r>
      <w:r w:rsidR="007E61AD" w:rsidRPr="00283996">
        <w:rPr>
          <w:i/>
          <w:lang w:val="en-US"/>
        </w:rPr>
        <w:noBreakHyphen/>
      </w:r>
      <w:proofErr w:type="spellStart"/>
      <w:r w:rsidR="00376466" w:rsidRPr="00283996">
        <w:rPr>
          <w:i/>
          <w:lang w:val="en-US"/>
        </w:rPr>
        <w:t>Rivières</w:t>
      </w:r>
      <w:proofErr w:type="spellEnd"/>
      <w:r w:rsidR="00376466" w:rsidRPr="00283996">
        <w:rPr>
          <w:i/>
          <w:lang w:val="en-US"/>
        </w:rPr>
        <w:t xml:space="preserve"> (Ville de)</w:t>
      </w:r>
      <w:r w:rsidR="00376466" w:rsidRPr="00283996">
        <w:rPr>
          <w:lang w:val="en-US"/>
        </w:rPr>
        <w:t>, 2013 QCCA 772, [2013] R.J.Q. 650;</w:t>
      </w:r>
      <w:r w:rsidR="00A77236" w:rsidRPr="00283996">
        <w:rPr>
          <w:i/>
          <w:lang w:val="en-US"/>
        </w:rPr>
        <w:t xml:space="preserve"> </w:t>
      </w:r>
      <w:r w:rsidR="00036236" w:rsidRPr="00283996">
        <w:rPr>
          <w:i/>
          <w:lang w:val="en-US"/>
        </w:rPr>
        <w:t>L. (J.)</w:t>
      </w:r>
      <w:r w:rsidR="00423B85" w:rsidRPr="00283996">
        <w:rPr>
          <w:i/>
          <w:lang w:val="en-US"/>
        </w:rPr>
        <w:t xml:space="preserve"> v. </w:t>
      </w:r>
      <w:proofErr w:type="spellStart"/>
      <w:r w:rsidR="00423B85" w:rsidRPr="00283996">
        <w:rPr>
          <w:i/>
          <w:lang w:val="en-US"/>
        </w:rPr>
        <w:t>Gingues</w:t>
      </w:r>
      <w:proofErr w:type="spellEnd"/>
      <w:r w:rsidR="00423B85" w:rsidRPr="00283996">
        <w:rPr>
          <w:lang w:val="en-US"/>
        </w:rPr>
        <w:t xml:space="preserve">, 2008 QCCA 2242, 93 C.C.L.T. (3d) 67; </w:t>
      </w:r>
      <w:r w:rsidR="00A77236" w:rsidRPr="00283996">
        <w:rPr>
          <w:i/>
          <w:lang w:val="en-US"/>
        </w:rPr>
        <w:t>R. v. Grant</w:t>
      </w:r>
      <w:r w:rsidR="00A77236" w:rsidRPr="00283996">
        <w:rPr>
          <w:lang w:val="en-US"/>
        </w:rPr>
        <w:t>, 2009 SCC 32, [2009] 2 S.C.R. 353;</w:t>
      </w:r>
      <w:r w:rsidR="00513ABD" w:rsidRPr="00283996">
        <w:rPr>
          <w:lang w:val="en-US"/>
        </w:rPr>
        <w:t xml:space="preserve"> </w:t>
      </w:r>
      <w:r w:rsidR="00513ABD" w:rsidRPr="00283996">
        <w:rPr>
          <w:i/>
          <w:lang w:val="en-US"/>
        </w:rPr>
        <w:t>R. v. Le</w:t>
      </w:r>
      <w:r w:rsidR="00513ABD" w:rsidRPr="00283996">
        <w:rPr>
          <w:lang w:val="en-US"/>
        </w:rPr>
        <w:t>, 2019 SCC 34</w:t>
      </w:r>
      <w:r w:rsidR="00964723" w:rsidRPr="00283996">
        <w:rPr>
          <w:lang w:val="en-US"/>
        </w:rPr>
        <w:t xml:space="preserve">, [2019] </w:t>
      </w:r>
      <w:r w:rsidR="00802781">
        <w:rPr>
          <w:lang w:val="en-US"/>
        </w:rPr>
        <w:t>2</w:t>
      </w:r>
      <w:r w:rsidR="00964723" w:rsidRPr="00283996">
        <w:rPr>
          <w:lang w:val="en-US"/>
        </w:rPr>
        <w:t xml:space="preserve"> S.C.R. </w:t>
      </w:r>
      <w:r w:rsidR="00802781">
        <w:rPr>
          <w:color w:val="000000"/>
        </w:rPr>
        <w:t>692</w:t>
      </w:r>
      <w:r w:rsidR="00513ABD" w:rsidRPr="00283996">
        <w:rPr>
          <w:lang w:val="en-US"/>
        </w:rPr>
        <w:t>;</w:t>
      </w:r>
      <w:r w:rsidR="003756FB" w:rsidRPr="00283996">
        <w:rPr>
          <w:lang w:val="en-US"/>
        </w:rPr>
        <w:t xml:space="preserve"> </w:t>
      </w:r>
      <w:r w:rsidR="003756FB" w:rsidRPr="00283996">
        <w:rPr>
          <w:i/>
          <w:lang w:val="en-US"/>
        </w:rPr>
        <w:t xml:space="preserve">R. v. </w:t>
      </w:r>
      <w:proofErr w:type="spellStart"/>
      <w:r w:rsidR="003756FB" w:rsidRPr="00283996">
        <w:rPr>
          <w:i/>
          <w:lang w:val="en-US"/>
        </w:rPr>
        <w:t>Genest</w:t>
      </w:r>
      <w:proofErr w:type="spellEnd"/>
      <w:r w:rsidR="003756FB" w:rsidRPr="00283996">
        <w:rPr>
          <w:lang w:val="en-US"/>
        </w:rPr>
        <w:t>, [1989] 1 S.C.R. 59;</w:t>
      </w:r>
      <w:r w:rsidR="00AB5C72" w:rsidRPr="00283996">
        <w:rPr>
          <w:i/>
          <w:lang w:val="en-US"/>
        </w:rPr>
        <w:t xml:space="preserve"> R. v. </w:t>
      </w:r>
      <w:proofErr w:type="spellStart"/>
      <w:r w:rsidR="00AB5C72" w:rsidRPr="00283996">
        <w:rPr>
          <w:i/>
          <w:lang w:val="en-US"/>
        </w:rPr>
        <w:t>Kokesch</w:t>
      </w:r>
      <w:proofErr w:type="spellEnd"/>
      <w:r w:rsidR="00AB5C72" w:rsidRPr="00283996">
        <w:rPr>
          <w:lang w:val="en-US"/>
        </w:rPr>
        <w:t>, [1990] 3 S.C.R. 3;</w:t>
      </w:r>
      <w:r w:rsidR="00447152" w:rsidRPr="00283996">
        <w:rPr>
          <w:i/>
          <w:lang w:val="en-US"/>
        </w:rPr>
        <w:t xml:space="preserve"> </w:t>
      </w:r>
      <w:proofErr w:type="spellStart"/>
      <w:r w:rsidR="00447152" w:rsidRPr="00283996">
        <w:rPr>
          <w:i/>
          <w:lang w:val="en-US"/>
        </w:rPr>
        <w:t>Gounis</w:t>
      </w:r>
      <w:proofErr w:type="spellEnd"/>
      <w:r w:rsidR="00447152" w:rsidRPr="00283996">
        <w:rPr>
          <w:i/>
          <w:lang w:val="en-US"/>
        </w:rPr>
        <w:t xml:space="preserve"> </w:t>
      </w:r>
      <w:r w:rsidR="00447152" w:rsidRPr="00283996">
        <w:rPr>
          <w:i/>
          <w:lang w:val="en-US"/>
        </w:rPr>
        <w:lastRenderedPageBreak/>
        <w:t xml:space="preserve">v. </w:t>
      </w:r>
      <w:r w:rsidR="00122630" w:rsidRPr="00283996">
        <w:rPr>
          <w:i/>
          <w:lang w:val="en-US"/>
        </w:rPr>
        <w:t xml:space="preserve">Ville de </w:t>
      </w:r>
      <w:r w:rsidR="00447152" w:rsidRPr="00283996">
        <w:rPr>
          <w:i/>
          <w:lang w:val="en-US"/>
        </w:rPr>
        <w:t>Laval</w:t>
      </w:r>
      <w:r w:rsidR="00447152" w:rsidRPr="00283996">
        <w:rPr>
          <w:lang w:val="en-US"/>
        </w:rPr>
        <w:t>, 2019 QCCS 479;</w:t>
      </w:r>
      <w:r w:rsidR="00F16274" w:rsidRPr="00283996">
        <w:rPr>
          <w:i/>
          <w:lang w:val="en-US"/>
        </w:rPr>
        <w:t xml:space="preserve"> Simard v. </w:t>
      </w:r>
      <w:proofErr w:type="spellStart"/>
      <w:r w:rsidR="00F16274" w:rsidRPr="00283996">
        <w:rPr>
          <w:i/>
          <w:lang w:val="en-US"/>
        </w:rPr>
        <w:t>Amyot</w:t>
      </w:r>
      <w:proofErr w:type="spellEnd"/>
      <w:r w:rsidR="00F16274" w:rsidRPr="00283996">
        <w:rPr>
          <w:lang w:val="en-US"/>
        </w:rPr>
        <w:t>, 2009 QCCS 5509;</w:t>
      </w:r>
      <w:r w:rsidR="005A23E3" w:rsidRPr="00283996">
        <w:rPr>
          <w:i/>
          <w:lang w:val="en-US"/>
        </w:rPr>
        <w:t xml:space="preserve"> </w:t>
      </w:r>
      <w:proofErr w:type="spellStart"/>
      <w:r w:rsidR="005A23E3" w:rsidRPr="00283996">
        <w:rPr>
          <w:i/>
          <w:lang w:val="en-US"/>
        </w:rPr>
        <w:t>Bellefleur</w:t>
      </w:r>
      <w:proofErr w:type="spellEnd"/>
      <w:r w:rsidR="005A23E3" w:rsidRPr="00283996">
        <w:rPr>
          <w:i/>
          <w:lang w:val="en-US"/>
        </w:rPr>
        <w:t xml:space="preserve"> v.</w:t>
      </w:r>
      <w:r w:rsidR="00ED7356" w:rsidRPr="00283996">
        <w:rPr>
          <w:i/>
          <w:lang w:val="en-US"/>
        </w:rPr>
        <w:t xml:space="preserve"> Montréal (</w:t>
      </w:r>
      <w:proofErr w:type="spellStart"/>
      <w:r w:rsidR="00ED7356" w:rsidRPr="00283996">
        <w:rPr>
          <w:i/>
          <w:lang w:val="en-US"/>
        </w:rPr>
        <w:t>Communauté</w:t>
      </w:r>
      <w:proofErr w:type="spellEnd"/>
      <w:r w:rsidR="00ED7356" w:rsidRPr="00283996">
        <w:rPr>
          <w:i/>
          <w:lang w:val="en-US"/>
        </w:rPr>
        <w:t xml:space="preserve"> </w:t>
      </w:r>
      <w:proofErr w:type="spellStart"/>
      <w:r w:rsidR="00ED7356" w:rsidRPr="00283996">
        <w:rPr>
          <w:i/>
          <w:lang w:val="en-US"/>
        </w:rPr>
        <w:t>urbaine</w:t>
      </w:r>
      <w:proofErr w:type="spellEnd"/>
      <w:r w:rsidR="00AF1A31" w:rsidRPr="00283996">
        <w:rPr>
          <w:i/>
          <w:lang w:val="en-US"/>
        </w:rPr>
        <w:t xml:space="preserve"> de</w:t>
      </w:r>
      <w:r w:rsidR="00036236" w:rsidRPr="00283996">
        <w:rPr>
          <w:i/>
          <w:lang w:val="en-US"/>
        </w:rPr>
        <w:t>)</w:t>
      </w:r>
      <w:r w:rsidR="005A23E3" w:rsidRPr="00283996">
        <w:rPr>
          <w:lang w:val="en-US"/>
        </w:rPr>
        <w:t>, [1999] R.R.A. 546;</w:t>
      </w:r>
      <w:r w:rsidR="0090229C" w:rsidRPr="00283996">
        <w:rPr>
          <w:i/>
          <w:lang w:val="en-US"/>
        </w:rPr>
        <w:t xml:space="preserve"> R. v. Rouleau</w:t>
      </w:r>
      <w:r w:rsidR="0090229C" w:rsidRPr="00283996">
        <w:rPr>
          <w:lang w:val="en-US"/>
        </w:rPr>
        <w:t xml:space="preserve">, 2002 </w:t>
      </w:r>
      <w:proofErr w:type="spellStart"/>
      <w:r w:rsidR="0090229C" w:rsidRPr="00283996">
        <w:rPr>
          <w:lang w:val="en-US"/>
        </w:rPr>
        <w:t>CanLII</w:t>
      </w:r>
      <w:proofErr w:type="spellEnd"/>
      <w:r w:rsidR="0090229C" w:rsidRPr="00283996">
        <w:rPr>
          <w:lang w:val="en-US"/>
        </w:rPr>
        <w:t xml:space="preserve"> 7572; </w:t>
      </w:r>
      <w:r w:rsidR="00BD7BDB" w:rsidRPr="00283996">
        <w:rPr>
          <w:i/>
          <w:lang w:val="en-US"/>
        </w:rPr>
        <w:t>R. v. Beaudry</w:t>
      </w:r>
      <w:r w:rsidR="00BD7BDB" w:rsidRPr="00283996">
        <w:rPr>
          <w:lang w:val="en-US"/>
        </w:rPr>
        <w:t>, 2007 SCC 5, [2007] 1 S.C.R. 190;</w:t>
      </w:r>
      <w:r w:rsidR="003A2801" w:rsidRPr="00283996">
        <w:rPr>
          <w:rStyle w:val="Heading2Char"/>
          <w:rFonts w:ascii="Times New Roman" w:hAnsi="Times New Roman" w:cs="Times New Roman"/>
          <w:b w:val="0"/>
          <w:iCs/>
          <w:color w:val="auto"/>
          <w:sz w:val="24"/>
          <w:szCs w:val="24"/>
          <w:lang w:val="en-US"/>
        </w:rPr>
        <w:t xml:space="preserve"> </w:t>
      </w:r>
      <w:proofErr w:type="spellStart"/>
      <w:r w:rsidR="003A2801" w:rsidRPr="00283996">
        <w:rPr>
          <w:rStyle w:val="solexhl"/>
          <w:rFonts w:eastAsiaTheme="majorEastAsia"/>
          <w:i/>
          <w:iCs/>
          <w:lang w:val="en-US"/>
        </w:rPr>
        <w:t>Chaput</w:t>
      </w:r>
      <w:proofErr w:type="spellEnd"/>
      <w:r w:rsidR="003A2801" w:rsidRPr="00283996">
        <w:rPr>
          <w:rStyle w:val="solexhl"/>
          <w:rFonts w:eastAsiaTheme="majorEastAsia"/>
          <w:i/>
          <w:iCs/>
          <w:lang w:val="en-US"/>
        </w:rPr>
        <w:t xml:space="preserve"> v. </w:t>
      </w:r>
      <w:proofErr w:type="spellStart"/>
      <w:r w:rsidR="003A2801" w:rsidRPr="00283996">
        <w:rPr>
          <w:rStyle w:val="solexhl"/>
          <w:rFonts w:eastAsiaTheme="majorEastAsia"/>
          <w:i/>
          <w:iCs/>
          <w:lang w:val="en-US"/>
        </w:rPr>
        <w:t>Romain</w:t>
      </w:r>
      <w:proofErr w:type="spellEnd"/>
      <w:r w:rsidR="003A2801" w:rsidRPr="00283996">
        <w:rPr>
          <w:lang w:val="en-US"/>
        </w:rPr>
        <w:t>, [1955] S.C.R. 834;</w:t>
      </w:r>
      <w:r w:rsidR="00AD706C" w:rsidRPr="00283996">
        <w:rPr>
          <w:i/>
          <w:lang w:val="en-US"/>
        </w:rPr>
        <w:t xml:space="preserve"> Pelletier v. </w:t>
      </w:r>
      <w:proofErr w:type="spellStart"/>
      <w:r w:rsidR="00AD706C" w:rsidRPr="00283996">
        <w:rPr>
          <w:i/>
          <w:lang w:val="en-US"/>
        </w:rPr>
        <w:t>Cour</w:t>
      </w:r>
      <w:proofErr w:type="spellEnd"/>
      <w:r w:rsidR="00AD706C" w:rsidRPr="00283996">
        <w:rPr>
          <w:i/>
          <w:lang w:val="en-US"/>
        </w:rPr>
        <w:t xml:space="preserve"> du Québec</w:t>
      </w:r>
      <w:r w:rsidR="00AD706C" w:rsidRPr="00283996">
        <w:rPr>
          <w:lang w:val="en-US"/>
        </w:rPr>
        <w:t>, [2002] R.J.Q. 2215;</w:t>
      </w:r>
      <w:r w:rsidR="00224D7A" w:rsidRPr="00283996">
        <w:rPr>
          <w:i/>
          <w:lang w:val="en-US"/>
        </w:rPr>
        <w:t xml:space="preserve"> </w:t>
      </w:r>
      <w:proofErr w:type="spellStart"/>
      <w:r w:rsidR="00224D7A" w:rsidRPr="00283996">
        <w:rPr>
          <w:i/>
          <w:lang w:val="en-US"/>
        </w:rPr>
        <w:t>Dubé</w:t>
      </w:r>
      <w:proofErr w:type="spellEnd"/>
      <w:r w:rsidR="00224D7A" w:rsidRPr="00283996">
        <w:rPr>
          <w:i/>
          <w:lang w:val="en-US"/>
        </w:rPr>
        <w:t xml:space="preserve"> v. </w:t>
      </w:r>
      <w:proofErr w:type="spellStart"/>
      <w:r w:rsidR="00224D7A" w:rsidRPr="00283996">
        <w:rPr>
          <w:i/>
          <w:lang w:val="en-US"/>
        </w:rPr>
        <w:t>Gélinas</w:t>
      </w:r>
      <w:proofErr w:type="spellEnd"/>
      <w:r w:rsidR="00224D7A" w:rsidRPr="00283996">
        <w:rPr>
          <w:lang w:val="en-US"/>
        </w:rPr>
        <w:t>, 2013 QCCS 1681;</w:t>
      </w:r>
      <w:r w:rsidR="00FC1A9E" w:rsidRPr="00283996">
        <w:rPr>
          <w:i/>
          <w:lang w:val="en-US"/>
        </w:rPr>
        <w:t xml:space="preserve"> </w:t>
      </w:r>
      <w:proofErr w:type="spellStart"/>
      <w:r w:rsidR="00FC1A9E" w:rsidRPr="00283996">
        <w:rPr>
          <w:i/>
          <w:lang w:val="en-US"/>
        </w:rPr>
        <w:t>Boisvenu</w:t>
      </w:r>
      <w:proofErr w:type="spellEnd"/>
      <w:r w:rsidR="00FC1A9E" w:rsidRPr="00283996">
        <w:rPr>
          <w:i/>
          <w:lang w:val="en-US"/>
        </w:rPr>
        <w:t xml:space="preserve"> v. </w:t>
      </w:r>
      <w:proofErr w:type="spellStart"/>
      <w:r w:rsidR="00FC1A9E" w:rsidRPr="00283996">
        <w:rPr>
          <w:i/>
          <w:lang w:val="en-US"/>
        </w:rPr>
        <w:t>Sherbrooke</w:t>
      </w:r>
      <w:proofErr w:type="spellEnd"/>
      <w:r w:rsidR="00FC1A9E" w:rsidRPr="00283996">
        <w:rPr>
          <w:i/>
          <w:lang w:val="en-US"/>
        </w:rPr>
        <w:t xml:space="preserve"> (Ville de)</w:t>
      </w:r>
      <w:r w:rsidR="00FC1A9E" w:rsidRPr="00283996">
        <w:rPr>
          <w:lang w:val="en-US"/>
        </w:rPr>
        <w:t>, 2009 QCCS 2688;</w:t>
      </w:r>
      <w:r w:rsidR="00AA326F" w:rsidRPr="00283996">
        <w:rPr>
          <w:lang w:val="en-US"/>
        </w:rPr>
        <w:t xml:space="preserve"> </w:t>
      </w:r>
      <w:proofErr w:type="spellStart"/>
      <w:r w:rsidR="00AA326F" w:rsidRPr="00283996">
        <w:rPr>
          <w:i/>
          <w:lang w:val="en-US"/>
        </w:rPr>
        <w:t>Communauté</w:t>
      </w:r>
      <w:proofErr w:type="spellEnd"/>
      <w:r w:rsidR="00AA326F" w:rsidRPr="00283996">
        <w:rPr>
          <w:i/>
          <w:lang w:val="en-US"/>
        </w:rPr>
        <w:t xml:space="preserve"> </w:t>
      </w:r>
      <w:proofErr w:type="spellStart"/>
      <w:r w:rsidR="00AA326F" w:rsidRPr="00283996">
        <w:rPr>
          <w:i/>
          <w:lang w:val="en-US"/>
        </w:rPr>
        <w:t>urbaine</w:t>
      </w:r>
      <w:proofErr w:type="spellEnd"/>
      <w:r w:rsidR="00AA326F" w:rsidRPr="00283996">
        <w:rPr>
          <w:i/>
          <w:lang w:val="en-US"/>
        </w:rPr>
        <w:t xml:space="preserve"> de Montréal v. </w:t>
      </w:r>
      <w:proofErr w:type="spellStart"/>
      <w:r w:rsidR="00AA326F" w:rsidRPr="00283996">
        <w:rPr>
          <w:i/>
          <w:lang w:val="en-US"/>
        </w:rPr>
        <w:t>Cadieux</w:t>
      </w:r>
      <w:proofErr w:type="spellEnd"/>
      <w:r w:rsidR="00AA326F" w:rsidRPr="00283996">
        <w:rPr>
          <w:lang w:val="en-US"/>
        </w:rPr>
        <w:t>,</w:t>
      </w:r>
      <w:r w:rsidR="00CC4639" w:rsidRPr="00283996">
        <w:rPr>
          <w:lang w:val="en-US"/>
        </w:rPr>
        <w:t xml:space="preserve"> [2002] R.J.D.T. 80;</w:t>
      </w:r>
      <w:r w:rsidR="002D3A52" w:rsidRPr="00283996">
        <w:rPr>
          <w:i/>
          <w:lang w:val="en-US"/>
        </w:rPr>
        <w:t xml:space="preserve"> </w:t>
      </w:r>
      <w:proofErr w:type="spellStart"/>
      <w:r w:rsidR="002D3A52" w:rsidRPr="00283996">
        <w:rPr>
          <w:i/>
          <w:lang w:val="en-US"/>
        </w:rPr>
        <w:t>Guimond</w:t>
      </w:r>
      <w:proofErr w:type="spellEnd"/>
      <w:r w:rsidR="002D3A52" w:rsidRPr="00283996">
        <w:rPr>
          <w:i/>
          <w:lang w:val="en-US"/>
        </w:rPr>
        <w:t xml:space="preserve"> v. Quebec (Attorney General)</w:t>
      </w:r>
      <w:r w:rsidR="002D3A52" w:rsidRPr="00283996">
        <w:rPr>
          <w:lang w:val="en-US"/>
        </w:rPr>
        <w:t>, [1996] 3 S.C.R. 347;</w:t>
      </w:r>
      <w:r w:rsidR="00DC1830" w:rsidRPr="00283996">
        <w:rPr>
          <w:i/>
          <w:lang w:val="en-US"/>
        </w:rPr>
        <w:t xml:space="preserve"> R. v. Wiley</w:t>
      </w:r>
      <w:r w:rsidR="00DC1830" w:rsidRPr="00283996">
        <w:rPr>
          <w:lang w:val="en-US"/>
        </w:rPr>
        <w:t>, [1993] 3 S.C.R. 263;</w:t>
      </w:r>
      <w:r w:rsidR="00C2513B" w:rsidRPr="00283996">
        <w:rPr>
          <w:lang w:val="en-US"/>
        </w:rPr>
        <w:t xml:space="preserve"> </w:t>
      </w:r>
      <w:r w:rsidR="00C2513B" w:rsidRPr="00283996">
        <w:rPr>
          <w:i/>
          <w:lang w:val="en-US"/>
        </w:rPr>
        <w:t>Katz Group Canada Inc. v. Ontario (Health and Long</w:t>
      </w:r>
      <w:r w:rsidR="007E61AD" w:rsidRPr="00283996">
        <w:rPr>
          <w:i/>
          <w:lang w:val="en-US"/>
        </w:rPr>
        <w:noBreakHyphen/>
      </w:r>
      <w:r w:rsidR="00C2513B" w:rsidRPr="00283996">
        <w:rPr>
          <w:i/>
          <w:lang w:val="en-US"/>
        </w:rPr>
        <w:t>Term Care)</w:t>
      </w:r>
      <w:r w:rsidR="00C2513B" w:rsidRPr="00283996">
        <w:rPr>
          <w:lang w:val="en-US"/>
        </w:rPr>
        <w:t>, 2013 SCC 64, [2013] 3 S.C.R. 810;</w:t>
      </w:r>
      <w:r w:rsidR="00E3416C" w:rsidRPr="00283996">
        <w:rPr>
          <w:i/>
          <w:lang w:val="en-US"/>
        </w:rPr>
        <w:t xml:space="preserve"> </w:t>
      </w:r>
      <w:proofErr w:type="spellStart"/>
      <w:r w:rsidR="00E3416C" w:rsidRPr="00283996">
        <w:rPr>
          <w:i/>
          <w:lang w:val="en-US"/>
        </w:rPr>
        <w:t>Breslaw</w:t>
      </w:r>
      <w:proofErr w:type="spellEnd"/>
      <w:r w:rsidR="00E3416C" w:rsidRPr="00283996">
        <w:rPr>
          <w:i/>
          <w:lang w:val="en-US"/>
        </w:rPr>
        <w:t xml:space="preserve"> v. Montreal (City)</w:t>
      </w:r>
      <w:r w:rsidR="00E3416C" w:rsidRPr="00283996">
        <w:rPr>
          <w:lang w:val="en-US"/>
        </w:rPr>
        <w:t>, 2009 SCC 44, [2009] 3 S.C.R. 131;</w:t>
      </w:r>
      <w:r w:rsidR="001A2F25" w:rsidRPr="00283996">
        <w:rPr>
          <w:lang w:val="en-US"/>
        </w:rPr>
        <w:t xml:space="preserve"> </w:t>
      </w:r>
      <w:proofErr w:type="spellStart"/>
      <w:r w:rsidR="001A2F25" w:rsidRPr="00283996">
        <w:rPr>
          <w:i/>
          <w:lang w:val="en-US"/>
        </w:rPr>
        <w:t>Mackin</w:t>
      </w:r>
      <w:proofErr w:type="spellEnd"/>
      <w:r w:rsidR="001A2F25" w:rsidRPr="00283996">
        <w:rPr>
          <w:i/>
          <w:lang w:val="en-US"/>
        </w:rPr>
        <w:t xml:space="preserve"> v. New Brunswick (Minister of Finance)</w:t>
      </w:r>
      <w:r w:rsidR="001A2F25" w:rsidRPr="00283996">
        <w:rPr>
          <w:lang w:val="en-US"/>
        </w:rPr>
        <w:t>, 2002 SCC 13, [2002] 1 S.C.R. 405;</w:t>
      </w:r>
      <w:r w:rsidR="00CC55C0" w:rsidRPr="00283996">
        <w:rPr>
          <w:i/>
          <w:lang w:val="en-US"/>
        </w:rPr>
        <w:t xml:space="preserve"> </w:t>
      </w:r>
      <w:proofErr w:type="spellStart"/>
      <w:r w:rsidR="00CC55C0" w:rsidRPr="00283996">
        <w:rPr>
          <w:i/>
          <w:lang w:val="en-US"/>
        </w:rPr>
        <w:t>Beauchemin</w:t>
      </w:r>
      <w:proofErr w:type="spellEnd"/>
      <w:r w:rsidR="00B76416" w:rsidRPr="00283996">
        <w:rPr>
          <w:lang w:val="en-US"/>
        </w:rPr>
        <w:t xml:space="preserve"> </w:t>
      </w:r>
      <w:r w:rsidR="00B76416" w:rsidRPr="00283996">
        <w:rPr>
          <w:i/>
          <w:lang w:val="en-US"/>
        </w:rPr>
        <w:t xml:space="preserve">v. </w:t>
      </w:r>
      <w:proofErr w:type="spellStart"/>
      <w:r w:rsidR="00B76416" w:rsidRPr="00283996">
        <w:rPr>
          <w:i/>
          <w:lang w:val="en-US"/>
        </w:rPr>
        <w:t>Blainville</w:t>
      </w:r>
      <w:proofErr w:type="spellEnd"/>
      <w:r w:rsidR="00B76416" w:rsidRPr="00283996">
        <w:rPr>
          <w:i/>
          <w:lang w:val="en-US"/>
        </w:rPr>
        <w:t xml:space="preserve"> (Town)</w:t>
      </w:r>
      <w:r w:rsidR="00B76416" w:rsidRPr="00283996">
        <w:rPr>
          <w:lang w:val="en-US"/>
        </w:rPr>
        <w:t xml:space="preserve"> (2003), 231 D.L.R. (4th) 706</w:t>
      </w:r>
      <w:r w:rsidR="00CC55C0" w:rsidRPr="00283996">
        <w:rPr>
          <w:lang w:val="en-US"/>
        </w:rPr>
        <w:t>;</w:t>
      </w:r>
      <w:r w:rsidR="00D90671" w:rsidRPr="00283996">
        <w:rPr>
          <w:i/>
          <w:lang w:val="en-US"/>
        </w:rPr>
        <w:t xml:space="preserve"> Ryan v. </w:t>
      </w:r>
      <w:proofErr w:type="spellStart"/>
      <w:r w:rsidR="00D90671" w:rsidRPr="00283996">
        <w:rPr>
          <w:i/>
          <w:lang w:val="en-US"/>
        </w:rPr>
        <w:t>Auclair</w:t>
      </w:r>
      <w:proofErr w:type="spellEnd"/>
      <w:r w:rsidR="004C5ECD" w:rsidRPr="00283996">
        <w:rPr>
          <w:i/>
          <w:lang w:val="en-US"/>
        </w:rPr>
        <w:t xml:space="preserve"> </w:t>
      </w:r>
      <w:r w:rsidR="004C5ECD" w:rsidRPr="00283996">
        <w:rPr>
          <w:lang w:val="en-US"/>
        </w:rPr>
        <w:t>(1989)</w:t>
      </w:r>
      <w:r w:rsidR="00D90671" w:rsidRPr="00283996">
        <w:rPr>
          <w:lang w:val="en-US"/>
        </w:rPr>
        <w:t>, 60 D.L.R. (4th) 212;</w:t>
      </w:r>
      <w:r w:rsidR="00321401" w:rsidRPr="00283996">
        <w:rPr>
          <w:i/>
          <w:lang w:val="en-US"/>
        </w:rPr>
        <w:t xml:space="preserve"> </w:t>
      </w:r>
      <w:proofErr w:type="spellStart"/>
      <w:r w:rsidR="00321401" w:rsidRPr="00283996">
        <w:rPr>
          <w:i/>
          <w:lang w:val="en-US"/>
        </w:rPr>
        <w:t>Procureur</w:t>
      </w:r>
      <w:proofErr w:type="spellEnd"/>
      <w:r w:rsidR="00321401" w:rsidRPr="00283996">
        <w:rPr>
          <w:i/>
          <w:lang w:val="en-US"/>
        </w:rPr>
        <w:t xml:space="preserve"> </w:t>
      </w:r>
      <w:proofErr w:type="spellStart"/>
      <w:r w:rsidR="00321401" w:rsidRPr="00283996">
        <w:rPr>
          <w:i/>
          <w:lang w:val="en-US"/>
        </w:rPr>
        <w:t>général</w:t>
      </w:r>
      <w:proofErr w:type="spellEnd"/>
      <w:r w:rsidR="00321401" w:rsidRPr="00283996">
        <w:rPr>
          <w:i/>
          <w:lang w:val="en-US"/>
        </w:rPr>
        <w:t xml:space="preserve"> du Québec v. Ouellet</w:t>
      </w:r>
      <w:r w:rsidR="00321401" w:rsidRPr="00283996">
        <w:rPr>
          <w:lang w:val="en-US"/>
        </w:rPr>
        <w:t xml:space="preserve">, 1998 </w:t>
      </w:r>
      <w:proofErr w:type="spellStart"/>
      <w:r w:rsidR="00321401" w:rsidRPr="00283996">
        <w:rPr>
          <w:lang w:val="en-US"/>
        </w:rPr>
        <w:t>CanLII</w:t>
      </w:r>
      <w:proofErr w:type="spellEnd"/>
      <w:r w:rsidR="00321401" w:rsidRPr="00283996">
        <w:rPr>
          <w:lang w:val="en-US"/>
        </w:rPr>
        <w:t xml:space="preserve"> 12543;</w:t>
      </w:r>
      <w:r w:rsidR="0004126A" w:rsidRPr="00283996">
        <w:rPr>
          <w:lang w:val="en-US"/>
        </w:rPr>
        <w:t xml:space="preserve"> </w:t>
      </w:r>
      <w:r w:rsidR="0004126A" w:rsidRPr="00283996">
        <w:rPr>
          <w:rStyle w:val="solexhl"/>
          <w:rFonts w:eastAsiaTheme="majorEastAsia"/>
          <w:i/>
          <w:iCs/>
          <w:lang w:val="en-US"/>
        </w:rPr>
        <w:t>Frey v</w:t>
      </w:r>
      <w:r w:rsidR="0004126A" w:rsidRPr="00283996">
        <w:rPr>
          <w:i/>
          <w:iCs/>
          <w:lang w:val="en-US"/>
        </w:rPr>
        <w:t xml:space="preserve">. </w:t>
      </w:r>
      <w:proofErr w:type="spellStart"/>
      <w:r w:rsidR="0004126A" w:rsidRPr="00283996">
        <w:rPr>
          <w:i/>
          <w:iCs/>
          <w:lang w:val="en-US"/>
        </w:rPr>
        <w:t>Fedoruk</w:t>
      </w:r>
      <w:proofErr w:type="spellEnd"/>
      <w:r w:rsidR="008A2CA2" w:rsidRPr="00283996">
        <w:rPr>
          <w:lang w:val="en-US"/>
        </w:rPr>
        <w:t>, [1950] S.C.R</w:t>
      </w:r>
      <w:r w:rsidR="0004126A" w:rsidRPr="00283996">
        <w:rPr>
          <w:lang w:val="en-US"/>
        </w:rPr>
        <w:t>. 517;</w:t>
      </w:r>
      <w:r w:rsidR="00D31811" w:rsidRPr="00283996">
        <w:rPr>
          <w:lang w:val="en-US"/>
        </w:rPr>
        <w:t xml:space="preserve"> </w:t>
      </w:r>
      <w:r w:rsidR="00D31811" w:rsidRPr="00283996">
        <w:rPr>
          <w:i/>
          <w:lang w:val="en-US"/>
        </w:rPr>
        <w:t>Moore v. The Queen</w:t>
      </w:r>
      <w:r w:rsidR="00D31811" w:rsidRPr="00283996">
        <w:rPr>
          <w:lang w:val="en-US"/>
        </w:rPr>
        <w:t>, [1979] 1 S.C.R. 195;</w:t>
      </w:r>
      <w:r w:rsidR="003E10CB" w:rsidRPr="00283996">
        <w:rPr>
          <w:i/>
          <w:lang w:val="en-US"/>
        </w:rPr>
        <w:t xml:space="preserve"> R. v. Guthrie</w:t>
      </w:r>
      <w:r w:rsidR="004449BE">
        <w:rPr>
          <w:lang w:val="en-US"/>
        </w:rPr>
        <w:t xml:space="preserve"> (1982)</w:t>
      </w:r>
      <w:r w:rsidR="003E10CB" w:rsidRPr="00283996">
        <w:rPr>
          <w:lang w:val="en-US"/>
        </w:rPr>
        <w:t>, 21 Alta. L.R. (2d) 1;</w:t>
      </w:r>
      <w:r w:rsidR="000642D3" w:rsidRPr="00283996">
        <w:rPr>
          <w:i/>
          <w:lang w:val="en-US"/>
        </w:rPr>
        <w:t xml:space="preserve"> R. v. Coles</w:t>
      </w:r>
      <w:r w:rsidR="000642D3" w:rsidRPr="00283996">
        <w:rPr>
          <w:lang w:val="en-US"/>
        </w:rPr>
        <w:t xml:space="preserve"> </w:t>
      </w:r>
      <w:r w:rsidR="004449BE">
        <w:rPr>
          <w:lang w:val="en-US"/>
        </w:rPr>
        <w:t>(</w:t>
      </w:r>
      <w:r w:rsidR="000642D3" w:rsidRPr="00283996">
        <w:rPr>
          <w:lang w:val="en-US"/>
        </w:rPr>
        <w:t>2003</w:t>
      </w:r>
      <w:r w:rsidR="004449BE">
        <w:rPr>
          <w:lang w:val="en-US"/>
        </w:rPr>
        <w:t>)</w:t>
      </w:r>
      <w:r w:rsidR="000642D3" w:rsidRPr="00283996">
        <w:rPr>
          <w:lang w:val="en-US"/>
        </w:rPr>
        <w:t>, 221 Nfld. &amp; P.E.I.R. 98;</w:t>
      </w:r>
      <w:r w:rsidR="00EA0654" w:rsidRPr="00283996">
        <w:rPr>
          <w:i/>
          <w:lang w:val="en-US"/>
        </w:rPr>
        <w:t xml:space="preserve"> R. v. Houle</w:t>
      </w:r>
      <w:r w:rsidR="00EA0654" w:rsidRPr="00283996">
        <w:rPr>
          <w:lang w:val="en-US"/>
        </w:rPr>
        <w:t xml:space="preserve"> </w:t>
      </w:r>
      <w:r w:rsidR="004449BE">
        <w:rPr>
          <w:lang w:val="en-US"/>
        </w:rPr>
        <w:t>(</w:t>
      </w:r>
      <w:r w:rsidR="00EA0654" w:rsidRPr="00283996">
        <w:rPr>
          <w:lang w:val="en-US"/>
        </w:rPr>
        <w:t>1985</w:t>
      </w:r>
      <w:r w:rsidR="004449BE">
        <w:rPr>
          <w:lang w:val="en-US"/>
        </w:rPr>
        <w:t>),</w:t>
      </w:r>
      <w:r w:rsidR="00EA0654" w:rsidRPr="00283996">
        <w:rPr>
          <w:lang w:val="en-US"/>
        </w:rPr>
        <w:t xml:space="preserve"> 41 Alta. L.R. (2d) 295;</w:t>
      </w:r>
      <w:r w:rsidR="002F5FAF" w:rsidRPr="00283996">
        <w:rPr>
          <w:i/>
          <w:lang w:val="en-US"/>
        </w:rPr>
        <w:t xml:space="preserve"> </w:t>
      </w:r>
      <w:proofErr w:type="spellStart"/>
      <w:r w:rsidR="002F5FAF" w:rsidRPr="00283996">
        <w:rPr>
          <w:i/>
          <w:lang w:val="en-US"/>
        </w:rPr>
        <w:t>Crépeau</w:t>
      </w:r>
      <w:proofErr w:type="spellEnd"/>
      <w:r w:rsidR="002F5FAF" w:rsidRPr="00283996">
        <w:rPr>
          <w:i/>
          <w:lang w:val="en-US"/>
        </w:rPr>
        <w:t xml:space="preserve"> v. </w:t>
      </w:r>
      <w:proofErr w:type="spellStart"/>
      <w:r w:rsidR="002F5FAF" w:rsidRPr="00283996">
        <w:rPr>
          <w:i/>
          <w:lang w:val="en-US"/>
        </w:rPr>
        <w:t>Yannonie</w:t>
      </w:r>
      <w:proofErr w:type="spellEnd"/>
      <w:r w:rsidR="002F5FAF" w:rsidRPr="00283996">
        <w:rPr>
          <w:lang w:val="en-US"/>
        </w:rPr>
        <w:t>, [1988] R.R.A. 265;</w:t>
      </w:r>
      <w:r w:rsidR="008D5F61" w:rsidRPr="00283996">
        <w:rPr>
          <w:i/>
          <w:iCs/>
          <w:lang w:val="en-US"/>
        </w:rPr>
        <w:t xml:space="preserve"> Attorney General of Quebec v. </w:t>
      </w:r>
      <w:proofErr w:type="spellStart"/>
      <w:r w:rsidR="00BD3FFC" w:rsidRPr="00283996">
        <w:rPr>
          <w:rStyle w:val="solexhl"/>
          <w:rFonts w:eastAsiaTheme="majorEastAsia"/>
          <w:i/>
          <w:iCs/>
          <w:lang w:val="en-US"/>
        </w:rPr>
        <w:t>Blaikie</w:t>
      </w:r>
      <w:proofErr w:type="spellEnd"/>
      <w:r w:rsidR="00BD3FFC" w:rsidRPr="00283996">
        <w:rPr>
          <w:lang w:val="en-US"/>
        </w:rPr>
        <w:t>, [</w:t>
      </w:r>
      <w:r w:rsidR="00BD3FFC" w:rsidRPr="00283996">
        <w:rPr>
          <w:rStyle w:val="solexhl"/>
          <w:rFonts w:eastAsiaTheme="majorEastAsia"/>
          <w:lang w:val="en-US"/>
        </w:rPr>
        <w:t>1981</w:t>
      </w:r>
      <w:r w:rsidR="00BD3FFC" w:rsidRPr="00283996">
        <w:rPr>
          <w:lang w:val="en-US"/>
        </w:rPr>
        <w:t>] 1 S.C.R</w:t>
      </w:r>
      <w:r w:rsidR="008D5F61" w:rsidRPr="00283996">
        <w:rPr>
          <w:lang w:val="en-US"/>
        </w:rPr>
        <w:t xml:space="preserve">. </w:t>
      </w:r>
      <w:r w:rsidR="00BD3FFC" w:rsidRPr="00283996">
        <w:rPr>
          <w:rStyle w:val="solexhl"/>
          <w:rFonts w:eastAsiaTheme="majorEastAsia"/>
          <w:lang w:val="en-US"/>
        </w:rPr>
        <w:t>312</w:t>
      </w:r>
      <w:r w:rsidR="00BD3FFC" w:rsidRPr="00283996">
        <w:rPr>
          <w:lang w:val="en-US"/>
        </w:rPr>
        <w:t>;</w:t>
      </w:r>
      <w:r w:rsidR="000303F5" w:rsidRPr="00283996">
        <w:rPr>
          <w:rStyle w:val="solexhl"/>
          <w:rFonts w:eastAsiaTheme="majorEastAsia"/>
          <w:i/>
          <w:lang w:val="en-US"/>
        </w:rPr>
        <w:t xml:space="preserve"> R. v. Latimer</w:t>
      </w:r>
      <w:r w:rsidR="000303F5" w:rsidRPr="00283996">
        <w:rPr>
          <w:rStyle w:val="solexhl"/>
          <w:rFonts w:eastAsiaTheme="majorEastAsia"/>
          <w:lang w:val="en-US"/>
        </w:rPr>
        <w:t>, [1997] 1 S.C.R. 217;</w:t>
      </w:r>
      <w:r w:rsidR="00005E63" w:rsidRPr="00283996">
        <w:rPr>
          <w:rStyle w:val="solexhl"/>
          <w:rFonts w:eastAsiaTheme="majorEastAsia"/>
          <w:i/>
          <w:lang w:val="en-US"/>
        </w:rPr>
        <w:t xml:space="preserve"> R. v. Asante</w:t>
      </w:r>
      <w:r w:rsidR="007E61AD" w:rsidRPr="00283996">
        <w:rPr>
          <w:rStyle w:val="solexhl"/>
          <w:rFonts w:eastAsiaTheme="majorEastAsia"/>
          <w:i/>
          <w:lang w:val="en-US"/>
        </w:rPr>
        <w:noBreakHyphen/>
      </w:r>
      <w:r w:rsidR="00005E63" w:rsidRPr="00283996">
        <w:rPr>
          <w:rStyle w:val="solexhl"/>
          <w:rFonts w:eastAsiaTheme="majorEastAsia"/>
          <w:i/>
          <w:lang w:val="en-US"/>
        </w:rPr>
        <w:t>Mensah</w:t>
      </w:r>
      <w:r w:rsidR="00005E63" w:rsidRPr="00283996">
        <w:rPr>
          <w:rStyle w:val="solexhl"/>
          <w:rFonts w:eastAsiaTheme="majorEastAsia"/>
          <w:lang w:val="en-US"/>
        </w:rPr>
        <w:t>, 2003 SCC 38, [2003] 2 S.C.R. 3;</w:t>
      </w:r>
      <w:r w:rsidR="00F11986" w:rsidRPr="00283996">
        <w:rPr>
          <w:rStyle w:val="solexhl"/>
          <w:rFonts w:eastAsiaTheme="majorEastAsia"/>
          <w:i/>
          <w:lang w:val="en-US"/>
        </w:rPr>
        <w:t xml:space="preserve"> </w:t>
      </w:r>
      <w:proofErr w:type="spellStart"/>
      <w:r w:rsidR="00F11986" w:rsidRPr="00283996">
        <w:rPr>
          <w:rStyle w:val="solexhl"/>
          <w:rFonts w:eastAsiaTheme="majorEastAsia"/>
          <w:i/>
          <w:lang w:val="en-US"/>
        </w:rPr>
        <w:t>Figueiras</w:t>
      </w:r>
      <w:proofErr w:type="spellEnd"/>
      <w:r w:rsidR="00F11986" w:rsidRPr="00283996">
        <w:rPr>
          <w:rStyle w:val="solexhl"/>
          <w:rFonts w:eastAsiaTheme="majorEastAsia"/>
          <w:i/>
          <w:lang w:val="en-US"/>
        </w:rPr>
        <w:t xml:space="preserve"> v. Toronto Police Services Board</w:t>
      </w:r>
      <w:r w:rsidR="00F11986" w:rsidRPr="00283996">
        <w:rPr>
          <w:rStyle w:val="solexhl"/>
          <w:rFonts w:eastAsiaTheme="majorEastAsia"/>
          <w:lang w:val="en-US"/>
        </w:rPr>
        <w:t>, 2015 ONCA 208, 124 O.R. (3d) 641;</w:t>
      </w:r>
      <w:r w:rsidR="00EC0CD7" w:rsidRPr="00283996">
        <w:rPr>
          <w:rStyle w:val="solexhl"/>
          <w:rFonts w:eastAsiaTheme="majorEastAsia"/>
          <w:i/>
          <w:lang w:val="en-US"/>
        </w:rPr>
        <w:t xml:space="preserve"> R. v. Saeed</w:t>
      </w:r>
      <w:r w:rsidR="00EC0CD7" w:rsidRPr="00283996">
        <w:rPr>
          <w:rStyle w:val="solexhl"/>
          <w:rFonts w:eastAsiaTheme="majorEastAsia"/>
          <w:lang w:val="en-US"/>
        </w:rPr>
        <w:t>, 2016 SCC 24, [2016] 1 S.C.R. 518;</w:t>
      </w:r>
      <w:r w:rsidR="00383466" w:rsidRPr="00283996">
        <w:rPr>
          <w:i/>
          <w:iCs/>
          <w:lang w:val="en-US"/>
        </w:rPr>
        <w:t xml:space="preserve"> Solomon v. Québec (</w:t>
      </w:r>
      <w:proofErr w:type="spellStart"/>
      <w:r w:rsidR="00383466" w:rsidRPr="00283996">
        <w:rPr>
          <w:i/>
          <w:iCs/>
          <w:lang w:val="en-US"/>
        </w:rPr>
        <w:t>Procureur</w:t>
      </w:r>
      <w:proofErr w:type="spellEnd"/>
      <w:r w:rsidR="00383466" w:rsidRPr="00283996">
        <w:rPr>
          <w:i/>
          <w:iCs/>
          <w:lang w:val="en-US"/>
        </w:rPr>
        <w:t xml:space="preserve"> </w:t>
      </w:r>
      <w:proofErr w:type="spellStart"/>
      <w:r w:rsidR="00383466" w:rsidRPr="00283996">
        <w:rPr>
          <w:i/>
          <w:iCs/>
          <w:lang w:val="en-US"/>
        </w:rPr>
        <w:t>général</w:t>
      </w:r>
      <w:proofErr w:type="spellEnd"/>
      <w:r w:rsidR="00383466" w:rsidRPr="00283996">
        <w:rPr>
          <w:i/>
          <w:iCs/>
          <w:lang w:val="en-US"/>
        </w:rPr>
        <w:t>)</w:t>
      </w:r>
      <w:r w:rsidR="00383466" w:rsidRPr="00283996">
        <w:rPr>
          <w:lang w:val="en-US"/>
        </w:rPr>
        <w:t>, </w:t>
      </w:r>
      <w:r w:rsidR="00383466" w:rsidRPr="00283996">
        <w:rPr>
          <w:rStyle w:val="solexhl"/>
          <w:rFonts w:eastAsiaTheme="majorEastAsia"/>
          <w:lang w:val="en-US"/>
        </w:rPr>
        <w:t>2008 QCCA 1832</w:t>
      </w:r>
      <w:r w:rsidR="00383466" w:rsidRPr="00283996">
        <w:rPr>
          <w:lang w:val="en-US"/>
        </w:rPr>
        <w:t>, [2008] R.J.Q. 2127;</w:t>
      </w:r>
      <w:r w:rsidR="00383466" w:rsidRPr="00283996">
        <w:rPr>
          <w:i/>
          <w:lang w:val="en-US"/>
        </w:rPr>
        <w:t xml:space="preserve"> Pierre</w:t>
      </w:r>
      <w:r w:rsidR="007E61AD" w:rsidRPr="00283996">
        <w:rPr>
          <w:i/>
          <w:lang w:val="en-US"/>
        </w:rPr>
        <w:noBreakHyphen/>
      </w:r>
      <w:r w:rsidR="00383466" w:rsidRPr="00283996">
        <w:rPr>
          <w:i/>
          <w:lang w:val="en-US"/>
        </w:rPr>
        <w:t>Louis v. Québec (Ville de)</w:t>
      </w:r>
      <w:r w:rsidR="00383466" w:rsidRPr="00283996">
        <w:rPr>
          <w:lang w:val="en-US"/>
        </w:rPr>
        <w:t>, 2014 QCCA 1554;</w:t>
      </w:r>
      <w:r w:rsidR="00E82911" w:rsidRPr="00283996">
        <w:rPr>
          <w:i/>
          <w:lang w:val="en-US"/>
        </w:rPr>
        <w:t xml:space="preserve"> </w:t>
      </w:r>
      <w:proofErr w:type="spellStart"/>
      <w:r w:rsidR="00E82911" w:rsidRPr="00283996">
        <w:rPr>
          <w:i/>
          <w:lang w:val="en-US"/>
        </w:rPr>
        <w:t>Housen</w:t>
      </w:r>
      <w:proofErr w:type="spellEnd"/>
      <w:r w:rsidR="00E82911" w:rsidRPr="00283996">
        <w:rPr>
          <w:i/>
          <w:lang w:val="en-US"/>
        </w:rPr>
        <w:t xml:space="preserve"> v. </w:t>
      </w:r>
      <w:proofErr w:type="spellStart"/>
      <w:r w:rsidR="00E82911" w:rsidRPr="00283996">
        <w:rPr>
          <w:i/>
          <w:lang w:val="en-US"/>
        </w:rPr>
        <w:t>Nikolaisen</w:t>
      </w:r>
      <w:proofErr w:type="spellEnd"/>
      <w:r w:rsidR="00E82911" w:rsidRPr="00283996">
        <w:rPr>
          <w:lang w:val="en-US"/>
        </w:rPr>
        <w:t>, 2002 SCC 33, [2002] 2 S.C.R. 235;</w:t>
      </w:r>
      <w:r w:rsidR="006A5BFA" w:rsidRPr="00283996">
        <w:rPr>
          <w:i/>
          <w:lang w:val="en-US"/>
        </w:rPr>
        <w:t xml:space="preserve"> </w:t>
      </w:r>
      <w:proofErr w:type="spellStart"/>
      <w:r w:rsidR="006A5BFA" w:rsidRPr="00283996">
        <w:rPr>
          <w:i/>
          <w:lang w:val="en-US"/>
        </w:rPr>
        <w:t>Prud</w:t>
      </w:r>
      <w:r w:rsidR="00D75B96" w:rsidRPr="00283996">
        <w:rPr>
          <w:i/>
          <w:lang w:val="en-US"/>
        </w:rPr>
        <w:t>’</w:t>
      </w:r>
      <w:r w:rsidR="006A5BFA" w:rsidRPr="00283996">
        <w:rPr>
          <w:i/>
          <w:lang w:val="en-US"/>
        </w:rPr>
        <w:t>homme</w:t>
      </w:r>
      <w:proofErr w:type="spellEnd"/>
      <w:r w:rsidR="006A5BFA" w:rsidRPr="00283996">
        <w:rPr>
          <w:i/>
          <w:lang w:val="en-US"/>
        </w:rPr>
        <w:t xml:space="preserve"> v. </w:t>
      </w:r>
      <w:proofErr w:type="spellStart"/>
      <w:r w:rsidR="006A5BFA" w:rsidRPr="00283996">
        <w:rPr>
          <w:i/>
          <w:lang w:val="en-US"/>
        </w:rPr>
        <w:t>Prud</w:t>
      </w:r>
      <w:r w:rsidR="00D75B96" w:rsidRPr="00283996">
        <w:rPr>
          <w:i/>
          <w:lang w:val="en-US"/>
        </w:rPr>
        <w:t>’</w:t>
      </w:r>
      <w:r w:rsidR="006A5BFA" w:rsidRPr="00283996">
        <w:rPr>
          <w:i/>
          <w:lang w:val="en-US"/>
        </w:rPr>
        <w:t>homme</w:t>
      </w:r>
      <w:proofErr w:type="spellEnd"/>
      <w:r w:rsidR="006A5BFA" w:rsidRPr="00283996">
        <w:rPr>
          <w:lang w:val="en-US"/>
        </w:rPr>
        <w:t>, 2002 SCC 85, [2002] 4 S.C.R. 663;</w:t>
      </w:r>
      <w:r w:rsidR="00356FD3" w:rsidRPr="00283996">
        <w:rPr>
          <w:i/>
          <w:lang w:val="en-US"/>
        </w:rPr>
        <w:t xml:space="preserve"> </w:t>
      </w:r>
      <w:proofErr w:type="spellStart"/>
      <w:r w:rsidR="00356FD3" w:rsidRPr="00283996">
        <w:rPr>
          <w:i/>
          <w:lang w:val="en-US"/>
        </w:rPr>
        <w:t>Entreprises</w:t>
      </w:r>
      <w:proofErr w:type="spellEnd"/>
      <w:r w:rsidR="00356FD3" w:rsidRPr="00283996">
        <w:rPr>
          <w:i/>
          <w:lang w:val="en-US"/>
        </w:rPr>
        <w:t xml:space="preserve"> </w:t>
      </w:r>
      <w:proofErr w:type="spellStart"/>
      <w:r w:rsidR="00356FD3" w:rsidRPr="00283996">
        <w:rPr>
          <w:i/>
          <w:lang w:val="en-US"/>
        </w:rPr>
        <w:t>Sibeca</w:t>
      </w:r>
      <w:proofErr w:type="spellEnd"/>
      <w:r w:rsidR="00356FD3" w:rsidRPr="00283996">
        <w:rPr>
          <w:i/>
          <w:lang w:val="en-US"/>
        </w:rPr>
        <w:t xml:space="preserve"> Inc. v. </w:t>
      </w:r>
      <w:proofErr w:type="spellStart"/>
      <w:r w:rsidR="00356FD3" w:rsidRPr="00283996">
        <w:rPr>
          <w:i/>
          <w:lang w:val="en-US"/>
        </w:rPr>
        <w:t>Frelighsburg</w:t>
      </w:r>
      <w:proofErr w:type="spellEnd"/>
      <w:r w:rsidR="00356FD3" w:rsidRPr="00283996">
        <w:rPr>
          <w:i/>
          <w:lang w:val="en-US"/>
        </w:rPr>
        <w:t xml:space="preserve"> (Municipality)</w:t>
      </w:r>
      <w:r w:rsidR="00356FD3" w:rsidRPr="00283996">
        <w:rPr>
          <w:lang w:val="en-US"/>
        </w:rPr>
        <w:t>, 2004 SCC 61, [2004] 3 S.C.R. 304;</w:t>
      </w:r>
      <w:r w:rsidR="00A348D0" w:rsidRPr="00283996">
        <w:rPr>
          <w:i/>
          <w:iCs/>
          <w:lang w:val="en-US"/>
        </w:rPr>
        <w:t xml:space="preserve"> </w:t>
      </w:r>
      <w:proofErr w:type="spellStart"/>
      <w:r w:rsidR="00A348D0" w:rsidRPr="00283996">
        <w:rPr>
          <w:i/>
          <w:iCs/>
          <w:lang w:val="en-US"/>
        </w:rPr>
        <w:t>Welbridge</w:t>
      </w:r>
      <w:proofErr w:type="spellEnd"/>
      <w:r w:rsidR="00A348D0" w:rsidRPr="00283996">
        <w:rPr>
          <w:i/>
          <w:iCs/>
          <w:lang w:val="en-US"/>
        </w:rPr>
        <w:t xml:space="preserve"> Holdings Ltd. v. Greater Winnipeg</w:t>
      </w:r>
      <w:r w:rsidR="00A348D0" w:rsidRPr="00283996">
        <w:rPr>
          <w:lang w:val="en-US"/>
        </w:rPr>
        <w:t xml:space="preserve">, </w:t>
      </w:r>
      <w:r w:rsidR="00A348D0" w:rsidRPr="00283996">
        <w:rPr>
          <w:lang w:val="en-US"/>
        </w:rPr>
        <w:lastRenderedPageBreak/>
        <w:t>[</w:t>
      </w:r>
      <w:r w:rsidR="00A348D0" w:rsidRPr="00283996">
        <w:rPr>
          <w:rStyle w:val="solexhl"/>
          <w:rFonts w:eastAsiaTheme="majorEastAsia"/>
          <w:lang w:val="en-US"/>
        </w:rPr>
        <w:t>1971</w:t>
      </w:r>
      <w:r w:rsidR="008D5F61" w:rsidRPr="00283996">
        <w:rPr>
          <w:lang w:val="en-US"/>
        </w:rPr>
        <w:t xml:space="preserve">] S.C.R. </w:t>
      </w:r>
      <w:r w:rsidR="00A348D0" w:rsidRPr="00283996">
        <w:rPr>
          <w:rStyle w:val="solexhl"/>
          <w:rFonts w:eastAsiaTheme="majorEastAsia"/>
          <w:lang w:val="en-US"/>
        </w:rPr>
        <w:t>957</w:t>
      </w:r>
      <w:r w:rsidR="00A348D0" w:rsidRPr="00283996">
        <w:rPr>
          <w:lang w:val="en-US"/>
        </w:rPr>
        <w:t>;</w:t>
      </w:r>
      <w:r w:rsidR="00392F61" w:rsidRPr="00283996">
        <w:rPr>
          <w:lang w:val="en-US"/>
        </w:rPr>
        <w:t xml:space="preserve"> </w:t>
      </w:r>
      <w:proofErr w:type="spellStart"/>
      <w:r w:rsidR="00392F61" w:rsidRPr="00283996">
        <w:rPr>
          <w:i/>
          <w:lang w:val="en-US"/>
        </w:rPr>
        <w:t>Papachronis</w:t>
      </w:r>
      <w:proofErr w:type="spellEnd"/>
      <w:r w:rsidR="00392F61" w:rsidRPr="00283996">
        <w:rPr>
          <w:i/>
          <w:lang w:val="en-US"/>
        </w:rPr>
        <w:t xml:space="preserve"> v. </w:t>
      </w:r>
      <w:proofErr w:type="spellStart"/>
      <w:r w:rsidR="00392F61" w:rsidRPr="00283996">
        <w:rPr>
          <w:i/>
          <w:lang w:val="en-US"/>
        </w:rPr>
        <w:t>Ste</w:t>
      </w:r>
      <w:proofErr w:type="spellEnd"/>
      <w:r w:rsidR="007E61AD" w:rsidRPr="00283996">
        <w:rPr>
          <w:i/>
          <w:lang w:val="en-US"/>
        </w:rPr>
        <w:noBreakHyphen/>
      </w:r>
      <w:r w:rsidR="00392F61" w:rsidRPr="00283996">
        <w:rPr>
          <w:i/>
          <w:lang w:val="en-US"/>
        </w:rPr>
        <w:t>Anne</w:t>
      </w:r>
      <w:r w:rsidR="007E61AD" w:rsidRPr="00283996">
        <w:rPr>
          <w:i/>
          <w:lang w:val="en-US"/>
        </w:rPr>
        <w:noBreakHyphen/>
      </w:r>
      <w:r w:rsidR="00392F61" w:rsidRPr="00283996">
        <w:rPr>
          <w:i/>
          <w:lang w:val="en-US"/>
        </w:rPr>
        <w:t>de</w:t>
      </w:r>
      <w:r w:rsidR="007E61AD" w:rsidRPr="00283996">
        <w:rPr>
          <w:i/>
          <w:lang w:val="en-US"/>
        </w:rPr>
        <w:noBreakHyphen/>
      </w:r>
      <w:r w:rsidR="00392F61" w:rsidRPr="00283996">
        <w:rPr>
          <w:i/>
          <w:lang w:val="en-US"/>
        </w:rPr>
        <w:t>Bellevue (Ville)</w:t>
      </w:r>
      <w:r w:rsidR="00392F61" w:rsidRPr="00283996">
        <w:rPr>
          <w:lang w:val="en-US"/>
        </w:rPr>
        <w:t>, 2007 QCCA</w:t>
      </w:r>
      <w:r w:rsidR="00864E34" w:rsidRPr="00283996">
        <w:rPr>
          <w:lang w:val="en-US"/>
        </w:rPr>
        <w:t xml:space="preserve"> </w:t>
      </w:r>
      <w:r w:rsidR="00392F61" w:rsidRPr="00283996">
        <w:rPr>
          <w:lang w:val="en-US"/>
        </w:rPr>
        <w:t>770, 38 M.P.L.R. (4th) 161;</w:t>
      </w:r>
      <w:r w:rsidR="002D7E1E" w:rsidRPr="00283996">
        <w:rPr>
          <w:i/>
          <w:lang w:val="en-US"/>
        </w:rPr>
        <w:t xml:space="preserve"> R. v. Imperial Tobacco Canada Ltd</w:t>
      </w:r>
      <w:r w:rsidR="008D5F61" w:rsidRPr="00283996">
        <w:rPr>
          <w:i/>
          <w:lang w:val="en-US"/>
        </w:rPr>
        <w:t>.</w:t>
      </w:r>
      <w:r w:rsidR="002D7E1E" w:rsidRPr="00283996">
        <w:rPr>
          <w:lang w:val="en-US"/>
        </w:rPr>
        <w:t>, 2011 SCC 42, [2011] 3 S.C.R. 45;</w:t>
      </w:r>
      <w:r w:rsidR="00D35834" w:rsidRPr="00283996">
        <w:rPr>
          <w:lang w:val="en-US"/>
        </w:rPr>
        <w:t xml:space="preserve"> </w:t>
      </w:r>
      <w:proofErr w:type="spellStart"/>
      <w:r w:rsidR="00D35834" w:rsidRPr="00283996">
        <w:rPr>
          <w:i/>
          <w:lang w:val="en-US"/>
        </w:rPr>
        <w:t>Hinse</w:t>
      </w:r>
      <w:proofErr w:type="spellEnd"/>
      <w:r w:rsidR="00D35834" w:rsidRPr="00283996">
        <w:rPr>
          <w:i/>
          <w:lang w:val="en-US"/>
        </w:rPr>
        <w:t xml:space="preserve"> v. Canada (Attorney General)</w:t>
      </w:r>
      <w:r w:rsidR="00D35834" w:rsidRPr="00283996">
        <w:rPr>
          <w:lang w:val="en-US"/>
        </w:rPr>
        <w:t>, 2015 SCC 35, [2015] 2 S.C.R. 621;</w:t>
      </w:r>
      <w:r w:rsidR="00EC2309" w:rsidRPr="00283996">
        <w:rPr>
          <w:i/>
          <w:lang w:val="en-US"/>
        </w:rPr>
        <w:t xml:space="preserve"> </w:t>
      </w:r>
      <w:proofErr w:type="spellStart"/>
      <w:r w:rsidR="00EC2309" w:rsidRPr="00283996">
        <w:rPr>
          <w:i/>
          <w:lang w:val="en-US"/>
        </w:rPr>
        <w:t>Laurentide</w:t>
      </w:r>
      <w:proofErr w:type="spellEnd"/>
      <w:r w:rsidR="00EC2309" w:rsidRPr="00283996">
        <w:rPr>
          <w:i/>
          <w:lang w:val="en-US"/>
        </w:rPr>
        <w:t xml:space="preserve"> Motels Ltd. v. Beauport (City)</w:t>
      </w:r>
      <w:r w:rsidR="00EC2309" w:rsidRPr="00283996">
        <w:rPr>
          <w:lang w:val="en-US"/>
        </w:rPr>
        <w:t>, [1989] 1 S.C.R. 705;</w:t>
      </w:r>
      <w:r w:rsidR="006D1C4C" w:rsidRPr="00283996">
        <w:rPr>
          <w:i/>
          <w:lang w:val="en-US"/>
        </w:rPr>
        <w:t xml:space="preserve"> </w:t>
      </w:r>
      <w:proofErr w:type="spellStart"/>
      <w:r w:rsidR="006D1C4C" w:rsidRPr="00283996">
        <w:rPr>
          <w:i/>
          <w:lang w:val="en-US"/>
        </w:rPr>
        <w:t>Maska</w:t>
      </w:r>
      <w:proofErr w:type="spellEnd"/>
      <w:r w:rsidR="006D1C4C" w:rsidRPr="00283996">
        <w:rPr>
          <w:i/>
          <w:lang w:val="en-US"/>
        </w:rPr>
        <w:t xml:space="preserve"> Auto Spring </w:t>
      </w:r>
      <w:proofErr w:type="spellStart"/>
      <w:r w:rsidR="006D1C4C" w:rsidRPr="00283996">
        <w:rPr>
          <w:i/>
          <w:lang w:val="en-US"/>
        </w:rPr>
        <w:t>Ltée</w:t>
      </w:r>
      <w:proofErr w:type="spellEnd"/>
      <w:r w:rsidR="006D1C4C" w:rsidRPr="00283996">
        <w:rPr>
          <w:i/>
          <w:lang w:val="en-US"/>
        </w:rPr>
        <w:t xml:space="preserve"> v. </w:t>
      </w:r>
      <w:proofErr w:type="spellStart"/>
      <w:r w:rsidR="006D1C4C" w:rsidRPr="00283996">
        <w:rPr>
          <w:i/>
          <w:lang w:val="en-US"/>
        </w:rPr>
        <w:t>Ste</w:t>
      </w:r>
      <w:proofErr w:type="spellEnd"/>
      <w:r w:rsidR="007E61AD" w:rsidRPr="00283996">
        <w:rPr>
          <w:i/>
          <w:lang w:val="en-US"/>
        </w:rPr>
        <w:noBreakHyphen/>
      </w:r>
      <w:r w:rsidR="006D1C4C" w:rsidRPr="00283996">
        <w:rPr>
          <w:i/>
          <w:lang w:val="en-US"/>
        </w:rPr>
        <w:t>Rosalie (Village)</w:t>
      </w:r>
      <w:r w:rsidR="006D1C4C" w:rsidRPr="00283996">
        <w:rPr>
          <w:lang w:val="en-US"/>
        </w:rPr>
        <w:t>, [1991] 2 S.C.R. 3;</w:t>
      </w:r>
      <w:r w:rsidR="00300A82" w:rsidRPr="00283996">
        <w:rPr>
          <w:i/>
          <w:lang w:val="en-US"/>
        </w:rPr>
        <w:t xml:space="preserve"> </w:t>
      </w:r>
      <w:proofErr w:type="spellStart"/>
      <w:r w:rsidR="00300A82" w:rsidRPr="00283996">
        <w:rPr>
          <w:i/>
          <w:lang w:val="en-US"/>
        </w:rPr>
        <w:t>Maska</w:t>
      </w:r>
      <w:proofErr w:type="spellEnd"/>
      <w:r w:rsidR="00300A82" w:rsidRPr="00283996">
        <w:rPr>
          <w:i/>
          <w:lang w:val="en-US"/>
        </w:rPr>
        <w:t xml:space="preserve"> Auto Spring </w:t>
      </w:r>
      <w:proofErr w:type="spellStart"/>
      <w:r w:rsidR="00300A82" w:rsidRPr="00283996">
        <w:rPr>
          <w:i/>
          <w:lang w:val="en-US"/>
        </w:rPr>
        <w:t>Ltée</w:t>
      </w:r>
      <w:proofErr w:type="spellEnd"/>
      <w:r w:rsidR="00300A82" w:rsidRPr="00283996">
        <w:rPr>
          <w:i/>
          <w:lang w:val="en-US"/>
        </w:rPr>
        <w:t xml:space="preserve"> v. </w:t>
      </w:r>
      <w:proofErr w:type="spellStart"/>
      <w:r w:rsidR="00300A82" w:rsidRPr="00283996">
        <w:rPr>
          <w:i/>
          <w:lang w:val="en-US"/>
        </w:rPr>
        <w:t>Ste</w:t>
      </w:r>
      <w:proofErr w:type="spellEnd"/>
      <w:r w:rsidR="007E61AD" w:rsidRPr="00283996">
        <w:rPr>
          <w:i/>
          <w:lang w:val="en-US"/>
        </w:rPr>
        <w:noBreakHyphen/>
      </w:r>
      <w:r w:rsidR="00300A82" w:rsidRPr="00283996">
        <w:rPr>
          <w:i/>
          <w:lang w:val="en-US"/>
        </w:rPr>
        <w:t>Rosalie (Cor</w:t>
      </w:r>
      <w:r w:rsidR="007E61AD" w:rsidRPr="00283996">
        <w:rPr>
          <w:i/>
          <w:lang w:val="en-US"/>
        </w:rPr>
        <w:t>p. </w:t>
      </w:r>
      <w:proofErr w:type="spellStart"/>
      <w:r w:rsidR="00300A82" w:rsidRPr="00283996">
        <w:rPr>
          <w:i/>
          <w:lang w:val="en-US"/>
        </w:rPr>
        <w:t>municipale</w:t>
      </w:r>
      <w:proofErr w:type="spellEnd"/>
      <w:r w:rsidR="00300A82" w:rsidRPr="00283996">
        <w:rPr>
          <w:i/>
          <w:lang w:val="en-US"/>
        </w:rPr>
        <w:t xml:space="preserve"> du village de)</w:t>
      </w:r>
      <w:r w:rsidR="00300A82" w:rsidRPr="00283996">
        <w:rPr>
          <w:lang w:val="en-US"/>
        </w:rPr>
        <w:t>, [1988] R.J.Q. 1576;</w:t>
      </w:r>
      <w:r w:rsidR="00300A82" w:rsidRPr="00283996">
        <w:rPr>
          <w:i/>
          <w:lang w:val="en-US"/>
        </w:rPr>
        <w:t xml:space="preserve"> </w:t>
      </w:r>
      <w:proofErr w:type="spellStart"/>
      <w:r w:rsidR="00300A82" w:rsidRPr="00283996">
        <w:rPr>
          <w:i/>
          <w:lang w:val="en-US"/>
        </w:rPr>
        <w:t>Pincourt</w:t>
      </w:r>
      <w:proofErr w:type="spellEnd"/>
      <w:r w:rsidR="00300A82" w:rsidRPr="00283996">
        <w:rPr>
          <w:i/>
          <w:lang w:val="en-US"/>
        </w:rPr>
        <w:t xml:space="preserve"> (Ville de) v. Construction </w:t>
      </w:r>
      <w:proofErr w:type="spellStart"/>
      <w:r w:rsidR="00300A82" w:rsidRPr="00283996">
        <w:rPr>
          <w:i/>
          <w:lang w:val="en-US"/>
        </w:rPr>
        <w:t>Cogerex</w:t>
      </w:r>
      <w:proofErr w:type="spellEnd"/>
      <w:r w:rsidR="00300A82" w:rsidRPr="00283996">
        <w:rPr>
          <w:i/>
          <w:lang w:val="en-US"/>
        </w:rPr>
        <w:t xml:space="preserve"> </w:t>
      </w:r>
      <w:proofErr w:type="spellStart"/>
      <w:r w:rsidR="00300A82" w:rsidRPr="00283996">
        <w:rPr>
          <w:i/>
          <w:lang w:val="en-US"/>
        </w:rPr>
        <w:t>ltée</w:t>
      </w:r>
      <w:proofErr w:type="spellEnd"/>
      <w:r w:rsidR="00300A82" w:rsidRPr="00283996">
        <w:rPr>
          <w:lang w:val="en-US"/>
        </w:rPr>
        <w:t>, 2013 QCCA 1773;</w:t>
      </w:r>
      <w:r w:rsidR="00526A48" w:rsidRPr="00283996">
        <w:rPr>
          <w:i/>
          <w:lang w:val="en-US"/>
        </w:rPr>
        <w:t xml:space="preserve"> Chelsea (</w:t>
      </w:r>
      <w:proofErr w:type="spellStart"/>
      <w:r w:rsidR="00526A48" w:rsidRPr="00283996">
        <w:rPr>
          <w:i/>
          <w:lang w:val="en-US"/>
        </w:rPr>
        <w:t>Municipalité</w:t>
      </w:r>
      <w:proofErr w:type="spellEnd"/>
      <w:r w:rsidR="00526A48" w:rsidRPr="00283996">
        <w:rPr>
          <w:i/>
          <w:lang w:val="en-US"/>
        </w:rPr>
        <w:t xml:space="preserve"> de) v. Laurin</w:t>
      </w:r>
      <w:r w:rsidR="00526A48" w:rsidRPr="00283996">
        <w:rPr>
          <w:lang w:val="en-US"/>
        </w:rPr>
        <w:t>, 2010 QCCA 1723;</w:t>
      </w:r>
      <w:r w:rsidR="00F725E5" w:rsidRPr="00283996">
        <w:rPr>
          <w:i/>
          <w:lang w:val="en-US"/>
        </w:rPr>
        <w:t xml:space="preserve"> Foley v. </w:t>
      </w:r>
      <w:proofErr w:type="spellStart"/>
      <w:r w:rsidR="00F725E5" w:rsidRPr="00283996">
        <w:rPr>
          <w:i/>
          <w:lang w:val="en-US"/>
        </w:rPr>
        <w:t>Shamess</w:t>
      </w:r>
      <w:proofErr w:type="spellEnd"/>
      <w:r w:rsidR="00F725E5" w:rsidRPr="00283996">
        <w:rPr>
          <w:lang w:val="en-US"/>
        </w:rPr>
        <w:t>, 2008 ONCA 588, 297 D.L.R. (4th) 287;</w:t>
      </w:r>
      <w:r w:rsidR="009E471A" w:rsidRPr="00283996">
        <w:rPr>
          <w:i/>
          <w:lang w:val="en-US"/>
        </w:rPr>
        <w:t xml:space="preserve"> </w:t>
      </w:r>
      <w:proofErr w:type="spellStart"/>
      <w:r w:rsidR="009E471A" w:rsidRPr="00283996">
        <w:rPr>
          <w:i/>
          <w:lang w:val="en-US"/>
        </w:rPr>
        <w:t>Proulx</w:t>
      </w:r>
      <w:proofErr w:type="spellEnd"/>
      <w:r w:rsidR="009E471A" w:rsidRPr="00283996">
        <w:rPr>
          <w:i/>
          <w:lang w:val="en-US"/>
        </w:rPr>
        <w:t xml:space="preserve"> v. Quebec (Attorney General)</w:t>
      </w:r>
      <w:r w:rsidR="009E471A" w:rsidRPr="00283996">
        <w:rPr>
          <w:lang w:val="en-US"/>
        </w:rPr>
        <w:t>, 2001 SCC 66, [2001] 3 S.C.R. 9;</w:t>
      </w:r>
      <w:r w:rsidR="0014369E" w:rsidRPr="00283996">
        <w:rPr>
          <w:i/>
          <w:lang w:val="en-US"/>
        </w:rPr>
        <w:t xml:space="preserve"> </w:t>
      </w:r>
      <w:proofErr w:type="spellStart"/>
      <w:r w:rsidR="0014369E" w:rsidRPr="00283996">
        <w:rPr>
          <w:i/>
          <w:lang w:val="en-US"/>
        </w:rPr>
        <w:t>Nelles</w:t>
      </w:r>
      <w:proofErr w:type="spellEnd"/>
      <w:r w:rsidR="0014369E" w:rsidRPr="00283996">
        <w:rPr>
          <w:i/>
          <w:lang w:val="en-US"/>
        </w:rPr>
        <w:t xml:space="preserve"> v. Ontario</w:t>
      </w:r>
      <w:r w:rsidR="0014369E" w:rsidRPr="00283996">
        <w:rPr>
          <w:lang w:val="en-US"/>
        </w:rPr>
        <w:t>, [1989] 2 S.C.R. 170;</w:t>
      </w:r>
      <w:r w:rsidR="00405ABD" w:rsidRPr="00283996">
        <w:rPr>
          <w:i/>
          <w:lang w:val="en-US"/>
        </w:rPr>
        <w:t xml:space="preserve"> Montréal (Ville) v. </w:t>
      </w:r>
      <w:proofErr w:type="spellStart"/>
      <w:r w:rsidR="00405ABD" w:rsidRPr="00283996">
        <w:rPr>
          <w:i/>
          <w:lang w:val="en-US"/>
        </w:rPr>
        <w:t>Lonardi</w:t>
      </w:r>
      <w:proofErr w:type="spellEnd"/>
      <w:r w:rsidR="00405ABD" w:rsidRPr="00283996">
        <w:rPr>
          <w:lang w:val="en-US"/>
        </w:rPr>
        <w:t>, 2018 SCC 29, [2018] 2 S.C.R. 103;</w:t>
      </w:r>
      <w:r w:rsidR="007317CB" w:rsidRPr="00283996">
        <w:rPr>
          <w:lang w:val="en-US"/>
        </w:rPr>
        <w:t xml:space="preserve"> </w:t>
      </w:r>
      <w:proofErr w:type="spellStart"/>
      <w:r w:rsidR="007317CB" w:rsidRPr="00283996">
        <w:rPr>
          <w:i/>
          <w:lang w:val="en-US"/>
        </w:rPr>
        <w:t>Doré</w:t>
      </w:r>
      <w:proofErr w:type="spellEnd"/>
      <w:r w:rsidR="007317CB" w:rsidRPr="00283996">
        <w:rPr>
          <w:i/>
          <w:lang w:val="en-US"/>
        </w:rPr>
        <w:t xml:space="preserve"> v. Verdun (City)</w:t>
      </w:r>
      <w:r w:rsidR="007317CB" w:rsidRPr="00283996">
        <w:rPr>
          <w:lang w:val="en-US"/>
        </w:rPr>
        <w:t>, [1997] 2 S.C.R. 862;</w:t>
      </w:r>
      <w:r w:rsidR="00F9157A" w:rsidRPr="00283996">
        <w:rPr>
          <w:i/>
          <w:lang w:val="en-US"/>
        </w:rPr>
        <w:t xml:space="preserve"> R. v. Campbell</w:t>
      </w:r>
      <w:r w:rsidR="00F9157A" w:rsidRPr="00283996">
        <w:rPr>
          <w:lang w:val="en-US"/>
        </w:rPr>
        <w:t>, [1999] 1 S.C.R. 565;</w:t>
      </w:r>
      <w:r w:rsidR="000045CC" w:rsidRPr="00283996">
        <w:rPr>
          <w:i/>
          <w:iCs/>
          <w:lang w:val="en-US"/>
        </w:rPr>
        <w:t xml:space="preserve"> </w:t>
      </w:r>
      <w:proofErr w:type="spellStart"/>
      <w:r w:rsidR="000045CC" w:rsidRPr="00283996">
        <w:rPr>
          <w:i/>
          <w:iCs/>
          <w:lang w:val="en-US"/>
        </w:rPr>
        <w:t>McCleave</w:t>
      </w:r>
      <w:proofErr w:type="spellEnd"/>
      <w:r w:rsidR="000045CC" w:rsidRPr="00283996">
        <w:rPr>
          <w:i/>
          <w:iCs/>
          <w:lang w:val="en-US"/>
        </w:rPr>
        <w:t xml:space="preserve"> v. City of Moncton</w:t>
      </w:r>
      <w:r w:rsidR="000045CC" w:rsidRPr="00283996">
        <w:rPr>
          <w:lang w:val="en-US"/>
        </w:rPr>
        <w:t> (</w:t>
      </w:r>
      <w:r w:rsidR="000045CC" w:rsidRPr="00283996">
        <w:rPr>
          <w:rStyle w:val="solexhl"/>
          <w:rFonts w:eastAsiaTheme="majorEastAsia"/>
          <w:lang w:val="en-US"/>
        </w:rPr>
        <w:t>1902), 32 S.C.R.</w:t>
      </w:r>
      <w:r w:rsidR="000045CC" w:rsidRPr="00283996">
        <w:rPr>
          <w:lang w:val="en-US"/>
        </w:rPr>
        <w:t> 106;</w:t>
      </w:r>
      <w:r w:rsidR="007317CB" w:rsidRPr="00283996">
        <w:rPr>
          <w:lang w:val="en-US"/>
        </w:rPr>
        <w:t xml:space="preserve"> </w:t>
      </w:r>
      <w:r w:rsidR="007317CB" w:rsidRPr="00283996">
        <w:rPr>
          <w:i/>
          <w:lang w:val="en-US"/>
        </w:rPr>
        <w:t xml:space="preserve">Commission des droits de la </w:t>
      </w:r>
      <w:proofErr w:type="spellStart"/>
      <w:r w:rsidR="007317CB" w:rsidRPr="00283996">
        <w:rPr>
          <w:i/>
          <w:lang w:val="en-US"/>
        </w:rPr>
        <w:t>person</w:t>
      </w:r>
      <w:r w:rsidR="00F50BA2" w:rsidRPr="00283996">
        <w:rPr>
          <w:i/>
          <w:lang w:val="en-US"/>
        </w:rPr>
        <w:t>ne</w:t>
      </w:r>
      <w:proofErr w:type="spellEnd"/>
      <w:r w:rsidR="00F50BA2" w:rsidRPr="00283996">
        <w:rPr>
          <w:i/>
          <w:lang w:val="en-US"/>
        </w:rPr>
        <w:t xml:space="preserve"> et des droits de la </w:t>
      </w:r>
      <w:proofErr w:type="spellStart"/>
      <w:r w:rsidR="00F50BA2" w:rsidRPr="00283996">
        <w:rPr>
          <w:i/>
          <w:lang w:val="en-US"/>
        </w:rPr>
        <w:t>jeunesse</w:t>
      </w:r>
      <w:proofErr w:type="spellEnd"/>
      <w:r w:rsidR="007317CB" w:rsidRPr="00283996">
        <w:rPr>
          <w:i/>
          <w:lang w:val="en-US"/>
        </w:rPr>
        <w:t xml:space="preserve"> v. </w:t>
      </w:r>
      <w:proofErr w:type="spellStart"/>
      <w:r w:rsidR="007317CB" w:rsidRPr="00283996">
        <w:rPr>
          <w:i/>
          <w:lang w:val="en-US"/>
        </w:rPr>
        <w:t>Poulin</w:t>
      </w:r>
      <w:proofErr w:type="spellEnd"/>
      <w:r w:rsidR="007317CB" w:rsidRPr="00283996">
        <w:rPr>
          <w:lang w:val="en-US"/>
        </w:rPr>
        <w:t>,</w:t>
      </w:r>
      <w:r w:rsidR="00F50BA2" w:rsidRPr="00283996">
        <w:rPr>
          <w:lang w:val="en-US"/>
        </w:rPr>
        <w:t xml:space="preserve"> 2004 </w:t>
      </w:r>
      <w:proofErr w:type="spellStart"/>
      <w:r w:rsidR="00F50BA2" w:rsidRPr="00283996">
        <w:rPr>
          <w:lang w:val="en-US"/>
        </w:rPr>
        <w:t>CanLII</w:t>
      </w:r>
      <w:proofErr w:type="spellEnd"/>
      <w:r w:rsidR="00F50BA2" w:rsidRPr="00283996">
        <w:rPr>
          <w:lang w:val="en-US"/>
        </w:rPr>
        <w:t xml:space="preserve"> 29094</w:t>
      </w:r>
      <w:r w:rsidR="007317CB" w:rsidRPr="00283996">
        <w:rPr>
          <w:lang w:val="en-US"/>
        </w:rPr>
        <w:t>;</w:t>
      </w:r>
      <w:r w:rsidR="00946381" w:rsidRPr="00283996">
        <w:rPr>
          <w:i/>
          <w:lang w:val="en-US"/>
        </w:rPr>
        <w:t xml:space="preserve"> R. v. Gagné</w:t>
      </w:r>
      <w:r w:rsidR="00946381" w:rsidRPr="00283996">
        <w:rPr>
          <w:lang w:val="en-US"/>
        </w:rPr>
        <w:t>, [1987] R.J.Q. 1008, aff</w:t>
      </w:r>
      <w:r w:rsidR="00D75B96" w:rsidRPr="00283996">
        <w:rPr>
          <w:lang w:val="en-US"/>
        </w:rPr>
        <w:t>’</w:t>
      </w:r>
      <w:r w:rsidR="00946381" w:rsidRPr="00283996">
        <w:rPr>
          <w:lang w:val="en-US"/>
        </w:rPr>
        <w:t>d [1989] 1 S.C.R. 1584;</w:t>
      </w:r>
      <w:r w:rsidR="00A76920" w:rsidRPr="00283996">
        <w:rPr>
          <w:i/>
          <w:lang w:val="en-US"/>
        </w:rPr>
        <w:t xml:space="preserve"> </w:t>
      </w:r>
      <w:proofErr w:type="spellStart"/>
      <w:r w:rsidR="00A76920" w:rsidRPr="00283996">
        <w:rPr>
          <w:i/>
          <w:lang w:val="en-US"/>
        </w:rPr>
        <w:t>Vigneault</w:t>
      </w:r>
      <w:proofErr w:type="spellEnd"/>
      <w:r w:rsidR="00A76920" w:rsidRPr="00283996">
        <w:rPr>
          <w:i/>
          <w:lang w:val="en-US"/>
        </w:rPr>
        <w:t xml:space="preserve"> v. La </w:t>
      </w:r>
      <w:proofErr w:type="spellStart"/>
      <w:r w:rsidR="00A76920" w:rsidRPr="00283996">
        <w:rPr>
          <w:i/>
          <w:lang w:val="en-US"/>
        </w:rPr>
        <w:t>Reine</w:t>
      </w:r>
      <w:proofErr w:type="spellEnd"/>
      <w:r w:rsidR="00A76920" w:rsidRPr="00283996">
        <w:rPr>
          <w:lang w:val="en-US"/>
        </w:rPr>
        <w:t xml:space="preserve">, 2002 </w:t>
      </w:r>
      <w:proofErr w:type="spellStart"/>
      <w:r w:rsidR="00A76920" w:rsidRPr="00283996">
        <w:rPr>
          <w:lang w:val="en-US"/>
        </w:rPr>
        <w:t>CanLII</w:t>
      </w:r>
      <w:proofErr w:type="spellEnd"/>
      <w:r w:rsidR="00A76920" w:rsidRPr="00283996">
        <w:rPr>
          <w:lang w:val="en-US"/>
        </w:rPr>
        <w:t xml:space="preserve"> 63720, </w:t>
      </w:r>
      <w:proofErr w:type="spellStart"/>
      <w:r w:rsidR="00A76920" w:rsidRPr="00283996">
        <w:rPr>
          <w:lang w:val="en-US"/>
        </w:rPr>
        <w:t>aff</w:t>
      </w:r>
      <w:r w:rsidR="00D75B96" w:rsidRPr="00283996">
        <w:rPr>
          <w:lang w:val="en-US"/>
        </w:rPr>
        <w:t>’</w:t>
      </w:r>
      <w:r w:rsidR="00A76920" w:rsidRPr="00283996">
        <w:rPr>
          <w:lang w:val="en-US"/>
        </w:rPr>
        <w:t>g</w:t>
      </w:r>
      <w:proofErr w:type="spellEnd"/>
      <w:r w:rsidR="00A76920" w:rsidRPr="00283996">
        <w:rPr>
          <w:lang w:val="en-US"/>
        </w:rPr>
        <w:t xml:space="preserve"> 2001 </w:t>
      </w:r>
      <w:proofErr w:type="spellStart"/>
      <w:r w:rsidR="00A76920" w:rsidRPr="00283996">
        <w:rPr>
          <w:lang w:val="en-US"/>
        </w:rPr>
        <w:t>CanLII</w:t>
      </w:r>
      <w:proofErr w:type="spellEnd"/>
      <w:r w:rsidR="00A76920" w:rsidRPr="00283996">
        <w:rPr>
          <w:lang w:val="en-US"/>
        </w:rPr>
        <w:t xml:space="preserve"> 25420;</w:t>
      </w:r>
      <w:r w:rsidR="00F67F92" w:rsidRPr="00283996">
        <w:rPr>
          <w:i/>
          <w:lang w:val="en-US"/>
        </w:rPr>
        <w:t xml:space="preserve"> </w:t>
      </w:r>
      <w:proofErr w:type="spellStart"/>
      <w:r w:rsidR="00F67F92" w:rsidRPr="00283996">
        <w:rPr>
          <w:i/>
          <w:lang w:val="en-US"/>
        </w:rPr>
        <w:t>Mongeau</w:t>
      </w:r>
      <w:proofErr w:type="spellEnd"/>
      <w:r w:rsidR="00F67F92" w:rsidRPr="00283996">
        <w:rPr>
          <w:i/>
          <w:lang w:val="en-US"/>
        </w:rPr>
        <w:t xml:space="preserve"> v. Montréal (</w:t>
      </w:r>
      <w:proofErr w:type="spellStart"/>
      <w:r w:rsidR="00F67F92" w:rsidRPr="00283996">
        <w:rPr>
          <w:i/>
          <w:lang w:val="en-US"/>
        </w:rPr>
        <w:t>Communauté</w:t>
      </w:r>
      <w:proofErr w:type="spellEnd"/>
      <w:r w:rsidR="00F67F92" w:rsidRPr="00283996">
        <w:rPr>
          <w:i/>
          <w:lang w:val="en-US"/>
        </w:rPr>
        <w:t xml:space="preserve"> </w:t>
      </w:r>
      <w:proofErr w:type="spellStart"/>
      <w:r w:rsidR="00F67F92" w:rsidRPr="00283996">
        <w:rPr>
          <w:i/>
          <w:lang w:val="en-US"/>
        </w:rPr>
        <w:t>urbaine</w:t>
      </w:r>
      <w:proofErr w:type="spellEnd"/>
      <w:r w:rsidR="00F67F92" w:rsidRPr="00283996">
        <w:rPr>
          <w:i/>
          <w:lang w:val="en-US"/>
        </w:rPr>
        <w:t>)</w:t>
      </w:r>
      <w:r w:rsidR="00F67F92" w:rsidRPr="00283996">
        <w:rPr>
          <w:lang w:val="en-US"/>
        </w:rPr>
        <w:t>, [2000] J.Q. n</w:t>
      </w:r>
      <w:r w:rsidR="00F67F92" w:rsidRPr="00283996">
        <w:rPr>
          <w:vertAlign w:val="superscript"/>
          <w:lang w:val="en-US"/>
        </w:rPr>
        <w:t xml:space="preserve">o </w:t>
      </w:r>
      <w:r w:rsidR="00F67F92" w:rsidRPr="00283996">
        <w:rPr>
          <w:lang w:val="en-US"/>
        </w:rPr>
        <w:t xml:space="preserve">5823 </w:t>
      </w:r>
      <w:r w:rsidR="00AB4060" w:rsidRPr="00283996">
        <w:rPr>
          <w:lang w:val="en-US"/>
        </w:rPr>
        <w:t>(QL)</w:t>
      </w:r>
      <w:r w:rsidR="00BC1C68" w:rsidRPr="00283996">
        <w:rPr>
          <w:lang w:val="en-US"/>
        </w:rPr>
        <w:t>.</w:t>
      </w:r>
    </w:p>
    <w:p w:rsidR="003B215F" w:rsidRPr="00283996" w:rsidRDefault="002E6705" w:rsidP="00077E7A">
      <w:pPr>
        <w:pStyle w:val="SCCNormalDoubleSpacing"/>
        <w:spacing w:after="720" w:line="240" w:lineRule="auto"/>
        <w:rPr>
          <w:lang w:val="en-US"/>
        </w:rPr>
      </w:pPr>
      <w:r w:rsidRPr="00283996">
        <w:rPr>
          <w:b/>
          <w:lang w:val="en-US"/>
        </w:rPr>
        <w:t>Statutes and Regulations Cite</w:t>
      </w:r>
      <w:r w:rsidR="00A41805" w:rsidRPr="00283996">
        <w:rPr>
          <w:b/>
          <w:lang w:val="en-US"/>
        </w:rPr>
        <w:t>d</w:t>
      </w:r>
    </w:p>
    <w:p w:rsidR="0034002A" w:rsidRPr="00283996" w:rsidRDefault="008D5F61" w:rsidP="00077E7A">
      <w:pPr>
        <w:pStyle w:val="SCCNormalDoubleSpacing"/>
        <w:spacing w:after="240" w:line="240" w:lineRule="auto"/>
        <w:ind w:left="540" w:hanging="540"/>
        <w:rPr>
          <w:iCs/>
          <w:lang w:val="en-US"/>
        </w:rPr>
      </w:pPr>
      <w:r w:rsidRPr="00283996">
        <w:rPr>
          <w:i/>
          <w:iCs/>
          <w:lang w:val="en-US"/>
        </w:rPr>
        <w:t>Act r</w:t>
      </w:r>
      <w:r w:rsidR="0034002A" w:rsidRPr="00283996">
        <w:rPr>
          <w:i/>
          <w:iCs/>
          <w:lang w:val="en-US"/>
        </w:rPr>
        <w:t xml:space="preserve">especting </w:t>
      </w:r>
      <w:r w:rsidRPr="00283996">
        <w:rPr>
          <w:i/>
          <w:iCs/>
          <w:lang w:val="en-US"/>
        </w:rPr>
        <w:t>p</w:t>
      </w:r>
      <w:r w:rsidR="0034002A" w:rsidRPr="00283996">
        <w:rPr>
          <w:i/>
          <w:iCs/>
          <w:lang w:val="en-US"/>
        </w:rPr>
        <w:t xml:space="preserve">ublic </w:t>
      </w:r>
      <w:r w:rsidRPr="00283996">
        <w:rPr>
          <w:i/>
          <w:iCs/>
          <w:lang w:val="en-US"/>
        </w:rPr>
        <w:t>t</w:t>
      </w:r>
      <w:r w:rsidR="0034002A" w:rsidRPr="00283996">
        <w:rPr>
          <w:i/>
          <w:iCs/>
          <w:lang w:val="en-US"/>
        </w:rPr>
        <w:t xml:space="preserve">ransit </w:t>
      </w:r>
      <w:r w:rsidRPr="00283996">
        <w:rPr>
          <w:i/>
          <w:iCs/>
          <w:lang w:val="en-US"/>
        </w:rPr>
        <w:t>a</w:t>
      </w:r>
      <w:r w:rsidR="0034002A" w:rsidRPr="00283996">
        <w:rPr>
          <w:i/>
          <w:iCs/>
          <w:lang w:val="en-US"/>
        </w:rPr>
        <w:t>uthorities</w:t>
      </w:r>
      <w:r w:rsidR="007E61AD" w:rsidRPr="00283996">
        <w:rPr>
          <w:iCs/>
          <w:lang w:val="en-US"/>
        </w:rPr>
        <w:t>, CQLR, c. </w:t>
      </w:r>
      <w:r w:rsidR="0034002A" w:rsidRPr="00283996">
        <w:rPr>
          <w:iCs/>
          <w:lang w:val="en-US"/>
        </w:rPr>
        <w:t>S</w:t>
      </w:r>
      <w:r w:rsidR="007E61AD" w:rsidRPr="00283996">
        <w:rPr>
          <w:iCs/>
          <w:lang w:val="en-US"/>
        </w:rPr>
        <w:noBreakHyphen/>
        <w:t>30.01, s</w:t>
      </w:r>
      <w:r w:rsidR="00CD3B55" w:rsidRPr="00283996">
        <w:rPr>
          <w:iCs/>
          <w:lang w:val="en-US"/>
        </w:rPr>
        <w:t>s</w:t>
      </w:r>
      <w:r w:rsidR="007E61AD" w:rsidRPr="00283996">
        <w:rPr>
          <w:iCs/>
          <w:lang w:val="en-US"/>
        </w:rPr>
        <w:t>. </w:t>
      </w:r>
      <w:r w:rsidR="0034002A" w:rsidRPr="00283996">
        <w:rPr>
          <w:iCs/>
          <w:lang w:val="en-US"/>
        </w:rPr>
        <w:t>140</w:t>
      </w:r>
      <w:r w:rsidR="007317CB" w:rsidRPr="00283996">
        <w:rPr>
          <w:iCs/>
          <w:lang w:val="en-US"/>
        </w:rPr>
        <w:t>, 144(1)</w:t>
      </w:r>
      <w:r w:rsidR="0034002A" w:rsidRPr="00283996">
        <w:rPr>
          <w:iCs/>
          <w:lang w:val="en-US"/>
        </w:rPr>
        <w:t>.</w:t>
      </w:r>
    </w:p>
    <w:p w:rsidR="007317CB" w:rsidRPr="00283996" w:rsidRDefault="007317CB" w:rsidP="00077E7A">
      <w:pPr>
        <w:pStyle w:val="SCCNormalDoubleSpacing"/>
        <w:spacing w:after="240" w:line="240" w:lineRule="auto"/>
        <w:ind w:left="540" w:hanging="540"/>
        <w:rPr>
          <w:iCs/>
          <w:lang w:val="en-US"/>
        </w:rPr>
      </w:pPr>
      <w:r w:rsidRPr="00283996">
        <w:rPr>
          <w:i/>
          <w:iCs/>
          <w:lang w:val="en-US"/>
        </w:rPr>
        <w:t xml:space="preserve">Act </w:t>
      </w:r>
      <w:r w:rsidR="008D5F61" w:rsidRPr="00283996">
        <w:rPr>
          <w:i/>
          <w:iCs/>
          <w:lang w:val="en-US"/>
        </w:rPr>
        <w:t>r</w:t>
      </w:r>
      <w:r w:rsidRPr="00283996">
        <w:rPr>
          <w:i/>
          <w:iCs/>
          <w:lang w:val="en-US"/>
        </w:rPr>
        <w:t xml:space="preserve">especting </w:t>
      </w:r>
      <w:r w:rsidR="008D5F61" w:rsidRPr="00283996">
        <w:rPr>
          <w:i/>
          <w:iCs/>
          <w:lang w:val="en-US"/>
        </w:rPr>
        <w:t>p</w:t>
      </w:r>
      <w:r w:rsidRPr="00283996">
        <w:rPr>
          <w:i/>
          <w:iCs/>
          <w:lang w:val="en-US"/>
        </w:rPr>
        <w:t xml:space="preserve">ublic </w:t>
      </w:r>
      <w:r w:rsidR="008D5F61" w:rsidRPr="00283996">
        <w:rPr>
          <w:i/>
          <w:iCs/>
          <w:lang w:val="en-US"/>
        </w:rPr>
        <w:t>t</w:t>
      </w:r>
      <w:r w:rsidRPr="00283996">
        <w:rPr>
          <w:i/>
          <w:iCs/>
          <w:lang w:val="en-US"/>
        </w:rPr>
        <w:t xml:space="preserve">ransit </w:t>
      </w:r>
      <w:r w:rsidR="008D5F61" w:rsidRPr="00283996">
        <w:rPr>
          <w:i/>
          <w:iCs/>
          <w:lang w:val="en-US"/>
        </w:rPr>
        <w:t>a</w:t>
      </w:r>
      <w:r w:rsidRPr="00283996">
        <w:rPr>
          <w:i/>
          <w:iCs/>
          <w:lang w:val="en-US"/>
        </w:rPr>
        <w:t>uthorities</w:t>
      </w:r>
      <w:r w:rsidR="00C141CE" w:rsidRPr="00283996">
        <w:rPr>
          <w:iCs/>
          <w:lang w:val="en-US"/>
        </w:rPr>
        <w:t>, R.S.Q., c. S</w:t>
      </w:r>
      <w:r w:rsidR="00C141CE" w:rsidRPr="00283996">
        <w:rPr>
          <w:iCs/>
          <w:lang w:val="en-US"/>
        </w:rPr>
        <w:noBreakHyphen/>
        <w:t>30.01, s. </w:t>
      </w:r>
      <w:r w:rsidRPr="00283996">
        <w:rPr>
          <w:iCs/>
          <w:lang w:val="en-US"/>
        </w:rPr>
        <w:t>143.</w:t>
      </w:r>
    </w:p>
    <w:p w:rsidR="00F133E8" w:rsidRPr="00283996" w:rsidRDefault="00F133E8" w:rsidP="00077E7A">
      <w:pPr>
        <w:pStyle w:val="SCCNormalDoubleSpacing"/>
        <w:spacing w:after="240" w:line="240" w:lineRule="auto"/>
        <w:ind w:left="540" w:hanging="540"/>
        <w:rPr>
          <w:iCs/>
          <w:lang w:val="en-US"/>
        </w:rPr>
      </w:pPr>
      <w:r w:rsidRPr="00283996">
        <w:rPr>
          <w:i/>
          <w:iCs/>
          <w:lang w:val="en-US"/>
        </w:rPr>
        <w:t>By</w:t>
      </w:r>
      <w:r w:rsidR="007E61AD" w:rsidRPr="00283996">
        <w:rPr>
          <w:i/>
          <w:iCs/>
          <w:lang w:val="en-US"/>
        </w:rPr>
        <w:noBreakHyphen/>
      </w:r>
      <w:r w:rsidR="00C4798D" w:rsidRPr="00283996">
        <w:rPr>
          <w:i/>
          <w:iCs/>
          <w:lang w:val="en-US"/>
        </w:rPr>
        <w:t>law on the s</w:t>
      </w:r>
      <w:r w:rsidRPr="00283996">
        <w:rPr>
          <w:i/>
          <w:iCs/>
          <w:lang w:val="en-US"/>
        </w:rPr>
        <w:t xml:space="preserve">tandards of </w:t>
      </w:r>
      <w:r w:rsidR="00C4798D" w:rsidRPr="00283996">
        <w:rPr>
          <w:i/>
          <w:iCs/>
          <w:lang w:val="en-US"/>
        </w:rPr>
        <w:t>s</w:t>
      </w:r>
      <w:r w:rsidRPr="00283996">
        <w:rPr>
          <w:i/>
          <w:iCs/>
          <w:lang w:val="en-US"/>
        </w:rPr>
        <w:t xml:space="preserve">afety and </w:t>
      </w:r>
      <w:r w:rsidR="00C4798D" w:rsidRPr="00283996">
        <w:rPr>
          <w:i/>
          <w:iCs/>
          <w:lang w:val="en-US"/>
        </w:rPr>
        <w:t>c</w:t>
      </w:r>
      <w:r w:rsidRPr="00283996">
        <w:rPr>
          <w:i/>
          <w:iCs/>
          <w:lang w:val="en-US"/>
        </w:rPr>
        <w:t xml:space="preserve">onduct to </w:t>
      </w:r>
      <w:r w:rsidR="00C4798D" w:rsidRPr="00283996">
        <w:rPr>
          <w:i/>
          <w:iCs/>
          <w:lang w:val="en-US"/>
        </w:rPr>
        <w:t>b</w:t>
      </w:r>
      <w:r w:rsidRPr="00283996">
        <w:rPr>
          <w:i/>
          <w:iCs/>
          <w:lang w:val="en-US"/>
        </w:rPr>
        <w:t xml:space="preserve">e </w:t>
      </w:r>
      <w:r w:rsidR="00C4798D" w:rsidRPr="00283996">
        <w:rPr>
          <w:i/>
          <w:iCs/>
          <w:lang w:val="en-US"/>
        </w:rPr>
        <w:t>o</w:t>
      </w:r>
      <w:r w:rsidRPr="00283996">
        <w:rPr>
          <w:i/>
          <w:iCs/>
          <w:lang w:val="en-US"/>
        </w:rPr>
        <w:t xml:space="preserve">bserved by </w:t>
      </w:r>
      <w:r w:rsidR="00C4798D" w:rsidRPr="00283996">
        <w:rPr>
          <w:i/>
          <w:iCs/>
          <w:lang w:val="en-US"/>
        </w:rPr>
        <w:t>p</w:t>
      </w:r>
      <w:r w:rsidRPr="00283996">
        <w:rPr>
          <w:i/>
          <w:iCs/>
          <w:lang w:val="en-US"/>
        </w:rPr>
        <w:t xml:space="preserve">ersons in the </w:t>
      </w:r>
      <w:r w:rsidR="00C4798D" w:rsidRPr="00283996">
        <w:rPr>
          <w:i/>
          <w:iCs/>
          <w:lang w:val="en-US"/>
        </w:rPr>
        <w:t>r</w:t>
      </w:r>
      <w:r w:rsidRPr="00283996">
        <w:rPr>
          <w:i/>
          <w:iCs/>
          <w:lang w:val="en-US"/>
        </w:rPr>
        <w:t xml:space="preserve">olling </w:t>
      </w:r>
      <w:r w:rsidR="00C4798D" w:rsidRPr="00283996">
        <w:rPr>
          <w:i/>
          <w:iCs/>
          <w:lang w:val="en-US"/>
        </w:rPr>
        <w:t>s</w:t>
      </w:r>
      <w:r w:rsidRPr="00283996">
        <w:rPr>
          <w:i/>
          <w:iCs/>
          <w:lang w:val="en-US"/>
        </w:rPr>
        <w:t xml:space="preserve">tock and </w:t>
      </w:r>
      <w:r w:rsidR="00C4798D" w:rsidRPr="00283996">
        <w:rPr>
          <w:i/>
          <w:iCs/>
          <w:lang w:val="en-US"/>
        </w:rPr>
        <w:t>b</w:t>
      </w:r>
      <w:r w:rsidRPr="00283996">
        <w:rPr>
          <w:i/>
          <w:iCs/>
          <w:lang w:val="en-US"/>
        </w:rPr>
        <w:t xml:space="preserve">uildings </w:t>
      </w:r>
      <w:r w:rsidR="00C4798D" w:rsidRPr="00283996">
        <w:rPr>
          <w:i/>
          <w:iCs/>
          <w:lang w:val="en-US"/>
        </w:rPr>
        <w:t>o</w:t>
      </w:r>
      <w:r w:rsidRPr="00283996">
        <w:rPr>
          <w:i/>
          <w:iCs/>
          <w:lang w:val="en-US"/>
        </w:rPr>
        <w:t xml:space="preserve">perated by or for the </w:t>
      </w:r>
      <w:proofErr w:type="spellStart"/>
      <w:r w:rsidRPr="00283996">
        <w:rPr>
          <w:i/>
          <w:iCs/>
          <w:lang w:val="en-US"/>
        </w:rPr>
        <w:t>Société</w:t>
      </w:r>
      <w:proofErr w:type="spellEnd"/>
      <w:r w:rsidRPr="00283996">
        <w:rPr>
          <w:i/>
          <w:iCs/>
          <w:lang w:val="en-US"/>
        </w:rPr>
        <w:t xml:space="preserve"> de transport de Montréal</w:t>
      </w:r>
      <w:r w:rsidRPr="00283996">
        <w:rPr>
          <w:iCs/>
          <w:lang w:val="en-US"/>
        </w:rPr>
        <w:t xml:space="preserve">, </w:t>
      </w:r>
      <w:r w:rsidR="00D62B74" w:rsidRPr="00283996">
        <w:rPr>
          <w:iCs/>
          <w:lang w:val="en-US"/>
        </w:rPr>
        <w:t xml:space="preserve">preamble, </w:t>
      </w:r>
      <w:r w:rsidR="00C4798D" w:rsidRPr="00283996">
        <w:rPr>
          <w:iCs/>
          <w:lang w:val="en-US"/>
        </w:rPr>
        <w:t>arts</w:t>
      </w:r>
      <w:r w:rsidR="007E61AD" w:rsidRPr="00283996">
        <w:rPr>
          <w:iCs/>
          <w:lang w:val="en-US"/>
        </w:rPr>
        <w:t>. </w:t>
      </w:r>
      <w:r w:rsidR="00D62B74" w:rsidRPr="00283996">
        <w:rPr>
          <w:iCs/>
          <w:lang w:val="en-US"/>
        </w:rPr>
        <w:t>4</w:t>
      </w:r>
      <w:r w:rsidR="00C4798D" w:rsidRPr="00283996">
        <w:rPr>
          <w:iCs/>
          <w:lang w:val="en-US"/>
        </w:rPr>
        <w:t>(</w:t>
      </w:r>
      <w:r w:rsidR="00D62B74" w:rsidRPr="00283996">
        <w:rPr>
          <w:iCs/>
          <w:lang w:val="en-US"/>
        </w:rPr>
        <w:t>e), 17</w:t>
      </w:r>
      <w:r w:rsidR="00755A16" w:rsidRPr="00283996">
        <w:rPr>
          <w:lang w:val="en-US"/>
        </w:rPr>
        <w:t xml:space="preserve"> </w:t>
      </w:r>
      <w:r w:rsidR="00755A16" w:rsidRPr="00283996">
        <w:rPr>
          <w:iCs/>
          <w:lang w:val="en-US"/>
        </w:rPr>
        <w:t>[</w:t>
      </w:r>
      <w:r w:rsidR="004B2708" w:rsidRPr="00283996">
        <w:rPr>
          <w:iCs/>
          <w:lang w:val="en-US"/>
        </w:rPr>
        <w:t>now s. </w:t>
      </w:r>
      <w:r w:rsidR="000533B1" w:rsidRPr="00283996">
        <w:rPr>
          <w:iCs/>
          <w:lang w:val="en-US"/>
        </w:rPr>
        <w:t>26</w:t>
      </w:r>
      <w:r w:rsidR="00755A16" w:rsidRPr="00283996">
        <w:rPr>
          <w:iCs/>
          <w:lang w:val="en-US"/>
        </w:rPr>
        <w:t>]</w:t>
      </w:r>
      <w:r w:rsidR="00E90762" w:rsidRPr="00283996">
        <w:rPr>
          <w:lang w:val="en-US"/>
        </w:rPr>
        <w:t xml:space="preserve"> [made under the</w:t>
      </w:r>
      <w:r w:rsidR="00E90762" w:rsidRPr="00283996">
        <w:rPr>
          <w:i/>
          <w:iCs/>
          <w:lang w:val="en-US"/>
        </w:rPr>
        <w:t xml:space="preserve"> Act </w:t>
      </w:r>
      <w:r w:rsidR="009B2EF3" w:rsidRPr="00283996">
        <w:rPr>
          <w:i/>
          <w:iCs/>
          <w:lang w:val="en-US"/>
        </w:rPr>
        <w:t>r</w:t>
      </w:r>
      <w:r w:rsidR="00E90762" w:rsidRPr="00283996">
        <w:rPr>
          <w:i/>
          <w:iCs/>
          <w:lang w:val="en-US"/>
        </w:rPr>
        <w:t xml:space="preserve">especting </w:t>
      </w:r>
      <w:r w:rsidR="009B2EF3" w:rsidRPr="00283996">
        <w:rPr>
          <w:i/>
          <w:iCs/>
          <w:lang w:val="en-US"/>
        </w:rPr>
        <w:t>p</w:t>
      </w:r>
      <w:r w:rsidR="00E90762" w:rsidRPr="00283996">
        <w:rPr>
          <w:i/>
          <w:iCs/>
          <w:lang w:val="en-US"/>
        </w:rPr>
        <w:t xml:space="preserve">ublic </w:t>
      </w:r>
      <w:r w:rsidR="009B2EF3" w:rsidRPr="00283996">
        <w:rPr>
          <w:i/>
          <w:iCs/>
          <w:lang w:val="en-US"/>
        </w:rPr>
        <w:t>t</w:t>
      </w:r>
      <w:r w:rsidR="00E90762" w:rsidRPr="00283996">
        <w:rPr>
          <w:i/>
          <w:iCs/>
          <w:lang w:val="en-US"/>
        </w:rPr>
        <w:t xml:space="preserve">ransit </w:t>
      </w:r>
      <w:r w:rsidR="009B2EF3" w:rsidRPr="00283996">
        <w:rPr>
          <w:i/>
          <w:iCs/>
          <w:lang w:val="en-US"/>
        </w:rPr>
        <w:t>a</w:t>
      </w:r>
      <w:r w:rsidR="00E90762" w:rsidRPr="00283996">
        <w:rPr>
          <w:i/>
          <w:iCs/>
          <w:lang w:val="en-US"/>
        </w:rPr>
        <w:t>uthorities</w:t>
      </w:r>
      <w:r w:rsidR="00E90762" w:rsidRPr="00283996">
        <w:rPr>
          <w:iCs/>
          <w:lang w:val="en-US"/>
        </w:rPr>
        <w:t xml:space="preserve">, </w:t>
      </w:r>
      <w:r w:rsidR="00512B77" w:rsidRPr="00283996">
        <w:rPr>
          <w:lang w:val="en-US"/>
        </w:rPr>
        <w:t>R.S.Q.</w:t>
      </w:r>
      <w:r w:rsidR="00E90762" w:rsidRPr="00283996">
        <w:rPr>
          <w:iCs/>
          <w:lang w:val="en-US"/>
        </w:rPr>
        <w:t>, c. S</w:t>
      </w:r>
      <w:r w:rsidR="00E90762" w:rsidRPr="00283996">
        <w:rPr>
          <w:iCs/>
          <w:lang w:val="en-US"/>
        </w:rPr>
        <w:noBreakHyphen/>
        <w:t>30.01, s.</w:t>
      </w:r>
      <w:r w:rsidR="004B2708" w:rsidRPr="00283996">
        <w:rPr>
          <w:iCs/>
          <w:lang w:val="en-US"/>
        </w:rPr>
        <w:t> </w:t>
      </w:r>
      <w:r w:rsidR="00E90762" w:rsidRPr="00283996">
        <w:rPr>
          <w:iCs/>
          <w:lang w:val="en-US"/>
        </w:rPr>
        <w:t>144]</w:t>
      </w:r>
      <w:r w:rsidR="002B084B" w:rsidRPr="00283996">
        <w:rPr>
          <w:iCs/>
          <w:lang w:val="en-US"/>
        </w:rPr>
        <w:t>.</w:t>
      </w:r>
    </w:p>
    <w:p w:rsidR="00F1461B" w:rsidRPr="00283996" w:rsidRDefault="00F1461B" w:rsidP="00077E7A">
      <w:pPr>
        <w:pStyle w:val="SCCNormalDoubleSpacing"/>
        <w:spacing w:after="240" w:line="240" w:lineRule="auto"/>
        <w:ind w:left="540" w:hanging="540"/>
        <w:rPr>
          <w:iCs/>
          <w:lang w:val="en-US"/>
        </w:rPr>
      </w:pPr>
      <w:r w:rsidRPr="00283996">
        <w:rPr>
          <w:i/>
          <w:iCs/>
          <w:lang w:val="en-US"/>
        </w:rPr>
        <w:lastRenderedPageBreak/>
        <w:t>Canadian Charter of Rights and Freedoms</w:t>
      </w:r>
      <w:r w:rsidRPr="00283996">
        <w:rPr>
          <w:iCs/>
          <w:lang w:val="en-US"/>
        </w:rPr>
        <w:t xml:space="preserve">, </w:t>
      </w:r>
      <w:r w:rsidR="007E61AD" w:rsidRPr="00283996">
        <w:rPr>
          <w:iCs/>
          <w:lang w:val="en-US"/>
        </w:rPr>
        <w:t>ss. </w:t>
      </w:r>
      <w:r w:rsidR="00FE0E7C" w:rsidRPr="00283996">
        <w:rPr>
          <w:iCs/>
          <w:lang w:val="en-US"/>
        </w:rPr>
        <w:t>9, 10(</w:t>
      </w:r>
      <w:r w:rsidR="00FE0E7C" w:rsidRPr="00283996">
        <w:rPr>
          <w:i/>
          <w:iCs/>
          <w:lang w:val="en-US"/>
        </w:rPr>
        <w:t>b</w:t>
      </w:r>
      <w:r w:rsidR="00FE0E7C" w:rsidRPr="00283996">
        <w:rPr>
          <w:iCs/>
          <w:lang w:val="en-US"/>
        </w:rPr>
        <w:t>).</w:t>
      </w:r>
    </w:p>
    <w:p w:rsidR="00F93792" w:rsidRPr="00283996" w:rsidRDefault="00F93792" w:rsidP="00F93792">
      <w:pPr>
        <w:pStyle w:val="SCCNormalDoubleSpacing"/>
        <w:spacing w:after="240" w:line="240" w:lineRule="auto"/>
        <w:ind w:left="540" w:hanging="540"/>
        <w:rPr>
          <w:lang w:val="en-US"/>
        </w:rPr>
      </w:pPr>
      <w:r w:rsidRPr="00283996">
        <w:rPr>
          <w:i/>
          <w:iCs/>
          <w:lang w:val="en-US"/>
        </w:rPr>
        <w:t>Charter of human rights and freedoms</w:t>
      </w:r>
      <w:r w:rsidRPr="00283996">
        <w:rPr>
          <w:lang w:val="en-US"/>
        </w:rPr>
        <w:t>, CQLR, c. C</w:t>
      </w:r>
      <w:r w:rsidRPr="00283996">
        <w:rPr>
          <w:lang w:val="en-US"/>
        </w:rPr>
        <w:noBreakHyphen/>
        <w:t>12, ss. 24, 29,</w:t>
      </w:r>
      <w:r w:rsidR="00BD2F20" w:rsidRPr="00283996">
        <w:rPr>
          <w:lang w:val="en-US"/>
        </w:rPr>
        <w:t xml:space="preserve"> 49 para. </w:t>
      </w:r>
      <w:r w:rsidRPr="00283996">
        <w:rPr>
          <w:lang w:val="en-US"/>
        </w:rPr>
        <w:t>1.</w:t>
      </w:r>
    </w:p>
    <w:p w:rsidR="00F93792" w:rsidRPr="00283996" w:rsidRDefault="00F51F38" w:rsidP="00F93792">
      <w:pPr>
        <w:pStyle w:val="SCCNormalDoubleSpacing"/>
        <w:spacing w:after="240" w:line="240" w:lineRule="auto"/>
        <w:ind w:left="540" w:hanging="540"/>
        <w:rPr>
          <w:lang w:val="en-US"/>
        </w:rPr>
      </w:pPr>
      <w:r w:rsidRPr="00283996">
        <w:rPr>
          <w:i/>
          <w:iCs/>
          <w:lang w:val="en-US"/>
        </w:rPr>
        <w:t>Charter of the French l</w:t>
      </w:r>
      <w:r w:rsidR="00F93792" w:rsidRPr="00283996">
        <w:rPr>
          <w:i/>
          <w:iCs/>
          <w:lang w:val="en-US"/>
        </w:rPr>
        <w:t>anguage</w:t>
      </w:r>
      <w:r w:rsidR="00F93792" w:rsidRPr="00283996">
        <w:rPr>
          <w:lang w:val="en-US"/>
        </w:rPr>
        <w:t>, CQLR, c. C</w:t>
      </w:r>
      <w:r w:rsidR="00F93792" w:rsidRPr="00283996">
        <w:rPr>
          <w:lang w:val="en-US"/>
        </w:rPr>
        <w:noBreakHyphen/>
        <w:t>11, s. 8.</w:t>
      </w:r>
    </w:p>
    <w:p w:rsidR="00F13D28" w:rsidRPr="00283996" w:rsidRDefault="00F13D28" w:rsidP="00077E7A">
      <w:pPr>
        <w:pStyle w:val="SCCNormalDoubleSpacing"/>
        <w:spacing w:after="240" w:line="240" w:lineRule="auto"/>
        <w:ind w:left="540" w:hanging="540"/>
        <w:rPr>
          <w:i/>
          <w:iCs/>
          <w:lang w:val="en-US"/>
        </w:rPr>
      </w:pPr>
      <w:r w:rsidRPr="00283996">
        <w:rPr>
          <w:i/>
          <w:iCs/>
          <w:lang w:val="en-US"/>
        </w:rPr>
        <w:t>Cities and Towns Act</w:t>
      </w:r>
      <w:r w:rsidRPr="00283996">
        <w:rPr>
          <w:lang w:val="en-US"/>
        </w:rPr>
        <w:t>, CQLR, c. C</w:t>
      </w:r>
      <w:r w:rsidR="007E61AD" w:rsidRPr="00283996">
        <w:rPr>
          <w:lang w:val="en-US"/>
        </w:rPr>
        <w:noBreakHyphen/>
        <w:t>19, s. </w:t>
      </w:r>
      <w:r w:rsidRPr="00283996">
        <w:rPr>
          <w:lang w:val="en-US"/>
        </w:rPr>
        <w:t>364.</w:t>
      </w:r>
    </w:p>
    <w:p w:rsidR="005E1AFC" w:rsidRPr="00283996" w:rsidRDefault="007E61AD" w:rsidP="00077E7A">
      <w:pPr>
        <w:pStyle w:val="SCCNormalDoubleSpacing"/>
        <w:spacing w:after="240" w:line="240" w:lineRule="auto"/>
        <w:ind w:left="540" w:hanging="540"/>
        <w:rPr>
          <w:lang w:val="en-US"/>
        </w:rPr>
      </w:pPr>
      <w:r w:rsidRPr="002035EE">
        <w:rPr>
          <w:i/>
          <w:iCs/>
          <w:lang w:val="fr-CA"/>
        </w:rPr>
        <w:t xml:space="preserve">Civil Code of </w:t>
      </w:r>
      <w:r w:rsidR="00D5399F" w:rsidRPr="002035EE">
        <w:rPr>
          <w:i/>
          <w:iCs/>
          <w:lang w:val="fr-CA"/>
        </w:rPr>
        <w:t>Québec</w:t>
      </w:r>
      <w:r w:rsidR="00D5399F" w:rsidRPr="002035EE">
        <w:rPr>
          <w:lang w:val="fr-CA"/>
        </w:rPr>
        <w:t>, arts.</w:t>
      </w:r>
      <w:r w:rsidRPr="002035EE">
        <w:rPr>
          <w:lang w:val="fr-CA"/>
        </w:rPr>
        <w:t> </w:t>
      </w:r>
      <w:r w:rsidR="002A793A" w:rsidRPr="002035EE">
        <w:rPr>
          <w:lang w:val="fr-CA"/>
        </w:rPr>
        <w:t xml:space="preserve">300, </w:t>
      </w:r>
      <w:r w:rsidR="00F80E27" w:rsidRPr="002035EE">
        <w:rPr>
          <w:lang w:val="fr-CA"/>
        </w:rPr>
        <w:t xml:space="preserve">1376, </w:t>
      </w:r>
      <w:r w:rsidR="00D5399F" w:rsidRPr="002035EE">
        <w:rPr>
          <w:lang w:val="fr-CA"/>
        </w:rPr>
        <w:t>1457, 1463, 1464</w:t>
      </w:r>
      <w:r w:rsidR="005E1AFC" w:rsidRPr="002035EE">
        <w:rPr>
          <w:lang w:val="fr-CA"/>
        </w:rPr>
        <w:t xml:space="preserve">, </w:t>
      </w:r>
      <w:r w:rsidR="00100DED" w:rsidRPr="002035EE">
        <w:rPr>
          <w:lang w:val="fr-CA"/>
        </w:rPr>
        <w:t>1478</w:t>
      </w:r>
      <w:r w:rsidR="00B37E0D" w:rsidRPr="002035EE">
        <w:rPr>
          <w:lang w:val="fr-CA"/>
        </w:rPr>
        <w:t xml:space="preserve">, </w:t>
      </w:r>
      <w:r w:rsidR="00AD6C70" w:rsidRPr="002035EE">
        <w:rPr>
          <w:lang w:val="fr-CA"/>
        </w:rPr>
        <w:t xml:space="preserve">1479, </w:t>
      </w:r>
      <w:r w:rsidR="00405ABD" w:rsidRPr="002035EE">
        <w:rPr>
          <w:lang w:val="fr-CA"/>
        </w:rPr>
        <w:t>1526,</w:t>
      </w:r>
      <w:r w:rsidR="00B91326" w:rsidRPr="002035EE">
        <w:rPr>
          <w:lang w:val="fr-CA"/>
        </w:rPr>
        <w:t xml:space="preserve"> </w:t>
      </w:r>
      <w:r w:rsidR="00F517E6" w:rsidRPr="002035EE">
        <w:rPr>
          <w:lang w:val="fr-CA"/>
        </w:rPr>
        <w:t xml:space="preserve">1619, </w:t>
      </w:r>
      <w:r w:rsidR="00B91326" w:rsidRPr="002035EE">
        <w:rPr>
          <w:lang w:val="fr-CA"/>
        </w:rPr>
        <w:t>2130</w:t>
      </w:r>
      <w:r w:rsidR="001E7C5A" w:rsidRPr="002035EE">
        <w:rPr>
          <w:lang w:val="fr-CA"/>
        </w:rPr>
        <w:t xml:space="preserve"> para. </w:t>
      </w:r>
      <w:r w:rsidR="001E7C5A" w:rsidRPr="00283996">
        <w:rPr>
          <w:lang w:val="en-US"/>
        </w:rPr>
        <w:t>1</w:t>
      </w:r>
      <w:r w:rsidR="00B91326" w:rsidRPr="00283996">
        <w:rPr>
          <w:lang w:val="en-US"/>
        </w:rPr>
        <w:t>,</w:t>
      </w:r>
      <w:r w:rsidR="005613B5" w:rsidRPr="00283996">
        <w:rPr>
          <w:lang w:val="en-US"/>
        </w:rPr>
        <w:t xml:space="preserve"> 2164,</w:t>
      </w:r>
      <w:r w:rsidR="00405ABD" w:rsidRPr="00283996">
        <w:rPr>
          <w:lang w:val="en-US"/>
        </w:rPr>
        <w:t xml:space="preserve"> </w:t>
      </w:r>
      <w:r w:rsidR="005E1AFC" w:rsidRPr="00283996">
        <w:rPr>
          <w:lang w:val="en-US"/>
        </w:rPr>
        <w:t>2892, 2900.</w:t>
      </w:r>
    </w:p>
    <w:p w:rsidR="006D4F61" w:rsidRPr="00283996" w:rsidRDefault="006D4F61" w:rsidP="00077E7A">
      <w:pPr>
        <w:pStyle w:val="SCCNormalDoubleSpacing"/>
        <w:spacing w:after="240" w:line="240" w:lineRule="auto"/>
        <w:ind w:left="540" w:hanging="540"/>
        <w:rPr>
          <w:iCs/>
          <w:lang w:val="en-US"/>
        </w:rPr>
      </w:pPr>
      <w:r w:rsidRPr="00283996">
        <w:rPr>
          <w:i/>
          <w:iCs/>
          <w:lang w:val="en-US"/>
        </w:rPr>
        <w:t>Code of ethics of Québec police officers</w:t>
      </w:r>
      <w:r w:rsidR="007E61AD" w:rsidRPr="00283996">
        <w:rPr>
          <w:iCs/>
          <w:lang w:val="en-US"/>
        </w:rPr>
        <w:t>, CQLR, c. </w:t>
      </w:r>
      <w:r w:rsidR="00940854" w:rsidRPr="00283996">
        <w:rPr>
          <w:iCs/>
          <w:lang w:val="en-US"/>
        </w:rPr>
        <w:t>P</w:t>
      </w:r>
      <w:r w:rsidR="007E61AD" w:rsidRPr="00283996">
        <w:rPr>
          <w:iCs/>
          <w:lang w:val="en-US"/>
        </w:rPr>
        <w:noBreakHyphen/>
      </w:r>
      <w:r w:rsidR="00940854" w:rsidRPr="00283996">
        <w:rPr>
          <w:iCs/>
          <w:lang w:val="en-US"/>
        </w:rPr>
        <w:t>13.1, r.</w:t>
      </w:r>
      <w:r w:rsidR="00866BC4" w:rsidRPr="00283996">
        <w:rPr>
          <w:iCs/>
          <w:lang w:val="en-US"/>
        </w:rPr>
        <w:t xml:space="preserve"> </w:t>
      </w:r>
      <w:r w:rsidR="00940854" w:rsidRPr="00283996">
        <w:rPr>
          <w:iCs/>
          <w:lang w:val="en-US"/>
        </w:rPr>
        <w:t xml:space="preserve">1, </w:t>
      </w:r>
      <w:r w:rsidR="007E61AD" w:rsidRPr="00283996">
        <w:rPr>
          <w:iCs/>
          <w:lang w:val="en-US"/>
        </w:rPr>
        <w:t>ss. </w:t>
      </w:r>
      <w:r w:rsidR="00940854" w:rsidRPr="00283996">
        <w:rPr>
          <w:iCs/>
          <w:lang w:val="en-US"/>
        </w:rPr>
        <w:t>2, 3, 6</w:t>
      </w:r>
      <w:r w:rsidR="00D40FF5" w:rsidRPr="00283996">
        <w:rPr>
          <w:iCs/>
          <w:lang w:val="en-US"/>
        </w:rPr>
        <w:t xml:space="preserve"> </w:t>
      </w:r>
      <w:r w:rsidR="007E61AD" w:rsidRPr="00283996">
        <w:rPr>
          <w:iCs/>
          <w:lang w:val="en-US"/>
        </w:rPr>
        <w:t>para. </w:t>
      </w:r>
      <w:r w:rsidR="00D40FF5" w:rsidRPr="00283996">
        <w:rPr>
          <w:iCs/>
          <w:lang w:val="en-US"/>
        </w:rPr>
        <w:t>1</w:t>
      </w:r>
      <w:r w:rsidR="00940854" w:rsidRPr="00283996">
        <w:rPr>
          <w:iCs/>
          <w:lang w:val="en-US"/>
        </w:rPr>
        <w:t>.</w:t>
      </w:r>
    </w:p>
    <w:p w:rsidR="006D4F61" w:rsidRPr="00283996" w:rsidRDefault="00DA0D51" w:rsidP="00077E7A">
      <w:pPr>
        <w:pStyle w:val="SCCNormalDoubleSpacing"/>
        <w:spacing w:after="240" w:line="240" w:lineRule="auto"/>
        <w:ind w:left="540" w:hanging="540"/>
        <w:rPr>
          <w:iCs/>
          <w:lang w:val="en-US"/>
        </w:rPr>
      </w:pPr>
      <w:r w:rsidRPr="00283996">
        <w:rPr>
          <w:i/>
          <w:iCs/>
          <w:lang w:val="en-US"/>
        </w:rPr>
        <w:t>Code of Penal Procedure</w:t>
      </w:r>
      <w:r w:rsidRPr="00283996">
        <w:rPr>
          <w:iCs/>
          <w:lang w:val="en-US"/>
        </w:rPr>
        <w:t>, CQLR, c. C</w:t>
      </w:r>
      <w:r w:rsidR="007E61AD" w:rsidRPr="00283996">
        <w:rPr>
          <w:iCs/>
          <w:lang w:val="en-US"/>
        </w:rPr>
        <w:noBreakHyphen/>
      </w:r>
      <w:r w:rsidRPr="00283996">
        <w:rPr>
          <w:iCs/>
          <w:lang w:val="en-US"/>
        </w:rPr>
        <w:t xml:space="preserve">25.1, </w:t>
      </w:r>
      <w:r w:rsidR="004B7E77" w:rsidRPr="00283996">
        <w:rPr>
          <w:iCs/>
          <w:lang w:val="en-US"/>
        </w:rPr>
        <w:t>arts</w:t>
      </w:r>
      <w:r w:rsidR="007E61AD" w:rsidRPr="00283996">
        <w:rPr>
          <w:iCs/>
          <w:lang w:val="en-US"/>
        </w:rPr>
        <w:t>. </w:t>
      </w:r>
      <w:r w:rsidRPr="00283996">
        <w:rPr>
          <w:iCs/>
          <w:lang w:val="en-US"/>
        </w:rPr>
        <w:t>7</w:t>
      </w:r>
      <w:r w:rsidR="005319BC" w:rsidRPr="00283996">
        <w:rPr>
          <w:iCs/>
          <w:lang w:val="en-US"/>
        </w:rPr>
        <w:t>2</w:t>
      </w:r>
      <w:r w:rsidR="00D40FF5" w:rsidRPr="00283996">
        <w:rPr>
          <w:iCs/>
          <w:lang w:val="en-US"/>
        </w:rPr>
        <w:t xml:space="preserve"> </w:t>
      </w:r>
      <w:r w:rsidR="007E61AD" w:rsidRPr="00283996">
        <w:rPr>
          <w:iCs/>
          <w:lang w:val="en-US"/>
        </w:rPr>
        <w:t>para. </w:t>
      </w:r>
      <w:r w:rsidR="00D40FF5" w:rsidRPr="00283996">
        <w:rPr>
          <w:iCs/>
          <w:lang w:val="en-US"/>
        </w:rPr>
        <w:t>1</w:t>
      </w:r>
      <w:r w:rsidR="000C7FE0" w:rsidRPr="00283996">
        <w:rPr>
          <w:iCs/>
          <w:lang w:val="en-US"/>
        </w:rPr>
        <w:t>, 73,</w:t>
      </w:r>
      <w:r w:rsidR="005319BC" w:rsidRPr="00283996">
        <w:rPr>
          <w:iCs/>
          <w:lang w:val="en-US"/>
        </w:rPr>
        <w:t xml:space="preserve"> 7</w:t>
      </w:r>
      <w:r w:rsidR="007B69F3" w:rsidRPr="00283996">
        <w:rPr>
          <w:iCs/>
          <w:lang w:val="en-US"/>
        </w:rPr>
        <w:t>4, 82.</w:t>
      </w:r>
    </w:p>
    <w:p w:rsidR="003A79B8" w:rsidRPr="00283996" w:rsidRDefault="003A79B8" w:rsidP="00077E7A">
      <w:pPr>
        <w:pStyle w:val="SCCNormalDoubleSpacing"/>
        <w:spacing w:after="240" w:line="240" w:lineRule="auto"/>
        <w:ind w:left="540" w:hanging="540"/>
        <w:rPr>
          <w:iCs/>
          <w:lang w:val="en-US"/>
        </w:rPr>
      </w:pPr>
      <w:r w:rsidRPr="00283996">
        <w:rPr>
          <w:i/>
          <w:iCs/>
          <w:lang w:val="en-US"/>
        </w:rPr>
        <w:t>Constitution Act</w:t>
      </w:r>
      <w:r w:rsidR="007E61AD" w:rsidRPr="00283996">
        <w:rPr>
          <w:i/>
          <w:iCs/>
          <w:lang w:val="en-US"/>
        </w:rPr>
        <w:t>, 1867</w:t>
      </w:r>
      <w:r w:rsidR="007E61AD" w:rsidRPr="00283996">
        <w:rPr>
          <w:iCs/>
          <w:lang w:val="en-US"/>
        </w:rPr>
        <w:t>, s. </w:t>
      </w:r>
      <w:r w:rsidRPr="00283996">
        <w:rPr>
          <w:iCs/>
          <w:lang w:val="en-US"/>
        </w:rPr>
        <w:t>133.</w:t>
      </w:r>
    </w:p>
    <w:p w:rsidR="000F5E66" w:rsidRPr="002035EE" w:rsidRDefault="000F5E66" w:rsidP="00077E7A">
      <w:pPr>
        <w:pStyle w:val="SCCNormalDoubleSpacing"/>
        <w:spacing w:after="240" w:line="240" w:lineRule="auto"/>
        <w:ind w:left="540" w:hanging="540"/>
        <w:rPr>
          <w:iCs/>
          <w:lang w:val="fr-CA"/>
        </w:rPr>
      </w:pPr>
      <w:proofErr w:type="spellStart"/>
      <w:r w:rsidRPr="002035EE">
        <w:rPr>
          <w:i/>
          <w:iCs/>
          <w:lang w:val="fr-CA"/>
        </w:rPr>
        <w:t>Criminal</w:t>
      </w:r>
      <w:proofErr w:type="spellEnd"/>
      <w:r w:rsidRPr="002035EE">
        <w:rPr>
          <w:i/>
          <w:iCs/>
          <w:lang w:val="fr-CA"/>
        </w:rPr>
        <w:t xml:space="preserve"> Code</w:t>
      </w:r>
      <w:r w:rsidR="007E61AD" w:rsidRPr="002035EE">
        <w:rPr>
          <w:iCs/>
          <w:lang w:val="fr-CA"/>
        </w:rPr>
        <w:t>, R.S.C. 1985, c. </w:t>
      </w:r>
      <w:r w:rsidR="004B2708" w:rsidRPr="002035EE">
        <w:rPr>
          <w:iCs/>
          <w:lang w:val="fr-CA"/>
        </w:rPr>
        <w:t>C</w:t>
      </w:r>
      <w:r w:rsidR="004B2708" w:rsidRPr="002035EE">
        <w:rPr>
          <w:iCs/>
          <w:lang w:val="fr-CA"/>
        </w:rPr>
        <w:noBreakHyphen/>
      </w:r>
      <w:r w:rsidR="00C85483" w:rsidRPr="002035EE">
        <w:rPr>
          <w:iCs/>
          <w:lang w:val="fr-CA"/>
        </w:rPr>
        <w:t>46</w:t>
      </w:r>
      <w:r w:rsidRPr="002035EE">
        <w:rPr>
          <w:iCs/>
          <w:lang w:val="fr-CA"/>
        </w:rPr>
        <w:t>, s.</w:t>
      </w:r>
      <w:r w:rsidR="007E61AD" w:rsidRPr="002035EE">
        <w:rPr>
          <w:iCs/>
          <w:lang w:val="fr-CA"/>
        </w:rPr>
        <w:t> </w:t>
      </w:r>
      <w:r w:rsidR="002F35B7" w:rsidRPr="002035EE">
        <w:rPr>
          <w:iCs/>
          <w:lang w:val="fr-CA"/>
        </w:rPr>
        <w:t>129.</w:t>
      </w:r>
    </w:p>
    <w:p w:rsidR="00111CAA" w:rsidRPr="00283996" w:rsidRDefault="00111CAA" w:rsidP="00077E7A">
      <w:pPr>
        <w:pStyle w:val="SCCNormalDoubleSpacing"/>
        <w:spacing w:after="240" w:line="240" w:lineRule="auto"/>
        <w:ind w:left="540" w:hanging="540"/>
        <w:rPr>
          <w:i/>
          <w:iCs/>
          <w:lang w:val="en-US"/>
        </w:rPr>
      </w:pPr>
      <w:r w:rsidRPr="00283996">
        <w:rPr>
          <w:i/>
          <w:iCs/>
          <w:lang w:val="en-US"/>
        </w:rPr>
        <w:t>Municipal Code of Québec</w:t>
      </w:r>
      <w:r w:rsidR="00C141CE" w:rsidRPr="00283996">
        <w:rPr>
          <w:iCs/>
          <w:lang w:val="en-US"/>
        </w:rPr>
        <w:t>, CQLR, c. C</w:t>
      </w:r>
      <w:r w:rsidR="00C141CE" w:rsidRPr="00283996">
        <w:rPr>
          <w:iCs/>
          <w:lang w:val="en-US"/>
        </w:rPr>
        <w:noBreakHyphen/>
        <w:t>27.1, art. </w:t>
      </w:r>
      <w:r w:rsidRPr="00283996">
        <w:rPr>
          <w:iCs/>
          <w:lang w:val="en-US"/>
        </w:rPr>
        <w:t>452.</w:t>
      </w:r>
    </w:p>
    <w:p w:rsidR="00A149DF" w:rsidRPr="00283996" w:rsidRDefault="00D107F9" w:rsidP="00077E7A">
      <w:pPr>
        <w:pStyle w:val="SCCNormalDoubleSpacing"/>
        <w:spacing w:after="720" w:line="240" w:lineRule="auto"/>
        <w:ind w:left="540" w:hanging="540"/>
        <w:rPr>
          <w:lang w:val="en-US"/>
        </w:rPr>
      </w:pPr>
      <w:r w:rsidRPr="00283996">
        <w:rPr>
          <w:i/>
          <w:iCs/>
          <w:lang w:val="en-US"/>
        </w:rPr>
        <w:t>Police Act</w:t>
      </w:r>
      <w:r w:rsidR="007E61AD" w:rsidRPr="00283996">
        <w:rPr>
          <w:lang w:val="en-US"/>
        </w:rPr>
        <w:t>, CQLR, c. </w:t>
      </w:r>
      <w:r w:rsidRPr="00283996">
        <w:rPr>
          <w:lang w:val="en-US"/>
        </w:rPr>
        <w:t>P</w:t>
      </w:r>
      <w:r w:rsidR="007E61AD" w:rsidRPr="00283996">
        <w:rPr>
          <w:lang w:val="en-US"/>
        </w:rPr>
        <w:noBreakHyphen/>
      </w:r>
      <w:r w:rsidRPr="00283996">
        <w:rPr>
          <w:lang w:val="en-US"/>
        </w:rPr>
        <w:t xml:space="preserve">13.1, </w:t>
      </w:r>
      <w:r w:rsidR="007E61AD" w:rsidRPr="00283996">
        <w:rPr>
          <w:lang w:val="en-US"/>
        </w:rPr>
        <w:t>ss. </w:t>
      </w:r>
      <w:r w:rsidR="004667E7" w:rsidRPr="00283996">
        <w:rPr>
          <w:lang w:val="en-US"/>
        </w:rPr>
        <w:t xml:space="preserve">1 to 6, </w:t>
      </w:r>
      <w:r w:rsidRPr="00283996">
        <w:rPr>
          <w:lang w:val="en-US"/>
        </w:rPr>
        <w:t>48</w:t>
      </w:r>
      <w:r w:rsidR="00706403" w:rsidRPr="00283996">
        <w:rPr>
          <w:lang w:val="en-US"/>
        </w:rPr>
        <w:t>,</w:t>
      </w:r>
      <w:r w:rsidR="002D53E1" w:rsidRPr="00283996">
        <w:rPr>
          <w:lang w:val="en-US"/>
        </w:rPr>
        <w:t xml:space="preserve"> 49,</w:t>
      </w:r>
      <w:r w:rsidR="00706403" w:rsidRPr="00283996">
        <w:rPr>
          <w:lang w:val="en-US"/>
        </w:rPr>
        <w:t xml:space="preserve"> 69.</w:t>
      </w:r>
    </w:p>
    <w:p w:rsidR="002E6705" w:rsidRPr="007A7F84" w:rsidRDefault="002E6705" w:rsidP="00077E7A">
      <w:pPr>
        <w:pStyle w:val="SCCNormalDoubleSpacing"/>
        <w:spacing w:after="720" w:line="240" w:lineRule="auto"/>
        <w:rPr>
          <w:b/>
          <w:lang w:val="fr-CA"/>
        </w:rPr>
      </w:pPr>
      <w:proofErr w:type="spellStart"/>
      <w:r w:rsidRPr="007A7F84">
        <w:rPr>
          <w:b/>
          <w:lang w:val="fr-CA"/>
        </w:rPr>
        <w:t>Authors</w:t>
      </w:r>
      <w:proofErr w:type="spellEnd"/>
      <w:r w:rsidRPr="007A7F84">
        <w:rPr>
          <w:b/>
          <w:lang w:val="fr-CA"/>
        </w:rPr>
        <w:t xml:space="preserve"> </w:t>
      </w:r>
      <w:proofErr w:type="spellStart"/>
      <w:r w:rsidRPr="007A7F84">
        <w:rPr>
          <w:b/>
          <w:lang w:val="fr-CA"/>
        </w:rPr>
        <w:t>Cited</w:t>
      </w:r>
      <w:proofErr w:type="spellEnd"/>
    </w:p>
    <w:p w:rsidR="007E1370" w:rsidRPr="002035EE" w:rsidRDefault="007E1370" w:rsidP="00077E7A">
      <w:pPr>
        <w:pStyle w:val="SCCNormalDoubleSpacing"/>
        <w:spacing w:after="240" w:line="240" w:lineRule="auto"/>
        <w:ind w:left="540" w:hanging="540"/>
        <w:rPr>
          <w:lang w:val="fr-CA"/>
        </w:rPr>
      </w:pPr>
      <w:r w:rsidRPr="002035EE">
        <w:rPr>
          <w:lang w:val="fr-CA"/>
        </w:rPr>
        <w:t>Baudouin, Jean</w:t>
      </w:r>
      <w:r w:rsidR="007E61AD" w:rsidRPr="002035EE">
        <w:rPr>
          <w:lang w:val="fr-CA"/>
        </w:rPr>
        <w:noBreakHyphen/>
      </w:r>
      <w:r w:rsidRPr="002035EE">
        <w:rPr>
          <w:lang w:val="fr-CA"/>
        </w:rPr>
        <w:t>Louis, et Claude Fabien. “L</w:t>
      </w:r>
      <w:r w:rsidR="00D75B96" w:rsidRPr="002035EE">
        <w:rPr>
          <w:lang w:val="fr-CA"/>
        </w:rPr>
        <w:t>’</w:t>
      </w:r>
      <w:r w:rsidRPr="002035EE">
        <w:rPr>
          <w:lang w:val="fr-CA"/>
        </w:rPr>
        <w:t xml:space="preserve">indemnisation des dommages causés par la police” (1989), 23 </w:t>
      </w:r>
      <w:r w:rsidRPr="002035EE">
        <w:rPr>
          <w:i/>
          <w:lang w:val="fr-CA"/>
        </w:rPr>
        <w:t>R.J.T.</w:t>
      </w:r>
      <w:r w:rsidRPr="002035EE">
        <w:rPr>
          <w:lang w:val="fr-CA"/>
        </w:rPr>
        <w:t xml:space="preserve"> 419.</w:t>
      </w:r>
    </w:p>
    <w:p w:rsidR="007E1370" w:rsidRPr="00283996" w:rsidRDefault="007E1370" w:rsidP="00077E7A">
      <w:pPr>
        <w:pStyle w:val="SCCNormalDoubleSpacing"/>
        <w:spacing w:after="240" w:line="240" w:lineRule="auto"/>
        <w:ind w:left="540" w:hanging="540"/>
        <w:rPr>
          <w:lang w:val="en-US"/>
        </w:rPr>
      </w:pPr>
      <w:r w:rsidRPr="002035EE">
        <w:rPr>
          <w:rStyle w:val="solexhl"/>
          <w:rFonts w:eastAsiaTheme="majorEastAsia"/>
          <w:lang w:val="fr-CA"/>
        </w:rPr>
        <w:t>Baudouin</w:t>
      </w:r>
      <w:r w:rsidR="00BF10B5" w:rsidRPr="002035EE">
        <w:rPr>
          <w:lang w:val="fr-CA"/>
        </w:rPr>
        <w:t xml:space="preserve">, </w:t>
      </w:r>
      <w:r w:rsidRPr="002035EE">
        <w:rPr>
          <w:rStyle w:val="solexhl"/>
          <w:rFonts w:eastAsiaTheme="majorEastAsia"/>
          <w:lang w:val="fr-CA"/>
        </w:rPr>
        <w:t>Jean</w:t>
      </w:r>
      <w:r w:rsidR="007E61AD" w:rsidRPr="002035EE">
        <w:rPr>
          <w:rStyle w:val="solexhl"/>
          <w:rFonts w:eastAsiaTheme="majorEastAsia"/>
          <w:lang w:val="fr-CA"/>
        </w:rPr>
        <w:noBreakHyphen/>
      </w:r>
      <w:r w:rsidRPr="002035EE">
        <w:rPr>
          <w:rStyle w:val="solexhl"/>
          <w:rFonts w:eastAsiaTheme="majorEastAsia"/>
          <w:lang w:val="fr-CA"/>
        </w:rPr>
        <w:t>Louis</w:t>
      </w:r>
      <w:r w:rsidRPr="002035EE">
        <w:rPr>
          <w:lang w:val="fr-CA"/>
        </w:rPr>
        <w:t>, Patri</w:t>
      </w:r>
      <w:r w:rsidR="007E61AD" w:rsidRPr="002035EE">
        <w:rPr>
          <w:lang w:val="fr-CA"/>
        </w:rPr>
        <w:t xml:space="preserve">ce </w:t>
      </w:r>
      <w:proofErr w:type="spellStart"/>
      <w:r w:rsidR="007E61AD" w:rsidRPr="002035EE">
        <w:rPr>
          <w:lang w:val="fr-CA"/>
        </w:rPr>
        <w:t>Deslauriers</w:t>
      </w:r>
      <w:proofErr w:type="spellEnd"/>
      <w:r w:rsidR="007E61AD" w:rsidRPr="002035EE">
        <w:rPr>
          <w:lang w:val="fr-CA"/>
        </w:rPr>
        <w:t xml:space="preserve"> et Benoît Moore. </w:t>
      </w:r>
      <w:r w:rsidRPr="002035EE">
        <w:rPr>
          <w:i/>
          <w:iCs/>
          <w:lang w:val="fr-CA"/>
        </w:rPr>
        <w:t>La responsabilité civile</w:t>
      </w:r>
      <w:r w:rsidRPr="002035EE">
        <w:rPr>
          <w:lang w:val="fr-CA"/>
        </w:rPr>
        <w:t>, 8</w:t>
      </w:r>
      <w:r w:rsidRPr="002035EE">
        <w:rPr>
          <w:vertAlign w:val="superscript"/>
          <w:lang w:val="fr-CA"/>
        </w:rPr>
        <w:t>e</w:t>
      </w:r>
      <w:r w:rsidRPr="002035EE">
        <w:rPr>
          <w:lang w:val="fr-CA"/>
        </w:rPr>
        <w:t xml:space="preserve"> éd. </w:t>
      </w:r>
      <w:proofErr w:type="spellStart"/>
      <w:r w:rsidRPr="00283996">
        <w:rPr>
          <w:lang w:val="en-US"/>
        </w:rPr>
        <w:t>Cowansville</w:t>
      </w:r>
      <w:proofErr w:type="spellEnd"/>
      <w:r w:rsidRPr="00283996">
        <w:rPr>
          <w:lang w:val="en-US"/>
        </w:rPr>
        <w:t xml:space="preserve">, Que.: </w:t>
      </w:r>
      <w:proofErr w:type="spellStart"/>
      <w:r w:rsidRPr="00283996">
        <w:rPr>
          <w:lang w:val="en-US"/>
        </w:rPr>
        <w:t>Yvon</w:t>
      </w:r>
      <w:proofErr w:type="spellEnd"/>
      <w:r w:rsidRPr="00283996">
        <w:rPr>
          <w:lang w:val="en-US"/>
        </w:rPr>
        <w:t xml:space="preserve"> </w:t>
      </w:r>
      <w:proofErr w:type="spellStart"/>
      <w:r w:rsidRPr="00283996">
        <w:rPr>
          <w:lang w:val="en-US"/>
        </w:rPr>
        <w:t>Blais</w:t>
      </w:r>
      <w:proofErr w:type="spellEnd"/>
      <w:r w:rsidRPr="00283996">
        <w:rPr>
          <w:lang w:val="en-US"/>
        </w:rPr>
        <w:t>, 2014.</w:t>
      </w:r>
    </w:p>
    <w:p w:rsidR="005D3171" w:rsidRPr="00283996" w:rsidRDefault="005D3171" w:rsidP="00077E7A">
      <w:pPr>
        <w:pStyle w:val="SCCNormalDoubleSpacing"/>
        <w:spacing w:after="240" w:line="240" w:lineRule="auto"/>
        <w:ind w:left="540" w:hanging="540"/>
        <w:rPr>
          <w:lang w:val="en-US"/>
        </w:rPr>
      </w:pPr>
      <w:proofErr w:type="spellStart"/>
      <w:r w:rsidRPr="00283996">
        <w:rPr>
          <w:rStyle w:val="solexhl"/>
          <w:rFonts w:eastAsiaTheme="majorEastAsia"/>
          <w:lang w:val="en-US"/>
        </w:rPr>
        <w:t>Ceyssens</w:t>
      </w:r>
      <w:proofErr w:type="spellEnd"/>
      <w:r w:rsidRPr="00283996">
        <w:rPr>
          <w:lang w:val="en-US"/>
        </w:rPr>
        <w:t>, Paul.</w:t>
      </w:r>
      <w:r w:rsidR="00BF10B5" w:rsidRPr="00283996">
        <w:rPr>
          <w:lang w:val="en-US"/>
        </w:rPr>
        <w:t xml:space="preserve"> </w:t>
      </w:r>
      <w:r w:rsidRPr="00283996">
        <w:rPr>
          <w:i/>
          <w:iCs/>
          <w:lang w:val="en-US"/>
        </w:rPr>
        <w:t>Legal Aspects of Policing</w:t>
      </w:r>
      <w:r w:rsidRPr="00283996">
        <w:rPr>
          <w:lang w:val="en-US"/>
        </w:rPr>
        <w:t xml:space="preserve">, </w:t>
      </w:r>
      <w:r w:rsidR="007E61AD" w:rsidRPr="00283996">
        <w:rPr>
          <w:lang w:val="en-US"/>
        </w:rPr>
        <w:t>vol. </w:t>
      </w:r>
      <w:r w:rsidRPr="00283996">
        <w:rPr>
          <w:lang w:val="en-US"/>
        </w:rPr>
        <w:t>1</w:t>
      </w:r>
      <w:r w:rsidR="00EA1E6E" w:rsidRPr="00283996">
        <w:rPr>
          <w:lang w:val="en-US"/>
        </w:rPr>
        <w:t>.</w:t>
      </w:r>
      <w:r w:rsidRPr="00283996">
        <w:rPr>
          <w:lang w:val="en-US"/>
        </w:rPr>
        <w:t xml:space="preserve"> </w:t>
      </w:r>
      <w:proofErr w:type="spellStart"/>
      <w:r w:rsidRPr="00283996">
        <w:rPr>
          <w:lang w:val="en-US"/>
        </w:rPr>
        <w:t>Saltspring</w:t>
      </w:r>
      <w:proofErr w:type="spellEnd"/>
      <w:r w:rsidRPr="00283996">
        <w:rPr>
          <w:lang w:val="en-US"/>
        </w:rPr>
        <w:t xml:space="preserve"> Island, B.C.: </w:t>
      </w:r>
      <w:proofErr w:type="spellStart"/>
      <w:r w:rsidRPr="00283996">
        <w:rPr>
          <w:lang w:val="en-US"/>
        </w:rPr>
        <w:t>Earlscourt</w:t>
      </w:r>
      <w:proofErr w:type="spellEnd"/>
      <w:r w:rsidRPr="00283996">
        <w:rPr>
          <w:lang w:val="en-US"/>
        </w:rPr>
        <w:t>, 1994 (loose</w:t>
      </w:r>
      <w:r w:rsidR="007E61AD" w:rsidRPr="00283996">
        <w:rPr>
          <w:lang w:val="en-US"/>
        </w:rPr>
        <w:noBreakHyphen/>
      </w:r>
      <w:r w:rsidRPr="00283996">
        <w:rPr>
          <w:lang w:val="en-US"/>
        </w:rPr>
        <w:t>leaf updated December 2018, release 34).</w:t>
      </w:r>
    </w:p>
    <w:p w:rsidR="00851D31" w:rsidRPr="007A7F84" w:rsidRDefault="00851D31" w:rsidP="00851D31">
      <w:pPr>
        <w:pStyle w:val="SCCNormalDoubleSpacing"/>
        <w:spacing w:after="240" w:line="240" w:lineRule="auto"/>
        <w:ind w:left="540" w:hanging="540"/>
        <w:rPr>
          <w:lang w:val="fr-CA"/>
        </w:rPr>
      </w:pPr>
      <w:r w:rsidRPr="002035EE">
        <w:rPr>
          <w:rStyle w:val="solexhl"/>
          <w:rFonts w:eastAsiaTheme="majorEastAsia"/>
          <w:i/>
          <w:iCs/>
          <w:lang w:val="fr-CA"/>
        </w:rPr>
        <w:t>Code civil du Québec</w:t>
      </w:r>
      <w:r w:rsidR="00BF10B5" w:rsidRPr="002035EE">
        <w:rPr>
          <w:i/>
          <w:iCs/>
          <w:lang w:val="fr-CA"/>
        </w:rPr>
        <w:t xml:space="preserve">: </w:t>
      </w:r>
      <w:r w:rsidRPr="002035EE">
        <w:rPr>
          <w:rStyle w:val="solexhl"/>
          <w:rFonts w:eastAsiaTheme="majorEastAsia"/>
          <w:i/>
          <w:iCs/>
          <w:lang w:val="fr-CA"/>
        </w:rPr>
        <w:t>Annotations</w:t>
      </w:r>
      <w:r w:rsidR="00BF10B5" w:rsidRPr="002035EE">
        <w:rPr>
          <w:i/>
          <w:iCs/>
          <w:lang w:val="fr-CA"/>
        </w:rPr>
        <w:t xml:space="preserve"> — </w:t>
      </w:r>
      <w:r w:rsidRPr="002035EE">
        <w:rPr>
          <w:rStyle w:val="solexhl"/>
          <w:rFonts w:eastAsiaTheme="majorEastAsia"/>
          <w:i/>
          <w:iCs/>
          <w:lang w:val="fr-CA"/>
        </w:rPr>
        <w:t>Commentaires</w:t>
      </w:r>
      <w:r w:rsidR="00BF10B5" w:rsidRPr="002035EE">
        <w:rPr>
          <w:i/>
          <w:iCs/>
          <w:lang w:val="fr-CA"/>
        </w:rPr>
        <w:t xml:space="preserve"> </w:t>
      </w:r>
      <w:r w:rsidRPr="002035EE">
        <w:rPr>
          <w:i/>
          <w:iCs/>
          <w:lang w:val="fr-CA"/>
        </w:rPr>
        <w:t>2018</w:t>
      </w:r>
      <w:r w:rsidRPr="002035EE">
        <w:rPr>
          <w:i/>
          <w:iCs/>
          <w:lang w:val="fr-CA"/>
        </w:rPr>
        <w:noBreakHyphen/>
        <w:t>2019</w:t>
      </w:r>
      <w:r w:rsidRPr="002035EE">
        <w:rPr>
          <w:lang w:val="fr-CA"/>
        </w:rPr>
        <w:t>, 3</w:t>
      </w:r>
      <w:r w:rsidRPr="002035EE">
        <w:rPr>
          <w:vertAlign w:val="superscript"/>
          <w:lang w:val="fr-CA"/>
        </w:rPr>
        <w:t>e</w:t>
      </w:r>
      <w:r w:rsidR="00BF10B5" w:rsidRPr="002035EE">
        <w:rPr>
          <w:lang w:val="fr-CA"/>
        </w:rPr>
        <w:t xml:space="preserve"> éd. par Benoît </w:t>
      </w:r>
      <w:r w:rsidRPr="002035EE">
        <w:rPr>
          <w:rStyle w:val="solexhl"/>
          <w:rFonts w:eastAsiaTheme="majorEastAsia"/>
          <w:lang w:val="fr-CA"/>
        </w:rPr>
        <w:t>Moore</w:t>
      </w:r>
      <w:r w:rsidRPr="002035EE">
        <w:rPr>
          <w:lang w:val="fr-CA"/>
        </w:rPr>
        <w:t xml:space="preserve">, </w:t>
      </w:r>
      <w:proofErr w:type="spellStart"/>
      <w:proofErr w:type="gramStart"/>
      <w:r w:rsidRPr="002035EE">
        <w:rPr>
          <w:lang w:val="fr-CA"/>
        </w:rPr>
        <w:t>dir</w:t>
      </w:r>
      <w:proofErr w:type="spellEnd"/>
      <w:r w:rsidRPr="002035EE">
        <w:rPr>
          <w:lang w:val="fr-CA"/>
        </w:rPr>
        <w:t>.,</w:t>
      </w:r>
      <w:proofErr w:type="gramEnd"/>
      <w:r w:rsidRPr="002035EE">
        <w:rPr>
          <w:lang w:val="fr-CA"/>
        </w:rPr>
        <w:t xml:space="preserve"> et autres. </w:t>
      </w:r>
      <w:r w:rsidRPr="007A7F84">
        <w:rPr>
          <w:lang w:val="fr-CA"/>
        </w:rPr>
        <w:t>Montréal: Yvon Blais, 2018.</w:t>
      </w:r>
    </w:p>
    <w:p w:rsidR="007E1370" w:rsidRPr="002035EE" w:rsidRDefault="007E1370" w:rsidP="00077E7A">
      <w:pPr>
        <w:pStyle w:val="SCCNormalDoubleSpacing"/>
        <w:spacing w:after="240" w:line="240" w:lineRule="auto"/>
        <w:ind w:left="540" w:hanging="540"/>
        <w:rPr>
          <w:lang w:val="fr-CA"/>
        </w:rPr>
      </w:pPr>
      <w:r w:rsidRPr="002035EE">
        <w:rPr>
          <w:lang w:val="fr-CA"/>
        </w:rPr>
        <w:t>Crépeau, Paul</w:t>
      </w:r>
      <w:r w:rsidR="007E61AD" w:rsidRPr="002035EE">
        <w:rPr>
          <w:lang w:val="fr-CA"/>
        </w:rPr>
        <w:noBreakHyphen/>
      </w:r>
      <w:r w:rsidRPr="002035EE">
        <w:rPr>
          <w:lang w:val="fr-CA"/>
        </w:rPr>
        <w:t xml:space="preserve">André. </w:t>
      </w:r>
      <w:r w:rsidRPr="002035EE">
        <w:rPr>
          <w:i/>
          <w:lang w:val="fr-CA"/>
        </w:rPr>
        <w:t>L</w:t>
      </w:r>
      <w:r w:rsidR="00D75B96" w:rsidRPr="002035EE">
        <w:rPr>
          <w:i/>
          <w:lang w:val="fr-CA"/>
        </w:rPr>
        <w:t>’</w:t>
      </w:r>
      <w:r w:rsidRPr="002035EE">
        <w:rPr>
          <w:i/>
          <w:lang w:val="fr-CA"/>
        </w:rPr>
        <w:t>intensité de l</w:t>
      </w:r>
      <w:r w:rsidR="00D75B96" w:rsidRPr="002035EE">
        <w:rPr>
          <w:i/>
          <w:lang w:val="fr-CA"/>
        </w:rPr>
        <w:t>’</w:t>
      </w:r>
      <w:r w:rsidRPr="002035EE">
        <w:rPr>
          <w:i/>
          <w:lang w:val="fr-CA"/>
        </w:rPr>
        <w:t>obligation juridique ou Des obligations de diligence, de résultat et de garantie</w:t>
      </w:r>
      <w:r w:rsidRPr="002035EE">
        <w:rPr>
          <w:lang w:val="fr-CA"/>
        </w:rPr>
        <w:t>. Montréal: Yvon Blais, 1989.</w:t>
      </w:r>
    </w:p>
    <w:p w:rsidR="00C66DB8" w:rsidRPr="007A7F84" w:rsidRDefault="00C66DB8" w:rsidP="00077E7A">
      <w:pPr>
        <w:pStyle w:val="SCCNormalDoubleSpacing"/>
        <w:spacing w:after="240" w:line="240" w:lineRule="auto"/>
        <w:ind w:left="540" w:hanging="540"/>
        <w:rPr>
          <w:lang w:val="fr-CA"/>
        </w:rPr>
      </w:pPr>
      <w:r w:rsidRPr="002035EE">
        <w:rPr>
          <w:lang w:val="fr-CA"/>
        </w:rPr>
        <w:t xml:space="preserve">Fabien, Claude. </w:t>
      </w:r>
      <w:r w:rsidR="00A03DDE" w:rsidRPr="002035EE">
        <w:rPr>
          <w:lang w:val="fr-CA"/>
        </w:rPr>
        <w:t>“</w:t>
      </w:r>
      <w:r w:rsidRPr="002035EE">
        <w:rPr>
          <w:lang w:val="fr-CA"/>
        </w:rPr>
        <w:t>Les règles du mandat</w:t>
      </w:r>
      <w:r w:rsidR="00A03DDE" w:rsidRPr="002035EE">
        <w:rPr>
          <w:lang w:val="fr-CA"/>
        </w:rPr>
        <w:t>”</w:t>
      </w:r>
      <w:r w:rsidR="00736386" w:rsidRPr="002035EE">
        <w:rPr>
          <w:lang w:val="fr-CA"/>
        </w:rPr>
        <w:t>, dans</w:t>
      </w:r>
      <w:r w:rsidRPr="002035EE">
        <w:rPr>
          <w:i/>
          <w:iCs/>
          <w:lang w:val="fr-CA"/>
        </w:rPr>
        <w:t xml:space="preserve"> Extraits du Répertoire de droit</w:t>
      </w:r>
      <w:r w:rsidRPr="002035EE">
        <w:rPr>
          <w:lang w:val="fr-CA"/>
        </w:rPr>
        <w:t xml:space="preserve">. </w:t>
      </w:r>
      <w:r w:rsidRPr="007A7F84">
        <w:rPr>
          <w:lang w:val="fr-CA"/>
        </w:rPr>
        <w:t>Montréal: Chambre des notaires du Québec</w:t>
      </w:r>
      <w:r w:rsidR="00736386" w:rsidRPr="007A7F84">
        <w:rPr>
          <w:lang w:val="fr-CA"/>
        </w:rPr>
        <w:t>, 1989</w:t>
      </w:r>
      <w:r w:rsidRPr="007A7F84">
        <w:rPr>
          <w:lang w:val="fr-CA"/>
        </w:rPr>
        <w:t>.</w:t>
      </w:r>
    </w:p>
    <w:p w:rsidR="004E0851" w:rsidRPr="002035EE" w:rsidRDefault="004E0851" w:rsidP="00077E7A">
      <w:pPr>
        <w:pStyle w:val="SCCNormalDoubleSpacing"/>
        <w:spacing w:after="240" w:line="240" w:lineRule="auto"/>
        <w:ind w:left="540" w:hanging="540"/>
        <w:rPr>
          <w:lang w:val="fr-CA"/>
        </w:rPr>
      </w:pPr>
      <w:r w:rsidRPr="002035EE">
        <w:rPr>
          <w:lang w:val="fr-CA"/>
        </w:rPr>
        <w:lastRenderedPageBreak/>
        <w:t xml:space="preserve">Fabien, Claude. </w:t>
      </w:r>
      <w:r w:rsidR="00A03DDE" w:rsidRPr="007A7F84">
        <w:rPr>
          <w:lang w:val="fr-CA"/>
        </w:rPr>
        <w:t>“</w:t>
      </w:r>
      <w:r w:rsidR="00C4493A" w:rsidRPr="00562C16">
        <w:rPr>
          <w:lang w:val="fr-CA"/>
        </w:rPr>
        <w:t>Mandate</w:t>
      </w:r>
      <w:r w:rsidR="00A03DDE" w:rsidRPr="00562C16">
        <w:rPr>
          <w:lang w:val="fr-CA"/>
        </w:rPr>
        <w:t>”</w:t>
      </w:r>
      <w:r w:rsidRPr="00562C16">
        <w:rPr>
          <w:lang w:val="fr-CA"/>
        </w:rPr>
        <w:t xml:space="preserve">, </w:t>
      </w:r>
      <w:r w:rsidR="00C4493A" w:rsidRPr="00562C16">
        <w:rPr>
          <w:lang w:val="fr-CA"/>
        </w:rPr>
        <w:t>in</w:t>
      </w:r>
      <w:r w:rsidRPr="00562C16">
        <w:rPr>
          <w:lang w:val="fr-CA"/>
        </w:rPr>
        <w:t xml:space="preserve"> </w:t>
      </w:r>
      <w:proofErr w:type="spellStart"/>
      <w:r w:rsidR="00C4493A" w:rsidRPr="00562C16">
        <w:rPr>
          <w:i/>
          <w:lang w:val="fr-CA"/>
        </w:rPr>
        <w:t>Reform</w:t>
      </w:r>
      <w:proofErr w:type="spellEnd"/>
      <w:r w:rsidR="00C4493A" w:rsidRPr="00562C16">
        <w:rPr>
          <w:i/>
          <w:lang w:val="fr-CA"/>
        </w:rPr>
        <w:t xml:space="preserve"> of the Civil Code</w:t>
      </w:r>
      <w:r w:rsidRPr="00562C16">
        <w:rPr>
          <w:lang w:val="fr-CA"/>
        </w:rPr>
        <w:t xml:space="preserve">, </w:t>
      </w:r>
      <w:r w:rsidR="00C4493A" w:rsidRPr="00562C16">
        <w:rPr>
          <w:lang w:val="fr-CA"/>
        </w:rPr>
        <w:t>vol.</w:t>
      </w:r>
      <w:r w:rsidRPr="00562C16">
        <w:rPr>
          <w:lang w:val="fr-CA"/>
        </w:rPr>
        <w:t xml:space="preserve"> 2, </w:t>
      </w:r>
      <w:r w:rsidRPr="00562C16">
        <w:rPr>
          <w:i/>
          <w:lang w:val="fr-CA"/>
        </w:rPr>
        <w:t>Obligations</w:t>
      </w:r>
      <w:r w:rsidR="00C4493A" w:rsidRPr="00562C16">
        <w:rPr>
          <w:i/>
          <w:lang w:val="fr-CA"/>
        </w:rPr>
        <w:t>, VII, VIII</w:t>
      </w:r>
      <w:r w:rsidRPr="00562C16">
        <w:rPr>
          <w:lang w:val="fr-CA"/>
        </w:rPr>
        <w:t xml:space="preserve">. </w:t>
      </w:r>
      <w:r w:rsidRPr="00562C16">
        <w:rPr>
          <w:lang w:val="en-US"/>
        </w:rPr>
        <w:t>T</w:t>
      </w:r>
      <w:r w:rsidR="00C4493A" w:rsidRPr="00562C16">
        <w:rPr>
          <w:lang w:val="en-US"/>
        </w:rPr>
        <w:t xml:space="preserve">ranslated by Susan </w:t>
      </w:r>
      <w:proofErr w:type="spellStart"/>
      <w:r w:rsidR="00C4493A" w:rsidRPr="00562C16">
        <w:rPr>
          <w:lang w:val="en-US"/>
        </w:rPr>
        <w:t>Altschul</w:t>
      </w:r>
      <w:proofErr w:type="spellEnd"/>
      <w:r w:rsidR="00C4493A" w:rsidRPr="00562C16">
        <w:rPr>
          <w:lang w:val="en-US"/>
        </w:rPr>
        <w:t xml:space="preserve">.  Texts written for </w:t>
      </w:r>
      <w:proofErr w:type="spellStart"/>
      <w:r w:rsidRPr="00562C16">
        <w:rPr>
          <w:lang w:val="en-US"/>
        </w:rPr>
        <w:t>Barreau</w:t>
      </w:r>
      <w:proofErr w:type="spellEnd"/>
      <w:r w:rsidRPr="00562C16">
        <w:rPr>
          <w:lang w:val="en-US"/>
        </w:rPr>
        <w:t xml:space="preserve"> du Québec </w:t>
      </w:r>
      <w:r w:rsidR="00C4493A" w:rsidRPr="00562C16">
        <w:rPr>
          <w:lang w:val="en-US"/>
        </w:rPr>
        <w:t>and the</w:t>
      </w:r>
      <w:r w:rsidRPr="00562C16">
        <w:rPr>
          <w:lang w:val="en-US"/>
        </w:rPr>
        <w:t xml:space="preserve"> </w:t>
      </w:r>
      <w:proofErr w:type="spellStart"/>
      <w:r w:rsidRPr="00562C16">
        <w:rPr>
          <w:lang w:val="en-US"/>
        </w:rPr>
        <w:t>Chambre</w:t>
      </w:r>
      <w:proofErr w:type="spellEnd"/>
      <w:r w:rsidRPr="00562C16">
        <w:rPr>
          <w:lang w:val="en-US"/>
        </w:rPr>
        <w:t xml:space="preserve"> des </w:t>
      </w:r>
      <w:proofErr w:type="spellStart"/>
      <w:r w:rsidRPr="00562C16">
        <w:rPr>
          <w:lang w:val="en-US"/>
        </w:rPr>
        <w:t>notaires</w:t>
      </w:r>
      <w:proofErr w:type="spellEnd"/>
      <w:r w:rsidRPr="00562C16">
        <w:rPr>
          <w:lang w:val="en-US"/>
        </w:rPr>
        <w:t xml:space="preserve"> du Québec. </w:t>
      </w:r>
      <w:r w:rsidR="00C4493A" w:rsidRPr="00562C16">
        <w:rPr>
          <w:lang w:val="fr-CA"/>
        </w:rPr>
        <w:t>Montréal : Barreau du Québec</w:t>
      </w:r>
      <w:r w:rsidRPr="00562C16">
        <w:rPr>
          <w:lang w:val="fr-CA"/>
        </w:rPr>
        <w:t xml:space="preserve">, 1993, </w:t>
      </w:r>
      <w:r w:rsidR="00C4493A" w:rsidRPr="00562C16">
        <w:rPr>
          <w:lang w:val="fr-CA"/>
        </w:rPr>
        <w:t>2</w:t>
      </w:r>
      <w:r w:rsidRPr="00562C16">
        <w:rPr>
          <w:lang w:val="fr-CA"/>
        </w:rPr>
        <w:t>.</w:t>
      </w:r>
    </w:p>
    <w:p w:rsidR="00B96543" w:rsidRPr="00C4493A" w:rsidRDefault="003643E6" w:rsidP="00077E7A">
      <w:pPr>
        <w:pStyle w:val="SCCNormalDoubleSpacing"/>
        <w:spacing w:after="240" w:line="240" w:lineRule="auto"/>
        <w:ind w:left="540" w:hanging="540"/>
        <w:rPr>
          <w:lang w:val="fr-CA"/>
        </w:rPr>
      </w:pPr>
      <w:r w:rsidRPr="002035EE">
        <w:rPr>
          <w:lang w:val="fr-CA"/>
        </w:rPr>
        <w:t xml:space="preserve">Garant, Patrice. </w:t>
      </w:r>
      <w:r w:rsidR="00B96543" w:rsidRPr="002035EE">
        <w:rPr>
          <w:i/>
          <w:iCs/>
          <w:lang w:val="fr-CA"/>
        </w:rPr>
        <w:t>Droit administratif</w:t>
      </w:r>
      <w:r w:rsidR="00B96543" w:rsidRPr="002035EE">
        <w:rPr>
          <w:lang w:val="fr-CA"/>
        </w:rPr>
        <w:t>, 7</w:t>
      </w:r>
      <w:r w:rsidR="00B96543" w:rsidRPr="002035EE">
        <w:rPr>
          <w:vertAlign w:val="superscript"/>
          <w:lang w:val="fr-CA"/>
        </w:rPr>
        <w:t>e</w:t>
      </w:r>
      <w:r w:rsidR="00B96543" w:rsidRPr="002035EE">
        <w:rPr>
          <w:lang w:val="fr-CA"/>
        </w:rPr>
        <w:t xml:space="preserve"> éd. </w:t>
      </w:r>
      <w:r w:rsidR="00B96543" w:rsidRPr="00C4493A">
        <w:rPr>
          <w:lang w:val="fr-CA"/>
        </w:rPr>
        <w:t>Montréal: Yvon Blais, 2017.</w:t>
      </w:r>
    </w:p>
    <w:p w:rsidR="00ED3F72" w:rsidRPr="002035EE" w:rsidRDefault="00ED3F72" w:rsidP="00077E7A">
      <w:pPr>
        <w:pStyle w:val="SCCNormalDoubleSpacing"/>
        <w:spacing w:after="240" w:line="240" w:lineRule="auto"/>
        <w:ind w:left="540" w:hanging="540"/>
        <w:rPr>
          <w:lang w:val="fr-CA"/>
        </w:rPr>
      </w:pPr>
      <w:proofErr w:type="spellStart"/>
      <w:r w:rsidRPr="002035EE">
        <w:rPr>
          <w:rStyle w:val="solexhl"/>
          <w:rFonts w:eastAsiaTheme="majorEastAsia"/>
          <w:lang w:val="fr-CA"/>
        </w:rPr>
        <w:t>Hétu</w:t>
      </w:r>
      <w:proofErr w:type="spellEnd"/>
      <w:r w:rsidRPr="002035EE">
        <w:rPr>
          <w:lang w:val="fr-CA"/>
        </w:rPr>
        <w:t>,</w:t>
      </w:r>
      <w:r w:rsidR="003643E6" w:rsidRPr="002035EE">
        <w:rPr>
          <w:lang w:val="fr-CA"/>
        </w:rPr>
        <w:t xml:space="preserve"> </w:t>
      </w:r>
      <w:r w:rsidRPr="002035EE">
        <w:rPr>
          <w:rStyle w:val="solexhl"/>
          <w:rFonts w:eastAsiaTheme="majorEastAsia"/>
          <w:lang w:val="fr-CA"/>
        </w:rPr>
        <w:t>Jean</w:t>
      </w:r>
      <w:r w:rsidRPr="002035EE">
        <w:rPr>
          <w:lang w:val="fr-CA"/>
        </w:rPr>
        <w:t>, et Yvon Duplessis, avec l</w:t>
      </w:r>
      <w:r w:rsidR="003643E6" w:rsidRPr="002035EE">
        <w:rPr>
          <w:lang w:val="fr-CA"/>
        </w:rPr>
        <w:t>a c</w:t>
      </w:r>
      <w:r w:rsidR="00411BA3" w:rsidRPr="002035EE">
        <w:rPr>
          <w:lang w:val="fr-CA"/>
        </w:rPr>
        <w:t>ollaboration de Lise Vézina.</w:t>
      </w:r>
      <w:r w:rsidR="003643E6" w:rsidRPr="002035EE">
        <w:rPr>
          <w:lang w:val="fr-CA"/>
        </w:rPr>
        <w:t xml:space="preserve"> </w:t>
      </w:r>
      <w:r w:rsidRPr="002035EE">
        <w:rPr>
          <w:i/>
          <w:iCs/>
          <w:lang w:val="fr-CA"/>
        </w:rPr>
        <w:t>Droit municipal</w:t>
      </w:r>
      <w:r w:rsidR="007E61AD" w:rsidRPr="002035EE">
        <w:rPr>
          <w:i/>
          <w:iCs/>
          <w:lang w:val="fr-CA"/>
        </w:rPr>
        <w:t>:</w:t>
      </w:r>
      <w:r w:rsidRPr="002035EE">
        <w:rPr>
          <w:i/>
          <w:iCs/>
          <w:lang w:val="fr-CA"/>
        </w:rPr>
        <w:t xml:space="preserve"> Principes généraux et contentieux</w:t>
      </w:r>
      <w:r w:rsidRPr="002035EE">
        <w:rPr>
          <w:lang w:val="fr-CA"/>
        </w:rPr>
        <w:t xml:space="preserve">, </w:t>
      </w:r>
      <w:r w:rsidR="007E61AD" w:rsidRPr="002035EE">
        <w:rPr>
          <w:lang w:val="fr-CA"/>
        </w:rPr>
        <w:t>vol. </w:t>
      </w:r>
      <w:r w:rsidRPr="002035EE">
        <w:rPr>
          <w:lang w:val="fr-CA"/>
        </w:rPr>
        <w:t>1, 2</w:t>
      </w:r>
      <w:r w:rsidRPr="002035EE">
        <w:rPr>
          <w:vertAlign w:val="superscript"/>
          <w:lang w:val="fr-CA"/>
        </w:rPr>
        <w:t>e</w:t>
      </w:r>
      <w:r w:rsidRPr="002035EE">
        <w:rPr>
          <w:lang w:val="fr-CA"/>
        </w:rPr>
        <w:t xml:space="preserve"> éd. Brossard, Que.: </w:t>
      </w:r>
      <w:proofErr w:type="spellStart"/>
      <w:r w:rsidRPr="002035EE">
        <w:rPr>
          <w:lang w:val="fr-CA"/>
        </w:rPr>
        <w:t>Wolters</w:t>
      </w:r>
      <w:proofErr w:type="spellEnd"/>
      <w:r w:rsidRPr="002035EE">
        <w:rPr>
          <w:lang w:val="fr-CA"/>
        </w:rPr>
        <w:t xml:space="preserve"> Kluwer, 2002 (feuilles mobiles mises à jour janvier 2019).</w:t>
      </w:r>
    </w:p>
    <w:p w:rsidR="007E1370" w:rsidRPr="007A7F84" w:rsidRDefault="007E1370" w:rsidP="00077E7A">
      <w:pPr>
        <w:pStyle w:val="SCCNormalDoubleSpacing"/>
        <w:spacing w:after="240" w:line="240" w:lineRule="auto"/>
        <w:ind w:left="540" w:hanging="540"/>
        <w:rPr>
          <w:lang w:val="fr-CA"/>
        </w:rPr>
      </w:pPr>
      <w:proofErr w:type="spellStart"/>
      <w:r w:rsidRPr="002035EE">
        <w:rPr>
          <w:lang w:val="fr-CA"/>
        </w:rPr>
        <w:t>Jobin</w:t>
      </w:r>
      <w:proofErr w:type="spellEnd"/>
      <w:r w:rsidRPr="002035EE">
        <w:rPr>
          <w:lang w:val="fr-CA"/>
        </w:rPr>
        <w:t>, Pierre</w:t>
      </w:r>
      <w:r w:rsidR="007E61AD" w:rsidRPr="002035EE">
        <w:rPr>
          <w:lang w:val="fr-CA"/>
        </w:rPr>
        <w:noBreakHyphen/>
      </w:r>
      <w:r w:rsidRPr="002035EE">
        <w:rPr>
          <w:lang w:val="fr-CA"/>
        </w:rPr>
        <w:t>Gabriel. “La violation d</w:t>
      </w:r>
      <w:r w:rsidR="00D75B96" w:rsidRPr="002035EE">
        <w:rPr>
          <w:lang w:val="fr-CA"/>
        </w:rPr>
        <w:t>’</w:t>
      </w:r>
      <w:r w:rsidRPr="002035EE">
        <w:rPr>
          <w:lang w:val="fr-CA"/>
        </w:rPr>
        <w:t>une loi ou d</w:t>
      </w:r>
      <w:r w:rsidR="00D75B96" w:rsidRPr="002035EE">
        <w:rPr>
          <w:lang w:val="fr-CA"/>
        </w:rPr>
        <w:t>’</w:t>
      </w:r>
      <w:r w:rsidRPr="002035EE">
        <w:rPr>
          <w:lang w:val="fr-CA"/>
        </w:rPr>
        <w:t>un règlement entraîne</w:t>
      </w:r>
      <w:r w:rsidR="007E61AD" w:rsidRPr="002035EE">
        <w:rPr>
          <w:lang w:val="fr-CA"/>
        </w:rPr>
        <w:noBreakHyphen/>
      </w:r>
      <w:r w:rsidRPr="002035EE">
        <w:rPr>
          <w:lang w:val="fr-CA"/>
        </w:rPr>
        <w:t>t</w:t>
      </w:r>
      <w:r w:rsidR="007E61AD" w:rsidRPr="002035EE">
        <w:rPr>
          <w:lang w:val="fr-CA"/>
        </w:rPr>
        <w:noBreakHyphen/>
      </w:r>
      <w:r w:rsidRPr="002035EE">
        <w:rPr>
          <w:lang w:val="fr-CA"/>
        </w:rPr>
        <w:t xml:space="preserve">elle la responsabilité civile?” </w:t>
      </w:r>
      <w:r w:rsidRPr="007A7F84">
        <w:rPr>
          <w:lang w:val="fr-CA"/>
        </w:rPr>
        <w:t xml:space="preserve">(1984), 44 </w:t>
      </w:r>
      <w:r w:rsidRPr="007A7F84">
        <w:rPr>
          <w:i/>
          <w:lang w:val="fr-CA"/>
        </w:rPr>
        <w:t>R. du B.</w:t>
      </w:r>
      <w:r w:rsidRPr="007A7F84">
        <w:rPr>
          <w:lang w:val="fr-CA"/>
        </w:rPr>
        <w:t xml:space="preserve"> 222.</w:t>
      </w:r>
    </w:p>
    <w:p w:rsidR="00E25171" w:rsidRPr="002035EE" w:rsidRDefault="00E25171" w:rsidP="00077E7A">
      <w:pPr>
        <w:pStyle w:val="SCCNormalDoubleSpacing"/>
        <w:spacing w:after="240" w:line="240" w:lineRule="auto"/>
        <w:ind w:left="540" w:hanging="540"/>
        <w:rPr>
          <w:lang w:val="fr-CA"/>
        </w:rPr>
      </w:pPr>
      <w:proofErr w:type="spellStart"/>
      <w:r w:rsidRPr="002035EE">
        <w:rPr>
          <w:lang w:val="fr-CA"/>
        </w:rPr>
        <w:t>Jobin</w:t>
      </w:r>
      <w:proofErr w:type="spellEnd"/>
      <w:r w:rsidR="007E61AD" w:rsidRPr="002035EE">
        <w:rPr>
          <w:lang w:val="fr-CA"/>
        </w:rPr>
        <w:noBreakHyphen/>
      </w:r>
      <w:r w:rsidRPr="002035EE">
        <w:rPr>
          <w:lang w:val="fr-CA"/>
        </w:rPr>
        <w:t>Laberge, Odette. “Norme, infraction et faute civile”, dans Ser</w:t>
      </w:r>
      <w:r w:rsidR="004B2708" w:rsidRPr="002035EE">
        <w:rPr>
          <w:lang w:val="fr-CA"/>
        </w:rPr>
        <w:t>vice de la formation permanente</w:t>
      </w:r>
      <w:r w:rsidR="00CD2854" w:rsidRPr="002035EE">
        <w:rPr>
          <w:lang w:val="fr-CA"/>
        </w:rPr>
        <w:t xml:space="preserve"> </w:t>
      </w:r>
      <w:r w:rsidR="00981263" w:rsidRPr="002035EE">
        <w:rPr>
          <w:i/>
          <w:iCs/>
          <w:lang w:val="fr-CA"/>
        </w:rPr>
        <w:t>—</w:t>
      </w:r>
      <w:r w:rsidR="00CD2854" w:rsidRPr="002035EE">
        <w:rPr>
          <w:i/>
          <w:iCs/>
          <w:lang w:val="fr-CA"/>
        </w:rPr>
        <w:t xml:space="preserve"> </w:t>
      </w:r>
      <w:r w:rsidRPr="002035EE">
        <w:rPr>
          <w:lang w:val="fr-CA"/>
        </w:rPr>
        <w:t xml:space="preserve">Barreau du Québec, </w:t>
      </w:r>
      <w:r w:rsidR="007E61AD" w:rsidRPr="002035EE">
        <w:rPr>
          <w:lang w:val="fr-CA"/>
        </w:rPr>
        <w:t>vol. </w:t>
      </w:r>
      <w:r w:rsidRPr="002035EE">
        <w:rPr>
          <w:lang w:val="fr-CA"/>
        </w:rPr>
        <w:t xml:space="preserve">137, </w:t>
      </w:r>
      <w:r w:rsidRPr="002035EE">
        <w:rPr>
          <w:i/>
          <w:lang w:val="fr-CA"/>
        </w:rPr>
        <w:t>Développements récents en déontologie, droit professionnel et disciplinaire</w:t>
      </w:r>
      <w:r w:rsidRPr="002035EE">
        <w:rPr>
          <w:lang w:val="fr-CA"/>
        </w:rPr>
        <w:t xml:space="preserve">. </w:t>
      </w:r>
      <w:proofErr w:type="spellStart"/>
      <w:r w:rsidRPr="002035EE">
        <w:rPr>
          <w:lang w:val="fr-CA"/>
        </w:rPr>
        <w:t>Cowansville</w:t>
      </w:r>
      <w:proofErr w:type="spellEnd"/>
      <w:r w:rsidRPr="002035EE">
        <w:rPr>
          <w:lang w:val="fr-CA"/>
        </w:rPr>
        <w:t>, Que.: Yvon Blais, 2000, 31.</w:t>
      </w:r>
    </w:p>
    <w:p w:rsidR="007E1370" w:rsidRPr="002035EE" w:rsidRDefault="00657EAA" w:rsidP="00077E7A">
      <w:pPr>
        <w:pStyle w:val="SCCNormalDoubleSpacing"/>
        <w:spacing w:after="240" w:line="240" w:lineRule="auto"/>
        <w:rPr>
          <w:lang w:val="fr-CA"/>
        </w:rPr>
      </w:pPr>
      <w:r w:rsidRPr="002035EE">
        <w:rPr>
          <w:lang w:val="fr-CA"/>
        </w:rPr>
        <w:t xml:space="preserve">Karim, Vincent. </w:t>
      </w:r>
      <w:r w:rsidR="007E1370" w:rsidRPr="002035EE">
        <w:rPr>
          <w:i/>
          <w:iCs/>
          <w:lang w:val="fr-CA"/>
        </w:rPr>
        <w:t>Les obligations</w:t>
      </w:r>
      <w:r w:rsidRPr="002035EE">
        <w:rPr>
          <w:lang w:val="fr-CA"/>
        </w:rPr>
        <w:t xml:space="preserve">, </w:t>
      </w:r>
      <w:r w:rsidR="007E61AD" w:rsidRPr="002035EE">
        <w:rPr>
          <w:rStyle w:val="solexhl"/>
          <w:rFonts w:eastAsiaTheme="majorEastAsia"/>
          <w:lang w:val="fr-CA"/>
        </w:rPr>
        <w:t>vol. </w:t>
      </w:r>
      <w:r w:rsidR="007E1370" w:rsidRPr="002035EE">
        <w:rPr>
          <w:rStyle w:val="solexhl"/>
          <w:rFonts w:eastAsiaTheme="majorEastAsia"/>
          <w:lang w:val="fr-CA"/>
        </w:rPr>
        <w:t>1</w:t>
      </w:r>
      <w:r w:rsidR="007E1370" w:rsidRPr="002035EE">
        <w:rPr>
          <w:lang w:val="fr-CA"/>
        </w:rPr>
        <w:t>, 4</w:t>
      </w:r>
      <w:r w:rsidR="007E1370" w:rsidRPr="002035EE">
        <w:rPr>
          <w:vertAlign w:val="superscript"/>
          <w:lang w:val="fr-CA"/>
        </w:rPr>
        <w:t>e</w:t>
      </w:r>
      <w:r w:rsidR="007E1370" w:rsidRPr="002035EE">
        <w:rPr>
          <w:lang w:val="fr-CA"/>
        </w:rPr>
        <w:t> éd. Montréal: Wilson &amp; Lafleur, 2015.</w:t>
      </w:r>
    </w:p>
    <w:p w:rsidR="003E73CA" w:rsidRPr="007A7F84" w:rsidRDefault="003E73CA" w:rsidP="003E73CA">
      <w:pPr>
        <w:pStyle w:val="SCCNormalDoubleSpacing"/>
        <w:spacing w:after="240" w:line="240" w:lineRule="auto"/>
        <w:ind w:left="540" w:hanging="540"/>
        <w:rPr>
          <w:lang w:val="fr-CA"/>
        </w:rPr>
      </w:pPr>
      <w:r w:rsidRPr="002035EE">
        <w:rPr>
          <w:lang w:val="fr-CA"/>
        </w:rPr>
        <w:t xml:space="preserve">Lacroix, </w:t>
      </w:r>
      <w:proofErr w:type="spellStart"/>
      <w:r w:rsidRPr="002035EE">
        <w:rPr>
          <w:lang w:val="fr-CA"/>
        </w:rPr>
        <w:t>Mariève</w:t>
      </w:r>
      <w:proofErr w:type="spellEnd"/>
      <w:r w:rsidRPr="002035EE">
        <w:rPr>
          <w:lang w:val="fr-CA"/>
        </w:rPr>
        <w:t xml:space="preserve">. “Le fait générateur de responsabilité civile extracontractuelle personnelle: </w:t>
      </w:r>
      <w:r w:rsidRPr="002035EE">
        <w:rPr>
          <w:i/>
          <w:lang w:val="fr-CA"/>
        </w:rPr>
        <w:t xml:space="preserve">continuum </w:t>
      </w:r>
      <w:r w:rsidRPr="002035EE">
        <w:rPr>
          <w:lang w:val="fr-CA"/>
        </w:rPr>
        <w:t xml:space="preserve">de l’illicéité à la faute simple, au regard de l’article 1457 </w:t>
      </w:r>
      <w:proofErr w:type="spellStart"/>
      <w:r w:rsidRPr="002035EE">
        <w:rPr>
          <w:lang w:val="fr-CA"/>
        </w:rPr>
        <w:t>C.c.Q</w:t>
      </w:r>
      <w:proofErr w:type="spellEnd"/>
      <w:r w:rsidRPr="002035EE">
        <w:rPr>
          <w:lang w:val="fr-CA"/>
        </w:rPr>
        <w:t xml:space="preserve">.” </w:t>
      </w:r>
      <w:r w:rsidRPr="007A7F84">
        <w:rPr>
          <w:lang w:val="fr-CA"/>
        </w:rPr>
        <w:t xml:space="preserve">(2012), 46 </w:t>
      </w:r>
      <w:r w:rsidRPr="007A7F84">
        <w:rPr>
          <w:i/>
          <w:lang w:val="fr-CA"/>
        </w:rPr>
        <w:t xml:space="preserve">R.J.T. </w:t>
      </w:r>
      <w:r w:rsidRPr="007A7F84">
        <w:rPr>
          <w:lang w:val="fr-CA"/>
        </w:rPr>
        <w:t>25.</w:t>
      </w:r>
    </w:p>
    <w:p w:rsidR="009034D6" w:rsidRPr="002035EE" w:rsidRDefault="009034D6" w:rsidP="00077E7A">
      <w:pPr>
        <w:pStyle w:val="SCCNormalDoubleSpacing"/>
        <w:spacing w:after="240" w:line="240" w:lineRule="auto"/>
        <w:ind w:left="540" w:hanging="540"/>
        <w:rPr>
          <w:lang w:val="fr-CA"/>
        </w:rPr>
      </w:pPr>
      <w:r w:rsidRPr="002035EE">
        <w:rPr>
          <w:lang w:val="fr-CA"/>
        </w:rPr>
        <w:t xml:space="preserve">Lacroix, </w:t>
      </w:r>
      <w:proofErr w:type="spellStart"/>
      <w:r w:rsidRPr="002035EE">
        <w:rPr>
          <w:lang w:val="fr-CA"/>
        </w:rPr>
        <w:t>Mariève</w:t>
      </w:r>
      <w:proofErr w:type="spellEnd"/>
      <w:r w:rsidRPr="002035EE">
        <w:rPr>
          <w:lang w:val="fr-CA"/>
        </w:rPr>
        <w:t xml:space="preserve">. </w:t>
      </w:r>
      <w:r w:rsidRPr="002035EE">
        <w:rPr>
          <w:i/>
          <w:lang w:val="fr-CA"/>
        </w:rPr>
        <w:t>L</w:t>
      </w:r>
      <w:r w:rsidR="00D75B96" w:rsidRPr="002035EE">
        <w:rPr>
          <w:i/>
          <w:lang w:val="fr-CA"/>
        </w:rPr>
        <w:t>’</w:t>
      </w:r>
      <w:r w:rsidRPr="002035EE">
        <w:rPr>
          <w:i/>
          <w:lang w:val="fr-CA"/>
        </w:rPr>
        <w:t>illicéité</w:t>
      </w:r>
      <w:r w:rsidR="007E61AD" w:rsidRPr="002035EE">
        <w:rPr>
          <w:i/>
          <w:lang w:val="fr-CA"/>
        </w:rPr>
        <w:t>:</w:t>
      </w:r>
      <w:r w:rsidRPr="002035EE">
        <w:rPr>
          <w:i/>
          <w:lang w:val="fr-CA"/>
        </w:rPr>
        <w:t xml:space="preserve"> Essai théorique et comparatif en matière de responsabilité civile extracontractuelle pour le fait personnel</w:t>
      </w:r>
      <w:r w:rsidRPr="002035EE">
        <w:rPr>
          <w:lang w:val="fr-CA"/>
        </w:rPr>
        <w:t xml:space="preserve">. </w:t>
      </w:r>
      <w:proofErr w:type="spellStart"/>
      <w:r w:rsidRPr="002035EE">
        <w:rPr>
          <w:lang w:val="fr-CA"/>
        </w:rPr>
        <w:t>Cowansville</w:t>
      </w:r>
      <w:proofErr w:type="spellEnd"/>
      <w:r w:rsidRPr="002035EE">
        <w:rPr>
          <w:lang w:val="fr-CA"/>
        </w:rPr>
        <w:t>, Que.: Yvon Blais, 2013.</w:t>
      </w:r>
    </w:p>
    <w:p w:rsidR="007E1370" w:rsidRPr="007A7F84" w:rsidRDefault="007E1370" w:rsidP="00077E7A">
      <w:pPr>
        <w:pStyle w:val="SCCNormalDoubleSpacing"/>
        <w:spacing w:after="240" w:line="240" w:lineRule="auto"/>
        <w:ind w:left="540" w:hanging="540"/>
        <w:rPr>
          <w:iCs/>
          <w:lang w:val="fr-CA"/>
        </w:rPr>
      </w:pPr>
      <w:r w:rsidRPr="002035EE">
        <w:rPr>
          <w:lang w:val="fr-CA"/>
        </w:rPr>
        <w:t xml:space="preserve">Lacroix, </w:t>
      </w:r>
      <w:proofErr w:type="spellStart"/>
      <w:r w:rsidRPr="002035EE">
        <w:rPr>
          <w:lang w:val="fr-CA"/>
        </w:rPr>
        <w:t>Mariève</w:t>
      </w:r>
      <w:proofErr w:type="spellEnd"/>
      <w:r w:rsidRPr="002035EE">
        <w:rPr>
          <w:lang w:val="fr-CA"/>
        </w:rPr>
        <w:t xml:space="preserve">. “Responsabilité civile des forces policières”, dans </w:t>
      </w:r>
      <w:proofErr w:type="spellStart"/>
      <w:r w:rsidRPr="002035EE">
        <w:rPr>
          <w:i/>
          <w:lang w:val="fr-CA"/>
        </w:rPr>
        <w:t>JurisClasseur</w:t>
      </w:r>
      <w:proofErr w:type="spellEnd"/>
      <w:r w:rsidRPr="002035EE">
        <w:rPr>
          <w:i/>
          <w:lang w:val="fr-CA"/>
        </w:rPr>
        <w:t xml:space="preserve"> Québec</w:t>
      </w:r>
      <w:r w:rsidRPr="002035EE">
        <w:rPr>
          <w:i/>
          <w:iCs/>
          <w:lang w:val="fr-CA"/>
        </w:rPr>
        <w:t xml:space="preserve"> — Responsabilité professionnelle</w:t>
      </w:r>
      <w:r w:rsidRPr="002035EE">
        <w:rPr>
          <w:iCs/>
          <w:lang w:val="fr-CA"/>
        </w:rPr>
        <w:t xml:space="preserve">, par Anne Bélanger, </w:t>
      </w:r>
      <w:proofErr w:type="spellStart"/>
      <w:r w:rsidRPr="002035EE">
        <w:rPr>
          <w:iCs/>
          <w:lang w:val="fr-CA"/>
        </w:rPr>
        <w:t>dir</w:t>
      </w:r>
      <w:proofErr w:type="spellEnd"/>
      <w:r w:rsidRPr="002035EE">
        <w:rPr>
          <w:iCs/>
          <w:lang w:val="fr-CA"/>
        </w:rPr>
        <w:t xml:space="preserve">. </w:t>
      </w:r>
      <w:r w:rsidRPr="007A7F84">
        <w:rPr>
          <w:iCs/>
          <w:lang w:val="fr-CA"/>
        </w:rPr>
        <w:t xml:space="preserve">Montréal: </w:t>
      </w:r>
      <w:proofErr w:type="spellStart"/>
      <w:r w:rsidRPr="007A7F84">
        <w:rPr>
          <w:iCs/>
          <w:lang w:val="fr-CA"/>
        </w:rPr>
        <w:t>LexisNexis</w:t>
      </w:r>
      <w:proofErr w:type="spellEnd"/>
      <w:r w:rsidRPr="007A7F84">
        <w:rPr>
          <w:iCs/>
          <w:lang w:val="fr-CA"/>
        </w:rPr>
        <w:t>, 2015, fascicule 13.</w:t>
      </w:r>
    </w:p>
    <w:p w:rsidR="007E1370" w:rsidRPr="002035EE" w:rsidRDefault="007E1370" w:rsidP="00077E7A">
      <w:pPr>
        <w:pStyle w:val="SCCNormalDoubleSpacing"/>
        <w:spacing w:after="240" w:line="240" w:lineRule="auto"/>
        <w:ind w:left="540" w:hanging="540"/>
        <w:rPr>
          <w:lang w:val="fr-CA"/>
        </w:rPr>
      </w:pPr>
      <w:r w:rsidRPr="002035EE">
        <w:rPr>
          <w:lang w:val="fr-CA"/>
        </w:rPr>
        <w:t>Massé, Chantale. “</w:t>
      </w:r>
      <w:r w:rsidR="00C141CE" w:rsidRPr="002035EE">
        <w:rPr>
          <w:lang w:val="fr-CA"/>
        </w:rPr>
        <w:t>Chronique —</w:t>
      </w:r>
      <w:r w:rsidRPr="002035EE">
        <w:rPr>
          <w:lang w:val="fr-CA"/>
        </w:rPr>
        <w:t xml:space="preserve"> Arrestation illégale et brutalité policière</w:t>
      </w:r>
      <w:r w:rsidR="007E61AD" w:rsidRPr="002035EE">
        <w:rPr>
          <w:lang w:val="fr-CA"/>
        </w:rPr>
        <w:t>:</w:t>
      </w:r>
      <w:r w:rsidRPr="002035EE">
        <w:rPr>
          <w:lang w:val="fr-CA"/>
        </w:rPr>
        <w:t xml:space="preserve"> dans quelles circonstances la responsabilité des policiers peut</w:t>
      </w:r>
      <w:r w:rsidR="007E61AD" w:rsidRPr="002035EE">
        <w:rPr>
          <w:lang w:val="fr-CA"/>
        </w:rPr>
        <w:noBreakHyphen/>
      </w:r>
      <w:r w:rsidR="00B716FB" w:rsidRPr="002035EE">
        <w:rPr>
          <w:lang w:val="fr-CA"/>
        </w:rPr>
        <w:t>elle être engagée</w:t>
      </w:r>
      <w:r w:rsidRPr="002035EE">
        <w:rPr>
          <w:lang w:val="fr-CA"/>
        </w:rPr>
        <w:t xml:space="preserve">?”, </w:t>
      </w:r>
      <w:r w:rsidRPr="002035EE">
        <w:rPr>
          <w:i/>
          <w:lang w:val="fr-CA"/>
        </w:rPr>
        <w:t>Repères</w:t>
      </w:r>
      <w:r w:rsidRPr="002035EE">
        <w:rPr>
          <w:lang w:val="fr-CA"/>
        </w:rPr>
        <w:t>, mai 2013 (</w:t>
      </w:r>
      <w:proofErr w:type="spellStart"/>
      <w:r w:rsidRPr="002035EE">
        <w:rPr>
          <w:lang w:val="fr-CA"/>
        </w:rPr>
        <w:t>available</w:t>
      </w:r>
      <w:proofErr w:type="spellEnd"/>
      <w:r w:rsidRPr="002035EE">
        <w:rPr>
          <w:lang w:val="fr-CA"/>
        </w:rPr>
        <w:t xml:space="preserve"> </w:t>
      </w:r>
      <w:r w:rsidR="00D2350F">
        <w:rPr>
          <w:lang w:val="fr-CA"/>
        </w:rPr>
        <w:t xml:space="preserve">on </w:t>
      </w:r>
      <w:r w:rsidRPr="002035EE">
        <w:rPr>
          <w:lang w:val="fr-CA"/>
        </w:rPr>
        <w:t>La référence).</w:t>
      </w:r>
    </w:p>
    <w:p w:rsidR="00B361A7" w:rsidRPr="00283996" w:rsidRDefault="00B361A7" w:rsidP="00077E7A">
      <w:pPr>
        <w:pStyle w:val="SCCNormalDoubleSpacing"/>
        <w:spacing w:after="240" w:line="240" w:lineRule="auto"/>
        <w:ind w:left="540" w:hanging="540"/>
        <w:rPr>
          <w:lang w:val="en-US"/>
        </w:rPr>
      </w:pPr>
      <w:r w:rsidRPr="002035EE">
        <w:rPr>
          <w:lang w:val="fr-CA"/>
        </w:rPr>
        <w:t>Nadeau, Alain</w:t>
      </w:r>
      <w:r w:rsidR="007E61AD" w:rsidRPr="002035EE">
        <w:rPr>
          <w:lang w:val="fr-CA"/>
        </w:rPr>
        <w:noBreakHyphen/>
      </w:r>
      <w:r w:rsidRPr="002035EE">
        <w:rPr>
          <w:lang w:val="fr-CA"/>
        </w:rPr>
        <w:t xml:space="preserve">Robert. </w:t>
      </w:r>
      <w:r w:rsidRPr="002035EE">
        <w:rPr>
          <w:i/>
          <w:lang w:val="fr-CA"/>
        </w:rPr>
        <w:t>Droit policier: Loi sur la police annotée et règlements concernant la police</w:t>
      </w:r>
      <w:r w:rsidRPr="002035EE">
        <w:rPr>
          <w:lang w:val="fr-CA"/>
        </w:rPr>
        <w:t>, 12</w:t>
      </w:r>
      <w:r w:rsidRPr="002035EE">
        <w:rPr>
          <w:vertAlign w:val="superscript"/>
          <w:lang w:val="fr-CA"/>
        </w:rPr>
        <w:t>e</w:t>
      </w:r>
      <w:r w:rsidRPr="002035EE">
        <w:rPr>
          <w:lang w:val="fr-CA"/>
        </w:rPr>
        <w:t xml:space="preserve"> éd. </w:t>
      </w:r>
      <w:proofErr w:type="spellStart"/>
      <w:r w:rsidRPr="00283996">
        <w:rPr>
          <w:lang w:val="en-US"/>
        </w:rPr>
        <w:t>Cowansville</w:t>
      </w:r>
      <w:proofErr w:type="spellEnd"/>
      <w:r w:rsidRPr="00283996">
        <w:rPr>
          <w:lang w:val="en-US"/>
        </w:rPr>
        <w:t xml:space="preserve">, Que.: </w:t>
      </w:r>
      <w:proofErr w:type="spellStart"/>
      <w:r w:rsidRPr="00283996">
        <w:rPr>
          <w:lang w:val="en-US"/>
        </w:rPr>
        <w:t>Yvon</w:t>
      </w:r>
      <w:proofErr w:type="spellEnd"/>
      <w:r w:rsidRPr="00283996">
        <w:rPr>
          <w:lang w:val="en-US"/>
        </w:rPr>
        <w:t xml:space="preserve"> </w:t>
      </w:r>
      <w:proofErr w:type="spellStart"/>
      <w:r w:rsidRPr="00283996">
        <w:rPr>
          <w:lang w:val="en-US"/>
        </w:rPr>
        <w:t>Blais</w:t>
      </w:r>
      <w:proofErr w:type="spellEnd"/>
      <w:r w:rsidRPr="00283996">
        <w:rPr>
          <w:lang w:val="en-US"/>
        </w:rPr>
        <w:t>, 2008.</w:t>
      </w:r>
    </w:p>
    <w:p w:rsidR="00F92E4B" w:rsidRPr="00283996" w:rsidRDefault="00F92E4B" w:rsidP="00077E7A">
      <w:pPr>
        <w:pStyle w:val="SCCNormalDoubleSpacing"/>
        <w:spacing w:after="240" w:line="240" w:lineRule="auto"/>
        <w:ind w:left="540" w:hanging="540"/>
        <w:rPr>
          <w:lang w:val="en-US"/>
        </w:rPr>
      </w:pPr>
      <w:r w:rsidRPr="00283996">
        <w:rPr>
          <w:rStyle w:val="solexhl"/>
          <w:rFonts w:eastAsiaTheme="majorEastAsia"/>
          <w:i/>
          <w:iCs/>
          <w:lang w:val="en-US"/>
        </w:rPr>
        <w:t>Oxford English</w:t>
      </w:r>
      <w:r w:rsidRPr="00283996">
        <w:rPr>
          <w:i/>
          <w:iCs/>
          <w:lang w:val="en-US"/>
        </w:rPr>
        <w:t xml:space="preserve"> Dictionary</w:t>
      </w:r>
      <w:r w:rsidRPr="00283996">
        <w:rPr>
          <w:lang w:val="en-US"/>
        </w:rPr>
        <w:t>, 2nd ed. Oxford: Clarendon Press, 1989, “ignore”.</w:t>
      </w:r>
    </w:p>
    <w:p w:rsidR="00E9245F" w:rsidRPr="002035EE" w:rsidRDefault="00E9245F" w:rsidP="00077E7A">
      <w:pPr>
        <w:pStyle w:val="SCCNormalDoubleSpacing"/>
        <w:spacing w:after="240" w:line="240" w:lineRule="auto"/>
        <w:ind w:left="540" w:hanging="540"/>
        <w:rPr>
          <w:lang w:val="fr-CA"/>
        </w:rPr>
      </w:pPr>
      <w:r w:rsidRPr="002035EE">
        <w:rPr>
          <w:lang w:val="fr-CA"/>
        </w:rPr>
        <w:t>Patenaude, Pierre. “De la recevabilité des preuves obtenues au moyen de l</w:t>
      </w:r>
      <w:r w:rsidR="00D75B96" w:rsidRPr="002035EE">
        <w:rPr>
          <w:lang w:val="fr-CA"/>
        </w:rPr>
        <w:t>’</w:t>
      </w:r>
      <w:r w:rsidRPr="002035EE">
        <w:rPr>
          <w:lang w:val="fr-CA"/>
        </w:rPr>
        <w:t>utilisation par la police de techniques modernes d</w:t>
      </w:r>
      <w:r w:rsidR="00D75B96" w:rsidRPr="002035EE">
        <w:rPr>
          <w:lang w:val="fr-CA"/>
        </w:rPr>
        <w:t>’</w:t>
      </w:r>
      <w:r w:rsidRPr="002035EE">
        <w:rPr>
          <w:lang w:val="fr-CA"/>
        </w:rPr>
        <w:t xml:space="preserve">enquête et de surveillance”, dans </w:t>
      </w:r>
      <w:r w:rsidRPr="002035EE">
        <w:rPr>
          <w:i/>
          <w:lang w:val="fr-CA"/>
        </w:rPr>
        <w:t>Police, techniques modernes d</w:t>
      </w:r>
      <w:r w:rsidR="00D75B96" w:rsidRPr="002035EE">
        <w:rPr>
          <w:i/>
          <w:lang w:val="fr-CA"/>
        </w:rPr>
        <w:t>’</w:t>
      </w:r>
      <w:r w:rsidRPr="002035EE">
        <w:rPr>
          <w:i/>
          <w:lang w:val="fr-CA"/>
        </w:rPr>
        <w:t>enquête ou de surveillance et droit de la preuve</w:t>
      </w:r>
      <w:r w:rsidRPr="002035EE">
        <w:rPr>
          <w:lang w:val="fr-CA"/>
        </w:rPr>
        <w:t xml:space="preserve">, par Pierre Patenaude, </w:t>
      </w:r>
      <w:proofErr w:type="spellStart"/>
      <w:r w:rsidRPr="002035EE">
        <w:rPr>
          <w:lang w:val="fr-CA"/>
        </w:rPr>
        <w:t>dir</w:t>
      </w:r>
      <w:proofErr w:type="spellEnd"/>
      <w:r w:rsidRPr="002035EE">
        <w:rPr>
          <w:lang w:val="fr-CA"/>
        </w:rPr>
        <w:t>. Sherbrooke: Revue de droit de l</w:t>
      </w:r>
      <w:r w:rsidR="00D75B96" w:rsidRPr="002035EE">
        <w:rPr>
          <w:lang w:val="fr-CA"/>
        </w:rPr>
        <w:t>’</w:t>
      </w:r>
      <w:r w:rsidRPr="002035EE">
        <w:rPr>
          <w:lang w:val="fr-CA"/>
        </w:rPr>
        <w:t>Université de Sherbrooke, 1998.</w:t>
      </w:r>
    </w:p>
    <w:p w:rsidR="000C5BA3" w:rsidRPr="002035EE" w:rsidRDefault="000C5BA3" w:rsidP="00077E7A">
      <w:pPr>
        <w:pStyle w:val="SCCNormalDoubleSpacing"/>
        <w:spacing w:after="240" w:line="240" w:lineRule="auto"/>
        <w:ind w:left="540" w:hanging="540"/>
        <w:rPr>
          <w:lang w:val="fr-CA"/>
        </w:rPr>
      </w:pPr>
      <w:r w:rsidRPr="002035EE">
        <w:rPr>
          <w:rStyle w:val="solexhl"/>
          <w:rFonts w:eastAsiaTheme="majorEastAsia"/>
          <w:i/>
          <w:iCs/>
          <w:lang w:val="fr-CA"/>
        </w:rPr>
        <w:lastRenderedPageBreak/>
        <w:t>Petit Larousse</w:t>
      </w:r>
      <w:r w:rsidRPr="002035EE">
        <w:rPr>
          <w:i/>
          <w:iCs/>
          <w:lang w:val="fr-CA"/>
        </w:rPr>
        <w:t xml:space="preserve"> illustré</w:t>
      </w:r>
      <w:r w:rsidRPr="002035EE">
        <w:rPr>
          <w:lang w:val="fr-CA"/>
        </w:rPr>
        <w:t>, éd. 2020, Paris: Larousse, 2019, “</w:t>
      </w:r>
      <w:r w:rsidRPr="002035EE">
        <w:rPr>
          <w:i/>
          <w:lang w:val="fr-CA"/>
        </w:rPr>
        <w:t>désobéir</w:t>
      </w:r>
      <w:r w:rsidRPr="002035EE">
        <w:rPr>
          <w:lang w:val="fr-CA"/>
        </w:rPr>
        <w:t>”, “</w:t>
      </w:r>
      <w:r w:rsidRPr="002035EE">
        <w:rPr>
          <w:i/>
          <w:lang w:val="fr-CA"/>
        </w:rPr>
        <w:t>désobéissance</w:t>
      </w:r>
      <w:r w:rsidRPr="002035EE">
        <w:rPr>
          <w:lang w:val="fr-CA"/>
        </w:rPr>
        <w:t>”, “</w:t>
      </w:r>
      <w:r w:rsidRPr="002035EE">
        <w:rPr>
          <w:i/>
          <w:lang w:val="fr-CA"/>
        </w:rPr>
        <w:t>ignorer</w:t>
      </w:r>
      <w:r w:rsidRPr="002035EE">
        <w:rPr>
          <w:lang w:val="fr-CA"/>
        </w:rPr>
        <w:t>”.</w:t>
      </w:r>
    </w:p>
    <w:p w:rsidR="007E1370" w:rsidRPr="002035EE" w:rsidRDefault="00946350" w:rsidP="00077E7A">
      <w:pPr>
        <w:pStyle w:val="SCCNormalDoubleSpacing"/>
        <w:spacing w:after="240" w:line="240" w:lineRule="auto"/>
        <w:ind w:left="540" w:hanging="540"/>
        <w:rPr>
          <w:lang w:val="fr-CA"/>
        </w:rPr>
      </w:pPr>
      <w:r w:rsidRPr="002035EE">
        <w:rPr>
          <w:rStyle w:val="solexhl"/>
          <w:rFonts w:eastAsiaTheme="majorEastAsia"/>
          <w:i/>
          <w:iCs/>
          <w:lang w:val="fr-CA"/>
        </w:rPr>
        <w:t>Petit Robert</w:t>
      </w:r>
      <w:r w:rsidRPr="002035EE">
        <w:rPr>
          <w:i/>
          <w:iCs/>
          <w:lang w:val="fr-CA"/>
        </w:rPr>
        <w:t>: dictionnaire alphabétique et analogique de la langue française</w:t>
      </w:r>
      <w:r w:rsidRPr="002035EE">
        <w:rPr>
          <w:lang w:val="fr-CA"/>
        </w:rPr>
        <w:t>, nouvelle éd. Paris: Le Robert, 2020, “</w:t>
      </w:r>
      <w:r w:rsidRPr="002035EE">
        <w:rPr>
          <w:i/>
          <w:lang w:val="fr-CA"/>
        </w:rPr>
        <w:t>désobéir</w:t>
      </w:r>
      <w:r w:rsidRPr="002035EE">
        <w:rPr>
          <w:lang w:val="fr-CA"/>
        </w:rPr>
        <w:t>”, “</w:t>
      </w:r>
      <w:r w:rsidRPr="002035EE">
        <w:rPr>
          <w:i/>
          <w:lang w:val="fr-CA"/>
        </w:rPr>
        <w:t>désobéissance</w:t>
      </w:r>
      <w:r w:rsidRPr="002035EE">
        <w:rPr>
          <w:lang w:val="fr-CA"/>
        </w:rPr>
        <w:t>”, “</w:t>
      </w:r>
      <w:r w:rsidRPr="002035EE">
        <w:rPr>
          <w:i/>
          <w:lang w:val="fr-CA"/>
        </w:rPr>
        <w:t>ignorer</w:t>
      </w:r>
      <w:r w:rsidRPr="002035EE">
        <w:rPr>
          <w:lang w:val="fr-CA"/>
        </w:rPr>
        <w:t>”.</w:t>
      </w:r>
    </w:p>
    <w:p w:rsidR="00056D03" w:rsidRPr="002035EE" w:rsidRDefault="00056D03" w:rsidP="00077E7A">
      <w:pPr>
        <w:pStyle w:val="SCCNormalDoubleSpacing"/>
        <w:spacing w:after="240" w:line="240" w:lineRule="auto"/>
        <w:ind w:left="540" w:hanging="540"/>
        <w:rPr>
          <w:lang w:val="fr-CA"/>
        </w:rPr>
      </w:pPr>
      <w:proofErr w:type="spellStart"/>
      <w:r w:rsidRPr="004449BE">
        <w:rPr>
          <w:rStyle w:val="solexhl"/>
          <w:rFonts w:eastAsiaTheme="majorEastAsia"/>
          <w:lang w:val="fr-CA"/>
        </w:rPr>
        <w:t>Régimbald</w:t>
      </w:r>
      <w:proofErr w:type="spellEnd"/>
      <w:r w:rsidR="007E61AD" w:rsidRPr="004449BE">
        <w:rPr>
          <w:lang w:val="fr-CA"/>
        </w:rPr>
        <w:t xml:space="preserve">, Guy. </w:t>
      </w:r>
      <w:r w:rsidRPr="004449BE">
        <w:rPr>
          <w:i/>
          <w:iCs/>
          <w:lang w:val="fr-CA"/>
        </w:rPr>
        <w:t>Canadian Administrative Law</w:t>
      </w:r>
      <w:r w:rsidRPr="004449BE">
        <w:rPr>
          <w:lang w:val="fr-CA"/>
        </w:rPr>
        <w:t xml:space="preserve">, 2nd </w:t>
      </w:r>
      <w:proofErr w:type="spellStart"/>
      <w:r w:rsidRPr="004449BE">
        <w:rPr>
          <w:lang w:val="fr-CA"/>
        </w:rPr>
        <w:t>ed</w:t>
      </w:r>
      <w:proofErr w:type="spellEnd"/>
      <w:r w:rsidRPr="004449BE">
        <w:rPr>
          <w:lang w:val="fr-CA"/>
        </w:rPr>
        <w:t xml:space="preserve">. </w:t>
      </w:r>
      <w:r w:rsidRPr="002035EE">
        <w:rPr>
          <w:lang w:val="fr-CA"/>
        </w:rPr>
        <w:t xml:space="preserve">Markham, Ont.: </w:t>
      </w:r>
      <w:proofErr w:type="spellStart"/>
      <w:r w:rsidRPr="002035EE">
        <w:rPr>
          <w:lang w:val="fr-CA"/>
        </w:rPr>
        <w:t>LexisNexis</w:t>
      </w:r>
      <w:proofErr w:type="spellEnd"/>
      <w:r w:rsidRPr="002035EE">
        <w:rPr>
          <w:lang w:val="fr-CA"/>
        </w:rPr>
        <w:t>, 2015.</w:t>
      </w:r>
    </w:p>
    <w:p w:rsidR="006B0D89" w:rsidRPr="002035EE" w:rsidRDefault="006B0D89" w:rsidP="00077E7A">
      <w:pPr>
        <w:pStyle w:val="SCCNormalDoubleSpacing"/>
        <w:spacing w:after="240" w:line="240" w:lineRule="auto"/>
        <w:ind w:left="540" w:hanging="540"/>
        <w:rPr>
          <w:lang w:val="fr-CA"/>
        </w:rPr>
      </w:pPr>
      <w:r w:rsidRPr="002035EE">
        <w:rPr>
          <w:i/>
          <w:lang w:val="fr-CA"/>
        </w:rPr>
        <w:t>Robert &amp; Collins</w:t>
      </w:r>
      <w:r w:rsidR="007E61AD" w:rsidRPr="002035EE">
        <w:rPr>
          <w:i/>
          <w:lang w:val="fr-CA"/>
        </w:rPr>
        <w:t>:</w:t>
      </w:r>
      <w:r w:rsidRPr="002035EE">
        <w:rPr>
          <w:i/>
          <w:lang w:val="fr-CA"/>
        </w:rPr>
        <w:t xml:space="preserve"> Dictionnaire français‑anglais, anglais‑français</w:t>
      </w:r>
      <w:r w:rsidRPr="002035EE">
        <w:rPr>
          <w:lang w:val="fr-CA"/>
        </w:rPr>
        <w:t>, 10</w:t>
      </w:r>
      <w:r w:rsidRPr="002035EE">
        <w:rPr>
          <w:vertAlign w:val="superscript"/>
          <w:lang w:val="fr-CA"/>
        </w:rPr>
        <w:t>e</w:t>
      </w:r>
      <w:r w:rsidRPr="002035EE">
        <w:rPr>
          <w:lang w:val="fr-CA"/>
        </w:rPr>
        <w:t xml:space="preserve"> éd. Paris: Dictionnaires Le Robert</w:t>
      </w:r>
      <w:r w:rsidR="007E61AD" w:rsidRPr="002035EE">
        <w:rPr>
          <w:lang w:val="fr-CA"/>
        </w:rPr>
        <w:noBreakHyphen/>
      </w:r>
      <w:r w:rsidR="004A2697" w:rsidRPr="002035EE">
        <w:rPr>
          <w:lang w:val="fr-CA"/>
        </w:rPr>
        <w:t>SEJER</w:t>
      </w:r>
      <w:r w:rsidRPr="002035EE">
        <w:rPr>
          <w:lang w:val="fr-CA"/>
        </w:rPr>
        <w:t>, 2016</w:t>
      </w:r>
      <w:r w:rsidR="00432257" w:rsidRPr="002035EE">
        <w:rPr>
          <w:lang w:val="fr-CA"/>
        </w:rPr>
        <w:t>, “</w:t>
      </w:r>
      <w:r w:rsidR="00B716FB" w:rsidRPr="002035EE">
        <w:rPr>
          <w:lang w:val="fr-CA"/>
        </w:rPr>
        <w:t>ignore</w:t>
      </w:r>
      <w:r w:rsidR="00432257" w:rsidRPr="002035EE">
        <w:rPr>
          <w:lang w:val="fr-CA"/>
        </w:rPr>
        <w:t>”.</w:t>
      </w:r>
    </w:p>
    <w:p w:rsidR="00CB3BEB" w:rsidRPr="002035EE" w:rsidRDefault="007E61AD" w:rsidP="00077E7A">
      <w:pPr>
        <w:pStyle w:val="SCCNormalDoubleSpacing"/>
        <w:spacing w:after="240" w:line="240" w:lineRule="auto"/>
        <w:ind w:left="540" w:hanging="540"/>
        <w:rPr>
          <w:lang w:val="fr-CA"/>
        </w:rPr>
      </w:pPr>
      <w:r w:rsidRPr="004449BE">
        <w:rPr>
          <w:lang w:val="fr-CA"/>
        </w:rPr>
        <w:t xml:space="preserve">Sullivan, Ruth. </w:t>
      </w:r>
      <w:r w:rsidR="00CB3BEB" w:rsidRPr="004449BE">
        <w:rPr>
          <w:i/>
          <w:iCs/>
          <w:lang w:val="fr-CA"/>
        </w:rPr>
        <w:t xml:space="preserve">Sullivan on the Construction of </w:t>
      </w:r>
      <w:proofErr w:type="spellStart"/>
      <w:r w:rsidR="00CB3BEB" w:rsidRPr="004449BE">
        <w:rPr>
          <w:i/>
          <w:iCs/>
          <w:lang w:val="fr-CA"/>
        </w:rPr>
        <w:t>Statutes</w:t>
      </w:r>
      <w:proofErr w:type="spellEnd"/>
      <w:r w:rsidR="00CB3BEB" w:rsidRPr="004449BE">
        <w:rPr>
          <w:lang w:val="fr-CA"/>
        </w:rPr>
        <w:t>, 6th </w:t>
      </w:r>
      <w:proofErr w:type="spellStart"/>
      <w:r w:rsidR="00CB3BEB" w:rsidRPr="004449BE">
        <w:rPr>
          <w:lang w:val="fr-CA"/>
        </w:rPr>
        <w:t>ed</w:t>
      </w:r>
      <w:proofErr w:type="spellEnd"/>
      <w:r w:rsidR="00CB3BEB" w:rsidRPr="004449BE">
        <w:rPr>
          <w:lang w:val="fr-CA"/>
        </w:rPr>
        <w:t xml:space="preserve">. </w:t>
      </w:r>
      <w:r w:rsidR="00CB3BEB" w:rsidRPr="002035EE">
        <w:rPr>
          <w:lang w:val="fr-CA"/>
        </w:rPr>
        <w:t xml:space="preserve">Markham, Ont.: </w:t>
      </w:r>
      <w:proofErr w:type="spellStart"/>
      <w:r w:rsidR="00CB3BEB" w:rsidRPr="002035EE">
        <w:rPr>
          <w:lang w:val="fr-CA"/>
        </w:rPr>
        <w:t>LexisNexis</w:t>
      </w:r>
      <w:proofErr w:type="spellEnd"/>
      <w:r w:rsidR="00CB3BEB" w:rsidRPr="002035EE">
        <w:rPr>
          <w:lang w:val="fr-CA"/>
        </w:rPr>
        <w:t>, 2014.</w:t>
      </w:r>
    </w:p>
    <w:p w:rsidR="007E1370" w:rsidRPr="00283996" w:rsidRDefault="007E1370" w:rsidP="00077E7A">
      <w:pPr>
        <w:pStyle w:val="SCCNormalDoubleSpacing"/>
        <w:spacing w:after="240" w:line="240" w:lineRule="auto"/>
        <w:ind w:left="540" w:hanging="540"/>
        <w:rPr>
          <w:lang w:val="en-US"/>
        </w:rPr>
      </w:pPr>
      <w:proofErr w:type="spellStart"/>
      <w:r w:rsidRPr="002035EE">
        <w:rPr>
          <w:lang w:val="fr-CA"/>
        </w:rPr>
        <w:t>Tancelin</w:t>
      </w:r>
      <w:proofErr w:type="spellEnd"/>
      <w:r w:rsidRPr="002035EE">
        <w:rPr>
          <w:lang w:val="fr-CA"/>
        </w:rPr>
        <w:t xml:space="preserve">, Maurice. </w:t>
      </w:r>
      <w:r w:rsidRPr="002035EE">
        <w:rPr>
          <w:i/>
          <w:lang w:val="fr-CA"/>
        </w:rPr>
        <w:t>Des obligations en droit mixte du Québec</w:t>
      </w:r>
      <w:r w:rsidRPr="002035EE">
        <w:rPr>
          <w:lang w:val="fr-CA"/>
        </w:rPr>
        <w:t>, 7</w:t>
      </w:r>
      <w:r w:rsidRPr="002035EE">
        <w:rPr>
          <w:vertAlign w:val="superscript"/>
          <w:lang w:val="fr-CA"/>
        </w:rPr>
        <w:t>e</w:t>
      </w:r>
      <w:r w:rsidRPr="002035EE">
        <w:rPr>
          <w:lang w:val="fr-CA"/>
        </w:rPr>
        <w:t xml:space="preserve"> éd. </w:t>
      </w:r>
      <w:r w:rsidRPr="00283996">
        <w:rPr>
          <w:lang w:val="en-US"/>
        </w:rPr>
        <w:t xml:space="preserve">Montréal: Wilson &amp; </w:t>
      </w:r>
      <w:proofErr w:type="spellStart"/>
      <w:r w:rsidRPr="00283996">
        <w:rPr>
          <w:lang w:val="en-US"/>
        </w:rPr>
        <w:t>Lafleur</w:t>
      </w:r>
      <w:proofErr w:type="spellEnd"/>
      <w:r w:rsidRPr="00283996">
        <w:rPr>
          <w:lang w:val="en-US"/>
        </w:rPr>
        <w:t>, 2009.</w:t>
      </w:r>
    </w:p>
    <w:p w:rsidR="007E1370" w:rsidRPr="00283996" w:rsidRDefault="007E1370" w:rsidP="00077E7A">
      <w:pPr>
        <w:pStyle w:val="SCCNormalDoubleSpacing"/>
        <w:spacing w:after="240" w:line="240" w:lineRule="auto"/>
        <w:ind w:left="540" w:hanging="540"/>
        <w:rPr>
          <w:lang w:val="en-US"/>
        </w:rPr>
      </w:pPr>
      <w:proofErr w:type="spellStart"/>
      <w:r w:rsidRPr="002035EE">
        <w:rPr>
          <w:rStyle w:val="solexhl"/>
          <w:rFonts w:eastAsiaTheme="majorEastAsia"/>
          <w:lang w:val="fr-CA"/>
        </w:rPr>
        <w:t>Vauclair</w:t>
      </w:r>
      <w:proofErr w:type="spellEnd"/>
      <w:r w:rsidRPr="002035EE">
        <w:rPr>
          <w:rStyle w:val="solexhl"/>
          <w:rFonts w:eastAsiaTheme="majorEastAsia"/>
          <w:lang w:val="fr-CA"/>
        </w:rPr>
        <w:t>, Martin</w:t>
      </w:r>
      <w:r w:rsidR="001E7C5A" w:rsidRPr="002035EE">
        <w:rPr>
          <w:rStyle w:val="solexhl"/>
          <w:rFonts w:eastAsiaTheme="majorEastAsia"/>
          <w:lang w:val="fr-CA"/>
        </w:rPr>
        <w:t>,</w:t>
      </w:r>
      <w:r w:rsidRPr="002035EE">
        <w:rPr>
          <w:rStyle w:val="solexhl"/>
          <w:rFonts w:eastAsiaTheme="majorEastAsia"/>
          <w:lang w:val="fr-CA"/>
        </w:rPr>
        <w:t xml:space="preserve"> et Tristan Desjardins</w:t>
      </w:r>
      <w:r w:rsidR="00DB6D27" w:rsidRPr="002035EE">
        <w:rPr>
          <w:lang w:val="fr-CA"/>
        </w:rPr>
        <w:t xml:space="preserve">. </w:t>
      </w:r>
      <w:r w:rsidRPr="002035EE">
        <w:rPr>
          <w:rStyle w:val="solexhl"/>
          <w:rFonts w:eastAsiaTheme="majorEastAsia"/>
          <w:i/>
          <w:iCs/>
          <w:lang w:val="fr-CA"/>
        </w:rPr>
        <w:t xml:space="preserve">Traité général de preuve et de </w:t>
      </w:r>
      <w:proofErr w:type="gramStart"/>
      <w:r w:rsidRPr="002035EE">
        <w:rPr>
          <w:rStyle w:val="solexhl"/>
          <w:rFonts w:eastAsiaTheme="majorEastAsia"/>
          <w:i/>
          <w:iCs/>
          <w:lang w:val="fr-CA"/>
        </w:rPr>
        <w:t>procédure pénales</w:t>
      </w:r>
      <w:r w:rsidRPr="002035EE">
        <w:rPr>
          <w:lang w:val="fr-CA"/>
        </w:rPr>
        <w:t>, 26</w:t>
      </w:r>
      <w:r w:rsidRPr="002035EE">
        <w:rPr>
          <w:vertAlign w:val="superscript"/>
          <w:lang w:val="fr-CA"/>
        </w:rPr>
        <w:t>e</w:t>
      </w:r>
      <w:proofErr w:type="gramEnd"/>
      <w:r w:rsidRPr="002035EE">
        <w:rPr>
          <w:lang w:val="fr-CA"/>
        </w:rPr>
        <w:t xml:space="preserve"> éd. </w:t>
      </w:r>
      <w:r w:rsidRPr="00283996">
        <w:rPr>
          <w:lang w:val="en-US"/>
        </w:rPr>
        <w:t xml:space="preserve">Montréal: </w:t>
      </w:r>
      <w:proofErr w:type="spellStart"/>
      <w:r w:rsidRPr="00283996">
        <w:rPr>
          <w:lang w:val="en-US"/>
        </w:rPr>
        <w:t>Yvon</w:t>
      </w:r>
      <w:proofErr w:type="spellEnd"/>
      <w:r w:rsidRPr="00283996">
        <w:rPr>
          <w:lang w:val="en-US"/>
        </w:rPr>
        <w:t xml:space="preserve"> </w:t>
      </w:r>
      <w:proofErr w:type="spellStart"/>
      <w:r w:rsidRPr="00283996">
        <w:rPr>
          <w:lang w:val="en-US"/>
        </w:rPr>
        <w:t>Blais</w:t>
      </w:r>
      <w:proofErr w:type="spellEnd"/>
      <w:r w:rsidRPr="00283996">
        <w:rPr>
          <w:lang w:val="en-US"/>
        </w:rPr>
        <w:t>, 2019.</w:t>
      </w:r>
    </w:p>
    <w:p w:rsidR="00B342F3" w:rsidRPr="007A7F84" w:rsidRDefault="00B342F3" w:rsidP="00BD01B7">
      <w:pPr>
        <w:pStyle w:val="SCCNormalDoubleSpacing"/>
        <w:spacing w:after="240" w:line="240" w:lineRule="auto"/>
        <w:ind w:left="540" w:hanging="540"/>
        <w:rPr>
          <w:iCs/>
          <w:lang w:val="fr-CA"/>
        </w:rPr>
      </w:pPr>
      <w:r w:rsidRPr="002035EE">
        <w:rPr>
          <w:iCs/>
          <w:lang w:val="fr-CA"/>
        </w:rPr>
        <w:t xml:space="preserve">Vézina, Nathalie. </w:t>
      </w:r>
      <w:r w:rsidRPr="002035EE">
        <w:rPr>
          <w:lang w:val="fr-CA"/>
        </w:rPr>
        <w:t>“</w:t>
      </w:r>
      <w:r w:rsidRPr="002035EE">
        <w:rPr>
          <w:iCs/>
          <w:lang w:val="fr-CA"/>
        </w:rPr>
        <w:t>Du phénomène de pollution lumineuse appliqué à l</w:t>
      </w:r>
      <w:r w:rsidR="00D75B96" w:rsidRPr="002035EE">
        <w:rPr>
          <w:iCs/>
          <w:lang w:val="fr-CA"/>
        </w:rPr>
        <w:t>’</w:t>
      </w:r>
      <w:r w:rsidRPr="002035EE">
        <w:rPr>
          <w:iCs/>
          <w:lang w:val="fr-CA"/>
        </w:rPr>
        <w:t>observation des astres jurisprudentiels</w:t>
      </w:r>
      <w:r w:rsidR="007E61AD" w:rsidRPr="002035EE">
        <w:rPr>
          <w:iCs/>
          <w:lang w:val="fr-CA"/>
        </w:rPr>
        <w:t>:</w:t>
      </w:r>
      <w:r w:rsidRPr="002035EE">
        <w:rPr>
          <w:iCs/>
          <w:lang w:val="fr-CA"/>
        </w:rPr>
        <w:t xml:space="preserve"> responsabilité objective, responsabilité subjective et l</w:t>
      </w:r>
      <w:r w:rsidR="00D75B96" w:rsidRPr="002035EE">
        <w:rPr>
          <w:iCs/>
          <w:lang w:val="fr-CA"/>
        </w:rPr>
        <w:t>’</w:t>
      </w:r>
      <w:r w:rsidRPr="002035EE">
        <w:rPr>
          <w:iCs/>
          <w:lang w:val="fr-CA"/>
        </w:rPr>
        <w:t xml:space="preserve">arrêt </w:t>
      </w:r>
      <w:r w:rsidRPr="002035EE">
        <w:rPr>
          <w:i/>
          <w:iCs/>
          <w:lang w:val="fr-CA"/>
        </w:rPr>
        <w:t>Ciment du Saint</w:t>
      </w:r>
      <w:r w:rsidR="007E61AD" w:rsidRPr="002035EE">
        <w:rPr>
          <w:i/>
          <w:iCs/>
          <w:lang w:val="fr-CA"/>
        </w:rPr>
        <w:noBreakHyphen/>
      </w:r>
      <w:r w:rsidRPr="002035EE">
        <w:rPr>
          <w:i/>
          <w:iCs/>
          <w:lang w:val="fr-CA"/>
        </w:rPr>
        <w:t>Laurent</w:t>
      </w:r>
      <w:r w:rsidRPr="002035EE">
        <w:rPr>
          <w:lang w:val="fr-CA"/>
        </w:rPr>
        <w:t>”</w:t>
      </w:r>
      <w:r w:rsidR="00BD01B7" w:rsidRPr="002035EE">
        <w:rPr>
          <w:iCs/>
          <w:lang w:val="fr-CA"/>
        </w:rPr>
        <w:t xml:space="preserve">, dans </w:t>
      </w:r>
      <w:proofErr w:type="spellStart"/>
      <w:r w:rsidR="00BD01B7" w:rsidRPr="002035EE">
        <w:rPr>
          <w:iCs/>
          <w:lang w:val="fr-CA"/>
        </w:rPr>
        <w:t>Générosa</w:t>
      </w:r>
      <w:proofErr w:type="spellEnd"/>
      <w:r w:rsidR="00BD01B7" w:rsidRPr="002035EE">
        <w:rPr>
          <w:iCs/>
          <w:lang w:val="fr-CA"/>
        </w:rPr>
        <w:t xml:space="preserve"> Bras Miranda et Benoît Moore, </w:t>
      </w:r>
      <w:proofErr w:type="spellStart"/>
      <w:proofErr w:type="gramStart"/>
      <w:r w:rsidR="00BD01B7" w:rsidRPr="002035EE">
        <w:rPr>
          <w:iCs/>
          <w:lang w:val="fr-CA"/>
        </w:rPr>
        <w:t>dir</w:t>
      </w:r>
      <w:proofErr w:type="spellEnd"/>
      <w:r w:rsidR="00BD01B7" w:rsidRPr="002035EE">
        <w:rPr>
          <w:iCs/>
          <w:lang w:val="fr-CA"/>
        </w:rPr>
        <w:t>.,</w:t>
      </w:r>
      <w:proofErr w:type="gramEnd"/>
      <w:r w:rsidR="00BD01B7" w:rsidRPr="002035EE">
        <w:rPr>
          <w:iCs/>
          <w:lang w:val="fr-CA"/>
        </w:rPr>
        <w:t xml:space="preserve"> </w:t>
      </w:r>
      <w:r w:rsidRPr="002035EE">
        <w:rPr>
          <w:i/>
          <w:iCs/>
          <w:lang w:val="fr-CA"/>
        </w:rPr>
        <w:t xml:space="preserve">Mélanges Adrian </w:t>
      </w:r>
      <w:proofErr w:type="spellStart"/>
      <w:r w:rsidRPr="002035EE">
        <w:rPr>
          <w:i/>
          <w:iCs/>
          <w:lang w:val="fr-CA"/>
        </w:rPr>
        <w:t>Popovici</w:t>
      </w:r>
      <w:proofErr w:type="spellEnd"/>
      <w:r w:rsidR="007E61AD" w:rsidRPr="002035EE">
        <w:rPr>
          <w:i/>
          <w:iCs/>
          <w:lang w:val="fr-CA"/>
        </w:rPr>
        <w:t>:</w:t>
      </w:r>
      <w:r w:rsidRPr="002035EE">
        <w:rPr>
          <w:i/>
          <w:iCs/>
          <w:lang w:val="fr-CA"/>
        </w:rPr>
        <w:t xml:space="preserve"> Les couleurs du droit</w:t>
      </w:r>
      <w:r w:rsidR="00BD01B7" w:rsidRPr="002035EE">
        <w:rPr>
          <w:iCs/>
          <w:lang w:val="fr-CA"/>
        </w:rPr>
        <w:t xml:space="preserve">. </w:t>
      </w:r>
      <w:r w:rsidRPr="007A7F84">
        <w:rPr>
          <w:iCs/>
          <w:lang w:val="fr-CA"/>
        </w:rPr>
        <w:t>Montréal: Thémis,</w:t>
      </w:r>
      <w:r w:rsidR="0054618A" w:rsidRPr="007A7F84">
        <w:rPr>
          <w:iCs/>
          <w:lang w:val="fr-CA"/>
        </w:rPr>
        <w:t xml:space="preserve"> 2010, 357.</w:t>
      </w:r>
    </w:p>
    <w:p w:rsidR="00981263" w:rsidRPr="002035EE" w:rsidRDefault="00981263" w:rsidP="00077E7A">
      <w:pPr>
        <w:pStyle w:val="SCCNormalDoubleSpacing"/>
        <w:spacing w:after="240" w:line="240" w:lineRule="auto"/>
        <w:ind w:left="540" w:hanging="540"/>
        <w:rPr>
          <w:iCs/>
          <w:lang w:val="fr-CA"/>
        </w:rPr>
      </w:pPr>
      <w:r w:rsidRPr="002035EE">
        <w:rPr>
          <w:iCs/>
          <w:lang w:val="fr-CA"/>
        </w:rPr>
        <w:t xml:space="preserve">Viney, </w:t>
      </w:r>
      <w:r w:rsidR="007E61AD" w:rsidRPr="002035EE">
        <w:rPr>
          <w:lang w:val="fr-CA"/>
        </w:rPr>
        <w:t xml:space="preserve">Geneviève, </w:t>
      </w:r>
      <w:r w:rsidRPr="002035EE">
        <w:rPr>
          <w:lang w:val="fr-CA"/>
        </w:rPr>
        <w:t xml:space="preserve">et Patrice Jourdain. </w:t>
      </w:r>
      <w:r w:rsidR="000D46A1" w:rsidRPr="002035EE">
        <w:rPr>
          <w:i/>
          <w:iCs/>
          <w:lang w:val="fr-CA"/>
        </w:rPr>
        <w:t>Traité de droit civil</w:t>
      </w:r>
      <w:r w:rsidR="007E61AD" w:rsidRPr="002035EE">
        <w:rPr>
          <w:i/>
          <w:iCs/>
          <w:lang w:val="fr-CA"/>
        </w:rPr>
        <w:t>:</w:t>
      </w:r>
      <w:r w:rsidR="000D46A1" w:rsidRPr="002035EE">
        <w:rPr>
          <w:i/>
          <w:iCs/>
          <w:lang w:val="fr-CA"/>
        </w:rPr>
        <w:t xml:space="preserve"> </w:t>
      </w:r>
      <w:r w:rsidRPr="002035EE">
        <w:rPr>
          <w:i/>
          <w:lang w:val="fr-CA"/>
        </w:rPr>
        <w:t>Les conditions de la responsabilité</w:t>
      </w:r>
      <w:r w:rsidR="000D46A1" w:rsidRPr="002035EE">
        <w:rPr>
          <w:lang w:val="fr-CA"/>
        </w:rPr>
        <w:t xml:space="preserve">, </w:t>
      </w:r>
      <w:r w:rsidRPr="002035EE">
        <w:rPr>
          <w:lang w:val="fr-CA"/>
        </w:rPr>
        <w:t>2</w:t>
      </w:r>
      <w:r w:rsidRPr="002035EE">
        <w:rPr>
          <w:vertAlign w:val="superscript"/>
          <w:lang w:val="fr-CA"/>
        </w:rPr>
        <w:t>e</w:t>
      </w:r>
      <w:r w:rsidRPr="002035EE">
        <w:rPr>
          <w:lang w:val="fr-CA"/>
        </w:rPr>
        <w:t xml:space="preserve"> éd.</w:t>
      </w:r>
      <w:r w:rsidR="000D46A1" w:rsidRPr="002035EE">
        <w:rPr>
          <w:lang w:val="fr-CA"/>
        </w:rPr>
        <w:t xml:space="preserve">, </w:t>
      </w:r>
      <w:r w:rsidR="00B716FB" w:rsidRPr="002035EE">
        <w:rPr>
          <w:lang w:val="fr-CA"/>
        </w:rPr>
        <w:t>par</w:t>
      </w:r>
      <w:r w:rsidR="000D46A1" w:rsidRPr="002035EE">
        <w:rPr>
          <w:lang w:val="fr-CA"/>
        </w:rPr>
        <w:t xml:space="preserve"> Jacques </w:t>
      </w:r>
      <w:proofErr w:type="spellStart"/>
      <w:r w:rsidR="000D46A1" w:rsidRPr="002035EE">
        <w:rPr>
          <w:lang w:val="fr-CA"/>
        </w:rPr>
        <w:t>Ghestin</w:t>
      </w:r>
      <w:proofErr w:type="spellEnd"/>
      <w:r w:rsidR="00B716FB" w:rsidRPr="002035EE">
        <w:rPr>
          <w:lang w:val="fr-CA"/>
        </w:rPr>
        <w:t xml:space="preserve">, </w:t>
      </w:r>
      <w:proofErr w:type="spellStart"/>
      <w:r w:rsidR="00B716FB" w:rsidRPr="002035EE">
        <w:rPr>
          <w:lang w:val="fr-CA"/>
        </w:rPr>
        <w:t>dir</w:t>
      </w:r>
      <w:proofErr w:type="spellEnd"/>
      <w:r w:rsidR="000D46A1" w:rsidRPr="002035EE">
        <w:rPr>
          <w:lang w:val="fr-CA"/>
        </w:rPr>
        <w:t>.</w:t>
      </w:r>
      <w:r w:rsidRPr="002035EE">
        <w:rPr>
          <w:lang w:val="fr-CA"/>
        </w:rPr>
        <w:t xml:space="preserve"> Paris: L.G.D.J., 1998.</w:t>
      </w:r>
    </w:p>
    <w:p w:rsidR="00810DEF" w:rsidRPr="002035EE" w:rsidRDefault="00810DEF" w:rsidP="00077E7A">
      <w:pPr>
        <w:pStyle w:val="SCCNormalDoubleSpacing"/>
        <w:spacing w:after="720" w:line="240" w:lineRule="auto"/>
        <w:ind w:left="540" w:hanging="540"/>
        <w:rPr>
          <w:lang w:val="fr-CA"/>
        </w:rPr>
      </w:pPr>
      <w:r w:rsidRPr="002035EE">
        <w:rPr>
          <w:lang w:val="fr-CA"/>
        </w:rPr>
        <w:t>Zhou, Han</w:t>
      </w:r>
      <w:r w:rsidR="007E61AD" w:rsidRPr="002035EE">
        <w:rPr>
          <w:lang w:val="fr-CA"/>
        </w:rPr>
        <w:noBreakHyphen/>
      </w:r>
      <w:r w:rsidRPr="002035EE">
        <w:rPr>
          <w:lang w:val="fr-CA"/>
        </w:rPr>
        <w:t xml:space="preserve">Ru. “Le test de la personne raisonnable en responsabilité civile” (2001), 61 </w:t>
      </w:r>
      <w:r w:rsidRPr="002035EE">
        <w:rPr>
          <w:i/>
          <w:lang w:val="fr-CA"/>
        </w:rPr>
        <w:t>R. du B.</w:t>
      </w:r>
      <w:r w:rsidRPr="002035EE">
        <w:rPr>
          <w:lang w:val="fr-CA"/>
        </w:rPr>
        <w:t xml:space="preserve"> 451.</w:t>
      </w:r>
    </w:p>
    <w:p w:rsidR="00656313" w:rsidRPr="00283996" w:rsidRDefault="00D619A6" w:rsidP="00077E7A">
      <w:pPr>
        <w:pStyle w:val="SCCNormalDoubleSpacing"/>
        <w:spacing w:after="480"/>
        <w:rPr>
          <w:lang w:val="en-US"/>
        </w:rPr>
      </w:pPr>
      <w:r w:rsidRPr="002035EE">
        <w:rPr>
          <w:lang w:val="fr-CA"/>
        </w:rPr>
        <w:tab/>
      </w:r>
      <w:r w:rsidR="009B57B3" w:rsidRPr="00283996">
        <w:rPr>
          <w:lang w:val="en-US"/>
        </w:rPr>
        <w:t xml:space="preserve">APPEAL from a judgment of the </w:t>
      </w:r>
      <w:r w:rsidR="003C61A7" w:rsidRPr="00283996">
        <w:rPr>
          <w:lang w:val="en-US"/>
        </w:rPr>
        <w:t xml:space="preserve">Quebec Court of Appeal </w:t>
      </w:r>
      <w:r w:rsidR="009B57B3" w:rsidRPr="00283996">
        <w:rPr>
          <w:lang w:val="en-US"/>
        </w:rPr>
        <w:t>(</w:t>
      </w:r>
      <w:proofErr w:type="spellStart"/>
      <w:r w:rsidRPr="00283996">
        <w:rPr>
          <w:lang w:val="en-US"/>
        </w:rPr>
        <w:t>Dutil</w:t>
      </w:r>
      <w:proofErr w:type="spellEnd"/>
      <w:r w:rsidRPr="00283996">
        <w:rPr>
          <w:lang w:val="en-US"/>
        </w:rPr>
        <w:t xml:space="preserve">, </w:t>
      </w:r>
      <w:proofErr w:type="spellStart"/>
      <w:r w:rsidRPr="00283996">
        <w:rPr>
          <w:lang w:val="en-US"/>
        </w:rPr>
        <w:t>Vauclair</w:t>
      </w:r>
      <w:proofErr w:type="spellEnd"/>
      <w:r w:rsidRPr="00283996">
        <w:rPr>
          <w:lang w:val="en-US"/>
        </w:rPr>
        <w:t xml:space="preserve"> and Schrager JJ.A.)</w:t>
      </w:r>
      <w:r w:rsidR="00727EB7" w:rsidRPr="00283996">
        <w:rPr>
          <w:lang w:val="en-US"/>
        </w:rPr>
        <w:t xml:space="preserve">, 2017 QCCA 1919, </w:t>
      </w:r>
      <w:r w:rsidR="004C6F80" w:rsidRPr="00283996">
        <w:rPr>
          <w:lang w:val="en-US"/>
        </w:rPr>
        <w:t>[2017] J.Q. n</w:t>
      </w:r>
      <w:r w:rsidR="004C6F80" w:rsidRPr="00283996">
        <w:rPr>
          <w:vertAlign w:val="superscript"/>
          <w:lang w:val="en-US"/>
        </w:rPr>
        <w:t>o</w:t>
      </w:r>
      <w:r w:rsidR="007E61AD" w:rsidRPr="00283996">
        <w:rPr>
          <w:vertAlign w:val="superscript"/>
          <w:lang w:val="en-US"/>
        </w:rPr>
        <w:t> </w:t>
      </w:r>
      <w:r w:rsidR="001F2CF0" w:rsidRPr="00283996">
        <w:rPr>
          <w:lang w:val="en-US"/>
        </w:rPr>
        <w:t>17168 (QL)</w:t>
      </w:r>
      <w:r w:rsidR="00727EB7" w:rsidRPr="00283996">
        <w:rPr>
          <w:lang w:val="en-US"/>
        </w:rPr>
        <w:t>,</w:t>
      </w:r>
      <w:r w:rsidR="001F2CF0" w:rsidRPr="00283996">
        <w:rPr>
          <w:lang w:val="en-US"/>
        </w:rPr>
        <w:t xml:space="preserve"> 2017 </w:t>
      </w:r>
      <w:proofErr w:type="spellStart"/>
      <w:r w:rsidR="001F2CF0" w:rsidRPr="00283996">
        <w:rPr>
          <w:lang w:val="en-US"/>
        </w:rPr>
        <w:t>CarswellQue</w:t>
      </w:r>
      <w:proofErr w:type="spellEnd"/>
      <w:r w:rsidR="001F2CF0" w:rsidRPr="00283996">
        <w:rPr>
          <w:lang w:val="en-US"/>
        </w:rPr>
        <w:t xml:space="preserve"> 10898 (WL Can.),</w:t>
      </w:r>
      <w:r w:rsidR="00727EB7" w:rsidRPr="00283996">
        <w:rPr>
          <w:lang w:val="en-US"/>
        </w:rPr>
        <w:t xml:space="preserve"> affirming a decision</w:t>
      </w:r>
      <w:r w:rsidR="003C61A7" w:rsidRPr="00283996">
        <w:rPr>
          <w:lang w:val="en-US"/>
        </w:rPr>
        <w:t xml:space="preserve"> of Le </w:t>
      </w:r>
      <w:proofErr w:type="spellStart"/>
      <w:r w:rsidR="003C61A7" w:rsidRPr="00283996">
        <w:rPr>
          <w:lang w:val="en-US"/>
        </w:rPr>
        <w:t>Reste</w:t>
      </w:r>
      <w:proofErr w:type="spellEnd"/>
      <w:r w:rsidR="003C61A7" w:rsidRPr="00283996">
        <w:rPr>
          <w:lang w:val="en-US"/>
        </w:rPr>
        <w:t xml:space="preserve"> J.</w:t>
      </w:r>
      <w:r w:rsidR="00E26508" w:rsidRPr="00283996">
        <w:rPr>
          <w:lang w:val="en-US"/>
        </w:rPr>
        <w:t>C.Q.</w:t>
      </w:r>
      <w:r w:rsidR="003C61A7" w:rsidRPr="00283996">
        <w:rPr>
          <w:lang w:val="en-US"/>
        </w:rPr>
        <w:t>, 2015</w:t>
      </w:r>
      <w:r w:rsidR="00727EB7" w:rsidRPr="00283996">
        <w:rPr>
          <w:lang w:val="en-US"/>
        </w:rPr>
        <w:t xml:space="preserve"> QCCQ 7948, </w:t>
      </w:r>
      <w:r w:rsidR="004C6F80" w:rsidRPr="00283996">
        <w:rPr>
          <w:lang w:val="en-US"/>
        </w:rPr>
        <w:t>[2015] J.Q. n</w:t>
      </w:r>
      <w:r w:rsidR="004C6F80" w:rsidRPr="00283996">
        <w:rPr>
          <w:vertAlign w:val="superscript"/>
          <w:lang w:val="en-US"/>
        </w:rPr>
        <w:t>o</w:t>
      </w:r>
      <w:r w:rsidR="003C61A7" w:rsidRPr="00283996">
        <w:rPr>
          <w:lang w:val="en-US"/>
        </w:rPr>
        <w:t xml:space="preserve"> </w:t>
      </w:r>
      <w:r w:rsidR="001F2CF0" w:rsidRPr="00283996">
        <w:rPr>
          <w:lang w:val="en-US"/>
        </w:rPr>
        <w:t xml:space="preserve">8499 (QL), 2015 </w:t>
      </w:r>
      <w:proofErr w:type="spellStart"/>
      <w:r w:rsidR="001F2CF0" w:rsidRPr="00283996">
        <w:rPr>
          <w:lang w:val="en-US"/>
        </w:rPr>
        <w:t>CarswellQue</w:t>
      </w:r>
      <w:proofErr w:type="spellEnd"/>
      <w:r w:rsidR="001F2CF0" w:rsidRPr="00283996">
        <w:rPr>
          <w:lang w:val="en-US"/>
        </w:rPr>
        <w:t xml:space="preserve"> 8746 (WL Can.).</w:t>
      </w:r>
      <w:r w:rsidR="00727EB7" w:rsidRPr="00283996">
        <w:rPr>
          <w:lang w:val="en-US"/>
        </w:rPr>
        <w:t xml:space="preserve"> Appeal </w:t>
      </w:r>
      <w:r w:rsidR="006C58C3" w:rsidRPr="00283996">
        <w:rPr>
          <w:lang w:val="en-US"/>
        </w:rPr>
        <w:t>allowed</w:t>
      </w:r>
      <w:r w:rsidR="00727EB7" w:rsidRPr="00283996">
        <w:rPr>
          <w:lang w:val="en-US"/>
        </w:rPr>
        <w:t>.</w:t>
      </w:r>
    </w:p>
    <w:p w:rsidR="008C2A05" w:rsidRPr="00283996" w:rsidRDefault="000912C0" w:rsidP="00077E7A">
      <w:pPr>
        <w:pStyle w:val="SCCNormalDoubleSpacing"/>
        <w:spacing w:after="480"/>
        <w:rPr>
          <w:lang w:val="en-US"/>
        </w:rPr>
      </w:pPr>
      <w:r w:rsidRPr="00283996">
        <w:rPr>
          <w:rStyle w:val="SCCCounselNameChar"/>
          <w:lang w:val="en-US"/>
        </w:rPr>
        <w:tab/>
      </w:r>
      <w:proofErr w:type="spellStart"/>
      <w:r w:rsidRPr="00283996">
        <w:rPr>
          <w:rStyle w:val="SCCCounselNameChar"/>
          <w:lang w:val="en-US"/>
        </w:rPr>
        <w:t>Aymar</w:t>
      </w:r>
      <w:proofErr w:type="spellEnd"/>
      <w:r w:rsidRPr="00283996">
        <w:rPr>
          <w:rStyle w:val="SCCCounselNameChar"/>
          <w:lang w:val="en-US"/>
        </w:rPr>
        <w:t xml:space="preserve"> </w:t>
      </w:r>
      <w:proofErr w:type="spellStart"/>
      <w:r w:rsidRPr="00283996">
        <w:rPr>
          <w:rStyle w:val="SCCCounselNameChar"/>
          <w:lang w:val="en-US"/>
        </w:rPr>
        <w:t>Missakila</w:t>
      </w:r>
      <w:proofErr w:type="spellEnd"/>
      <w:r w:rsidR="00D619A6" w:rsidRPr="00283996">
        <w:rPr>
          <w:rStyle w:val="SCCCounselNameChar"/>
          <w:lang w:val="en-US"/>
        </w:rPr>
        <w:t xml:space="preserve"> </w:t>
      </w:r>
      <w:r w:rsidR="00D619A6" w:rsidRPr="00283996">
        <w:rPr>
          <w:rStyle w:val="SCCCounselNameChar"/>
          <w:i w:val="0"/>
          <w:lang w:val="en-US"/>
        </w:rPr>
        <w:t xml:space="preserve">and </w:t>
      </w:r>
      <w:proofErr w:type="spellStart"/>
      <w:r w:rsidR="00D619A6" w:rsidRPr="00283996">
        <w:rPr>
          <w:rStyle w:val="SCCCounselNameChar"/>
          <w:lang w:val="en-US"/>
        </w:rPr>
        <w:t>Ghassan</w:t>
      </w:r>
      <w:proofErr w:type="spellEnd"/>
      <w:r w:rsidR="00D619A6" w:rsidRPr="00283996">
        <w:rPr>
          <w:rStyle w:val="SCCCounselNameChar"/>
          <w:lang w:val="en-US"/>
        </w:rPr>
        <w:t xml:space="preserve"> </w:t>
      </w:r>
      <w:proofErr w:type="spellStart"/>
      <w:r w:rsidR="00D619A6" w:rsidRPr="00283996">
        <w:rPr>
          <w:rStyle w:val="SCCCounselNameChar"/>
          <w:lang w:val="en-US"/>
        </w:rPr>
        <w:t>Hamod</w:t>
      </w:r>
      <w:proofErr w:type="spellEnd"/>
      <w:r w:rsidRPr="00283996">
        <w:rPr>
          <w:rStyle w:val="SCCCounselPartyRoleChar"/>
          <w:lang w:val="en-US"/>
        </w:rPr>
        <w:t>, for the appellant.</w:t>
      </w:r>
    </w:p>
    <w:p w:rsidR="008C2A05" w:rsidRPr="002035EE" w:rsidRDefault="000912C0" w:rsidP="00077E7A">
      <w:pPr>
        <w:pStyle w:val="SCCNormalDoubleSpacing"/>
        <w:spacing w:after="480"/>
        <w:rPr>
          <w:lang w:val="fr-CA"/>
        </w:rPr>
      </w:pPr>
      <w:r w:rsidRPr="00283996">
        <w:rPr>
          <w:rStyle w:val="SCCCounselNameChar"/>
          <w:lang w:val="en-US"/>
        </w:rPr>
        <w:lastRenderedPageBreak/>
        <w:tab/>
      </w:r>
      <w:r w:rsidRPr="002035EE">
        <w:rPr>
          <w:rStyle w:val="SCCCounselNameChar"/>
          <w:lang w:val="fr-CA"/>
        </w:rPr>
        <w:t>Daniel Maillé</w:t>
      </w:r>
      <w:r w:rsidRPr="002035EE">
        <w:rPr>
          <w:rStyle w:val="SCCCounselPartyRoleChar"/>
          <w:lang w:val="fr-CA"/>
        </w:rPr>
        <w:t xml:space="preserve">, for the </w:t>
      </w:r>
      <w:proofErr w:type="spellStart"/>
      <w:r w:rsidRPr="002035EE">
        <w:rPr>
          <w:rStyle w:val="SCCCounselPartyRoleChar"/>
          <w:lang w:val="fr-CA"/>
        </w:rPr>
        <w:t>respondent</w:t>
      </w:r>
      <w:proofErr w:type="spellEnd"/>
      <w:r w:rsidR="00D619A6" w:rsidRPr="002035EE">
        <w:rPr>
          <w:rStyle w:val="SCCCounselPartyRoleChar"/>
          <w:lang w:val="fr-CA"/>
        </w:rPr>
        <w:t xml:space="preserve"> Société de transport de Montréal</w:t>
      </w:r>
      <w:r w:rsidRPr="002035EE">
        <w:rPr>
          <w:rStyle w:val="SCCCounselPartyRoleChar"/>
          <w:lang w:val="fr-CA"/>
        </w:rPr>
        <w:t>.</w:t>
      </w:r>
    </w:p>
    <w:p w:rsidR="008C2A05" w:rsidRPr="002035EE" w:rsidRDefault="000912C0" w:rsidP="00077E7A">
      <w:pPr>
        <w:pStyle w:val="SCCNormalDoubleSpacing"/>
        <w:spacing w:after="480"/>
        <w:rPr>
          <w:lang w:val="fr-CA"/>
        </w:rPr>
      </w:pPr>
      <w:r w:rsidRPr="002035EE">
        <w:rPr>
          <w:rStyle w:val="SCCCounselNameChar"/>
          <w:lang w:val="fr-CA"/>
        </w:rPr>
        <w:tab/>
      </w:r>
      <w:r w:rsidR="00D619A6" w:rsidRPr="002035EE">
        <w:rPr>
          <w:rStyle w:val="SCCCounselNameChar"/>
          <w:lang w:val="fr-CA"/>
        </w:rPr>
        <w:t>Alexandre Thériault</w:t>
      </w:r>
      <w:r w:rsidR="007E61AD" w:rsidRPr="002035EE">
        <w:rPr>
          <w:rStyle w:val="SCCCounselNameChar"/>
          <w:lang w:val="fr-CA"/>
        </w:rPr>
        <w:noBreakHyphen/>
      </w:r>
      <w:r w:rsidR="00D619A6" w:rsidRPr="002035EE">
        <w:rPr>
          <w:rStyle w:val="SCCCounselNameChar"/>
          <w:lang w:val="fr-CA"/>
        </w:rPr>
        <w:t>Marois</w:t>
      </w:r>
      <w:r w:rsidR="00D619A6" w:rsidRPr="002035EE">
        <w:rPr>
          <w:rStyle w:val="SCCCounselPartyRoleChar"/>
          <w:lang w:val="fr-CA"/>
        </w:rPr>
        <w:t xml:space="preserve">, </w:t>
      </w:r>
      <w:r w:rsidR="00D619A6" w:rsidRPr="002035EE">
        <w:rPr>
          <w:rStyle w:val="SCCCounselPartyRoleChar"/>
          <w:i/>
          <w:lang w:val="fr-CA"/>
        </w:rPr>
        <w:t xml:space="preserve">Maryann Carter </w:t>
      </w:r>
      <w:r w:rsidR="00D619A6" w:rsidRPr="002035EE">
        <w:rPr>
          <w:rStyle w:val="SCCCounselPartyRoleChar"/>
          <w:lang w:val="fr-CA"/>
        </w:rPr>
        <w:t xml:space="preserve">and </w:t>
      </w:r>
      <w:r w:rsidR="00D619A6" w:rsidRPr="002035EE">
        <w:rPr>
          <w:rStyle w:val="SCCCounselNameChar"/>
          <w:lang w:val="fr-CA"/>
        </w:rPr>
        <w:t>Marie</w:t>
      </w:r>
      <w:r w:rsidR="007E61AD" w:rsidRPr="002035EE">
        <w:rPr>
          <w:rStyle w:val="SCCCounselNameChar"/>
          <w:lang w:val="fr-CA"/>
        </w:rPr>
        <w:noBreakHyphen/>
      </w:r>
      <w:r w:rsidR="00D619A6" w:rsidRPr="002035EE">
        <w:rPr>
          <w:rStyle w:val="SCCCounselNameChar"/>
          <w:lang w:val="fr-CA"/>
        </w:rPr>
        <w:t>Pier Dussault</w:t>
      </w:r>
      <w:r w:rsidR="007E61AD" w:rsidRPr="002035EE">
        <w:rPr>
          <w:rStyle w:val="SCCCounselNameChar"/>
          <w:lang w:val="fr-CA"/>
        </w:rPr>
        <w:noBreakHyphen/>
      </w:r>
      <w:r w:rsidR="00D619A6" w:rsidRPr="002035EE">
        <w:rPr>
          <w:rStyle w:val="SCCCounselNameChar"/>
          <w:lang w:val="fr-CA"/>
        </w:rPr>
        <w:t>Picard</w:t>
      </w:r>
      <w:r w:rsidR="00D619A6" w:rsidRPr="002035EE">
        <w:rPr>
          <w:rStyle w:val="SCCCounselSeparatorChar"/>
          <w:lang w:val="fr-CA"/>
        </w:rPr>
        <w:t xml:space="preserve">, </w:t>
      </w:r>
      <w:r w:rsidRPr="002035EE">
        <w:rPr>
          <w:rStyle w:val="SCCCounselPartyRoleChar"/>
          <w:lang w:val="fr-CA"/>
        </w:rPr>
        <w:t xml:space="preserve">for the </w:t>
      </w:r>
      <w:proofErr w:type="spellStart"/>
      <w:r w:rsidR="00D619A6" w:rsidRPr="002035EE">
        <w:rPr>
          <w:rStyle w:val="SCCCounselPartyRoleChar"/>
          <w:lang w:val="fr-CA"/>
        </w:rPr>
        <w:t>respondent</w:t>
      </w:r>
      <w:r w:rsidR="00BE79B9" w:rsidRPr="002035EE">
        <w:rPr>
          <w:rStyle w:val="SCCCounselPartyRoleChar"/>
          <w:lang w:val="fr-CA"/>
        </w:rPr>
        <w:t>s</w:t>
      </w:r>
      <w:proofErr w:type="spellEnd"/>
      <w:r w:rsidR="00D619A6" w:rsidRPr="002035EE">
        <w:rPr>
          <w:rStyle w:val="SCCCounselPartyRoleChar"/>
          <w:lang w:val="fr-CA"/>
        </w:rPr>
        <w:t xml:space="preserve"> Ville de Laval and Fabio </w:t>
      </w:r>
      <w:proofErr w:type="spellStart"/>
      <w:r w:rsidR="00D619A6" w:rsidRPr="002035EE">
        <w:rPr>
          <w:rStyle w:val="SCCCounselPartyRoleChar"/>
          <w:lang w:val="fr-CA"/>
        </w:rPr>
        <w:t>Camacho</w:t>
      </w:r>
      <w:proofErr w:type="spellEnd"/>
      <w:r w:rsidRPr="002035EE">
        <w:rPr>
          <w:rStyle w:val="SCCCounselPartyRoleChar"/>
          <w:lang w:val="fr-CA"/>
        </w:rPr>
        <w:t>.</w:t>
      </w:r>
    </w:p>
    <w:p w:rsidR="00E24573" w:rsidRPr="002035EE" w:rsidRDefault="000912C0" w:rsidP="00C4493A">
      <w:pPr>
        <w:pStyle w:val="SCCNormalDoubleSpacing"/>
        <w:spacing w:after="480"/>
        <w:rPr>
          <w:lang w:val="fr-CA"/>
        </w:rPr>
      </w:pPr>
      <w:r w:rsidRPr="002035EE">
        <w:rPr>
          <w:rStyle w:val="SCCCounselNameChar"/>
          <w:lang w:val="fr-CA"/>
        </w:rPr>
        <w:tab/>
        <w:t>Sylvie Rodrigue</w:t>
      </w:r>
      <w:r w:rsidR="00BE79B9" w:rsidRPr="002035EE">
        <w:rPr>
          <w:rStyle w:val="SCCCounselPartyRoleChar"/>
          <w:lang w:val="fr-CA"/>
        </w:rPr>
        <w:t xml:space="preserve"> and </w:t>
      </w:r>
      <w:r w:rsidR="00C25F49" w:rsidRPr="002035EE">
        <w:rPr>
          <w:rStyle w:val="SCCCounselPartyRoleChar"/>
          <w:i/>
          <w:lang w:val="fr-CA"/>
        </w:rPr>
        <w:t xml:space="preserve">Emma </w:t>
      </w:r>
      <w:proofErr w:type="spellStart"/>
      <w:r w:rsidR="00C25F49" w:rsidRPr="002035EE">
        <w:rPr>
          <w:rStyle w:val="SCCCounselPartyRoleChar"/>
          <w:i/>
          <w:lang w:val="fr-CA"/>
        </w:rPr>
        <w:t>Loignon</w:t>
      </w:r>
      <w:proofErr w:type="spellEnd"/>
      <w:r w:rsidR="00C25F49" w:rsidRPr="002035EE">
        <w:rPr>
          <w:rStyle w:val="SCCCounselPartyRoleChar"/>
          <w:i/>
          <w:lang w:val="fr-CA"/>
        </w:rPr>
        <w:noBreakHyphen/>
      </w:r>
      <w:r w:rsidR="00BE79B9" w:rsidRPr="002035EE">
        <w:rPr>
          <w:rStyle w:val="SCCCounselPartyRoleChar"/>
          <w:i/>
          <w:lang w:val="fr-CA"/>
        </w:rPr>
        <w:t>Giroux</w:t>
      </w:r>
      <w:r w:rsidR="00BE79B9" w:rsidRPr="002035EE">
        <w:rPr>
          <w:rStyle w:val="SCCCounselPartyRoleChar"/>
          <w:lang w:val="fr-CA"/>
        </w:rPr>
        <w:t>,</w:t>
      </w:r>
      <w:r w:rsidRPr="002035EE">
        <w:rPr>
          <w:rStyle w:val="SCCCounselPartyRoleChar"/>
          <w:lang w:val="fr-CA"/>
        </w:rPr>
        <w:t xml:space="preserve"> for the </w:t>
      </w:r>
      <w:proofErr w:type="spellStart"/>
      <w:r w:rsidRPr="002035EE">
        <w:rPr>
          <w:rStyle w:val="SCCCounselPartyRoleChar"/>
          <w:lang w:val="fr-CA"/>
        </w:rPr>
        <w:t>intervener</w:t>
      </w:r>
      <w:proofErr w:type="spellEnd"/>
      <w:r w:rsidR="00D619A6" w:rsidRPr="002035EE">
        <w:rPr>
          <w:rStyle w:val="SCCCounselPartyRoleChar"/>
          <w:lang w:val="fr-CA"/>
        </w:rPr>
        <w:t xml:space="preserve"> the</w:t>
      </w:r>
      <w:r w:rsidRPr="002035EE">
        <w:rPr>
          <w:rStyle w:val="SCCCounselPartyRoleChar"/>
          <w:lang w:val="fr-CA"/>
        </w:rPr>
        <w:t xml:space="preserve"> Canadian Civil </w:t>
      </w:r>
      <w:proofErr w:type="spellStart"/>
      <w:r w:rsidRPr="002035EE">
        <w:rPr>
          <w:rStyle w:val="SCCCounselPartyRoleChar"/>
          <w:lang w:val="fr-CA"/>
        </w:rPr>
        <w:t>Liberties</w:t>
      </w:r>
      <w:proofErr w:type="spellEnd"/>
      <w:r w:rsidRPr="002035EE">
        <w:rPr>
          <w:rStyle w:val="SCCCounselPartyRoleChar"/>
          <w:lang w:val="fr-CA"/>
        </w:rPr>
        <w:t xml:space="preserve"> Association.</w:t>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46"/>
      </w:tblGrid>
      <w:tr w:rsidR="003011EC" w:rsidRPr="00283996" w:rsidTr="000A3F4C">
        <w:trPr>
          <w:trHeight w:val="432"/>
        </w:trPr>
        <w:tc>
          <w:tcPr>
            <w:tcW w:w="9351" w:type="dxa"/>
            <w:gridSpan w:val="2"/>
          </w:tcPr>
          <w:p w:rsidR="003011EC" w:rsidRPr="00283996" w:rsidRDefault="003011EC" w:rsidP="000A3F4C">
            <w:pPr>
              <w:tabs>
                <w:tab w:val="center" w:pos="4050"/>
              </w:tabs>
              <w:rPr>
                <w:rFonts w:cs="Times New Roman"/>
                <w:b/>
              </w:rPr>
            </w:pPr>
            <w:r w:rsidRPr="00283996">
              <w:rPr>
                <w:rFonts w:cs="Times New Roman"/>
                <w:b/>
              </w:rPr>
              <w:tab/>
              <w:t>TABLE OF CONTENTS</w:t>
            </w:r>
          </w:p>
        </w:tc>
      </w:tr>
      <w:tr w:rsidR="003011EC" w:rsidRPr="00283996" w:rsidTr="000A3F4C">
        <w:trPr>
          <w:trHeight w:val="432"/>
        </w:trPr>
        <w:tc>
          <w:tcPr>
            <w:tcW w:w="9351" w:type="dxa"/>
            <w:gridSpan w:val="2"/>
          </w:tcPr>
          <w:p w:rsidR="003011EC" w:rsidRPr="00283996" w:rsidRDefault="003011EC" w:rsidP="000A3F4C">
            <w:pPr>
              <w:tabs>
                <w:tab w:val="center" w:pos="4050"/>
              </w:tabs>
              <w:jc w:val="right"/>
              <w:rPr>
                <w:rFonts w:cs="Times New Roman"/>
              </w:rPr>
            </w:pPr>
            <w:r w:rsidRPr="00283996">
              <w:rPr>
                <w:rFonts w:cs="Times New Roman"/>
              </w:rPr>
              <w:t>Paragraph</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sz w:val="22"/>
              </w:rPr>
            </w:pPr>
            <w:r w:rsidRPr="00283996">
              <w:rPr>
                <w:rFonts w:cs="Times New Roman"/>
                <w:noProof/>
                <w:lang w:bidi="en-US"/>
              </w:rPr>
              <w:t xml:space="preserve">I. </w:t>
            </w:r>
            <w:r w:rsidRPr="00283996">
              <w:rPr>
                <w:rFonts w:cs="Times New Roman"/>
                <w:u w:val="single"/>
                <w:lang w:bidi="en-US"/>
              </w:rPr>
              <w:t>Overview</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1</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sz w:val="22"/>
              </w:rPr>
            </w:pPr>
            <w:r w:rsidRPr="00283996">
              <w:rPr>
                <w:rFonts w:cs="Times New Roman"/>
                <w:noProof/>
                <w:lang w:bidi="en-US"/>
              </w:rPr>
              <w:t xml:space="preserve">II. </w:t>
            </w:r>
            <w:r w:rsidRPr="00283996">
              <w:rPr>
                <w:rFonts w:cs="Times New Roman"/>
                <w:noProof/>
                <w:sz w:val="22"/>
                <w:u w:val="single"/>
              </w:rPr>
              <w:t>Background</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8</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lang w:bidi="en-US"/>
              </w:rPr>
            </w:pPr>
            <w:r w:rsidRPr="00283996">
              <w:rPr>
                <w:rFonts w:cs="Times New Roman"/>
                <w:noProof/>
                <w:lang w:bidi="en-US"/>
              </w:rPr>
              <w:t xml:space="preserve">III. </w:t>
            </w:r>
            <w:r w:rsidRPr="00283996">
              <w:rPr>
                <w:rFonts w:cs="Times New Roman"/>
                <w:noProof/>
                <w:u w:val="single"/>
                <w:lang w:bidi="en-US"/>
              </w:rPr>
              <w:t>Judicial History</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25</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sz w:val="22"/>
              </w:rPr>
            </w:pPr>
            <w:r w:rsidRPr="00283996">
              <w:rPr>
                <w:rFonts w:cs="Times New Roman"/>
                <w:noProof/>
                <w:lang w:bidi="en-US"/>
              </w:rPr>
              <w:t xml:space="preserve">A. </w:t>
            </w:r>
            <w:r w:rsidRPr="00283996">
              <w:rPr>
                <w:rFonts w:cs="Times New Roman"/>
                <w:i/>
                <w:noProof/>
                <w:lang w:bidi="en-US"/>
              </w:rPr>
              <w:t>Court of Québec (2015 QCCQ 7948)</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25</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b/>
                <w:noProof/>
                <w:lang w:bidi="en-US"/>
              </w:rPr>
            </w:pPr>
            <w:r w:rsidRPr="00283996">
              <w:rPr>
                <w:rFonts w:cs="Times New Roman"/>
                <w:noProof/>
                <w:lang w:bidi="en-US"/>
              </w:rPr>
              <w:t xml:space="preserve">B. </w:t>
            </w:r>
            <w:r w:rsidRPr="00283996">
              <w:rPr>
                <w:rFonts w:cs="Times New Roman"/>
                <w:i/>
                <w:noProof/>
                <w:lang w:bidi="en-US"/>
              </w:rPr>
              <w:t>Quebec Court of Appeal (2017 QCCA 1919)</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27</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u w:val="single"/>
                <w:lang w:bidi="en-US"/>
                <w14:scene3d>
                  <w14:camera w14:prst="orthographicFront"/>
                  <w14:lightRig w14:rig="threePt" w14:dir="t">
                    <w14:rot w14:lat="0" w14:lon="0" w14:rev="0"/>
                  </w14:lightRig>
                </w14:scene3d>
              </w:rPr>
            </w:pPr>
            <w:r w:rsidRPr="00283996">
              <w:rPr>
                <w:rFonts w:cs="Times New Roman"/>
                <w:noProof/>
                <w:lang w:bidi="en-US"/>
              </w:rPr>
              <w:t xml:space="preserve">IV. </w:t>
            </w:r>
            <w:r w:rsidRPr="00283996">
              <w:rPr>
                <w:rFonts w:cs="Times New Roman"/>
                <w:noProof/>
                <w:u w:val="single"/>
                <w:lang w:bidi="en-US"/>
              </w:rPr>
              <w:t>Issues</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36</w:t>
            </w:r>
          </w:p>
        </w:tc>
      </w:tr>
      <w:tr w:rsidR="003011EC" w:rsidRPr="00283996" w:rsidTr="000A3F4C">
        <w:trPr>
          <w:trHeight w:val="432"/>
        </w:trPr>
        <w:tc>
          <w:tcPr>
            <w:tcW w:w="8505" w:type="dxa"/>
          </w:tcPr>
          <w:p w:rsidR="003011EC" w:rsidRPr="00283996" w:rsidRDefault="003011EC" w:rsidP="000A3F4C">
            <w:pPr>
              <w:tabs>
                <w:tab w:val="left" w:pos="1100"/>
                <w:tab w:val="right" w:leader="dot" w:pos="8270"/>
              </w:tabs>
              <w:spacing w:after="100"/>
              <w:rPr>
                <w:rFonts w:cs="Times New Roman"/>
                <w:noProof/>
                <w:u w:val="single"/>
                <w:lang w:bidi="en-US"/>
                <w14:scene3d>
                  <w14:camera w14:prst="orthographicFront"/>
                  <w14:lightRig w14:rig="threePt" w14:dir="t">
                    <w14:rot w14:lat="0" w14:lon="0" w14:rev="0"/>
                  </w14:lightRig>
                </w14:scene3d>
              </w:rPr>
            </w:pPr>
            <w:r w:rsidRPr="00283996">
              <w:rPr>
                <w:rFonts w:cs="Times New Roman"/>
                <w:noProof/>
                <w:lang w:bidi="en-US"/>
              </w:rPr>
              <w:t xml:space="preserve">V. </w:t>
            </w:r>
            <w:r w:rsidRPr="00283996">
              <w:rPr>
                <w:rFonts w:cs="Times New Roman"/>
                <w:noProof/>
                <w:u w:val="single"/>
                <w:lang w:bidi="en-US"/>
              </w:rPr>
              <w:t>Analysis</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37</w:t>
            </w:r>
          </w:p>
        </w:tc>
      </w:tr>
      <w:tr w:rsidR="003011EC" w:rsidRPr="00283996" w:rsidTr="000A3F4C">
        <w:trPr>
          <w:trHeight w:val="432"/>
        </w:trPr>
        <w:tc>
          <w:tcPr>
            <w:tcW w:w="8505" w:type="dxa"/>
          </w:tcPr>
          <w:p w:rsidR="003011EC" w:rsidRPr="00283996" w:rsidRDefault="003011EC" w:rsidP="000A3F4C">
            <w:pPr>
              <w:tabs>
                <w:tab w:val="left" w:pos="1100"/>
                <w:tab w:val="right" w:leader="dot" w:pos="8270"/>
              </w:tabs>
              <w:spacing w:after="100"/>
              <w:rPr>
                <w:rFonts w:cs="Times New Roman"/>
                <w:noProof/>
                <w:lang w:bidi="en-US"/>
                <w14:scene3d>
                  <w14:camera w14:prst="orthographicFront"/>
                  <w14:lightRig w14:rig="threePt" w14:dir="t">
                    <w14:rot w14:lat="0" w14:lon="0" w14:rev="0"/>
                  </w14:lightRig>
                </w14:scene3d>
              </w:rPr>
            </w:pPr>
            <w:r w:rsidRPr="00283996">
              <w:rPr>
                <w:rFonts w:cs="Times New Roman"/>
                <w:noProof/>
                <w:lang w:bidi="en-US"/>
              </w:rPr>
              <w:t>A.</w:t>
            </w:r>
            <w:r w:rsidRPr="00283996">
              <w:rPr>
                <w:rFonts w:cs="Times New Roman"/>
              </w:rPr>
              <w:t xml:space="preserve"> </w:t>
            </w:r>
            <w:r w:rsidRPr="00283996">
              <w:rPr>
                <w:rFonts w:cs="Times New Roman"/>
                <w:i/>
              </w:rPr>
              <w:t>Civil Liability of the Police Under Quebec Law</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37</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sz w:val="22"/>
              </w:rPr>
            </w:pPr>
            <w:r w:rsidRPr="00283996">
              <w:rPr>
                <w:rFonts w:cs="Times New Roman"/>
                <w:noProof/>
                <w:lang w:bidi="en-US"/>
              </w:rPr>
              <w:t>(1)</w:t>
            </w:r>
            <w:r w:rsidRPr="00283996">
              <w:rPr>
                <w:rFonts w:cs="Times New Roman"/>
              </w:rPr>
              <w:t xml:space="preserve"> </w:t>
            </w:r>
            <w:r w:rsidRPr="00283996">
              <w:rPr>
                <w:rFonts w:cs="Times New Roman"/>
                <w:noProof/>
                <w:u w:val="single"/>
                <w:lang w:bidi="en-US"/>
              </w:rPr>
              <w:t>Application of the General Rules in Article 1457 </w:t>
            </w:r>
            <w:r w:rsidRPr="00283996">
              <w:rPr>
                <w:rFonts w:cs="Times New Roman"/>
                <w:i/>
                <w:noProof/>
                <w:u w:val="single"/>
                <w:lang w:bidi="en-US"/>
              </w:rPr>
              <w:t>C.C.Q.</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37</w:t>
            </w:r>
          </w:p>
        </w:tc>
      </w:tr>
      <w:tr w:rsidR="003011EC" w:rsidRPr="00283996" w:rsidTr="000A3F4C">
        <w:trPr>
          <w:trHeight w:val="432"/>
        </w:trPr>
        <w:tc>
          <w:tcPr>
            <w:tcW w:w="8505" w:type="dxa"/>
          </w:tcPr>
          <w:p w:rsidR="003011EC" w:rsidRPr="00283996" w:rsidRDefault="003011EC" w:rsidP="000A3F4C">
            <w:pPr>
              <w:tabs>
                <w:tab w:val="left" w:pos="1100"/>
                <w:tab w:val="right" w:leader="dot" w:pos="8270"/>
              </w:tabs>
              <w:spacing w:after="100"/>
              <w:rPr>
                <w:rFonts w:cs="Times New Roman"/>
                <w:noProof/>
                <w:lang w:bidi="en-US"/>
              </w:rPr>
            </w:pPr>
            <w:r w:rsidRPr="00283996">
              <w:rPr>
                <w:rFonts w:cs="Times New Roman"/>
                <w:noProof/>
                <w:lang w:bidi="en-US"/>
              </w:rPr>
              <w:t>(2)</w:t>
            </w:r>
            <w:r w:rsidRPr="00283996">
              <w:rPr>
                <w:rFonts w:cs="Times New Roman"/>
              </w:rPr>
              <w:t xml:space="preserve"> </w:t>
            </w:r>
            <w:r w:rsidRPr="00283996">
              <w:rPr>
                <w:rFonts w:cs="Times New Roman"/>
                <w:noProof/>
                <w:u w:val="single"/>
                <w:lang w:bidi="en-US"/>
              </w:rPr>
              <w:t>Civil Fault and the Reasonable Police Officer Test</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42</w:t>
            </w:r>
          </w:p>
        </w:tc>
      </w:tr>
      <w:tr w:rsidR="003011EC" w:rsidRPr="00283996" w:rsidTr="000A3F4C">
        <w:trPr>
          <w:trHeight w:val="432"/>
        </w:trPr>
        <w:tc>
          <w:tcPr>
            <w:tcW w:w="8505" w:type="dxa"/>
          </w:tcPr>
          <w:p w:rsidR="003011EC" w:rsidRPr="00283996" w:rsidRDefault="003011EC" w:rsidP="000A3F4C">
            <w:pPr>
              <w:tabs>
                <w:tab w:val="left" w:pos="1100"/>
                <w:tab w:val="right" w:leader="dot" w:pos="8270"/>
              </w:tabs>
              <w:spacing w:after="100"/>
              <w:rPr>
                <w:rFonts w:cs="Times New Roman"/>
                <w:noProof/>
                <w:lang w:bidi="en-US"/>
                <w14:scene3d>
                  <w14:camera w14:prst="orthographicFront"/>
                  <w14:lightRig w14:rig="threePt" w14:dir="t">
                    <w14:rot w14:lat="0" w14:lon="0" w14:rev="0"/>
                  </w14:lightRig>
                </w14:scene3d>
              </w:rPr>
            </w:pPr>
            <w:r w:rsidRPr="00283996">
              <w:rPr>
                <w:rFonts w:cs="Times New Roman"/>
                <w:noProof/>
                <w:lang w:bidi="en-US"/>
              </w:rPr>
              <w:t>B.</w:t>
            </w:r>
            <w:r w:rsidRPr="00283996">
              <w:rPr>
                <w:rFonts w:cs="Times New Roman"/>
              </w:rPr>
              <w:t xml:space="preserve"> </w:t>
            </w:r>
            <w:r w:rsidRPr="00283996">
              <w:rPr>
                <w:rFonts w:cs="Times New Roman"/>
                <w:i/>
                <w:noProof/>
                <w:lang w:bidi="en-US"/>
              </w:rPr>
              <w:t>Liability of Constable Camacho and the City</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53</w:t>
            </w:r>
          </w:p>
        </w:tc>
      </w:tr>
      <w:tr w:rsidR="003011EC" w:rsidRPr="00283996" w:rsidTr="000A3F4C">
        <w:trPr>
          <w:trHeight w:val="432"/>
        </w:trPr>
        <w:tc>
          <w:tcPr>
            <w:tcW w:w="8505" w:type="dxa"/>
          </w:tcPr>
          <w:p w:rsidR="003011EC" w:rsidRPr="00283996" w:rsidRDefault="003011EC" w:rsidP="000A3F4C">
            <w:pPr>
              <w:tabs>
                <w:tab w:val="left" w:pos="1100"/>
                <w:tab w:val="right" w:leader="dot" w:pos="8270"/>
              </w:tabs>
              <w:spacing w:after="100"/>
              <w:rPr>
                <w:rFonts w:cs="Times New Roman"/>
                <w:noProof/>
                <w:lang w:bidi="en-US"/>
                <w14:scene3d>
                  <w14:camera w14:prst="orthographicFront"/>
                  <w14:lightRig w14:rig="threePt" w14:dir="t">
                    <w14:rot w14:lat="0" w14:lon="0" w14:rev="0"/>
                  </w14:lightRig>
                </w14:scene3d>
              </w:rPr>
            </w:pPr>
            <w:r w:rsidRPr="00283996">
              <w:rPr>
                <w:rFonts w:cs="Times New Roman"/>
                <w:noProof/>
                <w:lang w:bidi="en-US"/>
              </w:rPr>
              <w:t xml:space="preserve">(1) </w:t>
            </w:r>
            <w:r w:rsidRPr="00283996">
              <w:rPr>
                <w:rFonts w:cs="Times New Roman"/>
                <w:noProof/>
                <w:u w:val="single"/>
                <w:lang w:bidi="en-US"/>
              </w:rPr>
              <w:t>Obligation of Police Officers to Know and Understand the Law</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55</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lang w:bidi="en-US"/>
              </w:rPr>
            </w:pPr>
            <w:r w:rsidRPr="00283996">
              <w:rPr>
                <w:rFonts w:cs="Times New Roman"/>
                <w:noProof/>
                <w:lang w:bidi="en-US"/>
              </w:rPr>
              <w:t xml:space="preserve">(2) </w:t>
            </w:r>
            <w:r w:rsidRPr="00283996">
              <w:rPr>
                <w:rFonts w:cs="Times New Roman"/>
                <w:noProof/>
                <w:u w:val="single"/>
                <w:lang w:bidi="en-US"/>
              </w:rPr>
              <w:t>Presumption of Validity and Non</w:t>
            </w:r>
            <w:r w:rsidRPr="00283996">
              <w:rPr>
                <w:rFonts w:cs="Times New Roman"/>
                <w:noProof/>
                <w:u w:val="single"/>
                <w:lang w:bidi="en-US"/>
              </w:rPr>
              <w:noBreakHyphen/>
              <w:t>existence of an Offence</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67</w:t>
            </w:r>
          </w:p>
        </w:tc>
      </w:tr>
      <w:tr w:rsidR="003011EC" w:rsidRPr="00283996" w:rsidTr="000A3F4C">
        <w:trPr>
          <w:trHeight w:val="432"/>
        </w:trPr>
        <w:tc>
          <w:tcPr>
            <w:tcW w:w="8505" w:type="dxa"/>
          </w:tcPr>
          <w:p w:rsidR="003011EC" w:rsidRPr="00283996" w:rsidRDefault="003011EC" w:rsidP="000A3F4C">
            <w:pPr>
              <w:tabs>
                <w:tab w:val="left" w:pos="1100"/>
                <w:tab w:val="right" w:leader="dot" w:pos="8270"/>
              </w:tabs>
              <w:spacing w:after="100"/>
              <w:rPr>
                <w:rFonts w:cs="Times New Roman"/>
                <w:noProof/>
                <w:lang w:bidi="en-US"/>
              </w:rPr>
            </w:pPr>
            <w:r w:rsidRPr="00283996">
              <w:rPr>
                <w:rFonts w:cs="Times New Roman"/>
                <w:noProof/>
                <w:lang w:bidi="en-US"/>
              </w:rPr>
              <w:t xml:space="preserve">(3) </w:t>
            </w:r>
            <w:r w:rsidRPr="00283996">
              <w:rPr>
                <w:rFonts w:cs="Times New Roman"/>
                <w:noProof/>
                <w:u w:val="single"/>
                <w:lang w:bidi="en-US"/>
              </w:rPr>
              <w:t>Application to the Facts</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75</w:t>
            </w:r>
          </w:p>
        </w:tc>
      </w:tr>
      <w:tr w:rsidR="003011EC" w:rsidRPr="00283996" w:rsidTr="000A3F4C">
        <w:trPr>
          <w:trHeight w:val="432"/>
        </w:trPr>
        <w:tc>
          <w:tcPr>
            <w:tcW w:w="8505" w:type="dxa"/>
          </w:tcPr>
          <w:p w:rsidR="003011EC" w:rsidRPr="00283996" w:rsidRDefault="003011EC" w:rsidP="000A3F4C">
            <w:pPr>
              <w:tabs>
                <w:tab w:val="left" w:pos="1100"/>
                <w:tab w:val="right" w:leader="dot" w:pos="8270"/>
              </w:tabs>
              <w:spacing w:after="100"/>
              <w:rPr>
                <w:rFonts w:cs="Times New Roman"/>
                <w:noProof/>
                <w:lang w:bidi="en-US"/>
                <w14:scene3d>
                  <w14:camera w14:prst="orthographicFront"/>
                  <w14:lightRig w14:rig="threePt" w14:dir="t">
                    <w14:rot w14:lat="0" w14:lon="0" w14:rev="0"/>
                  </w14:lightRig>
                </w14:scene3d>
              </w:rPr>
            </w:pPr>
            <w:r w:rsidRPr="00283996">
              <w:rPr>
                <w:rFonts w:cs="Times New Roman"/>
                <w:noProof/>
                <w:lang w:bidi="en-US"/>
              </w:rPr>
              <w:t xml:space="preserve">C. </w:t>
            </w:r>
            <w:r w:rsidRPr="00283996">
              <w:rPr>
                <w:rFonts w:cs="Times New Roman"/>
                <w:i/>
                <w:noProof/>
                <w:lang w:bidi="en-US"/>
              </w:rPr>
              <w:t>Liability of the STM</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105</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sz w:val="22"/>
              </w:rPr>
            </w:pPr>
            <w:r w:rsidRPr="00283996">
              <w:rPr>
                <w:rFonts w:cs="Times New Roman"/>
                <w:noProof/>
                <w:lang w:bidi="en-US"/>
              </w:rPr>
              <w:t xml:space="preserve">(1) </w:t>
            </w:r>
            <w:r w:rsidRPr="00283996">
              <w:rPr>
                <w:rFonts w:cs="Times New Roman"/>
                <w:noProof/>
                <w:u w:val="single"/>
                <w:lang w:bidi="en-US"/>
              </w:rPr>
              <w:t>Relative Immunity in the Exercise of a Regulatory Power</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106</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lang w:bidi="en-US"/>
              </w:rPr>
            </w:pPr>
            <w:r w:rsidRPr="00283996">
              <w:rPr>
                <w:rFonts w:cs="Times New Roman"/>
                <w:noProof/>
                <w:lang w:bidi="en-US"/>
              </w:rPr>
              <w:t xml:space="preserve">(2) </w:t>
            </w:r>
            <w:r w:rsidRPr="00283996">
              <w:rPr>
                <w:rFonts w:cs="Times New Roman"/>
                <w:noProof/>
                <w:u w:val="single"/>
                <w:lang w:bidi="en-US"/>
              </w:rPr>
              <w:t>Direct Fault of the STM</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111</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sz w:val="22"/>
              </w:rPr>
            </w:pPr>
            <w:r w:rsidRPr="00283996">
              <w:rPr>
                <w:rFonts w:cs="Times New Roman"/>
                <w:noProof/>
                <w:lang w:bidi="en-US"/>
              </w:rPr>
              <w:lastRenderedPageBreak/>
              <w:t>(3)</w:t>
            </w:r>
            <w:r w:rsidRPr="00283996">
              <w:rPr>
                <w:rFonts w:cs="Times New Roman"/>
                <w:noProof/>
              </w:rPr>
              <w:t xml:space="preserve"> </w:t>
            </w:r>
            <w:r w:rsidRPr="00283996">
              <w:rPr>
                <w:rFonts w:cs="Times New Roman"/>
                <w:u w:val="single"/>
                <w:lang w:bidi="en-US"/>
              </w:rPr>
              <w:t xml:space="preserve">Liability of the STM as </w:t>
            </w:r>
            <w:proofErr w:type="spellStart"/>
            <w:r w:rsidRPr="00283996">
              <w:rPr>
                <w:rFonts w:cs="Times New Roman"/>
                <w:u w:val="single"/>
                <w:lang w:bidi="en-US"/>
              </w:rPr>
              <w:t>Mandator</w:t>
            </w:r>
            <w:proofErr w:type="spellEnd"/>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118</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lang w:bidi="en-US"/>
              </w:rPr>
            </w:pPr>
            <w:r w:rsidRPr="00283996">
              <w:rPr>
                <w:rFonts w:cs="Times New Roman"/>
                <w:noProof/>
                <w:lang w:bidi="en-US"/>
              </w:rPr>
              <w:t xml:space="preserve">D. </w:t>
            </w:r>
            <w:r w:rsidRPr="00283996">
              <w:rPr>
                <w:rFonts w:cs="Times New Roman"/>
                <w:i/>
                <w:noProof/>
                <w:lang w:bidi="en-US"/>
              </w:rPr>
              <w:t>Apportionment of Liability</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128</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lang w:bidi="en-US"/>
              </w:rPr>
            </w:pPr>
            <w:r w:rsidRPr="00283996">
              <w:rPr>
                <w:rFonts w:cs="Times New Roman"/>
                <w:noProof/>
                <w:lang w:bidi="en-US"/>
              </w:rPr>
              <w:t xml:space="preserve">E. </w:t>
            </w:r>
            <w:r w:rsidRPr="00283996">
              <w:rPr>
                <w:rFonts w:cs="Times New Roman"/>
                <w:i/>
                <w:noProof/>
                <w:lang w:bidi="en-US"/>
              </w:rPr>
              <w:t>Injury and the Amount of Damages</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138</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spacing w:after="100"/>
              <w:rPr>
                <w:rFonts w:cs="Times New Roman"/>
                <w:noProof/>
                <w:lang w:bidi="en-US"/>
              </w:rPr>
            </w:pPr>
            <w:r w:rsidRPr="00283996">
              <w:rPr>
                <w:rFonts w:cs="Times New Roman"/>
                <w:noProof/>
                <w:lang w:bidi="en-US"/>
              </w:rPr>
              <w:t xml:space="preserve">VI. </w:t>
            </w:r>
            <w:r w:rsidRPr="00283996">
              <w:rPr>
                <w:rFonts w:cs="Times New Roman"/>
                <w:noProof/>
                <w:u w:val="single"/>
                <w:lang w:bidi="en-US"/>
              </w:rPr>
              <w:t>Conclusion</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r w:rsidRPr="00283996">
              <w:rPr>
                <w:rFonts w:cs="Times New Roman"/>
                <w:lang w:bidi="en-US"/>
              </w:rPr>
              <w:t>141</w:t>
            </w:r>
          </w:p>
        </w:tc>
      </w:tr>
      <w:tr w:rsidR="003011EC" w:rsidRPr="00283996" w:rsidTr="000A3F4C">
        <w:trPr>
          <w:trHeight w:val="432"/>
        </w:trPr>
        <w:tc>
          <w:tcPr>
            <w:tcW w:w="8505" w:type="dxa"/>
          </w:tcPr>
          <w:p w:rsidR="003011EC" w:rsidRPr="00283996" w:rsidRDefault="003011EC" w:rsidP="000A3F4C">
            <w:pPr>
              <w:tabs>
                <w:tab w:val="left" w:pos="480"/>
                <w:tab w:val="right" w:leader="dot" w:pos="8270"/>
              </w:tabs>
              <w:rPr>
                <w:rFonts w:cs="Times New Roman"/>
                <w:noProof/>
                <w:lang w:bidi="en-US"/>
              </w:rPr>
            </w:pPr>
            <w:r w:rsidRPr="00283996">
              <w:rPr>
                <w:rFonts w:cs="Times New Roman"/>
                <w:noProof/>
                <w:lang w:bidi="en-US"/>
              </w:rPr>
              <w:t>Appendix</w:t>
            </w:r>
          </w:p>
        </w:tc>
        <w:tc>
          <w:tcPr>
            <w:tcW w:w="846" w:type="dxa"/>
          </w:tcPr>
          <w:p w:rsidR="003011EC" w:rsidRPr="00283996" w:rsidRDefault="003011EC" w:rsidP="000A3F4C">
            <w:pPr>
              <w:tabs>
                <w:tab w:val="left" w:pos="480"/>
                <w:tab w:val="right" w:leader="dot" w:pos="8270"/>
              </w:tabs>
              <w:spacing w:after="100"/>
              <w:jc w:val="right"/>
              <w:rPr>
                <w:rFonts w:cs="Times New Roman"/>
                <w:lang w:bidi="en-US"/>
              </w:rPr>
            </w:pPr>
          </w:p>
        </w:tc>
      </w:tr>
    </w:tbl>
    <w:p w:rsidR="00D2350F" w:rsidRPr="00D2350F" w:rsidRDefault="00D2350F" w:rsidP="00D2350F">
      <w:pPr>
        <w:pStyle w:val="Title1LevelTitre1Niveau-AltL"/>
        <w:numPr>
          <w:ilvl w:val="0"/>
          <w:numId w:val="0"/>
        </w:numPr>
        <w:spacing w:before="720"/>
        <w:ind w:left="576"/>
        <w:rPr>
          <w:rFonts w:cs="Times New Roman"/>
          <w:u w:val="none"/>
          <w:lang w:val="en-US"/>
        </w:rPr>
      </w:pPr>
      <w:bookmarkStart w:id="1" w:name="_Toc14257128"/>
      <w:bookmarkStart w:id="2" w:name="_Toc24710729"/>
      <w:r w:rsidRPr="00D2350F">
        <w:rPr>
          <w:rFonts w:cs="Times New Roman"/>
          <w:u w:val="none"/>
          <w:lang w:val="en-US"/>
        </w:rPr>
        <w:t>English version of the judgment of the Court delivered by</w:t>
      </w:r>
    </w:p>
    <w:p w:rsidR="00D2350F" w:rsidRPr="00D2350F" w:rsidRDefault="00D2350F" w:rsidP="00D2350F">
      <w:pPr>
        <w:pStyle w:val="Title1LevelTitre1Niveau-AltL"/>
        <w:numPr>
          <w:ilvl w:val="0"/>
          <w:numId w:val="0"/>
        </w:numPr>
        <w:spacing w:before="720"/>
        <w:ind w:left="576" w:hanging="576"/>
        <w:rPr>
          <w:rFonts w:cs="Times New Roman"/>
          <w:u w:val="none"/>
          <w:lang w:val="en-US"/>
        </w:rPr>
      </w:pPr>
      <w:r w:rsidRPr="00D2350F">
        <w:rPr>
          <w:rFonts w:cs="Times New Roman"/>
          <w:u w:val="none"/>
          <w:lang w:val="en-US"/>
        </w:rPr>
        <w:tab/>
      </w:r>
      <w:r w:rsidRPr="00D2350F">
        <w:rPr>
          <w:rFonts w:cs="Times New Roman"/>
          <w:smallCaps/>
          <w:u w:val="none"/>
          <w:lang w:val="en-US"/>
        </w:rPr>
        <w:t>Côté J</w:t>
      </w:r>
      <w:r w:rsidRPr="00D2350F">
        <w:rPr>
          <w:rFonts w:cs="Times New Roman"/>
          <w:u w:val="none"/>
          <w:lang w:val="en-US"/>
        </w:rPr>
        <w:t>. —</w:t>
      </w:r>
    </w:p>
    <w:p w:rsidR="003011EC" w:rsidRPr="00283996" w:rsidRDefault="003011EC" w:rsidP="003011EC">
      <w:pPr>
        <w:pStyle w:val="Title1LevelTitre1Niveau-AltL"/>
        <w:numPr>
          <w:ilvl w:val="0"/>
          <w:numId w:val="8"/>
        </w:numPr>
        <w:spacing w:before="720"/>
        <w:ind w:left="578" w:hanging="578"/>
        <w:rPr>
          <w:rFonts w:cs="Times New Roman"/>
          <w:lang w:val="en-US"/>
        </w:rPr>
      </w:pPr>
      <w:r w:rsidRPr="00283996">
        <w:rPr>
          <w:rFonts w:cs="Times New Roman"/>
          <w:lang w:val="en-US"/>
        </w:rPr>
        <w:t>Overview</w:t>
      </w:r>
      <w:bookmarkEnd w:id="1"/>
      <w:bookmarkEnd w:id="2"/>
    </w:p>
    <w:p w:rsidR="003011EC" w:rsidRPr="00283996" w:rsidRDefault="003011EC" w:rsidP="000A3F4C">
      <w:pPr>
        <w:pStyle w:val="ParaNoNdepar-AltN"/>
        <w:rPr>
          <w:lang w:val="en-US"/>
        </w:rPr>
      </w:pPr>
      <w:r w:rsidRPr="00283996">
        <w:rPr>
          <w:lang w:val="en-US"/>
        </w:rPr>
        <w:t xml:space="preserve">On an evening in May 2009, the appellant, Bela </w:t>
      </w:r>
      <w:proofErr w:type="spellStart"/>
      <w:r w:rsidRPr="00283996">
        <w:rPr>
          <w:lang w:val="en-US"/>
        </w:rPr>
        <w:t>Kosoian</w:t>
      </w:r>
      <w:proofErr w:type="spellEnd"/>
      <w:r w:rsidRPr="00283996">
        <w:rPr>
          <w:lang w:val="en-US"/>
        </w:rPr>
        <w:t>, entered a subway station in order to travel to university. She took the descending escalator. Like many subway users, she did not hold the handrail. She leaned forward and rummaged through her bag. A police officer saw her and ordered her several times to hold the handrail. Ms. </w:t>
      </w:r>
      <w:proofErr w:type="spellStart"/>
      <w:r w:rsidRPr="00283996">
        <w:rPr>
          <w:lang w:val="en-US"/>
        </w:rPr>
        <w:t>Kosoian</w:t>
      </w:r>
      <w:proofErr w:type="spellEnd"/>
      <w:r w:rsidRPr="00283996">
        <w:rPr>
          <w:lang w:val="en-US"/>
        </w:rPr>
        <w:t xml:space="preserve"> refused to comply and then refused to identify herself once she reached the bottom of the escalator. A few moments later, as she tried to leave, the police officer and a colleague took her by the elbows and led her to a holding room. Given her refusal to provide a piece of identification and her agitated </w:t>
      </w:r>
      <w:proofErr w:type="spellStart"/>
      <w:r w:rsidRPr="00283996">
        <w:rPr>
          <w:lang w:val="en-US"/>
        </w:rPr>
        <w:t>behaviour</w:t>
      </w:r>
      <w:proofErr w:type="spellEnd"/>
      <w:r w:rsidRPr="00283996">
        <w:rPr>
          <w:lang w:val="en-US"/>
        </w:rPr>
        <w:t xml:space="preserve">, the police officers handcuffed her with her arms crossed behind her back and forced her to sit on a chair. After searching her bag, still without her consent, the officers finally gave her a statement of offence for $100 for disobeying a pictogram indicating that the handrail </w:t>
      </w:r>
      <w:r w:rsidRPr="00283996">
        <w:rPr>
          <w:lang w:val="en-US"/>
        </w:rPr>
        <w:lastRenderedPageBreak/>
        <w:t>should be held and another statement of offence for $320 for hindering them in their duties. Ms. </w:t>
      </w:r>
      <w:proofErr w:type="spellStart"/>
      <w:r w:rsidRPr="00283996">
        <w:rPr>
          <w:lang w:val="en-US"/>
        </w:rPr>
        <w:t>Kosoian</w:t>
      </w:r>
      <w:proofErr w:type="spellEnd"/>
      <w:r w:rsidRPr="00283996">
        <w:rPr>
          <w:lang w:val="en-US"/>
        </w:rPr>
        <w:t xml:space="preserve"> was later acquitted in the Municipal Court.</w:t>
      </w:r>
    </w:p>
    <w:p w:rsidR="003011EC" w:rsidRPr="00283996" w:rsidRDefault="003011EC" w:rsidP="003011EC">
      <w:pPr>
        <w:pStyle w:val="ParaNoNdepar-AltN"/>
        <w:spacing w:before="0"/>
        <w:rPr>
          <w:rFonts w:cs="Times New Roman"/>
          <w:lang w:val="en-US"/>
        </w:rPr>
      </w:pPr>
      <w:r w:rsidRPr="00283996">
        <w:rPr>
          <w:rFonts w:cs="Times New Roman"/>
          <w:lang w:val="en-US"/>
        </w:rPr>
        <w:t>This appeal concerns Ms. </w:t>
      </w:r>
      <w:proofErr w:type="spellStart"/>
      <w:r w:rsidRPr="00283996">
        <w:rPr>
          <w:rFonts w:cs="Times New Roman"/>
          <w:lang w:val="en-US"/>
        </w:rPr>
        <w:t>Kosoian’s</w:t>
      </w:r>
      <w:proofErr w:type="spellEnd"/>
      <w:r w:rsidRPr="00283996">
        <w:rPr>
          <w:rFonts w:cs="Times New Roman"/>
          <w:lang w:val="en-US"/>
        </w:rPr>
        <w:t xml:space="preserve"> civil liability action against the police officer who arrested her, Constable Fabio Camacho, his employer, Ville de Laval (“City”), and the authority responsible for the subway system, </w:t>
      </w:r>
      <w:proofErr w:type="spellStart"/>
      <w:r w:rsidRPr="00283996">
        <w:rPr>
          <w:rFonts w:cs="Times New Roman"/>
          <w:lang w:val="en-US"/>
        </w:rPr>
        <w:t>Société</w:t>
      </w:r>
      <w:proofErr w:type="spellEnd"/>
      <w:r w:rsidRPr="00283996">
        <w:rPr>
          <w:rFonts w:cs="Times New Roman"/>
          <w:lang w:val="en-US"/>
        </w:rPr>
        <w:t xml:space="preserve"> de transport de Montréal (“STM”). Ms. </w:t>
      </w:r>
      <w:proofErr w:type="spellStart"/>
      <w:r w:rsidRPr="00283996">
        <w:rPr>
          <w:rFonts w:cs="Times New Roman"/>
          <w:lang w:val="en-US"/>
        </w:rPr>
        <w:t>Kosoian</w:t>
      </w:r>
      <w:proofErr w:type="spellEnd"/>
      <w:r w:rsidRPr="00283996">
        <w:rPr>
          <w:rFonts w:cs="Times New Roman"/>
          <w:lang w:val="en-US"/>
        </w:rPr>
        <w:t xml:space="preserve"> submits that not only was the arrest unlawful and unreasonable, but it also constituted a fault. She argues that holding the handrail was not an obligation under a by</w:t>
      </w:r>
      <w:r w:rsidRPr="00283996">
        <w:rPr>
          <w:rFonts w:cs="Times New Roman"/>
          <w:lang w:val="en-US"/>
        </w:rPr>
        <w:noBreakHyphen/>
        <w:t>law, but simply a warning. Furthermore, a reasonable police officer in the same circumstances would not have acted in such a manner.</w:t>
      </w:r>
    </w:p>
    <w:p w:rsidR="003011EC" w:rsidRPr="00283996" w:rsidRDefault="003011EC" w:rsidP="003011EC">
      <w:pPr>
        <w:pStyle w:val="ParaNoNdepar-AltN"/>
        <w:spacing w:before="0"/>
        <w:rPr>
          <w:rFonts w:cs="Times New Roman"/>
          <w:lang w:val="en-US"/>
        </w:rPr>
      </w:pPr>
      <w:r w:rsidRPr="00283996">
        <w:rPr>
          <w:rFonts w:cs="Times New Roman"/>
          <w:lang w:val="en-US"/>
        </w:rPr>
        <w:t>The courts below rejected Ms. </w:t>
      </w:r>
      <w:proofErr w:type="spellStart"/>
      <w:r w:rsidRPr="00283996">
        <w:rPr>
          <w:rFonts w:cs="Times New Roman"/>
          <w:lang w:val="en-US"/>
        </w:rPr>
        <w:t>Kosoian’s</w:t>
      </w:r>
      <w:proofErr w:type="spellEnd"/>
      <w:r w:rsidRPr="00283996">
        <w:rPr>
          <w:rFonts w:cs="Times New Roman"/>
          <w:lang w:val="en-US"/>
        </w:rPr>
        <w:t xml:space="preserve"> arguments and found that the respondents, Constable Camacho, the City and the STM, had not incurred any civil liability. In their view, Ms. </w:t>
      </w:r>
      <w:proofErr w:type="spellStart"/>
      <w:r w:rsidRPr="00283996">
        <w:rPr>
          <w:rFonts w:cs="Times New Roman"/>
          <w:lang w:val="en-US"/>
        </w:rPr>
        <w:t>Kosoian</w:t>
      </w:r>
      <w:proofErr w:type="spellEnd"/>
      <w:r w:rsidRPr="00283996">
        <w:rPr>
          <w:rFonts w:cs="Times New Roman"/>
          <w:lang w:val="en-US"/>
        </w:rPr>
        <w:t xml:space="preserve"> had instead been the author of her own misfortune by refusing to cooperate.</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 disagree. With respect, the courts below erred in law in presuming the very existence of the alleged offence. The majority of the Quebec Court of Appeal could not rely on the presumption of validity applicable to the STM’s </w:t>
      </w:r>
      <w:r w:rsidRPr="00283996">
        <w:rPr>
          <w:rFonts w:cs="Times New Roman"/>
          <w:i/>
          <w:lang w:val="en-US"/>
        </w:rPr>
        <w:t>By</w:t>
      </w:r>
      <w:r w:rsidRPr="00283996">
        <w:rPr>
          <w:rFonts w:cs="Times New Roman"/>
          <w:i/>
          <w:lang w:val="en-US"/>
        </w:rPr>
        <w:noBreakHyphen/>
        <w:t xml:space="preserve">law on the standards of safety and conduct to be observed by persons in the rolling stock and buildings operated by or for the </w:t>
      </w:r>
      <w:proofErr w:type="spellStart"/>
      <w:r w:rsidRPr="00283996">
        <w:rPr>
          <w:rFonts w:cs="Times New Roman"/>
          <w:i/>
          <w:lang w:val="en-US"/>
        </w:rPr>
        <w:t>Société</w:t>
      </w:r>
      <w:proofErr w:type="spellEnd"/>
      <w:r w:rsidRPr="00283996">
        <w:rPr>
          <w:rFonts w:cs="Times New Roman"/>
          <w:i/>
          <w:lang w:val="en-US"/>
        </w:rPr>
        <w:t xml:space="preserve"> de transport de Montréal</w:t>
      </w:r>
      <w:r w:rsidRPr="00283996">
        <w:rPr>
          <w:rFonts w:cs="Times New Roman"/>
          <w:lang w:val="en-US"/>
        </w:rPr>
        <w:t xml:space="preserve"> (“By</w:t>
      </w:r>
      <w:r w:rsidRPr="00283996">
        <w:rPr>
          <w:rFonts w:cs="Times New Roman"/>
          <w:lang w:val="en-US"/>
        </w:rPr>
        <w:noBreakHyphen/>
        <w:t>law R</w:t>
      </w:r>
      <w:r w:rsidRPr="00283996">
        <w:rPr>
          <w:rFonts w:cs="Times New Roman"/>
          <w:lang w:val="en-US"/>
        </w:rPr>
        <w:noBreakHyphen/>
        <w:t>036”) to support the reasonableness of Constable Camacho’s belief in the existence in law of the alleged offence. The basis for the action instituted by Ms. </w:t>
      </w:r>
      <w:proofErr w:type="spellStart"/>
      <w:r w:rsidRPr="00283996">
        <w:rPr>
          <w:rFonts w:cs="Times New Roman"/>
          <w:lang w:val="en-US"/>
        </w:rPr>
        <w:t>Kosoian</w:t>
      </w:r>
      <w:proofErr w:type="spellEnd"/>
      <w:r w:rsidRPr="00283996">
        <w:rPr>
          <w:rFonts w:cs="Times New Roman"/>
          <w:lang w:val="en-US"/>
        </w:rPr>
        <w:t xml:space="preserve"> is not that the by</w:t>
      </w:r>
      <w:r w:rsidRPr="00283996">
        <w:rPr>
          <w:rFonts w:cs="Times New Roman"/>
          <w:lang w:val="en-US"/>
        </w:rPr>
        <w:noBreakHyphen/>
        <w:t xml:space="preserve">law is invalid, but rather that it does not create the offence alleged against her. In </w:t>
      </w:r>
      <w:r w:rsidRPr="00283996">
        <w:rPr>
          <w:rFonts w:cs="Times New Roman"/>
          <w:lang w:val="en-US"/>
        </w:rPr>
        <w:lastRenderedPageBreak/>
        <w:t>other words, she argues that that offence does not exist in law; yet the presumption that a by</w:t>
      </w:r>
      <w:r w:rsidRPr="00283996">
        <w:rPr>
          <w:rFonts w:cs="Times New Roman"/>
          <w:lang w:val="en-US"/>
        </w:rPr>
        <w:noBreakHyphen/>
        <w:t>law is valid does not extend to the very existence or scope of an offence. I would add that the validity of the by</w:t>
      </w:r>
      <w:r w:rsidRPr="00283996">
        <w:rPr>
          <w:rFonts w:cs="Times New Roman"/>
          <w:lang w:val="en-US"/>
        </w:rPr>
        <w:noBreakHyphen/>
        <w:t>law is not challenged in this case and is therefore not a matter I need to address.</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In my view, a reasonable police officer in the same circumstances would not have considered failure to hold the handrail to be an offence. Constable Camacho therefore committed a fault when he took hold of </w:t>
      </w:r>
      <w:r w:rsidRPr="00283996">
        <w:rPr>
          <w:rStyle w:val="Italic"/>
          <w:rFonts w:cs="Times New Roman"/>
          <w:i w:val="0"/>
          <w:lang w:val="en-US"/>
        </w:rPr>
        <w:t>Ms. </w:t>
      </w:r>
      <w:proofErr w:type="spellStart"/>
      <w:r w:rsidRPr="00283996">
        <w:rPr>
          <w:rStyle w:val="Italic"/>
          <w:rFonts w:cs="Times New Roman"/>
          <w:i w:val="0"/>
          <w:lang w:val="en-US"/>
        </w:rPr>
        <w:t>Kosoian</w:t>
      </w:r>
      <w:proofErr w:type="spellEnd"/>
      <w:r w:rsidRPr="00283996">
        <w:rPr>
          <w:rStyle w:val="Italic"/>
          <w:rFonts w:cs="Times New Roman"/>
          <w:i w:val="0"/>
          <w:lang w:val="en-US"/>
        </w:rPr>
        <w:t xml:space="preserve"> in order to prevent her from leaving and detained her in the holding room</w:t>
      </w:r>
      <w:r w:rsidRPr="00283996">
        <w:rPr>
          <w:rFonts w:cs="Times New Roman"/>
          <w:i/>
          <w:lang w:val="en-US"/>
        </w:rPr>
        <w:t>.</w:t>
      </w:r>
      <w:r w:rsidRPr="00283996">
        <w:rPr>
          <w:rFonts w:cs="Times New Roman"/>
          <w:lang w:val="en-US"/>
        </w:rPr>
        <w:t xml:space="preserve"> The STM, for its part, committed a fault by teaching police officers that the pictogram in question imposed an obligation to hold the handrail, a fault that explains — at least in part — Constable Camacho’s conduct. Finally, as the police officer’s principal, the City must be held liable for his fault. As for Ms. </w:t>
      </w:r>
      <w:proofErr w:type="spellStart"/>
      <w:r w:rsidRPr="00283996">
        <w:rPr>
          <w:rFonts w:cs="Times New Roman"/>
          <w:lang w:val="en-US"/>
        </w:rPr>
        <w:t>Kosoian</w:t>
      </w:r>
      <w:proofErr w:type="spellEnd"/>
      <w:r w:rsidRPr="00283996">
        <w:rPr>
          <w:rFonts w:cs="Times New Roman"/>
          <w:lang w:val="en-US"/>
        </w:rPr>
        <w:t>, she was entitled to refuse to obey an unlawful order, and she therefore committed no fault that would justify an apportionment of liability.</w:t>
      </w:r>
    </w:p>
    <w:p w:rsidR="003011EC" w:rsidRPr="00283996" w:rsidRDefault="003011EC" w:rsidP="003011EC">
      <w:pPr>
        <w:pStyle w:val="ParaNoNdepar-AltN"/>
        <w:spacing w:before="0"/>
        <w:rPr>
          <w:rFonts w:cs="Times New Roman"/>
          <w:lang w:val="en-US"/>
        </w:rPr>
      </w:pPr>
      <w:r w:rsidRPr="00283996">
        <w:rPr>
          <w:rFonts w:cs="Times New Roman"/>
          <w:lang w:val="en-US"/>
        </w:rPr>
        <w:t>In a free and democratic society, police officers may interfere with the exercise of individual freedoms only to the extent provided for by law. Every person can therefore legitimately expect that police officers who deal with him or her will comply with the law in force, which necessarily requires them to know the statutes, regulations and by</w:t>
      </w:r>
      <w:r w:rsidRPr="00283996">
        <w:rPr>
          <w:rFonts w:cs="Times New Roman"/>
          <w:lang w:val="en-US"/>
        </w:rPr>
        <w:noBreakHyphen/>
        <w:t>laws they are called upon to enforce. Police officers are thus obliged to have an adequate knowledge and understanding of the statutes, regulations and by</w:t>
      </w:r>
      <w:r w:rsidRPr="00283996">
        <w:rPr>
          <w:rFonts w:cs="Times New Roman"/>
          <w:lang w:val="en-US"/>
        </w:rPr>
        <w:noBreakHyphen/>
        <w:t xml:space="preserve">laws they have to enforce. Police forces and municipal bodies have a correlative obligation to provide police officers with proper training, including with respect to the </w:t>
      </w:r>
      <w:r w:rsidRPr="00283996">
        <w:rPr>
          <w:rFonts w:cs="Times New Roman"/>
          <w:lang w:val="en-US"/>
        </w:rPr>
        <w:lastRenderedPageBreak/>
        <w:t>law in force. Under Quebec law, a breach of these obligations may, depending on the circumstances, constitute a civil fault.</w:t>
      </w:r>
    </w:p>
    <w:p w:rsidR="003011EC" w:rsidRPr="00283996" w:rsidRDefault="003011EC" w:rsidP="003011EC">
      <w:pPr>
        <w:pStyle w:val="ParaNoNdepar-AltN"/>
        <w:spacing w:before="0"/>
        <w:rPr>
          <w:rFonts w:cs="Times New Roman"/>
          <w:lang w:val="en-US"/>
        </w:rPr>
      </w:pPr>
      <w:r w:rsidRPr="00283996">
        <w:rPr>
          <w:rFonts w:cs="Times New Roman"/>
          <w:lang w:val="en-US"/>
        </w:rPr>
        <w:t>That is the case here. Ms. </w:t>
      </w:r>
      <w:proofErr w:type="spellStart"/>
      <w:r w:rsidRPr="00283996">
        <w:rPr>
          <w:rFonts w:cs="Times New Roman"/>
          <w:lang w:val="en-US"/>
        </w:rPr>
        <w:t>Kosoian’s</w:t>
      </w:r>
      <w:proofErr w:type="spellEnd"/>
      <w:r w:rsidRPr="00283996">
        <w:rPr>
          <w:rFonts w:cs="Times New Roman"/>
          <w:lang w:val="en-US"/>
        </w:rPr>
        <w:t xml:space="preserve"> appeal must therefore be allowed against the three respondents, with costs throughout.</w:t>
      </w:r>
    </w:p>
    <w:p w:rsidR="003011EC" w:rsidRPr="00283996" w:rsidRDefault="003011EC" w:rsidP="003011EC">
      <w:pPr>
        <w:pStyle w:val="Title1LevelTitre1Niveau-AltL"/>
        <w:widowControl w:val="0"/>
        <w:numPr>
          <w:ilvl w:val="0"/>
          <w:numId w:val="8"/>
        </w:numPr>
        <w:spacing w:before="0"/>
        <w:rPr>
          <w:rFonts w:cs="Times New Roman"/>
          <w:lang w:val="en-US"/>
        </w:rPr>
      </w:pPr>
      <w:bookmarkStart w:id="3" w:name="_Toc14257129"/>
      <w:bookmarkStart w:id="4" w:name="_Toc24710730"/>
      <w:r w:rsidRPr="00283996">
        <w:rPr>
          <w:rFonts w:cs="Times New Roman"/>
          <w:lang w:val="en-US"/>
        </w:rPr>
        <w:t>Background</w:t>
      </w:r>
      <w:bookmarkEnd w:id="3"/>
      <w:bookmarkEnd w:id="4"/>
    </w:p>
    <w:p w:rsidR="003011EC" w:rsidRPr="00283996" w:rsidRDefault="003011EC" w:rsidP="003011EC">
      <w:pPr>
        <w:pStyle w:val="ParaNoNdepar-AltN"/>
        <w:spacing w:before="0"/>
        <w:rPr>
          <w:rFonts w:cs="Times New Roman"/>
          <w:lang w:val="en-US"/>
        </w:rPr>
      </w:pPr>
      <w:r w:rsidRPr="00283996">
        <w:rPr>
          <w:rFonts w:cs="Times New Roman"/>
          <w:lang w:val="en-US"/>
        </w:rPr>
        <w:t>On May 13, 2009 at 5:05 p.m., Ms. </w:t>
      </w:r>
      <w:proofErr w:type="spellStart"/>
      <w:r w:rsidRPr="00283996">
        <w:rPr>
          <w:rFonts w:cs="Times New Roman"/>
          <w:lang w:val="en-US"/>
        </w:rPr>
        <w:t>Kosoian</w:t>
      </w:r>
      <w:proofErr w:type="spellEnd"/>
      <w:r w:rsidRPr="00283996">
        <w:rPr>
          <w:rFonts w:cs="Times New Roman"/>
          <w:lang w:val="en-US"/>
        </w:rPr>
        <w:t>, a 38</w:t>
      </w:r>
      <w:r w:rsidRPr="00283996">
        <w:rPr>
          <w:rFonts w:cs="Times New Roman"/>
          <w:lang w:val="en-US"/>
        </w:rPr>
        <w:noBreakHyphen/>
        <w:t>year</w:t>
      </w:r>
      <w:r w:rsidRPr="00283996">
        <w:rPr>
          <w:rFonts w:cs="Times New Roman"/>
          <w:lang w:val="en-US"/>
        </w:rPr>
        <w:noBreakHyphen/>
        <w:t xml:space="preserve">old student and mother, was in the Montmorency subway station in Laval. She planned to take the Montréal subway to travel to the </w:t>
      </w:r>
      <w:proofErr w:type="spellStart"/>
      <w:r w:rsidRPr="00283996">
        <w:rPr>
          <w:rFonts w:cs="Times New Roman"/>
          <w:lang w:val="en-US"/>
        </w:rPr>
        <w:t>Université</w:t>
      </w:r>
      <w:proofErr w:type="spellEnd"/>
      <w:r w:rsidRPr="00283996">
        <w:rPr>
          <w:rFonts w:cs="Times New Roman"/>
          <w:lang w:val="en-US"/>
        </w:rPr>
        <w:t xml:space="preserve"> du Québec à Montréal to attend a class.</w:t>
      </w:r>
    </w:p>
    <w:p w:rsidR="003011EC" w:rsidRPr="00283996" w:rsidRDefault="003011EC" w:rsidP="003011EC">
      <w:pPr>
        <w:pStyle w:val="ParaNoNdepar-AltN"/>
        <w:spacing w:before="0"/>
        <w:rPr>
          <w:rFonts w:cs="Times New Roman"/>
          <w:lang w:val="en-US"/>
        </w:rPr>
      </w:pPr>
      <w:r w:rsidRPr="00283996">
        <w:rPr>
          <w:rFonts w:cs="Times New Roman"/>
          <w:lang w:val="en-US"/>
        </w:rPr>
        <w:t>Ms. </w:t>
      </w:r>
      <w:proofErr w:type="spellStart"/>
      <w:r w:rsidRPr="00283996">
        <w:rPr>
          <w:rFonts w:cs="Times New Roman"/>
          <w:lang w:val="en-US"/>
        </w:rPr>
        <w:t>Kosoian</w:t>
      </w:r>
      <w:proofErr w:type="spellEnd"/>
      <w:r w:rsidRPr="00283996">
        <w:rPr>
          <w:rFonts w:cs="Times New Roman"/>
          <w:lang w:val="en-US"/>
        </w:rPr>
        <w:t xml:space="preserve"> went down the station’s long escalator. There was a sign posted at the top of the escalator in plain view of users (see the reproduction in the appendix to these reasons). The sign was titled [</w:t>
      </w:r>
      <w:r w:rsidRPr="00283996">
        <w:rPr>
          <w:rFonts w:cs="Times New Roman"/>
          <w:smallCaps/>
          <w:lang w:val="en-US"/>
        </w:rPr>
        <w:t>translation</w:t>
      </w:r>
      <w:r w:rsidRPr="00283996">
        <w:rPr>
          <w:rFonts w:cs="Times New Roman"/>
          <w:lang w:val="en-US"/>
        </w:rPr>
        <w:t>] “CAUTION” and contained several pictograms, including one showing a figure holding the escalator handrail (except where otherwise indicated, I use the term “pictogram” in my reasons to refer specifically to this figure). The pictogram in question was accompanied by the following warning: [</w:t>
      </w:r>
      <w:r w:rsidRPr="00283996">
        <w:rPr>
          <w:rFonts w:cs="Times New Roman"/>
          <w:smallCaps/>
          <w:lang w:val="en-US"/>
        </w:rPr>
        <w:t>translation</w:t>
      </w:r>
      <w:r w:rsidRPr="00283996">
        <w:rPr>
          <w:rFonts w:cs="Times New Roman"/>
          <w:lang w:val="en-US"/>
        </w:rPr>
        <w:t>] “Hold Handrail”. Ms. </w:t>
      </w:r>
      <w:proofErr w:type="spellStart"/>
      <w:r w:rsidRPr="00283996">
        <w:rPr>
          <w:rFonts w:cs="Times New Roman"/>
          <w:lang w:val="en-US"/>
        </w:rPr>
        <w:t>Kosoian</w:t>
      </w:r>
      <w:proofErr w:type="spellEnd"/>
      <w:r w:rsidRPr="00283996">
        <w:rPr>
          <w:rFonts w:cs="Times New Roman"/>
          <w:lang w:val="en-US"/>
        </w:rPr>
        <w:t xml:space="preserve"> was aware of the existence of the pictogram. She believed that it simply constituted a warning, not an obligation under a by</w:t>
      </w:r>
      <w:r w:rsidRPr="00283996">
        <w:rPr>
          <w:rFonts w:cs="Times New Roman"/>
          <w:lang w:val="en-US"/>
        </w:rPr>
        <w:noBreakHyphen/>
        <w:t>law.</w:t>
      </w:r>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As she went down the escalator, Ms. </w:t>
      </w:r>
      <w:proofErr w:type="spellStart"/>
      <w:r w:rsidRPr="00283996">
        <w:rPr>
          <w:rFonts w:cs="Times New Roman"/>
          <w:lang w:val="en-US"/>
        </w:rPr>
        <w:t>Kosoian</w:t>
      </w:r>
      <w:proofErr w:type="spellEnd"/>
      <w:r w:rsidRPr="00283996">
        <w:rPr>
          <w:rFonts w:cs="Times New Roman"/>
          <w:lang w:val="en-US"/>
        </w:rPr>
        <w:t xml:space="preserve"> rummaged through her backpack looking for money to pay for her ticket. While she did so, she did not hold the handrail.</w:t>
      </w:r>
    </w:p>
    <w:p w:rsidR="003011EC" w:rsidRPr="00283996" w:rsidRDefault="003011EC" w:rsidP="003011EC">
      <w:pPr>
        <w:pStyle w:val="ParaNoNdepar-AltN"/>
        <w:spacing w:before="0"/>
        <w:rPr>
          <w:rFonts w:cs="Times New Roman"/>
          <w:lang w:val="en-US"/>
        </w:rPr>
      </w:pPr>
      <w:r w:rsidRPr="00283996">
        <w:rPr>
          <w:rFonts w:cs="Times New Roman"/>
          <w:lang w:val="en-US"/>
        </w:rPr>
        <w:t>That evening, Constable Camacho, a police officer with the City, was assigned with a colleague to monitor the subway stations in Laval, including the Montmorency station. The STM had designated the two police officers as inspectors and, for that purpose, had given them nearly 20 hours of training on safety in the subway system, the applicable by</w:t>
      </w:r>
      <w:r w:rsidRPr="00283996">
        <w:rPr>
          <w:rFonts w:cs="Times New Roman"/>
          <w:lang w:val="en-US"/>
        </w:rPr>
        <w:noBreakHyphen/>
        <w:t>laws and the actions they were to take. Among other things, the STM taught the police officers that holding the handrail was an obligation under a by</w:t>
      </w:r>
      <w:r w:rsidRPr="00283996">
        <w:rPr>
          <w:rFonts w:cs="Times New Roman"/>
          <w:lang w:val="en-US"/>
        </w:rPr>
        <w:noBreakHyphen/>
        <w:t xml:space="preserve">law. In fact, in Constable Camacho’s view, </w:t>
      </w:r>
      <w:r w:rsidRPr="00283996">
        <w:rPr>
          <w:rFonts w:cs="Times New Roman"/>
          <w:i/>
          <w:lang w:val="en-US"/>
        </w:rPr>
        <w:t xml:space="preserve">all </w:t>
      </w:r>
      <w:r w:rsidRPr="00283996">
        <w:rPr>
          <w:rFonts w:cs="Times New Roman"/>
          <w:lang w:val="en-US"/>
        </w:rPr>
        <w:t>of the pictograms in the subway established prohibitions or obligations, and failure to comply with them was an offence.</w:t>
      </w:r>
    </w:p>
    <w:p w:rsidR="003011EC" w:rsidRPr="00283996" w:rsidRDefault="003011EC" w:rsidP="003011EC">
      <w:pPr>
        <w:pStyle w:val="ParaNoNdepar-AltN"/>
        <w:spacing w:before="0"/>
        <w:rPr>
          <w:rFonts w:cs="Times New Roman"/>
          <w:lang w:val="en-US"/>
        </w:rPr>
      </w:pPr>
      <w:r w:rsidRPr="00283996">
        <w:rPr>
          <w:rFonts w:cs="Times New Roman"/>
          <w:lang w:val="en-US"/>
        </w:rPr>
        <w:t>While patrolling the Montmorency station, Constable Camacho saw that Ms. </w:t>
      </w:r>
      <w:proofErr w:type="spellStart"/>
      <w:r w:rsidRPr="00283996">
        <w:rPr>
          <w:rFonts w:cs="Times New Roman"/>
          <w:lang w:val="en-US"/>
        </w:rPr>
        <w:t>Kosoian</w:t>
      </w:r>
      <w:proofErr w:type="spellEnd"/>
      <w:r w:rsidRPr="00283996">
        <w:rPr>
          <w:rFonts w:cs="Times New Roman"/>
          <w:lang w:val="en-US"/>
        </w:rPr>
        <w:t xml:space="preserve"> was going down the escalator without holding the handrail. Fearing for her safety, he decided to intervene to [</w:t>
      </w:r>
      <w:r w:rsidRPr="00283996">
        <w:rPr>
          <w:rFonts w:cs="Times New Roman"/>
          <w:smallCaps/>
          <w:lang w:val="en-US"/>
        </w:rPr>
        <w:t>translation</w:t>
      </w:r>
      <w:r w:rsidRPr="00283996">
        <w:rPr>
          <w:rFonts w:cs="Times New Roman"/>
          <w:lang w:val="en-US"/>
        </w:rPr>
        <w:t>] “raise awareness”. He approached her and warned: “Careful, you might fall. It’s dangerous. You should hold the handrail” (C.Q. reasons, 2015 QCCQ 7948, at para. 139 (</w:t>
      </w:r>
      <w:proofErr w:type="spellStart"/>
      <w:r w:rsidRPr="00283996">
        <w:rPr>
          <w:rFonts w:cs="Times New Roman"/>
          <w:lang w:val="en-US"/>
        </w:rPr>
        <w:t>CanLII</w:t>
      </w:r>
      <w:proofErr w:type="spellEnd"/>
      <w:r w:rsidRPr="00283996">
        <w:rPr>
          <w:rFonts w:cs="Times New Roman"/>
          <w:lang w:val="en-US"/>
        </w:rPr>
        <w:t>)).</w:t>
      </w:r>
    </w:p>
    <w:p w:rsidR="003011EC" w:rsidRPr="00283996" w:rsidRDefault="003011EC" w:rsidP="003011EC">
      <w:pPr>
        <w:pStyle w:val="ParaNoNdepar-AltN"/>
        <w:spacing w:before="0"/>
        <w:rPr>
          <w:rFonts w:cs="Times New Roman"/>
          <w:lang w:val="en-US"/>
        </w:rPr>
      </w:pPr>
      <w:r w:rsidRPr="00283996">
        <w:rPr>
          <w:rFonts w:cs="Times New Roman"/>
          <w:lang w:val="en-US"/>
        </w:rPr>
        <w:t>Ms. </w:t>
      </w:r>
      <w:proofErr w:type="spellStart"/>
      <w:r w:rsidRPr="00283996">
        <w:rPr>
          <w:rFonts w:cs="Times New Roman"/>
          <w:lang w:val="en-US"/>
        </w:rPr>
        <w:t>Kosoian</w:t>
      </w:r>
      <w:proofErr w:type="spellEnd"/>
      <w:r w:rsidRPr="00283996">
        <w:rPr>
          <w:rFonts w:cs="Times New Roman"/>
          <w:lang w:val="en-US"/>
        </w:rPr>
        <w:t xml:space="preserve"> refused to do so, and a heated exchange ensued. Although the versions of events differ, it is clear that the appellant was upset by the police officers’ actions and that she questioned their authority. For their part, the police officers found her tone to be arrogant and aggressive. In the end, Constable Camacho ordered her to </w:t>
      </w:r>
      <w:r w:rsidRPr="00283996">
        <w:rPr>
          <w:rFonts w:cs="Times New Roman"/>
          <w:lang w:val="en-US"/>
        </w:rPr>
        <w:lastRenderedPageBreak/>
        <w:t>hold the handrail and threatened to give her a statement of offence if she refused to comply. Ms. </w:t>
      </w:r>
      <w:proofErr w:type="spellStart"/>
      <w:r w:rsidRPr="00283996">
        <w:rPr>
          <w:rFonts w:cs="Times New Roman"/>
          <w:lang w:val="en-US"/>
        </w:rPr>
        <w:t>Kosoian</w:t>
      </w:r>
      <w:proofErr w:type="spellEnd"/>
      <w:r w:rsidRPr="00283996">
        <w:rPr>
          <w:rFonts w:cs="Times New Roman"/>
          <w:lang w:val="en-US"/>
        </w:rPr>
        <w:t xml:space="preserve"> persisted in refusing to do so.</w:t>
      </w:r>
    </w:p>
    <w:p w:rsidR="003011EC" w:rsidRPr="00283996" w:rsidRDefault="003011EC" w:rsidP="003011EC">
      <w:pPr>
        <w:pStyle w:val="ParaNoNdepar-AltN"/>
        <w:spacing w:before="0"/>
        <w:rPr>
          <w:rFonts w:cs="Times New Roman"/>
          <w:lang w:val="en-US"/>
        </w:rPr>
      </w:pPr>
      <w:r w:rsidRPr="00283996">
        <w:rPr>
          <w:rFonts w:cs="Times New Roman"/>
          <w:lang w:val="en-US"/>
        </w:rPr>
        <w:t>Ms. </w:t>
      </w:r>
      <w:proofErr w:type="spellStart"/>
      <w:r w:rsidRPr="00283996">
        <w:rPr>
          <w:rFonts w:cs="Times New Roman"/>
          <w:lang w:val="en-US"/>
        </w:rPr>
        <w:t>Kosoian</w:t>
      </w:r>
      <w:proofErr w:type="spellEnd"/>
      <w:r w:rsidRPr="00283996">
        <w:rPr>
          <w:rFonts w:cs="Times New Roman"/>
          <w:lang w:val="en-US"/>
        </w:rPr>
        <w:t xml:space="preserve"> and Constable Camacho arrived at the bottom of the escalator. Any potential danger had now passed. Constable Camacho nonetheless stood by his decision to give Ms. </w:t>
      </w:r>
      <w:proofErr w:type="spellStart"/>
      <w:r w:rsidRPr="00283996">
        <w:rPr>
          <w:rFonts w:cs="Times New Roman"/>
          <w:lang w:val="en-US"/>
        </w:rPr>
        <w:t>Kosoian</w:t>
      </w:r>
      <w:proofErr w:type="spellEnd"/>
      <w:r w:rsidRPr="00283996">
        <w:rPr>
          <w:rFonts w:cs="Times New Roman"/>
          <w:lang w:val="en-US"/>
        </w:rPr>
        <w:t xml:space="preserve"> a statement of offence for disobeying the pictogram. He asked her to follow him to the STM’s holding room so he could draw up the statement there, but she ignored his request and tried to walk toward the subway turnstiles instead.</w:t>
      </w:r>
    </w:p>
    <w:p w:rsidR="003011EC" w:rsidRPr="00283996" w:rsidRDefault="003011EC" w:rsidP="003011EC">
      <w:pPr>
        <w:pStyle w:val="ParaNoNdepar-AltN"/>
        <w:spacing w:before="0"/>
        <w:rPr>
          <w:rFonts w:cs="Times New Roman"/>
          <w:lang w:val="en-US"/>
        </w:rPr>
      </w:pPr>
      <w:r w:rsidRPr="00283996">
        <w:rPr>
          <w:rFonts w:cs="Times New Roman"/>
          <w:lang w:val="en-US"/>
        </w:rPr>
        <w:t>The police officers then intervened physically. Constable Camacho took hold of Ms. </w:t>
      </w:r>
      <w:proofErr w:type="spellStart"/>
      <w:r w:rsidRPr="00283996">
        <w:rPr>
          <w:rFonts w:cs="Times New Roman"/>
          <w:lang w:val="en-US"/>
        </w:rPr>
        <w:t>Kosoian’s</w:t>
      </w:r>
      <w:proofErr w:type="spellEnd"/>
      <w:r w:rsidRPr="00283996">
        <w:rPr>
          <w:rFonts w:cs="Times New Roman"/>
          <w:lang w:val="en-US"/>
        </w:rPr>
        <w:t xml:space="preserve"> forearm to restrain her. With his colleague’s help, he then led her to the holding room by force, holding her — at least briefly — by the elbows. The room contained a table, chairs and a cell. There was a surveillance camera in the room that filmed the scene.</w:t>
      </w:r>
    </w:p>
    <w:p w:rsidR="003011EC" w:rsidRPr="00283996" w:rsidRDefault="003011EC" w:rsidP="003011EC">
      <w:pPr>
        <w:pStyle w:val="ParaNoNdepar-AltN"/>
        <w:spacing w:before="0"/>
        <w:rPr>
          <w:rFonts w:cs="Times New Roman"/>
          <w:lang w:val="en-US"/>
        </w:rPr>
      </w:pPr>
      <w:r w:rsidRPr="00283996">
        <w:rPr>
          <w:rFonts w:cs="Times New Roman"/>
          <w:lang w:val="en-US"/>
        </w:rPr>
        <w:t>Once inside the room, Constable Camacho asked Ms. </w:t>
      </w:r>
      <w:proofErr w:type="spellStart"/>
      <w:r w:rsidRPr="00283996">
        <w:rPr>
          <w:rFonts w:cs="Times New Roman"/>
          <w:lang w:val="en-US"/>
        </w:rPr>
        <w:t>Kosoian</w:t>
      </w:r>
      <w:proofErr w:type="spellEnd"/>
      <w:r w:rsidRPr="00283996">
        <w:rPr>
          <w:rFonts w:cs="Times New Roman"/>
          <w:lang w:val="en-US"/>
        </w:rPr>
        <w:t xml:space="preserve"> to give him a piece of identification. She refused to identify herself and asked to be allowed to contact a lawyer. Constable Camacho then told her that he would arrest her for hindering a police officer in his duties if she did not cooperate. Faced with her repeated refusals to cooperate and her agitation, he advised her that she was under arrest and informed her of her constitutional rights.</w:t>
      </w:r>
    </w:p>
    <w:p w:rsidR="003011EC" w:rsidRPr="00283996" w:rsidRDefault="003011EC" w:rsidP="003011EC">
      <w:pPr>
        <w:pStyle w:val="ParaNoNdepar-AltN"/>
        <w:spacing w:before="0"/>
        <w:rPr>
          <w:rFonts w:cs="Times New Roman"/>
          <w:lang w:val="en-US"/>
        </w:rPr>
      </w:pPr>
      <w:r w:rsidRPr="00283996">
        <w:rPr>
          <w:rFonts w:cs="Times New Roman"/>
          <w:lang w:val="en-US"/>
        </w:rPr>
        <w:t>Constable Camacho then tried to search Ms. </w:t>
      </w:r>
      <w:proofErr w:type="spellStart"/>
      <w:r w:rsidRPr="00283996">
        <w:rPr>
          <w:rFonts w:cs="Times New Roman"/>
          <w:lang w:val="en-US"/>
        </w:rPr>
        <w:t>Kosoian’s</w:t>
      </w:r>
      <w:proofErr w:type="spellEnd"/>
      <w:r w:rsidRPr="00283996">
        <w:rPr>
          <w:rFonts w:cs="Times New Roman"/>
          <w:lang w:val="en-US"/>
        </w:rPr>
        <w:t xml:space="preserve"> backpack to find a piece of identification, but she objected. He [</w:t>
      </w:r>
      <w:r w:rsidRPr="00283996">
        <w:rPr>
          <w:rFonts w:cs="Times New Roman"/>
          <w:smallCaps/>
          <w:lang w:val="en-US"/>
        </w:rPr>
        <w:t>translation</w:t>
      </w:r>
      <w:r w:rsidRPr="00283996">
        <w:rPr>
          <w:rFonts w:cs="Times New Roman"/>
          <w:lang w:val="en-US"/>
        </w:rPr>
        <w:t xml:space="preserve">] “placed his foot on hers, </w:t>
      </w:r>
      <w:r w:rsidRPr="00283996">
        <w:rPr>
          <w:rFonts w:cs="Times New Roman"/>
          <w:lang w:val="en-US"/>
        </w:rPr>
        <w:lastRenderedPageBreak/>
        <w:t>pressing firmly with his shoe”, and attempted to take the backpack from her (C.Q. reasons, at para. 32).</w:t>
      </w:r>
    </w:p>
    <w:p w:rsidR="003011EC" w:rsidRPr="00283996" w:rsidRDefault="003011EC" w:rsidP="003011EC">
      <w:pPr>
        <w:pStyle w:val="ParaNoNdepar-AltN"/>
        <w:spacing w:before="0"/>
        <w:rPr>
          <w:rFonts w:cs="Times New Roman"/>
          <w:lang w:val="en-US"/>
        </w:rPr>
      </w:pPr>
      <w:r w:rsidRPr="00283996">
        <w:rPr>
          <w:rFonts w:cs="Times New Roman"/>
          <w:lang w:val="en-US"/>
        </w:rPr>
        <w:t>It was then that the police officers decided — following a warning — to handcuff Ms. </w:t>
      </w:r>
      <w:proofErr w:type="spellStart"/>
      <w:r w:rsidRPr="00283996">
        <w:rPr>
          <w:rFonts w:cs="Times New Roman"/>
          <w:lang w:val="en-US"/>
        </w:rPr>
        <w:t>Kosoian</w:t>
      </w:r>
      <w:proofErr w:type="spellEnd"/>
      <w:r w:rsidRPr="00283996">
        <w:rPr>
          <w:rFonts w:cs="Times New Roman"/>
          <w:lang w:val="en-US"/>
        </w:rPr>
        <w:t xml:space="preserve"> by pulling her arms back, pinning her against the wall and placing the cuffs on her. They then forced her to sit on a chair before they searched her bag, in which they quickly found her wallet and identification cards.</w:t>
      </w:r>
    </w:p>
    <w:p w:rsidR="003011EC" w:rsidRPr="00283996" w:rsidRDefault="003011EC" w:rsidP="003011EC">
      <w:pPr>
        <w:pStyle w:val="ParaNoNdepar-AltN"/>
        <w:spacing w:before="0"/>
        <w:rPr>
          <w:rFonts w:cs="Times New Roman"/>
          <w:lang w:val="en-US"/>
        </w:rPr>
      </w:pPr>
      <w:r w:rsidRPr="00283996">
        <w:rPr>
          <w:rFonts w:cs="Times New Roman"/>
          <w:lang w:val="en-US"/>
        </w:rPr>
        <w:t>While Constable Camacho was drawing up the statements of offence, Ms. </w:t>
      </w:r>
      <w:proofErr w:type="spellStart"/>
      <w:r w:rsidRPr="00283996">
        <w:rPr>
          <w:rFonts w:cs="Times New Roman"/>
          <w:lang w:val="en-US"/>
        </w:rPr>
        <w:t>Kosoian</w:t>
      </w:r>
      <w:proofErr w:type="spellEnd"/>
      <w:r w:rsidRPr="00283996">
        <w:rPr>
          <w:rFonts w:cs="Times New Roman"/>
          <w:lang w:val="en-US"/>
        </w:rPr>
        <w:t xml:space="preserve"> continued to protest and moved closer to him several times to look at what he was writing. The police officers had to use force to keep her on her chair. Because of her agitated </w:t>
      </w:r>
      <w:proofErr w:type="spellStart"/>
      <w:r w:rsidRPr="00283996">
        <w:rPr>
          <w:rFonts w:cs="Times New Roman"/>
          <w:lang w:val="en-US"/>
        </w:rPr>
        <w:t>behaviour</w:t>
      </w:r>
      <w:proofErr w:type="spellEnd"/>
      <w:r w:rsidRPr="00283996">
        <w:rPr>
          <w:rFonts w:cs="Times New Roman"/>
          <w:lang w:val="en-US"/>
        </w:rPr>
        <w:t>, Constable Camacho placed his right foot on the left leg of the chair. In the end, the officers told Ms. </w:t>
      </w:r>
      <w:proofErr w:type="spellStart"/>
      <w:r w:rsidRPr="00283996">
        <w:rPr>
          <w:rFonts w:cs="Times New Roman"/>
          <w:lang w:val="en-US"/>
        </w:rPr>
        <w:t>Kosoian</w:t>
      </w:r>
      <w:proofErr w:type="spellEnd"/>
      <w:r w:rsidRPr="00283996">
        <w:rPr>
          <w:rFonts w:cs="Times New Roman"/>
          <w:lang w:val="en-US"/>
        </w:rPr>
        <w:t xml:space="preserve"> about the presence of the surveillance camera, which apparently had the effect of easing tensions.</w:t>
      </w:r>
    </w:p>
    <w:p w:rsidR="003011EC" w:rsidRPr="00283996" w:rsidRDefault="003011EC" w:rsidP="003011EC">
      <w:pPr>
        <w:pStyle w:val="ParaNoNdepar-AltN"/>
        <w:spacing w:before="0"/>
        <w:rPr>
          <w:rFonts w:cs="Times New Roman"/>
          <w:lang w:val="en-US"/>
        </w:rPr>
      </w:pPr>
      <w:r w:rsidRPr="00283996">
        <w:rPr>
          <w:rFonts w:cs="Times New Roman"/>
          <w:lang w:val="en-US"/>
        </w:rPr>
        <w:t>At 5:29 p.m., the police officers finally gave her two statements: one for $100 for disobeying a directive or pictogram posted by the STM contrary to art. 4(e) of By</w:t>
      </w:r>
      <w:r w:rsidRPr="00283996">
        <w:rPr>
          <w:rFonts w:cs="Times New Roman"/>
          <w:lang w:val="en-US"/>
        </w:rPr>
        <w:noBreakHyphen/>
        <w:t>law R</w:t>
      </w:r>
      <w:r w:rsidRPr="00283996">
        <w:rPr>
          <w:rFonts w:cs="Times New Roman"/>
          <w:lang w:val="en-US"/>
        </w:rPr>
        <w:noBreakHyphen/>
        <w:t xml:space="preserve">036, and another for $320 for hindering an inspector in the performance of inspection duties contrary to s. 143 of the </w:t>
      </w:r>
      <w:r w:rsidRPr="00283996">
        <w:rPr>
          <w:rFonts w:cs="Times New Roman"/>
          <w:i/>
          <w:lang w:val="en-US"/>
        </w:rPr>
        <w:t>Act respecting public transit authorities</w:t>
      </w:r>
      <w:r w:rsidRPr="00283996">
        <w:rPr>
          <w:rFonts w:cs="Times New Roman"/>
          <w:lang w:val="en-US"/>
        </w:rPr>
        <w:t>, R.S.Q., c. S</w:t>
      </w:r>
      <w:r w:rsidRPr="00283996">
        <w:rPr>
          <w:rFonts w:cs="Times New Roman"/>
          <w:lang w:val="en-US"/>
        </w:rPr>
        <w:noBreakHyphen/>
        <w:t>30.01. The police officers then removed the handcuffs from Ms. </w:t>
      </w:r>
      <w:proofErr w:type="spellStart"/>
      <w:r w:rsidRPr="00283996">
        <w:rPr>
          <w:rFonts w:cs="Times New Roman"/>
          <w:lang w:val="en-US"/>
        </w:rPr>
        <w:t>Kosoian’s</w:t>
      </w:r>
      <w:proofErr w:type="spellEnd"/>
      <w:r w:rsidRPr="00283996">
        <w:rPr>
          <w:rFonts w:cs="Times New Roman"/>
          <w:lang w:val="en-US"/>
        </w:rPr>
        <w:t xml:space="preserve"> wrists, and she took the statements and left.</w:t>
      </w:r>
    </w:p>
    <w:p w:rsidR="003011EC" w:rsidRPr="00283996" w:rsidRDefault="003011EC" w:rsidP="003011EC">
      <w:pPr>
        <w:pStyle w:val="ParaNoNdepar-AltN"/>
        <w:spacing w:before="0"/>
        <w:rPr>
          <w:rFonts w:cs="Times New Roman"/>
          <w:lang w:val="en-US"/>
        </w:rPr>
      </w:pPr>
      <w:r w:rsidRPr="00283996">
        <w:rPr>
          <w:rFonts w:cs="Times New Roman"/>
          <w:lang w:val="en-US"/>
        </w:rPr>
        <w:t>According to Ms. </w:t>
      </w:r>
      <w:proofErr w:type="spellStart"/>
      <w:r w:rsidRPr="00283996">
        <w:rPr>
          <w:rFonts w:cs="Times New Roman"/>
          <w:lang w:val="en-US"/>
        </w:rPr>
        <w:t>Kosoian</w:t>
      </w:r>
      <w:proofErr w:type="spellEnd"/>
      <w:r w:rsidRPr="00283996">
        <w:rPr>
          <w:rFonts w:cs="Times New Roman"/>
          <w:lang w:val="en-US"/>
        </w:rPr>
        <w:t xml:space="preserve">, she experienced significant psychological stress and humiliation as a result of the police action. The following day, she saw a </w:t>
      </w:r>
      <w:r w:rsidRPr="00283996">
        <w:rPr>
          <w:rFonts w:cs="Times New Roman"/>
          <w:lang w:val="en-US"/>
        </w:rPr>
        <w:lastRenderedPageBreak/>
        <w:t>physician, who found that she was suffering from post</w:t>
      </w:r>
      <w:r w:rsidRPr="00283996">
        <w:rPr>
          <w:rFonts w:cs="Times New Roman"/>
          <w:lang w:val="en-US"/>
        </w:rPr>
        <w:noBreakHyphen/>
        <w:t>arrest anxiety and had superficial abrasions on her wrists and one of her feet. A few days later, another physician diagnosed her with post</w:t>
      </w:r>
      <w:r w:rsidRPr="00283996">
        <w:rPr>
          <w:rFonts w:cs="Times New Roman"/>
          <w:lang w:val="en-US"/>
        </w:rPr>
        <w:noBreakHyphen/>
        <w:t>traumatic stress and a sprained wrist.</w:t>
      </w:r>
    </w:p>
    <w:p w:rsidR="003011EC" w:rsidRPr="00283996" w:rsidRDefault="003011EC" w:rsidP="003011EC">
      <w:pPr>
        <w:pStyle w:val="ParaNoNdepar-AltN"/>
        <w:spacing w:before="0"/>
        <w:rPr>
          <w:rFonts w:cs="Times New Roman"/>
          <w:lang w:val="en-US"/>
        </w:rPr>
      </w:pPr>
      <w:r w:rsidRPr="00283996">
        <w:rPr>
          <w:rFonts w:cs="Times New Roman"/>
          <w:lang w:val="en-US"/>
        </w:rPr>
        <w:t>Meanwhile, Ms. </w:t>
      </w:r>
      <w:proofErr w:type="spellStart"/>
      <w:r w:rsidRPr="00283996">
        <w:rPr>
          <w:rFonts w:cs="Times New Roman"/>
          <w:lang w:val="en-US"/>
        </w:rPr>
        <w:t>Kosoian’s</w:t>
      </w:r>
      <w:proofErr w:type="spellEnd"/>
      <w:r w:rsidRPr="00283996">
        <w:rPr>
          <w:rFonts w:cs="Times New Roman"/>
          <w:lang w:val="en-US"/>
        </w:rPr>
        <w:t xml:space="preserve"> spouse filed a complaint with the STM the day after the police action. He formally requested that the videotapes be given to him. His request went unheeded. Because Constable Camacho was on vacation when the complaint was filed, it was only once he returned on May 19 that he was able to request that the tapes be kept. It was too late. After five days, the surveillance system had already erased the images of the incident.</w:t>
      </w:r>
    </w:p>
    <w:p w:rsidR="003011EC" w:rsidRPr="00283996" w:rsidRDefault="003011EC" w:rsidP="003011EC">
      <w:pPr>
        <w:pStyle w:val="ParaNoNdepar-AltN"/>
        <w:spacing w:before="0"/>
        <w:rPr>
          <w:rFonts w:cs="Times New Roman"/>
          <w:lang w:val="en-US"/>
        </w:rPr>
      </w:pPr>
      <w:r w:rsidRPr="00283996">
        <w:rPr>
          <w:rFonts w:cs="Times New Roman"/>
          <w:lang w:val="en-US"/>
        </w:rPr>
        <w:t>In accordance with the statements of offence issued on its behalf, the STM, as prosecutor, instituted penal proceedings in the Municipal Court of Ville de Montréal. Ms. </w:t>
      </w:r>
      <w:proofErr w:type="spellStart"/>
      <w:r w:rsidRPr="00283996">
        <w:rPr>
          <w:rFonts w:cs="Times New Roman"/>
          <w:lang w:val="en-US"/>
        </w:rPr>
        <w:t>Kosoian</w:t>
      </w:r>
      <w:proofErr w:type="spellEnd"/>
      <w:r w:rsidRPr="00283996">
        <w:rPr>
          <w:rFonts w:cs="Times New Roman"/>
          <w:lang w:val="en-US"/>
        </w:rPr>
        <w:t xml:space="preserve"> was ultimately acquitted of the two offences on March 14, 2012. In his decision, Judge Bisson concluded that he was not [</w:t>
      </w:r>
      <w:r w:rsidRPr="00283996">
        <w:rPr>
          <w:rFonts w:cs="Times New Roman"/>
          <w:smallCaps/>
          <w:lang w:val="en-US"/>
        </w:rPr>
        <w:t>translation</w:t>
      </w:r>
      <w:r w:rsidRPr="00283996">
        <w:rPr>
          <w:rFonts w:cs="Times New Roman"/>
          <w:lang w:val="en-US"/>
        </w:rPr>
        <w:t>] “satisfied beyond a reasonable doubt that there is an obligation to obey [the] pictogram” (A.R., vol. II, at p</w:t>
      </w:r>
      <w:r w:rsidR="004B4CE5">
        <w:rPr>
          <w:rFonts w:cs="Times New Roman"/>
          <w:lang w:val="en-US"/>
        </w:rPr>
        <w:t>ara</w:t>
      </w:r>
      <w:r w:rsidRPr="00283996">
        <w:rPr>
          <w:rFonts w:cs="Times New Roman"/>
          <w:lang w:val="en-US"/>
        </w:rPr>
        <w:t>. </w:t>
      </w:r>
      <w:r w:rsidR="004B4CE5">
        <w:rPr>
          <w:rFonts w:cs="Times New Roman"/>
          <w:lang w:val="en-US"/>
        </w:rPr>
        <w:t>4</w:t>
      </w:r>
      <w:r w:rsidRPr="00283996">
        <w:rPr>
          <w:rFonts w:cs="Times New Roman"/>
          <w:lang w:val="en-US"/>
        </w:rPr>
        <w:t>8). He also stated that Ms. </w:t>
      </w:r>
      <w:proofErr w:type="spellStart"/>
      <w:r w:rsidRPr="00283996">
        <w:rPr>
          <w:rFonts w:cs="Times New Roman"/>
          <w:lang w:val="en-US"/>
        </w:rPr>
        <w:t>Kosoian’s</w:t>
      </w:r>
      <w:proofErr w:type="spellEnd"/>
      <w:r w:rsidRPr="00283996">
        <w:rPr>
          <w:rFonts w:cs="Times New Roman"/>
          <w:lang w:val="en-US"/>
        </w:rPr>
        <w:t xml:space="preserve"> testimony was “credible and believed” (</w:t>
      </w:r>
      <w:r w:rsidR="007A7F84" w:rsidRPr="007A7F84">
        <w:rPr>
          <w:rFonts w:cs="Times New Roman"/>
          <w:i/>
          <w:lang w:val="en-US"/>
        </w:rPr>
        <w:t>ibid.</w:t>
      </w:r>
      <w:r w:rsidRPr="00283996">
        <w:rPr>
          <w:rFonts w:cs="Times New Roman"/>
          <w:lang w:val="en-US"/>
        </w:rPr>
        <w:t>). Conversely, he did not accept the prosecution’s evidence “in light of the contradictions between the abridged offence reports and the testimony of the constable [Camacho]” (</w:t>
      </w:r>
      <w:r w:rsidRPr="00283996">
        <w:rPr>
          <w:rFonts w:cs="Times New Roman"/>
          <w:i/>
          <w:lang w:val="en-US"/>
        </w:rPr>
        <w:t>ibid.</w:t>
      </w:r>
      <w:r w:rsidRPr="00283996">
        <w:rPr>
          <w:rFonts w:cs="Times New Roman"/>
          <w:lang w:val="en-US"/>
        </w:rPr>
        <w:t>). He even stated that he had “the impression that adjustments were made to the evidence to justify the failure of this intervention, which basically should have been routine” (</w:t>
      </w:r>
      <w:r w:rsidR="007A7F84" w:rsidRPr="007A7F84">
        <w:rPr>
          <w:rFonts w:cs="Times New Roman"/>
          <w:i/>
          <w:lang w:val="en-US"/>
        </w:rPr>
        <w:t>ibid.</w:t>
      </w:r>
      <w:r w:rsidRPr="00283996">
        <w:rPr>
          <w:rFonts w:cs="Times New Roman"/>
          <w:lang w:val="en-US"/>
        </w:rPr>
        <w:t>).</w:t>
      </w:r>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Ms. </w:t>
      </w:r>
      <w:proofErr w:type="spellStart"/>
      <w:r w:rsidRPr="00283996">
        <w:rPr>
          <w:rFonts w:cs="Times New Roman"/>
          <w:lang w:val="en-US"/>
        </w:rPr>
        <w:t>Kosoian</w:t>
      </w:r>
      <w:proofErr w:type="spellEnd"/>
      <w:r w:rsidRPr="00283996">
        <w:rPr>
          <w:rFonts w:cs="Times New Roman"/>
          <w:lang w:val="en-US"/>
        </w:rPr>
        <w:t xml:space="preserve"> subsequently instituted the civil liability action that is the subject of this appeal. She alleged, among other things, that Constable Camacho had committed a civil fault by making an unlawful and unreasonable arrest on the basis of a pictogram that did not create an offence but simply gave a [</w:t>
      </w:r>
      <w:r w:rsidRPr="00283996">
        <w:rPr>
          <w:rFonts w:cs="Times New Roman"/>
          <w:smallCaps/>
          <w:lang w:val="en-US"/>
        </w:rPr>
        <w:t>translation</w:t>
      </w:r>
      <w:r w:rsidRPr="00283996">
        <w:rPr>
          <w:rFonts w:cs="Times New Roman"/>
          <w:lang w:val="en-US"/>
        </w:rPr>
        <w:t>] “warning of danger”. She added that the physical restraint used against her was unreasonable in the circumstances. She argued that the City was also liable as Constable Camacho’s principal. As for the STM, Ms. </w:t>
      </w:r>
      <w:proofErr w:type="spellStart"/>
      <w:r w:rsidRPr="00283996">
        <w:rPr>
          <w:rFonts w:cs="Times New Roman"/>
          <w:lang w:val="en-US"/>
        </w:rPr>
        <w:t>Kosoian</w:t>
      </w:r>
      <w:proofErr w:type="spellEnd"/>
      <w:r w:rsidRPr="00283996">
        <w:rPr>
          <w:rFonts w:cs="Times New Roman"/>
          <w:lang w:val="en-US"/>
        </w:rPr>
        <w:t xml:space="preserve"> reproached it for improperly applying By</w:t>
      </w:r>
      <w:r w:rsidRPr="00283996">
        <w:rPr>
          <w:rFonts w:cs="Times New Roman"/>
          <w:lang w:val="en-US"/>
        </w:rPr>
        <w:noBreakHyphen/>
        <w:t>law R</w:t>
      </w:r>
      <w:r w:rsidRPr="00283996">
        <w:rPr>
          <w:rFonts w:cs="Times New Roman"/>
          <w:lang w:val="en-US"/>
        </w:rPr>
        <w:noBreakHyphen/>
        <w:t>036 by treating failure to comply with the pictogram indicating that the handrail should be held as if it were an offence, and for instituting and pursuing penal proceedings on that basis over a three</w:t>
      </w:r>
      <w:r w:rsidRPr="00283996">
        <w:rPr>
          <w:rFonts w:cs="Times New Roman"/>
          <w:lang w:val="en-US"/>
        </w:rPr>
        <w:noBreakHyphen/>
        <w:t xml:space="preserve">year period. She argued that the STM was also liable, as </w:t>
      </w:r>
      <w:proofErr w:type="spellStart"/>
      <w:r w:rsidRPr="00283996">
        <w:rPr>
          <w:rFonts w:cs="Times New Roman"/>
          <w:lang w:val="en-US"/>
        </w:rPr>
        <w:t>mandator</w:t>
      </w:r>
      <w:proofErr w:type="spellEnd"/>
      <w:r w:rsidRPr="00283996">
        <w:rPr>
          <w:rFonts w:cs="Times New Roman"/>
          <w:lang w:val="en-US"/>
        </w:rPr>
        <w:t>, for the faults committed by Constable Camacho, since it had designated him to enforce its by</w:t>
      </w:r>
      <w:r w:rsidRPr="00283996">
        <w:rPr>
          <w:rFonts w:cs="Times New Roman"/>
          <w:lang w:val="en-US"/>
        </w:rPr>
        <w:noBreakHyphen/>
        <w:t>laws. According to Ms. </w:t>
      </w:r>
      <w:proofErr w:type="spellStart"/>
      <w:r w:rsidRPr="00283996">
        <w:rPr>
          <w:rFonts w:cs="Times New Roman"/>
          <w:lang w:val="en-US"/>
        </w:rPr>
        <w:t>Kosoian</w:t>
      </w:r>
      <w:proofErr w:type="spellEnd"/>
      <w:r w:rsidRPr="00283996">
        <w:rPr>
          <w:rFonts w:cs="Times New Roman"/>
          <w:lang w:val="en-US"/>
        </w:rPr>
        <w:t>, the faults committed by Constable Camacho and the STM had caused her psychological suffering and minor bodily injuries in addition to impairing her dignity. She claimed a total of $69,000 in compensatory and punitive damages.</w:t>
      </w:r>
    </w:p>
    <w:p w:rsidR="003011EC" w:rsidRPr="00283996" w:rsidRDefault="003011EC" w:rsidP="003011EC">
      <w:pPr>
        <w:pStyle w:val="Title1LevelTitre1Niveau-AltL"/>
        <w:numPr>
          <w:ilvl w:val="0"/>
          <w:numId w:val="8"/>
        </w:numPr>
        <w:spacing w:before="0"/>
        <w:rPr>
          <w:rFonts w:cs="Times New Roman"/>
          <w:lang w:val="en-US"/>
        </w:rPr>
      </w:pPr>
      <w:bookmarkStart w:id="5" w:name="_Toc14257130"/>
      <w:bookmarkStart w:id="6" w:name="_Toc24710731"/>
      <w:r w:rsidRPr="00283996">
        <w:rPr>
          <w:rFonts w:cs="Times New Roman"/>
          <w:lang w:val="en-US"/>
        </w:rPr>
        <w:t>Judicial History</w:t>
      </w:r>
      <w:bookmarkEnd w:id="5"/>
      <w:bookmarkEnd w:id="6"/>
    </w:p>
    <w:p w:rsidR="003011EC" w:rsidRPr="00283996" w:rsidRDefault="003011EC" w:rsidP="003011EC">
      <w:pPr>
        <w:pStyle w:val="Title2LevelTitre2Niveau"/>
        <w:numPr>
          <w:ilvl w:val="1"/>
          <w:numId w:val="8"/>
        </w:numPr>
        <w:spacing w:before="0"/>
        <w:rPr>
          <w:rFonts w:cs="Times New Roman"/>
          <w:lang w:val="en-US"/>
        </w:rPr>
      </w:pPr>
      <w:bookmarkStart w:id="7" w:name="_Toc14257131"/>
      <w:bookmarkStart w:id="8" w:name="_Toc24710732"/>
      <w:r w:rsidRPr="00283996">
        <w:rPr>
          <w:rFonts w:cs="Times New Roman"/>
          <w:lang w:val="en-US"/>
        </w:rPr>
        <w:t>Court of Québec (2015 QCCQ 7948)</w:t>
      </w:r>
      <w:bookmarkEnd w:id="7"/>
      <w:bookmarkEnd w:id="8"/>
    </w:p>
    <w:p w:rsidR="003011EC" w:rsidRPr="00283996" w:rsidRDefault="003011EC" w:rsidP="003011EC">
      <w:pPr>
        <w:pStyle w:val="ParaNoNdepar-AltN"/>
        <w:spacing w:before="0"/>
        <w:rPr>
          <w:rFonts w:cs="Times New Roman"/>
          <w:lang w:val="en-US"/>
        </w:rPr>
      </w:pPr>
      <w:r w:rsidRPr="00283996">
        <w:rPr>
          <w:rFonts w:cs="Times New Roman"/>
          <w:lang w:val="en-US"/>
        </w:rPr>
        <w:t xml:space="preserve">The trial judge, the </w:t>
      </w:r>
      <w:proofErr w:type="spellStart"/>
      <w:r w:rsidRPr="00283996">
        <w:rPr>
          <w:rFonts w:cs="Times New Roman"/>
          <w:lang w:val="en-US"/>
        </w:rPr>
        <w:t>Honourable</w:t>
      </w:r>
      <w:proofErr w:type="spellEnd"/>
      <w:r w:rsidRPr="00283996">
        <w:rPr>
          <w:rFonts w:cs="Times New Roman"/>
          <w:lang w:val="en-US"/>
        </w:rPr>
        <w:t xml:space="preserve"> Denis Le </w:t>
      </w:r>
      <w:proofErr w:type="spellStart"/>
      <w:r w:rsidRPr="00283996">
        <w:rPr>
          <w:rFonts w:cs="Times New Roman"/>
          <w:lang w:val="en-US"/>
        </w:rPr>
        <w:t>Reste</w:t>
      </w:r>
      <w:proofErr w:type="spellEnd"/>
      <w:r w:rsidRPr="00283996">
        <w:rPr>
          <w:rFonts w:cs="Times New Roman"/>
          <w:lang w:val="en-US"/>
        </w:rPr>
        <w:t>, dismissed the civil liability action. He found that Constable Camacho had not committed any civil fault (para. 270). In his view, the applicable rules and directives were [</w:t>
      </w:r>
      <w:r w:rsidRPr="00283996">
        <w:rPr>
          <w:rFonts w:cs="Times New Roman"/>
          <w:smallCaps/>
          <w:lang w:val="en-US"/>
        </w:rPr>
        <w:t>translation</w:t>
      </w:r>
      <w:r w:rsidRPr="00283996">
        <w:rPr>
          <w:rFonts w:cs="Times New Roman"/>
          <w:lang w:val="en-US"/>
        </w:rPr>
        <w:t xml:space="preserve">] “clear” and their implementation “beyond reproach” (para. 281), so much so that Constable Camacho’s </w:t>
      </w:r>
      <w:r w:rsidRPr="00283996">
        <w:rPr>
          <w:rFonts w:cs="Times New Roman"/>
          <w:lang w:val="en-US"/>
        </w:rPr>
        <w:lastRenderedPageBreak/>
        <w:t>work had been “exemplary and irreproachable” (para. 266). He also stated that he did not have the “slightest suspicion of unreasonable methods used by the police officers” (para. 279). He found that Ms. </w:t>
      </w:r>
      <w:proofErr w:type="spellStart"/>
      <w:r w:rsidRPr="00283996">
        <w:rPr>
          <w:rFonts w:cs="Times New Roman"/>
          <w:lang w:val="en-US"/>
        </w:rPr>
        <w:t>Kosoian</w:t>
      </w:r>
      <w:proofErr w:type="spellEnd"/>
      <w:r w:rsidRPr="00283996">
        <w:rPr>
          <w:rFonts w:cs="Times New Roman"/>
          <w:lang w:val="en-US"/>
        </w:rPr>
        <w:t xml:space="preserve"> had at no time been “unlawfully detained” (para. 276) and that the actions taken against her, including the use of handcuffs, had been “entirely justified” in the circumstances (paras. 277</w:t>
      </w:r>
      <w:r w:rsidRPr="00283996">
        <w:rPr>
          <w:rFonts w:cs="Times New Roman"/>
          <w:lang w:val="en-US"/>
        </w:rPr>
        <w:noBreakHyphen/>
        <w:t>80). Rather, it was Ms. </w:t>
      </w:r>
      <w:proofErr w:type="spellStart"/>
      <w:r w:rsidRPr="00283996">
        <w:rPr>
          <w:rFonts w:cs="Times New Roman"/>
          <w:lang w:val="en-US"/>
        </w:rPr>
        <w:t>Kosoian</w:t>
      </w:r>
      <w:proofErr w:type="spellEnd"/>
      <w:r w:rsidRPr="00283996">
        <w:rPr>
          <w:rFonts w:cs="Times New Roman"/>
          <w:lang w:val="en-US"/>
        </w:rPr>
        <w:t xml:space="preserve"> who had behaved in an “inconceivable” manner by “unlawfully and stubbornly” refusing to comply with a police officer’s order and to hold the escalator handrail (paras. 270</w:t>
      </w:r>
      <w:r w:rsidRPr="00283996">
        <w:rPr>
          <w:rFonts w:cs="Times New Roman"/>
          <w:lang w:val="en-US"/>
        </w:rPr>
        <w:noBreakHyphen/>
        <w:t>72).</w:t>
      </w:r>
    </w:p>
    <w:p w:rsidR="003011EC" w:rsidRPr="00283996" w:rsidRDefault="003011EC" w:rsidP="003011EC">
      <w:pPr>
        <w:pStyle w:val="ParaNoNdepar-AltN"/>
        <w:tabs>
          <w:tab w:val="clear" w:pos="1152"/>
          <w:tab w:val="num" w:pos="1170"/>
        </w:tabs>
        <w:spacing w:before="0"/>
        <w:rPr>
          <w:rFonts w:cs="Times New Roman"/>
          <w:lang w:val="en-US"/>
        </w:rPr>
      </w:pPr>
      <w:r w:rsidRPr="00283996">
        <w:rPr>
          <w:rFonts w:cs="Times New Roman"/>
          <w:lang w:val="en-US"/>
        </w:rPr>
        <w:t xml:space="preserve">In light of these findings, the trial judge did not assess the amount of damages. However, in quoting </w:t>
      </w:r>
      <w:r w:rsidRPr="00283996">
        <w:rPr>
          <w:rFonts w:cs="Times New Roman"/>
          <w:i/>
          <w:lang w:val="en-US"/>
        </w:rPr>
        <w:t>Godin</w:t>
      </w:r>
      <w:r w:rsidR="001E3162" w:rsidRPr="00283996">
        <w:rPr>
          <w:rFonts w:cs="Times New Roman"/>
          <w:i/>
          <w:lang w:val="en-US"/>
        </w:rPr>
        <w:t xml:space="preserve"> </w:t>
      </w:r>
      <w:r w:rsidRPr="00283996">
        <w:rPr>
          <w:rFonts w:cs="Times New Roman"/>
          <w:i/>
          <w:lang w:val="en-US"/>
        </w:rPr>
        <w:t>v. Montréal (Ville de)</w:t>
      </w:r>
      <w:r w:rsidRPr="00283996">
        <w:rPr>
          <w:rFonts w:cs="Times New Roman"/>
          <w:lang w:val="en-US"/>
        </w:rPr>
        <w:t xml:space="preserve">, 2015 QCCQ 5513, he did reproduce an excerpt from </w:t>
      </w:r>
      <w:r w:rsidR="001E3162" w:rsidRPr="00283996">
        <w:rPr>
          <w:rFonts w:cs="Times New Roman"/>
          <w:i/>
          <w:lang w:val="en-US"/>
        </w:rPr>
        <w:t xml:space="preserve">Mustapha </w:t>
      </w:r>
      <w:r w:rsidRPr="00283996">
        <w:rPr>
          <w:rFonts w:cs="Times New Roman"/>
          <w:i/>
          <w:lang w:val="en-US"/>
        </w:rPr>
        <w:t xml:space="preserve">v. </w:t>
      </w:r>
      <w:proofErr w:type="spellStart"/>
      <w:r w:rsidRPr="00283996">
        <w:rPr>
          <w:rFonts w:cs="Times New Roman"/>
          <w:i/>
          <w:lang w:val="en-US"/>
        </w:rPr>
        <w:t>Culligan</w:t>
      </w:r>
      <w:proofErr w:type="spellEnd"/>
      <w:r w:rsidRPr="00283996">
        <w:rPr>
          <w:rFonts w:cs="Times New Roman"/>
          <w:i/>
          <w:lang w:val="en-US"/>
        </w:rPr>
        <w:t xml:space="preserve"> of Canada Ltd.</w:t>
      </w:r>
      <w:r w:rsidR="008530CE" w:rsidRPr="00283996">
        <w:rPr>
          <w:rFonts w:cs="Times New Roman"/>
          <w:lang w:val="en-US"/>
        </w:rPr>
        <w:t xml:space="preserve">, 2008 SCC 27, [2008] 2 </w:t>
      </w:r>
      <w:r w:rsidRPr="00283996">
        <w:rPr>
          <w:rFonts w:cs="Times New Roman"/>
          <w:lang w:val="en-US"/>
        </w:rPr>
        <w:t>S.C.R. 114, at para. 9, in which the Court stated that “minor and transient upsets” do not constitute compensable injury in tort law.</w:t>
      </w:r>
    </w:p>
    <w:p w:rsidR="003011EC" w:rsidRPr="00283996" w:rsidRDefault="003011EC" w:rsidP="003011EC">
      <w:pPr>
        <w:pStyle w:val="Title2LevelTitre2Niveau"/>
        <w:numPr>
          <w:ilvl w:val="1"/>
          <w:numId w:val="8"/>
        </w:numPr>
        <w:spacing w:before="0"/>
        <w:rPr>
          <w:rFonts w:cs="Times New Roman"/>
          <w:lang w:val="en-US"/>
        </w:rPr>
      </w:pPr>
      <w:bookmarkStart w:id="9" w:name="_Toc14257132"/>
      <w:bookmarkStart w:id="10" w:name="_Toc24710733"/>
      <w:r w:rsidRPr="00283996">
        <w:rPr>
          <w:rFonts w:cs="Times New Roman"/>
          <w:lang w:val="en-US"/>
        </w:rPr>
        <w:t>Quebec Court of Appeal (2017 QCCA 1919)</w:t>
      </w:r>
      <w:bookmarkEnd w:id="9"/>
      <w:bookmarkEnd w:id="10"/>
    </w:p>
    <w:p w:rsidR="003011EC" w:rsidRPr="00283996" w:rsidRDefault="003011EC" w:rsidP="003011EC">
      <w:pPr>
        <w:pStyle w:val="ParaNoNdepar-AltN"/>
        <w:spacing w:before="0"/>
        <w:rPr>
          <w:rFonts w:cs="Times New Roman"/>
          <w:lang w:val="en-US"/>
        </w:rPr>
      </w:pPr>
      <w:r w:rsidRPr="00283996">
        <w:rPr>
          <w:rFonts w:cs="Times New Roman"/>
          <w:lang w:val="en-US"/>
        </w:rPr>
        <w:t>The majority dismissed Ms. </w:t>
      </w:r>
      <w:proofErr w:type="spellStart"/>
      <w:r w:rsidRPr="00283996">
        <w:rPr>
          <w:rFonts w:cs="Times New Roman"/>
          <w:lang w:val="en-US"/>
        </w:rPr>
        <w:t>Kosoian’s</w:t>
      </w:r>
      <w:proofErr w:type="spellEnd"/>
      <w:r w:rsidRPr="00283996">
        <w:rPr>
          <w:rFonts w:cs="Times New Roman"/>
          <w:lang w:val="en-US"/>
        </w:rPr>
        <w:t xml:space="preserve"> appeal. The </w:t>
      </w:r>
      <w:proofErr w:type="spellStart"/>
      <w:r w:rsidRPr="00283996">
        <w:rPr>
          <w:rFonts w:cs="Times New Roman"/>
          <w:lang w:val="en-US"/>
        </w:rPr>
        <w:t>Honourable</w:t>
      </w:r>
      <w:proofErr w:type="spellEnd"/>
      <w:r w:rsidRPr="00283996">
        <w:rPr>
          <w:rFonts w:cs="Times New Roman"/>
          <w:lang w:val="en-US"/>
        </w:rPr>
        <w:t xml:space="preserve"> Julie </w:t>
      </w:r>
      <w:proofErr w:type="spellStart"/>
      <w:r w:rsidRPr="00283996">
        <w:rPr>
          <w:rFonts w:cs="Times New Roman"/>
          <w:lang w:val="en-US"/>
        </w:rPr>
        <w:t>Dutil</w:t>
      </w:r>
      <w:proofErr w:type="spellEnd"/>
      <w:r w:rsidRPr="00283996">
        <w:rPr>
          <w:rFonts w:cs="Times New Roman"/>
          <w:lang w:val="en-US"/>
        </w:rPr>
        <w:t>, writing for the majority, expressed the view that Constable Camacho did not commit a civil fault by giving the appellant a statement of offence and by arresting her when she refused to identify herself (para. 6 (</w:t>
      </w:r>
      <w:proofErr w:type="spellStart"/>
      <w:r w:rsidRPr="00283996">
        <w:rPr>
          <w:rFonts w:cs="Times New Roman"/>
          <w:lang w:val="en-US"/>
        </w:rPr>
        <w:t>CanLII</w:t>
      </w:r>
      <w:proofErr w:type="spellEnd"/>
      <w:r w:rsidRPr="00283996">
        <w:rPr>
          <w:rFonts w:cs="Times New Roman"/>
          <w:lang w:val="en-US"/>
        </w:rPr>
        <w:t xml:space="preserve">)). </w:t>
      </w:r>
      <w:proofErr w:type="spellStart"/>
      <w:r w:rsidRPr="00283996">
        <w:rPr>
          <w:rFonts w:cs="Times New Roman"/>
          <w:lang w:val="en-US"/>
        </w:rPr>
        <w:t>Dutil</w:t>
      </w:r>
      <w:proofErr w:type="spellEnd"/>
      <w:r w:rsidRPr="00283996">
        <w:rPr>
          <w:rFonts w:cs="Times New Roman"/>
          <w:lang w:val="en-US"/>
        </w:rPr>
        <w:t> J.A. noted that, in matters of civil liability, a police officer is held to the standard of a reasonable police officer in the same circumstances, such that the officer’s conduct must be considered in light of the facts known to him or her at the time of the events (</w:t>
      </w:r>
      <w:r w:rsidRPr="00283996">
        <w:rPr>
          <w:rFonts w:cs="Times New Roman"/>
          <w:i/>
          <w:lang w:val="en-US"/>
        </w:rPr>
        <w:t>ibid.</w:t>
      </w:r>
      <w:r w:rsidRPr="00283996">
        <w:rPr>
          <w:rFonts w:cs="Times New Roman"/>
          <w:lang w:val="en-US"/>
        </w:rPr>
        <w:t xml:space="preserve">). In this case, she noted that </w:t>
      </w:r>
      <w:r w:rsidRPr="00283996">
        <w:rPr>
          <w:rFonts w:cs="Times New Roman"/>
          <w:lang w:val="en-US"/>
        </w:rPr>
        <w:lastRenderedPageBreak/>
        <w:t>By</w:t>
      </w:r>
      <w:r w:rsidRPr="00283996">
        <w:rPr>
          <w:rFonts w:cs="Times New Roman"/>
          <w:lang w:val="en-US"/>
        </w:rPr>
        <w:noBreakHyphen/>
        <w:t>law R</w:t>
      </w:r>
      <w:r w:rsidRPr="00283996">
        <w:rPr>
          <w:rFonts w:cs="Times New Roman"/>
          <w:lang w:val="en-US"/>
        </w:rPr>
        <w:noBreakHyphen/>
        <w:t>036 was presumed to be valid at the time of the events and that Constable Camacho had also received tr</w:t>
      </w:r>
      <w:r w:rsidR="0077113B" w:rsidRPr="00283996">
        <w:rPr>
          <w:rFonts w:cs="Times New Roman"/>
          <w:lang w:val="en-US"/>
        </w:rPr>
        <w:t>a</w:t>
      </w:r>
      <w:r w:rsidR="00095CFA">
        <w:rPr>
          <w:rFonts w:cs="Times New Roman"/>
          <w:lang w:val="en-US"/>
        </w:rPr>
        <w:t>ining on the subject (paras. 7-</w:t>
      </w:r>
      <w:r w:rsidRPr="00283996">
        <w:rPr>
          <w:rFonts w:cs="Times New Roman"/>
          <w:lang w:val="en-US"/>
        </w:rPr>
        <w:t>8, 11 and 13). For these reasons, he had to assume that failing to hold the handrail was an offence under the by</w:t>
      </w:r>
      <w:r w:rsidRPr="00283996">
        <w:rPr>
          <w:rFonts w:cs="Times New Roman"/>
          <w:lang w:val="en-US"/>
        </w:rPr>
        <w:noBreakHyphen/>
        <w:t>law in force (</w:t>
      </w:r>
      <w:r w:rsidRPr="00283996">
        <w:rPr>
          <w:rFonts w:cs="Times New Roman"/>
          <w:i/>
          <w:lang w:val="en-US"/>
        </w:rPr>
        <w:t>ibid.</w:t>
      </w:r>
      <w:r w:rsidRPr="00283996">
        <w:rPr>
          <w:rFonts w:cs="Times New Roman"/>
          <w:lang w:val="en-US"/>
        </w:rPr>
        <w:t xml:space="preserve">). </w:t>
      </w:r>
      <w:proofErr w:type="spellStart"/>
      <w:r w:rsidRPr="00283996">
        <w:rPr>
          <w:rFonts w:cs="Times New Roman"/>
          <w:lang w:val="en-US"/>
        </w:rPr>
        <w:t>Dutil</w:t>
      </w:r>
      <w:proofErr w:type="spellEnd"/>
      <w:r w:rsidRPr="00283996">
        <w:rPr>
          <w:rFonts w:cs="Times New Roman"/>
          <w:lang w:val="en-US"/>
        </w:rPr>
        <w:t> J.A. added that it was not Constable Camacho’s role to analyze the law to determine whether the offence existed in law (para. 11). In the end, she concluded that it was [</w:t>
      </w:r>
      <w:r w:rsidRPr="00283996">
        <w:rPr>
          <w:rFonts w:cs="Times New Roman"/>
          <w:smallCaps/>
          <w:lang w:val="en-US"/>
        </w:rPr>
        <w:t>translation</w:t>
      </w:r>
      <w:r w:rsidRPr="00283996">
        <w:rPr>
          <w:rFonts w:cs="Times New Roman"/>
          <w:lang w:val="en-US"/>
        </w:rPr>
        <w:t>] “[t]he appellant [who] was the author of her own misfortune” (para. 18). Ms. </w:t>
      </w:r>
      <w:proofErr w:type="spellStart"/>
      <w:r w:rsidRPr="00283996">
        <w:rPr>
          <w:rFonts w:cs="Times New Roman"/>
          <w:lang w:val="en-US"/>
        </w:rPr>
        <w:t>Kosoian</w:t>
      </w:r>
      <w:proofErr w:type="spellEnd"/>
      <w:r w:rsidRPr="00283996">
        <w:rPr>
          <w:rFonts w:cs="Times New Roman"/>
          <w:lang w:val="en-US"/>
        </w:rPr>
        <w:t xml:space="preserve"> should have cooperated with the police, even if she contested the statements of offence later. In this context, even on the assumption that a fault had been committed, it would not be appropriate to award damages as a remedy (para. 18).</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On the issue of the STM’s liability, </w:t>
      </w:r>
      <w:proofErr w:type="spellStart"/>
      <w:r w:rsidRPr="00283996">
        <w:rPr>
          <w:rFonts w:cs="Times New Roman"/>
          <w:lang w:val="en-US"/>
        </w:rPr>
        <w:t>Dutil</w:t>
      </w:r>
      <w:proofErr w:type="spellEnd"/>
      <w:r w:rsidRPr="00283996">
        <w:rPr>
          <w:rFonts w:cs="Times New Roman"/>
          <w:lang w:val="en-US"/>
        </w:rPr>
        <w:t> J.A. stated that that public body enjoys relative immunity in the exercise of its regulatory power, which includes the implementation of By</w:t>
      </w:r>
      <w:r w:rsidRPr="00283996">
        <w:rPr>
          <w:rFonts w:cs="Times New Roman"/>
          <w:lang w:val="en-US"/>
        </w:rPr>
        <w:noBreakHyphen/>
        <w:t>law R</w:t>
      </w:r>
      <w:r w:rsidRPr="00283996">
        <w:rPr>
          <w:rFonts w:cs="Times New Roman"/>
          <w:lang w:val="en-US"/>
        </w:rPr>
        <w:noBreakHyphen/>
        <w:t>036 (para. 21). For the STM to be found civilly liable on this basis, Ms. </w:t>
      </w:r>
      <w:proofErr w:type="spellStart"/>
      <w:r w:rsidRPr="00283996">
        <w:rPr>
          <w:rFonts w:cs="Times New Roman"/>
          <w:lang w:val="en-US"/>
        </w:rPr>
        <w:t>Kosoian</w:t>
      </w:r>
      <w:proofErr w:type="spellEnd"/>
      <w:r w:rsidRPr="00283996">
        <w:rPr>
          <w:rFonts w:cs="Times New Roman"/>
          <w:lang w:val="en-US"/>
        </w:rPr>
        <w:t xml:space="preserve"> had to establish that it had acted in bad faith. In </w:t>
      </w:r>
      <w:proofErr w:type="spellStart"/>
      <w:r w:rsidRPr="00283996">
        <w:rPr>
          <w:rFonts w:cs="Times New Roman"/>
          <w:lang w:val="en-US"/>
        </w:rPr>
        <w:t>Dutil</w:t>
      </w:r>
      <w:proofErr w:type="spellEnd"/>
      <w:r w:rsidRPr="00283996">
        <w:rPr>
          <w:rFonts w:cs="Times New Roman"/>
          <w:lang w:val="en-US"/>
        </w:rPr>
        <w:t> J.A.’s view, she had not proved this (para. 22).</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The </w:t>
      </w:r>
      <w:proofErr w:type="spellStart"/>
      <w:r w:rsidRPr="00283996">
        <w:rPr>
          <w:rFonts w:cs="Times New Roman"/>
          <w:lang w:val="en-US"/>
        </w:rPr>
        <w:t>Honourable</w:t>
      </w:r>
      <w:proofErr w:type="spellEnd"/>
      <w:r w:rsidRPr="00283996">
        <w:rPr>
          <w:rFonts w:cs="Times New Roman"/>
          <w:lang w:val="en-US"/>
        </w:rPr>
        <w:t xml:space="preserve"> Martin </w:t>
      </w:r>
      <w:proofErr w:type="spellStart"/>
      <w:r w:rsidRPr="00283996">
        <w:rPr>
          <w:rFonts w:cs="Times New Roman"/>
          <w:lang w:val="en-US"/>
        </w:rPr>
        <w:t>Vauclair</w:t>
      </w:r>
      <w:proofErr w:type="spellEnd"/>
      <w:r w:rsidRPr="00283996">
        <w:rPr>
          <w:rFonts w:cs="Times New Roman"/>
          <w:lang w:val="en-US"/>
        </w:rPr>
        <w:t xml:space="preserve"> wrote concurring reasons in which he agreed with </w:t>
      </w:r>
      <w:proofErr w:type="spellStart"/>
      <w:r w:rsidRPr="00283996">
        <w:rPr>
          <w:rFonts w:cs="Times New Roman"/>
          <w:lang w:val="en-US"/>
        </w:rPr>
        <w:t>Dutil</w:t>
      </w:r>
      <w:proofErr w:type="spellEnd"/>
      <w:r w:rsidRPr="00283996">
        <w:rPr>
          <w:rFonts w:cs="Times New Roman"/>
          <w:lang w:val="en-US"/>
        </w:rPr>
        <w:t> J.A.’s opinion (para. 25) but also stated that the police officers could lawfully search Ms. </w:t>
      </w:r>
      <w:proofErr w:type="spellStart"/>
      <w:r w:rsidRPr="00283996">
        <w:rPr>
          <w:rFonts w:cs="Times New Roman"/>
          <w:lang w:val="en-US"/>
        </w:rPr>
        <w:t>Kosoian’s</w:t>
      </w:r>
      <w:proofErr w:type="spellEnd"/>
      <w:r w:rsidRPr="00283996">
        <w:rPr>
          <w:rFonts w:cs="Times New Roman"/>
          <w:lang w:val="en-US"/>
        </w:rPr>
        <w:t xml:space="preserve"> bag, incidentally to her arrest, in order to identify her (para. 42). </w:t>
      </w:r>
      <w:proofErr w:type="spellStart"/>
      <w:r w:rsidRPr="00283996">
        <w:rPr>
          <w:rFonts w:cs="Times New Roman"/>
          <w:lang w:val="en-US"/>
        </w:rPr>
        <w:t>Dutil</w:t>
      </w:r>
      <w:proofErr w:type="spellEnd"/>
      <w:r w:rsidRPr="00283996">
        <w:rPr>
          <w:rFonts w:cs="Times New Roman"/>
          <w:lang w:val="en-US"/>
        </w:rPr>
        <w:t> J.A. found that it was not necessary to decide that question (para. 15).</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The dissenting judge, the </w:t>
      </w:r>
      <w:proofErr w:type="spellStart"/>
      <w:r w:rsidRPr="00283996">
        <w:rPr>
          <w:rFonts w:cs="Times New Roman"/>
          <w:lang w:val="en-US"/>
        </w:rPr>
        <w:t>Honourable</w:t>
      </w:r>
      <w:proofErr w:type="spellEnd"/>
      <w:r w:rsidRPr="00283996">
        <w:rPr>
          <w:rFonts w:cs="Times New Roman"/>
          <w:lang w:val="en-US"/>
        </w:rPr>
        <w:t xml:space="preserve"> Mark Schrager, would have allowed the appeal, set aside the trial judgment and ordered the respondents to pay Ms. </w:t>
      </w:r>
      <w:proofErr w:type="spellStart"/>
      <w:r w:rsidRPr="00283996">
        <w:rPr>
          <w:rFonts w:cs="Times New Roman"/>
          <w:lang w:val="en-US"/>
        </w:rPr>
        <w:t>Kosoian</w:t>
      </w:r>
      <w:proofErr w:type="spellEnd"/>
      <w:r w:rsidRPr="00283996">
        <w:rPr>
          <w:rFonts w:cs="Times New Roman"/>
          <w:lang w:val="en-US"/>
        </w:rPr>
        <w:t xml:space="preserve"> </w:t>
      </w:r>
      <w:r w:rsidRPr="00283996">
        <w:rPr>
          <w:rFonts w:cs="Times New Roman"/>
          <w:lang w:val="en-US"/>
        </w:rPr>
        <w:lastRenderedPageBreak/>
        <w:t>$15,000 in damages. In his opinion, the trial judge had erred in law in finding that there was an obligation under a by</w:t>
      </w:r>
      <w:r w:rsidRPr="00283996">
        <w:rPr>
          <w:rFonts w:cs="Times New Roman"/>
          <w:lang w:val="en-US"/>
        </w:rPr>
        <w:noBreakHyphen/>
        <w:t>law to hold the handrail on the STM’s escalators (paras. 58 and 64).</w:t>
      </w:r>
    </w:p>
    <w:p w:rsidR="003011EC" w:rsidRPr="00283996" w:rsidRDefault="003011EC" w:rsidP="003011EC">
      <w:pPr>
        <w:pStyle w:val="ParaNoNdepar-AltN"/>
        <w:spacing w:before="0"/>
        <w:rPr>
          <w:rFonts w:cs="Times New Roman"/>
          <w:lang w:val="en-US"/>
        </w:rPr>
      </w:pPr>
      <w:r w:rsidRPr="00283996">
        <w:rPr>
          <w:rFonts w:cs="Times New Roman"/>
          <w:lang w:val="en-US"/>
        </w:rPr>
        <w:t>First, he expressed the view that art. 4(e) of By</w:t>
      </w:r>
      <w:r w:rsidRPr="00283996">
        <w:rPr>
          <w:rFonts w:cs="Times New Roman"/>
          <w:lang w:val="en-US"/>
        </w:rPr>
        <w:noBreakHyphen/>
        <w:t>law R</w:t>
      </w:r>
      <w:r w:rsidRPr="00283996">
        <w:rPr>
          <w:rFonts w:cs="Times New Roman"/>
          <w:lang w:val="en-US"/>
        </w:rPr>
        <w:noBreakHyphen/>
        <w:t>036 could not render it an offence to fail to comply with a pictogram (paras. 58</w:t>
      </w:r>
      <w:r w:rsidRPr="00283996">
        <w:rPr>
          <w:rFonts w:cs="Times New Roman"/>
          <w:lang w:val="en-US"/>
        </w:rPr>
        <w:noBreakHyphen/>
        <w:t>59 and 64</w:t>
      </w:r>
      <w:r w:rsidRPr="00283996">
        <w:rPr>
          <w:rFonts w:cs="Times New Roman"/>
          <w:lang w:val="en-US"/>
        </w:rPr>
        <w:noBreakHyphen/>
        <w:t xml:space="preserve">65). This would be an unlawful </w:t>
      </w:r>
      <w:proofErr w:type="spellStart"/>
      <w:r w:rsidRPr="00283996">
        <w:rPr>
          <w:rFonts w:cs="Times New Roman"/>
          <w:lang w:val="en-US"/>
        </w:rPr>
        <w:t>subdelegation</w:t>
      </w:r>
      <w:proofErr w:type="spellEnd"/>
      <w:r w:rsidRPr="00283996">
        <w:rPr>
          <w:rFonts w:cs="Times New Roman"/>
          <w:lang w:val="en-US"/>
        </w:rPr>
        <w:t xml:space="preserve"> of the STM’s regulatory power to the person responsible for making and posting pictograms. The enabling provision, s. 144(1) of the </w:t>
      </w:r>
      <w:r w:rsidRPr="00283996">
        <w:rPr>
          <w:rFonts w:cs="Times New Roman"/>
          <w:i/>
          <w:lang w:val="en-US"/>
        </w:rPr>
        <w:t>Act respecting public transit authorities</w:t>
      </w:r>
      <w:r w:rsidRPr="00283996">
        <w:rPr>
          <w:rFonts w:cs="Times New Roman"/>
          <w:lang w:val="en-US"/>
        </w:rPr>
        <w:t>, CQLR, c. S</w:t>
      </w:r>
      <w:r w:rsidRPr="00283996">
        <w:rPr>
          <w:rFonts w:cs="Times New Roman"/>
          <w:lang w:val="en-US"/>
        </w:rPr>
        <w:noBreakHyphen/>
        <w:t>30.01, authorizes the STM to prescribe standards of safety and conduct only through a by</w:t>
      </w:r>
      <w:r w:rsidRPr="00283996">
        <w:rPr>
          <w:rFonts w:cs="Times New Roman"/>
          <w:lang w:val="en-US"/>
        </w:rPr>
        <w:noBreakHyphen/>
        <w:t>law approved by the city. However, the pictogram in question did not receive such approval.</w:t>
      </w:r>
    </w:p>
    <w:p w:rsidR="003011EC" w:rsidRPr="00283996" w:rsidRDefault="003011EC" w:rsidP="003011EC">
      <w:pPr>
        <w:pStyle w:val="ParaNoNdepar-AltN"/>
        <w:spacing w:before="0"/>
        <w:rPr>
          <w:rFonts w:cs="Times New Roman"/>
          <w:lang w:val="en-US"/>
        </w:rPr>
      </w:pPr>
      <w:r w:rsidRPr="00283996">
        <w:rPr>
          <w:rFonts w:cs="Times New Roman"/>
          <w:lang w:val="en-US"/>
        </w:rPr>
        <w:t>The dissenting judge then noted, on an alternative basis, that [</w:t>
      </w:r>
      <w:r w:rsidRPr="00283996">
        <w:rPr>
          <w:rFonts w:cs="Times New Roman"/>
          <w:smallCaps/>
          <w:lang w:val="en-US"/>
        </w:rPr>
        <w:t>translation</w:t>
      </w:r>
      <w:r w:rsidRPr="00283996">
        <w:rPr>
          <w:rFonts w:cs="Times New Roman"/>
          <w:lang w:val="en-US"/>
        </w:rPr>
        <w:t xml:space="preserve">] “the pictogram communicates only a </w:t>
      </w:r>
      <w:r w:rsidRPr="00283996">
        <w:rPr>
          <w:rFonts w:cs="Times New Roman"/>
          <w:u w:val="single"/>
          <w:lang w:val="en-US"/>
        </w:rPr>
        <w:t>warning</w:t>
      </w:r>
      <w:r w:rsidRPr="00283996">
        <w:rPr>
          <w:rFonts w:cs="Times New Roman"/>
          <w:lang w:val="en-US"/>
        </w:rPr>
        <w:t xml:space="preserve"> to hold the handrail” and therefore does not set out a </w:t>
      </w:r>
      <w:r w:rsidRPr="00283996">
        <w:rPr>
          <w:rFonts w:cs="Times New Roman"/>
          <w:i/>
          <w:lang w:val="en-US"/>
        </w:rPr>
        <w:t>directive</w:t>
      </w:r>
      <w:r w:rsidRPr="00283996">
        <w:rPr>
          <w:rFonts w:cs="Times New Roman"/>
          <w:lang w:val="en-US"/>
        </w:rPr>
        <w:t xml:space="preserve"> (paras. 67</w:t>
      </w:r>
      <w:r w:rsidRPr="00283996">
        <w:rPr>
          <w:rFonts w:cs="Times New Roman"/>
          <w:lang w:val="en-US"/>
        </w:rPr>
        <w:noBreakHyphen/>
        <w:t xml:space="preserve">70 (emphasis added)). He found that a pictogram cannot be </w:t>
      </w:r>
      <w:r w:rsidR="00A61FF1" w:rsidRPr="00283996">
        <w:rPr>
          <w:rFonts w:cs="Times New Roman"/>
          <w:lang w:val="en-US"/>
        </w:rPr>
        <w:t>the source of an offence under art</w:t>
      </w:r>
      <w:r w:rsidRPr="00283996">
        <w:rPr>
          <w:rFonts w:cs="Times New Roman"/>
          <w:lang w:val="en-US"/>
        </w:rPr>
        <w:t>. 4(e) unless it amounts to a directive (paras. 71</w:t>
      </w:r>
      <w:r w:rsidRPr="00283996">
        <w:rPr>
          <w:rFonts w:cs="Times New Roman"/>
          <w:lang w:val="en-US"/>
        </w:rPr>
        <w:noBreakHyphen/>
        <w:t>72). As such, Ms. </w:t>
      </w:r>
      <w:proofErr w:type="spellStart"/>
      <w:r w:rsidRPr="00283996">
        <w:rPr>
          <w:rFonts w:cs="Times New Roman"/>
          <w:lang w:val="en-US"/>
        </w:rPr>
        <w:t>Kosoian</w:t>
      </w:r>
      <w:proofErr w:type="spellEnd"/>
      <w:r w:rsidRPr="00283996">
        <w:rPr>
          <w:rFonts w:cs="Times New Roman"/>
          <w:lang w:val="en-US"/>
        </w:rPr>
        <w:t xml:space="preserve"> could not be reproached legally for disobeying a message that in fact only advises users to be careful (para. 67). The dissenting judge concluded that By</w:t>
      </w:r>
      <w:r w:rsidRPr="00283996">
        <w:rPr>
          <w:rFonts w:cs="Times New Roman"/>
          <w:lang w:val="en-US"/>
        </w:rPr>
        <w:noBreakHyphen/>
        <w:t>law R</w:t>
      </w:r>
      <w:r w:rsidRPr="00283996">
        <w:rPr>
          <w:rFonts w:cs="Times New Roman"/>
          <w:lang w:val="en-US"/>
        </w:rPr>
        <w:noBreakHyphen/>
        <w:t>036 does not render it an offence to fail to hold the handrail (para. 73).</w:t>
      </w:r>
    </w:p>
    <w:p w:rsidR="003011EC" w:rsidRPr="00283996" w:rsidRDefault="003011EC" w:rsidP="003011EC">
      <w:pPr>
        <w:pStyle w:val="ParaNoNdepar-AltN"/>
        <w:spacing w:before="0"/>
        <w:rPr>
          <w:rFonts w:cs="Times New Roman"/>
          <w:lang w:val="en-US"/>
        </w:rPr>
      </w:pPr>
      <w:r w:rsidRPr="00283996">
        <w:rPr>
          <w:rFonts w:cs="Times New Roman"/>
          <w:lang w:val="en-US"/>
        </w:rPr>
        <w:t>In the dissenting judge’s view, not only were the arrest and search unlawful, but they also constituted a fault given that the offence that could have justified them did not exist (paras. 90</w:t>
      </w:r>
      <w:r w:rsidRPr="00283996">
        <w:rPr>
          <w:rFonts w:cs="Times New Roman"/>
          <w:lang w:val="en-US"/>
        </w:rPr>
        <w:noBreakHyphen/>
        <w:t xml:space="preserve">91). He stated that police officers must know the </w:t>
      </w:r>
      <w:r w:rsidRPr="00283996">
        <w:rPr>
          <w:rFonts w:cs="Times New Roman"/>
          <w:lang w:val="en-US"/>
        </w:rPr>
        <w:lastRenderedPageBreak/>
        <w:t xml:space="preserve">general principles of criminal and penal law they have to apply (para. 84) and that ignorance of the law is no </w:t>
      </w:r>
      <w:proofErr w:type="spellStart"/>
      <w:r w:rsidRPr="00283996">
        <w:rPr>
          <w:rFonts w:cs="Times New Roman"/>
          <w:lang w:val="en-US"/>
        </w:rPr>
        <w:t>defence</w:t>
      </w:r>
      <w:proofErr w:type="spellEnd"/>
      <w:r w:rsidRPr="00283996">
        <w:rPr>
          <w:rFonts w:cs="Times New Roman"/>
          <w:lang w:val="en-US"/>
        </w:rPr>
        <w:t xml:space="preserve"> (para. 82). In the instant case, therefore, it was not sufficient that Constable Camacho sincerely believed that art. 4(e) of By</w:t>
      </w:r>
      <w:r w:rsidRPr="00283996">
        <w:rPr>
          <w:rFonts w:cs="Times New Roman"/>
          <w:lang w:val="en-US"/>
        </w:rPr>
        <w:noBreakHyphen/>
        <w:t>law R</w:t>
      </w:r>
      <w:r w:rsidRPr="00283996">
        <w:rPr>
          <w:rFonts w:cs="Times New Roman"/>
          <w:lang w:val="en-US"/>
        </w:rPr>
        <w:noBreakHyphen/>
        <w:t>036 created an offence (para. 84). The dissenting judge was also of the view that the reasonable police officer standard can be of no assistance where a court is called upon to decide a question of law rather than to assess a fact situation (para. 85). When an arrest is made for an offence that does not exist in law, the act constitutes a fault even if it also results from improper training (para. 88).</w:t>
      </w:r>
    </w:p>
    <w:p w:rsidR="003011EC" w:rsidRPr="00283996" w:rsidRDefault="003011EC" w:rsidP="003011EC">
      <w:pPr>
        <w:pStyle w:val="ParaNoNdepar-AltN"/>
        <w:spacing w:before="0"/>
        <w:rPr>
          <w:rFonts w:cs="Times New Roman"/>
          <w:lang w:val="en-US"/>
        </w:rPr>
      </w:pPr>
      <w:r w:rsidRPr="00283996">
        <w:rPr>
          <w:rFonts w:cs="Times New Roman"/>
          <w:lang w:val="en-US"/>
        </w:rPr>
        <w:t>The dissenting judge further found that in addition to being liable for its own faults in the drafting and implementation of By</w:t>
      </w:r>
      <w:r w:rsidRPr="00283996">
        <w:rPr>
          <w:rFonts w:cs="Times New Roman"/>
          <w:lang w:val="en-US"/>
        </w:rPr>
        <w:noBreakHyphen/>
        <w:t>law R</w:t>
      </w:r>
      <w:r w:rsidRPr="00283996">
        <w:rPr>
          <w:rFonts w:cs="Times New Roman"/>
          <w:lang w:val="en-US"/>
        </w:rPr>
        <w:noBreakHyphen/>
        <w:t xml:space="preserve">036, including the training given to police officers, the STM was liable as </w:t>
      </w:r>
      <w:proofErr w:type="spellStart"/>
      <w:r w:rsidRPr="00283996">
        <w:rPr>
          <w:rFonts w:cs="Times New Roman"/>
          <w:lang w:val="en-US"/>
        </w:rPr>
        <w:t>mandator</w:t>
      </w:r>
      <w:proofErr w:type="spellEnd"/>
      <w:r w:rsidRPr="00283996">
        <w:rPr>
          <w:rFonts w:cs="Times New Roman"/>
          <w:lang w:val="en-US"/>
        </w:rPr>
        <w:t xml:space="preserve"> for Constable Camacho’s fault (paras. 97</w:t>
      </w:r>
      <w:r w:rsidRPr="00283996">
        <w:rPr>
          <w:rFonts w:cs="Times New Roman"/>
          <w:lang w:val="en-US"/>
        </w:rPr>
        <w:noBreakHyphen/>
        <w:t>98). He was of the opinion that, in the circumstances, the STM could not claim the relative immunity enjoyed by public bodies in the exercise of their regulatory power (para. 100). The STM was also at fault for failing to discontinue the proceedings against Ms. </w:t>
      </w:r>
      <w:proofErr w:type="spellStart"/>
      <w:r w:rsidRPr="00283996">
        <w:rPr>
          <w:rFonts w:cs="Times New Roman"/>
          <w:lang w:val="en-US"/>
        </w:rPr>
        <w:t>Kosoian</w:t>
      </w:r>
      <w:proofErr w:type="spellEnd"/>
      <w:r w:rsidRPr="00283996">
        <w:rPr>
          <w:rFonts w:cs="Times New Roman"/>
          <w:lang w:val="en-US"/>
        </w:rPr>
        <w:t xml:space="preserve"> in the Municipal Court of Montréal (para. 101). Finally, the City too was liable for Constable Camacho’s fault in its capacity as his principal (para. 102).</w:t>
      </w:r>
    </w:p>
    <w:p w:rsidR="003011EC" w:rsidRPr="00283996" w:rsidRDefault="003011EC" w:rsidP="003011EC">
      <w:pPr>
        <w:pStyle w:val="ParaNoNdepar-AltN"/>
        <w:spacing w:before="0"/>
        <w:rPr>
          <w:rFonts w:cs="Times New Roman"/>
          <w:lang w:val="en-US"/>
        </w:rPr>
      </w:pPr>
      <w:r w:rsidRPr="00283996">
        <w:rPr>
          <w:rFonts w:cs="Times New Roman"/>
          <w:lang w:val="en-US"/>
        </w:rPr>
        <w:t>The dissenting judge expressed the view that the events had caused moral injury to Ms. </w:t>
      </w:r>
      <w:proofErr w:type="spellStart"/>
      <w:r w:rsidRPr="00283996">
        <w:rPr>
          <w:rFonts w:cs="Times New Roman"/>
          <w:lang w:val="en-US"/>
        </w:rPr>
        <w:t>Kosoian</w:t>
      </w:r>
      <w:proofErr w:type="spellEnd"/>
      <w:r w:rsidRPr="00283996">
        <w:rPr>
          <w:rFonts w:cs="Times New Roman"/>
          <w:lang w:val="en-US"/>
        </w:rPr>
        <w:t>. After reviewing the relevant jurisprudence, he set the total amount of compen</w:t>
      </w:r>
      <w:r w:rsidR="00E63E80" w:rsidRPr="00283996">
        <w:rPr>
          <w:rFonts w:cs="Times New Roman"/>
          <w:lang w:val="en-US"/>
        </w:rPr>
        <w:t xml:space="preserve">sation at </w:t>
      </w:r>
      <w:r w:rsidRPr="00283996">
        <w:rPr>
          <w:rFonts w:cs="Times New Roman"/>
          <w:lang w:val="en-US"/>
        </w:rPr>
        <w:t>$20,000 (paras. 105</w:t>
      </w:r>
      <w:r w:rsidRPr="00283996">
        <w:rPr>
          <w:rFonts w:cs="Times New Roman"/>
          <w:lang w:val="en-US"/>
        </w:rPr>
        <w:noBreakHyphen/>
        <w:t xml:space="preserve">12). However, he found that 25 percent of the liability should be apportioned to the appellant because her failure to cooperate with the police officers had aggravated the situation. She had thus breached her duty to </w:t>
      </w:r>
      <w:r w:rsidRPr="00283996">
        <w:rPr>
          <w:rFonts w:cs="Times New Roman"/>
          <w:lang w:val="en-US"/>
        </w:rPr>
        <w:lastRenderedPageBreak/>
        <w:t xml:space="preserve">mitigate the injury (para. 113). Schrager J.A. would therefore have ordered the respondents </w:t>
      </w:r>
      <w:proofErr w:type="spellStart"/>
      <w:r w:rsidRPr="00283996">
        <w:rPr>
          <w:rFonts w:cs="Times New Roman"/>
          <w:lang w:val="en-US"/>
        </w:rPr>
        <w:t>solidarily</w:t>
      </w:r>
      <w:proofErr w:type="spellEnd"/>
      <w:r w:rsidRPr="00283996">
        <w:rPr>
          <w:rFonts w:cs="Times New Roman"/>
          <w:lang w:val="en-US"/>
        </w:rPr>
        <w:t xml:space="preserve"> to pay the appellant $15,000 while apportioning all of the liability to the STM, among the three respondents, because of its role in drafting the by</w:t>
      </w:r>
      <w:r w:rsidRPr="00283996">
        <w:rPr>
          <w:rFonts w:cs="Times New Roman"/>
          <w:lang w:val="en-US"/>
        </w:rPr>
        <w:noBreakHyphen/>
        <w:t>law, training the police officers and prosecuting Ms. </w:t>
      </w:r>
      <w:proofErr w:type="spellStart"/>
      <w:r w:rsidRPr="00283996">
        <w:rPr>
          <w:rFonts w:cs="Times New Roman"/>
          <w:lang w:val="en-US"/>
        </w:rPr>
        <w:t>Kosoian</w:t>
      </w:r>
      <w:proofErr w:type="spellEnd"/>
      <w:r w:rsidRPr="00283996">
        <w:rPr>
          <w:rFonts w:cs="Times New Roman"/>
          <w:lang w:val="en-US"/>
        </w:rPr>
        <w:t xml:space="preserve"> in the Municipal Court (para. 116).</w:t>
      </w:r>
    </w:p>
    <w:p w:rsidR="003011EC" w:rsidRPr="00283996" w:rsidRDefault="003011EC" w:rsidP="003011EC">
      <w:pPr>
        <w:pStyle w:val="Title1LevelTitre1Niveau-AltL"/>
        <w:widowControl w:val="0"/>
        <w:numPr>
          <w:ilvl w:val="0"/>
          <w:numId w:val="8"/>
        </w:numPr>
        <w:spacing w:before="0"/>
        <w:rPr>
          <w:rFonts w:cs="Times New Roman"/>
          <w:lang w:val="en-US"/>
        </w:rPr>
      </w:pPr>
      <w:bookmarkStart w:id="11" w:name="_Toc14257133"/>
      <w:bookmarkStart w:id="12" w:name="_Toc24710734"/>
      <w:r w:rsidRPr="00283996">
        <w:rPr>
          <w:rFonts w:cs="Times New Roman"/>
          <w:lang w:val="en-US"/>
        </w:rPr>
        <w:t>Issues</w:t>
      </w:r>
      <w:bookmarkEnd w:id="11"/>
      <w:bookmarkEnd w:id="12"/>
    </w:p>
    <w:p w:rsidR="003011EC" w:rsidRPr="00283996" w:rsidRDefault="003011EC" w:rsidP="003011EC">
      <w:pPr>
        <w:pStyle w:val="ParaNoNdepar-AltN"/>
        <w:tabs>
          <w:tab w:val="clear" w:pos="1152"/>
          <w:tab w:val="num" w:pos="1170"/>
        </w:tabs>
        <w:spacing w:before="0"/>
        <w:rPr>
          <w:rFonts w:cs="Times New Roman"/>
          <w:lang w:val="en-US"/>
        </w:rPr>
      </w:pPr>
      <w:r w:rsidRPr="00283996">
        <w:rPr>
          <w:rFonts w:cs="Times New Roman"/>
          <w:lang w:val="en-US"/>
        </w:rPr>
        <w:t>The following issues must be considered in this appeal:</w:t>
      </w:r>
    </w:p>
    <w:p w:rsidR="003011EC" w:rsidRPr="00283996" w:rsidRDefault="003011EC" w:rsidP="004F4496">
      <w:pPr>
        <w:pStyle w:val="ParaNoNdepar-AltN"/>
        <w:numPr>
          <w:ilvl w:val="1"/>
          <w:numId w:val="1"/>
        </w:numPr>
        <w:spacing w:before="0"/>
        <w:ind w:left="1170" w:hanging="1170"/>
        <w:rPr>
          <w:rFonts w:cs="Times New Roman"/>
          <w:lang w:val="en-US"/>
        </w:rPr>
      </w:pPr>
      <w:r w:rsidRPr="00283996">
        <w:rPr>
          <w:rFonts w:cs="Times New Roman"/>
          <w:lang w:val="en-US"/>
        </w:rPr>
        <w:t>What are the general principles governing the civil liability of the police?</w:t>
      </w:r>
    </w:p>
    <w:p w:rsidR="003011EC" w:rsidRPr="00283996" w:rsidRDefault="003011EC" w:rsidP="004F4496">
      <w:pPr>
        <w:pStyle w:val="ParaNoNdepar-AltN"/>
        <w:numPr>
          <w:ilvl w:val="1"/>
          <w:numId w:val="1"/>
        </w:numPr>
        <w:spacing w:before="0"/>
        <w:ind w:left="1170" w:hanging="1170"/>
        <w:rPr>
          <w:rFonts w:cs="Times New Roman"/>
          <w:lang w:val="en-US"/>
        </w:rPr>
      </w:pPr>
      <w:r w:rsidRPr="00283996">
        <w:rPr>
          <w:rFonts w:cs="Times New Roman"/>
          <w:lang w:val="en-US"/>
        </w:rPr>
        <w:t>Did Constable Camacho incur civil liability by acting as he did toward Ms. </w:t>
      </w:r>
      <w:proofErr w:type="spellStart"/>
      <w:r w:rsidRPr="00283996">
        <w:rPr>
          <w:rFonts w:cs="Times New Roman"/>
          <w:lang w:val="en-US"/>
        </w:rPr>
        <w:t>Kosoian</w:t>
      </w:r>
      <w:proofErr w:type="spellEnd"/>
      <w:r w:rsidRPr="00283996">
        <w:rPr>
          <w:rFonts w:cs="Times New Roman"/>
          <w:lang w:val="en-US"/>
        </w:rPr>
        <w:t xml:space="preserve"> because of the fact that she was not holding the escalator handrail?</w:t>
      </w:r>
    </w:p>
    <w:p w:rsidR="003011EC" w:rsidRPr="00283996" w:rsidRDefault="003011EC" w:rsidP="004F4496">
      <w:pPr>
        <w:pStyle w:val="ParaNoNdepar-AltN"/>
        <w:numPr>
          <w:ilvl w:val="1"/>
          <w:numId w:val="1"/>
        </w:numPr>
        <w:spacing w:before="0"/>
        <w:ind w:left="1170" w:hanging="1170"/>
        <w:rPr>
          <w:rFonts w:cs="Times New Roman"/>
          <w:lang w:val="en-US"/>
        </w:rPr>
      </w:pPr>
      <w:r w:rsidRPr="00283996">
        <w:rPr>
          <w:rFonts w:cs="Times New Roman"/>
          <w:lang w:val="en-US"/>
        </w:rPr>
        <w:t xml:space="preserve">Did the STM incur civil liability by committing a direct fault? If so, can it claim public law relative immunity? Did it also incur liability as </w:t>
      </w:r>
      <w:proofErr w:type="spellStart"/>
      <w:r w:rsidRPr="00283996">
        <w:rPr>
          <w:rFonts w:cs="Times New Roman"/>
          <w:lang w:val="en-US"/>
        </w:rPr>
        <w:t>mandator</w:t>
      </w:r>
      <w:proofErr w:type="spellEnd"/>
      <w:r w:rsidRPr="00283996">
        <w:rPr>
          <w:rFonts w:cs="Times New Roman"/>
          <w:lang w:val="en-US"/>
        </w:rPr>
        <w:t>?</w:t>
      </w:r>
    </w:p>
    <w:p w:rsidR="003011EC" w:rsidRPr="00283996" w:rsidRDefault="003011EC" w:rsidP="004F4496">
      <w:pPr>
        <w:pStyle w:val="ParaNoNdepar-AltN"/>
        <w:numPr>
          <w:ilvl w:val="1"/>
          <w:numId w:val="1"/>
        </w:numPr>
        <w:spacing w:before="0"/>
        <w:ind w:left="1170" w:hanging="1170"/>
        <w:rPr>
          <w:rFonts w:cs="Times New Roman"/>
          <w:lang w:val="en-US"/>
        </w:rPr>
      </w:pPr>
      <w:r w:rsidRPr="00283996">
        <w:rPr>
          <w:rFonts w:cs="Times New Roman"/>
          <w:lang w:val="en-US"/>
        </w:rPr>
        <w:t>On the assumption that Ms. </w:t>
      </w:r>
      <w:proofErr w:type="spellStart"/>
      <w:r w:rsidRPr="00283996">
        <w:rPr>
          <w:rFonts w:cs="Times New Roman"/>
          <w:lang w:val="en-US"/>
        </w:rPr>
        <w:t>Kosoian</w:t>
      </w:r>
      <w:proofErr w:type="spellEnd"/>
      <w:r w:rsidRPr="00283996">
        <w:rPr>
          <w:rFonts w:cs="Times New Roman"/>
          <w:lang w:val="en-US"/>
        </w:rPr>
        <w:t xml:space="preserve"> is successful, must she bear a share of the liability because of her refusal to cooperate with the police?</w:t>
      </w:r>
    </w:p>
    <w:p w:rsidR="003011EC" w:rsidRPr="00283996" w:rsidRDefault="003011EC" w:rsidP="003011EC">
      <w:pPr>
        <w:pStyle w:val="Title1LevelTitre1Niveau-AltL"/>
        <w:numPr>
          <w:ilvl w:val="0"/>
          <w:numId w:val="8"/>
        </w:numPr>
        <w:spacing w:before="0"/>
        <w:rPr>
          <w:rFonts w:cs="Times New Roman"/>
          <w:lang w:val="en-US"/>
        </w:rPr>
      </w:pPr>
      <w:bookmarkStart w:id="13" w:name="_Toc14257134"/>
      <w:bookmarkStart w:id="14" w:name="_Toc24710735"/>
      <w:r w:rsidRPr="00283996">
        <w:rPr>
          <w:rFonts w:cs="Times New Roman"/>
          <w:lang w:val="en-US"/>
        </w:rPr>
        <w:t>Analys</w:t>
      </w:r>
      <w:bookmarkEnd w:id="13"/>
      <w:bookmarkEnd w:id="14"/>
      <w:r w:rsidRPr="00283996">
        <w:rPr>
          <w:rFonts w:cs="Times New Roman"/>
          <w:lang w:val="en-US"/>
        </w:rPr>
        <w:t>is</w:t>
      </w:r>
    </w:p>
    <w:p w:rsidR="003011EC" w:rsidRPr="00283996" w:rsidRDefault="003011EC" w:rsidP="003011EC">
      <w:pPr>
        <w:pStyle w:val="Title2LevelTitre2Niveau"/>
        <w:numPr>
          <w:ilvl w:val="1"/>
          <w:numId w:val="8"/>
        </w:numPr>
        <w:spacing w:before="0"/>
        <w:rPr>
          <w:rFonts w:cs="Times New Roman"/>
          <w:lang w:val="en-US"/>
        </w:rPr>
      </w:pPr>
      <w:bookmarkStart w:id="15" w:name="_Toc14257135"/>
      <w:bookmarkStart w:id="16" w:name="_Toc24710736"/>
      <w:r w:rsidRPr="00283996">
        <w:rPr>
          <w:rFonts w:cs="Times New Roman"/>
          <w:lang w:val="en-US"/>
        </w:rPr>
        <w:lastRenderedPageBreak/>
        <w:t>Civil Liability of the Police Under Quebec Law</w:t>
      </w:r>
      <w:bookmarkEnd w:id="15"/>
      <w:bookmarkEnd w:id="16"/>
    </w:p>
    <w:p w:rsidR="003011EC" w:rsidRPr="00283996" w:rsidRDefault="003011EC" w:rsidP="003011EC">
      <w:pPr>
        <w:pStyle w:val="Title3LevelTitre3Niveau"/>
        <w:numPr>
          <w:ilvl w:val="2"/>
          <w:numId w:val="8"/>
        </w:numPr>
        <w:spacing w:before="0"/>
        <w:ind w:left="1170"/>
        <w:rPr>
          <w:rFonts w:cs="Times New Roman"/>
          <w:lang w:val="en-US"/>
        </w:rPr>
      </w:pPr>
      <w:bookmarkStart w:id="17" w:name="_Toc14257136"/>
      <w:bookmarkStart w:id="18" w:name="_Toc24710737"/>
      <w:r w:rsidRPr="00283996">
        <w:rPr>
          <w:rFonts w:cs="Times New Roman"/>
          <w:lang w:val="en-US"/>
        </w:rPr>
        <w:t xml:space="preserve">Application of the General Rules in Article 1457 </w:t>
      </w:r>
      <w:r w:rsidRPr="00283996">
        <w:rPr>
          <w:rFonts w:cs="Times New Roman"/>
          <w:i/>
          <w:lang w:val="en-US"/>
        </w:rPr>
        <w:t>C.C.Q.</w:t>
      </w:r>
      <w:bookmarkEnd w:id="17"/>
      <w:bookmarkEnd w:id="18"/>
    </w:p>
    <w:p w:rsidR="003011EC" w:rsidRPr="00283996" w:rsidRDefault="003011EC" w:rsidP="003011EC">
      <w:pPr>
        <w:pStyle w:val="ParaNoNdepar-AltN"/>
        <w:spacing w:before="0"/>
        <w:rPr>
          <w:rFonts w:cs="Times New Roman"/>
          <w:lang w:val="en-US"/>
        </w:rPr>
      </w:pPr>
      <w:r w:rsidRPr="00283996">
        <w:rPr>
          <w:rFonts w:cs="Times New Roman"/>
          <w:lang w:val="en-US"/>
        </w:rPr>
        <w:t xml:space="preserve">Under Quebec civil law, s. 48 of the </w:t>
      </w:r>
      <w:r w:rsidRPr="00283996">
        <w:rPr>
          <w:rFonts w:cs="Times New Roman"/>
          <w:i/>
          <w:lang w:val="en-US"/>
        </w:rPr>
        <w:t>Police Act</w:t>
      </w:r>
      <w:r w:rsidRPr="00283996">
        <w:rPr>
          <w:rFonts w:cs="Times New Roman"/>
          <w:lang w:val="en-US"/>
        </w:rPr>
        <w:t>, CQLR, c. P</w:t>
      </w:r>
      <w:r w:rsidRPr="00283996">
        <w:rPr>
          <w:rFonts w:cs="Times New Roman"/>
          <w:lang w:val="en-US"/>
        </w:rPr>
        <w:noBreakHyphen/>
        <w:t>13.1, specifically entrusts police officers with the mission of maintaining peace, order and public security and preventing and repressing crime and offences under the law and municipal by</w:t>
      </w:r>
      <w:r w:rsidRPr="00283996">
        <w:rPr>
          <w:rFonts w:cs="Times New Roman"/>
          <w:lang w:val="en-US"/>
        </w:rPr>
        <w:noBreakHyphen/>
        <w:t>laws. In doing so, police officers help to ensure the safety of persons and property and to safeguard rights and freedoms (see, e.g., A.</w:t>
      </w:r>
      <w:r w:rsidRPr="00283996">
        <w:rPr>
          <w:rFonts w:cs="Times New Roman"/>
          <w:lang w:val="en-US"/>
        </w:rPr>
        <w:noBreakHyphen/>
        <w:t xml:space="preserve">R. Nadeau, </w:t>
      </w:r>
      <w:r w:rsidRPr="00283996">
        <w:rPr>
          <w:rFonts w:cs="Times New Roman"/>
          <w:i/>
          <w:lang w:val="en-US"/>
        </w:rPr>
        <w:t xml:space="preserve">Droit </w:t>
      </w:r>
      <w:proofErr w:type="spellStart"/>
      <w:r w:rsidRPr="00283996">
        <w:rPr>
          <w:rFonts w:cs="Times New Roman"/>
          <w:i/>
          <w:lang w:val="en-US"/>
        </w:rPr>
        <w:t>policier</w:t>
      </w:r>
      <w:proofErr w:type="spellEnd"/>
      <w:r w:rsidRPr="00283996">
        <w:rPr>
          <w:rFonts w:cs="Times New Roman"/>
          <w:i/>
          <w:lang w:val="en-US"/>
        </w:rPr>
        <w:t xml:space="preserve">: </w:t>
      </w:r>
      <w:proofErr w:type="spellStart"/>
      <w:r w:rsidRPr="00283996">
        <w:rPr>
          <w:rFonts w:cs="Times New Roman"/>
          <w:i/>
          <w:lang w:val="en-US"/>
        </w:rPr>
        <w:t>Loi</w:t>
      </w:r>
      <w:proofErr w:type="spellEnd"/>
      <w:r w:rsidRPr="00283996">
        <w:rPr>
          <w:rFonts w:cs="Times New Roman"/>
          <w:i/>
          <w:lang w:val="en-US"/>
        </w:rPr>
        <w:t xml:space="preserve"> sur la police </w:t>
      </w:r>
      <w:proofErr w:type="spellStart"/>
      <w:r w:rsidRPr="00283996">
        <w:rPr>
          <w:rFonts w:cs="Times New Roman"/>
          <w:i/>
          <w:lang w:val="en-US"/>
        </w:rPr>
        <w:t>annotée</w:t>
      </w:r>
      <w:proofErr w:type="spellEnd"/>
      <w:r w:rsidRPr="00283996">
        <w:rPr>
          <w:rFonts w:cs="Times New Roman"/>
          <w:i/>
          <w:lang w:val="en-US"/>
        </w:rPr>
        <w:t xml:space="preserve"> </w:t>
      </w:r>
      <w:proofErr w:type="gramStart"/>
      <w:r w:rsidRPr="00283996">
        <w:rPr>
          <w:rFonts w:cs="Times New Roman"/>
          <w:i/>
          <w:lang w:val="en-US"/>
        </w:rPr>
        <w:t>et</w:t>
      </w:r>
      <w:proofErr w:type="gramEnd"/>
      <w:r w:rsidRPr="00283996">
        <w:rPr>
          <w:rFonts w:cs="Times New Roman"/>
          <w:i/>
          <w:lang w:val="en-US"/>
        </w:rPr>
        <w:t xml:space="preserve"> </w:t>
      </w:r>
      <w:proofErr w:type="spellStart"/>
      <w:r w:rsidRPr="00283996">
        <w:rPr>
          <w:rFonts w:cs="Times New Roman"/>
          <w:i/>
          <w:lang w:val="en-US"/>
        </w:rPr>
        <w:t>règlements</w:t>
      </w:r>
      <w:proofErr w:type="spellEnd"/>
      <w:r w:rsidRPr="00283996">
        <w:rPr>
          <w:rFonts w:cs="Times New Roman"/>
          <w:i/>
          <w:lang w:val="en-US"/>
        </w:rPr>
        <w:t xml:space="preserve"> </w:t>
      </w:r>
      <w:proofErr w:type="spellStart"/>
      <w:r w:rsidRPr="00283996">
        <w:rPr>
          <w:rFonts w:cs="Times New Roman"/>
          <w:i/>
          <w:lang w:val="en-US"/>
        </w:rPr>
        <w:t>concernant</w:t>
      </w:r>
      <w:proofErr w:type="spellEnd"/>
      <w:r w:rsidRPr="00283996">
        <w:rPr>
          <w:rFonts w:cs="Times New Roman"/>
          <w:i/>
          <w:lang w:val="en-US"/>
        </w:rPr>
        <w:t xml:space="preserve"> la police </w:t>
      </w:r>
      <w:r w:rsidRPr="00283996">
        <w:rPr>
          <w:rFonts w:cs="Times New Roman"/>
          <w:lang w:val="en-US"/>
        </w:rPr>
        <w:t>(12th ed. 2008), at p. XIII).</w:t>
      </w:r>
    </w:p>
    <w:p w:rsidR="003011EC" w:rsidRPr="00283996" w:rsidRDefault="003011EC" w:rsidP="003011EC">
      <w:pPr>
        <w:pStyle w:val="ParaNoNdepar-AltN"/>
        <w:spacing w:before="0"/>
        <w:rPr>
          <w:rFonts w:cs="Times New Roman"/>
          <w:lang w:val="en-US"/>
        </w:rPr>
      </w:pPr>
      <w:r w:rsidRPr="00283996">
        <w:rPr>
          <w:rFonts w:cs="Times New Roman"/>
          <w:lang w:val="en-US"/>
        </w:rPr>
        <w:t>In carrying out their mission, police officers are required to limit these same rights and freedoms using the coercive power of the state, including by detaining or arresting individuals and by conducting searches or seizures. The risk of abuse is undeniable. That is why, in a society founded on the rule of law, it is important that there always be a legal basis for the actions taken by police officers (</w:t>
      </w:r>
      <w:proofErr w:type="spellStart"/>
      <w:r w:rsidR="00A87159" w:rsidRPr="00283996">
        <w:rPr>
          <w:rFonts w:cs="Times New Roman"/>
          <w:i/>
          <w:lang w:val="en-US"/>
        </w:rPr>
        <w:t>Dedman</w:t>
      </w:r>
      <w:proofErr w:type="spellEnd"/>
      <w:r w:rsidR="00A87159" w:rsidRPr="00283996">
        <w:rPr>
          <w:rFonts w:cs="Times New Roman"/>
          <w:i/>
          <w:lang w:val="en-US"/>
        </w:rPr>
        <w:t xml:space="preserve"> </w:t>
      </w:r>
      <w:r w:rsidRPr="00283996">
        <w:rPr>
          <w:rFonts w:cs="Times New Roman"/>
          <w:i/>
          <w:lang w:val="en-US"/>
        </w:rPr>
        <w:t>v. The Queen</w:t>
      </w:r>
      <w:r w:rsidRPr="00283996">
        <w:rPr>
          <w:rFonts w:cs="Times New Roman"/>
          <w:lang w:val="en-US"/>
        </w:rPr>
        <w:t>, [1985] 2 S.C.R. 2, at pp. 28</w:t>
      </w:r>
      <w:r w:rsidRPr="00283996">
        <w:rPr>
          <w:rFonts w:cs="Times New Roman"/>
          <w:lang w:val="en-US"/>
        </w:rPr>
        <w:noBreakHyphen/>
        <w:t xml:space="preserve">29; </w:t>
      </w:r>
      <w:r w:rsidR="00A87159" w:rsidRPr="00283996">
        <w:rPr>
          <w:rFonts w:cs="Times New Roman"/>
          <w:i/>
          <w:lang w:val="en-US"/>
        </w:rPr>
        <w:t xml:space="preserve">R. </w:t>
      </w:r>
      <w:r w:rsidRPr="00283996">
        <w:rPr>
          <w:rFonts w:cs="Times New Roman"/>
          <w:i/>
          <w:lang w:val="en-US"/>
        </w:rPr>
        <w:t>v. Sharma</w:t>
      </w:r>
      <w:r w:rsidR="00A87159" w:rsidRPr="00283996">
        <w:rPr>
          <w:rFonts w:cs="Times New Roman"/>
          <w:lang w:val="en-US"/>
        </w:rPr>
        <w:t xml:space="preserve">, [1993] 1 </w:t>
      </w:r>
      <w:r w:rsidRPr="00283996">
        <w:rPr>
          <w:rFonts w:cs="Times New Roman"/>
          <w:lang w:val="en-US"/>
        </w:rPr>
        <w:t>S.C.R. 650, at pp. 672</w:t>
      </w:r>
      <w:r w:rsidRPr="00283996">
        <w:rPr>
          <w:rFonts w:cs="Times New Roman"/>
          <w:lang w:val="en-US"/>
        </w:rPr>
        <w:noBreakHyphen/>
        <w:t>73). In the absence of such justification, their conduct is unlawful and cannot be tolerated.</w:t>
      </w:r>
    </w:p>
    <w:p w:rsidR="003011EC" w:rsidRPr="00283996" w:rsidRDefault="003011EC" w:rsidP="003011EC">
      <w:pPr>
        <w:pStyle w:val="ParaNoNdepar-AltN"/>
        <w:spacing w:before="0"/>
        <w:rPr>
          <w:rFonts w:cs="Times New Roman"/>
          <w:lang w:val="en-US"/>
        </w:rPr>
      </w:pPr>
      <w:r w:rsidRPr="00283996">
        <w:rPr>
          <w:rFonts w:cs="Times New Roman"/>
          <w:lang w:val="en-US"/>
        </w:rPr>
        <w:t>In exercising these powers, police officers are therefore bound by strict rules of conduct that are meant to prevent arbitrariness and unjustified restrictions on rights and freedoms (</w:t>
      </w:r>
      <w:r w:rsidRPr="00283996">
        <w:rPr>
          <w:rFonts w:cs="Times New Roman"/>
          <w:i/>
          <w:lang w:val="en-US"/>
        </w:rPr>
        <w:t>Hill</w:t>
      </w:r>
      <w:r w:rsidR="00A572FB" w:rsidRPr="00283996">
        <w:rPr>
          <w:rFonts w:cs="Times New Roman"/>
          <w:i/>
          <w:lang w:val="en-US"/>
        </w:rPr>
        <w:t xml:space="preserve"> </w:t>
      </w:r>
      <w:r w:rsidRPr="00283996">
        <w:rPr>
          <w:rFonts w:cs="Times New Roman"/>
          <w:i/>
          <w:lang w:val="en-US"/>
        </w:rPr>
        <w:t>v. Hamilton</w:t>
      </w:r>
      <w:r w:rsidRPr="00283996">
        <w:rPr>
          <w:rFonts w:cs="Times New Roman"/>
          <w:i/>
          <w:lang w:val="en-US"/>
        </w:rPr>
        <w:noBreakHyphen/>
        <w:t>Wentworth Regional Police Services Board</w:t>
      </w:r>
      <w:r w:rsidRPr="00283996">
        <w:rPr>
          <w:rFonts w:cs="Times New Roman"/>
          <w:lang w:val="en-US"/>
        </w:rPr>
        <w:t>, 2007 SCC 41, [2007] 3</w:t>
      </w:r>
      <w:r w:rsidR="0022261F" w:rsidRPr="00283996">
        <w:rPr>
          <w:rFonts w:cs="Times New Roman"/>
          <w:lang w:val="en-US"/>
        </w:rPr>
        <w:t xml:space="preserve"> </w:t>
      </w:r>
      <w:r w:rsidRPr="00283996">
        <w:rPr>
          <w:rFonts w:cs="Times New Roman"/>
          <w:lang w:val="en-US"/>
        </w:rPr>
        <w:t>S.C.R. 129, at para. </w:t>
      </w:r>
      <w:r w:rsidRPr="002035EE">
        <w:rPr>
          <w:rFonts w:cs="Times New Roman"/>
          <w:lang w:val="fr-CA"/>
        </w:rPr>
        <w:t xml:space="preserve">71; </w:t>
      </w:r>
      <w:proofErr w:type="spellStart"/>
      <w:r w:rsidR="00544C8A" w:rsidRPr="002035EE">
        <w:rPr>
          <w:rFonts w:cs="Times New Roman"/>
          <w:i/>
          <w:lang w:val="fr-CA"/>
        </w:rPr>
        <w:t>Jauvin</w:t>
      </w:r>
      <w:proofErr w:type="spellEnd"/>
      <w:r w:rsidR="00544C8A" w:rsidRPr="002035EE">
        <w:rPr>
          <w:rFonts w:cs="Times New Roman"/>
          <w:i/>
          <w:lang w:val="fr-CA"/>
        </w:rPr>
        <w:t xml:space="preserve"> </w:t>
      </w:r>
      <w:r w:rsidRPr="002035EE">
        <w:rPr>
          <w:rFonts w:cs="Times New Roman"/>
          <w:i/>
          <w:lang w:val="fr-CA"/>
        </w:rPr>
        <w:t>v. Québec (Procureur général)</w:t>
      </w:r>
      <w:r w:rsidRPr="002035EE">
        <w:rPr>
          <w:rFonts w:cs="Times New Roman"/>
          <w:lang w:val="fr-CA"/>
        </w:rPr>
        <w:t xml:space="preserve">, </w:t>
      </w:r>
      <w:r w:rsidRPr="002035EE">
        <w:rPr>
          <w:rFonts w:cs="Times New Roman"/>
          <w:lang w:val="fr-CA"/>
        </w:rPr>
        <w:lastRenderedPageBreak/>
        <w:t>[2004] R.R.A. 37 (C.A.), at para. </w:t>
      </w:r>
      <w:r w:rsidRPr="00283996">
        <w:rPr>
          <w:rFonts w:cs="Times New Roman"/>
          <w:lang w:val="en-US"/>
        </w:rPr>
        <w:t>46). Police officers who deviate from these rules may be civilly liable. They have no public law immunity in this regard (</w:t>
      </w:r>
      <w:proofErr w:type="spellStart"/>
      <w:r w:rsidRPr="00283996">
        <w:rPr>
          <w:rFonts w:cs="Times New Roman"/>
          <w:i/>
          <w:lang w:val="en-US"/>
        </w:rPr>
        <w:t>Jauvin</w:t>
      </w:r>
      <w:proofErr w:type="spellEnd"/>
      <w:r w:rsidRPr="00283996">
        <w:rPr>
          <w:rFonts w:cs="Times New Roman"/>
          <w:lang w:val="en-US"/>
        </w:rPr>
        <w:t>, at para. </w:t>
      </w:r>
      <w:r w:rsidRPr="002035EE">
        <w:rPr>
          <w:rFonts w:cs="Times New Roman"/>
          <w:lang w:val="fr-CA"/>
        </w:rPr>
        <w:t xml:space="preserve">42; </w:t>
      </w:r>
      <w:r w:rsidRPr="002035EE">
        <w:rPr>
          <w:rFonts w:cs="Times New Roman"/>
          <w:i/>
          <w:lang w:val="fr-CA"/>
        </w:rPr>
        <w:t xml:space="preserve">Régie </w:t>
      </w:r>
      <w:proofErr w:type="spellStart"/>
      <w:r w:rsidRPr="002035EE">
        <w:rPr>
          <w:rFonts w:cs="Times New Roman"/>
          <w:i/>
          <w:lang w:val="fr-CA"/>
        </w:rPr>
        <w:t>intermunicipale</w:t>
      </w:r>
      <w:proofErr w:type="spellEnd"/>
      <w:r w:rsidRPr="002035EE">
        <w:rPr>
          <w:rFonts w:cs="Times New Roman"/>
          <w:i/>
          <w:lang w:val="fr-CA"/>
        </w:rPr>
        <w:t xml:space="preserve"> de police des Seigneuries v. </w:t>
      </w:r>
      <w:proofErr w:type="spellStart"/>
      <w:r w:rsidRPr="002035EE">
        <w:rPr>
          <w:rFonts w:cs="Times New Roman"/>
          <w:i/>
          <w:lang w:val="fr-CA"/>
        </w:rPr>
        <w:t>Michaelson</w:t>
      </w:r>
      <w:proofErr w:type="spellEnd"/>
      <w:r w:rsidRPr="002035EE">
        <w:rPr>
          <w:rFonts w:cs="Times New Roman"/>
          <w:lang w:val="fr-CA"/>
        </w:rPr>
        <w:t xml:space="preserve">, [2005] R.R.A. 7 (Que. C.A.), at para. 22; </w:t>
      </w:r>
      <w:proofErr w:type="spellStart"/>
      <w:r w:rsidRPr="002035EE">
        <w:rPr>
          <w:rFonts w:cs="Times New Roman"/>
          <w:i/>
          <w:lang w:val="fr-CA"/>
        </w:rPr>
        <w:t>Popovic</w:t>
      </w:r>
      <w:proofErr w:type="spellEnd"/>
      <w:r w:rsidRPr="002035EE">
        <w:rPr>
          <w:rFonts w:cs="Times New Roman"/>
          <w:i/>
          <w:lang w:val="fr-CA"/>
        </w:rPr>
        <w:t> v. Montréal (Ville de)</w:t>
      </w:r>
      <w:r w:rsidRPr="002035EE">
        <w:rPr>
          <w:rFonts w:cs="Times New Roman"/>
          <w:lang w:val="fr-CA"/>
        </w:rPr>
        <w:t>, 2008 QCCA 2371, [2009] R.R.A. 1, at para. </w:t>
      </w:r>
      <w:r w:rsidRPr="00283996">
        <w:rPr>
          <w:rFonts w:cs="Times New Roman"/>
          <w:lang w:val="en-US"/>
        </w:rPr>
        <w:t>63).</w:t>
      </w:r>
    </w:p>
    <w:p w:rsidR="003011EC" w:rsidRPr="002035EE" w:rsidRDefault="003011EC" w:rsidP="003011EC">
      <w:pPr>
        <w:pStyle w:val="ParaNoNdepar-AltN"/>
        <w:spacing w:before="0"/>
        <w:rPr>
          <w:rFonts w:cs="Times New Roman"/>
          <w:lang w:val="fr-CA"/>
        </w:rPr>
      </w:pPr>
      <w:r w:rsidRPr="00283996">
        <w:rPr>
          <w:rFonts w:cs="Times New Roman"/>
          <w:lang w:val="en-US"/>
        </w:rPr>
        <w:t xml:space="preserve">Under Quebec law, a police officer, like any other person, is held civilly liable for the injury caused to another by his or her fault, in accordance with art. 1457 of the </w:t>
      </w:r>
      <w:r w:rsidRPr="00283996">
        <w:rPr>
          <w:rFonts w:cs="Times New Roman"/>
          <w:i/>
          <w:lang w:val="en-US"/>
        </w:rPr>
        <w:t>Civil Code of Québec</w:t>
      </w:r>
      <w:r w:rsidRPr="00283996">
        <w:rPr>
          <w:rFonts w:cs="Times New Roman"/>
          <w:lang w:val="en-US"/>
        </w:rPr>
        <w:t xml:space="preserve"> (“</w:t>
      </w:r>
      <w:r w:rsidRPr="00283996">
        <w:rPr>
          <w:rFonts w:cs="Times New Roman"/>
          <w:i/>
          <w:lang w:val="en-US"/>
        </w:rPr>
        <w:t>C.C.Q.</w:t>
      </w:r>
      <w:r w:rsidRPr="00283996">
        <w:rPr>
          <w:rFonts w:cs="Times New Roman"/>
          <w:lang w:val="en-US"/>
        </w:rPr>
        <w:t xml:space="preserve">”). The officer’s employer is bound to make reparation for the injury if the fault was committed in the performance of the officer’s duties, pursuant to arts. 1463 and 1464 </w:t>
      </w:r>
      <w:r w:rsidRPr="00283996">
        <w:rPr>
          <w:rFonts w:cs="Times New Roman"/>
          <w:i/>
          <w:lang w:val="en-US"/>
        </w:rPr>
        <w:t>C.C.Q.</w:t>
      </w:r>
      <w:r w:rsidRPr="00283996">
        <w:rPr>
          <w:rFonts w:cs="Times New Roman"/>
          <w:lang w:val="en-US"/>
        </w:rPr>
        <w:t xml:space="preserve"> In short, there are no exceptional rules applicable to the police (M. Lacroix, “</w:t>
      </w:r>
      <w:proofErr w:type="spellStart"/>
      <w:r w:rsidRPr="00283996">
        <w:rPr>
          <w:rFonts w:cs="Times New Roman"/>
          <w:lang w:val="en-US"/>
        </w:rPr>
        <w:t>Responsabilité</w:t>
      </w:r>
      <w:proofErr w:type="spellEnd"/>
      <w:r w:rsidRPr="00283996">
        <w:rPr>
          <w:rFonts w:cs="Times New Roman"/>
          <w:lang w:val="en-US"/>
        </w:rPr>
        <w:t xml:space="preserve"> </w:t>
      </w:r>
      <w:proofErr w:type="spellStart"/>
      <w:r w:rsidRPr="00283996">
        <w:rPr>
          <w:rFonts w:cs="Times New Roman"/>
          <w:lang w:val="en-US"/>
        </w:rPr>
        <w:t>civile</w:t>
      </w:r>
      <w:proofErr w:type="spellEnd"/>
      <w:r w:rsidRPr="00283996">
        <w:rPr>
          <w:rFonts w:cs="Times New Roman"/>
          <w:lang w:val="en-US"/>
        </w:rPr>
        <w:t xml:space="preserve"> des forces </w:t>
      </w:r>
      <w:proofErr w:type="spellStart"/>
      <w:r w:rsidRPr="00283996">
        <w:rPr>
          <w:rFonts w:cs="Times New Roman"/>
          <w:lang w:val="en-US"/>
        </w:rPr>
        <w:t>policières</w:t>
      </w:r>
      <w:proofErr w:type="spellEnd"/>
      <w:r w:rsidRPr="00283996">
        <w:rPr>
          <w:rFonts w:cs="Times New Roman"/>
          <w:lang w:val="en-US"/>
        </w:rPr>
        <w:t xml:space="preserve">”, in </w:t>
      </w:r>
      <w:proofErr w:type="spellStart"/>
      <w:r w:rsidRPr="00283996">
        <w:rPr>
          <w:rFonts w:cs="Times New Roman"/>
          <w:i/>
          <w:iCs/>
          <w:lang w:val="en-US"/>
        </w:rPr>
        <w:t>JurisClasseur</w:t>
      </w:r>
      <w:proofErr w:type="spellEnd"/>
      <w:r w:rsidRPr="00283996">
        <w:rPr>
          <w:rFonts w:cs="Times New Roman"/>
          <w:i/>
          <w:iCs/>
          <w:lang w:val="en-US"/>
        </w:rPr>
        <w:t xml:space="preserve"> Québec — </w:t>
      </w:r>
      <w:proofErr w:type="spellStart"/>
      <w:r w:rsidRPr="00283996">
        <w:rPr>
          <w:rFonts w:cs="Times New Roman"/>
          <w:i/>
          <w:iCs/>
          <w:lang w:val="en-US"/>
        </w:rPr>
        <w:t>Responsabilité</w:t>
      </w:r>
      <w:proofErr w:type="spellEnd"/>
      <w:r w:rsidRPr="00283996">
        <w:rPr>
          <w:rFonts w:cs="Times New Roman"/>
          <w:i/>
          <w:iCs/>
          <w:lang w:val="en-US"/>
        </w:rPr>
        <w:t xml:space="preserve"> </w:t>
      </w:r>
      <w:proofErr w:type="spellStart"/>
      <w:r w:rsidRPr="00283996">
        <w:rPr>
          <w:rFonts w:cs="Times New Roman"/>
          <w:i/>
          <w:iCs/>
          <w:lang w:val="en-US"/>
        </w:rPr>
        <w:t>professionnelle</w:t>
      </w:r>
      <w:proofErr w:type="spellEnd"/>
      <w:r w:rsidRPr="00283996">
        <w:rPr>
          <w:rFonts w:cs="Times New Roman"/>
          <w:iCs/>
          <w:lang w:val="en-US"/>
        </w:rPr>
        <w:t>, by A. </w:t>
      </w:r>
      <w:proofErr w:type="spellStart"/>
      <w:r w:rsidRPr="00283996">
        <w:rPr>
          <w:rFonts w:cs="Times New Roman"/>
          <w:iCs/>
          <w:lang w:val="en-US"/>
        </w:rPr>
        <w:t>Bélanger</w:t>
      </w:r>
      <w:proofErr w:type="spellEnd"/>
      <w:r w:rsidRPr="00283996">
        <w:rPr>
          <w:rFonts w:cs="Times New Roman"/>
          <w:iCs/>
          <w:lang w:val="en-US"/>
        </w:rPr>
        <w:t>, ed.,</w:t>
      </w:r>
      <w:r w:rsidRPr="00283996">
        <w:rPr>
          <w:rFonts w:cs="Times New Roman"/>
          <w:lang w:val="en-US"/>
        </w:rPr>
        <w:t xml:space="preserve"> fasc. </w:t>
      </w:r>
      <w:r w:rsidRPr="002035EE">
        <w:rPr>
          <w:rFonts w:cs="Times New Roman"/>
          <w:lang w:val="fr-CA"/>
        </w:rPr>
        <w:t>13, at para. 6; J.</w:t>
      </w:r>
      <w:r w:rsidRPr="002035EE">
        <w:rPr>
          <w:rFonts w:cs="Times New Roman"/>
          <w:lang w:val="fr-CA"/>
        </w:rPr>
        <w:noBreakHyphen/>
        <w:t xml:space="preserve">L. Baudouin and C. Fabien, “L’indemnisation des dommages causés par la police” (1989), 23 </w:t>
      </w:r>
      <w:r w:rsidRPr="002035EE">
        <w:rPr>
          <w:rFonts w:cs="Times New Roman"/>
          <w:i/>
          <w:lang w:val="fr-CA"/>
        </w:rPr>
        <w:t>R.J.T.</w:t>
      </w:r>
      <w:r w:rsidRPr="002035EE">
        <w:rPr>
          <w:rFonts w:cs="Times New Roman"/>
          <w:lang w:val="fr-CA"/>
        </w:rPr>
        <w:t xml:space="preserve"> 419, at p. 422).</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Whether a police officer should be held civilly liable must be determined by referring to the cumulative conditions set out in art. 1457 </w:t>
      </w:r>
      <w:r w:rsidRPr="00283996">
        <w:rPr>
          <w:rFonts w:cs="Times New Roman"/>
          <w:i/>
          <w:lang w:val="en-US"/>
        </w:rPr>
        <w:t>C.C.Q.</w:t>
      </w:r>
      <w:r w:rsidRPr="00283996">
        <w:rPr>
          <w:rFonts w:cs="Times New Roman"/>
          <w:lang w:val="en-US"/>
        </w:rPr>
        <w:t>, namely fault, injury and a causal link between the two. The case at bar specifically requires the Court to consider the concept of a police officer’s civil fault and the test to establish such a fault, that is, the reasonable police officer in the same circumstances. On this point, I agree with the majority of the Court of Appeal: the reasonable police officer test remains relevant where compliance with the law is in issue.</w:t>
      </w:r>
    </w:p>
    <w:p w:rsidR="003011EC" w:rsidRPr="00283996" w:rsidRDefault="003011EC" w:rsidP="003011EC">
      <w:pPr>
        <w:pStyle w:val="Title3LevelTitre3Niveau"/>
        <w:numPr>
          <w:ilvl w:val="2"/>
          <w:numId w:val="8"/>
        </w:numPr>
        <w:spacing w:before="0"/>
        <w:ind w:left="1170" w:hanging="580"/>
        <w:rPr>
          <w:rFonts w:cs="Times New Roman"/>
          <w:lang w:val="en-US"/>
        </w:rPr>
      </w:pPr>
      <w:bookmarkStart w:id="19" w:name="_Toc14257137"/>
      <w:bookmarkStart w:id="20" w:name="_Toc24710738"/>
      <w:r w:rsidRPr="00283996">
        <w:rPr>
          <w:rFonts w:cs="Times New Roman"/>
          <w:lang w:val="en-US"/>
        </w:rPr>
        <w:lastRenderedPageBreak/>
        <w:t>Civil Fault and the Reasonable Police Officer Test</w:t>
      </w:r>
      <w:bookmarkEnd w:id="19"/>
      <w:bookmarkEnd w:id="20"/>
    </w:p>
    <w:p w:rsidR="003011EC" w:rsidRPr="00BA3BD8" w:rsidRDefault="003011EC" w:rsidP="003011EC">
      <w:pPr>
        <w:pStyle w:val="ParaNoNdepar-AltN"/>
        <w:spacing w:before="0"/>
        <w:rPr>
          <w:rFonts w:cs="Times New Roman"/>
          <w:lang w:val="fr-CA"/>
        </w:rPr>
      </w:pPr>
      <w:r w:rsidRPr="00283996">
        <w:rPr>
          <w:rFonts w:cs="Times New Roman"/>
          <w:lang w:val="en-US"/>
        </w:rPr>
        <w:t xml:space="preserve">Under Quebec civil law, art. 1457 </w:t>
      </w:r>
      <w:r w:rsidRPr="00283996">
        <w:rPr>
          <w:rFonts w:cs="Times New Roman"/>
          <w:i/>
          <w:lang w:val="en-US"/>
        </w:rPr>
        <w:t>C.C.Q.</w:t>
      </w:r>
      <w:r w:rsidRPr="00283996">
        <w:rPr>
          <w:rFonts w:cs="Times New Roman"/>
          <w:lang w:val="en-US"/>
        </w:rPr>
        <w:t xml:space="preserve"> imposes on every person “a duty to abide by the rules of conduct incumbent on him, according to the circumstances, usage or law, so as not to cause injury to another”. An </w:t>
      </w:r>
      <w:proofErr w:type="spellStart"/>
      <w:r w:rsidRPr="00283996">
        <w:rPr>
          <w:rFonts w:cs="Times New Roman"/>
          <w:lang w:val="en-US"/>
        </w:rPr>
        <w:t>extracontractual</w:t>
      </w:r>
      <w:proofErr w:type="spellEnd"/>
      <w:r w:rsidRPr="00283996">
        <w:rPr>
          <w:rFonts w:cs="Times New Roman"/>
          <w:lang w:val="en-US"/>
        </w:rPr>
        <w:t xml:space="preserve"> civil fault occurs where a person who is endowed with reason fails in this duty by acting in a manner that departs from the conduct of a reasonable, prudent and diligent person in the same circumstances (</w:t>
      </w:r>
      <w:r w:rsidR="009F5257" w:rsidRPr="00283996">
        <w:rPr>
          <w:rFonts w:cs="Times New Roman"/>
          <w:i/>
          <w:lang w:val="en-US"/>
        </w:rPr>
        <w:t xml:space="preserve">St. Lawrence Cement Inc. </w:t>
      </w:r>
      <w:r w:rsidRPr="00283996">
        <w:rPr>
          <w:rFonts w:cs="Times New Roman"/>
          <w:i/>
          <w:lang w:val="en-US"/>
        </w:rPr>
        <w:t>v. Barrette</w:t>
      </w:r>
      <w:r w:rsidR="009F5257" w:rsidRPr="00283996">
        <w:rPr>
          <w:rFonts w:cs="Times New Roman"/>
          <w:lang w:val="en-US"/>
        </w:rPr>
        <w:t xml:space="preserve">, 2008 SCC 64, [2008] 3 </w:t>
      </w:r>
      <w:r w:rsidRPr="00283996">
        <w:rPr>
          <w:rFonts w:cs="Times New Roman"/>
          <w:lang w:val="en-US"/>
        </w:rPr>
        <w:t>S.C.R. 392, at para. </w:t>
      </w:r>
      <w:r w:rsidRPr="002035EE">
        <w:rPr>
          <w:rFonts w:cs="Times New Roman"/>
          <w:lang w:val="fr-CA"/>
        </w:rPr>
        <w:t xml:space="preserve">21; </w:t>
      </w:r>
      <w:r w:rsidR="009F5257" w:rsidRPr="002035EE">
        <w:rPr>
          <w:rFonts w:cs="Times New Roman"/>
          <w:i/>
          <w:lang w:val="fr-CA"/>
        </w:rPr>
        <w:t xml:space="preserve">Bou </w:t>
      </w:r>
      <w:proofErr w:type="spellStart"/>
      <w:r w:rsidR="009F5257" w:rsidRPr="002035EE">
        <w:rPr>
          <w:rFonts w:cs="Times New Roman"/>
          <w:i/>
          <w:lang w:val="fr-CA"/>
        </w:rPr>
        <w:t>Malhab</w:t>
      </w:r>
      <w:proofErr w:type="spellEnd"/>
      <w:r w:rsidR="009F5257" w:rsidRPr="002035EE">
        <w:rPr>
          <w:rFonts w:cs="Times New Roman"/>
          <w:i/>
          <w:lang w:val="fr-CA"/>
        </w:rPr>
        <w:t xml:space="preserve"> </w:t>
      </w:r>
      <w:r w:rsidRPr="002035EE">
        <w:rPr>
          <w:rFonts w:cs="Times New Roman"/>
          <w:i/>
          <w:lang w:val="fr-CA"/>
        </w:rPr>
        <w:t xml:space="preserve">v. Diffusion </w:t>
      </w:r>
      <w:proofErr w:type="spellStart"/>
      <w:r w:rsidRPr="002035EE">
        <w:rPr>
          <w:rFonts w:cs="Times New Roman"/>
          <w:i/>
          <w:lang w:val="fr-CA"/>
        </w:rPr>
        <w:t>Métromédia</w:t>
      </w:r>
      <w:proofErr w:type="spellEnd"/>
      <w:r w:rsidRPr="002035EE">
        <w:rPr>
          <w:rFonts w:cs="Times New Roman"/>
          <w:i/>
          <w:lang w:val="fr-CA"/>
        </w:rPr>
        <w:t xml:space="preserve"> CMR </w:t>
      </w:r>
      <w:proofErr w:type="spellStart"/>
      <w:r w:rsidRPr="002035EE">
        <w:rPr>
          <w:rFonts w:cs="Times New Roman"/>
          <w:i/>
          <w:lang w:val="fr-CA"/>
        </w:rPr>
        <w:t>inc.</w:t>
      </w:r>
      <w:proofErr w:type="spellEnd"/>
      <w:r w:rsidR="009F5257" w:rsidRPr="002035EE">
        <w:rPr>
          <w:rFonts w:cs="Times New Roman"/>
          <w:lang w:val="fr-CA"/>
        </w:rPr>
        <w:t xml:space="preserve">, 2011 SCC 9, [2011] 1 </w:t>
      </w:r>
      <w:r w:rsidRPr="002035EE">
        <w:rPr>
          <w:rFonts w:cs="Times New Roman"/>
          <w:lang w:val="fr-CA"/>
        </w:rPr>
        <w:t>S.C.R. 214, at para. 24; J.</w:t>
      </w:r>
      <w:r w:rsidRPr="002035EE">
        <w:rPr>
          <w:rFonts w:cs="Times New Roman"/>
          <w:lang w:val="fr-CA"/>
        </w:rPr>
        <w:noBreakHyphen/>
        <w:t>L. Baudouin, P. </w:t>
      </w:r>
      <w:proofErr w:type="spellStart"/>
      <w:r w:rsidRPr="002035EE">
        <w:rPr>
          <w:rFonts w:cs="Times New Roman"/>
          <w:lang w:val="fr-CA"/>
        </w:rPr>
        <w:t>Deslauriers</w:t>
      </w:r>
      <w:proofErr w:type="spellEnd"/>
      <w:r w:rsidRPr="002035EE">
        <w:rPr>
          <w:rFonts w:cs="Times New Roman"/>
          <w:lang w:val="fr-CA"/>
        </w:rPr>
        <w:t xml:space="preserve"> and B. Moore, </w:t>
      </w:r>
      <w:r w:rsidRPr="002035EE">
        <w:rPr>
          <w:rFonts w:cs="Times New Roman"/>
          <w:i/>
          <w:lang w:val="fr-CA"/>
        </w:rPr>
        <w:t>La responsabilité civile</w:t>
      </w:r>
      <w:r w:rsidRPr="002035EE">
        <w:rPr>
          <w:rFonts w:cs="Times New Roman"/>
          <w:lang w:val="fr-CA"/>
        </w:rPr>
        <w:t xml:space="preserve"> (8th </w:t>
      </w:r>
      <w:proofErr w:type="spellStart"/>
      <w:r w:rsidRPr="002035EE">
        <w:rPr>
          <w:rFonts w:cs="Times New Roman"/>
          <w:lang w:val="fr-CA"/>
        </w:rPr>
        <w:t>ed</w:t>
      </w:r>
      <w:proofErr w:type="spellEnd"/>
      <w:r w:rsidRPr="002035EE">
        <w:rPr>
          <w:rFonts w:cs="Times New Roman"/>
          <w:lang w:val="fr-CA"/>
        </w:rPr>
        <w:t>. 2014), vol. 1, at Nos. 1</w:t>
      </w:r>
      <w:r w:rsidRPr="002035EE">
        <w:rPr>
          <w:rFonts w:cs="Times New Roman"/>
          <w:lang w:val="fr-CA"/>
        </w:rPr>
        <w:noBreakHyphen/>
        <w:t>182 and 1</w:t>
      </w:r>
      <w:r w:rsidRPr="002035EE">
        <w:rPr>
          <w:rFonts w:cs="Times New Roman"/>
          <w:lang w:val="fr-CA"/>
        </w:rPr>
        <w:noBreakHyphen/>
        <w:t xml:space="preserve">195; V. Karim, </w:t>
      </w:r>
      <w:r w:rsidRPr="002035EE">
        <w:rPr>
          <w:rFonts w:cs="Times New Roman"/>
          <w:i/>
          <w:lang w:val="fr-CA"/>
        </w:rPr>
        <w:t>Les obligations</w:t>
      </w:r>
      <w:r w:rsidRPr="002035EE">
        <w:rPr>
          <w:rFonts w:cs="Times New Roman"/>
          <w:lang w:val="fr-CA"/>
        </w:rPr>
        <w:t xml:space="preserve"> (4th </w:t>
      </w:r>
      <w:proofErr w:type="spellStart"/>
      <w:r w:rsidRPr="002035EE">
        <w:rPr>
          <w:rFonts w:cs="Times New Roman"/>
          <w:lang w:val="fr-CA"/>
        </w:rPr>
        <w:t>ed</w:t>
      </w:r>
      <w:proofErr w:type="spellEnd"/>
      <w:r w:rsidRPr="002035EE">
        <w:rPr>
          <w:rFonts w:cs="Times New Roman"/>
          <w:lang w:val="fr-CA"/>
        </w:rPr>
        <w:t>. 2015), vol. 1, at paras. </w:t>
      </w:r>
      <w:r w:rsidRPr="00283996">
        <w:rPr>
          <w:rFonts w:cs="Times New Roman"/>
          <w:lang w:val="en-US"/>
        </w:rPr>
        <w:t>2505, 2508 and 2514</w:t>
      </w:r>
      <w:r w:rsidRPr="00283996">
        <w:rPr>
          <w:rFonts w:cs="Times New Roman"/>
          <w:lang w:val="en-US"/>
        </w:rPr>
        <w:noBreakHyphen/>
        <w:t>15). In this sense, fault is a [</w:t>
      </w:r>
      <w:r w:rsidRPr="00283996">
        <w:rPr>
          <w:rFonts w:cs="Times New Roman"/>
          <w:smallCaps/>
          <w:lang w:val="en-US"/>
        </w:rPr>
        <w:t>translation</w:t>
      </w:r>
      <w:r w:rsidRPr="00283996">
        <w:rPr>
          <w:rFonts w:cs="Times New Roman"/>
          <w:lang w:val="en-US"/>
        </w:rPr>
        <w:t xml:space="preserve">] “universal concept” that applies in any lawsuit based on art. 1457 </w:t>
      </w:r>
      <w:r w:rsidRPr="00283996">
        <w:rPr>
          <w:rFonts w:cs="Times New Roman"/>
          <w:i/>
          <w:lang w:val="en-US"/>
        </w:rPr>
        <w:t>C.C.Q.</w:t>
      </w:r>
      <w:r w:rsidRPr="00283996">
        <w:rPr>
          <w:rFonts w:cs="Times New Roman"/>
          <w:lang w:val="en-US"/>
        </w:rPr>
        <w:t xml:space="preserve"> (</w:t>
      </w:r>
      <w:r w:rsidRPr="00283996">
        <w:rPr>
          <w:rFonts w:cs="Times New Roman"/>
          <w:i/>
          <w:lang w:val="en-US"/>
        </w:rPr>
        <w:t>St. Lawrence Cement</w:t>
      </w:r>
      <w:r w:rsidRPr="00283996">
        <w:rPr>
          <w:rFonts w:cs="Times New Roman"/>
          <w:lang w:val="en-US"/>
        </w:rPr>
        <w:t>, at para. </w:t>
      </w:r>
      <w:r w:rsidRPr="002035EE">
        <w:rPr>
          <w:rFonts w:cs="Times New Roman"/>
          <w:lang w:val="fr-CA"/>
        </w:rPr>
        <w:t xml:space="preserve">33, </w:t>
      </w:r>
      <w:proofErr w:type="spellStart"/>
      <w:r w:rsidRPr="002035EE">
        <w:rPr>
          <w:rFonts w:cs="Times New Roman"/>
          <w:lang w:val="fr-CA"/>
        </w:rPr>
        <w:t>citing</w:t>
      </w:r>
      <w:proofErr w:type="spellEnd"/>
      <w:r w:rsidRPr="002035EE">
        <w:rPr>
          <w:rFonts w:cs="Times New Roman"/>
          <w:lang w:val="fr-CA"/>
        </w:rPr>
        <w:t xml:space="preserve"> P.</w:t>
      </w:r>
      <w:r w:rsidRPr="002035EE">
        <w:rPr>
          <w:rFonts w:cs="Times New Roman"/>
          <w:lang w:val="fr-CA"/>
        </w:rPr>
        <w:noBreakHyphen/>
        <w:t xml:space="preserve">G. </w:t>
      </w:r>
      <w:proofErr w:type="spellStart"/>
      <w:r w:rsidRPr="002035EE">
        <w:rPr>
          <w:rFonts w:cs="Times New Roman"/>
          <w:lang w:val="fr-CA"/>
        </w:rPr>
        <w:t>Jobin</w:t>
      </w:r>
      <w:proofErr w:type="spellEnd"/>
      <w:r w:rsidRPr="002035EE">
        <w:rPr>
          <w:rFonts w:cs="Times New Roman"/>
          <w:lang w:val="fr-CA"/>
        </w:rPr>
        <w:t>, “La violation d’une loi ou d’un règlement entraîne</w:t>
      </w:r>
      <w:r w:rsidRPr="002035EE">
        <w:rPr>
          <w:rFonts w:cs="Times New Roman"/>
          <w:lang w:val="fr-CA"/>
        </w:rPr>
        <w:noBreakHyphen/>
        <w:t>t</w:t>
      </w:r>
      <w:r w:rsidRPr="002035EE">
        <w:rPr>
          <w:rFonts w:cs="Times New Roman"/>
          <w:lang w:val="fr-CA"/>
        </w:rPr>
        <w:noBreakHyphen/>
        <w:t xml:space="preserve">elle la responsabilité civile?” </w:t>
      </w:r>
      <w:r w:rsidRPr="00BA3BD8">
        <w:rPr>
          <w:rFonts w:cs="Times New Roman"/>
          <w:lang w:val="fr-CA"/>
        </w:rPr>
        <w:t xml:space="preserve">(1984), 44 </w:t>
      </w:r>
      <w:r w:rsidRPr="00BA3BD8">
        <w:rPr>
          <w:rFonts w:cs="Times New Roman"/>
          <w:i/>
          <w:lang w:val="fr-CA"/>
        </w:rPr>
        <w:t>R. du B.</w:t>
      </w:r>
      <w:r w:rsidRPr="00BA3BD8">
        <w:rPr>
          <w:rFonts w:cs="Times New Roman"/>
          <w:lang w:val="fr-CA"/>
        </w:rPr>
        <w:t xml:space="preserve"> 222, at p. 223).</w:t>
      </w:r>
    </w:p>
    <w:p w:rsidR="003011EC" w:rsidRPr="00283996" w:rsidRDefault="003011EC" w:rsidP="003011EC">
      <w:pPr>
        <w:pStyle w:val="ParaNoNdepar-AltN"/>
        <w:spacing w:before="0"/>
        <w:rPr>
          <w:rFonts w:cs="Times New Roman"/>
          <w:lang w:val="en-US"/>
        </w:rPr>
      </w:pPr>
      <w:r w:rsidRPr="00283996">
        <w:rPr>
          <w:rFonts w:cs="Times New Roman"/>
          <w:lang w:val="en-US"/>
        </w:rPr>
        <w:t>The standard of conduct that a reasonable person is expected to meet corresponds to an obligation of means (</w:t>
      </w:r>
      <w:r w:rsidRPr="00283996">
        <w:rPr>
          <w:rFonts w:cs="Times New Roman"/>
          <w:i/>
          <w:lang w:val="en-US"/>
        </w:rPr>
        <w:t>St. Lawrence Cement</w:t>
      </w:r>
      <w:r w:rsidRPr="00283996">
        <w:rPr>
          <w:rFonts w:cs="Times New Roman"/>
          <w:lang w:val="en-US"/>
        </w:rPr>
        <w:t>, at paras. </w:t>
      </w:r>
      <w:r w:rsidRPr="002035EE">
        <w:rPr>
          <w:rFonts w:cs="Times New Roman"/>
          <w:lang w:val="fr-CA"/>
        </w:rPr>
        <w:t xml:space="preserve">21 and 34; </w:t>
      </w:r>
      <w:proofErr w:type="spellStart"/>
      <w:r w:rsidRPr="002035EE">
        <w:rPr>
          <w:rFonts w:cs="Times New Roman"/>
          <w:lang w:val="fr-CA"/>
        </w:rPr>
        <w:t>see</w:t>
      </w:r>
      <w:proofErr w:type="spellEnd"/>
      <w:r w:rsidRPr="002035EE">
        <w:rPr>
          <w:rFonts w:cs="Times New Roman"/>
          <w:lang w:val="fr-CA"/>
        </w:rPr>
        <w:t xml:space="preserve"> P.</w:t>
      </w:r>
      <w:r w:rsidRPr="002035EE">
        <w:rPr>
          <w:rFonts w:cs="Times New Roman"/>
          <w:lang w:val="fr-CA"/>
        </w:rPr>
        <w:noBreakHyphen/>
        <w:t xml:space="preserve">A. Crépeau, </w:t>
      </w:r>
      <w:r w:rsidRPr="002035EE">
        <w:rPr>
          <w:rFonts w:cs="Times New Roman"/>
          <w:i/>
          <w:lang w:val="fr-CA"/>
        </w:rPr>
        <w:t>L’intensité de l’obligation juridique ou Des obligations de diligence, de résultat et de garantie</w:t>
      </w:r>
      <w:r w:rsidRPr="002035EE">
        <w:rPr>
          <w:rFonts w:cs="Times New Roman"/>
          <w:lang w:val="fr-CA"/>
        </w:rPr>
        <w:t xml:space="preserve"> (1989), at pp. 7 and 55). </w:t>
      </w:r>
      <w:r w:rsidRPr="00283996">
        <w:rPr>
          <w:rFonts w:cs="Times New Roman"/>
          <w:lang w:val="en-US"/>
        </w:rPr>
        <w:t xml:space="preserve">The general rules of </w:t>
      </w:r>
      <w:proofErr w:type="spellStart"/>
      <w:r w:rsidRPr="00283996">
        <w:rPr>
          <w:rFonts w:cs="Times New Roman"/>
          <w:lang w:val="en-US"/>
        </w:rPr>
        <w:t>extracontractual</w:t>
      </w:r>
      <w:proofErr w:type="spellEnd"/>
      <w:r w:rsidRPr="00283996">
        <w:rPr>
          <w:rFonts w:cs="Times New Roman"/>
          <w:lang w:val="en-US"/>
        </w:rPr>
        <w:t xml:space="preserve"> civil liability do not demand [</w:t>
      </w:r>
      <w:r w:rsidRPr="00283996">
        <w:rPr>
          <w:rFonts w:cs="Times New Roman"/>
          <w:smallCaps/>
          <w:lang w:val="en-US"/>
        </w:rPr>
        <w:t>translation</w:t>
      </w:r>
      <w:r w:rsidRPr="00283996">
        <w:rPr>
          <w:rFonts w:cs="Times New Roman"/>
          <w:lang w:val="en-US"/>
        </w:rPr>
        <w:t xml:space="preserve">] “total infallibility”, nor do they require the “conduct of a person endowed with superior intelligence and exceptional skill who </w:t>
      </w:r>
      <w:r w:rsidRPr="00283996">
        <w:rPr>
          <w:rFonts w:cs="Times New Roman"/>
          <w:lang w:val="en-US"/>
        </w:rPr>
        <w:lastRenderedPageBreak/>
        <w:t>is capable of foreseeing and knowing everything and who acts properly in all circumstances” (</w:t>
      </w:r>
      <w:proofErr w:type="spellStart"/>
      <w:r w:rsidRPr="00283996">
        <w:rPr>
          <w:rFonts w:cs="Times New Roman"/>
          <w:lang w:val="en-US"/>
        </w:rPr>
        <w:t>Baudouin</w:t>
      </w:r>
      <w:proofErr w:type="spellEnd"/>
      <w:r w:rsidRPr="00283996">
        <w:rPr>
          <w:rFonts w:cs="Times New Roman"/>
          <w:lang w:val="en-US"/>
        </w:rPr>
        <w:t xml:space="preserve">, </w:t>
      </w:r>
      <w:proofErr w:type="spellStart"/>
      <w:r w:rsidRPr="00283996">
        <w:rPr>
          <w:rFonts w:cs="Times New Roman"/>
          <w:lang w:val="en-US"/>
        </w:rPr>
        <w:t>Deslauriers</w:t>
      </w:r>
      <w:proofErr w:type="spellEnd"/>
      <w:r w:rsidRPr="00283996">
        <w:rPr>
          <w:rFonts w:cs="Times New Roman"/>
          <w:lang w:val="en-US"/>
        </w:rPr>
        <w:t xml:space="preserve"> and Moore, vol. 1, at No. 1</w:t>
      </w:r>
      <w:r w:rsidRPr="00283996">
        <w:rPr>
          <w:rFonts w:cs="Times New Roman"/>
          <w:lang w:val="en-US"/>
        </w:rPr>
        <w:noBreakHyphen/>
        <w:t>195).</w:t>
      </w:r>
    </w:p>
    <w:p w:rsidR="003011EC" w:rsidRPr="00283996" w:rsidRDefault="003011EC" w:rsidP="003011EC">
      <w:pPr>
        <w:pStyle w:val="ParaNoNdepar-AltN"/>
        <w:rPr>
          <w:rFonts w:cs="Times New Roman"/>
          <w:sz w:val="21"/>
          <w:szCs w:val="21"/>
          <w:lang w:val="en-US"/>
        </w:rPr>
      </w:pPr>
      <w:r w:rsidRPr="00283996">
        <w:rPr>
          <w:rFonts w:cs="Times New Roman"/>
          <w:lang w:val="en-US"/>
        </w:rPr>
        <w:t xml:space="preserve">It goes without saying, moreover, that the reasonable person test takes into account the nature of the activity in issue. The practice of a profession will therefore be assessed by reference to the normally prudent, diligent and competent </w:t>
      </w:r>
      <w:r w:rsidRPr="00283996">
        <w:rPr>
          <w:rFonts w:cs="Times New Roman"/>
          <w:i/>
          <w:lang w:val="en-US"/>
        </w:rPr>
        <w:t>professional</w:t>
      </w:r>
      <w:r w:rsidRPr="00283996">
        <w:rPr>
          <w:rFonts w:cs="Times New Roman"/>
          <w:lang w:val="en-US"/>
        </w:rPr>
        <w:t xml:space="preserve"> in the same circumstances (see </w:t>
      </w:r>
      <w:proofErr w:type="spellStart"/>
      <w:r w:rsidR="002E2117" w:rsidRPr="00283996">
        <w:rPr>
          <w:rStyle w:val="Italic"/>
          <w:rFonts w:cs="Times New Roman"/>
          <w:lang w:val="en-US"/>
        </w:rPr>
        <w:t>Roberge</w:t>
      </w:r>
      <w:proofErr w:type="spellEnd"/>
      <w:r w:rsidR="002E2117" w:rsidRPr="00283996">
        <w:rPr>
          <w:rStyle w:val="Italic"/>
          <w:rFonts w:cs="Times New Roman"/>
          <w:lang w:val="en-US"/>
        </w:rPr>
        <w:t xml:space="preserve"> </w:t>
      </w:r>
      <w:r w:rsidRPr="00283996">
        <w:rPr>
          <w:rStyle w:val="Italic"/>
          <w:rFonts w:cs="Times New Roman"/>
          <w:lang w:val="en-US"/>
        </w:rPr>
        <w:t>v. Bolduc</w:t>
      </w:r>
      <w:r w:rsidRPr="000C31B5">
        <w:rPr>
          <w:rStyle w:val="Italic"/>
          <w:rFonts w:cs="Times New Roman"/>
          <w:i w:val="0"/>
          <w:lang w:val="en-US"/>
        </w:rPr>
        <w:t>, [1991] 1 S.C.R. 374, at pp. 393</w:t>
      </w:r>
      <w:r w:rsidRPr="000C31B5">
        <w:rPr>
          <w:rStyle w:val="Italic"/>
          <w:rFonts w:cs="Times New Roman"/>
          <w:i w:val="0"/>
          <w:lang w:val="en-US"/>
        </w:rPr>
        <w:noBreakHyphen/>
        <w:t xml:space="preserve">95; </w:t>
      </w:r>
      <w:proofErr w:type="spellStart"/>
      <w:r w:rsidRPr="00283996">
        <w:rPr>
          <w:rFonts w:cs="Times New Roman"/>
          <w:lang w:val="en-US"/>
        </w:rPr>
        <w:t>Baudouin</w:t>
      </w:r>
      <w:proofErr w:type="spellEnd"/>
      <w:r w:rsidRPr="00283996">
        <w:rPr>
          <w:rFonts w:cs="Times New Roman"/>
          <w:lang w:val="en-US"/>
        </w:rPr>
        <w:t xml:space="preserve">, </w:t>
      </w:r>
      <w:proofErr w:type="spellStart"/>
      <w:r w:rsidRPr="00283996">
        <w:rPr>
          <w:rFonts w:cs="Times New Roman"/>
          <w:lang w:val="en-US"/>
        </w:rPr>
        <w:t>Deslauriers</w:t>
      </w:r>
      <w:proofErr w:type="spellEnd"/>
      <w:r w:rsidRPr="00283996">
        <w:rPr>
          <w:rFonts w:cs="Times New Roman"/>
          <w:lang w:val="en-US"/>
        </w:rPr>
        <w:t xml:space="preserve"> and Moore, vol. 1, at No. 1</w:t>
      </w:r>
      <w:r w:rsidRPr="00283996">
        <w:rPr>
          <w:rFonts w:cs="Times New Roman"/>
          <w:lang w:val="en-US"/>
        </w:rPr>
        <w:noBreakHyphen/>
        <w:t>196; Karim, at paras. 2510</w:t>
      </w:r>
      <w:r w:rsidRPr="00283996">
        <w:rPr>
          <w:rFonts w:cs="Times New Roman"/>
          <w:lang w:val="en-US"/>
        </w:rPr>
        <w:noBreakHyphen/>
        <w:t>13). It follows that [</w:t>
      </w:r>
      <w:r w:rsidRPr="00283996">
        <w:rPr>
          <w:rFonts w:cs="Times New Roman"/>
          <w:smallCaps/>
          <w:lang w:val="en-US"/>
        </w:rPr>
        <w:t>translation</w:t>
      </w:r>
      <w:r w:rsidRPr="00283996">
        <w:rPr>
          <w:rFonts w:cs="Times New Roman"/>
          <w:lang w:val="en-US"/>
        </w:rPr>
        <w:t xml:space="preserve">] “the requisite knowledge and ability must be determined on the basis of the skills that exist within the particular group, that is, the group of persons </w:t>
      </w:r>
      <w:proofErr w:type="spellStart"/>
      <w:r w:rsidRPr="00283996">
        <w:rPr>
          <w:rFonts w:cs="Times New Roman"/>
          <w:lang w:val="en-US"/>
        </w:rPr>
        <w:t>practising</w:t>
      </w:r>
      <w:proofErr w:type="spellEnd"/>
      <w:r w:rsidRPr="00283996">
        <w:rPr>
          <w:rFonts w:cs="Times New Roman"/>
          <w:lang w:val="en-US"/>
        </w:rPr>
        <w:t xml:space="preserve"> the same profession as the defendant” (H.</w:t>
      </w:r>
      <w:r w:rsidRPr="00283996">
        <w:rPr>
          <w:rFonts w:cs="Times New Roman"/>
          <w:lang w:val="en-US"/>
        </w:rPr>
        <w:noBreakHyphen/>
        <w:t xml:space="preserve">R. Zhou, “Le test de la </w:t>
      </w:r>
      <w:proofErr w:type="spellStart"/>
      <w:r w:rsidRPr="00283996">
        <w:rPr>
          <w:rFonts w:cs="Times New Roman"/>
          <w:lang w:val="en-US"/>
        </w:rPr>
        <w:t>personne</w:t>
      </w:r>
      <w:proofErr w:type="spellEnd"/>
      <w:r w:rsidRPr="00283996">
        <w:rPr>
          <w:rFonts w:cs="Times New Roman"/>
          <w:lang w:val="en-US"/>
        </w:rPr>
        <w:t xml:space="preserve"> </w:t>
      </w:r>
      <w:proofErr w:type="spellStart"/>
      <w:r w:rsidRPr="00283996">
        <w:rPr>
          <w:rFonts w:cs="Times New Roman"/>
          <w:lang w:val="en-US"/>
        </w:rPr>
        <w:t>raisonnable</w:t>
      </w:r>
      <w:proofErr w:type="spellEnd"/>
      <w:r w:rsidRPr="00283996">
        <w:rPr>
          <w:rFonts w:cs="Times New Roman"/>
          <w:lang w:val="en-US"/>
        </w:rPr>
        <w:t xml:space="preserve"> </w:t>
      </w:r>
      <w:proofErr w:type="spellStart"/>
      <w:r w:rsidRPr="00283996">
        <w:rPr>
          <w:rFonts w:cs="Times New Roman"/>
          <w:lang w:val="en-US"/>
        </w:rPr>
        <w:t>en</w:t>
      </w:r>
      <w:proofErr w:type="spellEnd"/>
      <w:r w:rsidRPr="00283996">
        <w:rPr>
          <w:rFonts w:cs="Times New Roman"/>
          <w:lang w:val="en-US"/>
        </w:rPr>
        <w:t xml:space="preserve"> </w:t>
      </w:r>
      <w:proofErr w:type="spellStart"/>
      <w:r w:rsidRPr="00283996">
        <w:rPr>
          <w:rFonts w:cs="Times New Roman"/>
          <w:lang w:val="en-US"/>
        </w:rPr>
        <w:t>responsabilité</w:t>
      </w:r>
      <w:proofErr w:type="spellEnd"/>
      <w:r w:rsidRPr="00283996">
        <w:rPr>
          <w:rFonts w:cs="Times New Roman"/>
          <w:lang w:val="en-US"/>
        </w:rPr>
        <w:t xml:space="preserve"> </w:t>
      </w:r>
      <w:proofErr w:type="spellStart"/>
      <w:r w:rsidRPr="00283996">
        <w:rPr>
          <w:rFonts w:cs="Times New Roman"/>
          <w:lang w:val="en-US"/>
        </w:rPr>
        <w:t>civile</w:t>
      </w:r>
      <w:proofErr w:type="spellEnd"/>
      <w:r w:rsidRPr="00283996">
        <w:rPr>
          <w:rFonts w:cs="Times New Roman"/>
          <w:lang w:val="en-US"/>
        </w:rPr>
        <w:t xml:space="preserve">” (2001), 61 </w:t>
      </w:r>
      <w:r w:rsidRPr="00283996">
        <w:rPr>
          <w:rFonts w:cs="Times New Roman"/>
          <w:i/>
          <w:lang w:val="en-US"/>
        </w:rPr>
        <w:t>R. du B.</w:t>
      </w:r>
      <w:r w:rsidRPr="00283996">
        <w:rPr>
          <w:rFonts w:cs="Times New Roman"/>
          <w:lang w:val="en-US"/>
        </w:rPr>
        <w:t xml:space="preserve"> 451, at p. 488).</w:t>
      </w:r>
    </w:p>
    <w:p w:rsidR="003011EC" w:rsidRPr="00283996" w:rsidRDefault="003011EC" w:rsidP="003011EC">
      <w:pPr>
        <w:pStyle w:val="ParaNoNdepar-AltN"/>
        <w:rPr>
          <w:rFonts w:cs="Times New Roman"/>
          <w:lang w:val="en-US"/>
        </w:rPr>
      </w:pPr>
      <w:r w:rsidRPr="00283996">
        <w:rPr>
          <w:rFonts w:cs="Times New Roman"/>
          <w:lang w:val="en-US"/>
        </w:rPr>
        <w:t>It is well established that police conduct must be assessed according to the test of the normally prudent, diligent and competent police officer in the same circumstances (</w:t>
      </w:r>
      <w:proofErr w:type="spellStart"/>
      <w:r w:rsidR="002E2117" w:rsidRPr="00283996">
        <w:rPr>
          <w:rFonts w:cs="Times New Roman"/>
          <w:i/>
          <w:lang w:val="en-US"/>
        </w:rPr>
        <w:t>Chartier</w:t>
      </w:r>
      <w:proofErr w:type="spellEnd"/>
      <w:r w:rsidR="002E2117" w:rsidRPr="00283996">
        <w:rPr>
          <w:rFonts w:cs="Times New Roman"/>
          <w:i/>
          <w:lang w:val="en-US"/>
        </w:rPr>
        <w:t xml:space="preserve"> </w:t>
      </w:r>
      <w:r w:rsidRPr="00283996">
        <w:rPr>
          <w:rFonts w:cs="Times New Roman"/>
          <w:i/>
          <w:lang w:val="en-US"/>
        </w:rPr>
        <w:t>v. Attorney General of Quebec</w:t>
      </w:r>
      <w:r w:rsidRPr="00283996">
        <w:rPr>
          <w:rFonts w:cs="Times New Roman"/>
          <w:lang w:val="en-US"/>
        </w:rPr>
        <w:t>, [1979] 2 S.C.R. 474, at pp. 512</w:t>
      </w:r>
      <w:r w:rsidRPr="00283996">
        <w:rPr>
          <w:rFonts w:cs="Times New Roman"/>
          <w:lang w:val="en-US"/>
        </w:rPr>
        <w:noBreakHyphen/>
        <w:t xml:space="preserve">13, per Pratte J., dissenting in part, but not on this point; </w:t>
      </w:r>
      <w:r w:rsidRPr="00283996">
        <w:rPr>
          <w:rFonts w:cs="Times New Roman"/>
          <w:i/>
          <w:lang w:val="en-US"/>
        </w:rPr>
        <w:t>Hill</w:t>
      </w:r>
      <w:r w:rsidRPr="00283996">
        <w:rPr>
          <w:rFonts w:cs="Times New Roman"/>
          <w:lang w:val="en-US"/>
        </w:rPr>
        <w:t xml:space="preserve">, at para. 72; </w:t>
      </w:r>
      <w:proofErr w:type="spellStart"/>
      <w:r w:rsidRPr="00283996">
        <w:rPr>
          <w:rFonts w:cs="Times New Roman"/>
          <w:i/>
          <w:lang w:val="en-US"/>
        </w:rPr>
        <w:t>Jauvin</w:t>
      </w:r>
      <w:proofErr w:type="spellEnd"/>
      <w:r w:rsidRPr="00283996">
        <w:rPr>
          <w:rFonts w:cs="Times New Roman"/>
          <w:lang w:val="en-US"/>
        </w:rPr>
        <w:t xml:space="preserve">, at paras. 44 and 59; </w:t>
      </w:r>
      <w:r w:rsidRPr="00283996">
        <w:rPr>
          <w:rFonts w:cs="Times New Roman"/>
          <w:i/>
          <w:lang w:val="en-US"/>
        </w:rPr>
        <w:t>Michaelson</w:t>
      </w:r>
      <w:r w:rsidRPr="00283996">
        <w:rPr>
          <w:rFonts w:cs="Times New Roman"/>
          <w:lang w:val="en-US"/>
        </w:rPr>
        <w:t xml:space="preserve">, at para. 22; </w:t>
      </w:r>
      <w:proofErr w:type="spellStart"/>
      <w:r w:rsidRPr="00283996">
        <w:rPr>
          <w:rFonts w:cs="Times New Roman"/>
          <w:i/>
          <w:lang w:val="en-US"/>
        </w:rPr>
        <w:t>Popovic</w:t>
      </w:r>
      <w:proofErr w:type="spellEnd"/>
      <w:r w:rsidRPr="00283996">
        <w:rPr>
          <w:rFonts w:cs="Times New Roman"/>
          <w:lang w:val="en-US"/>
        </w:rPr>
        <w:t>, at para. </w:t>
      </w:r>
      <w:r w:rsidRPr="002035EE">
        <w:rPr>
          <w:rFonts w:cs="Times New Roman"/>
          <w:lang w:val="fr-CA"/>
        </w:rPr>
        <w:t xml:space="preserve">63; </w:t>
      </w:r>
      <w:r w:rsidRPr="002035EE">
        <w:rPr>
          <w:rFonts w:cs="Times New Roman"/>
          <w:i/>
          <w:lang w:val="fr-CA"/>
        </w:rPr>
        <w:t>Lacombe v. André</w:t>
      </w:r>
      <w:r w:rsidRPr="002035EE">
        <w:rPr>
          <w:rFonts w:cs="Times New Roman"/>
          <w:lang w:val="fr-CA"/>
        </w:rPr>
        <w:t xml:space="preserve">, [2003] R.J.Q. 720 (C.A.), at para. 41; </w:t>
      </w:r>
      <w:r w:rsidRPr="002035EE">
        <w:rPr>
          <w:rFonts w:cs="Times New Roman"/>
          <w:i/>
          <w:lang w:val="fr-CA"/>
        </w:rPr>
        <w:t>St</w:t>
      </w:r>
      <w:r w:rsidRPr="002035EE">
        <w:rPr>
          <w:rFonts w:cs="Times New Roman"/>
          <w:i/>
          <w:lang w:val="fr-CA"/>
        </w:rPr>
        <w:noBreakHyphen/>
        <w:t>Martin v. Morin (Succession de)</w:t>
      </w:r>
      <w:r w:rsidRPr="002035EE">
        <w:rPr>
          <w:rFonts w:cs="Times New Roman"/>
          <w:lang w:val="fr-CA"/>
        </w:rPr>
        <w:t xml:space="preserve">, 2008 QCCA 2106, [2008] R.J.Q. 2539, at para. 101; Lacroix, “Responsabilité civile des forces policières”, at </w:t>
      </w:r>
      <w:r w:rsidRPr="002035EE">
        <w:rPr>
          <w:rFonts w:cs="Times New Roman"/>
          <w:szCs w:val="24"/>
          <w:lang w:val="fr-CA"/>
        </w:rPr>
        <w:t>paras. </w:t>
      </w:r>
      <w:r w:rsidRPr="00283996">
        <w:rPr>
          <w:rFonts w:cs="Times New Roman"/>
          <w:szCs w:val="24"/>
          <w:lang w:val="en-US"/>
        </w:rPr>
        <w:t>14</w:t>
      </w:r>
      <w:r w:rsidRPr="00283996">
        <w:rPr>
          <w:rFonts w:cs="Times New Roman"/>
          <w:szCs w:val="24"/>
          <w:lang w:val="en-US"/>
        </w:rPr>
        <w:noBreakHyphen/>
        <w:t xml:space="preserve">15). Professors </w:t>
      </w:r>
      <w:proofErr w:type="spellStart"/>
      <w:r w:rsidRPr="00283996">
        <w:rPr>
          <w:rFonts w:cs="Times New Roman"/>
          <w:szCs w:val="24"/>
          <w:lang w:val="en-US"/>
        </w:rPr>
        <w:t>Baudouin</w:t>
      </w:r>
      <w:proofErr w:type="spellEnd"/>
      <w:r w:rsidRPr="00283996">
        <w:rPr>
          <w:rFonts w:cs="Times New Roman"/>
          <w:szCs w:val="24"/>
          <w:lang w:val="en-US"/>
        </w:rPr>
        <w:t xml:space="preserve"> and Fabien provide the following explanation of the approach to be taken by a court ruling on a police officer’s alleged fault</w:t>
      </w:r>
      <w:r w:rsidRPr="00283996">
        <w:rPr>
          <w:rFonts w:cs="Times New Roman"/>
          <w:lang w:val="en-US"/>
        </w:rPr>
        <w:t>:</w:t>
      </w:r>
    </w:p>
    <w:p w:rsidR="003011EC" w:rsidRPr="00283996" w:rsidRDefault="003011EC" w:rsidP="003011EC">
      <w:pPr>
        <w:pStyle w:val="Citation-AltC"/>
        <w:tabs>
          <w:tab w:val="left" w:pos="1440"/>
        </w:tabs>
        <w:spacing w:after="240"/>
        <w:contextualSpacing w:val="0"/>
        <w:rPr>
          <w:lang w:val="en-US"/>
        </w:rPr>
      </w:pPr>
      <w:r w:rsidRPr="00283996">
        <w:rPr>
          <w:lang w:val="en-US"/>
        </w:rPr>
        <w:lastRenderedPageBreak/>
        <w:tab/>
        <w:t>[</w:t>
      </w:r>
      <w:r w:rsidRPr="00283996">
        <w:rPr>
          <w:smallCaps/>
          <w:lang w:val="en-US"/>
        </w:rPr>
        <w:t>translation</w:t>
      </w:r>
      <w:r w:rsidRPr="00283996">
        <w:rPr>
          <w:lang w:val="en-US"/>
        </w:rPr>
        <w:t xml:space="preserve">] A court that has to judge a police officer’s conduct must begin by assessing the facts </w:t>
      </w:r>
      <w:r w:rsidRPr="00283996">
        <w:rPr>
          <w:i/>
          <w:lang w:val="en-US"/>
        </w:rPr>
        <w:t>in </w:t>
      </w:r>
      <w:proofErr w:type="spellStart"/>
      <w:r w:rsidRPr="00283996">
        <w:rPr>
          <w:i/>
          <w:lang w:val="en-US"/>
        </w:rPr>
        <w:t>abstracto</w:t>
      </w:r>
      <w:proofErr w:type="spellEnd"/>
      <w:r w:rsidRPr="00283996">
        <w:rPr>
          <w:lang w:val="en-US"/>
        </w:rPr>
        <w:t xml:space="preserve"> against the ideal, abstract standard of a police officer of ordinary prudence, diligence and skill. This standard is not necessarily the result of observing the average conduct of the coworkers of the police officer in question. In determining this standard, the court can consider empirical data. However, it is not bound by such data and can project onto the standard its own idea of what seems socially desirable. The “prudent administrator” of the Civil Code is not a sociological fact, but a normative creation.</w:t>
      </w:r>
    </w:p>
    <w:p w:rsidR="003011EC" w:rsidRPr="00283996" w:rsidRDefault="003011EC" w:rsidP="003011EC">
      <w:pPr>
        <w:pStyle w:val="Citation-AltC"/>
        <w:tabs>
          <w:tab w:val="left" w:pos="1440"/>
        </w:tabs>
        <w:spacing w:after="240"/>
        <w:contextualSpacing w:val="0"/>
        <w:rPr>
          <w:lang w:val="en-US"/>
        </w:rPr>
      </w:pPr>
      <w:r w:rsidRPr="00283996">
        <w:rPr>
          <w:lang w:val="en-US"/>
        </w:rPr>
        <w:tab/>
        <w:t>The standard of conduct that is applied to determine whether a police officer committed a fault is not one of excellence. It is an average standard, neither the best nor the most mediocre.</w:t>
      </w:r>
    </w:p>
    <w:p w:rsidR="003011EC" w:rsidRPr="00283996" w:rsidRDefault="003011EC" w:rsidP="003011EC">
      <w:pPr>
        <w:pStyle w:val="Citation-AltC"/>
        <w:tabs>
          <w:tab w:val="left" w:pos="1440"/>
        </w:tabs>
        <w:spacing w:after="240"/>
        <w:contextualSpacing w:val="0"/>
        <w:rPr>
          <w:lang w:val="en-US"/>
        </w:rPr>
      </w:pPr>
      <w:r w:rsidRPr="00283996">
        <w:rPr>
          <w:lang w:val="en-US"/>
        </w:rPr>
        <w:tab/>
        <w:t>Next, it is important to properly place the “yardstick police officer” in the same external circumstances as the police officer whose conduct is being assessed. The circumstances of place (temperature, visibility, urgency, etc.) and time must be considered.</w:t>
      </w:r>
    </w:p>
    <w:p w:rsidR="003011EC" w:rsidRPr="002035EE" w:rsidRDefault="003011EC" w:rsidP="003F6FB7">
      <w:pPr>
        <w:pStyle w:val="Citation-AltC"/>
        <w:ind w:left="0"/>
        <w:contextualSpacing w:val="0"/>
      </w:pPr>
      <w:r w:rsidRPr="002035EE">
        <w:t>(Baudouin and Fabien, at pp. 423</w:t>
      </w:r>
      <w:r w:rsidRPr="002035EE">
        <w:noBreakHyphen/>
        <w:t xml:space="preserve">24; </w:t>
      </w:r>
      <w:proofErr w:type="spellStart"/>
      <w:r w:rsidRPr="002035EE">
        <w:t>see</w:t>
      </w:r>
      <w:proofErr w:type="spellEnd"/>
      <w:r w:rsidRPr="002035EE">
        <w:t xml:space="preserve"> </w:t>
      </w:r>
      <w:proofErr w:type="spellStart"/>
      <w:r w:rsidRPr="002035EE">
        <w:t>also</w:t>
      </w:r>
      <w:proofErr w:type="spellEnd"/>
      <w:r w:rsidRPr="002035EE">
        <w:t xml:space="preserve"> C. Massé, “Chronique — Arrestation illégale et brutalité policière: dans quelles circonstances la responsabilité des policiers peut</w:t>
      </w:r>
      <w:r w:rsidRPr="002035EE">
        <w:noBreakHyphen/>
        <w:t xml:space="preserve">elle être engagée?”, </w:t>
      </w:r>
      <w:r w:rsidRPr="002035EE">
        <w:rPr>
          <w:i/>
        </w:rPr>
        <w:t>Repères</w:t>
      </w:r>
      <w:r w:rsidRPr="002035EE">
        <w:t>, May 2013 (online), at p. 2.)</w:t>
      </w:r>
    </w:p>
    <w:p w:rsidR="003011EC" w:rsidRPr="00283996" w:rsidRDefault="003011EC" w:rsidP="003011EC">
      <w:pPr>
        <w:pStyle w:val="ParaNoNdepar-AltN"/>
        <w:spacing w:before="0"/>
        <w:rPr>
          <w:rFonts w:cs="Times New Roman"/>
          <w:lang w:val="en-US"/>
        </w:rPr>
      </w:pPr>
      <w:r w:rsidRPr="00283996">
        <w:rPr>
          <w:rFonts w:cs="Times New Roman"/>
          <w:lang w:val="en-US"/>
        </w:rPr>
        <w:t>The reasonable police officer test recognizes the largely discretionary nature of police work (</w:t>
      </w:r>
      <w:r w:rsidRPr="00283996">
        <w:rPr>
          <w:rFonts w:cs="Times New Roman"/>
          <w:i/>
          <w:lang w:val="en-US"/>
        </w:rPr>
        <w:t>Hill</w:t>
      </w:r>
      <w:r w:rsidRPr="00283996">
        <w:rPr>
          <w:rFonts w:cs="Times New Roman"/>
          <w:lang w:val="en-US"/>
        </w:rPr>
        <w:t>, at paras. 51</w:t>
      </w:r>
      <w:r w:rsidRPr="00283996">
        <w:rPr>
          <w:rFonts w:cs="Times New Roman"/>
          <w:lang w:val="en-US"/>
        </w:rPr>
        <w:noBreakHyphen/>
        <w:t xml:space="preserve">52 and 73). In this regard, the observations made by the Court in </w:t>
      </w:r>
      <w:r w:rsidRPr="00283996">
        <w:rPr>
          <w:rFonts w:cs="Times New Roman"/>
          <w:i/>
          <w:lang w:val="en-US"/>
        </w:rPr>
        <w:t>Hill</w:t>
      </w:r>
      <w:r w:rsidRPr="00283996">
        <w:rPr>
          <w:rFonts w:cs="Times New Roman"/>
          <w:lang w:val="en-US"/>
        </w:rPr>
        <w:t xml:space="preserve"> concerning the tort of negligent investigation can, for the most part, be transposed to Quebec civil law:</w:t>
      </w:r>
    </w:p>
    <w:p w:rsidR="003011EC" w:rsidRPr="00283996" w:rsidRDefault="003011EC" w:rsidP="003011EC">
      <w:pPr>
        <w:pStyle w:val="Citation-AltC"/>
        <w:spacing w:after="240"/>
        <w:ind w:hanging="446"/>
        <w:contextualSpacing w:val="0"/>
        <w:rPr>
          <w:lang w:val="en-US"/>
        </w:rPr>
      </w:pPr>
      <w:r w:rsidRPr="00283996">
        <w:rPr>
          <w:lang w:val="en-US"/>
        </w:rPr>
        <w:tab/>
        <w:t>Police exercise their discretion and professional judgment in accordance with professional standards and practices, consistent with the high standards of professionalism that society rightfully demands of police in performing their important and dangerous work.</w:t>
      </w:r>
    </w:p>
    <w:p w:rsidR="003011EC" w:rsidRPr="00283996" w:rsidRDefault="003011EC" w:rsidP="003011EC">
      <w:pPr>
        <w:pStyle w:val="Citation-AltC"/>
        <w:spacing w:after="240"/>
        <w:ind w:left="4590" w:hanging="446"/>
        <w:contextualSpacing w:val="0"/>
        <w:rPr>
          <w:lang w:val="en-US"/>
        </w:rPr>
      </w:pPr>
      <w:r w:rsidRPr="00283996">
        <w:rPr>
          <w:lang w:val="en-US"/>
        </w:rPr>
        <w:tab/>
        <w:t>. . .</w:t>
      </w:r>
    </w:p>
    <w:p w:rsidR="003011EC" w:rsidRPr="00283996" w:rsidRDefault="003011EC" w:rsidP="003011EC">
      <w:pPr>
        <w:pStyle w:val="Citation-AltC"/>
        <w:ind w:hanging="446"/>
        <w:rPr>
          <w:lang w:val="en-US"/>
        </w:rPr>
      </w:pPr>
      <w:r w:rsidRPr="00283996">
        <w:rPr>
          <w:lang w:val="en-US"/>
        </w:rPr>
        <w:tab/>
        <w:t xml:space="preserve">The standard is not perfection, or even the optimum, judged from the vantage of hindsight. It is that of a reasonable officer, judged in the circumstances prevailing at the time the decision was made — circumstances that may include urgency and deficiencies of information. </w:t>
      </w:r>
      <w:r w:rsidRPr="00283996">
        <w:rPr>
          <w:lang w:val="en-US"/>
        </w:rPr>
        <w:lastRenderedPageBreak/>
        <w:t>The law of negligence does not require perfection of professionals; nor does it guarantee desired results. [Citation omitted; paras. 52 and 73.]</w:t>
      </w:r>
    </w:p>
    <w:p w:rsidR="003011EC" w:rsidRPr="002035EE" w:rsidRDefault="003011EC" w:rsidP="003011EC">
      <w:pPr>
        <w:pStyle w:val="ParaNoNdepar-AltN"/>
        <w:spacing w:before="0"/>
        <w:rPr>
          <w:rFonts w:cs="Times New Roman"/>
          <w:lang w:val="fr-CA"/>
        </w:rPr>
      </w:pPr>
      <w:r w:rsidRPr="00283996">
        <w:rPr>
          <w:rFonts w:cs="Times New Roman"/>
          <w:lang w:val="en-US"/>
        </w:rPr>
        <w:t xml:space="preserve">The content of the law governing the work of the police determines, to some degree, the scope of “the duty of prudence and diligence that applies in a given context” (see </w:t>
      </w:r>
      <w:r w:rsidRPr="00283996">
        <w:rPr>
          <w:rFonts w:cs="Times New Roman"/>
          <w:i/>
          <w:lang w:val="en-US"/>
        </w:rPr>
        <w:t>St. Lawrence Cement</w:t>
      </w:r>
      <w:r w:rsidRPr="00283996">
        <w:rPr>
          <w:rFonts w:cs="Times New Roman"/>
          <w:lang w:val="en-US"/>
        </w:rPr>
        <w:t>, at para. 36). In a civil liability action, a court will therefore have to assess a police officer’s conduct in light of the limits imposed by, among other things, constitutional and quasi</w:t>
      </w:r>
      <w:r w:rsidRPr="00283996">
        <w:rPr>
          <w:rFonts w:cs="Times New Roman"/>
          <w:lang w:val="en-US"/>
        </w:rPr>
        <w:noBreakHyphen/>
        <w:t xml:space="preserve">constitutional enactments, criminal and penal legislation and the constituting statutes and codes of ethics of police forces (see, e.g., </w:t>
      </w:r>
      <w:r w:rsidRPr="00283996">
        <w:rPr>
          <w:rFonts w:cs="Times New Roman"/>
          <w:i/>
          <w:lang w:val="en-US"/>
        </w:rPr>
        <w:t>Hill</w:t>
      </w:r>
      <w:r w:rsidRPr="00283996">
        <w:rPr>
          <w:rFonts w:cs="Times New Roman"/>
          <w:lang w:val="en-US"/>
        </w:rPr>
        <w:t>, at para. </w:t>
      </w:r>
      <w:r w:rsidRPr="002035EE">
        <w:rPr>
          <w:rFonts w:cs="Times New Roman"/>
          <w:lang w:val="fr-CA"/>
        </w:rPr>
        <w:t xml:space="preserve">41; </w:t>
      </w:r>
      <w:proofErr w:type="spellStart"/>
      <w:r w:rsidRPr="002035EE">
        <w:rPr>
          <w:rFonts w:cs="Times New Roman"/>
          <w:lang w:val="fr-CA"/>
        </w:rPr>
        <w:t>see</w:t>
      </w:r>
      <w:proofErr w:type="spellEnd"/>
      <w:r w:rsidRPr="002035EE">
        <w:rPr>
          <w:rFonts w:cs="Times New Roman"/>
          <w:lang w:val="fr-CA"/>
        </w:rPr>
        <w:t xml:space="preserve"> </w:t>
      </w:r>
      <w:proofErr w:type="spellStart"/>
      <w:r w:rsidRPr="002035EE">
        <w:rPr>
          <w:rFonts w:cs="Times New Roman"/>
          <w:lang w:val="fr-CA"/>
        </w:rPr>
        <w:t>also</w:t>
      </w:r>
      <w:proofErr w:type="spellEnd"/>
      <w:r w:rsidRPr="002035EE">
        <w:rPr>
          <w:rFonts w:cs="Times New Roman"/>
          <w:lang w:val="fr-CA"/>
        </w:rPr>
        <w:t xml:space="preserve"> M. </w:t>
      </w:r>
      <w:proofErr w:type="spellStart"/>
      <w:r w:rsidRPr="002035EE">
        <w:rPr>
          <w:rFonts w:cs="Times New Roman"/>
          <w:lang w:val="fr-CA"/>
        </w:rPr>
        <w:t>Vauclair</w:t>
      </w:r>
      <w:proofErr w:type="spellEnd"/>
      <w:r w:rsidRPr="002035EE">
        <w:rPr>
          <w:rFonts w:cs="Times New Roman"/>
          <w:lang w:val="fr-CA"/>
        </w:rPr>
        <w:t xml:space="preserve"> and T. Desjardins, </w:t>
      </w:r>
      <w:r w:rsidRPr="002035EE">
        <w:rPr>
          <w:rFonts w:cs="Times New Roman"/>
          <w:i/>
          <w:lang w:val="fr-CA"/>
        </w:rPr>
        <w:t>Traité général de preuve et de procédure pénales</w:t>
      </w:r>
      <w:r w:rsidRPr="002035EE">
        <w:rPr>
          <w:rFonts w:cs="Times New Roman"/>
          <w:lang w:val="fr-CA"/>
        </w:rPr>
        <w:t xml:space="preserve"> (26th </w:t>
      </w:r>
      <w:proofErr w:type="spellStart"/>
      <w:r w:rsidRPr="002035EE">
        <w:rPr>
          <w:rFonts w:cs="Times New Roman"/>
          <w:lang w:val="fr-CA"/>
        </w:rPr>
        <w:t>ed</w:t>
      </w:r>
      <w:proofErr w:type="spellEnd"/>
      <w:r w:rsidRPr="002035EE">
        <w:rPr>
          <w:rFonts w:cs="Times New Roman"/>
          <w:lang w:val="fr-CA"/>
        </w:rPr>
        <w:t>. 2019), at paras. 207</w:t>
      </w:r>
      <w:r w:rsidRPr="002035EE">
        <w:rPr>
          <w:rFonts w:cs="Times New Roman"/>
          <w:lang w:val="fr-CA"/>
        </w:rPr>
        <w:noBreakHyphen/>
        <w:t>11; Lacroix, “Responsabilité civile des forces policières”, at paras. 6</w:t>
      </w:r>
      <w:r w:rsidRPr="002035EE">
        <w:rPr>
          <w:rFonts w:cs="Times New Roman"/>
          <w:lang w:val="fr-CA"/>
        </w:rPr>
        <w:noBreakHyphen/>
        <w:t xml:space="preserve">11; Baudouin, </w:t>
      </w:r>
      <w:proofErr w:type="spellStart"/>
      <w:r w:rsidRPr="002035EE">
        <w:rPr>
          <w:rFonts w:cs="Times New Roman"/>
          <w:lang w:val="fr-CA"/>
        </w:rPr>
        <w:t>Deslauriers</w:t>
      </w:r>
      <w:proofErr w:type="spellEnd"/>
      <w:r w:rsidRPr="002035EE">
        <w:rPr>
          <w:rFonts w:cs="Times New Roman"/>
          <w:lang w:val="fr-CA"/>
        </w:rPr>
        <w:t xml:space="preserve"> and Moore, vol. 2, at Nos. 2</w:t>
      </w:r>
      <w:r w:rsidRPr="002035EE">
        <w:rPr>
          <w:rFonts w:cs="Times New Roman"/>
          <w:lang w:val="fr-CA"/>
        </w:rPr>
        <w:noBreakHyphen/>
        <w:t xml:space="preserve">1 </w:t>
      </w:r>
      <w:r w:rsidR="00BA3BD8">
        <w:rPr>
          <w:rFonts w:cs="Times New Roman"/>
          <w:lang w:val="fr-CA"/>
        </w:rPr>
        <w:t>to</w:t>
      </w:r>
      <w:r w:rsidRPr="002035EE">
        <w:rPr>
          <w:rFonts w:cs="Times New Roman"/>
          <w:lang w:val="fr-CA"/>
        </w:rPr>
        <w:t xml:space="preserve"> 2</w:t>
      </w:r>
      <w:r w:rsidRPr="002035EE">
        <w:rPr>
          <w:rFonts w:cs="Times New Roman"/>
          <w:lang w:val="fr-CA"/>
        </w:rPr>
        <w:noBreakHyphen/>
        <w:t>2).</w:t>
      </w:r>
    </w:p>
    <w:p w:rsidR="003011EC" w:rsidRPr="00BA3BD8" w:rsidRDefault="003011EC" w:rsidP="003011EC">
      <w:pPr>
        <w:pStyle w:val="ParaNoNdepar-AltN"/>
        <w:spacing w:before="0"/>
        <w:rPr>
          <w:rFonts w:cs="Times New Roman"/>
          <w:sz w:val="21"/>
          <w:szCs w:val="21"/>
          <w:lang w:val="fr-CA"/>
        </w:rPr>
      </w:pPr>
      <w:r w:rsidRPr="00283996">
        <w:rPr>
          <w:rFonts w:cs="Times New Roman"/>
          <w:lang w:val="en-US"/>
        </w:rPr>
        <w:t>A violation of such statutory or regulatory rules of conduct can often,</w:t>
      </w:r>
      <w:r w:rsidRPr="00283996">
        <w:rPr>
          <w:rFonts w:eastAsia="Times New Roman" w:cs="Times New Roman"/>
          <w:szCs w:val="20"/>
          <w:lang w:val="en-US" w:eastAsia="en-CA"/>
        </w:rPr>
        <w:t xml:space="preserve"> absent </w:t>
      </w:r>
      <w:r w:rsidRPr="00283996">
        <w:rPr>
          <w:rFonts w:cs="Times New Roman"/>
          <w:lang w:val="en-US"/>
        </w:rPr>
        <w:t xml:space="preserve">special circumstances, be considered a civil fault (see </w:t>
      </w:r>
      <w:r w:rsidRPr="00283996">
        <w:rPr>
          <w:rFonts w:cs="Times New Roman"/>
          <w:i/>
          <w:lang w:val="en-US"/>
        </w:rPr>
        <w:t>Infineon Technologies AG</w:t>
      </w:r>
      <w:r w:rsidR="003B34E2" w:rsidRPr="00283996">
        <w:rPr>
          <w:rFonts w:cs="Times New Roman"/>
          <w:i/>
          <w:lang w:val="en-US"/>
        </w:rPr>
        <w:t xml:space="preserve"> </w:t>
      </w:r>
      <w:r w:rsidRPr="00283996">
        <w:rPr>
          <w:rFonts w:cs="Times New Roman"/>
          <w:i/>
          <w:lang w:val="en-US"/>
        </w:rPr>
        <w:t xml:space="preserve">v. Option </w:t>
      </w:r>
      <w:proofErr w:type="spellStart"/>
      <w:r w:rsidRPr="00283996">
        <w:rPr>
          <w:rFonts w:cs="Times New Roman"/>
          <w:i/>
          <w:lang w:val="en-US"/>
        </w:rPr>
        <w:t>consommateurs</w:t>
      </w:r>
      <w:proofErr w:type="spellEnd"/>
      <w:r w:rsidRPr="00283996">
        <w:rPr>
          <w:rFonts w:cs="Times New Roman"/>
          <w:lang w:val="en-US"/>
        </w:rPr>
        <w:t>, 2013 SCC 59, [2013] 3</w:t>
      </w:r>
      <w:r w:rsidR="003B34E2" w:rsidRPr="00283996">
        <w:rPr>
          <w:rFonts w:cs="Times New Roman"/>
          <w:lang w:val="en-US"/>
        </w:rPr>
        <w:t xml:space="preserve"> </w:t>
      </w:r>
      <w:r w:rsidRPr="00283996">
        <w:rPr>
          <w:rFonts w:cs="Times New Roman"/>
          <w:lang w:val="en-US"/>
        </w:rPr>
        <w:t>S.C.R. 600, at para. </w:t>
      </w:r>
      <w:r w:rsidRPr="002035EE">
        <w:rPr>
          <w:rFonts w:cs="Times New Roman"/>
          <w:lang w:val="fr-CA"/>
        </w:rPr>
        <w:t xml:space="preserve">96; </w:t>
      </w:r>
      <w:r w:rsidRPr="002035EE">
        <w:rPr>
          <w:rFonts w:cs="Times New Roman"/>
          <w:i/>
          <w:lang w:val="fr-CA"/>
        </w:rPr>
        <w:t>Compagnie d’assurance Continental du Canada</w:t>
      </w:r>
      <w:r w:rsidR="003B34E2" w:rsidRPr="002035EE">
        <w:rPr>
          <w:rFonts w:cs="Times New Roman"/>
          <w:i/>
          <w:lang w:val="fr-CA"/>
        </w:rPr>
        <w:t xml:space="preserve"> </w:t>
      </w:r>
      <w:r w:rsidRPr="002035EE">
        <w:rPr>
          <w:rFonts w:cs="Times New Roman"/>
          <w:i/>
          <w:lang w:val="fr-CA"/>
        </w:rPr>
        <w:t xml:space="preserve">v. 136500 Canada </w:t>
      </w:r>
      <w:proofErr w:type="spellStart"/>
      <w:r w:rsidRPr="002035EE">
        <w:rPr>
          <w:rFonts w:cs="Times New Roman"/>
          <w:i/>
          <w:lang w:val="fr-CA"/>
        </w:rPr>
        <w:t>inc.</w:t>
      </w:r>
      <w:proofErr w:type="spellEnd"/>
      <w:r w:rsidRPr="002035EE">
        <w:rPr>
          <w:rFonts w:cs="Times New Roman"/>
          <w:lang w:val="fr-CA"/>
        </w:rPr>
        <w:t xml:space="preserve">, [1998] R.R.A. 707 (Que. C.A.), at p. 712). </w:t>
      </w:r>
      <w:r w:rsidRPr="00283996">
        <w:rPr>
          <w:rFonts w:cs="Times New Roman"/>
          <w:lang w:val="en-US"/>
        </w:rPr>
        <w:t>This will particularly be the case where a provision itself lays down an elementary standard of prudence or diligence (</w:t>
      </w:r>
      <w:r w:rsidR="00A943F0" w:rsidRPr="00283996">
        <w:rPr>
          <w:rFonts w:cs="Times New Roman"/>
          <w:i/>
          <w:lang w:val="en-US"/>
        </w:rPr>
        <w:t xml:space="preserve">Morin </w:t>
      </w:r>
      <w:r w:rsidRPr="00283996">
        <w:rPr>
          <w:rFonts w:cs="Times New Roman"/>
          <w:i/>
          <w:lang w:val="en-US"/>
        </w:rPr>
        <w:t xml:space="preserve">v. </w:t>
      </w:r>
      <w:proofErr w:type="spellStart"/>
      <w:r w:rsidRPr="00283996">
        <w:rPr>
          <w:rFonts w:cs="Times New Roman"/>
          <w:i/>
          <w:lang w:val="en-US"/>
        </w:rPr>
        <w:t>Blais</w:t>
      </w:r>
      <w:proofErr w:type="spellEnd"/>
      <w:r w:rsidR="000B3FAC" w:rsidRPr="00283996">
        <w:rPr>
          <w:rFonts w:cs="Times New Roman"/>
          <w:lang w:val="en-US"/>
        </w:rPr>
        <w:t xml:space="preserve">, [1977] 1 </w:t>
      </w:r>
      <w:r w:rsidRPr="00283996">
        <w:rPr>
          <w:rFonts w:cs="Times New Roman"/>
          <w:lang w:val="en-US"/>
        </w:rPr>
        <w:t xml:space="preserve">S.C.R. 570, at p. 580; </w:t>
      </w:r>
      <w:r w:rsidRPr="00283996">
        <w:rPr>
          <w:rFonts w:cs="Times New Roman"/>
          <w:i/>
          <w:lang w:val="en-US"/>
        </w:rPr>
        <w:t>Harvey</w:t>
      </w:r>
      <w:r w:rsidR="00A943F0" w:rsidRPr="00283996">
        <w:rPr>
          <w:rFonts w:cs="Times New Roman"/>
          <w:i/>
          <w:lang w:val="en-US"/>
        </w:rPr>
        <w:t xml:space="preserve"> </w:t>
      </w:r>
      <w:r w:rsidRPr="00283996">
        <w:rPr>
          <w:rFonts w:cs="Times New Roman"/>
          <w:i/>
          <w:lang w:val="en-US"/>
        </w:rPr>
        <w:t>v. Trois</w:t>
      </w:r>
      <w:r w:rsidRPr="00283996">
        <w:rPr>
          <w:rFonts w:cs="Times New Roman"/>
          <w:i/>
          <w:lang w:val="en-US"/>
        </w:rPr>
        <w:noBreakHyphen/>
      </w:r>
      <w:proofErr w:type="spellStart"/>
      <w:r w:rsidRPr="00283996">
        <w:rPr>
          <w:rFonts w:cs="Times New Roman"/>
          <w:i/>
          <w:lang w:val="en-US"/>
        </w:rPr>
        <w:t>Rivières</w:t>
      </w:r>
      <w:proofErr w:type="spellEnd"/>
      <w:r w:rsidRPr="00283996">
        <w:rPr>
          <w:rFonts w:cs="Times New Roman"/>
          <w:i/>
          <w:lang w:val="en-US"/>
        </w:rPr>
        <w:t xml:space="preserve"> (Ville de)</w:t>
      </w:r>
      <w:r w:rsidRPr="00283996">
        <w:rPr>
          <w:rFonts w:cs="Times New Roman"/>
          <w:lang w:val="en-US"/>
        </w:rPr>
        <w:t>, 2013 QCCA 772, [2013] R.J.Q. 650, at paras. 56</w:t>
      </w:r>
      <w:r w:rsidRPr="00283996">
        <w:rPr>
          <w:rFonts w:cs="Times New Roman"/>
          <w:lang w:val="en-US"/>
        </w:rPr>
        <w:noBreakHyphen/>
        <w:t xml:space="preserve">62). Nevertheless, under Quebec law, conduct that is unlawful does not systematically constitute a civil </w:t>
      </w:r>
      <w:r w:rsidRPr="00283996">
        <w:rPr>
          <w:rFonts w:cs="Times New Roman"/>
          <w:i/>
          <w:lang w:val="en-US"/>
        </w:rPr>
        <w:t>fault</w:t>
      </w:r>
      <w:r w:rsidRPr="00283996">
        <w:rPr>
          <w:rFonts w:cs="Times New Roman"/>
          <w:lang w:val="en-US"/>
        </w:rPr>
        <w:t xml:space="preserve"> (</w:t>
      </w:r>
      <w:r w:rsidRPr="00283996">
        <w:rPr>
          <w:rFonts w:cs="Times New Roman"/>
          <w:i/>
          <w:lang w:val="en-US"/>
        </w:rPr>
        <w:t>St. Lawrence Cement</w:t>
      </w:r>
      <w:r w:rsidRPr="00283996">
        <w:rPr>
          <w:rFonts w:cs="Times New Roman"/>
          <w:lang w:val="en-US"/>
        </w:rPr>
        <w:t xml:space="preserve">, at paras. 21 and 34; </w:t>
      </w:r>
      <w:r w:rsidRPr="00283996">
        <w:rPr>
          <w:rFonts w:cs="Times New Roman"/>
          <w:i/>
          <w:lang w:val="en-US"/>
        </w:rPr>
        <w:t xml:space="preserve">L. (J.) v. </w:t>
      </w:r>
      <w:proofErr w:type="spellStart"/>
      <w:r w:rsidRPr="00283996">
        <w:rPr>
          <w:rFonts w:cs="Times New Roman"/>
          <w:i/>
          <w:lang w:val="en-US"/>
        </w:rPr>
        <w:t>Gingues</w:t>
      </w:r>
      <w:proofErr w:type="spellEnd"/>
      <w:r w:rsidRPr="00283996">
        <w:rPr>
          <w:rFonts w:cs="Times New Roman"/>
          <w:lang w:val="en-US"/>
        </w:rPr>
        <w:t xml:space="preserve">, 2008 QCCA 2242, 93 C.C.L.T. (3d) 67, at para. 5; see, in this regard, </w:t>
      </w:r>
      <w:proofErr w:type="spellStart"/>
      <w:r w:rsidRPr="00283996">
        <w:rPr>
          <w:rFonts w:cs="Times New Roman"/>
          <w:lang w:val="en-US"/>
        </w:rPr>
        <w:lastRenderedPageBreak/>
        <w:t>Baudouin</w:t>
      </w:r>
      <w:proofErr w:type="spellEnd"/>
      <w:r w:rsidRPr="00283996">
        <w:rPr>
          <w:rFonts w:cs="Times New Roman"/>
          <w:lang w:val="en-US"/>
        </w:rPr>
        <w:t xml:space="preserve">, </w:t>
      </w:r>
      <w:proofErr w:type="spellStart"/>
      <w:r w:rsidRPr="00283996">
        <w:rPr>
          <w:rFonts w:cs="Times New Roman"/>
          <w:lang w:val="en-US"/>
        </w:rPr>
        <w:t>Deslauriers</w:t>
      </w:r>
      <w:proofErr w:type="spellEnd"/>
      <w:r w:rsidRPr="00283996">
        <w:rPr>
          <w:rFonts w:cs="Times New Roman"/>
          <w:lang w:val="en-US"/>
        </w:rPr>
        <w:t xml:space="preserve"> and Moore, vol. 1, at No. 1</w:t>
      </w:r>
      <w:r w:rsidRPr="00283996">
        <w:rPr>
          <w:rFonts w:cs="Times New Roman"/>
          <w:lang w:val="en-US"/>
        </w:rPr>
        <w:noBreakHyphen/>
        <w:t>191; Karim, at para. </w:t>
      </w:r>
      <w:r w:rsidRPr="002035EE">
        <w:rPr>
          <w:rFonts w:cs="Times New Roman"/>
          <w:lang w:val="fr-CA"/>
        </w:rPr>
        <w:t>2519; M. </w:t>
      </w:r>
      <w:proofErr w:type="spellStart"/>
      <w:r w:rsidRPr="002035EE">
        <w:rPr>
          <w:rFonts w:cs="Times New Roman"/>
          <w:lang w:val="fr-CA"/>
        </w:rPr>
        <w:t>Tancelin</w:t>
      </w:r>
      <w:proofErr w:type="spellEnd"/>
      <w:r w:rsidRPr="002035EE">
        <w:rPr>
          <w:rFonts w:cs="Times New Roman"/>
          <w:lang w:val="fr-CA"/>
        </w:rPr>
        <w:t xml:space="preserve">, </w:t>
      </w:r>
      <w:r w:rsidRPr="002035EE">
        <w:rPr>
          <w:rFonts w:cs="Times New Roman"/>
          <w:i/>
          <w:lang w:val="fr-CA"/>
        </w:rPr>
        <w:t>Des obligations en droit mixte du Québec</w:t>
      </w:r>
      <w:r w:rsidRPr="002035EE">
        <w:rPr>
          <w:rFonts w:cs="Times New Roman"/>
          <w:lang w:val="fr-CA"/>
        </w:rPr>
        <w:t xml:space="preserve"> (7th </w:t>
      </w:r>
      <w:proofErr w:type="spellStart"/>
      <w:r w:rsidRPr="002035EE">
        <w:rPr>
          <w:rFonts w:cs="Times New Roman"/>
          <w:lang w:val="fr-CA"/>
        </w:rPr>
        <w:t>ed</w:t>
      </w:r>
      <w:proofErr w:type="spellEnd"/>
      <w:r w:rsidRPr="002035EE">
        <w:rPr>
          <w:rFonts w:cs="Times New Roman"/>
          <w:lang w:val="fr-CA"/>
        </w:rPr>
        <w:t xml:space="preserve">. 2009), at para. 634; N. Vézina, “Du phénomène de pollution lumineuse appliqué à l’observation des astres jurisprudentiels: responsabilité objective, responsabilité subjective et l’arrêt </w:t>
      </w:r>
      <w:r w:rsidRPr="002035EE">
        <w:rPr>
          <w:rFonts w:cs="Times New Roman"/>
          <w:i/>
          <w:lang w:val="fr-CA"/>
        </w:rPr>
        <w:t>Ciment du Saint</w:t>
      </w:r>
      <w:r w:rsidRPr="002035EE">
        <w:rPr>
          <w:rFonts w:cs="Times New Roman"/>
          <w:i/>
          <w:lang w:val="fr-CA"/>
        </w:rPr>
        <w:noBreakHyphen/>
        <w:t>Laurent</w:t>
      </w:r>
      <w:r w:rsidRPr="002035EE">
        <w:rPr>
          <w:rFonts w:cs="Times New Roman"/>
          <w:lang w:val="fr-CA"/>
        </w:rPr>
        <w:t xml:space="preserve">”, in G. Bras Miranda and B. Moore, </w:t>
      </w:r>
      <w:proofErr w:type="spellStart"/>
      <w:r w:rsidRPr="002035EE">
        <w:rPr>
          <w:rFonts w:cs="Times New Roman"/>
          <w:lang w:val="fr-CA"/>
        </w:rPr>
        <w:t>eds</w:t>
      </w:r>
      <w:proofErr w:type="spellEnd"/>
      <w:r w:rsidRPr="002035EE">
        <w:rPr>
          <w:rFonts w:cs="Times New Roman"/>
          <w:lang w:val="fr-CA"/>
        </w:rPr>
        <w:t xml:space="preserve">., </w:t>
      </w:r>
      <w:r w:rsidRPr="002035EE">
        <w:rPr>
          <w:rFonts w:cs="Times New Roman"/>
          <w:i/>
          <w:lang w:val="fr-CA"/>
        </w:rPr>
        <w:t xml:space="preserve">Mélanges Adrian </w:t>
      </w:r>
      <w:proofErr w:type="spellStart"/>
      <w:r w:rsidRPr="002035EE">
        <w:rPr>
          <w:rFonts w:cs="Times New Roman"/>
          <w:i/>
          <w:lang w:val="fr-CA"/>
        </w:rPr>
        <w:t>Popovici</w:t>
      </w:r>
      <w:proofErr w:type="spellEnd"/>
      <w:r w:rsidRPr="002035EE">
        <w:rPr>
          <w:rFonts w:cs="Times New Roman"/>
          <w:i/>
          <w:lang w:val="fr-CA"/>
        </w:rPr>
        <w:t>: Les couleurs du droit</w:t>
      </w:r>
      <w:r w:rsidRPr="002035EE">
        <w:rPr>
          <w:rFonts w:cs="Times New Roman"/>
          <w:lang w:val="fr-CA"/>
        </w:rPr>
        <w:t xml:space="preserve"> (2010), 357, at pp. 369</w:t>
      </w:r>
      <w:r w:rsidRPr="002035EE">
        <w:rPr>
          <w:rFonts w:cs="Times New Roman"/>
          <w:lang w:val="fr-CA"/>
        </w:rPr>
        <w:noBreakHyphen/>
        <w:t xml:space="preserve">83; M. Lacroix, </w:t>
      </w:r>
      <w:r w:rsidRPr="002035EE">
        <w:rPr>
          <w:rFonts w:cs="Times New Roman"/>
          <w:i/>
          <w:lang w:val="fr-CA"/>
        </w:rPr>
        <w:t>L’illicéité: Essai théorique et comparatif en matière de responsabilité civile extracontractuelle pour le fait personnel</w:t>
      </w:r>
      <w:r w:rsidRPr="002035EE">
        <w:rPr>
          <w:rFonts w:cs="Times New Roman"/>
          <w:lang w:val="fr-CA"/>
        </w:rPr>
        <w:t xml:space="preserve"> (2013), at p. 160; M. Lacroix, “Le fait générateur de responsabilité civile extracontractuelle personnelle: </w:t>
      </w:r>
      <w:r w:rsidRPr="002035EE">
        <w:rPr>
          <w:rFonts w:cs="Times New Roman"/>
          <w:i/>
          <w:lang w:val="fr-CA"/>
        </w:rPr>
        <w:t>continuum</w:t>
      </w:r>
      <w:r w:rsidRPr="002035EE">
        <w:rPr>
          <w:rFonts w:cs="Times New Roman"/>
          <w:lang w:val="fr-CA"/>
        </w:rPr>
        <w:t xml:space="preserve"> de l’illicéité à la faute simple, au regard de l’article 1457 </w:t>
      </w:r>
      <w:proofErr w:type="spellStart"/>
      <w:r w:rsidRPr="002035EE">
        <w:rPr>
          <w:rFonts w:cs="Times New Roman"/>
          <w:lang w:val="fr-CA"/>
        </w:rPr>
        <w:t>C.c.Q</w:t>
      </w:r>
      <w:proofErr w:type="spellEnd"/>
      <w:r w:rsidRPr="002035EE">
        <w:rPr>
          <w:rFonts w:cs="Times New Roman"/>
          <w:lang w:val="fr-CA"/>
        </w:rPr>
        <w:t xml:space="preserve">.” </w:t>
      </w:r>
      <w:r w:rsidRPr="00BA3BD8">
        <w:rPr>
          <w:rFonts w:cs="Times New Roman"/>
          <w:lang w:val="fr-CA"/>
        </w:rPr>
        <w:t xml:space="preserve">(2012), 46 </w:t>
      </w:r>
      <w:r w:rsidRPr="00BA3BD8">
        <w:rPr>
          <w:rFonts w:cs="Times New Roman"/>
          <w:i/>
          <w:lang w:val="fr-CA"/>
        </w:rPr>
        <w:t>R.J.T.</w:t>
      </w:r>
      <w:r w:rsidRPr="00BA3BD8">
        <w:rPr>
          <w:rFonts w:cs="Times New Roman"/>
          <w:lang w:val="fr-CA"/>
        </w:rPr>
        <w:t xml:space="preserve"> 25, at pp. 37</w:t>
      </w:r>
      <w:r w:rsidRPr="00BA3BD8">
        <w:rPr>
          <w:rFonts w:cs="Times New Roman"/>
          <w:lang w:val="fr-CA"/>
        </w:rPr>
        <w:noBreakHyphen/>
        <w:t xml:space="preserve">38; </w:t>
      </w:r>
      <w:proofErr w:type="spellStart"/>
      <w:r w:rsidRPr="00BA3BD8">
        <w:rPr>
          <w:rFonts w:cs="Times New Roman"/>
          <w:lang w:val="fr-CA"/>
        </w:rPr>
        <w:t>Jobin</w:t>
      </w:r>
      <w:proofErr w:type="spellEnd"/>
      <w:r w:rsidRPr="00BA3BD8">
        <w:rPr>
          <w:rFonts w:cs="Times New Roman"/>
          <w:lang w:val="fr-CA"/>
        </w:rPr>
        <w:t>, at pp. 224</w:t>
      </w:r>
      <w:r w:rsidRPr="00BA3BD8">
        <w:rPr>
          <w:rFonts w:cs="Times New Roman"/>
          <w:lang w:val="fr-CA"/>
        </w:rPr>
        <w:noBreakHyphen/>
        <w:t>29).</w:t>
      </w:r>
    </w:p>
    <w:p w:rsidR="003011EC" w:rsidRPr="00283996" w:rsidRDefault="003011EC" w:rsidP="003011EC">
      <w:pPr>
        <w:pStyle w:val="ParaNoNdepar-AltN"/>
        <w:spacing w:before="0"/>
        <w:rPr>
          <w:rFonts w:cs="Times New Roman"/>
          <w:sz w:val="21"/>
          <w:szCs w:val="21"/>
          <w:lang w:val="en-US"/>
        </w:rPr>
      </w:pPr>
      <w:r w:rsidRPr="00283996">
        <w:rPr>
          <w:rFonts w:cs="Times New Roman"/>
          <w:lang w:val="en-US"/>
        </w:rPr>
        <w:t xml:space="preserve">In other words, while, as stated in art. 1457 para. 1 </w:t>
      </w:r>
      <w:r w:rsidRPr="00283996">
        <w:rPr>
          <w:rFonts w:cs="Times New Roman"/>
          <w:i/>
          <w:lang w:val="en-US"/>
        </w:rPr>
        <w:t>C.C.Q.</w:t>
      </w:r>
      <w:r w:rsidRPr="00283996">
        <w:rPr>
          <w:rFonts w:cs="Times New Roman"/>
          <w:lang w:val="en-US"/>
        </w:rPr>
        <w:t xml:space="preserve">, a reasonable person must of course comply with the rules of conduct imposed by law, these rules do not create obligations of result under the general rules of civil liability (with regard to this concept, see </w:t>
      </w:r>
      <w:proofErr w:type="spellStart"/>
      <w:r w:rsidRPr="00283996">
        <w:rPr>
          <w:rFonts w:cs="Times New Roman"/>
          <w:lang w:val="en-US"/>
        </w:rPr>
        <w:t>Crépeau</w:t>
      </w:r>
      <w:proofErr w:type="spellEnd"/>
      <w:r w:rsidRPr="00283996">
        <w:rPr>
          <w:rFonts w:cs="Times New Roman"/>
          <w:lang w:val="en-US"/>
        </w:rPr>
        <w:t>, at pp. 11</w:t>
      </w:r>
      <w:r w:rsidRPr="00283996">
        <w:rPr>
          <w:rFonts w:cs="Times New Roman"/>
          <w:lang w:val="en-US"/>
        </w:rPr>
        <w:noBreakHyphen/>
        <w:t xml:space="preserve">12). In </w:t>
      </w:r>
      <w:r w:rsidRPr="00283996">
        <w:rPr>
          <w:rFonts w:cs="Times New Roman"/>
          <w:i/>
          <w:lang w:val="en-US"/>
        </w:rPr>
        <w:t>St. Lawrence Cement</w:t>
      </w:r>
      <w:r w:rsidRPr="00283996">
        <w:rPr>
          <w:rFonts w:cs="Times New Roman"/>
          <w:lang w:val="en-US"/>
        </w:rPr>
        <w:t>, the Court rejected the proposition that the violation of statutory or regulatory rules constitutes an objective “civil fault” that requires a form of strict liability regardless of the prudence and diligence exercised by the person who caused the injury, having regard to the circumstances:</w:t>
      </w:r>
    </w:p>
    <w:p w:rsidR="003011EC" w:rsidRPr="00283996" w:rsidRDefault="003011EC" w:rsidP="003011EC">
      <w:pPr>
        <w:pStyle w:val="Citation-AltC"/>
        <w:spacing w:after="240"/>
        <w:ind w:hanging="446"/>
        <w:contextualSpacing w:val="0"/>
        <w:rPr>
          <w:lang w:val="en-US"/>
        </w:rPr>
      </w:pPr>
      <w:r w:rsidRPr="00283996">
        <w:rPr>
          <w:lang w:val="en-US"/>
        </w:rPr>
        <w:tab/>
        <w:t xml:space="preserve">The standard of civil fault corresponds to an obligation of means. Consequently, </w:t>
      </w:r>
      <w:r w:rsidRPr="00283996">
        <w:rPr>
          <w:u w:val="single"/>
          <w:lang w:val="en-US"/>
        </w:rPr>
        <w:t>what must be determined is whether there was negligence or carelessness having regard to the</w:t>
      </w:r>
      <w:r w:rsidRPr="00283996">
        <w:rPr>
          <w:lang w:val="en-US"/>
        </w:rPr>
        <w:t xml:space="preserve"> specific </w:t>
      </w:r>
      <w:r w:rsidRPr="00283996">
        <w:rPr>
          <w:u w:val="single"/>
          <w:lang w:val="en-US"/>
        </w:rPr>
        <w:t>circumstances</w:t>
      </w:r>
      <w:r w:rsidRPr="00283996">
        <w:rPr>
          <w:lang w:val="en-US"/>
        </w:rPr>
        <w:t xml:space="preserve"> of each disputed act or each instance of disputed conduct. </w:t>
      </w:r>
      <w:r w:rsidRPr="00283996">
        <w:rPr>
          <w:u w:val="single"/>
          <w:lang w:val="en-US"/>
        </w:rPr>
        <w:t>This rule applies to the assessment of the nature and consequences of a violation of a legislative standard.</w:t>
      </w:r>
      <w:r w:rsidRPr="00283996">
        <w:rPr>
          <w:lang w:val="en-US"/>
        </w:rPr>
        <w:t xml:space="preserve"> [Emphasis added; para. 34.]</w:t>
      </w:r>
    </w:p>
    <w:p w:rsidR="003011EC" w:rsidRPr="00283996" w:rsidRDefault="003011EC" w:rsidP="00E46C8C">
      <w:pPr>
        <w:pStyle w:val="Citation-AltC"/>
        <w:ind w:left="0"/>
        <w:contextualSpacing w:val="0"/>
        <w:rPr>
          <w:lang w:val="en-US"/>
        </w:rPr>
      </w:pPr>
      <w:r w:rsidRPr="00283996">
        <w:rPr>
          <w:lang w:val="en-US"/>
        </w:rPr>
        <w:lastRenderedPageBreak/>
        <w:t xml:space="preserve">(See, in this regard, </w:t>
      </w:r>
      <w:proofErr w:type="spellStart"/>
      <w:r w:rsidRPr="00283996">
        <w:rPr>
          <w:lang w:val="en-US"/>
        </w:rPr>
        <w:t>Baudouin</w:t>
      </w:r>
      <w:proofErr w:type="spellEnd"/>
      <w:r w:rsidRPr="00283996">
        <w:rPr>
          <w:lang w:val="en-US"/>
        </w:rPr>
        <w:t xml:space="preserve">, </w:t>
      </w:r>
      <w:proofErr w:type="spellStart"/>
      <w:r w:rsidRPr="00283996">
        <w:rPr>
          <w:lang w:val="en-US"/>
        </w:rPr>
        <w:t>Deslauriers</w:t>
      </w:r>
      <w:proofErr w:type="spellEnd"/>
      <w:r w:rsidRPr="00283996">
        <w:rPr>
          <w:lang w:val="en-US"/>
        </w:rPr>
        <w:t xml:space="preserve"> and Moore, vol. 1, at No. 1</w:t>
      </w:r>
      <w:r w:rsidRPr="00283996">
        <w:rPr>
          <w:lang w:val="en-US"/>
        </w:rPr>
        <w:noBreakHyphen/>
        <w:t>164.)</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Under Quebec civil law, it is not enough to show that a police officer’s conduct was unlawful. The obligation resting on the officer remains an obligation of means, even where compliance with the law is in issue. To obtain reparation, the plaintiff must first establish the existence of fault within the meaning of art. 1457 </w:t>
      </w:r>
      <w:r w:rsidRPr="00283996">
        <w:rPr>
          <w:rFonts w:cs="Times New Roman"/>
          <w:i/>
          <w:lang w:val="en-US"/>
        </w:rPr>
        <w:t>C.C.Q.</w:t>
      </w:r>
      <w:r w:rsidRPr="00283996">
        <w:rPr>
          <w:rFonts w:cs="Times New Roman"/>
          <w:lang w:val="en-US"/>
        </w:rPr>
        <w:t>, that is, a departure from the conduct of a reasonable police officer in the same circumstances. This is not to say that the general rules of civil liability are lax. As I will explain below, the standard of conduct expected of police officers is justifiably high: a police officer who acts unlawfully cannot easily escape civil liability by relying on his or her ignorance or misunderstanding of the law.</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In addition, the mere fact that there is a legal basis for a police officer’s actions does not necessarily exempt the officer from civil liability (see </w:t>
      </w:r>
      <w:r w:rsidRPr="00283996">
        <w:rPr>
          <w:rFonts w:cs="Times New Roman"/>
          <w:i/>
          <w:lang w:val="en-US"/>
        </w:rPr>
        <w:t>Infineon</w:t>
      </w:r>
      <w:r w:rsidRPr="00283996">
        <w:rPr>
          <w:rFonts w:cs="Times New Roman"/>
          <w:lang w:val="en-US"/>
        </w:rPr>
        <w:t xml:space="preserve">, at para. 96; </w:t>
      </w:r>
      <w:proofErr w:type="spellStart"/>
      <w:r w:rsidRPr="00283996">
        <w:rPr>
          <w:rFonts w:cs="Times New Roman"/>
          <w:lang w:val="en-US"/>
        </w:rPr>
        <w:t>Baudouin</w:t>
      </w:r>
      <w:proofErr w:type="spellEnd"/>
      <w:r w:rsidRPr="00283996">
        <w:rPr>
          <w:rFonts w:cs="Times New Roman"/>
          <w:lang w:val="en-US"/>
        </w:rPr>
        <w:t xml:space="preserve">, </w:t>
      </w:r>
      <w:proofErr w:type="spellStart"/>
      <w:r w:rsidRPr="00283996">
        <w:rPr>
          <w:rFonts w:cs="Times New Roman"/>
          <w:lang w:val="en-US"/>
        </w:rPr>
        <w:t>Deslauriers</w:t>
      </w:r>
      <w:proofErr w:type="spellEnd"/>
      <w:r w:rsidRPr="00283996">
        <w:rPr>
          <w:rFonts w:cs="Times New Roman"/>
          <w:lang w:val="en-US"/>
        </w:rPr>
        <w:t xml:space="preserve"> and Moore, vol. 1, at No. 1</w:t>
      </w:r>
      <w:r w:rsidRPr="00283996">
        <w:rPr>
          <w:rFonts w:cs="Times New Roman"/>
          <w:lang w:val="en-US"/>
        </w:rPr>
        <w:noBreakHyphen/>
        <w:t xml:space="preserve">192). In exercising their discretion, police officers must act reasonably and comply with the general obligation of prudence and diligence toward others that is incumbent on them in the circumstances, pursuant to art. 1457 </w:t>
      </w:r>
      <w:r w:rsidRPr="00283996">
        <w:rPr>
          <w:rFonts w:cs="Times New Roman"/>
          <w:i/>
          <w:lang w:val="en-US"/>
        </w:rPr>
        <w:t>C.C.Q.</w:t>
      </w:r>
      <w:r w:rsidRPr="00283996">
        <w:rPr>
          <w:rFonts w:cs="Times New Roman"/>
          <w:lang w:val="en-US"/>
        </w:rPr>
        <w:t xml:space="preserve"> (in the common law, see </w:t>
      </w:r>
      <w:r w:rsidRPr="00283996">
        <w:rPr>
          <w:rFonts w:cs="Times New Roman"/>
          <w:i/>
          <w:lang w:val="en-US"/>
        </w:rPr>
        <w:t>Hill</w:t>
      </w:r>
      <w:r w:rsidRPr="00283996">
        <w:rPr>
          <w:rFonts w:cs="Times New Roman"/>
          <w:lang w:val="en-US"/>
        </w:rPr>
        <w:t>, at para. 41).</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Before proceeding any further, I will clarify one point. This appeal concerns an action based on art. 1457 </w:t>
      </w:r>
      <w:r w:rsidRPr="00283996">
        <w:rPr>
          <w:rFonts w:cs="Times New Roman"/>
          <w:i/>
          <w:lang w:val="en-US"/>
        </w:rPr>
        <w:t>C.C.Q.</w:t>
      </w:r>
      <w:r w:rsidRPr="00283996">
        <w:rPr>
          <w:rFonts w:cs="Times New Roman"/>
          <w:lang w:val="en-US"/>
        </w:rPr>
        <w:t xml:space="preserve">, not on s. 49 para. 1 of the </w:t>
      </w:r>
      <w:r w:rsidRPr="00283996">
        <w:rPr>
          <w:rFonts w:cs="Times New Roman"/>
          <w:i/>
          <w:lang w:val="en-US"/>
        </w:rPr>
        <w:t>Charter of human rights and freedoms</w:t>
      </w:r>
      <w:r w:rsidRPr="00283996">
        <w:rPr>
          <w:rFonts w:cs="Times New Roman"/>
          <w:lang w:val="en-US"/>
        </w:rPr>
        <w:t>, CQLR, c. C</w:t>
      </w:r>
      <w:r w:rsidRPr="00283996">
        <w:rPr>
          <w:rFonts w:cs="Times New Roman"/>
          <w:lang w:val="en-US"/>
        </w:rPr>
        <w:noBreakHyphen/>
        <w:t xml:space="preserve">12 (“Quebec </w:t>
      </w:r>
      <w:r w:rsidRPr="00283996">
        <w:rPr>
          <w:rFonts w:cs="Times New Roman"/>
          <w:i/>
          <w:lang w:val="en-US"/>
        </w:rPr>
        <w:t>Charter</w:t>
      </w:r>
      <w:r w:rsidRPr="00283996">
        <w:rPr>
          <w:rFonts w:cs="Times New Roman"/>
          <w:lang w:val="en-US"/>
        </w:rPr>
        <w:t xml:space="preserve">”). As a result, I do not have to consider the concept of unlawful interference under s. 24 of the Quebec </w:t>
      </w:r>
      <w:r w:rsidRPr="00283996">
        <w:rPr>
          <w:rFonts w:cs="Times New Roman"/>
          <w:i/>
          <w:lang w:val="en-US"/>
        </w:rPr>
        <w:t>Charter</w:t>
      </w:r>
      <w:r w:rsidRPr="00283996">
        <w:rPr>
          <w:rFonts w:cs="Times New Roman"/>
          <w:lang w:val="en-US"/>
        </w:rPr>
        <w:t xml:space="preserve">, which states that “[n]o one may be deprived of his liberty or of his rights </w:t>
      </w:r>
      <w:r w:rsidRPr="00283996">
        <w:rPr>
          <w:rFonts w:cs="Times New Roman"/>
          <w:lang w:val="en-US"/>
        </w:rPr>
        <w:lastRenderedPageBreak/>
        <w:t>except on grounds provided by law and in accordance with prescribed procedure”. I prefer to leave consideration of the standard applicable to unlawful interference under s. 24 for another day, when the Court has the benefit of full submissions on the matter.</w:t>
      </w:r>
    </w:p>
    <w:p w:rsidR="003011EC" w:rsidRPr="00283996" w:rsidRDefault="003011EC" w:rsidP="003011EC">
      <w:pPr>
        <w:pStyle w:val="Title2LevelTitre2Niveau"/>
        <w:numPr>
          <w:ilvl w:val="1"/>
          <w:numId w:val="8"/>
        </w:numPr>
        <w:spacing w:before="0"/>
        <w:rPr>
          <w:rFonts w:cs="Times New Roman"/>
          <w:lang w:val="en-US"/>
        </w:rPr>
      </w:pPr>
      <w:bookmarkStart w:id="21" w:name="_Toc14257138"/>
      <w:bookmarkStart w:id="22" w:name="_Toc24710739"/>
      <w:r w:rsidRPr="00283996">
        <w:rPr>
          <w:rFonts w:cs="Times New Roman"/>
          <w:lang w:val="en-US"/>
        </w:rPr>
        <w:t>Liability of Constable Camacho and the City</w:t>
      </w:r>
      <w:bookmarkEnd w:id="21"/>
      <w:bookmarkEnd w:id="22"/>
    </w:p>
    <w:p w:rsidR="003011EC" w:rsidRPr="00283996" w:rsidRDefault="003011EC" w:rsidP="003011EC">
      <w:pPr>
        <w:pStyle w:val="ParaNoNdepar-AltN"/>
        <w:spacing w:before="0"/>
        <w:rPr>
          <w:rFonts w:cs="Times New Roman"/>
          <w:lang w:val="en-US"/>
        </w:rPr>
      </w:pPr>
      <w:r w:rsidRPr="00283996">
        <w:rPr>
          <w:rFonts w:cs="Times New Roman"/>
          <w:lang w:val="en-US"/>
        </w:rPr>
        <w:t>In my view, Constable Camacho committed a civil fault by ordering Ms. </w:t>
      </w:r>
      <w:proofErr w:type="spellStart"/>
      <w:r w:rsidRPr="00283996">
        <w:rPr>
          <w:rFonts w:cs="Times New Roman"/>
          <w:lang w:val="en-US"/>
        </w:rPr>
        <w:t>Kosoian</w:t>
      </w:r>
      <w:proofErr w:type="spellEnd"/>
      <w:r w:rsidRPr="00283996">
        <w:rPr>
          <w:rFonts w:cs="Times New Roman"/>
          <w:lang w:val="en-US"/>
        </w:rPr>
        <w:t xml:space="preserve"> to identify herself and by arresting her and conducting a search based on a non</w:t>
      </w:r>
      <w:r w:rsidRPr="00283996">
        <w:rPr>
          <w:rFonts w:cs="Times New Roman"/>
          <w:lang w:val="en-US"/>
        </w:rPr>
        <w:noBreakHyphen/>
        <w:t>existent offence, namely disobeying the pictogram indicating that the handrail should be held.</w:t>
      </w:r>
    </w:p>
    <w:p w:rsidR="003011EC" w:rsidRPr="00283996" w:rsidRDefault="003011EC" w:rsidP="003011EC">
      <w:pPr>
        <w:pStyle w:val="ParaNoNdepar-AltN"/>
        <w:spacing w:before="0"/>
        <w:rPr>
          <w:rFonts w:cs="Times New Roman"/>
          <w:lang w:val="en-US"/>
        </w:rPr>
      </w:pPr>
      <w:r w:rsidRPr="00283996">
        <w:rPr>
          <w:rFonts w:cs="Times New Roman"/>
          <w:lang w:val="en-US"/>
        </w:rPr>
        <w:t>Before examining the facts of this case more closely, I will deal with the following points: (1) police officers’ obligation, under the general rules of civil liability, to have an adequate knowledge and understanding of the law; and (2) the scope of the presumption of validity in this context.</w:t>
      </w:r>
    </w:p>
    <w:p w:rsidR="003011EC" w:rsidRPr="00283996" w:rsidRDefault="003011EC" w:rsidP="003011EC">
      <w:pPr>
        <w:pStyle w:val="Title3LevelTitre3Niveau"/>
        <w:numPr>
          <w:ilvl w:val="2"/>
          <w:numId w:val="8"/>
        </w:numPr>
        <w:spacing w:before="0"/>
        <w:ind w:left="1166"/>
        <w:rPr>
          <w:rFonts w:cs="Times New Roman"/>
          <w:lang w:val="en-US"/>
        </w:rPr>
      </w:pPr>
      <w:bookmarkStart w:id="23" w:name="_Toc14257139"/>
      <w:bookmarkStart w:id="24" w:name="_Toc24710740"/>
      <w:r w:rsidRPr="00283996">
        <w:rPr>
          <w:rFonts w:cs="Times New Roman"/>
          <w:lang w:val="en-US"/>
        </w:rPr>
        <w:t>Obligation of Police Officers to Know and Understand the Law</w:t>
      </w:r>
      <w:bookmarkEnd w:id="23"/>
      <w:bookmarkEnd w:id="24"/>
    </w:p>
    <w:p w:rsidR="003011EC" w:rsidRPr="00283996" w:rsidRDefault="003011EC" w:rsidP="003011EC">
      <w:pPr>
        <w:pStyle w:val="ParaNoNdepar-AltN"/>
        <w:spacing w:before="0"/>
        <w:rPr>
          <w:rFonts w:cs="Times New Roman"/>
          <w:lang w:val="en-US"/>
        </w:rPr>
      </w:pPr>
      <w:r w:rsidRPr="00283996">
        <w:rPr>
          <w:rStyle w:val="Italic"/>
          <w:rFonts w:cs="Times New Roman"/>
          <w:i w:val="0"/>
          <w:lang w:val="en-US"/>
        </w:rPr>
        <w:t xml:space="preserve">Police officers are obliged to have an adequate knowledge and understanding of </w:t>
      </w:r>
      <w:r w:rsidRPr="00283996">
        <w:rPr>
          <w:rFonts w:cs="Times New Roman"/>
          <w:lang w:val="en-US"/>
        </w:rPr>
        <w:t xml:space="preserve">criminal and penal law, of the offences they are called upon to prevent and repress and of the rights and freedoms protected by the Charters. They also have an obligation to know the scope of their powers and the manner in which these powers are to be exercised. A police officer whose application of the law departs from that of a reasonable police officer in the same circumstances commits a civil fault. In this </w:t>
      </w:r>
      <w:r w:rsidRPr="00283996">
        <w:rPr>
          <w:rFonts w:cs="Times New Roman"/>
          <w:lang w:val="en-US"/>
        </w:rPr>
        <w:lastRenderedPageBreak/>
        <w:t>respect, an officer who arrests someone on the basis of a non</w:t>
      </w:r>
      <w:r w:rsidRPr="00283996">
        <w:rPr>
          <w:rFonts w:cs="Times New Roman"/>
          <w:lang w:val="en-US"/>
        </w:rPr>
        <w:noBreakHyphen/>
        <w:t>existent offence may be civilly liable.</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In </w:t>
      </w:r>
      <w:proofErr w:type="spellStart"/>
      <w:r w:rsidRPr="00283996">
        <w:rPr>
          <w:rFonts w:cs="Times New Roman"/>
          <w:i/>
          <w:lang w:val="en-US"/>
        </w:rPr>
        <w:t>Chartier</w:t>
      </w:r>
      <w:proofErr w:type="spellEnd"/>
      <w:r w:rsidRPr="00283996">
        <w:rPr>
          <w:rFonts w:cs="Times New Roman"/>
          <w:lang w:val="en-US"/>
        </w:rPr>
        <w:t>, Pratte J., dissenting, but not on this point, stated the following in this regard: “</w:t>
      </w:r>
      <w:r w:rsidR="0062208F">
        <w:rPr>
          <w:rFonts w:cs="Times New Roman"/>
          <w:u w:val="single"/>
          <w:lang w:val="en-US"/>
        </w:rPr>
        <w:t>T</w:t>
      </w:r>
      <w:r w:rsidRPr="00283996">
        <w:rPr>
          <w:rFonts w:cs="Times New Roman"/>
          <w:u w:val="single"/>
          <w:lang w:val="en-US"/>
        </w:rPr>
        <w:t>he authority of a police officer is not of course unlimited; he must know its limits</w:t>
      </w:r>
      <w:r w:rsidRPr="00283996">
        <w:rPr>
          <w:rFonts w:cs="Times New Roman"/>
          <w:lang w:val="en-US"/>
        </w:rPr>
        <w:t xml:space="preserve">, and if he disregards or ignores them, he commits a fault: ignorance of what a person is supposed to know is not an </w:t>
      </w:r>
      <w:proofErr w:type="gramStart"/>
      <w:r w:rsidRPr="00283996">
        <w:rPr>
          <w:rFonts w:cs="Times New Roman"/>
          <w:lang w:val="en-US"/>
        </w:rPr>
        <w:t>excuse .</w:t>
      </w:r>
      <w:proofErr w:type="gramEnd"/>
      <w:r w:rsidRPr="00283996">
        <w:rPr>
          <w:rFonts w:cs="Times New Roman"/>
          <w:lang w:val="en-US"/>
        </w:rPr>
        <w:t xml:space="preserve"> . .” (p. 513 (emphasis added); see also the majority reasons, at p. 498). This Court also discussed this duty in </w:t>
      </w:r>
      <w:r w:rsidRPr="00283996">
        <w:rPr>
          <w:rFonts w:cs="Times New Roman"/>
          <w:i/>
          <w:lang w:val="en-US"/>
        </w:rPr>
        <w:t>R.</w:t>
      </w:r>
      <w:r w:rsidR="0088481B" w:rsidRPr="00283996">
        <w:rPr>
          <w:rFonts w:cs="Times New Roman"/>
          <w:i/>
          <w:lang w:val="en-US"/>
        </w:rPr>
        <w:t xml:space="preserve"> </w:t>
      </w:r>
      <w:r w:rsidRPr="00283996">
        <w:rPr>
          <w:rFonts w:cs="Times New Roman"/>
          <w:i/>
          <w:lang w:val="en-US"/>
        </w:rPr>
        <w:t>v. Grant</w:t>
      </w:r>
      <w:r w:rsidRPr="00283996">
        <w:rPr>
          <w:rFonts w:cs="Times New Roman"/>
          <w:lang w:val="en-US"/>
        </w:rPr>
        <w:t>, 2009 SCC 32, [2009] 2 S.C.R. 353: “</w:t>
      </w:r>
      <w:r w:rsidR="0062208F">
        <w:rPr>
          <w:rFonts w:cs="Times New Roman"/>
          <w:lang w:val="en-US"/>
        </w:rPr>
        <w:t>W</w:t>
      </w:r>
      <w:r w:rsidRPr="00283996">
        <w:rPr>
          <w:rFonts w:cs="Times New Roman"/>
          <w:lang w:val="en-US"/>
        </w:rPr>
        <w:t xml:space="preserve">hile police are not expected to engage in judicial reflection on conflicting precedents, they are rightly expected to </w:t>
      </w:r>
      <w:r w:rsidRPr="00283996">
        <w:rPr>
          <w:rFonts w:cs="Times New Roman"/>
          <w:u w:val="single"/>
          <w:lang w:val="en-US"/>
        </w:rPr>
        <w:t>know what the law is</w:t>
      </w:r>
      <w:r w:rsidRPr="00283996">
        <w:rPr>
          <w:rFonts w:cs="Times New Roman"/>
          <w:lang w:val="en-US"/>
        </w:rPr>
        <w:t xml:space="preserve">” (para. 133 (emphasis added); see also </w:t>
      </w:r>
      <w:r w:rsidRPr="00283996">
        <w:rPr>
          <w:rFonts w:cs="Times New Roman"/>
          <w:i/>
          <w:lang w:val="en-US"/>
        </w:rPr>
        <w:t>R. v. Le</w:t>
      </w:r>
      <w:r w:rsidRPr="00283996">
        <w:rPr>
          <w:rFonts w:cs="Times New Roman"/>
          <w:lang w:val="en-US"/>
        </w:rPr>
        <w:t>, 2019 SCC 34</w:t>
      </w:r>
      <w:r w:rsidR="006A535A">
        <w:rPr>
          <w:rFonts w:cs="Times New Roman"/>
          <w:lang w:val="en-US"/>
        </w:rPr>
        <w:t>, [2019] 2</w:t>
      </w:r>
      <w:r w:rsidR="0090629D" w:rsidRPr="00283996">
        <w:rPr>
          <w:rFonts w:cs="Times New Roman"/>
          <w:lang w:val="en-US"/>
        </w:rPr>
        <w:t xml:space="preserve"> S.C.R. </w:t>
      </w:r>
      <w:r w:rsidR="006A535A">
        <w:rPr>
          <w:color w:val="000000"/>
        </w:rPr>
        <w:t>692</w:t>
      </w:r>
      <w:r w:rsidRPr="00283996">
        <w:rPr>
          <w:rFonts w:cs="Times New Roman"/>
          <w:lang w:val="en-US"/>
        </w:rPr>
        <w:t xml:space="preserve">, at para. 149). The Court also emphasized this point in </w:t>
      </w:r>
      <w:r w:rsidR="0088481B" w:rsidRPr="00283996">
        <w:rPr>
          <w:rFonts w:cs="Times New Roman"/>
          <w:i/>
          <w:lang w:val="en-US"/>
        </w:rPr>
        <w:t xml:space="preserve">R. </w:t>
      </w:r>
      <w:r w:rsidRPr="00283996">
        <w:rPr>
          <w:rFonts w:cs="Times New Roman"/>
          <w:i/>
          <w:lang w:val="en-US"/>
        </w:rPr>
        <w:t xml:space="preserve">v. </w:t>
      </w:r>
      <w:proofErr w:type="spellStart"/>
      <w:r w:rsidRPr="00283996">
        <w:rPr>
          <w:rFonts w:cs="Times New Roman"/>
          <w:i/>
          <w:lang w:val="en-US"/>
        </w:rPr>
        <w:t>Genest</w:t>
      </w:r>
      <w:proofErr w:type="spellEnd"/>
      <w:r w:rsidRPr="00283996">
        <w:rPr>
          <w:rFonts w:cs="Times New Roman"/>
          <w:lang w:val="en-US"/>
        </w:rPr>
        <w:t>, [1989] 1 S.C.R. 59, at p. 87: “</w:t>
      </w:r>
      <w:r w:rsidR="0037375A">
        <w:rPr>
          <w:rFonts w:cs="Times New Roman"/>
          <w:lang w:val="en-US"/>
        </w:rPr>
        <w:t>W</w:t>
      </w:r>
      <w:r w:rsidRPr="00283996">
        <w:rPr>
          <w:rFonts w:cs="Times New Roman"/>
          <w:lang w:val="en-US"/>
        </w:rPr>
        <w:t>hile it is not to be expected that police officers be versed in the</w:t>
      </w:r>
      <w:r w:rsidRPr="00283996">
        <w:rPr>
          <w:rFonts w:cs="Times New Roman"/>
          <w:i/>
          <w:iCs/>
          <w:lang w:val="en-US"/>
        </w:rPr>
        <w:t xml:space="preserve"> minutiae</w:t>
      </w:r>
      <w:r w:rsidRPr="00283996">
        <w:rPr>
          <w:rFonts w:cs="Times New Roman"/>
          <w:lang w:val="en-US"/>
        </w:rPr>
        <w:t xml:space="preserve"> of the law concerning search warrants, they should be aware of those requirements that the courts have held to be essential for the validity of a warrant”</w:t>
      </w:r>
      <w:r w:rsidRPr="00283996">
        <w:rPr>
          <w:rFonts w:cs="Times New Roman"/>
          <w:spacing w:val="-3"/>
          <w:lang w:val="en-US"/>
        </w:rPr>
        <w:t xml:space="preserve"> (see also </w:t>
      </w:r>
      <w:r w:rsidRPr="00283996">
        <w:rPr>
          <w:rFonts w:cs="Times New Roman"/>
          <w:i/>
          <w:lang w:val="en-US"/>
        </w:rPr>
        <w:t>R.</w:t>
      </w:r>
      <w:r w:rsidR="002D118E" w:rsidRPr="00283996">
        <w:rPr>
          <w:rFonts w:cs="Times New Roman"/>
          <w:i/>
          <w:lang w:val="en-US"/>
        </w:rPr>
        <w:t xml:space="preserve"> </w:t>
      </w:r>
      <w:r w:rsidRPr="00283996">
        <w:rPr>
          <w:rFonts w:cs="Times New Roman"/>
          <w:i/>
          <w:lang w:val="en-US"/>
        </w:rPr>
        <w:t xml:space="preserve">v. </w:t>
      </w:r>
      <w:proofErr w:type="spellStart"/>
      <w:r w:rsidRPr="00283996">
        <w:rPr>
          <w:rFonts w:cs="Times New Roman"/>
          <w:i/>
          <w:lang w:val="en-US"/>
        </w:rPr>
        <w:t>Kokesch</w:t>
      </w:r>
      <w:proofErr w:type="spellEnd"/>
      <w:r w:rsidRPr="00283996">
        <w:rPr>
          <w:rFonts w:cs="Times New Roman"/>
          <w:lang w:val="en-US"/>
        </w:rPr>
        <w:t>, [1990] 3 S.C.R. 3,</w:t>
      </w:r>
      <w:r w:rsidRPr="00283996">
        <w:rPr>
          <w:rFonts w:cs="Times New Roman"/>
          <w:i/>
          <w:lang w:val="en-US"/>
        </w:rPr>
        <w:t xml:space="preserve"> </w:t>
      </w:r>
      <w:r w:rsidRPr="00283996">
        <w:rPr>
          <w:rFonts w:cs="Times New Roman"/>
          <w:lang w:val="en-US"/>
        </w:rPr>
        <w:t>at pp. 32</w:t>
      </w:r>
      <w:r w:rsidRPr="00283996">
        <w:rPr>
          <w:rFonts w:cs="Times New Roman"/>
          <w:lang w:val="en-US"/>
        </w:rPr>
        <w:noBreakHyphen/>
        <w:t xml:space="preserve">33; </w:t>
      </w:r>
      <w:proofErr w:type="spellStart"/>
      <w:r w:rsidR="002D118E" w:rsidRPr="00283996">
        <w:rPr>
          <w:rFonts w:cs="Times New Roman"/>
          <w:i/>
          <w:lang w:val="en-US"/>
        </w:rPr>
        <w:t>Gounis</w:t>
      </w:r>
      <w:proofErr w:type="spellEnd"/>
      <w:r w:rsidR="002D118E" w:rsidRPr="00283996">
        <w:rPr>
          <w:rFonts w:cs="Times New Roman"/>
          <w:i/>
          <w:lang w:val="en-US"/>
        </w:rPr>
        <w:t xml:space="preserve"> </w:t>
      </w:r>
      <w:r w:rsidRPr="00283996">
        <w:rPr>
          <w:rFonts w:cs="Times New Roman"/>
          <w:i/>
          <w:lang w:val="en-US"/>
        </w:rPr>
        <w:t>v. Ville de Laval</w:t>
      </w:r>
      <w:r w:rsidRPr="00283996">
        <w:rPr>
          <w:rFonts w:cs="Times New Roman"/>
          <w:lang w:val="en-US"/>
        </w:rPr>
        <w:t>, 2019 QCCS 479, at para. 112 (</w:t>
      </w:r>
      <w:proofErr w:type="spellStart"/>
      <w:r w:rsidRPr="00283996">
        <w:rPr>
          <w:rFonts w:cs="Times New Roman"/>
          <w:lang w:val="en-US"/>
        </w:rPr>
        <w:t>CanLII</w:t>
      </w:r>
      <w:proofErr w:type="spellEnd"/>
      <w:r w:rsidRPr="00283996">
        <w:rPr>
          <w:rFonts w:cs="Times New Roman"/>
          <w:lang w:val="en-US"/>
        </w:rPr>
        <w:t xml:space="preserve">); </w:t>
      </w:r>
      <w:r w:rsidR="002D118E" w:rsidRPr="00283996">
        <w:rPr>
          <w:rFonts w:cs="Times New Roman"/>
          <w:i/>
          <w:lang w:val="en-US"/>
        </w:rPr>
        <w:t xml:space="preserve">Simard </w:t>
      </w:r>
      <w:r w:rsidRPr="00283996">
        <w:rPr>
          <w:rFonts w:cs="Times New Roman"/>
          <w:i/>
          <w:lang w:val="en-US"/>
        </w:rPr>
        <w:t xml:space="preserve">v. </w:t>
      </w:r>
      <w:proofErr w:type="spellStart"/>
      <w:r w:rsidRPr="00283996">
        <w:rPr>
          <w:rFonts w:cs="Times New Roman"/>
          <w:i/>
          <w:lang w:val="en-US"/>
        </w:rPr>
        <w:t>Amyot</w:t>
      </w:r>
      <w:proofErr w:type="spellEnd"/>
      <w:r w:rsidRPr="00283996">
        <w:rPr>
          <w:rFonts w:cs="Times New Roman"/>
          <w:lang w:val="en-US"/>
        </w:rPr>
        <w:t>, 2009 QCCS 5509, at para. 41 (</w:t>
      </w:r>
      <w:proofErr w:type="spellStart"/>
      <w:r w:rsidRPr="00283996">
        <w:rPr>
          <w:rFonts w:cs="Times New Roman"/>
          <w:lang w:val="en-US"/>
        </w:rPr>
        <w:t>CanLII</w:t>
      </w:r>
      <w:proofErr w:type="spellEnd"/>
      <w:r w:rsidRPr="00283996">
        <w:rPr>
          <w:rFonts w:cs="Times New Roman"/>
          <w:lang w:val="en-US"/>
        </w:rPr>
        <w:t>))</w:t>
      </w:r>
      <w:r w:rsidRPr="00283996">
        <w:rPr>
          <w:rFonts w:cs="Times New Roman"/>
          <w:spacing w:val="-3"/>
          <w:lang w:val="en-US"/>
        </w:rPr>
        <w:t>.</w:t>
      </w:r>
    </w:p>
    <w:p w:rsidR="003011EC" w:rsidRPr="00283996" w:rsidRDefault="003011EC" w:rsidP="003011EC">
      <w:pPr>
        <w:pStyle w:val="ParaNoNdepar-AltN"/>
        <w:spacing w:before="0"/>
        <w:rPr>
          <w:rFonts w:cs="Times New Roman"/>
          <w:lang w:val="en-US"/>
        </w:rPr>
      </w:pPr>
      <w:r w:rsidRPr="00283996">
        <w:rPr>
          <w:rFonts w:cs="Times New Roman"/>
          <w:lang w:val="en-US"/>
        </w:rPr>
        <w:t>Under Quebec civil law, the obligation of police officers to have an adequate knowledge and understanding of the statutes, regulations and by</w:t>
      </w:r>
      <w:r w:rsidRPr="00283996">
        <w:rPr>
          <w:rFonts w:cs="Times New Roman"/>
          <w:lang w:val="en-US"/>
        </w:rPr>
        <w:noBreakHyphen/>
        <w:t xml:space="preserve">laws they are called upon to enforce is also reflected in several provisions of the </w:t>
      </w:r>
      <w:r w:rsidRPr="00283996">
        <w:rPr>
          <w:rFonts w:cs="Times New Roman"/>
          <w:bCs/>
          <w:i/>
          <w:lang w:val="en-US"/>
        </w:rPr>
        <w:t>Code of ethics of Québec police officers</w:t>
      </w:r>
      <w:r w:rsidRPr="00283996">
        <w:rPr>
          <w:rFonts w:cs="Times New Roman"/>
          <w:lang w:val="en-US"/>
        </w:rPr>
        <w:t>, CQLR, c. P</w:t>
      </w:r>
      <w:r w:rsidRPr="00283996">
        <w:rPr>
          <w:rFonts w:cs="Times New Roman"/>
          <w:lang w:val="en-US"/>
        </w:rPr>
        <w:noBreakHyphen/>
        <w:t xml:space="preserve">13.1, r. 1, which set out the standard of conduct expected of a reasonable police officer in the context of civil liability (see </w:t>
      </w:r>
      <w:proofErr w:type="spellStart"/>
      <w:r w:rsidRPr="00283996">
        <w:rPr>
          <w:rFonts w:cs="Times New Roman"/>
          <w:lang w:val="en-US"/>
        </w:rPr>
        <w:t>Baudouin</w:t>
      </w:r>
      <w:proofErr w:type="spellEnd"/>
      <w:r w:rsidRPr="00283996">
        <w:rPr>
          <w:rFonts w:cs="Times New Roman"/>
          <w:lang w:val="en-US"/>
        </w:rPr>
        <w:t xml:space="preserve">, </w:t>
      </w:r>
      <w:proofErr w:type="spellStart"/>
      <w:r w:rsidRPr="00283996">
        <w:rPr>
          <w:rFonts w:cs="Times New Roman"/>
          <w:lang w:val="en-US"/>
        </w:rPr>
        <w:lastRenderedPageBreak/>
        <w:t>Deslauriers</w:t>
      </w:r>
      <w:proofErr w:type="spellEnd"/>
      <w:r w:rsidRPr="00283996">
        <w:rPr>
          <w:rFonts w:cs="Times New Roman"/>
          <w:lang w:val="en-US"/>
        </w:rPr>
        <w:t xml:space="preserve"> and Moore, </w:t>
      </w:r>
      <w:r w:rsidRPr="00283996">
        <w:rPr>
          <w:rFonts w:cs="Times New Roman"/>
          <w:iCs/>
          <w:szCs w:val="24"/>
          <w:lang w:val="en-US"/>
        </w:rPr>
        <w:t>vol. 2</w:t>
      </w:r>
      <w:r w:rsidRPr="00283996">
        <w:rPr>
          <w:rFonts w:cs="Times New Roman"/>
          <w:szCs w:val="24"/>
          <w:lang w:val="en-US"/>
        </w:rPr>
        <w:t>, at Nos. 2</w:t>
      </w:r>
      <w:r w:rsidRPr="00283996">
        <w:rPr>
          <w:rFonts w:cs="Times New Roman"/>
          <w:szCs w:val="24"/>
          <w:lang w:val="en-US"/>
        </w:rPr>
        <w:noBreakHyphen/>
        <w:t xml:space="preserve">1 </w:t>
      </w:r>
      <w:r w:rsidR="00CF5765">
        <w:rPr>
          <w:rFonts w:cs="Times New Roman"/>
          <w:szCs w:val="24"/>
          <w:lang w:val="en-US"/>
        </w:rPr>
        <w:t>to</w:t>
      </w:r>
      <w:r w:rsidRPr="00283996">
        <w:rPr>
          <w:rFonts w:cs="Times New Roman"/>
          <w:szCs w:val="24"/>
          <w:lang w:val="en-US"/>
        </w:rPr>
        <w:t xml:space="preserve"> 2</w:t>
      </w:r>
      <w:r w:rsidRPr="00283996">
        <w:rPr>
          <w:rFonts w:cs="Times New Roman"/>
          <w:szCs w:val="24"/>
          <w:lang w:val="en-US"/>
        </w:rPr>
        <w:noBreakHyphen/>
        <w:t>2; O. </w:t>
      </w:r>
      <w:proofErr w:type="spellStart"/>
      <w:r w:rsidRPr="00283996">
        <w:rPr>
          <w:rFonts w:cs="Times New Roman"/>
          <w:szCs w:val="24"/>
          <w:lang w:val="en-US"/>
        </w:rPr>
        <w:t>Jobin</w:t>
      </w:r>
      <w:r w:rsidRPr="00283996">
        <w:rPr>
          <w:rFonts w:cs="Times New Roman"/>
          <w:szCs w:val="24"/>
          <w:lang w:val="en-US"/>
        </w:rPr>
        <w:noBreakHyphen/>
        <w:t>Laberge</w:t>
      </w:r>
      <w:proofErr w:type="spellEnd"/>
      <w:r w:rsidRPr="00283996">
        <w:rPr>
          <w:rFonts w:cs="Times New Roman"/>
          <w:szCs w:val="24"/>
          <w:lang w:val="en-US"/>
        </w:rPr>
        <w:t>, “</w:t>
      </w:r>
      <w:proofErr w:type="spellStart"/>
      <w:r w:rsidRPr="00283996">
        <w:rPr>
          <w:rFonts w:cs="Times New Roman"/>
          <w:szCs w:val="24"/>
          <w:lang w:val="en-US"/>
        </w:rPr>
        <w:t>Norme</w:t>
      </w:r>
      <w:proofErr w:type="spellEnd"/>
      <w:r w:rsidRPr="00283996">
        <w:rPr>
          <w:rFonts w:cs="Times New Roman"/>
          <w:szCs w:val="24"/>
          <w:lang w:val="en-US"/>
        </w:rPr>
        <w:t xml:space="preserve">, infraction et </w:t>
      </w:r>
      <w:proofErr w:type="spellStart"/>
      <w:r w:rsidRPr="00283996">
        <w:rPr>
          <w:rFonts w:cs="Times New Roman"/>
          <w:szCs w:val="24"/>
          <w:lang w:val="en-US"/>
        </w:rPr>
        <w:t>faute</w:t>
      </w:r>
      <w:proofErr w:type="spellEnd"/>
      <w:r w:rsidRPr="00283996">
        <w:rPr>
          <w:rFonts w:cs="Times New Roman"/>
          <w:szCs w:val="24"/>
          <w:lang w:val="en-US"/>
        </w:rPr>
        <w:t xml:space="preserve"> </w:t>
      </w:r>
      <w:proofErr w:type="spellStart"/>
      <w:r w:rsidRPr="00283996">
        <w:rPr>
          <w:rFonts w:cs="Times New Roman"/>
          <w:szCs w:val="24"/>
          <w:lang w:val="en-US"/>
        </w:rPr>
        <w:t>civile</w:t>
      </w:r>
      <w:proofErr w:type="spellEnd"/>
      <w:r w:rsidRPr="00283996">
        <w:rPr>
          <w:rFonts w:cs="Times New Roman"/>
          <w:szCs w:val="24"/>
          <w:lang w:val="en-US"/>
        </w:rPr>
        <w:t xml:space="preserve">”, in Service de la formation </w:t>
      </w:r>
      <w:proofErr w:type="spellStart"/>
      <w:r w:rsidRPr="00283996">
        <w:rPr>
          <w:rFonts w:cs="Times New Roman"/>
          <w:szCs w:val="24"/>
          <w:lang w:val="en-US"/>
        </w:rPr>
        <w:t>permanente</w:t>
      </w:r>
      <w:proofErr w:type="spellEnd"/>
      <w:r w:rsidRPr="00283996">
        <w:rPr>
          <w:rFonts w:cs="Times New Roman"/>
          <w:szCs w:val="24"/>
          <w:lang w:val="en-US"/>
        </w:rPr>
        <w:t xml:space="preserve"> — </w:t>
      </w:r>
      <w:proofErr w:type="spellStart"/>
      <w:r w:rsidRPr="00283996">
        <w:rPr>
          <w:rFonts w:cs="Times New Roman"/>
          <w:szCs w:val="24"/>
          <w:lang w:val="en-US"/>
        </w:rPr>
        <w:t>Barreau</w:t>
      </w:r>
      <w:proofErr w:type="spellEnd"/>
      <w:r w:rsidRPr="00283996">
        <w:rPr>
          <w:rFonts w:cs="Times New Roman"/>
          <w:szCs w:val="24"/>
          <w:lang w:val="en-US"/>
        </w:rPr>
        <w:t xml:space="preserve"> du Québec, vol. 137, </w:t>
      </w:r>
      <w:proofErr w:type="spellStart"/>
      <w:r w:rsidRPr="00283996">
        <w:rPr>
          <w:rFonts w:cs="Times New Roman"/>
          <w:i/>
          <w:szCs w:val="24"/>
          <w:lang w:val="en-US"/>
        </w:rPr>
        <w:t>Développements</w:t>
      </w:r>
      <w:proofErr w:type="spellEnd"/>
      <w:r w:rsidRPr="00283996">
        <w:rPr>
          <w:rFonts w:cs="Times New Roman"/>
          <w:i/>
          <w:szCs w:val="24"/>
          <w:lang w:val="en-US"/>
        </w:rPr>
        <w:t xml:space="preserve"> </w:t>
      </w:r>
      <w:proofErr w:type="spellStart"/>
      <w:r w:rsidRPr="00283996">
        <w:rPr>
          <w:rFonts w:cs="Times New Roman"/>
          <w:i/>
          <w:szCs w:val="24"/>
          <w:lang w:val="en-US"/>
        </w:rPr>
        <w:t>récents</w:t>
      </w:r>
      <w:proofErr w:type="spellEnd"/>
      <w:r w:rsidRPr="00283996">
        <w:rPr>
          <w:rFonts w:cs="Times New Roman"/>
          <w:i/>
          <w:szCs w:val="24"/>
          <w:lang w:val="en-US"/>
        </w:rPr>
        <w:t xml:space="preserve"> </w:t>
      </w:r>
      <w:proofErr w:type="spellStart"/>
      <w:r w:rsidRPr="00283996">
        <w:rPr>
          <w:rFonts w:cs="Times New Roman"/>
          <w:i/>
          <w:szCs w:val="24"/>
          <w:lang w:val="en-US"/>
        </w:rPr>
        <w:t>en</w:t>
      </w:r>
      <w:proofErr w:type="spellEnd"/>
      <w:r w:rsidRPr="00283996">
        <w:rPr>
          <w:rFonts w:cs="Times New Roman"/>
          <w:i/>
          <w:szCs w:val="24"/>
          <w:lang w:val="en-US"/>
        </w:rPr>
        <w:t xml:space="preserve"> </w:t>
      </w:r>
      <w:proofErr w:type="spellStart"/>
      <w:r w:rsidRPr="00283996">
        <w:rPr>
          <w:rFonts w:cs="Times New Roman"/>
          <w:i/>
          <w:szCs w:val="24"/>
          <w:lang w:val="en-US"/>
        </w:rPr>
        <w:t>déontologie</w:t>
      </w:r>
      <w:proofErr w:type="spellEnd"/>
      <w:r w:rsidRPr="00283996">
        <w:rPr>
          <w:rFonts w:cs="Times New Roman"/>
          <w:i/>
          <w:szCs w:val="24"/>
          <w:lang w:val="en-US"/>
        </w:rPr>
        <w:t xml:space="preserve">, droit </w:t>
      </w:r>
      <w:proofErr w:type="spellStart"/>
      <w:r w:rsidRPr="00283996">
        <w:rPr>
          <w:rFonts w:cs="Times New Roman"/>
          <w:i/>
          <w:szCs w:val="24"/>
          <w:lang w:val="en-US"/>
        </w:rPr>
        <w:t>professionnel</w:t>
      </w:r>
      <w:proofErr w:type="spellEnd"/>
      <w:r w:rsidRPr="00283996">
        <w:rPr>
          <w:rFonts w:cs="Times New Roman"/>
          <w:i/>
          <w:szCs w:val="24"/>
          <w:lang w:val="en-US"/>
        </w:rPr>
        <w:t xml:space="preserve"> et </w:t>
      </w:r>
      <w:proofErr w:type="spellStart"/>
      <w:r w:rsidRPr="00283996">
        <w:rPr>
          <w:rFonts w:cs="Times New Roman"/>
          <w:i/>
          <w:szCs w:val="24"/>
          <w:lang w:val="en-US"/>
        </w:rPr>
        <w:t>disciplinaire</w:t>
      </w:r>
      <w:proofErr w:type="spellEnd"/>
      <w:r w:rsidRPr="00283996">
        <w:rPr>
          <w:rFonts w:cs="Times New Roman"/>
          <w:szCs w:val="24"/>
          <w:lang w:val="en-US"/>
        </w:rPr>
        <w:t xml:space="preserve"> (2000), 31, at p. 33)</w:t>
      </w:r>
      <w:r w:rsidRPr="00283996">
        <w:rPr>
          <w:rFonts w:cs="Times New Roman"/>
          <w:lang w:val="en-US"/>
        </w:rPr>
        <w:t>. Police officers are subject to stringent requirements in this regard, particularly when it comes to respect for rights and freedoms:</w:t>
      </w:r>
    </w:p>
    <w:p w:rsidR="003011EC" w:rsidRPr="00283996" w:rsidRDefault="003011EC" w:rsidP="003011EC">
      <w:pPr>
        <w:pStyle w:val="Citation-AltC"/>
        <w:spacing w:after="240"/>
        <w:ind w:hanging="446"/>
        <w:contextualSpacing w:val="0"/>
        <w:rPr>
          <w:lang w:val="en-US"/>
        </w:rPr>
      </w:pPr>
      <w:r w:rsidRPr="00283996">
        <w:rPr>
          <w:b/>
          <w:lang w:val="en-US"/>
        </w:rPr>
        <w:tab/>
        <w:t>2.</w:t>
      </w:r>
      <w:r w:rsidRPr="00283996">
        <w:rPr>
          <w:lang w:val="en-US"/>
        </w:rPr>
        <w:t xml:space="preserve"> In order to promote the quality of the police department in its relations with the public, a police officer shall promote, to the extent of his capabilities, the development of his profession through the </w:t>
      </w:r>
      <w:r w:rsidRPr="00283996">
        <w:rPr>
          <w:u w:val="single"/>
          <w:lang w:val="en-US"/>
        </w:rPr>
        <w:t>exchange of knowledge</w:t>
      </w:r>
      <w:r w:rsidRPr="00283996">
        <w:rPr>
          <w:lang w:val="en-US"/>
        </w:rPr>
        <w:t xml:space="preserve"> and through </w:t>
      </w:r>
      <w:r w:rsidRPr="00283996">
        <w:rPr>
          <w:u w:val="single"/>
          <w:lang w:val="en-US"/>
        </w:rPr>
        <w:t>participation in upgrading courses and training programs</w:t>
      </w:r>
      <w:r w:rsidRPr="00283996">
        <w:rPr>
          <w:lang w:val="en-US"/>
        </w:rPr>
        <w:t>.</w:t>
      </w:r>
    </w:p>
    <w:p w:rsidR="003011EC" w:rsidRPr="00283996" w:rsidRDefault="003011EC" w:rsidP="003011EC">
      <w:pPr>
        <w:pStyle w:val="Citation-AltC"/>
        <w:spacing w:after="240"/>
        <w:ind w:hanging="446"/>
        <w:contextualSpacing w:val="0"/>
        <w:rPr>
          <w:lang w:val="en-US"/>
        </w:rPr>
      </w:pPr>
      <w:r w:rsidRPr="00283996">
        <w:rPr>
          <w:b/>
          <w:lang w:val="en-US"/>
        </w:rPr>
        <w:tab/>
        <w:t>3.</w:t>
      </w:r>
      <w:r w:rsidRPr="00283996">
        <w:rPr>
          <w:lang w:val="en-US"/>
        </w:rPr>
        <w:t xml:space="preserve"> This Code is intended to ensure better protection of the public by developing </w:t>
      </w:r>
      <w:r w:rsidRPr="00283996">
        <w:rPr>
          <w:u w:val="single"/>
          <w:lang w:val="en-US"/>
        </w:rPr>
        <w:t>high standards of public service and professional conscience</w:t>
      </w:r>
      <w:r w:rsidRPr="00283996">
        <w:rPr>
          <w:lang w:val="en-US"/>
        </w:rPr>
        <w:t xml:space="preserve"> within police departments and </w:t>
      </w:r>
      <w:r w:rsidRPr="00283996">
        <w:rPr>
          <w:u w:val="single"/>
          <w:lang w:val="en-US"/>
        </w:rPr>
        <w:t>to ensure the respect of human rights and freedoms</w:t>
      </w:r>
      <w:r w:rsidRPr="00283996">
        <w:rPr>
          <w:lang w:val="en-US"/>
        </w:rPr>
        <w:t xml:space="preserve"> including those set out in the Charter of human rights and freedoms (chapter C</w:t>
      </w:r>
      <w:r w:rsidRPr="00283996">
        <w:rPr>
          <w:lang w:val="en-US"/>
        </w:rPr>
        <w:noBreakHyphen/>
        <w:t>12).</w:t>
      </w:r>
    </w:p>
    <w:p w:rsidR="003011EC" w:rsidRPr="00283996" w:rsidRDefault="003011EC" w:rsidP="003011EC">
      <w:pPr>
        <w:pStyle w:val="Citation-AltC"/>
        <w:spacing w:after="240"/>
        <w:ind w:left="4590" w:hanging="450"/>
        <w:contextualSpacing w:val="0"/>
        <w:rPr>
          <w:lang w:val="en-US"/>
        </w:rPr>
      </w:pPr>
      <w:r w:rsidRPr="00283996">
        <w:rPr>
          <w:b/>
          <w:lang w:val="en-US"/>
        </w:rPr>
        <w:tab/>
      </w:r>
      <w:r w:rsidRPr="00283996">
        <w:rPr>
          <w:lang w:val="en-US"/>
        </w:rPr>
        <w:t>. . .</w:t>
      </w:r>
    </w:p>
    <w:p w:rsidR="003011EC" w:rsidRPr="00283996" w:rsidRDefault="003011EC" w:rsidP="003011EC">
      <w:pPr>
        <w:pStyle w:val="Citation-AltC"/>
        <w:spacing w:after="240"/>
        <w:ind w:hanging="446"/>
        <w:contextualSpacing w:val="0"/>
        <w:rPr>
          <w:lang w:val="en-US"/>
        </w:rPr>
      </w:pPr>
      <w:r w:rsidRPr="00283996">
        <w:rPr>
          <w:b/>
          <w:lang w:val="en-US"/>
        </w:rPr>
        <w:tab/>
        <w:t>6.</w:t>
      </w:r>
      <w:r w:rsidRPr="00283996">
        <w:rPr>
          <w:lang w:val="en-US"/>
        </w:rPr>
        <w:t xml:space="preserve"> A police officer must </w:t>
      </w:r>
      <w:r w:rsidRPr="00283996">
        <w:rPr>
          <w:u w:val="single"/>
          <w:lang w:val="en-US"/>
        </w:rPr>
        <w:t>avoid any form of abuse of authority</w:t>
      </w:r>
      <w:r w:rsidRPr="00283996">
        <w:rPr>
          <w:lang w:val="en-US"/>
        </w:rPr>
        <w:t xml:space="preserve"> in his relations with the public.</w:t>
      </w:r>
    </w:p>
    <w:p w:rsidR="003011EC" w:rsidRPr="00283996" w:rsidRDefault="003011EC" w:rsidP="00961D4A">
      <w:pPr>
        <w:pStyle w:val="Citation-AltC"/>
        <w:ind w:left="0"/>
        <w:contextualSpacing w:val="0"/>
        <w:rPr>
          <w:lang w:val="en-US"/>
        </w:rPr>
      </w:pPr>
      <w:r w:rsidRPr="00283996">
        <w:rPr>
          <w:lang w:val="en-US"/>
        </w:rPr>
        <w:t>(</w:t>
      </w:r>
      <w:r w:rsidRPr="00283996">
        <w:rPr>
          <w:bCs/>
          <w:i/>
          <w:lang w:val="en-US"/>
        </w:rPr>
        <w:t>Code of ethics of Québec police officers</w:t>
      </w:r>
      <w:r w:rsidRPr="00283996">
        <w:rPr>
          <w:lang w:val="en-US"/>
        </w:rPr>
        <w:t>, ss. 2, 3 and 6 para. 1)</w:t>
      </w:r>
    </w:p>
    <w:p w:rsidR="003011EC" w:rsidRPr="00283996" w:rsidRDefault="003011EC" w:rsidP="003011EC">
      <w:pPr>
        <w:pStyle w:val="ParaNoNdepar-AltN"/>
        <w:spacing w:before="0"/>
        <w:rPr>
          <w:rFonts w:cs="Times New Roman"/>
          <w:lang w:val="en-US"/>
        </w:rPr>
      </w:pPr>
      <w:r w:rsidRPr="00283996">
        <w:rPr>
          <w:rFonts w:cs="Times New Roman"/>
          <w:lang w:val="en-US"/>
        </w:rPr>
        <w:t>In other words, while police officers are not held to an obligation of result with regard to knowledge of the law, the applicable standard is a high one. Citizens rightly expect them to have an adequate knowledge and understanding of the statutes, regulations and by</w:t>
      </w:r>
      <w:r w:rsidRPr="00283996">
        <w:rPr>
          <w:rFonts w:cs="Times New Roman"/>
          <w:lang w:val="en-US"/>
        </w:rPr>
        <w:noBreakHyphen/>
        <w:t xml:space="preserve">laws they are called upon to enforce </w:t>
      </w:r>
      <w:r w:rsidRPr="00283996">
        <w:rPr>
          <w:rStyle w:val="Italic"/>
          <w:rFonts w:cs="Times New Roman"/>
          <w:lang w:val="en-US"/>
        </w:rPr>
        <w:t xml:space="preserve">and of the limits of their authority </w:t>
      </w:r>
      <w:r w:rsidRPr="00283996">
        <w:rPr>
          <w:rFonts w:cs="Times New Roman"/>
          <w:lang w:val="en-US"/>
        </w:rPr>
        <w:t xml:space="preserve">(see, e.g., </w:t>
      </w:r>
      <w:proofErr w:type="spellStart"/>
      <w:r w:rsidR="00323092" w:rsidRPr="00283996">
        <w:rPr>
          <w:rFonts w:cs="Times New Roman"/>
          <w:i/>
          <w:lang w:val="en-US"/>
        </w:rPr>
        <w:t>Bellefleur</w:t>
      </w:r>
      <w:proofErr w:type="spellEnd"/>
      <w:r w:rsidR="00323092" w:rsidRPr="00283996">
        <w:rPr>
          <w:rFonts w:cs="Times New Roman"/>
          <w:i/>
          <w:lang w:val="en-US"/>
        </w:rPr>
        <w:t xml:space="preserve"> </w:t>
      </w:r>
      <w:r w:rsidRPr="00283996">
        <w:rPr>
          <w:rFonts w:cs="Times New Roman"/>
          <w:i/>
          <w:lang w:val="en-US"/>
        </w:rPr>
        <w:t>v. Montréal (</w:t>
      </w:r>
      <w:proofErr w:type="spellStart"/>
      <w:r w:rsidRPr="00283996">
        <w:rPr>
          <w:rFonts w:cs="Times New Roman"/>
          <w:i/>
          <w:lang w:val="en-US"/>
        </w:rPr>
        <w:t>Communauté</w:t>
      </w:r>
      <w:proofErr w:type="spellEnd"/>
      <w:r w:rsidRPr="00283996">
        <w:rPr>
          <w:rFonts w:cs="Times New Roman"/>
          <w:i/>
          <w:lang w:val="en-US"/>
        </w:rPr>
        <w:t xml:space="preserve"> </w:t>
      </w:r>
      <w:proofErr w:type="spellStart"/>
      <w:r w:rsidRPr="00283996">
        <w:rPr>
          <w:rFonts w:cs="Times New Roman"/>
          <w:i/>
          <w:lang w:val="en-US"/>
        </w:rPr>
        <w:t>urbaine</w:t>
      </w:r>
      <w:proofErr w:type="spellEnd"/>
      <w:r w:rsidR="00323092" w:rsidRPr="00283996">
        <w:rPr>
          <w:rFonts w:cs="Times New Roman"/>
          <w:i/>
          <w:lang w:val="en-US"/>
        </w:rPr>
        <w:t xml:space="preserve"> de</w:t>
      </w:r>
      <w:r w:rsidRPr="00283996">
        <w:rPr>
          <w:rFonts w:cs="Times New Roman"/>
          <w:i/>
          <w:lang w:val="en-US"/>
        </w:rPr>
        <w:t>)</w:t>
      </w:r>
      <w:r w:rsidRPr="00283996">
        <w:rPr>
          <w:rFonts w:cs="Times New Roman"/>
          <w:lang w:val="en-US"/>
        </w:rPr>
        <w:t xml:space="preserve">, [1999] R.R.A. 546 (Que. Sup. Ct.), at p. 550; </w:t>
      </w:r>
      <w:r w:rsidR="00323092" w:rsidRPr="00283996">
        <w:rPr>
          <w:rFonts w:cs="Times New Roman"/>
          <w:i/>
          <w:lang w:val="en-US"/>
        </w:rPr>
        <w:t xml:space="preserve">R. </w:t>
      </w:r>
      <w:r w:rsidRPr="00283996">
        <w:rPr>
          <w:rFonts w:cs="Times New Roman"/>
          <w:i/>
          <w:lang w:val="en-US"/>
        </w:rPr>
        <w:t>v. Rouleau</w:t>
      </w:r>
      <w:r w:rsidRPr="00283996">
        <w:rPr>
          <w:rFonts w:cs="Times New Roman"/>
          <w:lang w:val="en-US"/>
        </w:rPr>
        <w:t xml:space="preserve">, 2002 </w:t>
      </w:r>
      <w:proofErr w:type="spellStart"/>
      <w:r w:rsidRPr="00283996">
        <w:rPr>
          <w:rFonts w:cs="Times New Roman"/>
          <w:lang w:val="en-US"/>
        </w:rPr>
        <w:t>CanLII</w:t>
      </w:r>
      <w:proofErr w:type="spellEnd"/>
      <w:r w:rsidRPr="00283996">
        <w:rPr>
          <w:rFonts w:cs="Times New Roman"/>
          <w:lang w:val="en-US"/>
        </w:rPr>
        <w:t xml:space="preserve"> 7572 (C.Q.), at para. 103). Police officers cannot claim to carry out their mission — to maintain peace, order and </w:t>
      </w:r>
      <w:r w:rsidRPr="00283996">
        <w:rPr>
          <w:rFonts w:cs="Times New Roman"/>
          <w:lang w:val="en-US"/>
        </w:rPr>
        <w:lastRenderedPageBreak/>
        <w:t>public security and to prevent and repress crime and offences under the law and by</w:t>
      </w:r>
      <w:r w:rsidRPr="00283996">
        <w:rPr>
          <w:rFonts w:cs="Times New Roman"/>
          <w:lang w:val="en-US"/>
        </w:rPr>
        <w:noBreakHyphen/>
        <w:t>laws (</w:t>
      </w:r>
      <w:r w:rsidRPr="00283996">
        <w:rPr>
          <w:rFonts w:cs="Times New Roman"/>
          <w:i/>
          <w:lang w:val="en-US"/>
        </w:rPr>
        <w:t>Police Act</w:t>
      </w:r>
      <w:r w:rsidRPr="00283996">
        <w:rPr>
          <w:rFonts w:cs="Times New Roman"/>
          <w:lang w:val="en-US"/>
        </w:rPr>
        <w:t xml:space="preserve">, s. 48 para. 1) — without having an adequate knowledge and understanding of the fundamental principles of criminal and penal law, of the rights and freedoms protected by the Charters and of the offences they are called upon to repress, and without knowing the limits of their authority (see P. Patenaude, “De la </w:t>
      </w:r>
      <w:proofErr w:type="spellStart"/>
      <w:r w:rsidRPr="00283996">
        <w:rPr>
          <w:rFonts w:cs="Times New Roman"/>
          <w:lang w:val="en-US"/>
        </w:rPr>
        <w:t>recevabilité</w:t>
      </w:r>
      <w:proofErr w:type="spellEnd"/>
      <w:r w:rsidRPr="00283996">
        <w:rPr>
          <w:rFonts w:cs="Times New Roman"/>
          <w:lang w:val="en-US"/>
        </w:rPr>
        <w:t xml:space="preserve"> des </w:t>
      </w:r>
      <w:proofErr w:type="spellStart"/>
      <w:r w:rsidRPr="00283996">
        <w:rPr>
          <w:rFonts w:cs="Times New Roman"/>
          <w:lang w:val="en-US"/>
        </w:rPr>
        <w:t>preuves</w:t>
      </w:r>
      <w:proofErr w:type="spellEnd"/>
      <w:r w:rsidRPr="00283996">
        <w:rPr>
          <w:rFonts w:cs="Times New Roman"/>
          <w:lang w:val="en-US"/>
        </w:rPr>
        <w:t xml:space="preserve"> </w:t>
      </w:r>
      <w:proofErr w:type="spellStart"/>
      <w:r w:rsidRPr="00283996">
        <w:rPr>
          <w:rFonts w:cs="Times New Roman"/>
          <w:lang w:val="en-US"/>
        </w:rPr>
        <w:t>obtenues</w:t>
      </w:r>
      <w:proofErr w:type="spellEnd"/>
      <w:r w:rsidRPr="00283996">
        <w:rPr>
          <w:rFonts w:cs="Times New Roman"/>
          <w:lang w:val="en-US"/>
        </w:rPr>
        <w:t xml:space="preserve"> au </w:t>
      </w:r>
      <w:proofErr w:type="spellStart"/>
      <w:r w:rsidRPr="00283996">
        <w:rPr>
          <w:rFonts w:cs="Times New Roman"/>
          <w:lang w:val="en-US"/>
        </w:rPr>
        <w:t>moyen</w:t>
      </w:r>
      <w:proofErr w:type="spellEnd"/>
      <w:r w:rsidRPr="00283996">
        <w:rPr>
          <w:rFonts w:cs="Times New Roman"/>
          <w:lang w:val="en-US"/>
        </w:rPr>
        <w:t xml:space="preserve"> de </w:t>
      </w:r>
      <w:proofErr w:type="spellStart"/>
      <w:r w:rsidRPr="00283996">
        <w:rPr>
          <w:rFonts w:cs="Times New Roman"/>
          <w:lang w:val="en-US"/>
        </w:rPr>
        <w:t>l’utilisation</w:t>
      </w:r>
      <w:proofErr w:type="spellEnd"/>
      <w:r w:rsidRPr="00283996">
        <w:rPr>
          <w:rFonts w:cs="Times New Roman"/>
          <w:lang w:val="en-US"/>
        </w:rPr>
        <w:t xml:space="preserve"> par la police de techniques </w:t>
      </w:r>
      <w:proofErr w:type="spellStart"/>
      <w:r w:rsidRPr="00283996">
        <w:rPr>
          <w:rFonts w:cs="Times New Roman"/>
          <w:lang w:val="en-US"/>
        </w:rPr>
        <w:t>modernes</w:t>
      </w:r>
      <w:proofErr w:type="spellEnd"/>
      <w:r w:rsidRPr="00283996">
        <w:rPr>
          <w:rFonts w:cs="Times New Roman"/>
          <w:lang w:val="en-US"/>
        </w:rPr>
        <w:t xml:space="preserve"> </w:t>
      </w:r>
      <w:proofErr w:type="spellStart"/>
      <w:r w:rsidRPr="00283996">
        <w:rPr>
          <w:rFonts w:cs="Times New Roman"/>
          <w:lang w:val="en-US"/>
        </w:rPr>
        <w:t>d’enquête</w:t>
      </w:r>
      <w:proofErr w:type="spellEnd"/>
      <w:r w:rsidRPr="00283996">
        <w:rPr>
          <w:rFonts w:cs="Times New Roman"/>
          <w:lang w:val="en-US"/>
        </w:rPr>
        <w:t xml:space="preserve"> et de surveillance”, in </w:t>
      </w:r>
      <w:r w:rsidRPr="00283996">
        <w:rPr>
          <w:rFonts w:cs="Times New Roman"/>
          <w:i/>
          <w:lang w:val="en-US"/>
        </w:rPr>
        <w:t xml:space="preserve">Police, techniques </w:t>
      </w:r>
      <w:proofErr w:type="spellStart"/>
      <w:r w:rsidRPr="00283996">
        <w:rPr>
          <w:rFonts w:cs="Times New Roman"/>
          <w:i/>
          <w:lang w:val="en-US"/>
        </w:rPr>
        <w:t>modernes</w:t>
      </w:r>
      <w:proofErr w:type="spellEnd"/>
      <w:r w:rsidRPr="00283996">
        <w:rPr>
          <w:rFonts w:cs="Times New Roman"/>
          <w:i/>
          <w:lang w:val="en-US"/>
        </w:rPr>
        <w:t xml:space="preserve"> </w:t>
      </w:r>
      <w:proofErr w:type="spellStart"/>
      <w:r w:rsidRPr="00283996">
        <w:rPr>
          <w:rFonts w:cs="Times New Roman"/>
          <w:i/>
          <w:lang w:val="en-US"/>
        </w:rPr>
        <w:t>d’enquête</w:t>
      </w:r>
      <w:proofErr w:type="spellEnd"/>
      <w:r w:rsidRPr="00283996">
        <w:rPr>
          <w:rFonts w:cs="Times New Roman"/>
          <w:i/>
          <w:lang w:val="en-US"/>
        </w:rPr>
        <w:t xml:space="preserve"> </w:t>
      </w:r>
      <w:proofErr w:type="spellStart"/>
      <w:r w:rsidRPr="00283996">
        <w:rPr>
          <w:rFonts w:cs="Times New Roman"/>
          <w:i/>
          <w:lang w:val="en-US"/>
        </w:rPr>
        <w:t>ou</w:t>
      </w:r>
      <w:proofErr w:type="spellEnd"/>
      <w:r w:rsidRPr="00283996">
        <w:rPr>
          <w:rFonts w:cs="Times New Roman"/>
          <w:i/>
          <w:lang w:val="en-US"/>
        </w:rPr>
        <w:t xml:space="preserve"> de surveillance et droit de la </w:t>
      </w:r>
      <w:proofErr w:type="spellStart"/>
      <w:r w:rsidR="00283996" w:rsidRPr="00283996">
        <w:rPr>
          <w:rFonts w:cs="Times New Roman"/>
          <w:i/>
          <w:lang w:val="en-US"/>
        </w:rPr>
        <w:t>preuve</w:t>
      </w:r>
      <w:proofErr w:type="spellEnd"/>
      <w:r w:rsidR="00283996" w:rsidRPr="00283996">
        <w:rPr>
          <w:rFonts w:cs="Times New Roman"/>
          <w:lang w:val="en-US"/>
        </w:rPr>
        <w:t xml:space="preserve"> (</w:t>
      </w:r>
      <w:r w:rsidR="00283996">
        <w:rPr>
          <w:rFonts w:cs="Times New Roman"/>
          <w:lang w:val="en-US"/>
        </w:rPr>
        <w:t>1998)</w:t>
      </w:r>
      <w:r w:rsidRPr="00283996">
        <w:rPr>
          <w:rFonts w:cs="Times New Roman"/>
          <w:lang w:val="en-US"/>
        </w:rPr>
        <w:t>, by P. Patenaude, ed., at pp. 1</w:t>
      </w:r>
      <w:r w:rsidRPr="00283996">
        <w:rPr>
          <w:rFonts w:cs="Times New Roman"/>
          <w:lang w:val="en-US"/>
        </w:rPr>
        <w:noBreakHyphen/>
        <w:t>2).</w:t>
      </w:r>
    </w:p>
    <w:p w:rsidR="003011EC" w:rsidRPr="00283996" w:rsidRDefault="003011EC" w:rsidP="003011EC">
      <w:pPr>
        <w:pStyle w:val="ParaNoNdepar-AltN"/>
        <w:spacing w:before="0"/>
        <w:rPr>
          <w:rStyle w:val="Italic"/>
          <w:rFonts w:cs="Times New Roman"/>
          <w:i w:val="0"/>
          <w:lang w:val="en-US"/>
        </w:rPr>
      </w:pPr>
      <w:r w:rsidRPr="00283996">
        <w:rPr>
          <w:rStyle w:val="Italic"/>
          <w:rFonts w:cs="Times New Roman"/>
          <w:i w:val="0"/>
          <w:lang w:val="en-US"/>
        </w:rPr>
        <w:t>The training and instructions given to police officers, as well as internal police force policies, directives and procedures, must be considered in assessing an officer’s conduct, although they are not conclusive in themselves. A reasonable police officer must know that they do not have the force of law</w:t>
      </w:r>
      <w:r w:rsidRPr="00283996">
        <w:rPr>
          <w:rFonts w:cs="Times New Roman"/>
          <w:i/>
          <w:lang w:val="en-US"/>
        </w:rPr>
        <w:t xml:space="preserve"> </w:t>
      </w:r>
      <w:r w:rsidRPr="00283996">
        <w:rPr>
          <w:rFonts w:cs="Times New Roman"/>
          <w:lang w:val="en-US"/>
        </w:rPr>
        <w:t xml:space="preserve">(see </w:t>
      </w:r>
      <w:r w:rsidRPr="00283996">
        <w:rPr>
          <w:rFonts w:cs="Times New Roman"/>
          <w:i/>
          <w:lang w:val="en-US"/>
        </w:rPr>
        <w:t>R. v. Beaudry</w:t>
      </w:r>
      <w:r w:rsidRPr="00283996">
        <w:rPr>
          <w:rFonts w:cs="Times New Roman"/>
          <w:lang w:val="en-US"/>
        </w:rPr>
        <w:t>, 2007 SCC 5, [2007] 1 S.C.R. 190, at paras. 44</w:t>
      </w:r>
      <w:r w:rsidRPr="00283996">
        <w:rPr>
          <w:rFonts w:cs="Times New Roman"/>
          <w:lang w:val="en-US"/>
        </w:rPr>
        <w:noBreakHyphen/>
        <w:t>46).</w:t>
      </w:r>
      <w:r w:rsidRPr="00283996">
        <w:rPr>
          <w:rStyle w:val="Italic"/>
          <w:rFonts w:cs="Times New Roman"/>
          <w:lang w:val="en-US"/>
        </w:rPr>
        <w:t xml:space="preserve"> </w:t>
      </w:r>
      <w:r w:rsidRPr="00283996">
        <w:rPr>
          <w:rStyle w:val="Italic"/>
          <w:rFonts w:cs="Times New Roman"/>
          <w:i w:val="0"/>
          <w:lang w:val="en-US"/>
        </w:rPr>
        <w:t xml:space="preserve">Similarly, the usual practices are at most a relevant factor. As the Court stated in </w:t>
      </w:r>
      <w:proofErr w:type="spellStart"/>
      <w:r w:rsidRPr="00283996">
        <w:rPr>
          <w:rStyle w:val="Italic"/>
          <w:rFonts w:cs="Times New Roman"/>
          <w:lang w:val="en-US"/>
        </w:rPr>
        <w:t>Roberge</w:t>
      </w:r>
      <w:proofErr w:type="spellEnd"/>
      <w:r w:rsidRPr="00283996">
        <w:rPr>
          <w:rStyle w:val="Italic"/>
          <w:rFonts w:cs="Times New Roman"/>
          <w:lang w:val="en-US"/>
        </w:rPr>
        <w:t xml:space="preserve"> </w:t>
      </w:r>
      <w:r w:rsidRPr="00283996">
        <w:rPr>
          <w:rStyle w:val="Italic"/>
          <w:rFonts w:cs="Times New Roman"/>
          <w:i w:val="0"/>
          <w:lang w:val="en-US"/>
        </w:rPr>
        <w:t>in the context of a civil liability action arising out of an error of law made by a notary,</w:t>
      </w:r>
      <w:r w:rsidRPr="00283996">
        <w:rPr>
          <w:rStyle w:val="Italic"/>
          <w:rFonts w:cs="Times New Roman"/>
          <w:lang w:val="en-US"/>
        </w:rPr>
        <w:t xml:space="preserve"> </w:t>
      </w:r>
      <w:r w:rsidRPr="00283996">
        <w:rPr>
          <w:rStyle w:val="Italic"/>
          <w:rFonts w:cs="Times New Roman"/>
          <w:i w:val="0"/>
          <w:lang w:val="en-US"/>
        </w:rPr>
        <w:t>“[</w:t>
      </w:r>
      <w:proofErr w:type="spellStart"/>
      <w:r w:rsidRPr="00283996">
        <w:rPr>
          <w:rStyle w:val="Italic"/>
          <w:rFonts w:cs="Times New Roman"/>
          <w:i w:val="0"/>
          <w:lang w:val="en-US"/>
        </w:rPr>
        <w:t>i</w:t>
      </w:r>
      <w:proofErr w:type="spellEnd"/>
      <w:r w:rsidRPr="00283996">
        <w:rPr>
          <w:rStyle w:val="Italic"/>
          <w:rFonts w:cs="Times New Roman"/>
          <w:i w:val="0"/>
          <w:lang w:val="en-US"/>
        </w:rPr>
        <w:t>]</w:t>
      </w:r>
      <w:r w:rsidRPr="00283996">
        <w:rPr>
          <w:rFonts w:cs="Times New Roman"/>
          <w:lang w:val="en-US"/>
        </w:rPr>
        <w:t xml:space="preserve">t is not </w:t>
      </w:r>
      <w:proofErr w:type="gramStart"/>
      <w:r w:rsidRPr="00283996">
        <w:rPr>
          <w:rFonts w:cs="Times New Roman"/>
          <w:lang w:val="en-US"/>
        </w:rPr>
        <w:t>sufficient .</w:t>
      </w:r>
      <w:proofErr w:type="gramEnd"/>
      <w:r w:rsidRPr="00283996">
        <w:rPr>
          <w:rFonts w:cs="Times New Roman"/>
          <w:lang w:val="en-US"/>
        </w:rPr>
        <w:t> . . that the common professional practice be followed in order to avoid liability. That practice has to be demonstrably reasonable”</w:t>
      </w:r>
      <w:r w:rsidRPr="00283996">
        <w:rPr>
          <w:rStyle w:val="Italic"/>
          <w:rFonts w:cs="Times New Roman"/>
          <w:lang w:val="en-US"/>
        </w:rPr>
        <w:t xml:space="preserve"> </w:t>
      </w:r>
      <w:r w:rsidRPr="00283996">
        <w:rPr>
          <w:rStyle w:val="Italic"/>
          <w:rFonts w:cs="Times New Roman"/>
          <w:i w:val="0"/>
          <w:lang w:val="en-US"/>
        </w:rPr>
        <w:t>(p. 434). The mere fact that an error of law is repeated does not make it excusable.</w:t>
      </w:r>
    </w:p>
    <w:p w:rsidR="003011EC" w:rsidRPr="00283996" w:rsidRDefault="003011EC" w:rsidP="003011EC">
      <w:pPr>
        <w:pStyle w:val="ParaNoNdepar-AltN"/>
        <w:spacing w:before="0"/>
        <w:rPr>
          <w:rStyle w:val="Italic"/>
          <w:rFonts w:cs="Times New Roman"/>
          <w:i w:val="0"/>
          <w:lang w:val="en-US"/>
        </w:rPr>
      </w:pPr>
      <w:r w:rsidRPr="00283996">
        <w:rPr>
          <w:rStyle w:val="Italic"/>
          <w:rFonts w:cs="Times New Roman"/>
          <w:i w:val="0"/>
          <w:lang w:val="en-US"/>
        </w:rPr>
        <w:t xml:space="preserve">As professionals responsible for law enforcement, police officers must be able to exercise judgment with respect to the applicable law. They cannot rely blindly </w:t>
      </w:r>
      <w:r w:rsidRPr="00283996">
        <w:rPr>
          <w:rStyle w:val="Italic"/>
          <w:rFonts w:cs="Times New Roman"/>
          <w:i w:val="0"/>
          <w:lang w:val="en-US"/>
        </w:rPr>
        <w:lastRenderedPageBreak/>
        <w:t>on the training and instructions given to them, nor can they mechanically follow internal policies, directives and procedures or usual police practices.</w:t>
      </w:r>
    </w:p>
    <w:p w:rsidR="003011EC" w:rsidRPr="00283996" w:rsidRDefault="003011EC" w:rsidP="003011EC">
      <w:pPr>
        <w:pStyle w:val="ParaNoNdepar-AltN"/>
        <w:spacing w:before="0"/>
        <w:rPr>
          <w:rStyle w:val="Italic"/>
          <w:rFonts w:cs="Times New Roman"/>
          <w:i w:val="0"/>
          <w:lang w:val="en-US"/>
        </w:rPr>
      </w:pPr>
      <w:r w:rsidRPr="00283996">
        <w:rPr>
          <w:rStyle w:val="Italic"/>
          <w:rFonts w:cs="Times New Roman"/>
          <w:i w:val="0"/>
          <w:lang w:val="en-US"/>
        </w:rPr>
        <w:t>Similarly, it is well established that police officers cannot avoid personal civil liability simply by arguing that they were merely carrying out an order that they knew or ought to have known was unlawful (</w:t>
      </w:r>
      <w:proofErr w:type="spellStart"/>
      <w:r w:rsidRPr="00283996">
        <w:rPr>
          <w:rStyle w:val="Italic"/>
          <w:rFonts w:cs="Times New Roman"/>
          <w:lang w:val="en-US"/>
        </w:rPr>
        <w:t>Chartier</w:t>
      </w:r>
      <w:proofErr w:type="spellEnd"/>
      <w:r w:rsidRPr="00283996">
        <w:rPr>
          <w:rStyle w:val="Italic"/>
          <w:rFonts w:cs="Times New Roman"/>
          <w:i w:val="0"/>
          <w:lang w:val="en-US"/>
        </w:rPr>
        <w:t>,</w:t>
      </w:r>
      <w:r w:rsidRPr="00283996">
        <w:rPr>
          <w:rStyle w:val="Italic"/>
          <w:rFonts w:cs="Times New Roman"/>
          <w:lang w:val="en-US"/>
        </w:rPr>
        <w:t xml:space="preserve"> </w:t>
      </w:r>
      <w:r w:rsidRPr="00283996">
        <w:rPr>
          <w:rStyle w:val="Italic"/>
          <w:rFonts w:cs="Times New Roman"/>
          <w:i w:val="0"/>
          <w:lang w:val="en-US"/>
        </w:rPr>
        <w:t>at p. 498;</w:t>
      </w:r>
      <w:r w:rsidRPr="00283996">
        <w:rPr>
          <w:rStyle w:val="Italic"/>
          <w:rFonts w:cs="Times New Roman"/>
          <w:lang w:val="en-US"/>
        </w:rPr>
        <w:t xml:space="preserve"> </w:t>
      </w:r>
      <w:proofErr w:type="spellStart"/>
      <w:r w:rsidRPr="00283996">
        <w:rPr>
          <w:rFonts w:cs="Times New Roman"/>
          <w:i/>
          <w:lang w:val="en-US"/>
        </w:rPr>
        <w:t>Chaput</w:t>
      </w:r>
      <w:proofErr w:type="spellEnd"/>
      <w:r w:rsidRPr="00283996">
        <w:rPr>
          <w:rFonts w:cs="Times New Roman"/>
          <w:i/>
          <w:lang w:val="en-US"/>
        </w:rPr>
        <w:t xml:space="preserve"> v. </w:t>
      </w:r>
      <w:proofErr w:type="spellStart"/>
      <w:r w:rsidRPr="00283996">
        <w:rPr>
          <w:rFonts w:cs="Times New Roman"/>
          <w:i/>
          <w:lang w:val="en-US"/>
        </w:rPr>
        <w:t>Romain</w:t>
      </w:r>
      <w:proofErr w:type="spellEnd"/>
      <w:r w:rsidRPr="00283996">
        <w:rPr>
          <w:rFonts w:cs="Times New Roman"/>
          <w:lang w:val="en-US"/>
        </w:rPr>
        <w:t xml:space="preserve">, [1955] S.C.R. 834, at p. 842; </w:t>
      </w:r>
      <w:r w:rsidR="00DA3AF0">
        <w:rPr>
          <w:rFonts w:cs="Times New Roman"/>
          <w:i/>
          <w:lang w:val="en-US"/>
        </w:rPr>
        <w:t xml:space="preserve">Pelletier </w:t>
      </w:r>
      <w:r w:rsidRPr="00283996">
        <w:rPr>
          <w:rFonts w:cs="Times New Roman"/>
          <w:i/>
          <w:lang w:val="en-US"/>
        </w:rPr>
        <w:t xml:space="preserve">v. </w:t>
      </w:r>
      <w:proofErr w:type="spellStart"/>
      <w:r w:rsidRPr="00283996">
        <w:rPr>
          <w:rFonts w:cs="Times New Roman"/>
          <w:i/>
          <w:lang w:val="en-US"/>
        </w:rPr>
        <w:t>Cour</w:t>
      </w:r>
      <w:proofErr w:type="spellEnd"/>
      <w:r w:rsidRPr="00283996">
        <w:rPr>
          <w:rFonts w:cs="Times New Roman"/>
          <w:i/>
          <w:lang w:val="en-US"/>
        </w:rPr>
        <w:t xml:space="preserve"> du Québec</w:t>
      </w:r>
      <w:r w:rsidRPr="00283996">
        <w:rPr>
          <w:rFonts w:cs="Times New Roman"/>
          <w:lang w:val="en-US"/>
        </w:rPr>
        <w:t>, [2002] R.J.Q. 2215 (C.A.), at para. 37; Lacroix, “</w:t>
      </w:r>
      <w:proofErr w:type="spellStart"/>
      <w:r w:rsidRPr="00283996">
        <w:rPr>
          <w:rFonts w:cs="Times New Roman"/>
          <w:lang w:val="en-US"/>
        </w:rPr>
        <w:t>Responsabilité</w:t>
      </w:r>
      <w:proofErr w:type="spellEnd"/>
      <w:r w:rsidRPr="00283996">
        <w:rPr>
          <w:rFonts w:cs="Times New Roman"/>
          <w:lang w:val="en-US"/>
        </w:rPr>
        <w:t xml:space="preserve"> </w:t>
      </w:r>
      <w:proofErr w:type="spellStart"/>
      <w:r w:rsidRPr="00283996">
        <w:rPr>
          <w:rFonts w:cs="Times New Roman"/>
          <w:lang w:val="en-US"/>
        </w:rPr>
        <w:t>civile</w:t>
      </w:r>
      <w:proofErr w:type="spellEnd"/>
      <w:r w:rsidRPr="00283996">
        <w:rPr>
          <w:rFonts w:cs="Times New Roman"/>
          <w:lang w:val="en-US"/>
        </w:rPr>
        <w:t xml:space="preserve"> des forces </w:t>
      </w:r>
      <w:proofErr w:type="spellStart"/>
      <w:r w:rsidRPr="00283996">
        <w:rPr>
          <w:rFonts w:cs="Times New Roman"/>
          <w:lang w:val="en-US"/>
        </w:rPr>
        <w:t>policières</w:t>
      </w:r>
      <w:proofErr w:type="spellEnd"/>
      <w:r w:rsidRPr="00283996">
        <w:rPr>
          <w:rFonts w:cs="Times New Roman"/>
          <w:lang w:val="en-US"/>
        </w:rPr>
        <w:t>”, at para. 16)</w:t>
      </w:r>
      <w:r w:rsidRPr="00283996">
        <w:rPr>
          <w:rStyle w:val="Italic"/>
          <w:rFonts w:cs="Times New Roman"/>
          <w:lang w:val="en-US"/>
        </w:rPr>
        <w:t xml:space="preserve">. </w:t>
      </w:r>
      <w:proofErr w:type="spellStart"/>
      <w:r w:rsidRPr="00283996">
        <w:rPr>
          <w:rStyle w:val="Italic"/>
          <w:rFonts w:cs="Times New Roman"/>
          <w:i w:val="0"/>
          <w:lang w:val="en-US"/>
        </w:rPr>
        <w:t>Baudouin</w:t>
      </w:r>
      <w:proofErr w:type="spellEnd"/>
      <w:r w:rsidRPr="00283996">
        <w:rPr>
          <w:rStyle w:val="Italic"/>
          <w:rFonts w:cs="Times New Roman"/>
          <w:i w:val="0"/>
          <w:lang w:val="en-US"/>
        </w:rPr>
        <w:t xml:space="preserve">, </w:t>
      </w:r>
      <w:proofErr w:type="spellStart"/>
      <w:r w:rsidRPr="00283996">
        <w:rPr>
          <w:rStyle w:val="Italic"/>
          <w:rFonts w:cs="Times New Roman"/>
          <w:i w:val="0"/>
          <w:lang w:val="en-US"/>
        </w:rPr>
        <w:t>Deslauriers</w:t>
      </w:r>
      <w:proofErr w:type="spellEnd"/>
      <w:r w:rsidRPr="00283996">
        <w:rPr>
          <w:rStyle w:val="Italic"/>
          <w:rFonts w:cs="Times New Roman"/>
          <w:i w:val="0"/>
          <w:lang w:val="en-US"/>
        </w:rPr>
        <w:t xml:space="preserve"> and Moore put this point aptly: [</w:t>
      </w:r>
      <w:r w:rsidRPr="00283996">
        <w:rPr>
          <w:rStyle w:val="Italic"/>
          <w:rFonts w:cs="Times New Roman"/>
          <w:i w:val="0"/>
          <w:smallCaps/>
          <w:lang w:val="en-US"/>
        </w:rPr>
        <w:t>translation</w:t>
      </w:r>
      <w:r w:rsidRPr="00283996">
        <w:rPr>
          <w:rStyle w:val="Italic"/>
          <w:rFonts w:cs="Times New Roman"/>
          <w:i w:val="0"/>
          <w:lang w:val="en-US"/>
        </w:rPr>
        <w:t>] “</w:t>
      </w:r>
      <w:r w:rsidR="00522FDE">
        <w:rPr>
          <w:rStyle w:val="Italic"/>
          <w:rFonts w:cs="Times New Roman"/>
          <w:i w:val="0"/>
          <w:lang w:val="en-US"/>
        </w:rPr>
        <w:t>I</w:t>
      </w:r>
      <w:r w:rsidRPr="00283996">
        <w:rPr>
          <w:rStyle w:val="Italic"/>
          <w:rFonts w:cs="Times New Roman"/>
          <w:i w:val="0"/>
          <w:lang w:val="en-US"/>
        </w:rPr>
        <w:t>n the civil context, it is disobedience of an unlawful order that</w:t>
      </w:r>
      <w:r w:rsidRPr="00283996">
        <w:rPr>
          <w:rStyle w:val="Italic"/>
          <w:rFonts w:cs="Times New Roman"/>
          <w:lang w:val="en-US"/>
        </w:rPr>
        <w:t xml:space="preserve"> </w:t>
      </w:r>
      <w:r w:rsidRPr="00283996">
        <w:rPr>
          <w:rFonts w:cs="Times New Roman"/>
          <w:lang w:val="en-US"/>
        </w:rPr>
        <w:t xml:space="preserve">must be considered the normal conduct of a prudent and diligent person, </w:t>
      </w:r>
      <w:r w:rsidRPr="00283996">
        <w:rPr>
          <w:rStyle w:val="Italic"/>
          <w:rFonts w:cs="Times New Roman"/>
          <w:i w:val="0"/>
          <w:lang w:val="en-US"/>
        </w:rPr>
        <w:t>and not the reverse” (vol. 1, at No. 1</w:t>
      </w:r>
      <w:r w:rsidRPr="00283996">
        <w:rPr>
          <w:rStyle w:val="Italic"/>
          <w:rFonts w:cs="Times New Roman"/>
          <w:i w:val="0"/>
          <w:lang w:val="en-US"/>
        </w:rPr>
        <w:noBreakHyphen/>
        <w:t>206; see also G. </w:t>
      </w:r>
      <w:proofErr w:type="spellStart"/>
      <w:r w:rsidRPr="00283996">
        <w:rPr>
          <w:rStyle w:val="Italic"/>
          <w:rFonts w:cs="Times New Roman"/>
          <w:i w:val="0"/>
          <w:lang w:val="en-US"/>
        </w:rPr>
        <w:t>Viney</w:t>
      </w:r>
      <w:proofErr w:type="spellEnd"/>
      <w:r w:rsidRPr="00283996">
        <w:rPr>
          <w:rStyle w:val="Italic"/>
          <w:rFonts w:cs="Times New Roman"/>
          <w:i w:val="0"/>
          <w:lang w:val="en-US"/>
        </w:rPr>
        <w:t xml:space="preserve"> and P. </w:t>
      </w:r>
      <w:proofErr w:type="spellStart"/>
      <w:r w:rsidRPr="00283996">
        <w:rPr>
          <w:rStyle w:val="Italic"/>
          <w:rFonts w:cs="Times New Roman"/>
          <w:i w:val="0"/>
          <w:lang w:val="en-US"/>
        </w:rPr>
        <w:t>Jourdain</w:t>
      </w:r>
      <w:proofErr w:type="spellEnd"/>
      <w:r w:rsidRPr="00283996">
        <w:rPr>
          <w:rStyle w:val="Italic"/>
          <w:rFonts w:cs="Times New Roman"/>
          <w:i w:val="0"/>
          <w:lang w:val="en-US"/>
        </w:rPr>
        <w:t xml:space="preserve">, </w:t>
      </w:r>
      <w:proofErr w:type="spellStart"/>
      <w:r w:rsidRPr="00283996">
        <w:rPr>
          <w:rStyle w:val="Italic"/>
          <w:rFonts w:cs="Times New Roman"/>
          <w:lang w:val="en-US"/>
        </w:rPr>
        <w:t>Traité</w:t>
      </w:r>
      <w:proofErr w:type="spellEnd"/>
      <w:r w:rsidRPr="00283996">
        <w:rPr>
          <w:rStyle w:val="Italic"/>
          <w:rFonts w:cs="Times New Roman"/>
          <w:lang w:val="en-US"/>
        </w:rPr>
        <w:t xml:space="preserve"> de droit civil: Les conditions de la </w:t>
      </w:r>
      <w:proofErr w:type="spellStart"/>
      <w:r w:rsidRPr="00283996">
        <w:rPr>
          <w:rStyle w:val="Italic"/>
          <w:rFonts w:cs="Times New Roman"/>
          <w:lang w:val="en-US"/>
        </w:rPr>
        <w:t>responsabilité</w:t>
      </w:r>
      <w:proofErr w:type="spellEnd"/>
      <w:r w:rsidRPr="00283996">
        <w:rPr>
          <w:rStyle w:val="Italic"/>
          <w:rFonts w:cs="Times New Roman"/>
          <w:lang w:val="en-US"/>
        </w:rPr>
        <w:t xml:space="preserve"> </w:t>
      </w:r>
      <w:r w:rsidRPr="00283996">
        <w:rPr>
          <w:rStyle w:val="Italic"/>
          <w:rFonts w:cs="Times New Roman"/>
          <w:i w:val="0"/>
          <w:lang w:val="en-US"/>
        </w:rPr>
        <w:t>(2nd ed. 1998), by J. </w:t>
      </w:r>
      <w:proofErr w:type="spellStart"/>
      <w:r w:rsidRPr="00283996">
        <w:rPr>
          <w:rStyle w:val="Italic"/>
          <w:rFonts w:cs="Times New Roman"/>
          <w:i w:val="0"/>
          <w:lang w:val="en-US"/>
        </w:rPr>
        <w:t>Ghestin</w:t>
      </w:r>
      <w:proofErr w:type="spellEnd"/>
      <w:r w:rsidRPr="00283996">
        <w:rPr>
          <w:rStyle w:val="Italic"/>
          <w:rFonts w:cs="Times New Roman"/>
          <w:i w:val="0"/>
          <w:lang w:val="en-US"/>
        </w:rPr>
        <w:t>, ed., at p. 502). The same is true of the training and instructions given to police officers and of internal police force policies, directives and procedures.</w:t>
      </w:r>
    </w:p>
    <w:p w:rsidR="003011EC" w:rsidRPr="00283996" w:rsidRDefault="003011EC" w:rsidP="003011EC">
      <w:pPr>
        <w:pStyle w:val="ParaNoNdepar-AltN"/>
        <w:spacing w:before="0"/>
        <w:rPr>
          <w:rStyle w:val="Italic"/>
          <w:rFonts w:cs="Times New Roman"/>
          <w:i w:val="0"/>
          <w:lang w:val="en-US"/>
        </w:rPr>
      </w:pPr>
      <w:r w:rsidRPr="00283996">
        <w:rPr>
          <w:rStyle w:val="Italic"/>
          <w:rFonts w:cs="Times New Roman"/>
          <w:i w:val="0"/>
          <w:lang w:val="en-US"/>
        </w:rPr>
        <w:t>Of course, police officers are not lawyers and are not held to the same standards as lawyers</w:t>
      </w:r>
      <w:r w:rsidRPr="00283996">
        <w:rPr>
          <w:rStyle w:val="Italic"/>
          <w:rFonts w:cs="Times New Roman"/>
          <w:lang w:val="en-US"/>
        </w:rPr>
        <w:t xml:space="preserve"> (Hill, </w:t>
      </w:r>
      <w:r w:rsidRPr="00283996">
        <w:rPr>
          <w:rStyle w:val="Italic"/>
          <w:rFonts w:cs="Times New Roman"/>
          <w:i w:val="0"/>
          <w:lang w:val="en-US"/>
        </w:rPr>
        <w:t>at para. 50). For example, they are not themselves expected to carry out thorough research or to engage in extensive reflection concerning the subtleties of conflicting case law</w:t>
      </w:r>
      <w:r w:rsidRPr="00283996">
        <w:rPr>
          <w:rStyle w:val="Italic"/>
          <w:rFonts w:cs="Times New Roman"/>
          <w:lang w:val="en-US"/>
        </w:rPr>
        <w:t xml:space="preserve"> </w:t>
      </w:r>
      <w:r w:rsidRPr="00283996">
        <w:rPr>
          <w:rStyle w:val="Italic"/>
          <w:rFonts w:cs="Times New Roman"/>
          <w:i w:val="0"/>
          <w:lang w:val="en-US"/>
        </w:rPr>
        <w:t>(see</w:t>
      </w:r>
      <w:r w:rsidRPr="00283996">
        <w:rPr>
          <w:rStyle w:val="Italic"/>
          <w:rFonts w:cs="Times New Roman"/>
          <w:lang w:val="en-US"/>
        </w:rPr>
        <w:t xml:space="preserve"> Grant</w:t>
      </w:r>
      <w:r w:rsidRPr="00283996">
        <w:rPr>
          <w:rStyle w:val="Italic"/>
          <w:rFonts w:cs="Times New Roman"/>
          <w:i w:val="0"/>
          <w:lang w:val="en-US"/>
        </w:rPr>
        <w:t>, at para. 133).</w:t>
      </w:r>
      <w:r w:rsidRPr="00283996">
        <w:rPr>
          <w:rFonts w:cs="Times New Roman"/>
          <w:lang w:val="en-US"/>
        </w:rPr>
        <w:t xml:space="preserve"> Moreover, where a question of law is controversial</w:t>
      </w:r>
      <w:r w:rsidRPr="00283996">
        <w:rPr>
          <w:rStyle w:val="Italic"/>
          <w:rFonts w:cs="Times New Roman"/>
          <w:lang w:val="en-US"/>
        </w:rPr>
        <w:t xml:space="preserve">, </w:t>
      </w:r>
      <w:r w:rsidRPr="00283996">
        <w:rPr>
          <w:rStyle w:val="Italic"/>
          <w:rFonts w:cs="Times New Roman"/>
          <w:i w:val="0"/>
          <w:lang w:val="en-US"/>
        </w:rPr>
        <w:t>a police officer’s conduct should not be found to constitute fault insofar as it is based on an interpretation that is reasonable and consistent with the training and instructions given to the officer (see, by analogy,</w:t>
      </w:r>
      <w:r w:rsidRPr="00283996">
        <w:rPr>
          <w:rStyle w:val="Italic"/>
          <w:rFonts w:cs="Times New Roman"/>
          <w:lang w:val="en-US"/>
        </w:rPr>
        <w:t xml:space="preserve"> </w:t>
      </w:r>
      <w:proofErr w:type="spellStart"/>
      <w:r w:rsidRPr="00283996">
        <w:rPr>
          <w:rStyle w:val="Italic"/>
          <w:rFonts w:cs="Times New Roman"/>
          <w:lang w:val="en-US"/>
        </w:rPr>
        <w:t>Roberge</w:t>
      </w:r>
      <w:proofErr w:type="spellEnd"/>
      <w:r w:rsidRPr="00283996">
        <w:rPr>
          <w:rStyle w:val="Italic"/>
          <w:rFonts w:cs="Times New Roman"/>
          <w:i w:val="0"/>
          <w:lang w:val="en-US"/>
        </w:rPr>
        <w:t>, at p. 436).</w:t>
      </w:r>
    </w:p>
    <w:p w:rsidR="003011EC" w:rsidRPr="00283996" w:rsidRDefault="003011EC" w:rsidP="003011EC">
      <w:pPr>
        <w:pStyle w:val="ParaNoNdepar-AltN"/>
        <w:spacing w:before="0"/>
        <w:rPr>
          <w:rStyle w:val="Italic"/>
          <w:rFonts w:cs="Times New Roman"/>
          <w:i w:val="0"/>
          <w:lang w:val="en-US"/>
        </w:rPr>
      </w:pPr>
      <w:r w:rsidRPr="00283996">
        <w:rPr>
          <w:rStyle w:val="Italic"/>
          <w:rFonts w:cs="Times New Roman"/>
          <w:i w:val="0"/>
          <w:lang w:val="en-US"/>
        </w:rPr>
        <w:lastRenderedPageBreak/>
        <w:t xml:space="preserve">That being said, </w:t>
      </w:r>
      <w:r w:rsidRPr="00ED2D64">
        <w:rPr>
          <w:rFonts w:cs="Times New Roman"/>
          <w:lang w:val="en-US"/>
        </w:rPr>
        <w:t>the expectations that exist for police officers</w:t>
      </w:r>
      <w:r w:rsidRPr="00283996">
        <w:rPr>
          <w:rFonts w:cs="Times New Roman"/>
          <w:i/>
          <w:lang w:val="en-US"/>
        </w:rPr>
        <w:t xml:space="preserve"> </w:t>
      </w:r>
      <w:r w:rsidRPr="00283996">
        <w:rPr>
          <w:rStyle w:val="Italic"/>
          <w:rFonts w:cs="Times New Roman"/>
          <w:i w:val="0"/>
          <w:lang w:val="en-US"/>
        </w:rPr>
        <w:t>remain high. Where there is uncertainty about the law in force, it is incumbent on them to make the inquiries that are reasonable in the circumstances, for example by suspending their activities in order to consult with a prosecutor or by rereading the relevant provisions and the available documentation. In principle, an error will be judged less severely if it is made during an emergency response, or in a situation where public safety is at stake, rather than in the context of a carefully planned operation or the routine application of a by</w:t>
      </w:r>
      <w:r w:rsidRPr="00283996">
        <w:rPr>
          <w:rStyle w:val="Italic"/>
          <w:rFonts w:cs="Times New Roman"/>
          <w:i w:val="0"/>
          <w:lang w:val="en-US"/>
        </w:rPr>
        <w:noBreakHyphen/>
        <w:t xml:space="preserve">law. In other words, unless the circumstances require immediate intervention, it is not appropriate to act first and make inquiries later. I note that — even in an emergency — the fact that conduct seems dangerous to a police officer does not permit the officer to presume the existence of an offence (see </w:t>
      </w:r>
      <w:proofErr w:type="spellStart"/>
      <w:r w:rsidRPr="00283996">
        <w:rPr>
          <w:rStyle w:val="Italic"/>
          <w:rFonts w:cs="Times New Roman"/>
          <w:i w:val="0"/>
          <w:lang w:val="en-US"/>
        </w:rPr>
        <w:t>Baudouin</w:t>
      </w:r>
      <w:proofErr w:type="spellEnd"/>
      <w:r w:rsidRPr="00283996">
        <w:rPr>
          <w:rStyle w:val="Italic"/>
          <w:rFonts w:cs="Times New Roman"/>
          <w:i w:val="0"/>
          <w:lang w:val="en-US"/>
        </w:rPr>
        <w:t xml:space="preserve"> and Fabien, at pp. 423</w:t>
      </w:r>
      <w:r w:rsidRPr="00283996">
        <w:rPr>
          <w:rStyle w:val="Italic"/>
          <w:rFonts w:cs="Times New Roman"/>
          <w:i w:val="0"/>
          <w:lang w:val="en-US"/>
        </w:rPr>
        <w:noBreakHyphen/>
        <w:t>24).</w:t>
      </w:r>
    </w:p>
    <w:p w:rsidR="003011EC" w:rsidRPr="00283996" w:rsidRDefault="003011EC" w:rsidP="003011EC">
      <w:pPr>
        <w:pStyle w:val="ParaNoNdepar-AltN"/>
        <w:spacing w:before="0"/>
        <w:rPr>
          <w:rFonts w:cs="Times New Roman"/>
          <w:lang w:val="en-US"/>
        </w:rPr>
      </w:pPr>
      <w:r w:rsidRPr="00283996">
        <w:rPr>
          <w:rStyle w:val="Italic"/>
          <w:rFonts w:cs="Times New Roman"/>
          <w:i w:val="0"/>
          <w:lang w:val="en-US"/>
        </w:rPr>
        <w:t>In short, police officers sometimes commit a civil fault if they act unlawfully, even where their conduct is otherwise consistent with the training and instructions they have received, with existing policies, directives and procedures and with the usual practices. It is all a matter of context: the question is whether a reasonable police officer would have acted in the same manner. In assessing a police officer’s conduct, a court must</w:t>
      </w:r>
      <w:r w:rsidRPr="00283996">
        <w:rPr>
          <w:rFonts w:cs="Times New Roman"/>
          <w:i/>
          <w:lang w:val="en-US"/>
        </w:rPr>
        <w:t xml:space="preserve"> </w:t>
      </w:r>
      <w:r w:rsidRPr="00283996">
        <w:rPr>
          <w:rFonts w:cs="Times New Roman"/>
          <w:lang w:val="en-US"/>
        </w:rPr>
        <w:t>therefore [</w:t>
      </w:r>
      <w:r w:rsidRPr="00283996">
        <w:rPr>
          <w:rFonts w:cs="Times New Roman"/>
          <w:smallCaps/>
          <w:lang w:val="en-US"/>
        </w:rPr>
        <w:t>translation</w:t>
      </w:r>
      <w:r w:rsidRPr="00283996">
        <w:rPr>
          <w:rFonts w:cs="Times New Roman"/>
          <w:lang w:val="en-US"/>
        </w:rPr>
        <w:t>] “give significant weight to the external circumstances” and “avoid the perfect vision afforded by hindsight” (</w:t>
      </w:r>
      <w:proofErr w:type="spellStart"/>
      <w:r w:rsidR="00DA3AF0">
        <w:rPr>
          <w:rFonts w:cs="Times New Roman"/>
          <w:i/>
          <w:lang w:val="en-US"/>
        </w:rPr>
        <w:t>Dubé</w:t>
      </w:r>
      <w:proofErr w:type="spellEnd"/>
      <w:r w:rsidR="00DA3AF0">
        <w:rPr>
          <w:rFonts w:cs="Times New Roman"/>
          <w:i/>
          <w:lang w:val="en-US"/>
        </w:rPr>
        <w:t xml:space="preserve"> </w:t>
      </w:r>
      <w:r w:rsidRPr="00283996">
        <w:rPr>
          <w:rFonts w:cs="Times New Roman"/>
          <w:i/>
          <w:lang w:val="en-US"/>
        </w:rPr>
        <w:t xml:space="preserve">v. </w:t>
      </w:r>
      <w:proofErr w:type="spellStart"/>
      <w:r w:rsidRPr="00283996">
        <w:rPr>
          <w:rFonts w:cs="Times New Roman"/>
          <w:i/>
          <w:lang w:val="en-US"/>
        </w:rPr>
        <w:t>Gélinas</w:t>
      </w:r>
      <w:proofErr w:type="spellEnd"/>
      <w:r w:rsidRPr="00283996">
        <w:rPr>
          <w:rFonts w:cs="Times New Roman"/>
          <w:lang w:val="en-US"/>
        </w:rPr>
        <w:t>, 2013 QCCS 1681, at para. 68 (</w:t>
      </w:r>
      <w:proofErr w:type="spellStart"/>
      <w:r w:rsidRPr="00283996">
        <w:rPr>
          <w:rFonts w:cs="Times New Roman"/>
          <w:lang w:val="en-US"/>
        </w:rPr>
        <w:t>CanLII</w:t>
      </w:r>
      <w:proofErr w:type="spellEnd"/>
      <w:r w:rsidRPr="00283996">
        <w:rPr>
          <w:rFonts w:cs="Times New Roman"/>
          <w:lang w:val="en-US"/>
        </w:rPr>
        <w:t xml:space="preserve">); see also </w:t>
      </w:r>
      <w:r w:rsidRPr="00283996">
        <w:rPr>
          <w:rFonts w:cs="Times New Roman"/>
          <w:i/>
          <w:lang w:val="en-US"/>
        </w:rPr>
        <w:t>Hill</w:t>
      </w:r>
      <w:r w:rsidRPr="00283996">
        <w:rPr>
          <w:rFonts w:cs="Times New Roman"/>
          <w:lang w:val="en-US"/>
        </w:rPr>
        <w:t xml:space="preserve">, at para. 73; </w:t>
      </w:r>
      <w:proofErr w:type="spellStart"/>
      <w:r w:rsidRPr="00283996">
        <w:rPr>
          <w:rFonts w:cs="Times New Roman"/>
          <w:i/>
          <w:lang w:val="en-US"/>
        </w:rPr>
        <w:t>Gounis</w:t>
      </w:r>
      <w:proofErr w:type="spellEnd"/>
      <w:r w:rsidRPr="00283996">
        <w:rPr>
          <w:rFonts w:cs="Times New Roman"/>
          <w:lang w:val="en-US"/>
        </w:rPr>
        <w:t xml:space="preserve">, at para. 29; </w:t>
      </w:r>
      <w:proofErr w:type="spellStart"/>
      <w:r w:rsidR="00DA3AF0">
        <w:rPr>
          <w:rFonts w:cs="Times New Roman"/>
          <w:i/>
          <w:lang w:val="en-US"/>
        </w:rPr>
        <w:t>Boisvenu</w:t>
      </w:r>
      <w:proofErr w:type="spellEnd"/>
      <w:r w:rsidR="00DA3AF0">
        <w:rPr>
          <w:rFonts w:cs="Times New Roman"/>
          <w:i/>
          <w:lang w:val="en-US"/>
        </w:rPr>
        <w:t xml:space="preserve"> </w:t>
      </w:r>
      <w:r w:rsidRPr="00283996">
        <w:rPr>
          <w:rFonts w:cs="Times New Roman"/>
          <w:i/>
          <w:lang w:val="en-US"/>
        </w:rPr>
        <w:t xml:space="preserve">v. </w:t>
      </w:r>
      <w:proofErr w:type="spellStart"/>
      <w:r w:rsidRPr="00283996">
        <w:rPr>
          <w:rFonts w:cs="Times New Roman"/>
          <w:i/>
          <w:lang w:val="en-US"/>
        </w:rPr>
        <w:t>Sherbrooke</w:t>
      </w:r>
      <w:proofErr w:type="spellEnd"/>
      <w:r w:rsidRPr="00283996">
        <w:rPr>
          <w:rFonts w:cs="Times New Roman"/>
          <w:i/>
          <w:lang w:val="en-US"/>
        </w:rPr>
        <w:t xml:space="preserve"> (Ville de)</w:t>
      </w:r>
      <w:r w:rsidRPr="00283996">
        <w:rPr>
          <w:rFonts w:cs="Times New Roman"/>
          <w:lang w:val="en-US"/>
        </w:rPr>
        <w:t>, 2009 QCCS 2688, at para. 79 (</w:t>
      </w:r>
      <w:proofErr w:type="spellStart"/>
      <w:r w:rsidRPr="00283996">
        <w:rPr>
          <w:rFonts w:cs="Times New Roman"/>
          <w:lang w:val="en-US"/>
        </w:rPr>
        <w:t>CanLII</w:t>
      </w:r>
      <w:proofErr w:type="spellEnd"/>
      <w:r w:rsidRPr="00283996">
        <w:rPr>
          <w:rFonts w:cs="Times New Roman"/>
          <w:lang w:val="en-US"/>
        </w:rPr>
        <w:t>)).</w:t>
      </w:r>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 xml:space="preserve">In this regard, I emphasize that a police officer’s conduct must be assessed in light of the law in force </w:t>
      </w:r>
      <w:r w:rsidRPr="00283996">
        <w:rPr>
          <w:rFonts w:cs="Times New Roman"/>
          <w:i/>
          <w:lang w:val="en-US"/>
        </w:rPr>
        <w:t>at the time of the events</w:t>
      </w:r>
      <w:r w:rsidRPr="00283996">
        <w:rPr>
          <w:rFonts w:cs="Times New Roman"/>
          <w:lang w:val="en-US"/>
        </w:rPr>
        <w:t xml:space="preserve"> (</w:t>
      </w:r>
      <w:r w:rsidRPr="00283996">
        <w:rPr>
          <w:rFonts w:cs="Times New Roman"/>
          <w:i/>
          <w:lang w:val="en-US"/>
        </w:rPr>
        <w:t>Hill</w:t>
      </w:r>
      <w:r w:rsidRPr="00283996">
        <w:rPr>
          <w:rFonts w:cs="Times New Roman"/>
          <w:lang w:val="en-US"/>
        </w:rPr>
        <w:t>, at para. </w:t>
      </w:r>
      <w:r w:rsidRPr="002035EE">
        <w:rPr>
          <w:rFonts w:cs="Times New Roman"/>
          <w:lang w:val="fr-CA"/>
        </w:rPr>
        <w:t xml:space="preserve">73; </w:t>
      </w:r>
      <w:r w:rsidRPr="002035EE">
        <w:rPr>
          <w:rFonts w:cs="Times New Roman"/>
          <w:i/>
          <w:lang w:val="fr-CA"/>
        </w:rPr>
        <w:t>St</w:t>
      </w:r>
      <w:r w:rsidRPr="002035EE">
        <w:rPr>
          <w:rFonts w:cs="Times New Roman"/>
          <w:i/>
          <w:lang w:val="fr-CA"/>
        </w:rPr>
        <w:noBreakHyphen/>
        <w:t>Martin</w:t>
      </w:r>
      <w:r w:rsidRPr="002035EE">
        <w:rPr>
          <w:rFonts w:cs="Times New Roman"/>
          <w:lang w:val="fr-CA"/>
        </w:rPr>
        <w:t xml:space="preserve">, at para. 94; </w:t>
      </w:r>
      <w:r w:rsidRPr="002035EE">
        <w:rPr>
          <w:rFonts w:cs="Times New Roman"/>
          <w:i/>
          <w:lang w:val="fr-CA"/>
        </w:rPr>
        <w:t>L. (J.)</w:t>
      </w:r>
      <w:r w:rsidRPr="002035EE">
        <w:rPr>
          <w:rFonts w:cs="Times New Roman"/>
          <w:lang w:val="fr-CA"/>
        </w:rPr>
        <w:t xml:space="preserve">, at para. 5; </w:t>
      </w:r>
      <w:r w:rsidRPr="002035EE">
        <w:rPr>
          <w:rFonts w:cs="Times New Roman"/>
          <w:i/>
          <w:lang w:val="fr-CA"/>
        </w:rPr>
        <w:t>Communauté urbaine de Montréal</w:t>
      </w:r>
      <w:r w:rsidR="00F820D0" w:rsidRPr="002035EE">
        <w:rPr>
          <w:rFonts w:cs="Times New Roman"/>
          <w:i/>
          <w:lang w:val="fr-CA"/>
        </w:rPr>
        <w:t xml:space="preserve"> </w:t>
      </w:r>
      <w:r w:rsidRPr="002035EE">
        <w:rPr>
          <w:rFonts w:cs="Times New Roman"/>
          <w:i/>
          <w:lang w:val="fr-CA"/>
        </w:rPr>
        <w:t>v. Cadieux</w:t>
      </w:r>
      <w:r w:rsidRPr="002035EE">
        <w:rPr>
          <w:rFonts w:cs="Times New Roman"/>
          <w:lang w:val="fr-CA"/>
        </w:rPr>
        <w:t>, [2002] R.J.D.T. 80 (Que. C.A.), at paras. </w:t>
      </w:r>
      <w:r w:rsidRPr="00283996">
        <w:rPr>
          <w:rFonts w:cs="Times New Roman"/>
          <w:lang w:val="en-US"/>
        </w:rPr>
        <w:t>39</w:t>
      </w:r>
      <w:r w:rsidRPr="00283996">
        <w:rPr>
          <w:rFonts w:cs="Times New Roman"/>
          <w:lang w:val="en-US"/>
        </w:rPr>
        <w:noBreakHyphen/>
        <w:t>41). An officer can hardly be faulted for applying a provision that was presumed to be valid, applicable and operative at the relevant time (</w:t>
      </w:r>
      <w:proofErr w:type="spellStart"/>
      <w:r w:rsidRPr="00283996">
        <w:rPr>
          <w:rFonts w:cs="Times New Roman"/>
          <w:i/>
          <w:lang w:val="en-US"/>
        </w:rPr>
        <w:t>Guimond</w:t>
      </w:r>
      <w:proofErr w:type="spellEnd"/>
      <w:r w:rsidRPr="00283996">
        <w:rPr>
          <w:rFonts w:cs="Times New Roman"/>
          <w:i/>
          <w:lang w:val="en-US"/>
        </w:rPr>
        <w:t xml:space="preserve"> v. Quebec (Attorney General)</w:t>
      </w:r>
      <w:r w:rsidRPr="00283996">
        <w:rPr>
          <w:rFonts w:cs="Times New Roman"/>
          <w:lang w:val="en-US"/>
        </w:rPr>
        <w:t>, [1996] 3 S.C.R. 347, at para. 14).</w:t>
      </w:r>
    </w:p>
    <w:p w:rsidR="003011EC" w:rsidRPr="00283996" w:rsidRDefault="003011EC" w:rsidP="003011EC">
      <w:pPr>
        <w:pStyle w:val="ParaNoNdepar-AltN"/>
        <w:tabs>
          <w:tab w:val="clear" w:pos="1152"/>
          <w:tab w:val="num" w:pos="1170"/>
        </w:tabs>
        <w:spacing w:before="0"/>
        <w:rPr>
          <w:rFonts w:cs="Times New Roman"/>
          <w:lang w:val="en-US"/>
        </w:rPr>
      </w:pPr>
      <w:r w:rsidRPr="00283996">
        <w:rPr>
          <w:rFonts w:cs="Times New Roman"/>
          <w:lang w:val="en-US"/>
        </w:rPr>
        <w:t>This brings me to the presumption of validity on which the opinion of the majority of the Court of Appeal is based, at least in part.</w:t>
      </w:r>
    </w:p>
    <w:p w:rsidR="003011EC" w:rsidRPr="00283996" w:rsidRDefault="003011EC" w:rsidP="003011EC">
      <w:pPr>
        <w:pStyle w:val="Title3LevelTitre3Niveau"/>
        <w:numPr>
          <w:ilvl w:val="2"/>
          <w:numId w:val="8"/>
        </w:numPr>
        <w:spacing w:before="0"/>
        <w:ind w:left="1166"/>
        <w:rPr>
          <w:rFonts w:cs="Times New Roman"/>
          <w:lang w:val="en-US"/>
        </w:rPr>
      </w:pPr>
      <w:bookmarkStart w:id="25" w:name="_Toc14257140"/>
      <w:bookmarkStart w:id="26" w:name="_Toc24710741"/>
      <w:r w:rsidRPr="00283996">
        <w:rPr>
          <w:rFonts w:cs="Times New Roman"/>
          <w:lang w:val="en-US"/>
        </w:rPr>
        <w:t>Presumption of Validity and Non</w:t>
      </w:r>
      <w:r w:rsidRPr="00283996">
        <w:rPr>
          <w:rFonts w:cs="Times New Roman"/>
          <w:lang w:val="en-US"/>
        </w:rPr>
        <w:noBreakHyphen/>
        <w:t>existence of an Offence</w:t>
      </w:r>
      <w:bookmarkEnd w:id="25"/>
      <w:bookmarkEnd w:id="26"/>
    </w:p>
    <w:p w:rsidR="003011EC" w:rsidRPr="00283996" w:rsidRDefault="003011EC" w:rsidP="003011EC">
      <w:pPr>
        <w:pStyle w:val="ParaNoNdepar-AltN"/>
        <w:spacing w:before="0"/>
        <w:rPr>
          <w:rFonts w:cs="Times New Roman"/>
          <w:lang w:val="en-US"/>
        </w:rPr>
      </w:pPr>
      <w:r w:rsidRPr="00283996">
        <w:rPr>
          <w:rFonts w:cs="Times New Roman"/>
          <w:lang w:val="en-US"/>
        </w:rPr>
        <w:t>In principle, police officers may presume that the provisions of the statutes, regulations and by</w:t>
      </w:r>
      <w:r w:rsidRPr="00283996">
        <w:rPr>
          <w:rFonts w:cs="Times New Roman"/>
          <w:lang w:val="en-US"/>
        </w:rPr>
        <w:noBreakHyphen/>
        <w:t>laws they are called upon to enforce are valid, applicable and operative. For example, it is not up to them to determine whether a regulation or by</w:t>
      </w:r>
      <w:r w:rsidRPr="00283996">
        <w:rPr>
          <w:rFonts w:cs="Times New Roman"/>
          <w:lang w:val="en-US"/>
        </w:rPr>
        <w:noBreakHyphen/>
        <w:t xml:space="preserve">law is consistent with its enabling legislation, the constitutional division of legislative powers or the </w:t>
      </w:r>
      <w:r w:rsidRPr="00283996">
        <w:rPr>
          <w:rFonts w:cs="Times New Roman"/>
          <w:i/>
          <w:lang w:val="en-US"/>
        </w:rPr>
        <w:t>Canadian Charter of Rights and Freedoms</w:t>
      </w:r>
      <w:r w:rsidRPr="00283996">
        <w:rPr>
          <w:rFonts w:cs="Times New Roman"/>
          <w:lang w:val="en-US"/>
        </w:rPr>
        <w:t xml:space="preserve"> (“</w:t>
      </w:r>
      <w:r w:rsidRPr="00283996">
        <w:rPr>
          <w:rFonts w:cs="Times New Roman"/>
          <w:i/>
          <w:lang w:val="en-US"/>
        </w:rPr>
        <w:t>Charter</w:t>
      </w:r>
      <w:r w:rsidRPr="00283996">
        <w:rPr>
          <w:rFonts w:cs="Times New Roman"/>
          <w:lang w:val="en-US"/>
        </w:rPr>
        <w:t xml:space="preserve">”) (see </w:t>
      </w:r>
      <w:r w:rsidRPr="00283996">
        <w:rPr>
          <w:rFonts w:cs="Times New Roman"/>
          <w:i/>
          <w:lang w:val="en-US"/>
        </w:rPr>
        <w:t>R. v. Wiley</w:t>
      </w:r>
      <w:r w:rsidRPr="00283996">
        <w:rPr>
          <w:rFonts w:cs="Times New Roman"/>
          <w:lang w:val="en-US"/>
        </w:rPr>
        <w:t xml:space="preserve">, [1993] 3 S.C.R. 263, at p. 279; </w:t>
      </w:r>
      <w:proofErr w:type="spellStart"/>
      <w:r w:rsidRPr="00283996">
        <w:rPr>
          <w:rFonts w:cs="Times New Roman"/>
          <w:i/>
          <w:lang w:val="en-US"/>
        </w:rPr>
        <w:t>Kokesch</w:t>
      </w:r>
      <w:proofErr w:type="spellEnd"/>
      <w:r w:rsidRPr="00283996">
        <w:rPr>
          <w:rFonts w:cs="Times New Roman"/>
          <w:lang w:val="en-US"/>
        </w:rPr>
        <w:t>, at pp. 33</w:t>
      </w:r>
      <w:r w:rsidRPr="00283996">
        <w:rPr>
          <w:rFonts w:cs="Times New Roman"/>
          <w:lang w:val="en-US"/>
        </w:rPr>
        <w:noBreakHyphen/>
        <w:t>34).</w:t>
      </w:r>
    </w:p>
    <w:p w:rsidR="003011EC" w:rsidRPr="00283996" w:rsidRDefault="003011EC" w:rsidP="003011EC">
      <w:pPr>
        <w:pStyle w:val="ParaNoNdepar-AltN"/>
        <w:tabs>
          <w:tab w:val="clear" w:pos="1152"/>
          <w:tab w:val="num" w:pos="1170"/>
        </w:tabs>
        <w:spacing w:before="0"/>
        <w:rPr>
          <w:rFonts w:cs="Times New Roman"/>
          <w:lang w:val="en-US"/>
        </w:rPr>
      </w:pPr>
      <w:r w:rsidRPr="00283996">
        <w:rPr>
          <w:rFonts w:cs="Times New Roman"/>
          <w:lang w:val="en-US"/>
        </w:rPr>
        <w:t>Indeed, under the presumption of validity, it is presumed that a provision was “</w:t>
      </w:r>
      <w:r w:rsidRPr="00283996">
        <w:rPr>
          <w:rFonts w:cs="Times New Roman"/>
          <w:i/>
          <w:lang w:val="en-US"/>
        </w:rPr>
        <w:t>in </w:t>
      </w:r>
      <w:proofErr w:type="gramStart"/>
      <w:r w:rsidRPr="00283996">
        <w:rPr>
          <w:rFonts w:cs="Times New Roman"/>
          <w:i/>
          <w:lang w:val="en-US"/>
        </w:rPr>
        <w:t>fact</w:t>
      </w:r>
      <w:r w:rsidRPr="00283996">
        <w:rPr>
          <w:rFonts w:cs="Times New Roman"/>
          <w:lang w:val="en-US"/>
        </w:rPr>
        <w:t> .</w:t>
      </w:r>
      <w:proofErr w:type="gramEnd"/>
      <w:r w:rsidRPr="00283996">
        <w:rPr>
          <w:rFonts w:cs="Times New Roman"/>
          <w:lang w:val="en-US"/>
        </w:rPr>
        <w:t xml:space="preserve"> . . validly enacted and therefore is to be given legal effect unless and until a court with the jurisdiction to do so declares it to be invalid” (R. Sullivan, </w:t>
      </w:r>
      <w:r w:rsidRPr="00283996">
        <w:rPr>
          <w:rFonts w:cs="Times New Roman"/>
          <w:i/>
          <w:iCs/>
          <w:lang w:val="en-US"/>
        </w:rPr>
        <w:t>Sullivan on the Construction of Statutes</w:t>
      </w:r>
      <w:r w:rsidRPr="00283996">
        <w:rPr>
          <w:rFonts w:cs="Times New Roman"/>
          <w:lang w:val="en-US"/>
        </w:rPr>
        <w:t xml:space="preserve"> (6th ed. 2014), at p. 523 (emphasis in original)). The presumption of validity thus places the burden on a challenger to demonstrate the </w:t>
      </w:r>
      <w:r w:rsidRPr="00283996">
        <w:rPr>
          <w:rFonts w:cs="Times New Roman"/>
          <w:lang w:val="en-US"/>
        </w:rPr>
        <w:lastRenderedPageBreak/>
        <w:t>invalidity of a provision rather than on the regulatory body that adopted the provision to justify it (</w:t>
      </w:r>
      <w:r w:rsidRPr="00283996">
        <w:rPr>
          <w:rFonts w:cs="Times New Roman"/>
          <w:i/>
          <w:lang w:val="en-US"/>
        </w:rPr>
        <w:t>Katz Group Canada Inc. v. Ontario (Health and Long</w:t>
      </w:r>
      <w:r w:rsidRPr="00283996">
        <w:rPr>
          <w:rFonts w:cs="Times New Roman"/>
          <w:i/>
          <w:lang w:val="en-US"/>
        </w:rPr>
        <w:noBreakHyphen/>
        <w:t>Term Care)</w:t>
      </w:r>
      <w:r w:rsidRPr="00283996">
        <w:rPr>
          <w:rFonts w:cs="Times New Roman"/>
          <w:lang w:val="en-US"/>
        </w:rPr>
        <w:t>, 2013 SCC 64, [2013] 3 S.C.R. 810, at para. 25; Sullivan, at p. 523). In the meantime, the requirements of the provision must be satisfied (</w:t>
      </w:r>
      <w:proofErr w:type="spellStart"/>
      <w:r w:rsidRPr="00283996">
        <w:rPr>
          <w:rFonts w:cs="Times New Roman"/>
          <w:i/>
          <w:lang w:val="en-US"/>
        </w:rPr>
        <w:t>Breslaw</w:t>
      </w:r>
      <w:proofErr w:type="spellEnd"/>
      <w:r w:rsidRPr="00283996">
        <w:rPr>
          <w:rFonts w:cs="Times New Roman"/>
          <w:i/>
          <w:lang w:val="en-US"/>
        </w:rPr>
        <w:t> v. Montreal (City)</w:t>
      </w:r>
      <w:r w:rsidRPr="00283996">
        <w:rPr>
          <w:rFonts w:cs="Times New Roman"/>
          <w:lang w:val="en-US"/>
        </w:rPr>
        <w:t xml:space="preserve">, 2009 SCC 44, [2009] 3 S.C.R. 131, at para. 23). Moreover, in the municipal context in Quebec, s. 364 of the </w:t>
      </w:r>
      <w:r w:rsidRPr="00283996">
        <w:rPr>
          <w:rFonts w:cs="Times New Roman"/>
          <w:i/>
          <w:lang w:val="en-US"/>
        </w:rPr>
        <w:t>Cities and Towns Act</w:t>
      </w:r>
      <w:r w:rsidRPr="00283996">
        <w:rPr>
          <w:rFonts w:cs="Times New Roman"/>
          <w:lang w:val="en-US"/>
        </w:rPr>
        <w:t>, CQLR, c. C</w:t>
      </w:r>
      <w:r w:rsidRPr="00283996">
        <w:rPr>
          <w:rFonts w:cs="Times New Roman"/>
          <w:lang w:val="en-US"/>
        </w:rPr>
        <w:noBreakHyphen/>
        <w:t xml:space="preserve">19, and art. 452 of the </w:t>
      </w:r>
      <w:r w:rsidRPr="00283996">
        <w:rPr>
          <w:rFonts w:cs="Times New Roman"/>
          <w:i/>
          <w:lang w:val="en-US"/>
        </w:rPr>
        <w:t>Municipal Code of Québec</w:t>
      </w:r>
      <w:r w:rsidRPr="00283996">
        <w:rPr>
          <w:rFonts w:cs="Times New Roman"/>
          <w:lang w:val="en-US"/>
        </w:rPr>
        <w:t>, CQLR, c. C</w:t>
      </w:r>
      <w:r w:rsidRPr="00283996">
        <w:rPr>
          <w:rFonts w:cs="Times New Roman"/>
          <w:lang w:val="en-US"/>
        </w:rPr>
        <w:noBreakHyphen/>
        <w:t>27.1, specifically state that every by</w:t>
      </w:r>
      <w:r w:rsidRPr="00283996">
        <w:rPr>
          <w:rFonts w:cs="Times New Roman"/>
          <w:lang w:val="en-US"/>
        </w:rPr>
        <w:noBreakHyphen/>
        <w:t>law remains in force and executory until it has been annulled by a competent authority (see J. </w:t>
      </w:r>
      <w:proofErr w:type="spellStart"/>
      <w:r w:rsidRPr="00283996">
        <w:rPr>
          <w:rFonts w:cs="Times New Roman"/>
          <w:lang w:val="en-US"/>
        </w:rPr>
        <w:t>Hétu</w:t>
      </w:r>
      <w:proofErr w:type="spellEnd"/>
      <w:r w:rsidRPr="00283996">
        <w:rPr>
          <w:rFonts w:cs="Times New Roman"/>
          <w:lang w:val="en-US"/>
        </w:rPr>
        <w:t xml:space="preserve"> and Y. </w:t>
      </w:r>
      <w:proofErr w:type="spellStart"/>
      <w:r w:rsidRPr="00283996">
        <w:rPr>
          <w:rFonts w:cs="Times New Roman"/>
          <w:lang w:val="en-US"/>
        </w:rPr>
        <w:t>Duplessis</w:t>
      </w:r>
      <w:proofErr w:type="spellEnd"/>
      <w:r w:rsidRPr="00283996">
        <w:rPr>
          <w:rFonts w:cs="Times New Roman"/>
          <w:lang w:val="en-US"/>
        </w:rPr>
        <w:t xml:space="preserve">, with </w:t>
      </w:r>
      <w:r w:rsidR="00D031F7">
        <w:rPr>
          <w:rFonts w:cs="Times New Roman"/>
          <w:lang w:val="en-US"/>
        </w:rPr>
        <w:t xml:space="preserve">the collaboration of </w:t>
      </w:r>
      <w:r w:rsidRPr="00283996">
        <w:rPr>
          <w:rFonts w:cs="Times New Roman"/>
          <w:lang w:val="en-US"/>
        </w:rPr>
        <w:t>L. </w:t>
      </w:r>
      <w:proofErr w:type="spellStart"/>
      <w:r w:rsidRPr="00283996">
        <w:rPr>
          <w:rFonts w:cs="Times New Roman"/>
          <w:lang w:val="en-US"/>
        </w:rPr>
        <w:t>Vézina</w:t>
      </w:r>
      <w:proofErr w:type="spellEnd"/>
      <w:r w:rsidRPr="00283996">
        <w:rPr>
          <w:rFonts w:cs="Times New Roman"/>
          <w:lang w:val="en-US"/>
        </w:rPr>
        <w:t>,</w:t>
      </w:r>
      <w:r w:rsidRPr="00283996">
        <w:rPr>
          <w:rFonts w:cs="Times New Roman"/>
          <w:i/>
          <w:lang w:val="en-US"/>
        </w:rPr>
        <w:t xml:space="preserve"> Droit municipal: </w:t>
      </w:r>
      <w:proofErr w:type="spellStart"/>
      <w:proofErr w:type="gramStart"/>
      <w:r w:rsidRPr="00283996">
        <w:rPr>
          <w:rFonts w:cs="Times New Roman"/>
          <w:i/>
          <w:lang w:val="en-US"/>
        </w:rPr>
        <w:t>Principes</w:t>
      </w:r>
      <w:proofErr w:type="spellEnd"/>
      <w:proofErr w:type="gramEnd"/>
      <w:r w:rsidRPr="00283996">
        <w:rPr>
          <w:rFonts w:cs="Times New Roman"/>
          <w:i/>
          <w:lang w:val="en-US"/>
        </w:rPr>
        <w:t xml:space="preserve"> </w:t>
      </w:r>
      <w:proofErr w:type="spellStart"/>
      <w:r w:rsidRPr="00283996">
        <w:rPr>
          <w:rFonts w:cs="Times New Roman"/>
          <w:i/>
          <w:lang w:val="en-US"/>
        </w:rPr>
        <w:t>généraux</w:t>
      </w:r>
      <w:proofErr w:type="spellEnd"/>
      <w:r w:rsidRPr="00283996">
        <w:rPr>
          <w:rFonts w:cs="Times New Roman"/>
          <w:i/>
          <w:lang w:val="en-US"/>
        </w:rPr>
        <w:t xml:space="preserve"> et </w:t>
      </w:r>
      <w:proofErr w:type="spellStart"/>
      <w:r w:rsidRPr="00283996">
        <w:rPr>
          <w:rFonts w:cs="Times New Roman"/>
          <w:i/>
          <w:lang w:val="en-US"/>
        </w:rPr>
        <w:t>contentieux</w:t>
      </w:r>
      <w:proofErr w:type="spellEnd"/>
      <w:r w:rsidRPr="00283996">
        <w:rPr>
          <w:rFonts w:cs="Times New Roman"/>
          <w:lang w:val="en-US"/>
        </w:rPr>
        <w:t xml:space="preserve"> (2nd ed. (loose</w:t>
      </w:r>
      <w:r w:rsidRPr="00283996">
        <w:rPr>
          <w:rFonts w:cs="Times New Roman"/>
          <w:lang w:val="en-US"/>
        </w:rPr>
        <w:noBreakHyphen/>
        <w:t>leaf)), vol. 1, at p. 8151).</w:t>
      </w:r>
    </w:p>
    <w:p w:rsidR="003011EC" w:rsidRPr="00283996" w:rsidRDefault="003011EC" w:rsidP="003011EC">
      <w:pPr>
        <w:pStyle w:val="ParaNoNdepar-AltN"/>
        <w:spacing w:before="0"/>
        <w:rPr>
          <w:rFonts w:cs="Times New Roman"/>
          <w:lang w:val="en-US"/>
        </w:rPr>
      </w:pPr>
      <w:r w:rsidRPr="00283996">
        <w:rPr>
          <w:rFonts w:cs="Times New Roman"/>
          <w:lang w:val="en-US"/>
        </w:rPr>
        <w:t>However, the presumption that a provision is valid does not extend to the very existence or scope of an offence. In fact, “[</w:t>
      </w:r>
      <w:proofErr w:type="spellStart"/>
      <w:r w:rsidRPr="00283996">
        <w:rPr>
          <w:rFonts w:cs="Times New Roman"/>
          <w:lang w:val="en-US"/>
        </w:rPr>
        <w:t>i</w:t>
      </w:r>
      <w:proofErr w:type="spellEnd"/>
      <w:r w:rsidRPr="00283996">
        <w:rPr>
          <w:rFonts w:cs="Times New Roman"/>
          <w:lang w:val="en-US"/>
        </w:rPr>
        <w:t>]t says nothing about the interpretation of the legislation [or regulation or by</w:t>
      </w:r>
      <w:r w:rsidRPr="00283996">
        <w:rPr>
          <w:rFonts w:cs="Times New Roman"/>
          <w:lang w:val="en-US"/>
        </w:rPr>
        <w:noBreakHyphen/>
        <w:t>law] whose validity is being challenged” (Sullivan, at p. 523).</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It is therefore important to distinguish the legal existence and scope of an offence from its validity. The existence and scope of a provision creating an offence — like any provision — are related to the </w:t>
      </w:r>
      <w:r w:rsidRPr="00283996">
        <w:rPr>
          <w:rFonts w:cs="Times New Roman"/>
          <w:i/>
          <w:lang w:val="en-US"/>
        </w:rPr>
        <w:t>intention</w:t>
      </w:r>
      <w:r w:rsidRPr="00283996">
        <w:rPr>
          <w:rFonts w:cs="Times New Roman"/>
          <w:lang w:val="en-US"/>
        </w:rPr>
        <w:t xml:space="preserve"> of the legislature or regulatory body concerned. What must essentially be determined is whether that authority, through a statute, regulation or by</w:t>
      </w:r>
      <w:r w:rsidRPr="00283996">
        <w:rPr>
          <w:rFonts w:cs="Times New Roman"/>
          <w:lang w:val="en-US"/>
        </w:rPr>
        <w:noBreakHyphen/>
        <w:t xml:space="preserve">law, expressed the intention to prohibit the conduct in question. By contrast, the validity of a provision rests on its </w:t>
      </w:r>
      <w:r w:rsidRPr="00283996">
        <w:rPr>
          <w:rFonts w:cs="Times New Roman"/>
          <w:i/>
          <w:lang w:val="en-US"/>
        </w:rPr>
        <w:t>compliance</w:t>
      </w:r>
      <w:r w:rsidRPr="00283996">
        <w:rPr>
          <w:rFonts w:cs="Times New Roman"/>
          <w:lang w:val="en-US"/>
        </w:rPr>
        <w:t xml:space="preserve"> with constitutional requirements and, in the case of a regulation or by</w:t>
      </w:r>
      <w:r w:rsidRPr="00283996">
        <w:rPr>
          <w:rFonts w:cs="Times New Roman"/>
          <w:lang w:val="en-US"/>
        </w:rPr>
        <w:noBreakHyphen/>
        <w:t xml:space="preserve">law, with the enabling legislation </w:t>
      </w:r>
      <w:r w:rsidRPr="00283996">
        <w:rPr>
          <w:rFonts w:cs="Times New Roman"/>
          <w:lang w:val="en-US"/>
        </w:rPr>
        <w:lastRenderedPageBreak/>
        <w:t>and the general principles of administrative law (see, e.g., P. </w:t>
      </w:r>
      <w:proofErr w:type="spellStart"/>
      <w:r w:rsidRPr="00283996">
        <w:rPr>
          <w:rFonts w:cs="Times New Roman"/>
          <w:lang w:val="en-US"/>
        </w:rPr>
        <w:t>Garant</w:t>
      </w:r>
      <w:proofErr w:type="spellEnd"/>
      <w:r w:rsidRPr="00283996">
        <w:rPr>
          <w:rFonts w:cs="Times New Roman"/>
          <w:lang w:val="en-US"/>
        </w:rPr>
        <w:t xml:space="preserve">, </w:t>
      </w:r>
      <w:r w:rsidRPr="00283996">
        <w:rPr>
          <w:rFonts w:cs="Times New Roman"/>
          <w:i/>
          <w:lang w:val="en-US"/>
        </w:rPr>
        <w:t xml:space="preserve">Droit </w:t>
      </w:r>
      <w:proofErr w:type="spellStart"/>
      <w:r w:rsidRPr="00283996">
        <w:rPr>
          <w:rFonts w:cs="Times New Roman"/>
          <w:i/>
          <w:lang w:val="en-US"/>
        </w:rPr>
        <w:t>administratif</w:t>
      </w:r>
      <w:proofErr w:type="spellEnd"/>
      <w:r w:rsidRPr="00283996">
        <w:rPr>
          <w:rFonts w:cs="Times New Roman"/>
          <w:lang w:val="en-US"/>
        </w:rPr>
        <w:t xml:space="preserve"> </w:t>
      </w:r>
      <w:r w:rsidR="00B04B8F">
        <w:rPr>
          <w:rFonts w:cs="Times New Roman"/>
          <w:lang w:val="en-US"/>
        </w:rPr>
        <w:t>(7th ed. 2017), at pp. 287</w:t>
      </w:r>
      <w:r w:rsidR="00B04B8F">
        <w:rPr>
          <w:rFonts w:cs="Times New Roman"/>
          <w:lang w:val="en-US"/>
        </w:rPr>
        <w:noBreakHyphen/>
        <w:t xml:space="preserve">345; </w:t>
      </w:r>
      <w:proofErr w:type="spellStart"/>
      <w:r w:rsidRPr="00283996">
        <w:rPr>
          <w:rFonts w:cs="Times New Roman"/>
          <w:lang w:val="en-US"/>
        </w:rPr>
        <w:t>Hétu</w:t>
      </w:r>
      <w:proofErr w:type="spellEnd"/>
      <w:r w:rsidRPr="00283996">
        <w:rPr>
          <w:rFonts w:cs="Times New Roman"/>
          <w:lang w:val="en-US"/>
        </w:rPr>
        <w:t xml:space="preserve"> and </w:t>
      </w:r>
      <w:proofErr w:type="spellStart"/>
      <w:r w:rsidRPr="00283996">
        <w:rPr>
          <w:rFonts w:cs="Times New Roman"/>
          <w:lang w:val="en-US"/>
        </w:rPr>
        <w:t>Duplessis</w:t>
      </w:r>
      <w:proofErr w:type="spellEnd"/>
      <w:r w:rsidRPr="00283996">
        <w:rPr>
          <w:rFonts w:cs="Times New Roman"/>
          <w:lang w:val="en-US"/>
        </w:rPr>
        <w:t>, vol. 1, at pp. 8021</w:t>
      </w:r>
      <w:r w:rsidRPr="00283996">
        <w:rPr>
          <w:rFonts w:cs="Times New Roman"/>
          <w:lang w:val="en-US"/>
        </w:rPr>
        <w:noBreakHyphen/>
        <w:t>8291; G. </w:t>
      </w:r>
      <w:proofErr w:type="spellStart"/>
      <w:r w:rsidRPr="00283996">
        <w:rPr>
          <w:rFonts w:cs="Times New Roman"/>
          <w:lang w:val="en-US"/>
        </w:rPr>
        <w:t>Régimbald</w:t>
      </w:r>
      <w:proofErr w:type="spellEnd"/>
      <w:r w:rsidRPr="00283996">
        <w:rPr>
          <w:rFonts w:cs="Times New Roman"/>
          <w:lang w:val="en-US"/>
        </w:rPr>
        <w:t xml:space="preserve">, </w:t>
      </w:r>
      <w:r w:rsidRPr="00283996">
        <w:rPr>
          <w:rFonts w:cs="Times New Roman"/>
          <w:i/>
          <w:lang w:val="en-US"/>
        </w:rPr>
        <w:t>Canadian Administrative Law</w:t>
      </w:r>
      <w:r w:rsidRPr="00283996">
        <w:rPr>
          <w:rFonts w:cs="Times New Roman"/>
          <w:lang w:val="en-US"/>
        </w:rPr>
        <w:t xml:space="preserve"> (2nd ed. 2015), at pp. 151</w:t>
      </w:r>
      <w:r w:rsidRPr="00283996">
        <w:rPr>
          <w:rFonts w:cs="Times New Roman"/>
          <w:lang w:val="en-US"/>
        </w:rPr>
        <w:noBreakHyphen/>
        <w:t>64; Sullivan, at pp. 523</w:t>
      </w:r>
      <w:r w:rsidRPr="00283996">
        <w:rPr>
          <w:rFonts w:cs="Times New Roman"/>
          <w:lang w:val="en-US"/>
        </w:rPr>
        <w:noBreakHyphen/>
        <w:t>24).</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In the civil liability context, the corollary of the presumption of validity is that the mere enforcement of a provision that is subsequently declared invalid will generally not be considered a fault — absent bad faith or conduct that is abusive or otherwise wrongful, of course (see </w:t>
      </w:r>
      <w:proofErr w:type="spellStart"/>
      <w:r w:rsidRPr="00283996">
        <w:rPr>
          <w:rFonts w:cs="Times New Roman"/>
          <w:i/>
          <w:lang w:val="en-US"/>
        </w:rPr>
        <w:t>Mackin</w:t>
      </w:r>
      <w:proofErr w:type="spellEnd"/>
      <w:r w:rsidR="00B04B8F">
        <w:rPr>
          <w:rFonts w:cs="Times New Roman"/>
          <w:i/>
          <w:lang w:val="en-US"/>
        </w:rPr>
        <w:t xml:space="preserve"> </w:t>
      </w:r>
      <w:r w:rsidRPr="00283996">
        <w:rPr>
          <w:rFonts w:cs="Times New Roman"/>
          <w:i/>
          <w:lang w:val="en-US"/>
        </w:rPr>
        <w:t>v. New Brunswick (Minister of Finance)</w:t>
      </w:r>
      <w:r w:rsidR="00B04B8F">
        <w:rPr>
          <w:rFonts w:cs="Times New Roman"/>
          <w:lang w:val="en-US"/>
        </w:rPr>
        <w:t xml:space="preserve">, 2002 SCC 13, [2002] 1 </w:t>
      </w:r>
      <w:r w:rsidRPr="00283996">
        <w:rPr>
          <w:rFonts w:cs="Times New Roman"/>
          <w:lang w:val="en-US"/>
        </w:rPr>
        <w:t>S.C.R. 405, at paras. 78</w:t>
      </w:r>
      <w:r w:rsidRPr="00283996">
        <w:rPr>
          <w:rFonts w:cs="Times New Roman"/>
          <w:lang w:val="en-US"/>
        </w:rPr>
        <w:noBreakHyphen/>
        <w:t xml:space="preserve">79; </w:t>
      </w:r>
      <w:proofErr w:type="spellStart"/>
      <w:r w:rsidRPr="00283996">
        <w:rPr>
          <w:rFonts w:cs="Times New Roman"/>
          <w:i/>
          <w:lang w:val="en-US"/>
        </w:rPr>
        <w:t>Guimond</w:t>
      </w:r>
      <w:proofErr w:type="spellEnd"/>
      <w:r w:rsidRPr="00283996">
        <w:rPr>
          <w:rFonts w:cs="Times New Roman"/>
          <w:lang w:val="en-US"/>
        </w:rPr>
        <w:t>, at paras. 13</w:t>
      </w:r>
      <w:r w:rsidRPr="00283996">
        <w:rPr>
          <w:rFonts w:cs="Times New Roman"/>
          <w:lang w:val="en-US"/>
        </w:rPr>
        <w:noBreakHyphen/>
        <w:t xml:space="preserve">19; </w:t>
      </w:r>
      <w:proofErr w:type="spellStart"/>
      <w:r w:rsidRPr="00283996">
        <w:rPr>
          <w:rFonts w:cs="Times New Roman"/>
          <w:i/>
          <w:lang w:val="en-US"/>
        </w:rPr>
        <w:t>Beauchemin</w:t>
      </w:r>
      <w:proofErr w:type="spellEnd"/>
      <w:r w:rsidRPr="00283996">
        <w:rPr>
          <w:rFonts w:cs="Times New Roman"/>
          <w:lang w:val="en-US"/>
        </w:rPr>
        <w:t xml:space="preserve"> </w:t>
      </w:r>
      <w:r w:rsidRPr="00283996">
        <w:rPr>
          <w:rFonts w:cs="Times New Roman"/>
          <w:i/>
          <w:lang w:val="en-US"/>
        </w:rPr>
        <w:t xml:space="preserve">v. </w:t>
      </w:r>
      <w:proofErr w:type="spellStart"/>
      <w:r w:rsidRPr="00283996">
        <w:rPr>
          <w:rFonts w:cs="Times New Roman"/>
          <w:i/>
          <w:lang w:val="en-US"/>
        </w:rPr>
        <w:t>Blainville</w:t>
      </w:r>
      <w:proofErr w:type="spellEnd"/>
      <w:r w:rsidRPr="00283996">
        <w:rPr>
          <w:rFonts w:cs="Times New Roman"/>
          <w:i/>
          <w:lang w:val="en-US"/>
        </w:rPr>
        <w:t xml:space="preserve"> (Town)</w:t>
      </w:r>
      <w:r w:rsidRPr="00283996">
        <w:rPr>
          <w:rFonts w:cs="Times New Roman"/>
          <w:lang w:val="en-US"/>
        </w:rPr>
        <w:t xml:space="preserve"> (2003), 231 D.L.R. (4th) 706 (Que. C.A.), at para. 57). The legitimate action of the state and of legal persons established in the public interest would be unduly hampered if their representatives — including police officers — could not presume that provisions are valid. This is why, as I stated above, their liability should be assessed by reference to the [</w:t>
      </w:r>
      <w:r w:rsidRPr="00283996">
        <w:rPr>
          <w:rFonts w:cs="Times New Roman"/>
          <w:smallCaps/>
          <w:lang w:val="en-US"/>
        </w:rPr>
        <w:t>translation</w:t>
      </w:r>
      <w:r w:rsidRPr="00283996">
        <w:rPr>
          <w:rFonts w:cs="Times New Roman"/>
          <w:lang w:val="en-US"/>
        </w:rPr>
        <w:t xml:space="preserve">] “law as it </w:t>
      </w:r>
      <w:r w:rsidRPr="00283996">
        <w:rPr>
          <w:rFonts w:cs="Times New Roman"/>
          <w:u w:val="single"/>
          <w:lang w:val="en-US"/>
        </w:rPr>
        <w:t>existed</w:t>
      </w:r>
      <w:r w:rsidRPr="00283996">
        <w:rPr>
          <w:rFonts w:cs="Times New Roman"/>
          <w:lang w:val="en-US"/>
        </w:rPr>
        <w:t xml:space="preserve"> at the time of the impugned act” (</w:t>
      </w:r>
      <w:proofErr w:type="spellStart"/>
      <w:r w:rsidRPr="00283996">
        <w:rPr>
          <w:rFonts w:cs="Times New Roman"/>
          <w:i/>
          <w:lang w:val="en-US"/>
        </w:rPr>
        <w:t>Cadieux</w:t>
      </w:r>
      <w:proofErr w:type="spellEnd"/>
      <w:r w:rsidRPr="00283996">
        <w:rPr>
          <w:rFonts w:cs="Times New Roman"/>
          <w:lang w:val="en-US"/>
        </w:rPr>
        <w:t>, at para. 39 (emphasis added)).</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However, the presumption of validity does not allow the very </w:t>
      </w:r>
      <w:r w:rsidRPr="00283996">
        <w:rPr>
          <w:rFonts w:cs="Times New Roman"/>
          <w:i/>
          <w:lang w:val="en-US"/>
        </w:rPr>
        <w:t xml:space="preserve">existence </w:t>
      </w:r>
      <w:r w:rsidRPr="00283996">
        <w:rPr>
          <w:rFonts w:cs="Times New Roman"/>
          <w:lang w:val="en-US"/>
        </w:rPr>
        <w:t xml:space="preserve">of an offence to be assumed. In other words, although an existing offence must be presumed to be </w:t>
      </w:r>
      <w:r w:rsidRPr="00283996">
        <w:rPr>
          <w:rFonts w:cs="Times New Roman"/>
          <w:i/>
          <w:lang w:val="en-US"/>
        </w:rPr>
        <w:t>valid</w:t>
      </w:r>
      <w:r w:rsidRPr="00283996">
        <w:rPr>
          <w:rFonts w:cs="Times New Roman"/>
          <w:lang w:val="en-US"/>
        </w:rPr>
        <w:t xml:space="preserve">, an offence is not presumed to </w:t>
      </w:r>
      <w:r w:rsidRPr="00283996">
        <w:rPr>
          <w:rFonts w:cs="Times New Roman"/>
          <w:i/>
          <w:lang w:val="en-US"/>
        </w:rPr>
        <w:t>exist</w:t>
      </w:r>
      <w:r w:rsidRPr="00283996">
        <w:rPr>
          <w:rFonts w:cs="Times New Roman"/>
          <w:lang w:val="en-US"/>
        </w:rPr>
        <w:t xml:space="preserve"> simply because the state, a legal person established in the public interest or one of their representatives </w:t>
      </w:r>
      <w:r w:rsidRPr="00283996">
        <w:rPr>
          <w:rFonts w:cs="Times New Roman"/>
          <w:i/>
          <w:lang w:val="en-US"/>
        </w:rPr>
        <w:t xml:space="preserve">believes </w:t>
      </w:r>
      <w:r w:rsidRPr="00283996">
        <w:rPr>
          <w:rFonts w:cs="Times New Roman"/>
          <w:lang w:val="en-US"/>
        </w:rPr>
        <w:t>that it exists. There can be no justification for giving effect to legislation, regulations or by</w:t>
      </w:r>
      <w:r w:rsidRPr="00283996">
        <w:rPr>
          <w:rFonts w:cs="Times New Roman"/>
          <w:lang w:val="en-US"/>
        </w:rPr>
        <w:noBreakHyphen/>
        <w:t>laws that have never in fact been passed or made.</w:t>
      </w:r>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It is, I agree, undoubtedly rare for a police officer to think that an offence exists when it is in reality non</w:t>
      </w:r>
      <w:r w:rsidRPr="00283996">
        <w:rPr>
          <w:rFonts w:cs="Times New Roman"/>
          <w:lang w:val="en-US"/>
        </w:rPr>
        <w:noBreakHyphen/>
        <w:t xml:space="preserve">existent. But it may happen that the state, a legal person established in the public interest or one of their representatives mistakenly believes that an act or omission constitutes an offence because of an error regarding the scope of a law. In </w:t>
      </w:r>
      <w:r w:rsidRPr="00283996">
        <w:rPr>
          <w:rFonts w:cs="Times New Roman"/>
          <w:i/>
          <w:lang w:val="en-US"/>
        </w:rPr>
        <w:t xml:space="preserve">Ryan v. </w:t>
      </w:r>
      <w:proofErr w:type="spellStart"/>
      <w:r w:rsidRPr="00283996">
        <w:rPr>
          <w:rFonts w:cs="Times New Roman"/>
          <w:i/>
          <w:lang w:val="en-US"/>
        </w:rPr>
        <w:t>Auclair</w:t>
      </w:r>
      <w:proofErr w:type="spellEnd"/>
      <w:r w:rsidRPr="00283996">
        <w:rPr>
          <w:rFonts w:cs="Times New Roman"/>
          <w:i/>
          <w:lang w:val="en-US"/>
        </w:rPr>
        <w:t xml:space="preserve"> </w:t>
      </w:r>
      <w:r w:rsidRPr="00283996">
        <w:rPr>
          <w:rFonts w:cs="Times New Roman"/>
          <w:lang w:val="en-US"/>
        </w:rPr>
        <w:t>(1989), 60 D.L.R. (4th) 212, for example, the Quebec Court of Appeal had to determine whether police officers had committed a fault by arresting nuns who had distributed religious tracts door to door. The nuns argued that the municipal by</w:t>
      </w:r>
      <w:r w:rsidRPr="00283996">
        <w:rPr>
          <w:rFonts w:cs="Times New Roman"/>
          <w:lang w:val="en-US"/>
        </w:rPr>
        <w:noBreakHyphen/>
        <w:t xml:space="preserve">law prohibiting the distribution of circulars applied only to commercial leaflets. Although the court ultimately did not find the police officers civilly liable, it did not </w:t>
      </w:r>
      <w:r w:rsidRPr="00283996">
        <w:rPr>
          <w:rFonts w:cs="Times New Roman"/>
          <w:i/>
          <w:lang w:val="en-US"/>
        </w:rPr>
        <w:t>presume</w:t>
      </w:r>
      <w:r w:rsidRPr="00283996">
        <w:rPr>
          <w:rFonts w:cs="Times New Roman"/>
          <w:lang w:val="en-US"/>
        </w:rPr>
        <w:t xml:space="preserve"> that their interpretation was correct. Moreover, in </w:t>
      </w:r>
      <w:proofErr w:type="spellStart"/>
      <w:r w:rsidRPr="00283996">
        <w:rPr>
          <w:rFonts w:cs="Times New Roman"/>
          <w:i/>
          <w:lang w:val="en-US"/>
        </w:rPr>
        <w:t>Procureur</w:t>
      </w:r>
      <w:proofErr w:type="spellEnd"/>
      <w:r w:rsidRPr="00283996">
        <w:rPr>
          <w:rFonts w:cs="Times New Roman"/>
          <w:i/>
          <w:lang w:val="en-US"/>
        </w:rPr>
        <w:t xml:space="preserve"> </w:t>
      </w:r>
      <w:proofErr w:type="spellStart"/>
      <w:r w:rsidRPr="00283996">
        <w:rPr>
          <w:rFonts w:cs="Times New Roman"/>
          <w:i/>
          <w:lang w:val="en-US"/>
        </w:rPr>
        <w:t>général</w:t>
      </w:r>
      <w:proofErr w:type="spellEnd"/>
      <w:r w:rsidRPr="00283996">
        <w:rPr>
          <w:rFonts w:cs="Times New Roman"/>
          <w:i/>
          <w:lang w:val="en-US"/>
        </w:rPr>
        <w:t xml:space="preserve"> du Québec v. Ouellet</w:t>
      </w:r>
      <w:r w:rsidRPr="00283996">
        <w:rPr>
          <w:rFonts w:cs="Times New Roman"/>
          <w:lang w:val="en-US"/>
        </w:rPr>
        <w:t>,</w:t>
      </w:r>
      <w:r w:rsidRPr="00283996">
        <w:rPr>
          <w:rFonts w:cs="Times New Roman"/>
          <w:i/>
          <w:lang w:val="en-US"/>
        </w:rPr>
        <w:t xml:space="preserve"> </w:t>
      </w:r>
      <w:r w:rsidRPr="00283996">
        <w:rPr>
          <w:rFonts w:cs="Times New Roman"/>
          <w:lang w:val="en-US"/>
        </w:rPr>
        <w:t xml:space="preserve">1998 </w:t>
      </w:r>
      <w:proofErr w:type="spellStart"/>
      <w:r w:rsidRPr="00283996">
        <w:rPr>
          <w:rFonts w:cs="Times New Roman"/>
          <w:lang w:val="en-US"/>
        </w:rPr>
        <w:t>CanLII</w:t>
      </w:r>
      <w:proofErr w:type="spellEnd"/>
      <w:r w:rsidRPr="00283996">
        <w:rPr>
          <w:rFonts w:cs="Times New Roman"/>
          <w:lang w:val="en-US"/>
        </w:rPr>
        <w:t xml:space="preserve"> 12543, the Court of Appeal upheld a decision awarding damages to the operator of a business that sold products for making wine, cider and beer following a seizure based on an offence that did not actually exist under the </w:t>
      </w:r>
      <w:r w:rsidRPr="00283996">
        <w:rPr>
          <w:rFonts w:cs="Times New Roman"/>
          <w:i/>
          <w:lang w:val="en-US"/>
        </w:rPr>
        <w:t xml:space="preserve">Act respecting the </w:t>
      </w:r>
      <w:proofErr w:type="spellStart"/>
      <w:r w:rsidRPr="00283996">
        <w:rPr>
          <w:rFonts w:cs="Times New Roman"/>
          <w:i/>
          <w:lang w:val="en-US"/>
        </w:rPr>
        <w:t>Société</w:t>
      </w:r>
      <w:proofErr w:type="spellEnd"/>
      <w:r w:rsidRPr="00283996">
        <w:rPr>
          <w:rFonts w:cs="Times New Roman"/>
          <w:i/>
          <w:lang w:val="en-US"/>
        </w:rPr>
        <w:t xml:space="preserve"> des </w:t>
      </w:r>
      <w:proofErr w:type="spellStart"/>
      <w:r w:rsidRPr="00283996">
        <w:rPr>
          <w:rFonts w:cs="Times New Roman"/>
          <w:i/>
          <w:lang w:val="en-US"/>
        </w:rPr>
        <w:t>alcools</w:t>
      </w:r>
      <w:proofErr w:type="spellEnd"/>
      <w:r w:rsidRPr="00283996">
        <w:rPr>
          <w:rFonts w:cs="Times New Roman"/>
          <w:i/>
          <w:lang w:val="en-US"/>
        </w:rPr>
        <w:t xml:space="preserve"> du Québec</w:t>
      </w:r>
      <w:r w:rsidRPr="00283996">
        <w:rPr>
          <w:rFonts w:cs="Times New Roman"/>
          <w:lang w:val="en-US"/>
        </w:rPr>
        <w:t>, R.S.Q., c. S</w:t>
      </w:r>
      <w:r w:rsidRPr="00283996">
        <w:rPr>
          <w:rFonts w:cs="Times New Roman"/>
          <w:lang w:val="en-US"/>
        </w:rPr>
        <w:noBreakHyphen/>
        <w:t>13. In each of those decisions, the presumption of validity played no role in the assessment of civil liability. The reasoning remains the same, regardless of the reason for the police officer’s error. Whether the officer believes that an act or omission constitutes an offence because of an error regarding the scope of a law or an error regarding the existence of a law, the presumption of validity is of no assistance to the officer.</w:t>
      </w:r>
    </w:p>
    <w:p w:rsidR="003011EC" w:rsidRPr="00283996" w:rsidRDefault="003011EC" w:rsidP="003011EC">
      <w:pPr>
        <w:pStyle w:val="ParaNoNdepar-AltN"/>
        <w:spacing w:before="0"/>
        <w:rPr>
          <w:rStyle w:val="Italic"/>
          <w:rFonts w:cs="Times New Roman"/>
          <w:i w:val="0"/>
          <w:lang w:val="en-US"/>
        </w:rPr>
      </w:pPr>
      <w:r w:rsidRPr="00283996">
        <w:rPr>
          <w:rStyle w:val="Italic"/>
          <w:rFonts w:cs="Times New Roman"/>
          <w:i w:val="0"/>
          <w:lang w:val="en-US"/>
        </w:rPr>
        <w:t xml:space="preserve">In short, it is true that police officers are generally not civilly liable for enforcing a provision — presumed to be valid at the time of the events — that is subsequently declared invalid, provided of course that they do not otherwise commit a </w:t>
      </w:r>
      <w:r w:rsidRPr="00283996">
        <w:rPr>
          <w:rStyle w:val="Italic"/>
          <w:rFonts w:cs="Times New Roman"/>
          <w:i w:val="0"/>
          <w:lang w:val="en-US"/>
        </w:rPr>
        <w:lastRenderedPageBreak/>
        <w:t>fault in exercising their powers. Furthermore, once the courts have recognized the existence of an offence or clarified its scope, police officers can certainly rely on it without fear that their conduct in this regard will be found to constitute a fault. It does not follow, however, that the existence in law — or the scope — of an offence must be assumed in a civil liability action on the basis of bare assertions to this effect made by the state, a legal person established in the public interest or one of their representatives.</w:t>
      </w:r>
    </w:p>
    <w:p w:rsidR="003011EC" w:rsidRPr="00283996" w:rsidRDefault="003011EC" w:rsidP="003011EC">
      <w:pPr>
        <w:pStyle w:val="Title3LevelTitre3Niveau"/>
        <w:numPr>
          <w:ilvl w:val="2"/>
          <w:numId w:val="8"/>
        </w:numPr>
        <w:spacing w:before="0"/>
        <w:ind w:left="1166" w:hanging="590"/>
        <w:rPr>
          <w:rFonts w:cs="Times New Roman"/>
          <w:lang w:val="en-US"/>
        </w:rPr>
      </w:pPr>
      <w:bookmarkStart w:id="27" w:name="_Toc14257142"/>
      <w:bookmarkStart w:id="28" w:name="_Toc24710742"/>
      <w:r w:rsidRPr="00283996">
        <w:rPr>
          <w:rFonts w:cs="Times New Roman"/>
          <w:lang w:val="en-US"/>
        </w:rPr>
        <w:t>Application to the Facts</w:t>
      </w:r>
      <w:bookmarkEnd w:id="27"/>
      <w:bookmarkEnd w:id="28"/>
    </w:p>
    <w:p w:rsidR="003011EC" w:rsidRPr="00283996" w:rsidRDefault="003011EC" w:rsidP="003011EC">
      <w:pPr>
        <w:pStyle w:val="ParaNoNdepar-AltN"/>
        <w:spacing w:before="0"/>
        <w:rPr>
          <w:rFonts w:cs="Times New Roman"/>
          <w:lang w:val="en-US"/>
        </w:rPr>
      </w:pPr>
      <w:r w:rsidRPr="00283996">
        <w:rPr>
          <w:rFonts w:cs="Times New Roman"/>
          <w:lang w:val="en-US"/>
        </w:rPr>
        <w:t>In my view, Constable Camacho’s conduct constituted a fault. A reasonable police officer in the same circumstances would not have concluded that disobeying the pictogram indicating that the handrail should be held was an offence under a by</w:t>
      </w:r>
      <w:r w:rsidRPr="00283996">
        <w:rPr>
          <w:rFonts w:cs="Times New Roman"/>
          <w:lang w:val="en-US"/>
        </w:rPr>
        <w:noBreakHyphen/>
        <w:t>law. At the least, a reasonable police officer would have had some doubt in this regard and would therefore have refrained from acting as Constable Camacho did, that is, unreasonably by requiring Ms. </w:t>
      </w:r>
      <w:proofErr w:type="spellStart"/>
      <w:r w:rsidRPr="00283996">
        <w:rPr>
          <w:rFonts w:cs="Times New Roman"/>
          <w:lang w:val="en-US"/>
        </w:rPr>
        <w:t>Kosoian</w:t>
      </w:r>
      <w:proofErr w:type="spellEnd"/>
      <w:r w:rsidRPr="00283996">
        <w:rPr>
          <w:rFonts w:cs="Times New Roman"/>
          <w:lang w:val="en-US"/>
        </w:rPr>
        <w:t xml:space="preserve"> to identify herself and, when she refused, by arresting her by force and searching her personal effects.</w:t>
      </w:r>
    </w:p>
    <w:p w:rsidR="003011EC" w:rsidRPr="00283996" w:rsidRDefault="003011EC" w:rsidP="003011EC">
      <w:pPr>
        <w:pStyle w:val="ParaNoNdepar-AltN"/>
        <w:spacing w:before="0"/>
        <w:rPr>
          <w:rFonts w:cs="Times New Roman"/>
          <w:lang w:val="en-US"/>
        </w:rPr>
      </w:pPr>
      <w:r w:rsidRPr="00283996">
        <w:rPr>
          <w:rFonts w:cs="Times New Roman"/>
          <w:lang w:val="en-US"/>
        </w:rPr>
        <w:t>Before depriving Ms. </w:t>
      </w:r>
      <w:proofErr w:type="spellStart"/>
      <w:r w:rsidRPr="00283996">
        <w:rPr>
          <w:rFonts w:cs="Times New Roman"/>
          <w:lang w:val="en-US"/>
        </w:rPr>
        <w:t>Kosoian</w:t>
      </w:r>
      <w:proofErr w:type="spellEnd"/>
      <w:r w:rsidRPr="00283996">
        <w:rPr>
          <w:rFonts w:cs="Times New Roman"/>
          <w:lang w:val="en-US"/>
        </w:rPr>
        <w:t xml:space="preserve"> of her liberty, Constable Camacho had to ensure that there was valid legal justification for his actions (</w:t>
      </w:r>
      <w:proofErr w:type="spellStart"/>
      <w:r w:rsidRPr="00283996">
        <w:rPr>
          <w:rFonts w:cs="Times New Roman"/>
          <w:i/>
          <w:lang w:val="en-US"/>
        </w:rPr>
        <w:t>Dedman</w:t>
      </w:r>
      <w:proofErr w:type="spellEnd"/>
      <w:r w:rsidRPr="00283996">
        <w:rPr>
          <w:rFonts w:cs="Times New Roman"/>
          <w:lang w:val="en-US"/>
        </w:rPr>
        <w:t>, at pp. 28</w:t>
      </w:r>
      <w:r w:rsidRPr="00283996">
        <w:rPr>
          <w:rFonts w:cs="Times New Roman"/>
          <w:lang w:val="en-US"/>
        </w:rPr>
        <w:noBreakHyphen/>
        <w:t xml:space="preserve">29). As a police officer, he could obviously not have been unaware that both s. 9 of the </w:t>
      </w:r>
      <w:r w:rsidRPr="00283996">
        <w:rPr>
          <w:rFonts w:cs="Times New Roman"/>
          <w:i/>
          <w:lang w:val="en-US"/>
        </w:rPr>
        <w:t xml:space="preserve">Charter </w:t>
      </w:r>
      <w:r w:rsidRPr="00283996">
        <w:rPr>
          <w:rFonts w:cs="Times New Roman"/>
          <w:lang w:val="en-US"/>
        </w:rPr>
        <w:t xml:space="preserve">and s. 24 of the Quebec </w:t>
      </w:r>
      <w:r w:rsidRPr="00283996">
        <w:rPr>
          <w:rFonts w:cs="Times New Roman"/>
          <w:i/>
          <w:lang w:val="en-US"/>
        </w:rPr>
        <w:t>Charter</w:t>
      </w:r>
      <w:r w:rsidRPr="00283996">
        <w:rPr>
          <w:rFonts w:cs="Times New Roman"/>
          <w:lang w:val="en-US"/>
        </w:rPr>
        <w:t xml:space="preserve"> protect every person from “unjustified state intrusions upon physical liberty, but also against incursions on mental liberty by prohibiting the coercive pressures of detention and imprisonment from being applied to people without adequate justification” (</w:t>
      </w:r>
      <w:r w:rsidRPr="00283996">
        <w:rPr>
          <w:rFonts w:cs="Times New Roman"/>
          <w:i/>
          <w:lang w:val="en-US"/>
        </w:rPr>
        <w:t>Grant</w:t>
      </w:r>
      <w:r w:rsidRPr="00283996">
        <w:rPr>
          <w:rFonts w:cs="Times New Roman"/>
          <w:lang w:val="en-US"/>
        </w:rPr>
        <w:t>, at para. 20).</w:t>
      </w:r>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In enforcing the STM’s by</w:t>
      </w:r>
      <w:r w:rsidRPr="00283996">
        <w:rPr>
          <w:rFonts w:cs="Times New Roman"/>
          <w:lang w:val="en-US"/>
        </w:rPr>
        <w:noBreakHyphen/>
        <w:t>laws,</w:t>
      </w:r>
      <w:r w:rsidRPr="00283996">
        <w:rPr>
          <w:rStyle w:val="Hyperlink"/>
          <w:vertAlign w:val="superscript"/>
          <w:lang w:val="en-US"/>
        </w:rPr>
        <w:footnoteReference w:id="1"/>
      </w:r>
      <w:r w:rsidRPr="00283996">
        <w:rPr>
          <w:rFonts w:cs="Times New Roman"/>
          <w:lang w:val="en-US"/>
        </w:rPr>
        <w:t xml:space="preserve"> the City’s police officers exercise, among other things, the powers conferred on them by the </w:t>
      </w:r>
      <w:r w:rsidRPr="00283996">
        <w:rPr>
          <w:rFonts w:cs="Times New Roman"/>
          <w:i/>
          <w:lang w:val="en-US"/>
        </w:rPr>
        <w:t>Code of Penal Procedure</w:t>
      </w:r>
      <w:r w:rsidRPr="00283996">
        <w:rPr>
          <w:rFonts w:cs="Times New Roman"/>
          <w:lang w:val="en-US"/>
        </w:rPr>
        <w:t>, CQLR, c. C</w:t>
      </w:r>
      <w:r w:rsidRPr="00283996">
        <w:rPr>
          <w:rFonts w:cs="Times New Roman"/>
          <w:lang w:val="en-US"/>
        </w:rPr>
        <w:noBreakHyphen/>
        <w:t>25.1 (“</w:t>
      </w:r>
      <w:r w:rsidRPr="00283996">
        <w:rPr>
          <w:rFonts w:cs="Times New Roman"/>
          <w:i/>
          <w:lang w:val="en-US"/>
        </w:rPr>
        <w:t>C.P.P.</w:t>
      </w:r>
      <w:r w:rsidRPr="00283996">
        <w:rPr>
          <w:rFonts w:cs="Times New Roman"/>
          <w:lang w:val="en-US"/>
        </w:rPr>
        <w:t xml:space="preserve">”). Where a police officer wishes to issue a statement of offence, art. 74 </w:t>
      </w:r>
      <w:r w:rsidRPr="00283996">
        <w:rPr>
          <w:rFonts w:cs="Times New Roman"/>
          <w:i/>
          <w:lang w:val="en-US"/>
        </w:rPr>
        <w:t>C.P.P. </w:t>
      </w:r>
      <w:r w:rsidRPr="00283996">
        <w:rPr>
          <w:rFonts w:cs="Times New Roman"/>
          <w:lang w:val="en-US"/>
        </w:rPr>
        <w:t>gives the officer the power to arrest without a warrant a person informed of the offence alleged against him or her who refuses to identify himself or herself, provided, of course, that the offence exists in law:</w:t>
      </w:r>
    </w:p>
    <w:p w:rsidR="003011EC" w:rsidRPr="00283996" w:rsidRDefault="003011EC" w:rsidP="003011EC">
      <w:pPr>
        <w:pStyle w:val="Citation-AltC"/>
        <w:spacing w:after="240"/>
        <w:ind w:hanging="446"/>
        <w:contextualSpacing w:val="0"/>
        <w:rPr>
          <w:lang w:val="en-US"/>
        </w:rPr>
      </w:pPr>
      <w:r w:rsidRPr="00283996">
        <w:rPr>
          <w:b/>
          <w:lang w:val="en-US"/>
        </w:rPr>
        <w:tab/>
        <w:t>72.</w:t>
      </w:r>
      <w:r w:rsidRPr="00283996">
        <w:rPr>
          <w:lang w:val="en-US"/>
        </w:rPr>
        <w:t xml:space="preserve"> A peace officer who has </w:t>
      </w:r>
      <w:r w:rsidRPr="00283996">
        <w:rPr>
          <w:u w:val="single"/>
          <w:lang w:val="en-US"/>
        </w:rPr>
        <w:t>reasonable grounds to believe that a person has committed an offence</w:t>
      </w:r>
      <w:r w:rsidRPr="00283996">
        <w:rPr>
          <w:lang w:val="en-US"/>
        </w:rPr>
        <w:t xml:space="preserve"> may </w:t>
      </w:r>
      <w:r w:rsidRPr="00283996">
        <w:rPr>
          <w:u w:val="single"/>
          <w:lang w:val="en-US"/>
        </w:rPr>
        <w:t>require the person to give him his name and address</w:t>
      </w:r>
      <w:r w:rsidRPr="00283996">
        <w:rPr>
          <w:lang w:val="en-US"/>
        </w:rPr>
        <w:t xml:space="preserve">, if he does not know them, </w:t>
      </w:r>
      <w:r w:rsidRPr="00283996">
        <w:rPr>
          <w:u w:val="single"/>
          <w:lang w:val="en-US"/>
        </w:rPr>
        <w:t>so that a statement of offence may be prepared</w:t>
      </w:r>
      <w:r w:rsidRPr="00283996">
        <w:rPr>
          <w:lang w:val="en-US"/>
        </w:rPr>
        <w:t>.</w:t>
      </w:r>
    </w:p>
    <w:p w:rsidR="003011EC" w:rsidRPr="00283996" w:rsidRDefault="003011EC" w:rsidP="003011EC">
      <w:pPr>
        <w:pStyle w:val="Citation-AltC"/>
        <w:spacing w:after="240"/>
        <w:ind w:left="4593" w:hanging="446"/>
        <w:contextualSpacing w:val="0"/>
        <w:rPr>
          <w:lang w:val="en-US"/>
        </w:rPr>
      </w:pPr>
      <w:r w:rsidRPr="00283996">
        <w:rPr>
          <w:b/>
          <w:lang w:val="en-US"/>
        </w:rPr>
        <w:tab/>
      </w:r>
      <w:r w:rsidRPr="00283996">
        <w:rPr>
          <w:lang w:val="en-US"/>
        </w:rPr>
        <w:t>. . .</w:t>
      </w:r>
    </w:p>
    <w:p w:rsidR="003011EC" w:rsidRPr="00283996" w:rsidRDefault="003011EC" w:rsidP="003011EC">
      <w:pPr>
        <w:pStyle w:val="Citation-AltC"/>
        <w:spacing w:after="240"/>
        <w:ind w:hanging="446"/>
        <w:contextualSpacing w:val="0"/>
        <w:rPr>
          <w:lang w:val="en-US"/>
        </w:rPr>
      </w:pPr>
      <w:r w:rsidRPr="00283996">
        <w:rPr>
          <w:b/>
          <w:lang w:val="en-US"/>
        </w:rPr>
        <w:tab/>
        <w:t>73.</w:t>
      </w:r>
      <w:r w:rsidRPr="00283996">
        <w:rPr>
          <w:lang w:val="en-US"/>
        </w:rPr>
        <w:t> A person may refuse to give his name and address or further information to confirm their accuracy so long as he is not informed of the offence alleged against him.</w:t>
      </w:r>
    </w:p>
    <w:p w:rsidR="003011EC" w:rsidRPr="00283996" w:rsidRDefault="003011EC" w:rsidP="003011EC">
      <w:pPr>
        <w:pStyle w:val="Citation-AltC"/>
        <w:spacing w:after="240"/>
        <w:ind w:hanging="446"/>
        <w:contextualSpacing w:val="0"/>
        <w:rPr>
          <w:lang w:val="en-US"/>
        </w:rPr>
      </w:pPr>
      <w:r w:rsidRPr="00283996">
        <w:rPr>
          <w:b/>
          <w:lang w:val="en-US"/>
        </w:rPr>
        <w:tab/>
        <w:t>74.</w:t>
      </w:r>
      <w:r w:rsidRPr="00283996">
        <w:rPr>
          <w:lang w:val="en-US"/>
        </w:rPr>
        <w:t xml:space="preserve"> A peace officer may </w:t>
      </w:r>
      <w:r w:rsidRPr="00283996">
        <w:rPr>
          <w:u w:val="single"/>
          <w:lang w:val="en-US"/>
        </w:rPr>
        <w:t>arrest without a warrant a person informed of the offence alleged against him who, despite the peace officer’s demand, fails or refuses to give him his name and address</w:t>
      </w:r>
      <w:r w:rsidRPr="00283996">
        <w:rPr>
          <w:lang w:val="en-US"/>
        </w:rPr>
        <w:t xml:space="preserve"> or further information to confirm their accuracy.</w:t>
      </w:r>
    </w:p>
    <w:p w:rsidR="003011EC" w:rsidRPr="00283996" w:rsidRDefault="003011EC" w:rsidP="0074778C">
      <w:pPr>
        <w:pStyle w:val="Citation-AltC"/>
        <w:ind w:left="0"/>
        <w:contextualSpacing w:val="0"/>
        <w:rPr>
          <w:lang w:val="en-US"/>
        </w:rPr>
      </w:pPr>
      <w:r w:rsidRPr="00283996">
        <w:rPr>
          <w:lang w:val="en-US"/>
        </w:rPr>
        <w:t xml:space="preserve">(Articles 72 para. 1, 73 and 74 </w:t>
      </w:r>
      <w:r w:rsidRPr="00283996">
        <w:rPr>
          <w:i/>
          <w:lang w:val="en-US"/>
        </w:rPr>
        <w:t>C.P.P.</w:t>
      </w:r>
      <w:r w:rsidRPr="00283996">
        <w:rPr>
          <w:lang w:val="en-US"/>
        </w:rPr>
        <w:t>)</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The exercise of these powers presupposes that there are reasonable grounds to believe an offence has been committed. The “reasonable grounds” concept relates to the </w:t>
      </w:r>
      <w:r w:rsidRPr="00283996">
        <w:rPr>
          <w:rFonts w:cs="Times New Roman"/>
          <w:i/>
          <w:lang w:val="en-US"/>
        </w:rPr>
        <w:t>facts</w:t>
      </w:r>
      <w:r w:rsidRPr="00283996">
        <w:rPr>
          <w:rFonts w:cs="Times New Roman"/>
          <w:lang w:val="en-US"/>
        </w:rPr>
        <w:t xml:space="preserve">, not to the existence in </w:t>
      </w:r>
      <w:r w:rsidRPr="00283996">
        <w:rPr>
          <w:rFonts w:cs="Times New Roman"/>
          <w:i/>
          <w:lang w:val="en-US"/>
        </w:rPr>
        <w:t>law</w:t>
      </w:r>
      <w:r w:rsidRPr="00283996">
        <w:rPr>
          <w:rFonts w:cs="Times New Roman"/>
          <w:lang w:val="en-US"/>
        </w:rPr>
        <w:t xml:space="preserve"> of the offence in question (</w:t>
      </w:r>
      <w:r w:rsidRPr="00283996">
        <w:rPr>
          <w:rFonts w:cs="Times New Roman"/>
          <w:i/>
          <w:lang w:val="en-US"/>
        </w:rPr>
        <w:t xml:space="preserve">Frey v. </w:t>
      </w:r>
      <w:proofErr w:type="spellStart"/>
      <w:r w:rsidRPr="00283996">
        <w:rPr>
          <w:rFonts w:cs="Times New Roman"/>
          <w:i/>
          <w:lang w:val="en-US"/>
        </w:rPr>
        <w:t>Fedoruk</w:t>
      </w:r>
      <w:proofErr w:type="spellEnd"/>
      <w:r w:rsidRPr="00283996">
        <w:rPr>
          <w:rFonts w:cs="Times New Roman"/>
          <w:lang w:val="en-US"/>
        </w:rPr>
        <w:t xml:space="preserve">, [1950] S.C.R. 517, at p. 531). If the offence that the police officer believes has been committed </w:t>
      </w:r>
      <w:r w:rsidRPr="00283996">
        <w:rPr>
          <w:rFonts w:cs="Times New Roman"/>
          <w:lang w:val="en-US"/>
        </w:rPr>
        <w:lastRenderedPageBreak/>
        <w:t xml:space="preserve">simply does not exist, neither the </w:t>
      </w:r>
      <w:r w:rsidR="00843CAF">
        <w:rPr>
          <w:rFonts w:cs="Times New Roman"/>
          <w:i/>
          <w:lang w:val="en-US"/>
        </w:rPr>
        <w:t xml:space="preserve">C.P.P. </w:t>
      </w:r>
      <w:r w:rsidRPr="00283996">
        <w:rPr>
          <w:rFonts w:cs="Times New Roman"/>
          <w:lang w:val="en-US"/>
        </w:rPr>
        <w:t xml:space="preserve">nor, for that matter, any other statute or common law rule gives the officer the power to require a person to identify himself or herself and to arrest the person if he or she refuses to comply (see </w:t>
      </w:r>
      <w:r w:rsidRPr="00283996">
        <w:rPr>
          <w:rFonts w:cs="Times New Roman"/>
          <w:i/>
          <w:lang w:val="en-US"/>
        </w:rPr>
        <w:t>Moore v. The Queen</w:t>
      </w:r>
      <w:r w:rsidRPr="00283996">
        <w:rPr>
          <w:rFonts w:cs="Times New Roman"/>
          <w:lang w:val="en-US"/>
        </w:rPr>
        <w:t>, [</w:t>
      </w:r>
      <w:r w:rsidR="00F746EE">
        <w:rPr>
          <w:rFonts w:cs="Times New Roman"/>
          <w:lang w:val="en-US"/>
        </w:rPr>
        <w:t xml:space="preserve">1979] 1 </w:t>
      </w:r>
      <w:r w:rsidR="00843CAF">
        <w:rPr>
          <w:rFonts w:cs="Times New Roman"/>
          <w:lang w:val="en-US"/>
        </w:rPr>
        <w:t>S.C.R. 195, at pp. 205</w:t>
      </w:r>
      <w:r w:rsidR="00843CAF">
        <w:rPr>
          <w:rFonts w:cs="Times New Roman"/>
          <w:lang w:val="en-US"/>
        </w:rPr>
        <w:noBreakHyphen/>
      </w:r>
      <w:r w:rsidRPr="00283996">
        <w:rPr>
          <w:rFonts w:cs="Times New Roman"/>
          <w:lang w:val="en-US"/>
        </w:rPr>
        <w:t>6, per Dickson J., dissenting;</w:t>
      </w:r>
      <w:r w:rsidR="00F746EE">
        <w:rPr>
          <w:rFonts w:cs="Times New Roman"/>
          <w:lang w:val="en-US"/>
        </w:rPr>
        <w:t xml:space="preserve"> </w:t>
      </w:r>
      <w:r w:rsidR="00F746EE">
        <w:rPr>
          <w:rFonts w:cs="Times New Roman"/>
          <w:i/>
          <w:lang w:val="en-US"/>
        </w:rPr>
        <w:t xml:space="preserve">R. </w:t>
      </w:r>
      <w:r w:rsidRPr="00283996">
        <w:rPr>
          <w:rFonts w:cs="Times New Roman"/>
          <w:i/>
          <w:lang w:val="en-US"/>
        </w:rPr>
        <w:t>v. Guthrie</w:t>
      </w:r>
      <w:r w:rsidRPr="00283996">
        <w:rPr>
          <w:rFonts w:cs="Times New Roman"/>
          <w:lang w:val="en-US"/>
        </w:rPr>
        <w:t xml:space="preserve"> </w:t>
      </w:r>
      <w:r w:rsidR="00A76A6C">
        <w:rPr>
          <w:rFonts w:cs="Times New Roman"/>
          <w:lang w:val="en-US"/>
        </w:rPr>
        <w:t>(</w:t>
      </w:r>
      <w:r w:rsidRPr="00283996">
        <w:rPr>
          <w:rFonts w:cs="Times New Roman"/>
          <w:lang w:val="en-US"/>
        </w:rPr>
        <w:t>1982</w:t>
      </w:r>
      <w:r w:rsidR="00A76A6C">
        <w:rPr>
          <w:rFonts w:cs="Times New Roman"/>
          <w:lang w:val="en-US"/>
        </w:rPr>
        <w:t>),</w:t>
      </w:r>
      <w:r w:rsidRPr="00283996">
        <w:rPr>
          <w:rFonts w:cs="Times New Roman"/>
          <w:lang w:val="en-US"/>
        </w:rPr>
        <w:t xml:space="preserve"> 21 Alta. L.R. (2d) 1, at p. 8; </w:t>
      </w:r>
      <w:r w:rsidR="00F746EE">
        <w:rPr>
          <w:rFonts w:cs="Times New Roman"/>
          <w:i/>
          <w:lang w:val="en-US"/>
        </w:rPr>
        <w:t xml:space="preserve">R. </w:t>
      </w:r>
      <w:r w:rsidRPr="00283996">
        <w:rPr>
          <w:rFonts w:cs="Times New Roman"/>
          <w:i/>
          <w:lang w:val="en-US"/>
        </w:rPr>
        <w:t>v. Coles</w:t>
      </w:r>
      <w:r w:rsidR="00F746EE">
        <w:rPr>
          <w:rFonts w:cs="Times New Roman"/>
          <w:lang w:val="en-US"/>
        </w:rPr>
        <w:t xml:space="preserve"> </w:t>
      </w:r>
      <w:r w:rsidR="00A76A6C">
        <w:rPr>
          <w:rFonts w:cs="Times New Roman"/>
          <w:lang w:val="en-US"/>
        </w:rPr>
        <w:t>(</w:t>
      </w:r>
      <w:r w:rsidR="00F746EE">
        <w:rPr>
          <w:rFonts w:cs="Times New Roman"/>
          <w:lang w:val="en-US"/>
        </w:rPr>
        <w:t>2003</w:t>
      </w:r>
      <w:r w:rsidR="00A76A6C">
        <w:rPr>
          <w:rFonts w:cs="Times New Roman"/>
          <w:lang w:val="en-US"/>
        </w:rPr>
        <w:t xml:space="preserve">), </w:t>
      </w:r>
      <w:r w:rsidR="00F746EE">
        <w:rPr>
          <w:rFonts w:cs="Times New Roman"/>
          <w:lang w:val="en-US"/>
        </w:rPr>
        <w:t xml:space="preserve">221 Nfld. </w:t>
      </w:r>
      <w:r w:rsidRPr="00283996">
        <w:rPr>
          <w:rFonts w:cs="Times New Roman"/>
          <w:lang w:val="en-US"/>
        </w:rPr>
        <w:t xml:space="preserve">&amp; P.E.I.R. 98, at para. 14). </w:t>
      </w:r>
      <w:proofErr w:type="gramStart"/>
      <w:r w:rsidRPr="00283996">
        <w:rPr>
          <w:rFonts w:cs="Times New Roman"/>
          <w:lang w:val="en-US"/>
        </w:rPr>
        <w:t>An</w:t>
      </w:r>
      <w:proofErr w:type="gramEnd"/>
      <w:r w:rsidRPr="00283996">
        <w:rPr>
          <w:rFonts w:cs="Times New Roman"/>
          <w:lang w:val="en-US"/>
        </w:rPr>
        <w:t xml:space="preserve"> officer who makes an arrest on this basis is acting unlawfully, even if he or she believes in good faith that the offence exists (</w:t>
      </w:r>
      <w:r w:rsidRPr="00283996">
        <w:rPr>
          <w:rFonts w:cs="Times New Roman"/>
          <w:i/>
          <w:lang w:val="en-US"/>
        </w:rPr>
        <w:t>R. v. Houle</w:t>
      </w:r>
      <w:r w:rsidRPr="00283996">
        <w:rPr>
          <w:rFonts w:cs="Times New Roman"/>
          <w:lang w:val="en-US"/>
        </w:rPr>
        <w:t xml:space="preserve"> </w:t>
      </w:r>
      <w:r w:rsidR="00A76A6C">
        <w:rPr>
          <w:rFonts w:cs="Times New Roman"/>
          <w:lang w:val="en-US"/>
        </w:rPr>
        <w:t>(</w:t>
      </w:r>
      <w:r w:rsidRPr="00283996">
        <w:rPr>
          <w:rFonts w:cs="Times New Roman"/>
          <w:lang w:val="en-US"/>
        </w:rPr>
        <w:t>1985</w:t>
      </w:r>
      <w:r w:rsidR="00A76A6C">
        <w:rPr>
          <w:rFonts w:cs="Times New Roman"/>
          <w:lang w:val="en-US"/>
        </w:rPr>
        <w:t xml:space="preserve">), </w:t>
      </w:r>
      <w:r w:rsidRPr="00283996">
        <w:rPr>
          <w:rFonts w:cs="Times New Roman"/>
          <w:lang w:val="en-US"/>
        </w:rPr>
        <w:t>41 Alta. L.R. (2d) 295, at pp. 297</w:t>
      </w:r>
      <w:r w:rsidRPr="00283996">
        <w:rPr>
          <w:rFonts w:cs="Times New Roman"/>
          <w:lang w:val="en-US"/>
        </w:rPr>
        <w:noBreakHyphen/>
        <w:t xml:space="preserve">99; </w:t>
      </w:r>
      <w:proofErr w:type="spellStart"/>
      <w:r w:rsidRPr="00283996">
        <w:rPr>
          <w:rFonts w:cs="Times New Roman"/>
          <w:i/>
          <w:lang w:val="en-US"/>
        </w:rPr>
        <w:t>Crépeau</w:t>
      </w:r>
      <w:proofErr w:type="spellEnd"/>
      <w:r w:rsidRPr="00283996">
        <w:rPr>
          <w:rFonts w:cs="Times New Roman"/>
          <w:i/>
          <w:lang w:val="en-US"/>
        </w:rPr>
        <w:t xml:space="preserve"> v. </w:t>
      </w:r>
      <w:proofErr w:type="spellStart"/>
      <w:r w:rsidRPr="00283996">
        <w:rPr>
          <w:rFonts w:cs="Times New Roman"/>
          <w:i/>
          <w:lang w:val="en-US"/>
        </w:rPr>
        <w:t>Yannonie</w:t>
      </w:r>
      <w:proofErr w:type="spellEnd"/>
      <w:r w:rsidRPr="00283996">
        <w:rPr>
          <w:rFonts w:cs="Times New Roman"/>
          <w:lang w:val="en-US"/>
        </w:rPr>
        <w:t>, [1988] R.R.A. 265 (Que. Sup. Ct.), at p. 269; see also P. </w:t>
      </w:r>
      <w:proofErr w:type="spellStart"/>
      <w:r w:rsidRPr="00283996">
        <w:rPr>
          <w:rFonts w:cs="Times New Roman"/>
          <w:lang w:val="en-US"/>
        </w:rPr>
        <w:t>Ceyssens</w:t>
      </w:r>
      <w:proofErr w:type="spellEnd"/>
      <w:r w:rsidRPr="00283996">
        <w:rPr>
          <w:rFonts w:cs="Times New Roman"/>
          <w:lang w:val="en-US"/>
        </w:rPr>
        <w:t xml:space="preserve">, </w:t>
      </w:r>
      <w:r w:rsidRPr="00283996">
        <w:rPr>
          <w:rFonts w:cs="Times New Roman"/>
          <w:i/>
          <w:lang w:val="en-US"/>
        </w:rPr>
        <w:t>Legal Aspects of Policing</w:t>
      </w:r>
      <w:r w:rsidRPr="00283996">
        <w:rPr>
          <w:rFonts w:cs="Times New Roman"/>
          <w:lang w:val="en-US"/>
        </w:rPr>
        <w:t xml:space="preserve"> (loose</w:t>
      </w:r>
      <w:r w:rsidRPr="00283996">
        <w:rPr>
          <w:rFonts w:cs="Times New Roman"/>
          <w:lang w:val="en-US"/>
        </w:rPr>
        <w:noBreakHyphen/>
        <w:t>leaf), vol. 1, at p. 2</w:t>
      </w:r>
      <w:r w:rsidR="006D5DFC">
        <w:rPr>
          <w:rFonts w:cs="Times New Roman"/>
          <w:lang w:val="en-US"/>
        </w:rPr>
        <w:t>‒</w:t>
      </w:r>
      <w:r w:rsidRPr="00283996">
        <w:rPr>
          <w:rFonts w:cs="Times New Roman"/>
          <w:lang w:val="en-US"/>
        </w:rPr>
        <w:t>3). It was therefore incumbent upon Constable Camacho to verify the existence of the offence alleged against Ms. </w:t>
      </w:r>
      <w:proofErr w:type="spellStart"/>
      <w:r w:rsidRPr="00283996">
        <w:rPr>
          <w:rFonts w:cs="Times New Roman"/>
          <w:lang w:val="en-US"/>
        </w:rPr>
        <w:t>Kosoian</w:t>
      </w:r>
      <w:proofErr w:type="spellEnd"/>
      <w:r w:rsidRPr="00283996">
        <w:rPr>
          <w:rFonts w:cs="Times New Roman"/>
          <w:lang w:val="en-US"/>
        </w:rPr>
        <w:t xml:space="preserve"> before using the powers conferred on him by the </w:t>
      </w:r>
      <w:r w:rsidRPr="00283996">
        <w:rPr>
          <w:rFonts w:cs="Times New Roman"/>
          <w:i/>
          <w:lang w:val="en-US"/>
        </w:rPr>
        <w:t>C.P.P.</w:t>
      </w:r>
    </w:p>
    <w:p w:rsidR="003011EC" w:rsidRPr="00283996" w:rsidRDefault="003011EC" w:rsidP="003011EC">
      <w:pPr>
        <w:pStyle w:val="ParaNoNdepar-AltN"/>
        <w:spacing w:before="0"/>
        <w:rPr>
          <w:rFonts w:cs="Times New Roman"/>
          <w:lang w:val="en-US"/>
        </w:rPr>
      </w:pPr>
      <w:r w:rsidRPr="00283996">
        <w:rPr>
          <w:rFonts w:cs="Times New Roman"/>
          <w:lang w:val="en-US"/>
        </w:rPr>
        <w:t>In the present case, Constable Camacho believed that he was enforcing art. 4(e) of STM By</w:t>
      </w:r>
      <w:r w:rsidRPr="00283996">
        <w:rPr>
          <w:rFonts w:cs="Times New Roman"/>
          <w:lang w:val="en-US"/>
        </w:rPr>
        <w:noBreakHyphen/>
        <w:t>law R</w:t>
      </w:r>
      <w:r w:rsidRPr="00283996">
        <w:rPr>
          <w:rFonts w:cs="Times New Roman"/>
          <w:lang w:val="en-US"/>
        </w:rPr>
        <w:noBreakHyphen/>
        <w:t>036, the French version of which reads as follows:</w:t>
      </w:r>
      <w:r w:rsidRPr="00283996">
        <w:rPr>
          <w:rStyle w:val="Hyperlink"/>
          <w:vertAlign w:val="superscript"/>
          <w:lang w:val="en-US"/>
        </w:rPr>
        <w:footnoteReference w:id="2"/>
      </w:r>
    </w:p>
    <w:p w:rsidR="003011EC" w:rsidRPr="002035EE" w:rsidRDefault="003011EC" w:rsidP="003011EC">
      <w:pPr>
        <w:pStyle w:val="Citation-AltC"/>
        <w:spacing w:after="240"/>
        <w:ind w:hanging="446"/>
        <w:contextualSpacing w:val="0"/>
      </w:pPr>
      <w:r w:rsidRPr="00283996">
        <w:rPr>
          <w:b/>
          <w:lang w:val="en-US"/>
        </w:rPr>
        <w:tab/>
      </w:r>
      <w:r w:rsidRPr="002035EE">
        <w:rPr>
          <w:b/>
        </w:rPr>
        <w:t>4.</w:t>
      </w:r>
      <w:r w:rsidRPr="002035EE">
        <w:t xml:space="preserve"> Dans ou sur un immeuble ou du matériel roulant, </w:t>
      </w:r>
      <w:r w:rsidRPr="002035EE">
        <w:rPr>
          <w:u w:val="single"/>
        </w:rPr>
        <w:t>il est interdit à toute personne</w:t>
      </w:r>
      <w:r w:rsidRPr="002035EE">
        <w:t> :</w:t>
      </w:r>
    </w:p>
    <w:p w:rsidR="003011EC" w:rsidRPr="007A7F84" w:rsidRDefault="003011EC" w:rsidP="003011EC">
      <w:pPr>
        <w:pStyle w:val="Citation-AltC"/>
        <w:spacing w:after="240"/>
        <w:ind w:left="4590" w:hanging="446"/>
        <w:contextualSpacing w:val="0"/>
      </w:pPr>
      <w:r w:rsidRPr="002035EE">
        <w:rPr>
          <w:b/>
        </w:rPr>
        <w:tab/>
      </w:r>
      <w:r w:rsidRPr="007A7F84">
        <w:t>. . .</w:t>
      </w:r>
    </w:p>
    <w:p w:rsidR="003011EC" w:rsidRPr="002035EE" w:rsidRDefault="003011EC" w:rsidP="003011EC">
      <w:pPr>
        <w:pStyle w:val="Citation-AltC"/>
        <w:ind w:hanging="446"/>
      </w:pPr>
      <w:r w:rsidRPr="007A7F84">
        <w:tab/>
      </w:r>
      <w:r w:rsidRPr="002035EE">
        <w:t xml:space="preserve">e) de </w:t>
      </w:r>
      <w:r w:rsidRPr="002035EE">
        <w:rPr>
          <w:u w:val="single"/>
        </w:rPr>
        <w:t>désobéir à</w:t>
      </w:r>
      <w:r w:rsidRPr="002035EE">
        <w:t xml:space="preserve"> une directive ou </w:t>
      </w:r>
      <w:r w:rsidRPr="002035EE">
        <w:rPr>
          <w:u w:val="single"/>
        </w:rPr>
        <w:t>un pictogramme</w:t>
      </w:r>
      <w:r w:rsidRPr="002035EE">
        <w:t>, affiché par la Société;</w:t>
      </w:r>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The unofficial English version</w:t>
      </w:r>
      <w:r w:rsidRPr="00283996">
        <w:rPr>
          <w:rStyle w:val="Hyperlink"/>
          <w:vertAlign w:val="superscript"/>
          <w:lang w:val="en-US"/>
        </w:rPr>
        <w:footnoteReference w:id="3"/>
      </w:r>
      <w:r w:rsidRPr="00283996">
        <w:rPr>
          <w:rFonts w:cs="Times New Roman"/>
          <w:lang w:val="en-US"/>
        </w:rPr>
        <w:t xml:space="preserve"> of art. 4(e) of STM By</w:t>
      </w:r>
      <w:r w:rsidRPr="00283996">
        <w:rPr>
          <w:rFonts w:cs="Times New Roman"/>
          <w:lang w:val="en-US"/>
        </w:rPr>
        <w:noBreakHyphen/>
        <w:t>law R</w:t>
      </w:r>
      <w:r w:rsidRPr="00283996">
        <w:rPr>
          <w:rFonts w:cs="Times New Roman"/>
          <w:lang w:val="en-US"/>
        </w:rPr>
        <w:noBreakHyphen/>
        <w:t>036 uses different language:</w:t>
      </w:r>
    </w:p>
    <w:p w:rsidR="003011EC" w:rsidRPr="00283996" w:rsidRDefault="003011EC" w:rsidP="003011EC">
      <w:pPr>
        <w:pStyle w:val="Citation-AltC"/>
        <w:spacing w:after="240"/>
        <w:ind w:hanging="446"/>
        <w:contextualSpacing w:val="0"/>
        <w:rPr>
          <w:lang w:val="en-US"/>
        </w:rPr>
      </w:pPr>
      <w:r w:rsidRPr="00283996">
        <w:rPr>
          <w:lang w:val="en-US"/>
        </w:rPr>
        <w:tab/>
      </w:r>
      <w:r w:rsidRPr="00283996">
        <w:rPr>
          <w:b/>
          <w:lang w:val="en-US"/>
        </w:rPr>
        <w:t>4.</w:t>
      </w:r>
      <w:r w:rsidRPr="00283996">
        <w:rPr>
          <w:lang w:val="en-US"/>
        </w:rPr>
        <w:t> </w:t>
      </w:r>
      <w:r w:rsidRPr="00283996">
        <w:rPr>
          <w:u w:val="single"/>
          <w:lang w:val="en-US"/>
        </w:rPr>
        <w:t>No one shall</w:t>
      </w:r>
      <w:r w:rsidRPr="00283996">
        <w:rPr>
          <w:lang w:val="en-US"/>
        </w:rPr>
        <w:t>, within or on a building or rolling stock:</w:t>
      </w:r>
    </w:p>
    <w:p w:rsidR="003011EC" w:rsidRPr="00283996" w:rsidRDefault="003011EC" w:rsidP="003011EC">
      <w:pPr>
        <w:pStyle w:val="Citation-AltC"/>
        <w:spacing w:after="240"/>
        <w:ind w:left="4590" w:hanging="446"/>
        <w:contextualSpacing w:val="0"/>
        <w:rPr>
          <w:lang w:val="en-US"/>
        </w:rPr>
      </w:pPr>
      <w:r w:rsidRPr="00283996">
        <w:rPr>
          <w:b/>
          <w:lang w:val="en-US"/>
        </w:rPr>
        <w:tab/>
      </w:r>
      <w:r w:rsidRPr="00283996">
        <w:rPr>
          <w:lang w:val="en-US"/>
        </w:rPr>
        <w:t>. . .</w:t>
      </w:r>
    </w:p>
    <w:p w:rsidR="003011EC" w:rsidRPr="00283996" w:rsidRDefault="003011EC" w:rsidP="003011EC">
      <w:pPr>
        <w:pStyle w:val="Citation-AltC"/>
        <w:ind w:hanging="446"/>
        <w:contextualSpacing w:val="0"/>
        <w:rPr>
          <w:lang w:val="en-US"/>
        </w:rPr>
      </w:pPr>
      <w:r w:rsidRPr="00283996">
        <w:rPr>
          <w:lang w:val="en-US"/>
        </w:rPr>
        <w:tab/>
        <w:t>(e) </w:t>
      </w:r>
      <w:proofErr w:type="gramStart"/>
      <w:r w:rsidRPr="00283996">
        <w:rPr>
          <w:u w:val="single"/>
          <w:lang w:val="en-US"/>
        </w:rPr>
        <w:t>ignore</w:t>
      </w:r>
      <w:proofErr w:type="gramEnd"/>
      <w:r w:rsidRPr="00283996">
        <w:rPr>
          <w:lang w:val="en-US"/>
        </w:rPr>
        <w:t xml:space="preserve"> a guideline or </w:t>
      </w:r>
      <w:r w:rsidRPr="00283996">
        <w:rPr>
          <w:u w:val="single"/>
          <w:lang w:val="en-US"/>
        </w:rPr>
        <w:t>pictogram</w:t>
      </w:r>
      <w:r w:rsidRPr="00283996">
        <w:rPr>
          <w:lang w:val="en-US"/>
        </w:rPr>
        <w:t xml:space="preserve"> posted by the </w:t>
      </w:r>
      <w:proofErr w:type="spellStart"/>
      <w:r w:rsidRPr="00283996">
        <w:rPr>
          <w:lang w:val="en-US"/>
        </w:rPr>
        <w:t>Société</w:t>
      </w:r>
      <w:proofErr w:type="spellEnd"/>
      <w:r w:rsidRPr="00283996">
        <w:rPr>
          <w:lang w:val="en-US"/>
        </w:rPr>
        <w:t>;</w:t>
      </w:r>
    </w:p>
    <w:p w:rsidR="003011EC" w:rsidRPr="00283996" w:rsidRDefault="003011EC" w:rsidP="003011EC">
      <w:pPr>
        <w:pStyle w:val="ContinueParaSuitedupar-AltP"/>
        <w:spacing w:before="0"/>
        <w:rPr>
          <w:rFonts w:cs="Times New Roman"/>
          <w:lang w:val="en-US"/>
        </w:rPr>
      </w:pPr>
      <w:r w:rsidRPr="00283996">
        <w:rPr>
          <w:rFonts w:cs="Times New Roman"/>
          <w:lang w:val="en-US"/>
        </w:rPr>
        <w:t>The unofficial English version of By</w:t>
      </w:r>
      <w:r w:rsidRPr="00283996">
        <w:rPr>
          <w:rFonts w:cs="Times New Roman"/>
          <w:lang w:val="en-US"/>
        </w:rPr>
        <w:noBreakHyphen/>
        <w:t>law R</w:t>
      </w:r>
      <w:r w:rsidRPr="00283996">
        <w:rPr>
          <w:rFonts w:cs="Times New Roman"/>
          <w:lang w:val="en-US"/>
        </w:rPr>
        <w:noBreakHyphen/>
        <w:t>036 therefore uses the word “ignore” to render the French word “</w:t>
      </w:r>
      <w:proofErr w:type="spellStart"/>
      <w:r w:rsidRPr="00283996">
        <w:rPr>
          <w:rFonts w:cs="Times New Roman"/>
          <w:i/>
          <w:lang w:val="en-US"/>
        </w:rPr>
        <w:t>désobéir</w:t>
      </w:r>
      <w:proofErr w:type="spellEnd"/>
      <w:r w:rsidRPr="00283996">
        <w:rPr>
          <w:rFonts w:cs="Times New Roman"/>
          <w:lang w:val="en-US"/>
        </w:rPr>
        <w:t>” (disobey). However, the English word “ignore” does not have the same meaning as the French word “</w:t>
      </w:r>
      <w:proofErr w:type="spellStart"/>
      <w:r w:rsidRPr="00283996">
        <w:rPr>
          <w:rFonts w:cs="Times New Roman"/>
          <w:i/>
          <w:lang w:val="en-US"/>
        </w:rPr>
        <w:t>désobéir</w:t>
      </w:r>
      <w:proofErr w:type="spellEnd"/>
      <w:r w:rsidRPr="00283996">
        <w:rPr>
          <w:rFonts w:cs="Times New Roman"/>
          <w:lang w:val="en-US"/>
        </w:rPr>
        <w:t>”. The words “</w:t>
      </w:r>
      <w:proofErr w:type="spellStart"/>
      <w:r w:rsidRPr="00283996">
        <w:rPr>
          <w:rFonts w:cs="Times New Roman"/>
          <w:i/>
          <w:lang w:val="en-US"/>
        </w:rPr>
        <w:t>désobéir</w:t>
      </w:r>
      <w:proofErr w:type="spellEnd"/>
      <w:r w:rsidRPr="00283996">
        <w:rPr>
          <w:rFonts w:cs="Times New Roman"/>
          <w:lang w:val="en-US"/>
        </w:rPr>
        <w:t>” and “</w:t>
      </w:r>
      <w:proofErr w:type="spellStart"/>
      <w:r w:rsidRPr="00283996">
        <w:rPr>
          <w:rFonts w:cs="Times New Roman"/>
          <w:i/>
          <w:lang w:val="en-US"/>
        </w:rPr>
        <w:t>désobéissance</w:t>
      </w:r>
      <w:proofErr w:type="spellEnd"/>
      <w:r w:rsidRPr="00283996">
        <w:rPr>
          <w:rFonts w:cs="Times New Roman"/>
          <w:lang w:val="en-US"/>
        </w:rPr>
        <w:t xml:space="preserve">” (disobedience) refer to the act of refusing to comply with a law or an order. They connote insubordination, intractability or resistance (see, e.g., the definitions of these words in the dictionaries </w:t>
      </w:r>
      <w:r w:rsidR="00B46C7D">
        <w:rPr>
          <w:rFonts w:cs="Times New Roman"/>
          <w:i/>
          <w:lang w:val="en-US"/>
        </w:rPr>
        <w:t xml:space="preserve">Le </w:t>
      </w:r>
      <w:r w:rsidRPr="00283996">
        <w:rPr>
          <w:rFonts w:cs="Times New Roman"/>
          <w:i/>
          <w:lang w:val="en-US"/>
        </w:rPr>
        <w:t xml:space="preserve">Petit Larousse </w:t>
      </w:r>
      <w:proofErr w:type="spellStart"/>
      <w:r w:rsidRPr="00283996">
        <w:rPr>
          <w:rFonts w:cs="Times New Roman"/>
          <w:i/>
          <w:lang w:val="en-US"/>
        </w:rPr>
        <w:t>illustré</w:t>
      </w:r>
      <w:proofErr w:type="spellEnd"/>
      <w:r w:rsidRPr="00283996">
        <w:rPr>
          <w:rFonts w:cs="Times New Roman"/>
          <w:lang w:val="en-US"/>
        </w:rPr>
        <w:t xml:space="preserve"> (2020), at p. 371,</w:t>
      </w:r>
      <w:r w:rsidRPr="00283996">
        <w:rPr>
          <w:rFonts w:cs="Times New Roman"/>
          <w:i/>
          <w:lang w:val="en-US"/>
        </w:rPr>
        <w:t xml:space="preserve"> </w:t>
      </w:r>
      <w:r w:rsidRPr="00283996">
        <w:rPr>
          <w:rFonts w:cs="Times New Roman"/>
          <w:lang w:val="en-US"/>
        </w:rPr>
        <w:t xml:space="preserve">and </w:t>
      </w:r>
      <w:r w:rsidRPr="00283996">
        <w:rPr>
          <w:rFonts w:cs="Times New Roman"/>
          <w:i/>
          <w:lang w:val="en-US"/>
        </w:rPr>
        <w:t>Le Petit Robert</w:t>
      </w:r>
      <w:r w:rsidRPr="00283996">
        <w:rPr>
          <w:rFonts w:cs="Times New Roman"/>
          <w:lang w:val="en-US"/>
        </w:rPr>
        <w:t xml:space="preserve"> (new ed. 2020), at p. 707). On the other hand, the word “ignore” means “not to know, to be ignorant of” or, alternatively, “</w:t>
      </w:r>
      <w:r w:rsidR="00E9384F">
        <w:rPr>
          <w:rFonts w:cs="Times New Roman"/>
          <w:lang w:val="en-US"/>
        </w:rPr>
        <w:t>[</w:t>
      </w:r>
      <w:r w:rsidRPr="00283996">
        <w:rPr>
          <w:rFonts w:cs="Times New Roman"/>
          <w:lang w:val="en-US"/>
        </w:rPr>
        <w:t>t</w:t>
      </w:r>
      <w:r w:rsidR="00E9384F">
        <w:rPr>
          <w:rFonts w:cs="Times New Roman"/>
          <w:lang w:val="en-US"/>
        </w:rPr>
        <w:t>]</w:t>
      </w:r>
      <w:r w:rsidRPr="00283996">
        <w:rPr>
          <w:rFonts w:cs="Times New Roman"/>
          <w:lang w:val="en-US"/>
        </w:rPr>
        <w:t xml:space="preserve">o refuse to take notice of; not to recognize; to disregard intentionally, leave out of account or consideration, shut ‘one’s eyes to’” (see “ignore” in the </w:t>
      </w:r>
      <w:r w:rsidRPr="00283996">
        <w:rPr>
          <w:rFonts w:cs="Times New Roman"/>
          <w:i/>
          <w:lang w:val="en-US"/>
        </w:rPr>
        <w:t>Oxford English Dictionary</w:t>
      </w:r>
      <w:r w:rsidRPr="00283996">
        <w:rPr>
          <w:rFonts w:cs="Times New Roman"/>
          <w:lang w:val="en-US"/>
        </w:rPr>
        <w:t xml:space="preserve"> (2nd ed. 1989), at p. 641).</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According to </w:t>
      </w:r>
      <w:r w:rsidRPr="00283996">
        <w:rPr>
          <w:rFonts w:cs="Times New Roman"/>
          <w:i/>
          <w:lang w:val="en-US"/>
        </w:rPr>
        <w:t xml:space="preserve">Robert &amp; Collins: </w:t>
      </w:r>
      <w:proofErr w:type="spellStart"/>
      <w:r w:rsidRPr="00283996">
        <w:rPr>
          <w:rFonts w:cs="Times New Roman"/>
          <w:i/>
          <w:lang w:val="en-US"/>
        </w:rPr>
        <w:t>Dictionnaire</w:t>
      </w:r>
      <w:proofErr w:type="spellEnd"/>
      <w:r w:rsidRPr="00283996">
        <w:rPr>
          <w:rFonts w:cs="Times New Roman"/>
          <w:i/>
          <w:lang w:val="en-US"/>
        </w:rPr>
        <w:t xml:space="preserve"> </w:t>
      </w:r>
      <w:proofErr w:type="spellStart"/>
      <w:r w:rsidRPr="00283996">
        <w:rPr>
          <w:rFonts w:cs="Times New Roman"/>
          <w:i/>
          <w:lang w:val="en-US"/>
        </w:rPr>
        <w:t>français</w:t>
      </w:r>
      <w:r w:rsidRPr="00283996">
        <w:rPr>
          <w:rFonts w:cs="Times New Roman"/>
          <w:i/>
          <w:lang w:val="en-US"/>
        </w:rPr>
        <w:noBreakHyphen/>
        <w:t>anglais</w:t>
      </w:r>
      <w:proofErr w:type="spellEnd"/>
      <w:r w:rsidRPr="00283996">
        <w:rPr>
          <w:rFonts w:cs="Times New Roman"/>
          <w:i/>
          <w:lang w:val="en-US"/>
        </w:rPr>
        <w:t xml:space="preserve">, </w:t>
      </w:r>
      <w:proofErr w:type="spellStart"/>
      <w:r w:rsidRPr="00283996">
        <w:rPr>
          <w:rFonts w:cs="Times New Roman"/>
          <w:i/>
          <w:lang w:val="en-US"/>
        </w:rPr>
        <w:t>anglais</w:t>
      </w:r>
      <w:r w:rsidRPr="00283996">
        <w:rPr>
          <w:rFonts w:cs="Times New Roman"/>
          <w:i/>
          <w:lang w:val="en-US"/>
        </w:rPr>
        <w:noBreakHyphen/>
        <w:t>français</w:t>
      </w:r>
      <w:proofErr w:type="spellEnd"/>
      <w:r w:rsidRPr="00283996">
        <w:rPr>
          <w:rFonts w:cs="Times New Roman"/>
          <w:lang w:val="en-US"/>
        </w:rPr>
        <w:t xml:space="preserve"> (10th ed. 2016), at p. 1548, the English word “ignore” is the equivalent </w:t>
      </w:r>
      <w:r w:rsidRPr="00283996">
        <w:rPr>
          <w:rFonts w:cs="Times New Roman"/>
          <w:lang w:val="en-US"/>
        </w:rPr>
        <w:lastRenderedPageBreak/>
        <w:t>of the French word “</w:t>
      </w:r>
      <w:r w:rsidRPr="00283996">
        <w:rPr>
          <w:rFonts w:cs="Times New Roman"/>
          <w:i/>
          <w:lang w:val="en-US"/>
        </w:rPr>
        <w:t>ignorer</w:t>
      </w:r>
      <w:r w:rsidRPr="00283996">
        <w:rPr>
          <w:rFonts w:cs="Times New Roman"/>
          <w:lang w:val="en-US"/>
        </w:rPr>
        <w:t>”, which means not to know, not to want to know or not to make use of something or, alternatively, to refuse to recognize the existence of or to take notice of something (see also “</w:t>
      </w:r>
      <w:r w:rsidRPr="00283996">
        <w:rPr>
          <w:rFonts w:cs="Times New Roman"/>
          <w:i/>
          <w:lang w:val="en-US"/>
        </w:rPr>
        <w:t>ignorer</w:t>
      </w:r>
      <w:r w:rsidRPr="00283996">
        <w:rPr>
          <w:rFonts w:cs="Times New Roman"/>
          <w:lang w:val="en-US"/>
        </w:rPr>
        <w:t xml:space="preserve">” in the dictionaries </w:t>
      </w:r>
      <w:r w:rsidRPr="00283996">
        <w:rPr>
          <w:rFonts w:cs="Times New Roman"/>
          <w:i/>
          <w:lang w:val="en-US"/>
        </w:rPr>
        <w:t xml:space="preserve">Le Petit Larousse </w:t>
      </w:r>
      <w:proofErr w:type="spellStart"/>
      <w:r w:rsidRPr="00283996">
        <w:rPr>
          <w:rFonts w:cs="Times New Roman"/>
          <w:i/>
          <w:lang w:val="en-US"/>
        </w:rPr>
        <w:t>illustré</w:t>
      </w:r>
      <w:proofErr w:type="spellEnd"/>
      <w:r w:rsidRPr="00283996">
        <w:rPr>
          <w:rFonts w:cs="Times New Roman"/>
          <w:lang w:val="en-US"/>
        </w:rPr>
        <w:t xml:space="preserve">, at p. 598, and </w:t>
      </w:r>
      <w:r w:rsidRPr="00283996">
        <w:rPr>
          <w:rFonts w:cs="Times New Roman"/>
          <w:i/>
          <w:lang w:val="en-US"/>
        </w:rPr>
        <w:t>Le Petit Robert</w:t>
      </w:r>
      <w:r w:rsidRPr="00283996">
        <w:rPr>
          <w:rFonts w:cs="Times New Roman"/>
          <w:lang w:val="en-US"/>
        </w:rPr>
        <w:t>, at p. 1276).</w:t>
      </w:r>
    </w:p>
    <w:p w:rsidR="003011EC" w:rsidRPr="00283996" w:rsidRDefault="003011EC" w:rsidP="003011EC">
      <w:pPr>
        <w:pStyle w:val="ParaNoNdepar-AltN"/>
        <w:spacing w:before="0"/>
        <w:rPr>
          <w:rFonts w:cs="Times New Roman"/>
          <w:lang w:val="en-US"/>
        </w:rPr>
      </w:pPr>
      <w:r w:rsidRPr="00283996">
        <w:rPr>
          <w:rFonts w:cs="Times New Roman"/>
          <w:lang w:val="en-US"/>
        </w:rPr>
        <w:t>That being said, the English version of By</w:t>
      </w:r>
      <w:r w:rsidRPr="00283996">
        <w:rPr>
          <w:rFonts w:cs="Times New Roman"/>
          <w:lang w:val="en-US"/>
        </w:rPr>
        <w:noBreakHyphen/>
        <w:t>law R</w:t>
      </w:r>
      <w:r w:rsidRPr="00283996">
        <w:rPr>
          <w:rFonts w:cs="Times New Roman"/>
          <w:lang w:val="en-US"/>
        </w:rPr>
        <w:noBreakHyphen/>
        <w:t>036 is unofficial and therefore has no legal effect: it is merely a reference document.</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In addition, s. 8 of the </w:t>
      </w:r>
      <w:r w:rsidRPr="00283996">
        <w:rPr>
          <w:rFonts w:cs="Times New Roman"/>
          <w:i/>
          <w:lang w:val="en-US"/>
        </w:rPr>
        <w:t>Charter of the French language</w:t>
      </w:r>
      <w:r w:rsidRPr="00283996">
        <w:rPr>
          <w:rFonts w:cs="Times New Roman"/>
          <w:lang w:val="en-US"/>
        </w:rPr>
        <w:t>, CQLR, c. C</w:t>
      </w:r>
      <w:r w:rsidRPr="00283996">
        <w:rPr>
          <w:rFonts w:cs="Times New Roman"/>
          <w:lang w:val="en-US"/>
        </w:rPr>
        <w:noBreakHyphen/>
        <w:t>11, provides as follows:</w:t>
      </w:r>
    </w:p>
    <w:p w:rsidR="003011EC" w:rsidRPr="00283996" w:rsidRDefault="003011EC" w:rsidP="003011EC">
      <w:pPr>
        <w:pStyle w:val="Citation-AltC"/>
        <w:ind w:hanging="446"/>
        <w:contextualSpacing w:val="0"/>
        <w:rPr>
          <w:lang w:val="en-US"/>
        </w:rPr>
      </w:pPr>
      <w:r w:rsidRPr="00283996">
        <w:rPr>
          <w:b/>
          <w:lang w:val="en-US"/>
        </w:rPr>
        <w:tab/>
        <w:t>8. </w:t>
      </w:r>
      <w:r w:rsidRPr="00283996">
        <w:rPr>
          <w:lang w:val="en-US"/>
        </w:rPr>
        <w:t>Where an English version exists of a regulation or other similar act to which section 133 of the Constitution Act, 1867 does not apply, the French text shall prevail in case of discrepancy.</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According to </w:t>
      </w:r>
      <w:r w:rsidRPr="00283996">
        <w:rPr>
          <w:rFonts w:cs="Times New Roman"/>
          <w:i/>
          <w:lang w:val="en-US"/>
        </w:rPr>
        <w:t xml:space="preserve">Attorney General of Quebec v. </w:t>
      </w:r>
      <w:proofErr w:type="spellStart"/>
      <w:r w:rsidRPr="00283996">
        <w:rPr>
          <w:rFonts w:cs="Times New Roman"/>
          <w:i/>
          <w:lang w:val="en-US"/>
        </w:rPr>
        <w:t>Blaikie</w:t>
      </w:r>
      <w:proofErr w:type="spellEnd"/>
      <w:r w:rsidRPr="00283996">
        <w:rPr>
          <w:rFonts w:cs="Times New Roman"/>
          <w:lang w:val="en-US"/>
        </w:rPr>
        <w:t xml:space="preserve">, [1981] 1 S.C.R. 312, at p. 329, only regulations that are “enactments of the Government” are subject to s. 133 of the </w:t>
      </w:r>
      <w:r w:rsidRPr="00283996">
        <w:rPr>
          <w:rFonts w:cs="Times New Roman"/>
          <w:i/>
          <w:lang w:val="en-US"/>
        </w:rPr>
        <w:t>Constitution Act, 1867</w:t>
      </w:r>
      <w:r w:rsidRPr="00283996">
        <w:rPr>
          <w:rFonts w:cs="Times New Roman"/>
          <w:lang w:val="en-US"/>
        </w:rPr>
        <w:t>. By</w:t>
      </w:r>
      <w:r w:rsidRPr="00283996">
        <w:rPr>
          <w:rFonts w:cs="Times New Roman"/>
          <w:lang w:val="en-US"/>
        </w:rPr>
        <w:noBreakHyphen/>
        <w:t>law R</w:t>
      </w:r>
      <w:r w:rsidRPr="00283996">
        <w:rPr>
          <w:rFonts w:cs="Times New Roman"/>
          <w:lang w:val="en-US"/>
        </w:rPr>
        <w:noBreakHyphen/>
        <w:t>036 is not an enactment of the government. It is a corporate by</w:t>
      </w:r>
      <w:r w:rsidRPr="00283996">
        <w:rPr>
          <w:rFonts w:cs="Times New Roman"/>
          <w:lang w:val="en-US"/>
        </w:rPr>
        <w:noBreakHyphen/>
        <w:t xml:space="preserve">law adopted by the STM. As a result, s. 133 of the </w:t>
      </w:r>
      <w:r w:rsidRPr="00283996">
        <w:rPr>
          <w:rFonts w:cs="Times New Roman"/>
          <w:i/>
          <w:lang w:val="en-US"/>
        </w:rPr>
        <w:t>Constitution Act, 1867</w:t>
      </w:r>
      <w:r w:rsidRPr="00283996">
        <w:rPr>
          <w:rFonts w:cs="Times New Roman"/>
          <w:lang w:val="en-US"/>
        </w:rPr>
        <w:t xml:space="preserve"> does not apply to By</w:t>
      </w:r>
      <w:r w:rsidRPr="00283996">
        <w:rPr>
          <w:rFonts w:cs="Times New Roman"/>
          <w:lang w:val="en-US"/>
        </w:rPr>
        <w:noBreakHyphen/>
        <w:t>law R</w:t>
      </w:r>
      <w:r w:rsidRPr="00283996">
        <w:rPr>
          <w:rFonts w:cs="Times New Roman"/>
          <w:lang w:val="en-US"/>
        </w:rPr>
        <w:noBreakHyphen/>
        <w:t xml:space="preserve">036, which is therefore covered by s. 8 of the </w:t>
      </w:r>
      <w:r w:rsidRPr="00283996">
        <w:rPr>
          <w:rFonts w:cs="Times New Roman"/>
          <w:i/>
          <w:lang w:val="en-US"/>
        </w:rPr>
        <w:t>Charter of the French language</w:t>
      </w:r>
      <w:r w:rsidRPr="00283996">
        <w:rPr>
          <w:rFonts w:cs="Times New Roman"/>
          <w:lang w:val="en-US"/>
        </w:rPr>
        <w:t>. Since there is a discrepancy between the unofficial English version and the French version, the French text prevails, and my analysis will deal solely with that text.</w:t>
      </w:r>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The offence thus involves disobeying a directive or pictogram. By definition, to “disobey” is to refuse to comply with an obligation or order, or to break the law (see, e.g., “</w:t>
      </w:r>
      <w:proofErr w:type="spellStart"/>
      <w:r w:rsidRPr="00283996">
        <w:rPr>
          <w:rFonts w:cs="Times New Roman"/>
          <w:i/>
          <w:lang w:val="en-US"/>
        </w:rPr>
        <w:t>désobéir</w:t>
      </w:r>
      <w:proofErr w:type="spellEnd"/>
      <w:r w:rsidRPr="00283996">
        <w:rPr>
          <w:rFonts w:cs="Times New Roman"/>
          <w:lang w:val="en-US"/>
        </w:rPr>
        <w:t>” (disobey) and “</w:t>
      </w:r>
      <w:proofErr w:type="spellStart"/>
      <w:r w:rsidRPr="00283996">
        <w:rPr>
          <w:rFonts w:cs="Times New Roman"/>
          <w:i/>
          <w:lang w:val="en-US"/>
        </w:rPr>
        <w:t>désobéissance</w:t>
      </w:r>
      <w:proofErr w:type="spellEnd"/>
      <w:r w:rsidRPr="00283996">
        <w:rPr>
          <w:rFonts w:cs="Times New Roman"/>
          <w:lang w:val="en-US"/>
        </w:rPr>
        <w:t xml:space="preserve">” (disobedience) in the dictionaries </w:t>
      </w:r>
      <w:r w:rsidRPr="00283996">
        <w:rPr>
          <w:rFonts w:cs="Times New Roman"/>
          <w:i/>
          <w:lang w:val="en-US"/>
        </w:rPr>
        <w:t xml:space="preserve">Le Petit Larousse </w:t>
      </w:r>
      <w:proofErr w:type="spellStart"/>
      <w:r w:rsidRPr="00283996">
        <w:rPr>
          <w:rFonts w:cs="Times New Roman"/>
          <w:i/>
          <w:lang w:val="en-US"/>
        </w:rPr>
        <w:t>illustré</w:t>
      </w:r>
      <w:proofErr w:type="spellEnd"/>
      <w:r w:rsidRPr="00283996">
        <w:rPr>
          <w:rFonts w:cs="Times New Roman"/>
          <w:lang w:val="en-US"/>
        </w:rPr>
        <w:t>, at p. 371,</w:t>
      </w:r>
      <w:r w:rsidRPr="00283996">
        <w:rPr>
          <w:rFonts w:cs="Times New Roman"/>
          <w:i/>
          <w:lang w:val="en-US"/>
        </w:rPr>
        <w:t xml:space="preserve"> </w:t>
      </w:r>
      <w:r w:rsidRPr="00283996">
        <w:rPr>
          <w:rFonts w:cs="Times New Roman"/>
          <w:lang w:val="en-US"/>
        </w:rPr>
        <w:t xml:space="preserve">and </w:t>
      </w:r>
      <w:r w:rsidRPr="00283996">
        <w:rPr>
          <w:rFonts w:cs="Times New Roman"/>
          <w:i/>
          <w:lang w:val="en-US"/>
        </w:rPr>
        <w:t>Le Petit Robert</w:t>
      </w:r>
      <w:r w:rsidRPr="00283996">
        <w:rPr>
          <w:rFonts w:cs="Times New Roman"/>
          <w:lang w:val="en-US"/>
        </w:rPr>
        <w:t>, at p. 707). Therefore, a subway user does not “disobey” a pictogram unless it creates an obligation or prohibition. It follows that a pictogram that only warns, advises or informs cannot serve as the basis for this offence. After all, one does not “disobey” a warning. At most, one refuses to take notice of it. This interpretation — which flows from the ordinary meaning of the words — is the one that must be adopted by a reasonable police officer called upon to enforce By</w:t>
      </w:r>
      <w:r w:rsidRPr="00283996">
        <w:rPr>
          <w:rFonts w:cs="Times New Roman"/>
          <w:lang w:val="en-US"/>
        </w:rPr>
        <w:noBreakHyphen/>
        <w:t>law R</w:t>
      </w:r>
      <w:r w:rsidRPr="00283996">
        <w:rPr>
          <w:rFonts w:cs="Times New Roman"/>
          <w:lang w:val="en-US"/>
        </w:rPr>
        <w:noBreakHyphen/>
        <w:t>036.</w:t>
      </w:r>
    </w:p>
    <w:p w:rsidR="003011EC" w:rsidRPr="00283996" w:rsidRDefault="003011EC" w:rsidP="003011EC">
      <w:pPr>
        <w:pStyle w:val="ParaNoNdepar-AltN"/>
        <w:spacing w:before="0"/>
        <w:rPr>
          <w:rFonts w:cs="Times New Roman"/>
          <w:lang w:val="en-US"/>
        </w:rPr>
      </w:pPr>
      <w:r w:rsidRPr="00283996">
        <w:rPr>
          <w:rFonts w:cs="Times New Roman"/>
          <w:lang w:val="en-US"/>
        </w:rPr>
        <w:t>However, By</w:t>
      </w:r>
      <w:r w:rsidRPr="00283996">
        <w:rPr>
          <w:rFonts w:cs="Times New Roman"/>
          <w:lang w:val="en-US"/>
        </w:rPr>
        <w:noBreakHyphen/>
        <w:t>law R</w:t>
      </w:r>
      <w:r w:rsidRPr="00283996">
        <w:rPr>
          <w:rFonts w:cs="Times New Roman"/>
          <w:lang w:val="en-US"/>
        </w:rPr>
        <w:noBreakHyphen/>
        <w:t>036 provides no information about the pictograms to which it refers and no explanation of the obligations and prohibitions allegedly expressed by those graphical representations. Police officers — like subway users, in fact — have no choice but to examine the elements of the various pictograms posted by the STM to understand what is or is not an offence for the purposes of art. 4(e).</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In the instant case, the question is therefore whether the pictogram concerned imposes an obligation to hold the handrail. In Constable Camacho’s view, the answer is simple: </w:t>
      </w:r>
      <w:r w:rsidRPr="00283996">
        <w:rPr>
          <w:rFonts w:cs="Times New Roman"/>
          <w:i/>
          <w:lang w:val="en-US"/>
        </w:rPr>
        <w:t>all</w:t>
      </w:r>
      <w:r w:rsidRPr="00283996">
        <w:rPr>
          <w:rFonts w:cs="Times New Roman"/>
          <w:lang w:val="en-US"/>
        </w:rPr>
        <w:t xml:space="preserve"> of the pictograms posted in the subway describe prohibitions or obligations, and contravening them is an offence (C.Q. reasons, at para. 198). In his opinion, Ms. </w:t>
      </w:r>
      <w:proofErr w:type="spellStart"/>
      <w:r w:rsidRPr="00283996">
        <w:rPr>
          <w:rFonts w:cs="Times New Roman"/>
          <w:lang w:val="en-US"/>
        </w:rPr>
        <w:t>Kosoian</w:t>
      </w:r>
      <w:proofErr w:type="spellEnd"/>
      <w:r w:rsidRPr="00283996">
        <w:rPr>
          <w:rFonts w:cs="Times New Roman"/>
          <w:lang w:val="en-US"/>
        </w:rPr>
        <w:t xml:space="preserve"> </w:t>
      </w:r>
      <w:r w:rsidRPr="00283996">
        <w:rPr>
          <w:rFonts w:cs="Times New Roman"/>
          <w:i/>
          <w:lang w:val="en-US"/>
        </w:rPr>
        <w:t xml:space="preserve">disobeyed </w:t>
      </w:r>
      <w:r w:rsidRPr="00283996">
        <w:rPr>
          <w:rFonts w:cs="Times New Roman"/>
          <w:lang w:val="en-US"/>
        </w:rPr>
        <w:t>the pictogram posted by the STM indicating that the handrail should be held and thereby contravened art. 4(e) of By</w:t>
      </w:r>
      <w:r w:rsidRPr="00283996">
        <w:rPr>
          <w:rFonts w:cs="Times New Roman"/>
          <w:lang w:val="en-US"/>
        </w:rPr>
        <w:noBreakHyphen/>
        <w:t>law R</w:t>
      </w:r>
      <w:r w:rsidRPr="00283996">
        <w:rPr>
          <w:rFonts w:cs="Times New Roman"/>
          <w:lang w:val="en-US"/>
        </w:rPr>
        <w:noBreakHyphen/>
        <w:t xml:space="preserve">036. The </w:t>
      </w:r>
      <w:r w:rsidRPr="00283996">
        <w:rPr>
          <w:rFonts w:cs="Times New Roman"/>
          <w:lang w:val="en-US"/>
        </w:rPr>
        <w:lastRenderedPageBreak/>
        <w:t>appellant, on the other hand, maintains that the pictogram simply communicates a message to be careful, not an obligation, that she therefore could not “disobey” it and that, as a result, it does not create any offence.</w:t>
      </w:r>
    </w:p>
    <w:p w:rsidR="003011EC" w:rsidRPr="00283996" w:rsidRDefault="003011EC" w:rsidP="003011EC">
      <w:pPr>
        <w:pStyle w:val="ParaNoNdepar-AltN"/>
        <w:spacing w:before="0"/>
        <w:rPr>
          <w:rFonts w:cs="Times New Roman"/>
          <w:lang w:val="en-US"/>
        </w:rPr>
      </w:pPr>
      <w:r w:rsidRPr="00283996">
        <w:rPr>
          <w:rFonts w:cs="Times New Roman"/>
          <w:lang w:val="en-US"/>
        </w:rPr>
        <w:t>With respect, the majority of the Quebec Court of Appeal erred in law in relying on the presumption of validity applicable to the by</w:t>
      </w:r>
      <w:r w:rsidRPr="00283996">
        <w:rPr>
          <w:rFonts w:cs="Times New Roman"/>
          <w:lang w:val="en-US"/>
        </w:rPr>
        <w:noBreakHyphen/>
        <w:t xml:space="preserve">law to support the reasonableness of Constable Camacho’s belief in the </w:t>
      </w:r>
      <w:r w:rsidRPr="00283996">
        <w:rPr>
          <w:rFonts w:cs="Times New Roman"/>
          <w:i/>
          <w:lang w:val="en-US"/>
        </w:rPr>
        <w:t>existence</w:t>
      </w:r>
      <w:r w:rsidRPr="00283996">
        <w:rPr>
          <w:rFonts w:cs="Times New Roman"/>
          <w:lang w:val="en-US"/>
        </w:rPr>
        <w:t xml:space="preserve"> in law of the alleged offence (paras. 7</w:t>
      </w:r>
      <w:r w:rsidRPr="00283996">
        <w:rPr>
          <w:rFonts w:cs="Times New Roman"/>
          <w:lang w:val="en-US"/>
        </w:rPr>
        <w:noBreakHyphen/>
        <w:t>8, 10</w:t>
      </w:r>
      <w:r w:rsidRPr="00283996">
        <w:rPr>
          <w:rFonts w:cs="Times New Roman"/>
          <w:lang w:val="en-US"/>
        </w:rPr>
        <w:noBreakHyphen/>
        <w:t>11 and 13). The trial judge erred as well in assuming that Ms. </w:t>
      </w:r>
      <w:proofErr w:type="spellStart"/>
      <w:r w:rsidRPr="00283996">
        <w:rPr>
          <w:rFonts w:cs="Times New Roman"/>
          <w:lang w:val="en-US"/>
        </w:rPr>
        <w:t>Kosoian</w:t>
      </w:r>
      <w:proofErr w:type="spellEnd"/>
      <w:r w:rsidRPr="00283996">
        <w:rPr>
          <w:rFonts w:cs="Times New Roman"/>
          <w:lang w:val="en-US"/>
        </w:rPr>
        <w:t xml:space="preserve"> had acted [</w:t>
      </w:r>
      <w:r w:rsidRPr="00283996">
        <w:rPr>
          <w:rFonts w:cs="Times New Roman"/>
          <w:smallCaps/>
          <w:lang w:val="en-US"/>
        </w:rPr>
        <w:t>translation</w:t>
      </w:r>
      <w:r w:rsidRPr="00283996">
        <w:rPr>
          <w:rFonts w:cs="Times New Roman"/>
          <w:lang w:val="en-US"/>
        </w:rPr>
        <w:t>] “unlawfully” by not holding the handrail (para. 270), without questioning the very existence of the offence. As I explained above, the presumption that a by</w:t>
      </w:r>
      <w:r w:rsidRPr="00283996">
        <w:rPr>
          <w:rFonts w:cs="Times New Roman"/>
          <w:lang w:val="en-US"/>
        </w:rPr>
        <w:noBreakHyphen/>
        <w:t>law is valid does not extend to the very existence or scope of an offence. In the instant case, these errors vitiated the analysis of civil liability undertaken by the courts below, which justifies this Court making its own assessment of Constable Camacho’s conduct.</w:t>
      </w:r>
    </w:p>
    <w:p w:rsidR="003011EC" w:rsidRPr="00283996" w:rsidRDefault="003011EC" w:rsidP="003011EC">
      <w:pPr>
        <w:pStyle w:val="ParaNoNdepar-AltN"/>
        <w:spacing w:before="0"/>
        <w:rPr>
          <w:rFonts w:cs="Times New Roman"/>
          <w:lang w:val="en-US"/>
        </w:rPr>
      </w:pPr>
      <w:r w:rsidRPr="00283996">
        <w:rPr>
          <w:rFonts w:cs="Times New Roman"/>
          <w:lang w:val="en-US"/>
        </w:rPr>
        <w:t>I also reiterate that, contrary to what the respondents argue, the action brought by Ms. </w:t>
      </w:r>
      <w:proofErr w:type="spellStart"/>
      <w:r w:rsidRPr="00283996">
        <w:rPr>
          <w:rFonts w:cs="Times New Roman"/>
          <w:lang w:val="en-US"/>
        </w:rPr>
        <w:t>Kosoian</w:t>
      </w:r>
      <w:proofErr w:type="spellEnd"/>
      <w:r w:rsidRPr="00283996">
        <w:rPr>
          <w:rFonts w:cs="Times New Roman"/>
          <w:lang w:val="en-US"/>
        </w:rPr>
        <w:t xml:space="preserve"> is not based on a challenge to the validity of art. 4(e) of By</w:t>
      </w:r>
      <w:r w:rsidRPr="00283996">
        <w:rPr>
          <w:rFonts w:cs="Times New Roman"/>
          <w:lang w:val="en-US"/>
        </w:rPr>
        <w:noBreakHyphen/>
        <w:t>law R</w:t>
      </w:r>
      <w:r w:rsidRPr="00283996">
        <w:rPr>
          <w:rFonts w:cs="Times New Roman"/>
          <w:lang w:val="en-US"/>
        </w:rPr>
        <w:noBreakHyphen/>
        <w:t>036. For this reason, the Court does not have to determine whether this provision validly authorizes the STM to prohibit users from disobeying the directives or pictograms it posts, even if they are not directly incorporated into the by</w:t>
      </w:r>
      <w:r w:rsidRPr="00283996">
        <w:rPr>
          <w:rFonts w:cs="Times New Roman"/>
          <w:lang w:val="en-US"/>
        </w:rPr>
        <w:noBreakHyphen/>
        <w:t xml:space="preserve">law. As the dissenting Court of Appeal judge stated (paras. 59 and 65), an unlawful </w:t>
      </w:r>
      <w:proofErr w:type="spellStart"/>
      <w:r w:rsidRPr="00283996">
        <w:rPr>
          <w:rFonts w:cs="Times New Roman"/>
          <w:lang w:val="en-US"/>
        </w:rPr>
        <w:t>subdelegation</w:t>
      </w:r>
      <w:proofErr w:type="spellEnd"/>
      <w:r w:rsidRPr="00283996">
        <w:rPr>
          <w:rFonts w:cs="Times New Roman"/>
          <w:lang w:val="en-US"/>
        </w:rPr>
        <w:t xml:space="preserve"> issue might possibly arise, but that is not the issue before the Court. Similarly, Ms. </w:t>
      </w:r>
      <w:proofErr w:type="spellStart"/>
      <w:r w:rsidRPr="00283996">
        <w:rPr>
          <w:rFonts w:cs="Times New Roman"/>
          <w:lang w:val="en-US"/>
        </w:rPr>
        <w:t>Kosoian</w:t>
      </w:r>
      <w:proofErr w:type="spellEnd"/>
      <w:r w:rsidRPr="00283996">
        <w:rPr>
          <w:rFonts w:cs="Times New Roman"/>
          <w:lang w:val="en-US"/>
        </w:rPr>
        <w:t xml:space="preserve"> is not seeking to invalidate art. 4(e) based on the </w:t>
      </w:r>
      <w:r w:rsidRPr="00283996">
        <w:rPr>
          <w:rFonts w:cs="Times New Roman"/>
          <w:i/>
          <w:lang w:val="en-US"/>
        </w:rPr>
        <w:t>vagueness</w:t>
      </w:r>
      <w:r w:rsidRPr="00283996">
        <w:rPr>
          <w:rFonts w:cs="Times New Roman"/>
          <w:lang w:val="en-US"/>
        </w:rPr>
        <w:t xml:space="preserve"> of the </w:t>
      </w:r>
      <w:r w:rsidRPr="00283996">
        <w:rPr>
          <w:rFonts w:cs="Times New Roman"/>
          <w:lang w:val="en-US"/>
        </w:rPr>
        <w:lastRenderedPageBreak/>
        <w:t>pictograms to which that provision refers. On the contrary, she argues in her factum that the pictogram in question [</w:t>
      </w:r>
      <w:r w:rsidRPr="00283996">
        <w:rPr>
          <w:rFonts w:cs="Times New Roman"/>
          <w:smallCaps/>
          <w:lang w:val="en-US"/>
        </w:rPr>
        <w:t>translation</w:t>
      </w:r>
      <w:r w:rsidRPr="00283996">
        <w:rPr>
          <w:rFonts w:cs="Times New Roman"/>
          <w:lang w:val="en-US"/>
        </w:rPr>
        <w:t>] “</w:t>
      </w:r>
      <w:r w:rsidRPr="00283996">
        <w:rPr>
          <w:rFonts w:cs="Times New Roman"/>
          <w:u w:val="single"/>
          <w:lang w:val="en-US"/>
        </w:rPr>
        <w:t>clearly and unequivocally</w:t>
      </w:r>
      <w:r w:rsidRPr="00283996">
        <w:rPr>
          <w:rFonts w:cs="Times New Roman"/>
          <w:lang w:val="en-US"/>
        </w:rPr>
        <w:t xml:space="preserve"> communicates a message that encourages something, not an obligation” (para. 39 (emphasis added)).</w:t>
      </w:r>
    </w:p>
    <w:p w:rsidR="003011EC" w:rsidRPr="00283996" w:rsidRDefault="003011EC" w:rsidP="003011EC">
      <w:pPr>
        <w:pStyle w:val="ParaNoNdepar-AltN"/>
        <w:rPr>
          <w:rFonts w:cs="Times New Roman"/>
          <w:sz w:val="22"/>
          <w:lang w:val="en-US"/>
        </w:rPr>
      </w:pPr>
      <w:r w:rsidRPr="00283996">
        <w:rPr>
          <w:rFonts w:cs="Times New Roman"/>
          <w:lang w:val="en-US"/>
        </w:rPr>
        <w:t xml:space="preserve">In my opinion, the appellant is correct. A reasonable police officer looking at the STM’s sign would have concluded that the pictogram simply advises users to be careful and does not impose an obligation. In this sense, there is no issue of </w:t>
      </w:r>
      <w:r w:rsidRPr="00283996">
        <w:rPr>
          <w:rFonts w:cs="Times New Roman"/>
          <w:i/>
          <w:lang w:val="en-US"/>
        </w:rPr>
        <w:t>vagueness</w:t>
      </w:r>
      <w:r w:rsidRPr="00283996">
        <w:rPr>
          <w:rFonts w:cs="Times New Roman"/>
          <w:lang w:val="en-US"/>
        </w:rPr>
        <w:t>.</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In any event, in the case at bar, a cursory analysis is sufficient to show that a reasonable person in the same circumstances </w:t>
      </w:r>
      <w:r w:rsidRPr="00283996">
        <w:rPr>
          <w:rStyle w:val="Italic"/>
          <w:rFonts w:cs="Times New Roman"/>
          <w:szCs w:val="24"/>
          <w:lang w:val="en-US"/>
        </w:rPr>
        <w:t xml:space="preserve">— </w:t>
      </w:r>
      <w:r w:rsidRPr="0042152C">
        <w:rPr>
          <w:rStyle w:val="Italic"/>
          <w:rFonts w:cs="Times New Roman"/>
          <w:i w:val="0"/>
          <w:szCs w:val="24"/>
          <w:lang w:val="en-US"/>
        </w:rPr>
        <w:t xml:space="preserve">and </w:t>
      </w:r>
      <w:r w:rsidRPr="00D2350F">
        <w:rPr>
          <w:rStyle w:val="Italic"/>
          <w:rFonts w:cs="Times New Roman"/>
          <w:szCs w:val="24"/>
          <w:lang w:val="en-US"/>
        </w:rPr>
        <w:t>a fortiori</w:t>
      </w:r>
      <w:r w:rsidRPr="0042152C">
        <w:rPr>
          <w:rStyle w:val="Italic"/>
          <w:rFonts w:cs="Times New Roman"/>
          <w:i w:val="0"/>
          <w:szCs w:val="24"/>
          <w:lang w:val="en-US"/>
        </w:rPr>
        <w:t xml:space="preserve"> a reasonable police officer</w:t>
      </w:r>
      <w:r w:rsidRPr="00283996">
        <w:rPr>
          <w:rStyle w:val="Italic"/>
          <w:rFonts w:cs="Times New Roman"/>
          <w:szCs w:val="24"/>
          <w:lang w:val="en-US"/>
        </w:rPr>
        <w:t xml:space="preserve"> —</w:t>
      </w:r>
      <w:r w:rsidRPr="00283996">
        <w:rPr>
          <w:rFonts w:cs="Times New Roman"/>
          <w:lang w:val="en-US"/>
        </w:rPr>
        <w:t xml:space="preserve"> would not regard the pictogram as imposing an obligation the breach of which constitutes an offence under a by</w:t>
      </w:r>
      <w:r w:rsidRPr="00283996">
        <w:rPr>
          <w:rFonts w:cs="Times New Roman"/>
          <w:lang w:val="en-US"/>
        </w:rPr>
        <w:noBreakHyphen/>
        <w:t>law:</w:t>
      </w:r>
    </w:p>
    <w:p w:rsidR="003011EC" w:rsidRPr="00283996" w:rsidRDefault="003011EC" w:rsidP="006D5DFC">
      <w:pPr>
        <w:pStyle w:val="ParaNoNdepar-AltN"/>
        <w:numPr>
          <w:ilvl w:val="1"/>
          <w:numId w:val="1"/>
        </w:numPr>
        <w:spacing w:before="0"/>
        <w:ind w:hanging="720"/>
        <w:rPr>
          <w:rFonts w:cs="Times New Roman"/>
          <w:lang w:val="en-US"/>
        </w:rPr>
      </w:pPr>
      <w:r w:rsidRPr="00283996">
        <w:rPr>
          <w:rFonts w:cs="Times New Roman"/>
          <w:lang w:val="en-US"/>
        </w:rPr>
        <w:t>The pictogram and the message accompanying it — [</w:t>
      </w:r>
      <w:r w:rsidRPr="00283996">
        <w:rPr>
          <w:rFonts w:cs="Times New Roman"/>
          <w:smallCaps/>
          <w:lang w:val="en-US"/>
        </w:rPr>
        <w:t>translation</w:t>
      </w:r>
      <w:r w:rsidRPr="00283996">
        <w:rPr>
          <w:rFonts w:cs="Times New Roman"/>
          <w:lang w:val="en-US"/>
        </w:rPr>
        <w:t>] “Hold Handrail” — have the title “CAUTION”, which aims to communicate advice to be careful.</w:t>
      </w:r>
    </w:p>
    <w:p w:rsidR="003011EC" w:rsidRPr="00283996" w:rsidRDefault="003011EC" w:rsidP="006D5DFC">
      <w:pPr>
        <w:pStyle w:val="ParaNoNdepar-AltN"/>
        <w:numPr>
          <w:ilvl w:val="1"/>
          <w:numId w:val="1"/>
        </w:numPr>
        <w:spacing w:before="0"/>
        <w:ind w:hanging="720"/>
        <w:rPr>
          <w:rFonts w:cs="Times New Roman"/>
          <w:lang w:val="en-US"/>
        </w:rPr>
      </w:pPr>
      <w:r w:rsidRPr="00283996">
        <w:rPr>
          <w:rFonts w:cs="Times New Roman"/>
          <w:lang w:val="en-US"/>
        </w:rPr>
        <w:t>The other two messages that appear on the same sign — [</w:t>
      </w:r>
      <w:r w:rsidRPr="00283996">
        <w:rPr>
          <w:rFonts w:cs="Times New Roman"/>
          <w:smallCaps/>
          <w:lang w:val="en-US"/>
        </w:rPr>
        <w:t>translation</w:t>
      </w:r>
      <w:r w:rsidRPr="00283996">
        <w:rPr>
          <w:rFonts w:cs="Times New Roman"/>
          <w:lang w:val="en-US"/>
        </w:rPr>
        <w:t>] “Attend Children” and “Avoid Sides” — also seem to provide the same advice.</w:t>
      </w:r>
    </w:p>
    <w:p w:rsidR="003011EC" w:rsidRPr="00283996" w:rsidRDefault="003011EC" w:rsidP="006D5DFC">
      <w:pPr>
        <w:pStyle w:val="ParaNoNdepar-AltN"/>
        <w:numPr>
          <w:ilvl w:val="1"/>
          <w:numId w:val="1"/>
        </w:numPr>
        <w:spacing w:before="0"/>
        <w:ind w:hanging="720"/>
        <w:rPr>
          <w:rFonts w:cs="Times New Roman"/>
          <w:lang w:val="en-US"/>
        </w:rPr>
      </w:pPr>
      <w:r w:rsidRPr="00283996">
        <w:rPr>
          <w:rFonts w:cs="Times New Roman"/>
          <w:lang w:val="en-US"/>
        </w:rPr>
        <w:t xml:space="preserve">The pictogram appears on a yellow background. It is well known that this </w:t>
      </w:r>
      <w:proofErr w:type="spellStart"/>
      <w:r w:rsidRPr="00283996">
        <w:rPr>
          <w:rFonts w:cs="Times New Roman"/>
          <w:lang w:val="en-US"/>
        </w:rPr>
        <w:t>colour</w:t>
      </w:r>
      <w:proofErr w:type="spellEnd"/>
      <w:r w:rsidRPr="00283996">
        <w:rPr>
          <w:rFonts w:cs="Times New Roman"/>
          <w:lang w:val="en-US"/>
        </w:rPr>
        <w:t xml:space="preserve"> generally corresponds to a warning, not to an obligation the breach of which will be penalized.</w:t>
      </w:r>
    </w:p>
    <w:p w:rsidR="003011EC" w:rsidRPr="00283996" w:rsidRDefault="003011EC" w:rsidP="006D5DFC">
      <w:pPr>
        <w:pStyle w:val="ParaNoNdepar-AltN"/>
        <w:numPr>
          <w:ilvl w:val="1"/>
          <w:numId w:val="1"/>
        </w:numPr>
        <w:spacing w:before="0"/>
        <w:ind w:hanging="720"/>
        <w:rPr>
          <w:rFonts w:cs="Times New Roman"/>
          <w:lang w:val="en-US"/>
        </w:rPr>
      </w:pPr>
      <w:r w:rsidRPr="00283996">
        <w:rPr>
          <w:rFonts w:cs="Times New Roman"/>
          <w:lang w:val="en-US"/>
        </w:rPr>
        <w:lastRenderedPageBreak/>
        <w:t>Certain other pictograms on the same sign communicate a prohibition through explicit visual elements. For example, one pictogram has a small red circle and a diagonal red bar. Another appears with a drawing showing a gavel, and the amount of the fine is specifically indicated on it.</w:t>
      </w:r>
    </w:p>
    <w:p w:rsidR="003011EC" w:rsidRPr="00283996" w:rsidRDefault="003011EC" w:rsidP="006D5DFC">
      <w:pPr>
        <w:pStyle w:val="ParaNoNdepar-AltN"/>
        <w:numPr>
          <w:ilvl w:val="1"/>
          <w:numId w:val="1"/>
        </w:numPr>
        <w:spacing w:before="0"/>
        <w:ind w:hanging="720"/>
        <w:rPr>
          <w:rFonts w:cs="Times New Roman"/>
          <w:lang w:val="en-US"/>
        </w:rPr>
      </w:pPr>
      <w:r w:rsidRPr="00283996">
        <w:rPr>
          <w:rFonts w:cs="Times New Roman"/>
          <w:lang w:val="en-US"/>
        </w:rPr>
        <w:t xml:space="preserve">In contrast, there is </w:t>
      </w:r>
      <w:r w:rsidRPr="00283996">
        <w:rPr>
          <w:rFonts w:cs="Times New Roman"/>
          <w:i/>
          <w:lang w:val="en-US"/>
        </w:rPr>
        <w:t>no</w:t>
      </w:r>
      <w:r w:rsidRPr="00283996">
        <w:rPr>
          <w:rFonts w:cs="Times New Roman"/>
          <w:lang w:val="en-US"/>
        </w:rPr>
        <w:t xml:space="preserve"> symbol suggesting that holding the handrail is </w:t>
      </w:r>
      <w:r w:rsidRPr="00283996">
        <w:rPr>
          <w:rFonts w:cs="Times New Roman"/>
          <w:i/>
          <w:lang w:val="en-US"/>
        </w:rPr>
        <w:t>obligatory</w:t>
      </w:r>
      <w:r w:rsidRPr="00283996">
        <w:rPr>
          <w:rFonts w:cs="Times New Roman"/>
          <w:lang w:val="en-US"/>
        </w:rPr>
        <w:t>.</w:t>
      </w:r>
    </w:p>
    <w:p w:rsidR="003011EC" w:rsidRPr="00283996" w:rsidRDefault="003011EC" w:rsidP="003011EC">
      <w:pPr>
        <w:pStyle w:val="ParaNoNdepar-AltN"/>
        <w:spacing w:before="0"/>
        <w:rPr>
          <w:rFonts w:cs="Times New Roman"/>
          <w:sz w:val="22"/>
          <w:lang w:val="en-US"/>
        </w:rPr>
      </w:pPr>
      <w:r w:rsidRPr="00283996">
        <w:rPr>
          <w:rFonts w:cs="Times New Roman"/>
          <w:lang w:val="en-US"/>
        </w:rPr>
        <w:t>Simply put, when the STM intends to impose an obligation or prohibition through a pictogram, it does so using well</w:t>
      </w:r>
      <w:r w:rsidRPr="00283996">
        <w:rPr>
          <w:rFonts w:cs="Times New Roman"/>
          <w:lang w:val="en-US"/>
        </w:rPr>
        <w:noBreakHyphen/>
        <w:t>known symbols, which indicate the binding nature of the pictogram. Conversely, when the STM chooses not to use such symbols, as in the case of the pictogram indicating that the handrail should be held, it must be inferred that its intention is instead simply to advise users to be careful.</w:t>
      </w:r>
      <w:r w:rsidRPr="00283996">
        <w:rPr>
          <w:rStyle w:val="Hyperlink"/>
          <w:vertAlign w:val="superscript"/>
          <w:lang w:val="en-US"/>
        </w:rPr>
        <w:footnoteReference w:id="4"/>
      </w:r>
      <w:r w:rsidRPr="00283996">
        <w:rPr>
          <w:rFonts w:cs="Times New Roman"/>
          <w:lang w:val="en-US"/>
        </w:rPr>
        <w:t xml:space="preserve"> At least, this is the conclusion that must be reached from looking at the sign in question.</w:t>
      </w:r>
    </w:p>
    <w:p w:rsidR="003011EC" w:rsidRPr="00283996" w:rsidRDefault="003011EC" w:rsidP="003011EC">
      <w:pPr>
        <w:pStyle w:val="ParaNoNdepar-AltN"/>
        <w:spacing w:before="0"/>
        <w:rPr>
          <w:rFonts w:cs="Times New Roman"/>
          <w:lang w:val="en-US"/>
        </w:rPr>
      </w:pPr>
      <w:r w:rsidRPr="00283996">
        <w:rPr>
          <w:rFonts w:cs="Times New Roman"/>
          <w:lang w:val="en-US"/>
        </w:rPr>
        <w:t>Unlike the majority of the Court of Appeal, it is my view that the circumstances of this case, including the training Constable Camacho received, cannot render his conduct reasonable. It is true that, as stated in the trial judge’s decision, the STM taught police officers that it was an offence to disobey the pictogram indicating that the handrail should be held (paras. 210</w:t>
      </w:r>
      <w:r w:rsidRPr="00283996">
        <w:rPr>
          <w:rFonts w:cs="Times New Roman"/>
          <w:lang w:val="en-US"/>
        </w:rPr>
        <w:noBreakHyphen/>
        <w:t xml:space="preserve">11 and 270). As I explained above, such </w:t>
      </w:r>
      <w:r w:rsidRPr="00283996">
        <w:rPr>
          <w:rFonts w:cs="Times New Roman"/>
          <w:lang w:val="en-US"/>
        </w:rPr>
        <w:lastRenderedPageBreak/>
        <w:t>training must be taken into account in assessing a police officer’s conduct. However, the fact that police officers have received training does not authorize them to lay aside their own judgment. Here, despite the training received, the very sight of the pictogram should at least have raised a doubt in the mind of a reasonable police officer as to whether it created an offence.</w:t>
      </w:r>
    </w:p>
    <w:p w:rsidR="003011EC" w:rsidRPr="00283996" w:rsidRDefault="003011EC" w:rsidP="003011EC">
      <w:pPr>
        <w:pStyle w:val="ParaNoNdepar-AltN"/>
        <w:spacing w:before="0"/>
        <w:rPr>
          <w:rStyle w:val="Italic"/>
          <w:rFonts w:cs="Times New Roman"/>
          <w:i w:val="0"/>
          <w:lang w:val="en-US"/>
        </w:rPr>
      </w:pPr>
      <w:r w:rsidRPr="00283996">
        <w:rPr>
          <w:rStyle w:val="Italic"/>
          <w:rFonts w:cs="Times New Roman"/>
          <w:i w:val="0"/>
          <w:lang w:val="en-US"/>
        </w:rPr>
        <w:t>In the circumstances, and in light of Ms. </w:t>
      </w:r>
      <w:proofErr w:type="spellStart"/>
      <w:r w:rsidRPr="00283996">
        <w:rPr>
          <w:rStyle w:val="Italic"/>
          <w:rFonts w:cs="Times New Roman"/>
          <w:i w:val="0"/>
          <w:lang w:val="en-US"/>
        </w:rPr>
        <w:t>Kosoian’s</w:t>
      </w:r>
      <w:proofErr w:type="spellEnd"/>
      <w:r w:rsidRPr="00283996">
        <w:rPr>
          <w:rStyle w:val="Italic"/>
          <w:rFonts w:cs="Times New Roman"/>
          <w:i w:val="0"/>
          <w:lang w:val="en-US"/>
        </w:rPr>
        <w:t xml:space="preserve"> protests, Constable Camacho could not reasonably be certain that he was acting within his powers. He should have refrained from giving her a statement of offence and then made further inquiries as to the meaning of the pictogram and the scope of the by</w:t>
      </w:r>
      <w:r w:rsidRPr="00283996">
        <w:rPr>
          <w:rStyle w:val="Italic"/>
          <w:rFonts w:cs="Times New Roman"/>
          <w:i w:val="0"/>
          <w:lang w:val="en-US"/>
        </w:rPr>
        <w:noBreakHyphen/>
        <w:t>law. Moreover, when Ms. </w:t>
      </w:r>
      <w:proofErr w:type="spellStart"/>
      <w:r w:rsidRPr="00283996">
        <w:rPr>
          <w:rStyle w:val="Italic"/>
          <w:rFonts w:cs="Times New Roman"/>
          <w:i w:val="0"/>
          <w:lang w:val="en-US"/>
        </w:rPr>
        <w:t>Kosoian</w:t>
      </w:r>
      <w:proofErr w:type="spellEnd"/>
      <w:r w:rsidRPr="00283996">
        <w:rPr>
          <w:rStyle w:val="Italic"/>
          <w:rFonts w:cs="Times New Roman"/>
          <w:i w:val="0"/>
          <w:lang w:val="en-US"/>
        </w:rPr>
        <w:t xml:space="preserve"> was at the bottom of the escalator, there was no longer any risk to her or others. His intervention — which was initially supposed to be an effort to [</w:t>
      </w:r>
      <w:r w:rsidRPr="00283996">
        <w:rPr>
          <w:rStyle w:val="Italic"/>
          <w:rFonts w:cs="Times New Roman"/>
          <w:i w:val="0"/>
          <w:smallCaps/>
          <w:lang w:val="en-US"/>
        </w:rPr>
        <w:t>translation</w:t>
      </w:r>
      <w:r w:rsidRPr="00283996">
        <w:rPr>
          <w:rStyle w:val="Italic"/>
          <w:rFonts w:cs="Times New Roman"/>
          <w:i w:val="0"/>
          <w:lang w:val="en-US"/>
        </w:rPr>
        <w:t>] “raise awareness” — should have ended at that moment.</w:t>
      </w:r>
    </w:p>
    <w:p w:rsidR="003011EC" w:rsidRPr="00283996" w:rsidRDefault="003011EC" w:rsidP="003011EC">
      <w:pPr>
        <w:pStyle w:val="ParaNoNdepar-AltN"/>
        <w:spacing w:before="0"/>
        <w:rPr>
          <w:rStyle w:val="Italic"/>
          <w:rFonts w:cs="Times New Roman"/>
          <w:i w:val="0"/>
          <w:lang w:val="en-US"/>
        </w:rPr>
      </w:pPr>
      <w:r w:rsidRPr="00283996">
        <w:rPr>
          <w:rStyle w:val="Italic"/>
          <w:rFonts w:cs="Times New Roman"/>
          <w:i w:val="0"/>
          <w:lang w:val="en-US"/>
        </w:rPr>
        <w:t>In short, a reasonable police officer in the same circumstances would necessarily have doubted the existence in law of the offence and, as a result, would not have required Ms. </w:t>
      </w:r>
      <w:proofErr w:type="spellStart"/>
      <w:r w:rsidRPr="00283996">
        <w:rPr>
          <w:rStyle w:val="Italic"/>
          <w:rFonts w:cs="Times New Roman"/>
          <w:i w:val="0"/>
          <w:lang w:val="en-US"/>
        </w:rPr>
        <w:t>Kosoian</w:t>
      </w:r>
      <w:proofErr w:type="spellEnd"/>
      <w:r w:rsidRPr="00283996">
        <w:rPr>
          <w:rStyle w:val="Italic"/>
          <w:rFonts w:cs="Times New Roman"/>
          <w:i w:val="0"/>
          <w:lang w:val="en-US"/>
        </w:rPr>
        <w:t xml:space="preserve"> to identify herself so that she could be given a statement of offence. Such an officer would certainly not have arrested her if she refused, but would instead have allowed her to continue on her way.</w:t>
      </w:r>
    </w:p>
    <w:p w:rsidR="003011EC" w:rsidRPr="00283996" w:rsidRDefault="003011EC" w:rsidP="003011EC">
      <w:pPr>
        <w:pStyle w:val="ParaNoNdepar-AltN"/>
        <w:spacing w:before="0"/>
        <w:rPr>
          <w:rStyle w:val="Italic"/>
          <w:rFonts w:cs="Times New Roman"/>
          <w:i w:val="0"/>
          <w:lang w:val="en-US"/>
        </w:rPr>
      </w:pPr>
      <w:r w:rsidRPr="00283996">
        <w:rPr>
          <w:rStyle w:val="Italic"/>
          <w:rFonts w:cs="Times New Roman"/>
          <w:i w:val="0"/>
          <w:lang w:val="en-US"/>
        </w:rPr>
        <w:t>I therefore conclude that Constable Camacho departed from the conduct expected of a reasonable police officer by grabbing Ms. </w:t>
      </w:r>
      <w:proofErr w:type="spellStart"/>
      <w:r w:rsidRPr="00283996">
        <w:rPr>
          <w:rStyle w:val="Italic"/>
          <w:rFonts w:cs="Times New Roman"/>
          <w:i w:val="0"/>
          <w:lang w:val="en-US"/>
        </w:rPr>
        <w:t>Kosoian</w:t>
      </w:r>
      <w:proofErr w:type="spellEnd"/>
      <w:r w:rsidRPr="00283996">
        <w:rPr>
          <w:rStyle w:val="Italic"/>
          <w:rFonts w:cs="Times New Roman"/>
          <w:i w:val="0"/>
          <w:lang w:val="en-US"/>
        </w:rPr>
        <w:t xml:space="preserve"> in order to prevent her from leaving and by taking her to the holding room. By acting in that manner, he made an arrest which was unlawful (see</w:t>
      </w:r>
      <w:r w:rsidRPr="00283996">
        <w:rPr>
          <w:rStyle w:val="Italic"/>
          <w:rFonts w:eastAsiaTheme="majorEastAsia" w:cs="Times New Roman"/>
          <w:lang w:val="en-US"/>
        </w:rPr>
        <w:t xml:space="preserve"> </w:t>
      </w:r>
      <w:r w:rsidRPr="00283996">
        <w:rPr>
          <w:rFonts w:cs="Times New Roman"/>
          <w:i/>
          <w:lang w:val="en-US"/>
        </w:rPr>
        <w:t>R. v. Latimer</w:t>
      </w:r>
      <w:r w:rsidRPr="00283996">
        <w:rPr>
          <w:rFonts w:cs="Times New Roman"/>
          <w:lang w:val="en-US"/>
        </w:rPr>
        <w:t>, [1997] 1 S.C.R. 217, at para. </w:t>
      </w:r>
      <w:r w:rsidRPr="002035EE">
        <w:rPr>
          <w:rFonts w:cs="Times New Roman"/>
          <w:lang w:val="fr-CA"/>
        </w:rPr>
        <w:t xml:space="preserve">24; </w:t>
      </w:r>
      <w:r w:rsidRPr="002035EE">
        <w:rPr>
          <w:rFonts w:cs="Times New Roman"/>
          <w:i/>
          <w:lang w:val="fr-CA"/>
        </w:rPr>
        <w:lastRenderedPageBreak/>
        <w:t xml:space="preserve">R. v. </w:t>
      </w:r>
      <w:proofErr w:type="spellStart"/>
      <w:r w:rsidRPr="002035EE">
        <w:rPr>
          <w:rFonts w:cs="Times New Roman"/>
          <w:i/>
          <w:lang w:val="fr-CA"/>
        </w:rPr>
        <w:t>Asante</w:t>
      </w:r>
      <w:proofErr w:type="spellEnd"/>
      <w:r w:rsidRPr="002035EE">
        <w:rPr>
          <w:rFonts w:cs="Times New Roman"/>
          <w:i/>
          <w:lang w:val="fr-CA"/>
        </w:rPr>
        <w:noBreakHyphen/>
        <w:t>Mensah</w:t>
      </w:r>
      <w:r w:rsidR="00224109" w:rsidRPr="002035EE">
        <w:rPr>
          <w:rFonts w:cs="Times New Roman"/>
          <w:lang w:val="fr-CA"/>
        </w:rPr>
        <w:t xml:space="preserve">, 2003 SCC 38, [2003] 2 </w:t>
      </w:r>
      <w:r w:rsidRPr="002035EE">
        <w:rPr>
          <w:rFonts w:cs="Times New Roman"/>
          <w:lang w:val="fr-CA"/>
        </w:rPr>
        <w:t>S.C.R. 3, at paras. </w:t>
      </w:r>
      <w:r w:rsidRPr="00283996">
        <w:rPr>
          <w:rFonts w:cs="Times New Roman"/>
          <w:lang w:val="en-US"/>
        </w:rPr>
        <w:t>42</w:t>
      </w:r>
      <w:r w:rsidRPr="00283996">
        <w:rPr>
          <w:rFonts w:cs="Times New Roman"/>
          <w:lang w:val="en-US"/>
        </w:rPr>
        <w:noBreakHyphen/>
        <w:t>46) and which, having regard to the context, constituted a civil fault</w:t>
      </w:r>
      <w:r w:rsidRPr="00440DF3">
        <w:rPr>
          <w:rStyle w:val="Italic"/>
          <w:rFonts w:eastAsiaTheme="majorEastAsia" w:cs="Times New Roman"/>
          <w:i w:val="0"/>
          <w:lang w:val="en-US"/>
        </w:rPr>
        <w:t>.</w:t>
      </w:r>
    </w:p>
    <w:p w:rsidR="003011EC" w:rsidRPr="00283996" w:rsidRDefault="003011EC" w:rsidP="003011EC">
      <w:pPr>
        <w:pStyle w:val="ParaNoNdepar-AltN"/>
        <w:spacing w:before="0"/>
        <w:rPr>
          <w:rFonts w:cs="Times New Roman"/>
          <w:lang w:val="en-US"/>
        </w:rPr>
      </w:pPr>
      <w:r w:rsidRPr="00283996">
        <w:rPr>
          <w:rFonts w:cs="Times New Roman"/>
          <w:lang w:val="en-US"/>
        </w:rPr>
        <w:t>Any exercise of discretion by a police officer must have a valid legal justification (</w:t>
      </w:r>
      <w:proofErr w:type="spellStart"/>
      <w:r w:rsidRPr="00283996">
        <w:rPr>
          <w:rFonts w:cs="Times New Roman"/>
          <w:i/>
          <w:lang w:val="en-US"/>
        </w:rPr>
        <w:t>Dedman</w:t>
      </w:r>
      <w:proofErr w:type="spellEnd"/>
      <w:r w:rsidRPr="00283996">
        <w:rPr>
          <w:rFonts w:cs="Times New Roman"/>
          <w:lang w:val="en-US"/>
        </w:rPr>
        <w:t>, at pp. 28</w:t>
      </w:r>
      <w:r w:rsidRPr="00283996">
        <w:rPr>
          <w:rFonts w:cs="Times New Roman"/>
          <w:lang w:val="en-US"/>
        </w:rPr>
        <w:noBreakHyphen/>
        <w:t>29). Since the offence alleged in this case did not exist, and since Constable Camacho’s belief in the existence of such an offence was unreasonable, any exercise of his discretion grounded on that non</w:t>
      </w:r>
      <w:r w:rsidRPr="00283996">
        <w:rPr>
          <w:rFonts w:cs="Times New Roman"/>
          <w:lang w:val="en-US"/>
        </w:rPr>
        <w:noBreakHyphen/>
        <w:t>existent offence was not only unlawful but also necessarily unreasonable.</w:t>
      </w:r>
    </w:p>
    <w:p w:rsidR="003011EC" w:rsidRPr="00283996" w:rsidRDefault="003011EC" w:rsidP="003011EC">
      <w:pPr>
        <w:pStyle w:val="ParaNoNdepar-AltN"/>
        <w:spacing w:before="0"/>
        <w:rPr>
          <w:rFonts w:cs="Times New Roman"/>
          <w:lang w:val="en-US"/>
        </w:rPr>
      </w:pPr>
      <w:r w:rsidRPr="00283996">
        <w:rPr>
          <w:rFonts w:cs="Times New Roman"/>
          <w:lang w:val="en-US"/>
        </w:rPr>
        <w:t>As a result, I do not have to determine whether, in the instant case, going so far as to grab hold of Ms. </w:t>
      </w:r>
      <w:proofErr w:type="spellStart"/>
      <w:r w:rsidRPr="00283996">
        <w:rPr>
          <w:rFonts w:cs="Times New Roman"/>
          <w:lang w:val="en-US"/>
        </w:rPr>
        <w:t>Kosoian</w:t>
      </w:r>
      <w:proofErr w:type="spellEnd"/>
      <w:r w:rsidRPr="00283996">
        <w:rPr>
          <w:rFonts w:cs="Times New Roman"/>
          <w:lang w:val="en-US"/>
        </w:rPr>
        <w:t xml:space="preserve"> and keep her handcuffed on a chair was an inherently unreasonable exercise of discretion by Constable Camacho. I will simply note that police officers must exercise good judgment before issuing a statement of offence and must also act with prudence and restraint in exercising their powers of arrest.</w:t>
      </w:r>
    </w:p>
    <w:p w:rsidR="003011EC" w:rsidRPr="00283996" w:rsidRDefault="003011EC" w:rsidP="003011EC">
      <w:pPr>
        <w:pStyle w:val="ParaNoNdepar-AltN"/>
        <w:spacing w:before="0"/>
        <w:rPr>
          <w:rFonts w:cs="Times New Roman"/>
          <w:lang w:val="en-US"/>
        </w:rPr>
      </w:pPr>
      <w:r w:rsidRPr="00283996">
        <w:rPr>
          <w:rFonts w:cs="Times New Roman"/>
          <w:lang w:val="en-US"/>
        </w:rPr>
        <w:t>That being said, I have some serious reservations about the trial judge’s conclusions that Constable Camacho’s conduct was [</w:t>
      </w:r>
      <w:r w:rsidRPr="00283996">
        <w:rPr>
          <w:rFonts w:cs="Times New Roman"/>
          <w:smallCaps/>
          <w:lang w:val="en-US"/>
        </w:rPr>
        <w:t>translation</w:t>
      </w:r>
      <w:r w:rsidRPr="00283996">
        <w:rPr>
          <w:rFonts w:cs="Times New Roman"/>
          <w:lang w:val="en-US"/>
        </w:rPr>
        <w:t>] “exemplary and irreproachable” and that the force used was reasonable in the circumstances (paras. 266, 269 and 277</w:t>
      </w:r>
      <w:r w:rsidRPr="00283996">
        <w:rPr>
          <w:rFonts w:cs="Times New Roman"/>
          <w:lang w:val="en-US"/>
        </w:rPr>
        <w:noBreakHyphen/>
        <w:t>79).</w:t>
      </w:r>
    </w:p>
    <w:p w:rsidR="003011EC" w:rsidRPr="00283996" w:rsidRDefault="003011EC" w:rsidP="003011EC">
      <w:pPr>
        <w:pStyle w:val="ParaNoNdepar-AltN"/>
        <w:spacing w:before="0"/>
        <w:rPr>
          <w:rFonts w:cs="Times New Roman"/>
          <w:lang w:val="en-US"/>
        </w:rPr>
      </w:pPr>
      <w:r w:rsidRPr="00283996">
        <w:rPr>
          <w:rFonts w:cs="Times New Roman"/>
          <w:lang w:val="en-US"/>
        </w:rPr>
        <w:t>First, in view of the non</w:t>
      </w:r>
      <w:r w:rsidRPr="00283996">
        <w:rPr>
          <w:rFonts w:cs="Times New Roman"/>
          <w:lang w:val="en-US"/>
        </w:rPr>
        <w:noBreakHyphen/>
        <w:t xml:space="preserve">existence in law of the offence initially alleged, </w:t>
      </w:r>
      <w:r w:rsidRPr="00283996">
        <w:rPr>
          <w:rStyle w:val="Italic"/>
          <w:rFonts w:eastAsiaTheme="majorEastAsia" w:cs="Times New Roman"/>
          <w:i w:val="0"/>
          <w:lang w:val="en-US"/>
        </w:rPr>
        <w:t xml:space="preserve">the force used was inevitably unwarranted. Article 82 </w:t>
      </w:r>
      <w:r w:rsidRPr="00E91604">
        <w:rPr>
          <w:rStyle w:val="Italic"/>
          <w:rFonts w:eastAsiaTheme="majorEastAsia" w:cs="Times New Roman"/>
          <w:lang w:val="en-US"/>
        </w:rPr>
        <w:t>C.P.P.</w:t>
      </w:r>
      <w:r w:rsidRPr="00283996">
        <w:rPr>
          <w:rStyle w:val="Italic"/>
          <w:rFonts w:eastAsiaTheme="majorEastAsia" w:cs="Times New Roman"/>
          <w:i w:val="0"/>
          <w:lang w:val="en-US"/>
        </w:rPr>
        <w:t xml:space="preserve">, which authorizes a police officer to use the force necessary to make an arrest, applies only where the officer acts </w:t>
      </w:r>
      <w:r w:rsidRPr="00283996">
        <w:rPr>
          <w:rStyle w:val="Italic"/>
          <w:rFonts w:eastAsiaTheme="majorEastAsia" w:cs="Times New Roman"/>
          <w:i w:val="0"/>
          <w:lang w:val="en-US"/>
        </w:rPr>
        <w:lastRenderedPageBreak/>
        <w:t>lawfully</w:t>
      </w:r>
      <w:r w:rsidRPr="00283996">
        <w:rPr>
          <w:rFonts w:cs="Times New Roman"/>
          <w:lang w:val="en-US"/>
        </w:rPr>
        <w:t xml:space="preserve"> (see </w:t>
      </w:r>
      <w:proofErr w:type="spellStart"/>
      <w:r w:rsidR="00594B53">
        <w:rPr>
          <w:rFonts w:cs="Times New Roman"/>
          <w:i/>
          <w:lang w:val="en-US"/>
        </w:rPr>
        <w:t>Figueiras</w:t>
      </w:r>
      <w:proofErr w:type="spellEnd"/>
      <w:r w:rsidR="00594B53">
        <w:rPr>
          <w:rFonts w:cs="Times New Roman"/>
          <w:i/>
          <w:lang w:val="en-US"/>
        </w:rPr>
        <w:t xml:space="preserve"> </w:t>
      </w:r>
      <w:r w:rsidRPr="00283996">
        <w:rPr>
          <w:rFonts w:cs="Times New Roman"/>
          <w:i/>
          <w:lang w:val="en-US"/>
        </w:rPr>
        <w:t>v. Toronto Police Services Board</w:t>
      </w:r>
      <w:r w:rsidRPr="00283996">
        <w:rPr>
          <w:rFonts w:cs="Times New Roman"/>
          <w:lang w:val="en-US"/>
        </w:rPr>
        <w:t>, 2015 ONCA 208, 124 O.R. (3d) 641, at para. 147). Moreover, the search incidental to the arrest was unreasonable given that Ms. </w:t>
      </w:r>
      <w:proofErr w:type="spellStart"/>
      <w:r w:rsidRPr="00283996">
        <w:rPr>
          <w:rFonts w:cs="Times New Roman"/>
          <w:lang w:val="en-US"/>
        </w:rPr>
        <w:t>Kosoian</w:t>
      </w:r>
      <w:proofErr w:type="spellEnd"/>
      <w:r w:rsidRPr="00283996">
        <w:rPr>
          <w:rFonts w:cs="Times New Roman"/>
          <w:lang w:val="en-US"/>
        </w:rPr>
        <w:t xml:space="preserve"> was not lawfully arrested (</w:t>
      </w:r>
      <w:r w:rsidRPr="00283996">
        <w:rPr>
          <w:rFonts w:cs="Times New Roman"/>
          <w:i/>
          <w:lang w:val="en-US"/>
        </w:rPr>
        <w:t>R. v. Saeed</w:t>
      </w:r>
      <w:r w:rsidRPr="00283996">
        <w:rPr>
          <w:rFonts w:cs="Times New Roman"/>
          <w:lang w:val="en-US"/>
        </w:rPr>
        <w:t>, 2016 SCC 24, [2016] 1 S.C.R. 518, at paras. 36</w:t>
      </w:r>
      <w:r w:rsidRPr="00283996">
        <w:rPr>
          <w:rFonts w:cs="Times New Roman"/>
          <w:lang w:val="en-US"/>
        </w:rPr>
        <w:noBreakHyphen/>
        <w:t xml:space="preserve">37). On this last point, I would add that I prefer not to comment on the issue discussed by </w:t>
      </w:r>
      <w:proofErr w:type="spellStart"/>
      <w:r w:rsidRPr="00283996">
        <w:rPr>
          <w:rFonts w:cs="Times New Roman"/>
          <w:lang w:val="en-US"/>
        </w:rPr>
        <w:t>Vauclair</w:t>
      </w:r>
      <w:proofErr w:type="spellEnd"/>
      <w:r w:rsidRPr="00283996">
        <w:rPr>
          <w:rFonts w:cs="Times New Roman"/>
          <w:lang w:val="en-US"/>
        </w:rPr>
        <w:t> J.A. in his concurring opinion, namely whether there is a power to conduct an incidental search for identification purposes.</w:t>
      </w:r>
    </w:p>
    <w:p w:rsidR="003011EC" w:rsidRPr="00283996" w:rsidRDefault="003011EC" w:rsidP="003011EC">
      <w:pPr>
        <w:pStyle w:val="ParaNoNdepar-AltN"/>
        <w:spacing w:before="0"/>
        <w:rPr>
          <w:rFonts w:cs="Times New Roman"/>
          <w:lang w:val="en-US"/>
        </w:rPr>
      </w:pPr>
      <w:r w:rsidRPr="00283996">
        <w:rPr>
          <w:rFonts w:cs="Times New Roman"/>
          <w:lang w:val="en-US"/>
        </w:rPr>
        <w:t>Second, the trial judge’s conclusions are inconsistent with those in the penal judgment of the Municipal Court that acquitted Ms. </w:t>
      </w:r>
      <w:proofErr w:type="spellStart"/>
      <w:r w:rsidRPr="00283996">
        <w:rPr>
          <w:rFonts w:cs="Times New Roman"/>
          <w:lang w:val="en-US"/>
        </w:rPr>
        <w:t>Kosoian</w:t>
      </w:r>
      <w:proofErr w:type="spellEnd"/>
      <w:r w:rsidRPr="00283996">
        <w:rPr>
          <w:rFonts w:cs="Times New Roman"/>
          <w:lang w:val="en-US"/>
        </w:rPr>
        <w:t>. The conclusions reached in that judgment are in fact not innocuous, since the judge stated, among other things, that he was under [</w:t>
      </w:r>
      <w:r w:rsidRPr="00283996">
        <w:rPr>
          <w:rFonts w:cs="Times New Roman"/>
          <w:smallCaps/>
          <w:lang w:val="en-US"/>
        </w:rPr>
        <w:t>translation</w:t>
      </w:r>
      <w:r w:rsidRPr="00283996">
        <w:rPr>
          <w:rFonts w:cs="Times New Roman"/>
          <w:lang w:val="en-US"/>
        </w:rPr>
        <w:t xml:space="preserve">] “the impression that adjustments were made to the [prosecution’s] evidence to justify the </w:t>
      </w:r>
      <w:r w:rsidRPr="00283996">
        <w:rPr>
          <w:rFonts w:cs="Times New Roman"/>
          <w:u w:val="single"/>
          <w:lang w:val="en-US"/>
        </w:rPr>
        <w:t>failure of this intervention</w:t>
      </w:r>
      <w:r w:rsidRPr="00283996">
        <w:rPr>
          <w:rFonts w:cs="Times New Roman"/>
          <w:lang w:val="en-US"/>
        </w:rPr>
        <w:t>, which basically should have been routine” (A.R., vol. II, at p. 82 (emphasis added)). I would also note that the only reason we have no physical evidence of the events at issue is that the respondents did not take the necessary steps to keep the videotapes from the surveillance camera, despite the fact that Ms. </w:t>
      </w:r>
      <w:proofErr w:type="spellStart"/>
      <w:r w:rsidRPr="00283996">
        <w:rPr>
          <w:rFonts w:cs="Times New Roman"/>
          <w:lang w:val="en-US"/>
        </w:rPr>
        <w:t>Kosoian’s</w:t>
      </w:r>
      <w:proofErr w:type="spellEnd"/>
      <w:r w:rsidRPr="00283996">
        <w:rPr>
          <w:rFonts w:cs="Times New Roman"/>
          <w:lang w:val="en-US"/>
        </w:rPr>
        <w:t xml:space="preserve"> spouse requested this the very next day (A.R., vol. II, at p. 75).</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The trial judge completely disregarded the reasons for the penal judgment. Although civil judges are not bound by such judgments, they also cannot ignore them (see </w:t>
      </w:r>
      <w:r w:rsidRPr="00283996">
        <w:rPr>
          <w:rFonts w:cs="Times New Roman"/>
          <w:i/>
          <w:lang w:val="en-US"/>
        </w:rPr>
        <w:t>Solomon</w:t>
      </w:r>
      <w:r w:rsidR="006157EC">
        <w:rPr>
          <w:rFonts w:cs="Times New Roman"/>
          <w:i/>
          <w:lang w:val="en-US"/>
        </w:rPr>
        <w:t xml:space="preserve"> </w:t>
      </w:r>
      <w:r w:rsidRPr="00283996">
        <w:rPr>
          <w:rFonts w:cs="Times New Roman"/>
          <w:i/>
          <w:lang w:val="en-US"/>
        </w:rPr>
        <w:t>v. Québec (</w:t>
      </w:r>
      <w:proofErr w:type="spellStart"/>
      <w:r w:rsidRPr="00283996">
        <w:rPr>
          <w:rFonts w:cs="Times New Roman"/>
          <w:i/>
          <w:lang w:val="en-US"/>
        </w:rPr>
        <w:t>Procureur</w:t>
      </w:r>
      <w:proofErr w:type="spellEnd"/>
      <w:r w:rsidRPr="00283996">
        <w:rPr>
          <w:rFonts w:cs="Times New Roman"/>
          <w:i/>
          <w:lang w:val="en-US"/>
        </w:rPr>
        <w:t xml:space="preserve"> </w:t>
      </w:r>
      <w:proofErr w:type="spellStart"/>
      <w:r w:rsidRPr="00283996">
        <w:rPr>
          <w:rFonts w:cs="Times New Roman"/>
          <w:i/>
          <w:lang w:val="en-US"/>
        </w:rPr>
        <w:t>général</w:t>
      </w:r>
      <w:proofErr w:type="spellEnd"/>
      <w:r w:rsidRPr="00283996">
        <w:rPr>
          <w:rFonts w:cs="Times New Roman"/>
          <w:i/>
          <w:lang w:val="en-US"/>
        </w:rPr>
        <w:t>)</w:t>
      </w:r>
      <w:r w:rsidRPr="00283996">
        <w:rPr>
          <w:rFonts w:cs="Times New Roman"/>
          <w:lang w:val="en-US"/>
        </w:rPr>
        <w:t>, 2008 QCCA 1832, [2008] R.J.Q. 2127, at paras. </w:t>
      </w:r>
      <w:r w:rsidRPr="002035EE">
        <w:rPr>
          <w:rFonts w:cs="Times New Roman"/>
          <w:lang w:val="fr-CA"/>
        </w:rPr>
        <w:t>50</w:t>
      </w:r>
      <w:r w:rsidRPr="002035EE">
        <w:rPr>
          <w:rFonts w:cs="Times New Roman"/>
          <w:lang w:val="fr-CA"/>
        </w:rPr>
        <w:noBreakHyphen/>
        <w:t xml:space="preserve">58; </w:t>
      </w:r>
      <w:r w:rsidR="006157EC" w:rsidRPr="002035EE">
        <w:rPr>
          <w:rFonts w:cs="Times New Roman"/>
          <w:i/>
          <w:lang w:val="fr-CA"/>
        </w:rPr>
        <w:t>Pierre</w:t>
      </w:r>
      <w:r w:rsidR="006157EC" w:rsidRPr="002035EE">
        <w:rPr>
          <w:rFonts w:cs="Times New Roman"/>
          <w:i/>
          <w:lang w:val="fr-CA"/>
        </w:rPr>
        <w:noBreakHyphen/>
        <w:t xml:space="preserve">Louis </w:t>
      </w:r>
      <w:r w:rsidRPr="002035EE">
        <w:rPr>
          <w:rFonts w:cs="Times New Roman"/>
          <w:i/>
          <w:lang w:val="fr-CA"/>
        </w:rPr>
        <w:t>v. Québec (Ville</w:t>
      </w:r>
      <w:r w:rsidR="005776BC" w:rsidRPr="002035EE">
        <w:rPr>
          <w:rFonts w:cs="Times New Roman"/>
          <w:i/>
          <w:lang w:val="fr-CA"/>
        </w:rPr>
        <w:t xml:space="preserve"> de</w:t>
      </w:r>
      <w:r w:rsidRPr="002035EE">
        <w:rPr>
          <w:rFonts w:cs="Times New Roman"/>
          <w:i/>
          <w:lang w:val="fr-CA"/>
        </w:rPr>
        <w:t>)</w:t>
      </w:r>
      <w:r w:rsidRPr="002035EE">
        <w:rPr>
          <w:rFonts w:cs="Times New Roman"/>
          <w:lang w:val="fr-CA"/>
        </w:rPr>
        <w:t>, 2014 QCCA 1554, at paras. 48</w:t>
      </w:r>
      <w:r w:rsidRPr="002035EE">
        <w:rPr>
          <w:rFonts w:cs="Times New Roman"/>
          <w:lang w:val="fr-CA"/>
        </w:rPr>
        <w:noBreakHyphen/>
        <w:t xml:space="preserve">57 </w:t>
      </w:r>
      <w:r w:rsidRPr="002035EE">
        <w:rPr>
          <w:rFonts w:cs="Times New Roman"/>
          <w:lang w:val="fr-CA"/>
        </w:rPr>
        <w:lastRenderedPageBreak/>
        <w:t>(</w:t>
      </w:r>
      <w:proofErr w:type="spellStart"/>
      <w:r w:rsidRPr="002035EE">
        <w:rPr>
          <w:rFonts w:cs="Times New Roman"/>
          <w:lang w:val="fr-CA"/>
        </w:rPr>
        <w:t>CanLII</w:t>
      </w:r>
      <w:proofErr w:type="spellEnd"/>
      <w:r w:rsidRPr="002035EE">
        <w:rPr>
          <w:rFonts w:cs="Times New Roman"/>
          <w:lang w:val="fr-CA"/>
        </w:rPr>
        <w:t xml:space="preserve">)). </w:t>
      </w:r>
      <w:r w:rsidRPr="00283996">
        <w:rPr>
          <w:rFonts w:cs="Times New Roman"/>
          <w:lang w:val="en-US"/>
        </w:rPr>
        <w:t>It would have been preferable for the judge in the civil proceedings to explain why he did not share the view of his colleague on the Municipal Court.</w:t>
      </w:r>
    </w:p>
    <w:p w:rsidR="003011EC" w:rsidRPr="00283996" w:rsidRDefault="003011EC" w:rsidP="003011EC">
      <w:pPr>
        <w:pStyle w:val="ParaNoNdepar-AltN"/>
        <w:spacing w:before="0"/>
        <w:rPr>
          <w:rFonts w:cs="Times New Roman"/>
          <w:lang w:val="en-US"/>
        </w:rPr>
      </w:pPr>
      <w:r w:rsidRPr="00283996">
        <w:rPr>
          <w:rFonts w:cs="Times New Roman"/>
          <w:lang w:val="en-US"/>
        </w:rPr>
        <w:t>I would add that there is an extricable error of law in the trial judge’s decision with regard to the timing of Ms. </w:t>
      </w:r>
      <w:proofErr w:type="spellStart"/>
      <w:r w:rsidRPr="00283996">
        <w:rPr>
          <w:rFonts w:cs="Times New Roman"/>
          <w:lang w:val="en-US"/>
        </w:rPr>
        <w:t>Kosoian’s</w:t>
      </w:r>
      <w:proofErr w:type="spellEnd"/>
      <w:r w:rsidRPr="00283996">
        <w:rPr>
          <w:rFonts w:cs="Times New Roman"/>
          <w:lang w:val="en-US"/>
        </w:rPr>
        <w:t xml:space="preserve"> arrest (see </w:t>
      </w:r>
      <w:proofErr w:type="spellStart"/>
      <w:r w:rsidRPr="00283996">
        <w:rPr>
          <w:rFonts w:cs="Times New Roman"/>
          <w:i/>
          <w:lang w:val="en-US"/>
        </w:rPr>
        <w:t>Housen</w:t>
      </w:r>
      <w:proofErr w:type="spellEnd"/>
      <w:r w:rsidRPr="00283996">
        <w:rPr>
          <w:rFonts w:cs="Times New Roman"/>
          <w:i/>
          <w:lang w:val="en-US"/>
        </w:rPr>
        <w:t xml:space="preserve"> v. </w:t>
      </w:r>
      <w:proofErr w:type="spellStart"/>
      <w:r w:rsidRPr="00283996">
        <w:rPr>
          <w:rFonts w:cs="Times New Roman"/>
          <w:i/>
          <w:lang w:val="en-US"/>
        </w:rPr>
        <w:t>Nikolaisen</w:t>
      </w:r>
      <w:proofErr w:type="spellEnd"/>
      <w:r w:rsidRPr="00283996">
        <w:rPr>
          <w:rFonts w:cs="Times New Roman"/>
          <w:lang w:val="en-US"/>
        </w:rPr>
        <w:t>, 2002 SCC 33, [2002] 2 S.C.R. 235, at paras. 31</w:t>
      </w:r>
      <w:r w:rsidRPr="00283996">
        <w:rPr>
          <w:rFonts w:cs="Times New Roman"/>
          <w:lang w:val="en-US"/>
        </w:rPr>
        <w:noBreakHyphen/>
        <w:t>37). Contrary to what the trial judge suggested (paras. 152, 273 and 276), an arrest occurred as soon as the police officers touched Ms. </w:t>
      </w:r>
      <w:proofErr w:type="spellStart"/>
      <w:r w:rsidRPr="00283996">
        <w:rPr>
          <w:rFonts w:cs="Times New Roman"/>
          <w:lang w:val="en-US"/>
        </w:rPr>
        <w:t>Kosoian</w:t>
      </w:r>
      <w:proofErr w:type="spellEnd"/>
      <w:r w:rsidRPr="00283996">
        <w:rPr>
          <w:rFonts w:cs="Times New Roman"/>
          <w:lang w:val="en-US"/>
        </w:rPr>
        <w:t xml:space="preserve"> at the bottom of the escalator with a view to her detention (see </w:t>
      </w:r>
      <w:r w:rsidRPr="00283996">
        <w:rPr>
          <w:rFonts w:cs="Times New Roman"/>
          <w:i/>
          <w:lang w:val="en-US"/>
        </w:rPr>
        <w:t>Asante</w:t>
      </w:r>
      <w:r w:rsidRPr="00283996">
        <w:rPr>
          <w:rFonts w:cs="Times New Roman"/>
          <w:i/>
          <w:lang w:val="en-US"/>
        </w:rPr>
        <w:noBreakHyphen/>
        <w:t>Mensah</w:t>
      </w:r>
      <w:r w:rsidRPr="00283996">
        <w:rPr>
          <w:rFonts w:cs="Times New Roman"/>
          <w:lang w:val="en-US"/>
        </w:rPr>
        <w:t>, at para. 42). At that point, they had to inform her promptly of her constitutional and quasi</w:t>
      </w:r>
      <w:r w:rsidRPr="00283996">
        <w:rPr>
          <w:rFonts w:cs="Times New Roman"/>
          <w:lang w:val="en-US"/>
        </w:rPr>
        <w:noBreakHyphen/>
        <w:t>constitutional rights, including her right to retain and instruct counsel (s. 10(</w:t>
      </w:r>
      <w:r w:rsidRPr="00283996">
        <w:rPr>
          <w:rFonts w:cs="Times New Roman"/>
          <w:i/>
          <w:lang w:val="en-US"/>
        </w:rPr>
        <w:t>b</w:t>
      </w:r>
      <w:r w:rsidRPr="00283996">
        <w:rPr>
          <w:rFonts w:cs="Times New Roman"/>
          <w:lang w:val="en-US"/>
        </w:rPr>
        <w:t xml:space="preserve">) of the </w:t>
      </w:r>
      <w:r w:rsidRPr="00283996">
        <w:rPr>
          <w:rFonts w:cs="Times New Roman"/>
          <w:i/>
          <w:lang w:val="en-US"/>
        </w:rPr>
        <w:t>Charter</w:t>
      </w:r>
      <w:r w:rsidRPr="00283996">
        <w:rPr>
          <w:rFonts w:cs="Times New Roman"/>
          <w:lang w:val="en-US"/>
        </w:rPr>
        <w:t xml:space="preserve">; s. 29 of the Quebec </w:t>
      </w:r>
      <w:r w:rsidRPr="00283996">
        <w:rPr>
          <w:rFonts w:cs="Times New Roman"/>
          <w:i/>
          <w:lang w:val="en-US"/>
        </w:rPr>
        <w:t>Charter</w:t>
      </w:r>
      <w:r w:rsidRPr="00283996">
        <w:rPr>
          <w:rFonts w:cs="Times New Roman"/>
          <w:lang w:val="en-US"/>
        </w:rPr>
        <w:t>), but they did not do so until later, while she was being detained in the holding room (para. 163). This additional error further undermines the trial judge’s conclusions concerning the so</w:t>
      </w:r>
      <w:r w:rsidRPr="00283996">
        <w:rPr>
          <w:rFonts w:cs="Times New Roman"/>
          <w:lang w:val="en-US"/>
        </w:rPr>
        <w:noBreakHyphen/>
        <w:t>called</w:t>
      </w:r>
      <w:r w:rsidR="00BB0B8C">
        <w:rPr>
          <w:rFonts w:cs="Times New Roman"/>
          <w:lang w:val="en-US"/>
        </w:rPr>
        <w:t xml:space="preserve"> [</w:t>
      </w:r>
      <w:r w:rsidR="00BB0B8C" w:rsidRPr="00BB0B8C">
        <w:rPr>
          <w:rFonts w:cs="Times New Roman"/>
          <w:smallCaps/>
          <w:lang w:val="en-US"/>
        </w:rPr>
        <w:t>translation</w:t>
      </w:r>
      <w:r w:rsidR="00BB0B8C">
        <w:rPr>
          <w:rFonts w:cs="Times New Roman"/>
          <w:lang w:val="en-US"/>
        </w:rPr>
        <w:t>]</w:t>
      </w:r>
      <w:r w:rsidRPr="00283996">
        <w:rPr>
          <w:rFonts w:cs="Times New Roman"/>
          <w:lang w:val="en-US"/>
        </w:rPr>
        <w:t xml:space="preserve"> “exemplary and irreproachable” work done by Constable Camacho.</w:t>
      </w:r>
    </w:p>
    <w:p w:rsidR="003011EC" w:rsidRPr="00283996" w:rsidRDefault="003011EC" w:rsidP="003011EC">
      <w:pPr>
        <w:pStyle w:val="ParaNoNdepar-AltN"/>
        <w:spacing w:before="0"/>
        <w:rPr>
          <w:rFonts w:cs="Times New Roman"/>
          <w:lang w:val="en-US"/>
        </w:rPr>
      </w:pPr>
      <w:r w:rsidRPr="00283996">
        <w:rPr>
          <w:rFonts w:cs="Times New Roman"/>
          <w:lang w:val="en-US"/>
        </w:rPr>
        <w:t>I will conclude by saying that Constable Camacho’s conduct necessarily constituted a fault insofar as it resulted from an unreasonable belief in the existence of an offence that did not exist in law. As principal, the City is also bound to make reparation for the injury caused, because it is not in dispute that Constable Camacho was acting in the performance of his duties, even though his conduct was also unlawful (arts. </w:t>
      </w:r>
      <w:r w:rsidRPr="002035EE">
        <w:rPr>
          <w:rFonts w:cs="Times New Roman"/>
          <w:lang w:val="fr-CA"/>
        </w:rPr>
        <w:t xml:space="preserve">1463 and 1464 </w:t>
      </w:r>
      <w:r w:rsidRPr="002035EE">
        <w:rPr>
          <w:rFonts w:cs="Times New Roman"/>
          <w:i/>
          <w:lang w:val="fr-CA"/>
        </w:rPr>
        <w:t>C.C.Q.</w:t>
      </w:r>
      <w:r w:rsidRPr="002035EE">
        <w:rPr>
          <w:rFonts w:cs="Times New Roman"/>
          <w:lang w:val="fr-CA"/>
        </w:rPr>
        <w:t xml:space="preserve">; </w:t>
      </w:r>
      <w:proofErr w:type="spellStart"/>
      <w:r w:rsidRPr="002035EE">
        <w:rPr>
          <w:rFonts w:cs="Times New Roman"/>
          <w:lang w:val="fr-CA"/>
        </w:rPr>
        <w:t>see</w:t>
      </w:r>
      <w:proofErr w:type="spellEnd"/>
      <w:r w:rsidRPr="002035EE">
        <w:rPr>
          <w:rFonts w:cs="Times New Roman"/>
          <w:lang w:val="fr-CA"/>
        </w:rPr>
        <w:t xml:space="preserve"> Lacroix, “Responsabilité civile des forces policières”, at para. </w:t>
      </w:r>
      <w:r w:rsidRPr="00283996">
        <w:rPr>
          <w:rFonts w:cs="Times New Roman"/>
          <w:lang w:val="en-US"/>
        </w:rPr>
        <w:t>37).</w:t>
      </w:r>
    </w:p>
    <w:p w:rsidR="003011EC" w:rsidRPr="0044610B" w:rsidRDefault="003011EC" w:rsidP="003011EC">
      <w:pPr>
        <w:pStyle w:val="Title2LevelTitre2Niveau"/>
        <w:widowControl w:val="0"/>
        <w:numPr>
          <w:ilvl w:val="1"/>
          <w:numId w:val="8"/>
        </w:numPr>
        <w:spacing w:before="0"/>
        <w:rPr>
          <w:rStyle w:val="Italic"/>
          <w:rFonts w:cs="Times New Roman"/>
          <w:i/>
          <w:lang w:val="en-US"/>
        </w:rPr>
      </w:pPr>
      <w:bookmarkStart w:id="29" w:name="_Toc14257143"/>
      <w:bookmarkStart w:id="30" w:name="_Toc24710743"/>
      <w:r w:rsidRPr="0044610B">
        <w:rPr>
          <w:rStyle w:val="Italic"/>
          <w:rFonts w:cs="Times New Roman"/>
          <w:i/>
          <w:lang w:val="en-US"/>
        </w:rPr>
        <w:lastRenderedPageBreak/>
        <w:t>Liability of the STM</w:t>
      </w:r>
      <w:bookmarkEnd w:id="29"/>
      <w:bookmarkEnd w:id="30"/>
    </w:p>
    <w:p w:rsidR="003011EC" w:rsidRPr="00283996" w:rsidRDefault="003011EC" w:rsidP="003011EC">
      <w:pPr>
        <w:pStyle w:val="ParaNoNdepar-AltN"/>
        <w:spacing w:before="0"/>
        <w:rPr>
          <w:rFonts w:cs="Times New Roman"/>
          <w:lang w:val="en-US"/>
        </w:rPr>
      </w:pPr>
      <w:r w:rsidRPr="00283996">
        <w:rPr>
          <w:rFonts w:cs="Times New Roman"/>
          <w:lang w:val="en-US"/>
        </w:rPr>
        <w:t xml:space="preserve">In my view, the STM has no public law immunity. It is liable for Constable Camacho’s fault as his </w:t>
      </w:r>
      <w:proofErr w:type="spellStart"/>
      <w:r w:rsidRPr="00283996">
        <w:rPr>
          <w:rFonts w:cs="Times New Roman"/>
          <w:lang w:val="en-US"/>
        </w:rPr>
        <w:t>mandator</w:t>
      </w:r>
      <w:proofErr w:type="spellEnd"/>
      <w:r w:rsidRPr="00283996">
        <w:rPr>
          <w:rFonts w:cs="Times New Roman"/>
          <w:lang w:val="en-US"/>
        </w:rPr>
        <w:t>, and it committed a direct fault by providing training that indicated to police officers that holding the handrail was an obligation under a by</w:t>
      </w:r>
      <w:r w:rsidRPr="00283996">
        <w:rPr>
          <w:rFonts w:cs="Times New Roman"/>
          <w:lang w:val="en-US"/>
        </w:rPr>
        <w:noBreakHyphen/>
        <w:t>law.</w:t>
      </w:r>
    </w:p>
    <w:p w:rsidR="003011EC" w:rsidRPr="00283996" w:rsidRDefault="003011EC" w:rsidP="003011EC">
      <w:pPr>
        <w:pStyle w:val="Title3LevelTitre3Niveau"/>
        <w:widowControl w:val="0"/>
        <w:numPr>
          <w:ilvl w:val="2"/>
          <w:numId w:val="8"/>
        </w:numPr>
        <w:spacing w:before="0"/>
        <w:ind w:left="1166"/>
        <w:rPr>
          <w:rFonts w:cs="Times New Roman"/>
          <w:lang w:val="en-US"/>
        </w:rPr>
      </w:pPr>
      <w:bookmarkStart w:id="31" w:name="_Toc14257144"/>
      <w:bookmarkStart w:id="32" w:name="_Toc24710744"/>
      <w:r w:rsidRPr="00283996">
        <w:rPr>
          <w:rFonts w:cs="Times New Roman"/>
          <w:lang w:val="en-US"/>
        </w:rPr>
        <w:t>Relative Immunity in the Exercise of a Regulatory Power</w:t>
      </w:r>
      <w:bookmarkEnd w:id="31"/>
      <w:bookmarkEnd w:id="32"/>
    </w:p>
    <w:p w:rsidR="003011EC" w:rsidRPr="00283996" w:rsidRDefault="003011EC" w:rsidP="003011EC">
      <w:pPr>
        <w:pStyle w:val="ParaNoNdepar-AltN"/>
        <w:spacing w:before="0"/>
        <w:rPr>
          <w:rFonts w:cs="Times New Roman"/>
          <w:iCs/>
          <w:szCs w:val="24"/>
          <w:lang w:val="en-US"/>
        </w:rPr>
      </w:pPr>
      <w:r w:rsidRPr="00283996">
        <w:rPr>
          <w:rFonts w:cs="Times New Roman"/>
          <w:lang w:val="en-US"/>
        </w:rPr>
        <w:t xml:space="preserve">The general rules of </w:t>
      </w:r>
      <w:proofErr w:type="spellStart"/>
      <w:r w:rsidRPr="00283996">
        <w:rPr>
          <w:rFonts w:cs="Times New Roman"/>
          <w:lang w:val="en-US"/>
        </w:rPr>
        <w:t>extracontractual</w:t>
      </w:r>
      <w:proofErr w:type="spellEnd"/>
      <w:r w:rsidRPr="00283996">
        <w:rPr>
          <w:rFonts w:cs="Times New Roman"/>
          <w:lang w:val="en-US"/>
        </w:rPr>
        <w:t xml:space="preserve"> civil liability are, in principle, applicable to a legal person established in the public interest, unless that person shows that a specific rule of public law derogates from them (art. 1376 </w:t>
      </w:r>
      <w:r w:rsidRPr="00283996">
        <w:rPr>
          <w:rFonts w:cs="Times New Roman"/>
          <w:i/>
          <w:lang w:val="en-US"/>
        </w:rPr>
        <w:t>C.C.Q.</w:t>
      </w:r>
      <w:r w:rsidRPr="00283996">
        <w:rPr>
          <w:rFonts w:cs="Times New Roman"/>
          <w:lang w:val="en-US"/>
        </w:rPr>
        <w:t xml:space="preserve">; </w:t>
      </w:r>
      <w:proofErr w:type="spellStart"/>
      <w:r w:rsidRPr="00283996">
        <w:rPr>
          <w:rFonts w:cs="Times New Roman"/>
          <w:i/>
          <w:lang w:val="en-US"/>
        </w:rPr>
        <w:t>Prud’</w:t>
      </w:r>
      <w:r w:rsidR="009C2D52">
        <w:rPr>
          <w:rFonts w:cs="Times New Roman"/>
          <w:i/>
          <w:lang w:val="en-US"/>
        </w:rPr>
        <w:t>homme</w:t>
      </w:r>
      <w:proofErr w:type="spellEnd"/>
      <w:r w:rsidR="009C2D52">
        <w:rPr>
          <w:rFonts w:cs="Times New Roman"/>
          <w:i/>
          <w:lang w:val="en-US"/>
        </w:rPr>
        <w:t xml:space="preserve"> </w:t>
      </w:r>
      <w:r w:rsidRPr="00283996">
        <w:rPr>
          <w:rFonts w:cs="Times New Roman"/>
          <w:i/>
          <w:lang w:val="en-US"/>
        </w:rPr>
        <w:t xml:space="preserve">v. </w:t>
      </w:r>
      <w:proofErr w:type="spellStart"/>
      <w:r w:rsidRPr="00283996">
        <w:rPr>
          <w:rFonts w:cs="Times New Roman"/>
          <w:i/>
          <w:lang w:val="en-US"/>
        </w:rPr>
        <w:t>Prud’homme</w:t>
      </w:r>
      <w:proofErr w:type="spellEnd"/>
      <w:r w:rsidR="00C327A7">
        <w:rPr>
          <w:rFonts w:cs="Times New Roman"/>
          <w:lang w:val="en-US"/>
        </w:rPr>
        <w:t xml:space="preserve">, 2002 SCC 85, [2002] 4 </w:t>
      </w:r>
      <w:r w:rsidRPr="00283996">
        <w:rPr>
          <w:rFonts w:cs="Times New Roman"/>
          <w:lang w:val="en-US"/>
        </w:rPr>
        <w:t xml:space="preserve">S.C.R. 663, at para. 31; </w:t>
      </w:r>
      <w:proofErr w:type="spellStart"/>
      <w:r w:rsidRPr="00283996">
        <w:rPr>
          <w:rFonts w:cs="Times New Roman"/>
          <w:i/>
          <w:lang w:val="en-US"/>
        </w:rPr>
        <w:t>Entreprises</w:t>
      </w:r>
      <w:proofErr w:type="spellEnd"/>
      <w:r w:rsidRPr="00283996">
        <w:rPr>
          <w:rFonts w:cs="Times New Roman"/>
          <w:i/>
          <w:lang w:val="en-US"/>
        </w:rPr>
        <w:t xml:space="preserve"> </w:t>
      </w:r>
      <w:proofErr w:type="spellStart"/>
      <w:r w:rsidRPr="00283996">
        <w:rPr>
          <w:rFonts w:cs="Times New Roman"/>
          <w:i/>
          <w:lang w:val="en-US"/>
        </w:rPr>
        <w:t>Sibeca</w:t>
      </w:r>
      <w:proofErr w:type="spellEnd"/>
      <w:r w:rsidRPr="00283996">
        <w:rPr>
          <w:rFonts w:cs="Times New Roman"/>
          <w:i/>
          <w:lang w:val="en-US"/>
        </w:rPr>
        <w:t xml:space="preserve"> Inc.</w:t>
      </w:r>
      <w:r w:rsidR="00C327A7">
        <w:rPr>
          <w:rFonts w:cs="Times New Roman"/>
          <w:i/>
          <w:lang w:val="en-US"/>
        </w:rPr>
        <w:t xml:space="preserve"> </w:t>
      </w:r>
      <w:r w:rsidRPr="00283996">
        <w:rPr>
          <w:rFonts w:cs="Times New Roman"/>
          <w:i/>
          <w:lang w:val="en-US"/>
        </w:rPr>
        <w:t xml:space="preserve">v. </w:t>
      </w:r>
      <w:proofErr w:type="spellStart"/>
      <w:r w:rsidRPr="00283996">
        <w:rPr>
          <w:rFonts w:cs="Times New Roman"/>
          <w:i/>
          <w:lang w:val="en-US"/>
        </w:rPr>
        <w:t>Frelighsburg</w:t>
      </w:r>
      <w:proofErr w:type="spellEnd"/>
      <w:r w:rsidRPr="00283996">
        <w:rPr>
          <w:rFonts w:cs="Times New Roman"/>
          <w:i/>
          <w:lang w:val="en-US"/>
        </w:rPr>
        <w:t xml:space="preserve"> (Municipality)</w:t>
      </w:r>
      <w:r w:rsidR="00C327A7">
        <w:rPr>
          <w:rFonts w:cs="Times New Roman"/>
          <w:lang w:val="en-US"/>
        </w:rPr>
        <w:t xml:space="preserve">, 2004 SCC 61, [2004] 3 </w:t>
      </w:r>
      <w:r w:rsidRPr="00283996">
        <w:rPr>
          <w:rFonts w:cs="Times New Roman"/>
          <w:lang w:val="en-US"/>
        </w:rPr>
        <w:t xml:space="preserve">S.C.R. 304, at para. 18; </w:t>
      </w:r>
      <w:proofErr w:type="spellStart"/>
      <w:r w:rsidRPr="00283996">
        <w:rPr>
          <w:rFonts w:cs="Times New Roman"/>
          <w:lang w:val="en-US"/>
        </w:rPr>
        <w:t>Hétu</w:t>
      </w:r>
      <w:proofErr w:type="spellEnd"/>
      <w:r w:rsidRPr="00283996">
        <w:rPr>
          <w:rFonts w:cs="Times New Roman"/>
          <w:lang w:val="en-US"/>
        </w:rPr>
        <w:t xml:space="preserve"> and </w:t>
      </w:r>
      <w:proofErr w:type="spellStart"/>
      <w:r w:rsidRPr="00283996">
        <w:rPr>
          <w:rFonts w:cs="Times New Roman"/>
          <w:lang w:val="en-US"/>
        </w:rPr>
        <w:t>Duplessis</w:t>
      </w:r>
      <w:proofErr w:type="spellEnd"/>
      <w:r w:rsidRPr="00283996">
        <w:rPr>
          <w:rFonts w:cs="Times New Roman"/>
          <w:lang w:val="en-US"/>
        </w:rPr>
        <w:t>, vo</w:t>
      </w:r>
      <w:r w:rsidR="00C01D47">
        <w:rPr>
          <w:rFonts w:cs="Times New Roman"/>
          <w:lang w:val="en-US"/>
        </w:rPr>
        <w:t>l. 2, at pp. 11006</w:t>
      </w:r>
      <w:r w:rsidR="00C01D47">
        <w:rPr>
          <w:rFonts w:cs="Times New Roman"/>
          <w:lang w:val="en-US"/>
        </w:rPr>
        <w:noBreakHyphen/>
      </w:r>
      <w:r w:rsidRPr="00283996">
        <w:rPr>
          <w:rFonts w:cs="Times New Roman"/>
          <w:lang w:val="en-US"/>
        </w:rPr>
        <w:t>7).</w:t>
      </w:r>
    </w:p>
    <w:p w:rsidR="003011EC" w:rsidRPr="00283996" w:rsidRDefault="003011EC" w:rsidP="003011EC">
      <w:pPr>
        <w:pStyle w:val="ParaNoNdepar-AltN"/>
        <w:spacing w:before="0"/>
        <w:rPr>
          <w:rFonts w:cs="Times New Roman"/>
          <w:iCs/>
          <w:szCs w:val="24"/>
          <w:lang w:val="en-US"/>
        </w:rPr>
      </w:pPr>
      <w:r w:rsidRPr="00283996">
        <w:rPr>
          <w:rFonts w:cs="Times New Roman"/>
          <w:lang w:val="en-US"/>
        </w:rPr>
        <w:t xml:space="preserve">In the present case, the STM argues that it enjoys the public law relative immunity that attaches to the exercise of a regulatory power (see </w:t>
      </w:r>
      <w:proofErr w:type="spellStart"/>
      <w:r w:rsidRPr="00283996">
        <w:rPr>
          <w:rFonts w:cs="Times New Roman"/>
          <w:i/>
          <w:lang w:val="en-US"/>
        </w:rPr>
        <w:t>Entreprises</w:t>
      </w:r>
      <w:proofErr w:type="spellEnd"/>
      <w:r w:rsidRPr="00283996">
        <w:rPr>
          <w:rFonts w:cs="Times New Roman"/>
          <w:i/>
          <w:lang w:val="en-US"/>
        </w:rPr>
        <w:t xml:space="preserve"> </w:t>
      </w:r>
      <w:proofErr w:type="spellStart"/>
      <w:r w:rsidRPr="00283996">
        <w:rPr>
          <w:rFonts w:cs="Times New Roman"/>
          <w:i/>
          <w:lang w:val="en-US"/>
        </w:rPr>
        <w:t>Sibeca</w:t>
      </w:r>
      <w:proofErr w:type="spellEnd"/>
      <w:r w:rsidRPr="00283996">
        <w:rPr>
          <w:rFonts w:cs="Times New Roman"/>
          <w:lang w:val="en-US"/>
        </w:rPr>
        <w:t xml:space="preserve">, at para. 27; </w:t>
      </w:r>
      <w:proofErr w:type="spellStart"/>
      <w:r w:rsidR="00C73C0D">
        <w:rPr>
          <w:rFonts w:cs="Times New Roman"/>
          <w:i/>
          <w:lang w:val="en-US"/>
        </w:rPr>
        <w:t>Welbridge</w:t>
      </w:r>
      <w:proofErr w:type="spellEnd"/>
      <w:r w:rsidR="00C73C0D">
        <w:rPr>
          <w:rFonts w:cs="Times New Roman"/>
          <w:i/>
          <w:lang w:val="en-US"/>
        </w:rPr>
        <w:t xml:space="preserve"> Holdings Ltd. </w:t>
      </w:r>
      <w:r w:rsidRPr="00283996">
        <w:rPr>
          <w:rFonts w:cs="Times New Roman"/>
          <w:i/>
          <w:lang w:val="en-US"/>
        </w:rPr>
        <w:t>v. Greater Winnipeg</w:t>
      </w:r>
      <w:r w:rsidRPr="00283996">
        <w:rPr>
          <w:rFonts w:cs="Times New Roman"/>
          <w:lang w:val="en-US"/>
        </w:rPr>
        <w:t>, [1971] S.C.R. 957, at pp. 966 and 968</w:t>
      </w:r>
      <w:r w:rsidRPr="00283996">
        <w:rPr>
          <w:rFonts w:cs="Times New Roman"/>
          <w:lang w:val="en-US"/>
        </w:rPr>
        <w:noBreakHyphen/>
        <w:t>70). A legal person established in the public interest generally incurs no civil liability where it makes or passes a regulation or by</w:t>
      </w:r>
      <w:r w:rsidRPr="00283996">
        <w:rPr>
          <w:rFonts w:cs="Times New Roman"/>
          <w:lang w:val="en-US"/>
        </w:rPr>
        <w:noBreakHyphen/>
        <w:t>law that is subsequently held to be invalid, unless its decision to do so was made in bad faith or was irrational (</w:t>
      </w:r>
      <w:proofErr w:type="spellStart"/>
      <w:r w:rsidRPr="00283996">
        <w:rPr>
          <w:rFonts w:cs="Times New Roman"/>
          <w:i/>
          <w:lang w:val="en-US"/>
        </w:rPr>
        <w:t>Entreprises</w:t>
      </w:r>
      <w:proofErr w:type="spellEnd"/>
      <w:r w:rsidRPr="00283996">
        <w:rPr>
          <w:rFonts w:cs="Times New Roman"/>
          <w:i/>
          <w:lang w:val="en-US"/>
        </w:rPr>
        <w:t xml:space="preserve"> </w:t>
      </w:r>
      <w:proofErr w:type="spellStart"/>
      <w:r w:rsidRPr="00283996">
        <w:rPr>
          <w:rFonts w:cs="Times New Roman"/>
          <w:i/>
          <w:lang w:val="en-US"/>
        </w:rPr>
        <w:t>Sibeca</w:t>
      </w:r>
      <w:proofErr w:type="spellEnd"/>
      <w:r w:rsidRPr="00283996">
        <w:rPr>
          <w:rFonts w:cs="Times New Roman"/>
          <w:lang w:val="en-US"/>
        </w:rPr>
        <w:t>, at paras. </w:t>
      </w:r>
      <w:r w:rsidRPr="002035EE">
        <w:rPr>
          <w:rFonts w:cs="Times New Roman"/>
          <w:lang w:val="fr-CA"/>
        </w:rPr>
        <w:t>23</w:t>
      </w:r>
      <w:r w:rsidRPr="002035EE">
        <w:rPr>
          <w:rFonts w:cs="Times New Roman"/>
          <w:lang w:val="fr-CA"/>
        </w:rPr>
        <w:noBreakHyphen/>
        <w:t xml:space="preserve">27; </w:t>
      </w:r>
      <w:proofErr w:type="spellStart"/>
      <w:r w:rsidRPr="002035EE">
        <w:rPr>
          <w:rFonts w:cs="Times New Roman"/>
          <w:i/>
          <w:lang w:val="fr-CA"/>
        </w:rPr>
        <w:t>Papachronis</w:t>
      </w:r>
      <w:proofErr w:type="spellEnd"/>
      <w:r w:rsidR="00C73C0D" w:rsidRPr="002035EE">
        <w:rPr>
          <w:rFonts w:cs="Times New Roman"/>
          <w:i/>
          <w:lang w:val="fr-CA"/>
        </w:rPr>
        <w:t xml:space="preserve"> </w:t>
      </w:r>
      <w:r w:rsidRPr="002035EE">
        <w:rPr>
          <w:rFonts w:cs="Times New Roman"/>
          <w:i/>
          <w:lang w:val="fr-CA"/>
        </w:rPr>
        <w:t>v. Ste</w:t>
      </w:r>
      <w:r w:rsidRPr="002035EE">
        <w:rPr>
          <w:rFonts w:cs="Times New Roman"/>
          <w:i/>
          <w:lang w:val="fr-CA"/>
        </w:rPr>
        <w:noBreakHyphen/>
        <w:t>Anne</w:t>
      </w:r>
      <w:r w:rsidRPr="002035EE">
        <w:rPr>
          <w:rFonts w:cs="Times New Roman"/>
          <w:i/>
          <w:lang w:val="fr-CA"/>
        </w:rPr>
        <w:noBreakHyphen/>
        <w:t>de</w:t>
      </w:r>
      <w:r w:rsidRPr="002035EE">
        <w:rPr>
          <w:rFonts w:cs="Times New Roman"/>
          <w:i/>
          <w:lang w:val="fr-CA"/>
        </w:rPr>
        <w:noBreakHyphen/>
        <w:t>Bellevue (Ville)</w:t>
      </w:r>
      <w:r w:rsidRPr="002035EE">
        <w:rPr>
          <w:rFonts w:cs="Times New Roman"/>
          <w:lang w:val="fr-CA"/>
        </w:rPr>
        <w:t>, 2007 QCCA 770, 38 M.P.L.R. (4th) 161, at para. </w:t>
      </w:r>
      <w:r w:rsidRPr="00283996">
        <w:rPr>
          <w:rFonts w:cs="Times New Roman"/>
          <w:lang w:val="en-US"/>
        </w:rPr>
        <w:t xml:space="preserve">25; </w:t>
      </w:r>
      <w:proofErr w:type="spellStart"/>
      <w:r w:rsidRPr="00283996">
        <w:rPr>
          <w:rFonts w:cs="Times New Roman"/>
          <w:lang w:val="en-US"/>
        </w:rPr>
        <w:t>Hétu</w:t>
      </w:r>
      <w:proofErr w:type="spellEnd"/>
      <w:r w:rsidRPr="00283996">
        <w:rPr>
          <w:rFonts w:cs="Times New Roman"/>
          <w:lang w:val="en-US"/>
        </w:rPr>
        <w:t xml:space="preserve"> and </w:t>
      </w:r>
      <w:proofErr w:type="spellStart"/>
      <w:r w:rsidRPr="00283996">
        <w:rPr>
          <w:rFonts w:cs="Times New Roman"/>
          <w:lang w:val="en-US"/>
        </w:rPr>
        <w:t>Duplessis</w:t>
      </w:r>
      <w:proofErr w:type="spellEnd"/>
      <w:r w:rsidRPr="00283996">
        <w:rPr>
          <w:rFonts w:cs="Times New Roman"/>
          <w:lang w:val="en-US"/>
        </w:rPr>
        <w:t xml:space="preserve">, vol. 2, at </w:t>
      </w:r>
      <w:r w:rsidRPr="00283996">
        <w:rPr>
          <w:rFonts w:cs="Times New Roman"/>
          <w:lang w:val="en-US"/>
        </w:rPr>
        <w:lastRenderedPageBreak/>
        <w:t>pp. 11152</w:t>
      </w:r>
      <w:r w:rsidRPr="00283996">
        <w:rPr>
          <w:rFonts w:cs="Times New Roman"/>
          <w:lang w:val="en-US"/>
        </w:rPr>
        <w:noBreakHyphen/>
        <w:t xml:space="preserve">57; see also, outside the municipal context, </w:t>
      </w:r>
      <w:r w:rsidRPr="00283996">
        <w:rPr>
          <w:rFonts w:cs="Times New Roman"/>
          <w:i/>
          <w:iCs/>
          <w:lang w:val="en-US"/>
        </w:rPr>
        <w:t>R.</w:t>
      </w:r>
      <w:r w:rsidR="00C73C0D">
        <w:rPr>
          <w:rFonts w:cs="Times New Roman"/>
          <w:i/>
          <w:iCs/>
          <w:lang w:val="en-US"/>
        </w:rPr>
        <w:t xml:space="preserve"> </w:t>
      </w:r>
      <w:r w:rsidRPr="00283996">
        <w:rPr>
          <w:rFonts w:cs="Times New Roman"/>
          <w:i/>
          <w:iCs/>
          <w:lang w:val="en-US"/>
        </w:rPr>
        <w:t xml:space="preserve">v. </w:t>
      </w:r>
      <w:r w:rsidRPr="00283996">
        <w:rPr>
          <w:rFonts w:cs="Times New Roman"/>
          <w:i/>
          <w:lang w:val="en-US"/>
        </w:rPr>
        <w:t>Imperial Tobacco Canada Ltd.</w:t>
      </w:r>
      <w:r w:rsidRPr="00283996">
        <w:rPr>
          <w:rFonts w:cs="Times New Roman"/>
          <w:lang w:val="en-US"/>
        </w:rPr>
        <w:t>, 2011 SCC 42, [2011] 3</w:t>
      </w:r>
      <w:r w:rsidR="00C73C0D">
        <w:rPr>
          <w:rFonts w:cs="Times New Roman"/>
          <w:lang w:val="en-US"/>
        </w:rPr>
        <w:t xml:space="preserve"> </w:t>
      </w:r>
      <w:r w:rsidRPr="00283996">
        <w:rPr>
          <w:rFonts w:cs="Times New Roman"/>
          <w:lang w:val="en-US"/>
        </w:rPr>
        <w:t xml:space="preserve">S.C.R. 45, at para. 90; </w:t>
      </w:r>
      <w:proofErr w:type="spellStart"/>
      <w:r w:rsidRPr="00283996">
        <w:rPr>
          <w:rFonts w:cs="Times New Roman"/>
          <w:i/>
          <w:lang w:val="en-US"/>
        </w:rPr>
        <w:t>Hinse</w:t>
      </w:r>
      <w:proofErr w:type="spellEnd"/>
      <w:r w:rsidR="00C73C0D">
        <w:rPr>
          <w:rFonts w:cs="Times New Roman"/>
          <w:i/>
          <w:lang w:val="en-US"/>
        </w:rPr>
        <w:t xml:space="preserve"> </w:t>
      </w:r>
      <w:r w:rsidRPr="00283996">
        <w:rPr>
          <w:rFonts w:cs="Times New Roman"/>
          <w:i/>
          <w:lang w:val="en-US"/>
        </w:rPr>
        <w:t>v. Canada (Attorney General)</w:t>
      </w:r>
      <w:r w:rsidR="00C73C0D">
        <w:rPr>
          <w:rFonts w:cs="Times New Roman"/>
          <w:lang w:val="en-US"/>
        </w:rPr>
        <w:t xml:space="preserve">, 2015 SCC 35, [2015] 2 </w:t>
      </w:r>
      <w:r w:rsidRPr="00283996">
        <w:rPr>
          <w:rFonts w:cs="Times New Roman"/>
          <w:lang w:val="en-US"/>
        </w:rPr>
        <w:t>S.C.R. 621, at para. 23).</w:t>
      </w:r>
      <w:r w:rsidRPr="00283996">
        <w:rPr>
          <w:rFonts w:cs="Times New Roman"/>
          <w:iCs/>
          <w:szCs w:val="24"/>
          <w:lang w:val="en-US"/>
        </w:rPr>
        <w:t xml:space="preserve"> The purpose of this immunity is to preserve the latitude that a legal person established in the public interest must have in order to make policy decisions in the interests of the community</w:t>
      </w:r>
      <w:r w:rsidRPr="00283996">
        <w:rPr>
          <w:rFonts w:cs="Times New Roman"/>
          <w:lang w:val="en-US"/>
        </w:rPr>
        <w:t xml:space="preserve"> (</w:t>
      </w:r>
      <w:proofErr w:type="spellStart"/>
      <w:r w:rsidRPr="00283996">
        <w:rPr>
          <w:rFonts w:cs="Times New Roman"/>
          <w:i/>
          <w:lang w:val="en-US"/>
        </w:rPr>
        <w:t>Entreprises</w:t>
      </w:r>
      <w:proofErr w:type="spellEnd"/>
      <w:r w:rsidRPr="00283996">
        <w:rPr>
          <w:rFonts w:cs="Times New Roman"/>
          <w:i/>
          <w:lang w:val="en-US"/>
        </w:rPr>
        <w:t xml:space="preserve"> </w:t>
      </w:r>
      <w:proofErr w:type="spellStart"/>
      <w:r w:rsidRPr="00283996">
        <w:rPr>
          <w:rFonts w:cs="Times New Roman"/>
          <w:i/>
          <w:lang w:val="en-US"/>
        </w:rPr>
        <w:t>Sibeca</w:t>
      </w:r>
      <w:proofErr w:type="spellEnd"/>
      <w:r w:rsidRPr="00283996">
        <w:rPr>
          <w:rFonts w:cs="Times New Roman"/>
          <w:lang w:val="en-US"/>
        </w:rPr>
        <w:t xml:space="preserve">, at para. 24; </w:t>
      </w:r>
      <w:proofErr w:type="spellStart"/>
      <w:r w:rsidRPr="00283996">
        <w:rPr>
          <w:rFonts w:cs="Times New Roman"/>
          <w:i/>
          <w:lang w:val="en-US"/>
        </w:rPr>
        <w:t>Welbridge</w:t>
      </w:r>
      <w:proofErr w:type="spellEnd"/>
      <w:r w:rsidRPr="00283996">
        <w:rPr>
          <w:rFonts w:cs="Times New Roman"/>
          <w:lang w:val="en-US"/>
        </w:rPr>
        <w:t xml:space="preserve">, at p. 968; </w:t>
      </w:r>
      <w:proofErr w:type="spellStart"/>
      <w:r w:rsidRPr="00283996">
        <w:rPr>
          <w:rFonts w:cs="Times New Roman"/>
          <w:i/>
          <w:lang w:val="en-US"/>
        </w:rPr>
        <w:t>Laurentide</w:t>
      </w:r>
      <w:proofErr w:type="spellEnd"/>
      <w:r w:rsidRPr="00283996">
        <w:rPr>
          <w:rFonts w:cs="Times New Roman"/>
          <w:i/>
          <w:lang w:val="en-US"/>
        </w:rPr>
        <w:t xml:space="preserve"> Motels Ltd.</w:t>
      </w:r>
      <w:r w:rsidR="009D055F">
        <w:rPr>
          <w:rFonts w:cs="Times New Roman"/>
          <w:i/>
          <w:lang w:val="en-US"/>
        </w:rPr>
        <w:t xml:space="preserve"> </w:t>
      </w:r>
      <w:r w:rsidRPr="00283996">
        <w:rPr>
          <w:rFonts w:cs="Times New Roman"/>
          <w:i/>
          <w:lang w:val="en-US"/>
        </w:rPr>
        <w:t>v. Beauport (City)</w:t>
      </w:r>
      <w:r w:rsidRPr="00283996">
        <w:rPr>
          <w:rFonts w:cs="Times New Roman"/>
          <w:lang w:val="en-US"/>
        </w:rPr>
        <w:t>, [1989] 1</w:t>
      </w:r>
      <w:r w:rsidR="009D055F">
        <w:rPr>
          <w:rFonts w:cs="Times New Roman"/>
          <w:lang w:val="en-US"/>
        </w:rPr>
        <w:t xml:space="preserve"> </w:t>
      </w:r>
      <w:r w:rsidRPr="00283996">
        <w:rPr>
          <w:rFonts w:cs="Times New Roman"/>
          <w:lang w:val="en-US"/>
        </w:rPr>
        <w:t>S.C.R. 705, at pp. 722 and 725).</w:t>
      </w:r>
    </w:p>
    <w:p w:rsidR="003011EC" w:rsidRPr="00283996" w:rsidRDefault="003011EC" w:rsidP="003011EC">
      <w:pPr>
        <w:pStyle w:val="ParaNoNdepar-AltN"/>
        <w:spacing w:before="0"/>
        <w:rPr>
          <w:rFonts w:cs="Times New Roman"/>
          <w:iCs/>
          <w:szCs w:val="24"/>
          <w:lang w:val="en-US"/>
        </w:rPr>
      </w:pPr>
      <w:r w:rsidRPr="00283996">
        <w:rPr>
          <w:rFonts w:cs="Times New Roman"/>
          <w:lang w:val="en-US"/>
        </w:rPr>
        <w:t>In the case at bar, however, this relative immunity is of no assistance to the STM. As I explained above, Ms. </w:t>
      </w:r>
      <w:proofErr w:type="spellStart"/>
      <w:r w:rsidRPr="00283996">
        <w:rPr>
          <w:rFonts w:cs="Times New Roman"/>
          <w:lang w:val="en-US"/>
        </w:rPr>
        <w:t>Kosoian’s</w:t>
      </w:r>
      <w:proofErr w:type="spellEnd"/>
      <w:r w:rsidRPr="00283996">
        <w:rPr>
          <w:rFonts w:cs="Times New Roman"/>
          <w:lang w:val="en-US"/>
        </w:rPr>
        <w:t xml:space="preserve"> civil liability action is based not on the invalidity of By</w:t>
      </w:r>
      <w:r w:rsidRPr="00283996">
        <w:rPr>
          <w:rFonts w:cs="Times New Roman"/>
          <w:lang w:val="en-US"/>
        </w:rPr>
        <w:noBreakHyphen/>
        <w:t>law R</w:t>
      </w:r>
      <w:r w:rsidRPr="00283996">
        <w:rPr>
          <w:rFonts w:cs="Times New Roman"/>
          <w:lang w:val="en-US"/>
        </w:rPr>
        <w:noBreakHyphen/>
        <w:t xml:space="preserve">036, but rather on its </w:t>
      </w:r>
      <w:r w:rsidRPr="00283996">
        <w:rPr>
          <w:rFonts w:cs="Times New Roman"/>
          <w:i/>
          <w:lang w:val="en-US"/>
        </w:rPr>
        <w:t>improper</w:t>
      </w:r>
      <w:r w:rsidRPr="00283996">
        <w:rPr>
          <w:rFonts w:cs="Times New Roman"/>
          <w:lang w:val="en-US"/>
        </w:rPr>
        <w:t xml:space="preserve"> application both by the STM, which developed training that was legally incorrect, and by one of its inspectors, Constable Camacho, who applied the inaccurate information he obtained during that training. The application of a by</w:t>
      </w:r>
      <w:r w:rsidRPr="00283996">
        <w:rPr>
          <w:rFonts w:cs="Times New Roman"/>
          <w:lang w:val="en-US"/>
        </w:rPr>
        <w:noBreakHyphen/>
        <w:t xml:space="preserve">law falls within the “operational sphere”, that is, the practical execution of policy decisions, and is not protected by any form of immunity (see </w:t>
      </w:r>
      <w:proofErr w:type="spellStart"/>
      <w:r w:rsidRPr="00283996">
        <w:rPr>
          <w:rFonts w:cs="Times New Roman"/>
          <w:i/>
          <w:lang w:val="en-US"/>
        </w:rPr>
        <w:t>Laurentide</w:t>
      </w:r>
      <w:proofErr w:type="spellEnd"/>
      <w:r w:rsidRPr="00283996">
        <w:rPr>
          <w:rFonts w:cs="Times New Roman"/>
          <w:i/>
          <w:lang w:val="en-US"/>
        </w:rPr>
        <w:t xml:space="preserve"> Motels</w:t>
      </w:r>
      <w:r w:rsidRPr="00283996">
        <w:rPr>
          <w:rFonts w:cs="Times New Roman"/>
          <w:lang w:val="en-US"/>
        </w:rPr>
        <w:t xml:space="preserve">, at p. 722; </w:t>
      </w:r>
      <w:proofErr w:type="spellStart"/>
      <w:r w:rsidRPr="00283996">
        <w:rPr>
          <w:rFonts w:cs="Times New Roman"/>
          <w:i/>
          <w:lang w:val="en-US"/>
        </w:rPr>
        <w:t>Papachronis</w:t>
      </w:r>
      <w:proofErr w:type="spellEnd"/>
      <w:r w:rsidRPr="00283996">
        <w:rPr>
          <w:rFonts w:cs="Times New Roman"/>
          <w:lang w:val="en-US"/>
        </w:rPr>
        <w:t xml:space="preserve">, at para. 23). </w:t>
      </w:r>
      <w:proofErr w:type="spellStart"/>
      <w:r w:rsidRPr="00283996">
        <w:rPr>
          <w:rFonts w:cs="Times New Roman"/>
          <w:lang w:val="en-US"/>
        </w:rPr>
        <w:t>Baudouin</w:t>
      </w:r>
      <w:proofErr w:type="spellEnd"/>
      <w:r w:rsidRPr="00283996">
        <w:rPr>
          <w:rFonts w:cs="Times New Roman"/>
          <w:lang w:val="en-US"/>
        </w:rPr>
        <w:t xml:space="preserve">, </w:t>
      </w:r>
      <w:proofErr w:type="spellStart"/>
      <w:r w:rsidRPr="00283996">
        <w:rPr>
          <w:rFonts w:cs="Times New Roman"/>
          <w:lang w:val="en-US"/>
        </w:rPr>
        <w:t>Deslauriers</w:t>
      </w:r>
      <w:proofErr w:type="spellEnd"/>
      <w:r w:rsidRPr="00283996">
        <w:rPr>
          <w:rFonts w:cs="Times New Roman"/>
          <w:lang w:val="en-US"/>
        </w:rPr>
        <w:t xml:space="preserve"> and Moore provide some relevant examples of operational decisions to which the rules in art. 1457 </w:t>
      </w:r>
      <w:r w:rsidRPr="00283996">
        <w:rPr>
          <w:rFonts w:cs="Times New Roman"/>
          <w:i/>
          <w:lang w:val="en-US"/>
        </w:rPr>
        <w:t>C.C.Q.</w:t>
      </w:r>
      <w:r w:rsidRPr="00283996">
        <w:rPr>
          <w:rFonts w:cs="Times New Roman"/>
          <w:lang w:val="en-US"/>
        </w:rPr>
        <w:t> apply in full:</w:t>
      </w:r>
    </w:p>
    <w:p w:rsidR="003011EC" w:rsidRPr="00283996" w:rsidRDefault="003011EC" w:rsidP="003011EC">
      <w:pPr>
        <w:pStyle w:val="Citation-AltC"/>
        <w:ind w:hanging="446"/>
        <w:contextualSpacing w:val="0"/>
        <w:rPr>
          <w:rFonts w:eastAsiaTheme="minorEastAsia"/>
          <w:lang w:val="en-US"/>
        </w:rPr>
      </w:pPr>
      <w:r w:rsidRPr="00283996">
        <w:rPr>
          <w:rFonts w:eastAsiaTheme="minorEastAsia"/>
          <w:lang w:val="en-US"/>
        </w:rPr>
        <w:tab/>
        <w:t>[</w:t>
      </w:r>
      <w:r w:rsidRPr="00283996">
        <w:rPr>
          <w:rFonts w:eastAsiaTheme="minorEastAsia"/>
          <w:smallCaps/>
          <w:lang w:val="en-US"/>
        </w:rPr>
        <w:t>translation</w:t>
      </w:r>
      <w:r w:rsidRPr="00283996">
        <w:rPr>
          <w:rFonts w:eastAsiaTheme="minorEastAsia"/>
          <w:lang w:val="en-US"/>
        </w:rPr>
        <w:t xml:space="preserve">] Examples include the carrying out of public works, </w:t>
      </w:r>
      <w:r w:rsidRPr="00283996">
        <w:rPr>
          <w:rFonts w:eastAsiaTheme="minorEastAsia"/>
          <w:u w:val="single"/>
          <w:lang w:val="en-US"/>
        </w:rPr>
        <w:t>the provision of information, acts of the police</w:t>
      </w:r>
      <w:r w:rsidRPr="00283996">
        <w:rPr>
          <w:rFonts w:eastAsiaTheme="minorEastAsia"/>
          <w:sz w:val="16"/>
          <w:szCs w:val="16"/>
          <w:lang w:val="en-US"/>
        </w:rPr>
        <w:t xml:space="preserve"> </w:t>
      </w:r>
      <w:r w:rsidRPr="00283996">
        <w:rPr>
          <w:rFonts w:eastAsiaTheme="minorEastAsia"/>
          <w:lang w:val="en-US"/>
        </w:rPr>
        <w:t xml:space="preserve">and fire departments, </w:t>
      </w:r>
      <w:r w:rsidRPr="00283996">
        <w:rPr>
          <w:rFonts w:eastAsiaTheme="minorEastAsia"/>
          <w:u w:val="single"/>
          <w:lang w:val="en-US"/>
        </w:rPr>
        <w:t>the administrative implementation of statutes, regulations and by</w:t>
      </w:r>
      <w:r w:rsidRPr="00283996">
        <w:rPr>
          <w:rFonts w:eastAsiaTheme="minorEastAsia"/>
          <w:u w:val="single"/>
          <w:lang w:val="en-US"/>
        </w:rPr>
        <w:noBreakHyphen/>
        <w:t>laws</w:t>
      </w:r>
      <w:r w:rsidRPr="00283996">
        <w:rPr>
          <w:rFonts w:eastAsiaTheme="minorEastAsia"/>
          <w:lang w:val="en-US"/>
        </w:rPr>
        <w:t>, the giving of notice, the conduct of inspections, the enforcement of court decisions, etc. The government has no immunity for such acts and is liable on the private law standard for the commission of a simple fault. [Emphasis added;</w:t>
      </w:r>
      <w:r w:rsidR="00FC668C">
        <w:rPr>
          <w:rFonts w:eastAsiaTheme="minorEastAsia"/>
          <w:lang w:val="en-US"/>
        </w:rPr>
        <w:t xml:space="preserve"> footnotes omitted;</w:t>
      </w:r>
      <w:r w:rsidRPr="00283996">
        <w:rPr>
          <w:rFonts w:eastAsiaTheme="minorEastAsia"/>
          <w:lang w:val="en-US"/>
        </w:rPr>
        <w:t xml:space="preserve"> No. 1</w:t>
      </w:r>
      <w:r w:rsidRPr="00283996">
        <w:rPr>
          <w:rFonts w:eastAsiaTheme="minorEastAsia"/>
          <w:lang w:val="en-US"/>
        </w:rPr>
        <w:noBreakHyphen/>
        <w:t>148.]</w:t>
      </w:r>
    </w:p>
    <w:p w:rsidR="003011EC" w:rsidRPr="00283996" w:rsidRDefault="003011EC" w:rsidP="003011EC">
      <w:pPr>
        <w:pStyle w:val="ParaNoNdepar-AltN"/>
        <w:rPr>
          <w:rFonts w:cs="Times New Roman"/>
          <w:lang w:val="en-US"/>
        </w:rPr>
      </w:pPr>
      <w:r w:rsidRPr="00283996">
        <w:rPr>
          <w:rFonts w:cs="Times New Roman"/>
          <w:lang w:val="en-US"/>
        </w:rPr>
        <w:lastRenderedPageBreak/>
        <w:t>A legal person established in the public interest that makes an error of law in implementing its own regulations or by</w:t>
      </w:r>
      <w:r w:rsidRPr="00283996">
        <w:rPr>
          <w:rFonts w:cs="Times New Roman"/>
          <w:lang w:val="en-US"/>
        </w:rPr>
        <w:noBreakHyphen/>
        <w:t xml:space="preserve">laws may therefore be civilly liable. In </w:t>
      </w:r>
      <w:proofErr w:type="spellStart"/>
      <w:r w:rsidRPr="00283996">
        <w:rPr>
          <w:rFonts w:cs="Times New Roman"/>
          <w:i/>
          <w:lang w:val="en-US"/>
        </w:rPr>
        <w:t>Maska</w:t>
      </w:r>
      <w:proofErr w:type="spellEnd"/>
      <w:r w:rsidRPr="00283996">
        <w:rPr>
          <w:rFonts w:cs="Times New Roman"/>
          <w:i/>
          <w:lang w:val="en-US"/>
        </w:rPr>
        <w:t xml:space="preserve"> Auto Spring </w:t>
      </w:r>
      <w:proofErr w:type="spellStart"/>
      <w:r w:rsidRPr="00283996">
        <w:rPr>
          <w:rFonts w:cs="Times New Roman"/>
          <w:i/>
          <w:lang w:val="en-US"/>
        </w:rPr>
        <w:t>Ltée</w:t>
      </w:r>
      <w:proofErr w:type="spellEnd"/>
      <w:r w:rsidRPr="00283996">
        <w:rPr>
          <w:rFonts w:cs="Times New Roman"/>
          <w:i/>
          <w:lang w:val="en-US"/>
        </w:rPr>
        <w:t xml:space="preserve"> v. </w:t>
      </w:r>
      <w:proofErr w:type="spellStart"/>
      <w:r w:rsidRPr="00283996">
        <w:rPr>
          <w:rFonts w:cs="Times New Roman"/>
          <w:i/>
          <w:lang w:val="en-US"/>
        </w:rPr>
        <w:t>Ste</w:t>
      </w:r>
      <w:proofErr w:type="spellEnd"/>
      <w:r w:rsidRPr="00283996">
        <w:rPr>
          <w:rFonts w:cs="Times New Roman"/>
          <w:i/>
          <w:lang w:val="en-US"/>
        </w:rPr>
        <w:noBreakHyphen/>
        <w:t>Rosalie (Village)</w:t>
      </w:r>
      <w:r w:rsidRPr="00283996">
        <w:rPr>
          <w:rFonts w:cs="Times New Roman"/>
          <w:lang w:val="en-US"/>
        </w:rPr>
        <w:t>, [1991] 2 S.C.R. 3, the Court adopted the following comments on this point made by Chouinard J.A., dissenting in the Court of Appeal:</w:t>
      </w:r>
    </w:p>
    <w:p w:rsidR="003011EC" w:rsidRPr="007A7F84" w:rsidRDefault="003011EC" w:rsidP="003011EC">
      <w:pPr>
        <w:pStyle w:val="Citation-AltC"/>
        <w:spacing w:after="240"/>
        <w:ind w:hanging="446"/>
        <w:contextualSpacing w:val="0"/>
      </w:pPr>
      <w:r w:rsidRPr="00283996">
        <w:rPr>
          <w:lang w:val="en-US"/>
        </w:rPr>
        <w:tab/>
        <w:t>[</w:t>
      </w:r>
      <w:r w:rsidRPr="00283996">
        <w:rPr>
          <w:smallCaps/>
          <w:lang w:val="en-US"/>
        </w:rPr>
        <w:t>translation</w:t>
      </w:r>
      <w:r w:rsidRPr="00283996">
        <w:rPr>
          <w:lang w:val="en-US"/>
        </w:rPr>
        <w:t xml:space="preserve">] </w:t>
      </w:r>
      <w:r w:rsidRPr="00283996">
        <w:rPr>
          <w:u w:val="single"/>
          <w:lang w:val="en-US"/>
        </w:rPr>
        <w:t>Where its officers or subordinates perform acts in the implementation of a statute, regulation or by</w:t>
      </w:r>
      <w:r w:rsidRPr="00283996">
        <w:rPr>
          <w:u w:val="single"/>
          <w:lang w:val="en-US"/>
        </w:rPr>
        <w:noBreakHyphen/>
        <w:t>law, the public corporation is liable for acts performed through an error</w:t>
      </w:r>
      <w:r w:rsidRPr="00283996">
        <w:rPr>
          <w:lang w:val="en-US"/>
        </w:rPr>
        <w:t xml:space="preserve"> of fact or </w:t>
      </w:r>
      <w:r w:rsidRPr="00283996">
        <w:rPr>
          <w:u w:val="single"/>
          <w:lang w:val="en-US"/>
        </w:rPr>
        <w:t>of law</w:t>
      </w:r>
      <w:r w:rsidRPr="00283996">
        <w:rPr>
          <w:lang w:val="en-US"/>
        </w:rPr>
        <w:t xml:space="preserve">, in good or in bad faith, even </w:t>
      </w:r>
      <w:proofErr w:type="spellStart"/>
      <w:r w:rsidRPr="00283996">
        <w:rPr>
          <w:lang w:val="en-US"/>
        </w:rPr>
        <w:t>through</w:t>
      </w:r>
      <w:proofErr w:type="spellEnd"/>
      <w:r w:rsidRPr="00283996">
        <w:rPr>
          <w:lang w:val="en-US"/>
        </w:rPr>
        <w:t xml:space="preserve"> simple negligence. Its legal obligation is that of a prudent administrator or reasonable person, having regard to the circumstances of each case. </w:t>
      </w:r>
      <w:r w:rsidRPr="007A7F84">
        <w:t>[</w:t>
      </w:r>
      <w:proofErr w:type="spellStart"/>
      <w:r w:rsidRPr="007A7F84">
        <w:t>Emphasis</w:t>
      </w:r>
      <w:proofErr w:type="spellEnd"/>
      <w:r w:rsidRPr="007A7F84">
        <w:t xml:space="preserve"> </w:t>
      </w:r>
      <w:proofErr w:type="spellStart"/>
      <w:r w:rsidRPr="007A7F84">
        <w:t>added</w:t>
      </w:r>
      <w:proofErr w:type="spellEnd"/>
      <w:r w:rsidRPr="007A7F84">
        <w:t>; p. 1585.]</w:t>
      </w:r>
    </w:p>
    <w:p w:rsidR="003011EC" w:rsidRPr="00BB0B8C" w:rsidRDefault="003011EC" w:rsidP="00163548">
      <w:pPr>
        <w:pStyle w:val="Citation-AltC"/>
        <w:ind w:left="0"/>
        <w:contextualSpacing w:val="0"/>
        <w:rPr>
          <w:sz w:val="22"/>
        </w:rPr>
      </w:pPr>
      <w:r w:rsidRPr="002035EE">
        <w:t>(</w:t>
      </w:r>
      <w:proofErr w:type="spellStart"/>
      <w:r w:rsidRPr="002035EE">
        <w:rPr>
          <w:i/>
        </w:rPr>
        <w:t>Maska</w:t>
      </w:r>
      <w:proofErr w:type="spellEnd"/>
      <w:r w:rsidRPr="002035EE">
        <w:rPr>
          <w:i/>
        </w:rPr>
        <w:t xml:space="preserve"> Auto </w:t>
      </w:r>
      <w:proofErr w:type="spellStart"/>
      <w:r w:rsidRPr="002035EE">
        <w:rPr>
          <w:i/>
        </w:rPr>
        <w:t>Spring</w:t>
      </w:r>
      <w:proofErr w:type="spellEnd"/>
      <w:r w:rsidRPr="002035EE">
        <w:rPr>
          <w:i/>
        </w:rPr>
        <w:t xml:space="preserve"> Ltée</w:t>
      </w:r>
      <w:r w:rsidR="009918F3" w:rsidRPr="002035EE">
        <w:rPr>
          <w:i/>
        </w:rPr>
        <w:t xml:space="preserve"> </w:t>
      </w:r>
      <w:r w:rsidRPr="002035EE">
        <w:rPr>
          <w:i/>
        </w:rPr>
        <w:t>v. Ste</w:t>
      </w:r>
      <w:r w:rsidRPr="002035EE">
        <w:rPr>
          <w:i/>
        </w:rPr>
        <w:noBreakHyphen/>
        <w:t>Rosalie (Co</w:t>
      </w:r>
      <w:r w:rsidR="009918F3" w:rsidRPr="002035EE">
        <w:rPr>
          <w:i/>
        </w:rPr>
        <w:t xml:space="preserve">rp. </w:t>
      </w:r>
      <w:r w:rsidRPr="002035EE">
        <w:rPr>
          <w:i/>
        </w:rPr>
        <w:t>municipale du village de)</w:t>
      </w:r>
      <w:r w:rsidRPr="002035EE">
        <w:t xml:space="preserve">, [1988] R.J.Q. 1576 (C.A.); </w:t>
      </w:r>
      <w:proofErr w:type="spellStart"/>
      <w:r w:rsidRPr="002035EE">
        <w:t>see</w:t>
      </w:r>
      <w:proofErr w:type="spellEnd"/>
      <w:r w:rsidRPr="002035EE">
        <w:t xml:space="preserve"> </w:t>
      </w:r>
      <w:proofErr w:type="spellStart"/>
      <w:r w:rsidRPr="002035EE">
        <w:t>also</w:t>
      </w:r>
      <w:proofErr w:type="spellEnd"/>
      <w:r w:rsidRPr="002035EE">
        <w:t xml:space="preserve"> </w:t>
      </w:r>
      <w:proofErr w:type="spellStart"/>
      <w:r w:rsidRPr="002035EE">
        <w:rPr>
          <w:i/>
        </w:rPr>
        <w:t>Pincourt</w:t>
      </w:r>
      <w:proofErr w:type="spellEnd"/>
      <w:r w:rsidRPr="002035EE">
        <w:rPr>
          <w:i/>
        </w:rPr>
        <w:t xml:space="preserve"> (Ville de) v. Construction </w:t>
      </w:r>
      <w:proofErr w:type="spellStart"/>
      <w:r w:rsidRPr="002035EE">
        <w:rPr>
          <w:i/>
        </w:rPr>
        <w:t>Cogerex</w:t>
      </w:r>
      <w:proofErr w:type="spellEnd"/>
      <w:r w:rsidRPr="002035EE">
        <w:rPr>
          <w:i/>
        </w:rPr>
        <w:t xml:space="preserve"> </w:t>
      </w:r>
      <w:proofErr w:type="spellStart"/>
      <w:r w:rsidRPr="002035EE">
        <w:rPr>
          <w:i/>
        </w:rPr>
        <w:t>ltée</w:t>
      </w:r>
      <w:proofErr w:type="spellEnd"/>
      <w:r w:rsidRPr="002035EE">
        <w:t>, 2013 QCCA 1773, at para. 47 (</w:t>
      </w:r>
      <w:proofErr w:type="spellStart"/>
      <w:r w:rsidRPr="002035EE">
        <w:t>CanLII</w:t>
      </w:r>
      <w:proofErr w:type="spellEnd"/>
      <w:r w:rsidRPr="002035EE">
        <w:t xml:space="preserve">); </w:t>
      </w:r>
      <w:r w:rsidRPr="002035EE">
        <w:rPr>
          <w:i/>
        </w:rPr>
        <w:t>Chelsea (Municipalité de) v. Laurin</w:t>
      </w:r>
      <w:r w:rsidR="00BB0B8C">
        <w:t xml:space="preserve">, 2010 QCCA 1723, </w:t>
      </w:r>
      <w:r w:rsidRPr="002035EE">
        <w:t>at para. </w:t>
      </w:r>
      <w:r w:rsidRPr="00BB0B8C">
        <w:t>71</w:t>
      </w:r>
      <w:r w:rsidR="00BB0B8C" w:rsidRPr="00BB0B8C">
        <w:t xml:space="preserve"> (</w:t>
      </w:r>
      <w:proofErr w:type="spellStart"/>
      <w:r w:rsidR="00BB0B8C" w:rsidRPr="00BB0B8C">
        <w:t>CanLII</w:t>
      </w:r>
      <w:proofErr w:type="spellEnd"/>
      <w:r w:rsidR="00BB0B8C" w:rsidRPr="00BB0B8C">
        <w:t>)</w:t>
      </w:r>
      <w:r w:rsidRPr="00BB0B8C">
        <w:t xml:space="preserve">; </w:t>
      </w:r>
      <w:r w:rsidR="009918F3" w:rsidRPr="00BB0B8C">
        <w:rPr>
          <w:i/>
        </w:rPr>
        <w:t xml:space="preserve">Foley </w:t>
      </w:r>
      <w:r w:rsidRPr="00BB0B8C">
        <w:rPr>
          <w:i/>
        </w:rPr>
        <w:t>v.</w:t>
      </w:r>
      <w:r w:rsidR="009918F3" w:rsidRPr="00BB0B8C">
        <w:rPr>
          <w:i/>
        </w:rPr>
        <w:t xml:space="preserve"> </w:t>
      </w:r>
      <w:proofErr w:type="spellStart"/>
      <w:r w:rsidRPr="00BB0B8C">
        <w:rPr>
          <w:i/>
        </w:rPr>
        <w:t>Shamess</w:t>
      </w:r>
      <w:proofErr w:type="spellEnd"/>
      <w:r w:rsidRPr="00BB0B8C">
        <w:t>, 2008 ONCA 588, 297 D.L.R. (4th) 287, at para. 26.)</w:t>
      </w:r>
    </w:p>
    <w:p w:rsidR="003011EC" w:rsidRPr="00283996" w:rsidRDefault="003011EC" w:rsidP="003011EC">
      <w:pPr>
        <w:pStyle w:val="ParaNoNdepar-AltN"/>
        <w:spacing w:before="0"/>
        <w:rPr>
          <w:rFonts w:cs="Times New Roman"/>
          <w:iCs/>
          <w:szCs w:val="24"/>
          <w:lang w:val="en-US"/>
        </w:rPr>
      </w:pPr>
      <w:r w:rsidRPr="00283996">
        <w:rPr>
          <w:rFonts w:cs="Times New Roman"/>
          <w:lang w:val="en-US"/>
        </w:rPr>
        <w:t>In the instant case, the training provided by the STM to the City’s police officers is part of the implementation of By</w:t>
      </w:r>
      <w:r w:rsidRPr="00283996">
        <w:rPr>
          <w:rFonts w:cs="Times New Roman"/>
          <w:lang w:val="en-US"/>
        </w:rPr>
        <w:noBreakHyphen/>
        <w:t>law R</w:t>
      </w:r>
      <w:r w:rsidRPr="00283996">
        <w:rPr>
          <w:rFonts w:cs="Times New Roman"/>
          <w:lang w:val="en-US"/>
        </w:rPr>
        <w:noBreakHyphen/>
        <w:t xml:space="preserve">036. In this respect, the STM cannot avoid the rules in art. 1457 </w:t>
      </w:r>
      <w:r w:rsidRPr="00283996">
        <w:rPr>
          <w:rFonts w:cs="Times New Roman"/>
          <w:i/>
          <w:lang w:val="en-US"/>
        </w:rPr>
        <w:t>C.C.Q</w:t>
      </w:r>
      <w:r w:rsidRPr="0098343A">
        <w:rPr>
          <w:rFonts w:cs="Times New Roman"/>
          <w:i/>
          <w:lang w:val="en-US"/>
        </w:rPr>
        <w:t>.</w:t>
      </w:r>
    </w:p>
    <w:p w:rsidR="003011EC" w:rsidRPr="00283996" w:rsidRDefault="003011EC" w:rsidP="003011EC">
      <w:pPr>
        <w:pStyle w:val="Title3LevelTitre3Niveau"/>
        <w:widowControl w:val="0"/>
        <w:numPr>
          <w:ilvl w:val="2"/>
          <w:numId w:val="8"/>
        </w:numPr>
        <w:spacing w:before="0"/>
        <w:ind w:left="1166"/>
        <w:rPr>
          <w:rFonts w:cs="Times New Roman"/>
          <w:lang w:val="en-US"/>
        </w:rPr>
      </w:pPr>
      <w:bookmarkStart w:id="33" w:name="_Toc14257145"/>
      <w:bookmarkStart w:id="34" w:name="_Toc24710745"/>
      <w:r w:rsidRPr="00283996">
        <w:rPr>
          <w:rFonts w:cs="Times New Roman"/>
          <w:lang w:val="en-US"/>
        </w:rPr>
        <w:t>Direct Fault</w:t>
      </w:r>
      <w:bookmarkEnd w:id="33"/>
      <w:r w:rsidRPr="00283996">
        <w:rPr>
          <w:rFonts w:cs="Times New Roman"/>
          <w:lang w:val="en-US"/>
        </w:rPr>
        <w:t xml:space="preserve"> of the STM</w:t>
      </w:r>
      <w:bookmarkEnd w:id="34"/>
    </w:p>
    <w:p w:rsidR="003011EC" w:rsidRPr="00283996" w:rsidRDefault="003011EC" w:rsidP="003011EC">
      <w:pPr>
        <w:pStyle w:val="ParaNoNdepar-AltN"/>
        <w:spacing w:before="0"/>
        <w:rPr>
          <w:rFonts w:cs="Times New Roman"/>
          <w:lang w:val="en-US"/>
        </w:rPr>
      </w:pPr>
      <w:r w:rsidRPr="00283996">
        <w:rPr>
          <w:rFonts w:cs="Times New Roman"/>
          <w:lang w:val="en-US"/>
        </w:rPr>
        <w:t xml:space="preserve">As noted above, the STM is not only liable for Constable Camacho’s fault as his </w:t>
      </w:r>
      <w:proofErr w:type="spellStart"/>
      <w:r w:rsidRPr="00283996">
        <w:rPr>
          <w:rFonts w:cs="Times New Roman"/>
          <w:lang w:val="en-US"/>
        </w:rPr>
        <w:t>mandator</w:t>
      </w:r>
      <w:proofErr w:type="spellEnd"/>
      <w:r w:rsidRPr="00283996">
        <w:rPr>
          <w:rFonts w:cs="Times New Roman"/>
          <w:lang w:val="en-US"/>
        </w:rPr>
        <w:t>, but it also committed a direct fault by providing training that suggested to police officers called upon to enforce its by</w:t>
      </w:r>
      <w:r w:rsidRPr="00283996">
        <w:rPr>
          <w:rFonts w:cs="Times New Roman"/>
          <w:lang w:val="en-US"/>
        </w:rPr>
        <w:noBreakHyphen/>
        <w:t>laws that holding the handrail was an obligation pursuant to a by</w:t>
      </w:r>
      <w:r w:rsidRPr="00283996">
        <w:rPr>
          <w:rFonts w:cs="Times New Roman"/>
          <w:lang w:val="en-US"/>
        </w:rPr>
        <w:noBreakHyphen/>
        <w:t xml:space="preserve">law. Once the STM undertook to provide police officers </w:t>
      </w:r>
      <w:r w:rsidRPr="00283996">
        <w:rPr>
          <w:rFonts w:cs="Times New Roman"/>
          <w:lang w:val="en-US"/>
        </w:rPr>
        <w:lastRenderedPageBreak/>
        <w:t>with training on [</w:t>
      </w:r>
      <w:r w:rsidRPr="00283996">
        <w:rPr>
          <w:rFonts w:cs="Times New Roman"/>
          <w:smallCaps/>
          <w:lang w:val="en-US"/>
        </w:rPr>
        <w:t>translation</w:t>
      </w:r>
      <w:r w:rsidRPr="00283996">
        <w:rPr>
          <w:rFonts w:cs="Times New Roman"/>
          <w:lang w:val="en-US"/>
        </w:rPr>
        <w:t>] “the safety requirements, the legislation, the types of intervention appropriate for the location and the applicable by</w:t>
      </w:r>
      <w:r w:rsidRPr="00283996">
        <w:rPr>
          <w:rFonts w:cs="Times New Roman"/>
          <w:lang w:val="en-US"/>
        </w:rPr>
        <w:noBreakHyphen/>
        <w:t>laws” (C.Q. reasons, at para. 123), it had to ensure that the training would be appropriate and that it would reflect the law.</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This is, in fact, the corollary of the obligation of police officers to acquire knowledge of the law and to keep that knowledge up to date. This is, moreover, recognized by the </w:t>
      </w:r>
      <w:r w:rsidRPr="00283996">
        <w:rPr>
          <w:rFonts w:cs="Times New Roman"/>
          <w:i/>
          <w:lang w:val="en-US"/>
        </w:rPr>
        <w:t>Police Act</w:t>
      </w:r>
      <w:r w:rsidRPr="00283996">
        <w:rPr>
          <w:rFonts w:cs="Times New Roman"/>
          <w:lang w:val="en-US"/>
        </w:rPr>
        <w:t>, since its first several provisions deal with the training provided to police officers and expressly set out, among other things, the objective of “</w:t>
      </w:r>
      <w:proofErr w:type="spellStart"/>
      <w:r w:rsidRPr="00283996">
        <w:rPr>
          <w:rFonts w:cs="Times New Roman"/>
          <w:lang w:val="en-US"/>
        </w:rPr>
        <w:t>updat</w:t>
      </w:r>
      <w:proofErr w:type="spellEnd"/>
      <w:r w:rsidRPr="00283996">
        <w:rPr>
          <w:rFonts w:cs="Times New Roman"/>
          <w:lang w:val="en-US"/>
        </w:rPr>
        <w:t>[</w:t>
      </w:r>
      <w:proofErr w:type="spellStart"/>
      <w:r w:rsidRPr="00283996">
        <w:rPr>
          <w:rFonts w:cs="Times New Roman"/>
          <w:lang w:val="en-US"/>
        </w:rPr>
        <w:t>ing</w:t>
      </w:r>
      <w:proofErr w:type="spellEnd"/>
      <w:r w:rsidRPr="00283996">
        <w:rPr>
          <w:rFonts w:cs="Times New Roman"/>
          <w:lang w:val="en-US"/>
        </w:rPr>
        <w:t>] the knowledge and skills of police officers in the type of police work to which they are assigned” (s. 4(1); see also ss. 1 to 6).</w:t>
      </w:r>
    </w:p>
    <w:p w:rsidR="003011EC" w:rsidRPr="00283996" w:rsidRDefault="003011EC" w:rsidP="003011EC">
      <w:pPr>
        <w:pStyle w:val="ParaNoNdepar-AltN"/>
        <w:spacing w:before="0"/>
        <w:rPr>
          <w:rFonts w:cs="Times New Roman"/>
          <w:lang w:val="en-US"/>
        </w:rPr>
      </w:pPr>
      <w:r w:rsidRPr="00283996">
        <w:rPr>
          <w:rFonts w:cs="Times New Roman"/>
          <w:lang w:val="en-US"/>
        </w:rPr>
        <w:t>The evidence in this case does not confirm the exact content of the training provided by the STM. However, the trial judge’s decision indicates that the STM believed that the pictogram required subway users to hold the handrail, and that Constable Camacho and his colleague — who were acting as inspectors on behalf of the STM at the time — also believed, based on the training they had received, that the pictogram created a legal obligation:</w:t>
      </w:r>
    </w:p>
    <w:p w:rsidR="003011EC" w:rsidRPr="00283996" w:rsidRDefault="003011EC" w:rsidP="003011EC">
      <w:pPr>
        <w:pStyle w:val="Citation-AltC"/>
        <w:tabs>
          <w:tab w:val="left" w:pos="1440"/>
        </w:tabs>
        <w:spacing w:after="240"/>
        <w:ind w:firstLine="4"/>
        <w:contextualSpacing w:val="0"/>
        <w:rPr>
          <w:lang w:val="en-US"/>
        </w:rPr>
      </w:pPr>
      <w:r w:rsidRPr="00283996">
        <w:rPr>
          <w:lang w:val="en-US"/>
        </w:rPr>
        <w:tab/>
        <w:t>[</w:t>
      </w:r>
      <w:r w:rsidRPr="00283996">
        <w:rPr>
          <w:smallCaps/>
          <w:lang w:val="en-US"/>
        </w:rPr>
        <w:t>translation</w:t>
      </w:r>
      <w:r w:rsidRPr="00283996">
        <w:rPr>
          <w:lang w:val="en-US"/>
        </w:rPr>
        <w:t>] Each of these two escalators has pictograms and directives posted by the STM. The STM is of the opinion that the graphic described above requires every person to hold the escalator handrail.</w:t>
      </w:r>
    </w:p>
    <w:p w:rsidR="003011EC" w:rsidRPr="00283996" w:rsidRDefault="003011EC" w:rsidP="003011EC">
      <w:pPr>
        <w:pStyle w:val="Citation-AltC"/>
        <w:tabs>
          <w:tab w:val="left" w:pos="1440"/>
        </w:tabs>
        <w:spacing w:after="240"/>
        <w:ind w:left="4590" w:hanging="450"/>
        <w:contextualSpacing w:val="0"/>
        <w:rPr>
          <w:lang w:val="en-US"/>
        </w:rPr>
      </w:pPr>
      <w:r w:rsidRPr="00283996">
        <w:rPr>
          <w:lang w:val="en-US"/>
        </w:rPr>
        <w:tab/>
        <w:t>. . .</w:t>
      </w:r>
    </w:p>
    <w:p w:rsidR="003011EC" w:rsidRPr="00283996" w:rsidRDefault="003011EC" w:rsidP="003011EC">
      <w:pPr>
        <w:pStyle w:val="Citation-AltC"/>
        <w:tabs>
          <w:tab w:val="left" w:pos="1440"/>
        </w:tabs>
        <w:spacing w:after="240"/>
        <w:contextualSpacing w:val="0"/>
        <w:rPr>
          <w:lang w:val="en-US"/>
        </w:rPr>
      </w:pPr>
      <w:r w:rsidRPr="00283996">
        <w:rPr>
          <w:lang w:val="en-US"/>
        </w:rPr>
        <w:tab/>
        <w:t xml:space="preserve">In summary, the defendants — Camacho, Ville de Laval and the STM — argue that </w:t>
      </w:r>
      <w:proofErr w:type="spellStart"/>
      <w:r w:rsidRPr="00283996">
        <w:rPr>
          <w:lang w:val="en-US"/>
        </w:rPr>
        <w:t>Kosoian</w:t>
      </w:r>
      <w:proofErr w:type="spellEnd"/>
      <w:r w:rsidRPr="00283996">
        <w:rPr>
          <w:lang w:val="en-US"/>
        </w:rPr>
        <w:t xml:space="preserve"> had to comply with the directives on the pictograms that required her, for example, to hold the escalator handrail.</w:t>
      </w:r>
    </w:p>
    <w:p w:rsidR="003011EC" w:rsidRPr="00283996" w:rsidRDefault="003011EC" w:rsidP="00893964">
      <w:pPr>
        <w:pStyle w:val="Citation-AltC"/>
        <w:ind w:left="0"/>
        <w:contextualSpacing w:val="0"/>
        <w:rPr>
          <w:lang w:val="en-US"/>
        </w:rPr>
      </w:pPr>
      <w:r w:rsidRPr="00283996">
        <w:rPr>
          <w:lang w:val="en-US"/>
        </w:rPr>
        <w:lastRenderedPageBreak/>
        <w:t>(C.Q. reasons, at paras. 121 and 211)</w:t>
      </w:r>
    </w:p>
    <w:p w:rsidR="003011EC" w:rsidRPr="00283996" w:rsidRDefault="003011EC" w:rsidP="003011EC">
      <w:pPr>
        <w:pStyle w:val="ParaNoNdepar-AltN"/>
        <w:spacing w:before="0"/>
        <w:rPr>
          <w:rFonts w:cs="Times New Roman"/>
          <w:lang w:val="en-US"/>
        </w:rPr>
      </w:pPr>
      <w:r w:rsidRPr="00283996">
        <w:rPr>
          <w:rFonts w:cs="Times New Roman"/>
          <w:lang w:val="en-US"/>
        </w:rPr>
        <w:t>The STM did not challenge that testimony and in fact never repudiated the interpretation adopted by the two constables during the subsequent court proceedings. Moreover, the STM later allowed its inspectors to hand out similar statements of offence.</w:t>
      </w:r>
    </w:p>
    <w:p w:rsidR="003011EC" w:rsidRPr="00283996" w:rsidRDefault="003011EC" w:rsidP="003011EC">
      <w:pPr>
        <w:pStyle w:val="ParaNoNdepar-AltN"/>
        <w:spacing w:before="0"/>
        <w:rPr>
          <w:rFonts w:cs="Times New Roman"/>
          <w:lang w:val="en-US"/>
        </w:rPr>
      </w:pPr>
      <w:r w:rsidRPr="00283996">
        <w:rPr>
          <w:rFonts w:cs="Times New Roman"/>
          <w:lang w:val="en-US"/>
        </w:rPr>
        <w:t>If Constable Camacho was at fault for believing that holding the handrail was an obligation, the fact that the public authority misinterpreted the by</w:t>
      </w:r>
      <w:r w:rsidRPr="00283996">
        <w:rPr>
          <w:rFonts w:cs="Times New Roman"/>
          <w:lang w:val="en-US"/>
        </w:rPr>
        <w:noBreakHyphen/>
        <w:t>law he had to enforce and provided training accordingly made it equally at fault. I therefore conclude that the STM committed a civil fault in the context of the training provided to police officers, including Constable Camacho.</w:t>
      </w:r>
    </w:p>
    <w:p w:rsidR="003011EC" w:rsidRPr="00283996" w:rsidRDefault="003011EC" w:rsidP="003011EC">
      <w:pPr>
        <w:pStyle w:val="ParaNoNdepar-AltN"/>
        <w:spacing w:before="0"/>
        <w:rPr>
          <w:rFonts w:cs="Times New Roman"/>
          <w:sz w:val="21"/>
          <w:szCs w:val="21"/>
          <w:lang w:val="en-US"/>
        </w:rPr>
      </w:pPr>
      <w:r w:rsidRPr="00283996">
        <w:rPr>
          <w:rFonts w:cs="Times New Roman"/>
          <w:lang w:val="en-US"/>
        </w:rPr>
        <w:t>Finally, with regard to the decision to institute penal proceedings against the appellant in the Municipal Court, I am of the view that the STM’s conduct in this regard is protected by the relative immunity enjoyed by prosecutors (</w:t>
      </w:r>
      <w:proofErr w:type="spellStart"/>
      <w:r w:rsidR="00154972">
        <w:rPr>
          <w:rFonts w:cs="Times New Roman"/>
          <w:i/>
          <w:lang w:val="en-US"/>
        </w:rPr>
        <w:t>Proulx</w:t>
      </w:r>
      <w:proofErr w:type="spellEnd"/>
      <w:r w:rsidR="00154972">
        <w:rPr>
          <w:rFonts w:cs="Times New Roman"/>
          <w:i/>
          <w:lang w:val="en-US"/>
        </w:rPr>
        <w:t xml:space="preserve"> </w:t>
      </w:r>
      <w:r w:rsidRPr="00283996">
        <w:rPr>
          <w:rFonts w:cs="Times New Roman"/>
          <w:i/>
          <w:lang w:val="en-US"/>
        </w:rPr>
        <w:t>v. Quebec (Attorney General)</w:t>
      </w:r>
      <w:r w:rsidR="00154972">
        <w:rPr>
          <w:rFonts w:cs="Times New Roman"/>
          <w:lang w:val="en-US"/>
        </w:rPr>
        <w:t xml:space="preserve">, 2001 SCC 66, [2001] 3 </w:t>
      </w:r>
      <w:r w:rsidRPr="00283996">
        <w:rPr>
          <w:rFonts w:cs="Times New Roman"/>
          <w:lang w:val="en-US"/>
        </w:rPr>
        <w:t xml:space="preserve">S.C.R. 9, at paras. 7, 9 and 35, citing </w:t>
      </w:r>
      <w:proofErr w:type="spellStart"/>
      <w:r w:rsidR="00154972">
        <w:rPr>
          <w:rFonts w:cs="Times New Roman"/>
          <w:i/>
          <w:lang w:val="en-US"/>
        </w:rPr>
        <w:t>Nelles</w:t>
      </w:r>
      <w:proofErr w:type="spellEnd"/>
      <w:r w:rsidR="00154972">
        <w:rPr>
          <w:rFonts w:cs="Times New Roman"/>
          <w:i/>
          <w:lang w:val="en-US"/>
        </w:rPr>
        <w:t xml:space="preserve"> </w:t>
      </w:r>
      <w:r w:rsidRPr="00283996">
        <w:rPr>
          <w:rFonts w:cs="Times New Roman"/>
          <w:i/>
          <w:lang w:val="en-US"/>
        </w:rPr>
        <w:t>v. Ontario</w:t>
      </w:r>
      <w:r w:rsidR="00154972">
        <w:rPr>
          <w:rFonts w:cs="Times New Roman"/>
          <w:lang w:val="en-US"/>
        </w:rPr>
        <w:t xml:space="preserve">, [1989] 2 </w:t>
      </w:r>
      <w:r w:rsidRPr="00283996">
        <w:rPr>
          <w:rFonts w:cs="Times New Roman"/>
          <w:lang w:val="en-US"/>
        </w:rPr>
        <w:t>S.C.R. 170, at pp. 193</w:t>
      </w:r>
      <w:r w:rsidRPr="00283996">
        <w:rPr>
          <w:rFonts w:cs="Times New Roman"/>
          <w:lang w:val="en-US"/>
        </w:rPr>
        <w:noBreakHyphen/>
        <w:t>94 and 196</w:t>
      </w:r>
      <w:r w:rsidRPr="00283996">
        <w:rPr>
          <w:rFonts w:cs="Times New Roman"/>
          <w:lang w:val="en-US"/>
        </w:rPr>
        <w:noBreakHyphen/>
        <w:t>97). For the immunity to be lifted, the appellant had to establish, in particular, that the penal proceedings were not based on any reasonable and probable cause and were motivated by an “improper purpose”. In my opinion, the non</w:t>
      </w:r>
      <w:r w:rsidRPr="00283996">
        <w:rPr>
          <w:rFonts w:cs="Times New Roman"/>
          <w:lang w:val="en-US"/>
        </w:rPr>
        <w:noBreakHyphen/>
        <w:t>existence in law of the alleged offence clearly shows that there was no reasonable and probable cause. But this cannot in itself give rise to an inference that the prosecutor acted for an improper purpose. On this last point, Ms. </w:t>
      </w:r>
      <w:proofErr w:type="spellStart"/>
      <w:r w:rsidRPr="00283996">
        <w:rPr>
          <w:rFonts w:cs="Times New Roman"/>
          <w:lang w:val="en-US"/>
        </w:rPr>
        <w:t>Kosoian</w:t>
      </w:r>
      <w:proofErr w:type="spellEnd"/>
      <w:r w:rsidRPr="00283996">
        <w:rPr>
          <w:rFonts w:cs="Times New Roman"/>
          <w:lang w:val="en-US"/>
        </w:rPr>
        <w:t xml:space="preserve"> has not discharged her burden of proof.</w:t>
      </w:r>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In short, I am of the view that the STM’s fault lies in the implementation of the by</w:t>
      </w:r>
      <w:r w:rsidRPr="00283996">
        <w:rPr>
          <w:rFonts w:cs="Times New Roman"/>
          <w:lang w:val="en-US"/>
        </w:rPr>
        <w:noBreakHyphen/>
        <w:t xml:space="preserve">law, and specifically in the training provided to police officers. In addition, I reject the STM’s argument based on extinctive prescription. While it is true that the STM was added as a defendant on August 21, 2012, more than three years after the events of May 13, 2009, the initial action against Constable Camacho and the City was filed within the time limit. The filing of the judicial application led to a civil interruption of prescription with regard to all solidary debtors, including the STM (arts. 2892 and 2900 </w:t>
      </w:r>
      <w:r w:rsidRPr="00283996">
        <w:rPr>
          <w:rFonts w:cs="Times New Roman"/>
          <w:i/>
          <w:lang w:val="en-US"/>
        </w:rPr>
        <w:t>C.C.Q.</w:t>
      </w:r>
      <w:r w:rsidRPr="00283996">
        <w:rPr>
          <w:rFonts w:cs="Times New Roman"/>
          <w:lang w:val="en-US"/>
        </w:rPr>
        <w:t>). Liability is solidary here under art. 1526 </w:t>
      </w:r>
      <w:r w:rsidRPr="00283996">
        <w:rPr>
          <w:rFonts w:cs="Times New Roman"/>
          <w:i/>
          <w:iCs/>
          <w:lang w:val="en-US"/>
        </w:rPr>
        <w:t>C.C.Q.</w:t>
      </w:r>
      <w:r w:rsidRPr="00283996">
        <w:rPr>
          <w:rFonts w:cs="Times New Roman"/>
          <w:lang w:val="en-US"/>
        </w:rPr>
        <w:t>, which states that “[t]he obligation to make reparation for injury caused to another through the fault of two or more persons is solidary where the obligation is extra</w:t>
      </w:r>
      <w:r w:rsidRPr="00283996">
        <w:rPr>
          <w:rFonts w:cs="Times New Roman"/>
          <w:lang w:val="en-US"/>
        </w:rPr>
        <w:noBreakHyphen/>
        <w:t>contractual”. This provision imposes solidarity on persons who committed a common fault or contributory faults resulting in a single injury (</w:t>
      </w:r>
      <w:r w:rsidRPr="00283996">
        <w:rPr>
          <w:rFonts w:cs="Times New Roman"/>
          <w:i/>
          <w:lang w:val="en-US"/>
        </w:rPr>
        <w:t xml:space="preserve">Montréal (Ville) v. </w:t>
      </w:r>
      <w:proofErr w:type="spellStart"/>
      <w:r w:rsidRPr="00283996">
        <w:rPr>
          <w:rFonts w:cs="Times New Roman"/>
          <w:i/>
          <w:lang w:val="en-US"/>
        </w:rPr>
        <w:t>Lonardi</w:t>
      </w:r>
      <w:proofErr w:type="spellEnd"/>
      <w:r w:rsidRPr="00283996">
        <w:rPr>
          <w:rFonts w:cs="Times New Roman"/>
          <w:lang w:val="en-US"/>
        </w:rPr>
        <w:t>, 2018 SCC 29, [2018] 2 S.C.R. 103, at para. 57). In the instant case, the STM and Constable Camacho both committed faults that contributed to the injury suffered by the appellant. It must therefore be concluded that prescription was interrupted with regard to all of the respondents.</w:t>
      </w:r>
    </w:p>
    <w:p w:rsidR="003011EC" w:rsidRPr="00283996" w:rsidRDefault="003011EC" w:rsidP="003011EC">
      <w:pPr>
        <w:pStyle w:val="Title3LevelTitre3Niveau"/>
        <w:numPr>
          <w:ilvl w:val="2"/>
          <w:numId w:val="8"/>
        </w:numPr>
        <w:spacing w:before="0"/>
        <w:ind w:left="1166"/>
        <w:rPr>
          <w:rFonts w:cs="Times New Roman"/>
          <w:lang w:val="en-US"/>
        </w:rPr>
      </w:pPr>
      <w:bookmarkStart w:id="35" w:name="_Toc14257146"/>
      <w:bookmarkStart w:id="36" w:name="_Toc24710746"/>
      <w:r w:rsidRPr="00283996">
        <w:rPr>
          <w:rFonts w:cs="Times New Roman"/>
          <w:lang w:val="en-US"/>
        </w:rPr>
        <w:t xml:space="preserve">Liability of the STM as </w:t>
      </w:r>
      <w:proofErr w:type="spellStart"/>
      <w:r w:rsidRPr="00283996">
        <w:rPr>
          <w:rFonts w:cs="Times New Roman"/>
          <w:lang w:val="en-US"/>
        </w:rPr>
        <w:t>Mandator</w:t>
      </w:r>
      <w:bookmarkEnd w:id="35"/>
      <w:bookmarkEnd w:id="36"/>
      <w:proofErr w:type="spellEnd"/>
    </w:p>
    <w:p w:rsidR="003011EC" w:rsidRPr="00283996" w:rsidRDefault="003011EC" w:rsidP="003011EC">
      <w:pPr>
        <w:pStyle w:val="ParaNoNdepar-AltN"/>
        <w:spacing w:before="0"/>
        <w:rPr>
          <w:rFonts w:cs="Times New Roman"/>
          <w:lang w:val="en-US"/>
        </w:rPr>
      </w:pPr>
      <w:r w:rsidRPr="00283996">
        <w:rPr>
          <w:rFonts w:cs="Times New Roman"/>
          <w:lang w:val="en-US"/>
        </w:rPr>
        <w:t xml:space="preserve">In my opinion, the STM is also liable as </w:t>
      </w:r>
      <w:proofErr w:type="spellStart"/>
      <w:r w:rsidRPr="00283996">
        <w:rPr>
          <w:rFonts w:cs="Times New Roman"/>
          <w:lang w:val="en-US"/>
        </w:rPr>
        <w:t>mandator</w:t>
      </w:r>
      <w:proofErr w:type="spellEnd"/>
      <w:r w:rsidRPr="00283996">
        <w:rPr>
          <w:rFonts w:cs="Times New Roman"/>
          <w:lang w:val="en-US"/>
        </w:rPr>
        <w:t xml:space="preserve"> for Constable Camacho’s fault. This results from the designation of the City’s police officers as inspectors under s. 140 of the </w:t>
      </w:r>
      <w:r w:rsidRPr="00283996">
        <w:rPr>
          <w:rFonts w:cs="Times New Roman"/>
          <w:i/>
          <w:lang w:val="en-US"/>
        </w:rPr>
        <w:t>Act respecting public transit authorities</w:t>
      </w:r>
      <w:r w:rsidRPr="00283996">
        <w:rPr>
          <w:rFonts w:cs="Times New Roman"/>
          <w:lang w:val="en-US"/>
        </w:rPr>
        <w:t>:</w:t>
      </w:r>
    </w:p>
    <w:p w:rsidR="003011EC" w:rsidRPr="00283996" w:rsidRDefault="003011EC" w:rsidP="003011EC">
      <w:pPr>
        <w:pStyle w:val="Citation-AltC"/>
        <w:spacing w:after="240"/>
        <w:ind w:hanging="446"/>
        <w:contextualSpacing w:val="0"/>
        <w:rPr>
          <w:lang w:val="en-US"/>
        </w:rPr>
      </w:pPr>
      <w:r w:rsidRPr="00283996">
        <w:rPr>
          <w:b/>
          <w:lang w:val="en-US"/>
        </w:rPr>
        <w:tab/>
        <w:t>140.</w:t>
      </w:r>
      <w:r w:rsidRPr="00283996">
        <w:rPr>
          <w:lang w:val="en-US"/>
        </w:rPr>
        <w:t> </w:t>
      </w:r>
      <w:r w:rsidRPr="00283996">
        <w:rPr>
          <w:u w:val="single"/>
          <w:lang w:val="en-US"/>
        </w:rPr>
        <w:t xml:space="preserve">A city adopting a transit authority’s budget shall authorize generally or </w:t>
      </w:r>
      <w:proofErr w:type="gramStart"/>
      <w:r w:rsidRPr="00283996">
        <w:rPr>
          <w:u w:val="single"/>
          <w:lang w:val="en-US"/>
        </w:rPr>
        <w:t>specially</w:t>
      </w:r>
      <w:proofErr w:type="gramEnd"/>
      <w:r w:rsidRPr="00283996">
        <w:rPr>
          <w:u w:val="single"/>
          <w:lang w:val="en-US"/>
        </w:rPr>
        <w:t xml:space="preserve"> any person designated by the transit authority to act as an </w:t>
      </w:r>
      <w:r w:rsidRPr="00283996">
        <w:rPr>
          <w:u w:val="single"/>
          <w:lang w:val="en-US"/>
        </w:rPr>
        <w:lastRenderedPageBreak/>
        <w:t>inspector for the purpose of carrying out the by</w:t>
      </w:r>
      <w:r w:rsidRPr="00283996">
        <w:rPr>
          <w:u w:val="single"/>
          <w:lang w:val="en-US"/>
        </w:rPr>
        <w:noBreakHyphen/>
        <w:t>laws</w:t>
      </w:r>
      <w:r w:rsidRPr="00283996">
        <w:rPr>
          <w:lang w:val="en-US"/>
        </w:rPr>
        <w:t xml:space="preserve"> made under section 144. . . .</w:t>
      </w:r>
    </w:p>
    <w:p w:rsidR="003011EC" w:rsidRPr="00283996" w:rsidRDefault="003011EC" w:rsidP="003011EC">
      <w:pPr>
        <w:pStyle w:val="Citation-AltC"/>
        <w:tabs>
          <w:tab w:val="left" w:pos="1440"/>
        </w:tabs>
        <w:contextualSpacing w:val="0"/>
        <w:rPr>
          <w:lang w:val="en-US"/>
        </w:rPr>
      </w:pPr>
      <w:r w:rsidRPr="00283996">
        <w:rPr>
          <w:lang w:val="en-US"/>
        </w:rPr>
        <w:tab/>
        <w:t>A transit authority may designate one of its employees or an employee from another enterprise under contract with it for the purposes of Chapters VI and VII. A peace officer under the authority of the city approving the budget of a transit authority is by that sole fact an inspector of that transit authority.</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This provision must be read in harmony with the </w:t>
      </w:r>
      <w:r w:rsidRPr="00283996">
        <w:rPr>
          <w:rFonts w:cs="Times New Roman"/>
          <w:i/>
          <w:lang w:val="en-US"/>
        </w:rPr>
        <w:t>C.C.Q.</w:t>
      </w:r>
      <w:r w:rsidRPr="00283996">
        <w:rPr>
          <w:rFonts w:cs="Times New Roman"/>
          <w:lang w:val="en-US"/>
        </w:rPr>
        <w:t xml:space="preserve">, which, as its preliminary provision indicates, lays down the </w:t>
      </w:r>
      <w:r w:rsidRPr="00283996">
        <w:rPr>
          <w:rFonts w:cs="Times New Roman"/>
          <w:i/>
          <w:lang w:val="en-US"/>
        </w:rPr>
        <w:t>jus commune</w:t>
      </w:r>
      <w:r w:rsidRPr="00283996">
        <w:rPr>
          <w:rFonts w:cs="Times New Roman"/>
          <w:lang w:val="en-US"/>
        </w:rPr>
        <w:t xml:space="preserve"> of Quebec (see </w:t>
      </w:r>
      <w:proofErr w:type="spellStart"/>
      <w:r w:rsidRPr="00283996">
        <w:rPr>
          <w:rFonts w:cs="Times New Roman"/>
          <w:i/>
          <w:lang w:val="en-US"/>
        </w:rPr>
        <w:t>Prud’homme</w:t>
      </w:r>
      <w:proofErr w:type="spellEnd"/>
      <w:r w:rsidRPr="00283996">
        <w:rPr>
          <w:rFonts w:cs="Times New Roman"/>
          <w:lang w:val="en-US"/>
        </w:rPr>
        <w:t>, at paras. 28</w:t>
      </w:r>
      <w:r w:rsidRPr="00283996">
        <w:rPr>
          <w:rFonts w:cs="Times New Roman"/>
          <w:lang w:val="en-US"/>
        </w:rPr>
        <w:noBreakHyphen/>
        <w:t>29). As such, it complements the special Acts that draw incidentally on the civil law (</w:t>
      </w:r>
      <w:proofErr w:type="spellStart"/>
      <w:r w:rsidRPr="00283996">
        <w:rPr>
          <w:rFonts w:cs="Times New Roman"/>
          <w:i/>
          <w:lang w:val="en-US"/>
        </w:rPr>
        <w:t>Doré</w:t>
      </w:r>
      <w:proofErr w:type="spellEnd"/>
      <w:r w:rsidR="003F0B29">
        <w:rPr>
          <w:rFonts w:cs="Times New Roman"/>
          <w:i/>
          <w:lang w:val="en-US"/>
        </w:rPr>
        <w:t xml:space="preserve"> </w:t>
      </w:r>
      <w:r w:rsidRPr="00283996">
        <w:rPr>
          <w:rFonts w:cs="Times New Roman"/>
          <w:i/>
          <w:lang w:val="en-US"/>
        </w:rPr>
        <w:t>v. Verdun (City)</w:t>
      </w:r>
      <w:r w:rsidR="00717B3C">
        <w:rPr>
          <w:rFonts w:cs="Times New Roman"/>
          <w:lang w:val="en-US"/>
        </w:rPr>
        <w:t xml:space="preserve">, [1997] 2 </w:t>
      </w:r>
      <w:r w:rsidRPr="00283996">
        <w:rPr>
          <w:rFonts w:cs="Times New Roman"/>
          <w:lang w:val="en-US"/>
        </w:rPr>
        <w:t>S.C.R. 862, at paras. 15</w:t>
      </w:r>
      <w:r w:rsidRPr="00283996">
        <w:rPr>
          <w:rFonts w:cs="Times New Roman"/>
          <w:lang w:val="en-US"/>
        </w:rPr>
        <w:noBreakHyphen/>
        <w:t xml:space="preserve">16). In particular, art. 300 </w:t>
      </w:r>
      <w:r w:rsidRPr="00283996">
        <w:rPr>
          <w:rFonts w:cs="Times New Roman"/>
          <w:i/>
          <w:lang w:val="en-US"/>
        </w:rPr>
        <w:t>C.C.Q.</w:t>
      </w:r>
      <w:r w:rsidRPr="00283996">
        <w:rPr>
          <w:rFonts w:cs="Times New Roman"/>
          <w:lang w:val="en-US"/>
        </w:rPr>
        <w:t xml:space="preserve"> states that legal persons established in the public interest — such as the STM — are primarily “governed by the special Acts by which they are constituted and by those which are applicable to them”, but are also governed by the </w:t>
      </w:r>
      <w:r w:rsidRPr="00283996">
        <w:rPr>
          <w:rFonts w:cs="Times New Roman"/>
          <w:i/>
          <w:lang w:val="en-US"/>
        </w:rPr>
        <w:t xml:space="preserve">C.C.Q. </w:t>
      </w:r>
      <w:r w:rsidRPr="00283996">
        <w:rPr>
          <w:rFonts w:cs="Times New Roman"/>
          <w:lang w:val="en-US"/>
        </w:rPr>
        <w:t xml:space="preserve">“where the provisions of such Acts require to be complemented, particularly with regard to their status as legal persons, their property or </w:t>
      </w:r>
      <w:r w:rsidRPr="00283996">
        <w:rPr>
          <w:rFonts w:cs="Times New Roman"/>
          <w:u w:val="single"/>
          <w:lang w:val="en-US"/>
        </w:rPr>
        <w:t>their relations with other persons</w:t>
      </w:r>
      <w:r w:rsidRPr="00283996">
        <w:rPr>
          <w:rFonts w:cs="Times New Roman"/>
          <w:lang w:val="en-US"/>
        </w:rPr>
        <w:t xml:space="preserve">” (see </w:t>
      </w:r>
      <w:r w:rsidRPr="00283996">
        <w:rPr>
          <w:rFonts w:cs="Times New Roman"/>
          <w:i/>
          <w:lang w:val="en-US"/>
        </w:rPr>
        <w:t>Verdun (</w:t>
      </w:r>
      <w:r w:rsidRPr="00283996">
        <w:rPr>
          <w:rFonts w:cs="Times New Roman"/>
          <w:i/>
          <w:sz w:val="22"/>
          <w:lang w:val="en-US"/>
        </w:rPr>
        <w:t>City</w:t>
      </w:r>
      <w:r w:rsidRPr="00283996">
        <w:rPr>
          <w:rFonts w:cs="Times New Roman"/>
          <w:i/>
          <w:lang w:val="en-US"/>
        </w:rPr>
        <w:t>)</w:t>
      </w:r>
      <w:r w:rsidRPr="00283996">
        <w:rPr>
          <w:rFonts w:cs="Times New Roman"/>
          <w:lang w:val="en-US"/>
        </w:rPr>
        <w:t>, at paras. 17</w:t>
      </w:r>
      <w:r w:rsidRPr="00283996">
        <w:rPr>
          <w:rFonts w:cs="Times New Roman"/>
          <w:lang w:val="en-US"/>
        </w:rPr>
        <w:noBreakHyphen/>
        <w:t xml:space="preserve">20). As the Court explained in </w:t>
      </w:r>
      <w:r w:rsidRPr="00283996">
        <w:rPr>
          <w:rFonts w:cs="Times New Roman"/>
          <w:i/>
          <w:lang w:val="en-US"/>
        </w:rPr>
        <w:t>Verdun (City)</w:t>
      </w:r>
      <w:r w:rsidRPr="00283996">
        <w:rPr>
          <w:rFonts w:cs="Times New Roman"/>
          <w:lang w:val="en-US"/>
        </w:rPr>
        <w:t xml:space="preserve"> in the context of municipal litigation, “art. 300 </w:t>
      </w:r>
      <w:r w:rsidRPr="00283996">
        <w:rPr>
          <w:rFonts w:cs="Times New Roman"/>
          <w:i/>
          <w:lang w:val="en-US"/>
        </w:rPr>
        <w:t>C.C.Q.</w:t>
      </w:r>
      <w:r w:rsidRPr="00283996">
        <w:rPr>
          <w:rFonts w:cs="Times New Roman"/>
          <w:lang w:val="en-US"/>
        </w:rPr>
        <w:t xml:space="preserve"> opens the door to a greater integration of private law rules into the law applicable to municipalities” (para. 19). This provision is also supplemented by art. 1376 </w:t>
      </w:r>
      <w:r w:rsidRPr="00283996">
        <w:rPr>
          <w:rFonts w:cs="Times New Roman"/>
          <w:i/>
          <w:lang w:val="en-US"/>
        </w:rPr>
        <w:t>C.C.Q.</w:t>
      </w:r>
      <w:r w:rsidRPr="00283996">
        <w:rPr>
          <w:rFonts w:cs="Times New Roman"/>
          <w:lang w:val="en-US"/>
        </w:rPr>
        <w:t>, which states that the rules on obligations — including those concerning mandate — apply, with some exceptions, to legal persons established in the public interest.</w:t>
      </w:r>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 xml:space="preserve">In my view, the designation of a police officer as an inspector creates a legal relationship analogous to that of mandate within the meaning of art. 2130 para. 1 </w:t>
      </w:r>
      <w:r w:rsidRPr="00283996">
        <w:rPr>
          <w:rFonts w:cs="Times New Roman"/>
          <w:i/>
          <w:lang w:val="en-US"/>
        </w:rPr>
        <w:t>C.C.Q.</w:t>
      </w:r>
      <w:r w:rsidRPr="00283996">
        <w:rPr>
          <w:rFonts w:cs="Times New Roman"/>
          <w:lang w:val="en-US"/>
        </w:rPr>
        <w:t>:</w:t>
      </w:r>
    </w:p>
    <w:p w:rsidR="003011EC" w:rsidRPr="00283996" w:rsidRDefault="003011EC" w:rsidP="003011EC">
      <w:pPr>
        <w:pStyle w:val="Citation-AltC"/>
        <w:ind w:hanging="446"/>
        <w:contextualSpacing w:val="0"/>
        <w:rPr>
          <w:lang w:val="en-US"/>
        </w:rPr>
      </w:pPr>
      <w:r w:rsidRPr="00283996">
        <w:rPr>
          <w:b/>
          <w:lang w:val="en-US"/>
        </w:rPr>
        <w:tab/>
        <w:t>2130.</w:t>
      </w:r>
      <w:r w:rsidRPr="00283996">
        <w:rPr>
          <w:lang w:val="en-US"/>
        </w:rPr>
        <w:t xml:space="preserve"> Mandate is a contract by which a person, the </w:t>
      </w:r>
      <w:proofErr w:type="spellStart"/>
      <w:r w:rsidRPr="00283996">
        <w:rPr>
          <w:lang w:val="en-US"/>
        </w:rPr>
        <w:t>mandator</w:t>
      </w:r>
      <w:proofErr w:type="spellEnd"/>
      <w:r w:rsidRPr="00283996">
        <w:rPr>
          <w:lang w:val="en-US"/>
        </w:rPr>
        <w:t>, confers upon another person, the mandatary, the power to represent him in the performance of a juridical act with a third person, and the mandatary, by his acceptance, binds himself to exercise the power.</w:t>
      </w:r>
    </w:p>
    <w:p w:rsidR="003011EC" w:rsidRPr="00283996" w:rsidRDefault="003011EC" w:rsidP="003011EC">
      <w:pPr>
        <w:pStyle w:val="ParaNoNdepar-AltN"/>
        <w:spacing w:before="0"/>
        <w:rPr>
          <w:rFonts w:cs="Times New Roman"/>
          <w:lang w:val="en-US"/>
        </w:rPr>
      </w:pPr>
      <w:r w:rsidRPr="00283996">
        <w:rPr>
          <w:rFonts w:cs="Times New Roman"/>
          <w:lang w:val="en-US"/>
        </w:rPr>
        <w:t>In enforcing the by</w:t>
      </w:r>
      <w:r w:rsidRPr="00283996">
        <w:rPr>
          <w:rFonts w:cs="Times New Roman"/>
          <w:lang w:val="en-US"/>
        </w:rPr>
        <w:noBreakHyphen/>
        <w:t xml:space="preserve">laws of a public transit authority, a police officer </w:t>
      </w:r>
      <w:r w:rsidRPr="00283996">
        <w:rPr>
          <w:rFonts w:cs="Times New Roman"/>
          <w:i/>
          <w:lang w:val="en-US"/>
        </w:rPr>
        <w:t>ipso facto</w:t>
      </w:r>
      <w:r w:rsidRPr="00283996">
        <w:rPr>
          <w:rFonts w:cs="Times New Roman"/>
          <w:lang w:val="en-US"/>
        </w:rPr>
        <w:t xml:space="preserve"> represents that authority in “the performance of a juridical act”, namely the giving of a statement of offence to a third person. The concept of juridical act must be interpreted broadly here:</w:t>
      </w:r>
    </w:p>
    <w:p w:rsidR="003011EC" w:rsidRPr="00283996" w:rsidRDefault="003011EC" w:rsidP="003011EC">
      <w:pPr>
        <w:pStyle w:val="Citation-AltC"/>
        <w:tabs>
          <w:tab w:val="left" w:pos="1440"/>
        </w:tabs>
        <w:spacing w:after="240"/>
        <w:contextualSpacing w:val="0"/>
        <w:rPr>
          <w:lang w:val="en-US"/>
        </w:rPr>
      </w:pPr>
      <w:r w:rsidRPr="00283996">
        <w:rPr>
          <w:lang w:val="en-US"/>
        </w:rPr>
        <w:tab/>
        <w:t>[</w:t>
      </w:r>
      <w:r w:rsidRPr="00283996">
        <w:rPr>
          <w:smallCaps/>
          <w:lang w:val="en-US"/>
        </w:rPr>
        <w:t>translation</w:t>
      </w:r>
      <w:r w:rsidRPr="00283996">
        <w:rPr>
          <w:lang w:val="en-US"/>
        </w:rPr>
        <w:t xml:space="preserve">] The word “act” here must be defined very broadly and indeed in a classic sense: any manifestation of will that is intended to create juridical effects. . . . The act may have no contractual effect and be performed for the purposes of court proceedings, such as a court appearance or the filing of a </w:t>
      </w:r>
      <w:proofErr w:type="spellStart"/>
      <w:r w:rsidRPr="00283996">
        <w:rPr>
          <w:lang w:val="en-US"/>
        </w:rPr>
        <w:t>defence</w:t>
      </w:r>
      <w:proofErr w:type="spellEnd"/>
      <w:r w:rsidRPr="00283996">
        <w:rPr>
          <w:lang w:val="en-US"/>
        </w:rPr>
        <w:t>.</w:t>
      </w:r>
    </w:p>
    <w:p w:rsidR="003011EC" w:rsidRPr="002035EE" w:rsidRDefault="003011EC" w:rsidP="00105918">
      <w:pPr>
        <w:pStyle w:val="Citation-AltC"/>
        <w:ind w:left="0"/>
        <w:contextualSpacing w:val="0"/>
      </w:pPr>
      <w:r w:rsidRPr="002035EE">
        <w:t xml:space="preserve">(C. Fabien, “Les règles du mandat”, in </w:t>
      </w:r>
      <w:r w:rsidRPr="002035EE">
        <w:rPr>
          <w:i/>
        </w:rPr>
        <w:t>Extraits du Répertoire de droit</w:t>
      </w:r>
      <w:r w:rsidR="000B0734" w:rsidRPr="002035EE">
        <w:t xml:space="preserve"> (1989), at p. 72; </w:t>
      </w:r>
      <w:proofErr w:type="spellStart"/>
      <w:r w:rsidR="000B0734" w:rsidRPr="002035EE">
        <w:t>see</w:t>
      </w:r>
      <w:proofErr w:type="spellEnd"/>
      <w:r w:rsidR="000B0734" w:rsidRPr="002035EE">
        <w:t xml:space="preserve"> </w:t>
      </w:r>
      <w:proofErr w:type="spellStart"/>
      <w:r w:rsidR="000B0734" w:rsidRPr="002035EE">
        <w:t>also</w:t>
      </w:r>
      <w:proofErr w:type="spellEnd"/>
      <w:r w:rsidRPr="002035EE">
        <w:t xml:space="preserve"> C. Fabien, “Mandate”, in </w:t>
      </w:r>
      <w:proofErr w:type="spellStart"/>
      <w:r w:rsidRPr="002035EE">
        <w:rPr>
          <w:i/>
        </w:rPr>
        <w:t>Reform</w:t>
      </w:r>
      <w:proofErr w:type="spellEnd"/>
      <w:r w:rsidRPr="002035EE">
        <w:rPr>
          <w:i/>
        </w:rPr>
        <w:t xml:space="preserve"> of the Civil Code</w:t>
      </w:r>
      <w:r w:rsidRPr="002035EE">
        <w:t>, vol. 2</w:t>
      </w:r>
      <w:r w:rsidRPr="002035EE">
        <w:noBreakHyphen/>
        <w:t xml:space="preserve">C, </w:t>
      </w:r>
      <w:r w:rsidRPr="002035EE">
        <w:rPr>
          <w:i/>
        </w:rPr>
        <w:t>Obligations VII, VIII</w:t>
      </w:r>
      <w:r w:rsidRPr="002035EE">
        <w:t xml:space="preserve"> (1993), </w:t>
      </w:r>
      <w:r w:rsidR="00BB0B8C">
        <w:t xml:space="preserve">2, </w:t>
      </w:r>
      <w:r w:rsidRPr="002035EE">
        <w:t>at p. 4.)</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Accordingly, I am of the view that the rule in art. 2164 </w:t>
      </w:r>
      <w:r w:rsidRPr="00283996">
        <w:rPr>
          <w:rFonts w:cs="Times New Roman"/>
          <w:i/>
          <w:lang w:val="en-US"/>
        </w:rPr>
        <w:t>C.C.Q.</w:t>
      </w:r>
      <w:r w:rsidRPr="00283996">
        <w:rPr>
          <w:rFonts w:cs="Times New Roman"/>
          <w:lang w:val="en-US"/>
        </w:rPr>
        <w:t xml:space="preserve"> should be applied to the liability of public transit authorities for faults committed by their inspectors against third persons:</w:t>
      </w:r>
    </w:p>
    <w:p w:rsidR="003011EC" w:rsidRPr="00283996" w:rsidRDefault="003011EC" w:rsidP="003011EC">
      <w:pPr>
        <w:pStyle w:val="Citation-AltC"/>
        <w:ind w:hanging="446"/>
        <w:contextualSpacing w:val="0"/>
        <w:rPr>
          <w:lang w:val="en-US"/>
        </w:rPr>
      </w:pPr>
      <w:r w:rsidRPr="00283996">
        <w:rPr>
          <w:b/>
          <w:lang w:val="en-US"/>
        </w:rPr>
        <w:tab/>
        <w:t>2164.</w:t>
      </w:r>
      <w:r w:rsidRPr="00283996">
        <w:rPr>
          <w:lang w:val="en-US"/>
        </w:rPr>
        <w:t xml:space="preserve"> A </w:t>
      </w:r>
      <w:proofErr w:type="spellStart"/>
      <w:r w:rsidRPr="00283996">
        <w:rPr>
          <w:lang w:val="en-US"/>
        </w:rPr>
        <w:t>mandator</w:t>
      </w:r>
      <w:proofErr w:type="spellEnd"/>
      <w:r w:rsidRPr="00283996">
        <w:rPr>
          <w:lang w:val="en-US"/>
        </w:rPr>
        <w:t xml:space="preserve"> is liable for any injury caused by the fault of the mandatary in the performance of his mandate unless he proves, where the </w:t>
      </w:r>
      <w:r w:rsidRPr="00283996">
        <w:rPr>
          <w:lang w:val="en-US"/>
        </w:rPr>
        <w:lastRenderedPageBreak/>
        <w:t>mandatary was not his subordinate, that he could not have prevented the injury.</w:t>
      </w:r>
    </w:p>
    <w:p w:rsidR="003011EC" w:rsidRPr="00283996" w:rsidRDefault="003011EC" w:rsidP="003011EC">
      <w:pPr>
        <w:pStyle w:val="ParaNoNdepar-AltN"/>
        <w:spacing w:before="0"/>
        <w:rPr>
          <w:rFonts w:cs="Times New Roman"/>
          <w:lang w:val="en-US"/>
        </w:rPr>
      </w:pPr>
      <w:r w:rsidRPr="00283996">
        <w:rPr>
          <w:rFonts w:cs="Times New Roman"/>
          <w:lang w:val="en-US"/>
        </w:rPr>
        <w:t>I cannot accept the STM’s arguments to the effect that the autonomy of police officers in the performance of their duties is incompatible with the concept of mandate. It is true that police officers occupy a public office and that their discretion derives directly from statute (</w:t>
      </w:r>
      <w:r w:rsidRPr="00283996">
        <w:rPr>
          <w:rFonts w:cs="Times New Roman"/>
          <w:i/>
          <w:lang w:val="en-US"/>
        </w:rPr>
        <w:t>R. v. Campbell</w:t>
      </w:r>
      <w:r w:rsidRPr="00283996">
        <w:rPr>
          <w:rFonts w:cs="Times New Roman"/>
          <w:lang w:val="en-US"/>
        </w:rPr>
        <w:t xml:space="preserve">, [1999] 1 S.C.R. 565, at paras. 27 and 32; </w:t>
      </w:r>
      <w:proofErr w:type="spellStart"/>
      <w:r w:rsidRPr="00283996">
        <w:rPr>
          <w:rFonts w:cs="Times New Roman"/>
          <w:i/>
          <w:lang w:val="en-US"/>
        </w:rPr>
        <w:t>McCleave</w:t>
      </w:r>
      <w:proofErr w:type="spellEnd"/>
      <w:r w:rsidRPr="00283996">
        <w:rPr>
          <w:rFonts w:cs="Times New Roman"/>
          <w:i/>
          <w:lang w:val="en-US"/>
        </w:rPr>
        <w:t> v. City of Moncton</w:t>
      </w:r>
      <w:r w:rsidRPr="00283996">
        <w:rPr>
          <w:rFonts w:cs="Times New Roman"/>
          <w:lang w:val="en-US"/>
        </w:rPr>
        <w:t xml:space="preserve"> (1902), 32 S.C.R. 106, at pp. 108</w:t>
      </w:r>
      <w:r w:rsidRPr="00283996">
        <w:rPr>
          <w:rFonts w:cs="Times New Roman"/>
          <w:lang w:val="en-US"/>
        </w:rPr>
        <w:noBreakHyphen/>
        <w:t xml:space="preserve">9; </w:t>
      </w:r>
      <w:proofErr w:type="spellStart"/>
      <w:r w:rsidRPr="00283996">
        <w:rPr>
          <w:rFonts w:cs="Times New Roman"/>
          <w:lang w:val="en-US"/>
        </w:rPr>
        <w:t>Ceyssens</w:t>
      </w:r>
      <w:proofErr w:type="spellEnd"/>
      <w:r w:rsidRPr="00283996">
        <w:rPr>
          <w:rFonts w:cs="Times New Roman"/>
          <w:lang w:val="en-US"/>
        </w:rPr>
        <w:t>, at pp. 1</w:t>
      </w:r>
      <w:r w:rsidRPr="00283996">
        <w:rPr>
          <w:rFonts w:cs="Times New Roman"/>
          <w:lang w:val="en-US"/>
        </w:rPr>
        <w:noBreakHyphen/>
        <w:t>17 and 1</w:t>
      </w:r>
      <w:r w:rsidRPr="00283996">
        <w:rPr>
          <w:rFonts w:cs="Times New Roman"/>
          <w:lang w:val="en-US"/>
        </w:rPr>
        <w:noBreakHyphen/>
        <w:t>43). They have a certain independence in this regard.</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However, their relationship with civil authorities is defined and governed by statute, including with regard to civil liability. Thus, under Quebec law, a police officer remains a subordinate when acting as a peace officer — for example, when conducting a criminal investigation (ss. 48 para. 2 and 49 of the </w:t>
      </w:r>
      <w:r w:rsidRPr="00283996">
        <w:rPr>
          <w:rFonts w:cs="Times New Roman"/>
          <w:i/>
          <w:lang w:val="en-US"/>
        </w:rPr>
        <w:t>Police Act</w:t>
      </w:r>
      <w:r w:rsidRPr="00283996">
        <w:rPr>
          <w:rFonts w:cs="Times New Roman"/>
          <w:lang w:val="en-US"/>
        </w:rPr>
        <w:t xml:space="preserve">; arts. 1463 and 1464 </w:t>
      </w:r>
      <w:r w:rsidRPr="00283996">
        <w:rPr>
          <w:rFonts w:cs="Times New Roman"/>
          <w:i/>
          <w:lang w:val="en-US"/>
        </w:rPr>
        <w:t>C.C.Q.</w:t>
      </w:r>
      <w:r w:rsidRPr="00283996">
        <w:rPr>
          <w:rFonts w:cs="Times New Roman"/>
          <w:lang w:val="en-US"/>
        </w:rPr>
        <w:t>; see Lacroix, “</w:t>
      </w:r>
      <w:proofErr w:type="spellStart"/>
      <w:r w:rsidRPr="00283996">
        <w:rPr>
          <w:rFonts w:cs="Times New Roman"/>
          <w:lang w:val="en-US"/>
        </w:rPr>
        <w:t>Responsabilité</w:t>
      </w:r>
      <w:proofErr w:type="spellEnd"/>
      <w:r w:rsidRPr="00283996">
        <w:rPr>
          <w:rFonts w:cs="Times New Roman"/>
          <w:lang w:val="en-US"/>
        </w:rPr>
        <w:t xml:space="preserve"> </w:t>
      </w:r>
      <w:proofErr w:type="spellStart"/>
      <w:r w:rsidRPr="00283996">
        <w:rPr>
          <w:rFonts w:cs="Times New Roman"/>
          <w:lang w:val="en-US"/>
        </w:rPr>
        <w:t>civile</w:t>
      </w:r>
      <w:proofErr w:type="spellEnd"/>
      <w:r w:rsidRPr="00283996">
        <w:rPr>
          <w:rFonts w:cs="Times New Roman"/>
          <w:lang w:val="en-US"/>
        </w:rPr>
        <w:t xml:space="preserve"> des forces </w:t>
      </w:r>
      <w:proofErr w:type="spellStart"/>
      <w:r w:rsidRPr="00283996">
        <w:rPr>
          <w:rFonts w:cs="Times New Roman"/>
          <w:lang w:val="en-US"/>
        </w:rPr>
        <w:t>policières</w:t>
      </w:r>
      <w:proofErr w:type="spellEnd"/>
      <w:r w:rsidRPr="00283996">
        <w:rPr>
          <w:rFonts w:cs="Times New Roman"/>
          <w:lang w:val="en-US"/>
        </w:rPr>
        <w:t xml:space="preserve">”, at para. 38; </w:t>
      </w:r>
      <w:proofErr w:type="spellStart"/>
      <w:r w:rsidRPr="00283996">
        <w:rPr>
          <w:rFonts w:cs="Times New Roman"/>
          <w:lang w:val="en-US"/>
        </w:rPr>
        <w:t>Baudouin</w:t>
      </w:r>
      <w:proofErr w:type="spellEnd"/>
      <w:r w:rsidRPr="00283996">
        <w:rPr>
          <w:rFonts w:cs="Times New Roman"/>
          <w:lang w:val="en-US"/>
        </w:rPr>
        <w:t xml:space="preserve">, </w:t>
      </w:r>
      <w:proofErr w:type="spellStart"/>
      <w:r w:rsidRPr="00283996">
        <w:rPr>
          <w:rFonts w:cs="Times New Roman"/>
          <w:lang w:val="en-US"/>
        </w:rPr>
        <w:t>Deslauriers</w:t>
      </w:r>
      <w:proofErr w:type="spellEnd"/>
      <w:r w:rsidRPr="00283996">
        <w:rPr>
          <w:rFonts w:cs="Times New Roman"/>
          <w:lang w:val="en-US"/>
        </w:rPr>
        <w:t xml:space="preserve"> and Moore, vol. 1, at No. 1</w:t>
      </w:r>
      <w:r w:rsidRPr="00283996">
        <w:rPr>
          <w:rFonts w:cs="Times New Roman"/>
          <w:lang w:val="en-US"/>
        </w:rPr>
        <w:noBreakHyphen/>
        <w:t>886). In other words, the latitude that police officers have in carrying out their mission does not preclude the existence of the relationship of subordination required to establish a principal</w:t>
      </w:r>
      <w:r w:rsidRPr="00283996">
        <w:rPr>
          <w:rFonts w:cs="Times New Roman"/>
          <w:lang w:val="en-US"/>
        </w:rPr>
        <w:noBreakHyphen/>
        <w:t xml:space="preserve">subordinate relationship (on this point, see, e.g., </w:t>
      </w:r>
      <w:proofErr w:type="spellStart"/>
      <w:r w:rsidRPr="00283996">
        <w:rPr>
          <w:rFonts w:cs="Times New Roman"/>
          <w:lang w:val="en-US"/>
        </w:rPr>
        <w:t>Baudouin</w:t>
      </w:r>
      <w:proofErr w:type="spellEnd"/>
      <w:r w:rsidRPr="00283996">
        <w:rPr>
          <w:rFonts w:cs="Times New Roman"/>
          <w:lang w:val="en-US"/>
        </w:rPr>
        <w:t xml:space="preserve">, </w:t>
      </w:r>
      <w:proofErr w:type="spellStart"/>
      <w:r w:rsidRPr="00283996">
        <w:rPr>
          <w:rFonts w:cs="Times New Roman"/>
          <w:lang w:val="en-US"/>
        </w:rPr>
        <w:t>Deslauriers</w:t>
      </w:r>
      <w:proofErr w:type="spellEnd"/>
      <w:r w:rsidRPr="00283996">
        <w:rPr>
          <w:rFonts w:cs="Times New Roman"/>
          <w:lang w:val="en-US"/>
        </w:rPr>
        <w:t xml:space="preserve"> and Moore, vol. 1, at Nos. 1</w:t>
      </w:r>
      <w:r w:rsidRPr="00283996">
        <w:rPr>
          <w:rFonts w:cs="Times New Roman"/>
          <w:lang w:val="en-US"/>
        </w:rPr>
        <w:noBreakHyphen/>
      </w:r>
      <w:r w:rsidR="00AA25D6">
        <w:rPr>
          <w:rFonts w:cs="Times New Roman"/>
          <w:lang w:val="en-US"/>
        </w:rPr>
        <w:t>842 to 1</w:t>
      </w:r>
      <w:r w:rsidR="00AA25D6">
        <w:rPr>
          <w:rFonts w:cs="Times New Roman"/>
          <w:lang w:val="en-US"/>
        </w:rPr>
        <w:noBreakHyphen/>
      </w:r>
      <w:r w:rsidRPr="00283996">
        <w:rPr>
          <w:rFonts w:cs="Times New Roman"/>
          <w:lang w:val="en-US"/>
        </w:rPr>
        <w:t>844; Karim, at para. 3046). Like any other principal, a police officer’s employer is liable where the officer commits a fault, as the City is in the instant case.</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Similarly, the designation of a police officer as an inspector under s. 140 of the </w:t>
      </w:r>
      <w:r w:rsidRPr="00283996">
        <w:rPr>
          <w:rFonts w:cs="Times New Roman"/>
          <w:i/>
          <w:lang w:val="en-US"/>
        </w:rPr>
        <w:t>Act respecting public transit authorities</w:t>
      </w:r>
      <w:r w:rsidRPr="00283996">
        <w:rPr>
          <w:rFonts w:cs="Times New Roman"/>
          <w:lang w:val="en-US"/>
        </w:rPr>
        <w:t xml:space="preserve"> creates a relationship analogous to that </w:t>
      </w:r>
      <w:r w:rsidRPr="00283996">
        <w:rPr>
          <w:rFonts w:cs="Times New Roman"/>
          <w:lang w:val="en-US"/>
        </w:rPr>
        <w:lastRenderedPageBreak/>
        <w:t xml:space="preserve">of mandate, a relationship in which a public transit authority may incur civil liability to a third person. This conclusion in no way compromises the autonomy that a police officer has in exercising his or her powers. If a police officer can be characterized as a </w:t>
      </w:r>
      <w:r w:rsidRPr="00283996">
        <w:rPr>
          <w:rFonts w:cs="Times New Roman"/>
          <w:i/>
          <w:lang w:val="en-US"/>
        </w:rPr>
        <w:t>subordinate</w:t>
      </w:r>
      <w:r w:rsidRPr="00283996">
        <w:rPr>
          <w:rFonts w:cs="Times New Roman"/>
          <w:lang w:val="en-US"/>
        </w:rPr>
        <w:t xml:space="preserve">, I fail to see why he or she could not be a </w:t>
      </w:r>
      <w:r w:rsidRPr="00283996">
        <w:rPr>
          <w:rFonts w:cs="Times New Roman"/>
          <w:i/>
          <w:lang w:val="en-US"/>
        </w:rPr>
        <w:t xml:space="preserve">mandatary </w:t>
      </w:r>
      <w:r w:rsidRPr="00283996">
        <w:rPr>
          <w:rFonts w:cs="Times New Roman"/>
          <w:lang w:val="en-US"/>
        </w:rPr>
        <w:t xml:space="preserve">under the rules of civil liability. The mandate relationship can frequently coexist with other relationships (Fabien, “Les </w:t>
      </w:r>
      <w:proofErr w:type="spellStart"/>
      <w:r w:rsidRPr="00283996">
        <w:rPr>
          <w:rFonts w:cs="Times New Roman"/>
          <w:lang w:val="en-US"/>
        </w:rPr>
        <w:t>règles</w:t>
      </w:r>
      <w:proofErr w:type="spellEnd"/>
      <w:r w:rsidRPr="00283996">
        <w:rPr>
          <w:rFonts w:cs="Times New Roman"/>
          <w:lang w:val="en-US"/>
        </w:rPr>
        <w:t xml:space="preserve"> du </w:t>
      </w:r>
      <w:proofErr w:type="spellStart"/>
      <w:r w:rsidRPr="00283996">
        <w:rPr>
          <w:rFonts w:cs="Times New Roman"/>
          <w:lang w:val="en-US"/>
        </w:rPr>
        <w:t>mandat</w:t>
      </w:r>
      <w:proofErr w:type="spellEnd"/>
      <w:r w:rsidRPr="00283996">
        <w:rPr>
          <w:rFonts w:cs="Times New Roman"/>
          <w:lang w:val="en-US"/>
        </w:rPr>
        <w:t xml:space="preserve">”, at p. 83). This is especially true given that, unlike the relationship of principal and subordinate, that of </w:t>
      </w:r>
      <w:proofErr w:type="spellStart"/>
      <w:r w:rsidRPr="00283996">
        <w:rPr>
          <w:rFonts w:cs="Times New Roman"/>
          <w:lang w:val="en-US"/>
        </w:rPr>
        <w:t>mandator</w:t>
      </w:r>
      <w:proofErr w:type="spellEnd"/>
      <w:r w:rsidRPr="00283996">
        <w:rPr>
          <w:rFonts w:cs="Times New Roman"/>
          <w:lang w:val="en-US"/>
        </w:rPr>
        <w:t xml:space="preserve"> and mandatary does not require any relationship of subordination (see </w:t>
      </w:r>
      <w:r w:rsidRPr="00283996">
        <w:rPr>
          <w:rFonts w:cs="Times New Roman"/>
          <w:i/>
          <w:iCs/>
          <w:lang w:val="en-US"/>
        </w:rPr>
        <w:t xml:space="preserve">Code civil du Québec: Annotations — </w:t>
      </w:r>
      <w:proofErr w:type="spellStart"/>
      <w:r w:rsidRPr="00283996">
        <w:rPr>
          <w:rFonts w:cs="Times New Roman"/>
          <w:i/>
          <w:iCs/>
          <w:lang w:val="en-US"/>
        </w:rPr>
        <w:t>Commentaires</w:t>
      </w:r>
      <w:proofErr w:type="spellEnd"/>
      <w:r w:rsidRPr="00283996">
        <w:rPr>
          <w:rFonts w:cs="Times New Roman"/>
          <w:i/>
          <w:iCs/>
          <w:lang w:val="en-US"/>
        </w:rPr>
        <w:t xml:space="preserve"> 2018</w:t>
      </w:r>
      <w:r w:rsidRPr="00283996">
        <w:rPr>
          <w:rFonts w:cs="Times New Roman"/>
          <w:i/>
          <w:iCs/>
          <w:lang w:val="en-US"/>
        </w:rPr>
        <w:noBreakHyphen/>
        <w:t>2019</w:t>
      </w:r>
      <w:r w:rsidRPr="00283996">
        <w:rPr>
          <w:rFonts w:cs="Times New Roman"/>
          <w:iCs/>
          <w:lang w:val="en-US"/>
        </w:rPr>
        <w:t xml:space="preserve"> (3rd ed. 2018), by B. Moore, ed., et al., at pp. 1272</w:t>
      </w:r>
      <w:r w:rsidRPr="00283996">
        <w:rPr>
          <w:rFonts w:cs="Times New Roman"/>
          <w:iCs/>
          <w:lang w:val="en-US"/>
        </w:rPr>
        <w:noBreakHyphen/>
        <w:t>73 and 1733</w:t>
      </w:r>
      <w:r w:rsidRPr="00283996">
        <w:rPr>
          <w:rFonts w:cs="Times New Roman"/>
          <w:iCs/>
          <w:lang w:val="en-US"/>
        </w:rPr>
        <w:noBreakHyphen/>
        <w:t>34;</w:t>
      </w:r>
      <w:r w:rsidRPr="00283996">
        <w:rPr>
          <w:rFonts w:cs="Times New Roman"/>
          <w:lang w:val="en-US"/>
        </w:rPr>
        <w:t xml:space="preserve"> see also </w:t>
      </w:r>
      <w:r w:rsidRPr="00283996">
        <w:rPr>
          <w:rFonts w:cs="Times New Roman"/>
          <w:i/>
          <w:lang w:val="en-US"/>
        </w:rPr>
        <w:t>C</w:t>
      </w:r>
      <w:r w:rsidRPr="00283996">
        <w:rPr>
          <w:rFonts w:cs="Times New Roman"/>
          <w:i/>
          <w:iCs/>
          <w:lang w:val="en-US"/>
        </w:rPr>
        <w:t xml:space="preserve">ommission des droits de la </w:t>
      </w:r>
      <w:proofErr w:type="spellStart"/>
      <w:r w:rsidRPr="00283996">
        <w:rPr>
          <w:rFonts w:cs="Times New Roman"/>
          <w:i/>
          <w:iCs/>
          <w:lang w:val="en-US"/>
        </w:rPr>
        <w:t>personne</w:t>
      </w:r>
      <w:proofErr w:type="spellEnd"/>
      <w:r w:rsidRPr="00283996">
        <w:rPr>
          <w:rFonts w:cs="Times New Roman"/>
          <w:i/>
          <w:iCs/>
          <w:lang w:val="en-US"/>
        </w:rPr>
        <w:t xml:space="preserve"> et des droits de la </w:t>
      </w:r>
      <w:proofErr w:type="spellStart"/>
      <w:r w:rsidRPr="00283996">
        <w:rPr>
          <w:rFonts w:cs="Times New Roman"/>
          <w:i/>
          <w:iCs/>
          <w:lang w:val="en-US"/>
        </w:rPr>
        <w:t>jeunesse</w:t>
      </w:r>
      <w:proofErr w:type="spellEnd"/>
      <w:r w:rsidRPr="00283996">
        <w:rPr>
          <w:rFonts w:cs="Times New Roman"/>
          <w:i/>
          <w:iCs/>
          <w:lang w:val="en-US"/>
        </w:rPr>
        <w:t xml:space="preserve"> v. </w:t>
      </w:r>
      <w:proofErr w:type="spellStart"/>
      <w:r w:rsidRPr="00283996">
        <w:rPr>
          <w:rFonts w:cs="Times New Roman"/>
          <w:i/>
          <w:iCs/>
          <w:lang w:val="en-US"/>
        </w:rPr>
        <w:t>Poulin</w:t>
      </w:r>
      <w:proofErr w:type="spellEnd"/>
      <w:r w:rsidRPr="00283996">
        <w:rPr>
          <w:rFonts w:cs="Times New Roman"/>
          <w:lang w:val="en-US"/>
        </w:rPr>
        <w:t xml:space="preserve">, 2004 </w:t>
      </w:r>
      <w:proofErr w:type="spellStart"/>
      <w:r w:rsidRPr="00283996">
        <w:rPr>
          <w:rFonts w:cs="Times New Roman"/>
          <w:lang w:val="en-US"/>
        </w:rPr>
        <w:t>CanLII</w:t>
      </w:r>
      <w:proofErr w:type="spellEnd"/>
      <w:r w:rsidRPr="00283996">
        <w:rPr>
          <w:rFonts w:cs="Times New Roman"/>
          <w:lang w:val="en-US"/>
        </w:rPr>
        <w:t xml:space="preserve"> 29094 (H.R.T.)).</w:t>
      </w:r>
    </w:p>
    <w:p w:rsidR="003011EC" w:rsidRPr="00283996" w:rsidRDefault="003011EC" w:rsidP="003011EC">
      <w:pPr>
        <w:pStyle w:val="ParaNoNdepar-AltN"/>
        <w:spacing w:before="0"/>
        <w:rPr>
          <w:rFonts w:cs="Times New Roman"/>
          <w:lang w:val="en-US"/>
        </w:rPr>
      </w:pPr>
      <w:r w:rsidRPr="00283996">
        <w:rPr>
          <w:rFonts w:cs="Times New Roman"/>
          <w:lang w:val="en-US"/>
        </w:rPr>
        <w:t>In the case at bar, the STM, by resolution, designated the City’s police officers — and thus Constable Camacho — as inspectors responsible for enforcing By</w:t>
      </w:r>
      <w:r w:rsidRPr="00283996">
        <w:rPr>
          <w:rFonts w:cs="Times New Roman"/>
          <w:lang w:val="en-US"/>
        </w:rPr>
        <w:noBreakHyphen/>
        <w:t>law R</w:t>
      </w:r>
      <w:r w:rsidRPr="00283996">
        <w:rPr>
          <w:rFonts w:cs="Times New Roman"/>
          <w:lang w:val="en-US"/>
        </w:rPr>
        <w:noBreakHyphen/>
        <w:t>036 (</w:t>
      </w:r>
      <w:r w:rsidR="00256503">
        <w:rPr>
          <w:rFonts w:cs="Times New Roman"/>
          <w:lang w:val="en-US"/>
        </w:rPr>
        <w:t>R</w:t>
      </w:r>
      <w:r w:rsidRPr="00283996">
        <w:rPr>
          <w:rFonts w:cs="Times New Roman"/>
          <w:lang w:val="en-US"/>
        </w:rPr>
        <w:t>esolution CA</w:t>
      </w:r>
      <w:r w:rsidRPr="00283996">
        <w:rPr>
          <w:rFonts w:cs="Times New Roman"/>
          <w:lang w:val="en-US"/>
        </w:rPr>
        <w:noBreakHyphen/>
        <w:t>2007</w:t>
      </w:r>
      <w:r w:rsidRPr="00283996">
        <w:rPr>
          <w:rFonts w:cs="Times New Roman"/>
          <w:lang w:val="en-US"/>
        </w:rPr>
        <w:noBreakHyphen/>
        <w:t>100 dated May 2, 2007, A.R., vol. II, at p. 89). That resolution was itself based on a resolution passed by the city of Montréal in 2002 authorizing any person designated by the STM to act as an inspector in the subway (</w:t>
      </w:r>
      <w:r w:rsidR="00256503">
        <w:rPr>
          <w:rFonts w:cs="Times New Roman"/>
          <w:lang w:val="en-US"/>
        </w:rPr>
        <w:t>R</w:t>
      </w:r>
      <w:r w:rsidRPr="00283996">
        <w:rPr>
          <w:rFonts w:cs="Times New Roman"/>
          <w:lang w:val="en-US"/>
        </w:rPr>
        <w:t>esolution CM02 0388, clause 50.002).</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In short, Constable Camacho was not a subordinate of the STM, since he remained a subordinate of the City at all times (ss. 48 para. 2 and 49 of the </w:t>
      </w:r>
      <w:r w:rsidRPr="00283996">
        <w:rPr>
          <w:rFonts w:cs="Times New Roman"/>
          <w:i/>
          <w:lang w:val="en-US"/>
        </w:rPr>
        <w:t>Police Act</w:t>
      </w:r>
      <w:r w:rsidRPr="00283996">
        <w:rPr>
          <w:rFonts w:cs="Times New Roman"/>
          <w:lang w:val="en-US"/>
        </w:rPr>
        <w:t xml:space="preserve">; arts. 1463 and 1464 </w:t>
      </w:r>
      <w:r w:rsidRPr="00283996">
        <w:rPr>
          <w:rFonts w:cs="Times New Roman"/>
          <w:i/>
          <w:lang w:val="en-US"/>
        </w:rPr>
        <w:t>C.C.Q.</w:t>
      </w:r>
      <w:r w:rsidRPr="00283996">
        <w:rPr>
          <w:rFonts w:cs="Times New Roman"/>
          <w:lang w:val="en-US"/>
        </w:rPr>
        <w:t>; see Lacroix, “</w:t>
      </w:r>
      <w:proofErr w:type="spellStart"/>
      <w:r w:rsidRPr="00283996">
        <w:rPr>
          <w:rFonts w:cs="Times New Roman"/>
          <w:lang w:val="en-US"/>
        </w:rPr>
        <w:t>Responsabilité</w:t>
      </w:r>
      <w:proofErr w:type="spellEnd"/>
      <w:r w:rsidRPr="00283996">
        <w:rPr>
          <w:rFonts w:cs="Times New Roman"/>
          <w:lang w:val="en-US"/>
        </w:rPr>
        <w:t xml:space="preserve"> </w:t>
      </w:r>
      <w:proofErr w:type="spellStart"/>
      <w:r w:rsidRPr="00283996">
        <w:rPr>
          <w:rFonts w:cs="Times New Roman"/>
          <w:lang w:val="en-US"/>
        </w:rPr>
        <w:t>civile</w:t>
      </w:r>
      <w:proofErr w:type="spellEnd"/>
      <w:r w:rsidRPr="00283996">
        <w:rPr>
          <w:rFonts w:cs="Times New Roman"/>
          <w:lang w:val="en-US"/>
        </w:rPr>
        <w:t xml:space="preserve"> des forces </w:t>
      </w:r>
      <w:proofErr w:type="spellStart"/>
      <w:r w:rsidRPr="00283996">
        <w:rPr>
          <w:rFonts w:cs="Times New Roman"/>
          <w:lang w:val="en-US"/>
        </w:rPr>
        <w:t>policières</w:t>
      </w:r>
      <w:proofErr w:type="spellEnd"/>
      <w:r w:rsidRPr="00283996">
        <w:rPr>
          <w:rFonts w:cs="Times New Roman"/>
          <w:lang w:val="en-US"/>
        </w:rPr>
        <w:t xml:space="preserve">”, at para. 38). However, his designation as an inspector made him a mandatary of the </w:t>
      </w:r>
      <w:r w:rsidRPr="00283996">
        <w:rPr>
          <w:rFonts w:cs="Times New Roman"/>
          <w:lang w:val="en-US"/>
        </w:rPr>
        <w:lastRenderedPageBreak/>
        <w:t xml:space="preserve">STM. Given the fact that Constable Camacho committed the fault in question in carrying out his mandate and that the STM has not proved that it was impossible for it to prevent the injury, I conclude that the STM is liable not only for its direct fault, but also in its capacity as </w:t>
      </w:r>
      <w:proofErr w:type="spellStart"/>
      <w:r w:rsidRPr="00283996">
        <w:rPr>
          <w:rFonts w:cs="Times New Roman"/>
          <w:lang w:val="en-US"/>
        </w:rPr>
        <w:t>mandator</w:t>
      </w:r>
      <w:proofErr w:type="spellEnd"/>
      <w:r w:rsidRPr="00283996">
        <w:rPr>
          <w:rFonts w:cs="Times New Roman"/>
          <w:lang w:val="en-US"/>
        </w:rPr>
        <w:t>.</w:t>
      </w:r>
    </w:p>
    <w:p w:rsidR="003011EC" w:rsidRPr="00283996" w:rsidRDefault="003011EC" w:rsidP="003011EC">
      <w:pPr>
        <w:pStyle w:val="Title2LevelTitre2Niveau"/>
        <w:numPr>
          <w:ilvl w:val="1"/>
          <w:numId w:val="8"/>
        </w:numPr>
        <w:spacing w:before="0"/>
        <w:rPr>
          <w:rFonts w:cs="Times New Roman"/>
          <w:lang w:val="en-US"/>
        </w:rPr>
      </w:pPr>
      <w:bookmarkStart w:id="37" w:name="_Toc14257147"/>
      <w:bookmarkStart w:id="38" w:name="_Toc24710747"/>
      <w:r w:rsidRPr="00283996">
        <w:rPr>
          <w:rFonts w:cs="Times New Roman"/>
          <w:lang w:val="en-US"/>
        </w:rPr>
        <w:t>Apportionment of Liability</w:t>
      </w:r>
      <w:bookmarkEnd w:id="37"/>
      <w:bookmarkEnd w:id="38"/>
    </w:p>
    <w:p w:rsidR="003011EC" w:rsidRPr="00283996" w:rsidRDefault="003011EC" w:rsidP="003011EC">
      <w:pPr>
        <w:pStyle w:val="ParaNoNdepar-AltN"/>
        <w:spacing w:before="0"/>
        <w:rPr>
          <w:rFonts w:cs="Times New Roman"/>
          <w:lang w:val="en-US"/>
        </w:rPr>
      </w:pPr>
      <w:r w:rsidRPr="00283996">
        <w:rPr>
          <w:rFonts w:cs="Times New Roman"/>
          <w:lang w:val="en-US"/>
        </w:rPr>
        <w:t>In my view, the STM must bear a large sh</w:t>
      </w:r>
      <w:r w:rsidR="00FA0810">
        <w:rPr>
          <w:rFonts w:cs="Times New Roman"/>
          <w:lang w:val="en-US"/>
        </w:rPr>
        <w:t>are of the liability. Under art</w:t>
      </w:r>
      <w:r w:rsidR="00BB0B8C">
        <w:rPr>
          <w:rFonts w:cs="Times New Roman"/>
          <w:lang w:val="en-US"/>
        </w:rPr>
        <w:t>.</w:t>
      </w:r>
      <w:r w:rsidRPr="00283996">
        <w:rPr>
          <w:rFonts w:cs="Times New Roman"/>
          <w:lang w:val="en-US"/>
        </w:rPr>
        <w:t xml:space="preserve"> 1478 para. 1 </w:t>
      </w:r>
      <w:r w:rsidRPr="00283996">
        <w:rPr>
          <w:rFonts w:cs="Times New Roman"/>
          <w:i/>
          <w:lang w:val="en-US"/>
        </w:rPr>
        <w:t>C.C.Q.</w:t>
      </w:r>
      <w:r w:rsidRPr="00283996">
        <w:rPr>
          <w:rFonts w:cs="Times New Roman"/>
          <w:lang w:val="en-US"/>
        </w:rPr>
        <w:t>, liability is shared in proportion to the seriousness of the fault. Here, it was first and foremost the responsibility of the STM — as a regulatory body —</w:t>
      </w:r>
      <w:r w:rsidR="00027C7E">
        <w:rPr>
          <w:rFonts w:cs="Times New Roman"/>
          <w:lang w:val="en-US"/>
        </w:rPr>
        <w:t xml:space="preserve"> </w:t>
      </w:r>
      <w:r w:rsidRPr="00283996">
        <w:rPr>
          <w:rFonts w:cs="Times New Roman"/>
          <w:lang w:val="en-US"/>
        </w:rPr>
        <w:t>to ensure that its inspectors acquired an adequate knowledge and understanding of By</w:t>
      </w:r>
      <w:r w:rsidRPr="00283996">
        <w:rPr>
          <w:rFonts w:cs="Times New Roman"/>
          <w:lang w:val="en-US"/>
        </w:rPr>
        <w:noBreakHyphen/>
        <w:t>law R</w:t>
      </w:r>
      <w:r w:rsidRPr="00283996">
        <w:rPr>
          <w:rFonts w:cs="Times New Roman"/>
          <w:lang w:val="en-US"/>
        </w:rPr>
        <w:noBreakHyphen/>
        <w:t>036 and of the pictograms posted in its facilities. However, Constable Camacho also had to exercise his professional judgment, regardless of the training he had received; as a result, he cannot avoid liability by arguing that he acted in accordance with that training. I would therefore apportion half of the liability to the STM and the other half to Constable Camacho.</w:t>
      </w:r>
    </w:p>
    <w:p w:rsidR="003011EC" w:rsidRPr="00283996" w:rsidRDefault="003011EC" w:rsidP="003011EC">
      <w:pPr>
        <w:pStyle w:val="ParaNoNdepar-AltN"/>
        <w:spacing w:before="0"/>
        <w:rPr>
          <w:rFonts w:cs="Times New Roman"/>
          <w:lang w:val="en-US"/>
        </w:rPr>
      </w:pPr>
      <w:r w:rsidRPr="00283996">
        <w:rPr>
          <w:rFonts w:cs="Times New Roman"/>
          <w:lang w:val="en-US"/>
        </w:rPr>
        <w:t>As for Ms. </w:t>
      </w:r>
      <w:proofErr w:type="spellStart"/>
      <w:r w:rsidRPr="00283996">
        <w:rPr>
          <w:rFonts w:cs="Times New Roman"/>
          <w:lang w:val="en-US"/>
        </w:rPr>
        <w:t>Kosoian</w:t>
      </w:r>
      <w:proofErr w:type="spellEnd"/>
      <w:r w:rsidRPr="00283996">
        <w:rPr>
          <w:rFonts w:cs="Times New Roman"/>
          <w:lang w:val="en-US"/>
        </w:rPr>
        <w:t>, no liability can be imposed on her. Under art</w:t>
      </w:r>
      <w:r w:rsidR="00BB0B8C">
        <w:rPr>
          <w:rFonts w:cs="Times New Roman"/>
          <w:lang w:val="en-US"/>
        </w:rPr>
        <w:t>.</w:t>
      </w:r>
      <w:r w:rsidRPr="00283996">
        <w:rPr>
          <w:rFonts w:cs="Times New Roman"/>
          <w:lang w:val="en-US"/>
        </w:rPr>
        <w:t xml:space="preserve"> 1478 para. 2 </w:t>
      </w:r>
      <w:r w:rsidRPr="00283996">
        <w:rPr>
          <w:rFonts w:cs="Times New Roman"/>
          <w:i/>
          <w:lang w:val="en-US"/>
        </w:rPr>
        <w:t>C.C.Q.</w:t>
      </w:r>
      <w:r w:rsidRPr="00283996">
        <w:rPr>
          <w:rFonts w:cs="Times New Roman"/>
          <w:lang w:val="en-US"/>
        </w:rPr>
        <w:t xml:space="preserve">, the apportionment of a share of the liability to the victim implies that the victim is himself or herself at fault. This is not the case here. The appellant may not have acted in an exemplary fashion, but the fact remains that she had no legal obligation to hold the handrail. In this context, her lack of cooperation does not in itself constitute a civil fault. It was Constable Camacho who caused the situation to escalate by ordering </w:t>
      </w:r>
      <w:r w:rsidRPr="00283996">
        <w:rPr>
          <w:rFonts w:cs="Times New Roman"/>
          <w:lang w:val="en-US"/>
        </w:rPr>
        <w:lastRenderedPageBreak/>
        <w:t>her to hold the handrail, requiring her to identify herself and insisting on giving her a statement of offence. All of those actions were unlawful.</w:t>
      </w:r>
    </w:p>
    <w:p w:rsidR="003011EC" w:rsidRPr="00283996" w:rsidRDefault="003011EC" w:rsidP="003011EC">
      <w:pPr>
        <w:pStyle w:val="ParaNoNdepar-AltN"/>
        <w:spacing w:before="0"/>
        <w:rPr>
          <w:rFonts w:cs="Times New Roman"/>
          <w:lang w:val="en-US"/>
        </w:rPr>
      </w:pPr>
      <w:r w:rsidRPr="00283996">
        <w:rPr>
          <w:rFonts w:cs="Times New Roman"/>
          <w:lang w:val="en-US"/>
        </w:rPr>
        <w:t>At that moment, given that the offence alleged did not exist in law, the appellant was perfectly entitled to refuse to identify herself and then simply to walk away (</w:t>
      </w:r>
      <w:r w:rsidRPr="00283996">
        <w:rPr>
          <w:rFonts w:cs="Times New Roman"/>
          <w:i/>
          <w:lang w:val="en-US"/>
        </w:rPr>
        <w:t>Grant</w:t>
      </w:r>
      <w:r w:rsidRPr="00283996">
        <w:rPr>
          <w:rFonts w:cs="Times New Roman"/>
          <w:lang w:val="en-US"/>
        </w:rPr>
        <w:t>, at para. 21). Unless a statutory provision or common law rule clearly imposes it, there is no obligation to identify oneself to, or indeed to cooperate with, a police officer (</w:t>
      </w:r>
      <w:r w:rsidR="002B3B01">
        <w:rPr>
          <w:rFonts w:cs="Times New Roman"/>
          <w:i/>
          <w:lang w:val="en-US"/>
        </w:rPr>
        <w:t xml:space="preserve">R. </w:t>
      </w:r>
      <w:r w:rsidRPr="00283996">
        <w:rPr>
          <w:rFonts w:cs="Times New Roman"/>
          <w:i/>
          <w:lang w:val="en-US"/>
        </w:rPr>
        <w:t>v. Gagné</w:t>
      </w:r>
      <w:r w:rsidRPr="00283996">
        <w:rPr>
          <w:rFonts w:cs="Times New Roman"/>
          <w:lang w:val="en-US"/>
        </w:rPr>
        <w:t xml:space="preserve">, </w:t>
      </w:r>
      <w:r w:rsidRPr="00283996">
        <w:rPr>
          <w:rStyle w:val="nowrap"/>
          <w:rFonts w:cs="Times New Roman"/>
          <w:lang w:val="en-US"/>
        </w:rPr>
        <w:t>[1987] R.J.Q. 1008 (C.A.), aff’d</w:t>
      </w:r>
      <w:r w:rsidR="002B3B01">
        <w:rPr>
          <w:rFonts w:cs="Times New Roman"/>
          <w:lang w:val="en-US"/>
        </w:rPr>
        <w:t xml:space="preserve"> [1989] 1 </w:t>
      </w:r>
      <w:r w:rsidRPr="00283996">
        <w:rPr>
          <w:rFonts w:cs="Times New Roman"/>
          <w:lang w:val="en-US"/>
        </w:rPr>
        <w:t xml:space="preserve">S.C.R. 1584; </w:t>
      </w:r>
      <w:r w:rsidRPr="00283996">
        <w:rPr>
          <w:rFonts w:cs="Times New Roman"/>
          <w:i/>
          <w:lang w:val="en-US"/>
        </w:rPr>
        <w:t>Moore</w:t>
      </w:r>
      <w:r w:rsidR="00BE4D04">
        <w:rPr>
          <w:rFonts w:cs="Times New Roman"/>
          <w:lang w:val="en-US"/>
        </w:rPr>
        <w:t>, at pp. 205</w:t>
      </w:r>
      <w:r w:rsidR="00BE4D04">
        <w:rPr>
          <w:rFonts w:cs="Times New Roman"/>
          <w:lang w:val="en-US"/>
        </w:rPr>
        <w:noBreakHyphen/>
      </w:r>
      <w:r w:rsidRPr="00283996">
        <w:rPr>
          <w:rFonts w:cs="Times New Roman"/>
          <w:lang w:val="en-US"/>
        </w:rPr>
        <w:t>6, per Dickson J., dissenting;</w:t>
      </w:r>
      <w:r w:rsidRPr="00283996">
        <w:rPr>
          <w:rFonts w:cs="Times New Roman"/>
          <w:sz w:val="36"/>
          <w:szCs w:val="36"/>
          <w:lang w:val="en-US"/>
        </w:rPr>
        <w:t xml:space="preserve"> </w:t>
      </w:r>
      <w:r w:rsidRPr="00283996">
        <w:rPr>
          <w:rFonts w:cs="Times New Roman"/>
          <w:i/>
          <w:lang w:val="en-US"/>
        </w:rPr>
        <w:t>Guthrie</w:t>
      </w:r>
      <w:r w:rsidRPr="00283996">
        <w:rPr>
          <w:rFonts w:cs="Times New Roman"/>
          <w:lang w:val="en-US"/>
        </w:rPr>
        <w:t xml:space="preserve">, at p. 8; </w:t>
      </w:r>
      <w:r w:rsidRPr="00283996">
        <w:rPr>
          <w:rFonts w:cs="Times New Roman"/>
          <w:i/>
          <w:lang w:val="en-US"/>
        </w:rPr>
        <w:t>Grant</w:t>
      </w:r>
      <w:r w:rsidRPr="00283996">
        <w:rPr>
          <w:rFonts w:cs="Times New Roman"/>
          <w:lang w:val="en-US"/>
        </w:rPr>
        <w:t xml:space="preserve">, at para. 37; </w:t>
      </w:r>
      <w:proofErr w:type="spellStart"/>
      <w:r w:rsidRPr="00283996">
        <w:rPr>
          <w:rFonts w:cs="Times New Roman"/>
          <w:lang w:val="en-US"/>
        </w:rPr>
        <w:t>Vauclair</w:t>
      </w:r>
      <w:proofErr w:type="spellEnd"/>
      <w:r w:rsidRPr="00283996">
        <w:rPr>
          <w:rFonts w:cs="Times New Roman"/>
          <w:lang w:val="en-US"/>
        </w:rPr>
        <w:t xml:space="preserve"> and Desjardins, at paras. 1134 and 1419). In the instant case, Constable Camacho should simply have allowed Ms. </w:t>
      </w:r>
      <w:proofErr w:type="spellStart"/>
      <w:r w:rsidRPr="00283996">
        <w:rPr>
          <w:rFonts w:cs="Times New Roman"/>
          <w:lang w:val="en-US"/>
        </w:rPr>
        <w:t>Kosoian</w:t>
      </w:r>
      <w:proofErr w:type="spellEnd"/>
      <w:r w:rsidRPr="00283996">
        <w:rPr>
          <w:rFonts w:cs="Times New Roman"/>
          <w:lang w:val="en-US"/>
        </w:rPr>
        <w:t xml:space="preserve"> to leave.</w:t>
      </w:r>
    </w:p>
    <w:p w:rsidR="003011EC" w:rsidRPr="00283996" w:rsidRDefault="003011EC" w:rsidP="003011EC">
      <w:pPr>
        <w:pStyle w:val="ParaNoNdepar-AltN"/>
        <w:spacing w:before="0"/>
        <w:rPr>
          <w:rFonts w:cs="Times New Roman"/>
          <w:lang w:val="en-US"/>
        </w:rPr>
      </w:pPr>
      <w:r w:rsidRPr="00283996">
        <w:rPr>
          <w:rFonts w:cs="Times New Roman"/>
          <w:lang w:val="en-US"/>
        </w:rPr>
        <w:t>To conclude that Ms. </w:t>
      </w:r>
      <w:proofErr w:type="spellStart"/>
      <w:r w:rsidRPr="00283996">
        <w:rPr>
          <w:rFonts w:cs="Times New Roman"/>
          <w:lang w:val="en-US"/>
        </w:rPr>
        <w:t>Kosoian</w:t>
      </w:r>
      <w:proofErr w:type="spellEnd"/>
      <w:r w:rsidRPr="00283996">
        <w:rPr>
          <w:rFonts w:cs="Times New Roman"/>
          <w:lang w:val="en-US"/>
        </w:rPr>
        <w:t xml:space="preserve"> must be apportioned a share of the liability would amount to saying that there is, in all circumstances, a rule of conduct requiring compliance with an </w:t>
      </w:r>
      <w:r w:rsidRPr="00283996">
        <w:rPr>
          <w:rFonts w:cs="Times New Roman"/>
          <w:i/>
          <w:lang w:val="en-US"/>
        </w:rPr>
        <w:t>unlawful</w:t>
      </w:r>
      <w:r w:rsidRPr="00283996">
        <w:rPr>
          <w:rFonts w:cs="Times New Roman"/>
          <w:lang w:val="en-US"/>
        </w:rPr>
        <w:t xml:space="preserve"> order given by a police officer, even where the order is based on an offence that simply does not exist in law. It is a short step from this to concluding that there must be blind obedience to any demand made by a police officer, no matter how unreasonable, arbitrary or capricious it may appear.</w:t>
      </w:r>
    </w:p>
    <w:p w:rsidR="003011EC" w:rsidRPr="00283996" w:rsidRDefault="003011EC" w:rsidP="003011EC">
      <w:pPr>
        <w:pStyle w:val="ParaNoNdepar-AltN"/>
        <w:spacing w:before="0"/>
        <w:rPr>
          <w:rFonts w:cs="Times New Roman"/>
          <w:lang w:val="en-US"/>
        </w:rPr>
      </w:pPr>
      <w:r w:rsidRPr="00283996">
        <w:rPr>
          <w:rFonts w:cs="Times New Roman"/>
          <w:lang w:val="en-US"/>
        </w:rPr>
        <w:t>Average citizens will, of course, often prefer to be cautious and to comply with an order given by a police officer even where they have doubts about its lawfulness (</w:t>
      </w:r>
      <w:r w:rsidRPr="00283996">
        <w:rPr>
          <w:rFonts w:cs="Times New Roman"/>
          <w:i/>
          <w:lang w:val="en-US"/>
        </w:rPr>
        <w:t>Grant</w:t>
      </w:r>
      <w:r w:rsidRPr="00283996">
        <w:rPr>
          <w:rFonts w:cs="Times New Roman"/>
          <w:lang w:val="en-US"/>
        </w:rPr>
        <w:t>, at para. 170). They will identify themselves and graciously accept a statement of offence, subject to contesting it later. In fact, they run serious risks if they refuse to comply because they believe that the offence alleged against them is non</w:t>
      </w:r>
      <w:r w:rsidRPr="00283996">
        <w:rPr>
          <w:rFonts w:cs="Times New Roman"/>
          <w:lang w:val="en-US"/>
        </w:rPr>
        <w:noBreakHyphen/>
        <w:t xml:space="preserve">existent or </w:t>
      </w:r>
      <w:r w:rsidRPr="00283996">
        <w:rPr>
          <w:rFonts w:cs="Times New Roman"/>
          <w:lang w:val="en-US"/>
        </w:rPr>
        <w:lastRenderedPageBreak/>
        <w:t xml:space="preserve">invalid. If they are mistaken, they could, for example, be convicted of a criminal offence: </w:t>
      </w:r>
      <w:proofErr w:type="spellStart"/>
      <w:r w:rsidRPr="00283996">
        <w:rPr>
          <w:rFonts w:cs="Times New Roman"/>
          <w:lang w:val="en-US"/>
        </w:rPr>
        <w:t>wilfully</w:t>
      </w:r>
      <w:proofErr w:type="spellEnd"/>
      <w:r w:rsidRPr="00283996">
        <w:rPr>
          <w:rFonts w:cs="Times New Roman"/>
          <w:lang w:val="en-US"/>
        </w:rPr>
        <w:t xml:space="preserve"> obstructing a peace officer (s. 129 of the </w:t>
      </w:r>
      <w:r w:rsidRPr="00283996">
        <w:rPr>
          <w:rFonts w:cs="Times New Roman"/>
          <w:i/>
          <w:lang w:val="en-US"/>
        </w:rPr>
        <w:t>Criminal Code</w:t>
      </w:r>
      <w:r w:rsidRPr="00283996">
        <w:rPr>
          <w:rFonts w:cs="Times New Roman"/>
          <w:lang w:val="en-US"/>
        </w:rPr>
        <w:t>, R.S.C. 1985, c. C</w:t>
      </w:r>
      <w:r w:rsidRPr="00283996">
        <w:rPr>
          <w:rFonts w:cs="Times New Roman"/>
          <w:lang w:val="en-US"/>
        </w:rPr>
        <w:noBreakHyphen/>
        <w:t xml:space="preserve">46; see, e.g., </w:t>
      </w:r>
      <w:proofErr w:type="spellStart"/>
      <w:r w:rsidRPr="00283996">
        <w:rPr>
          <w:rFonts w:cs="Times New Roman"/>
          <w:i/>
          <w:lang w:val="en-US"/>
        </w:rPr>
        <w:t>Vigneault</w:t>
      </w:r>
      <w:proofErr w:type="spellEnd"/>
      <w:r w:rsidRPr="00283996">
        <w:rPr>
          <w:rFonts w:cs="Times New Roman"/>
          <w:i/>
          <w:lang w:val="en-US"/>
        </w:rPr>
        <w:t xml:space="preserve"> v. La </w:t>
      </w:r>
      <w:proofErr w:type="spellStart"/>
      <w:r w:rsidRPr="00283996">
        <w:rPr>
          <w:rFonts w:cs="Times New Roman"/>
          <w:i/>
          <w:lang w:val="en-US"/>
        </w:rPr>
        <w:t>Reine</w:t>
      </w:r>
      <w:proofErr w:type="spellEnd"/>
      <w:r w:rsidRPr="00283996">
        <w:rPr>
          <w:rFonts w:cs="Times New Roman"/>
          <w:lang w:val="en-US"/>
        </w:rPr>
        <w:t xml:space="preserve">, 2002 </w:t>
      </w:r>
      <w:proofErr w:type="spellStart"/>
      <w:r w:rsidRPr="00283996">
        <w:rPr>
          <w:rFonts w:cs="Times New Roman"/>
          <w:lang w:val="en-US"/>
        </w:rPr>
        <w:t>CanLII</w:t>
      </w:r>
      <w:proofErr w:type="spellEnd"/>
      <w:r w:rsidRPr="00283996">
        <w:rPr>
          <w:rFonts w:cs="Times New Roman"/>
          <w:lang w:val="en-US"/>
        </w:rPr>
        <w:t xml:space="preserve"> 63720 (Que. C.A.), </w:t>
      </w:r>
      <w:proofErr w:type="spellStart"/>
      <w:r w:rsidRPr="00283996">
        <w:rPr>
          <w:rFonts w:cs="Times New Roman"/>
          <w:lang w:val="en-US"/>
        </w:rPr>
        <w:t>aff’g</w:t>
      </w:r>
      <w:proofErr w:type="spellEnd"/>
      <w:r w:rsidRPr="00283996">
        <w:rPr>
          <w:rFonts w:cs="Times New Roman"/>
          <w:lang w:val="en-US"/>
        </w:rPr>
        <w:t xml:space="preserve"> 2001 </w:t>
      </w:r>
      <w:proofErr w:type="spellStart"/>
      <w:r w:rsidRPr="00283996">
        <w:rPr>
          <w:rFonts w:cs="Times New Roman"/>
          <w:lang w:val="en-US"/>
        </w:rPr>
        <w:t>CanLII</w:t>
      </w:r>
      <w:proofErr w:type="spellEnd"/>
      <w:r w:rsidRPr="00283996">
        <w:rPr>
          <w:rFonts w:cs="Times New Roman"/>
          <w:lang w:val="en-US"/>
        </w:rPr>
        <w:t xml:space="preserve"> 25420 (Que. Sup. Ct.)).</w:t>
      </w:r>
    </w:p>
    <w:p w:rsidR="003011EC" w:rsidRPr="00283996" w:rsidRDefault="003011EC" w:rsidP="003011EC">
      <w:pPr>
        <w:pStyle w:val="ParaNoNdepar-AltN"/>
        <w:spacing w:before="0"/>
        <w:rPr>
          <w:rFonts w:cs="Times New Roman"/>
          <w:lang w:val="en-US"/>
        </w:rPr>
      </w:pPr>
      <w:r w:rsidRPr="00283996">
        <w:rPr>
          <w:rFonts w:cs="Times New Roman"/>
          <w:lang w:val="en-US"/>
        </w:rPr>
        <w:t>Nevertheless, a well</w:t>
      </w:r>
      <w:r w:rsidRPr="00283996">
        <w:rPr>
          <w:rFonts w:cs="Times New Roman"/>
          <w:lang w:val="en-US"/>
        </w:rPr>
        <w:noBreakHyphen/>
        <w:t>informed person does not commit a civil fault merely by refusing to comply with an order that proves to be unlawful. A person whose rights are infringed must be able to respond — within reason, of course — without being held civilly liable.</w:t>
      </w:r>
    </w:p>
    <w:p w:rsidR="003011EC" w:rsidRPr="00283996" w:rsidRDefault="003011EC" w:rsidP="003011EC">
      <w:pPr>
        <w:pStyle w:val="ParaNoNdepar-AltN"/>
        <w:spacing w:before="0"/>
        <w:rPr>
          <w:rFonts w:cs="Times New Roman"/>
          <w:lang w:val="en-US"/>
        </w:rPr>
      </w:pPr>
      <w:r w:rsidRPr="00283996">
        <w:rPr>
          <w:rFonts w:cs="Times New Roman"/>
          <w:lang w:val="en-US"/>
        </w:rPr>
        <w:t>In addition, I have to discard the trial judge’s conclusion that Ms. </w:t>
      </w:r>
      <w:proofErr w:type="spellStart"/>
      <w:r w:rsidRPr="00283996">
        <w:rPr>
          <w:rFonts w:cs="Times New Roman"/>
          <w:lang w:val="en-US"/>
        </w:rPr>
        <w:t>Kosoian</w:t>
      </w:r>
      <w:proofErr w:type="spellEnd"/>
      <w:r w:rsidRPr="00283996">
        <w:rPr>
          <w:rFonts w:cs="Times New Roman"/>
          <w:lang w:val="en-US"/>
        </w:rPr>
        <w:t xml:space="preserve"> behaved in a manner that was [</w:t>
      </w:r>
      <w:r w:rsidRPr="00283996">
        <w:rPr>
          <w:rFonts w:cs="Times New Roman"/>
          <w:smallCaps/>
          <w:lang w:val="en-US"/>
        </w:rPr>
        <w:t>translation</w:t>
      </w:r>
      <w:r w:rsidRPr="00283996">
        <w:rPr>
          <w:rFonts w:cs="Times New Roman"/>
          <w:lang w:val="en-US"/>
        </w:rPr>
        <w:t>] “inconceivable, irresponsible and contrary to the basic rules of good citizenship” (para. 271). It is clear that the error of law made by the judge — presuming that it was an offence to disobey the pictogram in question — tainted his assessment of the facts. This is obvious from his reasons, particularly the passages where he emphasized that the appellant had “unlawfully and stubbornly refused to comply” (para. 270) and that she “thought she knew everything about the law applicable to such matters, which was not the case” (para. 275). Since the trial judge did not find that the offence was non</w:t>
      </w:r>
      <w:r w:rsidRPr="00283996">
        <w:rPr>
          <w:rFonts w:cs="Times New Roman"/>
          <w:lang w:val="en-US"/>
        </w:rPr>
        <w:noBreakHyphen/>
        <w:t>existent, his analysis of Ms. </w:t>
      </w:r>
      <w:proofErr w:type="spellStart"/>
      <w:r w:rsidRPr="00283996">
        <w:rPr>
          <w:rFonts w:cs="Times New Roman"/>
          <w:lang w:val="en-US"/>
        </w:rPr>
        <w:t>Kosoian’s</w:t>
      </w:r>
      <w:proofErr w:type="spellEnd"/>
      <w:r w:rsidRPr="00283996">
        <w:rPr>
          <w:rFonts w:cs="Times New Roman"/>
          <w:lang w:val="en-US"/>
        </w:rPr>
        <w:t xml:space="preserve"> </w:t>
      </w:r>
      <w:proofErr w:type="spellStart"/>
      <w:r w:rsidRPr="00283996">
        <w:rPr>
          <w:rFonts w:cs="Times New Roman"/>
          <w:lang w:val="en-US"/>
        </w:rPr>
        <w:t>behaviour</w:t>
      </w:r>
      <w:proofErr w:type="spellEnd"/>
      <w:r w:rsidRPr="00283996">
        <w:rPr>
          <w:rFonts w:cs="Times New Roman"/>
          <w:lang w:val="en-US"/>
        </w:rPr>
        <w:t xml:space="preserve"> was heavily influenced by this and must, in my view, be rejected.</w:t>
      </w:r>
    </w:p>
    <w:p w:rsidR="003011EC" w:rsidRPr="00283996" w:rsidRDefault="003011EC" w:rsidP="003011EC">
      <w:pPr>
        <w:pStyle w:val="ParaNoNdepar-AltN"/>
        <w:spacing w:before="0"/>
        <w:rPr>
          <w:rFonts w:cs="Times New Roman"/>
          <w:lang w:val="en-US"/>
        </w:rPr>
      </w:pPr>
      <w:r w:rsidRPr="00283996">
        <w:rPr>
          <w:rFonts w:cs="Times New Roman"/>
          <w:lang w:val="en-US"/>
        </w:rPr>
        <w:t>That error was repeated in the Court of Appeal as well. The majority of that court also failed to consider whether the offence was non</w:t>
      </w:r>
      <w:r w:rsidRPr="00283996">
        <w:rPr>
          <w:rFonts w:cs="Times New Roman"/>
          <w:lang w:val="en-US"/>
        </w:rPr>
        <w:noBreakHyphen/>
        <w:t xml:space="preserve">existent and relied on the trial </w:t>
      </w:r>
      <w:r w:rsidRPr="00283996">
        <w:rPr>
          <w:rFonts w:cs="Times New Roman"/>
          <w:lang w:val="en-US"/>
        </w:rPr>
        <w:lastRenderedPageBreak/>
        <w:t>judge’s analysis of Ms. </w:t>
      </w:r>
      <w:proofErr w:type="spellStart"/>
      <w:r w:rsidRPr="00283996">
        <w:rPr>
          <w:rFonts w:cs="Times New Roman"/>
          <w:lang w:val="en-US"/>
        </w:rPr>
        <w:t>Kosoian’s</w:t>
      </w:r>
      <w:proofErr w:type="spellEnd"/>
      <w:r w:rsidRPr="00283996">
        <w:rPr>
          <w:rFonts w:cs="Times New Roman"/>
          <w:lang w:val="en-US"/>
        </w:rPr>
        <w:t xml:space="preserve"> </w:t>
      </w:r>
      <w:proofErr w:type="spellStart"/>
      <w:r w:rsidRPr="00283996">
        <w:rPr>
          <w:rFonts w:cs="Times New Roman"/>
          <w:lang w:val="en-US"/>
        </w:rPr>
        <w:t>behaviour</w:t>
      </w:r>
      <w:proofErr w:type="spellEnd"/>
      <w:r w:rsidRPr="00283996">
        <w:rPr>
          <w:rFonts w:cs="Times New Roman"/>
          <w:lang w:val="en-US"/>
        </w:rPr>
        <w:t xml:space="preserve"> in concluding that she was [</w:t>
      </w:r>
      <w:r w:rsidRPr="00283996">
        <w:rPr>
          <w:rFonts w:cs="Times New Roman"/>
          <w:smallCaps/>
          <w:lang w:val="en-US"/>
        </w:rPr>
        <w:t>translation</w:t>
      </w:r>
      <w:r w:rsidRPr="00283996">
        <w:rPr>
          <w:rFonts w:cs="Times New Roman"/>
          <w:lang w:val="en-US"/>
        </w:rPr>
        <w:t>] “the author of her own misfortune” (paras. 18 and 26). That conclusion, which was tainted by a fatal error of law, must therefore also be rejected.</w:t>
      </w:r>
    </w:p>
    <w:p w:rsidR="003011EC" w:rsidRPr="00283996" w:rsidRDefault="003011EC" w:rsidP="003011EC">
      <w:pPr>
        <w:pStyle w:val="ParaNoNdepar-AltN"/>
        <w:spacing w:before="0"/>
        <w:rPr>
          <w:rFonts w:cs="Times New Roman"/>
          <w:lang w:val="en-US"/>
        </w:rPr>
      </w:pPr>
      <w:r w:rsidRPr="00283996">
        <w:rPr>
          <w:rFonts w:cs="Times New Roman"/>
          <w:lang w:val="en-US"/>
        </w:rPr>
        <w:t>Moreover, even without calling into question the trial judge’s findings of fact, it remains that Ms. </w:t>
      </w:r>
      <w:proofErr w:type="spellStart"/>
      <w:r w:rsidRPr="00283996">
        <w:rPr>
          <w:rFonts w:cs="Times New Roman"/>
          <w:lang w:val="en-US"/>
        </w:rPr>
        <w:t>Kosoian</w:t>
      </w:r>
      <w:proofErr w:type="spellEnd"/>
      <w:r w:rsidRPr="00283996">
        <w:rPr>
          <w:rFonts w:cs="Times New Roman"/>
          <w:lang w:val="en-US"/>
        </w:rPr>
        <w:t xml:space="preserve"> legitimately felt that her rights had been infringed (see </w:t>
      </w:r>
      <w:proofErr w:type="spellStart"/>
      <w:r w:rsidRPr="00283996">
        <w:rPr>
          <w:rFonts w:cs="Times New Roman"/>
          <w:i/>
          <w:lang w:val="en-US"/>
        </w:rPr>
        <w:t>Mongeau</w:t>
      </w:r>
      <w:proofErr w:type="spellEnd"/>
      <w:r w:rsidRPr="00283996">
        <w:rPr>
          <w:rFonts w:cs="Times New Roman"/>
          <w:i/>
          <w:lang w:val="en-US"/>
        </w:rPr>
        <w:t> v. Montréal (</w:t>
      </w:r>
      <w:proofErr w:type="spellStart"/>
      <w:r w:rsidRPr="00283996">
        <w:rPr>
          <w:rFonts w:cs="Times New Roman"/>
          <w:i/>
          <w:lang w:val="en-US"/>
        </w:rPr>
        <w:t>Communauté</w:t>
      </w:r>
      <w:proofErr w:type="spellEnd"/>
      <w:r w:rsidRPr="00283996">
        <w:rPr>
          <w:rFonts w:cs="Times New Roman"/>
          <w:i/>
          <w:lang w:val="en-US"/>
        </w:rPr>
        <w:t xml:space="preserve"> </w:t>
      </w:r>
      <w:proofErr w:type="spellStart"/>
      <w:r w:rsidRPr="00283996">
        <w:rPr>
          <w:rFonts w:cs="Times New Roman"/>
          <w:i/>
          <w:lang w:val="en-US"/>
        </w:rPr>
        <w:t>urbaine</w:t>
      </w:r>
      <w:proofErr w:type="spellEnd"/>
      <w:r w:rsidRPr="00283996">
        <w:rPr>
          <w:rFonts w:cs="Times New Roman"/>
          <w:i/>
          <w:lang w:val="en-US"/>
        </w:rPr>
        <w:t>)</w:t>
      </w:r>
      <w:r w:rsidRPr="00283996">
        <w:rPr>
          <w:rFonts w:cs="Times New Roman"/>
          <w:lang w:val="en-US"/>
        </w:rPr>
        <w:t>, [2000] J.Q. No. 5823 (QL) (C.Q.), at paras. 25</w:t>
      </w:r>
      <w:r w:rsidRPr="00283996">
        <w:rPr>
          <w:rFonts w:cs="Times New Roman"/>
          <w:lang w:val="en-US"/>
        </w:rPr>
        <w:noBreakHyphen/>
        <w:t>26). She may have raised her voice and been rather arrogant (C.Q. reasons, at para. 195), but more is needed to justify an apportionment of liability in the context of an unlawful or unreasonable arrest.</w:t>
      </w:r>
    </w:p>
    <w:p w:rsidR="003011EC" w:rsidRPr="00283996" w:rsidRDefault="003011EC" w:rsidP="003011EC">
      <w:pPr>
        <w:pStyle w:val="ParaNoNdepar-AltN"/>
        <w:spacing w:before="0"/>
        <w:rPr>
          <w:rFonts w:cs="Times New Roman"/>
          <w:lang w:val="en-US"/>
        </w:rPr>
      </w:pPr>
      <w:r w:rsidRPr="00283996">
        <w:rPr>
          <w:rFonts w:cs="Times New Roman"/>
          <w:lang w:val="en-US"/>
        </w:rPr>
        <w:t>I also cannot fault Ms. </w:t>
      </w:r>
      <w:proofErr w:type="spellStart"/>
      <w:r w:rsidRPr="00283996">
        <w:rPr>
          <w:rFonts w:cs="Times New Roman"/>
          <w:lang w:val="en-US"/>
        </w:rPr>
        <w:t>Kosoian</w:t>
      </w:r>
      <w:proofErr w:type="spellEnd"/>
      <w:r w:rsidRPr="00283996">
        <w:rPr>
          <w:rFonts w:cs="Times New Roman"/>
          <w:lang w:val="en-US"/>
        </w:rPr>
        <w:t xml:space="preserve"> for not doing anything to mitigate the injury she suffered (art. 1479 </w:t>
      </w:r>
      <w:r w:rsidRPr="00283996">
        <w:rPr>
          <w:rFonts w:cs="Times New Roman"/>
          <w:i/>
          <w:lang w:val="en-US"/>
        </w:rPr>
        <w:t>C.C.Q.</w:t>
      </w:r>
      <w:r w:rsidRPr="00283996">
        <w:rPr>
          <w:rFonts w:cs="Times New Roman"/>
          <w:lang w:val="en-US"/>
        </w:rPr>
        <w:t xml:space="preserve">). To do so, she would have had no choice but to obey an unlawful order. This is not what is required of a reasonable, prudent and diligent person. The duty to mitigate must sometimes be displaced where it conflicts with respect for rights and freedoms (see </w:t>
      </w:r>
      <w:proofErr w:type="spellStart"/>
      <w:r w:rsidRPr="00283996">
        <w:rPr>
          <w:rFonts w:cs="Times New Roman"/>
          <w:lang w:val="en-US"/>
        </w:rPr>
        <w:t>Baudouin</w:t>
      </w:r>
      <w:proofErr w:type="spellEnd"/>
      <w:r w:rsidRPr="00283996">
        <w:rPr>
          <w:rFonts w:cs="Times New Roman"/>
          <w:lang w:val="en-US"/>
        </w:rPr>
        <w:t xml:space="preserve">, </w:t>
      </w:r>
      <w:proofErr w:type="spellStart"/>
      <w:r w:rsidRPr="00283996">
        <w:rPr>
          <w:rFonts w:cs="Times New Roman"/>
          <w:lang w:val="en-US"/>
        </w:rPr>
        <w:t>Deslauriers</w:t>
      </w:r>
      <w:proofErr w:type="spellEnd"/>
      <w:r w:rsidRPr="00283996">
        <w:rPr>
          <w:rFonts w:cs="Times New Roman"/>
          <w:lang w:val="en-US"/>
        </w:rPr>
        <w:t xml:space="preserve"> and Moore, vol. 1, at No. 1</w:t>
      </w:r>
      <w:r w:rsidRPr="00283996">
        <w:rPr>
          <w:rFonts w:cs="Times New Roman"/>
          <w:lang w:val="en-US"/>
        </w:rPr>
        <w:noBreakHyphen/>
        <w:t>624). Therefore, while I agree with the quantification of damages of the dissenting Court of Appeal judge, I do not accept his conclusion that a share of the liability should be imposed on Ms. </w:t>
      </w:r>
      <w:proofErr w:type="spellStart"/>
      <w:r w:rsidRPr="00283996">
        <w:rPr>
          <w:rFonts w:cs="Times New Roman"/>
          <w:lang w:val="en-US"/>
        </w:rPr>
        <w:t>Kosoian</w:t>
      </w:r>
      <w:proofErr w:type="spellEnd"/>
      <w:r w:rsidRPr="00283996">
        <w:rPr>
          <w:rFonts w:cs="Times New Roman"/>
          <w:lang w:val="en-US"/>
        </w:rPr>
        <w:t>. Since he found that the offence alleged against her was non</w:t>
      </w:r>
      <w:r w:rsidRPr="00283996">
        <w:rPr>
          <w:rFonts w:cs="Times New Roman"/>
          <w:lang w:val="en-US"/>
        </w:rPr>
        <w:noBreakHyphen/>
        <w:t xml:space="preserve">existent, he should not have focused on her </w:t>
      </w:r>
      <w:proofErr w:type="spellStart"/>
      <w:r w:rsidRPr="00283996">
        <w:rPr>
          <w:rFonts w:cs="Times New Roman"/>
          <w:lang w:val="en-US"/>
        </w:rPr>
        <w:t>behaviour</w:t>
      </w:r>
      <w:proofErr w:type="spellEnd"/>
      <w:r w:rsidRPr="00283996">
        <w:rPr>
          <w:rFonts w:cs="Times New Roman"/>
          <w:lang w:val="en-US"/>
        </w:rPr>
        <w:t>.</w:t>
      </w:r>
    </w:p>
    <w:p w:rsidR="003011EC" w:rsidRPr="00283996" w:rsidRDefault="003011EC" w:rsidP="003011EC">
      <w:pPr>
        <w:pStyle w:val="Title2LevelTitre2Niveau"/>
        <w:numPr>
          <w:ilvl w:val="1"/>
          <w:numId w:val="8"/>
        </w:numPr>
        <w:spacing w:before="0"/>
        <w:rPr>
          <w:rFonts w:cs="Times New Roman"/>
          <w:lang w:val="en-US"/>
        </w:rPr>
      </w:pPr>
      <w:bookmarkStart w:id="39" w:name="_Toc14257148"/>
      <w:bookmarkStart w:id="40" w:name="_Toc24710748"/>
      <w:r w:rsidRPr="00283996">
        <w:rPr>
          <w:rFonts w:cs="Times New Roman"/>
          <w:lang w:val="en-US"/>
        </w:rPr>
        <w:t>Injury and the Amount of Damages</w:t>
      </w:r>
      <w:bookmarkEnd w:id="39"/>
      <w:bookmarkEnd w:id="40"/>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According to undisputed evidence, Ms. </w:t>
      </w:r>
      <w:proofErr w:type="spellStart"/>
      <w:r w:rsidRPr="00283996">
        <w:rPr>
          <w:rFonts w:cs="Times New Roman"/>
          <w:lang w:val="en-US"/>
        </w:rPr>
        <w:t>Kosoian</w:t>
      </w:r>
      <w:proofErr w:type="spellEnd"/>
      <w:r w:rsidRPr="00283996">
        <w:rPr>
          <w:rFonts w:cs="Times New Roman"/>
          <w:lang w:val="en-US"/>
        </w:rPr>
        <w:t xml:space="preserve"> suffered minor bodily injuries, but also above all, moral injury as a result of her unlawful arrest, the force used against her and the unreasonable search of her personal effects. As the dissenting judge clearly explained in his reasons (paras. 105 and 107), compensation for suffering, anguish and humiliation must be awarded in this case (see </w:t>
      </w:r>
      <w:proofErr w:type="spellStart"/>
      <w:r w:rsidRPr="00283996">
        <w:rPr>
          <w:rFonts w:cs="Times New Roman"/>
          <w:lang w:val="en-US"/>
        </w:rPr>
        <w:t>Baudouin</w:t>
      </w:r>
      <w:proofErr w:type="spellEnd"/>
      <w:r w:rsidRPr="00283996">
        <w:rPr>
          <w:rFonts w:cs="Times New Roman"/>
          <w:lang w:val="en-US"/>
        </w:rPr>
        <w:t xml:space="preserve">, </w:t>
      </w:r>
      <w:proofErr w:type="spellStart"/>
      <w:r w:rsidRPr="00283996">
        <w:rPr>
          <w:rFonts w:cs="Times New Roman"/>
          <w:lang w:val="en-US"/>
        </w:rPr>
        <w:t>Deslauriers</w:t>
      </w:r>
      <w:proofErr w:type="spellEnd"/>
      <w:r w:rsidRPr="00283996">
        <w:rPr>
          <w:rFonts w:cs="Times New Roman"/>
          <w:lang w:val="en-US"/>
        </w:rPr>
        <w:t xml:space="preserve"> and Moore, vol. 1, at No. 1</w:t>
      </w:r>
      <w:r w:rsidRPr="00283996">
        <w:rPr>
          <w:rFonts w:cs="Times New Roman"/>
          <w:lang w:val="en-US"/>
        </w:rPr>
        <w:noBreakHyphen/>
        <w:t>595).</w:t>
      </w:r>
    </w:p>
    <w:p w:rsidR="003011EC" w:rsidRPr="00283996" w:rsidRDefault="003011EC" w:rsidP="003011EC">
      <w:pPr>
        <w:pStyle w:val="ParaNoNdepar-AltN"/>
        <w:spacing w:before="0"/>
        <w:rPr>
          <w:rFonts w:cs="Times New Roman"/>
          <w:lang w:val="en-US"/>
        </w:rPr>
      </w:pPr>
      <w:r w:rsidRPr="00283996">
        <w:rPr>
          <w:rFonts w:cs="Times New Roman"/>
          <w:lang w:val="en-US"/>
        </w:rPr>
        <w:t xml:space="preserve">I insist on one point: an unlawful arrest — even for a short time — cannot be considered one of the “ordinary annoyances, anxieties and fears that people living in society routinely . . . accept” and that, as a result, do not constitute compensable injury in the sense discussed by this Court in </w:t>
      </w:r>
      <w:r w:rsidRPr="00283996">
        <w:rPr>
          <w:rFonts w:cs="Times New Roman"/>
          <w:i/>
          <w:lang w:val="en-US"/>
        </w:rPr>
        <w:t>Mustapha</w:t>
      </w:r>
      <w:r w:rsidRPr="00283996">
        <w:rPr>
          <w:rFonts w:cs="Times New Roman"/>
          <w:lang w:val="en-US"/>
        </w:rPr>
        <w:t>, at para. 9. In a free and democratic society, no one should accept — or expect to be subjected to — unjustified state intrusions. Interference with freedom of movement, just like invasion of privacy, must not be trivialized. When she took the escalator in the Montmorency subway station that evening, Ms. </w:t>
      </w:r>
      <w:proofErr w:type="spellStart"/>
      <w:r w:rsidRPr="00283996">
        <w:rPr>
          <w:rFonts w:cs="Times New Roman"/>
          <w:lang w:val="en-US"/>
        </w:rPr>
        <w:t>Kosoian</w:t>
      </w:r>
      <w:proofErr w:type="spellEnd"/>
      <w:r w:rsidRPr="00283996">
        <w:rPr>
          <w:rFonts w:cs="Times New Roman"/>
          <w:lang w:val="en-US"/>
        </w:rPr>
        <w:t xml:space="preserve"> certainly did not expect to end up sitting on a chair in a room containing a cell with her hands cuffed behind her back, nor did she expect to have her personal effects searched by police officers. I have no difficulty believing that such an experience caused her significant psychological stress.</w:t>
      </w:r>
    </w:p>
    <w:p w:rsidR="003011EC" w:rsidRPr="00283996" w:rsidRDefault="003011EC" w:rsidP="003011EC">
      <w:pPr>
        <w:pStyle w:val="ParaNoNdepar-AltN"/>
        <w:spacing w:before="0"/>
        <w:rPr>
          <w:rFonts w:cs="Times New Roman"/>
          <w:lang w:val="en-US"/>
        </w:rPr>
      </w:pPr>
      <w:r w:rsidRPr="00283996">
        <w:rPr>
          <w:rFonts w:cs="Times New Roman"/>
          <w:lang w:val="en-US"/>
        </w:rPr>
        <w:t>Turning now to the amount of damages, I would set the total at $20,000, the amount identified by the dissenting Court of Appeal judge, because that amount was not challenged in this Court.</w:t>
      </w:r>
    </w:p>
    <w:p w:rsidR="003011EC" w:rsidRPr="00283996" w:rsidRDefault="003011EC" w:rsidP="003011EC">
      <w:pPr>
        <w:pStyle w:val="Title1LevelTitre1Niveau-AltL"/>
        <w:numPr>
          <w:ilvl w:val="0"/>
          <w:numId w:val="8"/>
        </w:numPr>
        <w:spacing w:before="0"/>
        <w:rPr>
          <w:rFonts w:cs="Times New Roman"/>
          <w:lang w:val="en-US"/>
        </w:rPr>
      </w:pPr>
      <w:bookmarkStart w:id="41" w:name="_Toc14257150"/>
      <w:bookmarkStart w:id="42" w:name="_Toc24710749"/>
      <w:r w:rsidRPr="00283996">
        <w:rPr>
          <w:rFonts w:cs="Times New Roman"/>
          <w:lang w:val="en-US"/>
        </w:rPr>
        <w:t>Conclusion</w:t>
      </w:r>
      <w:bookmarkEnd w:id="41"/>
      <w:bookmarkEnd w:id="42"/>
    </w:p>
    <w:p w:rsidR="003011EC" w:rsidRPr="00283996" w:rsidRDefault="003011EC" w:rsidP="003011EC">
      <w:pPr>
        <w:pStyle w:val="ParaNoNdepar-AltN"/>
        <w:spacing w:before="0"/>
        <w:rPr>
          <w:rFonts w:cs="Times New Roman"/>
          <w:lang w:val="en-US"/>
        </w:rPr>
      </w:pPr>
      <w:r w:rsidRPr="00283996">
        <w:rPr>
          <w:rFonts w:cs="Times New Roman"/>
          <w:lang w:val="en-US"/>
        </w:rPr>
        <w:lastRenderedPageBreak/>
        <w:t xml:space="preserve">For the reasons stated above, I would allow the appeal with costs throughout, set aside the judgment rendered by the Quebec Court of Appeal on December 5, 2017 and the judgment rendered by the Court of Québec on August 11, 2015, and order the respondents, </w:t>
      </w:r>
      <w:proofErr w:type="spellStart"/>
      <w:r w:rsidRPr="00283996">
        <w:rPr>
          <w:rFonts w:cs="Times New Roman"/>
          <w:lang w:val="en-US"/>
        </w:rPr>
        <w:t>Société</w:t>
      </w:r>
      <w:proofErr w:type="spellEnd"/>
      <w:r w:rsidRPr="00283996">
        <w:rPr>
          <w:rFonts w:cs="Times New Roman"/>
          <w:lang w:val="en-US"/>
        </w:rPr>
        <w:t xml:space="preserve"> de transport de Montréal, Ville de Laval and Fabio Camacho, </w:t>
      </w:r>
      <w:proofErr w:type="spellStart"/>
      <w:r w:rsidRPr="00283996">
        <w:rPr>
          <w:rFonts w:cs="Times New Roman"/>
          <w:lang w:val="en-US"/>
        </w:rPr>
        <w:t>solidarily</w:t>
      </w:r>
      <w:proofErr w:type="spellEnd"/>
      <w:r w:rsidRPr="00283996">
        <w:rPr>
          <w:rFonts w:cs="Times New Roman"/>
          <w:lang w:val="en-US"/>
        </w:rPr>
        <w:t xml:space="preserve"> to pay $20,000 with interest at the legal rate and the additional indemnity provided for in art. 1619 </w:t>
      </w:r>
      <w:r w:rsidRPr="00283996">
        <w:rPr>
          <w:rFonts w:cs="Times New Roman"/>
          <w:i/>
          <w:lang w:val="en-US"/>
        </w:rPr>
        <w:t>C.C.Q.</w:t>
      </w:r>
      <w:r w:rsidRPr="00283996">
        <w:rPr>
          <w:rFonts w:cs="Times New Roman"/>
          <w:lang w:val="en-US"/>
        </w:rPr>
        <w:t xml:space="preserve"> from the date of service at trial. Among the respondents, the </w:t>
      </w:r>
      <w:proofErr w:type="spellStart"/>
      <w:r w:rsidRPr="00283996">
        <w:rPr>
          <w:rFonts w:cs="Times New Roman"/>
          <w:lang w:val="en-US"/>
        </w:rPr>
        <w:t>Société</w:t>
      </w:r>
      <w:proofErr w:type="spellEnd"/>
      <w:r w:rsidRPr="00283996">
        <w:rPr>
          <w:rFonts w:cs="Times New Roman"/>
          <w:lang w:val="en-US"/>
        </w:rPr>
        <w:t xml:space="preserve"> de transport de Montréal will be liable for 50 percent of the damages and Constable Fabio Camacho for 50 percent.</w:t>
      </w:r>
    </w:p>
    <w:p w:rsidR="003011EC" w:rsidRPr="00CF5765" w:rsidRDefault="003011EC" w:rsidP="003011EC">
      <w:pPr>
        <w:spacing w:after="240"/>
        <w:jc w:val="center"/>
        <w:rPr>
          <w:b/>
          <w:szCs w:val="24"/>
          <w:lang w:val="en-US"/>
        </w:rPr>
      </w:pPr>
      <w:r w:rsidRPr="00CF5765">
        <w:rPr>
          <w:b/>
          <w:szCs w:val="24"/>
          <w:lang w:val="en-US"/>
        </w:rPr>
        <w:t>APPENDIX</w:t>
      </w:r>
    </w:p>
    <w:p w:rsidR="003011EC" w:rsidRPr="00283996" w:rsidRDefault="00174D30" w:rsidP="003011EC">
      <w:pPr>
        <w:jc w:val="center"/>
        <w:rPr>
          <w:noProof/>
          <w:lang w:val="en-US" w:eastAsia="en-US"/>
        </w:rPr>
      </w:pPr>
      <w:r w:rsidRPr="00283996">
        <w:rPr>
          <w:noProof/>
          <w:lang w:val="en-US" w:eastAsia="en-US"/>
        </w:rPr>
        <w:lastRenderedPageBreak/>
        <w:drawing>
          <wp:inline distT="0" distB="0" distL="0" distR="0" wp14:anchorId="35C51E3D" wp14:editId="6625D888">
            <wp:extent cx="4210050" cy="6654165"/>
            <wp:effectExtent l="0" t="0" r="0" b="0"/>
            <wp:docPr id="1" name="Picture 1" descr="https://www.canlii.org/fr/qc/qcca/doc/2017/2017qcca1919/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lii.org/fr/qc/qcca/doc/2017/2017qcca1919/image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6654165"/>
                    </a:xfrm>
                    <a:prstGeom prst="rect">
                      <a:avLst/>
                    </a:prstGeom>
                    <a:noFill/>
                    <a:ln>
                      <a:noFill/>
                    </a:ln>
                  </pic:spPr>
                </pic:pic>
              </a:graphicData>
            </a:graphic>
          </wp:inline>
        </w:drawing>
      </w:r>
    </w:p>
    <w:p w:rsidR="003011EC" w:rsidRPr="00283996" w:rsidRDefault="003011EC" w:rsidP="00077E7A">
      <w:pPr>
        <w:pStyle w:val="SCCNormalDoubleSpacing"/>
        <w:spacing w:after="480"/>
        <w:rPr>
          <w:lang w:val="en-US"/>
        </w:rPr>
      </w:pPr>
    </w:p>
    <w:p w:rsidR="003011EC" w:rsidRPr="00283996" w:rsidRDefault="003011EC" w:rsidP="00077E7A">
      <w:pPr>
        <w:pStyle w:val="SCCNormalDoubleSpacing"/>
        <w:spacing w:after="480"/>
        <w:rPr>
          <w:lang w:val="en-US"/>
        </w:rPr>
      </w:pPr>
    </w:p>
    <w:p w:rsidR="009B57B3" w:rsidRPr="00283996" w:rsidRDefault="00D619A6" w:rsidP="00077E7A">
      <w:pPr>
        <w:pStyle w:val="SCCNormalDoubleSpacing"/>
        <w:spacing w:after="480"/>
        <w:rPr>
          <w:i/>
          <w:lang w:val="en-US"/>
        </w:rPr>
      </w:pPr>
      <w:r w:rsidRPr="00283996">
        <w:rPr>
          <w:lang w:val="en-US"/>
        </w:rPr>
        <w:lastRenderedPageBreak/>
        <w:tab/>
      </w:r>
      <w:r w:rsidR="00656313" w:rsidRPr="00283996">
        <w:rPr>
          <w:i/>
          <w:lang w:val="en-US"/>
        </w:rPr>
        <w:t>Appeal</w:t>
      </w:r>
      <w:r w:rsidR="006C35BB" w:rsidRPr="00283996">
        <w:rPr>
          <w:lang w:val="en-US"/>
        </w:rPr>
        <w:t xml:space="preserve"> </w:t>
      </w:r>
      <w:r w:rsidR="006C35BB" w:rsidRPr="00283996">
        <w:rPr>
          <w:i/>
          <w:iCs/>
          <w:lang w:val="en-US"/>
        </w:rPr>
        <w:t>allowed with costs</w:t>
      </w:r>
      <w:r w:rsidRPr="00283996">
        <w:rPr>
          <w:i/>
          <w:lang w:val="en-US"/>
        </w:rPr>
        <w:t>.</w:t>
      </w:r>
    </w:p>
    <w:p w:rsidR="008C2A05" w:rsidRPr="00283996" w:rsidRDefault="00D619A6" w:rsidP="00077E7A">
      <w:pPr>
        <w:pStyle w:val="SCCLawFirm"/>
        <w:spacing w:after="480"/>
        <w:rPr>
          <w:lang w:val="en-US"/>
        </w:rPr>
      </w:pPr>
      <w:r w:rsidRPr="00283996">
        <w:rPr>
          <w:lang w:val="en-US"/>
        </w:rPr>
        <w:tab/>
        <w:t>Solicitors</w:t>
      </w:r>
      <w:r w:rsidR="00077E7A" w:rsidRPr="00283996">
        <w:rPr>
          <w:lang w:val="en-US"/>
        </w:rPr>
        <w:t xml:space="preserve"> for the appellant: </w:t>
      </w:r>
      <w:proofErr w:type="spellStart"/>
      <w:r w:rsidR="000912C0" w:rsidRPr="00283996">
        <w:rPr>
          <w:lang w:val="en-US"/>
        </w:rPr>
        <w:t>Aymar</w:t>
      </w:r>
      <w:proofErr w:type="spellEnd"/>
      <w:r w:rsidR="000912C0" w:rsidRPr="00283996">
        <w:rPr>
          <w:lang w:val="en-US"/>
        </w:rPr>
        <w:t xml:space="preserve"> </w:t>
      </w:r>
      <w:proofErr w:type="spellStart"/>
      <w:r w:rsidR="000912C0" w:rsidRPr="00283996">
        <w:rPr>
          <w:lang w:val="en-US"/>
        </w:rPr>
        <w:t>Missakila</w:t>
      </w:r>
      <w:proofErr w:type="spellEnd"/>
      <w:r w:rsidR="000912C0" w:rsidRPr="00283996">
        <w:rPr>
          <w:lang w:val="en-US"/>
        </w:rPr>
        <w:t>, Montréal</w:t>
      </w:r>
      <w:r w:rsidRPr="00283996">
        <w:rPr>
          <w:lang w:val="en-US"/>
        </w:rPr>
        <w:t xml:space="preserve">; Barnes, </w:t>
      </w:r>
      <w:proofErr w:type="spellStart"/>
      <w:r w:rsidRPr="00283996">
        <w:rPr>
          <w:lang w:val="en-US"/>
        </w:rPr>
        <w:t>Sammon</w:t>
      </w:r>
      <w:proofErr w:type="spellEnd"/>
      <w:r w:rsidRPr="00283996">
        <w:rPr>
          <w:lang w:val="en-US"/>
        </w:rPr>
        <w:t>, Ottawa</w:t>
      </w:r>
      <w:r w:rsidR="000912C0" w:rsidRPr="00283996">
        <w:rPr>
          <w:lang w:val="en-US"/>
        </w:rPr>
        <w:t>.</w:t>
      </w:r>
    </w:p>
    <w:p w:rsidR="008C2A05" w:rsidRPr="002035EE" w:rsidRDefault="00D619A6" w:rsidP="00077E7A">
      <w:pPr>
        <w:pStyle w:val="SCCLawFirm"/>
        <w:spacing w:after="480"/>
        <w:rPr>
          <w:lang w:val="fr-CA"/>
        </w:rPr>
      </w:pPr>
      <w:r w:rsidRPr="00283996">
        <w:rPr>
          <w:lang w:val="en-US"/>
        </w:rPr>
        <w:tab/>
      </w:r>
      <w:r w:rsidRPr="002035EE">
        <w:rPr>
          <w:lang w:val="fr-CA"/>
        </w:rPr>
        <w:t>Solicitors</w:t>
      </w:r>
      <w:r w:rsidR="000912C0" w:rsidRPr="002035EE">
        <w:rPr>
          <w:lang w:val="fr-CA"/>
        </w:rPr>
        <w:t xml:space="preserve"> for the </w:t>
      </w:r>
      <w:proofErr w:type="spellStart"/>
      <w:r w:rsidR="000912C0" w:rsidRPr="002035EE">
        <w:rPr>
          <w:lang w:val="fr-CA"/>
        </w:rPr>
        <w:t>respondent</w:t>
      </w:r>
      <w:proofErr w:type="spellEnd"/>
      <w:r w:rsidRPr="002035EE">
        <w:rPr>
          <w:lang w:val="fr-CA"/>
        </w:rPr>
        <w:t xml:space="preserve"> Société de transport de Montréal</w:t>
      </w:r>
      <w:r w:rsidR="00077E7A" w:rsidRPr="002035EE">
        <w:rPr>
          <w:lang w:val="fr-CA"/>
        </w:rPr>
        <w:t>: </w:t>
      </w:r>
      <w:r w:rsidR="000912C0" w:rsidRPr="002035EE">
        <w:rPr>
          <w:lang w:val="fr-CA"/>
        </w:rPr>
        <w:t xml:space="preserve">Joly, </w:t>
      </w:r>
      <w:proofErr w:type="spellStart"/>
      <w:r w:rsidR="00B768BE" w:rsidRPr="002035EE">
        <w:rPr>
          <w:lang w:val="fr-CA"/>
        </w:rPr>
        <w:t>Chkikar</w:t>
      </w:r>
      <w:proofErr w:type="spellEnd"/>
      <w:r w:rsidR="00B768BE" w:rsidRPr="002035EE">
        <w:rPr>
          <w:lang w:val="fr-CA"/>
        </w:rPr>
        <w:t xml:space="preserve"> </w:t>
      </w:r>
      <w:r w:rsidR="000912C0" w:rsidRPr="002035EE">
        <w:rPr>
          <w:lang w:val="fr-CA"/>
        </w:rPr>
        <w:t>&amp; Maill</w:t>
      </w:r>
      <w:r w:rsidR="00BD010E" w:rsidRPr="002035EE">
        <w:rPr>
          <w:lang w:val="fr-CA"/>
        </w:rPr>
        <w:t>é</w:t>
      </w:r>
      <w:r w:rsidR="000912C0" w:rsidRPr="002035EE">
        <w:rPr>
          <w:lang w:val="fr-CA"/>
        </w:rPr>
        <w:t>, Montréal.</w:t>
      </w:r>
    </w:p>
    <w:p w:rsidR="008C2A05" w:rsidRPr="002035EE" w:rsidRDefault="000912C0" w:rsidP="00077E7A">
      <w:pPr>
        <w:pStyle w:val="SCCLawFirm"/>
        <w:spacing w:after="480"/>
        <w:rPr>
          <w:lang w:val="fr-CA"/>
        </w:rPr>
      </w:pPr>
      <w:r w:rsidRPr="002035EE">
        <w:rPr>
          <w:lang w:val="fr-CA"/>
        </w:rPr>
        <w:tab/>
      </w:r>
      <w:r w:rsidR="00C61AC0" w:rsidRPr="002035EE">
        <w:rPr>
          <w:lang w:val="fr-CA"/>
        </w:rPr>
        <w:t>Solicitor</w:t>
      </w:r>
      <w:r w:rsidRPr="002035EE">
        <w:rPr>
          <w:lang w:val="fr-CA"/>
        </w:rPr>
        <w:t xml:space="preserve"> for the </w:t>
      </w:r>
      <w:proofErr w:type="spellStart"/>
      <w:r w:rsidRPr="002035EE">
        <w:rPr>
          <w:lang w:val="fr-CA"/>
        </w:rPr>
        <w:t>respondent</w:t>
      </w:r>
      <w:r w:rsidR="00D619A6" w:rsidRPr="002035EE">
        <w:rPr>
          <w:lang w:val="fr-CA"/>
        </w:rPr>
        <w:t>s</w:t>
      </w:r>
      <w:proofErr w:type="spellEnd"/>
      <w:r w:rsidR="00D619A6" w:rsidRPr="002035EE">
        <w:rPr>
          <w:lang w:val="fr-CA"/>
        </w:rPr>
        <w:t xml:space="preserve"> Ville de Laval and Fabio </w:t>
      </w:r>
      <w:proofErr w:type="spellStart"/>
      <w:r w:rsidR="00D619A6" w:rsidRPr="002035EE">
        <w:rPr>
          <w:lang w:val="fr-CA"/>
        </w:rPr>
        <w:t>Camacho</w:t>
      </w:r>
      <w:proofErr w:type="spellEnd"/>
      <w:r w:rsidR="00077E7A" w:rsidRPr="002035EE">
        <w:rPr>
          <w:lang w:val="fr-CA"/>
        </w:rPr>
        <w:t>: </w:t>
      </w:r>
      <w:r w:rsidR="00D619A6" w:rsidRPr="002035EE">
        <w:rPr>
          <w:lang w:val="fr-CA"/>
        </w:rPr>
        <w:t>Services des affaires juridiques de la Ville de Laval</w:t>
      </w:r>
      <w:r w:rsidRPr="002035EE">
        <w:rPr>
          <w:lang w:val="fr-CA"/>
        </w:rPr>
        <w:t>, Laval.</w:t>
      </w:r>
    </w:p>
    <w:p w:rsidR="009B57B3" w:rsidRPr="00283996" w:rsidRDefault="00D619A6" w:rsidP="00280625">
      <w:pPr>
        <w:pStyle w:val="SCCLawFirm"/>
        <w:rPr>
          <w:lang w:val="en-US"/>
        </w:rPr>
      </w:pPr>
      <w:r w:rsidRPr="002035EE">
        <w:rPr>
          <w:lang w:val="fr-CA"/>
        </w:rPr>
        <w:tab/>
      </w:r>
      <w:r w:rsidRPr="00283996">
        <w:rPr>
          <w:lang w:val="en-US"/>
        </w:rPr>
        <w:t>Solicitors</w:t>
      </w:r>
      <w:r w:rsidR="000912C0" w:rsidRPr="00283996">
        <w:rPr>
          <w:lang w:val="en-US"/>
        </w:rPr>
        <w:t xml:space="preserve"> for the intervener </w:t>
      </w:r>
      <w:r w:rsidRPr="00283996">
        <w:rPr>
          <w:lang w:val="en-US"/>
        </w:rPr>
        <w:t xml:space="preserve">the </w:t>
      </w:r>
      <w:r w:rsidR="000912C0" w:rsidRPr="00283996">
        <w:rPr>
          <w:lang w:val="en-US"/>
        </w:rPr>
        <w:t>Canadia</w:t>
      </w:r>
      <w:r w:rsidR="00077E7A" w:rsidRPr="00283996">
        <w:rPr>
          <w:lang w:val="en-US"/>
        </w:rPr>
        <w:t>n Civil Liberties Association: </w:t>
      </w:r>
      <w:proofErr w:type="spellStart"/>
      <w:r w:rsidR="000912C0" w:rsidRPr="00283996">
        <w:rPr>
          <w:lang w:val="en-US"/>
        </w:rPr>
        <w:t>Torys</w:t>
      </w:r>
      <w:proofErr w:type="spellEnd"/>
      <w:r w:rsidR="000912C0" w:rsidRPr="00283996">
        <w:rPr>
          <w:lang w:val="en-US"/>
        </w:rPr>
        <w:t>, Montré</w:t>
      </w:r>
      <w:r w:rsidR="007E61AD" w:rsidRPr="00283996">
        <w:rPr>
          <w:lang w:val="en-US"/>
        </w:rPr>
        <w:t>al.</w:t>
      </w:r>
    </w:p>
    <w:sectPr w:rsidR="009B57B3" w:rsidRPr="00283996"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76" w:rsidRDefault="003F5476">
      <w:r>
        <w:separator/>
      </w:r>
    </w:p>
  </w:endnote>
  <w:endnote w:type="continuationSeparator" w:id="0">
    <w:p w:rsidR="003F5476" w:rsidRDefault="003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LT">
    <w:altName w:val="Times L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1E" w:rsidRDefault="00250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1E" w:rsidRDefault="00250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1E" w:rsidRDefault="0025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76" w:rsidRDefault="003F5476">
      <w:r>
        <w:separator/>
      </w:r>
    </w:p>
  </w:footnote>
  <w:footnote w:type="continuationSeparator" w:id="0">
    <w:p w:rsidR="003F5476" w:rsidRDefault="003F5476">
      <w:r>
        <w:continuationSeparator/>
      </w:r>
    </w:p>
  </w:footnote>
  <w:footnote w:id="1">
    <w:p w:rsidR="000A3F4C" w:rsidRPr="003D198E" w:rsidRDefault="000A3F4C" w:rsidP="003011EC">
      <w:pPr>
        <w:pStyle w:val="FootnoteText"/>
      </w:pPr>
      <w:r w:rsidRPr="003D198E">
        <w:rPr>
          <w:rStyle w:val="FootnoteReference"/>
        </w:rPr>
        <w:footnoteRef/>
      </w:r>
      <w:r>
        <w:t>  </w:t>
      </w:r>
      <w:r w:rsidRPr="003D198E">
        <w:t xml:space="preserve">Sections 48 and 69 of the </w:t>
      </w:r>
      <w:r w:rsidRPr="003D198E">
        <w:rPr>
          <w:rFonts w:eastAsiaTheme="majorEastAsia"/>
          <w:i/>
        </w:rPr>
        <w:t>Police Act</w:t>
      </w:r>
      <w:r w:rsidRPr="003D198E">
        <w:t xml:space="preserve"> make municipal police officers responsible for the enforcement of municipal by</w:t>
      </w:r>
      <w:r w:rsidRPr="003D198E">
        <w:noBreakHyphen/>
        <w:t>laws in the territory of a municipality. In addition, STM resolution CA</w:t>
      </w:r>
      <w:r w:rsidRPr="003D198E">
        <w:noBreakHyphen/>
        <w:t>2007</w:t>
      </w:r>
      <w:r w:rsidRPr="003D198E">
        <w:noBreakHyphen/>
        <w:t>100 specifically designates the City</w:t>
      </w:r>
      <w:r>
        <w:t>’</w:t>
      </w:r>
      <w:r w:rsidRPr="003D198E">
        <w:t>s police officers to act as STM inspectors pursuant to s. </w:t>
      </w:r>
      <w:r>
        <w:t>1</w:t>
      </w:r>
      <w:r w:rsidRPr="003D198E">
        <w:t xml:space="preserve">40 of the </w:t>
      </w:r>
      <w:r w:rsidRPr="003D198E">
        <w:rPr>
          <w:i/>
        </w:rPr>
        <w:t>Act respecting public transit authorities</w:t>
      </w:r>
      <w:r w:rsidRPr="003D198E">
        <w:t>. That resolution provides that the City</w:t>
      </w:r>
      <w:r>
        <w:t>’</w:t>
      </w:r>
      <w:r w:rsidRPr="003D198E">
        <w:t>s police officers will enforce By</w:t>
      </w:r>
      <w:r w:rsidRPr="003D198E">
        <w:noBreakHyphen/>
        <w:t>law R</w:t>
      </w:r>
      <w:r w:rsidRPr="003D198E">
        <w:noBreakHyphen/>
        <w:t>036.</w:t>
      </w:r>
    </w:p>
  </w:footnote>
  <w:footnote w:id="2">
    <w:p w:rsidR="000A3F4C" w:rsidRPr="003D198E" w:rsidRDefault="000A3F4C" w:rsidP="003011EC">
      <w:pPr>
        <w:pStyle w:val="FootnoteText"/>
        <w:ind w:left="180"/>
      </w:pPr>
      <w:r w:rsidRPr="003D198E">
        <w:rPr>
          <w:rStyle w:val="FootnoteReference"/>
        </w:rPr>
        <w:footnoteRef/>
      </w:r>
      <w:r>
        <w:t>  </w:t>
      </w:r>
      <w:r w:rsidRPr="003D198E">
        <w:t xml:space="preserve">Article 17 </w:t>
      </w:r>
      <w:r>
        <w:t xml:space="preserve">(now art. 26) </w:t>
      </w:r>
      <w:r w:rsidRPr="003D198E">
        <w:t>of By</w:t>
      </w:r>
      <w:r w:rsidRPr="003D198E">
        <w:noBreakHyphen/>
        <w:t>law R</w:t>
      </w:r>
      <w:r w:rsidRPr="003D198E">
        <w:noBreakHyphen/>
        <w:t>036 provide</w:t>
      </w:r>
      <w:r>
        <w:t>d</w:t>
      </w:r>
      <w:r w:rsidRPr="003D198E">
        <w:t xml:space="preserve"> that anyone who contravene</w:t>
      </w:r>
      <w:r>
        <w:t>s</w:t>
      </w:r>
      <w:r w:rsidRPr="003D198E">
        <w:t xml:space="preserve"> art. 4(e) commit</w:t>
      </w:r>
      <w:r>
        <w:t>s</w:t>
      </w:r>
      <w:r w:rsidRPr="003D198E">
        <w:t xml:space="preserve"> an offence and is l</w:t>
      </w:r>
      <w:r>
        <w:t>iable to a fine of $75 to $500.</w:t>
      </w:r>
    </w:p>
  </w:footnote>
  <w:footnote w:id="3">
    <w:p w:rsidR="000A3F4C" w:rsidRPr="006A1C19" w:rsidRDefault="000A3F4C" w:rsidP="003011EC">
      <w:pPr>
        <w:pStyle w:val="FootnoteText"/>
        <w:rPr>
          <w:lang w:val="en-US"/>
        </w:rPr>
      </w:pPr>
      <w:r w:rsidRPr="006A1C19">
        <w:rPr>
          <w:rStyle w:val="FootnoteReference"/>
        </w:rPr>
        <w:footnoteRef/>
      </w:r>
      <w:r>
        <w:t>  </w:t>
      </w:r>
      <w:r w:rsidRPr="00777769">
        <w:t xml:space="preserve">The preamble to the English version of </w:t>
      </w:r>
      <w:r>
        <w:t>B</w:t>
      </w:r>
      <w:r w:rsidRPr="00777769">
        <w:t>y</w:t>
      </w:r>
      <w:r w:rsidRPr="00777769">
        <w:noBreakHyphen/>
        <w:t>law</w:t>
      </w:r>
      <w:r w:rsidRPr="006A1C19">
        <w:t xml:space="preserve"> </w:t>
      </w:r>
      <w:r>
        <w:t>R</w:t>
      </w:r>
      <w:r>
        <w:noBreakHyphen/>
        <w:t xml:space="preserve">036 </w:t>
      </w:r>
      <w:r w:rsidRPr="006A1C19">
        <w:t>states the following: “</w:t>
      </w:r>
      <w:r w:rsidR="000F209F">
        <w:t>T</w:t>
      </w:r>
      <w:r w:rsidRPr="006A1C19">
        <w:t xml:space="preserve">his administrative </w:t>
      </w:r>
      <w:proofErr w:type="gramStart"/>
      <w:r w:rsidRPr="006A1C19">
        <w:t>consolidation .</w:t>
      </w:r>
      <w:proofErr w:type="gramEnd"/>
      <w:r w:rsidRPr="006A1C19">
        <w:t> . . is a reference document and should not be considered an official version of the By</w:t>
      </w:r>
      <w:r w:rsidRPr="006A1C19">
        <w:noBreakHyphen/>
        <w:t xml:space="preserve">law. </w:t>
      </w:r>
      <w:r w:rsidRPr="006A1C19">
        <w:rPr>
          <w:lang w:val="en-US"/>
        </w:rPr>
        <w:t>Please refer to the official French text of the By</w:t>
      </w:r>
      <w:r w:rsidRPr="006A1C19">
        <w:rPr>
          <w:lang w:val="en-US"/>
        </w:rPr>
        <w:noBreakHyphen/>
        <w:t>law and its amendm</w:t>
      </w:r>
      <w:r>
        <w:rPr>
          <w:lang w:val="en-US"/>
        </w:rPr>
        <w:t>ent as the official documents.”</w:t>
      </w:r>
    </w:p>
  </w:footnote>
  <w:footnote w:id="4">
    <w:p w:rsidR="000A3F4C" w:rsidRPr="00EA1AC2" w:rsidRDefault="000A3F4C" w:rsidP="003011EC">
      <w:pPr>
        <w:pStyle w:val="FootnoteText"/>
      </w:pPr>
      <w:r w:rsidRPr="003D198E">
        <w:rPr>
          <w:rStyle w:val="FootnoteReference"/>
        </w:rPr>
        <w:footnoteRef/>
      </w:r>
      <w:r>
        <w:t>  </w:t>
      </w:r>
      <w:r w:rsidRPr="003D198E">
        <w:t xml:space="preserve">As the dissenting Court of Appeal judge noted (para. 69), another element that tends to confirm this interpretation is the actual source of the pictogram, which is a reproduction of figure 6.1.6.9.1 in the </w:t>
      </w:r>
      <w:r w:rsidRPr="003D198E">
        <w:rPr>
          <w:i/>
        </w:rPr>
        <w:t>Safety Code for Elevators</w:t>
      </w:r>
      <w:r w:rsidRPr="003D198E">
        <w:t>, CAN/CSA B44</w:t>
      </w:r>
      <w:r w:rsidRPr="003D198E">
        <w:noBreakHyphen/>
        <w:t xml:space="preserve">00. That code — which is referred to in the </w:t>
      </w:r>
      <w:r w:rsidRPr="003D198E">
        <w:rPr>
          <w:i/>
        </w:rPr>
        <w:t>Construction Code</w:t>
      </w:r>
      <w:r w:rsidRPr="003D198E">
        <w:t>, CQLR, c. B</w:t>
      </w:r>
      <w:r w:rsidRPr="003D198E">
        <w:noBreakHyphen/>
        <w:t xml:space="preserve">1.1, r. 2, and the </w:t>
      </w:r>
      <w:r w:rsidRPr="003D198E">
        <w:rPr>
          <w:i/>
        </w:rPr>
        <w:t>Safety Code</w:t>
      </w:r>
      <w:r w:rsidRPr="003D198E">
        <w:t>, CQLR, c. B</w:t>
      </w:r>
      <w:r w:rsidRPr="003D198E">
        <w:noBreakHyphen/>
        <w:t xml:space="preserve">1.1, r. 3 — describes the picture suggesting that the handrail be held as a “caution sign”. </w:t>
      </w:r>
      <w:r w:rsidRPr="003D198E">
        <w:rPr>
          <w:lang w:val="en-US"/>
        </w:rPr>
        <w:t>I recognize, however, that the source of the pictogram is not determinative in assessing Constable Camacho</w:t>
      </w:r>
      <w:r>
        <w:rPr>
          <w:lang w:val="en-US"/>
        </w:rPr>
        <w:t>’</w:t>
      </w:r>
      <w:r w:rsidRPr="003D198E">
        <w:rPr>
          <w:lang w:val="en-US"/>
        </w:rPr>
        <w:t>s 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1E" w:rsidRDefault="00250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4C" w:rsidRPr="00450352" w:rsidRDefault="000A3F4C"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1E" w:rsidRDefault="00250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0E7F3E"/>
    <w:multiLevelType w:val="hybridMultilevel"/>
    <w:tmpl w:val="82880B22"/>
    <w:lvl w:ilvl="0" w:tplc="50C88A6A">
      <w:start w:val="1"/>
      <w:numFmt w:val="bullet"/>
      <w:lvlText w:val="-"/>
      <w:lvlJc w:val="left"/>
      <w:pPr>
        <w:ind w:left="2160" w:hanging="360"/>
      </w:pPr>
      <w:rPr>
        <w:rFonts w:ascii="Times New Roman" w:eastAsiaTheme="minorHAnsi" w:hAnsi="Times New Roman" w:cs="Times New Roman"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 w15:restartNumberingAfterBreak="0">
    <w:nsid w:val="4603130A"/>
    <w:multiLevelType w:val="multilevel"/>
    <w:tmpl w:val="2B2C87B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2A08168"/>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lang w:val="en-US"/>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2"/>
    </w:lvlOverride>
  </w:num>
  <w:num w:numId="11">
    <w:abstractNumId w:val="6"/>
  </w:num>
  <w:num w:numId="12">
    <w:abstractNumId w:val="6"/>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3D5"/>
    <w:rsid w:val="00000DBA"/>
    <w:rsid w:val="00000ED4"/>
    <w:rsid w:val="00004072"/>
    <w:rsid w:val="000045CC"/>
    <w:rsid w:val="00005E63"/>
    <w:rsid w:val="00011444"/>
    <w:rsid w:val="000173B0"/>
    <w:rsid w:val="00025198"/>
    <w:rsid w:val="00027C7E"/>
    <w:rsid w:val="000303F5"/>
    <w:rsid w:val="00036236"/>
    <w:rsid w:val="0004126A"/>
    <w:rsid w:val="000533B1"/>
    <w:rsid w:val="00056D03"/>
    <w:rsid w:val="000578A3"/>
    <w:rsid w:val="00060F80"/>
    <w:rsid w:val="000642D3"/>
    <w:rsid w:val="000648CC"/>
    <w:rsid w:val="00066931"/>
    <w:rsid w:val="00077E7A"/>
    <w:rsid w:val="000827C0"/>
    <w:rsid w:val="00083DD8"/>
    <w:rsid w:val="000912C0"/>
    <w:rsid w:val="00095CFA"/>
    <w:rsid w:val="000A3F4C"/>
    <w:rsid w:val="000B0734"/>
    <w:rsid w:val="000B3FAC"/>
    <w:rsid w:val="000C23D4"/>
    <w:rsid w:val="000C31B5"/>
    <w:rsid w:val="000C3619"/>
    <w:rsid w:val="000C3A45"/>
    <w:rsid w:val="000C59B8"/>
    <w:rsid w:val="000C5BA3"/>
    <w:rsid w:val="000C6AF0"/>
    <w:rsid w:val="000C7FE0"/>
    <w:rsid w:val="000D46A1"/>
    <w:rsid w:val="000E12C4"/>
    <w:rsid w:val="000F209F"/>
    <w:rsid w:val="000F5E66"/>
    <w:rsid w:val="00100DED"/>
    <w:rsid w:val="00101349"/>
    <w:rsid w:val="00104F33"/>
    <w:rsid w:val="00105918"/>
    <w:rsid w:val="00111CAA"/>
    <w:rsid w:val="00111DE2"/>
    <w:rsid w:val="00116B38"/>
    <w:rsid w:val="00122630"/>
    <w:rsid w:val="00135406"/>
    <w:rsid w:val="00135972"/>
    <w:rsid w:val="001426A9"/>
    <w:rsid w:val="0014369E"/>
    <w:rsid w:val="00153DF2"/>
    <w:rsid w:val="00154972"/>
    <w:rsid w:val="00154D7C"/>
    <w:rsid w:val="001570B0"/>
    <w:rsid w:val="0015752C"/>
    <w:rsid w:val="00157737"/>
    <w:rsid w:val="00163548"/>
    <w:rsid w:val="00165277"/>
    <w:rsid w:val="00170592"/>
    <w:rsid w:val="00172F79"/>
    <w:rsid w:val="00174D30"/>
    <w:rsid w:val="00186351"/>
    <w:rsid w:val="00195D83"/>
    <w:rsid w:val="001978DE"/>
    <w:rsid w:val="001A00C1"/>
    <w:rsid w:val="001A23D5"/>
    <w:rsid w:val="001A2F25"/>
    <w:rsid w:val="001B33E0"/>
    <w:rsid w:val="001B4573"/>
    <w:rsid w:val="001B652F"/>
    <w:rsid w:val="001C779F"/>
    <w:rsid w:val="001D2AC1"/>
    <w:rsid w:val="001D4E88"/>
    <w:rsid w:val="001E3162"/>
    <w:rsid w:val="001E3811"/>
    <w:rsid w:val="001E79D6"/>
    <w:rsid w:val="001E7C5A"/>
    <w:rsid w:val="001F2CF0"/>
    <w:rsid w:val="002001FC"/>
    <w:rsid w:val="002035EE"/>
    <w:rsid w:val="00216B6F"/>
    <w:rsid w:val="00220FC2"/>
    <w:rsid w:val="002222F4"/>
    <w:rsid w:val="002225B7"/>
    <w:rsid w:val="0022261F"/>
    <w:rsid w:val="00224109"/>
    <w:rsid w:val="00224D7A"/>
    <w:rsid w:val="00224FC0"/>
    <w:rsid w:val="00225EA4"/>
    <w:rsid w:val="00226EAF"/>
    <w:rsid w:val="00231F3A"/>
    <w:rsid w:val="00234199"/>
    <w:rsid w:val="002406EE"/>
    <w:rsid w:val="00243EC8"/>
    <w:rsid w:val="00247BDF"/>
    <w:rsid w:val="0025011E"/>
    <w:rsid w:val="002523E0"/>
    <w:rsid w:val="00256503"/>
    <w:rsid w:val="00270D93"/>
    <w:rsid w:val="002745CC"/>
    <w:rsid w:val="00280625"/>
    <w:rsid w:val="00283996"/>
    <w:rsid w:val="002901AA"/>
    <w:rsid w:val="00290D09"/>
    <w:rsid w:val="00292D94"/>
    <w:rsid w:val="00295817"/>
    <w:rsid w:val="002A793A"/>
    <w:rsid w:val="002B084B"/>
    <w:rsid w:val="002B2D8D"/>
    <w:rsid w:val="002B3B01"/>
    <w:rsid w:val="002B7924"/>
    <w:rsid w:val="002C32B2"/>
    <w:rsid w:val="002D118E"/>
    <w:rsid w:val="002D28C3"/>
    <w:rsid w:val="002D39A4"/>
    <w:rsid w:val="002D3A52"/>
    <w:rsid w:val="002D4A9F"/>
    <w:rsid w:val="002D53E1"/>
    <w:rsid w:val="002D7E1E"/>
    <w:rsid w:val="002E2117"/>
    <w:rsid w:val="002E6705"/>
    <w:rsid w:val="002F35B7"/>
    <w:rsid w:val="002F5FAF"/>
    <w:rsid w:val="00300A82"/>
    <w:rsid w:val="003011EC"/>
    <w:rsid w:val="00301D08"/>
    <w:rsid w:val="0030228B"/>
    <w:rsid w:val="0030329A"/>
    <w:rsid w:val="0031086F"/>
    <w:rsid w:val="0031414C"/>
    <w:rsid w:val="00314E01"/>
    <w:rsid w:val="00316C13"/>
    <w:rsid w:val="0032089D"/>
    <w:rsid w:val="00320F60"/>
    <w:rsid w:val="00321401"/>
    <w:rsid w:val="00323092"/>
    <w:rsid w:val="003310DE"/>
    <w:rsid w:val="003323B0"/>
    <w:rsid w:val="00335D6E"/>
    <w:rsid w:val="0034002A"/>
    <w:rsid w:val="003455CC"/>
    <w:rsid w:val="0034706B"/>
    <w:rsid w:val="0035169A"/>
    <w:rsid w:val="0035259D"/>
    <w:rsid w:val="00356FD3"/>
    <w:rsid w:val="00362714"/>
    <w:rsid w:val="003643E6"/>
    <w:rsid w:val="00364B18"/>
    <w:rsid w:val="00372257"/>
    <w:rsid w:val="0037375A"/>
    <w:rsid w:val="0037544D"/>
    <w:rsid w:val="003756FB"/>
    <w:rsid w:val="00376466"/>
    <w:rsid w:val="00383466"/>
    <w:rsid w:val="00392F61"/>
    <w:rsid w:val="00393692"/>
    <w:rsid w:val="0039481C"/>
    <w:rsid w:val="00396D69"/>
    <w:rsid w:val="003A125D"/>
    <w:rsid w:val="003A2801"/>
    <w:rsid w:val="003A4C70"/>
    <w:rsid w:val="003A79B8"/>
    <w:rsid w:val="003B215F"/>
    <w:rsid w:val="003B272E"/>
    <w:rsid w:val="003B34E2"/>
    <w:rsid w:val="003C61A7"/>
    <w:rsid w:val="003C799C"/>
    <w:rsid w:val="003D0399"/>
    <w:rsid w:val="003E10CB"/>
    <w:rsid w:val="003E1C71"/>
    <w:rsid w:val="003E400A"/>
    <w:rsid w:val="003E41BE"/>
    <w:rsid w:val="003E73CA"/>
    <w:rsid w:val="003F0B29"/>
    <w:rsid w:val="003F327B"/>
    <w:rsid w:val="003F5476"/>
    <w:rsid w:val="003F6FB7"/>
    <w:rsid w:val="0040321F"/>
    <w:rsid w:val="00405ABD"/>
    <w:rsid w:val="00406166"/>
    <w:rsid w:val="0040704B"/>
    <w:rsid w:val="0041025E"/>
    <w:rsid w:val="00410A55"/>
    <w:rsid w:val="00411300"/>
    <w:rsid w:val="00411BA3"/>
    <w:rsid w:val="00415417"/>
    <w:rsid w:val="0042152C"/>
    <w:rsid w:val="00423B85"/>
    <w:rsid w:val="00426659"/>
    <w:rsid w:val="00432257"/>
    <w:rsid w:val="00440DF3"/>
    <w:rsid w:val="004449BE"/>
    <w:rsid w:val="0044610B"/>
    <w:rsid w:val="00447152"/>
    <w:rsid w:val="00450352"/>
    <w:rsid w:val="004506FD"/>
    <w:rsid w:val="00451C3C"/>
    <w:rsid w:val="00454BDB"/>
    <w:rsid w:val="00464800"/>
    <w:rsid w:val="00465132"/>
    <w:rsid w:val="004667E7"/>
    <w:rsid w:val="0047537B"/>
    <w:rsid w:val="00480C90"/>
    <w:rsid w:val="0048396F"/>
    <w:rsid w:val="00493C18"/>
    <w:rsid w:val="0049640E"/>
    <w:rsid w:val="004A2697"/>
    <w:rsid w:val="004A600C"/>
    <w:rsid w:val="004A6118"/>
    <w:rsid w:val="004B2708"/>
    <w:rsid w:val="004B4CE5"/>
    <w:rsid w:val="004B7E77"/>
    <w:rsid w:val="004C478D"/>
    <w:rsid w:val="004C5ECD"/>
    <w:rsid w:val="004C6F80"/>
    <w:rsid w:val="004E0851"/>
    <w:rsid w:val="004E2C26"/>
    <w:rsid w:val="004F271A"/>
    <w:rsid w:val="004F36FF"/>
    <w:rsid w:val="004F4496"/>
    <w:rsid w:val="005125A8"/>
    <w:rsid w:val="00512B77"/>
    <w:rsid w:val="00513ABD"/>
    <w:rsid w:val="00521AE8"/>
    <w:rsid w:val="00522FDE"/>
    <w:rsid w:val="00526A48"/>
    <w:rsid w:val="00527180"/>
    <w:rsid w:val="005319BC"/>
    <w:rsid w:val="00533968"/>
    <w:rsid w:val="0054201E"/>
    <w:rsid w:val="00544C8A"/>
    <w:rsid w:val="00544DCE"/>
    <w:rsid w:val="0054618A"/>
    <w:rsid w:val="00555291"/>
    <w:rsid w:val="00557936"/>
    <w:rsid w:val="005613B5"/>
    <w:rsid w:val="00562C16"/>
    <w:rsid w:val="00566AD1"/>
    <w:rsid w:val="00566F9A"/>
    <w:rsid w:val="00574C63"/>
    <w:rsid w:val="005776BC"/>
    <w:rsid w:val="00577F8D"/>
    <w:rsid w:val="00583EDE"/>
    <w:rsid w:val="00594B53"/>
    <w:rsid w:val="005A23E3"/>
    <w:rsid w:val="005A6079"/>
    <w:rsid w:val="005D3171"/>
    <w:rsid w:val="005E1AFC"/>
    <w:rsid w:val="005E4698"/>
    <w:rsid w:val="005E4944"/>
    <w:rsid w:val="005F1D5C"/>
    <w:rsid w:val="005F2403"/>
    <w:rsid w:val="005F2CED"/>
    <w:rsid w:val="00600CA3"/>
    <w:rsid w:val="00605857"/>
    <w:rsid w:val="00610539"/>
    <w:rsid w:val="0061224E"/>
    <w:rsid w:val="00613969"/>
    <w:rsid w:val="00614972"/>
    <w:rsid w:val="006156D0"/>
    <w:rsid w:val="006157EC"/>
    <w:rsid w:val="0062208F"/>
    <w:rsid w:val="00625C35"/>
    <w:rsid w:val="00643699"/>
    <w:rsid w:val="00656313"/>
    <w:rsid w:val="006565F4"/>
    <w:rsid w:val="00657EAA"/>
    <w:rsid w:val="006818B5"/>
    <w:rsid w:val="00684D80"/>
    <w:rsid w:val="00684EEA"/>
    <w:rsid w:val="006878C0"/>
    <w:rsid w:val="0069518A"/>
    <w:rsid w:val="0069689B"/>
    <w:rsid w:val="006A1551"/>
    <w:rsid w:val="006A535A"/>
    <w:rsid w:val="006A5BFA"/>
    <w:rsid w:val="006B0D89"/>
    <w:rsid w:val="006B1333"/>
    <w:rsid w:val="006B134E"/>
    <w:rsid w:val="006B5FF5"/>
    <w:rsid w:val="006B6A88"/>
    <w:rsid w:val="006C293F"/>
    <w:rsid w:val="006C35BB"/>
    <w:rsid w:val="006C58C3"/>
    <w:rsid w:val="006D0B7A"/>
    <w:rsid w:val="006D1C4C"/>
    <w:rsid w:val="006D3042"/>
    <w:rsid w:val="006D4F61"/>
    <w:rsid w:val="006D54A4"/>
    <w:rsid w:val="006D5DFC"/>
    <w:rsid w:val="006F16D1"/>
    <w:rsid w:val="006F30AF"/>
    <w:rsid w:val="00701291"/>
    <w:rsid w:val="00701759"/>
    <w:rsid w:val="00702A08"/>
    <w:rsid w:val="00705C15"/>
    <w:rsid w:val="00706403"/>
    <w:rsid w:val="0071600E"/>
    <w:rsid w:val="00717B3C"/>
    <w:rsid w:val="007208D1"/>
    <w:rsid w:val="00720C23"/>
    <w:rsid w:val="00727081"/>
    <w:rsid w:val="00727EB7"/>
    <w:rsid w:val="0073104E"/>
    <w:rsid w:val="007317CB"/>
    <w:rsid w:val="00736386"/>
    <w:rsid w:val="00747288"/>
    <w:rsid w:val="007475BA"/>
    <w:rsid w:val="0074778C"/>
    <w:rsid w:val="00747DD3"/>
    <w:rsid w:val="00750A20"/>
    <w:rsid w:val="00751BCA"/>
    <w:rsid w:val="007549C8"/>
    <w:rsid w:val="00754A0B"/>
    <w:rsid w:val="00755A16"/>
    <w:rsid w:val="00757E06"/>
    <w:rsid w:val="00766D14"/>
    <w:rsid w:val="00767A0F"/>
    <w:rsid w:val="0077113B"/>
    <w:rsid w:val="00781B68"/>
    <w:rsid w:val="00787CB3"/>
    <w:rsid w:val="007A05F6"/>
    <w:rsid w:val="007A56E7"/>
    <w:rsid w:val="007A7F84"/>
    <w:rsid w:val="007B0C40"/>
    <w:rsid w:val="007B69F3"/>
    <w:rsid w:val="007B6F4A"/>
    <w:rsid w:val="007B7F79"/>
    <w:rsid w:val="007D0FC5"/>
    <w:rsid w:val="007D44D3"/>
    <w:rsid w:val="007E1370"/>
    <w:rsid w:val="007E1432"/>
    <w:rsid w:val="007E1C47"/>
    <w:rsid w:val="007E337A"/>
    <w:rsid w:val="007E5C70"/>
    <w:rsid w:val="007E61AD"/>
    <w:rsid w:val="007F2FF5"/>
    <w:rsid w:val="007F3F08"/>
    <w:rsid w:val="00802781"/>
    <w:rsid w:val="00804CC6"/>
    <w:rsid w:val="00810DEF"/>
    <w:rsid w:val="0081454F"/>
    <w:rsid w:val="00817190"/>
    <w:rsid w:val="00820EE5"/>
    <w:rsid w:val="0082147D"/>
    <w:rsid w:val="008260E2"/>
    <w:rsid w:val="008322BD"/>
    <w:rsid w:val="00833E0A"/>
    <w:rsid w:val="00834F73"/>
    <w:rsid w:val="00843CAF"/>
    <w:rsid w:val="00851D31"/>
    <w:rsid w:val="008530CE"/>
    <w:rsid w:val="00864CF8"/>
    <w:rsid w:val="00864E34"/>
    <w:rsid w:val="00866BC4"/>
    <w:rsid w:val="00872819"/>
    <w:rsid w:val="00874914"/>
    <w:rsid w:val="0088481B"/>
    <w:rsid w:val="00891422"/>
    <w:rsid w:val="00892E1A"/>
    <w:rsid w:val="00893964"/>
    <w:rsid w:val="008A2CA2"/>
    <w:rsid w:val="008A3F29"/>
    <w:rsid w:val="008B660A"/>
    <w:rsid w:val="008C01DA"/>
    <w:rsid w:val="008C2A05"/>
    <w:rsid w:val="008C54A8"/>
    <w:rsid w:val="008D428F"/>
    <w:rsid w:val="008D5F61"/>
    <w:rsid w:val="008D6BFD"/>
    <w:rsid w:val="008E7036"/>
    <w:rsid w:val="008F78E9"/>
    <w:rsid w:val="0090229C"/>
    <w:rsid w:val="009034D6"/>
    <w:rsid w:val="0090629D"/>
    <w:rsid w:val="00911715"/>
    <w:rsid w:val="00911989"/>
    <w:rsid w:val="0091619E"/>
    <w:rsid w:val="009179F9"/>
    <w:rsid w:val="00925C57"/>
    <w:rsid w:val="00932A75"/>
    <w:rsid w:val="00933E5E"/>
    <w:rsid w:val="00935218"/>
    <w:rsid w:val="009403F3"/>
    <w:rsid w:val="00940854"/>
    <w:rsid w:val="00946350"/>
    <w:rsid w:val="00946381"/>
    <w:rsid w:val="009555B7"/>
    <w:rsid w:val="009567AA"/>
    <w:rsid w:val="00961D4A"/>
    <w:rsid w:val="00964723"/>
    <w:rsid w:val="00967374"/>
    <w:rsid w:val="00967AAD"/>
    <w:rsid w:val="0097353D"/>
    <w:rsid w:val="00974C00"/>
    <w:rsid w:val="00981263"/>
    <w:rsid w:val="0098343A"/>
    <w:rsid w:val="009918F3"/>
    <w:rsid w:val="00996EC5"/>
    <w:rsid w:val="009A343A"/>
    <w:rsid w:val="009B0B52"/>
    <w:rsid w:val="009B2EF3"/>
    <w:rsid w:val="009B2F23"/>
    <w:rsid w:val="009B562D"/>
    <w:rsid w:val="009B57B3"/>
    <w:rsid w:val="009C2D52"/>
    <w:rsid w:val="009C5B92"/>
    <w:rsid w:val="009D055F"/>
    <w:rsid w:val="009D2920"/>
    <w:rsid w:val="009D5AEB"/>
    <w:rsid w:val="009E34F8"/>
    <w:rsid w:val="009E471A"/>
    <w:rsid w:val="009E5125"/>
    <w:rsid w:val="009F0E33"/>
    <w:rsid w:val="009F5257"/>
    <w:rsid w:val="009F7A43"/>
    <w:rsid w:val="00A030CE"/>
    <w:rsid w:val="00A03DDE"/>
    <w:rsid w:val="00A149DF"/>
    <w:rsid w:val="00A1755C"/>
    <w:rsid w:val="00A21B90"/>
    <w:rsid w:val="00A348D0"/>
    <w:rsid w:val="00A41805"/>
    <w:rsid w:val="00A42DCD"/>
    <w:rsid w:val="00A44554"/>
    <w:rsid w:val="00A50225"/>
    <w:rsid w:val="00A52AFB"/>
    <w:rsid w:val="00A53DEA"/>
    <w:rsid w:val="00A548CB"/>
    <w:rsid w:val="00A5521C"/>
    <w:rsid w:val="00A5675E"/>
    <w:rsid w:val="00A572FB"/>
    <w:rsid w:val="00A61FF1"/>
    <w:rsid w:val="00A63E4C"/>
    <w:rsid w:val="00A643E7"/>
    <w:rsid w:val="00A73C38"/>
    <w:rsid w:val="00A76920"/>
    <w:rsid w:val="00A76A6C"/>
    <w:rsid w:val="00A77236"/>
    <w:rsid w:val="00A87159"/>
    <w:rsid w:val="00A943F0"/>
    <w:rsid w:val="00AA25D6"/>
    <w:rsid w:val="00AA326F"/>
    <w:rsid w:val="00AB4060"/>
    <w:rsid w:val="00AB5C72"/>
    <w:rsid w:val="00AB670D"/>
    <w:rsid w:val="00AD005D"/>
    <w:rsid w:val="00AD57AC"/>
    <w:rsid w:val="00AD6C70"/>
    <w:rsid w:val="00AD706C"/>
    <w:rsid w:val="00AE4535"/>
    <w:rsid w:val="00AF03C5"/>
    <w:rsid w:val="00AF1A31"/>
    <w:rsid w:val="00AF6AA7"/>
    <w:rsid w:val="00B000D8"/>
    <w:rsid w:val="00B00F75"/>
    <w:rsid w:val="00B04B8F"/>
    <w:rsid w:val="00B101B7"/>
    <w:rsid w:val="00B13425"/>
    <w:rsid w:val="00B145B6"/>
    <w:rsid w:val="00B2671E"/>
    <w:rsid w:val="00B279EB"/>
    <w:rsid w:val="00B342F3"/>
    <w:rsid w:val="00B361A7"/>
    <w:rsid w:val="00B37E0D"/>
    <w:rsid w:val="00B46C7D"/>
    <w:rsid w:val="00B50C81"/>
    <w:rsid w:val="00B557F8"/>
    <w:rsid w:val="00B716FB"/>
    <w:rsid w:val="00B73495"/>
    <w:rsid w:val="00B76416"/>
    <w:rsid w:val="00B768BE"/>
    <w:rsid w:val="00B815FC"/>
    <w:rsid w:val="00B86263"/>
    <w:rsid w:val="00B91326"/>
    <w:rsid w:val="00B93FBC"/>
    <w:rsid w:val="00B96543"/>
    <w:rsid w:val="00BA3BD8"/>
    <w:rsid w:val="00BA7DA0"/>
    <w:rsid w:val="00BB0B8C"/>
    <w:rsid w:val="00BB2EE4"/>
    <w:rsid w:val="00BB40CE"/>
    <w:rsid w:val="00BB5114"/>
    <w:rsid w:val="00BC1C68"/>
    <w:rsid w:val="00BC2108"/>
    <w:rsid w:val="00BC4401"/>
    <w:rsid w:val="00BD010E"/>
    <w:rsid w:val="00BD01B7"/>
    <w:rsid w:val="00BD0E9E"/>
    <w:rsid w:val="00BD1BEC"/>
    <w:rsid w:val="00BD2F20"/>
    <w:rsid w:val="00BD32FF"/>
    <w:rsid w:val="00BD3FFC"/>
    <w:rsid w:val="00BD457F"/>
    <w:rsid w:val="00BD7BDB"/>
    <w:rsid w:val="00BE4D04"/>
    <w:rsid w:val="00BE79B9"/>
    <w:rsid w:val="00BF107E"/>
    <w:rsid w:val="00BF10B5"/>
    <w:rsid w:val="00BF3561"/>
    <w:rsid w:val="00C003E8"/>
    <w:rsid w:val="00C01D47"/>
    <w:rsid w:val="00C02092"/>
    <w:rsid w:val="00C0245A"/>
    <w:rsid w:val="00C141CE"/>
    <w:rsid w:val="00C23A5F"/>
    <w:rsid w:val="00C24283"/>
    <w:rsid w:val="00C24D91"/>
    <w:rsid w:val="00C2513B"/>
    <w:rsid w:val="00C25F49"/>
    <w:rsid w:val="00C327A7"/>
    <w:rsid w:val="00C4493A"/>
    <w:rsid w:val="00C45F3A"/>
    <w:rsid w:val="00C4798D"/>
    <w:rsid w:val="00C53F14"/>
    <w:rsid w:val="00C600CF"/>
    <w:rsid w:val="00C607BD"/>
    <w:rsid w:val="00C6084F"/>
    <w:rsid w:val="00C60D20"/>
    <w:rsid w:val="00C61AC0"/>
    <w:rsid w:val="00C61E2B"/>
    <w:rsid w:val="00C62A66"/>
    <w:rsid w:val="00C66DB8"/>
    <w:rsid w:val="00C71458"/>
    <w:rsid w:val="00C73C0D"/>
    <w:rsid w:val="00C77613"/>
    <w:rsid w:val="00C828E7"/>
    <w:rsid w:val="00C84BFE"/>
    <w:rsid w:val="00C85483"/>
    <w:rsid w:val="00C86719"/>
    <w:rsid w:val="00C921DD"/>
    <w:rsid w:val="00C94263"/>
    <w:rsid w:val="00CA0807"/>
    <w:rsid w:val="00CA27A5"/>
    <w:rsid w:val="00CA5FDB"/>
    <w:rsid w:val="00CA6391"/>
    <w:rsid w:val="00CB3BEB"/>
    <w:rsid w:val="00CC34BD"/>
    <w:rsid w:val="00CC4639"/>
    <w:rsid w:val="00CC55C0"/>
    <w:rsid w:val="00CD2854"/>
    <w:rsid w:val="00CD3B55"/>
    <w:rsid w:val="00CE161A"/>
    <w:rsid w:val="00CE3171"/>
    <w:rsid w:val="00CE7FBB"/>
    <w:rsid w:val="00CF1601"/>
    <w:rsid w:val="00CF2896"/>
    <w:rsid w:val="00CF5765"/>
    <w:rsid w:val="00D0172F"/>
    <w:rsid w:val="00D031F7"/>
    <w:rsid w:val="00D068A7"/>
    <w:rsid w:val="00D107F9"/>
    <w:rsid w:val="00D1677A"/>
    <w:rsid w:val="00D17476"/>
    <w:rsid w:val="00D2008B"/>
    <w:rsid w:val="00D2350F"/>
    <w:rsid w:val="00D31811"/>
    <w:rsid w:val="00D32086"/>
    <w:rsid w:val="00D35834"/>
    <w:rsid w:val="00D37A3F"/>
    <w:rsid w:val="00D40FF5"/>
    <w:rsid w:val="00D42FB6"/>
    <w:rsid w:val="00D4431D"/>
    <w:rsid w:val="00D4667A"/>
    <w:rsid w:val="00D5065A"/>
    <w:rsid w:val="00D5399F"/>
    <w:rsid w:val="00D619A6"/>
    <w:rsid w:val="00D626DC"/>
    <w:rsid w:val="00D62B74"/>
    <w:rsid w:val="00D63A1C"/>
    <w:rsid w:val="00D64EF5"/>
    <w:rsid w:val="00D7267F"/>
    <w:rsid w:val="00D7516F"/>
    <w:rsid w:val="00D75B96"/>
    <w:rsid w:val="00D8404D"/>
    <w:rsid w:val="00D8579F"/>
    <w:rsid w:val="00D87D37"/>
    <w:rsid w:val="00D90671"/>
    <w:rsid w:val="00D916BA"/>
    <w:rsid w:val="00D95F8E"/>
    <w:rsid w:val="00DA0590"/>
    <w:rsid w:val="00DA0D51"/>
    <w:rsid w:val="00DA3370"/>
    <w:rsid w:val="00DA3AF0"/>
    <w:rsid w:val="00DB45E1"/>
    <w:rsid w:val="00DB6D27"/>
    <w:rsid w:val="00DB7263"/>
    <w:rsid w:val="00DB7BEA"/>
    <w:rsid w:val="00DC1739"/>
    <w:rsid w:val="00DC1788"/>
    <w:rsid w:val="00DC1830"/>
    <w:rsid w:val="00DE319C"/>
    <w:rsid w:val="00DF0CA8"/>
    <w:rsid w:val="00DF2B48"/>
    <w:rsid w:val="00DF49A7"/>
    <w:rsid w:val="00E07EE2"/>
    <w:rsid w:val="00E07FD1"/>
    <w:rsid w:val="00E176D8"/>
    <w:rsid w:val="00E212EB"/>
    <w:rsid w:val="00E2257F"/>
    <w:rsid w:val="00E240B4"/>
    <w:rsid w:val="00E24279"/>
    <w:rsid w:val="00E24573"/>
    <w:rsid w:val="00E25171"/>
    <w:rsid w:val="00E25D49"/>
    <w:rsid w:val="00E25E1E"/>
    <w:rsid w:val="00E26508"/>
    <w:rsid w:val="00E27EE7"/>
    <w:rsid w:val="00E3416C"/>
    <w:rsid w:val="00E35404"/>
    <w:rsid w:val="00E45109"/>
    <w:rsid w:val="00E46284"/>
    <w:rsid w:val="00E46C8C"/>
    <w:rsid w:val="00E47B7A"/>
    <w:rsid w:val="00E56A44"/>
    <w:rsid w:val="00E5774C"/>
    <w:rsid w:val="00E60269"/>
    <w:rsid w:val="00E63E80"/>
    <w:rsid w:val="00E70DB0"/>
    <w:rsid w:val="00E77932"/>
    <w:rsid w:val="00E82911"/>
    <w:rsid w:val="00E90762"/>
    <w:rsid w:val="00E91604"/>
    <w:rsid w:val="00E9245F"/>
    <w:rsid w:val="00E9384F"/>
    <w:rsid w:val="00E97830"/>
    <w:rsid w:val="00EA0654"/>
    <w:rsid w:val="00EA1E6E"/>
    <w:rsid w:val="00EA30C1"/>
    <w:rsid w:val="00EB4F8C"/>
    <w:rsid w:val="00EC0CD7"/>
    <w:rsid w:val="00EC2309"/>
    <w:rsid w:val="00ED2D64"/>
    <w:rsid w:val="00ED3F72"/>
    <w:rsid w:val="00ED7356"/>
    <w:rsid w:val="00EE087B"/>
    <w:rsid w:val="00EE643C"/>
    <w:rsid w:val="00EF0683"/>
    <w:rsid w:val="00EF472C"/>
    <w:rsid w:val="00EF69D2"/>
    <w:rsid w:val="00EF766E"/>
    <w:rsid w:val="00F0070C"/>
    <w:rsid w:val="00F00EB7"/>
    <w:rsid w:val="00F11986"/>
    <w:rsid w:val="00F133E8"/>
    <w:rsid w:val="00F13D28"/>
    <w:rsid w:val="00F1461B"/>
    <w:rsid w:val="00F16274"/>
    <w:rsid w:val="00F16B94"/>
    <w:rsid w:val="00F3682C"/>
    <w:rsid w:val="00F36AB6"/>
    <w:rsid w:val="00F37A09"/>
    <w:rsid w:val="00F409CE"/>
    <w:rsid w:val="00F4379D"/>
    <w:rsid w:val="00F50BA2"/>
    <w:rsid w:val="00F50D2D"/>
    <w:rsid w:val="00F517E6"/>
    <w:rsid w:val="00F51F38"/>
    <w:rsid w:val="00F56C8B"/>
    <w:rsid w:val="00F66810"/>
    <w:rsid w:val="00F67F92"/>
    <w:rsid w:val="00F725E5"/>
    <w:rsid w:val="00F746EE"/>
    <w:rsid w:val="00F80E27"/>
    <w:rsid w:val="00F820D0"/>
    <w:rsid w:val="00F825C2"/>
    <w:rsid w:val="00F846D9"/>
    <w:rsid w:val="00F84DF4"/>
    <w:rsid w:val="00F85C97"/>
    <w:rsid w:val="00F86397"/>
    <w:rsid w:val="00F9157A"/>
    <w:rsid w:val="00F92E4B"/>
    <w:rsid w:val="00F93792"/>
    <w:rsid w:val="00FA0810"/>
    <w:rsid w:val="00FB0D99"/>
    <w:rsid w:val="00FB37D2"/>
    <w:rsid w:val="00FC1A9E"/>
    <w:rsid w:val="00FC4EFB"/>
    <w:rsid w:val="00FC668C"/>
    <w:rsid w:val="00FD068D"/>
    <w:rsid w:val="00FD4F28"/>
    <w:rsid w:val="00FE0E7C"/>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1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A53DEA"/>
  </w:style>
  <w:style w:type="character" w:styleId="Hyperlink">
    <w:name w:val="Hyperlink"/>
    <w:basedOn w:val="DefaultParagraphFont"/>
    <w:uiPriority w:val="99"/>
    <w:unhideWhenUsed/>
    <w:rsid w:val="007E1432"/>
    <w:rPr>
      <w:color w:val="0000FF"/>
      <w:u w:val="single"/>
    </w:rPr>
  </w:style>
  <w:style w:type="paragraph" w:customStyle="1" w:styleId="ParaNoNdepar-AltN">
    <w:name w:val="Para. No. / Nº de par. - Alt N"/>
    <w:qFormat/>
    <w:rsid w:val="00932A75"/>
    <w:pPr>
      <w:numPr>
        <w:numId w:val="1"/>
      </w:numPr>
      <w:spacing w:before="480" w:after="480" w:line="480" w:lineRule="auto"/>
      <w:jc w:val="both"/>
    </w:pPr>
    <w:rPr>
      <w:rFonts w:eastAsiaTheme="minorEastAsia" w:cstheme="minorBidi"/>
      <w:sz w:val="24"/>
      <w:szCs w:val="22"/>
      <w:lang w:eastAsia="en-US"/>
    </w:rPr>
  </w:style>
  <w:style w:type="character" w:styleId="PageNumber">
    <w:name w:val="page number"/>
    <w:basedOn w:val="DefaultParagraphFont"/>
    <w:uiPriority w:val="99"/>
    <w:semiHidden/>
    <w:unhideWhenUsed/>
    <w:rsid w:val="00932A75"/>
  </w:style>
  <w:style w:type="character" w:customStyle="1" w:styleId="Italic">
    <w:name w:val="Italic"/>
    <w:basedOn w:val="DefaultParagraphFont"/>
    <w:uiPriority w:val="1"/>
    <w:rsid w:val="00932A75"/>
    <w:rPr>
      <w:i/>
    </w:rPr>
  </w:style>
  <w:style w:type="paragraph" w:styleId="NoSpacing">
    <w:name w:val="No Spacing"/>
    <w:uiPriority w:val="1"/>
    <w:rsid w:val="003011EC"/>
    <w:rPr>
      <w:sz w:val="24"/>
    </w:rPr>
  </w:style>
  <w:style w:type="paragraph" w:customStyle="1" w:styleId="SCCLsocOtherPartyRoleSeparator">
    <w:name w:val="SCC.Lsoc.OtherPartyRoleSeparator"/>
    <w:basedOn w:val="Normal"/>
    <w:next w:val="Normal"/>
    <w:link w:val="SCCLsocOtherPartyRoleSeparatorChar"/>
    <w:rsid w:val="003011EC"/>
    <w:pPr>
      <w:spacing w:after="480"/>
    </w:pPr>
    <w:rPr>
      <w:rFonts w:eastAsiaTheme="minorHAnsi" w:cstheme="minorBidi"/>
      <w:szCs w:val="22"/>
      <w:lang w:eastAsia="en-US"/>
    </w:rPr>
  </w:style>
  <w:style w:type="paragraph" w:customStyle="1" w:styleId="SCCCoram">
    <w:name w:val="SCC.Coram"/>
    <w:basedOn w:val="Normal"/>
    <w:next w:val="Normal"/>
    <w:link w:val="SCCCoramChar"/>
    <w:rsid w:val="003011E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011E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011EC"/>
    <w:rPr>
      <w:rFonts w:eastAsiaTheme="minorHAnsi" w:cstheme="minorBidi"/>
      <w:sz w:val="24"/>
      <w:szCs w:val="22"/>
      <w:lang w:eastAsia="en-US"/>
    </w:rPr>
  </w:style>
  <w:style w:type="character" w:customStyle="1" w:styleId="SCCBanSummaryChar">
    <w:name w:val="SCC.BanSummary Char"/>
    <w:basedOn w:val="DefaultParagraphFont"/>
    <w:link w:val="SCCBanSummary"/>
    <w:rsid w:val="003011EC"/>
    <w:rPr>
      <w:b/>
      <w:sz w:val="24"/>
    </w:rPr>
  </w:style>
  <w:style w:type="table" w:styleId="TableGrid">
    <w:name w:val="Table Grid"/>
    <w:basedOn w:val="TableNormal"/>
    <w:uiPriority w:val="59"/>
    <w:rsid w:val="003011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011EC"/>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3011EC"/>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3011EC"/>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3011E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011E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011EC"/>
    <w:pPr>
      <w:numPr>
        <w:ilvl w:val="2"/>
      </w:numPr>
      <w:outlineLvl w:val="2"/>
    </w:pPr>
  </w:style>
  <w:style w:type="paragraph" w:customStyle="1" w:styleId="Title4LevelTitre4Niveau">
    <w:name w:val="Title 4 Level / Titre 4 Niveau"/>
    <w:basedOn w:val="Title3LevelTitre3Niveau"/>
    <w:next w:val="ParaNoNdepar-AltN"/>
    <w:uiPriority w:val="4"/>
    <w:qFormat/>
    <w:rsid w:val="003011E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011EC"/>
    <w:pPr>
      <w:numPr>
        <w:ilvl w:val="4"/>
      </w:numPr>
      <w:outlineLvl w:val="4"/>
    </w:pPr>
  </w:style>
  <w:style w:type="paragraph" w:customStyle="1" w:styleId="TitleTitre-AltT">
    <w:name w:val="Title / Titre - Alt T"/>
    <w:next w:val="ParaNoNdepar-AltN"/>
    <w:uiPriority w:val="3"/>
    <w:qFormat/>
    <w:rsid w:val="003011E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011EC"/>
    <w:pPr>
      <w:numPr>
        <w:ilvl w:val="5"/>
      </w:numPr>
      <w:outlineLvl w:val="5"/>
    </w:pPr>
    <w:rPr>
      <w:i/>
      <w:u w:val="none"/>
    </w:rPr>
  </w:style>
  <w:style w:type="paragraph" w:styleId="FootnoteText">
    <w:name w:val="footnote text"/>
    <w:basedOn w:val="Normal"/>
    <w:link w:val="FootnoteTextChar"/>
    <w:uiPriority w:val="99"/>
    <w:unhideWhenUsed/>
    <w:rsid w:val="003011E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011EC"/>
  </w:style>
  <w:style w:type="character" w:styleId="FootnoteReference">
    <w:name w:val="footnote reference"/>
    <w:basedOn w:val="DefaultParagraphFont"/>
    <w:uiPriority w:val="99"/>
    <w:semiHidden/>
    <w:unhideWhenUsed/>
    <w:rsid w:val="003011EC"/>
    <w:rPr>
      <w:vertAlign w:val="superscript"/>
    </w:rPr>
  </w:style>
  <w:style w:type="character" w:customStyle="1" w:styleId="apple-converted-space">
    <w:name w:val="apple-converted-space"/>
    <w:basedOn w:val="DefaultParagraphFont"/>
    <w:rsid w:val="003011EC"/>
  </w:style>
  <w:style w:type="character" w:customStyle="1" w:styleId="formecanonique">
    <w:name w:val="formecanonique"/>
    <w:basedOn w:val="DefaultParagraphFont"/>
    <w:rsid w:val="003011EC"/>
  </w:style>
  <w:style w:type="character" w:customStyle="1" w:styleId="reflex3-block">
    <w:name w:val="reflex3-block"/>
    <w:basedOn w:val="DefaultParagraphFont"/>
    <w:rsid w:val="003011EC"/>
  </w:style>
  <w:style w:type="character" w:customStyle="1" w:styleId="reflex3-alt">
    <w:name w:val="reflex3-alt"/>
    <w:basedOn w:val="DefaultParagraphFont"/>
    <w:rsid w:val="003011EC"/>
  </w:style>
  <w:style w:type="paragraph" w:styleId="ListParagraph">
    <w:name w:val="List Paragraph"/>
    <w:basedOn w:val="Normal"/>
    <w:uiPriority w:val="34"/>
    <w:qFormat/>
    <w:rsid w:val="003011EC"/>
    <w:pPr>
      <w:spacing w:after="200" w:line="276" w:lineRule="auto"/>
      <w:ind w:left="720"/>
      <w:contextualSpacing/>
    </w:pPr>
    <w:rPr>
      <w:rFonts w:eastAsiaTheme="minorHAnsi" w:cstheme="minorBidi"/>
      <w:szCs w:val="22"/>
      <w:lang w:eastAsia="en-US"/>
    </w:rPr>
  </w:style>
  <w:style w:type="character" w:customStyle="1" w:styleId="canliisection1">
    <w:name w:val="canlii_section1"/>
    <w:basedOn w:val="DefaultParagraphFont"/>
    <w:rsid w:val="003011EC"/>
    <w:rPr>
      <w:strike w:val="0"/>
      <w:dstrike w:val="0"/>
      <w:color w:val="027ABB"/>
      <w:u w:val="none"/>
      <w:effect w:val="none"/>
    </w:rPr>
  </w:style>
  <w:style w:type="character" w:styleId="IntenseEmphasis">
    <w:name w:val="Intense Emphasis"/>
    <w:basedOn w:val="DefaultParagraphFont"/>
    <w:uiPriority w:val="21"/>
    <w:rsid w:val="003011EC"/>
    <w:rPr>
      <w:b/>
      <w:bCs/>
      <w:i/>
      <w:iCs/>
      <w:color w:val="4F81BD" w:themeColor="accent1"/>
    </w:rPr>
  </w:style>
  <w:style w:type="paragraph" w:styleId="TOCHeading">
    <w:name w:val="TOC Heading"/>
    <w:basedOn w:val="Heading1"/>
    <w:next w:val="Normal"/>
    <w:uiPriority w:val="39"/>
    <w:unhideWhenUsed/>
    <w:qFormat/>
    <w:rsid w:val="003011EC"/>
    <w:pPr>
      <w:spacing w:before="240" w:after="0" w:line="259" w:lineRule="auto"/>
      <w:ind w:left="0" w:firstLine="0"/>
      <w:outlineLvl w:val="9"/>
    </w:pPr>
    <w:rPr>
      <w:b w:val="0"/>
      <w:bCs w:val="0"/>
      <w:sz w:val="32"/>
      <w:szCs w:val="32"/>
      <w:lang w:val="en-US" w:eastAsia="en-US"/>
    </w:rPr>
  </w:style>
  <w:style w:type="paragraph" w:styleId="TOC1">
    <w:name w:val="toc 1"/>
    <w:basedOn w:val="Normal"/>
    <w:next w:val="Normal"/>
    <w:autoRedefine/>
    <w:uiPriority w:val="39"/>
    <w:unhideWhenUsed/>
    <w:rsid w:val="003011EC"/>
    <w:pPr>
      <w:spacing w:after="100"/>
    </w:pPr>
  </w:style>
  <w:style w:type="paragraph" w:styleId="TOC2">
    <w:name w:val="toc 2"/>
    <w:basedOn w:val="Normal"/>
    <w:next w:val="Normal"/>
    <w:autoRedefine/>
    <w:uiPriority w:val="39"/>
    <w:unhideWhenUsed/>
    <w:rsid w:val="003011EC"/>
    <w:pPr>
      <w:spacing w:after="100"/>
      <w:ind w:left="240"/>
    </w:pPr>
  </w:style>
  <w:style w:type="paragraph" w:styleId="TOC3">
    <w:name w:val="toc 3"/>
    <w:basedOn w:val="Normal"/>
    <w:next w:val="Normal"/>
    <w:autoRedefine/>
    <w:uiPriority w:val="39"/>
    <w:unhideWhenUsed/>
    <w:rsid w:val="003011EC"/>
    <w:pPr>
      <w:spacing w:after="100"/>
      <w:ind w:left="480"/>
    </w:pPr>
  </w:style>
  <w:style w:type="character" w:customStyle="1" w:styleId="A10">
    <w:name w:val="A10"/>
    <w:uiPriority w:val="99"/>
    <w:rsid w:val="003011EC"/>
    <w:rPr>
      <w:rFonts w:cs="Times LT"/>
      <w:color w:val="000000"/>
      <w:sz w:val="16"/>
      <w:szCs w:val="16"/>
    </w:rPr>
  </w:style>
  <w:style w:type="character" w:customStyle="1" w:styleId="nowrap">
    <w:name w:val="nowrap"/>
    <w:basedOn w:val="DefaultParagraphFont"/>
    <w:rsid w:val="003011EC"/>
  </w:style>
  <w:style w:type="table" w:customStyle="1" w:styleId="TableGrid1">
    <w:name w:val="Table Grid1"/>
    <w:basedOn w:val="TableNormal"/>
    <w:next w:val="TableGrid"/>
    <w:uiPriority w:val="59"/>
    <w:rsid w:val="003011EC"/>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11EC"/>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449BE"/>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FE3A-ECD4-4AC8-9409-3FB2C072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17906</Words>
  <Characters>102068</Characters>
  <Application>Microsoft Office Word</Application>
  <DocSecurity>0</DocSecurity>
  <Lines>850</Lines>
  <Paragraphs>239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2019-12-13T14:28:00Z</dcterms:created>
  <dcterms:modified xsi:type="dcterms:W3CDTF">2022-03-26T20:14:00Z</dcterms:modified>
</cp:coreProperties>
</file>