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390"/>
        <w:gridCol w:w="3696"/>
      </w:tblGrid>
      <w:tr w:rsidR="005C15CC" w:rsidTr="00B2492D">
        <w:tc>
          <w:tcPr>
            <w:tcW w:w="5000" w:type="pct"/>
            <w:gridSpan w:val="2"/>
          </w:tcPr>
          <w:p w:rsidR="005C15CC" w:rsidRDefault="005C15CC" w:rsidP="00B2492D">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5pt;height:64.4pt" o:ole="">
                  <v:imagedata r:id="rId7" o:title=""/>
                </v:shape>
                <o:OLEObject Type="Embed" ProgID="Presentations.Drawing.15" ShapeID="_x0000_i1025" DrawAspect="Content" ObjectID="_1709888419" r:id="rId8"/>
              </w:object>
            </w:r>
          </w:p>
          <w:p w:rsidR="005C15CC" w:rsidRDefault="005C15CC" w:rsidP="00B2492D">
            <w:pPr>
              <w:spacing w:before="100" w:beforeAutospacing="1" w:after="100" w:afterAutospacing="1"/>
              <w:jc w:val="center"/>
              <w:rPr>
                <w:rFonts w:eastAsia="Calibri"/>
              </w:rPr>
            </w:pPr>
            <w:r w:rsidRPr="00C22905">
              <w:rPr>
                <w:rFonts w:eastAsia="Calibri"/>
                <w:b/>
                <w:szCs w:val="24"/>
                <w:lang w:eastAsia="en-US"/>
              </w:rPr>
              <w:t>SUPREME COURT OF CANADA</w:t>
            </w:r>
          </w:p>
        </w:tc>
      </w:tr>
      <w:tr w:rsidR="005C15CC" w:rsidTr="00B2492D">
        <w:tc>
          <w:tcPr>
            <w:tcW w:w="3168" w:type="pct"/>
            <w:tcMar>
              <w:top w:w="284" w:type="dxa"/>
            </w:tcMar>
          </w:tcPr>
          <w:p w:rsidR="005C15CC" w:rsidRDefault="005C15CC" w:rsidP="00B2492D">
            <w:pPr>
              <w:spacing w:before="100" w:beforeAutospacing="1"/>
              <w:rPr>
                <w:rFonts w:eastAsia="Calibri"/>
              </w:rPr>
            </w:pPr>
            <w:r w:rsidRPr="00C22905">
              <w:rPr>
                <w:b/>
                <w:smallCaps/>
              </w:rPr>
              <w:t>Citation:</w:t>
            </w:r>
            <w:r w:rsidRPr="00C22905">
              <w:t xml:space="preserve"> R. </w:t>
            </w:r>
            <w:r w:rsidRPr="00C22905">
              <w:rPr>
                <w:i/>
              </w:rPr>
              <w:t>v.</w:t>
            </w:r>
            <w:r w:rsidRPr="00C22905">
              <w:t xml:space="preserve"> </w:t>
            </w:r>
            <w:r>
              <w:t>Collin, 2019 SCC 64, [2019] 4 S.C.R. 650</w:t>
            </w:r>
          </w:p>
        </w:tc>
        <w:tc>
          <w:tcPr>
            <w:tcW w:w="1832" w:type="pct"/>
            <w:tcMar>
              <w:top w:w="284" w:type="dxa"/>
            </w:tcMar>
          </w:tcPr>
          <w:p w:rsidR="005C15CC" w:rsidRDefault="005C15CC" w:rsidP="00B2492D">
            <w:pPr>
              <w:rPr>
                <w:b/>
                <w:smallCaps/>
              </w:rPr>
            </w:pPr>
            <w:r w:rsidRPr="00C22905">
              <w:rPr>
                <w:b/>
                <w:smallCaps/>
              </w:rPr>
              <w:t>Appeal Heard</w:t>
            </w:r>
            <w:r>
              <w:rPr>
                <w:b/>
                <w:smallCaps/>
              </w:rPr>
              <w:t xml:space="preserve">: </w:t>
            </w:r>
            <w:r>
              <w:t>December 13, 2019</w:t>
            </w:r>
            <w:r>
              <w:rPr>
                <w:b/>
                <w:smallCaps/>
              </w:rPr>
              <w:t xml:space="preserve"> </w:t>
            </w:r>
          </w:p>
          <w:p w:rsidR="005C15CC" w:rsidRPr="00C22905" w:rsidRDefault="005C15CC" w:rsidP="00B2492D">
            <w:r w:rsidRPr="00C22905">
              <w:rPr>
                <w:b/>
                <w:smallCaps/>
              </w:rPr>
              <w:t>Judgment Rendered</w:t>
            </w:r>
            <w:r w:rsidRPr="00C22905">
              <w:rPr>
                <w:b/>
              </w:rPr>
              <w:t>:</w:t>
            </w:r>
            <w:r w:rsidRPr="00C22905">
              <w:t xml:space="preserve"> </w:t>
            </w:r>
            <w:r>
              <w:t>December 13</w:t>
            </w:r>
            <w:r w:rsidRPr="00C22905">
              <w:t>, 2019</w:t>
            </w:r>
          </w:p>
          <w:p w:rsidR="005C15CC" w:rsidRDefault="005C15CC" w:rsidP="00B2492D">
            <w:pPr>
              <w:rPr>
                <w:rFonts w:eastAsia="Calibri"/>
              </w:rPr>
            </w:pPr>
            <w:r w:rsidRPr="00C22905">
              <w:rPr>
                <w:b/>
                <w:smallCaps/>
              </w:rPr>
              <w:t>Docket:</w:t>
            </w:r>
            <w:r w:rsidRPr="00C22905">
              <w:t xml:space="preserve"> 38</w:t>
            </w:r>
            <w:r>
              <w:t>681</w:t>
            </w:r>
          </w:p>
        </w:tc>
      </w:tr>
      <w:tr w:rsidR="005C15CC" w:rsidTr="00B2492D">
        <w:tc>
          <w:tcPr>
            <w:tcW w:w="5000" w:type="pct"/>
            <w:gridSpan w:val="2"/>
            <w:tcMar>
              <w:top w:w="284" w:type="dxa"/>
            </w:tcMar>
          </w:tcPr>
          <w:p w:rsidR="005C15CC" w:rsidRDefault="005C15CC" w:rsidP="00B2492D">
            <w:pPr>
              <w:rPr>
                <w:rFonts w:eastAsia="Calibri"/>
                <w:b/>
                <w:smallCaps/>
                <w:szCs w:val="24"/>
                <w:lang w:eastAsia="en-US"/>
              </w:rPr>
            </w:pPr>
            <w:r w:rsidRPr="00C22905">
              <w:rPr>
                <w:rFonts w:eastAsia="Calibri"/>
                <w:b/>
                <w:smallCaps/>
                <w:szCs w:val="24"/>
                <w:lang w:eastAsia="en-US"/>
              </w:rPr>
              <w:t>Between:</w:t>
            </w:r>
          </w:p>
          <w:p w:rsidR="005C15CC" w:rsidRDefault="005C15CC" w:rsidP="00B2492D">
            <w:pPr>
              <w:rPr>
                <w:rFonts w:eastAsia="Calibri"/>
                <w:b/>
                <w:szCs w:val="24"/>
                <w:lang w:val="en-US" w:eastAsia="en-US"/>
              </w:rPr>
            </w:pPr>
          </w:p>
          <w:p w:rsidR="005C15CC" w:rsidRPr="00C22905" w:rsidRDefault="005C15CC" w:rsidP="00B2492D">
            <w:pPr>
              <w:jc w:val="center"/>
              <w:rPr>
                <w:rFonts w:eastAsia="Calibri"/>
                <w:b/>
                <w:szCs w:val="24"/>
                <w:lang w:eastAsia="en-US"/>
              </w:rPr>
            </w:pPr>
            <w:r>
              <w:rPr>
                <w:rFonts w:eastAsia="Calibri"/>
                <w:b/>
                <w:szCs w:val="24"/>
                <w:lang w:val="en-US" w:eastAsia="en-US"/>
              </w:rPr>
              <w:t>Alexandre Collin</w:t>
            </w:r>
          </w:p>
          <w:p w:rsidR="005C15CC" w:rsidRPr="00C22905" w:rsidRDefault="005C15CC" w:rsidP="00B2492D">
            <w:pPr>
              <w:jc w:val="center"/>
              <w:rPr>
                <w:rFonts w:eastAsia="Calibri"/>
                <w:szCs w:val="24"/>
                <w:lang w:eastAsia="en-US"/>
              </w:rPr>
            </w:pPr>
            <w:r w:rsidRPr="00C22905">
              <w:rPr>
                <w:rFonts w:eastAsia="Calibri"/>
                <w:szCs w:val="24"/>
                <w:lang w:eastAsia="en-US"/>
              </w:rPr>
              <w:t>Appellant</w:t>
            </w:r>
          </w:p>
          <w:p w:rsidR="005C15CC" w:rsidRDefault="005C15CC" w:rsidP="00B2492D">
            <w:pPr>
              <w:jc w:val="center"/>
              <w:rPr>
                <w:rFonts w:eastAsia="Calibri"/>
                <w:szCs w:val="24"/>
                <w:lang w:eastAsia="en-US"/>
              </w:rPr>
            </w:pPr>
          </w:p>
          <w:p w:rsidR="005C15CC" w:rsidRDefault="005C15CC" w:rsidP="00B2492D">
            <w:pPr>
              <w:jc w:val="center"/>
              <w:rPr>
                <w:rFonts w:eastAsia="Calibri"/>
                <w:szCs w:val="24"/>
                <w:lang w:eastAsia="en-US"/>
              </w:rPr>
            </w:pPr>
            <w:r>
              <w:rPr>
                <w:rFonts w:eastAsia="Calibri"/>
                <w:szCs w:val="24"/>
                <w:lang w:eastAsia="en-US"/>
              </w:rPr>
              <w:t>a</w:t>
            </w:r>
            <w:r w:rsidRPr="00C22905">
              <w:rPr>
                <w:rFonts w:eastAsia="Calibri"/>
                <w:szCs w:val="24"/>
                <w:lang w:eastAsia="en-US"/>
              </w:rPr>
              <w:t>nd</w:t>
            </w:r>
          </w:p>
          <w:p w:rsidR="005C15CC" w:rsidRPr="00C22905" w:rsidRDefault="005C15CC" w:rsidP="00B2492D">
            <w:pPr>
              <w:jc w:val="center"/>
              <w:rPr>
                <w:rFonts w:eastAsia="Calibri"/>
                <w:szCs w:val="24"/>
                <w:lang w:eastAsia="en-US"/>
              </w:rPr>
            </w:pPr>
          </w:p>
          <w:p w:rsidR="005C15CC" w:rsidRPr="00C22905" w:rsidRDefault="005C15CC" w:rsidP="00B2492D">
            <w:pPr>
              <w:jc w:val="center"/>
              <w:rPr>
                <w:rFonts w:eastAsia="Calibri"/>
                <w:b/>
                <w:szCs w:val="24"/>
                <w:lang w:val="en-US" w:eastAsia="en-US"/>
              </w:rPr>
            </w:pPr>
            <w:r w:rsidRPr="00C22905">
              <w:rPr>
                <w:rFonts w:eastAsia="Calibri"/>
                <w:b/>
                <w:szCs w:val="24"/>
                <w:lang w:eastAsia="en-US"/>
              </w:rPr>
              <w:t>Her Majesty The Queen</w:t>
            </w:r>
          </w:p>
          <w:p w:rsidR="005C15CC" w:rsidRDefault="005C15CC" w:rsidP="00B2492D">
            <w:pPr>
              <w:jc w:val="center"/>
              <w:rPr>
                <w:rFonts w:eastAsia="Calibri"/>
                <w:szCs w:val="24"/>
                <w:lang w:val="en-US" w:eastAsia="en-US"/>
              </w:rPr>
            </w:pPr>
            <w:r w:rsidRPr="00C22905">
              <w:rPr>
                <w:rFonts w:eastAsia="Calibri"/>
                <w:szCs w:val="24"/>
                <w:lang w:val="en-US" w:eastAsia="en-US"/>
              </w:rPr>
              <w:t>Respondent</w:t>
            </w:r>
          </w:p>
          <w:p w:rsidR="005C15CC" w:rsidRDefault="005C15CC" w:rsidP="00B2492D">
            <w:pPr>
              <w:jc w:val="center"/>
              <w:rPr>
                <w:rFonts w:eastAsia="Calibri"/>
                <w:szCs w:val="24"/>
                <w:lang w:val="en-US" w:eastAsia="en-US"/>
              </w:rPr>
            </w:pPr>
          </w:p>
          <w:p w:rsidR="005C15CC" w:rsidRDefault="005C15CC" w:rsidP="00B2492D">
            <w:pPr>
              <w:jc w:val="center"/>
              <w:rPr>
                <w:rFonts w:eastAsia="Calibri"/>
                <w:szCs w:val="24"/>
                <w:lang w:val="en-US" w:eastAsia="en-US"/>
              </w:rPr>
            </w:pPr>
          </w:p>
          <w:p w:rsidR="005C15CC" w:rsidRPr="007E6EC5" w:rsidRDefault="005C15CC" w:rsidP="00B2492D">
            <w:pPr>
              <w:jc w:val="center"/>
              <w:rPr>
                <w:rFonts w:eastAsia="Calibri"/>
                <w:b/>
                <w:smallCaps/>
                <w:szCs w:val="24"/>
                <w:lang w:val="en-US" w:eastAsia="en-US"/>
              </w:rPr>
            </w:pPr>
            <w:r>
              <w:rPr>
                <w:rFonts w:eastAsia="Calibri"/>
                <w:b/>
                <w:smallCaps/>
                <w:szCs w:val="24"/>
                <w:lang w:val="en-US" w:eastAsia="en-US"/>
              </w:rPr>
              <w:t>O</w:t>
            </w:r>
            <w:r w:rsidRPr="007E6EC5">
              <w:rPr>
                <w:rFonts w:eastAsia="Calibri"/>
                <w:b/>
                <w:smallCaps/>
                <w:szCs w:val="24"/>
                <w:lang w:val="en-US" w:eastAsia="en-US"/>
              </w:rPr>
              <w:t>fficial English</w:t>
            </w:r>
            <w:r>
              <w:rPr>
                <w:rFonts w:eastAsia="Calibri"/>
                <w:b/>
                <w:smallCaps/>
                <w:szCs w:val="24"/>
                <w:lang w:val="en-US" w:eastAsia="en-US"/>
              </w:rPr>
              <w:t xml:space="preserve"> T</w:t>
            </w:r>
            <w:r w:rsidRPr="007E6EC5">
              <w:rPr>
                <w:rFonts w:eastAsia="Calibri"/>
                <w:b/>
                <w:smallCaps/>
                <w:szCs w:val="24"/>
                <w:lang w:val="en-US" w:eastAsia="en-US"/>
              </w:rPr>
              <w:t>ranslation</w:t>
            </w:r>
          </w:p>
          <w:p w:rsidR="005C15CC" w:rsidRPr="00C22905" w:rsidRDefault="005C15CC" w:rsidP="00B2492D">
            <w:pPr>
              <w:rPr>
                <w:b/>
                <w:smallCap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034"/>
        <w:gridCol w:w="6052"/>
      </w:tblGrid>
      <w:tr w:rsidR="005C15CC" w:rsidRPr="00C22905" w:rsidTr="00B2492D">
        <w:trPr>
          <w:cantSplit/>
          <w:trHeight w:val="508"/>
        </w:trPr>
        <w:tc>
          <w:tcPr>
            <w:tcW w:w="5000" w:type="pct"/>
            <w:gridSpan w:val="2"/>
            <w:tcMar>
              <w:top w:w="284" w:type="dxa"/>
              <w:bottom w:w="57" w:type="dxa"/>
            </w:tcMar>
            <w:vAlign w:val="center"/>
          </w:tcPr>
          <w:p w:rsidR="005C15CC" w:rsidRPr="00C22905" w:rsidRDefault="005C15CC" w:rsidP="00B2492D">
            <w:pPr>
              <w:spacing w:before="100" w:beforeAutospacing="1"/>
            </w:pPr>
            <w:r w:rsidRPr="00C22905">
              <w:rPr>
                <w:b/>
                <w:smallCaps/>
              </w:rPr>
              <w:t>Coram:</w:t>
            </w:r>
            <w:r w:rsidRPr="00C22905">
              <w:t xml:space="preserve"> Karakatsanis, Côté, Brown, Rowe and Martin JJ.</w:t>
            </w:r>
          </w:p>
        </w:tc>
      </w:tr>
      <w:tr w:rsidR="005C15CC" w:rsidRPr="00C22905" w:rsidTr="00B2492D">
        <w:trPr>
          <w:cantSplit/>
        </w:trPr>
        <w:tc>
          <w:tcPr>
            <w:tcW w:w="2000" w:type="pct"/>
            <w:tcMar>
              <w:top w:w="284" w:type="dxa"/>
              <w:bottom w:w="57" w:type="dxa"/>
            </w:tcMar>
            <w:vAlign w:val="center"/>
          </w:tcPr>
          <w:p w:rsidR="005C15CC" w:rsidRPr="00C22905" w:rsidRDefault="005C15CC" w:rsidP="00B2492D">
            <w:pPr>
              <w:rPr>
                <w:b/>
                <w:smallCaps/>
              </w:rPr>
            </w:pPr>
            <w:r w:rsidRPr="00C22905">
              <w:rPr>
                <w:b/>
                <w:smallCaps/>
              </w:rPr>
              <w:t>Reasons for Judgment:</w:t>
            </w:r>
          </w:p>
          <w:p w:rsidR="005C15CC" w:rsidRPr="00C22905" w:rsidRDefault="005C15CC" w:rsidP="00B2492D">
            <w:r w:rsidRPr="00C22905">
              <w:t>(</w:t>
            </w:r>
            <w:r w:rsidRPr="00A91FA5">
              <w:t>para. 1)</w:t>
            </w:r>
          </w:p>
        </w:tc>
        <w:tc>
          <w:tcPr>
            <w:tcW w:w="3000" w:type="pct"/>
            <w:tcMar>
              <w:top w:w="284" w:type="dxa"/>
              <w:bottom w:w="57" w:type="dxa"/>
            </w:tcMar>
            <w:vAlign w:val="center"/>
          </w:tcPr>
          <w:p w:rsidR="005C15CC" w:rsidRPr="00C22905" w:rsidRDefault="005C15CC" w:rsidP="00B2492D">
            <w:r>
              <w:t>Karakatsanis</w:t>
            </w:r>
            <w:r w:rsidRPr="00C22905">
              <w:t xml:space="preserve"> J. (Côté</w:t>
            </w:r>
            <w:r>
              <w:t>, Brown,</w:t>
            </w:r>
            <w:r w:rsidRPr="00C22905">
              <w:t xml:space="preserve"> Rowe </w:t>
            </w:r>
            <w:r>
              <w:t xml:space="preserve">and Martin </w:t>
            </w:r>
            <w:r w:rsidRPr="00C22905">
              <w:t>JJ. concurring)</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4034"/>
        <w:gridCol w:w="3026"/>
      </w:tblGrid>
      <w:tr w:rsidR="005C15CC" w:rsidTr="00B2492D">
        <w:tc>
          <w:tcPr>
            <w:tcW w:w="1500" w:type="pct"/>
            <w:tcMar>
              <w:top w:w="284" w:type="dxa"/>
            </w:tcMar>
          </w:tcPr>
          <w:p w:rsidR="005C15CC" w:rsidRDefault="005C15CC" w:rsidP="00B2492D">
            <w:pPr>
              <w:rPr>
                <w:rFonts w:eastAsia="Calibri"/>
                <w:szCs w:val="24"/>
                <w:lang w:eastAsia="en-US"/>
              </w:rPr>
            </w:pPr>
          </w:p>
          <w:p w:rsidR="005C15CC" w:rsidRDefault="005C15CC" w:rsidP="00B2492D">
            <w:pPr>
              <w:rPr>
                <w:rFonts w:eastAsia="Calibri"/>
                <w:szCs w:val="24"/>
                <w:lang w:eastAsia="en-US"/>
              </w:rPr>
            </w:pPr>
          </w:p>
        </w:tc>
        <w:tc>
          <w:tcPr>
            <w:tcW w:w="2000" w:type="pct"/>
            <w:tcBorders>
              <w:bottom w:val="single" w:sz="4" w:space="0" w:color="auto"/>
            </w:tcBorders>
            <w:tcMar>
              <w:top w:w="284" w:type="dxa"/>
            </w:tcMar>
          </w:tcPr>
          <w:p w:rsidR="005C15CC" w:rsidRDefault="005C15CC" w:rsidP="00B2492D">
            <w:pPr>
              <w:rPr>
                <w:rFonts w:eastAsia="Calibri"/>
                <w:szCs w:val="24"/>
                <w:lang w:eastAsia="en-US"/>
              </w:rPr>
            </w:pPr>
          </w:p>
        </w:tc>
        <w:tc>
          <w:tcPr>
            <w:tcW w:w="1500" w:type="pct"/>
            <w:tcMar>
              <w:top w:w="284" w:type="dxa"/>
            </w:tcMar>
          </w:tcPr>
          <w:p w:rsidR="005C15CC" w:rsidRDefault="005C15CC" w:rsidP="00B2492D">
            <w:pPr>
              <w:rPr>
                <w:rFonts w:eastAsia="Calibri"/>
                <w:szCs w:val="24"/>
                <w:lang w:eastAsia="en-US"/>
              </w:rPr>
            </w:pPr>
          </w:p>
        </w:tc>
      </w:tr>
    </w:tbl>
    <w:p w:rsidR="005C15CC" w:rsidRDefault="005C15CC" w:rsidP="005C15CC">
      <w:pPr>
        <w:rPr>
          <w:rFonts w:eastAsia="Calibri"/>
          <w:szCs w:val="24"/>
          <w:lang w:eastAsia="en-US"/>
        </w:rPr>
        <w:sectPr w:rsidR="005C15CC" w:rsidSect="00E92347">
          <w:pgSz w:w="12240" w:h="15840"/>
          <w:pgMar w:top="1134" w:right="1077" w:bottom="1134" w:left="1077" w:header="1803" w:footer="720" w:gutter="0"/>
          <w:cols w:space="720"/>
          <w:docGrid w:linePitch="326"/>
        </w:sectPr>
      </w:pPr>
    </w:p>
    <w:p w:rsidR="008322BD" w:rsidRPr="00770A75" w:rsidRDefault="00C0639F" w:rsidP="0035169A">
      <w:pPr>
        <w:spacing w:line="480" w:lineRule="auto"/>
        <w:jc w:val="both"/>
        <w:rPr>
          <w:lang w:val="fr-CA"/>
        </w:rPr>
      </w:pPr>
      <w:bookmarkStart w:id="0" w:name="_GoBack"/>
      <w:bookmarkEnd w:id="0"/>
      <w:r w:rsidRPr="00770A75">
        <w:rPr>
          <w:rStyle w:val="SCCAppellantForRunningHeadChar"/>
          <w:lang w:val="fr-CA"/>
        </w:rPr>
        <w:lastRenderedPageBreak/>
        <w:t xml:space="preserve">r. </w:t>
      </w:r>
      <w:r w:rsidRPr="00770A75">
        <w:rPr>
          <w:rStyle w:val="SCCAppellantForRunningHeadChar"/>
          <w:i/>
          <w:smallCaps w:val="0"/>
          <w:lang w:val="fr-CA"/>
        </w:rPr>
        <w:t>v.</w:t>
      </w:r>
      <w:r w:rsidRPr="00770A75">
        <w:rPr>
          <w:rStyle w:val="SCCAppellantForRunningHeadChar"/>
          <w:lang w:val="fr-CA"/>
        </w:rPr>
        <w:t xml:space="preserve"> c</w:t>
      </w:r>
      <w:r w:rsidR="008F78E9" w:rsidRPr="00770A75">
        <w:rPr>
          <w:rStyle w:val="SCCAppellantForRunningHeadChar"/>
          <w:lang w:val="fr-CA"/>
        </w:rPr>
        <w:t>ollin</w:t>
      </w:r>
    </w:p>
    <w:p w:rsidR="00A149DF" w:rsidRPr="00770A75" w:rsidRDefault="00A149DF" w:rsidP="00FC4EFB">
      <w:pPr>
        <w:jc w:val="both"/>
        <w:rPr>
          <w:lang w:val="fr-CA"/>
        </w:rPr>
      </w:pPr>
    </w:p>
    <w:p w:rsidR="00CB7CAF" w:rsidRPr="00770A75" w:rsidRDefault="00510FAE">
      <w:pPr>
        <w:pStyle w:val="SCCLsocLastPartyInRole"/>
        <w:rPr>
          <w:lang w:val="fr-CA"/>
        </w:rPr>
      </w:pPr>
      <w:r w:rsidRPr="00770A75">
        <w:rPr>
          <w:lang w:val="fr-CA"/>
        </w:rPr>
        <w:t>Alexandre Collin</w:t>
      </w:r>
      <w:r w:rsidRPr="00770A75">
        <w:rPr>
          <w:rStyle w:val="SCCLsocPartyRole"/>
          <w:lang w:val="fr-CA"/>
        </w:rPr>
        <w:tab/>
        <w:t>Appellant</w:t>
      </w:r>
    </w:p>
    <w:p w:rsidR="00CB7CAF" w:rsidRDefault="00510FAE">
      <w:pPr>
        <w:pStyle w:val="SCCLsocVersus"/>
      </w:pPr>
      <w:r>
        <w:t>v.</w:t>
      </w:r>
    </w:p>
    <w:p w:rsidR="00CB7CAF" w:rsidRDefault="00C0639F">
      <w:pPr>
        <w:pStyle w:val="SCCLsocLastPartyInRole"/>
      </w:pPr>
      <w:r>
        <w:t>Her Majesty T</w:t>
      </w:r>
      <w:r w:rsidR="00510FAE">
        <w:t>he Queen</w:t>
      </w:r>
      <w:r w:rsidR="00510FAE">
        <w:rPr>
          <w:rStyle w:val="SCCLsocPartyRole"/>
        </w:rPr>
        <w:tab/>
        <w:t>Respondent</w:t>
      </w:r>
    </w:p>
    <w:p w:rsidR="00426659" w:rsidRPr="00426659" w:rsidRDefault="00426659" w:rsidP="00FC4EFB">
      <w:pPr>
        <w:jc w:val="both"/>
        <w:rPr>
          <w:b/>
        </w:rPr>
      </w:pPr>
      <w:r w:rsidRPr="00426659">
        <w:rPr>
          <w:b/>
        </w:rPr>
        <w:t>Indexed as:</w:t>
      </w:r>
      <w:r>
        <w:rPr>
          <w:b/>
        </w:rPr>
        <w:t xml:space="preserve"> </w:t>
      </w:r>
      <w:r w:rsidRPr="00426659">
        <w:rPr>
          <w:b/>
        </w:rPr>
        <w:t xml:space="preserve"> </w:t>
      </w:r>
      <w:r w:rsidR="00C0639F">
        <w:rPr>
          <w:b/>
        </w:rPr>
        <w:t xml:space="preserve">R. </w:t>
      </w:r>
      <w:r w:rsidR="00C0639F" w:rsidRPr="00C0639F">
        <w:rPr>
          <w:b/>
          <w:i/>
        </w:rPr>
        <w:t>v.</w:t>
      </w:r>
      <w:r w:rsidR="00C0639F">
        <w:rPr>
          <w:b/>
        </w:rPr>
        <w:t xml:space="preserve"> Collin</w:t>
      </w:r>
    </w:p>
    <w:p w:rsidR="00426659" w:rsidRDefault="00426659" w:rsidP="00FC4EFB">
      <w:pPr>
        <w:jc w:val="both"/>
      </w:pPr>
    </w:p>
    <w:p w:rsidR="00426659" w:rsidRPr="00C02092" w:rsidRDefault="00C0639F" w:rsidP="00FC4EFB">
      <w:pPr>
        <w:pStyle w:val="SCCSystemYear"/>
        <w:jc w:val="both"/>
      </w:pPr>
      <w:r>
        <w:t>2019</w:t>
      </w:r>
      <w:r w:rsidR="003D0399">
        <w:t xml:space="preserve"> </w:t>
      </w:r>
      <w:r>
        <w:t>SCC 64</w:t>
      </w:r>
    </w:p>
    <w:p w:rsidR="00A149DF" w:rsidRDefault="00A149DF" w:rsidP="00FC4EFB">
      <w:pPr>
        <w:jc w:val="both"/>
      </w:pPr>
    </w:p>
    <w:p w:rsidR="008322BD" w:rsidRDefault="009B57B3" w:rsidP="00FC4EFB">
      <w:pPr>
        <w:jc w:val="both"/>
      </w:pPr>
      <w:r w:rsidRPr="001426A9">
        <w:t xml:space="preserve">File No.:  </w:t>
      </w:r>
      <w:r>
        <w:t>38681</w:t>
      </w:r>
      <w:r w:rsidRPr="001426A9">
        <w:t>.</w:t>
      </w:r>
    </w:p>
    <w:p w:rsidR="00A149DF" w:rsidRDefault="00A149DF" w:rsidP="00FC4EFB">
      <w:pPr>
        <w:jc w:val="both"/>
      </w:pPr>
    </w:p>
    <w:p w:rsidR="008322BD" w:rsidRDefault="00AE4535" w:rsidP="00FC4EFB">
      <w:pPr>
        <w:jc w:val="both"/>
      </w:pPr>
      <w:r>
        <w:t>2019:  December 13</w:t>
      </w:r>
      <w:r w:rsidR="009B57B3" w:rsidRPr="001426A9">
        <w:t>.</w:t>
      </w:r>
    </w:p>
    <w:p w:rsidR="00A149DF" w:rsidRDefault="00A149DF" w:rsidP="00FC4EFB">
      <w:pPr>
        <w:jc w:val="both"/>
      </w:pPr>
    </w:p>
    <w:p w:rsidR="008322BD" w:rsidRDefault="009B57B3" w:rsidP="00FC4EFB">
      <w:pPr>
        <w:jc w:val="both"/>
      </w:pPr>
      <w:r w:rsidRPr="001426A9">
        <w:t xml:space="preserve">Present:  </w:t>
      </w:r>
      <w:r>
        <w:t>Karakatsanis, Côté, Brown, Rowe and Martin JJ.</w:t>
      </w:r>
    </w:p>
    <w:p w:rsidR="00085CDE" w:rsidRDefault="00085CDE"/>
    <w:p w:rsidR="008322BD" w:rsidRDefault="00656313" w:rsidP="00167567">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w:t>
      </w:r>
      <w:r w:rsidR="00DA0660">
        <w:t xml:space="preserve">t of appeal for quebec </w:t>
      </w:r>
    </w:p>
    <w:p w:rsidR="008426DF" w:rsidRPr="008426DF" w:rsidRDefault="008426DF" w:rsidP="008426DF">
      <w:pPr>
        <w:pStyle w:val="SCCNormalDoubleSpacing"/>
      </w:pPr>
    </w:p>
    <w:p w:rsidR="008322BD" w:rsidRDefault="009B57B3" w:rsidP="006541FC">
      <w:pPr>
        <w:pStyle w:val="SCCNormalDoubleSpacing"/>
        <w:rPr>
          <w:i/>
        </w:rPr>
      </w:pPr>
      <w:r w:rsidRPr="00583EDE">
        <w:tab/>
      </w:r>
      <w:r w:rsidR="00C53CB9">
        <w:rPr>
          <w:i/>
        </w:rPr>
        <w:t>Criminal law</w:t>
      </w:r>
      <w:r w:rsidR="00C53CB9" w:rsidRPr="002921BB">
        <w:rPr>
          <w:i/>
        </w:rPr>
        <w:t xml:space="preserve"> — </w:t>
      </w:r>
      <w:r w:rsidR="00C53CB9">
        <w:rPr>
          <w:i/>
        </w:rPr>
        <w:t>D</w:t>
      </w:r>
      <w:r w:rsidR="00C53CB9" w:rsidRPr="002921BB">
        <w:rPr>
          <w:i/>
        </w:rPr>
        <w:t xml:space="preserve">angerous driving causing bodily harm — </w:t>
      </w:r>
      <w:r w:rsidR="00C53CB9">
        <w:rPr>
          <w:i/>
        </w:rPr>
        <w:t>Causation</w:t>
      </w:r>
      <w:r w:rsidR="00C53CB9" w:rsidRPr="002921BB">
        <w:rPr>
          <w:i/>
        </w:rPr>
        <w:t xml:space="preserve"> — </w:t>
      </w:r>
      <w:r w:rsidR="00C53CB9">
        <w:rPr>
          <w:i/>
        </w:rPr>
        <w:t xml:space="preserve">Accused acquitted of dangerous driving causing bodily harm but convicted of included offence of dangerous driving </w:t>
      </w:r>
      <w:r w:rsidR="00C53CB9" w:rsidRPr="002921BB">
        <w:rPr>
          <w:i/>
        </w:rPr>
        <w:t>—</w:t>
      </w:r>
      <w:r w:rsidR="00C34B82">
        <w:rPr>
          <w:i/>
        </w:rPr>
        <w:t xml:space="preserve"> </w:t>
      </w:r>
      <w:r w:rsidR="00C53CB9">
        <w:rPr>
          <w:i/>
        </w:rPr>
        <w:t>Court of Appeal setting aside acquittal and entering conviction for dangerous driving causing bodily harm</w:t>
      </w:r>
      <w:r w:rsidR="00C53CB9" w:rsidRPr="002921BB">
        <w:rPr>
          <w:i/>
        </w:rPr>
        <w:t xml:space="preserve"> — </w:t>
      </w:r>
      <w:r w:rsidR="00C53CB9">
        <w:rPr>
          <w:i/>
        </w:rPr>
        <w:t xml:space="preserve">Court of Appeal </w:t>
      </w:r>
      <w:r w:rsidR="00C34B82">
        <w:rPr>
          <w:i/>
        </w:rPr>
        <w:t>finding</w:t>
      </w:r>
      <w:r w:rsidR="00C53CB9">
        <w:rPr>
          <w:i/>
        </w:rPr>
        <w:t xml:space="preserve"> that trial judge </w:t>
      </w:r>
      <w:r w:rsidR="00C53CB9" w:rsidRPr="00B86E3D">
        <w:rPr>
          <w:i/>
        </w:rPr>
        <w:t>erred in law by analyzing causation based on erroneous legal standard and that error had material bearing on acquittal</w:t>
      </w:r>
      <w:r w:rsidR="00C53CB9" w:rsidRPr="002921BB">
        <w:rPr>
          <w:i/>
        </w:rPr>
        <w:t xml:space="preserve"> — </w:t>
      </w:r>
      <w:r w:rsidR="00C53CB9">
        <w:rPr>
          <w:i/>
        </w:rPr>
        <w:t>Conviction for dangerous driving causing bodily harm</w:t>
      </w:r>
      <w:r w:rsidR="00C53CB9" w:rsidRPr="002921BB">
        <w:rPr>
          <w:i/>
        </w:rPr>
        <w:t xml:space="preserve"> </w:t>
      </w:r>
      <w:r w:rsidR="00C53CB9">
        <w:rPr>
          <w:i/>
        </w:rPr>
        <w:t>affirmed</w:t>
      </w:r>
      <w:r w:rsidR="00C53CB9" w:rsidRPr="002921BB">
        <w:rPr>
          <w:i/>
        </w:rPr>
        <w:t>.</w:t>
      </w:r>
    </w:p>
    <w:p w:rsidR="008426DF" w:rsidRPr="00583EDE" w:rsidRDefault="008426DF" w:rsidP="006541FC">
      <w:pPr>
        <w:pStyle w:val="SCCNormalDoubleSpacing"/>
      </w:pPr>
    </w:p>
    <w:p w:rsidR="00656313" w:rsidRDefault="009B57B3" w:rsidP="006541FC">
      <w:pPr>
        <w:pStyle w:val="SCCNormalDoubleSpacing"/>
      </w:pPr>
      <w:r w:rsidRPr="001426A9">
        <w:tab/>
        <w:t xml:space="preserve">APPEAL from a judgment of the </w:t>
      </w:r>
      <w:r>
        <w:t xml:space="preserve">Quebec </w:t>
      </w:r>
      <w:r w:rsidR="00935156">
        <w:t xml:space="preserve">Court of Appeal (Bélanger, Vauclair and Mainville JJ.A.), 2019 QCCA 887, </w:t>
      </w:r>
      <w:r w:rsidR="005D558B">
        <w:t xml:space="preserve">442 D.L.R. (4th) 3, </w:t>
      </w:r>
      <w:r w:rsidR="00935156">
        <w:t xml:space="preserve">[2019] AZ-51598010, [2019] Q.J. No. 4127 (QL), 2019 CarswellQue </w:t>
      </w:r>
      <w:r w:rsidR="00770A75">
        <w:t>12131</w:t>
      </w:r>
      <w:r w:rsidR="00935156">
        <w:t xml:space="preserve"> (</w:t>
      </w:r>
      <w:r w:rsidR="00935156" w:rsidRPr="00DD1BA2">
        <w:t>WL Can.),</w:t>
      </w:r>
      <w:r w:rsidR="00F13E54" w:rsidRPr="00DD1BA2">
        <w:t xml:space="preserve"> </w:t>
      </w:r>
      <w:r w:rsidR="003B6FAC" w:rsidRPr="00DD1BA2">
        <w:t xml:space="preserve">setting </w:t>
      </w:r>
      <w:r w:rsidR="003B6FAC" w:rsidRPr="00DD1BA2">
        <w:lastRenderedPageBreak/>
        <w:t>aside the acquittal of the accused for dangerous driving causing bodily harm</w:t>
      </w:r>
      <w:r w:rsidR="000525E7" w:rsidRPr="00DD1BA2">
        <w:t xml:space="preserve"> and entering a conviction</w:t>
      </w:r>
      <w:r w:rsidR="003B6FAC" w:rsidRPr="00DD1BA2">
        <w:t>.</w:t>
      </w:r>
      <w:r w:rsidR="000D6899" w:rsidRPr="00DD1BA2">
        <w:t xml:space="preserve"> A</w:t>
      </w:r>
      <w:r w:rsidR="00E01500" w:rsidRPr="00DD1BA2">
        <w:t>ppeal dismissed.</w:t>
      </w:r>
    </w:p>
    <w:p w:rsidR="00656313" w:rsidRDefault="00656313" w:rsidP="00FC4EFB">
      <w:pPr>
        <w:pStyle w:val="SCCNormalDoubleSpacing"/>
      </w:pPr>
    </w:p>
    <w:p w:rsidR="00CB7CAF" w:rsidRDefault="00510FAE">
      <w:pPr>
        <w:pStyle w:val="SCCNormalDoubleSpacing"/>
      </w:pPr>
      <w:r>
        <w:rPr>
          <w:rStyle w:val="SCCCounselNameChar"/>
        </w:rPr>
        <w:tab/>
        <w:t>Karl-Emmanuel Harrison</w:t>
      </w:r>
      <w:r w:rsidR="00F71DBB">
        <w:rPr>
          <w:rStyle w:val="SCCCounselNameChar"/>
        </w:rPr>
        <w:t xml:space="preserve"> </w:t>
      </w:r>
      <w:r w:rsidR="00F71DBB" w:rsidRPr="00F71DBB">
        <w:rPr>
          <w:rStyle w:val="SCCCounselNameChar"/>
          <w:i w:val="0"/>
        </w:rPr>
        <w:t xml:space="preserve">and </w:t>
      </w:r>
      <w:r w:rsidR="00F71DBB">
        <w:rPr>
          <w:rStyle w:val="SCCCounselNameChar"/>
        </w:rPr>
        <w:t>Rita Magloé Francis</w:t>
      </w:r>
      <w:r>
        <w:rPr>
          <w:rStyle w:val="SCCCounselPartyRoleChar"/>
        </w:rPr>
        <w:t>, for the appellant.</w:t>
      </w:r>
    </w:p>
    <w:p w:rsidR="00CB7CAF" w:rsidRDefault="00CB7CAF">
      <w:pPr>
        <w:pStyle w:val="SCCNormalDoubleSpacing"/>
      </w:pPr>
    </w:p>
    <w:p w:rsidR="00CB7CAF" w:rsidRDefault="00510FAE" w:rsidP="00B265F9">
      <w:pPr>
        <w:pStyle w:val="SCCNormalDoubleSpacing"/>
        <w:spacing w:after="480"/>
      </w:pPr>
      <w:r>
        <w:rPr>
          <w:rStyle w:val="SCCCounselNameChar"/>
        </w:rPr>
        <w:tab/>
        <w:t>Éric Bernier</w:t>
      </w:r>
      <w:r>
        <w:rPr>
          <w:rStyle w:val="SCCCounselSeparatorChar"/>
        </w:rPr>
        <w:t xml:space="preserve"> and </w:t>
      </w:r>
      <w:r>
        <w:rPr>
          <w:rStyle w:val="SCCCounselNameChar"/>
        </w:rPr>
        <w:t>Ariane Lacasse</w:t>
      </w:r>
      <w:r>
        <w:rPr>
          <w:rStyle w:val="SCCCounselPartyRoleChar"/>
        </w:rPr>
        <w:t>, for the respondent.</w:t>
      </w:r>
    </w:p>
    <w:p w:rsidR="00B265F9" w:rsidRDefault="00B265F9" w:rsidP="00E01500">
      <w:pPr>
        <w:pStyle w:val="SCCNormalDoubleSpacing"/>
        <w:spacing w:after="480"/>
      </w:pPr>
      <w:r>
        <w:tab/>
        <w:t>English version of the judgment of the Court delivered orally by</w:t>
      </w:r>
    </w:p>
    <w:p w:rsidR="00E01500" w:rsidRDefault="00E01500" w:rsidP="00E01500">
      <w:pPr>
        <w:pStyle w:val="SCCNormalDoubleSpacing"/>
        <w:numPr>
          <w:ilvl w:val="0"/>
          <w:numId w:val="1"/>
        </w:numPr>
        <w:spacing w:before="480" w:after="480"/>
        <w:ind w:left="0" w:firstLine="0"/>
        <w:rPr>
          <w:lang w:val="en-US"/>
        </w:rPr>
      </w:pPr>
      <w:r w:rsidRPr="002E7C95">
        <w:rPr>
          <w:smallCaps/>
          <w:lang w:val="en-US"/>
        </w:rPr>
        <w:t>Karakatsanis J.</w:t>
      </w:r>
      <w:r w:rsidRPr="002E7C95">
        <w:rPr>
          <w:lang w:val="en-US"/>
        </w:rPr>
        <w:t xml:space="preserve"> — We</w:t>
      </w:r>
      <w:r>
        <w:rPr>
          <w:lang w:val="en-US"/>
        </w:rPr>
        <w:t xml:space="preserve"> are of the </w:t>
      </w:r>
      <w:r w:rsidRPr="00E01500">
        <w:t>view</w:t>
      </w:r>
      <w:r>
        <w:rPr>
          <w:lang w:val="en-US"/>
        </w:rPr>
        <w:t xml:space="preserve"> that the trial judge made an error of law as regards the applicable test in his analysis of causation. We are also satisfied that the findings of fact made by the judge show that the accused’s dangerous driving </w:t>
      </w:r>
      <w:r w:rsidRPr="00FC6443">
        <w:rPr>
          <w:lang w:val="en-US"/>
        </w:rPr>
        <w:t>significantly</w:t>
      </w:r>
      <w:r>
        <w:rPr>
          <w:lang w:val="en-US"/>
        </w:rPr>
        <w:t xml:space="preserve"> </w:t>
      </w:r>
      <w:r w:rsidRPr="00FC6443">
        <w:rPr>
          <w:lang w:val="en-US"/>
        </w:rPr>
        <w:t xml:space="preserve">contributed to </w:t>
      </w:r>
      <w:r>
        <w:rPr>
          <w:lang w:val="en-US"/>
        </w:rPr>
        <w:t>the bodily harm suffered by the victim. We agree with the Court of Appeal that a conviction must be entered on the count of dangerous driving causing bodily harm. The appeal is therefore dismissed and the judgment of the Quebec Court of Appeal is affirmed.</w:t>
      </w:r>
    </w:p>
    <w:p w:rsidR="00A149DF" w:rsidRPr="00C920C3" w:rsidRDefault="009B57B3" w:rsidP="00C920C3">
      <w:pPr>
        <w:pStyle w:val="SCCNormalDoubleSpacing"/>
        <w:spacing w:after="480"/>
        <w:rPr>
          <w:i/>
        </w:rPr>
      </w:pPr>
      <w:r w:rsidRPr="00E01500">
        <w:rPr>
          <w:lang w:val="en-US"/>
        </w:rPr>
        <w:tab/>
      </w:r>
      <w:r w:rsidR="00C920C3" w:rsidRPr="00C920C3">
        <w:rPr>
          <w:i/>
        </w:rPr>
        <w:t>Judgment accordingly.</w:t>
      </w:r>
    </w:p>
    <w:p w:rsidR="00CB7CAF" w:rsidRPr="00770A75" w:rsidRDefault="00510FAE">
      <w:pPr>
        <w:pStyle w:val="SCCLawFirm"/>
        <w:rPr>
          <w:lang w:val="en-US"/>
        </w:rPr>
      </w:pPr>
      <w:r>
        <w:tab/>
      </w:r>
      <w:r w:rsidRPr="00770A75">
        <w:rPr>
          <w:lang w:val="en-US"/>
        </w:rPr>
        <w:t>So</w:t>
      </w:r>
      <w:r w:rsidR="00190C68" w:rsidRPr="00770A75">
        <w:rPr>
          <w:lang w:val="en-US"/>
        </w:rPr>
        <w:t>licitor</w:t>
      </w:r>
      <w:r w:rsidRPr="00770A75">
        <w:rPr>
          <w:lang w:val="en-US"/>
        </w:rPr>
        <w:t xml:space="preserve"> for the appellant: Karl-Emmanuel Harrison, Longueuil.</w:t>
      </w:r>
    </w:p>
    <w:p w:rsidR="00CB7CAF" w:rsidRPr="00770A75" w:rsidRDefault="00CB7CAF">
      <w:pPr>
        <w:pStyle w:val="SCCLawFirm"/>
        <w:rPr>
          <w:lang w:val="en-US"/>
        </w:rPr>
      </w:pPr>
    </w:p>
    <w:p w:rsidR="00CB7CAF" w:rsidRPr="00FD401D" w:rsidRDefault="00510FAE">
      <w:pPr>
        <w:pStyle w:val="SCCLawFirm"/>
        <w:rPr>
          <w:lang w:val="en-US"/>
        </w:rPr>
      </w:pPr>
      <w:r w:rsidRPr="00770A75">
        <w:rPr>
          <w:lang w:val="en-US"/>
        </w:rPr>
        <w:tab/>
      </w:r>
      <w:r w:rsidR="00190C68" w:rsidRPr="00FD401D">
        <w:rPr>
          <w:lang w:val="en-US"/>
        </w:rPr>
        <w:t>Solicitor</w:t>
      </w:r>
      <w:r w:rsidRPr="00FD401D">
        <w:rPr>
          <w:lang w:val="en-US"/>
        </w:rPr>
        <w:t xml:space="preserve"> for the respondent: </w:t>
      </w:r>
      <w:r w:rsidR="00FD401D" w:rsidRPr="00FD401D">
        <w:rPr>
          <w:lang w:val="en-US"/>
        </w:rPr>
        <w:t>Director of Criminal and Penal Prosecutions</w:t>
      </w:r>
      <w:r w:rsidR="00950A52">
        <w:rPr>
          <w:lang w:val="en-US"/>
        </w:rPr>
        <w:t>, Saint-J</w:t>
      </w:r>
      <w:r w:rsidR="00950A52" w:rsidRPr="00950A52">
        <w:rPr>
          <w:lang w:val="en-US"/>
        </w:rPr>
        <w:t>é</w:t>
      </w:r>
      <w:r w:rsidRPr="00FD401D">
        <w:rPr>
          <w:lang w:val="en-US"/>
        </w:rPr>
        <w:t>rôme.</w:t>
      </w:r>
    </w:p>
    <w:p w:rsidR="00CB7CAF" w:rsidRPr="00FD401D" w:rsidRDefault="00CB7CAF">
      <w:pPr>
        <w:pStyle w:val="SCCLawFirm"/>
        <w:rPr>
          <w:lang w:val="en-US"/>
        </w:rPr>
      </w:pPr>
    </w:p>
    <w:p w:rsidR="009B57B3" w:rsidRPr="00FD401D" w:rsidRDefault="00510FAE" w:rsidP="00C920C3">
      <w:pPr>
        <w:pStyle w:val="SCCLawFirm"/>
        <w:rPr>
          <w:lang w:val="en-US"/>
        </w:rPr>
      </w:pPr>
      <w:r w:rsidRPr="00FD401D">
        <w:rPr>
          <w:lang w:val="en-US"/>
        </w:rPr>
        <w:tab/>
      </w:r>
    </w:p>
    <w:sectPr w:rsidR="009B57B3" w:rsidRPr="00FD401D"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F26" w:rsidRDefault="00CC3F26">
      <w:r>
        <w:separator/>
      </w:r>
    </w:p>
  </w:endnote>
  <w:endnote w:type="continuationSeparator" w:id="0">
    <w:p w:rsidR="00CC3F26" w:rsidRDefault="00CC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F26" w:rsidRDefault="00CC3F26">
      <w:r>
        <w:separator/>
      </w:r>
    </w:p>
  </w:footnote>
  <w:footnote w:type="continuationSeparator" w:id="0">
    <w:p w:rsidR="00CC3F26" w:rsidRDefault="00CC3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5F0A"/>
    <w:multiLevelType w:val="hybridMultilevel"/>
    <w:tmpl w:val="87DC71A6"/>
    <w:lvl w:ilvl="0" w:tplc="BD564518">
      <w:start w:val="1"/>
      <w:numFmt w:val="decimal"/>
      <w:lvlText w:val="[%1]"/>
      <w:lvlJc w:val="left"/>
      <w:pPr>
        <w:ind w:left="819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25E7"/>
    <w:rsid w:val="0005573E"/>
    <w:rsid w:val="000578A3"/>
    <w:rsid w:val="000648CC"/>
    <w:rsid w:val="00085CDE"/>
    <w:rsid w:val="000C59B8"/>
    <w:rsid w:val="000C6AF0"/>
    <w:rsid w:val="000D6899"/>
    <w:rsid w:val="00104F33"/>
    <w:rsid w:val="00111DE2"/>
    <w:rsid w:val="00116B38"/>
    <w:rsid w:val="00135406"/>
    <w:rsid w:val="00135972"/>
    <w:rsid w:val="001426A9"/>
    <w:rsid w:val="00154D7C"/>
    <w:rsid w:val="001570B0"/>
    <w:rsid w:val="0015752C"/>
    <w:rsid w:val="00157737"/>
    <w:rsid w:val="00165277"/>
    <w:rsid w:val="00167567"/>
    <w:rsid w:val="00170592"/>
    <w:rsid w:val="00186351"/>
    <w:rsid w:val="00190C68"/>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B7924"/>
    <w:rsid w:val="002D28C3"/>
    <w:rsid w:val="002D39A4"/>
    <w:rsid w:val="002E6705"/>
    <w:rsid w:val="00301D08"/>
    <w:rsid w:val="0030329A"/>
    <w:rsid w:val="0031086F"/>
    <w:rsid w:val="0031414C"/>
    <w:rsid w:val="00314E01"/>
    <w:rsid w:val="0032089D"/>
    <w:rsid w:val="003310DE"/>
    <w:rsid w:val="003323B0"/>
    <w:rsid w:val="0035169A"/>
    <w:rsid w:val="0035259D"/>
    <w:rsid w:val="00364B18"/>
    <w:rsid w:val="003A125D"/>
    <w:rsid w:val="003A4C70"/>
    <w:rsid w:val="003B215F"/>
    <w:rsid w:val="003B6FAC"/>
    <w:rsid w:val="003C33F9"/>
    <w:rsid w:val="003C799C"/>
    <w:rsid w:val="003D0399"/>
    <w:rsid w:val="003E1C71"/>
    <w:rsid w:val="003F327B"/>
    <w:rsid w:val="00406166"/>
    <w:rsid w:val="0040704B"/>
    <w:rsid w:val="00410A55"/>
    <w:rsid w:val="00411300"/>
    <w:rsid w:val="00415417"/>
    <w:rsid w:val="00426659"/>
    <w:rsid w:val="00450352"/>
    <w:rsid w:val="00454BDB"/>
    <w:rsid w:val="00464800"/>
    <w:rsid w:val="00465132"/>
    <w:rsid w:val="00480C90"/>
    <w:rsid w:val="0048396F"/>
    <w:rsid w:val="00493C18"/>
    <w:rsid w:val="004A600C"/>
    <w:rsid w:val="004A6118"/>
    <w:rsid w:val="004C478D"/>
    <w:rsid w:val="004E2C26"/>
    <w:rsid w:val="004F36FF"/>
    <w:rsid w:val="00510FAE"/>
    <w:rsid w:val="005125A8"/>
    <w:rsid w:val="00521AE8"/>
    <w:rsid w:val="00527180"/>
    <w:rsid w:val="0054201E"/>
    <w:rsid w:val="00555291"/>
    <w:rsid w:val="00566AD1"/>
    <w:rsid w:val="00583EDE"/>
    <w:rsid w:val="005A6079"/>
    <w:rsid w:val="005C15CC"/>
    <w:rsid w:val="005D558B"/>
    <w:rsid w:val="005E4698"/>
    <w:rsid w:val="00610539"/>
    <w:rsid w:val="00613969"/>
    <w:rsid w:val="00625C35"/>
    <w:rsid w:val="006541FC"/>
    <w:rsid w:val="00656313"/>
    <w:rsid w:val="006565F4"/>
    <w:rsid w:val="00684EEA"/>
    <w:rsid w:val="0069689B"/>
    <w:rsid w:val="006A1551"/>
    <w:rsid w:val="006B5FF5"/>
    <w:rsid w:val="006F30AF"/>
    <w:rsid w:val="00701759"/>
    <w:rsid w:val="00705C15"/>
    <w:rsid w:val="0071600E"/>
    <w:rsid w:val="007208D1"/>
    <w:rsid w:val="00747288"/>
    <w:rsid w:val="00747DD3"/>
    <w:rsid w:val="007549C8"/>
    <w:rsid w:val="00754A0B"/>
    <w:rsid w:val="00766D14"/>
    <w:rsid w:val="00767A0F"/>
    <w:rsid w:val="00770A75"/>
    <w:rsid w:val="007A05F6"/>
    <w:rsid w:val="007B6F4A"/>
    <w:rsid w:val="007E1C47"/>
    <w:rsid w:val="007E337A"/>
    <w:rsid w:val="007E5C70"/>
    <w:rsid w:val="007F2FF5"/>
    <w:rsid w:val="007F3F08"/>
    <w:rsid w:val="00804CC6"/>
    <w:rsid w:val="00817190"/>
    <w:rsid w:val="00820EE5"/>
    <w:rsid w:val="008260E2"/>
    <w:rsid w:val="008322BD"/>
    <w:rsid w:val="00833E0A"/>
    <w:rsid w:val="00834F73"/>
    <w:rsid w:val="008426DF"/>
    <w:rsid w:val="00864CF8"/>
    <w:rsid w:val="00872819"/>
    <w:rsid w:val="00874914"/>
    <w:rsid w:val="00891422"/>
    <w:rsid w:val="00892E1A"/>
    <w:rsid w:val="008A3F29"/>
    <w:rsid w:val="008B660A"/>
    <w:rsid w:val="008C01DA"/>
    <w:rsid w:val="008F78E9"/>
    <w:rsid w:val="00911989"/>
    <w:rsid w:val="009179F9"/>
    <w:rsid w:val="00933E5E"/>
    <w:rsid w:val="00935156"/>
    <w:rsid w:val="00935218"/>
    <w:rsid w:val="009403F3"/>
    <w:rsid w:val="00950A52"/>
    <w:rsid w:val="009555B7"/>
    <w:rsid w:val="009567AA"/>
    <w:rsid w:val="00967374"/>
    <w:rsid w:val="009A343A"/>
    <w:rsid w:val="009B2F23"/>
    <w:rsid w:val="009B57B3"/>
    <w:rsid w:val="009C5B92"/>
    <w:rsid w:val="009D2920"/>
    <w:rsid w:val="009D5AEB"/>
    <w:rsid w:val="009F0E33"/>
    <w:rsid w:val="00A030CE"/>
    <w:rsid w:val="00A149DF"/>
    <w:rsid w:val="00A1755C"/>
    <w:rsid w:val="00A21B90"/>
    <w:rsid w:val="00A41805"/>
    <w:rsid w:val="00A42DCD"/>
    <w:rsid w:val="00A52AFB"/>
    <w:rsid w:val="00A548CB"/>
    <w:rsid w:val="00A5521C"/>
    <w:rsid w:val="00A643E7"/>
    <w:rsid w:val="00A73C38"/>
    <w:rsid w:val="00AB670D"/>
    <w:rsid w:val="00AE4535"/>
    <w:rsid w:val="00AF03C5"/>
    <w:rsid w:val="00B000D8"/>
    <w:rsid w:val="00B00F75"/>
    <w:rsid w:val="00B145B6"/>
    <w:rsid w:val="00B265F9"/>
    <w:rsid w:val="00B279EB"/>
    <w:rsid w:val="00B50C81"/>
    <w:rsid w:val="00B557F8"/>
    <w:rsid w:val="00B815FC"/>
    <w:rsid w:val="00B93FBC"/>
    <w:rsid w:val="00BA7DA0"/>
    <w:rsid w:val="00BB2EE4"/>
    <w:rsid w:val="00BC2108"/>
    <w:rsid w:val="00BD0E9E"/>
    <w:rsid w:val="00BD1BEC"/>
    <w:rsid w:val="00BD32FF"/>
    <w:rsid w:val="00C02092"/>
    <w:rsid w:val="00C0639F"/>
    <w:rsid w:val="00C24D91"/>
    <w:rsid w:val="00C34B82"/>
    <w:rsid w:val="00C53CB9"/>
    <w:rsid w:val="00C53F14"/>
    <w:rsid w:val="00C600CF"/>
    <w:rsid w:val="00C6084F"/>
    <w:rsid w:val="00C62A66"/>
    <w:rsid w:val="00C71458"/>
    <w:rsid w:val="00C77613"/>
    <w:rsid w:val="00C828E7"/>
    <w:rsid w:val="00C86719"/>
    <w:rsid w:val="00C920C3"/>
    <w:rsid w:val="00C921DD"/>
    <w:rsid w:val="00CA6391"/>
    <w:rsid w:val="00CB7CAF"/>
    <w:rsid w:val="00CC34BD"/>
    <w:rsid w:val="00CC3F26"/>
    <w:rsid w:val="00CE161A"/>
    <w:rsid w:val="00CE3171"/>
    <w:rsid w:val="00CF1601"/>
    <w:rsid w:val="00D00C5B"/>
    <w:rsid w:val="00D0172F"/>
    <w:rsid w:val="00D068A7"/>
    <w:rsid w:val="00D17476"/>
    <w:rsid w:val="00D20440"/>
    <w:rsid w:val="00D32086"/>
    <w:rsid w:val="00D37A3F"/>
    <w:rsid w:val="00D4431D"/>
    <w:rsid w:val="00D4667A"/>
    <w:rsid w:val="00D63A1C"/>
    <w:rsid w:val="00D7516F"/>
    <w:rsid w:val="00D8579F"/>
    <w:rsid w:val="00D95F8E"/>
    <w:rsid w:val="00DA0590"/>
    <w:rsid w:val="00DA0660"/>
    <w:rsid w:val="00DB7BEA"/>
    <w:rsid w:val="00DC1739"/>
    <w:rsid w:val="00DC1788"/>
    <w:rsid w:val="00DD1BA2"/>
    <w:rsid w:val="00DE319C"/>
    <w:rsid w:val="00DF0CA8"/>
    <w:rsid w:val="00DF2B48"/>
    <w:rsid w:val="00DF49A7"/>
    <w:rsid w:val="00E01500"/>
    <w:rsid w:val="00E07EE2"/>
    <w:rsid w:val="00E07FD1"/>
    <w:rsid w:val="00E176D8"/>
    <w:rsid w:val="00E24573"/>
    <w:rsid w:val="00E25E1E"/>
    <w:rsid w:val="00E27EE7"/>
    <w:rsid w:val="00E35404"/>
    <w:rsid w:val="00E45109"/>
    <w:rsid w:val="00E47B7A"/>
    <w:rsid w:val="00E56A44"/>
    <w:rsid w:val="00E60269"/>
    <w:rsid w:val="00E77932"/>
    <w:rsid w:val="00E97830"/>
    <w:rsid w:val="00EE643C"/>
    <w:rsid w:val="00EF0683"/>
    <w:rsid w:val="00EF69D2"/>
    <w:rsid w:val="00EF766E"/>
    <w:rsid w:val="00F0070C"/>
    <w:rsid w:val="00F00EB7"/>
    <w:rsid w:val="00F13E54"/>
    <w:rsid w:val="00F36AB6"/>
    <w:rsid w:val="00F37A09"/>
    <w:rsid w:val="00F409CE"/>
    <w:rsid w:val="00F4379D"/>
    <w:rsid w:val="00F50D2D"/>
    <w:rsid w:val="00F56C8B"/>
    <w:rsid w:val="00F66810"/>
    <w:rsid w:val="00F71DBB"/>
    <w:rsid w:val="00F846D9"/>
    <w:rsid w:val="00F84DF4"/>
    <w:rsid w:val="00F85C97"/>
    <w:rsid w:val="00FB37D2"/>
    <w:rsid w:val="00FC4EFB"/>
    <w:rsid w:val="00FD068D"/>
    <w:rsid w:val="00FD401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table" w:styleId="TableGrid">
    <w:name w:val="Table Grid"/>
    <w:basedOn w:val="TableNormal"/>
    <w:uiPriority w:val="59"/>
    <w:rsid w:val="005C15CC"/>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5C15CC"/>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2020-06-05T14:47:00Z</dcterms:created>
  <dcterms:modified xsi:type="dcterms:W3CDTF">2022-03-27T16:13:00Z</dcterms:modified>
</cp:coreProperties>
</file>