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A0" w:rsidRPr="00B048A0" w:rsidRDefault="00B048A0" w:rsidP="00B048A0">
      <w:pPr>
        <w:tabs>
          <w:tab w:val="center" w:pos="4680"/>
          <w:tab w:val="right" w:pos="9360"/>
        </w:tabs>
        <w:rPr>
          <w:rFonts w:eastAsiaTheme="minorHAnsi" w:cstheme="minorBidi"/>
          <w:szCs w:val="24"/>
          <w:lang w:eastAsia="en-US"/>
        </w:rPr>
      </w:pPr>
      <w:r w:rsidRPr="00B048A0">
        <w:rPr>
          <w:rFonts w:eastAsiaTheme="minorHAnsi" w:cstheme="minorBidi"/>
          <w:szCs w:val="24"/>
          <w:lang w:eastAsia="en-US"/>
        </w:rPr>
        <w:ptab w:relativeTo="margin" w:alignment="center" w:leader="none"/>
      </w:r>
      <w:r w:rsidRPr="00B048A0">
        <w:rPr>
          <w:rFonts w:eastAsiaTheme="minorHAnsi" w:cstheme="minorBidi"/>
          <w:szCs w:val="24"/>
          <w:lang w:eastAsia="en-US"/>
        </w:rPr>
        <w:t xml:space="preserve"> </w:t>
      </w:r>
      <w:r w:rsidRPr="00B048A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4pt" o:ole="">
            <v:imagedata r:id="rId8" o:title=""/>
          </v:shape>
          <o:OLEObject Type="Embed" ProgID="Presentations.Drawing.13" ShapeID="_x0000_i1025" DrawAspect="Content" ObjectID="_1709894056" r:id="rId9"/>
        </w:object>
      </w:r>
      <w:r w:rsidRPr="00B048A0">
        <w:rPr>
          <w:rFonts w:eastAsiaTheme="minorHAnsi" w:cstheme="minorBidi"/>
          <w:szCs w:val="24"/>
          <w:lang w:eastAsia="en-US"/>
        </w:rPr>
        <w:t xml:space="preserve"> </w:t>
      </w:r>
      <w:r w:rsidRPr="00B048A0">
        <w:rPr>
          <w:rFonts w:eastAsiaTheme="minorHAnsi" w:cstheme="minorBidi"/>
          <w:szCs w:val="24"/>
          <w:lang w:eastAsia="en-US"/>
        </w:rPr>
        <w:ptab w:relativeTo="margin" w:alignment="right" w:leader="none"/>
      </w:r>
    </w:p>
    <w:p w:rsidR="00B048A0" w:rsidRPr="00B048A0" w:rsidRDefault="00B048A0" w:rsidP="00B048A0">
      <w:pPr>
        <w:tabs>
          <w:tab w:val="center" w:pos="4680"/>
          <w:tab w:val="right" w:pos="9360"/>
        </w:tabs>
        <w:rPr>
          <w:rFonts w:eastAsiaTheme="minorHAnsi" w:cstheme="minorBidi"/>
          <w:szCs w:val="24"/>
          <w:lang w:eastAsia="en-US"/>
        </w:rPr>
      </w:pPr>
    </w:p>
    <w:p w:rsidR="00B048A0" w:rsidRPr="00B048A0" w:rsidRDefault="00B048A0" w:rsidP="00B048A0">
      <w:pPr>
        <w:jc w:val="center"/>
        <w:rPr>
          <w:rFonts w:eastAsiaTheme="minorHAnsi" w:cstheme="minorBidi"/>
          <w:b/>
          <w:szCs w:val="24"/>
          <w:lang w:eastAsia="en-US"/>
        </w:rPr>
      </w:pPr>
      <w:r w:rsidRPr="00B048A0">
        <w:rPr>
          <w:rFonts w:eastAsiaTheme="minorHAnsi" w:cstheme="minorBidi"/>
          <w:b/>
          <w:szCs w:val="24"/>
          <w:lang w:eastAsia="en-US"/>
        </w:rPr>
        <w:t>SUPREME COURT OF CANADA</w:t>
      </w:r>
    </w:p>
    <w:p w:rsidR="00B048A0" w:rsidRPr="00B048A0" w:rsidRDefault="00B048A0" w:rsidP="00B048A0">
      <w:pPr>
        <w:rPr>
          <w:rFonts w:eastAsiaTheme="minorHAnsi" w:cstheme="minorBid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B048A0" w:rsidRPr="00B048A0" w:rsidTr="00B048A0">
        <w:trPr>
          <w:cantSplit/>
        </w:trPr>
        <w:tc>
          <w:tcPr>
            <w:tcW w:w="5490" w:type="dxa"/>
          </w:tcPr>
          <w:p w:rsidR="00B048A0" w:rsidRPr="00B048A0" w:rsidRDefault="00B048A0" w:rsidP="00B048A0">
            <w:r w:rsidRPr="00B048A0">
              <w:rPr>
                <w:b/>
                <w:smallCaps/>
              </w:rPr>
              <w:t>Citation:</w:t>
            </w:r>
            <w:r w:rsidRPr="00B048A0">
              <w:t xml:space="preserve"> Canada (Minister of Citizenship and Immigration) </w:t>
            </w:r>
            <w:r w:rsidRPr="00B048A0">
              <w:rPr>
                <w:i/>
              </w:rPr>
              <w:t>v.</w:t>
            </w:r>
            <w:r w:rsidRPr="00B048A0">
              <w:t xml:space="preserve"> </w:t>
            </w:r>
            <w:proofErr w:type="spellStart"/>
            <w:r w:rsidRPr="00B048A0">
              <w:t>Vavilov</w:t>
            </w:r>
            <w:proofErr w:type="spellEnd"/>
            <w:r w:rsidRPr="00B048A0">
              <w:t>, 2019 SCC 65, [2019] 4 S.C.R. 653</w:t>
            </w:r>
            <w:bookmarkStart w:id="0" w:name="_GoBack"/>
            <w:bookmarkEnd w:id="0"/>
          </w:p>
        </w:tc>
        <w:tc>
          <w:tcPr>
            <w:tcW w:w="4086" w:type="dxa"/>
          </w:tcPr>
          <w:p w:rsidR="00B048A0" w:rsidRPr="00B048A0" w:rsidRDefault="00B048A0" w:rsidP="00B048A0">
            <w:pPr>
              <w:rPr>
                <w:bCs/>
                <w:color w:val="000000"/>
              </w:rPr>
            </w:pPr>
            <w:r w:rsidRPr="00B048A0">
              <w:rPr>
                <w:b/>
                <w:bCs/>
                <w:smallCaps/>
                <w:color w:val="000000"/>
              </w:rPr>
              <w:t xml:space="preserve">Appeal Heard: </w:t>
            </w:r>
            <w:r w:rsidRPr="00B048A0">
              <w:rPr>
                <w:bCs/>
                <w:color w:val="000000"/>
              </w:rPr>
              <w:t>December 4, 5, 6, 2018</w:t>
            </w:r>
          </w:p>
          <w:p w:rsidR="00B048A0" w:rsidRPr="00B048A0" w:rsidRDefault="00B048A0" w:rsidP="00B048A0">
            <w:pPr>
              <w:rPr>
                <w:smallCaps/>
              </w:rPr>
            </w:pPr>
            <w:r w:rsidRPr="00B048A0">
              <w:rPr>
                <w:b/>
                <w:bCs/>
                <w:smallCaps/>
                <w:color w:val="000000"/>
              </w:rPr>
              <w:t>Judgment Rendered</w:t>
            </w:r>
            <w:r w:rsidRPr="00B048A0">
              <w:rPr>
                <w:b/>
                <w:bCs/>
                <w:color w:val="000000"/>
              </w:rPr>
              <w:t xml:space="preserve">: </w:t>
            </w:r>
            <w:r w:rsidRPr="00B048A0">
              <w:rPr>
                <w:bCs/>
                <w:color w:val="000000"/>
              </w:rPr>
              <w:t>December 19, 2019</w:t>
            </w:r>
          </w:p>
          <w:p w:rsidR="00B048A0" w:rsidRPr="00B048A0" w:rsidRDefault="00B048A0" w:rsidP="00B048A0">
            <w:r w:rsidRPr="00B048A0">
              <w:rPr>
                <w:b/>
                <w:smallCaps/>
              </w:rPr>
              <w:t>Docket:</w:t>
            </w:r>
            <w:r w:rsidRPr="00B048A0">
              <w:t xml:space="preserve"> 37748</w:t>
            </w:r>
          </w:p>
        </w:tc>
      </w:tr>
    </w:tbl>
    <w:p w:rsidR="00B048A0" w:rsidRPr="00B048A0" w:rsidRDefault="00B048A0" w:rsidP="00B048A0">
      <w:pPr>
        <w:rPr>
          <w:rFonts w:eastAsiaTheme="minorHAnsi" w:cstheme="minorBidi"/>
          <w:szCs w:val="24"/>
          <w:lang w:eastAsia="en-US"/>
        </w:rPr>
      </w:pPr>
    </w:p>
    <w:p w:rsidR="00B048A0" w:rsidRPr="00B048A0" w:rsidRDefault="00B048A0" w:rsidP="00B048A0">
      <w:pPr>
        <w:rPr>
          <w:rFonts w:eastAsiaTheme="minorHAnsi" w:cstheme="minorBidi"/>
          <w:b/>
          <w:smallCaps/>
          <w:szCs w:val="24"/>
          <w:lang w:eastAsia="en-US"/>
        </w:rPr>
      </w:pPr>
      <w:r w:rsidRPr="00B048A0">
        <w:rPr>
          <w:rFonts w:eastAsiaTheme="minorHAnsi" w:cstheme="minorBidi"/>
          <w:b/>
          <w:smallCaps/>
          <w:szCs w:val="24"/>
          <w:lang w:eastAsia="en-US"/>
        </w:rPr>
        <w:t>Between:</w:t>
      </w:r>
    </w:p>
    <w:p w:rsidR="00B048A0" w:rsidRPr="00B048A0" w:rsidRDefault="00B048A0" w:rsidP="00B048A0">
      <w:pPr>
        <w:jc w:val="center"/>
        <w:rPr>
          <w:rFonts w:eastAsiaTheme="minorHAnsi" w:cstheme="minorBidi"/>
          <w:b/>
          <w:szCs w:val="24"/>
          <w:lang w:eastAsia="en-US"/>
        </w:rPr>
      </w:pPr>
      <w:r w:rsidRPr="00B048A0">
        <w:rPr>
          <w:rFonts w:eastAsiaTheme="minorHAnsi" w:cstheme="minorBidi"/>
          <w:b/>
          <w:szCs w:val="24"/>
          <w:lang w:eastAsia="en-US"/>
        </w:rPr>
        <w:t>Minister of Citizenship and Immigration</w:t>
      </w:r>
    </w:p>
    <w:p w:rsidR="00B048A0" w:rsidRPr="00B048A0" w:rsidRDefault="00B048A0" w:rsidP="00B048A0">
      <w:pPr>
        <w:jc w:val="center"/>
        <w:rPr>
          <w:rFonts w:eastAsiaTheme="minorHAnsi" w:cstheme="minorBidi"/>
          <w:szCs w:val="24"/>
          <w:lang w:eastAsia="en-US"/>
        </w:rPr>
      </w:pPr>
      <w:r w:rsidRPr="00B048A0">
        <w:rPr>
          <w:rFonts w:eastAsiaTheme="minorHAnsi" w:cstheme="minorBidi"/>
          <w:szCs w:val="24"/>
          <w:lang w:eastAsia="en-US"/>
        </w:rPr>
        <w:t>Appellant</w:t>
      </w:r>
    </w:p>
    <w:p w:rsidR="00B048A0" w:rsidRPr="00B048A0" w:rsidRDefault="00B048A0" w:rsidP="00B048A0">
      <w:pPr>
        <w:jc w:val="center"/>
        <w:rPr>
          <w:rFonts w:eastAsiaTheme="minorHAnsi" w:cstheme="minorBidi"/>
          <w:szCs w:val="24"/>
          <w:lang w:eastAsia="en-US"/>
        </w:rPr>
      </w:pPr>
    </w:p>
    <w:p w:rsidR="00B048A0" w:rsidRPr="00B048A0" w:rsidRDefault="00B048A0" w:rsidP="00B048A0">
      <w:pPr>
        <w:jc w:val="center"/>
        <w:rPr>
          <w:rFonts w:eastAsiaTheme="minorHAnsi" w:cstheme="minorBidi"/>
          <w:szCs w:val="24"/>
          <w:lang w:eastAsia="en-US"/>
        </w:rPr>
      </w:pPr>
      <w:proofErr w:type="gramStart"/>
      <w:r w:rsidRPr="00B048A0">
        <w:rPr>
          <w:rFonts w:eastAsiaTheme="minorHAnsi" w:cstheme="minorBidi"/>
          <w:szCs w:val="24"/>
          <w:lang w:eastAsia="en-US"/>
        </w:rPr>
        <w:t>and</w:t>
      </w:r>
      <w:proofErr w:type="gramEnd"/>
    </w:p>
    <w:p w:rsidR="00B048A0" w:rsidRPr="00B048A0" w:rsidRDefault="00B048A0" w:rsidP="00B048A0">
      <w:pPr>
        <w:rPr>
          <w:rFonts w:eastAsiaTheme="minorHAnsi" w:cstheme="minorBidi"/>
          <w:szCs w:val="24"/>
          <w:lang w:eastAsia="en-US"/>
        </w:rPr>
      </w:pPr>
    </w:p>
    <w:p w:rsidR="00B048A0" w:rsidRPr="00B048A0" w:rsidRDefault="00B048A0" w:rsidP="00B048A0">
      <w:pPr>
        <w:jc w:val="center"/>
        <w:rPr>
          <w:rFonts w:eastAsiaTheme="minorHAnsi" w:cstheme="minorBidi"/>
          <w:b/>
          <w:szCs w:val="24"/>
          <w:lang w:eastAsia="en-US"/>
        </w:rPr>
      </w:pPr>
      <w:r w:rsidRPr="00B048A0">
        <w:rPr>
          <w:rFonts w:eastAsiaTheme="minorHAnsi" w:cstheme="minorBidi"/>
          <w:b/>
          <w:szCs w:val="24"/>
          <w:lang w:eastAsia="en-US"/>
        </w:rPr>
        <w:t xml:space="preserve">Alexander </w:t>
      </w:r>
      <w:proofErr w:type="spellStart"/>
      <w:r w:rsidRPr="00B048A0">
        <w:rPr>
          <w:rFonts w:eastAsiaTheme="minorHAnsi" w:cstheme="minorBidi"/>
          <w:b/>
          <w:szCs w:val="24"/>
          <w:lang w:eastAsia="en-US"/>
        </w:rPr>
        <w:t>Vavilov</w:t>
      </w:r>
      <w:proofErr w:type="spellEnd"/>
    </w:p>
    <w:p w:rsidR="00B048A0" w:rsidRPr="00B048A0" w:rsidRDefault="00B048A0" w:rsidP="00B048A0">
      <w:pPr>
        <w:jc w:val="center"/>
        <w:rPr>
          <w:rFonts w:eastAsiaTheme="minorHAnsi" w:cstheme="minorBidi"/>
          <w:szCs w:val="24"/>
          <w:lang w:eastAsia="en-US"/>
        </w:rPr>
      </w:pPr>
      <w:r w:rsidRPr="00B048A0">
        <w:rPr>
          <w:rFonts w:eastAsiaTheme="minorHAnsi" w:cstheme="minorBidi"/>
          <w:szCs w:val="24"/>
          <w:lang w:eastAsia="en-US"/>
        </w:rPr>
        <w:t>Respondent</w:t>
      </w:r>
    </w:p>
    <w:p w:rsidR="00B048A0" w:rsidRPr="00B048A0" w:rsidRDefault="00B048A0" w:rsidP="00B048A0">
      <w:pPr>
        <w:rPr>
          <w:rFonts w:eastAsiaTheme="minorHAnsi" w:cstheme="minorBidi"/>
          <w:szCs w:val="24"/>
          <w:lang w:eastAsia="en-US"/>
        </w:rPr>
      </w:pPr>
    </w:p>
    <w:p w:rsidR="00B048A0" w:rsidRPr="00B048A0" w:rsidRDefault="00B048A0" w:rsidP="00B048A0">
      <w:pPr>
        <w:jc w:val="center"/>
        <w:rPr>
          <w:rFonts w:eastAsiaTheme="minorHAnsi" w:cstheme="minorBidi"/>
          <w:szCs w:val="24"/>
          <w:lang w:eastAsia="en-US"/>
        </w:rPr>
      </w:pPr>
      <w:r w:rsidRPr="00B048A0">
        <w:rPr>
          <w:rFonts w:eastAsiaTheme="minorHAnsi" w:cstheme="minorBidi"/>
          <w:szCs w:val="24"/>
          <w:lang w:eastAsia="en-US"/>
        </w:rPr>
        <w:t xml:space="preserve">- </w:t>
      </w:r>
      <w:proofErr w:type="gramStart"/>
      <w:r w:rsidRPr="00B048A0">
        <w:rPr>
          <w:rFonts w:eastAsiaTheme="minorHAnsi" w:cstheme="minorBidi"/>
          <w:szCs w:val="24"/>
          <w:lang w:eastAsia="en-US"/>
        </w:rPr>
        <w:t>and</w:t>
      </w:r>
      <w:proofErr w:type="gramEnd"/>
      <w:r w:rsidRPr="00B048A0">
        <w:rPr>
          <w:rFonts w:eastAsiaTheme="minorHAnsi" w:cstheme="minorBidi"/>
          <w:szCs w:val="24"/>
          <w:lang w:eastAsia="en-US"/>
        </w:rPr>
        <w:t xml:space="preserve"> -</w:t>
      </w:r>
    </w:p>
    <w:p w:rsidR="00B048A0" w:rsidRPr="00B048A0" w:rsidRDefault="00B048A0" w:rsidP="00B048A0">
      <w:pPr>
        <w:rPr>
          <w:rFonts w:eastAsiaTheme="minorHAnsi" w:cstheme="minorBidi"/>
          <w:szCs w:val="24"/>
          <w:lang w:eastAsia="en-US"/>
        </w:rPr>
      </w:pPr>
    </w:p>
    <w:p w:rsidR="00B048A0" w:rsidRPr="00B048A0" w:rsidRDefault="00B048A0" w:rsidP="00B048A0">
      <w:pPr>
        <w:jc w:val="center"/>
        <w:rPr>
          <w:rFonts w:eastAsiaTheme="minorHAnsi" w:cstheme="minorBidi"/>
          <w:b/>
          <w:szCs w:val="24"/>
          <w:lang w:eastAsia="en-US"/>
        </w:rPr>
      </w:pPr>
      <w:r w:rsidRPr="00B048A0">
        <w:rPr>
          <w:rFonts w:eastAsiaTheme="minorHAnsi" w:cstheme="minorBidi"/>
          <w:b/>
          <w:szCs w:val="24"/>
          <w:lang w:eastAsia="en-US"/>
        </w:rPr>
        <w:t xml:space="preserve">Attorney General of Ontario, Attorney General of Quebec, Attorney General of British Columbia, Attorney General of Saskatchewan, Canadian Council for Refugees,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w:t>
      </w:r>
      <w:proofErr w:type="spellStart"/>
      <w:r w:rsidRPr="00B048A0">
        <w:rPr>
          <w:rFonts w:eastAsiaTheme="minorHAnsi" w:cstheme="minorBidi"/>
          <w:b/>
          <w:szCs w:val="24"/>
          <w:lang w:eastAsia="en-US"/>
        </w:rPr>
        <w:t>Conférence</w:t>
      </w:r>
      <w:proofErr w:type="spellEnd"/>
      <w:r w:rsidRPr="00B048A0">
        <w:rPr>
          <w:rFonts w:eastAsiaTheme="minorHAnsi" w:cstheme="minorBidi"/>
          <w:b/>
          <w:szCs w:val="24"/>
          <w:lang w:eastAsia="en-US"/>
        </w:rPr>
        <w:t xml:space="preserve"> des </w:t>
      </w:r>
      <w:proofErr w:type="spellStart"/>
      <w:r w:rsidRPr="00B048A0">
        <w:rPr>
          <w:rFonts w:eastAsiaTheme="minorHAnsi" w:cstheme="minorBidi"/>
          <w:b/>
          <w:szCs w:val="24"/>
          <w:lang w:eastAsia="en-US"/>
        </w:rPr>
        <w:t>arbitres</w:t>
      </w:r>
      <w:proofErr w:type="spellEnd"/>
      <w:r w:rsidRPr="00B048A0">
        <w:rPr>
          <w:rFonts w:eastAsiaTheme="minorHAnsi" w:cstheme="minorBidi"/>
          <w:b/>
          <w:szCs w:val="24"/>
          <w:lang w:eastAsia="en-US"/>
        </w:rPr>
        <w:t xml:space="preserve"> du Québec, Canadian Labour Congress, National Association of Pharmacy Regulatory Authorities, Queen’s Prison Law Clinic, Advocates for the Rule of Law, Parkdale Community Legal Services, Cambridge Comparative Administrative Law Forum, Samuelson-</w:t>
      </w:r>
      <w:proofErr w:type="spellStart"/>
      <w:r w:rsidRPr="00B048A0">
        <w:rPr>
          <w:rFonts w:eastAsiaTheme="minorHAnsi" w:cstheme="minorBidi"/>
          <w:b/>
          <w:szCs w:val="24"/>
          <w:lang w:eastAsia="en-US"/>
        </w:rPr>
        <w:t>Glushko</w:t>
      </w:r>
      <w:proofErr w:type="spellEnd"/>
      <w:r w:rsidRPr="00B048A0">
        <w:rPr>
          <w:rFonts w:eastAsiaTheme="minorHAnsi" w:cstheme="minorBidi"/>
          <w:b/>
          <w:szCs w:val="24"/>
          <w:lang w:eastAsia="en-US"/>
        </w:rPr>
        <w:t xml:space="preserve"> Canadian Internet Policy and Public Interest Clinic, Canadian Bar Association, Canadian Association of Refugee Lawyers, Community &amp; Legal Aid Services Programme, Association </w:t>
      </w:r>
      <w:proofErr w:type="spellStart"/>
      <w:r w:rsidRPr="00B048A0">
        <w:rPr>
          <w:rFonts w:eastAsiaTheme="minorHAnsi" w:cstheme="minorBidi"/>
          <w:b/>
          <w:szCs w:val="24"/>
          <w:lang w:eastAsia="en-US"/>
        </w:rPr>
        <w:t>québécoise</w:t>
      </w:r>
      <w:proofErr w:type="spellEnd"/>
      <w:r w:rsidRPr="00B048A0">
        <w:rPr>
          <w:rFonts w:eastAsiaTheme="minorHAnsi" w:cstheme="minorBidi"/>
          <w:b/>
          <w:szCs w:val="24"/>
          <w:lang w:eastAsia="en-US"/>
        </w:rPr>
        <w:t xml:space="preserve"> des </w:t>
      </w:r>
      <w:proofErr w:type="spellStart"/>
      <w:r w:rsidRPr="00B048A0">
        <w:rPr>
          <w:rFonts w:eastAsiaTheme="minorHAnsi" w:cstheme="minorBidi"/>
          <w:b/>
          <w:szCs w:val="24"/>
          <w:lang w:eastAsia="en-US"/>
        </w:rPr>
        <w:t>avocats</w:t>
      </w:r>
      <w:proofErr w:type="spellEnd"/>
      <w:r w:rsidRPr="00B048A0">
        <w:rPr>
          <w:rFonts w:eastAsiaTheme="minorHAnsi" w:cstheme="minorBidi"/>
          <w:b/>
          <w:szCs w:val="24"/>
          <w:lang w:eastAsia="en-US"/>
        </w:rPr>
        <w:t xml:space="preserve"> et </w:t>
      </w:r>
      <w:proofErr w:type="spellStart"/>
      <w:r w:rsidRPr="00B048A0">
        <w:rPr>
          <w:rFonts w:eastAsiaTheme="minorHAnsi" w:cstheme="minorBidi"/>
          <w:b/>
          <w:szCs w:val="24"/>
          <w:lang w:eastAsia="en-US"/>
        </w:rPr>
        <w:t>avocates</w:t>
      </w:r>
      <w:proofErr w:type="spellEnd"/>
      <w:r w:rsidRPr="00B048A0">
        <w:rPr>
          <w:rFonts w:eastAsiaTheme="minorHAnsi" w:cstheme="minorBidi"/>
          <w:b/>
          <w:szCs w:val="24"/>
          <w:lang w:eastAsia="en-US"/>
        </w:rPr>
        <w:t xml:space="preserve"> </w:t>
      </w:r>
      <w:proofErr w:type="spellStart"/>
      <w:r w:rsidRPr="00B048A0">
        <w:rPr>
          <w:rFonts w:eastAsiaTheme="minorHAnsi" w:cstheme="minorBidi"/>
          <w:b/>
          <w:szCs w:val="24"/>
          <w:lang w:eastAsia="en-US"/>
        </w:rPr>
        <w:t>en</w:t>
      </w:r>
      <w:proofErr w:type="spellEnd"/>
      <w:r w:rsidRPr="00B048A0">
        <w:rPr>
          <w:rFonts w:eastAsiaTheme="minorHAnsi" w:cstheme="minorBidi"/>
          <w:b/>
          <w:szCs w:val="24"/>
          <w:lang w:eastAsia="en-US"/>
        </w:rPr>
        <w:t xml:space="preserve"> droit de </w:t>
      </w:r>
      <w:proofErr w:type="spellStart"/>
      <w:r w:rsidRPr="00B048A0">
        <w:rPr>
          <w:rFonts w:eastAsiaTheme="minorHAnsi" w:cstheme="minorBidi"/>
          <w:b/>
          <w:szCs w:val="24"/>
          <w:lang w:eastAsia="en-US"/>
        </w:rPr>
        <w:t>l’immigration</w:t>
      </w:r>
      <w:proofErr w:type="spellEnd"/>
      <w:r w:rsidRPr="00B048A0">
        <w:rPr>
          <w:rFonts w:eastAsiaTheme="minorHAnsi" w:cstheme="minorBidi"/>
          <w:b/>
          <w:szCs w:val="24"/>
          <w:lang w:eastAsia="en-US"/>
        </w:rPr>
        <w:t xml:space="preserve"> and First Nations Child &amp; Family Caring Society of Canada</w:t>
      </w:r>
    </w:p>
    <w:p w:rsidR="00B048A0" w:rsidRPr="00B048A0" w:rsidRDefault="00B048A0" w:rsidP="00B048A0">
      <w:pPr>
        <w:jc w:val="center"/>
        <w:rPr>
          <w:rFonts w:eastAsiaTheme="minorHAnsi" w:cstheme="minorBidi"/>
          <w:szCs w:val="24"/>
          <w:lang w:eastAsia="en-US"/>
        </w:rPr>
      </w:pPr>
      <w:r w:rsidRPr="00B048A0">
        <w:rPr>
          <w:rFonts w:eastAsiaTheme="minorHAnsi" w:cstheme="minorBidi"/>
          <w:szCs w:val="24"/>
          <w:lang w:eastAsia="en-US"/>
        </w:rPr>
        <w:t>Interveners</w:t>
      </w:r>
      <w:r w:rsidRPr="00B048A0">
        <w:rPr>
          <w:rFonts w:eastAsiaTheme="minorHAnsi" w:cstheme="minorBidi"/>
          <w:szCs w:val="24"/>
          <w:lang w:eastAsia="en-US"/>
        </w:rPr>
        <w:br/>
      </w:r>
    </w:p>
    <w:p w:rsidR="00B048A0" w:rsidRPr="00B048A0" w:rsidRDefault="00B048A0" w:rsidP="00B048A0">
      <w:pPr>
        <w:rPr>
          <w:rFonts w:eastAsiaTheme="minorHAnsi" w:cstheme="minorBidi"/>
          <w:szCs w:val="24"/>
          <w:lang w:eastAsia="en-US"/>
        </w:rPr>
      </w:pPr>
    </w:p>
    <w:p w:rsidR="00B048A0" w:rsidRPr="00B048A0" w:rsidRDefault="00B048A0" w:rsidP="00B048A0">
      <w:pPr>
        <w:rPr>
          <w:rFonts w:eastAsiaTheme="minorHAnsi" w:cstheme="minorBidi"/>
          <w:szCs w:val="24"/>
          <w:lang w:eastAsia="en-US"/>
        </w:rPr>
      </w:pPr>
    </w:p>
    <w:p w:rsidR="00B048A0" w:rsidRPr="00B048A0" w:rsidRDefault="00B048A0" w:rsidP="00B048A0">
      <w:pPr>
        <w:rPr>
          <w:rFonts w:eastAsiaTheme="minorHAnsi" w:cstheme="minorBidi"/>
          <w:szCs w:val="24"/>
          <w:lang w:eastAsia="en-US"/>
        </w:rPr>
      </w:pPr>
    </w:p>
    <w:p w:rsidR="00B048A0" w:rsidRPr="00B048A0" w:rsidRDefault="00B048A0" w:rsidP="00B048A0">
      <w:pPr>
        <w:rPr>
          <w:rFonts w:eastAsiaTheme="minorHAnsi" w:cstheme="minorBidi"/>
          <w:szCs w:val="24"/>
          <w:lang w:eastAsia="en-US"/>
        </w:rPr>
      </w:pPr>
      <w:r w:rsidRPr="00B048A0">
        <w:rPr>
          <w:rFonts w:eastAsiaTheme="minorHAnsi" w:cstheme="minorBidi"/>
          <w:b/>
          <w:smallCaps/>
          <w:szCs w:val="24"/>
          <w:lang w:eastAsia="en-US"/>
        </w:rPr>
        <w:t>Coram:</w:t>
      </w:r>
      <w:r w:rsidRPr="00B048A0">
        <w:rPr>
          <w:rFonts w:eastAsiaTheme="minorHAnsi" w:cstheme="minorBidi"/>
          <w:szCs w:val="24"/>
          <w:lang w:eastAsia="en-US"/>
        </w:rPr>
        <w:t xml:space="preserve"> Wagner C.J. and </w:t>
      </w:r>
      <w:proofErr w:type="spellStart"/>
      <w:r w:rsidRPr="00B048A0">
        <w:rPr>
          <w:rFonts w:eastAsiaTheme="minorHAnsi" w:cstheme="minorBidi"/>
          <w:szCs w:val="24"/>
          <w:lang w:eastAsia="en-US"/>
        </w:rPr>
        <w:t>Abella</w:t>
      </w:r>
      <w:proofErr w:type="spellEnd"/>
      <w:r w:rsidRPr="00B048A0">
        <w:rPr>
          <w:rFonts w:eastAsiaTheme="minorHAnsi" w:cstheme="minorBidi"/>
          <w:szCs w:val="24"/>
          <w:lang w:eastAsia="en-US"/>
        </w:rPr>
        <w:t xml:space="preserve">, </w:t>
      </w:r>
      <w:proofErr w:type="spellStart"/>
      <w:r w:rsidRPr="00B048A0">
        <w:rPr>
          <w:rFonts w:eastAsiaTheme="minorHAnsi" w:cstheme="minorBidi"/>
          <w:szCs w:val="24"/>
          <w:lang w:eastAsia="en-US"/>
        </w:rPr>
        <w:t>Moldaver</w:t>
      </w:r>
      <w:proofErr w:type="spellEnd"/>
      <w:r w:rsidRPr="00B048A0">
        <w:rPr>
          <w:rFonts w:eastAsiaTheme="minorHAnsi" w:cstheme="minorBidi"/>
          <w:szCs w:val="24"/>
          <w:lang w:eastAsia="en-US"/>
        </w:rPr>
        <w:t xml:space="preserve">, </w:t>
      </w:r>
      <w:proofErr w:type="spellStart"/>
      <w:r w:rsidRPr="00B048A0">
        <w:rPr>
          <w:rFonts w:eastAsiaTheme="minorHAnsi" w:cstheme="minorBidi"/>
          <w:szCs w:val="24"/>
          <w:lang w:eastAsia="en-US"/>
        </w:rPr>
        <w:t>Karakatsanis</w:t>
      </w:r>
      <w:proofErr w:type="spellEnd"/>
      <w:r w:rsidRPr="00B048A0">
        <w:rPr>
          <w:rFonts w:eastAsiaTheme="minorHAnsi" w:cstheme="minorBidi"/>
          <w:szCs w:val="24"/>
          <w:lang w:eastAsia="en-US"/>
        </w:rPr>
        <w:t xml:space="preserve">, </w:t>
      </w:r>
      <w:proofErr w:type="spellStart"/>
      <w:r w:rsidRPr="00B048A0">
        <w:rPr>
          <w:rFonts w:eastAsiaTheme="minorHAnsi" w:cstheme="minorBidi"/>
          <w:szCs w:val="24"/>
          <w:lang w:eastAsia="en-US"/>
        </w:rPr>
        <w:t>Gascon</w:t>
      </w:r>
      <w:proofErr w:type="spellEnd"/>
      <w:r w:rsidRPr="00B048A0">
        <w:rPr>
          <w:rFonts w:eastAsiaTheme="minorHAnsi" w:cstheme="minorBidi"/>
          <w:szCs w:val="24"/>
          <w:lang w:eastAsia="en-US"/>
        </w:rPr>
        <w:t>, Côté, Brown, Rowe and Martin JJ.</w:t>
      </w:r>
    </w:p>
    <w:p w:rsidR="00B048A0" w:rsidRPr="00B048A0" w:rsidRDefault="00B048A0" w:rsidP="00B048A0">
      <w:pPr>
        <w:rPr>
          <w:rFonts w:eastAsiaTheme="minorHAnsi" w:cstheme="minorBid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048A0" w:rsidRPr="00B048A0" w:rsidTr="00B2492D">
        <w:trPr>
          <w:cantSplit/>
        </w:trPr>
        <w:tc>
          <w:tcPr>
            <w:tcW w:w="3618" w:type="dxa"/>
          </w:tcPr>
          <w:p w:rsidR="00B048A0" w:rsidRPr="00B048A0" w:rsidRDefault="00B048A0" w:rsidP="00B048A0">
            <w:pPr>
              <w:rPr>
                <w:b/>
                <w:smallCaps/>
              </w:rPr>
            </w:pPr>
            <w:r w:rsidRPr="00B048A0">
              <w:rPr>
                <w:b/>
                <w:smallCaps/>
              </w:rPr>
              <w:t>Joint Reasons for Judgment:</w:t>
            </w:r>
          </w:p>
          <w:p w:rsidR="00B048A0" w:rsidRPr="00B048A0" w:rsidRDefault="00B048A0" w:rsidP="00B048A0">
            <w:r w:rsidRPr="00B048A0">
              <w:t>(paras. 1 to 197)</w:t>
            </w:r>
          </w:p>
          <w:p w:rsidR="00B048A0" w:rsidRPr="00B048A0" w:rsidRDefault="00B048A0" w:rsidP="00B048A0"/>
          <w:p w:rsidR="00B048A0" w:rsidRPr="00B048A0" w:rsidRDefault="00B048A0" w:rsidP="00B048A0">
            <w:pPr>
              <w:rPr>
                <w:b/>
                <w:bCs/>
                <w:smallCaps/>
                <w:color w:val="000000"/>
              </w:rPr>
            </w:pPr>
            <w:r w:rsidRPr="00B048A0">
              <w:rPr>
                <w:b/>
                <w:bCs/>
                <w:smallCaps/>
                <w:color w:val="000000"/>
              </w:rPr>
              <w:t>Joint Concurring Reasons:</w:t>
            </w:r>
          </w:p>
          <w:p w:rsidR="00B048A0" w:rsidRPr="00B048A0" w:rsidRDefault="00B048A0" w:rsidP="00B048A0">
            <w:r w:rsidRPr="00B048A0">
              <w:t>(paras. 198 to 343)</w:t>
            </w:r>
          </w:p>
        </w:tc>
        <w:tc>
          <w:tcPr>
            <w:tcW w:w="5958" w:type="dxa"/>
          </w:tcPr>
          <w:p w:rsidR="00B048A0" w:rsidRPr="00B048A0" w:rsidRDefault="00B048A0" w:rsidP="00B048A0">
            <w:r w:rsidRPr="00B048A0">
              <w:t xml:space="preserve">Wagner C.J. and </w:t>
            </w:r>
            <w:proofErr w:type="spellStart"/>
            <w:r w:rsidRPr="00B048A0">
              <w:t>Moldaver</w:t>
            </w:r>
            <w:proofErr w:type="spellEnd"/>
            <w:r w:rsidRPr="00B048A0">
              <w:t xml:space="preserve">, </w:t>
            </w:r>
            <w:proofErr w:type="spellStart"/>
            <w:r w:rsidRPr="00B048A0">
              <w:t>Gascon</w:t>
            </w:r>
            <w:proofErr w:type="spellEnd"/>
            <w:r w:rsidRPr="00B048A0">
              <w:t>, Côté, Brown, Rowe and Martin JJ.</w:t>
            </w:r>
          </w:p>
          <w:p w:rsidR="00B048A0" w:rsidRPr="00B048A0" w:rsidRDefault="00B048A0" w:rsidP="00B048A0"/>
          <w:p w:rsidR="00B048A0" w:rsidRPr="00B048A0" w:rsidRDefault="00B048A0" w:rsidP="00B048A0">
            <w:proofErr w:type="spellStart"/>
            <w:r w:rsidRPr="00B048A0">
              <w:t>Abella</w:t>
            </w:r>
            <w:proofErr w:type="spellEnd"/>
            <w:r w:rsidRPr="00B048A0">
              <w:t xml:space="preserve"> and </w:t>
            </w:r>
            <w:proofErr w:type="spellStart"/>
            <w:r w:rsidRPr="00B048A0">
              <w:t>Karakatsanis</w:t>
            </w:r>
            <w:proofErr w:type="spellEnd"/>
            <w:r w:rsidRPr="00B048A0">
              <w:t xml:space="preserve"> JJ.</w:t>
            </w:r>
          </w:p>
        </w:tc>
      </w:tr>
    </w:tbl>
    <w:p w:rsidR="00B048A0" w:rsidRPr="00B048A0" w:rsidRDefault="00B048A0" w:rsidP="00B048A0">
      <w:pPr>
        <w:rPr>
          <w:rFonts w:eastAsiaTheme="minorHAnsi" w:cstheme="minorBidi"/>
          <w:szCs w:val="24"/>
          <w:lang w:eastAsia="en-US"/>
        </w:rPr>
      </w:pPr>
    </w:p>
    <w:p w:rsidR="00B048A0" w:rsidRPr="00B048A0" w:rsidRDefault="00B048A0" w:rsidP="00B048A0">
      <w:pPr>
        <w:rPr>
          <w:rFonts w:eastAsiaTheme="minorHAnsi" w:cstheme="minorBidi"/>
          <w:szCs w:val="24"/>
          <w:lang w:eastAsia="en-US"/>
        </w:rPr>
      </w:pPr>
      <w:r w:rsidRPr="00B048A0">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4CA90260" wp14:editId="0ACD092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9DC5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048A0" w:rsidRDefault="00B048A0">
      <w:pPr>
        <w:rPr>
          <w:rStyle w:val="SCCAppellantForRunningHeadChar"/>
        </w:rPr>
      </w:pPr>
      <w:r>
        <w:rPr>
          <w:rStyle w:val="SCCAppellantForRunningHeadChar"/>
        </w:rPr>
        <w:br w:type="page"/>
      </w:r>
    </w:p>
    <w:p w:rsidR="008322BD" w:rsidRPr="00036388" w:rsidRDefault="00036388" w:rsidP="00E912BB">
      <w:pPr>
        <w:spacing w:after="720"/>
        <w:jc w:val="both"/>
        <w:rPr>
          <w:smallCaps/>
        </w:rPr>
      </w:pPr>
      <w:proofErr w:type="spellStart"/>
      <w:r w:rsidRPr="00585889">
        <w:rPr>
          <w:rStyle w:val="SCCAppellantForRunningHeadChar"/>
        </w:rPr>
        <w:lastRenderedPageBreak/>
        <w:t>canada</w:t>
      </w:r>
      <w:proofErr w:type="spellEnd"/>
      <w:r w:rsidR="00480C90" w:rsidRPr="00585889">
        <w:rPr>
          <w:smallCaps/>
        </w:rPr>
        <w:t xml:space="preserve"> </w:t>
      </w:r>
      <w:r w:rsidR="009B57B3" w:rsidRPr="00585889">
        <w:rPr>
          <w:i/>
        </w:rPr>
        <w:t>v.</w:t>
      </w:r>
      <w:r w:rsidR="00B000D8" w:rsidRPr="00585889">
        <w:rPr>
          <w:smallCaps/>
        </w:rPr>
        <w:t xml:space="preserve"> </w:t>
      </w:r>
      <w:proofErr w:type="spellStart"/>
      <w:r w:rsidR="00C776DA" w:rsidRPr="00585889">
        <w:rPr>
          <w:smallCaps/>
        </w:rPr>
        <w:t>vavilov</w:t>
      </w:r>
      <w:proofErr w:type="spellEnd"/>
    </w:p>
    <w:p w:rsidR="00C776DA" w:rsidRDefault="00C776DA" w:rsidP="00E912BB">
      <w:pPr>
        <w:pStyle w:val="SCCLsocLastPartyInRole"/>
      </w:pPr>
      <w:r>
        <w:t>Minister of Citizenship and Immigration</w:t>
      </w:r>
      <w:r>
        <w:rPr>
          <w:rStyle w:val="SCCLsocPartyRole"/>
        </w:rPr>
        <w:tab/>
        <w:t>Appellant</w:t>
      </w:r>
    </w:p>
    <w:p w:rsidR="00C776DA" w:rsidRDefault="00C776DA" w:rsidP="00E912BB">
      <w:pPr>
        <w:pStyle w:val="SCCLsocVersus"/>
      </w:pPr>
      <w:proofErr w:type="gramStart"/>
      <w:r>
        <w:t>v</w:t>
      </w:r>
      <w:proofErr w:type="gramEnd"/>
      <w:r>
        <w:t>.</w:t>
      </w:r>
    </w:p>
    <w:p w:rsidR="00C776DA" w:rsidRDefault="00C776DA" w:rsidP="00E912BB">
      <w:pPr>
        <w:pStyle w:val="SCCLsocLastPartyInRole"/>
      </w:pPr>
      <w:r>
        <w:t xml:space="preserve">Alexander </w:t>
      </w:r>
      <w:proofErr w:type="spellStart"/>
      <w:r>
        <w:t>Vavilov</w:t>
      </w:r>
      <w:proofErr w:type="spellEnd"/>
      <w:r>
        <w:rPr>
          <w:rStyle w:val="SCCLsocPartyRole"/>
        </w:rPr>
        <w:tab/>
        <w:t>Respondent</w:t>
      </w:r>
    </w:p>
    <w:p w:rsidR="00C776DA" w:rsidRDefault="00C776DA" w:rsidP="00E912BB">
      <w:pPr>
        <w:pStyle w:val="SCCLsocOtherPartySeparator"/>
      </w:pPr>
      <w:proofErr w:type="gramStart"/>
      <w:r>
        <w:t>and</w:t>
      </w:r>
      <w:proofErr w:type="gramEnd"/>
    </w:p>
    <w:p w:rsidR="00C776DA" w:rsidRDefault="00C776DA" w:rsidP="00C776DA">
      <w:pPr>
        <w:pStyle w:val="SCCLsocParty"/>
      </w:pPr>
      <w:r>
        <w:t>Attorney General of Ontario,</w:t>
      </w:r>
    </w:p>
    <w:p w:rsidR="00C776DA" w:rsidRDefault="00C776DA" w:rsidP="00C776DA">
      <w:pPr>
        <w:pStyle w:val="SCCLsocParty"/>
      </w:pPr>
      <w:r>
        <w:t>Attorney General of Quebec,</w:t>
      </w:r>
    </w:p>
    <w:p w:rsidR="00C776DA" w:rsidRDefault="00C776DA" w:rsidP="00C776DA">
      <w:pPr>
        <w:pStyle w:val="SCCLsocParty"/>
      </w:pPr>
      <w:r>
        <w:t>Attorney General of British Columbia,</w:t>
      </w:r>
    </w:p>
    <w:p w:rsidR="00C776DA" w:rsidRDefault="00C776DA" w:rsidP="00C776DA">
      <w:pPr>
        <w:pStyle w:val="SCCLsocParty"/>
      </w:pPr>
      <w:r>
        <w:t>Attorney General of Saskatchewan,</w:t>
      </w:r>
    </w:p>
    <w:p w:rsidR="00C776DA" w:rsidRDefault="00C776DA" w:rsidP="00C776DA">
      <w:pPr>
        <w:pStyle w:val="SCCLsocParty"/>
      </w:pPr>
      <w:r w:rsidRPr="00254B96">
        <w:t>Canadian Council for Refugees,</w:t>
      </w:r>
    </w:p>
    <w:p w:rsidR="00C776DA" w:rsidRDefault="00C776DA" w:rsidP="00C776DA">
      <w:pPr>
        <w:pStyle w:val="SCCLsocParty"/>
      </w:pPr>
      <w:r>
        <w:t>Advocacy Centre for Tenants Ontario</w:t>
      </w:r>
      <w:r w:rsidR="009D5262">
        <w:t xml:space="preserve"> </w:t>
      </w:r>
      <w:r w:rsidR="00CC3DDE">
        <w:t>-</w:t>
      </w:r>
      <w:r w:rsidR="00952ECE">
        <w:t xml:space="preserve"> Tenant Duty Counsel Program</w:t>
      </w:r>
      <w:r>
        <w:t>,</w:t>
      </w:r>
    </w:p>
    <w:p w:rsidR="00C776DA" w:rsidRDefault="009D5262" w:rsidP="00C776DA">
      <w:pPr>
        <w:pStyle w:val="SCCLsocParty"/>
      </w:pPr>
      <w:r>
        <w:t>Ontario Securities Commission,</w:t>
      </w:r>
    </w:p>
    <w:p w:rsidR="00C776DA" w:rsidRDefault="00C776DA" w:rsidP="00C776DA">
      <w:pPr>
        <w:pStyle w:val="SCCLsocParty"/>
      </w:pPr>
      <w:r>
        <w:t>British Columbia Securities Commission,</w:t>
      </w:r>
    </w:p>
    <w:p w:rsidR="00C776DA" w:rsidRDefault="00C776DA" w:rsidP="00C776DA">
      <w:pPr>
        <w:pStyle w:val="SCCLsocParty"/>
      </w:pPr>
      <w:r>
        <w:t>Alberta Securities Commission,</w:t>
      </w:r>
    </w:p>
    <w:p w:rsidR="00C776DA" w:rsidRDefault="00C776DA" w:rsidP="00C776DA">
      <w:pPr>
        <w:pStyle w:val="SCCLsocParty"/>
      </w:pPr>
      <w:r>
        <w:t>Ecojustice Canada Society,</w:t>
      </w:r>
    </w:p>
    <w:p w:rsidR="00C776DA" w:rsidRDefault="00C776DA" w:rsidP="00C776DA">
      <w:pPr>
        <w:pStyle w:val="SCCLsocParty"/>
      </w:pPr>
      <w:r>
        <w:t xml:space="preserve">Workplace Safety and Insurance Appeals </w:t>
      </w:r>
      <w:r w:rsidRPr="00EE4593">
        <w:t>Tribunal</w:t>
      </w:r>
      <w:r w:rsidR="00DB674C" w:rsidRPr="00EE4593">
        <w:t xml:space="preserve"> (Ontario)</w:t>
      </w:r>
      <w:r w:rsidRPr="00EE4593">
        <w:t>,</w:t>
      </w:r>
    </w:p>
    <w:p w:rsidR="00C776DA" w:rsidRDefault="00C776DA" w:rsidP="00C776DA">
      <w:pPr>
        <w:pStyle w:val="SCCLsocParty"/>
      </w:pPr>
      <w:r>
        <w:t>Workers</w:t>
      </w:r>
      <w:r w:rsidR="008D5707">
        <w:t>’</w:t>
      </w:r>
      <w:r>
        <w:t xml:space="preserve"> Compensation Appeals Tribunal (Northwest Territories </w:t>
      </w:r>
      <w:r w:rsidRPr="00EE4593">
        <w:t>and Nunavut)</w:t>
      </w:r>
      <w:r w:rsidR="00952ECE" w:rsidRPr="00EE4593">
        <w:t>,</w:t>
      </w:r>
      <w:r>
        <w:t xml:space="preserve"> Workers</w:t>
      </w:r>
      <w:r w:rsidR="008D5707">
        <w:t>’</w:t>
      </w:r>
      <w:r>
        <w:t xml:space="preserve"> Compensation Appeals Tribunal (Nova Scotia),</w:t>
      </w:r>
    </w:p>
    <w:p w:rsidR="00C776DA" w:rsidRDefault="00C776DA" w:rsidP="00C776DA">
      <w:pPr>
        <w:pStyle w:val="SCCLsocParty"/>
      </w:pPr>
      <w:r>
        <w:t>Appeals Commission for Alberta Workers</w:t>
      </w:r>
      <w:r w:rsidR="008D5707">
        <w:t>’</w:t>
      </w:r>
      <w:r w:rsidR="00650A9A">
        <w:t xml:space="preserve"> Compensation,</w:t>
      </w:r>
    </w:p>
    <w:p w:rsidR="00C776DA" w:rsidRDefault="00C776DA" w:rsidP="00C776DA">
      <w:pPr>
        <w:pStyle w:val="SCCLsocParty"/>
      </w:pPr>
      <w:r>
        <w:t>Workers</w:t>
      </w:r>
      <w:r w:rsidR="008D5707">
        <w:t>’</w:t>
      </w:r>
      <w:r>
        <w:t xml:space="preserve"> Compensation Appeals Tribunal (New Brunswick),</w:t>
      </w:r>
    </w:p>
    <w:p w:rsidR="00C776DA" w:rsidRDefault="00CF683C" w:rsidP="00C776DA">
      <w:pPr>
        <w:pStyle w:val="SCCLsocParty"/>
      </w:pPr>
      <w:r>
        <w:t>British Columbia International Commercial Arbitration Centre Foundation</w:t>
      </w:r>
      <w:r w:rsidR="00C776DA">
        <w:t>,</w:t>
      </w:r>
    </w:p>
    <w:p w:rsidR="00C776DA" w:rsidRDefault="00C776DA" w:rsidP="00C776DA">
      <w:pPr>
        <w:pStyle w:val="SCCLsocParty"/>
      </w:pPr>
      <w:r>
        <w:t>Council of Canadian Administrative Tribunals,</w:t>
      </w:r>
    </w:p>
    <w:p w:rsidR="00C776DA" w:rsidRPr="000237BB" w:rsidRDefault="00C776DA" w:rsidP="00C776DA">
      <w:pPr>
        <w:pStyle w:val="SCCLsocParty"/>
        <w:rPr>
          <w:lang w:val="fr-CA"/>
        </w:rPr>
      </w:pPr>
      <w:r w:rsidRPr="000237BB">
        <w:rPr>
          <w:lang w:val="fr-CA"/>
        </w:rPr>
        <w:t xml:space="preserve">National </w:t>
      </w:r>
      <w:proofErr w:type="spellStart"/>
      <w:r w:rsidRPr="000237BB">
        <w:rPr>
          <w:lang w:val="fr-CA"/>
        </w:rPr>
        <w:t>Academy</w:t>
      </w:r>
      <w:proofErr w:type="spellEnd"/>
      <w:r w:rsidRPr="000237BB">
        <w:rPr>
          <w:lang w:val="fr-CA"/>
        </w:rPr>
        <w:t xml:space="preserve"> of </w:t>
      </w:r>
      <w:proofErr w:type="spellStart"/>
      <w:r w:rsidRPr="000237BB">
        <w:rPr>
          <w:lang w:val="fr-CA"/>
        </w:rPr>
        <w:t>Arbitrators</w:t>
      </w:r>
      <w:proofErr w:type="spellEnd"/>
      <w:r w:rsidRPr="000237BB">
        <w:rPr>
          <w:lang w:val="fr-CA"/>
        </w:rPr>
        <w:t>,</w:t>
      </w:r>
    </w:p>
    <w:p w:rsidR="00C776DA" w:rsidRDefault="00C776DA" w:rsidP="00C776DA">
      <w:pPr>
        <w:pStyle w:val="SCCLsocParty"/>
        <w:rPr>
          <w:lang w:val="fr-CA"/>
        </w:rPr>
      </w:pPr>
      <w:r w:rsidRPr="000237BB">
        <w:rPr>
          <w:lang w:val="fr-CA"/>
        </w:rPr>
        <w:t>Ontario Labour</w:t>
      </w:r>
      <w:r w:rsidR="007C3A49">
        <w:rPr>
          <w:lang w:val="fr-CA"/>
        </w:rPr>
        <w:noBreakHyphen/>
      </w:r>
      <w:r w:rsidRPr="000237BB">
        <w:rPr>
          <w:lang w:val="fr-CA"/>
        </w:rPr>
        <w:t xml:space="preserve">Management </w:t>
      </w:r>
      <w:proofErr w:type="spellStart"/>
      <w:r w:rsidRPr="000237BB">
        <w:rPr>
          <w:lang w:val="fr-CA"/>
        </w:rPr>
        <w:t>Arbitrators</w:t>
      </w:r>
      <w:proofErr w:type="spellEnd"/>
      <w:r w:rsidR="008D5707">
        <w:rPr>
          <w:lang w:val="fr-CA"/>
        </w:rPr>
        <w:t>’</w:t>
      </w:r>
      <w:r>
        <w:rPr>
          <w:lang w:val="fr-CA"/>
        </w:rPr>
        <w:t xml:space="preserve"> Association,</w:t>
      </w:r>
    </w:p>
    <w:p w:rsidR="00C776DA" w:rsidRPr="000237BB" w:rsidRDefault="00C776DA" w:rsidP="00C776DA">
      <w:pPr>
        <w:pStyle w:val="SCCLsocParty"/>
        <w:rPr>
          <w:lang w:val="fr-CA"/>
        </w:rPr>
      </w:pPr>
      <w:r w:rsidRPr="000237BB">
        <w:rPr>
          <w:lang w:val="fr-CA"/>
        </w:rPr>
        <w:t>Conférence des arbitres du Québec,</w:t>
      </w:r>
    </w:p>
    <w:p w:rsidR="00C776DA" w:rsidRDefault="00C776DA" w:rsidP="00C776DA">
      <w:pPr>
        <w:pStyle w:val="SCCLsocParty"/>
      </w:pPr>
      <w:r>
        <w:t>Canadian Labour Congress,</w:t>
      </w:r>
    </w:p>
    <w:p w:rsidR="00C776DA" w:rsidRDefault="00C776DA" w:rsidP="00C776DA">
      <w:pPr>
        <w:pStyle w:val="SCCLsocParty"/>
      </w:pPr>
      <w:r>
        <w:t>National Association of Pharmacy Regulatory Authorities,</w:t>
      </w:r>
    </w:p>
    <w:p w:rsidR="00C776DA" w:rsidRDefault="00C776DA" w:rsidP="00C776DA">
      <w:pPr>
        <w:pStyle w:val="SCCLsocParty"/>
      </w:pPr>
      <w:r>
        <w:t>Queen</w:t>
      </w:r>
      <w:r w:rsidR="008D5707">
        <w:t>’</w:t>
      </w:r>
      <w:r>
        <w:t>s Prison Law Clinic,</w:t>
      </w:r>
    </w:p>
    <w:p w:rsidR="00C776DA" w:rsidRPr="00723439" w:rsidRDefault="00C776DA" w:rsidP="00C776DA">
      <w:pPr>
        <w:pStyle w:val="SCCLsocParty"/>
      </w:pPr>
      <w:r w:rsidRPr="00723439">
        <w:t>Advocates for the Rule of Law,</w:t>
      </w:r>
    </w:p>
    <w:p w:rsidR="00C776DA" w:rsidRDefault="00C776DA" w:rsidP="00C776DA">
      <w:pPr>
        <w:pStyle w:val="SCCLsocParty"/>
      </w:pPr>
      <w:r w:rsidRPr="00723439">
        <w:t>Parkdale Community Legal Services,</w:t>
      </w:r>
    </w:p>
    <w:p w:rsidR="00C776DA" w:rsidRDefault="00C776DA" w:rsidP="00C776DA">
      <w:pPr>
        <w:pStyle w:val="SCCLsocParty"/>
      </w:pPr>
      <w:r>
        <w:t>Cambridge Comparative Administrative Law Forum,</w:t>
      </w:r>
    </w:p>
    <w:p w:rsidR="00C776DA" w:rsidRDefault="00C776DA" w:rsidP="00C776DA">
      <w:pPr>
        <w:pStyle w:val="SCCLsocParty"/>
      </w:pPr>
      <w:r>
        <w:t>Samuelson</w:t>
      </w:r>
      <w:r w:rsidR="007C3A49">
        <w:noBreakHyphen/>
      </w:r>
      <w:proofErr w:type="spellStart"/>
      <w:r>
        <w:t>Glushko</w:t>
      </w:r>
      <w:proofErr w:type="spellEnd"/>
      <w:r>
        <w:t xml:space="preserve"> Canadian Internet Policy and Public Interest Clinic,</w:t>
      </w:r>
    </w:p>
    <w:p w:rsidR="00C776DA" w:rsidRDefault="00C776DA" w:rsidP="00C776DA">
      <w:pPr>
        <w:pStyle w:val="SCCLsocParty"/>
      </w:pPr>
      <w:r>
        <w:t>Canadian Bar Association,</w:t>
      </w:r>
    </w:p>
    <w:p w:rsidR="00C776DA" w:rsidRDefault="00C776DA" w:rsidP="00C776DA">
      <w:pPr>
        <w:pStyle w:val="SCCLsocParty"/>
      </w:pPr>
      <w:r>
        <w:lastRenderedPageBreak/>
        <w:t>Canadian Association of Refugee Lawyers,</w:t>
      </w:r>
    </w:p>
    <w:p w:rsidR="00C776DA" w:rsidRPr="008933EA" w:rsidRDefault="00C776DA" w:rsidP="00C776DA">
      <w:pPr>
        <w:pStyle w:val="SCCLsocParty"/>
      </w:pPr>
      <w:r w:rsidRPr="008933EA">
        <w:t>Community &amp; Legal Aid Services Programme,</w:t>
      </w:r>
    </w:p>
    <w:p w:rsidR="00C776DA" w:rsidRPr="008933EA" w:rsidRDefault="00C776DA" w:rsidP="00C776DA">
      <w:pPr>
        <w:pStyle w:val="SCCLsocParty"/>
        <w:rPr>
          <w:lang w:val="fr-CA"/>
        </w:rPr>
      </w:pPr>
      <w:r w:rsidRPr="008933EA">
        <w:rPr>
          <w:lang w:val="fr-CA"/>
        </w:rPr>
        <w:t xml:space="preserve">Association québécoise des avocats et avocates en droit </w:t>
      </w:r>
      <w:r w:rsidRPr="00AF7575">
        <w:rPr>
          <w:lang w:val="fr-CA"/>
        </w:rPr>
        <w:t>de l</w:t>
      </w:r>
      <w:r w:rsidR="008D5707" w:rsidRPr="00AF7575">
        <w:rPr>
          <w:lang w:val="fr-CA"/>
        </w:rPr>
        <w:t>’</w:t>
      </w:r>
      <w:r w:rsidRPr="00AF7575">
        <w:rPr>
          <w:lang w:val="fr-CA"/>
        </w:rPr>
        <w:t>immigration and</w:t>
      </w:r>
    </w:p>
    <w:p w:rsidR="00C776DA" w:rsidRDefault="00C776DA" w:rsidP="00E912BB">
      <w:pPr>
        <w:pStyle w:val="SCCLsocLastPartyInRole"/>
      </w:pPr>
      <w:r>
        <w:t xml:space="preserve">First Nations Child </w:t>
      </w:r>
      <w:r w:rsidR="00254B96">
        <w:t>&amp;</w:t>
      </w:r>
      <w:r>
        <w:t xml:space="preserve"> Family Caring Society of Canada</w:t>
      </w:r>
      <w:r>
        <w:rPr>
          <w:rStyle w:val="SCCLsocPartyRole"/>
        </w:rPr>
        <w:tab/>
        <w:t>Interveners</w:t>
      </w:r>
    </w:p>
    <w:p w:rsidR="00426659" w:rsidRPr="00426659" w:rsidRDefault="00426659" w:rsidP="00E912BB">
      <w:pPr>
        <w:spacing w:after="720"/>
        <w:jc w:val="both"/>
        <w:rPr>
          <w:b/>
        </w:rPr>
      </w:pPr>
      <w:r w:rsidRPr="00C776DA">
        <w:rPr>
          <w:b/>
        </w:rPr>
        <w:t xml:space="preserve">Indexed as: </w:t>
      </w:r>
      <w:r w:rsidR="002E6925" w:rsidRPr="00585889">
        <w:rPr>
          <w:rStyle w:val="SCCAppellantForIndexChar"/>
        </w:rPr>
        <w:t>Canada</w:t>
      </w:r>
      <w:r w:rsidR="00C776DA" w:rsidRPr="00585889">
        <w:rPr>
          <w:rStyle w:val="SCCAppellantForIndexChar"/>
        </w:rPr>
        <w:t xml:space="preserve"> (Minister of Citizenship</w:t>
      </w:r>
      <w:r w:rsidR="00C776DA" w:rsidRPr="00C776DA">
        <w:rPr>
          <w:rStyle w:val="SCCAppellantForIndexChar"/>
        </w:rPr>
        <w:t xml:space="preserve"> and Immigration)</w:t>
      </w:r>
      <w:r w:rsidRPr="00C776DA">
        <w:rPr>
          <w:b/>
        </w:rPr>
        <w:t xml:space="preserve"> </w:t>
      </w:r>
      <w:r w:rsidRPr="00C776DA">
        <w:rPr>
          <w:b/>
          <w:i/>
        </w:rPr>
        <w:t>v.</w:t>
      </w:r>
      <w:r w:rsidRPr="00C776DA">
        <w:rPr>
          <w:b/>
        </w:rPr>
        <w:t xml:space="preserve"> </w:t>
      </w:r>
      <w:proofErr w:type="spellStart"/>
      <w:r w:rsidR="00C776DA" w:rsidRPr="00C776DA">
        <w:rPr>
          <w:b/>
        </w:rPr>
        <w:t>Vavilov</w:t>
      </w:r>
      <w:proofErr w:type="spellEnd"/>
    </w:p>
    <w:p w:rsidR="00426659" w:rsidRPr="00C02092" w:rsidRDefault="00AE4535" w:rsidP="00E912BB">
      <w:pPr>
        <w:pStyle w:val="SCCSystemYear"/>
        <w:spacing w:after="720"/>
        <w:jc w:val="both"/>
      </w:pPr>
      <w:r>
        <w:t>2019</w:t>
      </w:r>
      <w:r w:rsidR="003D0399">
        <w:t xml:space="preserve"> </w:t>
      </w:r>
      <w:r w:rsidR="00426659" w:rsidRPr="00306A7A">
        <w:t>SCC </w:t>
      </w:r>
      <w:r w:rsidR="00306A7A" w:rsidRPr="00306A7A">
        <w:t>65</w:t>
      </w:r>
    </w:p>
    <w:p w:rsidR="008322BD" w:rsidRDefault="00F82882" w:rsidP="00E912BB">
      <w:pPr>
        <w:spacing w:after="720"/>
        <w:jc w:val="both"/>
      </w:pPr>
      <w:r>
        <w:t>File No</w:t>
      </w:r>
      <w:r w:rsidR="002E6925">
        <w:t xml:space="preserve">.: </w:t>
      </w:r>
      <w:r w:rsidR="00C776DA">
        <w:t>37748</w:t>
      </w:r>
      <w:r w:rsidR="009B57B3" w:rsidRPr="001426A9">
        <w:t>.</w:t>
      </w:r>
    </w:p>
    <w:p w:rsidR="008322BD" w:rsidRDefault="008A142E" w:rsidP="00E912BB">
      <w:pPr>
        <w:spacing w:after="720"/>
        <w:jc w:val="both"/>
      </w:pPr>
      <w:r>
        <w:t>2018: December </w:t>
      </w:r>
      <w:r w:rsidR="00AE4535" w:rsidRPr="00094B4E">
        <w:t>4</w:t>
      </w:r>
      <w:r w:rsidR="00CF683C" w:rsidRPr="00094B4E">
        <w:t>, 5, 6</w:t>
      </w:r>
      <w:r w:rsidR="00591551" w:rsidRPr="00094B4E">
        <w:t>;</w:t>
      </w:r>
      <w:r w:rsidR="00591551">
        <w:t xml:space="preserve"> </w:t>
      </w:r>
      <w:r>
        <w:t>2019: December </w:t>
      </w:r>
      <w:r w:rsidR="00EC054D" w:rsidRPr="00EC054D">
        <w:t>19</w:t>
      </w:r>
      <w:r w:rsidR="009B57B3" w:rsidRPr="00EC054D">
        <w:t>.</w:t>
      </w:r>
    </w:p>
    <w:p w:rsidR="008322BD" w:rsidRDefault="00672071" w:rsidP="00E912BB">
      <w:pPr>
        <w:spacing w:after="720"/>
        <w:jc w:val="both"/>
      </w:pPr>
      <w:r>
        <w:t>Present:</w:t>
      </w:r>
      <w:r w:rsidR="009B57B3" w:rsidRPr="001426A9">
        <w:t xml:space="preserve"> </w:t>
      </w:r>
      <w:r w:rsidR="009B57B3">
        <w:t xml:space="preserve">Wagner C.J. and </w:t>
      </w:r>
      <w:proofErr w:type="spellStart"/>
      <w:r w:rsidR="009B57B3">
        <w:t>Abella</w:t>
      </w:r>
      <w:proofErr w:type="spellEnd"/>
      <w:r w:rsidR="009B57B3">
        <w:t xml:space="preserve">, </w:t>
      </w:r>
      <w:proofErr w:type="spellStart"/>
      <w:r w:rsidR="009B57B3">
        <w:t>Moldaver</w:t>
      </w:r>
      <w:proofErr w:type="spellEnd"/>
      <w:r w:rsidR="009B57B3">
        <w:t xml:space="preserve">, </w:t>
      </w:r>
      <w:proofErr w:type="spellStart"/>
      <w:r w:rsidR="009B57B3">
        <w:t>Karakatsanis</w:t>
      </w:r>
      <w:proofErr w:type="spellEnd"/>
      <w:r w:rsidR="009B57B3">
        <w:t xml:space="preserve">, </w:t>
      </w:r>
      <w:proofErr w:type="spellStart"/>
      <w:r w:rsidR="009B57B3">
        <w:t>Gascon</w:t>
      </w:r>
      <w:proofErr w:type="spellEnd"/>
      <w:r w:rsidR="009B57B3">
        <w:t>, Côté, Brown, Rowe and Martin JJ.</w:t>
      </w:r>
    </w:p>
    <w:p w:rsidR="008322BD" w:rsidRPr="001C779F" w:rsidRDefault="00656313" w:rsidP="00E912BB">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D667DF" w:rsidRDefault="00D667DF" w:rsidP="00E16941">
      <w:pPr>
        <w:pStyle w:val="SCCNormalDoubleSpacing"/>
        <w:spacing w:after="480"/>
        <w:rPr>
          <w:rStyle w:val="QuoteChar"/>
          <w:color w:val="auto"/>
          <w:lang w:val="en-CA"/>
        </w:rPr>
      </w:pPr>
      <w:r>
        <w:tab/>
      </w:r>
      <w:r w:rsidRPr="00E735BF">
        <w:rPr>
          <w:rStyle w:val="QuoteChar"/>
          <w:color w:val="auto"/>
          <w:lang w:val="en-CA"/>
        </w:rPr>
        <w:t>Administrative law — Judicial review — Standard of review —</w:t>
      </w:r>
      <w:r>
        <w:rPr>
          <w:rStyle w:val="QuoteChar"/>
          <w:color w:val="auto"/>
          <w:lang w:val="en-CA"/>
        </w:rPr>
        <w:t xml:space="preserve"> Proper approach to judicial review of administrative decisions — Proper approach to reasonableness review.</w:t>
      </w:r>
    </w:p>
    <w:p w:rsidR="008322BD" w:rsidRPr="00583EDE" w:rsidRDefault="00D667DF" w:rsidP="00D667DF">
      <w:pPr>
        <w:pStyle w:val="SCCNormalDoubleSpacing"/>
        <w:spacing w:after="480"/>
      </w:pPr>
      <w:r>
        <w:rPr>
          <w:rStyle w:val="QuoteChar"/>
          <w:color w:val="auto"/>
          <w:lang w:val="en-CA"/>
        </w:rPr>
        <w:tab/>
      </w:r>
      <w:r w:rsidRPr="00E735BF">
        <w:rPr>
          <w:rStyle w:val="QuoteChar"/>
          <w:color w:val="auto"/>
          <w:lang w:val="en-CA"/>
        </w:rPr>
        <w:t>Citizenship — Canadian citizen</w:t>
      </w:r>
      <w:r>
        <w:rPr>
          <w:rStyle w:val="QuoteChar"/>
          <w:color w:val="auto"/>
          <w:lang w:val="en-CA"/>
        </w:rPr>
        <w:t>s</w:t>
      </w:r>
      <w:r w:rsidRPr="00E735BF">
        <w:rPr>
          <w:rStyle w:val="QuoteChar"/>
          <w:color w:val="auto"/>
          <w:lang w:val="en-CA"/>
        </w:rPr>
        <w:t xml:space="preserve"> </w:t>
      </w:r>
      <w:r w:rsidRPr="00E735BF">
        <w:t>—</w:t>
      </w:r>
      <w:r w:rsidRPr="00E735BF">
        <w:rPr>
          <w:i/>
        </w:rPr>
        <w:t xml:space="preserve"> Registrar of Citizenship cancelling certificate of </w:t>
      </w:r>
      <w:r>
        <w:rPr>
          <w:i/>
        </w:rPr>
        <w:t xml:space="preserve">Canadian </w:t>
      </w:r>
      <w:r w:rsidRPr="00E735BF">
        <w:rPr>
          <w:i/>
        </w:rPr>
        <w:t>citizenship issued to</w:t>
      </w:r>
      <w:r>
        <w:rPr>
          <w:i/>
        </w:rPr>
        <w:t xml:space="preserve"> Canadian-born son of </w:t>
      </w:r>
      <w:r w:rsidRPr="00E735BF">
        <w:rPr>
          <w:i/>
        </w:rPr>
        <w:t>parents later revealed to be Russian spies —</w:t>
      </w:r>
      <w:r>
        <w:rPr>
          <w:i/>
        </w:rPr>
        <w:t xml:space="preserve"> Decision of Registrar based on interpretation of statutory exception to general rule that person born in Canada is Canadian citizen —</w:t>
      </w:r>
      <w:r w:rsidR="00D6025B">
        <w:rPr>
          <w:i/>
        </w:rPr>
        <w:t xml:space="preserve"> </w:t>
      </w:r>
      <w:r>
        <w:rPr>
          <w:i/>
        </w:rPr>
        <w:t xml:space="preserve">Exception stating that Canadian-born child is not citizen if either parent was </w:t>
      </w:r>
      <w:r>
        <w:rPr>
          <w:i/>
        </w:rPr>
        <w:lastRenderedPageBreak/>
        <w:t xml:space="preserve">representative or employee in Canada of foreign government at time of child’s birth — </w:t>
      </w:r>
      <w:r w:rsidRPr="00E735BF">
        <w:rPr>
          <w:i/>
        </w:rPr>
        <w:t xml:space="preserve">Whether </w:t>
      </w:r>
      <w:r>
        <w:rPr>
          <w:i/>
        </w:rPr>
        <w:t>Registrar’s decision to cancel certificate of citizenship was reasonable</w:t>
      </w:r>
      <w:r w:rsidRPr="00E735BF">
        <w:rPr>
          <w:i/>
        </w:rPr>
        <w:t xml:space="preserve"> — Citizens</w:t>
      </w:r>
      <w:r w:rsidR="002708D8">
        <w:rPr>
          <w:i/>
        </w:rPr>
        <w:t>hip Act, R.S.C. 1985, c</w:t>
      </w:r>
      <w:r w:rsidR="00AF7575">
        <w:rPr>
          <w:i/>
        </w:rPr>
        <w:t>.</w:t>
      </w:r>
      <w:r w:rsidR="002708D8">
        <w:rPr>
          <w:i/>
        </w:rPr>
        <w:t> </w:t>
      </w:r>
      <w:r w:rsidR="008F00AF">
        <w:rPr>
          <w:i/>
        </w:rPr>
        <w:t>C-</w:t>
      </w:r>
      <w:r w:rsidR="002708D8">
        <w:rPr>
          <w:i/>
        </w:rPr>
        <w:t>29, s. </w:t>
      </w:r>
      <w:r w:rsidRPr="00E735BF">
        <w:rPr>
          <w:i/>
        </w:rPr>
        <w:t>3</w:t>
      </w:r>
      <w:r>
        <w:rPr>
          <w:i/>
        </w:rPr>
        <w:t>(2)(a)</w:t>
      </w:r>
      <w:r w:rsidRPr="00E735BF">
        <w:rPr>
          <w:i/>
        </w:rPr>
        <w:t>.</w:t>
      </w:r>
    </w:p>
    <w:p w:rsidR="00D667DF" w:rsidRDefault="00D667DF" w:rsidP="00E16941">
      <w:pPr>
        <w:pStyle w:val="SCCNormalDoubleSpacing"/>
        <w:spacing w:after="480"/>
      </w:pPr>
      <w:r>
        <w:tab/>
        <w:t>V</w:t>
      </w:r>
      <w:r w:rsidRPr="00E8671E">
        <w:t xml:space="preserve"> was born in Toronto </w:t>
      </w:r>
      <w:r>
        <w:t xml:space="preserve">in </w:t>
      </w:r>
      <w:r w:rsidRPr="00E8671E">
        <w:t xml:space="preserve">1994. At the time of his birth, </w:t>
      </w:r>
      <w:r w:rsidRPr="00E8671E">
        <w:rPr>
          <w:rFonts w:eastAsiaTheme="minorHAnsi"/>
        </w:rPr>
        <w:t xml:space="preserve">his parents </w:t>
      </w:r>
      <w:r w:rsidRPr="00E8671E">
        <w:t>wer</w:t>
      </w:r>
      <w:r>
        <w:t xml:space="preserve">e posing as Canadians under </w:t>
      </w:r>
      <w:r w:rsidRPr="00E8671E">
        <w:t>assumed names. In reality, they were foreign nationals working on assignment for the Russian foreign intelligence service</w:t>
      </w:r>
      <w:r>
        <w:t>. V</w:t>
      </w:r>
      <w:r w:rsidRPr="00E8671E">
        <w:t xml:space="preserve"> did not know that his parents were not who they claimed to be. </w:t>
      </w:r>
      <w:r>
        <w:t>He</w:t>
      </w:r>
      <w:r w:rsidRPr="00E8671E">
        <w:t xml:space="preserve"> believed that he was a Canadian citizen by birth, </w:t>
      </w:r>
      <w:r>
        <w:t xml:space="preserve">he </w:t>
      </w:r>
      <w:r w:rsidRPr="00E8671E">
        <w:t xml:space="preserve">lived and identified as a Canadian, </w:t>
      </w:r>
      <w:r>
        <w:t xml:space="preserve">and he </w:t>
      </w:r>
      <w:r w:rsidRPr="00E8671E">
        <w:t>held a Canadian passport</w:t>
      </w:r>
      <w:r>
        <w:t>. In</w:t>
      </w:r>
      <w:r w:rsidRPr="00E8671E">
        <w:t xml:space="preserve"> 2010, </w:t>
      </w:r>
      <w:r>
        <w:t>V’s parents</w:t>
      </w:r>
      <w:r w:rsidRPr="00E8671E">
        <w:t xml:space="preserve"> were arrested i</w:t>
      </w:r>
      <w:r>
        <w:t>n the United States and charged</w:t>
      </w:r>
      <w:r w:rsidRPr="00E8671E">
        <w:t xml:space="preserve"> with </w:t>
      </w:r>
      <w:r>
        <w:t>espionage</w:t>
      </w:r>
      <w:r w:rsidRPr="00E8671E">
        <w:t xml:space="preserve">. </w:t>
      </w:r>
      <w:r>
        <w:t>T</w:t>
      </w:r>
      <w:r w:rsidRPr="00E8671E">
        <w:t>hey pled guilty and were returned to Russia.</w:t>
      </w:r>
      <w:r>
        <w:t xml:space="preserve"> Following their arrest, V’s</w:t>
      </w:r>
      <w:r w:rsidRPr="00E8671E">
        <w:t xml:space="preserve"> attempt</w:t>
      </w:r>
      <w:r>
        <w:t>s</w:t>
      </w:r>
      <w:r w:rsidRPr="00E8671E">
        <w:t xml:space="preserve"> to renew his Canadian passport</w:t>
      </w:r>
      <w:r>
        <w:t xml:space="preserve"> proved unsuccessful. However, in 2013, he was issued a</w:t>
      </w:r>
      <w:r w:rsidRPr="00E8671E">
        <w:t xml:space="preserve"> certificate</w:t>
      </w:r>
      <w:r>
        <w:t xml:space="preserve"> of Canadian citizenship</w:t>
      </w:r>
      <w:r w:rsidRPr="00E8671E">
        <w:t>.</w:t>
      </w:r>
    </w:p>
    <w:p w:rsidR="008322BD" w:rsidRPr="001426A9" w:rsidRDefault="00D667DF" w:rsidP="00D667DF">
      <w:pPr>
        <w:pStyle w:val="SCCNormalDoubleSpacing"/>
        <w:spacing w:after="480"/>
      </w:pPr>
      <w:r>
        <w:tab/>
        <w:t>Then, in 2014,</w:t>
      </w:r>
      <w:r w:rsidRPr="00E8671E">
        <w:t xml:space="preserve"> the </w:t>
      </w:r>
      <w:r>
        <w:t xml:space="preserve">Canadian </w:t>
      </w:r>
      <w:r w:rsidRPr="00E8671E">
        <w:t xml:space="preserve">Registrar of Citizenship cancelled </w:t>
      </w:r>
      <w:r>
        <w:t>V</w:t>
      </w:r>
      <w:r w:rsidRPr="00E8671E">
        <w:t>’s certificate</w:t>
      </w:r>
      <w:r>
        <w:t xml:space="preserve"> </w:t>
      </w:r>
      <w:r w:rsidRPr="00E8671E">
        <w:t xml:space="preserve">on the basis of </w:t>
      </w:r>
      <w:r>
        <w:t>her</w:t>
      </w:r>
      <w:r w:rsidRPr="00E8671E">
        <w:t xml:space="preserve"> interpr</w:t>
      </w:r>
      <w:r w:rsidR="00F34FA4">
        <w:t>etation of s. </w:t>
      </w:r>
      <w:r w:rsidRPr="00E8671E">
        <w:t>3(2</w:t>
      </w:r>
      <w:proofErr w:type="gramStart"/>
      <w:r w:rsidRPr="00E8671E">
        <w:t>)(</w:t>
      </w:r>
      <w:proofErr w:type="gramEnd"/>
      <w:r w:rsidRPr="00E8671E">
        <w:t xml:space="preserve">a) of the </w:t>
      </w:r>
      <w:r w:rsidRPr="00E8671E">
        <w:rPr>
          <w:i/>
        </w:rPr>
        <w:t>Citizenship Act</w:t>
      </w:r>
      <w:r>
        <w:t>. This provision exempts</w:t>
      </w:r>
      <w:r w:rsidRPr="00E8671E">
        <w:t xml:space="preserve"> children of “a diplomatic or consular officer or other representative or employee in Canada of a foreign government” from the general rule that individuals born in Canada acquire Canadian citizenship by birth.</w:t>
      </w:r>
      <w:r>
        <w:t xml:space="preserve"> The Registrar concluded that because V’s parents were </w:t>
      </w:r>
      <w:r>
        <w:rPr>
          <w:lang w:bidi="en-US"/>
        </w:rPr>
        <w:t>employees or representatives</w:t>
      </w:r>
      <w:r w:rsidRPr="00E8671E">
        <w:rPr>
          <w:lang w:bidi="en-US"/>
        </w:rPr>
        <w:t xml:space="preserve"> of Russia at the time of </w:t>
      </w:r>
      <w:r>
        <w:rPr>
          <w:lang w:bidi="en-US"/>
        </w:rPr>
        <w:t>V</w:t>
      </w:r>
      <w:r w:rsidRPr="00E8671E">
        <w:rPr>
          <w:lang w:bidi="en-US"/>
        </w:rPr>
        <w:t>’s birth</w:t>
      </w:r>
      <w:r>
        <w:rPr>
          <w:lang w:bidi="en-US"/>
        </w:rPr>
        <w:t>, t</w:t>
      </w:r>
      <w:r w:rsidRPr="00E8671E">
        <w:rPr>
          <w:lang w:bidi="en-US"/>
        </w:rPr>
        <w:t xml:space="preserve">he exception </w:t>
      </w:r>
      <w:r>
        <w:rPr>
          <w:lang w:bidi="en-US"/>
        </w:rPr>
        <w:t xml:space="preserve">to the rule of citizenship by birth </w:t>
      </w:r>
      <w:r w:rsidR="00F34FA4">
        <w:rPr>
          <w:lang w:bidi="en-US"/>
        </w:rPr>
        <w:t>in s. </w:t>
      </w:r>
      <w:r w:rsidRPr="00E8671E">
        <w:rPr>
          <w:lang w:bidi="en-US"/>
        </w:rPr>
        <w:t xml:space="preserve">3(2)(a), </w:t>
      </w:r>
      <w:r>
        <w:rPr>
          <w:lang w:bidi="en-US"/>
        </w:rPr>
        <w:t xml:space="preserve">as she interpreted it, applied to V, who therefore </w:t>
      </w:r>
      <w:r w:rsidRPr="00E8671E">
        <w:t>was not, and had never been, entitled to citizenship</w:t>
      </w:r>
      <w:r w:rsidRPr="00E8671E">
        <w:rPr>
          <w:lang w:bidi="en-US"/>
        </w:rPr>
        <w:t>.</w:t>
      </w:r>
      <w:r>
        <w:t xml:space="preserve"> V’s </w:t>
      </w:r>
      <w:r w:rsidRPr="00E8671E">
        <w:t>application for judicial review of the Registrar’s decision was dismissed</w:t>
      </w:r>
      <w:r>
        <w:t xml:space="preserve"> by the Federal </w:t>
      </w:r>
      <w:r>
        <w:lastRenderedPageBreak/>
        <w:t>Court</w:t>
      </w:r>
      <w:r w:rsidRPr="00E8671E">
        <w:t>.</w:t>
      </w:r>
      <w:r>
        <w:t xml:space="preserve"> The </w:t>
      </w:r>
      <w:r w:rsidRPr="00E8671E">
        <w:t xml:space="preserve">Court of Appeal allowed </w:t>
      </w:r>
      <w:r>
        <w:t>V</w:t>
      </w:r>
      <w:r w:rsidRPr="00E8671E">
        <w:t>’s appeal and quashed the Registrar’s decision</w:t>
      </w:r>
      <w:r>
        <w:t xml:space="preserve"> because it was unreasonable</w:t>
      </w:r>
      <w:r w:rsidRPr="00E8671E">
        <w:t>.</w:t>
      </w:r>
      <w:r>
        <w:t xml:space="preserve"> The Minister of Citizenship and Immigration appeals.</w:t>
      </w:r>
    </w:p>
    <w:p w:rsidR="008322BD" w:rsidRPr="001426A9" w:rsidRDefault="00D667DF" w:rsidP="00E912BB">
      <w:pPr>
        <w:pStyle w:val="SCCNormalDoubleSpacing"/>
        <w:spacing w:after="480"/>
      </w:pPr>
      <w:r>
        <w:tab/>
      </w:r>
      <w:r w:rsidR="009B57B3" w:rsidRPr="00D667DF">
        <w:rPr>
          <w:rStyle w:val="QuoteChar"/>
          <w:color w:val="auto"/>
          <w:lang w:val="en-CA"/>
        </w:rPr>
        <w:t>Held</w:t>
      </w:r>
      <w:r w:rsidR="009B57B3" w:rsidRPr="001426A9">
        <w:rPr>
          <w:rStyle w:val="QuoteChar"/>
          <w:i w:val="0"/>
          <w:color w:val="auto"/>
          <w:lang w:val="en-CA"/>
        </w:rPr>
        <w:t>:</w:t>
      </w:r>
      <w:r w:rsidR="007C3A49">
        <w:t xml:space="preserve"> </w:t>
      </w:r>
      <w:r>
        <w:t>The appeal should be dismissed.</w:t>
      </w:r>
    </w:p>
    <w:p w:rsidR="00D667DF" w:rsidRDefault="00D667DF" w:rsidP="00D667DF">
      <w:pPr>
        <w:pStyle w:val="SCCNormalDoubleSpacing"/>
        <w:spacing w:after="480"/>
      </w:pPr>
      <w:r>
        <w:tab/>
      </w:r>
      <w:r w:rsidRPr="008F6807">
        <w:rPr>
          <w:i/>
        </w:rPr>
        <w:t>Per</w:t>
      </w:r>
      <w:r>
        <w:t xml:space="preserve"> </w:t>
      </w:r>
      <w:r w:rsidR="00E16941" w:rsidRPr="006C55CB">
        <w:t>Wagner </w:t>
      </w:r>
      <w:r w:rsidRPr="006C55CB">
        <w:t xml:space="preserve">C.J. and </w:t>
      </w:r>
      <w:proofErr w:type="spellStart"/>
      <w:r w:rsidRPr="006C55CB">
        <w:t>Moldaver</w:t>
      </w:r>
      <w:proofErr w:type="spellEnd"/>
      <w:r w:rsidRPr="006C55CB">
        <w:t xml:space="preserve">, </w:t>
      </w:r>
      <w:proofErr w:type="spellStart"/>
      <w:r w:rsidRPr="006C55CB">
        <w:t>Gascon</w:t>
      </w:r>
      <w:proofErr w:type="spellEnd"/>
      <w:r w:rsidRPr="006C55CB">
        <w:t>, Côté, Brown, Rowe and Martin</w:t>
      </w:r>
      <w:r w:rsidR="00E16941" w:rsidRPr="006C55CB">
        <w:t> </w:t>
      </w:r>
      <w:r w:rsidRPr="006C55CB">
        <w:t>JJ.</w:t>
      </w:r>
      <w:r>
        <w:t xml:space="preserve">: The Registrar’s decision to cancel V’s certificate of citizenship was unreasonable, and the </w:t>
      </w:r>
      <w:r w:rsidRPr="0046031A">
        <w:t>Court of Appeal</w:t>
      </w:r>
      <w:r>
        <w:t>’s decision</w:t>
      </w:r>
      <w:r w:rsidRPr="0046031A">
        <w:t xml:space="preserve"> to quash </w:t>
      </w:r>
      <w:r>
        <w:t>it should be upheld. I</w:t>
      </w:r>
      <w:r w:rsidRPr="0046031A">
        <w:t xml:space="preserve">t was </w:t>
      </w:r>
      <w:r w:rsidRPr="008561DD">
        <w:t>not</w:t>
      </w:r>
      <w:r w:rsidRPr="0046031A">
        <w:rPr>
          <w:i/>
        </w:rPr>
        <w:t xml:space="preserve"> </w:t>
      </w:r>
      <w:r w:rsidRPr="0046031A">
        <w:t>reasonable fo</w:t>
      </w:r>
      <w:r w:rsidR="00F34FA4">
        <w:t>r the Registrar to interpret s. </w:t>
      </w:r>
      <w:r w:rsidRPr="0046031A">
        <w:t xml:space="preserve">3(2)(a) </w:t>
      </w:r>
      <w:r>
        <w:t xml:space="preserve">of the </w:t>
      </w:r>
      <w:r>
        <w:rPr>
          <w:i/>
        </w:rPr>
        <w:t xml:space="preserve">Citizenship Act </w:t>
      </w:r>
      <w:r w:rsidRPr="0046031A">
        <w:t xml:space="preserve">as applying to children of individuals who have </w:t>
      </w:r>
      <w:r w:rsidRPr="002D4989">
        <w:t>not</w:t>
      </w:r>
      <w:r>
        <w:t xml:space="preserve"> </w:t>
      </w:r>
      <w:r w:rsidRPr="0046031A">
        <w:t>been granted diplomatic privileges and immunities at the time of the children’s birth.</w:t>
      </w:r>
    </w:p>
    <w:p w:rsidR="00D667DF" w:rsidRDefault="00D667DF" w:rsidP="00D667DF">
      <w:pPr>
        <w:pStyle w:val="SCCNormalDoubleSpacing"/>
        <w:spacing w:after="480"/>
      </w:pPr>
      <w:r>
        <w:tab/>
        <w:t>More generally, t</w:t>
      </w:r>
      <w:r w:rsidRPr="00743BC2">
        <w:t>his appeal and its companion cases</w:t>
      </w:r>
      <w:r>
        <w:t xml:space="preserve"> (</w:t>
      </w:r>
      <w:r w:rsidRPr="00E8671E">
        <w:rPr>
          <w:i/>
        </w:rPr>
        <w:t xml:space="preserve">Bell Canada v. </w:t>
      </w:r>
      <w:r>
        <w:rPr>
          <w:i/>
        </w:rPr>
        <w:t>Canada (</w:t>
      </w:r>
      <w:r w:rsidRPr="00E8671E">
        <w:rPr>
          <w:i/>
        </w:rPr>
        <w:t>Attorney General</w:t>
      </w:r>
      <w:r>
        <w:rPr>
          <w:i/>
        </w:rPr>
        <w:t>)</w:t>
      </w:r>
      <w:r w:rsidRPr="00AF7575">
        <w:t>,</w:t>
      </w:r>
      <w:r>
        <w:rPr>
          <w:i/>
        </w:rPr>
        <w:t xml:space="preserve"> </w:t>
      </w:r>
      <w:r>
        <w:t xml:space="preserve">2019 SCC </w:t>
      </w:r>
      <w:r w:rsidRPr="002D4989">
        <w:t>66</w:t>
      </w:r>
      <w:r w:rsidR="003B31ED">
        <w:t xml:space="preserve">, [2019] </w:t>
      </w:r>
      <w:r w:rsidR="00CD470A">
        <w:t>4</w:t>
      </w:r>
      <w:r w:rsidR="003B31ED">
        <w:t xml:space="preserve"> S.C.R. </w:t>
      </w:r>
      <w:r w:rsidR="00D6025B">
        <w:t>845</w:t>
      </w:r>
      <w:r>
        <w:t xml:space="preserve">) provide an </w:t>
      </w:r>
      <w:r w:rsidRPr="00E8671E">
        <w:t xml:space="preserve">opportunity to consider </w:t>
      </w:r>
      <w:r>
        <w:t xml:space="preserve">and clarify </w:t>
      </w:r>
      <w:r w:rsidRPr="00E8671E">
        <w:t xml:space="preserve">the law applicable to the judicial review of administrative decisions </w:t>
      </w:r>
      <w:r>
        <w:t>as addressed</w:t>
      </w:r>
      <w:r w:rsidRPr="00E8671E">
        <w:t xml:space="preserve"> in </w:t>
      </w:r>
      <w:r w:rsidRPr="00E8671E">
        <w:rPr>
          <w:i/>
        </w:rPr>
        <w:t xml:space="preserve">Dunsmuir </w:t>
      </w:r>
      <w:r>
        <w:rPr>
          <w:i/>
        </w:rPr>
        <w:t>v. New Brunswick</w:t>
      </w:r>
      <w:r>
        <w:t xml:space="preserve">, 2008 SCC 9, [2008] 1 S.C.R. 190, </w:t>
      </w:r>
      <w:r w:rsidRPr="00E8671E">
        <w:t>and subsequent cases.</w:t>
      </w:r>
      <w:r>
        <w:t xml:space="preserve"> The submissions presented to the Court</w:t>
      </w:r>
      <w:r w:rsidRPr="00E8671E">
        <w:t xml:space="preserve"> have highlighted two aspects of the current framework which need clarification. The first aspect is the analysis for determining the standard of review.</w:t>
      </w:r>
      <w:r>
        <w:t xml:space="preserve"> </w:t>
      </w:r>
      <w:r w:rsidRPr="00E8671E">
        <w:t>The second aspect</w:t>
      </w:r>
      <w:r>
        <w:t xml:space="preserve"> is the</w:t>
      </w:r>
      <w:r w:rsidRPr="00E8671E">
        <w:t xml:space="preserve"> need for better guidance from this Court on the proper application of the reasonableness standard.</w:t>
      </w:r>
    </w:p>
    <w:p w:rsidR="00D667DF" w:rsidRDefault="00D667DF" w:rsidP="00D667DF">
      <w:pPr>
        <w:pStyle w:val="SCCNormalDoubleSpacing"/>
        <w:spacing w:after="480"/>
      </w:pPr>
      <w:r>
        <w:tab/>
      </w:r>
      <w:r w:rsidRPr="00E8671E">
        <w:t xml:space="preserve">It has become clear that </w:t>
      </w:r>
      <w:r w:rsidRPr="00E8671E">
        <w:rPr>
          <w:i/>
        </w:rPr>
        <w:t>Dunsmuir</w:t>
      </w:r>
      <w:r w:rsidRPr="00E8671E">
        <w:t>’s promise of simplicity and predictability has not been fully realized.</w:t>
      </w:r>
      <w:r>
        <w:t xml:space="preserve"> </w:t>
      </w:r>
      <w:r w:rsidRPr="00E8671E">
        <w:rPr>
          <w:lang w:val="en-US"/>
        </w:rPr>
        <w:t xml:space="preserve">Certain aspects of the current </w:t>
      </w:r>
      <w:r>
        <w:rPr>
          <w:lang w:val="en-US"/>
        </w:rPr>
        <w:t xml:space="preserve">standard of review </w:t>
      </w:r>
      <w:r w:rsidRPr="00E8671E">
        <w:rPr>
          <w:lang w:val="en-US"/>
        </w:rPr>
        <w:t>framework are unclear and unduly complex.</w:t>
      </w:r>
      <w:r>
        <w:rPr>
          <w:lang w:val="en-US"/>
        </w:rPr>
        <w:t xml:space="preserve"> </w:t>
      </w:r>
      <w:r w:rsidRPr="00B9345C">
        <w:t xml:space="preserve">The former contextual analysis has </w:t>
      </w:r>
      <w:r w:rsidRPr="00B9345C">
        <w:lastRenderedPageBreak/>
        <w:t>prove</w:t>
      </w:r>
      <w:r>
        <w:t>n</w:t>
      </w:r>
      <w:r w:rsidRPr="00B9345C">
        <w:t xml:space="preserve"> to be unwieldy and offers limited practical guidance for courts attempting to determine the standard of review.</w:t>
      </w:r>
      <w:r>
        <w:t xml:space="preserve"> </w:t>
      </w:r>
      <w:r w:rsidRPr="00E8671E">
        <w:rPr>
          <w:lang w:val="en-US"/>
        </w:rPr>
        <w:t xml:space="preserve">The practical effect is that courts </w:t>
      </w:r>
      <w:r>
        <w:rPr>
          <w:lang w:val="en-US"/>
        </w:rPr>
        <w:t>struggle in conducting the analysis, and debates surrounding</w:t>
      </w:r>
      <w:r w:rsidRPr="00E8671E">
        <w:rPr>
          <w:lang w:val="en-US"/>
        </w:rPr>
        <w:t xml:space="preserve"> the appropriate standard and its applica</w:t>
      </w:r>
      <w:r>
        <w:rPr>
          <w:lang w:val="en-US"/>
        </w:rPr>
        <w:t xml:space="preserve">tion continue to overshadow the </w:t>
      </w:r>
      <w:r w:rsidRPr="00E8671E">
        <w:rPr>
          <w:lang w:val="en-US"/>
        </w:rPr>
        <w:t xml:space="preserve">review on </w:t>
      </w:r>
      <w:r>
        <w:rPr>
          <w:lang w:val="en-US"/>
        </w:rPr>
        <w:t>the</w:t>
      </w:r>
      <w:r w:rsidRPr="00E8671E">
        <w:rPr>
          <w:lang w:val="en-US"/>
        </w:rPr>
        <w:t xml:space="preserve"> merits, thereby undermining access to justice.</w:t>
      </w:r>
      <w:r>
        <w:rPr>
          <w:lang w:val="en-US"/>
        </w:rPr>
        <w:t xml:space="preserve"> A</w:t>
      </w:r>
      <w:r w:rsidRPr="00E8671E">
        <w:t xml:space="preserve"> </w:t>
      </w:r>
      <w:r w:rsidRPr="00E8671E">
        <w:rPr>
          <w:lang w:val="en"/>
        </w:rPr>
        <w:t xml:space="preserve">reconsideration of </w:t>
      </w:r>
      <w:r>
        <w:rPr>
          <w:lang w:val="en"/>
        </w:rPr>
        <w:t>the</w:t>
      </w:r>
      <w:r w:rsidRPr="00E8671E">
        <w:rPr>
          <w:lang w:val="en"/>
        </w:rPr>
        <w:t xml:space="preserve"> Court’s approach is </w:t>
      </w:r>
      <w:r>
        <w:rPr>
          <w:lang w:val="en"/>
        </w:rPr>
        <w:t xml:space="preserve">therefore </w:t>
      </w:r>
      <w:r w:rsidRPr="00E8671E">
        <w:rPr>
          <w:lang w:val="en"/>
        </w:rPr>
        <w:t>necessary in order to bring greater coherence and predictability to this area of law.</w:t>
      </w:r>
      <w:r>
        <w:rPr>
          <w:lang w:val="en"/>
        </w:rPr>
        <w:t xml:space="preserve"> </w:t>
      </w:r>
      <w:r w:rsidRPr="00B9345C">
        <w:rPr>
          <w:lang w:val="en"/>
        </w:rPr>
        <w:t>A</w:t>
      </w:r>
      <w:r w:rsidRPr="00B9345C">
        <w:t xml:space="preserve"> revised framework to determine the standard of review where a court reviews the merits of an administrative decision is needed.</w:t>
      </w:r>
    </w:p>
    <w:p w:rsidR="00D667DF" w:rsidRPr="00E73EF2" w:rsidRDefault="00D667DF" w:rsidP="00D667DF">
      <w:pPr>
        <w:pStyle w:val="SCCNormalDoubleSpacing"/>
        <w:spacing w:after="480"/>
      </w:pPr>
      <w:r>
        <w:tab/>
        <w:t xml:space="preserve">In setting out a revised framework, this decision </w:t>
      </w:r>
      <w:r w:rsidRPr="00E8671E">
        <w:t>depart</w:t>
      </w:r>
      <w:r>
        <w:t>s</w:t>
      </w:r>
      <w:r w:rsidRPr="00E8671E">
        <w:t xml:space="preserve"> from the Court’s existing jurisprudence on standard of review in certain respects.</w:t>
      </w:r>
      <w:r>
        <w:t xml:space="preserve"> </w:t>
      </w:r>
      <w:r w:rsidRPr="00E8671E">
        <w:t xml:space="preserve">Any reconsideration </w:t>
      </w:r>
      <w:r>
        <w:t xml:space="preserve">of past precedents </w:t>
      </w:r>
      <w:r w:rsidRPr="00E8671E">
        <w:t>can be justified only by compelling circumstances</w:t>
      </w:r>
      <w:r>
        <w:t xml:space="preserve"> </w:t>
      </w:r>
      <w:r>
        <w:rPr>
          <w:lang w:val="en-US"/>
        </w:rPr>
        <w:t>and</w:t>
      </w:r>
      <w:r w:rsidRPr="00E8671E">
        <w:rPr>
          <w:lang w:val="en-US"/>
        </w:rPr>
        <w:t xml:space="preserve"> require</w:t>
      </w:r>
      <w:r>
        <w:rPr>
          <w:lang w:val="en-US"/>
        </w:rPr>
        <w:t>s</w:t>
      </w:r>
      <w:r w:rsidRPr="00E8671E">
        <w:rPr>
          <w:lang w:val="en-US"/>
        </w:rPr>
        <w:t xml:space="preserve"> carefully weigh</w:t>
      </w:r>
      <w:r>
        <w:rPr>
          <w:lang w:val="en-US"/>
        </w:rPr>
        <w:t>ing</w:t>
      </w:r>
      <w:r w:rsidRPr="00E8671E">
        <w:rPr>
          <w:lang w:val="en-US"/>
        </w:rPr>
        <w:t xml:space="preserve"> the impact on legal certainty and predictability against the costs of continuing to follow a flawed approach</w:t>
      </w:r>
      <w:r>
        <w:rPr>
          <w:lang w:val="en-US"/>
        </w:rPr>
        <w:t xml:space="preserve">. </w:t>
      </w:r>
      <w:r w:rsidRPr="00E8671E">
        <w:rPr>
          <w:lang w:val="en-US"/>
        </w:rPr>
        <w:t>Although adhering to the established jurisprudence will generally promote certainty and predictability, in some instances doing so will create or perpetuate uncertainty</w:t>
      </w:r>
      <w:r>
        <w:rPr>
          <w:lang w:val="en-US"/>
        </w:rPr>
        <w:t xml:space="preserve">. </w:t>
      </w:r>
      <w:r w:rsidRPr="00E8671E">
        <w:rPr>
          <w:lang w:val="en-US"/>
        </w:rPr>
        <w:t>In such</w:t>
      </w:r>
      <w:r>
        <w:rPr>
          <w:lang w:val="en-US"/>
        </w:rPr>
        <w:t xml:space="preserve"> circumstances, </w:t>
      </w:r>
      <w:r w:rsidRPr="00E8671E">
        <w:rPr>
          <w:lang w:val="en-US"/>
        </w:rPr>
        <w:t xml:space="preserve">following </w:t>
      </w:r>
      <w:r>
        <w:rPr>
          <w:lang w:val="en-US"/>
        </w:rPr>
        <w:t>a</w:t>
      </w:r>
      <w:r w:rsidRPr="00E8671E">
        <w:rPr>
          <w:lang w:val="en-US"/>
        </w:rPr>
        <w:t xml:space="preserve"> prior decision would be contrary to the underlying value</w:t>
      </w:r>
      <w:r>
        <w:rPr>
          <w:lang w:val="en-US"/>
        </w:rPr>
        <w:t>s</w:t>
      </w:r>
      <w:r w:rsidRPr="00E8671E">
        <w:rPr>
          <w:lang w:val="en-US"/>
        </w:rPr>
        <w:t xml:space="preserve"> </w:t>
      </w:r>
      <w:r>
        <w:rPr>
          <w:lang w:val="en-US"/>
        </w:rPr>
        <w:t>of</w:t>
      </w:r>
      <w:r w:rsidRPr="00E8671E">
        <w:rPr>
          <w:lang w:val="en-US"/>
        </w:rPr>
        <w:t xml:space="preserve"> clarity and certaint</w:t>
      </w:r>
      <w:r>
        <w:rPr>
          <w:lang w:val="en-US"/>
        </w:rPr>
        <w:t>y in the law</w:t>
      </w:r>
      <w:r w:rsidRPr="00E8671E">
        <w:rPr>
          <w:lang w:val="en-US"/>
        </w:rPr>
        <w:t>.</w:t>
      </w:r>
    </w:p>
    <w:p w:rsidR="00D667DF" w:rsidRDefault="00D667DF" w:rsidP="00D667DF">
      <w:pPr>
        <w:pStyle w:val="SCCNormalDoubleSpacing"/>
        <w:spacing w:after="480"/>
        <w:rPr>
          <w:lang w:val="en"/>
        </w:rPr>
      </w:pPr>
      <w:r>
        <w:tab/>
      </w:r>
      <w:r w:rsidRPr="00E8671E">
        <w:t xml:space="preserve">The </w:t>
      </w:r>
      <w:r>
        <w:t xml:space="preserve">revised standard of review </w:t>
      </w:r>
      <w:r w:rsidRPr="00E8671E">
        <w:t xml:space="preserve">analysis begins with a presumption that reasonableness is the applicable standard in all cases. Where a legislature has created an administrative decision maker for the specific purpose of administering a statutory scheme, it must be presumed that the legislature also intended that decision maker to fulfill its mandate and interpret the law applicable to all issues that come before it. </w:t>
      </w:r>
      <w:r w:rsidRPr="00E8671E">
        <w:lastRenderedPageBreak/>
        <w:t xml:space="preserve">Where a legislature has not explicitly provided that a court is to have a </w:t>
      </w:r>
      <w:r>
        <w:t xml:space="preserve">more involved </w:t>
      </w:r>
      <w:r w:rsidRPr="00E8671E">
        <w:t>role in reviewing the decisions of that decision maker, it can safely be assumed that the legislature intended a minimum of judicial interference.</w:t>
      </w:r>
      <w:r>
        <w:t xml:space="preserve"> R</w:t>
      </w:r>
      <w:r w:rsidRPr="00E8671E">
        <w:t>espect for these institutional design choices requires a reviewing court to adopt a posture of restraint.</w:t>
      </w:r>
      <w:r>
        <w:t xml:space="preserve"> Thus, </w:t>
      </w:r>
      <w:r w:rsidRPr="00E8671E">
        <w:rPr>
          <w:lang w:val="en"/>
        </w:rPr>
        <w:t xml:space="preserve">whenever a court reviews an administrative decision, it should start with the presumption that the applicable standard of review for all aspects of that decision will be reasonableness. </w:t>
      </w:r>
      <w:r w:rsidRPr="00E8671E">
        <w:t>As a result, it is no longer neces</w:t>
      </w:r>
      <w:r>
        <w:t xml:space="preserve">sary for courts to engage in a </w:t>
      </w:r>
      <w:r w:rsidRPr="00E8671E">
        <w:t>contextual inquiry</w:t>
      </w:r>
      <w:r w:rsidRPr="00E8671E">
        <w:rPr>
          <w:lang w:val="en"/>
        </w:rPr>
        <w:t xml:space="preserve"> </w:t>
      </w:r>
      <w:r>
        <w:rPr>
          <w:lang w:val="en"/>
        </w:rPr>
        <w:t xml:space="preserve">in order </w:t>
      </w:r>
      <w:r w:rsidRPr="00E8671E">
        <w:t>to identify the appropriate standard</w:t>
      </w:r>
      <w:r w:rsidRPr="00E8671E">
        <w:rPr>
          <w:lang w:val="en"/>
        </w:rPr>
        <w:t>.</w:t>
      </w:r>
      <w:r>
        <w:rPr>
          <w:lang w:val="en"/>
        </w:rPr>
        <w:t xml:space="preserve"> </w:t>
      </w:r>
      <w:r>
        <w:t>C</w:t>
      </w:r>
      <w:r w:rsidRPr="00E8671E">
        <w:t xml:space="preserve">onclusively </w:t>
      </w:r>
      <w:r>
        <w:t>closing</w:t>
      </w:r>
      <w:r w:rsidRPr="00E8671E">
        <w:t xml:space="preserve"> the door on the </w:t>
      </w:r>
      <w:r>
        <w:t>application</w:t>
      </w:r>
      <w:r w:rsidRPr="00E8671E">
        <w:t xml:space="preserve"> of a contextual analysis to determine the applicable standard</w:t>
      </w:r>
      <w:r>
        <w:t xml:space="preserve"> </w:t>
      </w:r>
      <w:r w:rsidRPr="00E8671E">
        <w:t>streamlines and simplifies the standard of review framework.</w:t>
      </w:r>
      <w:r>
        <w:t xml:space="preserve"> As well, with </w:t>
      </w:r>
      <w:r w:rsidRPr="00E8671E">
        <w:t>the presumptive application of the reasonableness standard</w:t>
      </w:r>
      <w:r>
        <w:t xml:space="preserve">, </w:t>
      </w:r>
      <w:r w:rsidRPr="00E8671E">
        <w:t>the relative expertise of administrative decision makers is no longer relevant to a determination of the standard of review</w:t>
      </w:r>
      <w:r>
        <w:t>. It</w:t>
      </w:r>
      <w:r w:rsidRPr="00E8671E">
        <w:t xml:space="preserve"> is simply folded into the new starting point</w:t>
      </w:r>
      <w:r>
        <w:t>. Relative expertise</w:t>
      </w:r>
      <w:r w:rsidRPr="00E8671E">
        <w:t xml:space="preserve"> </w:t>
      </w:r>
      <w:r>
        <w:t>remains, however,</w:t>
      </w:r>
      <w:r w:rsidRPr="00E8671E">
        <w:t xml:space="preserve"> a relevant consideration in conducting</w:t>
      </w:r>
      <w:r w:rsidRPr="00E8671E">
        <w:rPr>
          <w:i/>
        </w:rPr>
        <w:t xml:space="preserve"> </w:t>
      </w:r>
      <w:r w:rsidRPr="00E8671E">
        <w:t>reasonableness review.</w:t>
      </w:r>
    </w:p>
    <w:p w:rsidR="00D667DF" w:rsidRDefault="00D667DF" w:rsidP="00D667DF">
      <w:pPr>
        <w:pStyle w:val="SCCNormalDoubleSpacing"/>
        <w:spacing w:after="480"/>
      </w:pPr>
      <w:r>
        <w:rPr>
          <w:lang w:val="en"/>
        </w:rPr>
        <w:tab/>
      </w:r>
      <w:r w:rsidRPr="00E8671E">
        <w:t xml:space="preserve">The presumption of reasonableness review can be rebutted in two </w:t>
      </w:r>
      <w:r>
        <w:t xml:space="preserve">types of </w:t>
      </w:r>
      <w:r w:rsidRPr="00E8671E">
        <w:t>situations. The first is where the legislature has indicated that it intend</w:t>
      </w:r>
      <w:r>
        <w:t xml:space="preserve">s a different standard to apply. </w:t>
      </w:r>
      <w:r w:rsidRPr="00E8671E">
        <w:t xml:space="preserve">This will be the case where </w:t>
      </w:r>
      <w:r>
        <w:t xml:space="preserve">it has </w:t>
      </w:r>
      <w:r w:rsidRPr="00E8671E">
        <w:t>explicitly pr</w:t>
      </w:r>
      <w:r>
        <w:t>escribed the</w:t>
      </w:r>
      <w:r w:rsidRPr="00E8671E">
        <w:t xml:space="preserve"> applicable standard of review</w:t>
      </w:r>
      <w:r>
        <w:t>.</w:t>
      </w:r>
      <w:r w:rsidRPr="00E8671E">
        <w:t xml:space="preserve"> Any framework rooted in legislative intent must respect clear statutory language.</w:t>
      </w:r>
      <w:r>
        <w:t xml:space="preserve"> The legislature may also </w:t>
      </w:r>
      <w:r w:rsidRPr="00E8671E">
        <w:t xml:space="preserve">direct that </w:t>
      </w:r>
      <w:r>
        <w:t>derogation from the presumption is appropriate</w:t>
      </w:r>
      <w:r w:rsidRPr="00E8671E">
        <w:t xml:space="preserve"> by providing for a statutory appeal</w:t>
      </w:r>
      <w:r>
        <w:t xml:space="preserve"> mechanism</w:t>
      </w:r>
      <w:r w:rsidRPr="00E8671E">
        <w:t xml:space="preserve"> from an administrative decision to a court, thereby signalling the legislature’s intent that appellate standards apply when a court reviews the decision. Where a legislature has </w:t>
      </w:r>
      <w:r w:rsidRPr="00E8671E">
        <w:lastRenderedPageBreak/>
        <w:t xml:space="preserve">provided </w:t>
      </w:r>
      <w:r>
        <w:t>a statutory appeal mechanism</w:t>
      </w:r>
      <w:r w:rsidRPr="00E8671E">
        <w:rPr>
          <w:bCs/>
          <w:iCs/>
        </w:rPr>
        <w:t xml:space="preserve">, </w:t>
      </w:r>
      <w:r w:rsidRPr="00E8671E">
        <w:t xml:space="preserve">it has </w:t>
      </w:r>
      <w:r w:rsidRPr="00E8671E">
        <w:rPr>
          <w:bCs/>
          <w:iCs/>
        </w:rPr>
        <w:t xml:space="preserve">subjected the administrative regime to appellate oversight and </w:t>
      </w:r>
      <w:r w:rsidRPr="00E8671E">
        <w:t>it expects</w:t>
      </w:r>
      <w:r w:rsidRPr="00E8671E">
        <w:rPr>
          <w:i/>
        </w:rPr>
        <w:t xml:space="preserve"> </w:t>
      </w:r>
      <w:r w:rsidRPr="00E8671E">
        <w:t xml:space="preserve">the court to scrutinize such </w:t>
      </w:r>
      <w:r>
        <w:t xml:space="preserve">administrative </w:t>
      </w:r>
      <w:r w:rsidRPr="00E8671E">
        <w:t>decisions on an appellate basis.</w:t>
      </w:r>
      <w:r>
        <w:t xml:space="preserve"> T</w:t>
      </w:r>
      <w:r w:rsidRPr="00E8671E">
        <w:t xml:space="preserve">he applicable standard is </w:t>
      </w:r>
      <w:r>
        <w:t xml:space="preserve">therefore </w:t>
      </w:r>
      <w:r w:rsidRPr="00E8671E">
        <w:t xml:space="preserve">to be determined with reference to the nature of the question and to </w:t>
      </w:r>
      <w:r>
        <w:t>the</w:t>
      </w:r>
      <w:r w:rsidRPr="00E8671E">
        <w:t xml:space="preserve"> jurisprudence on appellate standards of review. Where, for example, a court </w:t>
      </w:r>
      <w:r>
        <w:t>hears</w:t>
      </w:r>
      <w:r w:rsidRPr="00E8671E">
        <w:t xml:space="preserve"> an appeal from an administrative decision, it would</w:t>
      </w:r>
      <w:r>
        <w:t xml:space="preserve"> apply the standard of correctness to</w:t>
      </w:r>
      <w:r w:rsidRPr="00E8671E">
        <w:t xml:space="preserve"> questions of law, including </w:t>
      </w:r>
      <w:r>
        <w:t>on</w:t>
      </w:r>
      <w:r w:rsidRPr="00E8671E">
        <w:t xml:space="preserve"> statutory interpretation and the scope of a decision maker’s authority</w:t>
      </w:r>
      <w:r>
        <w:t xml:space="preserve">. </w:t>
      </w:r>
      <w:r w:rsidRPr="00E8671E">
        <w:t>Where the</w:t>
      </w:r>
      <w:r>
        <w:t xml:space="preserve"> scope of the</w:t>
      </w:r>
      <w:r w:rsidRPr="00E8671E">
        <w:t xml:space="preserve"> statutory appeal includes questions of fact</w:t>
      </w:r>
      <w:r>
        <w:t xml:space="preserve"> or </w:t>
      </w:r>
      <w:r w:rsidRPr="00E8671E">
        <w:t>questions of mixed fact and law, the standard is palpable and overriding error</w:t>
      </w:r>
      <w:r>
        <w:t xml:space="preserve"> for such questions.</w:t>
      </w:r>
    </w:p>
    <w:p w:rsidR="00D667DF" w:rsidRDefault="00D667DF" w:rsidP="00D667DF">
      <w:pPr>
        <w:pStyle w:val="SCCNormalDoubleSpacing"/>
        <w:spacing w:after="480"/>
      </w:pPr>
      <w:r>
        <w:tab/>
        <w:t>G</w:t>
      </w:r>
      <w:r w:rsidRPr="00E8671E">
        <w:t>iving effect to statutory appeal mechanisms in this way departs from the Court’s recent jurisprudence.</w:t>
      </w:r>
      <w:r>
        <w:t xml:space="preserve"> T</w:t>
      </w:r>
      <w:r w:rsidRPr="00E8671E">
        <w:t xml:space="preserve">his shift is necessary in order to bring coherence and conceptual balance to the standard of review analysis and </w:t>
      </w:r>
      <w:r>
        <w:t xml:space="preserve">is justified by weighing </w:t>
      </w:r>
      <w:r w:rsidRPr="00E8671E">
        <w:t>the values of certainty and correctness</w:t>
      </w:r>
      <w:r>
        <w:t xml:space="preserve">. </w:t>
      </w:r>
      <w:r w:rsidRPr="00E8671E">
        <w:rPr>
          <w:szCs w:val="24"/>
        </w:rPr>
        <w:t xml:space="preserve">First, there has been significant </w:t>
      </w:r>
      <w:r>
        <w:rPr>
          <w:szCs w:val="24"/>
        </w:rPr>
        <w:t xml:space="preserve">and valid </w:t>
      </w:r>
      <w:r w:rsidRPr="00E8671E">
        <w:rPr>
          <w:szCs w:val="24"/>
        </w:rPr>
        <w:t xml:space="preserve">judicial and academic criticism of </w:t>
      </w:r>
      <w:r>
        <w:rPr>
          <w:szCs w:val="24"/>
        </w:rPr>
        <w:t>the</w:t>
      </w:r>
      <w:r w:rsidRPr="00E8671E">
        <w:rPr>
          <w:szCs w:val="24"/>
        </w:rPr>
        <w:t xml:space="preserve"> Court’s recent approach to statutory appeal rights</w:t>
      </w:r>
      <w:r>
        <w:rPr>
          <w:szCs w:val="24"/>
        </w:rPr>
        <w:t xml:space="preserve"> and of</w:t>
      </w:r>
      <w:r w:rsidRPr="00E8671E">
        <w:rPr>
          <w:szCs w:val="24"/>
        </w:rPr>
        <w:t xml:space="preserve"> the inconsistency inherent in a standard of review framework based on legislative intent that </w:t>
      </w:r>
      <w:r>
        <w:rPr>
          <w:szCs w:val="24"/>
        </w:rPr>
        <w:t xml:space="preserve">otherwise </w:t>
      </w:r>
      <w:r w:rsidRPr="00E8671E">
        <w:rPr>
          <w:szCs w:val="24"/>
        </w:rPr>
        <w:t>declines to give meaning to an express statutory right of appeal.</w:t>
      </w:r>
      <w:r>
        <w:rPr>
          <w:szCs w:val="24"/>
        </w:rPr>
        <w:t xml:space="preserve"> </w:t>
      </w:r>
      <w:r w:rsidRPr="00E8671E">
        <w:t xml:space="preserve">Second, there is no satisfactory justification for the recent trend in </w:t>
      </w:r>
      <w:r>
        <w:t>the</w:t>
      </w:r>
      <w:r w:rsidRPr="00E8671E">
        <w:t xml:space="preserve"> Court’s jurisprudence to give no effect to statutory rights of appeal in the standard of review analysis</w:t>
      </w:r>
      <w:r>
        <w:t xml:space="preserve">, absent exceptional wording. </w:t>
      </w:r>
      <w:r w:rsidRPr="00E8671E">
        <w:t>More generally, there is no convincing reason to presume that legislatures mean something entirely different when they use the word “appeal” in an administrative law statute</w:t>
      </w:r>
      <w:r>
        <w:t xml:space="preserve">. </w:t>
      </w:r>
      <w:r w:rsidRPr="00E8671E">
        <w:t xml:space="preserve">Accepting that the legislature intends an appellate standard of review to be applied also helps to explain why many statutes provide for </w:t>
      </w:r>
      <w:r w:rsidRPr="00750E6A">
        <w:t>both</w:t>
      </w:r>
      <w:r w:rsidRPr="00E8671E">
        <w:rPr>
          <w:i/>
        </w:rPr>
        <w:t xml:space="preserve"> </w:t>
      </w:r>
      <w:r w:rsidRPr="00E8671E">
        <w:t xml:space="preserve">appeal </w:t>
      </w:r>
      <w:r w:rsidRPr="00E8671E">
        <w:lastRenderedPageBreak/>
        <w:t xml:space="preserve">and judicial review mechanisms, thereby indicating two roles for </w:t>
      </w:r>
      <w:r>
        <w:t xml:space="preserve">reviewing </w:t>
      </w:r>
      <w:r w:rsidRPr="00E8671E">
        <w:t>court</w:t>
      </w:r>
      <w:r>
        <w:t xml:space="preserve">s. Finally, because </w:t>
      </w:r>
      <w:r w:rsidRPr="00E8671E">
        <w:t>the presumption of reasonableness review is no longer premised upon notions of relative expertise</w:t>
      </w:r>
      <w:r>
        <w:t xml:space="preserve"> and </w:t>
      </w:r>
      <w:r w:rsidRPr="00E8671E">
        <w:t xml:space="preserve">is now based on respect for the </w:t>
      </w:r>
      <w:proofErr w:type="gramStart"/>
      <w:r w:rsidRPr="00E8671E">
        <w:t>legislature’s</w:t>
      </w:r>
      <w:proofErr w:type="gramEnd"/>
      <w:r w:rsidRPr="00E8671E">
        <w:t xml:space="preserve"> institutional design choice, </w:t>
      </w:r>
      <w:r>
        <w:t>d</w:t>
      </w:r>
      <w:r w:rsidRPr="00E8671E">
        <w:t>epart</w:t>
      </w:r>
      <w:r>
        <w:t>ing</w:t>
      </w:r>
      <w:r w:rsidRPr="00E8671E">
        <w:t xml:space="preserve"> from </w:t>
      </w:r>
      <w:r>
        <w:t>the</w:t>
      </w:r>
      <w:r w:rsidRPr="00E8671E">
        <w:t xml:space="preserve"> presumption </w:t>
      </w:r>
      <w:r>
        <w:t xml:space="preserve">of reasonableness review </w:t>
      </w:r>
      <w:r w:rsidRPr="00E8671E">
        <w:t xml:space="preserve">in the context of a statutory appeal respects </w:t>
      </w:r>
      <w:r>
        <w:t>this legislative</w:t>
      </w:r>
      <w:r w:rsidRPr="00E8671E">
        <w:t xml:space="preserve"> choice.</w:t>
      </w:r>
    </w:p>
    <w:p w:rsidR="00D667DF" w:rsidRDefault="00D667DF" w:rsidP="00D667DF">
      <w:pPr>
        <w:pStyle w:val="SCCNormalDoubleSpacing"/>
        <w:spacing w:after="480"/>
      </w:pPr>
      <w:r>
        <w:tab/>
      </w:r>
      <w:r w:rsidRPr="00E8671E">
        <w:t xml:space="preserve">The second situation in which the presumption of reasonableness review will be rebutted is where </w:t>
      </w:r>
      <w:r w:rsidRPr="00E8671E">
        <w:rPr>
          <w:lang w:val="en-US"/>
        </w:rPr>
        <w:t>the rule of law requires that the standard of</w:t>
      </w:r>
      <w:r>
        <w:rPr>
          <w:lang w:val="en-US"/>
        </w:rPr>
        <w:t xml:space="preserve"> </w:t>
      </w:r>
      <w:r w:rsidRPr="00E8671E">
        <w:rPr>
          <w:lang w:val="en-US"/>
        </w:rPr>
        <w:t xml:space="preserve">correctness be applied. This will be the case for certain categories of </w:t>
      </w:r>
      <w:r>
        <w:rPr>
          <w:lang w:val="en-US"/>
        </w:rPr>
        <w:t xml:space="preserve">legal </w:t>
      </w:r>
      <w:r w:rsidRPr="00E8671E">
        <w:rPr>
          <w:lang w:val="en-US"/>
        </w:rPr>
        <w:t xml:space="preserve">questions, namely constitutional questions, </w:t>
      </w:r>
      <w:r>
        <w:rPr>
          <w:lang w:val="en-US"/>
        </w:rPr>
        <w:t xml:space="preserve">general </w:t>
      </w:r>
      <w:r w:rsidRPr="00E8671E">
        <w:rPr>
          <w:lang w:val="en-US"/>
        </w:rPr>
        <w:t xml:space="preserve">questions of </w:t>
      </w:r>
      <w:r>
        <w:rPr>
          <w:lang w:val="en-US"/>
        </w:rPr>
        <w:t xml:space="preserve">law of </w:t>
      </w:r>
      <w:r w:rsidRPr="00E8671E">
        <w:rPr>
          <w:lang w:val="en-US"/>
        </w:rPr>
        <w:t xml:space="preserve">central importance to the legal system as a whole and questions related to the jurisdictional boundaries between two or more administrative </w:t>
      </w:r>
      <w:r w:rsidR="00B47DBA">
        <w:rPr>
          <w:lang w:val="en-US"/>
        </w:rPr>
        <w:t>bodies</w:t>
      </w:r>
      <w:r w:rsidRPr="00E8671E">
        <w:rPr>
          <w:lang w:val="en-US"/>
        </w:rPr>
        <w:t>.</w:t>
      </w:r>
      <w:r w:rsidRPr="00E8671E">
        <w:t xml:space="preserve"> </w:t>
      </w:r>
      <w:r>
        <w:t>First, q</w:t>
      </w:r>
      <w:r w:rsidRPr="00E8671E">
        <w:t>uestions</w:t>
      </w:r>
      <w:r w:rsidRPr="00E8671E">
        <w:rPr>
          <w:lang w:bidi="en-US"/>
        </w:rPr>
        <w:t xml:space="preserve"> regarding the division of powers between Parliament and the provinces, </w:t>
      </w:r>
      <w:r w:rsidRPr="00E8671E">
        <w:rPr>
          <w:lang w:val="en-US" w:bidi="en-US"/>
        </w:rPr>
        <w:t xml:space="preserve">the relationship between the legislature and the other branches of the state, the scope of Aboriginal </w:t>
      </w:r>
      <w:r>
        <w:rPr>
          <w:lang w:val="en-US" w:bidi="en-US"/>
        </w:rPr>
        <w:t xml:space="preserve">and treaty </w:t>
      </w:r>
      <w:r w:rsidRPr="00E8671E">
        <w:rPr>
          <w:lang w:val="en-US" w:bidi="en-US"/>
        </w:rPr>
        <w:t>rights under s. 35</w:t>
      </w:r>
      <w:r>
        <w:rPr>
          <w:lang w:val="en-US" w:bidi="en-US"/>
        </w:rPr>
        <w:t xml:space="preserve"> of the </w:t>
      </w:r>
      <w:r w:rsidRPr="004B0BE7">
        <w:rPr>
          <w:i/>
          <w:lang w:val="en-US" w:bidi="en-US"/>
        </w:rPr>
        <w:t>Constitution Act, 1982</w:t>
      </w:r>
      <w:r w:rsidRPr="00E8671E">
        <w:rPr>
          <w:lang w:val="en-US" w:bidi="en-US"/>
        </w:rPr>
        <w:t>, and other constitutional matters r</w:t>
      </w:r>
      <w:r>
        <w:rPr>
          <w:lang w:val="en-US" w:bidi="en-US"/>
        </w:rPr>
        <w:t>equire a final and determinate</w:t>
      </w:r>
      <w:r w:rsidRPr="00E8671E">
        <w:rPr>
          <w:lang w:val="en-US" w:bidi="en-US"/>
        </w:rPr>
        <w:t xml:space="preserve"> answer from the courts.</w:t>
      </w:r>
      <w:r>
        <w:t xml:space="preserve"> Second, </w:t>
      </w:r>
      <w:r w:rsidRPr="00E8671E">
        <w:t>the rule of law requires courts to have the final word with regard to general questions of law that are of central importance to the legal system as a whole</w:t>
      </w:r>
      <w:r>
        <w:t xml:space="preserve"> because they </w:t>
      </w:r>
      <w:r w:rsidRPr="00E8671E">
        <w:t>require uniform and consistent answers</w:t>
      </w:r>
      <w:r>
        <w:t xml:space="preserve">. Third, </w:t>
      </w:r>
      <w:r w:rsidRPr="00E8671E">
        <w:t>the rule of law requires courts to intervene where one administrative body has interpreted the scope of its authority in a manner that is incompatible with the jurisdiction of another</w:t>
      </w:r>
      <w:r>
        <w:t xml:space="preserve"> since </w:t>
      </w:r>
      <w:r w:rsidRPr="00E8671E">
        <w:t xml:space="preserve">the rule of law cannot tolerate conflicting orders and proceedings where </w:t>
      </w:r>
      <w:r w:rsidRPr="00E8671E">
        <w:rPr>
          <w:lang w:val="en-US"/>
        </w:rPr>
        <w:t>they result in a true operational conflict between two administrative bodies</w:t>
      </w:r>
      <w:r>
        <w:rPr>
          <w:lang w:val="en-US"/>
        </w:rPr>
        <w:t>.</w:t>
      </w:r>
      <w:r>
        <w:t xml:space="preserve"> </w:t>
      </w:r>
      <w:r w:rsidRPr="00E8671E">
        <w:t xml:space="preserve">The application of the correctness standard for such questions </w:t>
      </w:r>
      <w:r>
        <w:t>therefore respects</w:t>
      </w:r>
      <w:r w:rsidRPr="00E8671E">
        <w:t xml:space="preserve"> the unique role of the </w:t>
      </w:r>
      <w:r w:rsidRPr="00E8671E">
        <w:lastRenderedPageBreak/>
        <w:t xml:space="preserve">judiciary in interpreting the Constitution and ensures that courts </w:t>
      </w:r>
      <w:r>
        <w:t>are able to provide</w:t>
      </w:r>
      <w:r w:rsidRPr="00E8671E">
        <w:t xml:space="preserve"> the last word on questions for which the rule of law requires consistency and for which a final and determina</w:t>
      </w:r>
      <w:r>
        <w:t>t</w:t>
      </w:r>
      <w:r w:rsidRPr="00E8671E">
        <w:t>e answer is necessary</w:t>
      </w:r>
      <w:r w:rsidR="00F34FA4">
        <w:t>.</w:t>
      </w:r>
    </w:p>
    <w:p w:rsidR="00D667DF" w:rsidRDefault="00D667DF" w:rsidP="00D667DF">
      <w:pPr>
        <w:pStyle w:val="SCCNormalDoubleSpacing"/>
        <w:spacing w:after="480"/>
      </w:pPr>
      <w:r>
        <w:tab/>
      </w:r>
      <w:r w:rsidRPr="00E8671E">
        <w:t xml:space="preserve">The general rule of reasonableness review, when coupled with these limited exceptions, offers a comprehensive approach to determining the applicable standard of review. </w:t>
      </w:r>
      <w:r>
        <w:t>The possibility that</w:t>
      </w:r>
      <w:r w:rsidRPr="00E8671E">
        <w:t xml:space="preserve"> </w:t>
      </w:r>
      <w:r>
        <w:t>another</w:t>
      </w:r>
      <w:r w:rsidRPr="00E8671E">
        <w:t xml:space="preserve"> categor</w:t>
      </w:r>
      <w:r>
        <w:t>y</w:t>
      </w:r>
      <w:r w:rsidRPr="00E8671E">
        <w:t xml:space="preserve"> </w:t>
      </w:r>
      <w:r>
        <w:t>could be recognized as requiring a derogation</w:t>
      </w:r>
      <w:r w:rsidRPr="00E8671E">
        <w:t xml:space="preserve"> from the presumption of reasonableness review in a future case</w:t>
      </w:r>
      <w:r>
        <w:t xml:space="preserve"> is </w:t>
      </w:r>
      <w:r w:rsidRPr="00E8671E">
        <w:t>not definitively foreclose</w:t>
      </w:r>
      <w:r>
        <w:t>d</w:t>
      </w:r>
      <w:r w:rsidRPr="00E8671E">
        <w:t>.</w:t>
      </w:r>
      <w:r>
        <w:t xml:space="preserve"> However, </w:t>
      </w:r>
      <w:r w:rsidRPr="00E8671E">
        <w:t>any new basis for correctness review would be exceptional and woul</w:t>
      </w:r>
      <w:r>
        <w:t>d need to be consistent with this</w:t>
      </w:r>
      <w:r w:rsidRPr="00E8671E">
        <w:t xml:space="preserve"> framework</w:t>
      </w:r>
      <w:r>
        <w:t xml:space="preserve"> and the overarching principles set out in this decision</w:t>
      </w:r>
      <w:r w:rsidRPr="00E8671E">
        <w:t xml:space="preserve">. </w:t>
      </w:r>
      <w:r>
        <w:t>A</w:t>
      </w:r>
      <w:r w:rsidRPr="00E8671E">
        <w:t xml:space="preserve">ny new </w:t>
      </w:r>
      <w:r>
        <w:t xml:space="preserve">correctness </w:t>
      </w:r>
      <w:r w:rsidRPr="00E8671E">
        <w:t xml:space="preserve">category </w:t>
      </w:r>
      <w:r>
        <w:t>based on</w:t>
      </w:r>
      <w:r w:rsidRPr="00E8671E">
        <w:t xml:space="preserve"> legislative intent would require a signal of legislative intent as strong and compelling as a legislated standard of review or a statutory appeal mechanism. Similarly, a new </w:t>
      </w:r>
      <w:r>
        <w:t xml:space="preserve">correctness </w:t>
      </w:r>
      <w:r w:rsidRPr="00E8671E">
        <w:t>category based on the rule of law would be justified only where failure to apply correctness review would undermine the rule of law</w:t>
      </w:r>
      <w:r>
        <w:t xml:space="preserve"> </w:t>
      </w:r>
      <w:r w:rsidRPr="00E8671E">
        <w:t>and jeopardize the proper functioning of the justice system in a manner analogous to the three situations described</w:t>
      </w:r>
      <w:r>
        <w:t xml:space="preserve"> in this decision.</w:t>
      </w:r>
    </w:p>
    <w:p w:rsidR="00D667DF" w:rsidRDefault="00D667DF" w:rsidP="00D667DF">
      <w:pPr>
        <w:pStyle w:val="SCCNormalDoubleSpacing"/>
        <w:spacing w:after="480"/>
      </w:pPr>
      <w:r>
        <w:tab/>
        <w:t xml:space="preserve">For example, the </w:t>
      </w:r>
      <w:r w:rsidRPr="00E8671E">
        <w:t xml:space="preserve">Court </w:t>
      </w:r>
      <w:r>
        <w:t xml:space="preserve">is not persuaded that it </w:t>
      </w:r>
      <w:r w:rsidRPr="00E8671E">
        <w:t>should</w:t>
      </w:r>
      <w:r>
        <w:t xml:space="preserve"> </w:t>
      </w:r>
      <w:r w:rsidRPr="00E8671E">
        <w:t>recognize a distinct correctness category for legal questions on which there is persistent discord within an administrative bod</w:t>
      </w:r>
      <w:r>
        <w:t>y</w:t>
      </w:r>
      <w:r w:rsidRPr="00E8671E">
        <w:t>.</w:t>
      </w:r>
      <w:r>
        <w:t xml:space="preserve"> </w:t>
      </w:r>
      <w:r>
        <w:rPr>
          <w:lang w:val="en-GB"/>
        </w:rPr>
        <w:t>A</w:t>
      </w:r>
      <w:r w:rsidRPr="00E8671E">
        <w:rPr>
          <w:lang w:val="en-GB"/>
        </w:rPr>
        <w:t xml:space="preserve"> lack of unanimity within a</w:t>
      </w:r>
      <w:r>
        <w:rPr>
          <w:lang w:val="en-GB"/>
        </w:rPr>
        <w:t>n administrative</w:t>
      </w:r>
      <w:r w:rsidRPr="00E8671E">
        <w:rPr>
          <w:lang w:val="en-GB"/>
        </w:rPr>
        <w:t xml:space="preserve"> tribunal i</w:t>
      </w:r>
      <w:r w:rsidR="003419D5">
        <w:rPr>
          <w:lang w:val="en-GB"/>
        </w:rPr>
        <w:t>s the price to pay for decision</w:t>
      </w:r>
      <w:r w:rsidR="003419D5">
        <w:rPr>
          <w:lang w:val="en-GB"/>
        </w:rPr>
        <w:noBreakHyphen/>
      </w:r>
      <w:r w:rsidRPr="00E8671E">
        <w:rPr>
          <w:lang w:val="en-GB"/>
        </w:rPr>
        <w:t>making freedom and independence</w:t>
      </w:r>
      <w:r>
        <w:rPr>
          <w:lang w:val="en-GB"/>
        </w:rPr>
        <w:t>.</w:t>
      </w:r>
      <w:r>
        <w:t xml:space="preserve"> While discord can </w:t>
      </w:r>
      <w:r w:rsidRPr="00E8671E">
        <w:t>lead to legal incoherence</w:t>
      </w:r>
      <w:r>
        <w:t xml:space="preserve">, </w:t>
      </w:r>
      <w:r>
        <w:rPr>
          <w:lang w:val="en-GB"/>
        </w:rPr>
        <w:t xml:space="preserve">a </w:t>
      </w:r>
      <w:r w:rsidRPr="00E8671E">
        <w:t>more robust form of reasonableness review is capable</w:t>
      </w:r>
      <w:r>
        <w:t xml:space="preserve"> </w:t>
      </w:r>
      <w:r w:rsidRPr="00E8671E">
        <w:t xml:space="preserve">of guarding </w:t>
      </w:r>
      <w:r w:rsidRPr="00E8671E">
        <w:lastRenderedPageBreak/>
        <w:t xml:space="preserve">against </w:t>
      </w:r>
      <w:r>
        <w:t xml:space="preserve">such </w:t>
      </w:r>
      <w:r w:rsidRPr="00E8671E">
        <w:t>threats to the rule of law.</w:t>
      </w:r>
      <w:r>
        <w:t xml:space="preserve"> As well, jurisdictional questions</w:t>
      </w:r>
      <w:r w:rsidRPr="00E8671E">
        <w:t xml:space="preserve"> </w:t>
      </w:r>
      <w:r>
        <w:t xml:space="preserve">should no longer be recognized </w:t>
      </w:r>
      <w:r w:rsidRPr="00E8671E">
        <w:t>as a distinct category</w:t>
      </w:r>
      <w:r>
        <w:t xml:space="preserve"> subject to</w:t>
      </w:r>
      <w:r w:rsidRPr="00E8671E">
        <w:t xml:space="preserve"> correctness review</w:t>
      </w:r>
      <w:r>
        <w:t xml:space="preserve">; </w:t>
      </w:r>
      <w:r>
        <w:rPr>
          <w:lang w:val="en"/>
        </w:rPr>
        <w:t xml:space="preserve">there are no clear markers to </w:t>
      </w:r>
      <w:r w:rsidRPr="00E8671E">
        <w:t>distinguish</w:t>
      </w:r>
      <w:r>
        <w:t xml:space="preserve"> such questions</w:t>
      </w:r>
      <w:r w:rsidRPr="00E8671E">
        <w:t xml:space="preserve"> from other questions related to interpret</w:t>
      </w:r>
      <w:r>
        <w:t>ing</w:t>
      </w:r>
      <w:r w:rsidRPr="00E8671E">
        <w:t xml:space="preserve"> an administrative decision maker’s enabling statute</w:t>
      </w:r>
      <w:r>
        <w:t xml:space="preserve">. </w:t>
      </w:r>
      <w:r w:rsidRPr="00E8671E">
        <w:t xml:space="preserve">A proper application of the reasonableness standard will enable courts to ensure that administrative bodies have acted within the scope of their lawful authority without having to conduct a preliminary assessment </w:t>
      </w:r>
      <w:r>
        <w:t>on</w:t>
      </w:r>
      <w:r w:rsidRPr="00E8671E">
        <w:t xml:space="preserve"> jurisdiction</w:t>
      </w:r>
      <w:r>
        <w:t>al issues</w:t>
      </w:r>
      <w:r w:rsidRPr="00E8671E">
        <w:t xml:space="preserve"> and without having to apply the correctness standard.</w:t>
      </w:r>
    </w:p>
    <w:p w:rsidR="00D667DF" w:rsidRDefault="00D667DF" w:rsidP="00E16941">
      <w:pPr>
        <w:pStyle w:val="SCCNormalDoubleSpacing"/>
        <w:spacing w:after="480"/>
      </w:pPr>
      <w:r>
        <w:tab/>
        <w:t>G</w:t>
      </w:r>
      <w:r w:rsidRPr="00E8671E">
        <w:t>oing forward</w:t>
      </w:r>
      <w:r>
        <w:t>, a</w:t>
      </w:r>
      <w:r w:rsidRPr="00E8671E">
        <w:t xml:space="preserve"> court seeking to determine what standard </w:t>
      </w:r>
      <w:r>
        <w:t xml:space="preserve">of review </w:t>
      </w:r>
      <w:r w:rsidRPr="00E8671E">
        <w:t xml:space="preserve">is appropriate should look to </w:t>
      </w:r>
      <w:r>
        <w:t>this decision</w:t>
      </w:r>
      <w:r w:rsidRPr="00E8671E">
        <w:t xml:space="preserve"> first in order to determine how </w:t>
      </w:r>
      <w:r>
        <w:t>the</w:t>
      </w:r>
      <w:r w:rsidRPr="00E8671E">
        <w:t xml:space="preserve"> general framework applies. Doing so may require the court to resolv</w:t>
      </w:r>
      <w:r>
        <w:t>e subsidiary questions on which</w:t>
      </w:r>
      <w:r w:rsidRPr="00E8671E">
        <w:t xml:space="preserve"> past precedents </w:t>
      </w:r>
      <w:r>
        <w:t>will often</w:t>
      </w:r>
      <w:r w:rsidRPr="00E8671E">
        <w:t xml:space="preserve"> continue to provide helpful guidance</w:t>
      </w:r>
      <w:r>
        <w:t xml:space="preserve"> and</w:t>
      </w:r>
      <w:r w:rsidRPr="00E8671E">
        <w:t xml:space="preserve"> will continue to apply essentially without modification</w:t>
      </w:r>
      <w:r>
        <w:t xml:space="preserve">, such as cases </w:t>
      </w:r>
      <w:r w:rsidRPr="00E8671E">
        <w:t xml:space="preserve">concerning </w:t>
      </w:r>
      <w:r>
        <w:t xml:space="preserve">general </w:t>
      </w:r>
      <w:r w:rsidRPr="00E8671E">
        <w:t xml:space="preserve">questions of </w:t>
      </w:r>
      <w:r>
        <w:t xml:space="preserve">law of </w:t>
      </w:r>
      <w:r w:rsidRPr="00E8671E">
        <w:t xml:space="preserve">central importance to the legal system as a whole or those relating to jurisdictional boundaries between administrative bodies. On other issues, </w:t>
      </w:r>
      <w:r>
        <w:t>such as the</w:t>
      </w:r>
      <w:r w:rsidRPr="00E8671E">
        <w:t xml:space="preserve"> effect of statutory a</w:t>
      </w:r>
      <w:r>
        <w:t>ppeal mechanisms, true</w:t>
      </w:r>
      <w:r w:rsidRPr="00E8671E">
        <w:t xml:space="preserve"> questions of jurisdiction or the former contextual analysis</w:t>
      </w:r>
      <w:r>
        <w:t xml:space="preserve">, </w:t>
      </w:r>
      <w:r w:rsidRPr="00E8671E">
        <w:t xml:space="preserve">certain cases will necessarily have less precedential </w:t>
      </w:r>
      <w:r>
        <w:t>force</w:t>
      </w:r>
      <w:r w:rsidRPr="00E8671E">
        <w:t>.</w:t>
      </w:r>
    </w:p>
    <w:p w:rsidR="00D667DF" w:rsidRPr="00FF1FF2" w:rsidRDefault="00D667DF" w:rsidP="00E16941">
      <w:pPr>
        <w:pStyle w:val="SCCNormalDoubleSpacing"/>
        <w:spacing w:after="480"/>
        <w:rPr>
          <w:lang w:val="en"/>
        </w:rPr>
      </w:pPr>
      <w:r>
        <w:tab/>
        <w:t xml:space="preserve">There is also a </w:t>
      </w:r>
      <w:r w:rsidRPr="00E8671E">
        <w:t xml:space="preserve">need for better guidance from </w:t>
      </w:r>
      <w:r>
        <w:t>the</w:t>
      </w:r>
      <w:r w:rsidRPr="00E8671E">
        <w:t xml:space="preserve"> Court on the proper application of the reasonableness standard</w:t>
      </w:r>
      <w:r>
        <w:t xml:space="preserve">, </w:t>
      </w:r>
      <w:r w:rsidRPr="00E8671E">
        <w:t>what that standard entails and how it should be applied in practice. Reasonableness review</w:t>
      </w:r>
      <w:r>
        <w:t xml:space="preserve"> </w:t>
      </w:r>
      <w:r w:rsidRPr="00E8671E">
        <w:t xml:space="preserve">is meant to ensure that courts intervene in administrative matters only where it is truly necessary to do so in order to safeguard </w:t>
      </w:r>
      <w:r w:rsidRPr="00E8671E">
        <w:lastRenderedPageBreak/>
        <w:t xml:space="preserve">the legality, rationality and fairness of the administrative process. Its starting point lies in the principle of judicial restraint and </w:t>
      </w:r>
      <w:r>
        <w:t>in demonstrating</w:t>
      </w:r>
      <w:r w:rsidRPr="00E8671E">
        <w:t xml:space="preserve"> respect for the distinct role of administrative decision makers. Howeve</w:t>
      </w:r>
      <w:r w:rsidR="003419D5">
        <w:t>r, it is not a “rubber</w:t>
      </w:r>
      <w:r w:rsidR="003419D5">
        <w:noBreakHyphen/>
      </w:r>
      <w:r w:rsidRPr="00E8671E">
        <w:t xml:space="preserve">stamping” process or a means of sheltering decision makers from accountability. </w:t>
      </w:r>
      <w:r>
        <w:t>While</w:t>
      </w:r>
      <w:r w:rsidRPr="00E8671E">
        <w:t xml:space="preserve"> courts must recognize the legitimacy and authority of administrative decision makers </w:t>
      </w:r>
      <w:r>
        <w:t>and adopt a</w:t>
      </w:r>
      <w:r w:rsidRPr="00E8671E">
        <w:t xml:space="preserve"> posture of respect</w:t>
      </w:r>
      <w:r>
        <w:t>,</w:t>
      </w:r>
      <w:r w:rsidRPr="00E8671E">
        <w:t xml:space="preserve"> administrative decision makers must adopt a culture of justification and demonstrate that their exercise of delegated public power can be</w:t>
      </w:r>
      <w:r>
        <w:t xml:space="preserve"> </w:t>
      </w:r>
      <w:r w:rsidRPr="00E8671E">
        <w:t>justified.</w:t>
      </w:r>
      <w:r>
        <w:t xml:space="preserve"> </w:t>
      </w:r>
      <w:r w:rsidRPr="00E8671E">
        <w:rPr>
          <w:szCs w:val="24"/>
        </w:rPr>
        <w:t>In conducting reasonableness review, a court must consider the outcome of the administrative decision in light of its underlying rationale</w:t>
      </w:r>
      <w:r>
        <w:rPr>
          <w:szCs w:val="24"/>
        </w:rPr>
        <w:t>,</w:t>
      </w:r>
      <w:r w:rsidRPr="00E8671E">
        <w:rPr>
          <w:szCs w:val="24"/>
        </w:rPr>
        <w:t xml:space="preserve"> to ensure that the decision as a whole is transparent, intelligible and justified.</w:t>
      </w:r>
      <w:r>
        <w:rPr>
          <w:szCs w:val="24"/>
        </w:rPr>
        <w:t xml:space="preserve"> </w:t>
      </w:r>
      <w:r>
        <w:rPr>
          <w:lang w:val="en"/>
        </w:rPr>
        <w:t>J</w:t>
      </w:r>
      <w:r w:rsidRPr="00E8671E">
        <w:rPr>
          <w:lang w:val="en"/>
        </w:rPr>
        <w:t xml:space="preserve">udicial review is concerned with both the outcome of the decision and the reasoning process </w:t>
      </w:r>
      <w:r>
        <w:rPr>
          <w:lang w:val="en"/>
        </w:rPr>
        <w:t>that le</w:t>
      </w:r>
      <w:r w:rsidRPr="00E8671E">
        <w:rPr>
          <w:lang w:val="en"/>
        </w:rPr>
        <w:t>d to that outcome. To accept otherwise would undermine, rather than demonstrate respect toward, the institutional role of t</w:t>
      </w:r>
      <w:r>
        <w:rPr>
          <w:lang w:val="en"/>
        </w:rPr>
        <w:t>he</w:t>
      </w:r>
      <w:r w:rsidR="00F34FA4">
        <w:rPr>
          <w:lang w:val="en"/>
        </w:rPr>
        <w:t xml:space="preserve"> administrative decision maker.</w:t>
      </w:r>
    </w:p>
    <w:p w:rsidR="00D667DF" w:rsidRDefault="00D667DF" w:rsidP="00E16941">
      <w:pPr>
        <w:pStyle w:val="SCCNormalDoubleSpacing"/>
        <w:spacing w:after="480"/>
      </w:pPr>
      <w:r>
        <w:tab/>
      </w:r>
      <w:r w:rsidRPr="00E8671E">
        <w:t>Reasonableness review is methodologically distinct from correctness review.</w:t>
      </w:r>
      <w:r>
        <w:t xml:space="preserve"> </w:t>
      </w:r>
      <w:r>
        <w:rPr>
          <w:szCs w:val="24"/>
        </w:rPr>
        <w:t>T</w:t>
      </w:r>
      <w:r w:rsidRPr="00E8671E">
        <w:rPr>
          <w:szCs w:val="24"/>
        </w:rPr>
        <w:t xml:space="preserve">he court conducting a reasonableness review must focus on the decision the administrative </w:t>
      </w:r>
      <w:r w:rsidRPr="00E16941">
        <w:t>decision</w:t>
      </w:r>
      <w:r w:rsidRPr="00E8671E">
        <w:rPr>
          <w:szCs w:val="24"/>
        </w:rPr>
        <w:t xml:space="preserve"> maker actually made, including the justification offered for it</w:t>
      </w:r>
      <w:r w:rsidRPr="00E8671E">
        <w:t>.</w:t>
      </w:r>
      <w:r>
        <w:t xml:space="preserve"> A</w:t>
      </w:r>
      <w:r w:rsidRPr="00E8671E">
        <w:t xml:space="preserve"> court applying the reasonableness standard does not ask what decision it would have made in place of the administrative decision m</w:t>
      </w:r>
      <w:r>
        <w:t>aker, attempt to ascertain the range</w:t>
      </w:r>
      <w:r w:rsidRPr="00E8671E">
        <w:t xml:space="preserve"> of possible conclusions, </w:t>
      </w:r>
      <w:r w:rsidRPr="00E8671E">
        <w:rPr>
          <w:lang w:val="en"/>
        </w:rPr>
        <w:t xml:space="preserve">conduct a </w:t>
      </w:r>
      <w:r>
        <w:rPr>
          <w:iCs/>
          <w:lang w:val="en"/>
        </w:rPr>
        <w:t>new</w:t>
      </w:r>
      <w:r w:rsidRPr="00E8671E">
        <w:rPr>
          <w:iCs/>
          <w:lang w:val="en"/>
        </w:rPr>
        <w:t xml:space="preserve"> </w:t>
      </w:r>
      <w:r w:rsidRPr="00E8671E">
        <w:rPr>
          <w:lang w:val="en"/>
        </w:rPr>
        <w:t xml:space="preserve">analysis </w:t>
      </w:r>
      <w:r>
        <w:t xml:space="preserve">or seek to determine the </w:t>
      </w:r>
      <w:r w:rsidRPr="00E8671E">
        <w:t>correc</w:t>
      </w:r>
      <w:r>
        <w:t>t</w:t>
      </w:r>
      <w:r w:rsidRPr="00E8671E">
        <w:t xml:space="preserve"> solution to the problem.</w:t>
      </w:r>
      <w:r>
        <w:t xml:space="preserve"> </w:t>
      </w:r>
      <w:r w:rsidRPr="00E8671E">
        <w:t>Instead, the reviewing court must consider only whether the d</w:t>
      </w:r>
      <w:r>
        <w:t xml:space="preserve">ecision made by the </w:t>
      </w:r>
      <w:r w:rsidRPr="00E8671E">
        <w:t>decision maker</w:t>
      </w:r>
      <w:r>
        <w:t xml:space="preserve">, </w:t>
      </w:r>
      <w:r w:rsidRPr="00E8671E">
        <w:t>including both the rationale for the decision and the outcome to which it led</w:t>
      </w:r>
      <w:r>
        <w:t>,</w:t>
      </w:r>
      <w:r w:rsidRPr="00E8671E">
        <w:t xml:space="preserve"> was unreasonable.</w:t>
      </w:r>
    </w:p>
    <w:p w:rsidR="00D667DF" w:rsidRDefault="00D667DF" w:rsidP="00E16941">
      <w:pPr>
        <w:pStyle w:val="SCCNormalDoubleSpacing"/>
        <w:spacing w:after="480"/>
        <w:rPr>
          <w:lang w:val="en"/>
        </w:rPr>
      </w:pPr>
      <w:r>
        <w:lastRenderedPageBreak/>
        <w:tab/>
        <w:t xml:space="preserve">In cases where </w:t>
      </w:r>
      <w:r w:rsidRPr="00E8671E">
        <w:t>reasons are required,</w:t>
      </w:r>
      <w:r>
        <w:t xml:space="preserve"> they are the starting point for reasonableness review, as </w:t>
      </w:r>
      <w:r w:rsidRPr="00E8671E">
        <w:t>they are the primary mechanism by which decision makers show that their decisions are reasonable.</w:t>
      </w:r>
      <w:r>
        <w:t xml:space="preserve"> R</w:t>
      </w:r>
      <w:r w:rsidRPr="00E8671E">
        <w:t>easons are the means by which the decision maker communicates the rationale for its decision</w:t>
      </w:r>
      <w:r>
        <w:t xml:space="preserve">: they </w:t>
      </w:r>
      <w:r w:rsidRPr="00E8671E">
        <w:t>explain how and why a decision was made</w:t>
      </w:r>
      <w:r>
        <w:t xml:space="preserve">, </w:t>
      </w:r>
      <w:r w:rsidRPr="00E8671E">
        <w:t>help to show affected parties that their arguments have been considered and that the decision was made in a fair and lawful manner</w:t>
      </w:r>
      <w:r>
        <w:t xml:space="preserve">, and </w:t>
      </w:r>
      <w:r w:rsidRPr="00E8671E">
        <w:t>shield against arbitrariness</w:t>
      </w:r>
      <w:r>
        <w:t xml:space="preserve">. </w:t>
      </w:r>
      <w:r w:rsidRPr="00E8671E">
        <w:t xml:space="preserve">A principled approach to reasonableness review is </w:t>
      </w:r>
      <w:r>
        <w:t xml:space="preserve">therefore </w:t>
      </w:r>
      <w:r w:rsidRPr="00E8671E">
        <w:t>one which</w:t>
      </w:r>
      <w:r w:rsidRPr="00E8671E">
        <w:rPr>
          <w:i/>
        </w:rPr>
        <w:t xml:space="preserve"> </w:t>
      </w:r>
      <w:r w:rsidRPr="00E8671E">
        <w:t xml:space="preserve">puts those reasons first. </w:t>
      </w:r>
      <w:r>
        <w:t xml:space="preserve">This </w:t>
      </w:r>
      <w:r w:rsidRPr="00E8671E">
        <w:t xml:space="preserve">enables a reviewing court to assess whether the decision as a whole is reasonable. </w:t>
      </w:r>
      <w:r w:rsidRPr="00E8671E">
        <w:rPr>
          <w:lang w:val="en"/>
        </w:rPr>
        <w:t>Attention to the decision maker’s reasons is part of how courts demon</w:t>
      </w:r>
      <w:r w:rsidR="003419D5">
        <w:rPr>
          <w:lang w:val="en"/>
        </w:rPr>
        <w:t>strate respect for the decision</w:t>
      </w:r>
      <w:r w:rsidR="003419D5">
        <w:rPr>
          <w:lang w:val="en"/>
        </w:rPr>
        <w:noBreakHyphen/>
      </w:r>
      <w:r w:rsidRPr="00E8671E">
        <w:rPr>
          <w:lang w:val="en"/>
        </w:rPr>
        <w:t>making process</w:t>
      </w:r>
      <w:r w:rsidR="00F34FA4">
        <w:rPr>
          <w:lang w:val="en"/>
        </w:rPr>
        <w:t>.</w:t>
      </w:r>
    </w:p>
    <w:p w:rsidR="00D667DF" w:rsidRPr="007A2A61" w:rsidRDefault="00D667DF" w:rsidP="00E16941">
      <w:pPr>
        <w:pStyle w:val="SCCNormalDoubleSpacing"/>
        <w:spacing w:after="480"/>
        <w:rPr>
          <w:lang w:val="en"/>
        </w:rPr>
      </w:pPr>
      <w:r>
        <w:rPr>
          <w:lang w:val="en"/>
        </w:rPr>
        <w:tab/>
      </w:r>
      <w:r w:rsidRPr="0046031A">
        <w:t xml:space="preserve">In many cases, formal reasons </w:t>
      </w:r>
      <w:r>
        <w:t xml:space="preserve">for a decision will not </w:t>
      </w:r>
      <w:r w:rsidRPr="0046031A">
        <w:t xml:space="preserve">be given </w:t>
      </w:r>
      <w:r>
        <w:t xml:space="preserve">or required. Even without reasons, it is possible </w:t>
      </w:r>
      <w:r w:rsidRPr="0046031A">
        <w:t xml:space="preserve">for the record and the context to reveal that a decision was made </w:t>
      </w:r>
      <w:r>
        <w:t xml:space="preserve">on the basis of an improper </w:t>
      </w:r>
      <w:r w:rsidRPr="00137F62">
        <w:t>motive</w:t>
      </w:r>
      <w:r>
        <w:t xml:space="preserve"> or for another impermissible reason. </w:t>
      </w:r>
      <w:r w:rsidRPr="0046031A">
        <w:t xml:space="preserve">There will nonetheless be situations in </w:t>
      </w:r>
      <w:r>
        <w:t xml:space="preserve">which </w:t>
      </w:r>
      <w:r w:rsidRPr="0046031A">
        <w:t>neither the record nor the larger context sheds light on the basis for the decision. In such case</w:t>
      </w:r>
      <w:r>
        <w:t>s,</w:t>
      </w:r>
      <w:r w:rsidRPr="0046031A">
        <w:t xml:space="preserve"> the reviewing court must still examine the decision in light of the relevant </w:t>
      </w:r>
      <w:r>
        <w:t xml:space="preserve">factual and legal </w:t>
      </w:r>
      <w:r w:rsidRPr="0046031A">
        <w:t>constraints on the decision maker in order to determine whet</w:t>
      </w:r>
      <w:r w:rsidR="00F34FA4">
        <w:t>her the decision is reasonable.</w:t>
      </w:r>
    </w:p>
    <w:p w:rsidR="00D667DF" w:rsidRPr="005D7488" w:rsidRDefault="00D667DF" w:rsidP="00E16941">
      <w:pPr>
        <w:pStyle w:val="SCCNormalDoubleSpacing"/>
        <w:spacing w:after="480"/>
        <w:rPr>
          <w:lang w:val="en"/>
        </w:rPr>
      </w:pPr>
      <w:r>
        <w:tab/>
        <w:t xml:space="preserve">It is </w:t>
      </w:r>
      <w:r w:rsidRPr="0046031A">
        <w:t>conceptually useful to consider</w:t>
      </w:r>
      <w:r>
        <w:t xml:space="preserve"> </w:t>
      </w:r>
      <w:r w:rsidRPr="0046031A">
        <w:t>two types of fundamental flaws</w:t>
      </w:r>
      <w:r>
        <w:t xml:space="preserve"> that tend to render </w:t>
      </w:r>
      <w:r w:rsidRPr="0046031A">
        <w:t>a decision unreasonable</w:t>
      </w:r>
      <w:r>
        <w:t xml:space="preserve">. </w:t>
      </w:r>
      <w:r w:rsidRPr="0046031A">
        <w:t xml:space="preserve">The first is a failure of rationality internal to the reasoning process. To be reasonable, a decision must be based on </w:t>
      </w:r>
      <w:r>
        <w:t xml:space="preserve">an internally coherent reasoning </w:t>
      </w:r>
      <w:r w:rsidRPr="0046031A">
        <w:t>that is both rational and logical.</w:t>
      </w:r>
      <w:r>
        <w:t xml:space="preserve"> A </w:t>
      </w:r>
      <w:r w:rsidRPr="00137F62">
        <w:t>failure</w:t>
      </w:r>
      <w:r w:rsidRPr="0046031A">
        <w:t xml:space="preserve"> in this respect may lead a reviewing </w:t>
      </w:r>
      <w:r w:rsidRPr="0046031A">
        <w:lastRenderedPageBreak/>
        <w:t>court to conclude that a decision must be set aside. Reas</w:t>
      </w:r>
      <w:r w:rsidR="003419D5">
        <w:t>onableness review is not a line</w:t>
      </w:r>
      <w:r w:rsidR="003419D5">
        <w:noBreakHyphen/>
        <w:t>by</w:t>
      </w:r>
      <w:r w:rsidR="003419D5">
        <w:noBreakHyphen/>
      </w:r>
      <w:r>
        <w:t xml:space="preserve">line treasure hunt for error. </w:t>
      </w:r>
      <w:r w:rsidRPr="0046031A">
        <w:t xml:space="preserve">However, the reviewing court must be able to trace the decision maker’s reasoning without encountering any fatal </w:t>
      </w:r>
      <w:r>
        <w:t>flaws</w:t>
      </w:r>
      <w:r w:rsidRPr="0046031A">
        <w:t xml:space="preserve"> in its overarching logic</w:t>
      </w:r>
      <w:r>
        <w:t xml:space="preserve">. Because </w:t>
      </w:r>
      <w:r w:rsidRPr="0046031A">
        <w:t>formal reasons should be read in light of the record and with due sensitivity to the administrative regime in which they were given, a decision will be unreasonable if the reasons for it, rea</w:t>
      </w:r>
      <w:r>
        <w:t>d holistically, fail to reveal</w:t>
      </w:r>
      <w:r w:rsidRPr="0046031A">
        <w:t xml:space="preserve"> a rational chain of analysis or if they </w:t>
      </w:r>
      <w:r>
        <w:t>reveal</w:t>
      </w:r>
      <w:r w:rsidRPr="0046031A">
        <w:t xml:space="preserve"> that the decision was based on an irrational chain of analysis</w:t>
      </w:r>
      <w:r>
        <w:t xml:space="preserve">. </w:t>
      </w:r>
      <w:r w:rsidRPr="0046031A">
        <w:t xml:space="preserve">A decision will also be unreasonable </w:t>
      </w:r>
      <w:r>
        <w:t xml:space="preserve">where the conclusion reached cannot follow from the analysis undertaken </w:t>
      </w:r>
      <w:r w:rsidRPr="0046031A">
        <w:t>or if the reasons read in conjunction with the record do not make it possible to understand the decision maker’s reasoning</w:t>
      </w:r>
      <w:r>
        <w:t xml:space="preserve"> on a critical point. </w:t>
      </w:r>
      <w:r w:rsidRPr="0046031A">
        <w:t xml:space="preserve">Similarly, the internal rationality of a decision may </w:t>
      </w:r>
      <w:r>
        <w:t>be called</w:t>
      </w:r>
      <w:r w:rsidRPr="0046031A">
        <w:t xml:space="preserve"> into question if the reasons </w:t>
      </w:r>
      <w:r>
        <w:t>exhibit</w:t>
      </w:r>
      <w:r w:rsidRPr="0046031A">
        <w:t xml:space="preserve"> clear logical fallacies.</w:t>
      </w:r>
    </w:p>
    <w:p w:rsidR="00D667DF" w:rsidRDefault="00D667DF" w:rsidP="00E16941">
      <w:pPr>
        <w:pStyle w:val="SCCNormalDoubleSpacing"/>
        <w:spacing w:after="480"/>
      </w:pPr>
      <w:r>
        <w:tab/>
      </w:r>
      <w:r w:rsidRPr="0046031A">
        <w:t xml:space="preserve">The second </w:t>
      </w:r>
      <w:r>
        <w:t xml:space="preserve">type of fundamental flaw </w:t>
      </w:r>
      <w:r w:rsidRPr="0046031A">
        <w:t xml:space="preserve">arises when a decision is in some respect untenable in light of the relevant </w:t>
      </w:r>
      <w:r>
        <w:t xml:space="preserve">factual and legal constraints that bear on it. </w:t>
      </w:r>
      <w:r>
        <w:rPr>
          <w:lang w:val="en"/>
        </w:rPr>
        <w:t xml:space="preserve">Although </w:t>
      </w:r>
      <w:r w:rsidRPr="00E16941">
        <w:t>reasonableness</w:t>
      </w:r>
      <w:r>
        <w:rPr>
          <w:lang w:val="en"/>
        </w:rPr>
        <w:t xml:space="preserve"> is a single standard that already accounts for context, </w:t>
      </w:r>
      <w:r w:rsidRPr="00E8671E">
        <w:t xml:space="preserve">and </w:t>
      </w:r>
      <w:r w:rsidRPr="00E8671E">
        <w:rPr>
          <w:lang w:val="en"/>
        </w:rPr>
        <w:t>elements of a</w:t>
      </w:r>
      <w:r>
        <w:rPr>
          <w:lang w:val="en"/>
        </w:rPr>
        <w:t xml:space="preserve"> decision’s context should</w:t>
      </w:r>
      <w:r w:rsidRPr="00E8671E">
        <w:rPr>
          <w:lang w:val="en"/>
        </w:rPr>
        <w:t xml:space="preserve"> not </w:t>
      </w:r>
      <w:r>
        <w:rPr>
          <w:lang w:val="en"/>
        </w:rPr>
        <w:t>modulate</w:t>
      </w:r>
      <w:r w:rsidRPr="00E8671E">
        <w:rPr>
          <w:lang w:val="en"/>
        </w:rPr>
        <w:t xml:space="preserve"> the standard or the degree of scrutiny by the reviewing court</w:t>
      </w:r>
      <w:r>
        <w:rPr>
          <w:lang w:val="en"/>
        </w:rPr>
        <w:t xml:space="preserve">, </w:t>
      </w:r>
      <w:r>
        <w:t>w</w:t>
      </w:r>
      <w:r w:rsidRPr="00E8671E">
        <w:t xml:space="preserve">hat is reasonable in a given </w:t>
      </w:r>
      <w:r>
        <w:t xml:space="preserve">situation </w:t>
      </w:r>
      <w:r w:rsidRPr="00E8671E">
        <w:t xml:space="preserve">will always depend on the constraints imposed by the legal and factual context of the particular decision under review. These contextual constraints dictate the limits </w:t>
      </w:r>
      <w:r>
        <w:t xml:space="preserve">and contours </w:t>
      </w:r>
      <w:r w:rsidRPr="00E8671E">
        <w:t xml:space="preserve">of the space in which </w:t>
      </w:r>
      <w:r>
        <w:t xml:space="preserve">the </w:t>
      </w:r>
      <w:r w:rsidRPr="00E8671E">
        <w:t xml:space="preserve">decision maker may act and the types of solutions </w:t>
      </w:r>
      <w:r w:rsidRPr="00930F38">
        <w:t>it</w:t>
      </w:r>
      <w:r w:rsidRPr="00E8671E">
        <w:t xml:space="preserve"> may adopt.</w:t>
      </w:r>
      <w:r>
        <w:t xml:space="preserve"> T</w:t>
      </w:r>
      <w:r w:rsidRPr="0046031A">
        <w:t>he governing statutory scheme</w:t>
      </w:r>
      <w:r>
        <w:t>,</w:t>
      </w:r>
      <w:r w:rsidRPr="0046031A">
        <w:t xml:space="preserve"> other relevant statutory or common law</w:t>
      </w:r>
      <w:r>
        <w:t>,</w:t>
      </w:r>
      <w:r w:rsidRPr="0046031A">
        <w:t xml:space="preserve"> the principles of statutory interpretation</w:t>
      </w:r>
      <w:r>
        <w:t>,</w:t>
      </w:r>
      <w:r w:rsidRPr="0046031A">
        <w:t xml:space="preserve"> the evidence before the decision maker and facts of which </w:t>
      </w:r>
      <w:r w:rsidRPr="0046031A">
        <w:lastRenderedPageBreak/>
        <w:t>the decision maker may take notice</w:t>
      </w:r>
      <w:r>
        <w:t>,</w:t>
      </w:r>
      <w:r w:rsidRPr="0046031A">
        <w:t xml:space="preserve"> the submissions of the parties</w:t>
      </w:r>
      <w:r>
        <w:t>,</w:t>
      </w:r>
      <w:r w:rsidRPr="0046031A">
        <w:t xml:space="preserve"> </w:t>
      </w:r>
      <w:r>
        <w:t xml:space="preserve">the </w:t>
      </w:r>
      <w:r w:rsidRPr="0046031A">
        <w:t>past practices and decisions</w:t>
      </w:r>
      <w:r>
        <w:t xml:space="preserve"> of the administrative body,</w:t>
      </w:r>
      <w:r w:rsidRPr="0046031A">
        <w:t xml:space="preserve"> and </w:t>
      </w:r>
      <w:r>
        <w:t>the potential</w:t>
      </w:r>
      <w:r w:rsidRPr="0046031A">
        <w:t xml:space="preserve"> impact of the decision on the individual to </w:t>
      </w:r>
      <w:r>
        <w:t>whom</w:t>
      </w:r>
      <w:r w:rsidRPr="0046031A">
        <w:t xml:space="preserve"> it applies</w:t>
      </w:r>
      <w:r>
        <w:t>, are all elements</w:t>
      </w:r>
      <w:r w:rsidRPr="0046031A">
        <w:t xml:space="preserve"> that will generally be relevant in evaluating whether a given decision is reasonable.</w:t>
      </w:r>
      <w:r>
        <w:t xml:space="preserve"> Such</w:t>
      </w:r>
      <w:r w:rsidRPr="0046031A">
        <w:t xml:space="preserve"> </w:t>
      </w:r>
      <w:r>
        <w:t>elements</w:t>
      </w:r>
      <w:r w:rsidRPr="0046031A">
        <w:t xml:space="preserve"> are not a checklist</w:t>
      </w:r>
      <w:r>
        <w:t xml:space="preserve">; </w:t>
      </w:r>
      <w:r w:rsidRPr="0046031A">
        <w:t>they may vary in significance depending on the context</w:t>
      </w:r>
      <w:r>
        <w:t xml:space="preserve"> and will necessa</w:t>
      </w:r>
      <w:r w:rsidR="00F34FA4">
        <w:t>rily interact with one another.</w:t>
      </w:r>
    </w:p>
    <w:p w:rsidR="00D667DF" w:rsidRDefault="00D667DF" w:rsidP="00E16941">
      <w:pPr>
        <w:pStyle w:val="SCCNormalDoubleSpacing"/>
        <w:spacing w:after="480"/>
        <w:rPr>
          <w:lang w:val="en"/>
        </w:rPr>
      </w:pPr>
      <w:r>
        <w:tab/>
        <w:t>Accordingly, a</w:t>
      </w:r>
      <w:r w:rsidRPr="0046031A">
        <w:t xml:space="preserve"> reviewing court may find that a decision is unreasonable when examined against these contextual considerations.</w:t>
      </w:r>
      <w:r>
        <w:t xml:space="preserve"> </w:t>
      </w:r>
      <w:r w:rsidRPr="0046031A">
        <w:t xml:space="preserve">Because administrative decision makers receive their powers by statute, the governing statutory scheme is likely to be the most salient aspect of the legal context </w:t>
      </w:r>
      <w:r>
        <w:t>relevant to a particular</w:t>
      </w:r>
      <w:r w:rsidRPr="0046031A">
        <w:t xml:space="preserve"> decision.</w:t>
      </w:r>
      <w:r>
        <w:t xml:space="preserve"> A</w:t>
      </w:r>
      <w:r w:rsidRPr="0046031A">
        <w:rPr>
          <w:lang w:val="en"/>
        </w:rPr>
        <w:t xml:space="preserve"> proper application of the reasonableness standard is capable of allaying </w:t>
      </w:r>
      <w:r>
        <w:rPr>
          <w:lang w:val="en"/>
        </w:rPr>
        <w:t>the</w:t>
      </w:r>
      <w:r w:rsidRPr="0046031A">
        <w:rPr>
          <w:lang w:val="en"/>
        </w:rPr>
        <w:t xml:space="preserve"> concern that an administrative decision maker might interpret the scope of its own authority beyond what the legislature intended.</w:t>
      </w:r>
      <w:r>
        <w:rPr>
          <w:lang w:val="en"/>
        </w:rPr>
        <w:t xml:space="preserve"> </w:t>
      </w:r>
      <w:r w:rsidRPr="0046031A">
        <w:rPr>
          <w:lang w:val="en"/>
        </w:rPr>
        <w:t>Whether an interpretation is justified will depend on the context, including the language chosen by the legislature in describing the limits</w:t>
      </w:r>
      <w:r>
        <w:rPr>
          <w:lang w:val="en"/>
        </w:rPr>
        <w:t xml:space="preserve"> and contours</w:t>
      </w:r>
      <w:r w:rsidRPr="0046031A">
        <w:rPr>
          <w:lang w:val="en"/>
        </w:rPr>
        <w:t xml:space="preserve"> of the decision maker’s authority.</w:t>
      </w:r>
    </w:p>
    <w:p w:rsidR="00D667DF" w:rsidRDefault="00D667DF" w:rsidP="00E16941">
      <w:pPr>
        <w:pStyle w:val="SCCNormalDoubleSpacing"/>
        <w:spacing w:after="480"/>
        <w:rPr>
          <w:lang w:val="en"/>
        </w:rPr>
      </w:pPr>
      <w:r>
        <w:rPr>
          <w:lang w:val="en"/>
        </w:rPr>
        <w:tab/>
      </w:r>
      <w:r>
        <w:t>B</w:t>
      </w:r>
      <w:r w:rsidRPr="0046031A">
        <w:t xml:space="preserve">oth statutory and common law will </w:t>
      </w:r>
      <w:r>
        <w:t xml:space="preserve">also </w:t>
      </w:r>
      <w:r w:rsidRPr="0046031A">
        <w:t>impose constraints on how and what an administrative decision maker can lawfully decide</w:t>
      </w:r>
      <w:r>
        <w:t xml:space="preserve">. </w:t>
      </w:r>
      <w:r w:rsidRPr="0046031A">
        <w:t>Any precedents on the issue before the administrative decision maker or on a similar issue</w:t>
      </w:r>
      <w:r>
        <w:t xml:space="preserve">, as well as international law </w:t>
      </w:r>
      <w:r w:rsidRPr="0046031A">
        <w:rPr>
          <w:lang w:val="en"/>
        </w:rPr>
        <w:t xml:space="preserve">in some </w:t>
      </w:r>
      <w:r w:rsidR="002145B7">
        <w:rPr>
          <w:lang w:val="en"/>
        </w:rPr>
        <w:t xml:space="preserve">administrative decision </w:t>
      </w:r>
      <w:r>
        <w:rPr>
          <w:lang w:val="en"/>
        </w:rPr>
        <w:t xml:space="preserve">making </w:t>
      </w:r>
      <w:r w:rsidRPr="0046031A">
        <w:rPr>
          <w:lang w:val="en"/>
        </w:rPr>
        <w:t>cont</w:t>
      </w:r>
      <w:r>
        <w:rPr>
          <w:lang w:val="en"/>
        </w:rPr>
        <w:t xml:space="preserve">exts, </w:t>
      </w:r>
      <w:r w:rsidRPr="0046031A">
        <w:t>will act as a constraint on what the decision maker can reasonably decide.</w:t>
      </w:r>
      <w:r>
        <w:t xml:space="preserve"> </w:t>
      </w:r>
      <w:r>
        <w:rPr>
          <w:lang w:val="en"/>
        </w:rPr>
        <w:t>W</w:t>
      </w:r>
      <w:r w:rsidRPr="0046031A">
        <w:rPr>
          <w:lang w:val="en"/>
        </w:rPr>
        <w:t xml:space="preserve">hether an administrative decision maker </w:t>
      </w:r>
      <w:r w:rsidRPr="0046031A">
        <w:rPr>
          <w:lang w:val="en"/>
        </w:rPr>
        <w:lastRenderedPageBreak/>
        <w:t>has acted reasonably in adapting a legal or equitable doc</w:t>
      </w:r>
      <w:r w:rsidR="003419D5">
        <w:rPr>
          <w:lang w:val="en"/>
        </w:rPr>
        <w:t>trine involves a highly context</w:t>
      </w:r>
      <w:r w:rsidR="003419D5">
        <w:rPr>
          <w:lang w:val="en"/>
        </w:rPr>
        <w:noBreakHyphen/>
      </w:r>
      <w:r w:rsidRPr="0046031A">
        <w:rPr>
          <w:lang w:val="en"/>
        </w:rPr>
        <w:t>specific determination.</w:t>
      </w:r>
    </w:p>
    <w:p w:rsidR="00D667DF" w:rsidRDefault="00D667DF" w:rsidP="00E16941">
      <w:pPr>
        <w:pStyle w:val="SCCNormalDoubleSpacing"/>
        <w:spacing w:after="480"/>
      </w:pPr>
      <w:r>
        <w:rPr>
          <w:lang w:val="en"/>
        </w:rPr>
        <w:tab/>
      </w:r>
      <w:r>
        <w:t>Matters of statutory interpretation are not treated uniquely and, as with other</w:t>
      </w:r>
      <w:r w:rsidRPr="0046031A">
        <w:t xml:space="preserve"> questions of law, may be evaluated </w:t>
      </w:r>
      <w:r>
        <w:t>on a</w:t>
      </w:r>
      <w:r w:rsidRPr="0046031A">
        <w:t xml:space="preserve"> reasonableness standard.</w:t>
      </w:r>
      <w:r>
        <w:t xml:space="preserve"> W</w:t>
      </w:r>
      <w:r w:rsidRPr="0046031A">
        <w:t xml:space="preserve">here </w:t>
      </w:r>
      <w:r>
        <w:t xml:space="preserve">this </w:t>
      </w:r>
      <w:r w:rsidRPr="0046031A">
        <w:t xml:space="preserve">is the applicable standard, the reviewing court does not undertake a </w:t>
      </w:r>
      <w:r w:rsidRPr="0046031A">
        <w:rPr>
          <w:i/>
        </w:rPr>
        <w:t xml:space="preserve">de novo </w:t>
      </w:r>
      <w:r w:rsidRPr="0046031A">
        <w:t>analysis of the question or</w:t>
      </w:r>
      <w:r>
        <w:t xml:space="preserve"> </w:t>
      </w:r>
      <w:r w:rsidRPr="0046031A">
        <w:t>ask itself what the correct decision would have been</w:t>
      </w:r>
      <w:r>
        <w:t>. But a</w:t>
      </w:r>
      <w:r w:rsidRPr="0046031A">
        <w:t>n approach to reasonableness review that respects legislative intent must assume that those who interpret the law</w:t>
      </w:r>
      <w:r>
        <w:t>,</w:t>
      </w:r>
      <w:r w:rsidRPr="0046031A">
        <w:t xml:space="preserve"> whether courts or administrative decision makers</w:t>
      </w:r>
      <w:r>
        <w:t>,</w:t>
      </w:r>
      <w:r w:rsidRPr="0046031A">
        <w:t xml:space="preserve"> will do so in a manner consistent with</w:t>
      </w:r>
      <w:r>
        <w:t xml:space="preserve"> </w:t>
      </w:r>
      <w:r w:rsidRPr="0046031A">
        <w:t>the modern principle of statutory interpretation</w:t>
      </w:r>
      <w:r>
        <w:t>. A</w:t>
      </w:r>
      <w:r w:rsidRPr="0046031A">
        <w:t>dministrative decision makers are not required to engage in a formalistic statutory interpretation exercise in every case.</w:t>
      </w:r>
      <w:r>
        <w:t xml:space="preserve"> </w:t>
      </w:r>
      <w:r w:rsidRPr="0046031A">
        <w:t xml:space="preserve">But whatever form the interpretive exercise takes, the </w:t>
      </w:r>
      <w:r>
        <w:t xml:space="preserve">merits </w:t>
      </w:r>
      <w:r w:rsidRPr="0046031A">
        <w:t>of an administrative decision maker’s interpretation of a statutory provision must be consistent with the text, contex</w:t>
      </w:r>
      <w:r w:rsidR="00F34FA4">
        <w:t>t and purpose of the provision.</w:t>
      </w:r>
    </w:p>
    <w:p w:rsidR="00D667DF" w:rsidRDefault="00D667DF" w:rsidP="00E16941">
      <w:pPr>
        <w:pStyle w:val="SCCNormalDoubleSpacing"/>
        <w:spacing w:after="480"/>
      </w:pPr>
      <w:r>
        <w:tab/>
        <w:t>Furthermore, t</w:t>
      </w:r>
      <w:r w:rsidRPr="0046031A">
        <w:t>he decision maker must take the evidentiary record and the general factual matrix that bears on its decision into account, and its decision must be reasonable in light of them</w:t>
      </w:r>
      <w:r>
        <w:t xml:space="preserve">. </w:t>
      </w:r>
      <w:r w:rsidRPr="0046031A">
        <w:t xml:space="preserve">The reasonableness of a decision may be </w:t>
      </w:r>
      <w:r>
        <w:t>jeopardized where</w:t>
      </w:r>
      <w:r w:rsidRPr="0046031A">
        <w:t xml:space="preserve"> the decision maker has fundamentally misapprehended or failed to account for the evidence before it.</w:t>
      </w:r>
      <w:r>
        <w:t xml:space="preserve"> The </w:t>
      </w:r>
      <w:r w:rsidRPr="0046031A">
        <w:t xml:space="preserve">reasons </w:t>
      </w:r>
      <w:r>
        <w:t xml:space="preserve">must also </w:t>
      </w:r>
      <w:r w:rsidRPr="0046031A">
        <w:t>meaningfully account for the central issues and concerns raised by the parties</w:t>
      </w:r>
      <w:r>
        <w:t>, even t</w:t>
      </w:r>
      <w:r w:rsidR="001655F8">
        <w:t>h</w:t>
      </w:r>
      <w:r>
        <w:t>ough r</w:t>
      </w:r>
      <w:r w:rsidRPr="0046031A">
        <w:t>eviewing courts cannot expect administrative decision makers to respond to every argument or line of possible analysis</w:t>
      </w:r>
      <w:r>
        <w:t>.</w:t>
      </w:r>
    </w:p>
    <w:p w:rsidR="00D667DF" w:rsidRDefault="00D667DF" w:rsidP="00E16941">
      <w:pPr>
        <w:pStyle w:val="SCCNormalDoubleSpacing"/>
        <w:spacing w:after="480"/>
      </w:pPr>
      <w:r>
        <w:lastRenderedPageBreak/>
        <w:tab/>
        <w:t>While a</w:t>
      </w:r>
      <w:r w:rsidRPr="0046031A">
        <w:t>dministrative decision makers are not bound by their previous decisions</w:t>
      </w:r>
      <w:r>
        <w:t xml:space="preserve">, they </w:t>
      </w:r>
      <w:r w:rsidRPr="0046031A">
        <w:t>must be concerned with the general consistency of administrative decisions.</w:t>
      </w:r>
      <w:r>
        <w:t xml:space="preserve"> Therefore, w</w:t>
      </w:r>
      <w:r w:rsidRPr="0046031A">
        <w:t xml:space="preserve">hether a particular decision is consistent with the administrative body’s past decisions is also a </w:t>
      </w:r>
      <w:r>
        <w:t>constraint</w:t>
      </w:r>
      <w:r w:rsidRPr="0046031A">
        <w:t xml:space="preserve"> that the reviewing court should consider when determining whether an administrative decision is reasonable.</w:t>
      </w:r>
      <w:r>
        <w:t xml:space="preserve"> Finally, </w:t>
      </w:r>
      <w:r w:rsidRPr="0046031A">
        <w:t>individuals are entitled to greater procedural protection when the decision in question involves the potential for significant personal impact or harm</w:t>
      </w:r>
      <w:r>
        <w:t xml:space="preserve">. </w:t>
      </w:r>
      <w:r w:rsidRPr="0046031A">
        <w:t>Where the impact of a decision on an individual’s rights and interes</w:t>
      </w:r>
      <w:r>
        <w:t>ts is severe, the reasons provided</w:t>
      </w:r>
      <w:r w:rsidRPr="0046031A">
        <w:t xml:space="preserve"> to that individual must reflect the stakes. The principle of responsive justification means that if a decision has particularly </w:t>
      </w:r>
      <w:r>
        <w:t>harsh</w:t>
      </w:r>
      <w:r w:rsidRPr="0046031A">
        <w:t xml:space="preserve"> consequences for the affected individual, the decision maker must explain why its decision best reflects the legis</w:t>
      </w:r>
      <w:r>
        <w:t>lature’s intention.</w:t>
      </w:r>
    </w:p>
    <w:p w:rsidR="00D667DF" w:rsidRPr="001C40CC" w:rsidRDefault="00D667DF" w:rsidP="00E16941">
      <w:pPr>
        <w:pStyle w:val="SCCNormalDoubleSpacing"/>
        <w:spacing w:after="480"/>
      </w:pPr>
      <w:r>
        <w:tab/>
        <w:t>The question of the appropriate remedy — specifically, whether a court that quashes an unreasonable decision should exercise its discretion to remit the matter to the decision maker for reconsideration with the benefit of</w:t>
      </w:r>
      <w:r w:rsidR="003419D5">
        <w:t xml:space="preserve"> the court’s reasons — is multi</w:t>
      </w:r>
      <w:r w:rsidR="003419D5">
        <w:noBreakHyphen/>
      </w:r>
      <w:r>
        <w:t>faceted. T</w:t>
      </w:r>
      <w:r w:rsidRPr="0046031A">
        <w:t xml:space="preserve">he choice of remedy must be guided by the rationale for applying </w:t>
      </w:r>
      <w:r>
        <w:t>the reasonableness</w:t>
      </w:r>
      <w:r w:rsidRPr="0046031A">
        <w:t xml:space="preserve"> standard to begin with, including the recognition by the reviewing court that the legislature has entrusted the matter to the administrative decision maker, and not to the court</w:t>
      </w:r>
      <w:r>
        <w:t xml:space="preserve">, </w:t>
      </w:r>
      <w:r w:rsidRPr="0046031A">
        <w:t xml:space="preserve">concerns related to the proper administration of the justice system, the need to ensure access to justice and </w:t>
      </w:r>
      <w:r w:rsidR="003419D5">
        <w:rPr>
          <w:lang w:val="en"/>
        </w:rPr>
        <w:t>the goal of expedient and cost</w:t>
      </w:r>
      <w:r w:rsidR="003419D5">
        <w:rPr>
          <w:lang w:val="en"/>
        </w:rPr>
        <w:noBreakHyphen/>
      </w:r>
      <w:r w:rsidRPr="0046031A">
        <w:rPr>
          <w:lang w:val="en"/>
        </w:rPr>
        <w:t>efficient decision making</w:t>
      </w:r>
      <w:r>
        <w:rPr>
          <w:lang w:val="en"/>
        </w:rPr>
        <w:t xml:space="preserve">. </w:t>
      </w:r>
      <w:r w:rsidRPr="0046031A">
        <w:t xml:space="preserve">Giving effect to these principles in the remedial context means that where a decision reviewed by applying the reasonableness standard cannot be upheld, it will most often be appropriate to remit the matter to the decision maker for reconsideration </w:t>
      </w:r>
      <w:r w:rsidRPr="0046031A">
        <w:lastRenderedPageBreak/>
        <w:t>with the benefit of the court’s reasons</w:t>
      </w:r>
      <w:r>
        <w:t xml:space="preserve">. </w:t>
      </w:r>
      <w:r w:rsidRPr="0046031A">
        <w:t xml:space="preserve">However, there are limited scenarios in which remitting the matter would </w:t>
      </w:r>
      <w:r>
        <w:t>stymie the</w:t>
      </w:r>
      <w:r w:rsidRPr="0046031A">
        <w:t xml:space="preserve"> timely and effective resolution </w:t>
      </w:r>
      <w:r>
        <w:t xml:space="preserve">of matters </w:t>
      </w:r>
      <w:r w:rsidRPr="0046031A">
        <w:t xml:space="preserve">in a manner that no legislature could have intended. An intention that the administrative decision maker decide the </w:t>
      </w:r>
      <w:r>
        <w:t>matter at first instance</w:t>
      </w:r>
      <w:r w:rsidRPr="0046031A">
        <w:t xml:space="preserve"> cannot give rise to endless judicial reviews and subsequent reconsiderations. Declining to remit a matter to the decision maker may be appropriate where it becomes evident that a particular outcome is inevitable and that remitting the case would therefore serve no useful purpose</w:t>
      </w:r>
      <w:r>
        <w:t xml:space="preserve">. </w:t>
      </w:r>
      <w:r w:rsidRPr="0046031A">
        <w:t xml:space="preserve">Elements like concern for delay, fairness to the parties, urgency </w:t>
      </w:r>
      <w:r>
        <w:t>of</w:t>
      </w:r>
      <w:r w:rsidRPr="0046031A">
        <w:t xml:space="preserve"> providing a resolution to the dispute, the nature of the particular regulatory regime, whether the </w:t>
      </w:r>
      <w:r>
        <w:t xml:space="preserve">administrative </w:t>
      </w:r>
      <w:r w:rsidRPr="0046031A">
        <w:t>decision maker had a genuine opportunity to weigh in on the issue in question, costs to the parties, and efficient use of public resources may also influence the exercise of a cour</w:t>
      </w:r>
      <w:r>
        <w:t>t’s discretion to remit the matter.</w:t>
      </w:r>
    </w:p>
    <w:p w:rsidR="00D667DF" w:rsidRDefault="00D667DF" w:rsidP="00D667DF">
      <w:pPr>
        <w:pStyle w:val="SCCNormalDoubleSpacing"/>
        <w:spacing w:after="480"/>
      </w:pPr>
      <w:r>
        <w:tab/>
        <w:t>In the case at bar, t</w:t>
      </w:r>
      <w:r w:rsidRPr="00E8671E">
        <w:t xml:space="preserve">here is </w:t>
      </w:r>
      <w:r>
        <w:t>no basis for departing from the</w:t>
      </w:r>
      <w:r w:rsidRPr="00E8671E">
        <w:t xml:space="preserve"> presumption </w:t>
      </w:r>
      <w:r>
        <w:t>of reasonableness review</w:t>
      </w:r>
      <w:r w:rsidRPr="00E8671E">
        <w:t>.</w:t>
      </w:r>
      <w:r>
        <w:t xml:space="preserve"> </w:t>
      </w:r>
      <w:r w:rsidRPr="00E8671E">
        <w:t>The Registrar’s decision has come before the courts by way of judicial review, not by way of a statutory appeal. Given that Parliament has not prescribed the standard to be applied, there is no indication that the legislature intended a standard</w:t>
      </w:r>
      <w:r>
        <w:t xml:space="preserve"> of review</w:t>
      </w:r>
      <w:r w:rsidRPr="00E8671E">
        <w:t xml:space="preserve"> other than reasonableness. The Registrar’s decision does not give rise to any constitutional questions, </w:t>
      </w:r>
      <w:r>
        <w:t xml:space="preserve">general </w:t>
      </w:r>
      <w:r w:rsidRPr="00E8671E">
        <w:t xml:space="preserve">questions </w:t>
      </w:r>
      <w:r>
        <w:t xml:space="preserve">of law </w:t>
      </w:r>
      <w:r w:rsidRPr="00E8671E">
        <w:t xml:space="preserve">of central importance to the legal system as a whole or questions regarding the jurisdictional boundaries between administrative bodies. As a result, the standard to be applied in reviewing the </w:t>
      </w:r>
      <w:r>
        <w:t xml:space="preserve">Registrar’s </w:t>
      </w:r>
      <w:r w:rsidRPr="00E8671E">
        <w:t>decision is reasonableness.</w:t>
      </w:r>
    </w:p>
    <w:p w:rsidR="00D667DF" w:rsidRDefault="00D667DF" w:rsidP="00D667DF">
      <w:pPr>
        <w:pStyle w:val="SCCNormalDoubleSpacing"/>
        <w:spacing w:after="480"/>
      </w:pPr>
      <w:r>
        <w:lastRenderedPageBreak/>
        <w:tab/>
        <w:t>T</w:t>
      </w:r>
      <w:r w:rsidRPr="00E8671E">
        <w:t>he Registrar’s decision was unreasonable.</w:t>
      </w:r>
      <w:r>
        <w:t xml:space="preserve"> She</w:t>
      </w:r>
      <w:r w:rsidRPr="00E8671E">
        <w:t xml:space="preserve"> failed to justify her interpretation of </w:t>
      </w:r>
      <w:r w:rsidR="00F34FA4">
        <w:t>s. </w:t>
      </w:r>
      <w:r w:rsidRPr="00E8671E">
        <w:t xml:space="preserve">3(2)(a) in light of the constraints imposed by s. 3 considered as a whole, </w:t>
      </w:r>
      <w:r w:rsidRPr="001F3E61">
        <w:t>by</w:t>
      </w:r>
      <w:r>
        <w:t xml:space="preserve"> </w:t>
      </w:r>
      <w:r w:rsidRPr="00E8671E">
        <w:t xml:space="preserve">international treaties that inform </w:t>
      </w:r>
      <w:r>
        <w:t>its</w:t>
      </w:r>
      <w:r w:rsidRPr="00E8671E">
        <w:t xml:space="preserve"> purpose, </w:t>
      </w:r>
      <w:r w:rsidRPr="001F3E61">
        <w:t>by</w:t>
      </w:r>
      <w:r>
        <w:t xml:space="preserve"> </w:t>
      </w:r>
      <w:r w:rsidRPr="00E8671E">
        <w:t xml:space="preserve">the jurisprudence on the interpretation of s. 3(2)(a), and by the </w:t>
      </w:r>
      <w:r>
        <w:t>potential</w:t>
      </w:r>
      <w:r w:rsidRPr="00E8671E">
        <w:t xml:space="preserve"> consequences of </w:t>
      </w:r>
      <w:r>
        <w:t xml:space="preserve">her </w:t>
      </w:r>
      <w:r w:rsidRPr="00E8671E">
        <w:t xml:space="preserve">interpretation. Each of these </w:t>
      </w:r>
      <w:r>
        <w:t>elements</w:t>
      </w:r>
      <w:r w:rsidRPr="00E8671E">
        <w:t xml:space="preserve"> — viewed individually and cumulatively — strongly supports the conclusion that s. 3(2)(a) was not intended to apply to children of foreign government representatives or employees who have not been granted diplomatic privileges and immunities. Though </w:t>
      </w:r>
      <w:r>
        <w:t>V</w:t>
      </w:r>
      <w:r w:rsidRPr="00E8671E">
        <w:t xml:space="preserve"> </w:t>
      </w:r>
      <w:r>
        <w:t xml:space="preserve">had </w:t>
      </w:r>
      <w:r w:rsidRPr="00E8671E">
        <w:t xml:space="preserve">raised many of these considerations, the Registrar failed to address those submissions in her reasons and did not do more than conduct a cursory review of </w:t>
      </w:r>
      <w:r>
        <w:t>the</w:t>
      </w:r>
      <w:r w:rsidRPr="00E8671E">
        <w:t xml:space="preserve"> legislative history </w:t>
      </w:r>
      <w:r w:rsidR="00F34FA4">
        <w:t>of s. </w:t>
      </w:r>
      <w:r>
        <w:t xml:space="preserve">3(2)(a) </w:t>
      </w:r>
      <w:r w:rsidRPr="00E8671E">
        <w:t xml:space="preserve">and conclude that </w:t>
      </w:r>
      <w:r>
        <w:t>her interpretation</w:t>
      </w:r>
      <w:r w:rsidRPr="00E8671E">
        <w:t xml:space="preserve"> was not explicitly precluded by </w:t>
      </w:r>
      <w:r>
        <w:t>its</w:t>
      </w:r>
      <w:r w:rsidRPr="00E8671E">
        <w:t xml:space="preserve"> </w:t>
      </w:r>
      <w:r>
        <w:t>text</w:t>
      </w:r>
      <w:r w:rsidRPr="00E8671E">
        <w:t>.</w:t>
      </w:r>
    </w:p>
    <w:p w:rsidR="00D667DF" w:rsidRDefault="00D667DF" w:rsidP="00D667DF">
      <w:pPr>
        <w:pStyle w:val="SCCNormalDoubleSpacing"/>
        <w:spacing w:after="480"/>
      </w:pPr>
      <w:r>
        <w:tab/>
        <w:t>First, t</w:t>
      </w:r>
      <w:r w:rsidRPr="00E8671E">
        <w:t>he Registrar failed to address the im</w:t>
      </w:r>
      <w:r w:rsidR="00F34FA4">
        <w:t>mediate statutory context of s. </w:t>
      </w:r>
      <w:r w:rsidRPr="00E8671E">
        <w:t xml:space="preserve">3(2)(a), </w:t>
      </w:r>
      <w:r>
        <w:t xml:space="preserve">which </w:t>
      </w:r>
      <w:r w:rsidRPr="00E8671E">
        <w:t xml:space="preserve">provides clear support for the conclusion that </w:t>
      </w:r>
      <w:r w:rsidRPr="00312E5A">
        <w:t>all</w:t>
      </w:r>
      <w:r w:rsidRPr="00E8671E">
        <w:rPr>
          <w:i/>
        </w:rPr>
        <w:t xml:space="preserve"> </w:t>
      </w:r>
      <w:r w:rsidRPr="00E8671E">
        <w:t>of</w:t>
      </w:r>
      <w:r w:rsidR="00F34FA4">
        <w:t xml:space="preserve"> the persons contemplated by s. </w:t>
      </w:r>
      <w:r w:rsidRPr="00E8671E">
        <w:t xml:space="preserve">3(2)(a) must have been granted </w:t>
      </w:r>
      <w:r w:rsidRPr="00E8671E">
        <w:rPr>
          <w:lang w:bidi="en-US"/>
        </w:rPr>
        <w:t>diplomatic privileges and immunities in some form</w:t>
      </w:r>
      <w:r>
        <w:rPr>
          <w:lang w:bidi="en-US"/>
        </w:rPr>
        <w:t xml:space="preserve"> for the exception to apply</w:t>
      </w:r>
      <w:r w:rsidRPr="00E8671E">
        <w:rPr>
          <w:lang w:bidi="en-US"/>
        </w:rPr>
        <w:t>.</w:t>
      </w:r>
      <w:r>
        <w:rPr>
          <w:lang w:bidi="en-US"/>
        </w:rPr>
        <w:t xml:space="preserve"> </w:t>
      </w:r>
      <w:r>
        <w:t xml:space="preserve">Second, the Registrar disregarded </w:t>
      </w:r>
      <w:r w:rsidRPr="00E8671E">
        <w:t xml:space="preserve">compelling </w:t>
      </w:r>
      <w:r>
        <w:t>submissions</w:t>
      </w:r>
      <w:r w:rsidR="00F34FA4">
        <w:t xml:space="preserve"> that s. </w:t>
      </w:r>
      <w:r w:rsidRPr="00E8671E">
        <w:t xml:space="preserve">3(2) </w:t>
      </w:r>
      <w:r>
        <w:t>is</w:t>
      </w:r>
      <w:r w:rsidRPr="00E8671E">
        <w:t xml:space="preserve"> a narrow exception consistent with established pri</w:t>
      </w:r>
      <w:r>
        <w:t>nciples of international law</w:t>
      </w:r>
      <w:r w:rsidRPr="00E8671E">
        <w:t xml:space="preserve"> </w:t>
      </w:r>
      <w:r>
        <w:t xml:space="preserve">and with the leading international treaties that extend diplomatic </w:t>
      </w:r>
      <w:r w:rsidRPr="00E8671E">
        <w:t>privileges and immunities to employees and representatives of foreign governments.</w:t>
      </w:r>
      <w:r>
        <w:t xml:space="preserve"> Third, i</w:t>
      </w:r>
      <w:r w:rsidRPr="00E8671E">
        <w:t>t was</w:t>
      </w:r>
      <w:r>
        <w:t xml:space="preserve"> </w:t>
      </w:r>
      <w:r w:rsidRPr="00E8671E">
        <w:t xml:space="preserve">a significant omission to </w:t>
      </w:r>
      <w:r>
        <w:t>ignore</w:t>
      </w:r>
      <w:r w:rsidRPr="00E8671E">
        <w:t xml:space="preserve"> the </w:t>
      </w:r>
      <w:r>
        <w:t>relevant</w:t>
      </w:r>
      <w:r w:rsidRPr="00E8671E">
        <w:t xml:space="preserve"> cases </w:t>
      </w:r>
      <w:r>
        <w:t xml:space="preserve">that were before the Registrar which suggest </w:t>
      </w:r>
      <w:r w:rsidR="00F34FA4">
        <w:t>that s. </w:t>
      </w:r>
      <w:r w:rsidRPr="00E8671E">
        <w:t xml:space="preserve">3(2)(a) was intended to apply only to those </w:t>
      </w:r>
      <w:r>
        <w:t>i</w:t>
      </w:r>
      <w:r w:rsidRPr="002F57BA">
        <w:t>ndividuals</w:t>
      </w:r>
      <w:r>
        <w:t xml:space="preserve"> </w:t>
      </w:r>
      <w:r w:rsidRPr="00E8671E">
        <w:t>whose parents have been granted diplomatic privileges</w:t>
      </w:r>
      <w:r>
        <w:t xml:space="preserve"> and immunities</w:t>
      </w:r>
      <w:r w:rsidRPr="00E8671E">
        <w:t>.</w:t>
      </w:r>
      <w:r>
        <w:t xml:space="preserve"> Finally</w:t>
      </w:r>
      <w:r w:rsidRPr="00E8671E">
        <w:t xml:space="preserve">, there is no evidence that the Registrar considered the </w:t>
      </w:r>
      <w:r>
        <w:t>potential</w:t>
      </w:r>
      <w:r w:rsidRPr="00E8671E">
        <w:t xml:space="preserve"> consequences </w:t>
      </w:r>
      <w:r w:rsidRPr="00E8671E">
        <w:lastRenderedPageBreak/>
        <w:t>of expanding her</w:t>
      </w:r>
      <w:r w:rsidRPr="00E8671E">
        <w:rPr>
          <w:lang w:bidi="en-US"/>
        </w:rPr>
        <w:t xml:space="preserve"> </w:t>
      </w:r>
      <w:r w:rsidRPr="00E8671E">
        <w:t xml:space="preserve">interpretation of </w:t>
      </w:r>
      <w:r w:rsidR="00F34FA4">
        <w:t>s. </w:t>
      </w:r>
      <w:r w:rsidRPr="00E8671E">
        <w:t>3(2</w:t>
      </w:r>
      <w:proofErr w:type="gramStart"/>
      <w:r w:rsidRPr="00E8671E">
        <w:t>)(</w:t>
      </w:r>
      <w:proofErr w:type="gramEnd"/>
      <w:r w:rsidRPr="00E8671E">
        <w:t xml:space="preserve">a) to include </w:t>
      </w:r>
      <w:r>
        <w:t xml:space="preserve">all </w:t>
      </w:r>
      <w:r w:rsidRPr="00E8671E">
        <w:t>individuals who have not been granted diplomatic privileges and immunities.</w:t>
      </w:r>
      <w:r>
        <w:t xml:space="preserve"> R</w:t>
      </w:r>
      <w:r w:rsidRPr="00E8671E">
        <w:t xml:space="preserve">ules concerning citizenship require </w:t>
      </w:r>
      <w:r w:rsidRPr="002F57BA">
        <w:t>a</w:t>
      </w:r>
      <w:r>
        <w:t xml:space="preserve"> high degree of</w:t>
      </w:r>
      <w:r w:rsidRPr="00E8671E">
        <w:t xml:space="preserve"> interpretive consistency in order to shield against arbitrariness. The Registrar’s interpretation </w:t>
      </w:r>
      <w:r>
        <w:t>cannot be</w:t>
      </w:r>
      <w:r w:rsidRPr="00E8671E">
        <w:t xml:space="preserve"> limit</w:t>
      </w:r>
      <w:r>
        <w:t>ed</w:t>
      </w:r>
      <w:r w:rsidRPr="00E8671E">
        <w:t xml:space="preserve"> to the children of spies — its logic would be equally applicable to other scenarios. </w:t>
      </w:r>
      <w:r>
        <w:t>As well, p</w:t>
      </w:r>
      <w:r w:rsidR="00F34FA4">
        <w:t>rovisions such as s. </w:t>
      </w:r>
      <w:r w:rsidRPr="00E8671E">
        <w:t>3(2</w:t>
      </w:r>
      <w:proofErr w:type="gramStart"/>
      <w:r w:rsidRPr="00E8671E">
        <w:t>)(</w:t>
      </w:r>
      <w:proofErr w:type="gramEnd"/>
      <w:r w:rsidRPr="00E8671E">
        <w:t xml:space="preserve">a) must be given a narrow interpretation because they </w:t>
      </w:r>
      <w:r>
        <w:t xml:space="preserve">potentially take away </w:t>
      </w:r>
      <w:r w:rsidRPr="00E8671E">
        <w:t xml:space="preserve">rights which otherwise benefit from a liberal </w:t>
      </w:r>
      <w:r>
        <w:t xml:space="preserve">and broad </w:t>
      </w:r>
      <w:r w:rsidRPr="00E8671E">
        <w:t xml:space="preserve">interpretation. Yet there is no indication that the Registrar considered the </w:t>
      </w:r>
      <w:r>
        <w:t>potential harsh</w:t>
      </w:r>
      <w:r w:rsidRPr="00E8671E">
        <w:t xml:space="preserve"> consequences of her interpretation, </w:t>
      </w:r>
      <w:r>
        <w:t xml:space="preserve">or </w:t>
      </w:r>
      <w:r w:rsidRPr="00E8671E">
        <w:t>whether</w:t>
      </w:r>
      <w:r>
        <w:t xml:space="preserve">, </w:t>
      </w:r>
      <w:r w:rsidRPr="0046031A">
        <w:t xml:space="preserve">in light of those </w:t>
      </w:r>
      <w:r>
        <w:t>potential</w:t>
      </w:r>
      <w:r w:rsidRPr="0046031A">
        <w:t xml:space="preserve"> consequences</w:t>
      </w:r>
      <w:r>
        <w:t>,</w:t>
      </w:r>
      <w:r w:rsidRPr="00E8671E">
        <w:t xml:space="preserve"> Parliament would have intended </w:t>
      </w:r>
      <w:r w:rsidR="00F34FA4">
        <w:t>s. </w:t>
      </w:r>
      <w:r w:rsidRPr="00E8671E">
        <w:t>3(2</w:t>
      </w:r>
      <w:proofErr w:type="gramStart"/>
      <w:r w:rsidRPr="00E8671E">
        <w:t>)(</w:t>
      </w:r>
      <w:proofErr w:type="gramEnd"/>
      <w:r w:rsidRPr="00E8671E">
        <w:t>a) to apply in this manner.</w:t>
      </w:r>
      <w:r>
        <w:t xml:space="preserve"> Although the Registrar knew her </w:t>
      </w:r>
      <w:r w:rsidRPr="00E8671E">
        <w:t>interpretation</w:t>
      </w:r>
      <w:r>
        <w:t xml:space="preserve"> was novel</w:t>
      </w:r>
      <w:r w:rsidRPr="00E8671E">
        <w:t xml:space="preserve">, she failed to provide a rationale for </w:t>
      </w:r>
      <w:r>
        <w:t>her expanded</w:t>
      </w:r>
      <w:r w:rsidRPr="00E8671E">
        <w:t xml:space="preserve"> interpretation.</w:t>
      </w:r>
    </w:p>
    <w:p w:rsidR="00D667DF" w:rsidRDefault="00D667DF" w:rsidP="00D667DF">
      <w:pPr>
        <w:pStyle w:val="SCCNormalDoubleSpacing"/>
        <w:spacing w:after="480"/>
        <w:rPr>
          <w:lang w:val="en-US"/>
        </w:rPr>
      </w:pPr>
      <w:r>
        <w:tab/>
        <w:t>I</w:t>
      </w:r>
      <w:r w:rsidRPr="00E8671E">
        <w:t xml:space="preserve">t was </w:t>
      </w:r>
      <w:r>
        <w:t xml:space="preserve">therefore </w:t>
      </w:r>
      <w:r w:rsidRPr="00E8671E">
        <w:t xml:space="preserve">unreasonable for </w:t>
      </w:r>
      <w:r>
        <w:t>the Registrar</w:t>
      </w:r>
      <w:r w:rsidRPr="00E8671E">
        <w:t xml:space="preserve"> to </w:t>
      </w:r>
      <w:r>
        <w:t>find</w:t>
      </w:r>
      <w:r w:rsidRPr="00E8671E">
        <w:t xml:space="preserve"> that </w:t>
      </w:r>
      <w:r w:rsidR="00F34FA4">
        <w:t>s. </w:t>
      </w:r>
      <w:r>
        <w:t>3(2</w:t>
      </w:r>
      <w:proofErr w:type="gramStart"/>
      <w:r>
        <w:t>)(</w:t>
      </w:r>
      <w:proofErr w:type="gramEnd"/>
      <w:r>
        <w:t>a) can apply</w:t>
      </w:r>
      <w:r w:rsidRPr="00E8671E">
        <w:t xml:space="preserve"> to individuals </w:t>
      </w:r>
      <w:r>
        <w:t>whose parents</w:t>
      </w:r>
      <w:r w:rsidRPr="00E8671E">
        <w:t xml:space="preserve"> have not been granted diplomatic privileges and immunities in Canada. </w:t>
      </w:r>
      <w:r>
        <w:t>I</w:t>
      </w:r>
      <w:r w:rsidRPr="0046031A">
        <w:t xml:space="preserve">t is undisputed that </w:t>
      </w:r>
      <w:r>
        <w:t>V</w:t>
      </w:r>
      <w:r w:rsidRPr="00E8671E">
        <w:t xml:space="preserve">’s parents had not been granted such privileges and immunities. No purpose would therefore be </w:t>
      </w:r>
      <w:r>
        <w:t xml:space="preserve">served by remitting this matter </w:t>
      </w:r>
      <w:r w:rsidRPr="00E8671E">
        <w:t xml:space="preserve">to the </w:t>
      </w:r>
      <w:r>
        <w:t>Registrar</w:t>
      </w:r>
      <w:r w:rsidRPr="00E8671E">
        <w:t>.</w:t>
      </w:r>
      <w:r>
        <w:t xml:space="preserve"> </w:t>
      </w:r>
      <w:r w:rsidRPr="00E8671E">
        <w:t xml:space="preserve">Given that </w:t>
      </w:r>
      <w:r>
        <w:t>V</w:t>
      </w:r>
      <w:r w:rsidRPr="00E8671E">
        <w:t xml:space="preserve"> was born in Canada, his status is governed only by the general rule </w:t>
      </w:r>
      <w:r>
        <w:t xml:space="preserve">of citizenship by birth. He </w:t>
      </w:r>
      <w:r w:rsidRPr="00E8671E">
        <w:rPr>
          <w:lang w:val="en-US"/>
        </w:rPr>
        <w:t xml:space="preserve">is a </w:t>
      </w:r>
      <w:r>
        <w:rPr>
          <w:lang w:val="en-US"/>
        </w:rPr>
        <w:t xml:space="preserve">Canadian </w:t>
      </w:r>
      <w:r w:rsidRPr="00E8671E">
        <w:rPr>
          <w:lang w:val="en-US"/>
        </w:rPr>
        <w:t>citizen.</w:t>
      </w:r>
    </w:p>
    <w:p w:rsidR="00DF4EB4" w:rsidRDefault="00D667DF" w:rsidP="00DF4EB4">
      <w:pPr>
        <w:pStyle w:val="SCCNormalDoubleSpacing"/>
        <w:spacing w:after="480"/>
      </w:pPr>
      <w:r>
        <w:rPr>
          <w:i/>
        </w:rPr>
        <w:tab/>
      </w:r>
      <w:r w:rsidR="00DF4EB4" w:rsidRPr="008F6807">
        <w:rPr>
          <w:i/>
        </w:rPr>
        <w:t>Per</w:t>
      </w:r>
      <w:r w:rsidR="00DF4EB4">
        <w:t xml:space="preserve"> </w:t>
      </w:r>
      <w:proofErr w:type="spellStart"/>
      <w:r w:rsidR="00DF4EB4" w:rsidRPr="007942C7">
        <w:t>Abella</w:t>
      </w:r>
      <w:proofErr w:type="spellEnd"/>
      <w:r w:rsidR="00DF4EB4" w:rsidRPr="007942C7">
        <w:t xml:space="preserve"> and </w:t>
      </w:r>
      <w:proofErr w:type="spellStart"/>
      <w:r w:rsidR="00DF4EB4" w:rsidRPr="007942C7">
        <w:t>Karakatsanis</w:t>
      </w:r>
      <w:proofErr w:type="spellEnd"/>
      <w:r w:rsidR="00DF4EB4">
        <w:t xml:space="preserve"> JJ.: There is agreement with the majority that the appeal should be dismissed</w:t>
      </w:r>
      <w:r w:rsidR="00DF4EB4" w:rsidRPr="0084431D">
        <w:t>.</w:t>
      </w:r>
      <w:r w:rsidR="00DF4EB4">
        <w:t xml:space="preserve"> T</w:t>
      </w:r>
      <w:r w:rsidR="00DF4EB4" w:rsidRPr="0084431D">
        <w:t xml:space="preserve">he Registrar’s decision to cancel </w:t>
      </w:r>
      <w:r w:rsidR="00DF4EB4">
        <w:t>V</w:t>
      </w:r>
      <w:r w:rsidR="00DF4EB4" w:rsidRPr="0084431D">
        <w:t>’s citizenship certificate</w:t>
      </w:r>
      <w:r w:rsidR="00DF4EB4">
        <w:t xml:space="preserve"> was unreasonable and was properly quashed by the Court of Appeal.</w:t>
      </w:r>
    </w:p>
    <w:p w:rsidR="00DF4EB4" w:rsidRDefault="00DF4EB4" w:rsidP="00DF4EB4">
      <w:pPr>
        <w:pStyle w:val="SCCNormalDoubleSpacing"/>
        <w:spacing w:after="480"/>
      </w:pPr>
      <w:r>
        <w:lastRenderedPageBreak/>
        <w:tab/>
        <w:t xml:space="preserve">There is also agreement with the majority that there should be a </w:t>
      </w:r>
      <w:r w:rsidRPr="0084431D">
        <w:t xml:space="preserve">presumption of reasonableness </w:t>
      </w:r>
      <w:r>
        <w:t xml:space="preserve">in judicial review. </w:t>
      </w:r>
      <w:r w:rsidRPr="00030138">
        <w:t>T</w:t>
      </w:r>
      <w:r w:rsidRPr="0084431D">
        <w:t xml:space="preserve">he contextual factors analysis </w:t>
      </w:r>
      <w:r>
        <w:t xml:space="preserve">should be eliminated </w:t>
      </w:r>
      <w:r w:rsidRPr="0084431D">
        <w:t>from the standard of review framework</w:t>
      </w:r>
      <w:r>
        <w:t>,</w:t>
      </w:r>
      <w:r w:rsidRPr="0084431D">
        <w:t xml:space="preserve"> and </w:t>
      </w:r>
      <w:r w:rsidRPr="00415048">
        <w:t>“</w:t>
      </w:r>
      <w:r w:rsidRPr="0084431D">
        <w:t>true questions of jurisdiction</w:t>
      </w:r>
      <w:r w:rsidRPr="00415048">
        <w:t>”</w:t>
      </w:r>
      <w:r>
        <w:t xml:space="preserve"> should be abolished as a separate category of issues subject to correctness review</w:t>
      </w:r>
      <w:r w:rsidRPr="0084431D">
        <w:t>.</w:t>
      </w:r>
      <w:r>
        <w:t xml:space="preserve"> However, t</w:t>
      </w:r>
      <w:r w:rsidRPr="0084431D">
        <w:rPr>
          <w:lang w:val="en-GB"/>
        </w:rPr>
        <w:t>he elimination of</w:t>
      </w:r>
      <w:r>
        <w:rPr>
          <w:lang w:val="en-GB"/>
        </w:rPr>
        <w:t xml:space="preserve"> these elements does </w:t>
      </w:r>
      <w:r w:rsidRPr="0084431D">
        <w:rPr>
          <w:lang w:val="en-GB"/>
        </w:rPr>
        <w:t xml:space="preserve">not support the foundational changes to judicial review </w:t>
      </w:r>
      <w:r>
        <w:rPr>
          <w:lang w:val="en-GB"/>
        </w:rPr>
        <w:t xml:space="preserve">outlined </w:t>
      </w:r>
      <w:r w:rsidRPr="0084431D">
        <w:rPr>
          <w:lang w:val="en-GB"/>
        </w:rPr>
        <w:t xml:space="preserve">in the majority’s </w:t>
      </w:r>
      <w:r>
        <w:rPr>
          <w:lang w:val="en-GB"/>
        </w:rPr>
        <w:t>framework that result in expanded correctness review</w:t>
      </w:r>
      <w:r w:rsidRPr="0084431D">
        <w:t>.</w:t>
      </w:r>
      <w:r>
        <w:t xml:space="preserve"> Rather </w:t>
      </w:r>
      <w:r w:rsidRPr="0084431D">
        <w:t xml:space="preserve">than confirming a meaningful presumption of deference for </w:t>
      </w:r>
      <w:r w:rsidR="002145B7">
        <w:t>administrative decision-</w:t>
      </w:r>
      <w:r w:rsidRPr="00DC6D78">
        <w:t>makers, the majority strips away deference from hundreds of administrative actors, based on a formalistic approach that ignores the legislature’s intention to leave certain legal and policy quest</w:t>
      </w:r>
      <w:r w:rsidR="002145B7">
        <w:t>ions to administrative decision-</w:t>
      </w:r>
      <w:r w:rsidRPr="00DC6D78">
        <w:t>makers. The majority’s presumption</w:t>
      </w:r>
      <w:r w:rsidRPr="0084431D">
        <w:t xml:space="preserve"> of reasonableness review</w:t>
      </w:r>
      <w:r>
        <w:t xml:space="preserve"> </w:t>
      </w:r>
      <w:r w:rsidRPr="0084431D">
        <w:t>rests on a totally new understanding of legislative intent and the rule of law</w:t>
      </w:r>
      <w:r>
        <w:t xml:space="preserve"> and </w:t>
      </w:r>
      <w:r w:rsidRPr="0084431D">
        <w:t>prohibit</w:t>
      </w:r>
      <w:r>
        <w:t>s</w:t>
      </w:r>
      <w:r w:rsidR="00B9735C">
        <w:t xml:space="preserve"> any consideration of well</w:t>
      </w:r>
      <w:r w:rsidR="00B9735C">
        <w:noBreakHyphen/>
      </w:r>
      <w:r w:rsidRPr="0084431D">
        <w:t>established foundations for deference.</w:t>
      </w:r>
      <w:r>
        <w:t xml:space="preserve"> B</w:t>
      </w:r>
      <w:r w:rsidRPr="0084431D">
        <w:t xml:space="preserve">y dramatically expanding the circumstances in which generalist judges will be entitled to substitute their own views for those of specialized </w:t>
      </w:r>
      <w:r w:rsidR="00B9735C">
        <w:t>decision</w:t>
      </w:r>
      <w:r w:rsidR="002145B7">
        <w:t>-</w:t>
      </w:r>
      <w:r>
        <w:t>maker</w:t>
      </w:r>
      <w:r w:rsidRPr="0084431D">
        <w:t>s who apply their mandates on a daily basis</w:t>
      </w:r>
      <w:r>
        <w:t>, t</w:t>
      </w:r>
      <w:r w:rsidRPr="0084431D">
        <w:t>he majority</w:t>
      </w:r>
      <w:r>
        <w:t>’s framework</w:t>
      </w:r>
      <w:r w:rsidRPr="0084431D">
        <w:t xml:space="preserve"> fundamentally reorients the relationship between administrative actors and the judiciary</w:t>
      </w:r>
      <w:r>
        <w:t>, thus</w:t>
      </w:r>
      <w:r w:rsidRPr="0084431D">
        <w:t xml:space="preserve"> advocat</w:t>
      </w:r>
      <w:r>
        <w:t>ing</w:t>
      </w:r>
      <w:r w:rsidRPr="0084431D">
        <w:t xml:space="preserve"> a profoundly different philosophy of administrative law.</w:t>
      </w:r>
    </w:p>
    <w:p w:rsidR="00DF4EB4" w:rsidRDefault="00DF4EB4" w:rsidP="00DF4EB4">
      <w:pPr>
        <w:pStyle w:val="SCCNormalDoubleSpacing"/>
        <w:spacing w:after="480"/>
      </w:pPr>
      <w:r>
        <w:tab/>
      </w:r>
      <w:r w:rsidRPr="00DC6D78">
        <w:t>The majority’s framework rests on a flawed and incomplete conceptual account of judicial review, one that unjustifiably ignores the specialized exper</w:t>
      </w:r>
      <w:r w:rsidR="002145B7">
        <w:t>tise of administrative decision-</w:t>
      </w:r>
      <w:r w:rsidRPr="00DC6D78">
        <w:t>makers and reads</w:t>
      </w:r>
      <w:r w:rsidRPr="0084431D">
        <w:t xml:space="preserve"> out the foundations of the modern understanding of legislative intent.</w:t>
      </w:r>
      <w:r>
        <w:t xml:space="preserve"> Instead of</w:t>
      </w:r>
      <w:r w:rsidRPr="0084431D">
        <w:t xml:space="preserve"> understanding legislative intent as being </w:t>
      </w:r>
      <w:r w:rsidRPr="0084431D">
        <w:lastRenderedPageBreak/>
        <w:t xml:space="preserve">the intention to leave </w:t>
      </w:r>
      <w:r w:rsidRPr="00DC6D78">
        <w:t>legal questions within their m</w:t>
      </w:r>
      <w:r w:rsidR="002145B7">
        <w:t>andate to specialized decision-</w:t>
      </w:r>
      <w:r w:rsidRPr="00DC6D78">
        <w:t xml:space="preserve">makers with expertise, the majority removes expertise from the equation entirely. </w:t>
      </w:r>
      <w:r w:rsidRPr="0084431D">
        <w:t xml:space="preserve">In so doing, the majority disregards the historically accepted reason </w:t>
      </w:r>
      <w:r w:rsidRPr="00884194">
        <w:t>why</w:t>
      </w:r>
      <w:r w:rsidRPr="0084431D">
        <w:rPr>
          <w:i/>
        </w:rPr>
        <w:t xml:space="preserve"> </w:t>
      </w:r>
      <w:r w:rsidRPr="0084431D">
        <w:t>the legislature intended to delegate authority to an administrative actor.</w:t>
      </w:r>
      <w:r>
        <w:t xml:space="preserve"> </w:t>
      </w:r>
      <w:r w:rsidRPr="0084431D">
        <w:t xml:space="preserve">In particular, such an approach ignores the possibility that specialization and </w:t>
      </w:r>
      <w:r>
        <w:t>expertise</w:t>
      </w:r>
      <w:r w:rsidRPr="0084431D">
        <w:t xml:space="preserve"> are embedded</w:t>
      </w:r>
      <w:r w:rsidRPr="0084431D">
        <w:rPr>
          <w:i/>
        </w:rPr>
        <w:t xml:space="preserve"> </w:t>
      </w:r>
      <w:r w:rsidRPr="0084431D">
        <w:t xml:space="preserve">into </w:t>
      </w:r>
      <w:r>
        <w:t>this</w:t>
      </w:r>
      <w:r w:rsidR="00B9735C">
        <w:t xml:space="preserve"> legislative choice. Post</w:t>
      </w:r>
      <w:r w:rsidR="00B9735C">
        <w:noBreakHyphen/>
      </w:r>
      <w:r w:rsidRPr="0084431D">
        <w:rPr>
          <w:i/>
        </w:rPr>
        <w:t>Dunsmuir</w:t>
      </w:r>
      <w:r w:rsidRPr="0084431D">
        <w:t>, the Court</w:t>
      </w:r>
      <w:r w:rsidRPr="0084431D">
        <w:rPr>
          <w:i/>
        </w:rPr>
        <w:t xml:space="preserve"> </w:t>
      </w:r>
      <w:r w:rsidRPr="0084431D">
        <w:t xml:space="preserve">has been steadfast in confirming the central role of specialization and expertise, affirming </w:t>
      </w:r>
      <w:r w:rsidRPr="00DC6D78">
        <w:t>their connection to legislative intent, and recognizing that th</w:t>
      </w:r>
      <w:r w:rsidR="00B9735C">
        <w:t>ey give administrative decision</w:t>
      </w:r>
      <w:r w:rsidR="002145B7">
        <w:t>-</w:t>
      </w:r>
      <w:r w:rsidRPr="00DC6D78">
        <w:t xml:space="preserve">makers the interpretative upper hand on questions of law. Specialized expertise has become </w:t>
      </w:r>
      <w:r w:rsidRPr="00DC6D78" w:rsidDel="009C4C64">
        <w:t>the</w:t>
      </w:r>
      <w:r w:rsidRPr="00DC6D78" w:rsidDel="009C4C64">
        <w:rPr>
          <w:i/>
        </w:rPr>
        <w:t xml:space="preserve"> </w:t>
      </w:r>
      <w:r w:rsidRPr="00DC6D78" w:rsidDel="009C4C64">
        <w:t xml:space="preserve">core rationale for </w:t>
      </w:r>
      <w:r w:rsidRPr="00DC6D78">
        <w:t>deference. Giving proper effect to the legislature’s choice to delegate authorit</w:t>
      </w:r>
      <w:r w:rsidR="002145B7">
        <w:t>y to an administrative decision-</w:t>
      </w:r>
      <w:r w:rsidRPr="00DC6D78">
        <w:t>maker requires understanding t</w:t>
      </w:r>
      <w:r w:rsidR="00B9735C">
        <w:t>he advantages that the decision</w:t>
      </w:r>
      <w:r w:rsidR="002145B7">
        <w:t>-</w:t>
      </w:r>
      <w:r w:rsidRPr="00DC6D78">
        <w:t>maker may enjoy in exercising its mandate. Chief among those advantages are the institutional expertise and specialization inherent to administering</w:t>
      </w:r>
      <w:r w:rsidRPr="0084431D">
        <w:t xml:space="preserve"> a particular mandate on a daily basis.</w:t>
      </w:r>
      <w:r>
        <w:t xml:space="preserve"> </w:t>
      </w:r>
      <w:r w:rsidRPr="0084431D">
        <w:t>In interpreting their enabling statutes, administrative actors may have a particularly</w:t>
      </w:r>
      <w:r w:rsidR="00B9735C">
        <w:t xml:space="preserve"> astute appreciation for the on</w:t>
      </w:r>
      <w:r w:rsidR="00B9735C">
        <w:noBreakHyphen/>
        <w:t>the</w:t>
      </w:r>
      <w:r w:rsidR="00B9735C">
        <w:noBreakHyphen/>
      </w:r>
      <w:r w:rsidRPr="0084431D">
        <w:t>ground consequences of particular legal interpretations</w:t>
      </w:r>
      <w:r>
        <w:t>,</w:t>
      </w:r>
      <w:r w:rsidRPr="0084431D">
        <w:t xml:space="preserve"> of statutory context</w:t>
      </w:r>
      <w:r>
        <w:t>,</w:t>
      </w:r>
      <w:r w:rsidRPr="0084431D">
        <w:t xml:space="preserve"> of the purposes that a provision or legislative scheme are meant to serve</w:t>
      </w:r>
      <w:r>
        <w:t>,</w:t>
      </w:r>
      <w:r w:rsidRPr="0084431D">
        <w:t xml:space="preserve"> and of specialized terminology</w:t>
      </w:r>
      <w:r>
        <w:t>. T</w:t>
      </w:r>
      <w:r w:rsidRPr="0084431D">
        <w:t xml:space="preserve">he advantages stemming from specialization and expertise provide a robust foundation </w:t>
      </w:r>
      <w:r>
        <w:t>for deference. T</w:t>
      </w:r>
      <w:r w:rsidRPr="0084431D">
        <w:t xml:space="preserve">he majority’s approach accords no weight to </w:t>
      </w:r>
      <w:r>
        <w:t>such</w:t>
      </w:r>
      <w:r w:rsidRPr="0084431D">
        <w:t xml:space="preserve"> institutional advantages</w:t>
      </w:r>
      <w:r>
        <w:t xml:space="preserve"> and </w:t>
      </w:r>
      <w:r w:rsidRPr="0084431D">
        <w:t>banish</w:t>
      </w:r>
      <w:r>
        <w:t>es</w:t>
      </w:r>
      <w:r w:rsidRPr="0084431D">
        <w:t xml:space="preserve"> expertise from the standard of review analysis entirely.</w:t>
      </w:r>
      <w:r>
        <w:t xml:space="preserve"> </w:t>
      </w:r>
      <w:r w:rsidRPr="0084431D">
        <w:t>The removal of the current</w:t>
      </w:r>
      <w:r>
        <w:t xml:space="preserve"> </w:t>
      </w:r>
      <w:r w:rsidRPr="0084431D">
        <w:t>conceptual basis for deference opens the gates to expanded correctness review</w:t>
      </w:r>
      <w:r>
        <w:t>.</w:t>
      </w:r>
    </w:p>
    <w:p w:rsidR="00DF4EB4" w:rsidRDefault="00DF4EB4" w:rsidP="00DF4EB4">
      <w:pPr>
        <w:pStyle w:val="SCCNormalDoubleSpacing"/>
        <w:spacing w:after="480"/>
        <w:rPr>
          <w:lang w:bidi="en-US"/>
        </w:rPr>
      </w:pPr>
      <w:r>
        <w:lastRenderedPageBreak/>
        <w:tab/>
      </w:r>
      <w:r w:rsidRPr="0084431D">
        <w:t xml:space="preserve">In the majority’s framework, deference gives way whenever the rule of law demands it. </w:t>
      </w:r>
      <w:r>
        <w:t>This</w:t>
      </w:r>
      <w:r w:rsidRPr="0084431D">
        <w:t xml:space="preserve"> approa</w:t>
      </w:r>
      <w:r w:rsidR="00B9735C">
        <w:t>ch, however, flows from a court</w:t>
      </w:r>
      <w:r w:rsidR="00B9735C">
        <w:noBreakHyphen/>
      </w:r>
      <w:r w:rsidRPr="0084431D">
        <w:t>centric conception of the rule of law</w:t>
      </w:r>
      <w:r>
        <w:t>. T</w:t>
      </w:r>
      <w:r w:rsidRPr="0084431D">
        <w:t xml:space="preserve">he </w:t>
      </w:r>
      <w:r w:rsidRPr="00DC6D78">
        <w:t>rule of law means</w:t>
      </w:r>
      <w:r w:rsidR="00B9735C">
        <w:t xml:space="preserve"> that admini</w:t>
      </w:r>
      <w:r w:rsidR="00EC27B4">
        <w:t>strative decision-</w:t>
      </w:r>
      <w:r w:rsidRPr="00DC6D78">
        <w:t>makers make legal determinations within their mandate; it does not mean that only judges decide questions of law with an unrestricted license to substitute their opinions for those of administrative actors through correctness review. The majority’s approach not only erodes the presumption of deference; it erodes confidence in the fact th</w:t>
      </w:r>
      <w:r w:rsidR="00B9735C">
        <w:t>at law</w:t>
      </w:r>
      <w:r w:rsidR="00B9735C">
        <w:noBreakHyphen/>
      </w:r>
      <w:r w:rsidRPr="00DC6D78">
        <w:t>making and legal interpretation are shared enterprises between cou</w:t>
      </w:r>
      <w:r w:rsidR="00EC27B4">
        <w:t>rts and administrative decision-</w:t>
      </w:r>
      <w:r w:rsidRPr="00DC6D78">
        <w:t>makers. M</w:t>
      </w:r>
      <w:r w:rsidRPr="00DC6D78">
        <w:rPr>
          <w:lang w:bidi="en-US"/>
        </w:rPr>
        <w:t>oreover, access to justice is at the heart of the legislative choice to establish a robust system of administrative law. This goal is compromised when a narrow conception of the rule of law is invoked to impose judicial hegemo</w:t>
      </w:r>
      <w:r w:rsidR="00B9735C">
        <w:rPr>
          <w:lang w:bidi="en-US"/>
        </w:rPr>
        <w:t>ny over administrative decision</w:t>
      </w:r>
      <w:r w:rsidR="00EC27B4">
        <w:rPr>
          <w:lang w:bidi="en-US"/>
        </w:rPr>
        <w:t>-</w:t>
      </w:r>
      <w:r w:rsidRPr="00DC6D78">
        <w:rPr>
          <w:lang w:bidi="en-US"/>
        </w:rPr>
        <w:t xml:space="preserve">makers, which adds unnecessary expense and complexity. </w:t>
      </w:r>
      <w:r w:rsidRPr="00DC6D78">
        <w:t>Authorizing more incursions into the administrative</w:t>
      </w:r>
      <w:r w:rsidRPr="0084431D">
        <w:t xml:space="preserve"> system by judges</w:t>
      </w:r>
      <w:r>
        <w:t xml:space="preserve"> and </w:t>
      </w:r>
      <w:r w:rsidRPr="0084431D">
        <w:t xml:space="preserve">permitting </w:t>
      </w:r>
      <w:r w:rsidRPr="0084431D">
        <w:rPr>
          <w:i/>
          <w:iCs/>
        </w:rPr>
        <w:t xml:space="preserve">de novo </w:t>
      </w:r>
      <w:r w:rsidRPr="0084431D">
        <w:t>review of every legal decision add</w:t>
      </w:r>
      <w:r>
        <w:t>s</w:t>
      </w:r>
      <w:r w:rsidRPr="0084431D">
        <w:t xml:space="preserve"> to the delay and cost of obtaining a final decision</w:t>
      </w:r>
      <w:r>
        <w:t>.</w:t>
      </w:r>
    </w:p>
    <w:p w:rsidR="00DF4EB4" w:rsidRPr="00E54107" w:rsidRDefault="00DF4EB4" w:rsidP="00DF4EB4">
      <w:pPr>
        <w:pStyle w:val="SCCNormalDoubleSpacing"/>
        <w:spacing w:after="480"/>
        <w:rPr>
          <w:lang w:val="en-GB"/>
        </w:rPr>
      </w:pPr>
      <w:r>
        <w:tab/>
        <w:t>T</w:t>
      </w:r>
      <w:r w:rsidRPr="0084431D">
        <w:t xml:space="preserve">he majority’s reformulation of </w:t>
      </w:r>
      <w:r>
        <w:t>“</w:t>
      </w:r>
      <w:r w:rsidRPr="0084431D">
        <w:t>legislative intent</w:t>
      </w:r>
      <w:r>
        <w:t>”</w:t>
      </w:r>
      <w:r w:rsidRPr="0084431D">
        <w:t xml:space="preserve"> invit</w:t>
      </w:r>
      <w:r>
        <w:t>es</w:t>
      </w:r>
      <w:r w:rsidRPr="0084431D">
        <w:t xml:space="preserve"> courts to apply an </w:t>
      </w:r>
      <w:proofErr w:type="spellStart"/>
      <w:r w:rsidRPr="0084431D">
        <w:t>irrebuttable</w:t>
      </w:r>
      <w:proofErr w:type="spellEnd"/>
      <w:r w:rsidRPr="0084431D">
        <w:t xml:space="preserve"> presumption of correctness review</w:t>
      </w:r>
      <w:r>
        <w:t xml:space="preserve"> </w:t>
      </w:r>
      <w:r w:rsidRPr="0084431D">
        <w:t xml:space="preserve">whenever an </w:t>
      </w:r>
      <w:r w:rsidRPr="00DC6D78">
        <w:t xml:space="preserve">administrative scheme includes a right of appeal. Elevating appeal clauses to indicators of correctness review </w:t>
      </w:r>
      <w:r w:rsidR="00B9735C">
        <w:t>creates a two</w:t>
      </w:r>
      <w:r w:rsidR="00B9735C">
        <w:noBreakHyphen/>
      </w:r>
      <w:r w:rsidRPr="00DC6D78">
        <w:t>tier system that defers to the exper</w:t>
      </w:r>
      <w:r w:rsidR="00B9735C">
        <w:t>tise of admini</w:t>
      </w:r>
      <w:r w:rsidR="00EC27B4">
        <w:t>strative decision-</w:t>
      </w:r>
      <w:r w:rsidRPr="00DC6D78">
        <w:t>makers only where there is no appeal clause. Yet appeal rights do not represent</w:t>
      </w:r>
      <w:r w:rsidRPr="0084431D">
        <w:t xml:space="preserve"> a different institutional structure that requires a more searching form of review.</w:t>
      </w:r>
      <w:r>
        <w:t xml:space="preserve"> </w:t>
      </w:r>
      <w:r w:rsidRPr="0084431D">
        <w:t xml:space="preserve">The mere fact that a statute contemplates </w:t>
      </w:r>
      <w:r>
        <w:t>an appeal</w:t>
      </w:r>
      <w:r w:rsidRPr="0084431D">
        <w:t xml:space="preserve"> says nothing about the </w:t>
      </w:r>
      <w:r w:rsidRPr="00B20234">
        <w:t>degree of deference</w:t>
      </w:r>
      <w:r w:rsidRPr="0084431D">
        <w:rPr>
          <w:i/>
        </w:rPr>
        <w:t xml:space="preserve"> </w:t>
      </w:r>
      <w:r w:rsidRPr="0084431D">
        <w:t xml:space="preserve">required in </w:t>
      </w:r>
      <w:r w:rsidRPr="0084431D">
        <w:lastRenderedPageBreak/>
        <w:t xml:space="preserve">the review process. </w:t>
      </w:r>
      <w:r>
        <w:t>T</w:t>
      </w:r>
      <w:r w:rsidRPr="0084431D">
        <w:t xml:space="preserve">he majority’s position hinges almost entirely on a </w:t>
      </w:r>
      <w:proofErr w:type="spellStart"/>
      <w:r w:rsidRPr="0084431D">
        <w:t>textualist</w:t>
      </w:r>
      <w:proofErr w:type="spellEnd"/>
      <w:r w:rsidRPr="0084431D">
        <w:t xml:space="preserve"> argument</w:t>
      </w:r>
      <w:r>
        <w:t xml:space="preserve"> — i.e., that </w:t>
      </w:r>
      <w:r w:rsidRPr="0084431D">
        <w:t>the presence of the word “appeal” indicates a legislative intent that courts apply the same standards of review found i</w:t>
      </w:r>
      <w:r>
        <w:t xml:space="preserve">n </w:t>
      </w:r>
      <w:r w:rsidRPr="0084431D">
        <w:t>civil appellate jurisprudence.</w:t>
      </w:r>
      <w:r>
        <w:t xml:space="preserve"> This </w:t>
      </w:r>
      <w:r w:rsidR="00B9735C">
        <w:t>disregards long</w:t>
      </w:r>
      <w:r w:rsidR="00B9735C">
        <w:noBreakHyphen/>
      </w:r>
      <w:r w:rsidRPr="0084431D">
        <w:t xml:space="preserve">accepted </w:t>
      </w:r>
      <w:r w:rsidRPr="00DC6D78">
        <w:t>institutional distinctions between cou</w:t>
      </w:r>
      <w:r w:rsidR="00EC27B4">
        <w:t>rts and administrative decision-</w:t>
      </w:r>
      <w:r w:rsidRPr="00DC6D78">
        <w:t>makers. The continued use by legislatures of the term “appeal” cannot be imbued with the intent</w:t>
      </w:r>
      <w:r w:rsidRPr="00DC6D78">
        <w:rPr>
          <w:lang w:val="en-US"/>
        </w:rPr>
        <w:t xml:space="preserve"> that the majority ascribes to it.</w:t>
      </w:r>
      <w:r w:rsidRPr="00DC6D78">
        <w:t xml:space="preserve"> The idea that appellate standards of review</w:t>
      </w:r>
      <w:r w:rsidRPr="00DC6D78">
        <w:rPr>
          <w:i/>
        </w:rPr>
        <w:t xml:space="preserve"> </w:t>
      </w:r>
      <w:r w:rsidRPr="00DC6D78">
        <w:t>must be applied to every right of appeal is entirely unsupported by the jurisprudence. For at least</w:t>
      </w:r>
      <w:r w:rsidRPr="00DC6D78">
        <w:rPr>
          <w:i/>
        </w:rPr>
        <w:t xml:space="preserve"> </w:t>
      </w:r>
      <w:r w:rsidRPr="00DC6D78">
        <w:t>25 years,</w:t>
      </w:r>
      <w:r>
        <w:t xml:space="preserve"> </w:t>
      </w:r>
      <w:r w:rsidR="0054511B">
        <w:t xml:space="preserve">the </w:t>
      </w:r>
      <w:r w:rsidRPr="0084431D">
        <w:t>Court has not treated statutory rights of appeal as a determinative reflection of legislative intent</w:t>
      </w:r>
      <w:r>
        <w:t xml:space="preserve">, and such clauses </w:t>
      </w:r>
      <w:r w:rsidRPr="0084431D">
        <w:t>have played little or no role in the standard of review analysis</w:t>
      </w:r>
      <w:r>
        <w:t xml:space="preserve">. </w:t>
      </w:r>
      <w:r w:rsidR="00B9735C">
        <w:rPr>
          <w:lang w:val="en-GB"/>
        </w:rPr>
        <w:t>Moreover, pre</w:t>
      </w:r>
      <w:r w:rsidR="00B9735C">
        <w:rPr>
          <w:lang w:val="en-GB"/>
        </w:rPr>
        <w:noBreakHyphen/>
      </w:r>
      <w:r w:rsidRPr="0084431D">
        <w:rPr>
          <w:i/>
          <w:lang w:val="en-GB"/>
        </w:rPr>
        <w:t>Dunsmuir</w:t>
      </w:r>
      <w:r w:rsidRPr="0084431D">
        <w:rPr>
          <w:lang w:val="en-GB"/>
        </w:rPr>
        <w:t>, statutory rights of appeal were still</w:t>
      </w:r>
      <w:r w:rsidRPr="0084431D">
        <w:rPr>
          <w:i/>
          <w:lang w:val="en-GB"/>
        </w:rPr>
        <w:t xml:space="preserve"> </w:t>
      </w:r>
      <w:r w:rsidRPr="0084431D">
        <w:rPr>
          <w:lang w:val="en-GB"/>
        </w:rPr>
        <w:t xml:space="preserve">seen as only one factor and </w:t>
      </w:r>
      <w:r w:rsidRPr="00342FBA">
        <w:rPr>
          <w:lang w:val="en-GB"/>
        </w:rPr>
        <w:t>not</w:t>
      </w:r>
      <w:r w:rsidRPr="0084431D">
        <w:rPr>
          <w:lang w:val="en-GB"/>
        </w:rPr>
        <w:t xml:space="preserve"> as unequivocal indicators of correctness review</w:t>
      </w:r>
      <w:r>
        <w:rPr>
          <w:lang w:val="en-GB"/>
        </w:rPr>
        <w:t xml:space="preserve">. </w:t>
      </w:r>
      <w:r>
        <w:rPr>
          <w:lang w:val="en-US"/>
        </w:rPr>
        <w:t>Absent</w:t>
      </w:r>
      <w:r w:rsidRPr="0084431D">
        <w:t xml:space="preserve"> exceptional circumstances, a statutory right of appeal does not displace the presumption </w:t>
      </w:r>
      <w:r>
        <w:t>of reasonableness.</w:t>
      </w:r>
    </w:p>
    <w:p w:rsidR="00DF4EB4" w:rsidRDefault="00DF4EB4" w:rsidP="00DF4EB4">
      <w:pPr>
        <w:pStyle w:val="SCCNormalDoubleSpacing"/>
        <w:spacing w:after="480"/>
      </w:pPr>
      <w:r>
        <w:tab/>
        <w:t xml:space="preserve">The majority’s </w:t>
      </w:r>
      <w:r w:rsidRPr="0084431D">
        <w:t xml:space="preserve">disregard for precedent and </w:t>
      </w:r>
      <w:r w:rsidRPr="0084431D">
        <w:rPr>
          <w:i/>
        </w:rPr>
        <w:t>stare decisis</w:t>
      </w:r>
      <w:r>
        <w:t xml:space="preserve"> has </w:t>
      </w:r>
      <w:r w:rsidRPr="0084431D">
        <w:t xml:space="preserve">the potential to undermine both the integrity of </w:t>
      </w:r>
      <w:r>
        <w:t>the</w:t>
      </w:r>
      <w:r w:rsidRPr="0084431D">
        <w:t xml:space="preserve"> Court’s decisions, and public confidence in the stability of the law</w:t>
      </w:r>
      <w:r>
        <w:t xml:space="preserve">. </w:t>
      </w:r>
      <w:r w:rsidRPr="0084431D">
        <w:rPr>
          <w:i/>
        </w:rPr>
        <w:t>Stare decisis</w:t>
      </w:r>
      <w:r w:rsidRPr="0084431D">
        <w:t xml:space="preserve"> places significant limits on </w:t>
      </w:r>
      <w:r>
        <w:t>the</w:t>
      </w:r>
      <w:r w:rsidRPr="0084431D">
        <w:t xml:space="preserve"> Court’s ability to overturn its precedents.</w:t>
      </w:r>
      <w:r>
        <w:t xml:space="preserve"> </w:t>
      </w:r>
      <w:r w:rsidRPr="0084431D">
        <w:t>The doctrine promotes the predictable</w:t>
      </w:r>
      <w:r>
        <w:t xml:space="preserve"> </w:t>
      </w:r>
      <w:r w:rsidRPr="0084431D">
        <w:t>and consistent development of legal principles, fosters reliance on judicial decisions, and contributes to the integrity</w:t>
      </w:r>
      <w:r>
        <w:t xml:space="preserve"> of the judicial process. </w:t>
      </w:r>
      <w:r w:rsidRPr="0084431D">
        <w:t xml:space="preserve">Respect for precedent also safeguards </w:t>
      </w:r>
      <w:r>
        <w:t>the</w:t>
      </w:r>
      <w:r w:rsidRPr="0084431D">
        <w:t xml:space="preserve"> Court’s institutional legitimacy. The precedential value of a judgment does not expire with the tenure of the panel of judges that decided it</w:t>
      </w:r>
      <w:r>
        <w:t xml:space="preserve">. </w:t>
      </w:r>
      <w:r w:rsidRPr="0084431D">
        <w:rPr>
          <w:szCs w:val="24"/>
        </w:rPr>
        <w:t xml:space="preserve">When </w:t>
      </w:r>
      <w:r>
        <w:rPr>
          <w:szCs w:val="24"/>
        </w:rPr>
        <w:t>the</w:t>
      </w:r>
      <w:r w:rsidRPr="0084431D">
        <w:rPr>
          <w:szCs w:val="24"/>
        </w:rPr>
        <w:t xml:space="preserve"> </w:t>
      </w:r>
      <w:r>
        <w:rPr>
          <w:szCs w:val="24"/>
        </w:rPr>
        <w:t>C</w:t>
      </w:r>
      <w:r w:rsidRPr="0084431D">
        <w:rPr>
          <w:szCs w:val="24"/>
        </w:rPr>
        <w:t xml:space="preserve">ourt does choose to overrule its own precedents, it should do so carefully, with moderation, and with due regard for </w:t>
      </w:r>
      <w:r w:rsidRPr="0084431D">
        <w:rPr>
          <w:szCs w:val="24"/>
        </w:rPr>
        <w:lastRenderedPageBreak/>
        <w:t>all the important considerations that undergird the doctrine</w:t>
      </w:r>
      <w:r>
        <w:rPr>
          <w:szCs w:val="24"/>
        </w:rPr>
        <w:t xml:space="preserve"> of </w:t>
      </w:r>
      <w:r>
        <w:rPr>
          <w:i/>
          <w:szCs w:val="24"/>
        </w:rPr>
        <w:t>stare decisis</w:t>
      </w:r>
      <w:r w:rsidRPr="0084431D">
        <w:rPr>
          <w:szCs w:val="24"/>
        </w:rPr>
        <w:t xml:space="preserve">. </w:t>
      </w:r>
      <w:r>
        <w:t>A</w:t>
      </w:r>
      <w:r w:rsidRPr="0084431D">
        <w:t xml:space="preserve"> nuanced balance must be struck between maintaining the stability of the common law and ensuring that the law is flexible and responsive enough to adapt to new circumstances and societal norms. </w:t>
      </w:r>
      <w:r w:rsidRPr="0084431D">
        <w:rPr>
          <w:i/>
        </w:rPr>
        <w:t xml:space="preserve">Stare decisis </w:t>
      </w:r>
      <w:r w:rsidRPr="0084431D">
        <w:t>plays a critical role in maintaining that balance and upholding the rule of law.</w:t>
      </w:r>
    </w:p>
    <w:p w:rsidR="00DF4EB4" w:rsidRPr="009C7AA7" w:rsidRDefault="00DF4EB4" w:rsidP="00DF4EB4">
      <w:pPr>
        <w:pStyle w:val="SCCNormalDoubleSpacing"/>
        <w:spacing w:after="480"/>
      </w:pPr>
      <w:r>
        <w:tab/>
      </w:r>
      <w:r w:rsidRPr="0084431D">
        <w:t>There is no principled justification for depart</w:t>
      </w:r>
      <w:r>
        <w:t>ing</w:t>
      </w:r>
      <w:r w:rsidRPr="0084431D">
        <w:t xml:space="preserve"> from </w:t>
      </w:r>
      <w:r>
        <w:t>the</w:t>
      </w:r>
      <w:r w:rsidRPr="0084431D">
        <w:t xml:space="preserve"> existing jurisprudence</w:t>
      </w:r>
      <w:r>
        <w:t xml:space="preserve"> and </w:t>
      </w:r>
      <w:r w:rsidRPr="0084431D">
        <w:t xml:space="preserve">abandoning </w:t>
      </w:r>
      <w:r>
        <w:t>the</w:t>
      </w:r>
      <w:r w:rsidR="00B9735C">
        <w:t xml:space="preserve"> Court’s long</w:t>
      </w:r>
      <w:r w:rsidR="00B9735C">
        <w:noBreakHyphen/>
      </w:r>
      <w:r w:rsidRPr="0084431D">
        <w:t>standing view of how statutory appeal clauses impact the standard of review analysis.</w:t>
      </w:r>
      <w:r>
        <w:t xml:space="preserve"> In doing so, t</w:t>
      </w:r>
      <w:r w:rsidRPr="0084431D">
        <w:t>he majority</w:t>
      </w:r>
      <w:r>
        <w:t xml:space="preserve"> </w:t>
      </w:r>
      <w:r w:rsidRPr="0084431D">
        <w:t>disregard</w:t>
      </w:r>
      <w:r>
        <w:t>s</w:t>
      </w:r>
      <w:r w:rsidRPr="0084431D">
        <w:t xml:space="preserve"> the high threshold required to overturn </w:t>
      </w:r>
      <w:r>
        <w:t>the</w:t>
      </w:r>
      <w:r w:rsidRPr="0084431D">
        <w:t xml:space="preserve"> Court’s decisions. </w:t>
      </w:r>
      <w:r>
        <w:t>T</w:t>
      </w:r>
      <w:r w:rsidRPr="0084431D">
        <w:t>he unprecedented wholesale rejection of an entire body of jurisprudence is particularly unsettling</w:t>
      </w:r>
      <w:r>
        <w:t xml:space="preserve">. </w:t>
      </w:r>
      <w:r w:rsidRPr="0084431D">
        <w:t>The affected cases</w:t>
      </w:r>
      <w:r>
        <w:t xml:space="preserve"> are numerous and </w:t>
      </w:r>
      <w:r w:rsidRPr="0084431D">
        <w:t>include many decisions conducting deferential review even in the face of a statutory right of appeal</w:t>
      </w:r>
      <w:r>
        <w:t xml:space="preserve"> </w:t>
      </w:r>
      <w:r w:rsidRPr="0084431D">
        <w:t>and bedrock judgments affirming the relevance of administrative expertise to the standard of review analysis</w:t>
      </w:r>
      <w:r>
        <w:t xml:space="preserve">. </w:t>
      </w:r>
      <w:r w:rsidRPr="0084431D">
        <w:t xml:space="preserve">Overruling these judgments flouts </w:t>
      </w:r>
      <w:r>
        <w:rPr>
          <w:i/>
        </w:rPr>
        <w:t>stare decisis</w:t>
      </w:r>
      <w:r w:rsidRPr="0084431D">
        <w:t>, which prohibit</w:t>
      </w:r>
      <w:r>
        <w:t>s</w:t>
      </w:r>
      <w:r w:rsidRPr="0084431D">
        <w:t xml:space="preserve"> courts from overturning past decisions </w:t>
      </w:r>
      <w:r>
        <w:t>that</w:t>
      </w:r>
      <w:r w:rsidRPr="0084431D">
        <w:t xml:space="preserve"> simply </w:t>
      </w:r>
      <w:r>
        <w:t xml:space="preserve">represent a </w:t>
      </w:r>
      <w:r w:rsidRPr="0084431D">
        <w:t xml:space="preserve">choice with which the current </w:t>
      </w:r>
      <w:r>
        <w:t>b</w:t>
      </w:r>
      <w:r w:rsidRPr="0084431D">
        <w:t>ench does not agree</w:t>
      </w:r>
      <w:r>
        <w:t xml:space="preserve">. </w:t>
      </w:r>
      <w:r w:rsidRPr="0084431D">
        <w:t xml:space="preserve">The majority’s </w:t>
      </w:r>
      <w:r>
        <w:t>approach</w:t>
      </w:r>
      <w:r w:rsidRPr="0084431D">
        <w:t xml:space="preserve"> also has the potential to disturb settled interpretations of many statutes that contain a right of appeal</w:t>
      </w:r>
      <w:r>
        <w:t>;</w:t>
      </w:r>
      <w:r w:rsidRPr="0084431D">
        <w:t xml:space="preserve"> every existing interpretation of such statutes that has been affirmed under a reasonableness standard will be open to fresh challenge.</w:t>
      </w:r>
      <w:r>
        <w:t xml:space="preserve"> </w:t>
      </w:r>
      <w:r w:rsidRPr="0084431D">
        <w:t xml:space="preserve">Moreover, if </w:t>
      </w:r>
      <w:r>
        <w:t xml:space="preserve">the </w:t>
      </w:r>
      <w:r w:rsidRPr="00353807">
        <w:t>Court, in its past decisions,</w:t>
      </w:r>
      <w:r>
        <w:t xml:space="preserve"> </w:t>
      </w:r>
      <w:r w:rsidRPr="0084431D">
        <w:t>misconstrued the purpose of statutory appe</w:t>
      </w:r>
      <w:r>
        <w:t>al clauses,</w:t>
      </w:r>
      <w:r w:rsidRPr="0084431D">
        <w:t xml:space="preserve"> legislatures were free to </w:t>
      </w:r>
      <w:r>
        <w:t>clarify this interpretation</w:t>
      </w:r>
      <w:r w:rsidRPr="0084431D">
        <w:t xml:space="preserve"> through legislative amendment. </w:t>
      </w:r>
      <w:r>
        <w:t>In</w:t>
      </w:r>
      <w:r w:rsidRPr="0084431D">
        <w:t xml:space="preserve"> the absence of legislative correction</w:t>
      </w:r>
      <w:r>
        <w:t xml:space="preserve">, the case for overturning </w:t>
      </w:r>
      <w:r w:rsidRPr="0084431D">
        <w:t>decisions is even less compelling</w:t>
      </w:r>
      <w:r>
        <w:t>.</w:t>
      </w:r>
    </w:p>
    <w:p w:rsidR="00DF4EB4" w:rsidRPr="00DC6D78" w:rsidRDefault="00DF4EB4" w:rsidP="00DF4EB4">
      <w:pPr>
        <w:pStyle w:val="SCCNormalDoubleSpacing"/>
        <w:spacing w:after="480"/>
        <w:rPr>
          <w:lang w:val="en-US"/>
        </w:rPr>
      </w:pPr>
      <w:r>
        <w:lastRenderedPageBreak/>
        <w:tab/>
        <w:t xml:space="preserve">The </w:t>
      </w:r>
      <w:r w:rsidRPr="0084431D">
        <w:t>Court should offer additional direction on reasonableness review</w:t>
      </w:r>
      <w:r>
        <w:t xml:space="preserve"> so that </w:t>
      </w:r>
      <w:r w:rsidRPr="0084431D">
        <w:t xml:space="preserve">judges </w:t>
      </w:r>
      <w:r>
        <w:t xml:space="preserve">can </w:t>
      </w:r>
      <w:r w:rsidRPr="0084431D">
        <w:t xml:space="preserve">provide careful and meaningful oversight of the administrative justice </w:t>
      </w:r>
      <w:r w:rsidRPr="00DC6D78">
        <w:t>system while respecting its legitimacy an</w:t>
      </w:r>
      <w:r>
        <w:t>d the perspectives of its front</w:t>
      </w:r>
      <w:r>
        <w:noBreakHyphen/>
      </w:r>
      <w:r w:rsidRPr="00DC6D78">
        <w:t>line, spec</w:t>
      </w:r>
      <w:r w:rsidR="00EC27B4">
        <w:t>ialized decision-</w:t>
      </w:r>
      <w:r w:rsidRPr="00DC6D78">
        <w:t xml:space="preserve">makers. </w:t>
      </w:r>
      <w:r>
        <w:t>However, r</w:t>
      </w:r>
      <w:r w:rsidRPr="0084431D">
        <w:t xml:space="preserve">ather than clarifying the role of reasons and how to review them, the majority revives </w:t>
      </w:r>
      <w:r>
        <w:t>the</w:t>
      </w:r>
      <w:r w:rsidRPr="0084431D">
        <w:t xml:space="preserve"> kind of search for errors</w:t>
      </w:r>
      <w:r>
        <w:t xml:space="preserve"> that dominated the Court’s prior jurisprudence.</w:t>
      </w:r>
      <w:r>
        <w:rPr>
          <w:lang w:val="en-US"/>
        </w:rPr>
        <w:t xml:space="preserve"> </w:t>
      </w:r>
      <w:r>
        <w:t>T</w:t>
      </w:r>
      <w:r w:rsidR="00B9735C">
        <w:rPr>
          <w:lang w:val="en-US"/>
        </w:rPr>
        <w:t>he majority’s multi</w:t>
      </w:r>
      <w:r w:rsidR="00B9735C">
        <w:rPr>
          <w:lang w:val="en-US"/>
        </w:rPr>
        <w:noBreakHyphen/>
        <w:t>factored, open</w:t>
      </w:r>
      <w:r w:rsidR="00B9735C">
        <w:rPr>
          <w:lang w:val="en-US"/>
        </w:rPr>
        <w:noBreakHyphen/>
      </w:r>
      <w:r w:rsidRPr="0084431D">
        <w:rPr>
          <w:lang w:val="en-US"/>
        </w:rPr>
        <w:t>ended list of constraints on administrative decision</w:t>
      </w:r>
      <w:r>
        <w:rPr>
          <w:lang w:val="en-US"/>
        </w:rPr>
        <w:t xml:space="preserve"> </w:t>
      </w:r>
      <w:r w:rsidRPr="0084431D">
        <w:rPr>
          <w:lang w:val="en-US"/>
        </w:rPr>
        <w:t>making will encourage reviewing courts to dissect a</w:t>
      </w:r>
      <w:r>
        <w:rPr>
          <w:lang w:val="en-US"/>
        </w:rPr>
        <w:t>dministrative reasons in a line</w:t>
      </w:r>
      <w:r>
        <w:rPr>
          <w:lang w:val="en-US"/>
        </w:rPr>
        <w:noBreakHyphen/>
        <w:t>by</w:t>
      </w:r>
      <w:r>
        <w:rPr>
          <w:lang w:val="en-US"/>
        </w:rPr>
        <w:noBreakHyphen/>
      </w:r>
      <w:r w:rsidRPr="0084431D">
        <w:rPr>
          <w:lang w:val="en-US"/>
        </w:rPr>
        <w:t>line hunt for error</w:t>
      </w:r>
      <w:r>
        <w:rPr>
          <w:lang w:val="en-US"/>
        </w:rPr>
        <w:t xml:space="preserve">. </w:t>
      </w:r>
      <w:r w:rsidRPr="0084431D">
        <w:rPr>
          <w:lang w:val="en-US"/>
        </w:rPr>
        <w:t xml:space="preserve">These </w:t>
      </w:r>
      <w:r w:rsidRPr="0084431D">
        <w:t xml:space="preserve">constraints may function in practice as a </w:t>
      </w:r>
      <w:r w:rsidR="002B4476">
        <w:t>wide</w:t>
      </w:r>
      <w:r w:rsidR="002B4476">
        <w:noBreakHyphen/>
      </w:r>
      <w:r>
        <w:t xml:space="preserve">ranging </w:t>
      </w:r>
      <w:r w:rsidRPr="0084431D">
        <w:t>catalogue of hypothetical errors to justify quashing an administrative decision</w:t>
      </w:r>
      <w:r>
        <w:t xml:space="preserve">. </w:t>
      </w:r>
      <w:r w:rsidRPr="0084431D">
        <w:t xml:space="preserve">Structuring reasonableness review in this fashion effectively imposes on administrative </w:t>
      </w:r>
      <w:r w:rsidR="00EC27B4">
        <w:t>decision-</w:t>
      </w:r>
      <w:r>
        <w:t>maker</w:t>
      </w:r>
      <w:r w:rsidRPr="0084431D">
        <w:t xml:space="preserve">s a higher standard of justification than </w:t>
      </w:r>
      <w:r>
        <w:t>on</w:t>
      </w:r>
      <w:r w:rsidRPr="0084431D">
        <w:t xml:space="preserve"> trial judges.</w:t>
      </w:r>
      <w:r>
        <w:t xml:space="preserve"> </w:t>
      </w:r>
      <w:r w:rsidRPr="0084431D">
        <w:t xml:space="preserve">Such an approach </w:t>
      </w:r>
      <w:r w:rsidRPr="0084431D">
        <w:rPr>
          <w:lang w:val="en-US"/>
        </w:rPr>
        <w:t>undercuts deference.</w:t>
      </w:r>
      <w:r>
        <w:rPr>
          <w:lang w:val="en-US"/>
        </w:rPr>
        <w:t xml:space="preserve"> Reasonableness review should instead focus on the concept of deference </w:t>
      </w:r>
      <w:r w:rsidRPr="0084431D">
        <w:t xml:space="preserve">to </w:t>
      </w:r>
      <w:r w:rsidR="00EC27B4">
        <w:t>administrative decision-</w:t>
      </w:r>
      <w:r w:rsidRPr="00DC6D78">
        <w:t>makers and to the legislative intention to confide in them a mandate</w:t>
      </w:r>
      <w:r w:rsidRPr="00DC6D78">
        <w:rPr>
          <w:lang w:val="en-US"/>
        </w:rPr>
        <w:t>. Curial deference is the</w:t>
      </w:r>
      <w:r w:rsidRPr="00DC6D78">
        <w:rPr>
          <w:i/>
          <w:lang w:val="en-US"/>
        </w:rPr>
        <w:t xml:space="preserve"> </w:t>
      </w:r>
      <w:r w:rsidRPr="00DC6D78">
        <w:rPr>
          <w:lang w:val="en-US"/>
        </w:rPr>
        <w:t>hallmark of reasonableness review, setting it apart from the substitution of opinion permitted under correctness.</w:t>
      </w:r>
    </w:p>
    <w:p w:rsidR="00DF4EB4" w:rsidRPr="00DF4EB4" w:rsidRDefault="00DF4EB4" w:rsidP="00DF4EB4">
      <w:pPr>
        <w:pStyle w:val="SCCNormalDoubleSpacing"/>
        <w:spacing w:after="480"/>
      </w:pPr>
      <w:r w:rsidRPr="00DC6D78">
        <w:rPr>
          <w:lang w:val="en-US"/>
        </w:rPr>
        <w:tab/>
        <w:t xml:space="preserve">Deference imposes three requirements on courts conducting reasonableness review. </w:t>
      </w:r>
      <w:r w:rsidRPr="00DC6D78">
        <w:t xml:space="preserve">First, deference is </w:t>
      </w:r>
      <w:r w:rsidRPr="00DC6D78">
        <w:rPr>
          <w:lang w:val="en-US"/>
        </w:rPr>
        <w:t>the attitude a reviewing court must adopt tow</w:t>
      </w:r>
      <w:r>
        <w:rPr>
          <w:lang w:val="en-US"/>
        </w:rPr>
        <w:t>ards an</w:t>
      </w:r>
      <w:r w:rsidR="00EC27B4">
        <w:rPr>
          <w:lang w:val="en-US"/>
        </w:rPr>
        <w:t xml:space="preserve"> administrative decision-</w:t>
      </w:r>
      <w:r w:rsidRPr="00DC6D78">
        <w:rPr>
          <w:lang w:val="en-US"/>
        </w:rPr>
        <w:t>maker.</w:t>
      </w:r>
      <w:r>
        <w:rPr>
          <w:lang w:val="en-US"/>
        </w:rPr>
        <w:t xml:space="preserve"> </w:t>
      </w:r>
      <w:r w:rsidRPr="0084431D">
        <w:rPr>
          <w:lang w:val="en-US"/>
        </w:rPr>
        <w:t>Deference mandates respect for the legislative choice to entrust a decision to administrative actors</w:t>
      </w:r>
      <w:r>
        <w:rPr>
          <w:lang w:val="en-US"/>
        </w:rPr>
        <w:t xml:space="preserve"> rather than to the courts, </w:t>
      </w:r>
      <w:r w:rsidRPr="0084431D">
        <w:rPr>
          <w:lang w:val="en-US"/>
        </w:rPr>
        <w:t xml:space="preserve">for the </w:t>
      </w:r>
      <w:r w:rsidRPr="00DC6D78">
        <w:rPr>
          <w:lang w:val="en-US"/>
        </w:rPr>
        <w:t xml:space="preserve">important role that </w:t>
      </w:r>
      <w:r w:rsidRPr="00DC6D78" w:rsidDel="00784516">
        <w:rPr>
          <w:lang w:val="en-US"/>
        </w:rPr>
        <w:t>a</w:t>
      </w:r>
      <w:r w:rsidR="00EC27B4">
        <w:rPr>
          <w:lang w:val="en-US"/>
        </w:rPr>
        <w:t>dministrative decision-</w:t>
      </w:r>
      <w:r w:rsidRPr="00DC6D78">
        <w:rPr>
          <w:lang w:val="en-US"/>
        </w:rPr>
        <w:t>maker</w:t>
      </w:r>
      <w:r w:rsidRPr="00DC6D78" w:rsidDel="00784516">
        <w:rPr>
          <w:lang w:val="en-US"/>
        </w:rPr>
        <w:t>s play</w:t>
      </w:r>
      <w:r w:rsidRPr="00DC6D78">
        <w:rPr>
          <w:lang w:val="en-US"/>
        </w:rPr>
        <w:t xml:space="preserve">, and for their specialized expertise and the institutional setting in which they operate. Reviewing </w:t>
      </w:r>
      <w:r w:rsidRPr="00DC6D78">
        <w:rPr>
          <w:lang w:val="en-US"/>
        </w:rPr>
        <w:lastRenderedPageBreak/>
        <w:t xml:space="preserve">courts must pay respectful attention to the reasons offered for an administrative decision, make a genuine effort to understand why the decision was made, and give the decision a fair and generous construction. </w:t>
      </w:r>
      <w:r w:rsidRPr="00DC6D78">
        <w:t xml:space="preserve">Second, </w:t>
      </w:r>
      <w:r w:rsidRPr="00DC6D78">
        <w:rPr>
          <w:lang w:val="en-US"/>
        </w:rPr>
        <w:t xml:space="preserve">deference affects how a court frames the question it must answer </w:t>
      </w:r>
      <w:r w:rsidRPr="00DC6D78">
        <w:t>and the nature of its analysis</w:t>
      </w:r>
      <w:r w:rsidRPr="00DC6D78">
        <w:rPr>
          <w:lang w:val="en-US"/>
        </w:rPr>
        <w:t>. A reviewing court does not ask how it</w:t>
      </w:r>
      <w:r w:rsidRPr="00DC6D78">
        <w:rPr>
          <w:i/>
          <w:lang w:val="en-US"/>
        </w:rPr>
        <w:t xml:space="preserve"> </w:t>
      </w:r>
      <w:r w:rsidRPr="00DC6D78">
        <w:rPr>
          <w:lang w:val="en-US"/>
        </w:rPr>
        <w:t xml:space="preserve">would have resolved an issue, but rather whether the </w:t>
      </w:r>
      <w:r w:rsidR="00117BB2">
        <w:rPr>
          <w:lang w:val="en-US"/>
        </w:rPr>
        <w:t>answer provided by the dec</w:t>
      </w:r>
      <w:r w:rsidR="00EC27B4">
        <w:rPr>
          <w:lang w:val="en-US"/>
        </w:rPr>
        <w:t>ision-</w:t>
      </w:r>
      <w:r w:rsidRPr="00DC6D78">
        <w:rPr>
          <w:lang w:val="en-US"/>
        </w:rPr>
        <w:t xml:space="preserve">maker was unreasonable. </w:t>
      </w:r>
      <w:r>
        <w:t xml:space="preserve">Ultimately, </w:t>
      </w:r>
      <w:r w:rsidRPr="00DC6D78">
        <w:rPr>
          <w:lang w:val="en-US"/>
        </w:rPr>
        <w:t>whether an administrative decision</w:t>
      </w:r>
      <w:r>
        <w:rPr>
          <w:lang w:val="en-US"/>
        </w:rPr>
        <w:t xml:space="preserve"> is reasonable </w:t>
      </w:r>
      <w:r w:rsidRPr="0084431D">
        <w:rPr>
          <w:lang w:val="en-US"/>
        </w:rPr>
        <w:t>depend</w:t>
      </w:r>
      <w:r>
        <w:rPr>
          <w:lang w:val="en-US"/>
        </w:rPr>
        <w:t>s</w:t>
      </w:r>
      <w:r w:rsidRPr="0084431D">
        <w:rPr>
          <w:lang w:val="en-US"/>
        </w:rPr>
        <w:t xml:space="preserve"> on the context</w:t>
      </w:r>
      <w:r>
        <w:rPr>
          <w:lang w:val="en-US"/>
        </w:rPr>
        <w:t xml:space="preserve">, and </w:t>
      </w:r>
      <w:r w:rsidRPr="00466736">
        <w:rPr>
          <w:lang w:val="en-US"/>
        </w:rPr>
        <w:t>a reviewing court must be attentive to all relevant circumstances, including the reasons offered to support the decision, the record, the statutory scheme and the particular issu</w:t>
      </w:r>
      <w:r>
        <w:rPr>
          <w:lang w:val="en-US"/>
        </w:rPr>
        <w:t xml:space="preserve">es raised, among other factors. Third, </w:t>
      </w:r>
      <w:r w:rsidRPr="0084431D">
        <w:rPr>
          <w:lang w:val="en-US"/>
        </w:rPr>
        <w:t>deferential</w:t>
      </w:r>
      <w:r w:rsidRPr="0084431D">
        <w:t xml:space="preserve"> </w:t>
      </w:r>
      <w:r w:rsidRPr="0084431D">
        <w:rPr>
          <w:lang w:val="en-US"/>
        </w:rPr>
        <w:t>review impacts how a reviewing court evaluates challenges</w:t>
      </w:r>
      <w:r w:rsidRPr="0084431D">
        <w:rPr>
          <w:i/>
          <w:lang w:val="en-US"/>
        </w:rPr>
        <w:t xml:space="preserve"> </w:t>
      </w:r>
      <w:r w:rsidRPr="0084431D">
        <w:rPr>
          <w:lang w:val="en-US"/>
        </w:rPr>
        <w:t xml:space="preserve">to a decision. </w:t>
      </w:r>
      <w:r>
        <w:rPr>
          <w:lang w:val="en-US"/>
        </w:rPr>
        <w:t>T</w:t>
      </w:r>
      <w:r w:rsidRPr="0084431D">
        <w:rPr>
          <w:lang w:val="en-US"/>
        </w:rPr>
        <w:t xml:space="preserve">he </w:t>
      </w:r>
      <w:r>
        <w:rPr>
          <w:lang w:val="en-US"/>
        </w:rPr>
        <w:t>party</w:t>
      </w:r>
      <w:r w:rsidRPr="0084431D">
        <w:rPr>
          <w:lang w:val="en-US"/>
        </w:rPr>
        <w:t xml:space="preserve"> seeking judicial review bear</w:t>
      </w:r>
      <w:r>
        <w:rPr>
          <w:lang w:val="en-US"/>
        </w:rPr>
        <w:t>s</w:t>
      </w:r>
      <w:r w:rsidRPr="0084431D">
        <w:rPr>
          <w:lang w:val="en-US"/>
        </w:rPr>
        <w:t xml:space="preserve"> the onus of showing that the decision was unreasonable</w:t>
      </w:r>
      <w:r>
        <w:rPr>
          <w:lang w:val="en-US"/>
        </w:rPr>
        <w:t xml:space="preserve">; </w:t>
      </w:r>
      <w:r w:rsidR="00B9735C">
        <w:t>the de</w:t>
      </w:r>
      <w:r w:rsidR="00EC27B4">
        <w:t>cision-</w:t>
      </w:r>
      <w:r w:rsidRPr="0084431D">
        <w:t>maker does not have to persuade the court that its decision is reasonable.</w:t>
      </w:r>
    </w:p>
    <w:p w:rsidR="00DF4EB4" w:rsidRDefault="00DF4EB4" w:rsidP="00DF4EB4">
      <w:pPr>
        <w:pStyle w:val="SCCNormalDoubleSpacing"/>
        <w:spacing w:after="480"/>
        <w:rPr>
          <w:lang w:val="en-US"/>
        </w:rPr>
      </w:pPr>
      <w:r>
        <w:tab/>
      </w:r>
      <w:r w:rsidRPr="0084431D">
        <w:t>T</w:t>
      </w:r>
      <w:r w:rsidRPr="0084431D">
        <w:rPr>
          <w:lang w:val="en-US"/>
        </w:rPr>
        <w:t xml:space="preserve">he administrative decision </w:t>
      </w:r>
      <w:r>
        <w:rPr>
          <w:lang w:val="en-US"/>
        </w:rPr>
        <w:t xml:space="preserve">itself </w:t>
      </w:r>
      <w:r w:rsidRPr="0084431D">
        <w:rPr>
          <w:lang w:val="en-US"/>
        </w:rPr>
        <w:t>is the focal point of the review exercise.</w:t>
      </w:r>
      <w:r>
        <w:rPr>
          <w:lang w:val="en-US"/>
        </w:rPr>
        <w:t xml:space="preserve"> </w:t>
      </w:r>
      <w:r w:rsidRPr="0084431D">
        <w:rPr>
          <w:lang w:val="en-US"/>
        </w:rPr>
        <w:t xml:space="preserve">In all cases, the question remains whether the challenging party has demonstrated that a decision is unreasonable. </w:t>
      </w:r>
      <w:r>
        <w:rPr>
          <w:lang w:val="en-US"/>
        </w:rPr>
        <w:t>W</w:t>
      </w:r>
      <w:r w:rsidRPr="0084431D">
        <w:rPr>
          <w:lang w:val="en-US"/>
        </w:rPr>
        <w:t>here reasons are neither required nor available</w:t>
      </w:r>
      <w:r>
        <w:rPr>
          <w:lang w:val="en-US"/>
        </w:rPr>
        <w:t xml:space="preserve">, </w:t>
      </w:r>
      <w:r w:rsidRPr="0084431D">
        <w:t xml:space="preserve">reasonableness may be justified by past decisions of the administrative </w:t>
      </w:r>
      <w:r w:rsidRPr="00DC6D78">
        <w:t>body or in light of the procedural context</w:t>
      </w:r>
      <w:r w:rsidRPr="00DC6D78">
        <w:rPr>
          <w:lang w:val="en-US"/>
        </w:rPr>
        <w:t>. Where reasons are provided, they serve as the natural starting point to</w:t>
      </w:r>
      <w:r w:rsidR="00B9735C">
        <w:rPr>
          <w:lang w:val="en-US"/>
        </w:rPr>
        <w:t xml:space="preserve"> determine whether the decision</w:t>
      </w:r>
      <w:r w:rsidR="00EC27B4">
        <w:rPr>
          <w:lang w:val="en-US"/>
        </w:rPr>
        <w:t>-</w:t>
      </w:r>
      <w:r w:rsidRPr="00DC6D78">
        <w:rPr>
          <w:lang w:val="en-US"/>
        </w:rPr>
        <w:t xml:space="preserve">maker acted reasonably. </w:t>
      </w:r>
      <w:r w:rsidRPr="0084431D">
        <w:rPr>
          <w:lang w:val="en-US"/>
        </w:rPr>
        <w:t xml:space="preserve">By beginning with the </w:t>
      </w:r>
      <w:r>
        <w:rPr>
          <w:lang w:val="en-US"/>
        </w:rPr>
        <w:t>reasons</w:t>
      </w:r>
      <w:r w:rsidRPr="0084431D">
        <w:rPr>
          <w:lang w:val="en-US"/>
        </w:rPr>
        <w:t xml:space="preserve">, read in light of the surrounding context and the grounds raised, reviewing courts provide meaningful oversight while respecting the legitimacy of specialized administrative decision </w:t>
      </w:r>
      <w:r w:rsidRPr="00DC6D78">
        <w:rPr>
          <w:lang w:val="en-US"/>
        </w:rPr>
        <w:t xml:space="preserve">making. Reviewing courts should approach the reasons with </w:t>
      </w:r>
      <w:r w:rsidRPr="00DC6D78">
        <w:rPr>
          <w:lang w:val="en-US"/>
        </w:rPr>
        <w:lastRenderedPageBreak/>
        <w:t xml:space="preserve">respect </w:t>
      </w:r>
      <w:r w:rsidR="00EC27B4">
        <w:rPr>
          <w:lang w:val="en-US"/>
        </w:rPr>
        <w:t>for the specialized decision-</w:t>
      </w:r>
      <w:r w:rsidRPr="00DC6D78">
        <w:rPr>
          <w:lang w:val="en-US"/>
        </w:rPr>
        <w:t xml:space="preserve">makers, their significant role and the institutional context chosen by the legislator. Reviewing courts should not </w:t>
      </w:r>
      <w:r w:rsidR="00B9735C">
        <w:rPr>
          <w:lang w:val="en-US"/>
        </w:rPr>
        <w:t>second</w:t>
      </w:r>
      <w:r w:rsidR="00B9735C">
        <w:rPr>
          <w:lang w:val="en-US"/>
        </w:rPr>
        <w:noBreakHyphen/>
      </w:r>
      <w:r w:rsidRPr="00DC6D78">
        <w:rPr>
          <w:lang w:val="en-US"/>
        </w:rPr>
        <w:t>guess operational implicatio</w:t>
      </w:r>
      <w:r w:rsidR="00B9735C">
        <w:rPr>
          <w:lang w:val="en-US"/>
        </w:rPr>
        <w:t>ns, practical challenges and on</w:t>
      </w:r>
      <w:r w:rsidR="00B9735C">
        <w:rPr>
          <w:lang w:val="en-US"/>
        </w:rPr>
        <w:noBreakHyphen/>
        <w:t>the</w:t>
      </w:r>
      <w:r w:rsidR="00B9735C">
        <w:rPr>
          <w:lang w:val="en-US"/>
        </w:rPr>
        <w:noBreakHyphen/>
      </w:r>
      <w:r w:rsidRPr="00DC6D78">
        <w:rPr>
          <w:lang w:val="en-US"/>
        </w:rPr>
        <w:t xml:space="preserve">ground knowledge and must remain alert to specialized concepts or language. </w:t>
      </w:r>
      <w:r w:rsidRPr="00DC6D78">
        <w:t xml:space="preserve">Further, a reviewing court is not restricted to the four corners of the written reasons and should, if </w:t>
      </w:r>
      <w:r w:rsidRPr="00DC6D78">
        <w:rPr>
          <w:lang w:val="en-US"/>
        </w:rPr>
        <w:t>faced with a gap in the reasons, look to other materials to see if they shed light on the decision, including: the record of any formal proceedings and th</w:t>
      </w:r>
      <w:r w:rsidR="00EC27B4">
        <w:rPr>
          <w:lang w:val="en-US"/>
        </w:rPr>
        <w:t>e materials before the decision-</w:t>
      </w:r>
      <w:r w:rsidRPr="00DC6D78">
        <w:rPr>
          <w:lang w:val="en-US"/>
        </w:rPr>
        <w:t>maker, past decisions</w:t>
      </w:r>
      <w:r w:rsidRPr="0084431D">
        <w:rPr>
          <w:lang w:val="en-US"/>
        </w:rPr>
        <w:t xml:space="preserve"> of the administrative body, and policies or guidelines developed to guide the type of decision under review</w:t>
      </w:r>
      <w:r>
        <w:rPr>
          <w:lang w:val="en-US"/>
        </w:rPr>
        <w:t xml:space="preserve">. </w:t>
      </w:r>
      <w:r>
        <w:t>T</w:t>
      </w:r>
      <w:r w:rsidRPr="0084431D">
        <w:t xml:space="preserve">hese materials may assist a court in understanding </w:t>
      </w:r>
      <w:r>
        <w:t>the</w:t>
      </w:r>
      <w:r w:rsidRPr="0084431D">
        <w:t xml:space="preserve"> outcome</w:t>
      </w:r>
      <w:r>
        <w:t xml:space="preserve">. </w:t>
      </w:r>
      <w:r w:rsidRPr="0084431D">
        <w:rPr>
          <w:lang w:val="en"/>
        </w:rPr>
        <w:t>In these ways, reviewing courts may legitimately supplement written reasons without supplanting the analysis</w:t>
      </w:r>
      <w:r>
        <w:rPr>
          <w:lang w:val="en"/>
        </w:rPr>
        <w:t xml:space="preserve">. </w:t>
      </w:r>
      <w:r>
        <w:t>R</w:t>
      </w:r>
      <w:r w:rsidRPr="0084431D">
        <w:t xml:space="preserve">easons must be read together with the outcome </w:t>
      </w:r>
      <w:r>
        <w:t>to determine</w:t>
      </w:r>
      <w:r w:rsidRPr="0084431D">
        <w:t xml:space="preserve"> whe</w:t>
      </w:r>
      <w:r>
        <w:t>ther the result falls within a</w:t>
      </w:r>
      <w:r w:rsidRPr="0084431D">
        <w:t xml:space="preserve"> range of possible outcomes</w:t>
      </w:r>
      <w:r>
        <w:t xml:space="preserve">. </w:t>
      </w:r>
      <w:r w:rsidRPr="0084431D">
        <w:t>This approach puts substance over form where the basis for a decision is evident on the record, but not clearly expressed in written reasons.</w:t>
      </w:r>
    </w:p>
    <w:p w:rsidR="00DF4EB4" w:rsidRPr="00A15E2C" w:rsidRDefault="00DF4EB4" w:rsidP="00DF4EB4">
      <w:pPr>
        <w:pStyle w:val="SCCNormalDoubleSpacing"/>
        <w:spacing w:after="480"/>
        <w:rPr>
          <w:lang w:val="en-US"/>
        </w:rPr>
      </w:pPr>
      <w:r>
        <w:rPr>
          <w:lang w:val="en-US"/>
        </w:rPr>
        <w:tab/>
        <w:t>As well, a</w:t>
      </w:r>
      <w:r w:rsidRPr="0084431D">
        <w:rPr>
          <w:lang w:val="en-US"/>
        </w:rPr>
        <w:t xml:space="preserve"> court conducting deferential review must view claims of error in context and with caution, cognizant of the need to avoid substituting its opinion for that of those empowered and better equipped to answer the questions at issue. Because judicial substitution is incompatible with deference, reviewing courts must carefully evaluate the challenges raised to ensure they go to the </w:t>
      </w:r>
      <w:r w:rsidRPr="00DD3484">
        <w:rPr>
          <w:lang w:val="en-US"/>
        </w:rPr>
        <w:t>reasonableness</w:t>
      </w:r>
      <w:r w:rsidRPr="0084431D">
        <w:rPr>
          <w:i/>
          <w:lang w:val="en-US"/>
        </w:rPr>
        <w:t xml:space="preserve"> </w:t>
      </w:r>
      <w:r w:rsidRPr="0084431D">
        <w:rPr>
          <w:lang w:val="en-US"/>
        </w:rPr>
        <w:t>of the decision</w:t>
      </w:r>
      <w:r>
        <w:rPr>
          <w:lang w:val="en-US"/>
        </w:rPr>
        <w:t xml:space="preserve"> rather than representing </w:t>
      </w:r>
      <w:r w:rsidRPr="0084431D">
        <w:rPr>
          <w:lang w:val="en-US"/>
        </w:rPr>
        <w:t>a mere difference of opinion.</w:t>
      </w:r>
      <w:r>
        <w:rPr>
          <w:lang w:val="en-US"/>
        </w:rPr>
        <w:t xml:space="preserve"> C</w:t>
      </w:r>
      <w:r w:rsidRPr="0084431D">
        <w:rPr>
          <w:lang w:val="en-US"/>
        </w:rPr>
        <w:t xml:space="preserve">ourts must also consider the </w:t>
      </w:r>
      <w:r w:rsidRPr="00DD3484">
        <w:rPr>
          <w:lang w:val="en-US"/>
        </w:rPr>
        <w:t>materiality</w:t>
      </w:r>
      <w:r w:rsidRPr="0084431D">
        <w:rPr>
          <w:lang w:val="en-US"/>
        </w:rPr>
        <w:t xml:space="preserve"> of any alleged errors. </w:t>
      </w:r>
      <w:r w:rsidRPr="0084431D">
        <w:t>An error that is peripheral to the reasoning process is not sufficient to justify quashing a decision.</w:t>
      </w:r>
      <w:r>
        <w:t xml:space="preserve"> T</w:t>
      </w:r>
      <w:r w:rsidRPr="0084431D">
        <w:rPr>
          <w:lang w:val="en-US"/>
        </w:rPr>
        <w:t xml:space="preserve">he same deferential approach must apply </w:t>
      </w:r>
      <w:r w:rsidRPr="0084431D">
        <w:rPr>
          <w:lang w:val="en-US"/>
        </w:rPr>
        <w:lastRenderedPageBreak/>
        <w:t xml:space="preserve">with equal force to statutory interpretation cases. </w:t>
      </w:r>
      <w:r>
        <w:rPr>
          <w:lang w:val="en-US"/>
        </w:rPr>
        <w:t>In such cases</w:t>
      </w:r>
      <w:r w:rsidRPr="0084431D">
        <w:rPr>
          <w:lang w:val="en-US"/>
        </w:rPr>
        <w:t>, a court should not assess the decision by determining what, in its own view, would be a reasonable interpretation. Such an approach imperils deference</w:t>
      </w:r>
      <w:r>
        <w:rPr>
          <w:lang w:val="en-US"/>
        </w:rPr>
        <w:t>. A</w:t>
      </w:r>
      <w:r w:rsidRPr="0084431D">
        <w:rPr>
          <w:lang w:val="en-US"/>
        </w:rPr>
        <w:t xml:space="preserve"> </w:t>
      </w:r>
      <w:r w:rsidRPr="0084431D">
        <w:rPr>
          <w:i/>
          <w:lang w:val="en-US"/>
        </w:rPr>
        <w:t xml:space="preserve">de novo </w:t>
      </w:r>
      <w:r w:rsidRPr="0084431D">
        <w:rPr>
          <w:lang w:val="en-US"/>
        </w:rPr>
        <w:t>interpretation of a statute</w:t>
      </w:r>
      <w:r>
        <w:rPr>
          <w:lang w:val="en-US"/>
        </w:rPr>
        <w:t xml:space="preserve"> </w:t>
      </w:r>
      <w:r w:rsidRPr="0084431D">
        <w:rPr>
          <w:lang w:val="en-US"/>
        </w:rPr>
        <w:t>necessarily omi</w:t>
      </w:r>
      <w:r w:rsidR="00B9735C">
        <w:rPr>
          <w:lang w:val="en-US"/>
        </w:rPr>
        <w:t>ts the perspective of the front</w:t>
      </w:r>
      <w:r w:rsidR="00B9735C">
        <w:rPr>
          <w:lang w:val="en-US"/>
        </w:rPr>
        <w:noBreakHyphen/>
      </w:r>
      <w:r w:rsidRPr="0084431D">
        <w:rPr>
          <w:lang w:val="en-US"/>
        </w:rPr>
        <w:t>line, specialized administrative body that routinely applies the statutory scheme in question</w:t>
      </w:r>
      <w:r>
        <w:rPr>
          <w:lang w:val="en-US"/>
        </w:rPr>
        <w:t xml:space="preserve">. </w:t>
      </w:r>
      <w:r w:rsidRPr="0084431D">
        <w:rPr>
          <w:lang w:val="en-US"/>
        </w:rPr>
        <w:t>By placing that perspective at the heart of the judicial review inquiry, courts dis</w:t>
      </w:r>
      <w:r>
        <w:rPr>
          <w:lang w:val="en-US"/>
        </w:rPr>
        <w:t xml:space="preserve">play respect for </w:t>
      </w:r>
      <w:r w:rsidRPr="0084431D">
        <w:rPr>
          <w:lang w:val="en-US"/>
        </w:rPr>
        <w:t>specialization and expertise, and for the legislative choice to de</w:t>
      </w:r>
      <w:r w:rsidR="00B9735C">
        <w:rPr>
          <w:lang w:val="en-US"/>
        </w:rPr>
        <w:t>legate certain questions to non</w:t>
      </w:r>
      <w:r w:rsidR="00B9735C">
        <w:rPr>
          <w:lang w:val="en-US"/>
        </w:rPr>
        <w:noBreakHyphen/>
      </w:r>
      <w:r w:rsidRPr="0084431D">
        <w:rPr>
          <w:lang w:val="en-US"/>
        </w:rPr>
        <w:t xml:space="preserve">judicial bodies. </w:t>
      </w:r>
      <w:r w:rsidRPr="0084431D">
        <w:t xml:space="preserve">Conversely, by </w:t>
      </w:r>
      <w:r w:rsidRPr="0084431D">
        <w:rPr>
          <w:lang w:val="en-US"/>
        </w:rPr>
        <w:t xml:space="preserve">imposing their own interpretation of a </w:t>
      </w:r>
      <w:r>
        <w:rPr>
          <w:lang w:val="en-US"/>
        </w:rPr>
        <w:t>statute</w:t>
      </w:r>
      <w:r w:rsidRPr="0084431D">
        <w:rPr>
          <w:lang w:val="en-US"/>
        </w:rPr>
        <w:t xml:space="preserve">, courts </w:t>
      </w:r>
      <w:r w:rsidRPr="00DD3484">
        <w:rPr>
          <w:lang w:val="en-US"/>
        </w:rPr>
        <w:t>undermine</w:t>
      </w:r>
      <w:r w:rsidRPr="0084431D">
        <w:rPr>
          <w:lang w:val="en-US"/>
        </w:rPr>
        <w:t xml:space="preserve"> legislative intent.</w:t>
      </w:r>
    </w:p>
    <w:p w:rsidR="00DF4EB4" w:rsidRPr="00415048" w:rsidRDefault="00DF4EB4" w:rsidP="00DF4EB4">
      <w:pPr>
        <w:pStyle w:val="SCCNormalDoubleSpacing"/>
        <w:spacing w:after="480"/>
      </w:pPr>
      <w:r>
        <w:tab/>
      </w:r>
      <w:r>
        <w:rPr>
          <w:lang w:val="en-US"/>
        </w:rPr>
        <w:t>I</w:t>
      </w:r>
      <w:r>
        <w:t xml:space="preserve">n the instant case, there is agreement with the majority that </w:t>
      </w:r>
      <w:r w:rsidRPr="00415048">
        <w:t>the standard of review is reasonableness.</w:t>
      </w:r>
      <w:r>
        <w:t xml:space="preserve"> </w:t>
      </w:r>
      <w:r>
        <w:rPr>
          <w:lang w:val="en-US"/>
        </w:rPr>
        <w:t>T</w:t>
      </w:r>
      <w:r>
        <w:t>he Registrar’s reasons</w:t>
      </w:r>
      <w:r>
        <w:rPr>
          <w:lang w:val="en-US"/>
        </w:rPr>
        <w:t xml:space="preserve"> </w:t>
      </w:r>
      <w:r w:rsidRPr="0084431D">
        <w:t xml:space="preserve">failed to respond to </w:t>
      </w:r>
      <w:r>
        <w:t>V’s submission</w:t>
      </w:r>
      <w:r w:rsidRPr="0084431D">
        <w:t xml:space="preserve"> </w:t>
      </w:r>
      <w:r>
        <w:t>that the objectives of s. </w:t>
      </w:r>
      <w:r w:rsidRPr="0084431D">
        <w:t>3(2</w:t>
      </w:r>
      <w:proofErr w:type="gramStart"/>
      <w:r w:rsidRPr="0084431D">
        <w:t>)(</w:t>
      </w:r>
      <w:proofErr w:type="gramEnd"/>
      <w:r w:rsidRPr="0084431D">
        <w:t>a)</w:t>
      </w:r>
      <w:r>
        <w:t xml:space="preserve"> of the </w:t>
      </w:r>
      <w:r>
        <w:rPr>
          <w:i/>
        </w:rPr>
        <w:t>Citizenship Act</w:t>
      </w:r>
      <w:r w:rsidRPr="0084431D">
        <w:t xml:space="preserve"> require </w:t>
      </w:r>
      <w:r>
        <w:t>its</w:t>
      </w:r>
      <w:r w:rsidRPr="0084431D">
        <w:t xml:space="preserve"> terms to be read narrowly.</w:t>
      </w:r>
      <w:r>
        <w:t xml:space="preserve"> Instead, the Registrar interpreted s. </w:t>
      </w:r>
      <w:r w:rsidRPr="0084431D">
        <w:t>3(2</w:t>
      </w:r>
      <w:proofErr w:type="gramStart"/>
      <w:r w:rsidRPr="0084431D">
        <w:t>)(</w:t>
      </w:r>
      <w:proofErr w:type="gramEnd"/>
      <w:r w:rsidRPr="0084431D">
        <w:t xml:space="preserve">a) broadly, based on </w:t>
      </w:r>
      <w:r>
        <w:t>a</w:t>
      </w:r>
      <w:r w:rsidRPr="0084431D">
        <w:t xml:space="preserve"> purely textual assessment. This reading was only reasonable if the text is read in isolation from its objective. Nothing in the history of this provision indicates that Parliament intended to widen its scope.</w:t>
      </w:r>
      <w:r>
        <w:t xml:space="preserve"> Furthermore, t</w:t>
      </w:r>
      <w:r w:rsidRPr="0084431D">
        <w:t>he judicial treatment of this provision also points to the need for a narrow interpretation.</w:t>
      </w:r>
      <w:r>
        <w:t xml:space="preserve"> In addition, the text of s. </w:t>
      </w:r>
      <w:r w:rsidRPr="0084431D">
        <w:t>3(2)(c) can be seen as undermining the Registrar’s interpretation</w:t>
      </w:r>
      <w:r>
        <w:t xml:space="preserve"> of s. 3(2)(a), because the former</w:t>
      </w:r>
      <w:r w:rsidRPr="0084431D">
        <w:t xml:space="preserve"> denies citizenship to children born to individuals who enjoy </w:t>
      </w:r>
      <w:r w:rsidRPr="0084431D">
        <w:rPr>
          <w:lang w:val="en-US"/>
        </w:rPr>
        <w:t xml:space="preserve">diplomatic privileges and immunities equivalent to those granted to persons referred to in </w:t>
      </w:r>
      <w:r>
        <w:rPr>
          <w:lang w:val="en-US"/>
        </w:rPr>
        <w:t>the latter</w:t>
      </w:r>
      <w:r w:rsidRPr="0084431D">
        <w:rPr>
          <w:lang w:val="en-US"/>
        </w:rPr>
        <w:t xml:space="preserve">. </w:t>
      </w:r>
      <w:r>
        <w:rPr>
          <w:lang w:val="en-US"/>
        </w:rPr>
        <w:t>This suggests that s. </w:t>
      </w:r>
      <w:r w:rsidRPr="0084431D">
        <w:rPr>
          <w:lang w:val="en-US"/>
        </w:rPr>
        <w:t>3(2</w:t>
      </w:r>
      <w:proofErr w:type="gramStart"/>
      <w:r w:rsidRPr="0084431D">
        <w:rPr>
          <w:lang w:val="en-US"/>
        </w:rPr>
        <w:t>)(</w:t>
      </w:r>
      <w:proofErr w:type="gramEnd"/>
      <w:r w:rsidRPr="0084431D">
        <w:rPr>
          <w:lang w:val="en-US"/>
        </w:rPr>
        <w:t xml:space="preserve">a) covers </w:t>
      </w:r>
      <w:r w:rsidRPr="00B9321C">
        <w:rPr>
          <w:lang w:val="en-US"/>
        </w:rPr>
        <w:t>only</w:t>
      </w:r>
      <w:r w:rsidRPr="0084431D">
        <w:rPr>
          <w:lang w:val="en-US"/>
        </w:rPr>
        <w:t xml:space="preserve"> those employees in Canada of a foreign government</w:t>
      </w:r>
      <w:r>
        <w:rPr>
          <w:lang w:val="en-US"/>
        </w:rPr>
        <w:t xml:space="preserve"> </w:t>
      </w:r>
      <w:r w:rsidRPr="0084431D">
        <w:rPr>
          <w:lang w:val="en-US"/>
        </w:rPr>
        <w:t xml:space="preserve">who </w:t>
      </w:r>
      <w:r w:rsidRPr="0084431D">
        <w:rPr>
          <w:lang w:val="en-US"/>
        </w:rPr>
        <w:lastRenderedPageBreak/>
        <w:t xml:space="preserve">have </w:t>
      </w:r>
      <w:r>
        <w:rPr>
          <w:lang w:val="en-US"/>
        </w:rPr>
        <w:t>such</w:t>
      </w:r>
      <w:r w:rsidRPr="0084431D">
        <w:rPr>
          <w:lang w:val="en-US"/>
        </w:rPr>
        <w:t xml:space="preserve"> privileges and immunities</w:t>
      </w:r>
      <w:r>
        <w:rPr>
          <w:lang w:val="en-US"/>
        </w:rPr>
        <w:t>, in contrast with V’s parents</w:t>
      </w:r>
      <w:r w:rsidRPr="0084431D">
        <w:rPr>
          <w:lang w:val="en-US"/>
        </w:rPr>
        <w:t>.</w:t>
      </w:r>
      <w:r>
        <w:rPr>
          <w:lang w:val="en-US"/>
        </w:rPr>
        <w:t xml:space="preserve"> </w:t>
      </w:r>
      <w:r w:rsidRPr="0084431D">
        <w:t xml:space="preserve">By ignoring the </w:t>
      </w:r>
      <w:r w:rsidRPr="00353807">
        <w:t xml:space="preserve">objectives of </w:t>
      </w:r>
      <w:r>
        <w:t>s. </w:t>
      </w:r>
      <w:r w:rsidRPr="00353807">
        <w:t>3 as a whole, the</w:t>
      </w:r>
      <w:r w:rsidRPr="0084431D">
        <w:t xml:space="preserve"> Registrar’s decision </w:t>
      </w:r>
      <w:r>
        <w:t>was</w:t>
      </w:r>
      <w:r w:rsidRPr="0084431D">
        <w:t xml:space="preserve"> unreasonable.</w:t>
      </w:r>
    </w:p>
    <w:p w:rsidR="007E1C47" w:rsidRDefault="002E6705" w:rsidP="00CD0774">
      <w:pPr>
        <w:pStyle w:val="SCCNormalDoubleSpacing"/>
        <w:spacing w:after="720" w:line="240" w:lineRule="auto"/>
        <w:rPr>
          <w:b/>
        </w:rPr>
      </w:pPr>
      <w:r w:rsidRPr="00314E01">
        <w:rPr>
          <w:b/>
        </w:rPr>
        <w:t>Cases Cited</w:t>
      </w:r>
    </w:p>
    <w:p w:rsidR="00A149DF" w:rsidRPr="00613969" w:rsidRDefault="008A142E" w:rsidP="00CD0774">
      <w:pPr>
        <w:pStyle w:val="SCCNormalDoubleSpacing"/>
        <w:spacing w:after="720" w:line="240" w:lineRule="auto"/>
      </w:pPr>
      <w:r>
        <w:t>By Wagner </w:t>
      </w:r>
      <w:r w:rsidR="00EE364B">
        <w:t>C.J.</w:t>
      </w:r>
      <w:r w:rsidR="00932293">
        <w:t xml:space="preserve"> and </w:t>
      </w:r>
      <w:proofErr w:type="spellStart"/>
      <w:r w:rsidR="00932293">
        <w:t>Moldaver</w:t>
      </w:r>
      <w:proofErr w:type="spellEnd"/>
      <w:r w:rsidR="00932293">
        <w:t xml:space="preserve">, </w:t>
      </w:r>
      <w:proofErr w:type="spellStart"/>
      <w:r w:rsidR="00932293">
        <w:t>Gascon</w:t>
      </w:r>
      <w:proofErr w:type="spellEnd"/>
      <w:r w:rsidR="00932293">
        <w:t>, Côté, Brown, Rowe and Martin JJ.</w:t>
      </w:r>
    </w:p>
    <w:p w:rsidR="00890B06" w:rsidRPr="003B74FC" w:rsidRDefault="002E6705" w:rsidP="00CD0774">
      <w:pPr>
        <w:pStyle w:val="SCCNormalDoubleSpacing"/>
        <w:spacing w:after="480"/>
      </w:pPr>
      <w:r>
        <w:tab/>
      </w:r>
      <w:r w:rsidR="001A1528">
        <w:rPr>
          <w:b/>
        </w:rPr>
        <w:t xml:space="preserve">Considered: </w:t>
      </w:r>
      <w:r w:rsidR="001A1528" w:rsidRPr="00890B06">
        <w:rPr>
          <w:i/>
        </w:rPr>
        <w:t>Baker v. Canada (Minister of Citizenship and Immigration)</w:t>
      </w:r>
      <w:r w:rsidR="001A1528" w:rsidRPr="00890B06">
        <w:t>,</w:t>
      </w:r>
      <w:r w:rsidR="001A1528" w:rsidRPr="00890B06">
        <w:rPr>
          <w:i/>
        </w:rPr>
        <w:t xml:space="preserve"> </w:t>
      </w:r>
      <w:r w:rsidR="001A1528" w:rsidRPr="00890B06">
        <w:t>[1999] 2 S.C.R. 817;</w:t>
      </w:r>
      <w:r w:rsidR="001A1528">
        <w:t xml:space="preserve"> </w:t>
      </w:r>
      <w:r w:rsidR="001A1528" w:rsidRPr="00890B06">
        <w:rPr>
          <w:i/>
        </w:rPr>
        <w:t xml:space="preserve">Delta Air Lines Inc. </w:t>
      </w:r>
      <w:r w:rsidR="001A1528" w:rsidRPr="00890B06">
        <w:rPr>
          <w:i/>
          <w:iCs/>
        </w:rPr>
        <w:t>v.</w:t>
      </w:r>
      <w:r w:rsidR="001A1528" w:rsidRPr="00890B06">
        <w:rPr>
          <w:i/>
        </w:rPr>
        <w:t xml:space="preserve"> </w:t>
      </w:r>
      <w:proofErr w:type="spellStart"/>
      <w:r w:rsidR="001A1528" w:rsidRPr="00890B06">
        <w:rPr>
          <w:i/>
        </w:rPr>
        <w:t>Lukács</w:t>
      </w:r>
      <w:proofErr w:type="spellEnd"/>
      <w:r w:rsidR="001A1528" w:rsidRPr="00890B06">
        <w:t>, 2018 SCC 2, [2018] 1 S.C.R. 6;</w:t>
      </w:r>
      <w:r w:rsidR="001A1528">
        <w:t xml:space="preserve"> </w:t>
      </w:r>
      <w:r w:rsidR="001A1528" w:rsidRPr="00890B06">
        <w:rPr>
          <w:i/>
          <w:szCs w:val="24"/>
        </w:rPr>
        <w:t>Nova Tube Inc./Nova Steel Inc.</w:t>
      </w:r>
      <w:r w:rsidR="001A1528" w:rsidRPr="00890B06">
        <w:rPr>
          <w:szCs w:val="24"/>
        </w:rPr>
        <w:t xml:space="preserve"> </w:t>
      </w:r>
      <w:r w:rsidR="001A1528" w:rsidRPr="00890B06">
        <w:rPr>
          <w:i/>
          <w:szCs w:val="24"/>
        </w:rPr>
        <w:t xml:space="preserve">v. </w:t>
      </w:r>
      <w:proofErr w:type="spellStart"/>
      <w:r w:rsidR="001A1528" w:rsidRPr="00890B06">
        <w:rPr>
          <w:i/>
          <w:szCs w:val="24"/>
        </w:rPr>
        <w:t>Conares</w:t>
      </w:r>
      <w:proofErr w:type="spellEnd"/>
      <w:r w:rsidR="001A1528" w:rsidRPr="00890B06">
        <w:rPr>
          <w:i/>
          <w:szCs w:val="24"/>
        </w:rPr>
        <w:t xml:space="preserve"> Metal Supply Ltd.</w:t>
      </w:r>
      <w:r w:rsidR="001A1528" w:rsidRPr="00890B06">
        <w:rPr>
          <w:szCs w:val="24"/>
        </w:rPr>
        <w:t>, 2019 FCA 52</w:t>
      </w:r>
      <w:r w:rsidR="001A1528" w:rsidRPr="00890B06">
        <w:t>;</w:t>
      </w:r>
      <w:r w:rsidR="001A1528">
        <w:t xml:space="preserve"> </w:t>
      </w:r>
      <w:r w:rsidR="001A1528" w:rsidRPr="00890B06">
        <w:rPr>
          <w:i/>
        </w:rPr>
        <w:t>Al</w:t>
      </w:r>
      <w:r w:rsidR="001A1528">
        <w:rPr>
          <w:i/>
        </w:rPr>
        <w:noBreakHyphen/>
      </w:r>
      <w:proofErr w:type="spellStart"/>
      <w:r w:rsidR="001A1528" w:rsidRPr="00890B06">
        <w:rPr>
          <w:i/>
        </w:rPr>
        <w:t>Ghamdi</w:t>
      </w:r>
      <w:proofErr w:type="spellEnd"/>
      <w:r w:rsidR="001A1528" w:rsidRPr="00890B06">
        <w:rPr>
          <w:i/>
        </w:rPr>
        <w:t xml:space="preserve"> v. Canada (</w:t>
      </w:r>
      <w:r w:rsidR="001A1528">
        <w:rPr>
          <w:i/>
        </w:rPr>
        <w:t xml:space="preserve">Minister of Foreign Affairs </w:t>
      </w:r>
      <w:r w:rsidR="001479D3">
        <w:rPr>
          <w:i/>
        </w:rPr>
        <w:t>and</w:t>
      </w:r>
      <w:r w:rsidR="001A1528" w:rsidRPr="00890B06">
        <w:rPr>
          <w:i/>
        </w:rPr>
        <w:t xml:space="preserve"> International Trade)</w:t>
      </w:r>
      <w:r w:rsidR="001A1528" w:rsidRPr="00890B06">
        <w:t>, 2007 FC 559,</w:t>
      </w:r>
      <w:r w:rsidR="001A1528">
        <w:t xml:space="preserve"> 64 </w:t>
      </w:r>
      <w:proofErr w:type="spellStart"/>
      <w:r w:rsidR="001A1528">
        <w:t>Imm</w:t>
      </w:r>
      <w:proofErr w:type="spellEnd"/>
      <w:r w:rsidR="001A1528">
        <w:t>. L.R. (3d) 67</w:t>
      </w:r>
      <w:r w:rsidR="001A1528" w:rsidRPr="00890B06">
        <w:t>;</w:t>
      </w:r>
      <w:r w:rsidR="001A1528">
        <w:t xml:space="preserve"> </w:t>
      </w:r>
      <w:r w:rsidR="001A1528" w:rsidRPr="00890B06">
        <w:rPr>
          <w:i/>
        </w:rPr>
        <w:t>Lee v. Canada (Minister of Citizenship and Immigration)</w:t>
      </w:r>
      <w:r w:rsidR="001A1528" w:rsidRPr="00890B06">
        <w:t>,</w:t>
      </w:r>
      <w:r w:rsidR="001A1528" w:rsidRPr="00890B06">
        <w:rPr>
          <w:i/>
        </w:rPr>
        <w:t xml:space="preserve"> </w:t>
      </w:r>
      <w:r w:rsidR="001A1528" w:rsidRPr="00890B06">
        <w:t xml:space="preserve">2008 FC 614, [2009] 1 F.C.R. 204; </w:t>
      </w:r>
      <w:proofErr w:type="spellStart"/>
      <w:r w:rsidR="001A1528" w:rsidRPr="00890B06">
        <w:rPr>
          <w:i/>
        </w:rPr>
        <w:t>Hitti</w:t>
      </w:r>
      <w:proofErr w:type="spellEnd"/>
      <w:r w:rsidR="001A1528" w:rsidRPr="00890B06">
        <w:rPr>
          <w:i/>
        </w:rPr>
        <w:t xml:space="preserve"> v. Canada (Minister of Citizenship and Immigration)</w:t>
      </w:r>
      <w:r w:rsidR="001A1528" w:rsidRPr="00890B06">
        <w:t>, 2007 FC 294, 310 F.T.R. 16</w:t>
      </w:r>
      <w:r w:rsidR="00433EE1">
        <w:t>8</w:t>
      </w:r>
      <w:r w:rsidR="001A1528" w:rsidRPr="00890B06">
        <w:t>;</w:t>
      </w:r>
      <w:r w:rsidR="001A1528">
        <w:t xml:space="preserve"> </w:t>
      </w:r>
      <w:r w:rsidR="001A1528">
        <w:rPr>
          <w:b/>
        </w:rPr>
        <w:t>explained:</w:t>
      </w:r>
      <w:r w:rsidR="001A1528">
        <w:t xml:space="preserve"> </w:t>
      </w:r>
      <w:r w:rsidR="001A1528" w:rsidRPr="00890B06">
        <w:rPr>
          <w:i/>
          <w:lang w:val="en-US"/>
        </w:rPr>
        <w:t>Alberta (Information and Privacy Commissioner) v. Alberta Teachers</w:t>
      </w:r>
      <w:r w:rsidR="001A1528">
        <w:rPr>
          <w:i/>
          <w:lang w:val="en-US"/>
        </w:rPr>
        <w:t>’</w:t>
      </w:r>
      <w:r w:rsidR="001A1528" w:rsidRPr="00890B06">
        <w:rPr>
          <w:i/>
          <w:lang w:val="en-US"/>
        </w:rPr>
        <w:t xml:space="preserve"> Association</w:t>
      </w:r>
      <w:r w:rsidR="001A1528" w:rsidRPr="00890B06">
        <w:t xml:space="preserve">, 2011 SCC 61, </w:t>
      </w:r>
      <w:r w:rsidR="001A1528" w:rsidRPr="00890B06">
        <w:rPr>
          <w:lang w:val="en"/>
        </w:rPr>
        <w:t>[2011] 3 S.C.R. 654;</w:t>
      </w:r>
      <w:r w:rsidR="001A1528">
        <w:rPr>
          <w:lang w:val="en"/>
        </w:rPr>
        <w:t xml:space="preserve"> </w:t>
      </w:r>
      <w:r w:rsidR="001A1528" w:rsidRPr="00890B06">
        <w:rPr>
          <w:i/>
          <w:lang w:val="en"/>
        </w:rPr>
        <w:t>Newfoundland and Labrador Nurses</w:t>
      </w:r>
      <w:r w:rsidR="001A1528">
        <w:rPr>
          <w:i/>
          <w:lang w:val="en"/>
        </w:rPr>
        <w:t>’</w:t>
      </w:r>
      <w:r w:rsidR="001A1528" w:rsidRPr="00890B06">
        <w:rPr>
          <w:i/>
          <w:lang w:val="en"/>
        </w:rPr>
        <w:t xml:space="preserve"> Union v. Newfoundland and Labrador (Treasury Board)</w:t>
      </w:r>
      <w:r w:rsidR="001A1528" w:rsidRPr="00890B06">
        <w:rPr>
          <w:lang w:val="en"/>
        </w:rPr>
        <w:t>, 2011 SCC 62, [2011] 3 S.C.R. 708;</w:t>
      </w:r>
      <w:r w:rsidR="001A1528">
        <w:t xml:space="preserve"> </w:t>
      </w:r>
      <w:r w:rsidR="001A1528" w:rsidRPr="001A2C35">
        <w:rPr>
          <w:b/>
        </w:rPr>
        <w:t>d</w:t>
      </w:r>
      <w:r w:rsidR="00673F2B" w:rsidRPr="001A2C35">
        <w:rPr>
          <w:b/>
        </w:rPr>
        <w:t xml:space="preserve">iscussed: </w:t>
      </w:r>
      <w:r w:rsidR="00673F2B" w:rsidRPr="001A2C35">
        <w:rPr>
          <w:i/>
        </w:rPr>
        <w:t>Dunsmuir v. New Brunswick</w:t>
      </w:r>
      <w:r w:rsidR="00673F2B" w:rsidRPr="001A2C35">
        <w:t>,</w:t>
      </w:r>
      <w:r w:rsidR="00673F2B" w:rsidRPr="001A2C35">
        <w:rPr>
          <w:i/>
        </w:rPr>
        <w:t xml:space="preserve"> </w:t>
      </w:r>
      <w:r w:rsidR="00673F2B" w:rsidRPr="001A2C35">
        <w:t>2008 SCC 9, [2008] 1 S.C.R. 190;</w:t>
      </w:r>
      <w:r w:rsidR="00673F2B">
        <w:t xml:space="preserve"> </w:t>
      </w:r>
      <w:r w:rsidR="00673F2B">
        <w:rPr>
          <w:b/>
        </w:rPr>
        <w:t>r</w:t>
      </w:r>
      <w:r w:rsidRPr="00314E01">
        <w:rPr>
          <w:b/>
        </w:rPr>
        <w:t>eferred to:</w:t>
      </w:r>
      <w:r w:rsidR="00BD0E9E" w:rsidRPr="00BD0E9E">
        <w:t xml:space="preserve"> </w:t>
      </w:r>
      <w:r w:rsidR="00890B06" w:rsidRPr="00890B06">
        <w:rPr>
          <w:i/>
        </w:rPr>
        <w:t>Bell</w:t>
      </w:r>
      <w:r w:rsidR="00890B06" w:rsidRPr="00890B06">
        <w:rPr>
          <w:i/>
          <w:szCs w:val="24"/>
        </w:rPr>
        <w:t xml:space="preserve"> Cana</w:t>
      </w:r>
      <w:r w:rsidR="00EF69B5">
        <w:rPr>
          <w:i/>
          <w:szCs w:val="24"/>
        </w:rPr>
        <w:t xml:space="preserve">da v. Canada (Attorney </w:t>
      </w:r>
      <w:r w:rsidR="00EF69B5" w:rsidRPr="00321EE3">
        <w:rPr>
          <w:i/>
          <w:szCs w:val="24"/>
        </w:rPr>
        <w:t>General)</w:t>
      </w:r>
      <w:r w:rsidR="00EF69B5" w:rsidRPr="00321EE3">
        <w:rPr>
          <w:szCs w:val="24"/>
        </w:rPr>
        <w:t xml:space="preserve">, </w:t>
      </w:r>
      <w:r w:rsidR="00321EE3" w:rsidRPr="00321EE3">
        <w:rPr>
          <w:szCs w:val="24"/>
        </w:rPr>
        <w:t>2019 SCC 66</w:t>
      </w:r>
      <w:r w:rsidR="00E23B41">
        <w:rPr>
          <w:szCs w:val="24"/>
        </w:rPr>
        <w:t xml:space="preserve">, [2019] </w:t>
      </w:r>
      <w:r w:rsidR="00192BE4">
        <w:rPr>
          <w:szCs w:val="24"/>
        </w:rPr>
        <w:t>4</w:t>
      </w:r>
      <w:r w:rsidR="00E23B41">
        <w:rPr>
          <w:szCs w:val="24"/>
        </w:rPr>
        <w:t xml:space="preserve"> S.C.R. </w:t>
      </w:r>
      <w:r w:rsidR="00D6025B">
        <w:rPr>
          <w:szCs w:val="24"/>
        </w:rPr>
        <w:t>845</w:t>
      </w:r>
      <w:r w:rsidR="00890B06" w:rsidRPr="00321EE3">
        <w:rPr>
          <w:szCs w:val="24"/>
        </w:rPr>
        <w:t>;</w:t>
      </w:r>
      <w:r w:rsidR="00890B06" w:rsidRPr="00890B06">
        <w:rPr>
          <w:szCs w:val="24"/>
        </w:rPr>
        <w:t xml:space="preserve"> </w:t>
      </w:r>
      <w:proofErr w:type="spellStart"/>
      <w:r w:rsidR="00890B06" w:rsidRPr="00890B06">
        <w:rPr>
          <w:i/>
        </w:rPr>
        <w:t>Mouvement</w:t>
      </w:r>
      <w:proofErr w:type="spellEnd"/>
      <w:r w:rsidR="00890B06" w:rsidRPr="00890B06">
        <w:rPr>
          <w:i/>
        </w:rPr>
        <w:t xml:space="preserve"> </w:t>
      </w:r>
      <w:proofErr w:type="spellStart"/>
      <w:r w:rsidR="00890B06" w:rsidRPr="00890B06">
        <w:rPr>
          <w:i/>
        </w:rPr>
        <w:t>laïque</w:t>
      </w:r>
      <w:proofErr w:type="spellEnd"/>
      <w:r w:rsidR="00890B06" w:rsidRPr="00890B06">
        <w:rPr>
          <w:i/>
        </w:rPr>
        <w:t xml:space="preserve"> </w:t>
      </w:r>
      <w:proofErr w:type="spellStart"/>
      <w:r w:rsidR="00890B06" w:rsidRPr="00890B06">
        <w:rPr>
          <w:i/>
        </w:rPr>
        <w:t>québécois</w:t>
      </w:r>
      <w:proofErr w:type="spellEnd"/>
      <w:r w:rsidR="00890B06" w:rsidRPr="00890B06">
        <w:rPr>
          <w:i/>
        </w:rPr>
        <w:t xml:space="preserve"> v. Saguenay (City)</w:t>
      </w:r>
      <w:r w:rsidR="00890B06" w:rsidRPr="00890B06">
        <w:t xml:space="preserve">, 2015 SCC 16, [2015] 2 S.C.R. 3; </w:t>
      </w:r>
      <w:r w:rsidR="00890B06" w:rsidRPr="00890B06">
        <w:rPr>
          <w:i/>
          <w:iCs/>
        </w:rPr>
        <w:t>Canadian National Railway Co. v. Canada (Attorney General)</w:t>
      </w:r>
      <w:r w:rsidR="00890B06" w:rsidRPr="00890B06">
        <w:t>, 2014 SCC 40,</w:t>
      </w:r>
      <w:r w:rsidR="00890B06" w:rsidRPr="00890B06">
        <w:rPr>
          <w:smallCaps/>
        </w:rPr>
        <w:t xml:space="preserve"> [2014] 2 S.C.R. 135</w:t>
      </w:r>
      <w:r w:rsidR="00890B06" w:rsidRPr="00890B06">
        <w:t xml:space="preserve">; </w:t>
      </w:r>
      <w:r w:rsidR="00890B06" w:rsidRPr="00890B06">
        <w:rPr>
          <w:i/>
          <w:iCs/>
        </w:rPr>
        <w:t>Canadian Artists</w:t>
      </w:r>
      <w:r w:rsidR="008D5707">
        <w:rPr>
          <w:i/>
          <w:iCs/>
        </w:rPr>
        <w:t>’</w:t>
      </w:r>
      <w:r w:rsidR="00890B06" w:rsidRPr="00890B06">
        <w:rPr>
          <w:i/>
          <w:iCs/>
        </w:rPr>
        <w:t xml:space="preserve"> Representation v. National Gallery of Canada</w:t>
      </w:r>
      <w:r w:rsidR="00890B06" w:rsidRPr="00890B06">
        <w:t>, 2014 SCC 42, [2014] 2 S.C.R. 197;</w:t>
      </w:r>
      <w:r w:rsidR="00890B06" w:rsidRPr="00890B06">
        <w:rPr>
          <w:i/>
          <w:iCs/>
        </w:rPr>
        <w:t xml:space="preserve"> Smith v. Alliance Pipeline Ltd.</w:t>
      </w:r>
      <w:r w:rsidR="00890B06" w:rsidRPr="00890B06">
        <w:t xml:space="preserve">, 2011 SCC 7, [2011] 1 S.C.R. 160; </w:t>
      </w:r>
      <w:r w:rsidR="00890B06" w:rsidRPr="00890B06">
        <w:rPr>
          <w:i/>
          <w:iCs/>
        </w:rPr>
        <w:t xml:space="preserve">Canada (Citizenship and Immigration) v. </w:t>
      </w:r>
      <w:proofErr w:type="spellStart"/>
      <w:r w:rsidR="00890B06" w:rsidRPr="00890B06">
        <w:rPr>
          <w:i/>
          <w:iCs/>
        </w:rPr>
        <w:t>Khosa</w:t>
      </w:r>
      <w:proofErr w:type="spellEnd"/>
      <w:r w:rsidR="00890B06" w:rsidRPr="00EF69B5">
        <w:rPr>
          <w:iCs/>
        </w:rPr>
        <w:t>,</w:t>
      </w:r>
      <w:r w:rsidR="00890B06" w:rsidRPr="00890B06">
        <w:rPr>
          <w:i/>
          <w:iCs/>
        </w:rPr>
        <w:t xml:space="preserve"> </w:t>
      </w:r>
      <w:r w:rsidR="00890B06" w:rsidRPr="00890B06">
        <w:rPr>
          <w:iCs/>
        </w:rPr>
        <w:t>2009 SCC 12</w:t>
      </w:r>
      <w:r w:rsidR="00890B06" w:rsidRPr="00890B06">
        <w:t xml:space="preserve">, [2009] 1 S.C.R. 339; </w:t>
      </w:r>
      <w:r w:rsidR="00890B06" w:rsidRPr="00890B06">
        <w:rPr>
          <w:i/>
        </w:rPr>
        <w:lastRenderedPageBreak/>
        <w:t>McLean v. British Columbia (Securities Commission)</w:t>
      </w:r>
      <w:r w:rsidR="00890B06" w:rsidRPr="00890B06">
        <w:t xml:space="preserve">, 2013 SCC 67, </w:t>
      </w:r>
      <w:r w:rsidR="00890B06" w:rsidRPr="00890B06">
        <w:rPr>
          <w:lang w:val="en"/>
        </w:rPr>
        <w:t>[2013] 3 S.C.R. 895</w:t>
      </w:r>
      <w:r w:rsidR="00890B06" w:rsidRPr="00890B06">
        <w:t>;</w:t>
      </w:r>
      <w:r w:rsidR="00890B06" w:rsidRPr="00890B06">
        <w:rPr>
          <w:i/>
        </w:rPr>
        <w:t xml:space="preserve"> </w:t>
      </w:r>
      <w:r w:rsidR="00890B06" w:rsidRPr="00890B06">
        <w:rPr>
          <w:i/>
          <w:lang w:val="en"/>
        </w:rPr>
        <w:t>Edmonton (City) v. Edmonton East (</w:t>
      </w:r>
      <w:proofErr w:type="spellStart"/>
      <w:r w:rsidR="00890B06" w:rsidRPr="00890B06">
        <w:rPr>
          <w:i/>
          <w:lang w:val="en"/>
        </w:rPr>
        <w:t>Capilano</w:t>
      </w:r>
      <w:proofErr w:type="spellEnd"/>
      <w:r w:rsidR="00890B06" w:rsidRPr="00890B06">
        <w:rPr>
          <w:i/>
          <w:lang w:val="en"/>
        </w:rPr>
        <w:t xml:space="preserve">) Shopping </w:t>
      </w:r>
      <w:proofErr w:type="spellStart"/>
      <w:r w:rsidR="00890B06" w:rsidRPr="00890B06">
        <w:rPr>
          <w:i/>
          <w:lang w:val="en"/>
        </w:rPr>
        <w:t>Centres</w:t>
      </w:r>
      <w:proofErr w:type="spellEnd"/>
      <w:r w:rsidR="00890B06" w:rsidRPr="00890B06">
        <w:rPr>
          <w:i/>
          <w:lang w:val="en"/>
        </w:rPr>
        <w:t xml:space="preserve"> Ltd.</w:t>
      </w:r>
      <w:r w:rsidR="00890B06" w:rsidRPr="00890B06">
        <w:rPr>
          <w:lang w:val="en"/>
        </w:rPr>
        <w:t>, 2016 SCC 47, [2016] 2 S.C.R. 293</w:t>
      </w:r>
      <w:r w:rsidR="00890B06" w:rsidRPr="00890B06">
        <w:t xml:space="preserve">; </w:t>
      </w:r>
      <w:r w:rsidR="00890B06" w:rsidRPr="000A7AD7">
        <w:rPr>
          <w:i/>
          <w:lang w:bidi="en-US"/>
        </w:rPr>
        <w:t>Canada</w:t>
      </w:r>
      <w:r w:rsidR="00890B06" w:rsidRPr="000A7AD7">
        <w:rPr>
          <w:lang w:bidi="en-US"/>
        </w:rPr>
        <w:t xml:space="preserve"> </w:t>
      </w:r>
      <w:r w:rsidR="00890B06" w:rsidRPr="000A7AD7">
        <w:rPr>
          <w:i/>
          <w:lang w:bidi="en-US"/>
        </w:rPr>
        <w:t>(Canadian Human Rights Commission) v. Canada (Attorney General)</w:t>
      </w:r>
      <w:r w:rsidR="00890B06" w:rsidRPr="000A7AD7">
        <w:rPr>
          <w:lang w:bidi="en-US"/>
        </w:rPr>
        <w:t>, 2018 SCC 31,</w:t>
      </w:r>
      <w:r w:rsidR="00890B06" w:rsidRPr="000A7AD7">
        <w:rPr>
          <w:lang w:val="en"/>
        </w:rPr>
        <w:t xml:space="preserve"> [2018] 2 S.C.R. 230; </w:t>
      </w:r>
      <w:r w:rsidR="003D6E14" w:rsidRPr="000A7AD7">
        <w:rPr>
          <w:i/>
        </w:rPr>
        <w:t>Wilson v. Atomic Energy of Canada Ltd.</w:t>
      </w:r>
      <w:r w:rsidR="003D6E14" w:rsidRPr="000A7AD7">
        <w:t xml:space="preserve">, 2016 SCC 29, [2016] 1 S.C.R. 770; </w:t>
      </w:r>
      <w:r w:rsidR="00890B06" w:rsidRPr="000A7AD7">
        <w:rPr>
          <w:i/>
          <w:lang w:val="en-US"/>
        </w:rPr>
        <w:t>Canada</w:t>
      </w:r>
      <w:r w:rsidR="00890B06" w:rsidRPr="00890B06">
        <w:rPr>
          <w:i/>
          <w:lang w:val="en-US"/>
        </w:rPr>
        <w:t xml:space="preserve"> (Attorney General) v. Bedford</w:t>
      </w:r>
      <w:r w:rsidR="00890B06" w:rsidRPr="00890B06">
        <w:rPr>
          <w:lang w:val="en-US"/>
        </w:rPr>
        <w:t xml:space="preserve">, 2013 SCC 72, </w:t>
      </w:r>
      <w:r w:rsidR="00890B06" w:rsidRPr="00890B06">
        <w:t>[2013] 3 S.C.R. 1101</w:t>
      </w:r>
      <w:r w:rsidR="00890B06" w:rsidRPr="00890B06">
        <w:rPr>
          <w:lang w:val="en-US"/>
        </w:rPr>
        <w:t xml:space="preserve">; </w:t>
      </w:r>
      <w:r w:rsidR="00890B06" w:rsidRPr="00890B06">
        <w:rPr>
          <w:i/>
          <w:lang w:val="en-US"/>
        </w:rPr>
        <w:t>Canada v. Craig</w:t>
      </w:r>
      <w:r w:rsidR="00890B06" w:rsidRPr="00890B06">
        <w:rPr>
          <w:lang w:val="en-US"/>
        </w:rPr>
        <w:t xml:space="preserve">, 2012 SCC 43, </w:t>
      </w:r>
      <w:r w:rsidR="00890B06" w:rsidRPr="00890B06">
        <w:t>[2012] 2 S.C.R. 489</w:t>
      </w:r>
      <w:r w:rsidR="00890B06" w:rsidRPr="00890B06">
        <w:rPr>
          <w:lang w:val="en-US"/>
        </w:rPr>
        <w:t>;</w:t>
      </w:r>
      <w:r w:rsidR="00890B06" w:rsidRPr="00890B06">
        <w:rPr>
          <w:i/>
          <w:lang w:val="en-US"/>
        </w:rPr>
        <w:t xml:space="preserve"> Ontario (Attorney General) v. Fraser</w:t>
      </w:r>
      <w:r w:rsidR="00890B06" w:rsidRPr="00890B06">
        <w:rPr>
          <w:lang w:val="en-US"/>
        </w:rPr>
        <w:t xml:space="preserve">, 2011 SCC 20, </w:t>
      </w:r>
      <w:r w:rsidR="00890B06" w:rsidRPr="00890B06">
        <w:rPr>
          <w:smallCaps/>
        </w:rPr>
        <w:t>[2011] 2 S.C.R. 3</w:t>
      </w:r>
      <w:r w:rsidR="00890B06" w:rsidRPr="00890B06">
        <w:rPr>
          <w:lang w:val="en-US"/>
        </w:rPr>
        <w:t xml:space="preserve">; </w:t>
      </w:r>
      <w:r w:rsidR="00890B06" w:rsidRPr="00890B06">
        <w:rPr>
          <w:i/>
          <w:lang w:val="en-US"/>
        </w:rPr>
        <w:t>R. v. Henry</w:t>
      </w:r>
      <w:r w:rsidR="00890B06" w:rsidRPr="00890B06">
        <w:rPr>
          <w:lang w:val="en-US"/>
        </w:rPr>
        <w:t xml:space="preserve">, 2005 SCC 76, </w:t>
      </w:r>
      <w:r w:rsidR="00890B06" w:rsidRPr="00890B06">
        <w:t>[2005] 3 S.C.R. 609</w:t>
      </w:r>
      <w:r w:rsidR="00890B06" w:rsidRPr="00890B06">
        <w:rPr>
          <w:lang w:val="en-US"/>
        </w:rPr>
        <w:t xml:space="preserve">; </w:t>
      </w:r>
      <w:r w:rsidR="00890B06" w:rsidRPr="00890B06">
        <w:rPr>
          <w:i/>
          <w:lang w:val="en-US"/>
        </w:rPr>
        <w:t>R. v. Bernard</w:t>
      </w:r>
      <w:r w:rsidR="00890B06" w:rsidRPr="00890B06">
        <w:rPr>
          <w:lang w:val="en-US"/>
        </w:rPr>
        <w:t xml:space="preserve">, [1988] 2 S.C.R. 833; </w:t>
      </w:r>
      <w:r w:rsidR="00890B06" w:rsidRPr="00890B06">
        <w:rPr>
          <w:i/>
          <w:iCs/>
          <w:lang w:val="en"/>
        </w:rPr>
        <w:t>Queensland v. Commonwealth</w:t>
      </w:r>
      <w:r w:rsidR="00890B06" w:rsidRPr="00890B06">
        <w:rPr>
          <w:lang w:val="en"/>
        </w:rPr>
        <w:t xml:space="preserve"> (1977), 139 C.L.R. 585; </w:t>
      </w:r>
      <w:r w:rsidR="00890B06" w:rsidRPr="00890B06">
        <w:rPr>
          <w:i/>
          <w:lang w:val="en-US"/>
        </w:rPr>
        <w:t xml:space="preserve">Minister of Indian Affairs and Northern Development v. </w:t>
      </w:r>
      <w:proofErr w:type="spellStart"/>
      <w:r w:rsidR="00890B06" w:rsidRPr="00890B06">
        <w:rPr>
          <w:i/>
          <w:lang w:val="en-US"/>
        </w:rPr>
        <w:t>Ranville</w:t>
      </w:r>
      <w:proofErr w:type="spellEnd"/>
      <w:r w:rsidR="00890B06" w:rsidRPr="00890B06">
        <w:rPr>
          <w:lang w:val="en-US"/>
        </w:rPr>
        <w:t xml:space="preserve">, [1982] 2 S.C.R. 518; </w:t>
      </w:r>
      <w:r w:rsidR="00890B06" w:rsidRPr="00890B06">
        <w:rPr>
          <w:i/>
          <w:lang w:val="en-US"/>
        </w:rPr>
        <w:t>R. v. B. (K.G.)</w:t>
      </w:r>
      <w:r w:rsidR="00890B06" w:rsidRPr="00890B06">
        <w:rPr>
          <w:lang w:val="en-US"/>
        </w:rPr>
        <w:t xml:space="preserve">, [1993] 1 S.C.R. 740; </w:t>
      </w:r>
      <w:proofErr w:type="spellStart"/>
      <w:r w:rsidR="00890B06" w:rsidRPr="00890B06">
        <w:rPr>
          <w:i/>
        </w:rPr>
        <w:t>Crevier</w:t>
      </w:r>
      <w:proofErr w:type="spellEnd"/>
      <w:r w:rsidR="00890B06" w:rsidRPr="00890B06">
        <w:rPr>
          <w:i/>
        </w:rPr>
        <w:t xml:space="preserve"> v. </w:t>
      </w:r>
      <w:r w:rsidR="00834564">
        <w:rPr>
          <w:i/>
        </w:rPr>
        <w:t>Attorney General of Quebec</w:t>
      </w:r>
      <w:r w:rsidR="00890B06" w:rsidRPr="00890B06">
        <w:t xml:space="preserve">, [1981] 2 S.C.R. 220; </w:t>
      </w:r>
      <w:r w:rsidR="00890B06" w:rsidRPr="00890B06">
        <w:rPr>
          <w:i/>
        </w:rPr>
        <w:t xml:space="preserve">U.E.S., Local 298 v. </w:t>
      </w:r>
      <w:proofErr w:type="spellStart"/>
      <w:r w:rsidR="00890B06" w:rsidRPr="00890B06">
        <w:rPr>
          <w:i/>
        </w:rPr>
        <w:t>Bibeault</w:t>
      </w:r>
      <w:proofErr w:type="spellEnd"/>
      <w:r w:rsidR="00890B06" w:rsidRPr="00890B06">
        <w:t xml:space="preserve">, [1988] 2 S.C.R. 1048; </w:t>
      </w:r>
      <w:r w:rsidR="00432C9A" w:rsidRPr="00432C9A">
        <w:rPr>
          <w:i/>
        </w:rPr>
        <w:t>Canadian Union of Public Employees, Local 963 v.</w:t>
      </w:r>
      <w:r w:rsidR="00432C9A">
        <w:rPr>
          <w:i/>
        </w:rPr>
        <w:t xml:space="preserve"> New Brunswick Liquor Corp</w:t>
      </w:r>
      <w:r w:rsidR="00F22CFF">
        <w:rPr>
          <w:i/>
        </w:rPr>
        <w:t>.</w:t>
      </w:r>
      <w:r w:rsidR="00890B06" w:rsidRPr="00890B06">
        <w:t xml:space="preserve">, [1979] 2 S.C.R. 227; </w:t>
      </w:r>
      <w:proofErr w:type="spellStart"/>
      <w:r w:rsidR="00890B06" w:rsidRPr="00890B06">
        <w:rPr>
          <w:i/>
          <w:lang w:val="en"/>
        </w:rPr>
        <w:t>Pushpanathan</w:t>
      </w:r>
      <w:proofErr w:type="spellEnd"/>
      <w:r w:rsidR="00890B06" w:rsidRPr="00890B06">
        <w:rPr>
          <w:i/>
          <w:lang w:val="en"/>
        </w:rPr>
        <w:t xml:space="preserve"> </w:t>
      </w:r>
      <w:r w:rsidR="00890B06" w:rsidRPr="00890B06">
        <w:rPr>
          <w:i/>
          <w:iCs/>
          <w:lang w:val="en"/>
        </w:rPr>
        <w:t>v.</w:t>
      </w:r>
      <w:r w:rsidR="00890B06" w:rsidRPr="00890B06">
        <w:rPr>
          <w:i/>
          <w:lang w:val="en"/>
        </w:rPr>
        <w:t xml:space="preserve"> Canada (Minister of Citizenship and Immigration)</w:t>
      </w:r>
      <w:r w:rsidR="00890B06" w:rsidRPr="00890B06">
        <w:rPr>
          <w:lang w:val="en"/>
        </w:rPr>
        <w:t>, [1998] 1 S.C.R. 982</w:t>
      </w:r>
      <w:r w:rsidR="00890B06" w:rsidRPr="00890B06">
        <w:rPr>
          <w:lang w:bidi="en-US"/>
        </w:rPr>
        <w:t xml:space="preserve">; </w:t>
      </w:r>
      <w:proofErr w:type="spellStart"/>
      <w:r w:rsidR="00890B06" w:rsidRPr="00890B06">
        <w:rPr>
          <w:i/>
          <w:lang w:val="en"/>
        </w:rPr>
        <w:t>Pezim</w:t>
      </w:r>
      <w:proofErr w:type="spellEnd"/>
      <w:r w:rsidR="00890B06" w:rsidRPr="00890B06">
        <w:rPr>
          <w:i/>
          <w:lang w:val="en"/>
        </w:rPr>
        <w:t xml:space="preserve"> v. British Columbia (Superintendent of Brokers)</w:t>
      </w:r>
      <w:r w:rsidR="00890B06" w:rsidRPr="00890B06">
        <w:rPr>
          <w:lang w:val="en"/>
        </w:rPr>
        <w:t>, [1994] 2 S.C.R. 557</w:t>
      </w:r>
      <w:r w:rsidR="00890B06" w:rsidRPr="00890B06">
        <w:t>;</w:t>
      </w:r>
      <w:r w:rsidR="00890B06" w:rsidRPr="00890B06">
        <w:rPr>
          <w:lang w:val="en"/>
        </w:rPr>
        <w:t xml:space="preserve"> </w:t>
      </w:r>
      <w:r w:rsidR="00890B06" w:rsidRPr="00890B06">
        <w:rPr>
          <w:i/>
          <w:iCs/>
          <w:lang w:val="en" w:bidi="en-US"/>
        </w:rPr>
        <w:t xml:space="preserve">Canada (Director of Investigation and Research) v. </w:t>
      </w:r>
      <w:proofErr w:type="spellStart"/>
      <w:r w:rsidR="00890B06" w:rsidRPr="00890B06">
        <w:rPr>
          <w:i/>
          <w:iCs/>
          <w:lang w:val="en" w:bidi="en-US"/>
        </w:rPr>
        <w:t>Southam</w:t>
      </w:r>
      <w:proofErr w:type="spellEnd"/>
      <w:r w:rsidR="00890B06" w:rsidRPr="00890B06">
        <w:rPr>
          <w:i/>
          <w:iCs/>
          <w:lang w:val="en" w:bidi="en-US"/>
        </w:rPr>
        <w:t xml:space="preserve"> Inc.</w:t>
      </w:r>
      <w:r w:rsidR="00890B06" w:rsidRPr="00890B06">
        <w:rPr>
          <w:lang w:val="en" w:bidi="en-US"/>
        </w:rPr>
        <w:t xml:space="preserve">, [1997] 1 S.C.R. 748; </w:t>
      </w:r>
      <w:r w:rsidR="00834564">
        <w:rPr>
          <w:i/>
          <w:iCs/>
          <w:lang w:val="en"/>
        </w:rPr>
        <w:t>Dr. Q</w:t>
      </w:r>
      <w:r w:rsidR="00890B06" w:rsidRPr="00890B06">
        <w:rPr>
          <w:i/>
          <w:iCs/>
          <w:lang w:val="en"/>
        </w:rPr>
        <w:t xml:space="preserve"> v. College of Physicians and Surgeons of British Columbia</w:t>
      </w:r>
      <w:r w:rsidR="00890B06" w:rsidRPr="00834564">
        <w:rPr>
          <w:lang w:val="en"/>
        </w:rPr>
        <w:t>,</w:t>
      </w:r>
      <w:r w:rsidR="00890B06" w:rsidRPr="00890B06">
        <w:rPr>
          <w:lang w:val="en"/>
        </w:rPr>
        <w:t xml:space="preserve"> 2003 SCC 19, [2003] 1 S.C.R. 226</w:t>
      </w:r>
      <w:r w:rsidR="00890B06" w:rsidRPr="00890B06">
        <w:t xml:space="preserve">; </w:t>
      </w:r>
      <w:r w:rsidR="00890B06" w:rsidRPr="00890B06">
        <w:rPr>
          <w:i/>
        </w:rPr>
        <w:t>Canada (Deputy Minister of National Revenue) v. Mattel Canada Inc.</w:t>
      </w:r>
      <w:r w:rsidR="00890B06" w:rsidRPr="00890B06">
        <w:t xml:space="preserve">, 2001 SCC 36, [2001] 2 S.C.R. 100; </w:t>
      </w:r>
      <w:r w:rsidR="00890B06" w:rsidRPr="00890B06">
        <w:rPr>
          <w:i/>
          <w:lang w:val="en"/>
        </w:rPr>
        <w:t>Moreau</w:t>
      </w:r>
      <w:r w:rsidR="007C3A49">
        <w:rPr>
          <w:i/>
          <w:lang w:val="en"/>
        </w:rPr>
        <w:noBreakHyphen/>
      </w:r>
      <w:proofErr w:type="spellStart"/>
      <w:r w:rsidR="00890B06" w:rsidRPr="00890B06">
        <w:rPr>
          <w:i/>
          <w:lang w:val="en"/>
        </w:rPr>
        <w:t>Bérubé</w:t>
      </w:r>
      <w:proofErr w:type="spellEnd"/>
      <w:r w:rsidR="00890B06" w:rsidRPr="00890B06">
        <w:rPr>
          <w:i/>
          <w:lang w:val="en"/>
        </w:rPr>
        <w:t> </w:t>
      </w:r>
      <w:r w:rsidR="00890B06" w:rsidRPr="00890B06">
        <w:rPr>
          <w:i/>
          <w:iCs/>
          <w:lang w:val="en"/>
        </w:rPr>
        <w:t>v</w:t>
      </w:r>
      <w:r w:rsidR="00890B06" w:rsidRPr="00890B06">
        <w:rPr>
          <w:i/>
          <w:lang w:val="en"/>
        </w:rPr>
        <w:t>. New Brunswick (Judicial Council)</w:t>
      </w:r>
      <w:r w:rsidR="00890B06" w:rsidRPr="00890B06">
        <w:rPr>
          <w:lang w:val="en"/>
        </w:rPr>
        <w:t xml:space="preserve">, 2002 SCC 11, [2002] 1 S.C.R. 249; </w:t>
      </w:r>
      <w:r w:rsidR="00890B06" w:rsidRPr="00890B06">
        <w:rPr>
          <w:i/>
        </w:rPr>
        <w:t>C.U.P.E. v. Ontario (Minister of Labour)</w:t>
      </w:r>
      <w:r w:rsidR="00890B06" w:rsidRPr="00890B06">
        <w:t xml:space="preserve">, 2003 SCC 29, </w:t>
      </w:r>
      <w:r w:rsidR="00890B06" w:rsidRPr="00890B06">
        <w:rPr>
          <w:lang w:val="en"/>
        </w:rPr>
        <w:t xml:space="preserve">[2003] 1 S.C.R. 539; </w:t>
      </w:r>
      <w:r w:rsidR="00890B06" w:rsidRPr="00890B06">
        <w:rPr>
          <w:i/>
        </w:rPr>
        <w:t>R. v. Owen</w:t>
      </w:r>
      <w:r w:rsidR="00890B06" w:rsidRPr="00890B06">
        <w:t xml:space="preserve">, 2003 SCC 33, </w:t>
      </w:r>
      <w:r w:rsidR="00890B06" w:rsidRPr="00890B06">
        <w:rPr>
          <w:lang w:val="en"/>
        </w:rPr>
        <w:t>[2003] 1 S.C.R. 779</w:t>
      </w:r>
      <w:r w:rsidR="00890B06" w:rsidRPr="00890B06">
        <w:t xml:space="preserve">; </w:t>
      </w:r>
      <w:r w:rsidR="00890B06" w:rsidRPr="00890B06">
        <w:rPr>
          <w:i/>
          <w:lang w:val="en-US"/>
        </w:rPr>
        <w:t>British Columbia (Workers</w:t>
      </w:r>
      <w:r w:rsidR="008D5707">
        <w:rPr>
          <w:i/>
          <w:lang w:val="en-US"/>
        </w:rPr>
        <w:t>’</w:t>
      </w:r>
      <w:r w:rsidR="00890B06" w:rsidRPr="00890B06">
        <w:rPr>
          <w:i/>
          <w:lang w:val="en-US"/>
        </w:rPr>
        <w:t xml:space="preserve"> Compensation Board) v. </w:t>
      </w:r>
      <w:proofErr w:type="spellStart"/>
      <w:r w:rsidR="00890B06" w:rsidRPr="00890B06">
        <w:rPr>
          <w:i/>
          <w:lang w:val="en-US"/>
        </w:rPr>
        <w:t>Figliola</w:t>
      </w:r>
      <w:proofErr w:type="spellEnd"/>
      <w:r w:rsidR="00890B06" w:rsidRPr="00890B06">
        <w:rPr>
          <w:lang w:val="en-US"/>
        </w:rPr>
        <w:t xml:space="preserve">, 2011 SCC 52, </w:t>
      </w:r>
      <w:r w:rsidR="00890B06" w:rsidRPr="00890B06">
        <w:rPr>
          <w:caps/>
        </w:rPr>
        <w:t>[2011] 3 S.C.R. 422</w:t>
      </w:r>
      <w:r w:rsidR="00890B06" w:rsidRPr="00890B06">
        <w:rPr>
          <w:lang w:val="en-US"/>
        </w:rPr>
        <w:t>;</w:t>
      </w:r>
      <w:r w:rsidR="00890B06" w:rsidRPr="00890B06">
        <w:t xml:space="preserve"> </w:t>
      </w:r>
      <w:r w:rsidR="00890B06" w:rsidRPr="00890B06">
        <w:rPr>
          <w:i/>
        </w:rPr>
        <w:t>Moore v. British Columbia (Education)</w:t>
      </w:r>
      <w:r w:rsidR="00890B06" w:rsidRPr="00890B06">
        <w:t xml:space="preserve">, 2012 SCC 61, [2012] 3 S.C.R. 360; </w:t>
      </w:r>
      <w:r w:rsidR="00890B06" w:rsidRPr="00890B06">
        <w:rPr>
          <w:i/>
        </w:rPr>
        <w:t xml:space="preserve">McCormick v. Fasken </w:t>
      </w:r>
      <w:r w:rsidR="00890B06" w:rsidRPr="00890B06">
        <w:rPr>
          <w:i/>
        </w:rPr>
        <w:lastRenderedPageBreak/>
        <w:t xml:space="preserve">Martineau </w:t>
      </w:r>
      <w:proofErr w:type="spellStart"/>
      <w:r w:rsidR="00890B06" w:rsidRPr="00890B06">
        <w:rPr>
          <w:i/>
        </w:rPr>
        <w:t>DuMoulin</w:t>
      </w:r>
      <w:proofErr w:type="spellEnd"/>
      <w:r w:rsidR="00890B06" w:rsidRPr="00890B06">
        <w:rPr>
          <w:i/>
        </w:rPr>
        <w:t xml:space="preserve"> LLP</w:t>
      </w:r>
      <w:r w:rsidR="00890B06" w:rsidRPr="00890B06">
        <w:t xml:space="preserve">, 2014 SCC 39, [2014] 2 S.C.R. 108; </w:t>
      </w:r>
      <w:r w:rsidR="00890B06" w:rsidRPr="00890B06">
        <w:rPr>
          <w:i/>
          <w:lang w:val="en-US"/>
        </w:rPr>
        <w:t>British Columbia (Workers</w:t>
      </w:r>
      <w:r w:rsidR="008D5707">
        <w:rPr>
          <w:i/>
          <w:lang w:val="en-US"/>
        </w:rPr>
        <w:t>’</w:t>
      </w:r>
      <w:r w:rsidR="00890B06" w:rsidRPr="00890B06">
        <w:rPr>
          <w:i/>
          <w:lang w:val="en-US"/>
        </w:rPr>
        <w:t xml:space="preserve"> Compensation Appeal Tribunal) v. Fraser Health Authority</w:t>
      </w:r>
      <w:r w:rsidR="00890B06" w:rsidRPr="00890B06">
        <w:rPr>
          <w:lang w:val="en-US"/>
        </w:rPr>
        <w:t xml:space="preserve">, 2016 SCC 25, </w:t>
      </w:r>
      <w:r w:rsidR="00890B06" w:rsidRPr="00890B06">
        <w:t xml:space="preserve">[2016] 1 S.C.R. 587; </w:t>
      </w:r>
      <w:r w:rsidR="00890B06" w:rsidRPr="00890B06">
        <w:rPr>
          <w:i/>
        </w:rPr>
        <w:t xml:space="preserve">British Columbia Human Rights Tribunal v. </w:t>
      </w:r>
      <w:proofErr w:type="spellStart"/>
      <w:r w:rsidR="00890B06" w:rsidRPr="00890B06">
        <w:rPr>
          <w:i/>
        </w:rPr>
        <w:t>Schrenk</w:t>
      </w:r>
      <w:proofErr w:type="spellEnd"/>
      <w:r w:rsidR="00890B06" w:rsidRPr="00890B06">
        <w:t>, 2017 SCC 62, [2017] 2 S.C.R. 795;</w:t>
      </w:r>
      <w:r w:rsidR="00AF6596">
        <w:rPr>
          <w:i/>
        </w:rPr>
        <w:t xml:space="preserve"> Seneca College of Applied Arts and Technology v. </w:t>
      </w:r>
      <w:proofErr w:type="spellStart"/>
      <w:r w:rsidR="00AF6596">
        <w:rPr>
          <w:i/>
        </w:rPr>
        <w:t>Bhadauria</w:t>
      </w:r>
      <w:proofErr w:type="spellEnd"/>
      <w:r w:rsidR="00890B06" w:rsidRPr="00890B06">
        <w:t xml:space="preserve">, [1981] 2 S.C.R. 181; </w:t>
      </w:r>
      <w:proofErr w:type="spellStart"/>
      <w:r w:rsidR="00890B06" w:rsidRPr="00890B06">
        <w:rPr>
          <w:i/>
        </w:rPr>
        <w:t>Housen</w:t>
      </w:r>
      <w:proofErr w:type="spellEnd"/>
      <w:r w:rsidR="00890B06" w:rsidRPr="00890B06">
        <w:rPr>
          <w:i/>
        </w:rPr>
        <w:t xml:space="preserve"> v. </w:t>
      </w:r>
      <w:proofErr w:type="spellStart"/>
      <w:r w:rsidR="00890B06" w:rsidRPr="00890B06">
        <w:rPr>
          <w:i/>
        </w:rPr>
        <w:t>Nikolaisen</w:t>
      </w:r>
      <w:proofErr w:type="spellEnd"/>
      <w:r w:rsidR="00890B06" w:rsidRPr="00144EE7">
        <w:t>,</w:t>
      </w:r>
      <w:r w:rsidR="00890B06" w:rsidRPr="00890B06">
        <w:t xml:space="preserve"> 2002 SCC 33, [2002] 2 S.C.R. 235; </w:t>
      </w:r>
      <w:r w:rsidR="006D1D78">
        <w:rPr>
          <w:i/>
          <w:lang w:val="en-US"/>
        </w:rPr>
        <w:t>Québec (</w:t>
      </w:r>
      <w:proofErr w:type="spellStart"/>
      <w:r w:rsidR="006D1D78">
        <w:rPr>
          <w:i/>
          <w:lang w:val="en-US"/>
        </w:rPr>
        <w:t>Procureure</w:t>
      </w:r>
      <w:proofErr w:type="spellEnd"/>
      <w:r w:rsidR="006D1D78">
        <w:rPr>
          <w:i/>
          <w:lang w:val="en-US"/>
        </w:rPr>
        <w:t xml:space="preserve"> </w:t>
      </w:r>
      <w:proofErr w:type="spellStart"/>
      <w:r w:rsidR="006D1D78">
        <w:rPr>
          <w:i/>
          <w:lang w:val="en-US"/>
        </w:rPr>
        <w:t>générale</w:t>
      </w:r>
      <w:proofErr w:type="spellEnd"/>
      <w:r w:rsidR="006D1D78">
        <w:rPr>
          <w:i/>
          <w:lang w:val="en-US"/>
        </w:rPr>
        <w:t>) v</w:t>
      </w:r>
      <w:r w:rsidR="00890B06" w:rsidRPr="00890B06">
        <w:rPr>
          <w:i/>
          <w:lang w:val="en-US"/>
        </w:rPr>
        <w:t>. Montréal (Ville)</w:t>
      </w:r>
      <w:r w:rsidR="00890B06" w:rsidRPr="00890B06">
        <w:rPr>
          <w:lang w:val="en-US"/>
        </w:rPr>
        <w:t>, 2016 QCCA 2108</w:t>
      </w:r>
      <w:r w:rsidR="006D1D78">
        <w:rPr>
          <w:lang w:val="en-US"/>
        </w:rPr>
        <w:t>, 17 Admin. L.R. (6</w:t>
      </w:r>
      <w:r w:rsidR="006D1D78" w:rsidRPr="006D1D78">
        <w:rPr>
          <w:lang w:val="en-US"/>
        </w:rPr>
        <w:t>th</w:t>
      </w:r>
      <w:r w:rsidR="006D1D78">
        <w:rPr>
          <w:lang w:val="en-US"/>
        </w:rPr>
        <w:t>) 328</w:t>
      </w:r>
      <w:r w:rsidR="00890B06" w:rsidRPr="00890B06">
        <w:rPr>
          <w:lang w:val="en-US"/>
        </w:rPr>
        <w:t>;</w:t>
      </w:r>
      <w:r w:rsidR="00890B06" w:rsidRPr="00890B06">
        <w:rPr>
          <w:i/>
          <w:lang w:val="en-US"/>
        </w:rPr>
        <w:t xml:space="preserve"> </w:t>
      </w:r>
      <w:r w:rsidR="00890B06" w:rsidRPr="00890B06">
        <w:rPr>
          <w:i/>
        </w:rPr>
        <w:t>Bell Canada v. 726</w:t>
      </w:r>
      <w:r w:rsidR="00144EE7">
        <w:rPr>
          <w:i/>
        </w:rPr>
        <w:t>2591</w:t>
      </w:r>
      <w:r w:rsidR="00890B06" w:rsidRPr="00890B06">
        <w:rPr>
          <w:i/>
        </w:rPr>
        <w:t xml:space="preserve"> Canada Ltd.</w:t>
      </w:r>
      <w:r w:rsidR="00890B06" w:rsidRPr="00890B06">
        <w:t xml:space="preserve">, 2018 FCA 174, 428 D.L.R. (4th) 311; </w:t>
      </w:r>
      <w:r w:rsidR="00890B06" w:rsidRPr="00890B06">
        <w:rPr>
          <w:i/>
        </w:rPr>
        <w:t>Garneau Community League v. Edmonton (City)</w:t>
      </w:r>
      <w:r w:rsidR="00890B06" w:rsidRPr="00890B06">
        <w:t xml:space="preserve">, 2017 ABCA 374, </w:t>
      </w:r>
      <w:r w:rsidR="00890B06" w:rsidRPr="00890B06">
        <w:rPr>
          <w:lang w:val="en"/>
        </w:rPr>
        <w:t>60 Alta. L.R. (6th) 1</w:t>
      </w:r>
      <w:r w:rsidR="00890B06" w:rsidRPr="00890B06">
        <w:t xml:space="preserve">; </w:t>
      </w:r>
      <w:r w:rsidR="00890B06" w:rsidRPr="00890B06">
        <w:rPr>
          <w:i/>
        </w:rPr>
        <w:t>Nova Scotia (Attorney General) v. S&amp;D Smith Central Supplies Limited</w:t>
      </w:r>
      <w:r w:rsidR="00890B06" w:rsidRPr="00890B06">
        <w:t xml:space="preserve">, 2019 NSCA 22; </w:t>
      </w:r>
      <w:r w:rsidR="00890B06" w:rsidRPr="00890B06">
        <w:rPr>
          <w:i/>
        </w:rPr>
        <w:t>Atlantic Mining NS Cor</w:t>
      </w:r>
      <w:r w:rsidR="007C3A49">
        <w:rPr>
          <w:i/>
        </w:rPr>
        <w:t>p. </w:t>
      </w:r>
      <w:r w:rsidR="00890B06" w:rsidRPr="00890B06">
        <w:rPr>
          <w:i/>
        </w:rPr>
        <w:t>(D.D.V. Gold Limited) v. Oakley</w:t>
      </w:r>
      <w:r w:rsidR="00890B06" w:rsidRPr="00890B06">
        <w:t xml:space="preserve">, 2019 NSCA 14; </w:t>
      </w:r>
      <w:r w:rsidR="00890B06" w:rsidRPr="00890B06">
        <w:rPr>
          <w:i/>
          <w:lang w:val="en-US"/>
        </w:rPr>
        <w:t>R. v. Robinson</w:t>
      </w:r>
      <w:r w:rsidR="00890B06" w:rsidRPr="00890B06">
        <w:rPr>
          <w:lang w:val="en-US"/>
        </w:rPr>
        <w:t xml:space="preserve">, [1996] 1 S.C.R. 683; </w:t>
      </w:r>
      <w:r w:rsidR="00890B06" w:rsidRPr="00890B06">
        <w:rPr>
          <w:i/>
        </w:rPr>
        <w:t>Tervita Cor</w:t>
      </w:r>
      <w:r w:rsidR="007C3A49">
        <w:rPr>
          <w:i/>
        </w:rPr>
        <w:t>p. </w:t>
      </w:r>
      <w:r w:rsidR="00890B06" w:rsidRPr="00890B06">
        <w:rPr>
          <w:i/>
        </w:rPr>
        <w:t>v. Canada (Commissioner of Competition)</w:t>
      </w:r>
      <w:r w:rsidR="00890B06" w:rsidRPr="00890B06">
        <w:t xml:space="preserve">, 2015 SCC 3, [2015] 1 S.C.R. 161; </w:t>
      </w:r>
      <w:r w:rsidR="00890B06" w:rsidRPr="00890B06">
        <w:rPr>
          <w:i/>
          <w:spacing w:val="-3"/>
          <w:lang w:val="en"/>
        </w:rPr>
        <w:t xml:space="preserve">British Columbia Telephone Co. </w:t>
      </w:r>
      <w:r w:rsidR="00890B06" w:rsidRPr="00890B06">
        <w:rPr>
          <w:i/>
          <w:iCs/>
          <w:spacing w:val="-3"/>
          <w:lang w:val="en"/>
        </w:rPr>
        <w:t>v.</w:t>
      </w:r>
      <w:r w:rsidR="00890B06" w:rsidRPr="00890B06">
        <w:rPr>
          <w:i/>
          <w:spacing w:val="-3"/>
          <w:lang w:val="en"/>
        </w:rPr>
        <w:t xml:space="preserve"> Shaw Cable Systems (B.C.) Ltd.</w:t>
      </w:r>
      <w:r w:rsidR="00890B06" w:rsidRPr="00890B06">
        <w:rPr>
          <w:spacing w:val="-3"/>
          <w:lang w:val="en"/>
        </w:rPr>
        <w:t xml:space="preserve">, [1995] 2 S.C.R. 739; </w:t>
      </w:r>
      <w:r w:rsidR="00890B06" w:rsidRPr="00890B06">
        <w:rPr>
          <w:i/>
          <w:iCs/>
          <w:lang w:val="en"/>
        </w:rPr>
        <w:t>Law Society of New Brunswick v. Ryan</w:t>
      </w:r>
      <w:r w:rsidR="00890B06" w:rsidRPr="00890B06">
        <w:rPr>
          <w:lang w:val="en"/>
        </w:rPr>
        <w:t xml:space="preserve">, 2003 SCC 20, [2003] 1 S.C.R. 247; </w:t>
      </w:r>
      <w:r w:rsidR="00890B06" w:rsidRPr="00890B06">
        <w:rPr>
          <w:i/>
          <w:lang w:val="en"/>
        </w:rPr>
        <w:t xml:space="preserve">Barrie Public Utilities </w:t>
      </w:r>
      <w:r w:rsidR="00890B06" w:rsidRPr="00890B06">
        <w:rPr>
          <w:i/>
          <w:iCs/>
          <w:lang w:val="en"/>
        </w:rPr>
        <w:t>v.</w:t>
      </w:r>
      <w:r w:rsidR="00890B06" w:rsidRPr="00890B06">
        <w:rPr>
          <w:i/>
          <w:lang w:val="en"/>
        </w:rPr>
        <w:t xml:space="preserve"> Canadian Cable Television Assn.</w:t>
      </w:r>
      <w:r w:rsidR="00890B06" w:rsidRPr="00890B06">
        <w:rPr>
          <w:lang w:val="en"/>
        </w:rPr>
        <w:t xml:space="preserve">, 2003 SCC 28, [2003] 1 S.C.R. 476; </w:t>
      </w:r>
      <w:r w:rsidR="00890B06" w:rsidRPr="00890B06">
        <w:rPr>
          <w:i/>
          <w:lang w:val="en"/>
        </w:rPr>
        <w:t xml:space="preserve">Monsanto Canada Inc. </w:t>
      </w:r>
      <w:r w:rsidR="00890B06" w:rsidRPr="00890B06">
        <w:rPr>
          <w:i/>
          <w:iCs/>
          <w:lang w:val="en"/>
        </w:rPr>
        <w:t>v.</w:t>
      </w:r>
      <w:r w:rsidR="00890B06" w:rsidRPr="00890B06">
        <w:rPr>
          <w:i/>
          <w:lang w:val="en"/>
        </w:rPr>
        <w:t xml:space="preserve"> Ontario (Superintendent of Financial Services)</w:t>
      </w:r>
      <w:r w:rsidR="00890B06" w:rsidRPr="00890B06">
        <w:rPr>
          <w:lang w:val="en"/>
        </w:rPr>
        <w:t xml:space="preserve">, 2004 SCC 54, [2004] 3 S.C.R. 152; </w:t>
      </w:r>
      <w:r w:rsidR="00756F16">
        <w:rPr>
          <w:i/>
          <w:iCs/>
        </w:rPr>
        <w:t>Attorney General of Quebec</w:t>
      </w:r>
      <w:r w:rsidR="00890B06" w:rsidRPr="00890B06">
        <w:rPr>
          <w:i/>
          <w:iCs/>
        </w:rPr>
        <w:t xml:space="preserve"> v. </w:t>
      </w:r>
      <w:proofErr w:type="spellStart"/>
      <w:r w:rsidR="00890B06" w:rsidRPr="00890B06">
        <w:rPr>
          <w:i/>
          <w:iCs/>
        </w:rPr>
        <w:t>Carrières</w:t>
      </w:r>
      <w:proofErr w:type="spellEnd"/>
      <w:r w:rsidR="00890B06" w:rsidRPr="00890B06">
        <w:rPr>
          <w:i/>
          <w:iCs/>
        </w:rPr>
        <w:t xml:space="preserve"> </w:t>
      </w:r>
      <w:proofErr w:type="spellStart"/>
      <w:r w:rsidR="00890B06" w:rsidRPr="00890B06">
        <w:rPr>
          <w:i/>
          <w:iCs/>
        </w:rPr>
        <w:t>Ste</w:t>
      </w:r>
      <w:r w:rsidR="007C3A49">
        <w:rPr>
          <w:i/>
          <w:iCs/>
        </w:rPr>
        <w:noBreakHyphen/>
      </w:r>
      <w:r w:rsidR="00890B06" w:rsidRPr="00890B06">
        <w:rPr>
          <w:i/>
          <w:iCs/>
        </w:rPr>
        <w:t>Thérèse</w:t>
      </w:r>
      <w:proofErr w:type="spellEnd"/>
      <w:r w:rsidR="00890B06" w:rsidRPr="00890B06">
        <w:rPr>
          <w:i/>
          <w:iCs/>
        </w:rPr>
        <w:t xml:space="preserve"> </w:t>
      </w:r>
      <w:proofErr w:type="spellStart"/>
      <w:r w:rsidR="00890B06" w:rsidRPr="00890B06">
        <w:rPr>
          <w:i/>
          <w:iCs/>
        </w:rPr>
        <w:t>Ltée</w:t>
      </w:r>
      <w:proofErr w:type="spellEnd"/>
      <w:r w:rsidR="00890B06" w:rsidRPr="00890B06">
        <w:t xml:space="preserve">, [1985] 1 S.C.R. 831; </w:t>
      </w:r>
      <w:r w:rsidR="003B74FC">
        <w:rPr>
          <w:i/>
        </w:rPr>
        <w:t>Rogers Communications Inc. v. Society of Composers, Authors and Music Publishers of Canada</w:t>
      </w:r>
      <w:r w:rsidR="003B74FC">
        <w:t xml:space="preserve">, 2012 SCC 35, [2012] 2 S.C.R. 283; </w:t>
      </w:r>
      <w:r w:rsidR="00890B06" w:rsidRPr="00890B06">
        <w:rPr>
          <w:i/>
          <w:lang w:val="en-US" w:bidi="en-US"/>
        </w:rPr>
        <w:t>Westcoast Energy Inc. v. Canada (National Energy Board)</w:t>
      </w:r>
      <w:r w:rsidR="00890B06" w:rsidRPr="00890B06">
        <w:rPr>
          <w:lang w:val="en-US" w:bidi="en-US"/>
        </w:rPr>
        <w:t xml:space="preserve">, [1998] 1 S.C.R. 322; </w:t>
      </w:r>
      <w:proofErr w:type="spellStart"/>
      <w:r w:rsidR="00890B06" w:rsidRPr="00890B06">
        <w:rPr>
          <w:i/>
        </w:rPr>
        <w:t>Doré</w:t>
      </w:r>
      <w:proofErr w:type="spellEnd"/>
      <w:r w:rsidR="00890B06" w:rsidRPr="00890B06">
        <w:rPr>
          <w:i/>
        </w:rPr>
        <w:t xml:space="preserve"> v. </w:t>
      </w:r>
      <w:proofErr w:type="spellStart"/>
      <w:r w:rsidR="00890B06" w:rsidRPr="00890B06">
        <w:rPr>
          <w:i/>
        </w:rPr>
        <w:t>Barreau</w:t>
      </w:r>
      <w:proofErr w:type="spellEnd"/>
      <w:r w:rsidR="00890B06" w:rsidRPr="00890B06">
        <w:rPr>
          <w:i/>
        </w:rPr>
        <w:t xml:space="preserve"> du Québec</w:t>
      </w:r>
      <w:r w:rsidR="00890B06" w:rsidRPr="00890B06">
        <w:t xml:space="preserve">, 2012 SCC 12, [2012] 1 S.C.R. 395; </w:t>
      </w:r>
      <w:r w:rsidR="00890B06" w:rsidRPr="00890B06">
        <w:rPr>
          <w:i/>
          <w:lang w:val="en-US" w:bidi="en-US"/>
        </w:rPr>
        <w:t>Nova Scotia (Workers</w:t>
      </w:r>
      <w:r w:rsidR="008D5707">
        <w:rPr>
          <w:i/>
          <w:lang w:val="en-US" w:bidi="en-US"/>
        </w:rPr>
        <w:t>’</w:t>
      </w:r>
      <w:r w:rsidR="00890B06" w:rsidRPr="00890B06">
        <w:rPr>
          <w:i/>
          <w:lang w:val="en-US" w:bidi="en-US"/>
        </w:rPr>
        <w:t xml:space="preserve"> Compensation Board) v. Martin</w:t>
      </w:r>
      <w:r w:rsidR="00890B06" w:rsidRPr="00890B06">
        <w:rPr>
          <w:lang w:val="en-US" w:bidi="en-US"/>
        </w:rPr>
        <w:t xml:space="preserve">, 2003 SCC 54, [2003] 2 S.C.R. 504; </w:t>
      </w:r>
      <w:r w:rsidR="00890B06" w:rsidRPr="00890B06">
        <w:rPr>
          <w:i/>
        </w:rPr>
        <w:t>Toronto (City) v. C.U.P.E., Local 79</w:t>
      </w:r>
      <w:r w:rsidR="00890B06" w:rsidRPr="00890B06">
        <w:t xml:space="preserve">, 2003 SCC 63, </w:t>
      </w:r>
      <w:r w:rsidR="00890B06" w:rsidRPr="00890B06">
        <w:rPr>
          <w:lang w:val="en"/>
        </w:rPr>
        <w:t xml:space="preserve">[2003] 3 S.C.R. 77; </w:t>
      </w:r>
      <w:r w:rsidR="00890B06" w:rsidRPr="00890B06">
        <w:rPr>
          <w:i/>
          <w:lang w:bidi="en-US"/>
        </w:rPr>
        <w:t xml:space="preserve">Alberta (Information and Privacy Commissioner) v. University of </w:t>
      </w:r>
      <w:r w:rsidR="00890B06" w:rsidRPr="00890B06">
        <w:rPr>
          <w:i/>
          <w:lang w:bidi="en-US"/>
        </w:rPr>
        <w:lastRenderedPageBreak/>
        <w:t>Calgary</w:t>
      </w:r>
      <w:r w:rsidR="00890B06" w:rsidRPr="00890B06">
        <w:rPr>
          <w:lang w:val="en-US" w:bidi="en-US"/>
        </w:rPr>
        <w:t xml:space="preserve">, </w:t>
      </w:r>
      <w:r w:rsidR="00890B06" w:rsidRPr="00890B06">
        <w:rPr>
          <w:lang w:bidi="en-US"/>
        </w:rPr>
        <w:t xml:space="preserve">2016 SCC 53, </w:t>
      </w:r>
      <w:r w:rsidR="00890B06" w:rsidRPr="00890B06">
        <w:t>[2016] 2 S.C.R. 555</w:t>
      </w:r>
      <w:r w:rsidR="00890B06" w:rsidRPr="00890B06">
        <w:rPr>
          <w:lang w:val="en-US" w:bidi="en-US"/>
        </w:rPr>
        <w:t xml:space="preserve">; </w:t>
      </w:r>
      <w:proofErr w:type="spellStart"/>
      <w:r w:rsidR="00890B06" w:rsidRPr="00890B06">
        <w:rPr>
          <w:i/>
          <w:lang w:val="en" w:bidi="en-US"/>
        </w:rPr>
        <w:t>Chagnon</w:t>
      </w:r>
      <w:proofErr w:type="spellEnd"/>
      <w:r w:rsidR="00890B06" w:rsidRPr="00890B06">
        <w:rPr>
          <w:i/>
          <w:lang w:val="en"/>
        </w:rPr>
        <w:t xml:space="preserve"> v. </w:t>
      </w:r>
      <w:proofErr w:type="spellStart"/>
      <w:r w:rsidR="00890B06" w:rsidRPr="00890B06">
        <w:rPr>
          <w:i/>
          <w:lang w:val="en"/>
        </w:rPr>
        <w:t>Syndicat</w:t>
      </w:r>
      <w:proofErr w:type="spellEnd"/>
      <w:r w:rsidR="00890B06" w:rsidRPr="00890B06">
        <w:rPr>
          <w:i/>
          <w:lang w:val="en"/>
        </w:rPr>
        <w:t xml:space="preserve"> de la </w:t>
      </w:r>
      <w:proofErr w:type="spellStart"/>
      <w:r w:rsidR="00890B06" w:rsidRPr="00890B06">
        <w:rPr>
          <w:i/>
          <w:lang w:val="en"/>
        </w:rPr>
        <w:t>fonction</w:t>
      </w:r>
      <w:proofErr w:type="spellEnd"/>
      <w:r w:rsidR="00890B06" w:rsidRPr="00890B06">
        <w:rPr>
          <w:i/>
          <w:lang w:val="en"/>
        </w:rPr>
        <w:t xml:space="preserve"> </w:t>
      </w:r>
      <w:proofErr w:type="spellStart"/>
      <w:r w:rsidR="00890B06" w:rsidRPr="00890B06">
        <w:rPr>
          <w:i/>
          <w:lang w:val="en"/>
        </w:rPr>
        <w:t>publique</w:t>
      </w:r>
      <w:proofErr w:type="spellEnd"/>
      <w:r w:rsidR="00890B06" w:rsidRPr="00890B06">
        <w:rPr>
          <w:i/>
          <w:lang w:val="en"/>
        </w:rPr>
        <w:t xml:space="preserve"> et </w:t>
      </w:r>
      <w:proofErr w:type="spellStart"/>
      <w:r w:rsidR="00890B06" w:rsidRPr="00890B06">
        <w:rPr>
          <w:i/>
          <w:lang w:val="en"/>
        </w:rPr>
        <w:t>parapublique</w:t>
      </w:r>
      <w:proofErr w:type="spellEnd"/>
      <w:r w:rsidR="00890B06" w:rsidRPr="00890B06">
        <w:rPr>
          <w:i/>
          <w:lang w:val="en"/>
        </w:rPr>
        <w:t xml:space="preserve"> du Québec</w:t>
      </w:r>
      <w:r w:rsidR="00890B06" w:rsidRPr="00890B06">
        <w:rPr>
          <w:lang w:val="en"/>
        </w:rPr>
        <w:t>, 2018 SCC 39</w:t>
      </w:r>
      <w:r w:rsidR="00890B06" w:rsidRPr="00890B06">
        <w:rPr>
          <w:lang w:val="en" w:bidi="en-US"/>
        </w:rPr>
        <w:t xml:space="preserve">, </w:t>
      </w:r>
      <w:r w:rsidR="00890B06" w:rsidRPr="00890B06">
        <w:rPr>
          <w:lang w:val="en"/>
        </w:rPr>
        <w:t xml:space="preserve">[2018] 2 S.C.R. 687; </w:t>
      </w:r>
      <w:r w:rsidR="00890B06" w:rsidRPr="00890B06">
        <w:rPr>
          <w:i/>
          <w:lang w:val="en"/>
        </w:rPr>
        <w:t>Canada (Canadian Human Rights Commission) v. Canada (Attorney General)</w:t>
      </w:r>
      <w:r w:rsidR="00890B06" w:rsidRPr="00890B06">
        <w:rPr>
          <w:lang w:val="en"/>
        </w:rPr>
        <w:t xml:space="preserve">, 2011 SCC 53, </w:t>
      </w:r>
      <w:r w:rsidR="00890B06" w:rsidRPr="00890B06">
        <w:rPr>
          <w:caps/>
          <w:lang w:val="en"/>
        </w:rPr>
        <w:t xml:space="preserve">[2011] 3 </w:t>
      </w:r>
      <w:r w:rsidR="00890B06" w:rsidRPr="00890B06">
        <w:rPr>
          <w:lang w:val="en"/>
        </w:rPr>
        <w:t xml:space="preserve">S.C.R. 471; </w:t>
      </w:r>
      <w:r w:rsidR="00890B06" w:rsidRPr="00890B06">
        <w:rPr>
          <w:i/>
          <w:lang w:val="en"/>
        </w:rPr>
        <w:t xml:space="preserve">Commission </w:t>
      </w:r>
      <w:proofErr w:type="spellStart"/>
      <w:r w:rsidR="00890B06" w:rsidRPr="00890B06">
        <w:rPr>
          <w:i/>
          <w:lang w:val="en"/>
        </w:rPr>
        <w:t>scolaire</w:t>
      </w:r>
      <w:proofErr w:type="spellEnd"/>
      <w:r w:rsidR="00890B06" w:rsidRPr="00890B06">
        <w:rPr>
          <w:i/>
          <w:lang w:val="en"/>
        </w:rPr>
        <w:t xml:space="preserve"> de Laval v. </w:t>
      </w:r>
      <w:proofErr w:type="spellStart"/>
      <w:r w:rsidR="00890B06" w:rsidRPr="00890B06">
        <w:rPr>
          <w:i/>
          <w:lang w:val="en"/>
        </w:rPr>
        <w:t>Syndicat</w:t>
      </w:r>
      <w:proofErr w:type="spellEnd"/>
      <w:r w:rsidR="00890B06" w:rsidRPr="00890B06">
        <w:rPr>
          <w:i/>
          <w:lang w:val="en"/>
        </w:rPr>
        <w:t xml:space="preserve"> de </w:t>
      </w:r>
      <w:proofErr w:type="spellStart"/>
      <w:r w:rsidR="00890B06" w:rsidRPr="00890B06">
        <w:rPr>
          <w:i/>
          <w:lang w:val="en"/>
        </w:rPr>
        <w:t>l</w:t>
      </w:r>
      <w:r w:rsidR="008D5707">
        <w:rPr>
          <w:i/>
          <w:lang w:val="en"/>
        </w:rPr>
        <w:t>’</w:t>
      </w:r>
      <w:r w:rsidR="00890B06" w:rsidRPr="00890B06">
        <w:rPr>
          <w:i/>
          <w:lang w:val="en"/>
        </w:rPr>
        <w:t>enseignement</w:t>
      </w:r>
      <w:proofErr w:type="spellEnd"/>
      <w:r w:rsidR="00890B06" w:rsidRPr="00890B06">
        <w:rPr>
          <w:i/>
          <w:lang w:val="en"/>
        </w:rPr>
        <w:t xml:space="preserve"> de la </w:t>
      </w:r>
      <w:proofErr w:type="spellStart"/>
      <w:r w:rsidR="00890B06" w:rsidRPr="00890B06">
        <w:rPr>
          <w:i/>
          <w:lang w:val="en"/>
        </w:rPr>
        <w:t>région</w:t>
      </w:r>
      <w:proofErr w:type="spellEnd"/>
      <w:r w:rsidR="00890B06" w:rsidRPr="00890B06">
        <w:rPr>
          <w:i/>
          <w:lang w:val="en"/>
        </w:rPr>
        <w:t xml:space="preserve"> de Laval</w:t>
      </w:r>
      <w:r w:rsidR="00890B06" w:rsidRPr="00890B06">
        <w:rPr>
          <w:lang w:val="en"/>
        </w:rPr>
        <w:t xml:space="preserve">, 2016 SCC 8, [2016] 1 S.C.R. 29; </w:t>
      </w:r>
      <w:r w:rsidR="00890B06" w:rsidRPr="00890B06">
        <w:rPr>
          <w:i/>
          <w:lang w:bidi="en-US"/>
        </w:rPr>
        <w:t xml:space="preserve">Communications, Energy and </w:t>
      </w:r>
      <w:proofErr w:type="spellStart"/>
      <w:r w:rsidR="00890B06" w:rsidRPr="00890B06">
        <w:rPr>
          <w:i/>
          <w:lang w:bidi="en-US"/>
        </w:rPr>
        <w:t>Paperworkers</w:t>
      </w:r>
      <w:proofErr w:type="spellEnd"/>
      <w:r w:rsidR="00890B06" w:rsidRPr="00890B06">
        <w:rPr>
          <w:i/>
          <w:lang w:bidi="en-US"/>
        </w:rPr>
        <w:t xml:space="preserve"> Union of Canada, Local 30 v. Irving Pulp &amp; Paper, Ltd.</w:t>
      </w:r>
      <w:r w:rsidR="00890B06" w:rsidRPr="00890B06">
        <w:rPr>
          <w:lang w:bidi="en-US"/>
        </w:rPr>
        <w:t>, 2013 SCC 34, [2013] 2 S.C.R. 458</w:t>
      </w:r>
      <w:r w:rsidR="00890B06" w:rsidRPr="00890B06">
        <w:t xml:space="preserve">; </w:t>
      </w:r>
      <w:proofErr w:type="spellStart"/>
      <w:r w:rsidR="00890B06" w:rsidRPr="00890B06">
        <w:rPr>
          <w:i/>
          <w:lang w:bidi="en-US"/>
        </w:rPr>
        <w:t>Barreau</w:t>
      </w:r>
      <w:proofErr w:type="spellEnd"/>
      <w:r w:rsidR="00890B06" w:rsidRPr="00890B06">
        <w:rPr>
          <w:i/>
          <w:lang w:bidi="en-US"/>
        </w:rPr>
        <w:t xml:space="preserve"> du Québec v. Quebec (Attorney General)</w:t>
      </w:r>
      <w:r w:rsidR="00890B06" w:rsidRPr="00890B06">
        <w:rPr>
          <w:lang w:bidi="en-US"/>
        </w:rPr>
        <w:t>, 2017 SCC 56</w:t>
      </w:r>
      <w:r w:rsidR="00890B06" w:rsidRPr="00890B06">
        <w:t xml:space="preserve">, [2017] 2 S.C.R. 488; </w:t>
      </w:r>
      <w:r w:rsidR="00890B06" w:rsidRPr="00890B06">
        <w:rPr>
          <w:i/>
        </w:rPr>
        <w:t>Nor</w:t>
      </w:r>
      <w:r w:rsidR="007C3A49">
        <w:rPr>
          <w:i/>
        </w:rPr>
        <w:noBreakHyphen/>
      </w:r>
      <w:r w:rsidR="00890B06" w:rsidRPr="00890B06">
        <w:rPr>
          <w:i/>
        </w:rPr>
        <w:t>Man Regional Health Authority Inc. v. Manitoba Association of Health Care Professionals</w:t>
      </w:r>
      <w:r w:rsidR="00890B06" w:rsidRPr="00890B06">
        <w:t xml:space="preserve">, 2011 SCC 59, </w:t>
      </w:r>
      <w:r w:rsidR="00890B06" w:rsidRPr="00890B06">
        <w:rPr>
          <w:lang w:val="en"/>
        </w:rPr>
        <w:t xml:space="preserve">[2011] 3 S.C.R. 616; </w:t>
      </w:r>
      <w:r w:rsidR="00890B06" w:rsidRPr="00890B06">
        <w:rPr>
          <w:i/>
        </w:rPr>
        <w:t>Regina Police Assn. Inc. v. Regina (City) Board of Police Commissioners</w:t>
      </w:r>
      <w:r w:rsidR="00890B06" w:rsidRPr="00890B06">
        <w:t xml:space="preserve">, 2000 SCC 14, [2000] 1 S.C.R. 360; </w:t>
      </w:r>
      <w:r w:rsidR="00890B06" w:rsidRPr="00890B06">
        <w:rPr>
          <w:i/>
        </w:rPr>
        <w:t xml:space="preserve">Quebec (Commission des droits de la </w:t>
      </w:r>
      <w:proofErr w:type="spellStart"/>
      <w:r w:rsidR="00890B06" w:rsidRPr="00890B06">
        <w:rPr>
          <w:i/>
        </w:rPr>
        <w:t>personne</w:t>
      </w:r>
      <w:proofErr w:type="spellEnd"/>
      <w:r w:rsidR="00890B06" w:rsidRPr="00890B06">
        <w:rPr>
          <w:i/>
        </w:rPr>
        <w:t xml:space="preserve"> et des droits de la </w:t>
      </w:r>
      <w:proofErr w:type="spellStart"/>
      <w:r w:rsidR="00890B06" w:rsidRPr="00890B06">
        <w:rPr>
          <w:i/>
        </w:rPr>
        <w:t>jeunesse</w:t>
      </w:r>
      <w:proofErr w:type="spellEnd"/>
      <w:r w:rsidR="00890B06" w:rsidRPr="00890B06">
        <w:rPr>
          <w:i/>
        </w:rPr>
        <w:t>) v. Quebec (Attorney General)</w:t>
      </w:r>
      <w:r w:rsidR="00890B06" w:rsidRPr="00890B06">
        <w:t xml:space="preserve">, 2004 SCC 39, [2004] 2 S.C.R. 185; </w:t>
      </w:r>
      <w:r w:rsidR="00890B06" w:rsidRPr="00890B06">
        <w:rPr>
          <w:i/>
          <w:iCs/>
        </w:rPr>
        <w:t>Quebec (Attorney General) v. </w:t>
      </w:r>
      <w:proofErr w:type="spellStart"/>
      <w:r w:rsidR="00890B06" w:rsidRPr="00890B06">
        <w:rPr>
          <w:i/>
          <w:iCs/>
        </w:rPr>
        <w:t>Guérin</w:t>
      </w:r>
      <w:proofErr w:type="spellEnd"/>
      <w:r w:rsidR="00890B06" w:rsidRPr="00890B06">
        <w:t>, 2017 SCC 42</w:t>
      </w:r>
      <w:r w:rsidR="00890B06" w:rsidRPr="00890B06">
        <w:rPr>
          <w:iCs/>
        </w:rPr>
        <w:t>,</w:t>
      </w:r>
      <w:r w:rsidR="00890B06" w:rsidRPr="00890B06">
        <w:t xml:space="preserve"> [2017] 2 S.C.R. 3; </w:t>
      </w:r>
      <w:r w:rsidR="00890B06" w:rsidRPr="00890B06">
        <w:rPr>
          <w:i/>
        </w:rPr>
        <w:t>City of Arlington, Texas v. Federal Communications Commission</w:t>
      </w:r>
      <w:r w:rsidR="00890B06" w:rsidRPr="00890B06">
        <w:t xml:space="preserve">, 569 U.S. 290 (2013); </w:t>
      </w:r>
      <w:r w:rsidR="00890B06" w:rsidRPr="00890B06">
        <w:rPr>
          <w:i/>
        </w:rPr>
        <w:t>Green v. Law Society of Manitoba</w:t>
      </w:r>
      <w:r w:rsidR="00890B06" w:rsidRPr="00890B06">
        <w:t xml:space="preserve">, 2017 SCC 20, </w:t>
      </w:r>
      <w:r w:rsidR="00890B06" w:rsidRPr="00890B06">
        <w:rPr>
          <w:bCs/>
        </w:rPr>
        <w:t>[2017] 1 S.C.R. 360</w:t>
      </w:r>
      <w:r w:rsidR="00890B06" w:rsidRPr="00890B06">
        <w:t xml:space="preserve">; </w:t>
      </w:r>
      <w:r w:rsidR="00890B06" w:rsidRPr="00890B06">
        <w:rPr>
          <w:i/>
          <w:lang w:val="en"/>
        </w:rPr>
        <w:t>West Fraser Mills Ltd. v. British Columbia (Workers</w:t>
      </w:r>
      <w:r w:rsidR="008D5707">
        <w:rPr>
          <w:i/>
          <w:lang w:val="en"/>
        </w:rPr>
        <w:t>’</w:t>
      </w:r>
      <w:r w:rsidR="00890B06" w:rsidRPr="00890B06">
        <w:rPr>
          <w:i/>
          <w:lang w:val="en"/>
        </w:rPr>
        <w:t xml:space="preserve"> Compensation Appeal Tribunal)</w:t>
      </w:r>
      <w:r w:rsidR="00890B06" w:rsidRPr="00890B06">
        <w:rPr>
          <w:lang w:val="en"/>
        </w:rPr>
        <w:t xml:space="preserve">, 2018 SCC 22, </w:t>
      </w:r>
      <w:r w:rsidR="00890B06" w:rsidRPr="00890B06">
        <w:rPr>
          <w:smallCaps/>
        </w:rPr>
        <w:t xml:space="preserve">[2018] 1 S.C.R. 635; </w:t>
      </w:r>
      <w:r w:rsidR="00890B06" w:rsidRPr="00890B06">
        <w:rPr>
          <w:i/>
          <w:lang w:val="en-GB"/>
        </w:rPr>
        <w:t xml:space="preserve">Domtar Inc. v. Quebec (Commission </w:t>
      </w:r>
      <w:proofErr w:type="spellStart"/>
      <w:r w:rsidR="00890B06" w:rsidRPr="00890B06">
        <w:rPr>
          <w:i/>
          <w:lang w:val="en-GB"/>
        </w:rPr>
        <w:t>d</w:t>
      </w:r>
      <w:r w:rsidR="008D5707">
        <w:rPr>
          <w:i/>
          <w:lang w:val="en-GB"/>
        </w:rPr>
        <w:t>’</w:t>
      </w:r>
      <w:r w:rsidR="00890B06" w:rsidRPr="00890B06">
        <w:rPr>
          <w:i/>
          <w:lang w:val="en-GB"/>
        </w:rPr>
        <w:t>appel</w:t>
      </w:r>
      <w:proofErr w:type="spellEnd"/>
      <w:r w:rsidR="00890B06" w:rsidRPr="00890B06">
        <w:rPr>
          <w:i/>
          <w:lang w:val="en-GB"/>
        </w:rPr>
        <w:t xml:space="preserve"> </w:t>
      </w:r>
      <w:proofErr w:type="spellStart"/>
      <w:r w:rsidR="00890B06" w:rsidRPr="00890B06">
        <w:rPr>
          <w:i/>
          <w:lang w:val="en-GB"/>
        </w:rPr>
        <w:t>en</w:t>
      </w:r>
      <w:proofErr w:type="spellEnd"/>
      <w:r w:rsidR="00890B06" w:rsidRPr="00890B06">
        <w:rPr>
          <w:i/>
          <w:lang w:val="en-GB"/>
        </w:rPr>
        <w:t xml:space="preserve"> </w:t>
      </w:r>
      <w:proofErr w:type="spellStart"/>
      <w:r w:rsidR="00890B06" w:rsidRPr="00890B06">
        <w:rPr>
          <w:i/>
          <w:lang w:val="en-GB"/>
        </w:rPr>
        <w:t>matière</w:t>
      </w:r>
      <w:proofErr w:type="spellEnd"/>
      <w:r w:rsidR="00890B06" w:rsidRPr="00890B06">
        <w:rPr>
          <w:i/>
          <w:lang w:val="en-GB"/>
        </w:rPr>
        <w:t xml:space="preserve"> de </w:t>
      </w:r>
      <w:proofErr w:type="spellStart"/>
      <w:r w:rsidR="00890B06" w:rsidRPr="00890B06">
        <w:rPr>
          <w:i/>
          <w:lang w:val="en-GB"/>
        </w:rPr>
        <w:t>lésions</w:t>
      </w:r>
      <w:proofErr w:type="spellEnd"/>
      <w:r w:rsidR="00890B06" w:rsidRPr="00890B06">
        <w:rPr>
          <w:i/>
          <w:lang w:val="en-GB"/>
        </w:rPr>
        <w:t xml:space="preserve"> </w:t>
      </w:r>
      <w:proofErr w:type="spellStart"/>
      <w:r w:rsidR="00890B06" w:rsidRPr="00890B06">
        <w:rPr>
          <w:i/>
          <w:lang w:val="en-GB"/>
        </w:rPr>
        <w:t>professionnelles</w:t>
      </w:r>
      <w:proofErr w:type="spellEnd"/>
      <w:r w:rsidR="00890B06" w:rsidRPr="00890B06">
        <w:rPr>
          <w:i/>
          <w:lang w:val="en-GB"/>
        </w:rPr>
        <w:t>)</w:t>
      </w:r>
      <w:r w:rsidR="00890B06" w:rsidRPr="00890B06">
        <w:rPr>
          <w:lang w:val="en-GB"/>
        </w:rPr>
        <w:t xml:space="preserve">, [1993] 2 S.C.R. 756; </w:t>
      </w:r>
      <w:r w:rsidR="00890B06" w:rsidRPr="00890B06">
        <w:rPr>
          <w:i/>
          <w:lang w:val="en-GB"/>
        </w:rPr>
        <w:t>Ellis</w:t>
      </w:r>
      <w:r w:rsidR="007C3A49">
        <w:rPr>
          <w:i/>
          <w:lang w:val="en-GB"/>
        </w:rPr>
        <w:noBreakHyphen/>
      </w:r>
      <w:r w:rsidR="00890B06" w:rsidRPr="00890B06">
        <w:rPr>
          <w:i/>
          <w:lang w:val="en-GB"/>
        </w:rPr>
        <w:t>Don Ltd. v. Ontario (Labour Relations Board)</w:t>
      </w:r>
      <w:r w:rsidR="00890B06" w:rsidRPr="00890B06">
        <w:rPr>
          <w:lang w:val="en-GB"/>
        </w:rPr>
        <w:t xml:space="preserve">, 2001 SCC 4, </w:t>
      </w:r>
      <w:r w:rsidR="00890B06" w:rsidRPr="00890B06">
        <w:rPr>
          <w:lang w:val="en"/>
        </w:rPr>
        <w:t xml:space="preserve">[2001] 1 S.C.R. 221; </w:t>
      </w:r>
      <w:r w:rsidR="00890B06" w:rsidRPr="00890B06">
        <w:rPr>
          <w:i/>
        </w:rPr>
        <w:t xml:space="preserve">Knight v. Indian Head School Division </w:t>
      </w:r>
      <w:r w:rsidR="007C3A49">
        <w:rPr>
          <w:i/>
        </w:rPr>
        <w:t>No. </w:t>
      </w:r>
      <w:r w:rsidR="00890B06" w:rsidRPr="00890B06">
        <w:rPr>
          <w:i/>
        </w:rPr>
        <w:t>19</w:t>
      </w:r>
      <w:r w:rsidR="00890B06" w:rsidRPr="00890B06">
        <w:t xml:space="preserve">, [1990] 1 S.C.R. 653; </w:t>
      </w:r>
      <w:proofErr w:type="spellStart"/>
      <w:r w:rsidR="00890B06" w:rsidRPr="00890B06">
        <w:rPr>
          <w:i/>
          <w:lang w:val="en"/>
        </w:rPr>
        <w:t>Congrégation</w:t>
      </w:r>
      <w:proofErr w:type="spellEnd"/>
      <w:r w:rsidR="00890B06" w:rsidRPr="00890B06">
        <w:rPr>
          <w:i/>
          <w:lang w:val="en"/>
        </w:rPr>
        <w:t xml:space="preserve"> des </w:t>
      </w:r>
      <w:proofErr w:type="spellStart"/>
      <w:r w:rsidR="00890B06" w:rsidRPr="00890B06">
        <w:rPr>
          <w:i/>
          <w:lang w:val="en"/>
        </w:rPr>
        <w:t>témoins</w:t>
      </w:r>
      <w:proofErr w:type="spellEnd"/>
      <w:r w:rsidR="00890B06" w:rsidRPr="00890B06">
        <w:rPr>
          <w:i/>
          <w:lang w:val="en"/>
        </w:rPr>
        <w:t xml:space="preserve"> de </w:t>
      </w:r>
      <w:proofErr w:type="spellStart"/>
      <w:r w:rsidR="00890B06" w:rsidRPr="00890B06">
        <w:rPr>
          <w:i/>
          <w:lang w:val="en"/>
        </w:rPr>
        <w:t>Jéhovah</w:t>
      </w:r>
      <w:proofErr w:type="spellEnd"/>
      <w:r w:rsidR="00890B06" w:rsidRPr="00890B06">
        <w:rPr>
          <w:i/>
          <w:lang w:val="en"/>
        </w:rPr>
        <w:t xml:space="preserve"> de St</w:t>
      </w:r>
      <w:r w:rsidR="007C3A49">
        <w:rPr>
          <w:i/>
          <w:lang w:val="en"/>
        </w:rPr>
        <w:noBreakHyphen/>
      </w:r>
      <w:proofErr w:type="spellStart"/>
      <w:r w:rsidR="00890B06" w:rsidRPr="00890B06">
        <w:rPr>
          <w:i/>
          <w:lang w:val="en"/>
        </w:rPr>
        <w:t>Jérôme</w:t>
      </w:r>
      <w:proofErr w:type="spellEnd"/>
      <w:r w:rsidR="007C3A49">
        <w:rPr>
          <w:i/>
          <w:lang w:val="en"/>
        </w:rPr>
        <w:noBreakHyphen/>
      </w:r>
      <w:r w:rsidR="00890B06" w:rsidRPr="00890B06">
        <w:rPr>
          <w:i/>
          <w:lang w:val="en"/>
        </w:rPr>
        <w:t>Lafontaine v. Lafontaine (Village)</w:t>
      </w:r>
      <w:r w:rsidR="00890B06" w:rsidRPr="00890B06">
        <w:rPr>
          <w:lang w:val="en"/>
        </w:rPr>
        <w:t>,</w:t>
      </w:r>
      <w:r w:rsidR="00890B06" w:rsidRPr="00890B06">
        <w:rPr>
          <w:i/>
          <w:lang w:val="en"/>
        </w:rPr>
        <w:t xml:space="preserve"> </w:t>
      </w:r>
      <w:r w:rsidR="00890B06" w:rsidRPr="00890B06">
        <w:rPr>
          <w:lang w:val="en"/>
        </w:rPr>
        <w:t xml:space="preserve">2004 SCC 48, [2004] 2 S.C.R. 650; </w:t>
      </w:r>
      <w:r w:rsidR="00890B06" w:rsidRPr="00890B06">
        <w:rPr>
          <w:i/>
        </w:rPr>
        <w:t>R. v. Sheppard</w:t>
      </w:r>
      <w:r w:rsidR="00890B06" w:rsidRPr="00890B06">
        <w:t>,</w:t>
      </w:r>
      <w:r w:rsidR="00890B06" w:rsidRPr="00890B06">
        <w:rPr>
          <w:i/>
        </w:rPr>
        <w:t xml:space="preserve"> </w:t>
      </w:r>
      <w:r w:rsidR="00890B06" w:rsidRPr="00890B06">
        <w:rPr>
          <w:lang w:val="en"/>
        </w:rPr>
        <w:t>2002 SCC 26</w:t>
      </w:r>
      <w:r w:rsidR="00890B06" w:rsidRPr="00890B06">
        <w:t xml:space="preserve">, </w:t>
      </w:r>
      <w:r w:rsidR="00890B06" w:rsidRPr="00890B06">
        <w:rPr>
          <w:lang w:val="en"/>
        </w:rPr>
        <w:t xml:space="preserve">[2002] 1 S.C.R. 869; </w:t>
      </w:r>
      <w:r w:rsidR="00890B06" w:rsidRPr="00890B06">
        <w:rPr>
          <w:i/>
          <w:iCs/>
          <w:lang w:val="en"/>
        </w:rPr>
        <w:t>Suresh v. Canada (Minister of Citizenship and Immigration)</w:t>
      </w:r>
      <w:r w:rsidR="00890B06" w:rsidRPr="00890B06">
        <w:rPr>
          <w:lang w:val="en"/>
        </w:rPr>
        <w:t xml:space="preserve">, 2002 SCC 1, [2002] 1 S.C.R. 3; </w:t>
      </w:r>
      <w:r w:rsidR="00890B06" w:rsidRPr="00890B06">
        <w:rPr>
          <w:i/>
          <w:iCs/>
          <w:lang w:val="en"/>
        </w:rPr>
        <w:t>Catalyst Paper Cor</w:t>
      </w:r>
      <w:r w:rsidR="007C3A49">
        <w:rPr>
          <w:i/>
          <w:iCs/>
          <w:lang w:val="en"/>
        </w:rPr>
        <w:t>p. </w:t>
      </w:r>
      <w:r w:rsidR="00890B06" w:rsidRPr="00890B06">
        <w:rPr>
          <w:i/>
          <w:iCs/>
          <w:lang w:val="en"/>
        </w:rPr>
        <w:t xml:space="preserve">v. </w:t>
      </w:r>
      <w:r w:rsidR="00890B06" w:rsidRPr="00890B06">
        <w:rPr>
          <w:i/>
          <w:iCs/>
          <w:lang w:val="en"/>
        </w:rPr>
        <w:lastRenderedPageBreak/>
        <w:t>North Cowichan (District)</w:t>
      </w:r>
      <w:r w:rsidR="00890B06" w:rsidRPr="00890B06">
        <w:rPr>
          <w:lang w:val="en"/>
        </w:rPr>
        <w:t xml:space="preserve">, 2012 SCC 2, [2012] 1 S.C.R. 5; </w:t>
      </w:r>
      <w:r w:rsidR="00890B06" w:rsidRPr="00890B06">
        <w:rPr>
          <w:i/>
          <w:lang w:val="en-US"/>
        </w:rPr>
        <w:t xml:space="preserve">Reference re Remuneration of Judges of the </w:t>
      </w:r>
      <w:r w:rsidR="002F2DDE" w:rsidRPr="00890B06">
        <w:rPr>
          <w:i/>
          <w:lang w:val="en-US"/>
        </w:rPr>
        <w:t>Provincial</w:t>
      </w:r>
      <w:r w:rsidR="00890B06" w:rsidRPr="00890B06">
        <w:rPr>
          <w:i/>
          <w:lang w:val="en-US"/>
        </w:rPr>
        <w:t xml:space="preserve"> Court of Prince Edward Island</w:t>
      </w:r>
      <w:r w:rsidR="00890B06" w:rsidRPr="00890B06">
        <w:rPr>
          <w:lang w:val="en-US"/>
        </w:rPr>
        <w:t xml:space="preserve">, [1997] 3 S.C.R. 3; </w:t>
      </w:r>
      <w:proofErr w:type="spellStart"/>
      <w:r w:rsidR="00890B06" w:rsidRPr="00890B06">
        <w:rPr>
          <w:i/>
        </w:rPr>
        <w:t>Delios</w:t>
      </w:r>
      <w:proofErr w:type="spellEnd"/>
      <w:r w:rsidR="00890B06" w:rsidRPr="00890B06">
        <w:rPr>
          <w:i/>
        </w:rPr>
        <w:t xml:space="preserve"> v. Canada (Attorney General)</w:t>
      </w:r>
      <w:r w:rsidR="00890B06" w:rsidRPr="00890B06">
        <w:t xml:space="preserve">, 2015 FCA 117, 472 N.R. 171; </w:t>
      </w:r>
      <w:r w:rsidR="00890B06" w:rsidRPr="00890B06">
        <w:rPr>
          <w:i/>
        </w:rPr>
        <w:t>Halifax (Regional Municipality) v. Nova Scotia (Human Rights Commission)</w:t>
      </w:r>
      <w:r w:rsidR="00890B06" w:rsidRPr="00890B06">
        <w:t xml:space="preserve">, 2012 SCC 10, </w:t>
      </w:r>
      <w:r w:rsidR="00890B06" w:rsidRPr="00890B06">
        <w:rPr>
          <w:bCs/>
        </w:rPr>
        <w:t>[2012] 1 S.C.R. 364</w:t>
      </w:r>
      <w:r w:rsidR="00890B06" w:rsidRPr="00890B06">
        <w:t xml:space="preserve">; </w:t>
      </w:r>
      <w:r w:rsidR="00890B06" w:rsidRPr="00890B06">
        <w:rPr>
          <w:i/>
        </w:rPr>
        <w:t xml:space="preserve">Canada (Attorney General) v. Igloo </w:t>
      </w:r>
      <w:proofErr w:type="spellStart"/>
      <w:r w:rsidR="00890B06" w:rsidRPr="00890B06">
        <w:rPr>
          <w:i/>
        </w:rPr>
        <w:t>Vikski</w:t>
      </w:r>
      <w:proofErr w:type="spellEnd"/>
      <w:r w:rsidR="00890B06" w:rsidRPr="00890B06">
        <w:rPr>
          <w:i/>
        </w:rPr>
        <w:t xml:space="preserve"> Inc.</w:t>
      </w:r>
      <w:r w:rsidR="00890B06" w:rsidRPr="00890B06">
        <w:t xml:space="preserve">, 2016 SCC 38, [2016] 2 S.C.R. 80; </w:t>
      </w:r>
      <w:r w:rsidR="00890B06" w:rsidRPr="00890B06">
        <w:rPr>
          <w:i/>
        </w:rPr>
        <w:t>Law Society of British Columbia v. Trinity Western University</w:t>
      </w:r>
      <w:r w:rsidR="00890B06" w:rsidRPr="00890B06">
        <w:t xml:space="preserve">, 2018 SCC 32, </w:t>
      </w:r>
      <w:r w:rsidR="00890B06" w:rsidRPr="00890B06">
        <w:rPr>
          <w:bCs/>
        </w:rPr>
        <w:t>[2018] 2 S.C.R. 29</w:t>
      </w:r>
      <w:r w:rsidR="007D6CE6">
        <w:rPr>
          <w:bCs/>
        </w:rPr>
        <w:t>3</w:t>
      </w:r>
      <w:r w:rsidR="00890B06" w:rsidRPr="00890B06">
        <w:rPr>
          <w:bCs/>
        </w:rPr>
        <w:t xml:space="preserve">; </w:t>
      </w:r>
      <w:proofErr w:type="spellStart"/>
      <w:r w:rsidR="00890B06" w:rsidRPr="00890B06">
        <w:rPr>
          <w:i/>
          <w:lang w:val="en"/>
        </w:rPr>
        <w:t>Komolafe</w:t>
      </w:r>
      <w:proofErr w:type="spellEnd"/>
      <w:r w:rsidR="00890B06" w:rsidRPr="00890B06">
        <w:rPr>
          <w:i/>
          <w:lang w:val="en"/>
        </w:rPr>
        <w:t xml:space="preserve"> v. Canada (Minister of Citizenship and Immigration)</w:t>
      </w:r>
      <w:r w:rsidR="00890B06" w:rsidRPr="00890B06">
        <w:rPr>
          <w:lang w:val="en"/>
        </w:rPr>
        <w:t xml:space="preserve">, 2013 FC 431, </w:t>
      </w:r>
      <w:r w:rsidR="00890B06" w:rsidRPr="00890B06">
        <w:t xml:space="preserve">16 </w:t>
      </w:r>
      <w:proofErr w:type="spellStart"/>
      <w:r w:rsidR="00890B06" w:rsidRPr="00890B06">
        <w:t>Imm</w:t>
      </w:r>
      <w:proofErr w:type="spellEnd"/>
      <w:r w:rsidR="00890B06" w:rsidRPr="00890B06">
        <w:t xml:space="preserve">. L.R. (4th) 267; </w:t>
      </w:r>
      <w:r w:rsidR="00890B06" w:rsidRPr="00890B06">
        <w:rPr>
          <w:i/>
          <w:iCs/>
        </w:rPr>
        <w:t>Petro</w:t>
      </w:r>
      <w:r w:rsidR="007C3A49">
        <w:rPr>
          <w:i/>
          <w:iCs/>
        </w:rPr>
        <w:noBreakHyphen/>
      </w:r>
      <w:r w:rsidR="00890B06" w:rsidRPr="00890B06">
        <w:rPr>
          <w:i/>
          <w:iCs/>
        </w:rPr>
        <w:t>Canada v. British Columbia (Workers</w:t>
      </w:r>
      <w:r w:rsidR="008D5707">
        <w:rPr>
          <w:i/>
          <w:iCs/>
        </w:rPr>
        <w:t>’</w:t>
      </w:r>
      <w:r w:rsidR="00890B06" w:rsidRPr="00890B06">
        <w:rPr>
          <w:i/>
          <w:iCs/>
        </w:rPr>
        <w:t xml:space="preserve"> Compensation Board)</w:t>
      </w:r>
      <w:r w:rsidR="00890B06" w:rsidRPr="00890B06">
        <w:t xml:space="preserve">, 2009 BCCA 396, 276 B.C.A.C. 135; </w:t>
      </w:r>
      <w:r w:rsidR="00890B06" w:rsidRPr="00890B06">
        <w:rPr>
          <w:bCs/>
          <w:i/>
          <w:szCs w:val="24"/>
        </w:rPr>
        <w:t>Gonzalez v. Canada (Minister of Citizenship and Immigration)</w:t>
      </w:r>
      <w:r w:rsidR="00890B06" w:rsidRPr="00890B06">
        <w:rPr>
          <w:bCs/>
          <w:szCs w:val="24"/>
        </w:rPr>
        <w:t xml:space="preserve">, </w:t>
      </w:r>
      <w:r w:rsidR="00890B06" w:rsidRPr="00890B06">
        <w:rPr>
          <w:szCs w:val="24"/>
        </w:rPr>
        <w:t xml:space="preserve">2014 FC 750, 27 </w:t>
      </w:r>
      <w:proofErr w:type="spellStart"/>
      <w:r w:rsidR="00890B06" w:rsidRPr="00890B06">
        <w:rPr>
          <w:szCs w:val="24"/>
        </w:rPr>
        <w:t>Imm</w:t>
      </w:r>
      <w:proofErr w:type="spellEnd"/>
      <w:r w:rsidR="00890B06" w:rsidRPr="00890B06">
        <w:rPr>
          <w:szCs w:val="24"/>
        </w:rPr>
        <w:t xml:space="preserve">. L.R. (4th) 151; </w:t>
      </w:r>
      <w:r w:rsidR="00890B06" w:rsidRPr="00890B06">
        <w:rPr>
          <w:i/>
          <w:iCs/>
          <w:lang w:val="en"/>
        </w:rPr>
        <w:t>Wright v. Nova Scotia (Human Rights Commission)</w:t>
      </w:r>
      <w:r w:rsidR="00890B06" w:rsidRPr="00052738">
        <w:rPr>
          <w:iCs/>
          <w:lang w:val="en"/>
        </w:rPr>
        <w:t>,</w:t>
      </w:r>
      <w:r w:rsidR="00890B06" w:rsidRPr="00890B06">
        <w:rPr>
          <w:i/>
          <w:iCs/>
          <w:lang w:val="en"/>
        </w:rPr>
        <w:t xml:space="preserve"> </w:t>
      </w:r>
      <w:r w:rsidR="00890B06" w:rsidRPr="00890B06">
        <w:rPr>
          <w:lang w:val="en"/>
        </w:rPr>
        <w:t>2017 NSSC 11,</w:t>
      </w:r>
      <w:r w:rsidR="00890B06" w:rsidRPr="00890B06">
        <w:rPr>
          <w:szCs w:val="24"/>
          <w:lang w:val="en"/>
        </w:rPr>
        <w:t xml:space="preserve"> </w:t>
      </w:r>
      <w:r w:rsidR="00890B06" w:rsidRPr="00890B06">
        <w:rPr>
          <w:szCs w:val="24"/>
        </w:rPr>
        <w:t xml:space="preserve">23 Admin. L.R. (6th) 110; </w:t>
      </w:r>
      <w:proofErr w:type="spellStart"/>
      <w:r w:rsidR="00890B06" w:rsidRPr="00890B06">
        <w:rPr>
          <w:i/>
        </w:rPr>
        <w:t>Sangmo</w:t>
      </w:r>
      <w:proofErr w:type="spellEnd"/>
      <w:r w:rsidR="00890B06" w:rsidRPr="00890B06">
        <w:rPr>
          <w:i/>
        </w:rPr>
        <w:t xml:space="preserve"> v. Canada (</w:t>
      </w:r>
      <w:r w:rsidR="00655FF6">
        <w:rPr>
          <w:i/>
        </w:rPr>
        <w:t xml:space="preserve">Minister of </w:t>
      </w:r>
      <w:r w:rsidR="00890B06" w:rsidRPr="00890B06">
        <w:rPr>
          <w:i/>
        </w:rPr>
        <w:t>Citizenship and Immigration)</w:t>
      </w:r>
      <w:r w:rsidR="00890B06" w:rsidRPr="00890B06">
        <w:t xml:space="preserve">, 2016 FC 17; </w:t>
      </w:r>
      <w:r w:rsidR="00890B06" w:rsidRPr="00890B06">
        <w:rPr>
          <w:i/>
          <w:iCs/>
          <w:lang w:val="en"/>
        </w:rPr>
        <w:t>Blas v. Canada (</w:t>
      </w:r>
      <w:r w:rsidR="00A85536">
        <w:rPr>
          <w:i/>
          <w:iCs/>
          <w:lang w:val="en"/>
        </w:rPr>
        <w:t xml:space="preserve">Minister of </w:t>
      </w:r>
      <w:r w:rsidR="00890B06" w:rsidRPr="00890B06">
        <w:rPr>
          <w:i/>
          <w:iCs/>
          <w:lang w:val="en"/>
        </w:rPr>
        <w:t>Citizenship and Immigration)</w:t>
      </w:r>
      <w:r w:rsidR="00890B06" w:rsidRPr="00890B06">
        <w:rPr>
          <w:lang w:val="en"/>
        </w:rPr>
        <w:t xml:space="preserve">, 2014 FC 629, </w:t>
      </w:r>
      <w:r w:rsidR="00890B06" w:rsidRPr="00890B06">
        <w:rPr>
          <w:szCs w:val="24"/>
        </w:rPr>
        <w:t xml:space="preserve">26 </w:t>
      </w:r>
      <w:proofErr w:type="spellStart"/>
      <w:r w:rsidR="00890B06" w:rsidRPr="00890B06">
        <w:rPr>
          <w:szCs w:val="24"/>
        </w:rPr>
        <w:t>Imm</w:t>
      </w:r>
      <w:proofErr w:type="spellEnd"/>
      <w:r w:rsidR="00890B06" w:rsidRPr="00890B06">
        <w:rPr>
          <w:szCs w:val="24"/>
        </w:rPr>
        <w:t xml:space="preserve">. L.R. (4th) 92; </w:t>
      </w:r>
      <w:r w:rsidR="00890B06" w:rsidRPr="00890B06">
        <w:rPr>
          <w:bCs/>
          <w:i/>
          <w:szCs w:val="24"/>
        </w:rPr>
        <w:t>Reid v. Criminal Injuries Compensation Board</w:t>
      </w:r>
      <w:r w:rsidR="00890B06" w:rsidRPr="00890B06">
        <w:rPr>
          <w:bCs/>
          <w:szCs w:val="24"/>
        </w:rPr>
        <w:t xml:space="preserve">, </w:t>
      </w:r>
      <w:r w:rsidR="00890B06" w:rsidRPr="00890B06">
        <w:rPr>
          <w:szCs w:val="24"/>
        </w:rPr>
        <w:t xml:space="preserve">2015 ONSC 6578; </w:t>
      </w:r>
      <w:r w:rsidR="00890B06" w:rsidRPr="00890B06">
        <w:rPr>
          <w:bCs/>
          <w:i/>
          <w:szCs w:val="24"/>
        </w:rPr>
        <w:t>Lloyd v. Canada (Attorney General)</w:t>
      </w:r>
      <w:r w:rsidR="00890B06" w:rsidRPr="00890B06">
        <w:rPr>
          <w:bCs/>
          <w:szCs w:val="24"/>
        </w:rPr>
        <w:t xml:space="preserve">, </w:t>
      </w:r>
      <w:r w:rsidR="00890B06" w:rsidRPr="00890B06">
        <w:rPr>
          <w:szCs w:val="24"/>
        </w:rPr>
        <w:t xml:space="preserve">2016 FCA 115, 2016 D.T.C. 5051; </w:t>
      </w:r>
      <w:r w:rsidR="00890B06" w:rsidRPr="00890B06">
        <w:rPr>
          <w:i/>
          <w:szCs w:val="24"/>
          <w:lang w:val="en"/>
        </w:rPr>
        <w:t>Taman v. Canada (Attorney General)</w:t>
      </w:r>
      <w:r w:rsidR="00890B06" w:rsidRPr="00890B06">
        <w:rPr>
          <w:szCs w:val="24"/>
          <w:lang w:val="en"/>
        </w:rPr>
        <w:t xml:space="preserve">, 2017 FCA 1, [2017] 3 F.C.R. 520; </w:t>
      </w:r>
      <w:proofErr w:type="spellStart"/>
      <w:r w:rsidR="00890B06" w:rsidRPr="00890B06">
        <w:rPr>
          <w:i/>
          <w:lang w:val="en"/>
        </w:rPr>
        <w:t>Roncarelli</w:t>
      </w:r>
      <w:proofErr w:type="spellEnd"/>
      <w:r w:rsidR="00890B06" w:rsidRPr="00890B06">
        <w:rPr>
          <w:i/>
        </w:rPr>
        <w:t xml:space="preserve"> v. </w:t>
      </w:r>
      <w:proofErr w:type="spellStart"/>
      <w:r w:rsidR="00890B06" w:rsidRPr="00890B06">
        <w:rPr>
          <w:i/>
        </w:rPr>
        <w:t>Duplessis</w:t>
      </w:r>
      <w:proofErr w:type="spellEnd"/>
      <w:r w:rsidR="00890B06" w:rsidRPr="00890B06">
        <w:t xml:space="preserve">, [1959] S.C.R. 121; </w:t>
      </w:r>
      <w:r w:rsidR="00890B06" w:rsidRPr="00890B06">
        <w:rPr>
          <w:i/>
          <w:iCs/>
          <w:lang w:val="en"/>
        </w:rPr>
        <w:t>Montréal (City) v. Montreal Port Authority</w:t>
      </w:r>
      <w:r w:rsidR="00890B06" w:rsidRPr="00890B06">
        <w:rPr>
          <w:lang w:val="en"/>
        </w:rPr>
        <w:t xml:space="preserve">, 2010 SCC 14, [2010] 1 S.C.R. 427; </w:t>
      </w:r>
      <w:r w:rsidR="00890B06" w:rsidRPr="00890B06">
        <w:rPr>
          <w:i/>
          <w:lang w:val="en"/>
        </w:rPr>
        <w:t xml:space="preserve">Canada (Attorney General) v. </w:t>
      </w:r>
      <w:proofErr w:type="spellStart"/>
      <w:r w:rsidR="00890B06" w:rsidRPr="00890B06">
        <w:rPr>
          <w:i/>
          <w:lang w:val="en"/>
        </w:rPr>
        <w:t>Almon</w:t>
      </w:r>
      <w:proofErr w:type="spellEnd"/>
      <w:r w:rsidR="00890B06" w:rsidRPr="00890B06">
        <w:rPr>
          <w:i/>
          <w:lang w:val="en"/>
        </w:rPr>
        <w:t xml:space="preserve"> Equipment Limited</w:t>
      </w:r>
      <w:r w:rsidR="00890B06" w:rsidRPr="00890B06">
        <w:rPr>
          <w:lang w:val="en"/>
        </w:rPr>
        <w:t xml:space="preserve">, 2010 FCA 193, [2011] 4 F.C.R. 203; </w:t>
      </w:r>
      <w:r w:rsidR="00890B06" w:rsidRPr="00890B06">
        <w:rPr>
          <w:i/>
          <w:lang w:val="en"/>
        </w:rPr>
        <w:t>Katz Group Canada Inc. v. Ontario (Health and Long</w:t>
      </w:r>
      <w:r w:rsidR="007C3A49">
        <w:rPr>
          <w:i/>
          <w:lang w:val="en"/>
        </w:rPr>
        <w:noBreakHyphen/>
      </w:r>
      <w:r w:rsidR="00890B06" w:rsidRPr="00890B06">
        <w:rPr>
          <w:i/>
          <w:lang w:val="en"/>
        </w:rPr>
        <w:t>Term Care)</w:t>
      </w:r>
      <w:r w:rsidR="00890B06" w:rsidRPr="00890B06">
        <w:rPr>
          <w:lang w:val="en"/>
        </w:rPr>
        <w:t xml:space="preserve">, 2013 SCC 64, [2013] 3 S.C.R. 810; </w:t>
      </w:r>
      <w:r w:rsidR="00890B06" w:rsidRPr="00890B06">
        <w:rPr>
          <w:i/>
        </w:rPr>
        <w:t xml:space="preserve">Canada (Transport, Infrastructure and Communities) v. </w:t>
      </w:r>
      <w:proofErr w:type="spellStart"/>
      <w:r w:rsidR="00890B06" w:rsidRPr="00890B06">
        <w:rPr>
          <w:i/>
        </w:rPr>
        <w:t>Farwaha</w:t>
      </w:r>
      <w:proofErr w:type="spellEnd"/>
      <w:r w:rsidR="00890B06" w:rsidRPr="00890B06">
        <w:t xml:space="preserve">, 2014 FCA 56, [2015] 2 F.C.R. 1006; </w:t>
      </w:r>
      <w:r w:rsidR="00890B06" w:rsidRPr="00890B06">
        <w:rPr>
          <w:i/>
        </w:rPr>
        <w:t xml:space="preserve">R. v. </w:t>
      </w:r>
      <w:proofErr w:type="spellStart"/>
      <w:r w:rsidR="00890B06" w:rsidRPr="00890B06">
        <w:rPr>
          <w:i/>
        </w:rPr>
        <w:t>Hape</w:t>
      </w:r>
      <w:proofErr w:type="spellEnd"/>
      <w:r w:rsidR="00890B06" w:rsidRPr="00890B06">
        <w:t xml:space="preserve">, 2007 SCC 26, </w:t>
      </w:r>
      <w:r w:rsidR="00890B06" w:rsidRPr="00890B06">
        <w:rPr>
          <w:lang w:val="en"/>
        </w:rPr>
        <w:t>[2007] 2 S.C.R. 292</w:t>
      </w:r>
      <w:r w:rsidR="00890B06" w:rsidRPr="00890B06">
        <w:t xml:space="preserve">; </w:t>
      </w:r>
      <w:r w:rsidR="00890B06" w:rsidRPr="00890B06">
        <w:rPr>
          <w:i/>
        </w:rPr>
        <w:t xml:space="preserve">R. v. </w:t>
      </w:r>
      <w:proofErr w:type="spellStart"/>
      <w:r w:rsidR="00890B06" w:rsidRPr="00890B06">
        <w:rPr>
          <w:i/>
        </w:rPr>
        <w:t>Appulonappa</w:t>
      </w:r>
      <w:proofErr w:type="spellEnd"/>
      <w:r w:rsidR="00890B06" w:rsidRPr="00890B06">
        <w:t>,</w:t>
      </w:r>
      <w:r w:rsidR="00890B06" w:rsidRPr="00890B06">
        <w:rPr>
          <w:i/>
        </w:rPr>
        <w:t xml:space="preserve"> </w:t>
      </w:r>
      <w:r w:rsidR="00890B06" w:rsidRPr="00890B06">
        <w:t xml:space="preserve">2015 SCC 59, </w:t>
      </w:r>
      <w:r w:rsidR="00890B06" w:rsidRPr="00890B06">
        <w:rPr>
          <w:lang w:val="en"/>
        </w:rPr>
        <w:t xml:space="preserve">[2015] 3 S.C.R. 754; </w:t>
      </w:r>
      <w:r w:rsidR="00890B06" w:rsidRPr="00890B06">
        <w:rPr>
          <w:i/>
        </w:rPr>
        <w:t>Rizzo &amp; Rizzo Shoes Ltd. (Re)</w:t>
      </w:r>
      <w:r w:rsidR="00890B06" w:rsidRPr="00890B06">
        <w:t xml:space="preserve">, [1998] 1 S.C.R. 27; </w:t>
      </w:r>
      <w:r w:rsidR="00890B06" w:rsidRPr="00890B06">
        <w:rPr>
          <w:i/>
        </w:rPr>
        <w:t xml:space="preserve">Bell ExpressVu </w:t>
      </w:r>
      <w:r w:rsidR="00890B06" w:rsidRPr="00890B06">
        <w:rPr>
          <w:i/>
        </w:rPr>
        <w:lastRenderedPageBreak/>
        <w:t>Limited Partnership v. Rex</w:t>
      </w:r>
      <w:r w:rsidR="00890B06" w:rsidRPr="00890B06">
        <w:t xml:space="preserve">, 2002 SCC 42, [2002] 2 S.C.R. 559; </w:t>
      </w:r>
      <w:r w:rsidR="00890B06" w:rsidRPr="00890B06">
        <w:rPr>
          <w:i/>
          <w:iCs/>
        </w:rPr>
        <w:t xml:space="preserve">Canada </w:t>
      </w:r>
      <w:proofErr w:type="spellStart"/>
      <w:r w:rsidR="00890B06" w:rsidRPr="00890B06">
        <w:rPr>
          <w:i/>
          <w:iCs/>
        </w:rPr>
        <w:t>Trustco</w:t>
      </w:r>
      <w:proofErr w:type="spellEnd"/>
      <w:r w:rsidR="00890B06" w:rsidRPr="00890B06">
        <w:rPr>
          <w:i/>
          <w:iCs/>
        </w:rPr>
        <w:t xml:space="preserve"> Mortgage Co. v. Canada</w:t>
      </w:r>
      <w:r w:rsidR="00890B06" w:rsidRPr="00890B06">
        <w:t>,</w:t>
      </w:r>
      <w:r w:rsidR="00890B06" w:rsidRPr="00890B06" w:rsidDel="008F2BA9">
        <w:t xml:space="preserve"> </w:t>
      </w:r>
      <w:r w:rsidR="00890B06" w:rsidRPr="00890B06">
        <w:t xml:space="preserve">2005 SCC 54, [2005] 2 S.C.R. 601; </w:t>
      </w:r>
      <w:r w:rsidR="00890B06" w:rsidRPr="00890B06">
        <w:rPr>
          <w:i/>
        </w:rPr>
        <w:t>Construction Labour Relations v. Driver Iron Inc.</w:t>
      </w:r>
      <w:r w:rsidR="00890B06" w:rsidRPr="00890B06">
        <w:t xml:space="preserve">, 2012 SCC 65, [2012] 3 S.C.R. 405; </w:t>
      </w:r>
      <w:r w:rsidR="00890B06" w:rsidRPr="00890B06">
        <w:rPr>
          <w:i/>
        </w:rPr>
        <w:t>IWA v. Consolidated</w:t>
      </w:r>
      <w:r w:rsidR="007C3A49">
        <w:rPr>
          <w:i/>
        </w:rPr>
        <w:noBreakHyphen/>
      </w:r>
      <w:r w:rsidR="00890B06" w:rsidRPr="00890B06">
        <w:rPr>
          <w:i/>
        </w:rPr>
        <w:t>Bathurst Packaging Ltd.</w:t>
      </w:r>
      <w:r w:rsidR="00890B06" w:rsidRPr="00890B06">
        <w:t xml:space="preserve">, [1990] 1 S.C.R. 282; </w:t>
      </w:r>
      <w:proofErr w:type="spellStart"/>
      <w:r w:rsidR="00890B06" w:rsidRPr="00890B06">
        <w:rPr>
          <w:i/>
          <w:lang w:bidi="en-US"/>
        </w:rPr>
        <w:t>Chieu</w:t>
      </w:r>
      <w:proofErr w:type="spellEnd"/>
      <w:r w:rsidR="00890B06" w:rsidRPr="00890B06">
        <w:rPr>
          <w:i/>
          <w:lang w:bidi="en-US"/>
        </w:rPr>
        <w:t xml:space="preserve"> v. Canada (Minister of Citizenship and Immigration</w:t>
      </w:r>
      <w:r w:rsidR="00174A63">
        <w:rPr>
          <w:i/>
          <w:lang w:bidi="en-US"/>
        </w:rPr>
        <w:t>)</w:t>
      </w:r>
      <w:r w:rsidR="00890B06" w:rsidRPr="00890B06">
        <w:rPr>
          <w:lang w:bidi="en-US"/>
        </w:rPr>
        <w:t xml:space="preserve">, </w:t>
      </w:r>
      <w:r w:rsidR="00DD29ED">
        <w:rPr>
          <w:lang w:bidi="en-US"/>
        </w:rPr>
        <w:t xml:space="preserve">2002 SCC 3, </w:t>
      </w:r>
      <w:r w:rsidR="00890B06" w:rsidRPr="00890B06">
        <w:rPr>
          <w:lang w:bidi="en-US"/>
        </w:rPr>
        <w:t xml:space="preserve">[2002] 1 S.C.R. 84; </w:t>
      </w:r>
      <w:proofErr w:type="spellStart"/>
      <w:r w:rsidR="00890B06" w:rsidRPr="00890B06">
        <w:rPr>
          <w:i/>
        </w:rPr>
        <w:t>D</w:t>
      </w:r>
      <w:r w:rsidR="008D5707">
        <w:rPr>
          <w:i/>
        </w:rPr>
        <w:t>’</w:t>
      </w:r>
      <w:r w:rsidR="00890B06" w:rsidRPr="00890B06">
        <w:rPr>
          <w:i/>
        </w:rPr>
        <w:t>Errico</w:t>
      </w:r>
      <w:proofErr w:type="spellEnd"/>
      <w:r w:rsidR="00890B06" w:rsidRPr="00890B06">
        <w:rPr>
          <w:i/>
        </w:rPr>
        <w:t xml:space="preserve"> v. Canada (Attorney General)</w:t>
      </w:r>
      <w:r w:rsidR="00890B06" w:rsidRPr="00890B06">
        <w:t>, 2014 FCA 95</w:t>
      </w:r>
      <w:r w:rsidR="00244277">
        <w:t>, 459 N.R. 167</w:t>
      </w:r>
      <w:r w:rsidR="00890B06" w:rsidRPr="00890B06">
        <w:t xml:space="preserve">; </w:t>
      </w:r>
      <w:r w:rsidR="00890B06" w:rsidRPr="00890B06">
        <w:rPr>
          <w:i/>
        </w:rPr>
        <w:t>Mobil Oil Canada Ltd. v. Canada</w:t>
      </w:r>
      <w:r w:rsidR="007C3A49">
        <w:rPr>
          <w:i/>
        </w:rPr>
        <w:noBreakHyphen/>
      </w:r>
      <w:r w:rsidR="00890B06" w:rsidRPr="00890B06">
        <w:rPr>
          <w:i/>
        </w:rPr>
        <w:t>Newfoundland Offshore Petroleum Board</w:t>
      </w:r>
      <w:r w:rsidR="00890B06" w:rsidRPr="00890B06">
        <w:t xml:space="preserve">, [1994] 1 S.C.R. 202; </w:t>
      </w:r>
      <w:r w:rsidR="00890B06" w:rsidRPr="00890B06">
        <w:rPr>
          <w:i/>
          <w:lang w:val="en"/>
        </w:rPr>
        <w:t xml:space="preserve">Renaud v. Quebec (Commission des affaires </w:t>
      </w:r>
      <w:proofErr w:type="spellStart"/>
      <w:r w:rsidR="00890B06" w:rsidRPr="00890B06">
        <w:rPr>
          <w:i/>
          <w:lang w:val="en"/>
        </w:rPr>
        <w:t>sociales</w:t>
      </w:r>
      <w:proofErr w:type="spellEnd"/>
      <w:r w:rsidR="00890B06" w:rsidRPr="00890B06">
        <w:rPr>
          <w:i/>
          <w:lang w:val="en"/>
        </w:rPr>
        <w:t>)</w:t>
      </w:r>
      <w:r w:rsidR="00890B06" w:rsidRPr="00890B06">
        <w:rPr>
          <w:lang w:val="en"/>
        </w:rPr>
        <w:t xml:space="preserve">, [1999] 3 S.C.R. 855; </w:t>
      </w:r>
      <w:proofErr w:type="spellStart"/>
      <w:r w:rsidR="00890B06" w:rsidRPr="00890B06">
        <w:rPr>
          <w:i/>
          <w:lang w:val="en"/>
        </w:rPr>
        <w:t>Groia</w:t>
      </w:r>
      <w:proofErr w:type="spellEnd"/>
      <w:r w:rsidR="00890B06" w:rsidRPr="00890B06">
        <w:rPr>
          <w:i/>
          <w:lang w:val="en"/>
        </w:rPr>
        <w:t xml:space="preserve"> v. Law Society of Upper Canada</w:t>
      </w:r>
      <w:r w:rsidR="00890B06" w:rsidRPr="00890B06">
        <w:rPr>
          <w:lang w:val="en"/>
        </w:rPr>
        <w:t>, 2018 SCC 27, [2018] 1 S.C.R. 772;</w:t>
      </w:r>
      <w:r w:rsidR="00890B06" w:rsidRPr="00890B06">
        <w:t xml:space="preserve"> </w:t>
      </w:r>
      <w:r w:rsidR="00890B06" w:rsidRPr="00890B06">
        <w:rPr>
          <w:i/>
          <w:iCs/>
        </w:rPr>
        <w:t>Sharif v. Canada (Attorney General)</w:t>
      </w:r>
      <w:r w:rsidR="00890B06" w:rsidRPr="00890B06">
        <w:t>, 2018 FCA 205,</w:t>
      </w:r>
      <w:r w:rsidR="00DD29ED">
        <w:t xml:space="preserve"> 50 C.R. (7</w:t>
      </w:r>
      <w:r w:rsidR="00DD29ED" w:rsidRPr="00DD29ED">
        <w:t>th</w:t>
      </w:r>
      <w:r w:rsidR="00DD29ED">
        <w:t>) 1</w:t>
      </w:r>
      <w:r w:rsidR="00890B06" w:rsidRPr="00890B06">
        <w:t xml:space="preserve">; </w:t>
      </w:r>
      <w:r w:rsidR="00890B06" w:rsidRPr="00890B06">
        <w:rPr>
          <w:i/>
        </w:rPr>
        <w:t>Ma</w:t>
      </w:r>
      <w:r w:rsidR="00DD29ED">
        <w:rPr>
          <w:i/>
        </w:rPr>
        <w:t>ple Lodge Farms Ltd. v. Canadian Food Inspection Agency</w:t>
      </w:r>
      <w:r w:rsidR="00890B06" w:rsidRPr="00890B06">
        <w:t xml:space="preserve">, 2017 FCA 45, </w:t>
      </w:r>
      <w:r w:rsidR="00890B06" w:rsidRPr="00890B06">
        <w:rPr>
          <w:lang w:val="en"/>
        </w:rPr>
        <w:t>411 D.L.R. (4th) 175</w:t>
      </w:r>
      <w:r w:rsidR="00890B06" w:rsidRPr="00890B06">
        <w:t xml:space="preserve">; </w:t>
      </w:r>
      <w:proofErr w:type="spellStart"/>
      <w:r w:rsidR="00890B06" w:rsidRPr="00890B06">
        <w:rPr>
          <w:i/>
        </w:rPr>
        <w:t>Gehl</w:t>
      </w:r>
      <w:proofErr w:type="spellEnd"/>
      <w:r w:rsidR="00890B06" w:rsidRPr="00890B06">
        <w:rPr>
          <w:i/>
        </w:rPr>
        <w:t xml:space="preserve"> v. Canada (Attorney General)</w:t>
      </w:r>
      <w:r w:rsidR="00890B06" w:rsidRPr="00890B06">
        <w:t>, 2017 ONCA 319</w:t>
      </w:r>
      <w:r w:rsidR="004B413E">
        <w:t>, 138 O.R. (3d) 52</w:t>
      </w:r>
      <w:r w:rsidR="00890B06" w:rsidRPr="00890B06">
        <w:t xml:space="preserve">; </w:t>
      </w:r>
      <w:r w:rsidR="00890B06" w:rsidRPr="00890B06">
        <w:rPr>
          <w:i/>
        </w:rPr>
        <w:t>M</w:t>
      </w:r>
      <w:proofErr w:type="spellStart"/>
      <w:r w:rsidR="00890B06" w:rsidRPr="00890B06">
        <w:rPr>
          <w:i/>
          <w:lang w:val="en"/>
        </w:rPr>
        <w:t>iningWatch</w:t>
      </w:r>
      <w:proofErr w:type="spellEnd"/>
      <w:r w:rsidR="00890B06" w:rsidRPr="00890B06">
        <w:rPr>
          <w:i/>
          <w:lang w:val="en"/>
        </w:rPr>
        <w:t xml:space="preserve"> Canada v. Canada (Fisheries and Oceans)</w:t>
      </w:r>
      <w:r w:rsidR="00890B06" w:rsidRPr="00890B06">
        <w:rPr>
          <w:lang w:val="en"/>
        </w:rPr>
        <w:t xml:space="preserve">, 2010 SCC 2, [2010] 1 S.C.R. 6; </w:t>
      </w:r>
      <w:proofErr w:type="spellStart"/>
      <w:r w:rsidR="00890B06" w:rsidRPr="00890B06">
        <w:rPr>
          <w:i/>
          <w:lang w:val="en-GB"/>
        </w:rPr>
        <w:t>GreCon</w:t>
      </w:r>
      <w:proofErr w:type="spellEnd"/>
      <w:r w:rsidR="00890B06" w:rsidRPr="00890B06">
        <w:rPr>
          <w:i/>
          <w:lang w:val="en-GB"/>
        </w:rPr>
        <w:t xml:space="preserve"> </w:t>
      </w:r>
      <w:proofErr w:type="spellStart"/>
      <w:r w:rsidR="00890B06" w:rsidRPr="00890B06">
        <w:rPr>
          <w:i/>
          <w:lang w:val="en-GB"/>
        </w:rPr>
        <w:t>Dimter</w:t>
      </w:r>
      <w:proofErr w:type="spellEnd"/>
      <w:r w:rsidR="00890B06" w:rsidRPr="00890B06">
        <w:rPr>
          <w:i/>
          <w:lang w:val="en-GB"/>
        </w:rPr>
        <w:t xml:space="preserve"> </w:t>
      </w:r>
      <w:proofErr w:type="spellStart"/>
      <w:r w:rsidR="00890B06" w:rsidRPr="00890B06">
        <w:rPr>
          <w:i/>
          <w:lang w:val="en-GB"/>
        </w:rPr>
        <w:t>inc.</w:t>
      </w:r>
      <w:proofErr w:type="spellEnd"/>
      <w:r w:rsidR="00890B06" w:rsidRPr="00890B06">
        <w:rPr>
          <w:i/>
          <w:lang w:val="en-GB"/>
        </w:rPr>
        <w:t xml:space="preserve"> v. J.R. Normand </w:t>
      </w:r>
      <w:proofErr w:type="spellStart"/>
      <w:r w:rsidR="00890B06" w:rsidRPr="00890B06">
        <w:rPr>
          <w:i/>
          <w:lang w:val="en-GB"/>
        </w:rPr>
        <w:t>inc</w:t>
      </w:r>
      <w:r w:rsidR="00890B06" w:rsidRPr="00DD29ED">
        <w:rPr>
          <w:i/>
          <w:lang w:val="en-GB"/>
        </w:rPr>
        <w:t>.</w:t>
      </w:r>
      <w:proofErr w:type="spellEnd"/>
      <w:r w:rsidR="00DD29ED" w:rsidRPr="00DD29ED">
        <w:rPr>
          <w:lang w:val="en-GB"/>
        </w:rPr>
        <w:t>,</w:t>
      </w:r>
      <w:r w:rsidR="00890B06" w:rsidRPr="00890B06">
        <w:rPr>
          <w:lang w:val="en-GB"/>
        </w:rPr>
        <w:t xml:space="preserve"> 2005 SCC 46, [2005] 2 S.C.R. 401; </w:t>
      </w:r>
      <w:r w:rsidR="00890B06" w:rsidRPr="00890B06">
        <w:rPr>
          <w:i/>
        </w:rPr>
        <w:t>B010 v. Canada (Citizenship and Immigration)</w:t>
      </w:r>
      <w:r w:rsidR="00890B06" w:rsidRPr="00890B06">
        <w:t>,</w:t>
      </w:r>
      <w:r w:rsidR="00890B06" w:rsidRPr="00890B06">
        <w:rPr>
          <w:i/>
        </w:rPr>
        <w:t xml:space="preserve"> </w:t>
      </w:r>
      <w:r w:rsidR="00890B06" w:rsidRPr="00890B06">
        <w:t>2015 SCC 58, [2015] 3 S.C.R.</w:t>
      </w:r>
      <w:r w:rsidR="00DD29ED">
        <w:t xml:space="preserve"> 704</w:t>
      </w:r>
      <w:r w:rsidR="00890B06" w:rsidRPr="00890B06">
        <w:t xml:space="preserve">; </w:t>
      </w:r>
      <w:r w:rsidR="00890B06" w:rsidRPr="00890B06">
        <w:rPr>
          <w:i/>
          <w:iCs/>
          <w:lang w:bidi="en-US"/>
        </w:rPr>
        <w:t xml:space="preserve">India v. </w:t>
      </w:r>
      <w:proofErr w:type="spellStart"/>
      <w:r w:rsidR="00890B06" w:rsidRPr="00890B06">
        <w:rPr>
          <w:i/>
          <w:iCs/>
          <w:lang w:bidi="en-US"/>
        </w:rPr>
        <w:t>Badesha</w:t>
      </w:r>
      <w:proofErr w:type="spellEnd"/>
      <w:r w:rsidR="00890B06" w:rsidRPr="00890B06">
        <w:rPr>
          <w:iCs/>
          <w:lang w:bidi="en-US"/>
        </w:rPr>
        <w:t>,</w:t>
      </w:r>
      <w:r w:rsidR="00890B06" w:rsidRPr="00890B06">
        <w:rPr>
          <w:lang w:bidi="en-US"/>
        </w:rPr>
        <w:t xml:space="preserve"> 2017 SCC 44, [2017] 2 S.C.R. 127; </w:t>
      </w:r>
      <w:r w:rsidR="00890B06" w:rsidRPr="00890B06">
        <w:rPr>
          <w:i/>
          <w:lang w:bidi="en-US"/>
        </w:rPr>
        <w:t>Office of the Children</w:t>
      </w:r>
      <w:r w:rsidR="008D5707">
        <w:rPr>
          <w:i/>
          <w:lang w:bidi="en-US"/>
        </w:rPr>
        <w:t>’</w:t>
      </w:r>
      <w:r w:rsidR="00890B06" w:rsidRPr="00890B06">
        <w:rPr>
          <w:i/>
          <w:lang w:bidi="en-US"/>
        </w:rPr>
        <w:t xml:space="preserve">s Lawyer v. </w:t>
      </w:r>
      <w:proofErr w:type="spellStart"/>
      <w:r w:rsidR="00890B06" w:rsidRPr="00890B06">
        <w:rPr>
          <w:i/>
          <w:lang w:bidi="en-US"/>
        </w:rPr>
        <w:t>Balev</w:t>
      </w:r>
      <w:proofErr w:type="spellEnd"/>
      <w:r w:rsidR="00890B06" w:rsidRPr="00890B06">
        <w:rPr>
          <w:lang w:bidi="en-US"/>
        </w:rPr>
        <w:t xml:space="preserve">, 2018 SCC 16, [2018] 1 S.C.R. 398; </w:t>
      </w:r>
      <w:r w:rsidR="00890B06" w:rsidRPr="00890B06">
        <w:rPr>
          <w:i/>
        </w:rPr>
        <w:t>Benner v. Canada (Secretary of State)</w:t>
      </w:r>
      <w:r w:rsidR="00890B06" w:rsidRPr="00890B06">
        <w:t xml:space="preserve">, [1997] 1 S.C.R. 358; </w:t>
      </w:r>
      <w:r w:rsidR="00890B06" w:rsidRPr="00890B06">
        <w:rPr>
          <w:i/>
        </w:rPr>
        <w:t>Canada (Minister of Citizenship and Immigration</w:t>
      </w:r>
      <w:r w:rsidR="00DD29ED">
        <w:rPr>
          <w:i/>
        </w:rPr>
        <w:t>)</w:t>
      </w:r>
      <w:r w:rsidR="00890B06" w:rsidRPr="00890B06">
        <w:rPr>
          <w:i/>
        </w:rPr>
        <w:t xml:space="preserve"> v. </w:t>
      </w:r>
      <w:proofErr w:type="spellStart"/>
      <w:r w:rsidR="00890B06" w:rsidRPr="00890B06">
        <w:rPr>
          <w:i/>
        </w:rPr>
        <w:t>Tobiass</w:t>
      </w:r>
      <w:proofErr w:type="spellEnd"/>
      <w:r w:rsidR="00890B06" w:rsidRPr="00890B06">
        <w:t xml:space="preserve">, [1997] 3 S.C.R. 391; </w:t>
      </w:r>
      <w:r w:rsidR="00890B06" w:rsidRPr="00890B06">
        <w:rPr>
          <w:i/>
        </w:rPr>
        <w:t>Brossard (Town) v. Qu</w:t>
      </w:r>
      <w:r w:rsidR="00866F26">
        <w:rPr>
          <w:i/>
        </w:rPr>
        <w:t>e</w:t>
      </w:r>
      <w:r w:rsidR="00890B06" w:rsidRPr="00890B06">
        <w:rPr>
          <w:i/>
        </w:rPr>
        <w:t xml:space="preserve">bec (Commission des droits de la </w:t>
      </w:r>
      <w:proofErr w:type="spellStart"/>
      <w:r w:rsidR="00890B06" w:rsidRPr="00890B06">
        <w:rPr>
          <w:i/>
        </w:rPr>
        <w:t>personne</w:t>
      </w:r>
      <w:proofErr w:type="spellEnd"/>
      <w:r w:rsidR="00890B06" w:rsidRPr="00890B06">
        <w:rPr>
          <w:i/>
        </w:rPr>
        <w:t>)</w:t>
      </w:r>
      <w:r w:rsidR="00890B06" w:rsidRPr="00890B06">
        <w:t>, [1988] 2 S.C.R. 279.</w:t>
      </w:r>
    </w:p>
    <w:p w:rsidR="00EE364B" w:rsidRPr="007A3C15" w:rsidRDefault="00EE364B" w:rsidP="008A142E">
      <w:pPr>
        <w:pStyle w:val="SCCNormalDoubleSpacing"/>
        <w:spacing w:after="720" w:line="240" w:lineRule="auto"/>
      </w:pPr>
      <w:r w:rsidRPr="007A3C15">
        <w:t xml:space="preserve">By </w:t>
      </w:r>
      <w:proofErr w:type="spellStart"/>
      <w:r w:rsidR="008A142E">
        <w:rPr>
          <w:color w:val="000000"/>
        </w:rPr>
        <w:t>Abella</w:t>
      </w:r>
      <w:proofErr w:type="spellEnd"/>
      <w:r w:rsidR="008A142E">
        <w:rPr>
          <w:color w:val="000000"/>
        </w:rPr>
        <w:t xml:space="preserve"> and </w:t>
      </w:r>
      <w:proofErr w:type="spellStart"/>
      <w:r w:rsidR="008A142E">
        <w:rPr>
          <w:color w:val="000000"/>
        </w:rPr>
        <w:t>Karakatsanis</w:t>
      </w:r>
      <w:proofErr w:type="spellEnd"/>
      <w:r w:rsidR="008A142E">
        <w:rPr>
          <w:color w:val="000000"/>
        </w:rPr>
        <w:t> </w:t>
      </w:r>
      <w:r w:rsidRPr="007A3C15">
        <w:rPr>
          <w:color w:val="000000"/>
        </w:rPr>
        <w:t>JJ.</w:t>
      </w:r>
    </w:p>
    <w:p w:rsidR="00EE364B" w:rsidRPr="00F21151" w:rsidRDefault="00EE364B" w:rsidP="008A142E">
      <w:pPr>
        <w:pStyle w:val="SCCNormalDoubleSpacing"/>
        <w:spacing w:after="480"/>
        <w:rPr>
          <w:lang w:val="en-US"/>
        </w:rPr>
      </w:pPr>
      <w:r w:rsidRPr="007A3C15">
        <w:lastRenderedPageBreak/>
        <w:tab/>
      </w:r>
      <w:r w:rsidR="001A2C35">
        <w:rPr>
          <w:b/>
        </w:rPr>
        <w:t>Considered:</w:t>
      </w:r>
      <w:r w:rsidR="001A2C35">
        <w:t xml:space="preserve"> </w:t>
      </w:r>
      <w:r w:rsidR="001A2C35" w:rsidRPr="007A3C15">
        <w:rPr>
          <w:rStyle w:val="solexhl"/>
          <w:i/>
          <w:iCs/>
          <w:color w:val="000000"/>
        </w:rPr>
        <w:t>Canadian Union of Public Employees</w:t>
      </w:r>
      <w:r w:rsidR="001A2C35" w:rsidRPr="007A3C15">
        <w:rPr>
          <w:i/>
          <w:iCs/>
          <w:color w:val="000000"/>
        </w:rPr>
        <w:t>, Local 9</w:t>
      </w:r>
      <w:r w:rsidR="001A2C35">
        <w:rPr>
          <w:i/>
          <w:iCs/>
          <w:color w:val="000000"/>
        </w:rPr>
        <w:t>63 v. New Brunswick Liquor Corp</w:t>
      </w:r>
      <w:r w:rsidR="006D41D0">
        <w:rPr>
          <w:i/>
          <w:iCs/>
          <w:color w:val="000000"/>
        </w:rPr>
        <w:t>.</w:t>
      </w:r>
      <w:r w:rsidR="001A2C35" w:rsidRPr="007A3C15">
        <w:rPr>
          <w:color w:val="000000"/>
        </w:rPr>
        <w:t>, [1979] 2 S.C.R. 227</w:t>
      </w:r>
      <w:r w:rsidR="001A2C35">
        <w:rPr>
          <w:color w:val="000000"/>
        </w:rPr>
        <w:t xml:space="preserve">; </w:t>
      </w:r>
      <w:proofErr w:type="spellStart"/>
      <w:r w:rsidR="001A2C35" w:rsidRPr="007A3C15">
        <w:rPr>
          <w:rStyle w:val="solexhl"/>
          <w:i/>
          <w:iCs/>
          <w:color w:val="000000"/>
        </w:rPr>
        <w:t>Anisminic</w:t>
      </w:r>
      <w:proofErr w:type="spellEnd"/>
      <w:r w:rsidR="00996BF2">
        <w:rPr>
          <w:i/>
          <w:iCs/>
          <w:color w:val="000000"/>
        </w:rPr>
        <w:t xml:space="preserve"> </w:t>
      </w:r>
      <w:r w:rsidR="001A2C35" w:rsidRPr="007A3C15">
        <w:rPr>
          <w:i/>
          <w:iCs/>
          <w:color w:val="000000"/>
        </w:rPr>
        <w:t>Ltd. v. Foreign Compensation Commission</w:t>
      </w:r>
      <w:r w:rsidR="001A2C35" w:rsidRPr="007A3C15">
        <w:rPr>
          <w:color w:val="000000"/>
        </w:rPr>
        <w:t>, [1969] 2 A.C. 147;</w:t>
      </w:r>
      <w:r w:rsidR="001A2C35">
        <w:rPr>
          <w:color w:val="000000"/>
        </w:rPr>
        <w:t xml:space="preserve"> </w:t>
      </w:r>
      <w:proofErr w:type="spellStart"/>
      <w:r w:rsidR="001A2C35">
        <w:rPr>
          <w:i/>
        </w:rPr>
        <w:t>Pushpanathan</w:t>
      </w:r>
      <w:proofErr w:type="spellEnd"/>
      <w:r w:rsidR="001A2C35">
        <w:rPr>
          <w:i/>
        </w:rPr>
        <w:t xml:space="preserve"> v. Canada (Minister of Citizenship and Immigration)</w:t>
      </w:r>
      <w:r w:rsidR="001A2C35">
        <w:t xml:space="preserve">, [1998] 1 S.C.R. 982; </w:t>
      </w:r>
      <w:r w:rsidR="001A2C35">
        <w:rPr>
          <w:i/>
          <w:lang w:val="en-US"/>
        </w:rPr>
        <w:t xml:space="preserve">Canada (Attorney General) v. Igloo </w:t>
      </w:r>
      <w:proofErr w:type="spellStart"/>
      <w:r w:rsidR="001A2C35">
        <w:rPr>
          <w:i/>
          <w:lang w:val="en-US"/>
        </w:rPr>
        <w:t>Vikski</w:t>
      </w:r>
      <w:proofErr w:type="spellEnd"/>
      <w:r w:rsidR="001A2C35">
        <w:rPr>
          <w:i/>
          <w:lang w:val="en-US"/>
        </w:rPr>
        <w:t xml:space="preserve"> Inc.</w:t>
      </w:r>
      <w:r w:rsidR="001A2C35">
        <w:rPr>
          <w:lang w:val="en-US"/>
        </w:rPr>
        <w:t xml:space="preserve">, 2016 SCC 38, [2016] 2 S.C.R. 80; </w:t>
      </w:r>
      <w:proofErr w:type="spellStart"/>
      <w:r w:rsidR="001A2C35">
        <w:rPr>
          <w:i/>
        </w:rPr>
        <w:t>Kisor</w:t>
      </w:r>
      <w:proofErr w:type="spellEnd"/>
      <w:r w:rsidR="001A2C35">
        <w:rPr>
          <w:i/>
        </w:rPr>
        <w:t xml:space="preserve"> v. </w:t>
      </w:r>
      <w:proofErr w:type="spellStart"/>
      <w:r w:rsidR="001A2C35">
        <w:rPr>
          <w:i/>
        </w:rPr>
        <w:t>Wilkie</w:t>
      </w:r>
      <w:proofErr w:type="spellEnd"/>
      <w:r w:rsidR="001A2C35">
        <w:t xml:space="preserve">, 139 S. Ct. 2400 (2019); </w:t>
      </w:r>
      <w:r w:rsidR="001A2C35">
        <w:rPr>
          <w:b/>
        </w:rPr>
        <w:t>discussed:</w:t>
      </w:r>
      <w:r w:rsidR="001A2C35">
        <w:t xml:space="preserve"> </w:t>
      </w:r>
      <w:r w:rsidR="001A2C35" w:rsidRPr="007A3C15">
        <w:rPr>
          <w:i/>
          <w:color w:val="000000"/>
        </w:rPr>
        <w:t>Dunsmuir v. New Brunswick</w:t>
      </w:r>
      <w:r w:rsidR="001A2C35" w:rsidRPr="007A3C15">
        <w:rPr>
          <w:color w:val="000000"/>
        </w:rPr>
        <w:t>, 2008 SCC 9, [2008] 1 S.C.R. 190;</w:t>
      </w:r>
      <w:r w:rsidR="001A2C35">
        <w:rPr>
          <w:color w:val="000000"/>
        </w:rPr>
        <w:t xml:space="preserve"> </w:t>
      </w:r>
      <w:r w:rsidR="001A2C35">
        <w:rPr>
          <w:b/>
        </w:rPr>
        <w:t>r</w:t>
      </w:r>
      <w:r w:rsidRPr="007A3C15">
        <w:rPr>
          <w:b/>
        </w:rPr>
        <w:t>eferred to:</w:t>
      </w:r>
      <w:r w:rsidR="0046789A" w:rsidRPr="007A3C15">
        <w:rPr>
          <w:color w:val="000000"/>
        </w:rPr>
        <w:t xml:space="preserve"> </w:t>
      </w:r>
      <w:proofErr w:type="spellStart"/>
      <w:r w:rsidR="002722F9" w:rsidRPr="007A3C15">
        <w:rPr>
          <w:i/>
          <w:color w:val="000000"/>
        </w:rPr>
        <w:t>Rasanen</w:t>
      </w:r>
      <w:proofErr w:type="spellEnd"/>
      <w:r w:rsidR="002722F9" w:rsidRPr="007A3C15">
        <w:rPr>
          <w:i/>
          <w:color w:val="000000"/>
        </w:rPr>
        <w:t xml:space="preserve"> v. Rosemount Instruments Ltd.</w:t>
      </w:r>
      <w:r w:rsidR="002722F9" w:rsidRPr="007A3C15">
        <w:rPr>
          <w:color w:val="000000"/>
        </w:rPr>
        <w:t xml:space="preserve"> (1994), 17 O.R. (3d) 267;</w:t>
      </w:r>
      <w:r w:rsidR="006D6933" w:rsidRPr="007A3C15">
        <w:rPr>
          <w:rStyle w:val="Heading2Char"/>
          <w:rFonts w:ascii="Times New Roman" w:hAnsi="Times New Roman" w:cs="Times New Roman"/>
          <w:b w:val="0"/>
          <w:iCs/>
          <w:color w:val="000000"/>
        </w:rPr>
        <w:t xml:space="preserve"> </w:t>
      </w:r>
      <w:r w:rsidR="009466ED">
        <w:rPr>
          <w:i/>
          <w:iCs/>
          <w:color w:val="000000"/>
        </w:rPr>
        <w:t>Metropolitan Life Insurance Co</w:t>
      </w:r>
      <w:r w:rsidR="00876C1D">
        <w:rPr>
          <w:i/>
          <w:iCs/>
          <w:color w:val="000000"/>
        </w:rPr>
        <w:t>.</w:t>
      </w:r>
      <w:r w:rsidR="0064008C" w:rsidRPr="007A3C15">
        <w:rPr>
          <w:i/>
          <w:iCs/>
          <w:color w:val="000000"/>
        </w:rPr>
        <w:t xml:space="preserve"> v. International Union of Operating Engineers, Local 796</w:t>
      </w:r>
      <w:r w:rsidR="0064008C" w:rsidRPr="007A3C15">
        <w:rPr>
          <w:color w:val="000000"/>
        </w:rPr>
        <w:t>, [</w:t>
      </w:r>
      <w:r w:rsidR="0064008C" w:rsidRPr="007A3C15">
        <w:rPr>
          <w:rStyle w:val="solexhl"/>
          <w:color w:val="000000"/>
        </w:rPr>
        <w:t>1970] S.C.R. 425;</w:t>
      </w:r>
      <w:r w:rsidR="007F0B40" w:rsidRPr="007A3C15">
        <w:t xml:space="preserve"> </w:t>
      </w:r>
      <w:r w:rsidR="006D365E" w:rsidRPr="007A3C15">
        <w:rPr>
          <w:i/>
          <w:iCs/>
        </w:rPr>
        <w:t>Bell v. Ontario Human Rights Commission</w:t>
      </w:r>
      <w:r w:rsidR="006D365E" w:rsidRPr="007A3C15">
        <w:t>, [1971] S.C.R. 756;</w:t>
      </w:r>
      <w:r w:rsidR="003E6825" w:rsidRPr="007A3C15">
        <w:t xml:space="preserve"> </w:t>
      </w:r>
      <w:r w:rsidR="003E6825" w:rsidRPr="007A3C15">
        <w:rPr>
          <w:i/>
        </w:rPr>
        <w:t>Canada (Attorney General) v. Public Service Alliance of Canada</w:t>
      </w:r>
      <w:r w:rsidR="003E6825" w:rsidRPr="007A3C15">
        <w:t>, [1991] 1 S.C.R. 614;</w:t>
      </w:r>
      <w:r w:rsidR="00D66A96" w:rsidRPr="007A3C15">
        <w:rPr>
          <w:i/>
          <w:iCs/>
          <w:color w:val="000000"/>
        </w:rPr>
        <w:t xml:space="preserve"> National Corn Growers Assn. v. Canada (Import Tribunal)</w:t>
      </w:r>
      <w:r w:rsidR="00D66A96" w:rsidRPr="007A3C15">
        <w:rPr>
          <w:color w:val="000000"/>
        </w:rPr>
        <w:t>, [</w:t>
      </w:r>
      <w:r w:rsidR="00D66A96" w:rsidRPr="007A3C15">
        <w:rPr>
          <w:rStyle w:val="solexhl"/>
          <w:color w:val="000000"/>
        </w:rPr>
        <w:t>1990] 2 S.C.R. 1324;</w:t>
      </w:r>
      <w:r w:rsidR="0023206C" w:rsidRPr="007A3C15">
        <w:rPr>
          <w:rStyle w:val="solexhl"/>
          <w:color w:val="000000"/>
        </w:rPr>
        <w:t xml:space="preserve"> </w:t>
      </w:r>
      <w:r w:rsidR="0023206C" w:rsidRPr="007A3C15">
        <w:rPr>
          <w:rStyle w:val="solexhl"/>
          <w:i/>
          <w:color w:val="000000"/>
        </w:rPr>
        <w:t xml:space="preserve">Canada (Citizenship and Immigration) v. </w:t>
      </w:r>
      <w:proofErr w:type="spellStart"/>
      <w:r w:rsidR="0023206C" w:rsidRPr="007A3C15">
        <w:rPr>
          <w:rStyle w:val="solexhl"/>
          <w:i/>
          <w:color w:val="000000"/>
        </w:rPr>
        <w:t>Khosa</w:t>
      </w:r>
      <w:proofErr w:type="spellEnd"/>
      <w:r w:rsidR="0023206C" w:rsidRPr="007A3C15">
        <w:rPr>
          <w:rStyle w:val="solexhl"/>
          <w:color w:val="000000"/>
        </w:rPr>
        <w:t>, 2009 SCC 12, [2009] 1 S.C.R. 339;</w:t>
      </w:r>
      <w:r w:rsidR="00702719" w:rsidRPr="007A3C15">
        <w:rPr>
          <w:rStyle w:val="solexhl"/>
          <w:color w:val="000000"/>
        </w:rPr>
        <w:t xml:space="preserve"> </w:t>
      </w:r>
      <w:r w:rsidR="00702719" w:rsidRPr="007A3C15">
        <w:rPr>
          <w:rStyle w:val="solexhl"/>
          <w:i/>
          <w:color w:val="000000"/>
        </w:rPr>
        <w:t>Alberta (Information and Privacy Commissioner) v. Alberta Teachers</w:t>
      </w:r>
      <w:r w:rsidR="008D5707">
        <w:rPr>
          <w:rStyle w:val="solexhl"/>
          <w:i/>
          <w:color w:val="000000"/>
        </w:rPr>
        <w:t>’</w:t>
      </w:r>
      <w:r w:rsidR="00702719" w:rsidRPr="007A3C15">
        <w:rPr>
          <w:rStyle w:val="solexhl"/>
          <w:i/>
          <w:color w:val="000000"/>
        </w:rPr>
        <w:t xml:space="preserve"> Association</w:t>
      </w:r>
      <w:r w:rsidR="00702719" w:rsidRPr="007A3C15">
        <w:rPr>
          <w:rStyle w:val="solexhl"/>
          <w:color w:val="000000"/>
        </w:rPr>
        <w:t>, 2011 SCC 61, [2011] 3 S.C.R. 654;</w:t>
      </w:r>
      <w:r w:rsidR="00A323F9" w:rsidRPr="007A3C15">
        <w:rPr>
          <w:rStyle w:val="solexhl"/>
          <w:color w:val="000000"/>
        </w:rPr>
        <w:t xml:space="preserve"> </w:t>
      </w:r>
      <w:r w:rsidR="00A323F9" w:rsidRPr="007A3C15">
        <w:rPr>
          <w:rStyle w:val="solexhl"/>
          <w:i/>
          <w:color w:val="000000"/>
        </w:rPr>
        <w:t>Canada (Canadian Human Rights Commission) v. Canada (Attorney General)</w:t>
      </w:r>
      <w:r w:rsidR="00A323F9" w:rsidRPr="007A3C15">
        <w:rPr>
          <w:rStyle w:val="solexhl"/>
          <w:color w:val="000000"/>
        </w:rPr>
        <w:t>, 2018 SCC 31, [2018] 2 S.C.R. 230;</w:t>
      </w:r>
      <w:r w:rsidR="00926AA8" w:rsidRPr="007A3C15">
        <w:rPr>
          <w:i/>
          <w:iCs/>
          <w:color w:val="000000"/>
        </w:rPr>
        <w:t xml:space="preserve"> Domtar Inc. v. Quebec (Commission </w:t>
      </w:r>
      <w:proofErr w:type="spellStart"/>
      <w:r w:rsidR="00926AA8" w:rsidRPr="007A3C15">
        <w:rPr>
          <w:i/>
          <w:iCs/>
          <w:color w:val="000000"/>
        </w:rPr>
        <w:t>d</w:t>
      </w:r>
      <w:r w:rsidR="008D5707">
        <w:rPr>
          <w:i/>
          <w:iCs/>
          <w:color w:val="000000"/>
        </w:rPr>
        <w:t>’</w:t>
      </w:r>
      <w:r w:rsidR="00926AA8" w:rsidRPr="007A3C15">
        <w:rPr>
          <w:i/>
          <w:iCs/>
          <w:color w:val="000000"/>
        </w:rPr>
        <w:t>appel</w:t>
      </w:r>
      <w:proofErr w:type="spellEnd"/>
      <w:r w:rsidR="00926AA8" w:rsidRPr="007A3C15">
        <w:rPr>
          <w:i/>
          <w:iCs/>
          <w:color w:val="000000"/>
        </w:rPr>
        <w:t xml:space="preserve"> </w:t>
      </w:r>
      <w:proofErr w:type="spellStart"/>
      <w:r w:rsidR="00926AA8" w:rsidRPr="007A3C15">
        <w:rPr>
          <w:i/>
          <w:iCs/>
          <w:color w:val="000000"/>
        </w:rPr>
        <w:t>en</w:t>
      </w:r>
      <w:proofErr w:type="spellEnd"/>
      <w:r w:rsidR="00926AA8" w:rsidRPr="007A3C15">
        <w:rPr>
          <w:i/>
          <w:iCs/>
          <w:color w:val="000000"/>
        </w:rPr>
        <w:t xml:space="preserve"> </w:t>
      </w:r>
      <w:proofErr w:type="spellStart"/>
      <w:r w:rsidR="00926AA8" w:rsidRPr="007A3C15">
        <w:rPr>
          <w:i/>
          <w:iCs/>
          <w:color w:val="000000"/>
        </w:rPr>
        <w:t>matière</w:t>
      </w:r>
      <w:proofErr w:type="spellEnd"/>
      <w:r w:rsidR="00926AA8" w:rsidRPr="007A3C15">
        <w:rPr>
          <w:i/>
          <w:iCs/>
          <w:color w:val="000000"/>
        </w:rPr>
        <w:t xml:space="preserve"> de </w:t>
      </w:r>
      <w:proofErr w:type="spellStart"/>
      <w:r w:rsidR="00926AA8" w:rsidRPr="007A3C15">
        <w:rPr>
          <w:i/>
          <w:iCs/>
          <w:color w:val="000000"/>
        </w:rPr>
        <w:t>lésions</w:t>
      </w:r>
      <w:proofErr w:type="spellEnd"/>
      <w:r w:rsidR="00926AA8" w:rsidRPr="007A3C15">
        <w:rPr>
          <w:i/>
          <w:iCs/>
          <w:color w:val="000000"/>
        </w:rPr>
        <w:t xml:space="preserve"> </w:t>
      </w:r>
      <w:proofErr w:type="spellStart"/>
      <w:r w:rsidR="00926AA8" w:rsidRPr="007A3C15">
        <w:rPr>
          <w:i/>
          <w:iCs/>
          <w:color w:val="000000"/>
        </w:rPr>
        <w:t>professionnelles</w:t>
      </w:r>
      <w:proofErr w:type="spellEnd"/>
      <w:r w:rsidR="00926AA8" w:rsidRPr="007A3C15">
        <w:rPr>
          <w:i/>
          <w:iCs/>
          <w:color w:val="000000"/>
        </w:rPr>
        <w:t>)</w:t>
      </w:r>
      <w:r w:rsidR="00926AA8" w:rsidRPr="007A3C15">
        <w:rPr>
          <w:color w:val="000000"/>
        </w:rPr>
        <w:t>, [1993] 2 S.C.R. 756;</w:t>
      </w:r>
      <w:r w:rsidR="00F718ED" w:rsidRPr="007A3C15">
        <w:t xml:space="preserve"> </w:t>
      </w:r>
      <w:r w:rsidR="00F718ED" w:rsidRPr="007A3C15">
        <w:rPr>
          <w:i/>
          <w:color w:val="000000"/>
        </w:rPr>
        <w:t xml:space="preserve">U.E.S., Local 298 v. </w:t>
      </w:r>
      <w:proofErr w:type="spellStart"/>
      <w:r w:rsidR="00F718ED" w:rsidRPr="007A3C15">
        <w:rPr>
          <w:i/>
          <w:color w:val="000000"/>
        </w:rPr>
        <w:t>Bibeault</w:t>
      </w:r>
      <w:proofErr w:type="spellEnd"/>
      <w:r w:rsidR="00F718ED" w:rsidRPr="007A3C15">
        <w:rPr>
          <w:color w:val="000000"/>
        </w:rPr>
        <w:t>, [1988] 2 S.C.R. 1048;</w:t>
      </w:r>
      <w:r w:rsidR="007A3C15" w:rsidRPr="007A3C15">
        <w:rPr>
          <w:color w:val="000000"/>
          <w:spacing w:val="-3"/>
        </w:rPr>
        <w:t xml:space="preserve"> </w:t>
      </w:r>
      <w:r w:rsidR="007A3C15" w:rsidRPr="007A3C15">
        <w:rPr>
          <w:i/>
          <w:color w:val="000000"/>
          <w:spacing w:val="-3"/>
        </w:rPr>
        <w:t>United Brotherhood of Carpenters and Joiners of America, Local 579 </w:t>
      </w:r>
      <w:r w:rsidR="007A3C15" w:rsidRPr="007A3C15">
        <w:rPr>
          <w:i/>
          <w:iCs/>
          <w:color w:val="000000"/>
          <w:spacing w:val="-3"/>
        </w:rPr>
        <w:t>v.</w:t>
      </w:r>
      <w:r w:rsidR="007A3C15" w:rsidRPr="007A3C15">
        <w:rPr>
          <w:i/>
          <w:color w:val="000000"/>
          <w:spacing w:val="-3"/>
        </w:rPr>
        <w:t> </w:t>
      </w:r>
      <w:proofErr w:type="spellStart"/>
      <w:r w:rsidR="007A3C15" w:rsidRPr="007A3C15">
        <w:rPr>
          <w:i/>
          <w:color w:val="000000"/>
          <w:spacing w:val="-3"/>
        </w:rPr>
        <w:t>Bradco</w:t>
      </w:r>
      <w:proofErr w:type="spellEnd"/>
      <w:r w:rsidR="007A3C15" w:rsidRPr="007A3C15">
        <w:rPr>
          <w:i/>
          <w:color w:val="000000"/>
          <w:spacing w:val="-3"/>
        </w:rPr>
        <w:t xml:space="preserve"> Construction Ltd.</w:t>
      </w:r>
      <w:r w:rsidR="007A3C15" w:rsidRPr="007A3C15">
        <w:rPr>
          <w:color w:val="000000"/>
          <w:spacing w:val="-3"/>
        </w:rPr>
        <w:t>, [1993] 2 S.C.R. 316</w:t>
      </w:r>
      <w:r w:rsidR="007A3C15">
        <w:rPr>
          <w:color w:val="000000"/>
          <w:spacing w:val="-3"/>
        </w:rPr>
        <w:t>;</w:t>
      </w:r>
      <w:r w:rsidR="00E86AD7">
        <w:rPr>
          <w:color w:val="000000"/>
          <w:spacing w:val="-3"/>
        </w:rPr>
        <w:t xml:space="preserve"> </w:t>
      </w:r>
      <w:r w:rsidR="00E86AD7">
        <w:rPr>
          <w:i/>
          <w:color w:val="000000"/>
          <w:spacing w:val="-3"/>
        </w:rPr>
        <w:t xml:space="preserve">Canada (Director of Investigation and Research) v. </w:t>
      </w:r>
      <w:proofErr w:type="spellStart"/>
      <w:r w:rsidR="00E86AD7">
        <w:rPr>
          <w:i/>
          <w:color w:val="000000"/>
          <w:spacing w:val="-3"/>
        </w:rPr>
        <w:t>Southam</w:t>
      </w:r>
      <w:proofErr w:type="spellEnd"/>
      <w:r w:rsidR="00E86AD7">
        <w:rPr>
          <w:i/>
          <w:color w:val="000000"/>
          <w:spacing w:val="-3"/>
        </w:rPr>
        <w:t xml:space="preserve"> Inc.</w:t>
      </w:r>
      <w:r w:rsidR="00E86AD7">
        <w:rPr>
          <w:color w:val="000000"/>
          <w:spacing w:val="-3"/>
        </w:rPr>
        <w:t>, [1997] 1 S.C.R. 748;</w:t>
      </w:r>
      <w:r w:rsidR="007670E9">
        <w:rPr>
          <w:color w:val="000000"/>
          <w:spacing w:val="-3"/>
        </w:rPr>
        <w:t xml:space="preserve"> </w:t>
      </w:r>
      <w:proofErr w:type="spellStart"/>
      <w:r w:rsidR="007670E9">
        <w:rPr>
          <w:i/>
          <w:color w:val="000000"/>
          <w:spacing w:val="-3"/>
        </w:rPr>
        <w:t>Pezim</w:t>
      </w:r>
      <w:proofErr w:type="spellEnd"/>
      <w:r w:rsidR="007670E9">
        <w:rPr>
          <w:i/>
          <w:color w:val="000000"/>
          <w:spacing w:val="-3"/>
        </w:rPr>
        <w:t xml:space="preserve"> v. British Col</w:t>
      </w:r>
      <w:r w:rsidR="008E3BAF">
        <w:rPr>
          <w:i/>
          <w:color w:val="000000"/>
          <w:spacing w:val="-3"/>
        </w:rPr>
        <w:t>u</w:t>
      </w:r>
      <w:r w:rsidR="007670E9">
        <w:rPr>
          <w:i/>
          <w:color w:val="000000"/>
          <w:spacing w:val="-3"/>
        </w:rPr>
        <w:t>mbia (Superintendent of Brokers)</w:t>
      </w:r>
      <w:r w:rsidR="007670E9">
        <w:rPr>
          <w:color w:val="000000"/>
          <w:spacing w:val="-3"/>
        </w:rPr>
        <w:t>, [1994] 2 S.C.R. 557;</w:t>
      </w:r>
      <w:r w:rsidR="00494175">
        <w:rPr>
          <w:color w:val="000000"/>
          <w:spacing w:val="-3"/>
        </w:rPr>
        <w:t xml:space="preserve"> </w:t>
      </w:r>
      <w:r w:rsidR="00494175">
        <w:rPr>
          <w:i/>
          <w:color w:val="000000"/>
          <w:spacing w:val="-3"/>
        </w:rPr>
        <w:t>Bell Canada v. Canada (Canadian Radio</w:t>
      </w:r>
      <w:r w:rsidR="007C3A49">
        <w:rPr>
          <w:i/>
          <w:color w:val="000000"/>
          <w:spacing w:val="-3"/>
        </w:rPr>
        <w:noBreakHyphen/>
      </w:r>
      <w:r w:rsidR="00494175">
        <w:rPr>
          <w:i/>
          <w:color w:val="000000"/>
          <w:spacing w:val="-3"/>
        </w:rPr>
        <w:t>Television and Telecommunications Commission)</w:t>
      </w:r>
      <w:r w:rsidR="00494175">
        <w:rPr>
          <w:color w:val="000000"/>
          <w:spacing w:val="-3"/>
        </w:rPr>
        <w:t>, [1989] 1 S.C.R. 1722;</w:t>
      </w:r>
      <w:r w:rsidR="00575B35">
        <w:t xml:space="preserve"> </w:t>
      </w:r>
      <w:r w:rsidR="00151CE7">
        <w:rPr>
          <w:i/>
        </w:rPr>
        <w:t>Law Society of New Brunswick v. Ryan</w:t>
      </w:r>
      <w:r w:rsidR="00151CE7">
        <w:t>, 2003 SCC 20, [2003] 1 S.C.R. 247;</w:t>
      </w:r>
      <w:r w:rsidR="00BB7014">
        <w:t xml:space="preserve"> </w:t>
      </w:r>
      <w:proofErr w:type="spellStart"/>
      <w:r w:rsidR="00BB7014">
        <w:rPr>
          <w:i/>
        </w:rPr>
        <w:t>Cartaway</w:t>
      </w:r>
      <w:proofErr w:type="spellEnd"/>
      <w:r w:rsidR="00BB7014">
        <w:rPr>
          <w:i/>
        </w:rPr>
        <w:t xml:space="preserve"> Resources Cor</w:t>
      </w:r>
      <w:r w:rsidR="007C3A49">
        <w:rPr>
          <w:i/>
        </w:rPr>
        <w:t>p. </w:t>
      </w:r>
      <w:r w:rsidR="00BB7014">
        <w:rPr>
          <w:i/>
        </w:rPr>
        <w:t>(Re)</w:t>
      </w:r>
      <w:r w:rsidR="00BB7014">
        <w:t>, 2004 SCC 26, [2004] 1 S.C.R. 672;</w:t>
      </w:r>
      <w:r w:rsidR="001A3166">
        <w:t xml:space="preserve"> </w:t>
      </w:r>
      <w:r w:rsidR="001A3166">
        <w:rPr>
          <w:i/>
        </w:rPr>
        <w:t xml:space="preserve">Council of </w:t>
      </w:r>
      <w:r w:rsidR="001A3166">
        <w:rPr>
          <w:i/>
        </w:rPr>
        <w:lastRenderedPageBreak/>
        <w:t>Canadians with Disabilities v. VIA Rail Canada Inc.</w:t>
      </w:r>
      <w:r w:rsidR="001A3166">
        <w:t>, 2007 SCC 15, [2007] 1 S.C.R. 650;</w:t>
      </w:r>
      <w:r w:rsidR="00FD225C">
        <w:t xml:space="preserve"> </w:t>
      </w:r>
      <w:r w:rsidR="00FD225C">
        <w:rPr>
          <w:i/>
        </w:rPr>
        <w:t>R. v. Conway</w:t>
      </w:r>
      <w:r w:rsidR="00FD225C">
        <w:t>, 2010 SCC 22, [2010] 1 S.C.R. 765;</w:t>
      </w:r>
      <w:r w:rsidR="008E3BAF">
        <w:t xml:space="preserve"> </w:t>
      </w:r>
      <w:r w:rsidR="008E3BAF">
        <w:rPr>
          <w:i/>
        </w:rPr>
        <w:t>McLean v. British Columbia (Securities Commission)</w:t>
      </w:r>
      <w:r w:rsidR="008E3BAF">
        <w:t>, 2013 SCC 67, [2013] 3 S.C.R. 895;</w:t>
      </w:r>
      <w:r w:rsidR="00C0623F">
        <w:t xml:space="preserve"> </w:t>
      </w:r>
      <w:proofErr w:type="spellStart"/>
      <w:r w:rsidR="00C0623F" w:rsidRPr="00C0623F">
        <w:rPr>
          <w:i/>
          <w:lang w:val="en-US"/>
        </w:rPr>
        <w:t>Mouvement</w:t>
      </w:r>
      <w:proofErr w:type="spellEnd"/>
      <w:r w:rsidR="00C0623F" w:rsidRPr="00C0623F">
        <w:rPr>
          <w:i/>
          <w:lang w:val="en-US"/>
        </w:rPr>
        <w:t xml:space="preserve"> </w:t>
      </w:r>
      <w:proofErr w:type="spellStart"/>
      <w:r w:rsidR="00C0623F" w:rsidRPr="00C0623F">
        <w:rPr>
          <w:i/>
          <w:lang w:val="en-US"/>
        </w:rPr>
        <w:t>laïque</w:t>
      </w:r>
      <w:proofErr w:type="spellEnd"/>
      <w:r w:rsidR="00C0623F" w:rsidRPr="00C0623F">
        <w:rPr>
          <w:i/>
          <w:lang w:val="en-US"/>
        </w:rPr>
        <w:t xml:space="preserve"> </w:t>
      </w:r>
      <w:proofErr w:type="spellStart"/>
      <w:r w:rsidR="00C0623F" w:rsidRPr="00C0623F">
        <w:rPr>
          <w:i/>
          <w:lang w:val="en-US"/>
        </w:rPr>
        <w:t>québécois</w:t>
      </w:r>
      <w:proofErr w:type="spellEnd"/>
      <w:r w:rsidR="00C0623F" w:rsidRPr="00C0623F">
        <w:rPr>
          <w:i/>
          <w:lang w:val="en-US"/>
        </w:rPr>
        <w:t xml:space="preserve"> </w:t>
      </w:r>
      <w:r w:rsidR="00C0623F">
        <w:rPr>
          <w:i/>
          <w:lang w:val="en-US"/>
        </w:rPr>
        <w:t>v</w:t>
      </w:r>
      <w:r w:rsidR="00C0623F" w:rsidRPr="00C0623F">
        <w:rPr>
          <w:i/>
          <w:lang w:val="en-US"/>
        </w:rPr>
        <w:t xml:space="preserve">. </w:t>
      </w:r>
      <w:r w:rsidR="00C0623F">
        <w:rPr>
          <w:i/>
          <w:lang w:val="en-US"/>
        </w:rPr>
        <w:t>Saguenay (City</w:t>
      </w:r>
      <w:r w:rsidR="00C0623F" w:rsidRPr="00C0623F">
        <w:rPr>
          <w:i/>
          <w:lang w:val="en-US"/>
        </w:rPr>
        <w:t>)</w:t>
      </w:r>
      <w:r w:rsidR="00C0623F">
        <w:rPr>
          <w:lang w:val="en-US"/>
        </w:rPr>
        <w:t xml:space="preserve">, 2015 </w:t>
      </w:r>
      <w:r w:rsidR="00C0623F" w:rsidRPr="00C0623F">
        <w:rPr>
          <w:lang w:val="en-US"/>
        </w:rPr>
        <w:t>S</w:t>
      </w:r>
      <w:r w:rsidR="00C0623F">
        <w:rPr>
          <w:lang w:val="en-US"/>
        </w:rPr>
        <w:t>C</w:t>
      </w:r>
      <w:r w:rsidR="00C0623F" w:rsidRPr="00C0623F">
        <w:rPr>
          <w:lang w:val="en-US"/>
        </w:rPr>
        <w:t xml:space="preserve">C 16, </w:t>
      </w:r>
      <w:r w:rsidR="00C0623F">
        <w:rPr>
          <w:lang w:val="en-US"/>
        </w:rPr>
        <w:t>[2015] 2 S.C.R</w:t>
      </w:r>
      <w:r w:rsidR="00C0623F" w:rsidRPr="00C0623F">
        <w:rPr>
          <w:lang w:val="en-US"/>
        </w:rPr>
        <w:t>. 3;</w:t>
      </w:r>
      <w:r w:rsidR="009C0FC5">
        <w:rPr>
          <w:i/>
          <w:lang w:val="en-US"/>
        </w:rPr>
        <w:t xml:space="preserve"> Edmonton (City) v. Edmonton East (</w:t>
      </w:r>
      <w:proofErr w:type="spellStart"/>
      <w:r w:rsidR="009C0FC5">
        <w:rPr>
          <w:i/>
          <w:lang w:val="en-US"/>
        </w:rPr>
        <w:t>Capilano</w:t>
      </w:r>
      <w:proofErr w:type="spellEnd"/>
      <w:r w:rsidR="009C0FC5">
        <w:rPr>
          <w:i/>
          <w:lang w:val="en-US"/>
        </w:rPr>
        <w:t xml:space="preserve">) Shopping </w:t>
      </w:r>
      <w:proofErr w:type="spellStart"/>
      <w:r w:rsidR="009C0FC5">
        <w:rPr>
          <w:i/>
          <w:lang w:val="en-US"/>
        </w:rPr>
        <w:t>Centres</w:t>
      </w:r>
      <w:proofErr w:type="spellEnd"/>
      <w:r w:rsidR="009C0FC5">
        <w:rPr>
          <w:i/>
          <w:lang w:val="en-US"/>
        </w:rPr>
        <w:t xml:space="preserve"> Ltd.</w:t>
      </w:r>
      <w:r w:rsidR="009C0FC5">
        <w:rPr>
          <w:lang w:val="en-US"/>
        </w:rPr>
        <w:t>, 2016 SCC 47, [2016] 2 S.C.R. 293;</w:t>
      </w:r>
      <w:r w:rsidR="00C65595">
        <w:rPr>
          <w:lang w:val="en-US"/>
        </w:rPr>
        <w:t xml:space="preserve"> </w:t>
      </w:r>
      <w:r w:rsidR="00C65595">
        <w:rPr>
          <w:i/>
          <w:lang w:val="en-US"/>
        </w:rPr>
        <w:t>Bell Canada v. Bell Aliant Regional Communications</w:t>
      </w:r>
      <w:r w:rsidR="00C65595">
        <w:rPr>
          <w:lang w:val="en-US"/>
        </w:rPr>
        <w:t>, 2009 SCC 40, [2009] 2 S.C.R. 764;</w:t>
      </w:r>
      <w:r w:rsidR="00B10934">
        <w:rPr>
          <w:lang w:val="en-US"/>
        </w:rPr>
        <w:t xml:space="preserve"> </w:t>
      </w:r>
      <w:r w:rsidR="00B10934">
        <w:rPr>
          <w:i/>
          <w:lang w:val="en-US"/>
        </w:rPr>
        <w:t>Smith v. Alliance Pipeline Ltd.</w:t>
      </w:r>
      <w:r w:rsidR="00B10934">
        <w:rPr>
          <w:lang w:val="en-US"/>
        </w:rPr>
        <w:t>, 2011 SCC 7, [2011] 1 S.C.R. 160;</w:t>
      </w:r>
      <w:r w:rsidR="00806E17">
        <w:rPr>
          <w:lang w:val="en-US"/>
        </w:rPr>
        <w:t xml:space="preserve"> </w:t>
      </w:r>
      <w:r w:rsidR="00806E17">
        <w:rPr>
          <w:i/>
          <w:lang w:val="en-US"/>
        </w:rPr>
        <w:t>ATCO Gas and Pipelines Ltd. v. Alberta (Utilities Commission)</w:t>
      </w:r>
      <w:r w:rsidR="00806E17">
        <w:rPr>
          <w:lang w:val="en-US"/>
        </w:rPr>
        <w:t>, 2015 SCC 45, [2015] 3 S.C.R. 219;</w:t>
      </w:r>
      <w:r w:rsidR="0004176A">
        <w:rPr>
          <w:lang w:val="en-US"/>
        </w:rPr>
        <w:t xml:space="preserve"> </w:t>
      </w:r>
      <w:r w:rsidR="00BE6733">
        <w:rPr>
          <w:i/>
          <w:lang w:val="en-US"/>
        </w:rPr>
        <w:t>Canada (Canadian Human Rights Commission) v. Canada (Attorney General)</w:t>
      </w:r>
      <w:r w:rsidR="00BE6733">
        <w:rPr>
          <w:lang w:val="en-US"/>
        </w:rPr>
        <w:t>, 2011 SCC 53, [2011] 3 S.C.R. 471;</w:t>
      </w:r>
      <w:r w:rsidR="008A1402">
        <w:rPr>
          <w:lang w:val="en-US"/>
        </w:rPr>
        <w:t xml:space="preserve"> </w:t>
      </w:r>
      <w:r w:rsidR="008A1402">
        <w:rPr>
          <w:i/>
          <w:lang w:val="en-US"/>
        </w:rPr>
        <w:t>Dr. Q v. College of Physicians and Surgeons of British Columbia</w:t>
      </w:r>
      <w:r w:rsidR="008A1402">
        <w:rPr>
          <w:lang w:val="en-US"/>
        </w:rPr>
        <w:t>, 2003 SCC 19, [2003] 1 S.C.R. 226;</w:t>
      </w:r>
      <w:r w:rsidR="006C27FC">
        <w:rPr>
          <w:lang w:val="en-US"/>
        </w:rPr>
        <w:t xml:space="preserve"> </w:t>
      </w:r>
      <w:r w:rsidR="006C27FC">
        <w:rPr>
          <w:i/>
          <w:lang w:val="en-US"/>
        </w:rPr>
        <w:t>Parry Sound (District) Social Services Administration Board v. O.P.S.E.U., Local 324</w:t>
      </w:r>
      <w:r w:rsidR="006C27FC">
        <w:rPr>
          <w:lang w:val="en-US"/>
        </w:rPr>
        <w:t>, 2003 SCC 42, [2003] 2 S.C.R. 157;</w:t>
      </w:r>
      <w:r w:rsidR="00176D44">
        <w:rPr>
          <w:lang w:val="en-US"/>
        </w:rPr>
        <w:t xml:space="preserve"> </w:t>
      </w:r>
      <w:r w:rsidR="00176D44">
        <w:rPr>
          <w:i/>
          <w:lang w:val="en-US"/>
        </w:rPr>
        <w:t>Newfoundland and Labrador Nurses</w:t>
      </w:r>
      <w:r w:rsidR="008D5707">
        <w:rPr>
          <w:i/>
          <w:lang w:val="en-US"/>
        </w:rPr>
        <w:t>’</w:t>
      </w:r>
      <w:r w:rsidR="00176D44">
        <w:rPr>
          <w:i/>
          <w:lang w:val="en-US"/>
        </w:rPr>
        <w:t xml:space="preserve"> Union v. Newfoundland and Labrador (Treasury Board)</w:t>
      </w:r>
      <w:r w:rsidR="00176D44">
        <w:rPr>
          <w:lang w:val="en-US"/>
        </w:rPr>
        <w:t>, 2011 SCC 62, [2011] 3 S.C.R. 708;</w:t>
      </w:r>
      <w:r w:rsidR="009103BA" w:rsidRPr="009103BA">
        <w:rPr>
          <w:lang w:val="en-US"/>
        </w:rPr>
        <w:t xml:space="preserve"> </w:t>
      </w:r>
      <w:proofErr w:type="spellStart"/>
      <w:r w:rsidR="009103BA">
        <w:rPr>
          <w:i/>
          <w:lang w:val="en-US"/>
        </w:rPr>
        <w:t>Doré</w:t>
      </w:r>
      <w:proofErr w:type="spellEnd"/>
      <w:r w:rsidR="009103BA">
        <w:rPr>
          <w:i/>
          <w:lang w:val="en-US"/>
        </w:rPr>
        <w:t xml:space="preserve"> v. </w:t>
      </w:r>
      <w:proofErr w:type="spellStart"/>
      <w:r w:rsidR="009103BA">
        <w:rPr>
          <w:i/>
          <w:lang w:val="en-US"/>
        </w:rPr>
        <w:t>Barreau</w:t>
      </w:r>
      <w:proofErr w:type="spellEnd"/>
      <w:r w:rsidR="009103BA">
        <w:rPr>
          <w:i/>
          <w:lang w:val="en-US"/>
        </w:rPr>
        <w:t xml:space="preserve"> du Québec</w:t>
      </w:r>
      <w:r w:rsidR="009103BA">
        <w:rPr>
          <w:lang w:val="en-US"/>
        </w:rPr>
        <w:t>, 2012 SCC 12, [2012] 1 S.C.R. 395;</w:t>
      </w:r>
      <w:r w:rsidR="00280E2C">
        <w:rPr>
          <w:lang w:val="en-US"/>
        </w:rPr>
        <w:t xml:space="preserve"> </w:t>
      </w:r>
      <w:r w:rsidR="00280E2C">
        <w:rPr>
          <w:i/>
          <w:lang w:val="en-US"/>
        </w:rPr>
        <w:t>Nor</w:t>
      </w:r>
      <w:r w:rsidR="007C3A49">
        <w:rPr>
          <w:i/>
          <w:lang w:val="en-US"/>
        </w:rPr>
        <w:noBreakHyphen/>
      </w:r>
      <w:r w:rsidR="00280E2C">
        <w:rPr>
          <w:i/>
          <w:lang w:val="en-US"/>
        </w:rPr>
        <w:t>Man Regional Health Authority Inc. v. Manitoba Association of Health Care Professionals</w:t>
      </w:r>
      <w:r w:rsidR="00280E2C">
        <w:rPr>
          <w:lang w:val="en-US"/>
        </w:rPr>
        <w:t>, 2011 SCC 59, [2011] 3 S.C.R. 616;</w:t>
      </w:r>
      <w:r w:rsidR="00E904E9">
        <w:rPr>
          <w:lang w:val="en-US"/>
        </w:rPr>
        <w:t xml:space="preserve"> </w:t>
      </w:r>
      <w:r w:rsidR="00E904E9">
        <w:rPr>
          <w:i/>
          <w:lang w:val="en-US"/>
        </w:rPr>
        <w:t>Wilson v. Atomic Energy of Canada Ltd.</w:t>
      </w:r>
      <w:r w:rsidR="00E904E9">
        <w:rPr>
          <w:lang w:val="en-US"/>
        </w:rPr>
        <w:t>, 2016 SCC 29, [2016] 1 S.C.R. 770;</w:t>
      </w:r>
      <w:r w:rsidR="00BD29A5">
        <w:rPr>
          <w:lang w:val="en-US"/>
        </w:rPr>
        <w:t xml:space="preserve"> </w:t>
      </w:r>
      <w:proofErr w:type="spellStart"/>
      <w:r w:rsidR="00BD29A5">
        <w:rPr>
          <w:i/>
          <w:lang w:val="en-US"/>
        </w:rPr>
        <w:t>Hryniak</w:t>
      </w:r>
      <w:proofErr w:type="spellEnd"/>
      <w:r w:rsidR="00BD29A5">
        <w:rPr>
          <w:i/>
          <w:lang w:val="en-US"/>
        </w:rPr>
        <w:t xml:space="preserve"> v. Mauldin</w:t>
      </w:r>
      <w:r w:rsidR="00BD29A5">
        <w:rPr>
          <w:lang w:val="en-US"/>
        </w:rPr>
        <w:t>, 2014 SCC 7, [2014] 1 S.C.R.</w:t>
      </w:r>
      <w:r w:rsidR="00C67AD7">
        <w:rPr>
          <w:lang w:val="en-US"/>
        </w:rPr>
        <w:t xml:space="preserve"> 87;</w:t>
      </w:r>
      <w:r w:rsidR="000620E6">
        <w:rPr>
          <w:lang w:val="en-US"/>
        </w:rPr>
        <w:t xml:space="preserve"> </w:t>
      </w:r>
      <w:proofErr w:type="spellStart"/>
      <w:r w:rsidR="000620E6">
        <w:rPr>
          <w:i/>
          <w:lang w:val="en-US"/>
        </w:rPr>
        <w:t>Housen</w:t>
      </w:r>
      <w:proofErr w:type="spellEnd"/>
      <w:r w:rsidR="000620E6">
        <w:rPr>
          <w:i/>
          <w:lang w:val="en-US"/>
        </w:rPr>
        <w:t xml:space="preserve"> v. </w:t>
      </w:r>
      <w:proofErr w:type="spellStart"/>
      <w:r w:rsidR="000620E6">
        <w:rPr>
          <w:i/>
          <w:lang w:val="en-US"/>
        </w:rPr>
        <w:t>Nikolaisen</w:t>
      </w:r>
      <w:proofErr w:type="spellEnd"/>
      <w:r w:rsidR="000620E6">
        <w:rPr>
          <w:lang w:val="en-US"/>
        </w:rPr>
        <w:t xml:space="preserve">, 2002 SCC 33, </w:t>
      </w:r>
      <w:r w:rsidR="00DE3D55">
        <w:rPr>
          <w:lang w:val="en-US"/>
        </w:rPr>
        <w:t>[2002] 2 S.C.R. 235</w:t>
      </w:r>
      <w:r w:rsidR="009869D5">
        <w:rPr>
          <w:lang w:val="en-US"/>
        </w:rPr>
        <w:t>;</w:t>
      </w:r>
      <w:r w:rsidR="00F57A8B" w:rsidRPr="00F57A8B">
        <w:rPr>
          <w:i/>
          <w:iCs/>
          <w:color w:val="000000"/>
        </w:rPr>
        <w:t xml:space="preserve"> </w:t>
      </w:r>
      <w:proofErr w:type="spellStart"/>
      <w:r w:rsidR="00F57A8B" w:rsidRPr="00F57A8B">
        <w:rPr>
          <w:i/>
          <w:iCs/>
        </w:rPr>
        <w:t>Crevier</w:t>
      </w:r>
      <w:proofErr w:type="spellEnd"/>
      <w:r w:rsidR="00F57A8B" w:rsidRPr="00F57A8B">
        <w:rPr>
          <w:i/>
          <w:iCs/>
        </w:rPr>
        <w:t xml:space="preserve"> v. Attorney General of Quebec</w:t>
      </w:r>
      <w:r w:rsidR="00F57A8B" w:rsidRPr="00F57A8B">
        <w:t>, [1981] 2 S.C.R. 220;</w:t>
      </w:r>
      <w:r w:rsidR="00380E3D">
        <w:t xml:space="preserve"> </w:t>
      </w:r>
      <w:r w:rsidR="00380E3D" w:rsidRPr="00A7028D">
        <w:rPr>
          <w:i/>
        </w:rPr>
        <w:t>Bell Canada v. Canada (Attorney General)</w:t>
      </w:r>
      <w:r w:rsidR="00380E3D" w:rsidRPr="00A7028D">
        <w:t xml:space="preserve">, </w:t>
      </w:r>
      <w:r w:rsidR="007C1FE7">
        <w:t>2019 SCC 66</w:t>
      </w:r>
      <w:r w:rsidR="00A1485E">
        <w:t xml:space="preserve">, [2019] </w:t>
      </w:r>
      <w:r w:rsidR="00DA14AC">
        <w:t>4</w:t>
      </w:r>
      <w:r w:rsidR="00A1485E">
        <w:t xml:space="preserve"> S.C.R. </w:t>
      </w:r>
      <w:r w:rsidR="00D6025B">
        <w:t>845</w:t>
      </w:r>
      <w:r w:rsidR="00380E3D" w:rsidRPr="009A1B23">
        <w:t>;</w:t>
      </w:r>
      <w:r w:rsidR="007B6B8F">
        <w:t xml:space="preserve"> </w:t>
      </w:r>
      <w:r w:rsidR="007B6B8F">
        <w:rPr>
          <w:i/>
        </w:rPr>
        <w:t>Canada v. Craig</w:t>
      </w:r>
      <w:r w:rsidR="007B6B8F">
        <w:t>, 2012 SCC 43, [2012] 2 S.C.R. 489;</w:t>
      </w:r>
      <w:r w:rsidR="00BF0D0F">
        <w:t xml:space="preserve"> </w:t>
      </w:r>
      <w:r w:rsidR="003B15E5">
        <w:rPr>
          <w:i/>
        </w:rPr>
        <w:t>Kimble v. Marvel Entertainment, LLC</w:t>
      </w:r>
      <w:r w:rsidR="003B15E5">
        <w:t xml:space="preserve">, 135 S. Ct. 2401 (2015); </w:t>
      </w:r>
      <w:r w:rsidR="00BF0D0F">
        <w:rPr>
          <w:i/>
        </w:rPr>
        <w:t xml:space="preserve">Halliburton Co. v. Erica </w:t>
      </w:r>
      <w:r w:rsidR="00CA0DCD">
        <w:rPr>
          <w:i/>
        </w:rPr>
        <w:t xml:space="preserve">P. </w:t>
      </w:r>
      <w:r w:rsidR="00BF0D0F">
        <w:rPr>
          <w:i/>
        </w:rPr>
        <w:t>John Fund, Inc.</w:t>
      </w:r>
      <w:r w:rsidR="00BF0D0F">
        <w:t>, 573 U.S. 258 (2014);</w:t>
      </w:r>
      <w:r w:rsidR="00B36701">
        <w:t xml:space="preserve"> </w:t>
      </w:r>
      <w:proofErr w:type="spellStart"/>
      <w:r w:rsidR="00AD152D">
        <w:rPr>
          <w:i/>
        </w:rPr>
        <w:t>Fitzleet</w:t>
      </w:r>
      <w:proofErr w:type="spellEnd"/>
      <w:r w:rsidR="00AD152D">
        <w:rPr>
          <w:i/>
        </w:rPr>
        <w:t xml:space="preserve"> Estates Ltd. v. Cherry</w:t>
      </w:r>
      <w:r w:rsidR="00AD152D">
        <w:t xml:space="preserve"> (1977), 51 T.C. 708; </w:t>
      </w:r>
      <w:r w:rsidR="00AD152D">
        <w:rPr>
          <w:i/>
        </w:rPr>
        <w:t>R. v. Taylor</w:t>
      </w:r>
      <w:r w:rsidR="00AD152D">
        <w:t xml:space="preserve">, [2016] UKSC 5, [2016] 4 All </w:t>
      </w:r>
      <w:r w:rsidR="00AD152D">
        <w:lastRenderedPageBreak/>
        <w:t xml:space="preserve">E.R. 617; </w:t>
      </w:r>
      <w:proofErr w:type="spellStart"/>
      <w:r w:rsidR="00AD152D">
        <w:rPr>
          <w:i/>
        </w:rPr>
        <w:t>Willers</w:t>
      </w:r>
      <w:proofErr w:type="spellEnd"/>
      <w:r w:rsidR="00AD152D">
        <w:rPr>
          <w:i/>
        </w:rPr>
        <w:t xml:space="preserve"> v. Joyce (</w:t>
      </w:r>
      <w:r w:rsidR="007C3A49">
        <w:rPr>
          <w:i/>
        </w:rPr>
        <w:t>No. </w:t>
      </w:r>
      <w:r w:rsidR="00AD152D">
        <w:rPr>
          <w:i/>
        </w:rPr>
        <w:t>2)</w:t>
      </w:r>
      <w:r w:rsidR="00AD152D">
        <w:t>, [2016] UKSC 44, [2017] 2 All E.R. 383;</w:t>
      </w:r>
      <w:r w:rsidR="00D127FA">
        <w:t xml:space="preserve"> </w:t>
      </w:r>
      <w:proofErr w:type="spellStart"/>
      <w:r w:rsidR="00D127FA">
        <w:rPr>
          <w:i/>
        </w:rPr>
        <w:t>Knauer</w:t>
      </w:r>
      <w:proofErr w:type="spellEnd"/>
      <w:r w:rsidR="00D127FA">
        <w:rPr>
          <w:i/>
        </w:rPr>
        <w:t xml:space="preserve"> v. Ministry of Justice</w:t>
      </w:r>
      <w:r w:rsidR="00D127FA">
        <w:t xml:space="preserve">, [2016] UKSC 9, [2016] 4 All E.R. 897; </w:t>
      </w:r>
      <w:r w:rsidR="00D127FA">
        <w:rPr>
          <w:i/>
        </w:rPr>
        <w:t>Couch v. Attorney</w:t>
      </w:r>
      <w:r w:rsidR="007C3A49">
        <w:rPr>
          <w:i/>
        </w:rPr>
        <w:noBreakHyphen/>
      </w:r>
      <w:r w:rsidR="00D127FA">
        <w:rPr>
          <w:i/>
        </w:rPr>
        <w:t>General (</w:t>
      </w:r>
      <w:r w:rsidR="007C3A49">
        <w:rPr>
          <w:i/>
        </w:rPr>
        <w:t>No. </w:t>
      </w:r>
      <w:r w:rsidR="00D127FA">
        <w:rPr>
          <w:i/>
        </w:rPr>
        <w:t>2)</w:t>
      </w:r>
      <w:r w:rsidR="00D127FA">
        <w:t>, [2010] NZSC 27, [2010] 3 N.Z.L.R. 149;</w:t>
      </w:r>
      <w:r w:rsidR="00214F75">
        <w:t xml:space="preserve"> </w:t>
      </w:r>
      <w:r w:rsidR="00214F75">
        <w:rPr>
          <w:i/>
        </w:rPr>
        <w:t>Lee v. New South Wales Crime Commission</w:t>
      </w:r>
      <w:r w:rsidR="00A90C1B">
        <w:t xml:space="preserve"> (</w:t>
      </w:r>
      <w:r w:rsidR="00214F75">
        <w:t>2013</w:t>
      </w:r>
      <w:r w:rsidR="00A90C1B">
        <w:t xml:space="preserve">), </w:t>
      </w:r>
      <w:r w:rsidR="00214F75">
        <w:t xml:space="preserve">302 A.L.R. 363; </w:t>
      </w:r>
      <w:r w:rsidR="00007707" w:rsidRPr="00FB70D6">
        <w:rPr>
          <w:i/>
        </w:rPr>
        <w:t>Camps Bay Ratepayers</w:t>
      </w:r>
      <w:r w:rsidR="008D5707">
        <w:rPr>
          <w:i/>
        </w:rPr>
        <w:t>’</w:t>
      </w:r>
      <w:r w:rsidR="00007707" w:rsidRPr="00FB70D6">
        <w:rPr>
          <w:i/>
        </w:rPr>
        <w:t xml:space="preserve"> and Residents</w:t>
      </w:r>
      <w:r w:rsidR="008D5707">
        <w:rPr>
          <w:i/>
        </w:rPr>
        <w:t>’</w:t>
      </w:r>
      <w:r w:rsidR="00007707" w:rsidRPr="00FB70D6">
        <w:rPr>
          <w:i/>
        </w:rPr>
        <w:t xml:space="preserve"> Association v. Harrison</w:t>
      </w:r>
      <w:r w:rsidR="00007707" w:rsidRPr="00FB70D6">
        <w:t>, [2010] ZACC 19</w:t>
      </w:r>
      <w:r w:rsidR="00FB70D6" w:rsidRPr="00FB70D6">
        <w:t>, 2011 (4) S.A. 42</w:t>
      </w:r>
      <w:r w:rsidR="00007707" w:rsidRPr="00FB70D6">
        <w:t>;</w:t>
      </w:r>
      <w:r w:rsidR="00800F55">
        <w:t xml:space="preserve"> </w:t>
      </w:r>
      <w:r w:rsidR="00800F55" w:rsidRPr="00DE598F">
        <w:rPr>
          <w:i/>
        </w:rPr>
        <w:t>Buf</w:t>
      </w:r>
      <w:r w:rsidR="00DE598F" w:rsidRPr="00DE598F">
        <w:rPr>
          <w:i/>
        </w:rPr>
        <w:t>falo City Metropolitan Municipality</w:t>
      </w:r>
      <w:r w:rsidR="00800F55" w:rsidRPr="00DE598F">
        <w:rPr>
          <w:i/>
        </w:rPr>
        <w:t xml:space="preserve"> v. </w:t>
      </w:r>
      <w:proofErr w:type="spellStart"/>
      <w:r w:rsidR="00800F55" w:rsidRPr="00DE598F">
        <w:rPr>
          <w:i/>
        </w:rPr>
        <w:t>Asla</w:t>
      </w:r>
      <w:proofErr w:type="spellEnd"/>
      <w:r w:rsidR="00800F55" w:rsidRPr="00DE598F">
        <w:rPr>
          <w:i/>
        </w:rPr>
        <w:t xml:space="preserve"> Construction</w:t>
      </w:r>
      <w:r w:rsidR="00F8623D">
        <w:rPr>
          <w:i/>
        </w:rPr>
        <w:t xml:space="preserve"> (Pty)</w:t>
      </w:r>
      <w:r w:rsidR="00800F55" w:rsidRPr="00DE598F">
        <w:rPr>
          <w:i/>
        </w:rPr>
        <w:t xml:space="preserve"> Ltd.</w:t>
      </w:r>
      <w:r w:rsidR="00800F55" w:rsidRPr="00DE598F">
        <w:t>, [2019] ZACC 15</w:t>
      </w:r>
      <w:r w:rsidR="00DE598F">
        <w:t>, 2019 (4) S.A. 331</w:t>
      </w:r>
      <w:r w:rsidR="00800F55" w:rsidRPr="00DE598F">
        <w:t>;</w:t>
      </w:r>
      <w:r w:rsidR="00800F55">
        <w:t xml:space="preserve"> </w:t>
      </w:r>
      <w:r w:rsidR="00800F55" w:rsidRPr="00BF6051">
        <w:rPr>
          <w:i/>
        </w:rPr>
        <w:t>Payne v. Tennessee</w:t>
      </w:r>
      <w:r w:rsidR="00800F55" w:rsidRPr="00BF6051">
        <w:t>, 501 U.S. 808 (1991);</w:t>
      </w:r>
      <w:r w:rsidR="00830E2D">
        <w:t xml:space="preserve"> </w:t>
      </w:r>
      <w:r w:rsidR="00830E2D">
        <w:rPr>
          <w:i/>
        </w:rPr>
        <w:t>Canada (Attorney General) v. Bedford</w:t>
      </w:r>
      <w:r w:rsidR="00830E2D">
        <w:t>, 2013 SCC 72, [2013] 3 S.C.R. 1101;</w:t>
      </w:r>
      <w:r w:rsidR="00682750">
        <w:t xml:space="preserve"> </w:t>
      </w:r>
      <w:r w:rsidR="00682750">
        <w:rPr>
          <w:i/>
        </w:rPr>
        <w:t>R. v. Bernard</w:t>
      </w:r>
      <w:r w:rsidR="00682750">
        <w:t>, [1988] 2 S.C.R. 833;</w:t>
      </w:r>
      <w:r w:rsidR="004E6B23">
        <w:t xml:space="preserve"> </w:t>
      </w:r>
      <w:r w:rsidR="004E6B23">
        <w:rPr>
          <w:i/>
        </w:rPr>
        <w:t xml:space="preserve">Minister of Indian Affairs and Northern Development v. </w:t>
      </w:r>
      <w:proofErr w:type="spellStart"/>
      <w:r w:rsidR="004E6B23">
        <w:rPr>
          <w:i/>
        </w:rPr>
        <w:t>Ranville</w:t>
      </w:r>
      <w:proofErr w:type="spellEnd"/>
      <w:r w:rsidR="004E6B23">
        <w:t>, [1982] 2 S.C.R. 518;</w:t>
      </w:r>
      <w:r w:rsidR="00637ACE">
        <w:t xml:space="preserve"> </w:t>
      </w:r>
      <w:r w:rsidR="00637ACE">
        <w:rPr>
          <w:i/>
        </w:rPr>
        <w:t>Michigan v. Bay Mills Indian Community</w:t>
      </w:r>
      <w:r w:rsidR="00637ACE">
        <w:t>, 572 U.S. 782 (2014);</w:t>
      </w:r>
      <w:r w:rsidR="00055EFC">
        <w:t xml:space="preserve"> </w:t>
      </w:r>
      <w:proofErr w:type="spellStart"/>
      <w:r w:rsidR="00055EFC">
        <w:rPr>
          <w:i/>
        </w:rPr>
        <w:t>Plourde</w:t>
      </w:r>
      <w:proofErr w:type="spellEnd"/>
      <w:r w:rsidR="00055EFC">
        <w:rPr>
          <w:i/>
        </w:rPr>
        <w:t xml:space="preserve"> v. Wal</w:t>
      </w:r>
      <w:r w:rsidR="007C3A49">
        <w:rPr>
          <w:i/>
        </w:rPr>
        <w:noBreakHyphen/>
      </w:r>
      <w:r w:rsidR="00055EFC">
        <w:rPr>
          <w:i/>
        </w:rPr>
        <w:t>Mart Canada Corp.</w:t>
      </w:r>
      <w:r w:rsidR="00055EFC">
        <w:t xml:space="preserve">, 2009 SCC 54, [2009] 3 S.C.R. 465; </w:t>
      </w:r>
      <w:r w:rsidR="002E2BF2">
        <w:rPr>
          <w:i/>
        </w:rPr>
        <w:t>Planned Parenthood of Southeastern Pennsylvania v. Casey, Governor of Pennsylvania</w:t>
      </w:r>
      <w:r w:rsidR="002E2BF2">
        <w:t xml:space="preserve">, 505 U.S. 833 (1992); </w:t>
      </w:r>
      <w:r w:rsidR="002E2BF2">
        <w:rPr>
          <w:i/>
        </w:rPr>
        <w:t>Florida Department of Health and Rehabilitative Services v. Florida Nursing Home Association</w:t>
      </w:r>
      <w:r w:rsidR="002E2BF2">
        <w:t xml:space="preserve">, 450 U.S. 147 (1981); </w:t>
      </w:r>
      <w:r w:rsidR="00695C63">
        <w:rPr>
          <w:i/>
        </w:rPr>
        <w:t>Knick v. Township of Scott, Pennsylvania</w:t>
      </w:r>
      <w:r w:rsidR="00695C63">
        <w:t>, 139 S. Ct. 2162</w:t>
      </w:r>
      <w:r w:rsidR="00502C7E">
        <w:t xml:space="preserve"> (2019)</w:t>
      </w:r>
      <w:r w:rsidR="00695C63">
        <w:t xml:space="preserve">; </w:t>
      </w:r>
      <w:r w:rsidR="00CA5F0B">
        <w:rPr>
          <w:i/>
        </w:rPr>
        <w:t>Committee for the Equal Treatment of Asbestos Minority Shareholders v. Ontario (Securities Commission)</w:t>
      </w:r>
      <w:r w:rsidR="00CA5F0B">
        <w:t>, 2001 SCC 37, [2001] 2 S.C.R. 132;</w:t>
      </w:r>
      <w:r w:rsidR="00C516F2">
        <w:t xml:space="preserve"> </w:t>
      </w:r>
      <w:r w:rsidR="00695C63">
        <w:rPr>
          <w:i/>
        </w:rPr>
        <w:t xml:space="preserve">Association des courtiers et agents </w:t>
      </w:r>
      <w:proofErr w:type="spellStart"/>
      <w:r w:rsidR="00695C63">
        <w:rPr>
          <w:i/>
        </w:rPr>
        <w:t>immobiliers</w:t>
      </w:r>
      <w:proofErr w:type="spellEnd"/>
      <w:r w:rsidR="00695C63">
        <w:rPr>
          <w:i/>
        </w:rPr>
        <w:t xml:space="preserve"> du Québec v. </w:t>
      </w:r>
      <w:proofErr w:type="spellStart"/>
      <w:r w:rsidR="00695C63">
        <w:rPr>
          <w:i/>
        </w:rPr>
        <w:t>Proprio</w:t>
      </w:r>
      <w:proofErr w:type="spellEnd"/>
      <w:r w:rsidR="00695C63">
        <w:rPr>
          <w:i/>
        </w:rPr>
        <w:t xml:space="preserve"> Direct </w:t>
      </w:r>
      <w:proofErr w:type="spellStart"/>
      <w:r w:rsidR="00695C63">
        <w:rPr>
          <w:i/>
        </w:rPr>
        <w:t>inc.</w:t>
      </w:r>
      <w:proofErr w:type="spellEnd"/>
      <w:r w:rsidR="00695C63">
        <w:t xml:space="preserve">, </w:t>
      </w:r>
      <w:r w:rsidR="00B54DC4">
        <w:t xml:space="preserve">2008 SCC 32, </w:t>
      </w:r>
      <w:r w:rsidR="00695C63">
        <w:t>[2008] 2 S.C.R. 195;</w:t>
      </w:r>
      <w:r w:rsidR="00B54DC4">
        <w:t xml:space="preserve"> </w:t>
      </w:r>
      <w:r w:rsidR="00B54DC4">
        <w:rPr>
          <w:i/>
        </w:rPr>
        <w:t>Nolan v. Kerry (Canada) Inc.</w:t>
      </w:r>
      <w:r w:rsidR="00B54DC4">
        <w:t>, 2009 SCC 39, [2009] 2 S.C.R. 678;</w:t>
      </w:r>
      <w:r w:rsidR="00AD0E65">
        <w:t xml:space="preserve"> </w:t>
      </w:r>
      <w:r w:rsidR="00AD0E65">
        <w:rPr>
          <w:i/>
        </w:rPr>
        <w:t>Ontario (Attorney General) v. Fraser</w:t>
      </w:r>
      <w:r w:rsidR="00AD0E65">
        <w:t>, 2011 SCC 20, [2011] 2 S.C.R. 3;</w:t>
      </w:r>
      <w:r w:rsidR="00943C70">
        <w:t xml:space="preserve"> </w:t>
      </w:r>
      <w:r w:rsidR="00943C70">
        <w:rPr>
          <w:i/>
        </w:rPr>
        <w:t>Nishi v. Rascal Trucking Ltd.</w:t>
      </w:r>
      <w:r w:rsidR="00943C70">
        <w:t>, 2013 SCC 33, [2013] 2 S.C.R. 438;</w:t>
      </w:r>
      <w:r w:rsidR="006A794A">
        <w:t xml:space="preserve"> </w:t>
      </w:r>
      <w:r w:rsidR="006A794A">
        <w:rPr>
          <w:i/>
        </w:rPr>
        <w:t>R. v. Henry</w:t>
      </w:r>
      <w:r w:rsidR="006A794A">
        <w:t>, 2</w:t>
      </w:r>
      <w:r w:rsidR="00C516F2">
        <w:t xml:space="preserve">005 SCC 76, [2005] 3 S.C.R. 609; </w:t>
      </w:r>
      <w:proofErr w:type="spellStart"/>
      <w:r w:rsidR="00854E35" w:rsidRPr="00854E35">
        <w:rPr>
          <w:i/>
          <w:iCs/>
        </w:rPr>
        <w:t>Binus</w:t>
      </w:r>
      <w:proofErr w:type="spellEnd"/>
      <w:r w:rsidR="00854E35" w:rsidRPr="00854E35">
        <w:rPr>
          <w:i/>
          <w:iCs/>
        </w:rPr>
        <w:t xml:space="preserve"> v. The Queen</w:t>
      </w:r>
      <w:r w:rsidR="00854E35" w:rsidRPr="00854E35">
        <w:t>, [1967] S.C.R. 594</w:t>
      </w:r>
      <w:r w:rsidR="00854E35">
        <w:t xml:space="preserve">; </w:t>
      </w:r>
      <w:proofErr w:type="spellStart"/>
      <w:r w:rsidR="00E73373">
        <w:rPr>
          <w:i/>
        </w:rPr>
        <w:t>Bilski</w:t>
      </w:r>
      <w:proofErr w:type="spellEnd"/>
      <w:r w:rsidR="00E73373">
        <w:rPr>
          <w:i/>
        </w:rPr>
        <w:t xml:space="preserve"> v. </w:t>
      </w:r>
      <w:proofErr w:type="spellStart"/>
      <w:r w:rsidR="00E73373">
        <w:rPr>
          <w:i/>
        </w:rPr>
        <w:t>Kappos</w:t>
      </w:r>
      <w:proofErr w:type="spellEnd"/>
      <w:r w:rsidR="00E73373">
        <w:rPr>
          <w:i/>
        </w:rPr>
        <w:t>, Under Secretary of Commerce for Intellectual Property and Director, Patent and Trademark Office</w:t>
      </w:r>
      <w:r w:rsidR="00E73373">
        <w:t xml:space="preserve">, 561 U.S. 593 (2010); </w:t>
      </w:r>
      <w:r w:rsidR="00E73373">
        <w:rPr>
          <w:i/>
        </w:rPr>
        <w:t>Bowles, Price Administrator v. Seminole Rock &amp; Sand Co.</w:t>
      </w:r>
      <w:r w:rsidR="00E73373">
        <w:t xml:space="preserve">, 325 U.S. </w:t>
      </w:r>
      <w:r w:rsidR="00E73373">
        <w:lastRenderedPageBreak/>
        <w:t>410 (1945);</w:t>
      </w:r>
      <w:r w:rsidR="00D15778">
        <w:t xml:space="preserve"> </w:t>
      </w:r>
      <w:r w:rsidR="00D15778">
        <w:rPr>
          <w:i/>
        </w:rPr>
        <w:t>Auer v. Robbins</w:t>
      </w:r>
      <w:r w:rsidR="00D15778">
        <w:t>, 519 U.S. 452 (1997</w:t>
      </w:r>
      <w:r w:rsidR="00D15778" w:rsidRPr="00A7028D">
        <w:t>);</w:t>
      </w:r>
      <w:r w:rsidR="00D95646" w:rsidRPr="00A7028D">
        <w:t xml:space="preserve"> </w:t>
      </w:r>
      <w:r w:rsidR="00D95646" w:rsidRPr="00A7028D">
        <w:rPr>
          <w:i/>
        </w:rPr>
        <w:t>Baker v. Campbell</w:t>
      </w:r>
      <w:r w:rsidR="00D95646" w:rsidRPr="00A7028D">
        <w:t>, [1983] HCA 39, 153 C.L.R. 52;</w:t>
      </w:r>
      <w:r w:rsidR="0057241C" w:rsidRPr="00A7028D">
        <w:t xml:space="preserve"> </w:t>
      </w:r>
      <w:r w:rsidR="0057241C" w:rsidRPr="00A7028D">
        <w:rPr>
          <w:i/>
        </w:rPr>
        <w:t>R</w:t>
      </w:r>
      <w:r w:rsidR="0057241C">
        <w:rPr>
          <w:i/>
        </w:rPr>
        <w:t>. v. Jordan</w:t>
      </w:r>
      <w:r w:rsidR="0057241C">
        <w:t xml:space="preserve">, 2016 SCC 27, [2016] 1 S.C.R. 631; </w:t>
      </w:r>
      <w:r w:rsidR="0057241C">
        <w:rPr>
          <w:i/>
        </w:rPr>
        <w:t>H.L. v. Canada (Attorney General)</w:t>
      </w:r>
      <w:r w:rsidR="0057241C">
        <w:t>, 2005 SCC 25, [2005] 1 S.C.R. 401;</w:t>
      </w:r>
      <w:r w:rsidR="00E338BA">
        <w:t xml:space="preserve"> </w:t>
      </w:r>
      <w:r w:rsidR="00E338BA">
        <w:rPr>
          <w:i/>
        </w:rPr>
        <w:t>Canada (Deputy Minister of National Revenue) v. Mattel Canada Inc.</w:t>
      </w:r>
      <w:r w:rsidR="00E338BA">
        <w:t>, 2001 SCC 36, [2001] 2 S.C.R. 100;</w:t>
      </w:r>
      <w:r w:rsidR="00434018">
        <w:t xml:space="preserve"> </w:t>
      </w:r>
      <w:proofErr w:type="spellStart"/>
      <w:r w:rsidR="00434018">
        <w:rPr>
          <w:i/>
        </w:rPr>
        <w:t>Chieu</w:t>
      </w:r>
      <w:proofErr w:type="spellEnd"/>
      <w:r w:rsidR="00434018">
        <w:rPr>
          <w:i/>
        </w:rPr>
        <w:t xml:space="preserve"> v. Canada (Minister of Citizenship and Immigration)</w:t>
      </w:r>
      <w:r w:rsidR="00434018">
        <w:t>, 2002 SCC 3, [2002] 1 S.C.R. 84;</w:t>
      </w:r>
      <w:r w:rsidR="0078752F">
        <w:t xml:space="preserve"> </w:t>
      </w:r>
      <w:r w:rsidR="0078752F">
        <w:rPr>
          <w:i/>
        </w:rPr>
        <w:t>Harvard College v. Canada (Commissioner of Patents)</w:t>
      </w:r>
      <w:r w:rsidR="0078752F">
        <w:t>, 2002 SCC 76, [2002] 4 S.C.R. 45;</w:t>
      </w:r>
      <w:r w:rsidR="00AB78C1">
        <w:t xml:space="preserve"> </w:t>
      </w:r>
      <w:r w:rsidR="00AB78C1">
        <w:rPr>
          <w:i/>
        </w:rPr>
        <w:t xml:space="preserve">R. v. </w:t>
      </w:r>
      <w:proofErr w:type="spellStart"/>
      <w:r w:rsidR="00AB78C1">
        <w:rPr>
          <w:i/>
        </w:rPr>
        <w:t>Salituro</w:t>
      </w:r>
      <w:proofErr w:type="spellEnd"/>
      <w:r w:rsidR="00AB78C1">
        <w:t>, [1991] 3 S.C.R. 654;</w:t>
      </w:r>
      <w:r w:rsidR="0095157A">
        <w:t xml:space="preserve"> </w:t>
      </w:r>
      <w:proofErr w:type="spellStart"/>
      <w:r w:rsidR="0095157A">
        <w:rPr>
          <w:i/>
        </w:rPr>
        <w:t>Friedmann</w:t>
      </w:r>
      <w:proofErr w:type="spellEnd"/>
      <w:r w:rsidR="0095157A">
        <w:rPr>
          <w:i/>
        </w:rPr>
        <w:t xml:space="preserve"> Equity Developments Inc. v. Final Note Ltd.</w:t>
      </w:r>
      <w:r w:rsidR="0095157A">
        <w:t>, 2000 SCC 34, [2000] 1 S.C.R. 842;</w:t>
      </w:r>
      <w:r w:rsidR="00615AD5">
        <w:t xml:space="preserve"> </w:t>
      </w:r>
      <w:r w:rsidR="00615AD5">
        <w:rPr>
          <w:i/>
        </w:rPr>
        <w:t>R. v. Kang</w:t>
      </w:r>
      <w:r w:rsidR="007C3A49">
        <w:rPr>
          <w:i/>
        </w:rPr>
        <w:noBreakHyphen/>
      </w:r>
      <w:r w:rsidR="00615AD5">
        <w:rPr>
          <w:i/>
        </w:rPr>
        <w:t>Brown</w:t>
      </w:r>
      <w:r w:rsidR="00615AD5">
        <w:t>, 2008 SCC 18, [2008] 1 S.C.R. 456;</w:t>
      </w:r>
      <w:r w:rsidR="00313EA1">
        <w:t xml:space="preserve"> </w:t>
      </w:r>
      <w:r w:rsidR="00313EA1">
        <w:rPr>
          <w:i/>
        </w:rPr>
        <w:t xml:space="preserve">Communications, Energy and </w:t>
      </w:r>
      <w:proofErr w:type="spellStart"/>
      <w:r w:rsidR="00313EA1">
        <w:rPr>
          <w:i/>
        </w:rPr>
        <w:t>Paperworkers</w:t>
      </w:r>
      <w:proofErr w:type="spellEnd"/>
      <w:r w:rsidR="00313EA1">
        <w:rPr>
          <w:i/>
        </w:rPr>
        <w:t xml:space="preserve"> Union of Canada, Local 30 v. Irving Pulp &amp; Paper, Ltd.</w:t>
      </w:r>
      <w:r w:rsidR="00313EA1">
        <w:t>, 2013 SCC 34, [2013] 2 S.C.R. 458;</w:t>
      </w:r>
      <w:r w:rsidR="00B958D5">
        <w:rPr>
          <w:i/>
        </w:rPr>
        <w:t xml:space="preserve"> Toronto (City) v. C.U.P.E., Local 79</w:t>
      </w:r>
      <w:r w:rsidR="00B958D5">
        <w:t>, 2003 SCC 63, [2003] 3 S.C.R. 77;</w:t>
      </w:r>
      <w:r w:rsidR="00E15177">
        <w:t xml:space="preserve"> </w:t>
      </w:r>
      <w:r w:rsidR="00E15177">
        <w:rPr>
          <w:i/>
        </w:rPr>
        <w:t xml:space="preserve">Volvo Canada Ltd. v. U.A.W., Local </w:t>
      </w:r>
      <w:r w:rsidR="00471539">
        <w:rPr>
          <w:i/>
        </w:rPr>
        <w:t>7</w:t>
      </w:r>
      <w:r w:rsidR="00E15177">
        <w:rPr>
          <w:i/>
        </w:rPr>
        <w:t>20</w:t>
      </w:r>
      <w:r w:rsidR="00E15177">
        <w:t>, [1980] 1 S.C.R. 178;</w:t>
      </w:r>
      <w:r w:rsidR="005C0A2D">
        <w:t xml:space="preserve"> </w:t>
      </w:r>
      <w:r w:rsidR="005C0A2D">
        <w:rPr>
          <w:i/>
        </w:rPr>
        <w:t>Mason v. Minister of Citizenship and Immigration</w:t>
      </w:r>
      <w:r w:rsidR="005C0A2D">
        <w:t>, 2019 FC 1251;</w:t>
      </w:r>
      <w:r w:rsidR="00110668">
        <w:t xml:space="preserve"> </w:t>
      </w:r>
      <w:r w:rsidR="00110668">
        <w:rPr>
          <w:i/>
        </w:rPr>
        <w:t>Williams Lake Indian Band v. Canada (Aboriginal Affairs and Northern Development)</w:t>
      </w:r>
      <w:r w:rsidR="00110668">
        <w:t>, 2018 SCC 4, [2018] 1 S.C.R. 83;</w:t>
      </w:r>
      <w:r w:rsidR="00310065">
        <w:t xml:space="preserve"> </w:t>
      </w:r>
      <w:r w:rsidR="00310065">
        <w:rPr>
          <w:i/>
        </w:rPr>
        <w:t xml:space="preserve">Mission Institution v. </w:t>
      </w:r>
      <w:proofErr w:type="spellStart"/>
      <w:r w:rsidR="00310065">
        <w:rPr>
          <w:i/>
        </w:rPr>
        <w:t>Khela</w:t>
      </w:r>
      <w:proofErr w:type="spellEnd"/>
      <w:r w:rsidR="00310065">
        <w:t>, 2014 SCC 24, [2014] 1 S.C.R. 502;</w:t>
      </w:r>
      <w:r w:rsidR="00635E08">
        <w:t xml:space="preserve"> </w:t>
      </w:r>
      <w:r w:rsidR="00635E08">
        <w:rPr>
          <w:i/>
        </w:rPr>
        <w:t>May v. Ferndale Institution</w:t>
      </w:r>
      <w:r w:rsidR="00635E08">
        <w:t>, 2005 SCC 82, [2005] 3 S.C.R. 809;</w:t>
      </w:r>
      <w:r w:rsidR="00B5600B">
        <w:t xml:space="preserve"> </w:t>
      </w:r>
      <w:r w:rsidR="00B5600B">
        <w:rPr>
          <w:i/>
        </w:rPr>
        <w:t>Northern Telecom Ltd. v. Communications Workers of Canada</w:t>
      </w:r>
      <w:r w:rsidR="00B5600B">
        <w:t>, [1980] 1 S.C.R. 115;</w:t>
      </w:r>
      <w:r w:rsidR="009C4B17">
        <w:t xml:space="preserve"> </w:t>
      </w:r>
      <w:r w:rsidR="009C4B17">
        <w:rPr>
          <w:i/>
        </w:rPr>
        <w:t>Catalyst Paper Cor</w:t>
      </w:r>
      <w:r w:rsidR="00CA0DCD">
        <w:rPr>
          <w:i/>
        </w:rPr>
        <w:t xml:space="preserve">p. </w:t>
      </w:r>
      <w:r w:rsidR="009C4B17">
        <w:rPr>
          <w:i/>
        </w:rPr>
        <w:t>v. North Cowichan (District)</w:t>
      </w:r>
      <w:r w:rsidR="009C4B17">
        <w:t>, 2012 SCC 2, [2012] 1 S.C.R. 5;</w:t>
      </w:r>
      <w:r w:rsidR="003467F3">
        <w:t xml:space="preserve"> </w:t>
      </w:r>
      <w:proofErr w:type="spellStart"/>
      <w:r w:rsidR="003467F3">
        <w:rPr>
          <w:i/>
        </w:rPr>
        <w:t>Blencoe</w:t>
      </w:r>
      <w:proofErr w:type="spellEnd"/>
      <w:r w:rsidR="003467F3">
        <w:rPr>
          <w:i/>
        </w:rPr>
        <w:t xml:space="preserve"> v. British Columbia (Human Rights Commission)</w:t>
      </w:r>
      <w:r w:rsidR="003467F3">
        <w:t xml:space="preserve">, 2000 SCC 44, [2000] 2 S.C.R. 307; </w:t>
      </w:r>
      <w:r w:rsidR="003467F3">
        <w:rPr>
          <w:i/>
        </w:rPr>
        <w:t>Suresh v. Canada (Minister of Citizenship and Immigration)</w:t>
      </w:r>
      <w:r w:rsidR="003467F3">
        <w:t>, 2002 SCC 1, [2002] 1 S.C.R. 3;</w:t>
      </w:r>
      <w:r w:rsidR="00775F4B">
        <w:t xml:space="preserve"> </w:t>
      </w:r>
      <w:r w:rsidR="00775F4B">
        <w:rPr>
          <w:i/>
        </w:rPr>
        <w:t>Baker v. Canada (Minister of Citizenship and Immigration)</w:t>
      </w:r>
      <w:r w:rsidR="00775F4B">
        <w:t>, [1999] 2 S.C.R. 817;</w:t>
      </w:r>
      <w:r w:rsidR="000D2DC3">
        <w:t xml:space="preserve"> </w:t>
      </w:r>
      <w:r w:rsidR="000D2DC3">
        <w:rPr>
          <w:i/>
        </w:rPr>
        <w:t>Construction Labour Relations v. Driver Iron Inc.</w:t>
      </w:r>
      <w:r w:rsidR="000D2DC3">
        <w:t>, 2012 SCC 65, [2012] 3 S.C.R. 405;</w:t>
      </w:r>
      <w:r w:rsidR="00CA6576">
        <w:rPr>
          <w:lang w:val="en-US"/>
        </w:rPr>
        <w:t xml:space="preserve"> </w:t>
      </w:r>
      <w:r w:rsidR="00CA6576">
        <w:rPr>
          <w:i/>
          <w:lang w:val="en-US"/>
        </w:rPr>
        <w:t>Service Employees</w:t>
      </w:r>
      <w:r w:rsidR="008D5707">
        <w:rPr>
          <w:i/>
          <w:lang w:val="en-US"/>
        </w:rPr>
        <w:t>’</w:t>
      </w:r>
      <w:r w:rsidR="00CA6576">
        <w:rPr>
          <w:i/>
          <w:lang w:val="en-US"/>
        </w:rPr>
        <w:t xml:space="preserve"> International Union, Local </w:t>
      </w:r>
      <w:r w:rsidR="007C3A49">
        <w:rPr>
          <w:i/>
          <w:lang w:val="en-US"/>
        </w:rPr>
        <w:t>No. </w:t>
      </w:r>
      <w:r w:rsidR="00CA6576">
        <w:rPr>
          <w:i/>
          <w:lang w:val="en-US"/>
        </w:rPr>
        <w:t xml:space="preserve">333 v. </w:t>
      </w:r>
      <w:proofErr w:type="spellStart"/>
      <w:r w:rsidR="00CA6576">
        <w:rPr>
          <w:i/>
          <w:lang w:val="en-US"/>
        </w:rPr>
        <w:t>Nipawin</w:t>
      </w:r>
      <w:proofErr w:type="spellEnd"/>
      <w:r w:rsidR="00CA6576">
        <w:rPr>
          <w:i/>
          <w:lang w:val="en-US"/>
        </w:rPr>
        <w:t xml:space="preserve"> District Staff Nurses Association</w:t>
      </w:r>
      <w:r w:rsidR="00CA6576">
        <w:rPr>
          <w:lang w:val="en-US"/>
        </w:rPr>
        <w:t>, [1975] 1 S.C.R. 382;</w:t>
      </w:r>
      <w:r w:rsidR="007B41EE">
        <w:rPr>
          <w:lang w:val="en-US"/>
        </w:rPr>
        <w:t xml:space="preserve"> </w:t>
      </w:r>
      <w:r w:rsidR="007B41EE">
        <w:rPr>
          <w:i/>
          <w:lang w:val="en-US"/>
        </w:rPr>
        <w:t xml:space="preserve">Delta Air Lines Inc. v. </w:t>
      </w:r>
      <w:proofErr w:type="spellStart"/>
      <w:r w:rsidR="007B41EE" w:rsidRPr="007B41EE">
        <w:rPr>
          <w:i/>
          <w:lang w:val="en-US"/>
        </w:rPr>
        <w:lastRenderedPageBreak/>
        <w:t>Lukács</w:t>
      </w:r>
      <w:proofErr w:type="spellEnd"/>
      <w:r w:rsidR="007B41EE">
        <w:rPr>
          <w:lang w:val="en-US"/>
        </w:rPr>
        <w:t>, 2018 SCC 2, [2018] 1 S.C.R. 6;</w:t>
      </w:r>
      <w:r w:rsidR="000E436C">
        <w:rPr>
          <w:lang w:val="en-US"/>
        </w:rPr>
        <w:t xml:space="preserve"> </w:t>
      </w:r>
      <w:r w:rsidR="000E436C">
        <w:rPr>
          <w:i/>
          <w:lang w:val="en-US"/>
        </w:rPr>
        <w:t xml:space="preserve">Mills v. Workplace Safety and Insurance Appeals </w:t>
      </w:r>
      <w:r w:rsidR="000E436C" w:rsidRPr="00DE0697">
        <w:rPr>
          <w:i/>
          <w:lang w:val="en-US"/>
        </w:rPr>
        <w:t>Tribunal (Ont.)</w:t>
      </w:r>
      <w:r w:rsidR="000E436C" w:rsidRPr="00DE0697">
        <w:rPr>
          <w:lang w:val="en-US"/>
        </w:rPr>
        <w:t>,</w:t>
      </w:r>
      <w:r w:rsidR="000E436C">
        <w:rPr>
          <w:lang w:val="en-US"/>
        </w:rPr>
        <w:t xml:space="preserve"> 2008 ONCA 436, 237 O.A.C. 71; </w:t>
      </w:r>
      <w:r w:rsidR="000E436C">
        <w:rPr>
          <w:i/>
          <w:lang w:val="en-US"/>
        </w:rPr>
        <w:t>Celgene Cor</w:t>
      </w:r>
      <w:r w:rsidR="00CA0DCD">
        <w:rPr>
          <w:i/>
          <w:lang w:val="en-US"/>
        </w:rPr>
        <w:t xml:space="preserve">p. </w:t>
      </w:r>
      <w:r w:rsidR="000E436C">
        <w:rPr>
          <w:i/>
          <w:lang w:val="en-US"/>
        </w:rPr>
        <w:t>v. Canada (Attorney General)</w:t>
      </w:r>
      <w:r w:rsidR="000E436C">
        <w:rPr>
          <w:lang w:val="en-US"/>
        </w:rPr>
        <w:t>, 2011 SCC 1, [2011] 1 S.C.R. 3;</w:t>
      </w:r>
      <w:r w:rsidR="003331BF">
        <w:rPr>
          <w:lang w:val="en-US"/>
        </w:rPr>
        <w:t xml:space="preserve"> </w:t>
      </w:r>
      <w:r w:rsidR="003331BF">
        <w:rPr>
          <w:i/>
          <w:lang w:val="en-US"/>
        </w:rPr>
        <w:t>Halifax (Regional Municipality) v. Canada (Public Works and Government Services)</w:t>
      </w:r>
      <w:r w:rsidR="003331BF">
        <w:rPr>
          <w:lang w:val="en-US"/>
        </w:rPr>
        <w:t>, 2012 SCC 29, [2012] 2 S.C.R. 108;</w:t>
      </w:r>
      <w:r w:rsidR="00D359AE">
        <w:rPr>
          <w:lang w:val="en-US"/>
        </w:rPr>
        <w:t xml:space="preserve"> </w:t>
      </w:r>
      <w:proofErr w:type="spellStart"/>
      <w:r w:rsidR="00D359AE">
        <w:rPr>
          <w:i/>
          <w:lang w:val="en-US"/>
        </w:rPr>
        <w:t>Agraira</w:t>
      </w:r>
      <w:proofErr w:type="spellEnd"/>
      <w:r w:rsidR="00D359AE">
        <w:rPr>
          <w:i/>
          <w:lang w:val="en-US"/>
        </w:rPr>
        <w:t xml:space="preserve"> v. Canada (Public Safety and Emergency Preparedness)</w:t>
      </w:r>
      <w:r w:rsidR="00D359AE">
        <w:rPr>
          <w:lang w:val="en-US"/>
        </w:rPr>
        <w:t>, 2013 SCC 36, [2013] 2 S.C.R. 559;</w:t>
      </w:r>
      <w:r w:rsidR="00FF46F6">
        <w:rPr>
          <w:lang w:val="en-US"/>
        </w:rPr>
        <w:t xml:space="preserve"> </w:t>
      </w:r>
      <w:r w:rsidR="00FF46F6">
        <w:rPr>
          <w:i/>
          <w:lang w:val="en-US"/>
        </w:rPr>
        <w:t>Law Society of British Columbia v. Trinity Western University</w:t>
      </w:r>
      <w:r w:rsidR="00FF46F6">
        <w:rPr>
          <w:lang w:val="en-US"/>
        </w:rPr>
        <w:t>, 2018 SCC 32, [2018] 2 S.C.R. 293;</w:t>
      </w:r>
      <w:r w:rsidR="008A690B">
        <w:rPr>
          <w:lang w:val="en-US"/>
        </w:rPr>
        <w:t xml:space="preserve"> </w:t>
      </w:r>
      <w:r w:rsidR="008A690B">
        <w:rPr>
          <w:i/>
          <w:lang w:val="en-US"/>
        </w:rPr>
        <w:t xml:space="preserve">Brossard (Town) v. Quebec (Commission des droits de la </w:t>
      </w:r>
      <w:proofErr w:type="spellStart"/>
      <w:r w:rsidR="008A690B">
        <w:rPr>
          <w:i/>
          <w:lang w:val="en-US"/>
        </w:rPr>
        <w:t>personne</w:t>
      </w:r>
      <w:proofErr w:type="spellEnd"/>
      <w:r w:rsidR="008A690B">
        <w:rPr>
          <w:i/>
          <w:lang w:val="en-US"/>
        </w:rPr>
        <w:t>)</w:t>
      </w:r>
      <w:r w:rsidR="00060C21">
        <w:rPr>
          <w:lang w:val="en-US"/>
        </w:rPr>
        <w:t>,</w:t>
      </w:r>
      <w:r w:rsidR="008A690B">
        <w:rPr>
          <w:lang w:val="en-US"/>
        </w:rPr>
        <w:t xml:space="preserve"> [1988] 2 S.C.R. 279;</w:t>
      </w:r>
      <w:r w:rsidR="00D805D5">
        <w:rPr>
          <w:lang w:val="en-US"/>
        </w:rPr>
        <w:t xml:space="preserve"> </w:t>
      </w:r>
      <w:proofErr w:type="spellStart"/>
      <w:r w:rsidR="00D805D5">
        <w:rPr>
          <w:i/>
          <w:lang w:val="en-US"/>
        </w:rPr>
        <w:t>Medovarski</w:t>
      </w:r>
      <w:proofErr w:type="spellEnd"/>
      <w:r w:rsidR="00D805D5">
        <w:rPr>
          <w:i/>
          <w:lang w:val="en-US"/>
        </w:rPr>
        <w:t xml:space="preserve"> v. Canada (Minister of Citizenship and Immigration)</w:t>
      </w:r>
      <w:r w:rsidR="00D805D5">
        <w:rPr>
          <w:lang w:val="en-US"/>
        </w:rPr>
        <w:t>, 2005 SCC 51, [2005] 2 S.C.R. 539;</w:t>
      </w:r>
      <w:r w:rsidR="00820002">
        <w:rPr>
          <w:lang w:val="en-US"/>
        </w:rPr>
        <w:t xml:space="preserve"> </w:t>
      </w:r>
      <w:r w:rsidR="00820002">
        <w:rPr>
          <w:i/>
          <w:lang w:val="en-US"/>
        </w:rPr>
        <w:t>Greco v. Holy See (State of the Vatican City)</w:t>
      </w:r>
      <w:r w:rsidR="00820002">
        <w:rPr>
          <w:lang w:val="en-US"/>
        </w:rPr>
        <w:t xml:space="preserve">, [1999] O.J. </w:t>
      </w:r>
      <w:r w:rsidR="007C3A49">
        <w:rPr>
          <w:lang w:val="en-US"/>
        </w:rPr>
        <w:t>No. </w:t>
      </w:r>
      <w:r w:rsidR="00820002">
        <w:rPr>
          <w:lang w:val="en-US"/>
        </w:rPr>
        <w:t xml:space="preserve">2467 (QL); </w:t>
      </w:r>
      <w:r w:rsidR="00820002">
        <w:rPr>
          <w:i/>
          <w:lang w:val="en-US"/>
        </w:rPr>
        <w:t xml:space="preserve">R. v. </w:t>
      </w:r>
      <w:proofErr w:type="spellStart"/>
      <w:r w:rsidR="00820002">
        <w:rPr>
          <w:i/>
          <w:lang w:val="en-US"/>
        </w:rPr>
        <w:t>Bonadie</w:t>
      </w:r>
      <w:proofErr w:type="spellEnd"/>
      <w:r w:rsidR="00820002">
        <w:rPr>
          <w:lang w:val="en-US"/>
        </w:rPr>
        <w:t xml:space="preserve"> (1996), 109 C.C.C. (3d) 356;</w:t>
      </w:r>
      <w:r w:rsidR="00F21151">
        <w:rPr>
          <w:lang w:val="en-US"/>
        </w:rPr>
        <w:t xml:space="preserve"> </w:t>
      </w:r>
      <w:r w:rsidR="00F21151">
        <w:rPr>
          <w:i/>
          <w:lang w:val="en-US"/>
        </w:rPr>
        <w:t>Al</w:t>
      </w:r>
      <w:r w:rsidR="007C3A49">
        <w:rPr>
          <w:i/>
          <w:lang w:val="en-US"/>
        </w:rPr>
        <w:noBreakHyphen/>
      </w:r>
      <w:proofErr w:type="spellStart"/>
      <w:r w:rsidR="00F21151">
        <w:rPr>
          <w:i/>
          <w:lang w:val="en-US"/>
        </w:rPr>
        <w:t>Ghamdi</w:t>
      </w:r>
      <w:proofErr w:type="spellEnd"/>
      <w:r w:rsidR="00F21151">
        <w:rPr>
          <w:i/>
          <w:lang w:val="en-US"/>
        </w:rPr>
        <w:t xml:space="preserve"> v. Canada (Minister of Foreign Affairs </w:t>
      </w:r>
      <w:r w:rsidR="006F7ED1">
        <w:rPr>
          <w:i/>
          <w:lang w:val="en-US"/>
        </w:rPr>
        <w:t>and</w:t>
      </w:r>
      <w:r w:rsidR="00F21151">
        <w:rPr>
          <w:i/>
          <w:lang w:val="en-US"/>
        </w:rPr>
        <w:t xml:space="preserve"> International Trade)</w:t>
      </w:r>
      <w:r w:rsidR="00F21151">
        <w:rPr>
          <w:lang w:val="en-US"/>
        </w:rPr>
        <w:t xml:space="preserve">, 2007 FC 559, 64 </w:t>
      </w:r>
      <w:proofErr w:type="spellStart"/>
      <w:r w:rsidR="00F21151">
        <w:rPr>
          <w:lang w:val="en-US"/>
        </w:rPr>
        <w:t>Imm</w:t>
      </w:r>
      <w:proofErr w:type="spellEnd"/>
      <w:r w:rsidR="00F21151">
        <w:rPr>
          <w:lang w:val="en-US"/>
        </w:rPr>
        <w:t xml:space="preserve">. </w:t>
      </w:r>
      <w:r w:rsidR="0096760A">
        <w:rPr>
          <w:lang w:val="en-US"/>
        </w:rPr>
        <w:t>L.R. (3d) 67.</w:t>
      </w:r>
    </w:p>
    <w:p w:rsidR="003B215F" w:rsidRDefault="002E6705" w:rsidP="00E912BB">
      <w:pPr>
        <w:pStyle w:val="SCCNormalDoubleSpacing"/>
        <w:spacing w:after="720" w:line="240" w:lineRule="auto"/>
        <w:rPr>
          <w:b/>
        </w:rPr>
      </w:pPr>
      <w:r w:rsidRPr="00314E01">
        <w:rPr>
          <w:b/>
        </w:rPr>
        <w:t>Statutes and Regulations Cite</w:t>
      </w:r>
      <w:r w:rsidR="00A41805">
        <w:rPr>
          <w:b/>
        </w:rPr>
        <w:t>d</w:t>
      </w:r>
    </w:p>
    <w:p w:rsidR="00890B06" w:rsidRPr="00890B06" w:rsidRDefault="00890B06" w:rsidP="008A142E">
      <w:pPr>
        <w:pStyle w:val="SCCNormalDoubleSpacing"/>
        <w:spacing w:after="240" w:line="240" w:lineRule="auto"/>
        <w:ind w:left="539" w:hanging="539"/>
        <w:rPr>
          <w:i/>
          <w:szCs w:val="24"/>
        </w:rPr>
      </w:pPr>
      <w:r w:rsidRPr="008A142E">
        <w:rPr>
          <w:rStyle w:val="solexhl"/>
          <w:rFonts w:eastAsiaTheme="majorEastAsia"/>
          <w:i/>
          <w:iCs/>
          <w:color w:val="000000"/>
        </w:rPr>
        <w:t>Administrative</w:t>
      </w:r>
      <w:r w:rsidRPr="00890B06">
        <w:rPr>
          <w:i/>
          <w:lang w:val="en-US"/>
        </w:rPr>
        <w:t xml:space="preserve"> Tribunals Act</w:t>
      </w:r>
      <w:r w:rsidR="00D07949">
        <w:rPr>
          <w:lang w:val="en-US"/>
        </w:rPr>
        <w:t>, S.B.C. 2004, c. </w:t>
      </w:r>
      <w:r w:rsidRPr="00890B06">
        <w:rPr>
          <w:lang w:val="en-US"/>
        </w:rPr>
        <w:t xml:space="preserve">45, </w:t>
      </w:r>
      <w:r w:rsidR="007C3A49">
        <w:rPr>
          <w:lang w:val="en-US"/>
        </w:rPr>
        <w:t>ss. </w:t>
      </w:r>
      <w:r w:rsidRPr="00890B06">
        <w:rPr>
          <w:lang w:val="en-US"/>
        </w:rPr>
        <w:t>58, 59.</w:t>
      </w:r>
    </w:p>
    <w:p w:rsidR="00BE321E" w:rsidRDefault="00BE321E" w:rsidP="008A142E">
      <w:pPr>
        <w:pStyle w:val="SCCNormalDoubleSpacing"/>
        <w:spacing w:after="240" w:line="240" w:lineRule="auto"/>
        <w:ind w:left="539" w:hanging="539"/>
        <w:rPr>
          <w:szCs w:val="24"/>
        </w:rPr>
      </w:pPr>
      <w:r>
        <w:rPr>
          <w:i/>
          <w:szCs w:val="24"/>
        </w:rPr>
        <w:t xml:space="preserve">An </w:t>
      </w:r>
      <w:r w:rsidRPr="008A142E">
        <w:rPr>
          <w:rStyle w:val="solexhl"/>
          <w:rFonts w:eastAsiaTheme="majorEastAsia"/>
          <w:i/>
          <w:iCs/>
          <w:color w:val="000000"/>
        </w:rPr>
        <w:t>Act</w:t>
      </w:r>
      <w:r>
        <w:rPr>
          <w:i/>
          <w:szCs w:val="24"/>
        </w:rPr>
        <w:t xml:space="preserve"> mainly to promote the efficiency of penal justice and to establish the terms governing the intervention of the Court of Québec with respect to applications for appeal</w:t>
      </w:r>
      <w:r w:rsidRPr="002F79E7">
        <w:rPr>
          <w:szCs w:val="24"/>
        </w:rPr>
        <w:t>, Bill 32, 1st</w:t>
      </w:r>
      <w:r>
        <w:rPr>
          <w:szCs w:val="24"/>
        </w:rPr>
        <w:t xml:space="preserve"> Sess., 42</w:t>
      </w:r>
      <w:r w:rsidRPr="00BE321E">
        <w:rPr>
          <w:szCs w:val="24"/>
        </w:rPr>
        <w:t>nd</w:t>
      </w:r>
      <w:r>
        <w:rPr>
          <w:szCs w:val="24"/>
        </w:rPr>
        <w:t xml:space="preserve"> Leg., Quebec, 2019.</w:t>
      </w:r>
    </w:p>
    <w:p w:rsidR="008A2C7B" w:rsidRPr="008A2C7B" w:rsidRDefault="008A2C7B" w:rsidP="008A142E">
      <w:pPr>
        <w:pStyle w:val="SCCNormalDoubleSpacing"/>
        <w:spacing w:after="240" w:line="240" w:lineRule="auto"/>
        <w:ind w:left="539" w:hanging="539"/>
        <w:rPr>
          <w:szCs w:val="24"/>
        </w:rPr>
      </w:pPr>
      <w:r>
        <w:rPr>
          <w:i/>
          <w:szCs w:val="24"/>
        </w:rPr>
        <w:t xml:space="preserve">Canadian </w:t>
      </w:r>
      <w:r w:rsidRPr="008A142E">
        <w:rPr>
          <w:i/>
          <w:lang w:val="en-US"/>
        </w:rPr>
        <w:t>Charter</w:t>
      </w:r>
      <w:r>
        <w:rPr>
          <w:i/>
          <w:szCs w:val="24"/>
        </w:rPr>
        <w:t xml:space="preserve"> of Rights and Freedoms</w:t>
      </w:r>
      <w:r>
        <w:rPr>
          <w:szCs w:val="24"/>
        </w:rPr>
        <w:t>, s.</w:t>
      </w:r>
      <w:r w:rsidR="00D07949">
        <w:rPr>
          <w:szCs w:val="24"/>
        </w:rPr>
        <w:t> </w:t>
      </w:r>
      <w:r>
        <w:rPr>
          <w:szCs w:val="24"/>
        </w:rPr>
        <w:t>1.</w:t>
      </w:r>
    </w:p>
    <w:p w:rsidR="00890B06" w:rsidRPr="00890B06" w:rsidRDefault="00890B06" w:rsidP="008A142E">
      <w:pPr>
        <w:pStyle w:val="SCCNormalDoubleSpacing"/>
        <w:spacing w:after="240" w:line="240" w:lineRule="auto"/>
        <w:ind w:left="539" w:hanging="539"/>
        <w:rPr>
          <w:i/>
          <w:szCs w:val="24"/>
        </w:rPr>
      </w:pPr>
      <w:r w:rsidRPr="00890B06">
        <w:rPr>
          <w:i/>
          <w:szCs w:val="24"/>
        </w:rPr>
        <w:t xml:space="preserve">Canadian </w:t>
      </w:r>
      <w:r w:rsidRPr="008A142E">
        <w:rPr>
          <w:i/>
          <w:lang w:val="en-US"/>
        </w:rPr>
        <w:t>Citizenship</w:t>
      </w:r>
      <w:r w:rsidRPr="00890B06">
        <w:rPr>
          <w:i/>
          <w:szCs w:val="24"/>
        </w:rPr>
        <w:t xml:space="preserve"> Act</w:t>
      </w:r>
      <w:r w:rsidR="00D07949">
        <w:rPr>
          <w:szCs w:val="24"/>
        </w:rPr>
        <w:t>, R.S.C. 1970, c. </w:t>
      </w:r>
      <w:r w:rsidRPr="00890B06">
        <w:rPr>
          <w:szCs w:val="24"/>
        </w:rPr>
        <w:t>C</w:t>
      </w:r>
      <w:r w:rsidR="007C3A49">
        <w:rPr>
          <w:szCs w:val="24"/>
        </w:rPr>
        <w:noBreakHyphen/>
      </w:r>
      <w:r w:rsidR="00D07949">
        <w:rPr>
          <w:szCs w:val="24"/>
        </w:rPr>
        <w:t>19, s. </w:t>
      </w:r>
      <w:r w:rsidRPr="00890B06">
        <w:rPr>
          <w:szCs w:val="24"/>
        </w:rPr>
        <w:t>5(3).</w:t>
      </w:r>
    </w:p>
    <w:p w:rsidR="00890B06" w:rsidRPr="00890B06" w:rsidRDefault="00890B06" w:rsidP="008A142E">
      <w:pPr>
        <w:pStyle w:val="SCCNormalDoubleSpacing"/>
        <w:spacing w:after="240" w:line="240" w:lineRule="auto"/>
        <w:ind w:left="539" w:hanging="539"/>
        <w:rPr>
          <w:szCs w:val="24"/>
          <w:lang w:val="en-US"/>
        </w:rPr>
      </w:pPr>
      <w:r w:rsidRPr="008A142E">
        <w:rPr>
          <w:i/>
          <w:lang w:val="en-US"/>
        </w:rPr>
        <w:t>Citizenship</w:t>
      </w:r>
      <w:r w:rsidRPr="00890B06">
        <w:rPr>
          <w:i/>
          <w:szCs w:val="24"/>
        </w:rPr>
        <w:t xml:space="preserve"> Act</w:t>
      </w:r>
      <w:r w:rsidRPr="00890B06">
        <w:rPr>
          <w:szCs w:val="24"/>
        </w:rPr>
        <w:t>,</w:t>
      </w:r>
      <w:r w:rsidRPr="00890B06">
        <w:rPr>
          <w:i/>
          <w:szCs w:val="24"/>
        </w:rPr>
        <w:t xml:space="preserve"> </w:t>
      </w:r>
      <w:r w:rsidRPr="00890B06">
        <w:rPr>
          <w:szCs w:val="24"/>
        </w:rPr>
        <w:t>R.S.C. 1985, c. C</w:t>
      </w:r>
      <w:r w:rsidR="007C3A49">
        <w:rPr>
          <w:szCs w:val="24"/>
        </w:rPr>
        <w:noBreakHyphen/>
      </w:r>
      <w:r w:rsidRPr="00890B06">
        <w:rPr>
          <w:szCs w:val="24"/>
        </w:rPr>
        <w:t xml:space="preserve">29, </w:t>
      </w:r>
      <w:r w:rsidR="007C3A49">
        <w:rPr>
          <w:szCs w:val="24"/>
        </w:rPr>
        <w:t>ss. </w:t>
      </w:r>
      <w:r w:rsidRPr="00890B06">
        <w:rPr>
          <w:szCs w:val="24"/>
        </w:rPr>
        <w:t xml:space="preserve">3, 10, </w:t>
      </w:r>
      <w:r w:rsidR="00DD47C4">
        <w:rPr>
          <w:szCs w:val="24"/>
        </w:rPr>
        <w:t>2</w:t>
      </w:r>
      <w:r w:rsidRPr="00890B06">
        <w:rPr>
          <w:szCs w:val="24"/>
        </w:rPr>
        <w:t>2.1 to 22.4.</w:t>
      </w:r>
    </w:p>
    <w:p w:rsidR="00890B06" w:rsidRDefault="00890B06" w:rsidP="008A142E">
      <w:pPr>
        <w:pStyle w:val="SCCNormalDoubleSpacing"/>
        <w:spacing w:after="240" w:line="240" w:lineRule="auto"/>
        <w:ind w:left="539" w:hanging="539"/>
        <w:rPr>
          <w:szCs w:val="24"/>
        </w:rPr>
      </w:pPr>
      <w:r w:rsidRPr="008A142E">
        <w:rPr>
          <w:i/>
          <w:lang w:val="en-US"/>
        </w:rPr>
        <w:t>Citizenship</w:t>
      </w:r>
      <w:r w:rsidRPr="00890B06">
        <w:rPr>
          <w:i/>
          <w:szCs w:val="24"/>
        </w:rPr>
        <w:t xml:space="preserve"> Regulations</w:t>
      </w:r>
      <w:r w:rsidRPr="00890B06">
        <w:rPr>
          <w:szCs w:val="24"/>
        </w:rPr>
        <w:t>, SOR/93</w:t>
      </w:r>
      <w:r w:rsidR="007C3A49">
        <w:rPr>
          <w:szCs w:val="24"/>
        </w:rPr>
        <w:noBreakHyphen/>
      </w:r>
      <w:r w:rsidRPr="00890B06">
        <w:rPr>
          <w:szCs w:val="24"/>
        </w:rPr>
        <w:t>246, s.</w:t>
      </w:r>
      <w:r w:rsidR="00D07949">
        <w:rPr>
          <w:szCs w:val="24"/>
        </w:rPr>
        <w:t> </w:t>
      </w:r>
      <w:r w:rsidRPr="00890B06">
        <w:rPr>
          <w:szCs w:val="24"/>
        </w:rPr>
        <w:t>26.</w:t>
      </w:r>
    </w:p>
    <w:p w:rsidR="002E3715" w:rsidRDefault="002E3715" w:rsidP="008A142E">
      <w:pPr>
        <w:pStyle w:val="SCCNormalDoubleSpacing"/>
        <w:spacing w:after="240" w:line="240" w:lineRule="auto"/>
        <w:ind w:left="539" w:hanging="539"/>
        <w:rPr>
          <w:szCs w:val="24"/>
        </w:rPr>
      </w:pPr>
      <w:proofErr w:type="spellStart"/>
      <w:r w:rsidRPr="00F160E4">
        <w:rPr>
          <w:i/>
          <w:szCs w:val="24"/>
        </w:rPr>
        <w:t>Const</w:t>
      </w:r>
      <w:proofErr w:type="spellEnd"/>
      <w:r w:rsidRPr="008A142E">
        <w:rPr>
          <w:i/>
          <w:lang w:val="en-US"/>
        </w:rPr>
        <w:t>it</w:t>
      </w:r>
      <w:proofErr w:type="spellStart"/>
      <w:r w:rsidRPr="00F160E4">
        <w:rPr>
          <w:i/>
          <w:szCs w:val="24"/>
        </w:rPr>
        <w:t>ution</w:t>
      </w:r>
      <w:proofErr w:type="spellEnd"/>
      <w:r w:rsidRPr="00F160E4">
        <w:rPr>
          <w:i/>
          <w:szCs w:val="24"/>
        </w:rPr>
        <w:t xml:space="preserve"> </w:t>
      </w:r>
      <w:r w:rsidRPr="008A142E">
        <w:rPr>
          <w:i/>
          <w:lang w:val="en-US"/>
        </w:rPr>
        <w:t>Act</w:t>
      </w:r>
      <w:r w:rsidRPr="00F160E4">
        <w:rPr>
          <w:i/>
          <w:szCs w:val="24"/>
        </w:rPr>
        <w:t>, 1867</w:t>
      </w:r>
      <w:r w:rsidR="00D07949">
        <w:rPr>
          <w:szCs w:val="24"/>
        </w:rPr>
        <w:t>, s. </w:t>
      </w:r>
      <w:r w:rsidRPr="00F160E4">
        <w:rPr>
          <w:szCs w:val="24"/>
        </w:rPr>
        <w:t>96.</w:t>
      </w:r>
    </w:p>
    <w:p w:rsidR="00BC4483" w:rsidRDefault="00BC4483" w:rsidP="008A142E">
      <w:pPr>
        <w:pStyle w:val="SCCNormalDoubleSpacing"/>
        <w:spacing w:after="240" w:line="240" w:lineRule="auto"/>
        <w:ind w:left="539" w:hanging="539"/>
        <w:rPr>
          <w:szCs w:val="24"/>
        </w:rPr>
      </w:pPr>
      <w:proofErr w:type="spellStart"/>
      <w:r w:rsidRPr="00F160E4">
        <w:rPr>
          <w:i/>
          <w:szCs w:val="24"/>
        </w:rPr>
        <w:t>Const</w:t>
      </w:r>
      <w:proofErr w:type="spellEnd"/>
      <w:r w:rsidRPr="008A142E">
        <w:rPr>
          <w:i/>
          <w:lang w:val="en-US"/>
        </w:rPr>
        <w:t>it</w:t>
      </w:r>
      <w:proofErr w:type="spellStart"/>
      <w:r w:rsidRPr="00F160E4">
        <w:rPr>
          <w:i/>
          <w:szCs w:val="24"/>
        </w:rPr>
        <w:t>ution</w:t>
      </w:r>
      <w:proofErr w:type="spellEnd"/>
      <w:r w:rsidRPr="00F160E4">
        <w:rPr>
          <w:i/>
          <w:szCs w:val="24"/>
        </w:rPr>
        <w:t xml:space="preserve"> </w:t>
      </w:r>
      <w:r w:rsidRPr="008A142E">
        <w:rPr>
          <w:i/>
          <w:lang w:val="en-US"/>
        </w:rPr>
        <w:t>Act</w:t>
      </w:r>
      <w:r>
        <w:rPr>
          <w:i/>
          <w:szCs w:val="24"/>
        </w:rPr>
        <w:t>, 1982</w:t>
      </w:r>
      <w:r>
        <w:rPr>
          <w:szCs w:val="24"/>
        </w:rPr>
        <w:t>, s. 35.</w:t>
      </w:r>
    </w:p>
    <w:p w:rsidR="00890B06" w:rsidRPr="00890B06" w:rsidRDefault="00890B06" w:rsidP="008A142E">
      <w:pPr>
        <w:pStyle w:val="SCCNormalDoubleSpacing"/>
        <w:spacing w:after="240" w:line="240" w:lineRule="auto"/>
        <w:ind w:left="539" w:hanging="539"/>
        <w:rPr>
          <w:szCs w:val="24"/>
          <w:lang w:val="en-US"/>
        </w:rPr>
      </w:pPr>
      <w:r w:rsidRPr="008A142E">
        <w:rPr>
          <w:i/>
          <w:lang w:val="en-US"/>
        </w:rPr>
        <w:lastRenderedPageBreak/>
        <w:t>Federal</w:t>
      </w:r>
      <w:r w:rsidRPr="00890B06">
        <w:rPr>
          <w:i/>
        </w:rPr>
        <w:t xml:space="preserve"> Courts Act</w:t>
      </w:r>
      <w:r w:rsidR="00D07949">
        <w:t>, R.S.C. 1985, c. </w:t>
      </w:r>
      <w:r w:rsidRPr="00890B06">
        <w:t>F</w:t>
      </w:r>
      <w:r w:rsidR="007C3A49">
        <w:noBreakHyphen/>
      </w:r>
      <w:r w:rsidRPr="00890B06">
        <w:t xml:space="preserve">7, </w:t>
      </w:r>
      <w:r w:rsidR="007C3A49">
        <w:t>ss. </w:t>
      </w:r>
      <w:r w:rsidRPr="00890B06">
        <w:t xml:space="preserve">18 to 18.2, 18.4, </w:t>
      </w:r>
      <w:r w:rsidR="002E3715">
        <w:t xml:space="preserve">27, </w:t>
      </w:r>
      <w:r w:rsidRPr="00890B06">
        <w:t>28.</w:t>
      </w:r>
    </w:p>
    <w:p w:rsidR="00890B06" w:rsidRPr="00890B06" w:rsidRDefault="00890B06" w:rsidP="008A142E">
      <w:pPr>
        <w:pStyle w:val="SCCNormalDoubleSpacing"/>
        <w:spacing w:after="240" w:line="240" w:lineRule="auto"/>
        <w:ind w:left="539" w:hanging="539"/>
        <w:rPr>
          <w:i/>
          <w:szCs w:val="24"/>
          <w:lang w:val="en-US" w:eastAsia="en-US"/>
        </w:rPr>
      </w:pPr>
      <w:r w:rsidRPr="008A142E">
        <w:rPr>
          <w:i/>
          <w:lang w:val="en-US"/>
        </w:rPr>
        <w:t>Foreign</w:t>
      </w:r>
      <w:r w:rsidRPr="00F160E4">
        <w:rPr>
          <w:i/>
          <w:szCs w:val="24"/>
          <w:lang w:val="en-US" w:eastAsia="en-US"/>
        </w:rPr>
        <w:t xml:space="preserve"> Missions and International Organizations Act</w:t>
      </w:r>
      <w:r w:rsidR="00D07949">
        <w:rPr>
          <w:szCs w:val="24"/>
          <w:lang w:val="en-US" w:eastAsia="en-US"/>
        </w:rPr>
        <w:t>, S.C. 1991, c. </w:t>
      </w:r>
      <w:r w:rsidRPr="00F160E4">
        <w:rPr>
          <w:szCs w:val="24"/>
          <w:lang w:val="en-US" w:eastAsia="en-US"/>
        </w:rPr>
        <w:t xml:space="preserve">41, </w:t>
      </w:r>
      <w:r w:rsidR="007C3A49">
        <w:rPr>
          <w:szCs w:val="24"/>
          <w:lang w:val="en-US" w:eastAsia="en-US"/>
        </w:rPr>
        <w:t>ss. </w:t>
      </w:r>
      <w:r w:rsidRPr="00F160E4">
        <w:rPr>
          <w:szCs w:val="24"/>
          <w:lang w:val="en-US" w:eastAsia="en-US"/>
        </w:rPr>
        <w:t xml:space="preserve">3, 4, </w:t>
      </w:r>
      <w:proofErr w:type="spellStart"/>
      <w:r w:rsidRPr="00F160E4">
        <w:rPr>
          <w:szCs w:val="24"/>
          <w:lang w:val="en-US" w:eastAsia="en-US"/>
        </w:rPr>
        <w:t>Sch</w:t>
      </w:r>
      <w:r w:rsidR="00D97134" w:rsidRPr="00F160E4">
        <w:rPr>
          <w:szCs w:val="24"/>
          <w:lang w:val="en-US" w:eastAsia="en-US"/>
        </w:rPr>
        <w:t>s</w:t>
      </w:r>
      <w:proofErr w:type="spellEnd"/>
      <w:r w:rsidRPr="00F160E4">
        <w:rPr>
          <w:szCs w:val="24"/>
          <w:lang w:val="en-US" w:eastAsia="en-US"/>
        </w:rPr>
        <w:t xml:space="preserve">. </w:t>
      </w:r>
      <w:r w:rsidR="00431403" w:rsidRPr="00F160E4">
        <w:rPr>
          <w:szCs w:val="24"/>
          <w:lang w:val="en-US" w:eastAsia="en-US"/>
        </w:rPr>
        <w:t xml:space="preserve">I, </w:t>
      </w:r>
      <w:r w:rsidR="00680C0B">
        <w:rPr>
          <w:szCs w:val="24"/>
          <w:lang w:val="en-US" w:eastAsia="en-US"/>
        </w:rPr>
        <w:t>II, a</w:t>
      </w:r>
      <w:r w:rsidR="00D07949">
        <w:rPr>
          <w:szCs w:val="24"/>
          <w:lang w:val="en-US" w:eastAsia="en-US"/>
        </w:rPr>
        <w:t>rts. </w:t>
      </w:r>
      <w:r w:rsidRPr="00F160E4">
        <w:rPr>
          <w:szCs w:val="24"/>
          <w:lang w:val="en-US" w:eastAsia="en-US"/>
        </w:rPr>
        <w:t>1, 41, 43, 49, 53.</w:t>
      </w:r>
    </w:p>
    <w:p w:rsidR="00890B06" w:rsidRPr="00890B06" w:rsidRDefault="00890B06" w:rsidP="008A142E">
      <w:pPr>
        <w:pStyle w:val="SCCNormalDoubleSpacing"/>
        <w:spacing w:after="240" w:line="240" w:lineRule="auto"/>
        <w:ind w:left="539" w:hanging="539"/>
        <w:rPr>
          <w:rFonts w:eastAsia="Calibri"/>
          <w:szCs w:val="24"/>
          <w:lang w:val="en-US" w:eastAsia="en-US"/>
        </w:rPr>
      </w:pPr>
      <w:r w:rsidRPr="008A142E">
        <w:rPr>
          <w:i/>
          <w:lang w:val="en-US"/>
        </w:rPr>
        <w:t>Human</w:t>
      </w:r>
      <w:r w:rsidRPr="00890B06">
        <w:rPr>
          <w:rFonts w:eastAsia="Calibri"/>
          <w:i/>
          <w:szCs w:val="24"/>
          <w:lang w:val="en-US" w:eastAsia="en-US"/>
        </w:rPr>
        <w:t xml:space="preserve"> Rights Code</w:t>
      </w:r>
      <w:r w:rsidR="00D07949">
        <w:rPr>
          <w:rFonts w:eastAsia="Calibri"/>
          <w:szCs w:val="24"/>
          <w:lang w:val="en-US" w:eastAsia="en-US"/>
        </w:rPr>
        <w:t>, R.S.B.C. 1996, c. 210, s. </w:t>
      </w:r>
      <w:r w:rsidRPr="00890B06">
        <w:rPr>
          <w:rFonts w:eastAsia="Calibri"/>
          <w:szCs w:val="24"/>
          <w:lang w:val="en-US" w:eastAsia="en-US"/>
        </w:rPr>
        <w:t>32.</w:t>
      </w:r>
    </w:p>
    <w:p w:rsidR="00890B06" w:rsidRPr="00890B06" w:rsidRDefault="00890B06" w:rsidP="008A142E">
      <w:pPr>
        <w:pStyle w:val="SCCNormalDoubleSpacing"/>
        <w:spacing w:after="240" w:line="240" w:lineRule="auto"/>
        <w:ind w:left="539" w:hanging="539"/>
        <w:rPr>
          <w:rFonts w:eastAsia="Calibri"/>
          <w:i/>
          <w:szCs w:val="24"/>
          <w:lang w:val="en-US" w:eastAsia="en-US"/>
        </w:rPr>
      </w:pPr>
      <w:r w:rsidRPr="008A142E">
        <w:rPr>
          <w:i/>
          <w:lang w:val="en-US"/>
        </w:rPr>
        <w:t>Immigration</w:t>
      </w:r>
      <w:r w:rsidRPr="00890B06">
        <w:rPr>
          <w:rFonts w:eastAsia="Calibri"/>
          <w:i/>
          <w:szCs w:val="24"/>
          <w:lang w:val="en-US" w:eastAsia="en-US"/>
        </w:rPr>
        <w:t xml:space="preserve"> and Refugee Protection Act</w:t>
      </w:r>
      <w:r w:rsidR="00D07949">
        <w:rPr>
          <w:rFonts w:eastAsia="Calibri"/>
          <w:szCs w:val="24"/>
          <w:lang w:val="en-US" w:eastAsia="en-US"/>
        </w:rPr>
        <w:t>, S.C. 2001, c. </w:t>
      </w:r>
      <w:r w:rsidRPr="00890B06">
        <w:rPr>
          <w:rFonts w:eastAsia="Calibri"/>
          <w:szCs w:val="24"/>
          <w:lang w:val="en-US" w:eastAsia="en-US"/>
        </w:rPr>
        <w:t xml:space="preserve">27, </w:t>
      </w:r>
      <w:r w:rsidR="007C3A49">
        <w:rPr>
          <w:rFonts w:eastAsia="Calibri"/>
          <w:szCs w:val="24"/>
          <w:lang w:val="en-US" w:eastAsia="en-US"/>
        </w:rPr>
        <w:t>ss. </w:t>
      </w:r>
      <w:r w:rsidRPr="00890B06">
        <w:rPr>
          <w:rFonts w:eastAsia="Calibri"/>
          <w:szCs w:val="24"/>
          <w:lang w:val="en-US" w:eastAsia="en-US"/>
        </w:rPr>
        <w:t>35 to 37.</w:t>
      </w:r>
    </w:p>
    <w:p w:rsidR="00890B06" w:rsidRPr="00890B06" w:rsidRDefault="00890B06" w:rsidP="008A142E">
      <w:pPr>
        <w:pStyle w:val="SCCNormalDoubleSpacing"/>
        <w:spacing w:after="240" w:line="240" w:lineRule="auto"/>
        <w:ind w:left="539" w:hanging="539"/>
        <w:rPr>
          <w:rFonts w:eastAsia="Calibri"/>
          <w:i/>
          <w:szCs w:val="24"/>
          <w:lang w:val="en-US" w:eastAsia="en-US"/>
        </w:rPr>
      </w:pPr>
      <w:r w:rsidRPr="008A142E">
        <w:rPr>
          <w:i/>
          <w:lang w:val="en-US"/>
        </w:rPr>
        <w:t>Interpretation</w:t>
      </w:r>
      <w:r w:rsidRPr="00890B06">
        <w:rPr>
          <w:rFonts w:eastAsia="Calibri"/>
          <w:i/>
          <w:iCs/>
          <w:szCs w:val="24"/>
          <w:lang w:val="en-US" w:eastAsia="en-US"/>
        </w:rPr>
        <w:t xml:space="preserve"> Act</w:t>
      </w:r>
      <w:r w:rsidR="00D07949">
        <w:rPr>
          <w:rFonts w:eastAsia="Calibri"/>
          <w:szCs w:val="24"/>
          <w:lang w:val="en-US" w:eastAsia="en-US"/>
        </w:rPr>
        <w:t>, R.S.C. 1985, c. </w:t>
      </w:r>
      <w:r w:rsidRPr="00890B06">
        <w:rPr>
          <w:rFonts w:eastAsia="Calibri"/>
          <w:szCs w:val="24"/>
          <w:lang w:val="en-US" w:eastAsia="en-US"/>
        </w:rPr>
        <w:t>I</w:t>
      </w:r>
      <w:r w:rsidR="007C3A49">
        <w:rPr>
          <w:rFonts w:eastAsia="Calibri"/>
          <w:szCs w:val="24"/>
          <w:lang w:val="en-US" w:eastAsia="en-US"/>
        </w:rPr>
        <w:noBreakHyphen/>
      </w:r>
      <w:r w:rsidRPr="00890B06">
        <w:rPr>
          <w:rFonts w:eastAsia="Calibri"/>
          <w:szCs w:val="24"/>
          <w:lang w:val="en-US" w:eastAsia="en-US"/>
        </w:rPr>
        <w:t>2</w:t>
      </w:r>
      <w:r>
        <w:rPr>
          <w:rFonts w:eastAsia="Calibri"/>
          <w:szCs w:val="24"/>
          <w:lang w:val="en-US" w:eastAsia="en-US"/>
        </w:rPr>
        <w:t>1</w:t>
      </w:r>
      <w:r w:rsidR="00D07949">
        <w:rPr>
          <w:rFonts w:eastAsia="Calibri"/>
          <w:szCs w:val="24"/>
          <w:lang w:val="en-US" w:eastAsia="en-US"/>
        </w:rPr>
        <w:t>, s. </w:t>
      </w:r>
      <w:r w:rsidRPr="00890B06">
        <w:rPr>
          <w:rFonts w:eastAsia="Calibri"/>
          <w:szCs w:val="24"/>
          <w:lang w:val="en-US" w:eastAsia="en-US"/>
        </w:rPr>
        <w:t>35(1)</w:t>
      </w:r>
      <w:r w:rsidR="00A27CBC">
        <w:rPr>
          <w:rFonts w:eastAsia="Calibri"/>
          <w:szCs w:val="24"/>
          <w:lang w:val="en-US" w:eastAsia="en-US"/>
        </w:rPr>
        <w:t>.</w:t>
      </w:r>
    </w:p>
    <w:p w:rsidR="00890B06" w:rsidRPr="00890B06" w:rsidRDefault="00890B06" w:rsidP="008A142E">
      <w:pPr>
        <w:pStyle w:val="SCCNormalDoubleSpacing"/>
        <w:spacing w:after="240" w:line="240" w:lineRule="auto"/>
        <w:ind w:left="539" w:hanging="539"/>
        <w:rPr>
          <w:rFonts w:eastAsia="Calibri"/>
          <w:szCs w:val="24"/>
          <w:lang w:val="en-US" w:eastAsia="en-US"/>
        </w:rPr>
      </w:pPr>
      <w:r w:rsidRPr="008A142E">
        <w:rPr>
          <w:i/>
          <w:lang w:val="en-US"/>
        </w:rPr>
        <w:t>Municipal</w:t>
      </w:r>
      <w:r w:rsidRPr="00890B06">
        <w:rPr>
          <w:rFonts w:eastAsia="Calibri"/>
          <w:i/>
          <w:szCs w:val="24"/>
          <w:lang w:val="en-US" w:eastAsia="en-US"/>
        </w:rPr>
        <w:t xml:space="preserve"> Government Act</w:t>
      </w:r>
      <w:r w:rsidR="00D07949">
        <w:rPr>
          <w:rFonts w:eastAsia="Calibri"/>
          <w:szCs w:val="24"/>
          <w:lang w:val="en-US" w:eastAsia="en-US"/>
        </w:rPr>
        <w:t>, R.S.A. 2000, c. </w:t>
      </w:r>
      <w:r w:rsidRPr="00890B06">
        <w:rPr>
          <w:rFonts w:eastAsia="Calibri"/>
          <w:szCs w:val="24"/>
          <w:lang w:val="en-US" w:eastAsia="en-US"/>
        </w:rPr>
        <w:t>M</w:t>
      </w:r>
      <w:r w:rsidR="007C3A49">
        <w:rPr>
          <w:rFonts w:eastAsia="Calibri"/>
          <w:szCs w:val="24"/>
          <w:lang w:val="en-US" w:eastAsia="en-US"/>
        </w:rPr>
        <w:noBreakHyphen/>
      </w:r>
      <w:r w:rsidR="00D07949">
        <w:rPr>
          <w:rFonts w:eastAsia="Calibri"/>
          <w:szCs w:val="24"/>
          <w:lang w:val="en-US" w:eastAsia="en-US"/>
        </w:rPr>
        <w:t>26, s. </w:t>
      </w:r>
      <w:r w:rsidRPr="00890B06">
        <w:rPr>
          <w:rFonts w:eastAsia="Calibri"/>
          <w:szCs w:val="24"/>
          <w:lang w:val="en-US" w:eastAsia="en-US"/>
        </w:rPr>
        <w:t>470.</w:t>
      </w:r>
    </w:p>
    <w:p w:rsidR="00A37181" w:rsidRDefault="00A37181" w:rsidP="008A142E">
      <w:pPr>
        <w:pStyle w:val="SCCNormalDoubleSpacing"/>
        <w:spacing w:after="720" w:line="240" w:lineRule="auto"/>
        <w:ind w:left="539" w:hanging="539"/>
      </w:pPr>
      <w:r>
        <w:rPr>
          <w:rStyle w:val="solexhl"/>
          <w:rFonts w:eastAsiaTheme="majorEastAsia"/>
          <w:i/>
          <w:iCs/>
          <w:color w:val="000000"/>
        </w:rPr>
        <w:t>Ontario Human Rights Code</w:t>
      </w:r>
      <w:r>
        <w:rPr>
          <w:i/>
          <w:iCs/>
          <w:color w:val="000000"/>
        </w:rPr>
        <w:t>, 1961</w:t>
      </w:r>
      <w:r w:rsidR="007C3A49">
        <w:rPr>
          <w:i/>
          <w:iCs/>
          <w:color w:val="000000"/>
        </w:rPr>
        <w:noBreakHyphen/>
      </w:r>
      <w:r>
        <w:rPr>
          <w:i/>
          <w:iCs/>
          <w:color w:val="000000"/>
        </w:rPr>
        <w:t>62</w:t>
      </w:r>
      <w:r w:rsidRPr="004C7D09">
        <w:rPr>
          <w:color w:val="000000"/>
        </w:rPr>
        <w:t>, S.O.</w:t>
      </w:r>
      <w:r>
        <w:rPr>
          <w:color w:val="000000"/>
        </w:rPr>
        <w:t xml:space="preserve"> 1961</w:t>
      </w:r>
      <w:r w:rsidR="007C3A49">
        <w:rPr>
          <w:color w:val="000000"/>
        </w:rPr>
        <w:noBreakHyphen/>
      </w:r>
      <w:r w:rsidR="00D07949">
        <w:rPr>
          <w:color w:val="000000"/>
        </w:rPr>
        <w:t>62, c. 93, s. </w:t>
      </w:r>
      <w:r>
        <w:rPr>
          <w:color w:val="000000"/>
        </w:rPr>
        <w:t>3.</w:t>
      </w:r>
    </w:p>
    <w:p w:rsidR="00890B06" w:rsidRPr="00890B06" w:rsidRDefault="00890B06" w:rsidP="008A142E">
      <w:pPr>
        <w:pStyle w:val="SCCNormalDoubleSpacing"/>
        <w:spacing w:after="720" w:line="240" w:lineRule="auto"/>
        <w:rPr>
          <w:rFonts w:eastAsia="Calibri"/>
          <w:szCs w:val="24"/>
          <w:lang w:val="en-US" w:eastAsia="en-US"/>
        </w:rPr>
      </w:pPr>
      <w:r w:rsidRPr="00890B06">
        <w:rPr>
          <w:rFonts w:eastAsia="Calibri"/>
          <w:b/>
          <w:bCs/>
          <w:szCs w:val="24"/>
          <w:lang w:val="en" w:eastAsia="en-US"/>
        </w:rPr>
        <w:t>Treaties and Other International Instruments</w:t>
      </w:r>
    </w:p>
    <w:p w:rsidR="00890B06" w:rsidRPr="00890B06" w:rsidRDefault="00890B06" w:rsidP="008A142E">
      <w:pPr>
        <w:pStyle w:val="SCCNormalDoubleSpacing"/>
        <w:spacing w:after="240" w:line="240" w:lineRule="auto"/>
        <w:ind w:left="539" w:hanging="539"/>
        <w:rPr>
          <w:i/>
          <w:iCs/>
          <w:szCs w:val="24"/>
          <w:lang w:val="en" w:eastAsia="en-US"/>
        </w:rPr>
      </w:pPr>
      <w:r w:rsidRPr="00890B06">
        <w:rPr>
          <w:i/>
          <w:szCs w:val="24"/>
          <w:lang w:val="en-US" w:eastAsia="en-US"/>
        </w:rPr>
        <w:t xml:space="preserve">Optional Protocol to the Vienna Convention on Diplomatic Relations, concerning </w:t>
      </w:r>
      <w:r w:rsidRPr="008A142E">
        <w:rPr>
          <w:i/>
          <w:lang w:val="en-US"/>
        </w:rPr>
        <w:t>Acquisition</w:t>
      </w:r>
      <w:r w:rsidRPr="00890B06">
        <w:rPr>
          <w:i/>
          <w:szCs w:val="24"/>
          <w:lang w:val="en-US" w:eastAsia="en-US"/>
        </w:rPr>
        <w:t xml:space="preserve"> of Nationality</w:t>
      </w:r>
      <w:r w:rsidRPr="00890B06">
        <w:rPr>
          <w:szCs w:val="24"/>
          <w:lang w:val="en-US" w:eastAsia="en-US"/>
        </w:rPr>
        <w:t xml:space="preserve">, 500 U.N.T.S. 223, </w:t>
      </w:r>
      <w:r w:rsidR="00103A11">
        <w:rPr>
          <w:szCs w:val="24"/>
          <w:lang w:val="en-US" w:eastAsia="en-US"/>
        </w:rPr>
        <w:t>a</w:t>
      </w:r>
      <w:r w:rsidR="007C3A49">
        <w:rPr>
          <w:szCs w:val="24"/>
          <w:lang w:val="en-US" w:eastAsia="en-US"/>
        </w:rPr>
        <w:t>rt. </w:t>
      </w:r>
      <w:r w:rsidRPr="00890B06">
        <w:rPr>
          <w:szCs w:val="24"/>
          <w:lang w:val="en-US" w:eastAsia="en-US"/>
        </w:rPr>
        <w:t>II.</w:t>
      </w:r>
    </w:p>
    <w:p w:rsidR="00890B06" w:rsidRPr="00890B06" w:rsidRDefault="00890B06" w:rsidP="008A142E">
      <w:pPr>
        <w:pStyle w:val="SCCNormalDoubleSpacing"/>
        <w:spacing w:after="240" w:line="240" w:lineRule="auto"/>
        <w:ind w:left="539" w:hanging="539"/>
        <w:rPr>
          <w:szCs w:val="24"/>
          <w:lang w:val="en" w:eastAsia="en-US"/>
        </w:rPr>
      </w:pPr>
      <w:r w:rsidRPr="00890B06">
        <w:rPr>
          <w:i/>
          <w:iCs/>
          <w:szCs w:val="24"/>
          <w:lang w:val="en" w:eastAsia="en-US"/>
        </w:rPr>
        <w:t xml:space="preserve">Vienna </w:t>
      </w:r>
      <w:r w:rsidRPr="008A142E">
        <w:rPr>
          <w:i/>
          <w:lang w:val="en-US"/>
        </w:rPr>
        <w:t>Convention</w:t>
      </w:r>
      <w:r w:rsidRPr="00890B06">
        <w:rPr>
          <w:i/>
          <w:iCs/>
          <w:szCs w:val="24"/>
          <w:lang w:val="en" w:eastAsia="en-US"/>
        </w:rPr>
        <w:t xml:space="preserve"> on Consular Relations</w:t>
      </w:r>
      <w:r w:rsidR="008A690B">
        <w:rPr>
          <w:szCs w:val="24"/>
          <w:lang w:val="en" w:eastAsia="en-US"/>
        </w:rPr>
        <w:t xml:space="preserve">, Can. T.S. 1974 </w:t>
      </w:r>
      <w:r w:rsidR="007C3A49">
        <w:rPr>
          <w:szCs w:val="24"/>
          <w:lang w:val="en" w:eastAsia="en-US"/>
        </w:rPr>
        <w:t>No. </w:t>
      </w:r>
      <w:r w:rsidR="008A690B">
        <w:rPr>
          <w:szCs w:val="24"/>
          <w:lang w:val="en" w:eastAsia="en-US"/>
        </w:rPr>
        <w:t>25</w:t>
      </w:r>
      <w:r w:rsidR="00A27CBC">
        <w:rPr>
          <w:szCs w:val="24"/>
          <w:lang w:val="en" w:eastAsia="en-US"/>
        </w:rPr>
        <w:t>.</w:t>
      </w:r>
    </w:p>
    <w:p w:rsidR="00890B06" w:rsidRPr="00890B06" w:rsidRDefault="00890B06" w:rsidP="00B64791">
      <w:pPr>
        <w:pStyle w:val="SCCNormalDoubleSpacing"/>
        <w:spacing w:after="720" w:line="240" w:lineRule="auto"/>
        <w:ind w:left="533" w:hanging="533"/>
        <w:rPr>
          <w:szCs w:val="24"/>
          <w:lang w:val="en" w:eastAsia="en-US"/>
        </w:rPr>
      </w:pPr>
      <w:r w:rsidRPr="00890B06">
        <w:rPr>
          <w:i/>
          <w:szCs w:val="24"/>
          <w:lang w:val="en" w:eastAsia="en-US"/>
        </w:rPr>
        <w:t xml:space="preserve">Vienna </w:t>
      </w:r>
      <w:r w:rsidRPr="00EF5D97">
        <w:rPr>
          <w:rStyle w:val="solexhl"/>
          <w:rFonts w:eastAsiaTheme="majorEastAsia"/>
          <w:i/>
          <w:iCs/>
          <w:color w:val="000000"/>
        </w:rPr>
        <w:t>C</w:t>
      </w:r>
      <w:r w:rsidR="008A690B" w:rsidRPr="00EF5D97">
        <w:rPr>
          <w:rStyle w:val="solexhl"/>
          <w:rFonts w:eastAsiaTheme="majorEastAsia"/>
          <w:i/>
          <w:iCs/>
          <w:color w:val="000000"/>
        </w:rPr>
        <w:t>onvention</w:t>
      </w:r>
      <w:r w:rsidR="008A690B">
        <w:rPr>
          <w:i/>
          <w:szCs w:val="24"/>
          <w:lang w:val="en" w:eastAsia="en-US"/>
        </w:rPr>
        <w:t xml:space="preserve"> on Diplomatic Relations</w:t>
      </w:r>
      <w:r w:rsidR="008A690B">
        <w:rPr>
          <w:szCs w:val="24"/>
          <w:lang w:val="en" w:eastAsia="en-US"/>
        </w:rPr>
        <w:t xml:space="preserve">, Can. T.S. 1966 </w:t>
      </w:r>
      <w:r w:rsidR="007C3A49">
        <w:rPr>
          <w:szCs w:val="24"/>
          <w:lang w:val="en" w:eastAsia="en-US"/>
        </w:rPr>
        <w:t>No. </w:t>
      </w:r>
      <w:r w:rsidR="008A690B">
        <w:rPr>
          <w:szCs w:val="24"/>
          <w:lang w:val="en" w:eastAsia="en-US"/>
        </w:rPr>
        <w:t>29</w:t>
      </w:r>
      <w:r w:rsidR="00A27CBC" w:rsidRPr="00A27CBC">
        <w:rPr>
          <w:szCs w:val="24"/>
          <w:lang w:val="en" w:eastAsia="en-US"/>
        </w:rPr>
        <w:t>.</w:t>
      </w:r>
    </w:p>
    <w:p w:rsidR="007C0C6E" w:rsidRPr="007C0C6E" w:rsidRDefault="002E6705" w:rsidP="00E912BB">
      <w:pPr>
        <w:pStyle w:val="SCCNormalDoubleSpacing"/>
        <w:spacing w:after="720" w:line="240" w:lineRule="auto"/>
        <w:rPr>
          <w:b/>
        </w:rPr>
      </w:pPr>
      <w:r w:rsidRPr="00314E01">
        <w:rPr>
          <w:b/>
        </w:rPr>
        <w:t>Authors Cited</w:t>
      </w:r>
    </w:p>
    <w:p w:rsidR="00BA1BC8" w:rsidRPr="00BA1BC8" w:rsidRDefault="00BA1BC8" w:rsidP="008A142E">
      <w:pPr>
        <w:pStyle w:val="SCCNormalDoubleSpacing"/>
        <w:spacing w:after="240" w:line="240" w:lineRule="auto"/>
        <w:ind w:left="539" w:hanging="539"/>
      </w:pPr>
      <w:r>
        <w:t>Arthurs, H.</w:t>
      </w:r>
      <w:r w:rsidR="00D07949">
        <w:t> </w:t>
      </w:r>
      <w:r>
        <w:t>W. “</w:t>
      </w:r>
      <w:r w:rsidRPr="008A142E">
        <w:rPr>
          <w:szCs w:val="24"/>
          <w:lang w:val="en" w:eastAsia="en-US"/>
        </w:rPr>
        <w:t>Protection</w:t>
      </w:r>
      <w:r>
        <w:t xml:space="preserve"> against Judicial Review” (1983), 43 </w:t>
      </w:r>
      <w:r>
        <w:rPr>
          <w:i/>
        </w:rPr>
        <w:t>R. du B.</w:t>
      </w:r>
      <w:r>
        <w:t xml:space="preserve"> 277.</w:t>
      </w:r>
    </w:p>
    <w:p w:rsidR="008A0ED7" w:rsidRPr="008A0ED7" w:rsidRDefault="008A0ED7" w:rsidP="008A142E">
      <w:pPr>
        <w:pStyle w:val="SCCNormalDoubleSpacing"/>
        <w:spacing w:after="240" w:line="240" w:lineRule="auto"/>
        <w:ind w:left="539" w:hanging="539"/>
      </w:pPr>
      <w:r>
        <w:t xml:space="preserve">Barak, </w:t>
      </w:r>
      <w:proofErr w:type="spellStart"/>
      <w:r>
        <w:t>Aharon</w:t>
      </w:r>
      <w:proofErr w:type="spellEnd"/>
      <w:r>
        <w:t>. “</w:t>
      </w:r>
      <w:r w:rsidRPr="008A142E">
        <w:rPr>
          <w:szCs w:val="24"/>
          <w:lang w:val="en" w:eastAsia="en-US"/>
        </w:rPr>
        <w:t>Overruling</w:t>
      </w:r>
      <w:r>
        <w:t xml:space="preserve"> Precedent” (1986), 21 </w:t>
      </w:r>
      <w:proofErr w:type="spellStart"/>
      <w:r>
        <w:rPr>
          <w:i/>
        </w:rPr>
        <w:t>Is</w:t>
      </w:r>
      <w:r w:rsidR="00331010">
        <w:rPr>
          <w:i/>
        </w:rPr>
        <w:t>.</w:t>
      </w:r>
      <w:r>
        <w:rPr>
          <w:i/>
        </w:rPr>
        <w:t>L.R</w:t>
      </w:r>
      <w:proofErr w:type="spellEnd"/>
      <w:r>
        <w:rPr>
          <w:i/>
        </w:rPr>
        <w:t>.</w:t>
      </w:r>
      <w:r>
        <w:t xml:space="preserve"> 269.</w:t>
      </w:r>
    </w:p>
    <w:p w:rsidR="000D22B8" w:rsidRDefault="000D22B8" w:rsidP="008A142E">
      <w:pPr>
        <w:pStyle w:val="SCCNormalDoubleSpacing"/>
        <w:spacing w:after="240" w:line="240" w:lineRule="auto"/>
        <w:ind w:left="539" w:hanging="539"/>
      </w:pPr>
      <w:proofErr w:type="spellStart"/>
      <w:r w:rsidRPr="00890B06">
        <w:t>Biddulph</w:t>
      </w:r>
      <w:proofErr w:type="spellEnd"/>
      <w:r w:rsidRPr="00890B06">
        <w:t>, Michelle. “Rethinking the Ramification</w:t>
      </w:r>
      <w:r w:rsidR="009B086C">
        <w:t>s</w:t>
      </w:r>
      <w:r w:rsidRPr="00890B06">
        <w:t xml:space="preserve"> of Reasonableness Review: </w:t>
      </w:r>
      <w:r w:rsidRPr="00890B06">
        <w:rPr>
          <w:i/>
        </w:rPr>
        <w:t xml:space="preserve">Stare Decisis </w:t>
      </w:r>
      <w:r w:rsidRPr="00890B06">
        <w:t xml:space="preserve">and </w:t>
      </w:r>
      <w:r w:rsidRPr="008A142E">
        <w:rPr>
          <w:szCs w:val="24"/>
          <w:lang w:val="en" w:eastAsia="en-US"/>
        </w:rPr>
        <w:t>Reasonableness</w:t>
      </w:r>
      <w:r w:rsidRPr="00890B06">
        <w:t xml:space="preserve"> Review on Questions of Law” (2018), 56 </w:t>
      </w:r>
      <w:r w:rsidRPr="00890B06">
        <w:rPr>
          <w:i/>
        </w:rPr>
        <w:t xml:space="preserve">Alta. L.R. </w:t>
      </w:r>
      <w:r w:rsidRPr="00890B06">
        <w:t>119.</w:t>
      </w:r>
    </w:p>
    <w:p w:rsidR="0078752F" w:rsidRPr="0078752F" w:rsidRDefault="0078752F" w:rsidP="008A142E">
      <w:pPr>
        <w:pStyle w:val="SCCNormalDoubleSpacing"/>
        <w:spacing w:after="240" w:line="240" w:lineRule="auto"/>
        <w:ind w:left="539" w:hanging="539"/>
        <w:rPr>
          <w:lang w:val="en"/>
        </w:rPr>
      </w:pPr>
      <w:r>
        <w:t xml:space="preserve">Bingham, </w:t>
      </w:r>
      <w:r w:rsidRPr="008A142E">
        <w:rPr>
          <w:szCs w:val="24"/>
          <w:lang w:val="en" w:eastAsia="en-US"/>
        </w:rPr>
        <w:t>Tom</w:t>
      </w:r>
      <w:r>
        <w:t xml:space="preserve">. </w:t>
      </w:r>
      <w:r>
        <w:rPr>
          <w:i/>
        </w:rPr>
        <w:t>The Rule of Law</w:t>
      </w:r>
      <w:r>
        <w:t>. London: Allen Lane, 2010.</w:t>
      </w:r>
    </w:p>
    <w:p w:rsidR="008D232E" w:rsidRPr="007F6DF9" w:rsidRDefault="008D232E" w:rsidP="007F6DF9">
      <w:pPr>
        <w:pStyle w:val="SCCNormalDoubleSpacing"/>
        <w:spacing w:after="240" w:line="240" w:lineRule="auto"/>
        <w:ind w:left="539" w:hanging="539"/>
        <w:rPr>
          <w:rFonts w:eastAsiaTheme="majorEastAsia"/>
        </w:rPr>
      </w:pPr>
      <w:proofErr w:type="spellStart"/>
      <w:r w:rsidRPr="00DC01E3">
        <w:t>Brouwer</w:t>
      </w:r>
      <w:proofErr w:type="spellEnd"/>
      <w:r w:rsidRPr="00DC01E3">
        <w:t xml:space="preserve">, </w:t>
      </w:r>
      <w:r w:rsidRPr="00DC01E3">
        <w:rPr>
          <w:szCs w:val="24"/>
          <w:lang w:val="en" w:eastAsia="en-US"/>
        </w:rPr>
        <w:t>Andrew</w:t>
      </w:r>
      <w:r w:rsidRPr="00DC01E3">
        <w:t xml:space="preserve">. </w:t>
      </w:r>
      <w:r w:rsidR="000D22B8" w:rsidRPr="00DC01E3">
        <w:rPr>
          <w:i/>
        </w:rPr>
        <w:t>Statelessness in Canadian Context: A Discussion Paper</w:t>
      </w:r>
      <w:r w:rsidRPr="00DC01E3">
        <w:t>, July 2003 (online: </w:t>
      </w:r>
      <w:r w:rsidR="00D07949" w:rsidRPr="00DC01E3">
        <w:t>https://www.unhcr.org/protection/statelessness/40629ffc7/statelessness-canadian-context-discussion-paper.html</w:t>
      </w:r>
      <w:r w:rsidR="00D07949" w:rsidRPr="00704649">
        <w:rPr>
          <w:rStyle w:val="Hyperlink"/>
          <w:u w:val="single"/>
          <w:vertAlign w:val="superscript"/>
        </w:rPr>
        <w:t>; </w:t>
      </w:r>
      <w:r w:rsidR="00D07949" w:rsidRPr="00DC01E3">
        <w:t>archived version:</w:t>
      </w:r>
      <w:r w:rsidR="007F6DF9" w:rsidRPr="007F6DF9">
        <w:rPr>
          <w:rFonts w:eastAsiaTheme="majorEastAsia"/>
          <w:lang w:val="en-US"/>
        </w:rPr>
        <w:t xml:space="preserve"> </w:t>
      </w:r>
      <w:hyperlink r:id="rId10" w:history="1">
        <w:r w:rsidR="007F6DF9" w:rsidRPr="008B34AE">
          <w:rPr>
            <w:rFonts w:eastAsiaTheme="majorEastAsia"/>
          </w:rPr>
          <w:t>https://www.scc-csc.ca/cso-dce/2019SCC-CSC65_1_eng.pdf</w:t>
        </w:r>
      </w:hyperlink>
      <w:r w:rsidRPr="00DC01E3">
        <w:t>).</w:t>
      </w:r>
    </w:p>
    <w:p w:rsidR="000D22B8" w:rsidRPr="00890B06" w:rsidRDefault="000D22B8" w:rsidP="008A142E">
      <w:pPr>
        <w:pStyle w:val="SCCNormalDoubleSpacing"/>
        <w:spacing w:after="240" w:line="240" w:lineRule="auto"/>
        <w:ind w:left="539" w:hanging="539"/>
      </w:pPr>
      <w:r w:rsidRPr="008A142E">
        <w:rPr>
          <w:szCs w:val="24"/>
          <w:lang w:val="en" w:eastAsia="en-US"/>
        </w:rPr>
        <w:lastRenderedPageBreak/>
        <w:t>Brown</w:t>
      </w:r>
      <w:r w:rsidR="00D07949">
        <w:rPr>
          <w:lang w:val="en"/>
        </w:rPr>
        <w:t>, Donald J. </w:t>
      </w:r>
      <w:r w:rsidRPr="00890B06">
        <w:rPr>
          <w:lang w:val="en"/>
        </w:rPr>
        <w:t>M.</w:t>
      </w:r>
      <w:r w:rsidR="00D07949">
        <w:rPr>
          <w:lang w:val="en"/>
        </w:rPr>
        <w:t>, and John </w:t>
      </w:r>
      <w:r w:rsidR="008D232E">
        <w:rPr>
          <w:lang w:val="en"/>
        </w:rPr>
        <w:t xml:space="preserve">M. Evans, with the assistance of David </w:t>
      </w:r>
      <w:proofErr w:type="spellStart"/>
      <w:r w:rsidR="008D232E">
        <w:rPr>
          <w:lang w:val="en"/>
        </w:rPr>
        <w:t>Fairlie</w:t>
      </w:r>
      <w:proofErr w:type="spellEnd"/>
      <w:r w:rsidR="008D232E">
        <w:rPr>
          <w:lang w:val="en"/>
        </w:rPr>
        <w:t>.</w:t>
      </w:r>
      <w:r w:rsidRPr="00890B06">
        <w:rPr>
          <w:lang w:val="en"/>
        </w:rPr>
        <w:t xml:space="preserve"> </w:t>
      </w:r>
      <w:r w:rsidRPr="00890B06">
        <w:rPr>
          <w:i/>
          <w:iCs/>
          <w:lang w:val="en"/>
        </w:rPr>
        <w:t>Judicial Review of Administrative Action in Canada</w:t>
      </w:r>
      <w:r w:rsidR="00DB4852">
        <w:rPr>
          <w:iCs/>
          <w:lang w:val="en"/>
        </w:rPr>
        <w:t>, vol. 3</w:t>
      </w:r>
      <w:r w:rsidRPr="00890B06">
        <w:rPr>
          <w:iCs/>
          <w:lang w:val="en"/>
        </w:rPr>
        <w:t xml:space="preserve">. </w:t>
      </w:r>
      <w:r w:rsidR="001758E4">
        <w:rPr>
          <w:iCs/>
          <w:lang w:val="en"/>
        </w:rPr>
        <w:t>Toronto: Thomson</w:t>
      </w:r>
      <w:r w:rsidRPr="00890B06">
        <w:rPr>
          <w:iCs/>
          <w:lang w:val="en"/>
        </w:rPr>
        <w:t xml:space="preserve"> Reuters, 2013</w:t>
      </w:r>
      <w:r w:rsidRPr="00890B06">
        <w:rPr>
          <w:i/>
          <w:iCs/>
          <w:lang w:val="en"/>
        </w:rPr>
        <w:t xml:space="preserve"> </w:t>
      </w:r>
      <w:r w:rsidR="008D232E">
        <w:rPr>
          <w:lang w:val="en"/>
        </w:rPr>
        <w:t>(loose</w:t>
      </w:r>
      <w:r w:rsidR="007C3A49">
        <w:rPr>
          <w:lang w:val="en"/>
        </w:rPr>
        <w:noBreakHyphen/>
      </w:r>
      <w:r w:rsidR="008D232E">
        <w:rPr>
          <w:lang w:val="en"/>
        </w:rPr>
        <w:t>leaf updated December 2018, release 4</w:t>
      </w:r>
      <w:r w:rsidRPr="00890B06">
        <w:rPr>
          <w:lang w:val="en"/>
        </w:rPr>
        <w:t>).</w:t>
      </w:r>
    </w:p>
    <w:p w:rsidR="000D22B8" w:rsidRDefault="000D22B8" w:rsidP="008A142E">
      <w:pPr>
        <w:pStyle w:val="SCCNormalDoubleSpacing"/>
        <w:spacing w:after="240" w:line="240" w:lineRule="auto"/>
        <w:ind w:left="539" w:hanging="539"/>
      </w:pPr>
      <w:proofErr w:type="spellStart"/>
      <w:r w:rsidRPr="008A142E">
        <w:rPr>
          <w:szCs w:val="24"/>
          <w:lang w:val="en" w:eastAsia="en-US"/>
        </w:rPr>
        <w:t>Brownlie</w:t>
      </w:r>
      <w:proofErr w:type="spellEnd"/>
      <w:r w:rsidRPr="00890B06">
        <w:t xml:space="preserve">, Ian. </w:t>
      </w:r>
      <w:r w:rsidRPr="00890B06">
        <w:rPr>
          <w:i/>
          <w:iCs/>
        </w:rPr>
        <w:t>Principles of Public International Law</w:t>
      </w:r>
      <w:r w:rsidRPr="00890B06">
        <w:t>, 5th ed. Oxford: Clarendon Press, 1998.</w:t>
      </w:r>
    </w:p>
    <w:p w:rsidR="00772028" w:rsidRDefault="000D22B8" w:rsidP="008A142E">
      <w:pPr>
        <w:pStyle w:val="SCCNormalDoubleSpacing"/>
        <w:spacing w:after="240" w:line="240" w:lineRule="auto"/>
        <w:ind w:left="539" w:hanging="539"/>
        <w:rPr>
          <w:lang w:val="en"/>
        </w:rPr>
      </w:pPr>
      <w:r w:rsidRPr="008A142E">
        <w:rPr>
          <w:szCs w:val="24"/>
          <w:lang w:val="en" w:eastAsia="en-US"/>
        </w:rPr>
        <w:t>Canada</w:t>
      </w:r>
      <w:r w:rsidRPr="00890B06">
        <w:rPr>
          <w:lang w:val="en"/>
        </w:rPr>
        <w:t xml:space="preserve">. House of Commons. </w:t>
      </w:r>
      <w:r w:rsidRPr="00890B06">
        <w:rPr>
          <w:i/>
          <w:lang w:val="en"/>
        </w:rPr>
        <w:t>Minutes of Proceedings and Evidence of the Standing</w:t>
      </w:r>
      <w:r w:rsidRPr="00890B06">
        <w:rPr>
          <w:lang w:val="en"/>
        </w:rPr>
        <w:t xml:space="preserve"> </w:t>
      </w:r>
      <w:r w:rsidRPr="00890B06">
        <w:rPr>
          <w:i/>
          <w:iCs/>
          <w:lang w:val="en"/>
        </w:rPr>
        <w:t>Committee on Broadcasting, Films and Assistance to the Arts, Respecting Bill C</w:t>
      </w:r>
      <w:r w:rsidR="007C3A49">
        <w:rPr>
          <w:i/>
          <w:iCs/>
          <w:lang w:val="en"/>
        </w:rPr>
        <w:noBreakHyphen/>
      </w:r>
      <w:r w:rsidRPr="00890B06">
        <w:rPr>
          <w:i/>
          <w:iCs/>
          <w:lang w:val="en"/>
        </w:rPr>
        <w:t xml:space="preserve">20, An Act respecting </w:t>
      </w:r>
      <w:r w:rsidR="00830967">
        <w:rPr>
          <w:i/>
          <w:iCs/>
          <w:lang w:val="en"/>
        </w:rPr>
        <w:t>c</w:t>
      </w:r>
      <w:r w:rsidRPr="00890B06">
        <w:rPr>
          <w:i/>
          <w:iCs/>
          <w:lang w:val="en"/>
        </w:rPr>
        <w:t>itizenship</w:t>
      </w:r>
      <w:r w:rsidR="00A87A23">
        <w:rPr>
          <w:lang w:val="en"/>
        </w:rPr>
        <w:t>,</w:t>
      </w:r>
      <w:r w:rsidR="00B840AD">
        <w:rPr>
          <w:lang w:val="en"/>
        </w:rPr>
        <w:t xml:space="preserve"> </w:t>
      </w:r>
      <w:r w:rsidR="007C3A49">
        <w:rPr>
          <w:lang w:val="en"/>
        </w:rPr>
        <w:t>No. </w:t>
      </w:r>
      <w:r w:rsidR="00B840AD">
        <w:rPr>
          <w:lang w:val="en"/>
        </w:rPr>
        <w:t xml:space="preserve">34, 1st Sess., </w:t>
      </w:r>
      <w:r w:rsidRPr="00830967">
        <w:rPr>
          <w:lang w:val="en"/>
        </w:rPr>
        <w:t>3</w:t>
      </w:r>
      <w:r w:rsidR="00B840AD" w:rsidRPr="00830967">
        <w:rPr>
          <w:lang w:val="en"/>
        </w:rPr>
        <w:t>0</w:t>
      </w:r>
      <w:r w:rsidRPr="00830967">
        <w:rPr>
          <w:lang w:val="en"/>
        </w:rPr>
        <w:t>t</w:t>
      </w:r>
      <w:r w:rsidR="002D698B">
        <w:rPr>
          <w:lang w:val="en"/>
        </w:rPr>
        <w:t xml:space="preserve">h Parl., February 24, 1976, </w:t>
      </w:r>
      <w:r w:rsidRPr="00890B06">
        <w:rPr>
          <w:lang w:val="en"/>
        </w:rPr>
        <w:t>34:23.</w:t>
      </w:r>
    </w:p>
    <w:p w:rsidR="00772028" w:rsidRPr="00772028" w:rsidRDefault="00772028" w:rsidP="008A142E">
      <w:pPr>
        <w:pStyle w:val="SCCNormalDoubleSpacing"/>
        <w:spacing w:after="240" w:line="240" w:lineRule="auto"/>
        <w:ind w:left="539" w:hanging="539"/>
        <w:rPr>
          <w:lang w:val="en"/>
        </w:rPr>
      </w:pPr>
      <w:proofErr w:type="spellStart"/>
      <w:r w:rsidRPr="008A142E">
        <w:rPr>
          <w:szCs w:val="24"/>
          <w:lang w:val="en" w:eastAsia="en-US"/>
        </w:rPr>
        <w:t>Coady</w:t>
      </w:r>
      <w:proofErr w:type="spellEnd"/>
      <w:r w:rsidR="00D07949">
        <w:t>, Jonathan </w:t>
      </w:r>
      <w:r>
        <w:t xml:space="preserve">M. “The Time Has Come: Standard of Review in Canadian Administrative Law” (2017), 68 </w:t>
      </w:r>
      <w:r>
        <w:rPr>
          <w:i/>
        </w:rPr>
        <w:t>U.N.B.L.J.</w:t>
      </w:r>
      <w:r>
        <w:t xml:space="preserve"> 87.</w:t>
      </w:r>
    </w:p>
    <w:p w:rsidR="007955EF" w:rsidRPr="000D22B8" w:rsidRDefault="007955EF" w:rsidP="008A142E">
      <w:pPr>
        <w:pStyle w:val="SCCNormalDoubleSpacing"/>
        <w:spacing w:after="240" w:line="240" w:lineRule="auto"/>
        <w:ind w:left="539" w:hanging="539"/>
      </w:pPr>
      <w:r w:rsidRPr="008A142E">
        <w:rPr>
          <w:szCs w:val="24"/>
          <w:lang w:val="en" w:eastAsia="en-US"/>
        </w:rPr>
        <w:t>Cohen</w:t>
      </w:r>
      <w:r w:rsidR="007C3A49">
        <w:noBreakHyphen/>
      </w:r>
      <w:proofErr w:type="spellStart"/>
      <w:r w:rsidRPr="000D22B8">
        <w:t>Eliya</w:t>
      </w:r>
      <w:proofErr w:type="spellEnd"/>
      <w:r w:rsidRPr="000D22B8">
        <w:t xml:space="preserve">, Moshe, </w:t>
      </w:r>
      <w:r w:rsidR="00B11E63" w:rsidRPr="000D22B8">
        <w:t xml:space="preserve">and </w:t>
      </w:r>
      <w:proofErr w:type="spellStart"/>
      <w:r w:rsidR="00B11E63" w:rsidRPr="000D22B8">
        <w:t>Iddo</w:t>
      </w:r>
      <w:proofErr w:type="spellEnd"/>
      <w:r w:rsidR="00B11E63" w:rsidRPr="000D22B8">
        <w:t xml:space="preserve"> </w:t>
      </w:r>
      <w:proofErr w:type="spellStart"/>
      <w:r w:rsidR="00B11E63" w:rsidRPr="000D22B8">
        <w:t>Porat</w:t>
      </w:r>
      <w:proofErr w:type="spellEnd"/>
      <w:r w:rsidR="00B11E63" w:rsidRPr="000D22B8">
        <w:t>.</w:t>
      </w:r>
      <w:r w:rsidRPr="000D22B8">
        <w:t xml:space="preserve"> “Proportionality and Justification” (2014), 64 </w:t>
      </w:r>
      <w:r w:rsidRPr="000D22B8">
        <w:rPr>
          <w:i/>
        </w:rPr>
        <w:t>U.T.L.J.</w:t>
      </w:r>
      <w:r w:rsidRPr="000D22B8">
        <w:t xml:space="preserve"> 458.</w:t>
      </w:r>
    </w:p>
    <w:p w:rsidR="000E33FB" w:rsidRPr="000E33FB" w:rsidRDefault="000E33FB" w:rsidP="008A142E">
      <w:pPr>
        <w:pStyle w:val="SCCNormalDoubleSpacing"/>
        <w:spacing w:after="240" w:line="240" w:lineRule="auto"/>
        <w:ind w:left="539" w:hanging="539"/>
      </w:pPr>
      <w:r w:rsidRPr="008A142E">
        <w:rPr>
          <w:szCs w:val="24"/>
          <w:lang w:val="en" w:eastAsia="en-US"/>
        </w:rPr>
        <w:t>Cromwell</w:t>
      </w:r>
      <w:r w:rsidR="00D07949">
        <w:t>, Thomas </w:t>
      </w:r>
      <w:r>
        <w:t>A. “What I Think I</w:t>
      </w:r>
      <w:r w:rsidR="008D5707">
        <w:t>’</w:t>
      </w:r>
      <w:r>
        <w:t xml:space="preserve">ve Learned </w:t>
      </w:r>
      <w:proofErr w:type="gramStart"/>
      <w:r>
        <w:t>About</w:t>
      </w:r>
      <w:proofErr w:type="gramEnd"/>
      <w:r>
        <w:t xml:space="preserve"> Administrative Law” (2017), 30 </w:t>
      </w:r>
      <w:r>
        <w:rPr>
          <w:i/>
        </w:rPr>
        <w:t>C.J.A.L.</w:t>
      </w:r>
      <w:r w:rsidR="007C3A49">
        <w:rPr>
          <w:i/>
        </w:rPr>
        <w:t>P. </w:t>
      </w:r>
      <w:r>
        <w:t>307.</w:t>
      </w:r>
    </w:p>
    <w:p w:rsidR="0042446D" w:rsidRPr="0042446D" w:rsidRDefault="0042446D" w:rsidP="008A142E">
      <w:pPr>
        <w:pStyle w:val="SCCNormalDoubleSpacing"/>
        <w:spacing w:after="240" w:line="240" w:lineRule="auto"/>
        <w:ind w:left="539" w:hanging="539"/>
      </w:pPr>
      <w:r w:rsidRPr="008A142E">
        <w:rPr>
          <w:szCs w:val="24"/>
          <w:lang w:val="en" w:eastAsia="en-US"/>
        </w:rPr>
        <w:t>Daly</w:t>
      </w:r>
      <w:r>
        <w:t xml:space="preserve">, Paul. “Deference on Questions of Law” (2011), 74 </w:t>
      </w:r>
      <w:r>
        <w:rPr>
          <w:i/>
        </w:rPr>
        <w:t>Mod. L. Rev.</w:t>
      </w:r>
      <w:r>
        <w:t xml:space="preserve"> 694.</w:t>
      </w:r>
    </w:p>
    <w:p w:rsidR="00ED751E" w:rsidRPr="00ED751E" w:rsidRDefault="00ED751E" w:rsidP="008A142E">
      <w:pPr>
        <w:pStyle w:val="SCCNormalDoubleSpacing"/>
        <w:spacing w:after="240" w:line="240" w:lineRule="auto"/>
        <w:ind w:left="540" w:hanging="540"/>
      </w:pPr>
      <w:r>
        <w:t xml:space="preserve">Daly, Paul. “Unreasonable Interpretations of Law” (2014), 66 </w:t>
      </w:r>
      <w:r>
        <w:rPr>
          <w:i/>
        </w:rPr>
        <w:t>S.C.L.R.</w:t>
      </w:r>
      <w:r>
        <w:t xml:space="preserve"> (2d) 233.</w:t>
      </w:r>
    </w:p>
    <w:p w:rsidR="000D22B8" w:rsidRDefault="00153835" w:rsidP="008A142E">
      <w:pPr>
        <w:pStyle w:val="SCCNormalDoubleSpacing"/>
        <w:spacing w:after="240" w:line="240" w:lineRule="auto"/>
        <w:ind w:left="540" w:hanging="540"/>
      </w:pPr>
      <w:r>
        <w:t xml:space="preserve">Daly, Paul. “Struggling Towards Coherence in Canadian Administrative Law? Recent Cases on Standard of Review and Reasonableness” (2016), 62 </w:t>
      </w:r>
      <w:r>
        <w:rPr>
          <w:i/>
        </w:rPr>
        <w:t>McGill L.J.</w:t>
      </w:r>
      <w:r>
        <w:t xml:space="preserve"> 527.</w:t>
      </w:r>
    </w:p>
    <w:p w:rsidR="00ED751E" w:rsidRPr="00E603EB" w:rsidRDefault="00ED751E" w:rsidP="008A142E">
      <w:pPr>
        <w:pStyle w:val="SCCNormalDoubleSpacing"/>
        <w:spacing w:after="240" w:line="240" w:lineRule="auto"/>
        <w:ind w:left="540" w:hanging="540"/>
      </w:pPr>
      <w:r>
        <w:t xml:space="preserve">Daly, Paul. “The Signal and the Noise in Administrative Law” (2017), 68 </w:t>
      </w:r>
      <w:r>
        <w:rPr>
          <w:i/>
        </w:rPr>
        <w:t xml:space="preserve">U.N.B.L.J. </w:t>
      </w:r>
      <w:r w:rsidR="008669C2">
        <w:t>67</w:t>
      </w:r>
      <w:r>
        <w:t>.</w:t>
      </w:r>
    </w:p>
    <w:p w:rsidR="00080900" w:rsidRPr="00080900" w:rsidRDefault="00D07949" w:rsidP="008A142E">
      <w:pPr>
        <w:pStyle w:val="SCCNormalDoubleSpacing"/>
        <w:spacing w:after="240" w:line="240" w:lineRule="auto"/>
        <w:ind w:left="540" w:hanging="540"/>
      </w:pPr>
      <w:r>
        <w:t>DeMarco, Jerry </w:t>
      </w:r>
      <w:r w:rsidR="00080900">
        <w:t>V. “Seeking Simplicity in Canada</w:t>
      </w:r>
      <w:r w:rsidR="008D5707">
        <w:t>’</w:t>
      </w:r>
      <w:r w:rsidR="00080900">
        <w:t xml:space="preserve">s Complex World of Judicial Review” (2019), 32 </w:t>
      </w:r>
      <w:r w:rsidR="00080900">
        <w:rPr>
          <w:i/>
        </w:rPr>
        <w:t>C.J.A.L.</w:t>
      </w:r>
      <w:r w:rsidR="007C3A49">
        <w:rPr>
          <w:i/>
        </w:rPr>
        <w:t>P. </w:t>
      </w:r>
      <w:r w:rsidR="00080900">
        <w:t>67.</w:t>
      </w:r>
    </w:p>
    <w:p w:rsidR="001B7040" w:rsidRPr="000D22B8" w:rsidRDefault="00316AF3" w:rsidP="008A142E">
      <w:pPr>
        <w:pStyle w:val="SCCNormalDoubleSpacing"/>
        <w:spacing w:after="240" w:line="240" w:lineRule="auto"/>
        <w:ind w:left="540" w:hanging="540"/>
      </w:pPr>
      <w:r w:rsidRPr="002926CF">
        <w:t xml:space="preserve">Dicey, Albert Venn. </w:t>
      </w:r>
      <w:r w:rsidRPr="002926CF">
        <w:rPr>
          <w:i/>
        </w:rPr>
        <w:t>Introduction to the Study of the Law of the Constitution</w:t>
      </w:r>
      <w:r w:rsidRPr="002926CF">
        <w:t xml:space="preserve">, </w:t>
      </w:r>
      <w:r w:rsidR="002926CF" w:rsidRPr="002926CF">
        <w:t>10</w:t>
      </w:r>
      <w:r w:rsidRPr="002926CF">
        <w:t xml:space="preserve">th ed. London: Macmillan, </w:t>
      </w:r>
      <w:r w:rsidR="002926CF" w:rsidRPr="002926CF">
        <w:t>1959</w:t>
      </w:r>
      <w:r w:rsidRPr="002926CF">
        <w:t>.</w:t>
      </w:r>
    </w:p>
    <w:p w:rsidR="004471F8" w:rsidRPr="004471F8" w:rsidRDefault="004471F8" w:rsidP="008A142E">
      <w:pPr>
        <w:pStyle w:val="SCCNormalDoubleSpacing"/>
        <w:spacing w:after="240" w:line="240" w:lineRule="auto"/>
        <w:ind w:left="540" w:hanging="540"/>
      </w:pPr>
      <w:r>
        <w:t xml:space="preserve">Duxbury, Neil. </w:t>
      </w:r>
      <w:r>
        <w:rPr>
          <w:i/>
        </w:rPr>
        <w:t>The Nature and Authority of Precedent</w:t>
      </w:r>
      <w:r>
        <w:t>. Cambridge: Cambridge University Press, 2008.</w:t>
      </w:r>
    </w:p>
    <w:p w:rsidR="005E0643" w:rsidRPr="00C61F79" w:rsidRDefault="005E0643" w:rsidP="008A142E">
      <w:pPr>
        <w:pStyle w:val="SCCNormalDoubleSpacing"/>
        <w:spacing w:after="240" w:line="240" w:lineRule="auto"/>
        <w:ind w:left="540" w:hanging="540"/>
      </w:pPr>
      <w:proofErr w:type="spellStart"/>
      <w:r w:rsidRPr="00C61F79">
        <w:t>Dyzenhaus</w:t>
      </w:r>
      <w:proofErr w:type="spellEnd"/>
      <w:r w:rsidRPr="00C61F79">
        <w:t>, David. “The Politics of Deference: Judicial Review and Democracy”, in </w:t>
      </w:r>
      <w:r w:rsidRPr="00C61F79">
        <w:rPr>
          <w:rStyle w:val="solexhl"/>
          <w:rFonts w:eastAsiaTheme="majorEastAsia"/>
        </w:rPr>
        <w:t>Michael Taggart</w:t>
      </w:r>
      <w:r w:rsidRPr="00C61F79">
        <w:t>, ed., </w:t>
      </w:r>
      <w:proofErr w:type="gramStart"/>
      <w:r w:rsidRPr="00C61F79">
        <w:rPr>
          <w:i/>
          <w:iCs/>
        </w:rPr>
        <w:t>The</w:t>
      </w:r>
      <w:proofErr w:type="gramEnd"/>
      <w:r w:rsidRPr="00C61F79">
        <w:rPr>
          <w:i/>
          <w:iCs/>
        </w:rPr>
        <w:t xml:space="preserve"> Province of Administrative Law</w:t>
      </w:r>
      <w:r w:rsidRPr="00C61F79">
        <w:t>. Oxford: Hart, 1997, 279.</w:t>
      </w:r>
    </w:p>
    <w:p w:rsidR="001B7040" w:rsidRPr="001B7040" w:rsidRDefault="001B7040" w:rsidP="008A142E">
      <w:pPr>
        <w:pStyle w:val="SCCNormalDoubleSpacing"/>
        <w:spacing w:after="240" w:line="240" w:lineRule="auto"/>
        <w:ind w:left="540" w:hanging="540"/>
      </w:pPr>
      <w:proofErr w:type="spellStart"/>
      <w:r w:rsidRPr="001B7040">
        <w:t>Dyzenhaus</w:t>
      </w:r>
      <w:proofErr w:type="spellEnd"/>
      <w:r w:rsidRPr="001B7040">
        <w:t xml:space="preserve">, David. “Dignity in Administrative Law: Judicial Deference in a Culture of </w:t>
      </w:r>
      <w:r>
        <w:t xml:space="preserve">Justification” (2012), 17 </w:t>
      </w:r>
      <w:r>
        <w:rPr>
          <w:i/>
        </w:rPr>
        <w:t xml:space="preserve">Rev. Const. </w:t>
      </w:r>
      <w:r w:rsidRPr="001B7040">
        <w:rPr>
          <w:i/>
        </w:rPr>
        <w:t>Stud.</w:t>
      </w:r>
      <w:r w:rsidRPr="001B7040">
        <w:t xml:space="preserve"> 87.</w:t>
      </w:r>
    </w:p>
    <w:p w:rsidR="00987979" w:rsidRDefault="00D07949" w:rsidP="00CD0774">
      <w:pPr>
        <w:pStyle w:val="SCCNormalDoubleSpacing"/>
        <w:spacing w:after="240" w:line="240" w:lineRule="auto"/>
        <w:ind w:left="540" w:hanging="540"/>
      </w:pPr>
      <w:r>
        <w:lastRenderedPageBreak/>
        <w:t>Evans, John </w:t>
      </w:r>
      <w:r w:rsidR="00772028">
        <w:t xml:space="preserve">M. “Standards of Review in Administrative Law” (2013), 26 </w:t>
      </w:r>
      <w:r w:rsidR="00772028">
        <w:rPr>
          <w:i/>
        </w:rPr>
        <w:t>C.J.A.L.</w:t>
      </w:r>
      <w:r w:rsidR="007C3A49">
        <w:rPr>
          <w:i/>
        </w:rPr>
        <w:t>P. </w:t>
      </w:r>
      <w:r w:rsidR="00772028">
        <w:t>67.</w:t>
      </w:r>
    </w:p>
    <w:p w:rsidR="00772028" w:rsidRPr="00987979" w:rsidRDefault="00D07949" w:rsidP="00CD0774">
      <w:pPr>
        <w:pStyle w:val="SCCNormalDoubleSpacing"/>
        <w:spacing w:after="240" w:line="240" w:lineRule="auto"/>
        <w:ind w:left="540" w:hanging="540"/>
      </w:pPr>
      <w:r>
        <w:t>Evans, John </w:t>
      </w:r>
      <w:r w:rsidR="00987979">
        <w:t xml:space="preserve">M. “Triumph of Reasonableness: But How Much Does It Really Matter?” (2014), 27 </w:t>
      </w:r>
      <w:r w:rsidR="00987979">
        <w:rPr>
          <w:i/>
        </w:rPr>
        <w:t>C.J.A.L.</w:t>
      </w:r>
      <w:r w:rsidR="007C3A49">
        <w:rPr>
          <w:i/>
        </w:rPr>
        <w:t>P. </w:t>
      </w:r>
      <w:r w:rsidR="00987979">
        <w:t>101.</w:t>
      </w:r>
    </w:p>
    <w:p w:rsidR="003D2400" w:rsidRPr="003D2400" w:rsidRDefault="003D2400" w:rsidP="00CD0774">
      <w:pPr>
        <w:pStyle w:val="SCCNormalDoubleSpacing"/>
        <w:spacing w:after="240" w:line="240" w:lineRule="auto"/>
        <w:ind w:left="540" w:hanging="540"/>
      </w:pPr>
      <w:r>
        <w:t>Frankfurter, Felix. “Some Reflection</w:t>
      </w:r>
      <w:r w:rsidR="005E0643">
        <w:t>s</w:t>
      </w:r>
      <w:r>
        <w:t xml:space="preserve"> on the Reading of Statutes” (1947), 47 </w:t>
      </w:r>
      <w:r>
        <w:rPr>
          <w:i/>
        </w:rPr>
        <w:t>Colum. L. Rev.</w:t>
      </w:r>
      <w:r>
        <w:t xml:space="preserve"> 527.</w:t>
      </w:r>
    </w:p>
    <w:p w:rsidR="001E3248" w:rsidRPr="005C5FF5" w:rsidRDefault="00D07949" w:rsidP="00CD0774">
      <w:pPr>
        <w:pStyle w:val="SCCNormalDoubleSpacing"/>
        <w:spacing w:after="240" w:line="240" w:lineRule="auto"/>
        <w:ind w:left="540" w:hanging="540"/>
        <w:rPr>
          <w:lang w:val="en-US"/>
        </w:rPr>
      </w:pPr>
      <w:r w:rsidRPr="00CD0774">
        <w:t>Garner</w:t>
      </w:r>
      <w:r w:rsidRPr="009466ED">
        <w:rPr>
          <w:lang w:val="en-US"/>
        </w:rPr>
        <w:t>, Bryan </w:t>
      </w:r>
      <w:r w:rsidR="001E3248" w:rsidRPr="009466ED">
        <w:rPr>
          <w:lang w:val="en-US"/>
        </w:rPr>
        <w:t xml:space="preserve">A., </w:t>
      </w:r>
      <w:r w:rsidR="005C5FF5" w:rsidRPr="009466ED">
        <w:rPr>
          <w:lang w:val="en-US"/>
        </w:rPr>
        <w:t xml:space="preserve">et </w:t>
      </w:r>
      <w:r w:rsidR="007C3A49" w:rsidRPr="009466ED">
        <w:rPr>
          <w:lang w:val="en-US"/>
        </w:rPr>
        <w:t>al. </w:t>
      </w:r>
      <w:r w:rsidR="005C5FF5" w:rsidRPr="005C5FF5">
        <w:rPr>
          <w:i/>
          <w:lang w:val="en-US"/>
        </w:rPr>
        <w:t>The Law of Judicial Precedent</w:t>
      </w:r>
      <w:r w:rsidR="005C5FF5">
        <w:rPr>
          <w:lang w:val="en-US"/>
        </w:rPr>
        <w:t xml:space="preserve">. </w:t>
      </w:r>
      <w:r w:rsidR="005C5FF5" w:rsidRPr="005C5FF5">
        <w:rPr>
          <w:lang w:val="en-US"/>
        </w:rPr>
        <w:t>St. Paul, Minn</w:t>
      </w:r>
      <w:r w:rsidR="005C5FF5">
        <w:rPr>
          <w:lang w:val="en-US"/>
        </w:rPr>
        <w:t>.: Thomson Reuters, 2016.</w:t>
      </w:r>
    </w:p>
    <w:p w:rsidR="00274B18" w:rsidRDefault="00D07949" w:rsidP="008A142E">
      <w:pPr>
        <w:pStyle w:val="SCCNormalDoubleSpacing"/>
        <w:spacing w:after="240" w:line="240" w:lineRule="auto"/>
        <w:ind w:left="540" w:hanging="540"/>
      </w:pPr>
      <w:r>
        <w:t>Gerhardt, Michael </w:t>
      </w:r>
      <w:r w:rsidR="009102C2">
        <w:t xml:space="preserve">J. </w:t>
      </w:r>
      <w:r w:rsidR="009102C2">
        <w:rPr>
          <w:i/>
        </w:rPr>
        <w:t>The Power of Precedent</w:t>
      </w:r>
      <w:r w:rsidR="009102C2">
        <w:t>. New York: Oxford University Press, 2008.</w:t>
      </w:r>
    </w:p>
    <w:p w:rsidR="00E42ACE" w:rsidRPr="001D7910" w:rsidRDefault="00E42ACE" w:rsidP="008A142E">
      <w:pPr>
        <w:pStyle w:val="SCCNormalDoubleSpacing"/>
        <w:spacing w:after="240" w:line="240" w:lineRule="auto"/>
        <w:ind w:left="540" w:hanging="540"/>
      </w:pPr>
      <w:r>
        <w:t xml:space="preserve">Grant, Angus, and Lorne </w:t>
      </w:r>
      <w:proofErr w:type="spellStart"/>
      <w:r>
        <w:t>Sossin</w:t>
      </w:r>
      <w:proofErr w:type="spellEnd"/>
      <w:r>
        <w:t xml:space="preserve">. “Fairness in Context: Achieving Fairness </w:t>
      </w:r>
      <w:proofErr w:type="gramStart"/>
      <w:r>
        <w:t>Through</w:t>
      </w:r>
      <w:proofErr w:type="gramEnd"/>
      <w:r>
        <w:t xml:space="preserve"> </w:t>
      </w:r>
      <w:r w:rsidRPr="00E42ACE">
        <w:t xml:space="preserve">Access to Administrative Justice”, in Colleen M. Flood and Lorne </w:t>
      </w:r>
      <w:proofErr w:type="spellStart"/>
      <w:r w:rsidRPr="00E42ACE">
        <w:t>Sossin</w:t>
      </w:r>
      <w:proofErr w:type="spellEnd"/>
      <w:r w:rsidRPr="00E42ACE">
        <w:t xml:space="preserve">, eds., </w:t>
      </w:r>
      <w:r w:rsidRPr="00E42ACE">
        <w:rPr>
          <w:i/>
        </w:rPr>
        <w:t>Administrative Law in Context</w:t>
      </w:r>
      <w:r w:rsidRPr="00E42ACE">
        <w:t xml:space="preserve">, 3rd ed. </w:t>
      </w:r>
      <w:r w:rsidRPr="00B47C90">
        <w:t xml:space="preserve">Toronto: </w:t>
      </w:r>
      <w:proofErr w:type="spellStart"/>
      <w:r w:rsidRPr="00B47C90">
        <w:t>Emond</w:t>
      </w:r>
      <w:proofErr w:type="spellEnd"/>
      <w:r w:rsidRPr="00B47C90">
        <w:t>, 2018</w:t>
      </w:r>
      <w:r w:rsidRPr="00E42ACE">
        <w:t>, 341.</w:t>
      </w:r>
    </w:p>
    <w:p w:rsidR="00D97513" w:rsidRPr="00D97513" w:rsidRDefault="00D97513" w:rsidP="00CD0774">
      <w:pPr>
        <w:pStyle w:val="SCCNormalDoubleSpacing"/>
        <w:spacing w:after="240" w:line="240" w:lineRule="auto"/>
        <w:ind w:left="540" w:hanging="540"/>
      </w:pPr>
      <w:r>
        <w:t xml:space="preserve">Green, Andrew. “Can There Be Too Much Context in Administrative Law? Setting the Standard of Review in Canadian Administrative Law” (2014), 47 </w:t>
      </w:r>
      <w:r>
        <w:rPr>
          <w:i/>
        </w:rPr>
        <w:t>U.B.C. L. Rev.</w:t>
      </w:r>
      <w:r>
        <w:t xml:space="preserve"> 443.</w:t>
      </w:r>
    </w:p>
    <w:p w:rsidR="004F3F01" w:rsidRPr="004F3F01" w:rsidRDefault="00D07949" w:rsidP="00CD0774">
      <w:pPr>
        <w:pStyle w:val="SCCNormalDoubleSpacing"/>
        <w:spacing w:after="240" w:line="240" w:lineRule="auto"/>
        <w:ind w:left="540" w:hanging="540"/>
      </w:pPr>
      <w:r>
        <w:t>Hall, Geoff </w:t>
      </w:r>
      <w:r w:rsidR="004F3F01">
        <w:t xml:space="preserve">R. “Two Unsettled Questions in the Law of Contractual Interpretation: A Call to the Supreme Court of Canada” (2011), 50 </w:t>
      </w:r>
      <w:r w:rsidR="004F3F01">
        <w:rPr>
          <w:i/>
        </w:rPr>
        <w:t>Can. Bus. L.J.</w:t>
      </w:r>
      <w:r w:rsidR="004F3F01">
        <w:t xml:space="preserve"> 434.</w:t>
      </w:r>
    </w:p>
    <w:p w:rsidR="005E2E8D" w:rsidRPr="005E2E8D" w:rsidRDefault="005E2E8D" w:rsidP="00CD0774">
      <w:pPr>
        <w:pStyle w:val="SCCNormalDoubleSpacing"/>
        <w:spacing w:after="240" w:line="240" w:lineRule="auto"/>
        <w:ind w:left="540" w:hanging="540"/>
      </w:pPr>
      <w:proofErr w:type="spellStart"/>
      <w:r>
        <w:t>Iacobucci</w:t>
      </w:r>
      <w:proofErr w:type="spellEnd"/>
      <w:r>
        <w:t xml:space="preserve">, Frank. “Articulating a Rational Standard of Review Doctrine: A Tribute to John Willis” (2002), 27 </w:t>
      </w:r>
      <w:r>
        <w:rPr>
          <w:i/>
        </w:rPr>
        <w:t>Queen</w:t>
      </w:r>
      <w:r w:rsidR="008D5707">
        <w:rPr>
          <w:i/>
        </w:rPr>
        <w:t>’</w:t>
      </w:r>
      <w:r>
        <w:rPr>
          <w:i/>
        </w:rPr>
        <w:t>s L.J.</w:t>
      </w:r>
      <w:r>
        <w:t xml:space="preserve"> 859.</w:t>
      </w:r>
    </w:p>
    <w:p w:rsidR="007C0C6E" w:rsidRPr="008C6CE4" w:rsidRDefault="007C0C6E" w:rsidP="008A142E">
      <w:pPr>
        <w:pStyle w:val="SCCNormalDoubleSpacing"/>
        <w:spacing w:after="240" w:line="240" w:lineRule="auto"/>
        <w:ind w:left="540" w:hanging="540"/>
      </w:pPr>
      <w:proofErr w:type="spellStart"/>
      <w:r w:rsidRPr="008C6CE4">
        <w:t>Laskin</w:t>
      </w:r>
      <w:proofErr w:type="spellEnd"/>
      <w:r w:rsidRPr="008C6CE4">
        <w:t xml:space="preserve">, Bora. “Collective Bargaining in Ontario: A New Legislative Approach” (1943), 21 </w:t>
      </w:r>
      <w:r w:rsidRPr="008C6CE4">
        <w:rPr>
          <w:i/>
        </w:rPr>
        <w:t>Can. Bar Rev.</w:t>
      </w:r>
      <w:r w:rsidRPr="008C6CE4">
        <w:t xml:space="preserve"> 684.</w:t>
      </w:r>
    </w:p>
    <w:p w:rsidR="009E27B4" w:rsidRDefault="009E27B4" w:rsidP="008A142E">
      <w:pPr>
        <w:pStyle w:val="SCCNormalDoubleSpacing"/>
        <w:spacing w:after="240" w:line="240" w:lineRule="auto"/>
        <w:ind w:left="540" w:hanging="540"/>
      </w:pPr>
      <w:proofErr w:type="spellStart"/>
      <w:r>
        <w:t>Lewans</w:t>
      </w:r>
      <w:proofErr w:type="spellEnd"/>
      <w:r>
        <w:t xml:space="preserve">, Matthew. </w:t>
      </w:r>
      <w:r>
        <w:rPr>
          <w:i/>
        </w:rPr>
        <w:t>Administrative Law and Judicial Deference</w:t>
      </w:r>
      <w:r>
        <w:t xml:space="preserve">. Portland, </w:t>
      </w:r>
      <w:proofErr w:type="gramStart"/>
      <w:r>
        <w:t>Or.:</w:t>
      </w:r>
      <w:proofErr w:type="gramEnd"/>
      <w:r>
        <w:t xml:space="preserve"> </w:t>
      </w:r>
      <w:r w:rsidRPr="009E27B4">
        <w:t>Hart Publishing,</w:t>
      </w:r>
      <w:r>
        <w:t xml:space="preserve"> 2016.</w:t>
      </w:r>
    </w:p>
    <w:p w:rsidR="002B4C1D" w:rsidRPr="002B4C1D" w:rsidRDefault="002B4C1D" w:rsidP="008A142E">
      <w:pPr>
        <w:pStyle w:val="SCCNormalDoubleSpacing"/>
        <w:spacing w:after="240" w:line="240" w:lineRule="auto"/>
        <w:ind w:left="540" w:hanging="540"/>
      </w:pPr>
      <w:proofErr w:type="spellStart"/>
      <w:r>
        <w:t>Lewans</w:t>
      </w:r>
      <w:proofErr w:type="spellEnd"/>
      <w:r>
        <w:t xml:space="preserve">, Matthew. “Renovating Judicial Review” (2017), 68 </w:t>
      </w:r>
      <w:r>
        <w:rPr>
          <w:i/>
        </w:rPr>
        <w:t xml:space="preserve">U.N.B.L.J. </w:t>
      </w:r>
      <w:r>
        <w:t>109.</w:t>
      </w:r>
    </w:p>
    <w:p w:rsidR="0016415D" w:rsidRDefault="00DE2398" w:rsidP="008A142E">
      <w:pPr>
        <w:pStyle w:val="SCCNormalDoubleSpacing"/>
        <w:spacing w:after="240" w:line="240" w:lineRule="auto"/>
        <w:ind w:left="540" w:hanging="540"/>
      </w:pPr>
      <w:r>
        <w:t>Macd</w:t>
      </w:r>
      <w:r w:rsidR="00496B13">
        <w:t>onald, R.</w:t>
      </w:r>
      <w:r w:rsidR="00D07949">
        <w:t> </w:t>
      </w:r>
      <w:r w:rsidR="00496B13">
        <w:t xml:space="preserve">A. “Absence of Jurisdiction: A Perspective” (1983), 43 </w:t>
      </w:r>
      <w:r w:rsidR="00496B13">
        <w:rPr>
          <w:i/>
        </w:rPr>
        <w:t>R. du B.</w:t>
      </w:r>
      <w:r w:rsidR="00496B13">
        <w:t xml:space="preserve"> 307.</w:t>
      </w:r>
    </w:p>
    <w:p w:rsidR="0016415D" w:rsidRDefault="0016415D" w:rsidP="008A142E">
      <w:pPr>
        <w:pStyle w:val="SCCNormalDoubleSpacing"/>
        <w:spacing w:after="240" w:line="240" w:lineRule="auto"/>
        <w:ind w:left="540" w:hanging="540"/>
      </w:pPr>
      <w:r w:rsidRPr="00890B06">
        <w:t>Macdonald, Roderick A.</w:t>
      </w:r>
      <w:r w:rsidR="00DE2398">
        <w:t>,</w:t>
      </w:r>
      <w:r w:rsidRPr="00890B06">
        <w:t xml:space="preserve"> and David </w:t>
      </w:r>
      <w:proofErr w:type="spellStart"/>
      <w:r w:rsidRPr="00890B06">
        <w:t>Lametti</w:t>
      </w:r>
      <w:proofErr w:type="spellEnd"/>
      <w:r w:rsidRPr="00890B06">
        <w:t xml:space="preserve">. “Reasons for Decision in Administrative Law” (1990), 3 </w:t>
      </w:r>
      <w:r w:rsidRPr="00890B06">
        <w:rPr>
          <w:i/>
        </w:rPr>
        <w:t>C.J.A.L.</w:t>
      </w:r>
      <w:r w:rsidR="007C3A49">
        <w:rPr>
          <w:i/>
        </w:rPr>
        <w:t>P. </w:t>
      </w:r>
      <w:r w:rsidRPr="00890B06">
        <w:t>123.</w:t>
      </w:r>
    </w:p>
    <w:p w:rsidR="0016415D" w:rsidRPr="0016415D" w:rsidRDefault="0016415D" w:rsidP="008A142E">
      <w:pPr>
        <w:pStyle w:val="SCCNormalDoubleSpacing"/>
        <w:spacing w:after="240" w:line="240" w:lineRule="auto"/>
        <w:ind w:left="540" w:hanging="540"/>
      </w:pPr>
      <w:r w:rsidRPr="00890B06">
        <w:rPr>
          <w:lang w:bidi="en-US"/>
        </w:rPr>
        <w:t>Macklin, Audrey. “</w:t>
      </w:r>
      <w:r w:rsidRPr="00890B06">
        <w:rPr>
          <w:lang w:val="en-US" w:bidi="en-US"/>
        </w:rPr>
        <w:t xml:space="preserve">Citizenship Revocation, the Privilege to Have Rights and the Production of the Alien” (2014), 40 </w:t>
      </w:r>
      <w:r w:rsidRPr="00890B06">
        <w:rPr>
          <w:i/>
          <w:lang w:val="en-US" w:bidi="en-US"/>
        </w:rPr>
        <w:t>Queen</w:t>
      </w:r>
      <w:r w:rsidR="008D5707">
        <w:rPr>
          <w:i/>
          <w:lang w:val="en-US" w:bidi="en-US"/>
        </w:rPr>
        <w:t>’</w:t>
      </w:r>
      <w:r w:rsidRPr="00890B06">
        <w:rPr>
          <w:i/>
          <w:lang w:val="en-US" w:bidi="en-US"/>
        </w:rPr>
        <w:t xml:space="preserve">s L.J. </w:t>
      </w:r>
      <w:r w:rsidRPr="00890B06">
        <w:rPr>
          <w:lang w:val="en-US" w:bidi="en-US"/>
        </w:rPr>
        <w:t>1.</w:t>
      </w:r>
    </w:p>
    <w:p w:rsidR="001D7910" w:rsidRPr="001D7910" w:rsidRDefault="001D7910" w:rsidP="008A142E">
      <w:pPr>
        <w:pStyle w:val="SCCNormalDoubleSpacing"/>
        <w:spacing w:after="240" w:line="240" w:lineRule="auto"/>
        <w:ind w:left="540" w:hanging="540"/>
      </w:pPr>
      <w:r w:rsidRPr="00E42ACE">
        <w:t>Macklin, Audrey. “Standard of Review: Back to the Future?</w:t>
      </w:r>
      <w:proofErr w:type="gramStart"/>
      <w:r w:rsidRPr="00E42ACE">
        <w:t>”,</w:t>
      </w:r>
      <w:proofErr w:type="gramEnd"/>
      <w:r w:rsidRPr="00E42ACE">
        <w:t xml:space="preserve"> in Colleen M. Flood and Lorne </w:t>
      </w:r>
      <w:proofErr w:type="spellStart"/>
      <w:r w:rsidRPr="00E42ACE">
        <w:t>Sossin</w:t>
      </w:r>
      <w:proofErr w:type="spellEnd"/>
      <w:r w:rsidRPr="00E42ACE">
        <w:t xml:space="preserve">, eds., </w:t>
      </w:r>
      <w:r w:rsidRPr="00E42ACE">
        <w:rPr>
          <w:i/>
        </w:rPr>
        <w:t>Administrative Law in Context</w:t>
      </w:r>
      <w:r w:rsidRPr="00E42ACE">
        <w:t xml:space="preserve">, 3rd ed. </w:t>
      </w:r>
      <w:r w:rsidR="00B30B1F" w:rsidRPr="00B47C90">
        <w:t xml:space="preserve">Toronto: </w:t>
      </w:r>
      <w:proofErr w:type="spellStart"/>
      <w:r w:rsidR="00B30B1F" w:rsidRPr="00B47C90">
        <w:t>Emond</w:t>
      </w:r>
      <w:proofErr w:type="spellEnd"/>
      <w:r w:rsidR="00B30B1F" w:rsidRPr="00B47C90">
        <w:t>,</w:t>
      </w:r>
      <w:r w:rsidR="00B30B1F" w:rsidRPr="00E42ACE">
        <w:t xml:space="preserve"> 2018,</w:t>
      </w:r>
      <w:r w:rsidRPr="00E42ACE">
        <w:t xml:space="preserve"> 381.</w:t>
      </w:r>
    </w:p>
    <w:p w:rsidR="00F32757" w:rsidRPr="00F32757" w:rsidRDefault="00F32757" w:rsidP="008A142E">
      <w:pPr>
        <w:pStyle w:val="SCCNormalDoubleSpacing"/>
        <w:spacing w:after="240" w:line="240" w:lineRule="auto"/>
        <w:ind w:left="540" w:hanging="540"/>
      </w:pPr>
      <w:r>
        <w:lastRenderedPageBreak/>
        <w:t xml:space="preserve">Madden, Mike. “Conquering the Common Law Hydra: A Probably Correct and Reasonable Overview of Current Standards of Appellate and Judicial Review” (2010), 36 </w:t>
      </w:r>
      <w:r>
        <w:rPr>
          <w:i/>
        </w:rPr>
        <w:t xml:space="preserve">Adv. Q. </w:t>
      </w:r>
      <w:r>
        <w:t>269.</w:t>
      </w:r>
    </w:p>
    <w:p w:rsidR="00924855" w:rsidRPr="00924855" w:rsidRDefault="00924855" w:rsidP="008A142E">
      <w:pPr>
        <w:pStyle w:val="SCCNormalDoubleSpacing"/>
        <w:spacing w:after="240" w:line="240" w:lineRule="auto"/>
        <w:ind w:left="540" w:hanging="540"/>
      </w:pPr>
      <w:proofErr w:type="spellStart"/>
      <w:r>
        <w:t>Makela</w:t>
      </w:r>
      <w:proofErr w:type="spellEnd"/>
      <w:r>
        <w:t xml:space="preserve">, Finn. “Acquired Expertise of Administrative Tribunals and the Standard of Judicial Review: The Case of Grievance Arbitrators and Human Rights Law” (2013), 17 </w:t>
      </w:r>
      <w:r>
        <w:rPr>
          <w:i/>
        </w:rPr>
        <w:t xml:space="preserve">C.L.E.L.J. </w:t>
      </w:r>
      <w:r>
        <w:t>345.</w:t>
      </w:r>
    </w:p>
    <w:p w:rsidR="00895C00" w:rsidRDefault="00895C00" w:rsidP="008A142E">
      <w:pPr>
        <w:pStyle w:val="SCCNormalDoubleSpacing"/>
        <w:spacing w:after="240" w:line="240" w:lineRule="auto"/>
        <w:ind w:left="540" w:hanging="540"/>
      </w:pPr>
      <w:proofErr w:type="spellStart"/>
      <w:r w:rsidRPr="0016415D">
        <w:t>McLachlin</w:t>
      </w:r>
      <w:proofErr w:type="spellEnd"/>
      <w:r w:rsidRPr="0016415D">
        <w:t>, Beverley. “The Roles of Administrative Tribunals and Courts in Ma</w:t>
      </w:r>
      <w:r w:rsidR="00E71F26">
        <w:t>intaining the Rule of Law” (1998</w:t>
      </w:r>
      <w:r w:rsidRPr="0016415D">
        <w:t>), 12</w:t>
      </w:r>
      <w:r w:rsidRPr="0016415D">
        <w:rPr>
          <w:i/>
        </w:rPr>
        <w:t xml:space="preserve"> C.J.A.L.</w:t>
      </w:r>
      <w:r w:rsidR="007C3A49">
        <w:rPr>
          <w:i/>
        </w:rPr>
        <w:t>P. </w:t>
      </w:r>
      <w:r w:rsidRPr="0016415D">
        <w:t>171.</w:t>
      </w:r>
    </w:p>
    <w:p w:rsidR="00425597" w:rsidRPr="00425597" w:rsidRDefault="00895C00" w:rsidP="00425597">
      <w:pPr>
        <w:pStyle w:val="SCCNormalDoubleSpacing"/>
        <w:spacing w:after="240" w:line="240" w:lineRule="auto"/>
        <w:ind w:left="540" w:hanging="540"/>
      </w:pPr>
      <w:proofErr w:type="spellStart"/>
      <w:r w:rsidRPr="00DC01E3">
        <w:t>McLachlin</w:t>
      </w:r>
      <w:proofErr w:type="spellEnd"/>
      <w:r w:rsidRPr="00DC01E3">
        <w:t xml:space="preserve">, Beverley. </w:t>
      </w:r>
      <w:r w:rsidRPr="00DC01E3">
        <w:rPr>
          <w:rStyle w:val="solexhl"/>
          <w:rFonts w:eastAsiaTheme="majorEastAsia"/>
          <w:i/>
          <w:iCs/>
        </w:rPr>
        <w:t>Administrative Tribunals and the Courts</w:t>
      </w:r>
      <w:r w:rsidRPr="00DC01E3">
        <w:rPr>
          <w:i/>
          <w:iCs/>
        </w:rPr>
        <w:t>: An Evolutionary Relationship</w:t>
      </w:r>
      <w:r w:rsidRPr="00DC01E3">
        <w:t>, May 27, 2013 (online: </w:t>
      </w:r>
      <w:r w:rsidR="00BD24E5">
        <w:t>https://www.scc-</w:t>
      </w:r>
      <w:r w:rsidR="00D07949" w:rsidRPr="00DC01E3">
        <w:t>csc.ca/judges</w:t>
      </w:r>
      <w:r w:rsidR="00BD24E5">
        <w:t>-juges/spe-dis/bm-</w:t>
      </w:r>
      <w:r w:rsidR="00D07949" w:rsidRPr="00DC01E3">
        <w:t>2013</w:t>
      </w:r>
      <w:r w:rsidR="00BD24E5">
        <w:t>-</w:t>
      </w:r>
      <w:r w:rsidR="00D07949" w:rsidRPr="00DC01E3">
        <w:t>05</w:t>
      </w:r>
      <w:r w:rsidR="00BD24E5">
        <w:t>-</w:t>
      </w:r>
      <w:r w:rsidR="00D07949" w:rsidRPr="00DC01E3">
        <w:t>27</w:t>
      </w:r>
      <w:r w:rsidR="00BD24E5">
        <w:t>-</w:t>
      </w:r>
      <w:r w:rsidR="00D07949" w:rsidRPr="00DC01E3">
        <w:t>eng.aspx</w:t>
      </w:r>
      <w:r w:rsidR="00D07949" w:rsidRPr="00704649">
        <w:rPr>
          <w:rStyle w:val="Hyperlink"/>
          <w:u w:val="single"/>
          <w:vertAlign w:val="superscript"/>
        </w:rPr>
        <w:t>; </w:t>
      </w:r>
      <w:r w:rsidR="00D07949" w:rsidRPr="00DC01E3">
        <w:t>archived version:</w:t>
      </w:r>
      <w:r w:rsidR="00425597">
        <w:t xml:space="preserve"> </w:t>
      </w:r>
      <w:hyperlink r:id="rId11" w:history="1">
        <w:r w:rsidR="00BD24E5" w:rsidRPr="0026426D">
          <w:rPr>
            <w:rFonts w:eastAsiaTheme="majorEastAsia"/>
          </w:rPr>
          <w:t>https://www.scc-csc.ca/cso-dce/2019SCC-CSC65_2_eng.pdf</w:t>
        </w:r>
      </w:hyperlink>
      <w:r w:rsidR="00425597">
        <w:t>).</w:t>
      </w:r>
    </w:p>
    <w:p w:rsidR="00801BE5" w:rsidRPr="00801BE5" w:rsidRDefault="00801BE5" w:rsidP="008A142E">
      <w:pPr>
        <w:pStyle w:val="SCCNormalDoubleSpacing"/>
        <w:spacing w:after="240" w:line="240" w:lineRule="auto"/>
        <w:ind w:left="540" w:hanging="540"/>
      </w:pPr>
      <w:proofErr w:type="spellStart"/>
      <w:r w:rsidRPr="008C6CE4">
        <w:t>McLachlin</w:t>
      </w:r>
      <w:proofErr w:type="spellEnd"/>
      <w:r w:rsidRPr="008C6CE4">
        <w:t xml:space="preserve">, </w:t>
      </w:r>
      <w:r w:rsidRPr="00895C00">
        <w:t>Beverley. “</w:t>
      </w:r>
      <w:r w:rsidR="008D5707">
        <w:t>‘</w:t>
      </w:r>
      <w:r w:rsidRPr="00895C00">
        <w:t>Administrative</w:t>
      </w:r>
      <w:r>
        <w:t xml:space="preserve"> Law is Not for Sissies</w:t>
      </w:r>
      <w:r w:rsidR="008D5707">
        <w:t>’</w:t>
      </w:r>
      <w:r>
        <w:t xml:space="preserve">: Finding a Path </w:t>
      </w:r>
      <w:proofErr w:type="gramStart"/>
      <w:r>
        <w:t>Through</w:t>
      </w:r>
      <w:proofErr w:type="gramEnd"/>
      <w:r>
        <w:t xml:space="preserve"> the Thicket” (2016), 29 </w:t>
      </w:r>
      <w:r>
        <w:rPr>
          <w:i/>
        </w:rPr>
        <w:t>C.J.A.L.</w:t>
      </w:r>
      <w:r w:rsidR="007C3A49">
        <w:rPr>
          <w:i/>
        </w:rPr>
        <w:t>P. </w:t>
      </w:r>
      <w:r>
        <w:t>127.</w:t>
      </w:r>
    </w:p>
    <w:p w:rsidR="000967E3" w:rsidRPr="009A3174" w:rsidRDefault="009A3174" w:rsidP="00CD0774">
      <w:pPr>
        <w:pStyle w:val="SCCNormalDoubleSpacing"/>
        <w:spacing w:after="240" w:line="240" w:lineRule="auto"/>
        <w:ind w:left="540" w:hanging="540"/>
      </w:pPr>
      <w:proofErr w:type="spellStart"/>
      <w:r w:rsidRPr="008C6CE4">
        <w:t>McLachlin</w:t>
      </w:r>
      <w:proofErr w:type="spellEnd"/>
      <w:r w:rsidRPr="008C6CE4">
        <w:t xml:space="preserve">, </w:t>
      </w:r>
      <w:r w:rsidRPr="00895C00">
        <w:t>Beverley.</w:t>
      </w:r>
      <w:r>
        <w:t xml:space="preserve"> “The Role of the Supreme Court of Canada in Shaping the Common Law”, in Paul Daly, ed., </w:t>
      </w:r>
      <w:r>
        <w:rPr>
          <w:i/>
        </w:rPr>
        <w:t>Apex Courts and the Common Law</w:t>
      </w:r>
      <w:r>
        <w:t>. Toronto: Un</w:t>
      </w:r>
      <w:r w:rsidR="001D701F">
        <w:t>iversity of Toronto Press, 2019, 25.</w:t>
      </w:r>
    </w:p>
    <w:p w:rsidR="0020239D" w:rsidRDefault="00C91A66" w:rsidP="00CD0774">
      <w:pPr>
        <w:pStyle w:val="SCCNormalDoubleSpacing"/>
        <w:spacing w:after="240" w:line="240" w:lineRule="auto"/>
        <w:ind w:left="540" w:hanging="540"/>
      </w:pPr>
      <w:proofErr w:type="spellStart"/>
      <w:r>
        <w:t>Morissette</w:t>
      </w:r>
      <w:proofErr w:type="spellEnd"/>
      <w:r>
        <w:t>, Yves</w:t>
      </w:r>
      <w:r w:rsidR="007C3A49">
        <w:noBreakHyphen/>
      </w:r>
      <w:r>
        <w:t xml:space="preserve">Marie. “What is a </w:t>
      </w:r>
      <w:r w:rsidR="008D5707">
        <w:t>‘</w:t>
      </w:r>
      <w:r>
        <w:t>reasonable decision</w:t>
      </w:r>
      <w:r w:rsidR="008D5707">
        <w:t>’</w:t>
      </w:r>
      <w:r>
        <w:t xml:space="preserve">?” (2018), 31 </w:t>
      </w:r>
      <w:r>
        <w:rPr>
          <w:i/>
        </w:rPr>
        <w:t>C.J.A.L.</w:t>
      </w:r>
      <w:r w:rsidR="007C3A49">
        <w:rPr>
          <w:i/>
        </w:rPr>
        <w:t>P. </w:t>
      </w:r>
      <w:r>
        <w:t>225.</w:t>
      </w:r>
    </w:p>
    <w:p w:rsidR="0016415D" w:rsidRDefault="0020239D" w:rsidP="00CD0774">
      <w:pPr>
        <w:pStyle w:val="SCCNormalDoubleSpacing"/>
        <w:spacing w:after="240" w:line="240" w:lineRule="auto"/>
        <w:ind w:left="540" w:hanging="540"/>
      </w:pPr>
      <w:proofErr w:type="spellStart"/>
      <w:r>
        <w:t>Mullan</w:t>
      </w:r>
      <w:proofErr w:type="spellEnd"/>
      <w:r>
        <w:t xml:space="preserve">, David. “Unresolved Issues on Standard of Review in Canadian Judicial Review of Administrative Action </w:t>
      </w:r>
      <w:r w:rsidR="00D07949">
        <w:t>—</w:t>
      </w:r>
      <w:r>
        <w:t xml:space="preserve"> </w:t>
      </w:r>
      <w:proofErr w:type="gramStart"/>
      <w:r>
        <w:t>The</w:t>
      </w:r>
      <w:proofErr w:type="gramEnd"/>
      <w:r>
        <w:t xml:space="preserve"> Top Fifteen!” (2013), 42 </w:t>
      </w:r>
      <w:r>
        <w:rPr>
          <w:i/>
        </w:rPr>
        <w:t>Adv. Q.</w:t>
      </w:r>
      <w:r>
        <w:t xml:space="preserve"> 1.</w:t>
      </w:r>
    </w:p>
    <w:p w:rsidR="0026569B" w:rsidRPr="008C6CE4" w:rsidRDefault="0026569B" w:rsidP="00CD0774">
      <w:pPr>
        <w:pStyle w:val="SCCNormalDoubleSpacing"/>
        <w:spacing w:after="240" w:line="240" w:lineRule="auto"/>
        <w:ind w:left="540" w:hanging="540"/>
      </w:pPr>
      <w:r w:rsidRPr="008C6CE4">
        <w:t xml:space="preserve">Munro, Katherine. “A </w:t>
      </w:r>
      <w:r w:rsidR="008D5707">
        <w:t>‘</w:t>
      </w:r>
      <w:r w:rsidRPr="008C6CE4">
        <w:t>Unique Experiment</w:t>
      </w:r>
      <w:r w:rsidR="008D5707">
        <w:t>’</w:t>
      </w:r>
      <w:r w:rsidRPr="008C6CE4">
        <w:t>: The Ontario Labour Court, 1943</w:t>
      </w:r>
      <w:r w:rsidR="007C3A49">
        <w:noBreakHyphen/>
      </w:r>
      <w:r w:rsidRPr="008C6CE4">
        <w:t xml:space="preserve">1944” (2014), 74 </w:t>
      </w:r>
      <w:r w:rsidR="00A90C1B">
        <w:rPr>
          <w:i/>
        </w:rPr>
        <w:t>Labour</w:t>
      </w:r>
      <w:r w:rsidRPr="008C6CE4">
        <w:t xml:space="preserve"> 199.</w:t>
      </w:r>
    </w:p>
    <w:p w:rsidR="00535318" w:rsidRPr="00535318" w:rsidRDefault="00D07949" w:rsidP="00CD0774">
      <w:pPr>
        <w:pStyle w:val="SCCNormalDoubleSpacing"/>
        <w:spacing w:after="240" w:line="240" w:lineRule="auto"/>
        <w:ind w:left="540" w:hanging="540"/>
      </w:pPr>
      <w:r>
        <w:t>Pape, Paul J., and John </w:t>
      </w:r>
      <w:r w:rsidR="00535318">
        <w:t>J.</w:t>
      </w:r>
      <w:r w:rsidR="00A1463C" w:rsidRPr="00A1463C">
        <w:t xml:space="preserve"> </w:t>
      </w:r>
      <w:r w:rsidR="00A1463C">
        <w:t>Adair.</w:t>
      </w:r>
      <w:r w:rsidR="00535318">
        <w:t xml:space="preserve"> “Unreasonable review: The losing party and the palpable and overriding error standard” (2008), 27 </w:t>
      </w:r>
      <w:r w:rsidR="00535318">
        <w:rPr>
          <w:i/>
        </w:rPr>
        <w:t xml:space="preserve">Adv. J. </w:t>
      </w:r>
      <w:r w:rsidR="00535318">
        <w:t>6.</w:t>
      </w:r>
    </w:p>
    <w:p w:rsidR="00BE38FD" w:rsidRPr="00BE38FD" w:rsidRDefault="00D07949" w:rsidP="00CD0774">
      <w:pPr>
        <w:pStyle w:val="SCCNormalDoubleSpacing"/>
        <w:spacing w:after="240" w:line="240" w:lineRule="auto"/>
        <w:ind w:left="540" w:hanging="540"/>
      </w:pPr>
      <w:proofErr w:type="spellStart"/>
      <w:r>
        <w:t>Perell</w:t>
      </w:r>
      <w:proofErr w:type="spellEnd"/>
      <w:r>
        <w:t>, Paul </w:t>
      </w:r>
      <w:r w:rsidR="00BE38FD">
        <w:t xml:space="preserve">M. “The Standard of Appellate Review and </w:t>
      </w:r>
      <w:proofErr w:type="gramStart"/>
      <w:r w:rsidR="00BE38FD">
        <w:t>The</w:t>
      </w:r>
      <w:proofErr w:type="gramEnd"/>
      <w:r w:rsidR="00BE38FD">
        <w:t xml:space="preserve"> Ironies of </w:t>
      </w:r>
      <w:proofErr w:type="spellStart"/>
      <w:r w:rsidR="00BE38FD">
        <w:t>Housen</w:t>
      </w:r>
      <w:proofErr w:type="spellEnd"/>
      <w:r w:rsidR="00BE38FD">
        <w:t xml:space="preserve"> v. </w:t>
      </w:r>
      <w:proofErr w:type="spellStart"/>
      <w:r w:rsidR="00BE38FD">
        <w:t>Nikolaisen</w:t>
      </w:r>
      <w:proofErr w:type="spellEnd"/>
      <w:r w:rsidR="00BE38FD">
        <w:t xml:space="preserve">” (2004), 28 </w:t>
      </w:r>
      <w:r w:rsidR="00BE38FD">
        <w:rPr>
          <w:i/>
        </w:rPr>
        <w:t>Adv. Q.</w:t>
      </w:r>
      <w:r w:rsidR="00A1463C">
        <w:t xml:space="preserve"> 40</w:t>
      </w:r>
      <w:r w:rsidR="00BE38FD">
        <w:t>.</w:t>
      </w:r>
    </w:p>
    <w:p w:rsidR="004A2FA5" w:rsidRPr="004A2FA5" w:rsidRDefault="00D07949" w:rsidP="00CD0774">
      <w:pPr>
        <w:pStyle w:val="SCCNormalDoubleSpacing"/>
        <w:spacing w:after="240" w:line="240" w:lineRule="auto"/>
        <w:ind w:left="540" w:hanging="540"/>
      </w:pPr>
      <w:r>
        <w:t>Powell, Lewis </w:t>
      </w:r>
      <w:r w:rsidR="004A2FA5">
        <w:t>F., Jr. “</w:t>
      </w:r>
      <w:r w:rsidR="004A2FA5">
        <w:rPr>
          <w:i/>
        </w:rPr>
        <w:t>Stare Decisis</w:t>
      </w:r>
      <w:r w:rsidR="004A2FA5">
        <w:t xml:space="preserve"> and Judicial Restraint” (1990), 47 </w:t>
      </w:r>
      <w:r w:rsidR="004A2FA5">
        <w:rPr>
          <w:i/>
        </w:rPr>
        <w:t>Wash. &amp; Lee L. Rev.</w:t>
      </w:r>
      <w:r w:rsidR="004A2FA5">
        <w:t xml:space="preserve"> 281.</w:t>
      </w:r>
    </w:p>
    <w:p w:rsidR="00E42ACE" w:rsidRDefault="00FB29C5" w:rsidP="00CD0774">
      <w:pPr>
        <w:pStyle w:val="SCCNormalDoubleSpacing"/>
        <w:spacing w:after="240" w:line="240" w:lineRule="auto"/>
        <w:ind w:left="540" w:hanging="540"/>
      </w:pPr>
      <w:proofErr w:type="spellStart"/>
      <w:r w:rsidRPr="008C6CE4">
        <w:t>Régimbald</w:t>
      </w:r>
      <w:proofErr w:type="spellEnd"/>
      <w:r w:rsidRPr="008C6CE4">
        <w:t>, Guy. </w:t>
      </w:r>
      <w:r w:rsidRPr="008C6CE4">
        <w:rPr>
          <w:i/>
          <w:iCs/>
        </w:rPr>
        <w:t>Canadian Administrative Law</w:t>
      </w:r>
      <w:r w:rsidRPr="008C6CE4">
        <w:t>, 2nd ed. Markham, Ont.: LexisNexis, 2015.</w:t>
      </w:r>
    </w:p>
    <w:p w:rsidR="00FB5F82" w:rsidRDefault="00FB5F82" w:rsidP="00CD0774">
      <w:pPr>
        <w:pStyle w:val="SCCNormalDoubleSpacing"/>
        <w:spacing w:after="240" w:line="240" w:lineRule="auto"/>
        <w:ind w:left="540" w:hanging="540"/>
      </w:pPr>
      <w:r>
        <w:t xml:space="preserve">Robertson, Joseph T. “Judicial Deference to Administrative Tribunals: A Guide to 60 Years of Supreme Court Jurisprudence” (2014), 66 </w:t>
      </w:r>
      <w:r>
        <w:rPr>
          <w:i/>
        </w:rPr>
        <w:t xml:space="preserve">S.C.L.R. </w:t>
      </w:r>
      <w:r>
        <w:t>(2d) 1.</w:t>
      </w:r>
    </w:p>
    <w:p w:rsidR="00A37181" w:rsidRDefault="00D07949" w:rsidP="00CD0774">
      <w:pPr>
        <w:pStyle w:val="SCCNormalDoubleSpacing"/>
        <w:spacing w:after="240" w:line="240" w:lineRule="auto"/>
        <w:ind w:left="540" w:hanging="540"/>
      </w:pPr>
      <w:r>
        <w:t>Robertson, Joseph </w:t>
      </w:r>
      <w:r w:rsidR="002C4DB6">
        <w:t xml:space="preserve">T. “Identifying the Review Standard: Administrative Deference in </w:t>
      </w:r>
      <w:r w:rsidR="002C4DB6" w:rsidRPr="00A37181">
        <w:t xml:space="preserve">a Nutshell” (2017), 68 </w:t>
      </w:r>
      <w:r w:rsidR="002C4DB6" w:rsidRPr="00A37181">
        <w:rPr>
          <w:i/>
        </w:rPr>
        <w:t>U.N.B.L.J.</w:t>
      </w:r>
      <w:r w:rsidR="002C4DB6" w:rsidRPr="00A37181">
        <w:t xml:space="preserve"> 145.</w:t>
      </w:r>
    </w:p>
    <w:p w:rsidR="0023506A" w:rsidRPr="008C6CE4" w:rsidRDefault="0023506A" w:rsidP="008A142E">
      <w:pPr>
        <w:pStyle w:val="SCCNormalDoubleSpacing"/>
        <w:spacing w:after="240" w:line="240" w:lineRule="auto"/>
        <w:ind w:left="540" w:hanging="540"/>
      </w:pPr>
      <w:r w:rsidRPr="00DC01E3">
        <w:lastRenderedPageBreak/>
        <w:t>Robertson, Joseph</w:t>
      </w:r>
      <w:r w:rsidR="00D07949" w:rsidRPr="00DC01E3">
        <w:t> </w:t>
      </w:r>
      <w:r w:rsidRPr="00DC01E3">
        <w:t xml:space="preserve">T. </w:t>
      </w:r>
      <w:r w:rsidRPr="00DC01E3">
        <w:rPr>
          <w:rStyle w:val="solexhl"/>
          <w:rFonts w:eastAsiaTheme="majorEastAsia"/>
          <w:i/>
          <w:iCs/>
        </w:rPr>
        <w:t>Administrative Deference: The Canadian Doctrine that Continues to Disappoint</w:t>
      </w:r>
      <w:r w:rsidR="00D07949" w:rsidRPr="00DC01E3">
        <w:t>, April </w:t>
      </w:r>
      <w:r w:rsidRPr="00DC01E3">
        <w:t>18, 2018 (online: </w:t>
      </w:r>
      <w:r w:rsidR="00D07949" w:rsidRPr="00DC01E3">
        <w:t>https://poseidon01.ssrn.com/delivery.php?ID=025078121121077073088100069023108009116008031085056044126101104009101077075091124065033020049102118033018088023122126069087098105041060022013112086123073102103009066006050071070102011006127090124116080089064120081125100127104100026094125015101089105111&amp;EXT=pdf</w:t>
      </w:r>
      <w:r w:rsidR="00D07949" w:rsidRPr="00704649">
        <w:rPr>
          <w:rStyle w:val="Hyperlink"/>
          <w:u w:val="single"/>
          <w:vertAlign w:val="superscript"/>
        </w:rPr>
        <w:t>; </w:t>
      </w:r>
      <w:r w:rsidR="00D07949" w:rsidRPr="00DC01E3">
        <w:t>archived version:</w:t>
      </w:r>
      <w:r w:rsidR="00DC01E3" w:rsidRPr="00DC01E3">
        <w:t xml:space="preserve"> </w:t>
      </w:r>
      <w:hyperlink r:id="rId12" w:history="1">
        <w:r w:rsidR="00DC01E3" w:rsidRPr="0026426D">
          <w:t>https://www.scc-csc.ca/cso-dce/2019SCC-CSC65_3_eng.pd</w:t>
        </w:r>
        <w:r w:rsidR="00DC01E3" w:rsidRPr="00DC01E3">
          <w:rPr>
            <w:color w:val="0000FF"/>
            <w:u w:val="single"/>
          </w:rPr>
          <w:t>f</w:t>
        </w:r>
      </w:hyperlink>
      <w:r w:rsidRPr="00DC01E3">
        <w:t>).</w:t>
      </w:r>
    </w:p>
    <w:p w:rsidR="00A37181" w:rsidRPr="00A37181" w:rsidRDefault="00A37181" w:rsidP="00CD0774">
      <w:pPr>
        <w:pStyle w:val="SCCNormalDoubleSpacing"/>
        <w:spacing w:after="240" w:line="240" w:lineRule="auto"/>
        <w:ind w:left="540" w:hanging="540"/>
      </w:pPr>
      <w:r w:rsidRPr="00890B06">
        <w:t>Sharpe, Robert</w:t>
      </w:r>
      <w:r w:rsidR="00D07949">
        <w:t> </w:t>
      </w:r>
      <w:r w:rsidRPr="00890B06">
        <w:t xml:space="preserve">J. </w:t>
      </w:r>
      <w:r w:rsidRPr="00890B06">
        <w:rPr>
          <w:i/>
        </w:rPr>
        <w:t>Good Judgment</w:t>
      </w:r>
      <w:r w:rsidR="0078752F">
        <w:rPr>
          <w:i/>
        </w:rPr>
        <w:t>: Making Judicial Decisions</w:t>
      </w:r>
      <w:r w:rsidRPr="00890B06">
        <w:t>. Toronto: University of Toronto Press, 2018.</w:t>
      </w:r>
    </w:p>
    <w:p w:rsidR="006E1042" w:rsidRPr="00A37181" w:rsidRDefault="00B53D96" w:rsidP="008A142E">
      <w:pPr>
        <w:pStyle w:val="SCCNormalDoubleSpacing"/>
        <w:spacing w:after="240" w:line="240" w:lineRule="auto"/>
        <w:ind w:left="540" w:hanging="540"/>
      </w:pPr>
      <w:r w:rsidRPr="00A37181">
        <w:t>Stacey, Jocelyn, and Alice Woolley.</w:t>
      </w:r>
      <w:r w:rsidR="006E1042" w:rsidRPr="00A37181">
        <w:t xml:space="preserve"> “Can Pragmatism Function in Administr</w:t>
      </w:r>
      <w:r w:rsidRPr="00A37181">
        <w:t>ative Law?”</w:t>
      </w:r>
      <w:r w:rsidR="006E1042" w:rsidRPr="00A37181">
        <w:t xml:space="preserve"> (2016)</w:t>
      </w:r>
      <w:r w:rsidRPr="00A37181">
        <w:t>,</w:t>
      </w:r>
      <w:r w:rsidR="006E1042" w:rsidRPr="00A37181">
        <w:t xml:space="preserve"> 74 </w:t>
      </w:r>
      <w:r w:rsidR="006E1042" w:rsidRPr="00A37181">
        <w:rPr>
          <w:i/>
        </w:rPr>
        <w:t>S.C.L.R.</w:t>
      </w:r>
      <w:r w:rsidR="006E1042" w:rsidRPr="00A37181">
        <w:t xml:space="preserve"> (2d) 211</w:t>
      </w:r>
      <w:r w:rsidR="009520D8" w:rsidRPr="00A37181">
        <w:t>.</w:t>
      </w:r>
    </w:p>
    <w:p w:rsidR="00A37181" w:rsidRPr="00A37181" w:rsidRDefault="00D07949" w:rsidP="008A142E">
      <w:pPr>
        <w:pStyle w:val="SCCNormalDoubleSpacing"/>
        <w:spacing w:after="240" w:line="240" w:lineRule="auto"/>
        <w:ind w:left="540" w:hanging="540"/>
      </w:pPr>
      <w:r>
        <w:t>Stack, Kevin </w:t>
      </w:r>
      <w:r w:rsidR="00AA3CB1" w:rsidRPr="00A37181">
        <w:t xml:space="preserve">M. “Overcoming Dicey in Administrative Law” (2018), 68 </w:t>
      </w:r>
      <w:r w:rsidR="00AA3CB1" w:rsidRPr="00A37181">
        <w:rPr>
          <w:i/>
        </w:rPr>
        <w:t>U.T.L.J.</w:t>
      </w:r>
      <w:r w:rsidR="00AA3CB1" w:rsidRPr="00A37181">
        <w:t xml:space="preserve"> 293.</w:t>
      </w:r>
    </w:p>
    <w:p w:rsidR="00A37181" w:rsidRPr="00A37181" w:rsidRDefault="00A37181" w:rsidP="008A142E">
      <w:pPr>
        <w:pStyle w:val="SCCNormalDoubleSpacing"/>
        <w:spacing w:after="240" w:line="240" w:lineRule="auto"/>
        <w:ind w:left="540" w:hanging="540"/>
      </w:pPr>
      <w:proofErr w:type="spellStart"/>
      <w:r w:rsidRPr="00890B06">
        <w:t>Stratas</w:t>
      </w:r>
      <w:proofErr w:type="spellEnd"/>
      <w:r w:rsidRPr="00890B06">
        <w:t>, David. “The Canadian Law of Judicial Review: A Plea for Doctrinal Coherence and Consistency</w:t>
      </w:r>
      <w:r w:rsidR="005E16B3">
        <w:t>”</w:t>
      </w:r>
      <w:r w:rsidRPr="00890B06">
        <w:t xml:space="preserve"> (2016), 42 </w:t>
      </w:r>
      <w:r w:rsidRPr="00890B06">
        <w:rPr>
          <w:i/>
        </w:rPr>
        <w:t>Queen</w:t>
      </w:r>
      <w:r w:rsidR="008D5707">
        <w:rPr>
          <w:i/>
        </w:rPr>
        <w:t>’</w:t>
      </w:r>
      <w:r w:rsidRPr="00890B06">
        <w:rPr>
          <w:i/>
        </w:rPr>
        <w:t>s L.J.</w:t>
      </w:r>
      <w:r w:rsidRPr="00890B06">
        <w:t xml:space="preserve"> 27.</w:t>
      </w:r>
    </w:p>
    <w:p w:rsidR="00A37181" w:rsidRDefault="00A37181" w:rsidP="008A142E">
      <w:pPr>
        <w:pStyle w:val="SCCNormalDoubleSpacing"/>
        <w:spacing w:after="240" w:line="240" w:lineRule="auto"/>
        <w:ind w:left="540" w:hanging="540"/>
      </w:pPr>
      <w:r w:rsidRPr="00890B06">
        <w:rPr>
          <w:lang w:val="en"/>
        </w:rPr>
        <w:t xml:space="preserve">Sullivan, Ruth. </w:t>
      </w:r>
      <w:r w:rsidRPr="00890B06">
        <w:rPr>
          <w:i/>
          <w:iCs/>
          <w:lang w:val="en"/>
        </w:rPr>
        <w:t>Sullivan on the Construction of Statutes</w:t>
      </w:r>
      <w:r w:rsidRPr="00890B06">
        <w:rPr>
          <w:lang w:val="en"/>
        </w:rPr>
        <w:t>, 6th</w:t>
      </w:r>
      <w:r w:rsidRPr="00890B06">
        <w:rPr>
          <w:vertAlign w:val="superscript"/>
          <w:lang w:val="en"/>
        </w:rPr>
        <w:t xml:space="preserve"> </w:t>
      </w:r>
      <w:r w:rsidRPr="00A37181">
        <w:rPr>
          <w:lang w:val="en"/>
        </w:rPr>
        <w:t xml:space="preserve">ed. </w:t>
      </w:r>
      <w:r w:rsidRPr="00890B06">
        <w:rPr>
          <w:lang w:val="en"/>
        </w:rPr>
        <w:t>Markham, Ont.: LexisNexis, 2014.</w:t>
      </w:r>
    </w:p>
    <w:p w:rsidR="00A37181" w:rsidRDefault="00A37181" w:rsidP="008A142E">
      <w:pPr>
        <w:pStyle w:val="SCCNormalDoubleSpacing"/>
        <w:spacing w:after="240" w:line="240" w:lineRule="auto"/>
        <w:ind w:left="540" w:hanging="540"/>
      </w:pPr>
      <w:r>
        <w:rPr>
          <w:rStyle w:val="solexhl"/>
          <w:rFonts w:eastAsiaTheme="majorEastAsia"/>
          <w:color w:val="000000"/>
        </w:rPr>
        <w:t>Sullivan</w:t>
      </w:r>
      <w:r>
        <w:rPr>
          <w:color w:val="000000"/>
        </w:rPr>
        <w:t>, </w:t>
      </w:r>
      <w:r>
        <w:rPr>
          <w:rStyle w:val="solexhl"/>
          <w:rFonts w:eastAsiaTheme="majorEastAsia"/>
          <w:color w:val="000000"/>
        </w:rPr>
        <w:t>Ruth</w:t>
      </w:r>
      <w:r>
        <w:rPr>
          <w:color w:val="000000"/>
        </w:rPr>
        <w:t>. </w:t>
      </w:r>
      <w:r>
        <w:rPr>
          <w:rStyle w:val="solexhl"/>
          <w:rFonts w:eastAsiaTheme="majorEastAsia"/>
          <w:i/>
          <w:iCs/>
          <w:color w:val="000000"/>
        </w:rPr>
        <w:t>Statutory</w:t>
      </w:r>
      <w:r>
        <w:rPr>
          <w:i/>
          <w:iCs/>
          <w:color w:val="000000"/>
        </w:rPr>
        <w:t> </w:t>
      </w:r>
      <w:r>
        <w:rPr>
          <w:rStyle w:val="solexhl"/>
          <w:rFonts w:eastAsiaTheme="majorEastAsia"/>
          <w:i/>
          <w:iCs/>
          <w:color w:val="000000"/>
        </w:rPr>
        <w:t>Interpretation</w:t>
      </w:r>
      <w:r>
        <w:rPr>
          <w:color w:val="000000"/>
        </w:rPr>
        <w:t>, 3rd ed. Toronto: Irwin Law, 2016.</w:t>
      </w:r>
    </w:p>
    <w:p w:rsidR="00F3318D" w:rsidRPr="008C6CE4" w:rsidRDefault="00F3318D" w:rsidP="008A142E">
      <w:pPr>
        <w:pStyle w:val="SCCNormalDoubleSpacing"/>
        <w:spacing w:after="240" w:line="240" w:lineRule="auto"/>
        <w:ind w:left="540" w:hanging="540"/>
      </w:pPr>
      <w:r w:rsidRPr="008C6CE4">
        <w:t xml:space="preserve">Van </w:t>
      </w:r>
      <w:proofErr w:type="spellStart"/>
      <w:r w:rsidRPr="008C6CE4">
        <w:t>Harten</w:t>
      </w:r>
      <w:proofErr w:type="spellEnd"/>
      <w:r w:rsidRPr="008C6CE4">
        <w:t>, Gus, et </w:t>
      </w:r>
      <w:r w:rsidR="007C3A49">
        <w:rPr>
          <w:rStyle w:val="solexhl"/>
          <w:rFonts w:eastAsiaTheme="majorEastAsia"/>
        </w:rPr>
        <w:t>al. </w:t>
      </w:r>
      <w:r w:rsidRPr="008C6CE4">
        <w:rPr>
          <w:i/>
          <w:iCs/>
        </w:rPr>
        <w:t>Administrative Law: Cases, Text, and Materials</w:t>
      </w:r>
      <w:r w:rsidRPr="008C6CE4">
        <w:t xml:space="preserve">, 7th ed. </w:t>
      </w:r>
      <w:r w:rsidRPr="00B47C90">
        <w:t xml:space="preserve">Toronto: </w:t>
      </w:r>
      <w:proofErr w:type="spellStart"/>
      <w:r w:rsidR="00B47C90" w:rsidRPr="00B47C90">
        <w:t>Emond</w:t>
      </w:r>
      <w:proofErr w:type="spellEnd"/>
      <w:r w:rsidRPr="00B47C90">
        <w:t>, 2015.</w:t>
      </w:r>
    </w:p>
    <w:p w:rsidR="00A40C57" w:rsidRPr="00A40C57" w:rsidRDefault="00A40C57" w:rsidP="008A142E">
      <w:pPr>
        <w:pStyle w:val="SCCNormalDoubleSpacing"/>
        <w:spacing w:after="240" w:line="240" w:lineRule="auto"/>
        <w:ind w:left="540" w:hanging="540"/>
      </w:pPr>
      <w:r>
        <w:t>Waldron, Jeremy. “</w:t>
      </w:r>
      <w:r w:rsidRPr="00985E70">
        <w:rPr>
          <w:i/>
        </w:rPr>
        <w:t>Stare Decisis</w:t>
      </w:r>
      <w:r>
        <w:t xml:space="preserve"> and the Rule of Law: A Layered Approach” (2012), 111 </w:t>
      </w:r>
      <w:r>
        <w:rPr>
          <w:i/>
        </w:rPr>
        <w:t>Mi</w:t>
      </w:r>
      <w:r w:rsidR="007C3A49">
        <w:rPr>
          <w:i/>
        </w:rPr>
        <w:t>ch. </w:t>
      </w:r>
      <w:r>
        <w:rPr>
          <w:i/>
        </w:rPr>
        <w:t xml:space="preserve">L. Rev. </w:t>
      </w:r>
      <w:r>
        <w:t>1.</w:t>
      </w:r>
    </w:p>
    <w:p w:rsidR="00775CBF" w:rsidRPr="008C6CE4" w:rsidRDefault="00636FEC" w:rsidP="00E912BB">
      <w:pPr>
        <w:pStyle w:val="SCCNormalDoubleSpacing"/>
        <w:spacing w:after="720" w:line="240" w:lineRule="auto"/>
        <w:ind w:left="1168" w:hanging="1168"/>
      </w:pPr>
      <w:r>
        <w:t>Willes, John </w:t>
      </w:r>
      <w:r w:rsidR="00775CBF" w:rsidRPr="008C6CE4">
        <w:t xml:space="preserve">A. </w:t>
      </w:r>
      <w:r w:rsidR="00775CBF" w:rsidRPr="008C6CE4">
        <w:rPr>
          <w:i/>
        </w:rPr>
        <w:t>The Ontario Labour Court: 1943</w:t>
      </w:r>
      <w:r w:rsidR="007C3A49">
        <w:rPr>
          <w:i/>
        </w:rPr>
        <w:noBreakHyphen/>
      </w:r>
      <w:r w:rsidR="00775CBF" w:rsidRPr="008C6CE4">
        <w:rPr>
          <w:i/>
        </w:rPr>
        <w:t>1944</w:t>
      </w:r>
      <w:r w:rsidR="00775CBF" w:rsidRPr="008C6CE4">
        <w:t>. Kingston, Ont.: </w:t>
      </w:r>
      <w:r w:rsidR="00775CBF" w:rsidRPr="008C6CE4">
        <w:rPr>
          <w:rStyle w:val="solexhl"/>
          <w:rFonts w:eastAsiaTheme="majorEastAsia"/>
        </w:rPr>
        <w:t>Industrial Relations Centre</w:t>
      </w:r>
      <w:r w:rsidR="00775CBF" w:rsidRPr="008C6CE4">
        <w:t>, Queen</w:t>
      </w:r>
      <w:r w:rsidR="008D5707">
        <w:t>’</w:t>
      </w:r>
      <w:r w:rsidR="00775CBF" w:rsidRPr="008C6CE4">
        <w:t>s University, 1979.</w:t>
      </w:r>
    </w:p>
    <w:p w:rsidR="0020689C" w:rsidRDefault="00CF74B7" w:rsidP="00E912BB">
      <w:pPr>
        <w:pStyle w:val="SCCNormalDoubleSpacing"/>
        <w:spacing w:after="480"/>
      </w:pPr>
      <w:r w:rsidRPr="001426A9">
        <w:tab/>
        <w:t xml:space="preserve">APPEAL from a judgment of the </w:t>
      </w:r>
      <w:r>
        <w:t>Federal Court of Appeal</w:t>
      </w:r>
      <w:r w:rsidR="002D0D72">
        <w:t xml:space="preserve"> (</w:t>
      </w:r>
      <w:proofErr w:type="spellStart"/>
      <w:r w:rsidR="002D0D72">
        <w:t>Stratas</w:t>
      </w:r>
      <w:proofErr w:type="spellEnd"/>
      <w:r w:rsidR="0020689C">
        <w:t>, Web</w:t>
      </w:r>
      <w:r w:rsidR="00C776DA">
        <w:t>b</w:t>
      </w:r>
      <w:r w:rsidR="0020689C">
        <w:t xml:space="preserve"> and Gleason JJ.A.), 2017 FCA 132</w:t>
      </w:r>
      <w:r w:rsidR="000C5E2D">
        <w:t xml:space="preserve">, </w:t>
      </w:r>
      <w:r w:rsidR="00A92C13">
        <w:t xml:space="preserve">[2018] 3 F.C.R. 75, </w:t>
      </w:r>
      <w:r w:rsidR="000C5E2D">
        <w:t xml:space="preserve">52 </w:t>
      </w:r>
      <w:proofErr w:type="spellStart"/>
      <w:r w:rsidR="000C5E2D">
        <w:t>Imm</w:t>
      </w:r>
      <w:proofErr w:type="spellEnd"/>
      <w:r w:rsidR="000C5E2D">
        <w:t xml:space="preserve">. L.R. (4th) 1, 30 Admin. L.R. (6th) 1, [2017] F.C.J. </w:t>
      </w:r>
      <w:r w:rsidR="007C3A49">
        <w:t>No. </w:t>
      </w:r>
      <w:r w:rsidR="000C5E2D">
        <w:t xml:space="preserve">638 (QL), 2017 </w:t>
      </w:r>
      <w:proofErr w:type="spellStart"/>
      <w:r w:rsidR="000C5E2D">
        <w:t>CarswellNat</w:t>
      </w:r>
      <w:proofErr w:type="spellEnd"/>
      <w:r w:rsidR="000C5E2D">
        <w:t xml:space="preserve"> 2791 (WL Can.), </w:t>
      </w:r>
      <w:r w:rsidR="000C5E2D" w:rsidRPr="00997CAF">
        <w:t>s</w:t>
      </w:r>
      <w:r w:rsidR="0020689C" w:rsidRPr="00997CAF">
        <w:t>etting aside a decision</w:t>
      </w:r>
      <w:r w:rsidR="0020689C">
        <w:t xml:space="preserve"> of </w:t>
      </w:r>
      <w:r w:rsidR="0019420A">
        <w:t xml:space="preserve">Bell J., 2015 FC 960, [2016] 2 F.C.R. 39, </w:t>
      </w:r>
      <w:r w:rsidR="00A92C13">
        <w:t xml:space="preserve">38 </w:t>
      </w:r>
      <w:proofErr w:type="spellStart"/>
      <w:r w:rsidR="00A92C13">
        <w:t>Imm</w:t>
      </w:r>
      <w:proofErr w:type="spellEnd"/>
      <w:r w:rsidR="00A92C13">
        <w:t>. L.R. (4</w:t>
      </w:r>
      <w:r w:rsidR="00A92C13" w:rsidRPr="00A92C13">
        <w:t>th</w:t>
      </w:r>
      <w:r w:rsidR="00A92C13">
        <w:t>) 110, [2015]</w:t>
      </w:r>
      <w:r w:rsidR="0019420A">
        <w:t xml:space="preserve"> F.C.J. </w:t>
      </w:r>
      <w:r w:rsidR="007C3A49">
        <w:t>No. </w:t>
      </w:r>
      <w:r w:rsidR="0019420A">
        <w:t xml:space="preserve">981 (QL), 2015 </w:t>
      </w:r>
      <w:proofErr w:type="spellStart"/>
      <w:r w:rsidR="0019420A">
        <w:t>Carswe</w:t>
      </w:r>
      <w:r w:rsidR="00A92C13">
        <w:t>llNat</w:t>
      </w:r>
      <w:proofErr w:type="spellEnd"/>
      <w:r w:rsidR="00A92C13">
        <w:t xml:space="preserve"> 3740 (WL Can.). Appeal </w:t>
      </w:r>
      <w:r w:rsidR="00675379" w:rsidRPr="00997CAF">
        <w:t>dismissed</w:t>
      </w:r>
      <w:r w:rsidR="009932E7" w:rsidRPr="00997CAF">
        <w:t>.</w:t>
      </w:r>
    </w:p>
    <w:p w:rsidR="00EA2B5B" w:rsidRDefault="00872612" w:rsidP="00E912BB">
      <w:pPr>
        <w:pStyle w:val="SCCNormalDoubleSpacing"/>
        <w:spacing w:after="480"/>
      </w:pPr>
      <w:r>
        <w:rPr>
          <w:rStyle w:val="SCCCounselNameChar"/>
        </w:rPr>
        <w:lastRenderedPageBreak/>
        <w:tab/>
      </w:r>
      <w:r w:rsidR="009E643E">
        <w:rPr>
          <w:rStyle w:val="SCCCounselNameChar"/>
        </w:rPr>
        <w:t>Michael H. Morris</w:t>
      </w:r>
      <w:r w:rsidR="009E643E" w:rsidRPr="009E643E">
        <w:rPr>
          <w:rStyle w:val="SCCCounselNameChar"/>
          <w:i w:val="0"/>
        </w:rPr>
        <w:t>,</w:t>
      </w:r>
      <w:r w:rsidR="009E643E">
        <w:rPr>
          <w:rStyle w:val="SCCCounselNameChar"/>
        </w:rPr>
        <w:t xml:space="preserve"> </w:t>
      </w:r>
      <w:r w:rsidR="00C776DA">
        <w:rPr>
          <w:rStyle w:val="SCCCounselNameChar"/>
        </w:rPr>
        <w:t xml:space="preserve">Marianne </w:t>
      </w:r>
      <w:proofErr w:type="spellStart"/>
      <w:r w:rsidR="00C776DA">
        <w:rPr>
          <w:rStyle w:val="SCCCounselNameChar"/>
        </w:rPr>
        <w:t>Zorić</w:t>
      </w:r>
      <w:proofErr w:type="spellEnd"/>
      <w:r w:rsidR="009E643E">
        <w:rPr>
          <w:rStyle w:val="SCCCounselNameChar"/>
          <w:i w:val="0"/>
        </w:rPr>
        <w:t xml:space="preserve"> and </w:t>
      </w:r>
      <w:r w:rsidR="009E643E">
        <w:rPr>
          <w:rStyle w:val="SCCCounselNameChar"/>
        </w:rPr>
        <w:t xml:space="preserve">John </w:t>
      </w:r>
      <w:proofErr w:type="spellStart"/>
      <w:r w:rsidR="009E643E">
        <w:rPr>
          <w:rStyle w:val="SCCCounselNameChar"/>
        </w:rPr>
        <w:t>Provart</w:t>
      </w:r>
      <w:proofErr w:type="spellEnd"/>
      <w:r w:rsidR="00C776DA">
        <w:rPr>
          <w:rStyle w:val="SCCCounselPartyRoleChar"/>
        </w:rPr>
        <w:t>, for the appellant.</w:t>
      </w:r>
    </w:p>
    <w:p w:rsidR="00C776DA" w:rsidRDefault="00872612" w:rsidP="00E912BB">
      <w:pPr>
        <w:pStyle w:val="SCCNormalDoubleSpacing"/>
        <w:spacing w:after="480"/>
        <w:rPr>
          <w:rStyle w:val="SCCCounselNameChar"/>
          <w:i w:val="0"/>
        </w:rPr>
      </w:pPr>
      <w:r>
        <w:rPr>
          <w:rStyle w:val="SCCCounselNameChar"/>
        </w:rPr>
        <w:tab/>
      </w:r>
      <w:proofErr w:type="spellStart"/>
      <w:r w:rsidR="00C776DA">
        <w:rPr>
          <w:rStyle w:val="SCCCounselNameChar"/>
        </w:rPr>
        <w:t>Hadayt</w:t>
      </w:r>
      <w:proofErr w:type="spellEnd"/>
      <w:r w:rsidR="00C776DA">
        <w:rPr>
          <w:rStyle w:val="SCCCounselNameChar"/>
        </w:rPr>
        <w:t xml:space="preserve"> </w:t>
      </w:r>
      <w:proofErr w:type="spellStart"/>
      <w:r w:rsidR="00C776DA">
        <w:rPr>
          <w:rStyle w:val="SCCCounselNameChar"/>
        </w:rPr>
        <w:t>Nazami</w:t>
      </w:r>
      <w:proofErr w:type="spellEnd"/>
      <w:r w:rsidR="00C776DA" w:rsidRPr="00D27545">
        <w:rPr>
          <w:rStyle w:val="SCCCounselNameChar"/>
          <w:i w:val="0"/>
        </w:rPr>
        <w:t>,</w:t>
      </w:r>
      <w:r w:rsidR="00C776DA">
        <w:rPr>
          <w:rStyle w:val="SCCCounselNameChar"/>
        </w:rPr>
        <w:t xml:space="preserve"> Barbara Jackman </w:t>
      </w:r>
      <w:r w:rsidR="00C776DA" w:rsidRPr="00D27545">
        <w:rPr>
          <w:rStyle w:val="SCCCounselNameChar"/>
          <w:i w:val="0"/>
        </w:rPr>
        <w:t xml:space="preserve">and </w:t>
      </w:r>
      <w:proofErr w:type="spellStart"/>
      <w:r w:rsidR="00C776DA">
        <w:rPr>
          <w:rStyle w:val="SCCCounselNameChar"/>
        </w:rPr>
        <w:t>Sujith</w:t>
      </w:r>
      <w:proofErr w:type="spellEnd"/>
      <w:r w:rsidR="00C776DA">
        <w:rPr>
          <w:rStyle w:val="SCCCounselNameChar"/>
        </w:rPr>
        <w:t xml:space="preserve"> Xavier</w:t>
      </w:r>
      <w:r w:rsidR="00C776DA" w:rsidRPr="00D27545">
        <w:rPr>
          <w:rStyle w:val="SCCCounselNameChar"/>
          <w:i w:val="0"/>
        </w:rPr>
        <w:t>, for the respondent</w:t>
      </w:r>
      <w:r w:rsidR="00161CF5">
        <w:rPr>
          <w:rStyle w:val="SCCCounselNameChar"/>
          <w:i w:val="0"/>
        </w:rPr>
        <w:t>.</w:t>
      </w:r>
    </w:p>
    <w:p w:rsidR="00C776DA" w:rsidRDefault="00872612" w:rsidP="00E912BB">
      <w:pPr>
        <w:pStyle w:val="SCCNormalDoubleSpacing"/>
        <w:spacing w:after="480"/>
        <w:rPr>
          <w:rStyle w:val="SCCCounselPartyRoleChar"/>
        </w:rPr>
      </w:pPr>
      <w:r>
        <w:rPr>
          <w:rStyle w:val="SCCCounselNameChar"/>
        </w:rPr>
        <w:tab/>
      </w:r>
      <w:r w:rsidR="00C776DA">
        <w:rPr>
          <w:rStyle w:val="SCCCounselNameChar"/>
        </w:rPr>
        <w:t>Sara Blake</w:t>
      </w:r>
      <w:r w:rsidR="00C776DA">
        <w:rPr>
          <w:rStyle w:val="SCCCounselSeparatorChar"/>
        </w:rPr>
        <w:t xml:space="preserve"> and </w:t>
      </w:r>
      <w:r w:rsidR="00C776DA">
        <w:rPr>
          <w:rStyle w:val="SCCCounselNameChar"/>
        </w:rPr>
        <w:t xml:space="preserve">Judie </w:t>
      </w:r>
      <w:proofErr w:type="spellStart"/>
      <w:r w:rsidR="00C776DA">
        <w:rPr>
          <w:rStyle w:val="SCCCounselNameChar"/>
        </w:rPr>
        <w:t>Im</w:t>
      </w:r>
      <w:proofErr w:type="spellEnd"/>
      <w:r w:rsidR="00C776DA">
        <w:rPr>
          <w:rStyle w:val="SCCCounselPartyRoleChar"/>
        </w:rPr>
        <w:t>, for the intervener</w:t>
      </w:r>
      <w:r w:rsidR="0066474E">
        <w:rPr>
          <w:rStyle w:val="SCCCounselPartyRoleChar"/>
        </w:rPr>
        <w:t xml:space="preserve"> the</w:t>
      </w:r>
      <w:r w:rsidR="00C776DA">
        <w:rPr>
          <w:rStyle w:val="SCCCounselPartyRoleChar"/>
        </w:rPr>
        <w:t xml:space="preserve"> Attorney General of Ontario.</w:t>
      </w:r>
    </w:p>
    <w:p w:rsidR="00F3068A" w:rsidRDefault="00F3068A" w:rsidP="00E912BB">
      <w:pPr>
        <w:pStyle w:val="SCCNormalDoubleSpacing"/>
        <w:spacing w:after="480"/>
        <w:rPr>
          <w:rStyle w:val="SCCCounselPartyRoleChar"/>
        </w:rPr>
      </w:pPr>
      <w:r>
        <w:rPr>
          <w:rStyle w:val="SCCCounselPartyRoleChar"/>
        </w:rPr>
        <w:tab/>
      </w:r>
      <w:proofErr w:type="spellStart"/>
      <w:r w:rsidR="002D335F">
        <w:rPr>
          <w:rStyle w:val="SCCCounselNameChar"/>
        </w:rPr>
        <w:t>Stéphane</w:t>
      </w:r>
      <w:proofErr w:type="spellEnd"/>
      <w:r w:rsidR="002D335F">
        <w:rPr>
          <w:rStyle w:val="SCCCounselNameChar"/>
        </w:rPr>
        <w:t xml:space="preserve"> </w:t>
      </w:r>
      <w:proofErr w:type="spellStart"/>
      <w:r w:rsidR="002D335F">
        <w:rPr>
          <w:rStyle w:val="SCCCounselNameChar"/>
        </w:rPr>
        <w:t>Rochette</w:t>
      </w:r>
      <w:proofErr w:type="spellEnd"/>
      <w:r w:rsidR="002D335F">
        <w:rPr>
          <w:rStyle w:val="SCCCounselPartyRoleChar"/>
        </w:rPr>
        <w:t>, for the intervener</w:t>
      </w:r>
      <w:r w:rsidR="0066474E">
        <w:rPr>
          <w:rStyle w:val="SCCCounselPartyRoleChar"/>
        </w:rPr>
        <w:t xml:space="preserve"> the</w:t>
      </w:r>
      <w:r w:rsidR="002D335F">
        <w:rPr>
          <w:rStyle w:val="SCCCounselPartyRoleChar"/>
        </w:rPr>
        <w:t xml:space="preserve"> Attorney General of Quebec</w:t>
      </w:r>
      <w:r w:rsidR="00C776DA">
        <w:rPr>
          <w:rStyle w:val="SCCCounselPartyRoleChar"/>
        </w:rPr>
        <w:t>.</w:t>
      </w:r>
    </w:p>
    <w:p w:rsidR="00F3068A" w:rsidRDefault="00F3068A" w:rsidP="00E912BB">
      <w:pPr>
        <w:pStyle w:val="SCCNormalDoubleSpacing"/>
        <w:spacing w:after="480"/>
        <w:rPr>
          <w:rStyle w:val="SCCCounselPartyRoleChar"/>
        </w:rPr>
      </w:pPr>
      <w:r>
        <w:rPr>
          <w:rStyle w:val="SCCCounselPartyRoleChar"/>
        </w:rPr>
        <w:tab/>
      </w:r>
      <w:r w:rsidR="00212EEA">
        <w:rPr>
          <w:rStyle w:val="SCCCounselPartyRoleChar"/>
          <w:i/>
        </w:rPr>
        <w:t>J. </w:t>
      </w:r>
      <w:r w:rsidRPr="00F3068A">
        <w:rPr>
          <w:rStyle w:val="SCCCounselPartyRoleChar"/>
          <w:i/>
        </w:rPr>
        <w:t>Gareth Morley</w:t>
      </w:r>
      <w:r>
        <w:rPr>
          <w:rStyle w:val="SCCCounselPartyRoleChar"/>
        </w:rPr>
        <w:t xml:space="preserve"> and </w:t>
      </w:r>
      <w:r w:rsidRPr="00F3068A">
        <w:rPr>
          <w:rStyle w:val="SCCCounselPartyRoleChar"/>
          <w:i/>
        </w:rPr>
        <w:t>Katie Hamilton</w:t>
      </w:r>
      <w:r>
        <w:rPr>
          <w:rStyle w:val="SCCCounselPartyRoleChar"/>
        </w:rPr>
        <w:t>, for the intervener</w:t>
      </w:r>
      <w:r w:rsidR="0066474E">
        <w:rPr>
          <w:rStyle w:val="SCCCounselPartyRoleChar"/>
        </w:rPr>
        <w:t xml:space="preserve"> the</w:t>
      </w:r>
      <w:r>
        <w:rPr>
          <w:rStyle w:val="SCCCounselPartyRoleChar"/>
        </w:rPr>
        <w:t xml:space="preserve"> Attorney General of British Columbia</w:t>
      </w:r>
      <w:r w:rsidR="00C776DA">
        <w:rPr>
          <w:rStyle w:val="SCCCounselPartyRoleChar"/>
        </w:rPr>
        <w:t>.</w:t>
      </w:r>
    </w:p>
    <w:p w:rsidR="00D8225C" w:rsidRDefault="00D8225C" w:rsidP="00E912BB">
      <w:pPr>
        <w:pStyle w:val="SCCNormalDoubleSpacing"/>
        <w:spacing w:after="480"/>
        <w:rPr>
          <w:rStyle w:val="SCCCounselPartyRoleChar"/>
        </w:rPr>
      </w:pPr>
      <w:r>
        <w:rPr>
          <w:rStyle w:val="SCCCounselNameChar"/>
        </w:rPr>
        <w:tab/>
        <w:t>Kyle McCreary</w:t>
      </w:r>
      <w:r>
        <w:rPr>
          <w:rStyle w:val="SCCCounselSeparatorChar"/>
        </w:rPr>
        <w:t xml:space="preserve"> and </w:t>
      </w:r>
      <w:r>
        <w:rPr>
          <w:rStyle w:val="SCCCounselNameChar"/>
        </w:rPr>
        <w:t>Johnna Van Parys</w:t>
      </w:r>
      <w:r>
        <w:rPr>
          <w:rStyle w:val="SCCCounselPartyRoleChar"/>
        </w:rPr>
        <w:t xml:space="preserve">, for the intervener </w:t>
      </w:r>
      <w:r w:rsidR="0066474E">
        <w:rPr>
          <w:rStyle w:val="SCCCounselPartyRoleChar"/>
        </w:rPr>
        <w:t xml:space="preserve">the </w:t>
      </w:r>
      <w:r>
        <w:rPr>
          <w:rStyle w:val="SCCCounselPartyRoleChar"/>
        </w:rPr>
        <w:t xml:space="preserve">Attorney General </w:t>
      </w:r>
      <w:r w:rsidR="007A5F4D">
        <w:rPr>
          <w:rStyle w:val="SCCCounselPartyRoleChar"/>
        </w:rPr>
        <w:t xml:space="preserve">of </w:t>
      </w:r>
      <w:r>
        <w:rPr>
          <w:rStyle w:val="SCCCounselPartyRoleChar"/>
        </w:rPr>
        <w:t>Saskatchewan</w:t>
      </w:r>
      <w:r w:rsidR="00C776DA">
        <w:rPr>
          <w:rStyle w:val="SCCCounselPartyRoleChar"/>
        </w:rPr>
        <w:t>.</w:t>
      </w:r>
    </w:p>
    <w:p w:rsidR="00EA2B5B" w:rsidRDefault="002C5C63" w:rsidP="00E912BB">
      <w:pPr>
        <w:pStyle w:val="SCCNormalDoubleSpacing"/>
        <w:spacing w:after="480"/>
      </w:pPr>
      <w:r>
        <w:rPr>
          <w:rStyle w:val="SCCCounselNameChar"/>
          <w:i w:val="0"/>
        </w:rPr>
        <w:tab/>
      </w:r>
      <w:r>
        <w:rPr>
          <w:rStyle w:val="SCCCounselNameChar"/>
        </w:rPr>
        <w:t xml:space="preserve">Jamie </w:t>
      </w:r>
      <w:proofErr w:type="spellStart"/>
      <w:r w:rsidRPr="006C23A5">
        <w:rPr>
          <w:rStyle w:val="SCCCounselNameChar"/>
        </w:rPr>
        <w:t>Liew</w:t>
      </w:r>
      <w:proofErr w:type="spellEnd"/>
      <w:r w:rsidRPr="006C23A5">
        <w:rPr>
          <w:rStyle w:val="SCCCounselSeparatorChar"/>
        </w:rPr>
        <w:t xml:space="preserve">, </w:t>
      </w:r>
      <w:r w:rsidRPr="006C23A5">
        <w:rPr>
          <w:rStyle w:val="SCCCounselPartyRoleChar"/>
        </w:rPr>
        <w:t>for the intervener</w:t>
      </w:r>
      <w:r>
        <w:rPr>
          <w:rStyle w:val="SCCCounselPartyRoleChar"/>
        </w:rPr>
        <w:t xml:space="preserve"> </w:t>
      </w:r>
      <w:r w:rsidR="0066474E">
        <w:rPr>
          <w:rStyle w:val="SCCCounselPartyRoleChar"/>
        </w:rPr>
        <w:t xml:space="preserve">the </w:t>
      </w:r>
      <w:r>
        <w:rPr>
          <w:rStyle w:val="SCCCounselPartyRoleChar"/>
        </w:rPr>
        <w:t>Canad</w:t>
      </w:r>
      <w:r w:rsidR="00161CF5">
        <w:rPr>
          <w:rStyle w:val="SCCCounselPartyRoleChar"/>
        </w:rPr>
        <w:t>ian Council for Refugees</w:t>
      </w:r>
      <w:r>
        <w:rPr>
          <w:rStyle w:val="SCCCounselPartyRoleChar"/>
        </w:rPr>
        <w:t>.</w:t>
      </w:r>
    </w:p>
    <w:p w:rsidR="00EA2B5B" w:rsidRDefault="00872612" w:rsidP="00E912BB">
      <w:pPr>
        <w:pStyle w:val="SCCNormalDoubleSpacing"/>
        <w:spacing w:after="480"/>
      </w:pPr>
      <w:r>
        <w:rPr>
          <w:rStyle w:val="SCCCounselNameChar"/>
        </w:rPr>
        <w:tab/>
        <w:t>Karen Andrews</w:t>
      </w:r>
      <w:r w:rsidRPr="006C23A5">
        <w:rPr>
          <w:rStyle w:val="SCCCounselPartyRoleChar"/>
        </w:rPr>
        <w:t xml:space="preserve">, for </w:t>
      </w:r>
      <w:r w:rsidR="0066474E" w:rsidRPr="006C23A5">
        <w:rPr>
          <w:rStyle w:val="SCCCounselPartyRoleChar"/>
        </w:rPr>
        <w:t xml:space="preserve">the </w:t>
      </w:r>
      <w:r w:rsidRPr="006C23A5">
        <w:rPr>
          <w:rStyle w:val="SCCCounselPartyRoleChar"/>
        </w:rPr>
        <w:t>intervener</w:t>
      </w:r>
      <w:r>
        <w:rPr>
          <w:rStyle w:val="SCCCounselPartyRoleChar"/>
        </w:rPr>
        <w:t xml:space="preserve"> </w:t>
      </w:r>
      <w:r w:rsidR="0066474E">
        <w:rPr>
          <w:rStyle w:val="SCCCounselPartyRoleChar"/>
        </w:rPr>
        <w:t xml:space="preserve">the </w:t>
      </w:r>
      <w:r>
        <w:rPr>
          <w:rStyle w:val="SCCCounselPartyRoleChar"/>
        </w:rPr>
        <w:t>Advocacy Centre for Tenants Ontario</w:t>
      </w:r>
      <w:r w:rsidR="00952ECE">
        <w:rPr>
          <w:rStyle w:val="SCCCounselPartyRoleChar"/>
        </w:rPr>
        <w:t xml:space="preserve"> </w:t>
      </w:r>
      <w:r w:rsidR="003419D5">
        <w:rPr>
          <w:rStyle w:val="SCCCounselPartyRoleChar"/>
        </w:rPr>
        <w:noBreakHyphen/>
      </w:r>
      <w:r w:rsidR="00952ECE" w:rsidRPr="000D7CD4">
        <w:rPr>
          <w:rStyle w:val="SCCCounselPartyRoleChar"/>
        </w:rPr>
        <w:t xml:space="preserve"> T</w:t>
      </w:r>
      <w:r w:rsidR="00952ECE">
        <w:rPr>
          <w:rStyle w:val="SCCCounselPartyRoleChar"/>
        </w:rPr>
        <w:t>enant Duty Counsel Program</w:t>
      </w:r>
      <w:r w:rsidR="00C776DA">
        <w:rPr>
          <w:rStyle w:val="SCCCounselPartyRoleChar"/>
        </w:rPr>
        <w:t>.</w:t>
      </w:r>
    </w:p>
    <w:p w:rsidR="00EA2B5B" w:rsidRDefault="00872612" w:rsidP="00E912BB">
      <w:pPr>
        <w:pStyle w:val="SCCNormalDoubleSpacing"/>
        <w:spacing w:after="480"/>
      </w:pPr>
      <w:r>
        <w:rPr>
          <w:rStyle w:val="SCCCounselNameChar"/>
        </w:rPr>
        <w:tab/>
        <w:t xml:space="preserve">Matthew </w:t>
      </w:r>
      <w:r w:rsidRPr="006C23A5">
        <w:rPr>
          <w:rStyle w:val="SCCCounselNameChar"/>
        </w:rPr>
        <w:t>Britton</w:t>
      </w:r>
      <w:r w:rsidR="00551C10" w:rsidRPr="006C23A5">
        <w:rPr>
          <w:rStyle w:val="SCCCounselSeparatorChar"/>
        </w:rPr>
        <w:t xml:space="preserve"> and</w:t>
      </w:r>
      <w:r w:rsidRPr="006C23A5">
        <w:rPr>
          <w:rStyle w:val="SCCCounselSeparatorChar"/>
        </w:rPr>
        <w:t xml:space="preserve"> </w:t>
      </w:r>
      <w:r w:rsidR="00212EEA">
        <w:rPr>
          <w:rStyle w:val="SCCCounselNameChar"/>
        </w:rPr>
        <w:t>Jennifer </w:t>
      </w:r>
      <w:r w:rsidR="00551C10" w:rsidRPr="006C23A5">
        <w:rPr>
          <w:rStyle w:val="SCCCounselNameChar"/>
        </w:rPr>
        <w:t>M. Lynch</w:t>
      </w:r>
      <w:r w:rsidRPr="006C23A5">
        <w:rPr>
          <w:rStyle w:val="SCCCounselPartyRoleChar"/>
        </w:rPr>
        <w:t>, for the intervener</w:t>
      </w:r>
      <w:r w:rsidR="00551C10" w:rsidRPr="006C23A5">
        <w:rPr>
          <w:rStyle w:val="SCCCounselPartyRoleChar"/>
        </w:rPr>
        <w:t>s</w:t>
      </w:r>
      <w:r w:rsidR="00B843E4">
        <w:rPr>
          <w:rStyle w:val="SCCCounselPartyRoleChar"/>
        </w:rPr>
        <w:t xml:space="preserve"> the</w:t>
      </w:r>
      <w:r w:rsidR="0066474E" w:rsidRPr="006C23A5">
        <w:rPr>
          <w:rStyle w:val="SCCCounselPartyRoleChar"/>
        </w:rPr>
        <w:t xml:space="preserve"> </w:t>
      </w:r>
      <w:r w:rsidRPr="006C23A5">
        <w:rPr>
          <w:rStyle w:val="SCCCounselPartyRoleChar"/>
        </w:rPr>
        <w:t xml:space="preserve">Ontario Securities Commission, </w:t>
      </w:r>
      <w:r w:rsidR="0066474E" w:rsidRPr="006C23A5">
        <w:rPr>
          <w:rStyle w:val="SCCCounselPartyRoleChar"/>
        </w:rPr>
        <w:t xml:space="preserve">the </w:t>
      </w:r>
      <w:r w:rsidRPr="006C23A5">
        <w:rPr>
          <w:rStyle w:val="SCCCounselPartyRoleChar"/>
        </w:rPr>
        <w:t xml:space="preserve">British Columbia Securities Commission and </w:t>
      </w:r>
      <w:r w:rsidR="0066474E" w:rsidRPr="006C23A5">
        <w:rPr>
          <w:rStyle w:val="SCCCounselPartyRoleChar"/>
        </w:rPr>
        <w:t xml:space="preserve">the </w:t>
      </w:r>
      <w:r w:rsidRPr="006C23A5">
        <w:rPr>
          <w:rStyle w:val="SCCCounselPartyRoleChar"/>
        </w:rPr>
        <w:t>Alberta Securities Commission</w:t>
      </w:r>
      <w:r w:rsidR="00C776DA" w:rsidRPr="006C23A5">
        <w:rPr>
          <w:rStyle w:val="SCCCounselPartyRoleChar"/>
        </w:rPr>
        <w:t>.</w:t>
      </w:r>
    </w:p>
    <w:p w:rsidR="00EA2B5B" w:rsidRDefault="00872612" w:rsidP="00E912BB">
      <w:pPr>
        <w:pStyle w:val="SCCNormalDoubleSpacing"/>
        <w:spacing w:after="480"/>
      </w:pPr>
      <w:r>
        <w:rPr>
          <w:rStyle w:val="SCCCounselNameChar"/>
        </w:rPr>
        <w:lastRenderedPageBreak/>
        <w:tab/>
        <w:t>Laura Bowman</w:t>
      </w:r>
      <w:r>
        <w:rPr>
          <w:rStyle w:val="SCCCounselSeparatorChar"/>
        </w:rPr>
        <w:t xml:space="preserve"> and </w:t>
      </w:r>
      <w:r>
        <w:rPr>
          <w:rStyle w:val="SCCCounselNameChar"/>
        </w:rPr>
        <w:t>Bronwyn Roe</w:t>
      </w:r>
      <w:r>
        <w:rPr>
          <w:rStyle w:val="SCCCounselPartyRoleChar"/>
        </w:rPr>
        <w:t>, for the intervener Ecojustice Canada Society</w:t>
      </w:r>
      <w:r w:rsidR="00C776DA">
        <w:rPr>
          <w:rStyle w:val="SCCCounselPartyRoleChar"/>
        </w:rPr>
        <w:t>.</w:t>
      </w:r>
    </w:p>
    <w:p w:rsidR="00EA2B5B" w:rsidRDefault="00872612" w:rsidP="00E912BB">
      <w:pPr>
        <w:pStyle w:val="SCCNormalDoubleSpacing"/>
        <w:spacing w:after="480"/>
      </w:pPr>
      <w:r>
        <w:rPr>
          <w:rStyle w:val="SCCCounselNameChar"/>
        </w:rPr>
        <w:tab/>
      </w:r>
      <w:r w:rsidR="00194ADF" w:rsidRPr="00194ADF">
        <w:rPr>
          <w:rStyle w:val="SCCCounselNameChar"/>
        </w:rPr>
        <w:t>David Corbett</w:t>
      </w:r>
      <w:r w:rsidR="00194ADF">
        <w:rPr>
          <w:rStyle w:val="SCCCounselNameChar"/>
          <w:i w:val="0"/>
        </w:rPr>
        <w:t xml:space="preserve"> and </w:t>
      </w:r>
      <w:r w:rsidRPr="00194ADF">
        <w:rPr>
          <w:rStyle w:val="SCCCounselNameChar"/>
        </w:rPr>
        <w:t>Michelle</w:t>
      </w:r>
      <w:r>
        <w:rPr>
          <w:rStyle w:val="SCCCounselNameChar"/>
        </w:rPr>
        <w:t xml:space="preserve"> Alton</w:t>
      </w:r>
      <w:r>
        <w:rPr>
          <w:rStyle w:val="SCCCounselPartyRoleChar"/>
        </w:rPr>
        <w:t>, for the intervener</w:t>
      </w:r>
      <w:r w:rsidR="00D8225C">
        <w:rPr>
          <w:rStyle w:val="SCCCounselPartyRoleChar"/>
        </w:rPr>
        <w:t>s</w:t>
      </w:r>
      <w:r>
        <w:rPr>
          <w:rStyle w:val="SCCCounselPartyRoleChar"/>
        </w:rPr>
        <w:t xml:space="preserve"> </w:t>
      </w:r>
      <w:r w:rsidR="00194ADF">
        <w:rPr>
          <w:rStyle w:val="SCCCounselPartyRoleChar"/>
        </w:rPr>
        <w:t xml:space="preserve">the </w:t>
      </w:r>
      <w:r>
        <w:rPr>
          <w:rStyle w:val="SCCCounselPartyRoleChar"/>
        </w:rPr>
        <w:t>Workplace Safety</w:t>
      </w:r>
      <w:r w:rsidR="005B684D">
        <w:rPr>
          <w:rStyle w:val="SCCCounselPartyRoleChar"/>
        </w:rPr>
        <w:t xml:space="preserve"> and Insurance Appeals Tribunal</w:t>
      </w:r>
      <w:r w:rsidR="00194ADF">
        <w:rPr>
          <w:rStyle w:val="SCCCounselPartyRoleChar"/>
        </w:rPr>
        <w:t xml:space="preserve"> (Ontario)</w:t>
      </w:r>
      <w:r w:rsidR="005B684D">
        <w:rPr>
          <w:rStyle w:val="SCCCounselPartyRoleChar"/>
        </w:rPr>
        <w:t>,</w:t>
      </w:r>
      <w:r w:rsidR="00D8225C">
        <w:rPr>
          <w:rStyle w:val="SCCCounselPartyRoleChar"/>
        </w:rPr>
        <w:t xml:space="preserve"> </w:t>
      </w:r>
      <w:r w:rsidR="00194ADF">
        <w:rPr>
          <w:rStyle w:val="SCCCounselPartyRoleChar"/>
        </w:rPr>
        <w:t xml:space="preserve">the </w:t>
      </w:r>
      <w:r>
        <w:rPr>
          <w:rStyle w:val="SCCCounselPartyRoleChar"/>
        </w:rPr>
        <w:t>Workers</w:t>
      </w:r>
      <w:r w:rsidR="008D5707">
        <w:rPr>
          <w:rStyle w:val="SCCCounselPartyRoleChar"/>
        </w:rPr>
        <w:t>’</w:t>
      </w:r>
      <w:r>
        <w:rPr>
          <w:rStyle w:val="SCCCounselPartyRoleChar"/>
        </w:rPr>
        <w:t xml:space="preserve"> Compensation Appeals Tribunal (Nor</w:t>
      </w:r>
      <w:r w:rsidR="003C1ECA">
        <w:rPr>
          <w:rStyle w:val="SCCCounselPartyRoleChar"/>
        </w:rPr>
        <w:t xml:space="preserve">thwest Territories and Nunavut), </w:t>
      </w:r>
      <w:r w:rsidR="00194ADF">
        <w:rPr>
          <w:rStyle w:val="SCCCounselPartyRoleChar"/>
        </w:rPr>
        <w:t xml:space="preserve">the </w:t>
      </w:r>
      <w:r>
        <w:rPr>
          <w:rStyle w:val="SCCCounselPartyRoleChar"/>
        </w:rPr>
        <w:t>Workers</w:t>
      </w:r>
      <w:r w:rsidR="008D5707">
        <w:rPr>
          <w:rStyle w:val="SCCCounselPartyRoleChar"/>
        </w:rPr>
        <w:t>’</w:t>
      </w:r>
      <w:r>
        <w:rPr>
          <w:rStyle w:val="SCCCounselPartyRoleChar"/>
        </w:rPr>
        <w:t xml:space="preserve"> Compensation Appeals Tribunal (Nova Scotia)</w:t>
      </w:r>
      <w:r w:rsidR="003C1ECA">
        <w:rPr>
          <w:rStyle w:val="SCCCounselPartyRoleChar"/>
        </w:rPr>
        <w:t xml:space="preserve">, </w:t>
      </w:r>
      <w:r w:rsidR="00194ADF">
        <w:rPr>
          <w:rStyle w:val="SCCCounselPartyRoleChar"/>
        </w:rPr>
        <w:t xml:space="preserve">the </w:t>
      </w:r>
      <w:r w:rsidR="003C1ECA">
        <w:rPr>
          <w:rStyle w:val="SCCCounselPartyRoleChar"/>
        </w:rPr>
        <w:t>Appeals Commission for Alberta Workers</w:t>
      </w:r>
      <w:r w:rsidR="008D5707">
        <w:rPr>
          <w:rStyle w:val="SCCCounselPartyRoleChar"/>
        </w:rPr>
        <w:t>’</w:t>
      </w:r>
      <w:r w:rsidR="003C1ECA">
        <w:rPr>
          <w:rStyle w:val="SCCCounselPartyRoleChar"/>
        </w:rPr>
        <w:t xml:space="preserve"> Compensation and </w:t>
      </w:r>
      <w:r w:rsidR="00194ADF">
        <w:rPr>
          <w:rStyle w:val="SCCCounselPartyRoleChar"/>
        </w:rPr>
        <w:t xml:space="preserve">the </w:t>
      </w:r>
      <w:r w:rsidR="003C1ECA">
        <w:rPr>
          <w:rStyle w:val="SCCCounselPartyRoleChar"/>
        </w:rPr>
        <w:t>Workers</w:t>
      </w:r>
      <w:r w:rsidR="008D5707">
        <w:rPr>
          <w:rStyle w:val="SCCCounselPartyRoleChar"/>
        </w:rPr>
        <w:t>’</w:t>
      </w:r>
      <w:r w:rsidR="003C1ECA">
        <w:rPr>
          <w:rStyle w:val="SCCCounselPartyRoleChar"/>
        </w:rPr>
        <w:t xml:space="preserve"> Compensation Appeals Tribunal (New Brunswick)</w:t>
      </w:r>
      <w:r w:rsidR="00C776DA">
        <w:rPr>
          <w:rStyle w:val="SCCCounselPartyRoleChar"/>
        </w:rPr>
        <w:t>.</w:t>
      </w:r>
    </w:p>
    <w:p w:rsidR="00EA2B5B" w:rsidRDefault="00872612" w:rsidP="00E912BB">
      <w:pPr>
        <w:pStyle w:val="SCCNormalDoubleSpacing"/>
        <w:spacing w:after="480"/>
      </w:pPr>
      <w:r>
        <w:rPr>
          <w:rStyle w:val="SCCCounselNameChar"/>
        </w:rPr>
        <w:tab/>
      </w:r>
      <w:r w:rsidR="00975F72">
        <w:rPr>
          <w:rStyle w:val="SCCCounselNameChar"/>
          <w:i w:val="0"/>
        </w:rPr>
        <w:t xml:space="preserve">Written submissions only by </w:t>
      </w:r>
      <w:r w:rsidR="00212EEA">
        <w:rPr>
          <w:rStyle w:val="SCCCounselNameChar"/>
        </w:rPr>
        <w:t>Gavin </w:t>
      </w:r>
      <w:r w:rsidR="00975F72">
        <w:rPr>
          <w:rStyle w:val="SCCCounselNameChar"/>
        </w:rPr>
        <w:t xml:space="preserve">R. Cameron </w:t>
      </w:r>
      <w:r w:rsidR="00975F72">
        <w:rPr>
          <w:rStyle w:val="SCCCounselNameChar"/>
          <w:i w:val="0"/>
        </w:rPr>
        <w:t xml:space="preserve">and </w:t>
      </w:r>
      <w:r w:rsidR="00975F72">
        <w:rPr>
          <w:rStyle w:val="SCCCounselNameChar"/>
        </w:rPr>
        <w:t xml:space="preserve">Tom </w:t>
      </w:r>
      <w:proofErr w:type="spellStart"/>
      <w:r w:rsidR="00975F72" w:rsidRPr="00975F72">
        <w:rPr>
          <w:rStyle w:val="SCCCounselNameChar"/>
        </w:rPr>
        <w:t>Posyniak</w:t>
      </w:r>
      <w:proofErr w:type="spellEnd"/>
      <w:r w:rsidR="00975F72" w:rsidRPr="00975F72">
        <w:rPr>
          <w:rStyle w:val="SCCCounselNameChar"/>
          <w:i w:val="0"/>
        </w:rPr>
        <w:t>,</w:t>
      </w:r>
      <w:r w:rsidR="00975F72" w:rsidRPr="00975F72">
        <w:rPr>
          <w:rStyle w:val="SCCCounselNameChar"/>
        </w:rPr>
        <w:t xml:space="preserve"> </w:t>
      </w:r>
      <w:r w:rsidRPr="00975F72">
        <w:rPr>
          <w:rStyle w:val="SCCCounselPartyRoleChar"/>
        </w:rPr>
        <w:t>for</w:t>
      </w:r>
      <w:r>
        <w:rPr>
          <w:rStyle w:val="SCCCounselPartyRoleChar"/>
        </w:rPr>
        <w:t xml:space="preserve"> the intervener </w:t>
      </w:r>
      <w:r w:rsidR="00975F72">
        <w:rPr>
          <w:rStyle w:val="SCCCounselPartyRoleChar"/>
        </w:rPr>
        <w:t xml:space="preserve">the </w:t>
      </w:r>
      <w:r>
        <w:rPr>
          <w:rStyle w:val="SCCCounselPartyRoleChar"/>
        </w:rPr>
        <w:t>British Columbia International Commercial Arbitration Centre Foundation</w:t>
      </w:r>
      <w:r w:rsidR="00C776DA">
        <w:rPr>
          <w:rStyle w:val="SCCCounselPartyRoleChar"/>
        </w:rPr>
        <w:t>.</w:t>
      </w:r>
    </w:p>
    <w:p w:rsidR="00EA2B5B" w:rsidRDefault="00212EEA" w:rsidP="00E912BB">
      <w:pPr>
        <w:pStyle w:val="SCCNormalDoubleSpacing"/>
        <w:spacing w:after="480"/>
      </w:pPr>
      <w:r>
        <w:rPr>
          <w:rStyle w:val="SCCCounselNameChar"/>
        </w:rPr>
        <w:tab/>
        <w:t>Terrence </w:t>
      </w:r>
      <w:r w:rsidR="00872612">
        <w:rPr>
          <w:rStyle w:val="SCCCounselNameChar"/>
        </w:rPr>
        <w:t>J. O</w:t>
      </w:r>
      <w:r w:rsidR="008D5707">
        <w:rPr>
          <w:rStyle w:val="SCCCounselNameChar"/>
        </w:rPr>
        <w:t>’</w:t>
      </w:r>
      <w:r w:rsidR="00872612">
        <w:rPr>
          <w:rStyle w:val="SCCCounselNameChar"/>
        </w:rPr>
        <w:t>Sullivan</w:t>
      </w:r>
      <w:r w:rsidR="002D335F">
        <w:rPr>
          <w:rStyle w:val="SCCCounselSeparatorChar"/>
        </w:rPr>
        <w:t xml:space="preserve"> and</w:t>
      </w:r>
      <w:r w:rsidR="00872612">
        <w:rPr>
          <w:rStyle w:val="SCCCounselSeparatorChar"/>
        </w:rPr>
        <w:t xml:space="preserve"> </w:t>
      </w:r>
      <w:r w:rsidR="00872612">
        <w:rPr>
          <w:rStyle w:val="SCCCounselNameChar"/>
        </w:rPr>
        <w:t xml:space="preserve">Paul </w:t>
      </w:r>
      <w:proofErr w:type="spellStart"/>
      <w:r w:rsidR="00872612">
        <w:rPr>
          <w:rStyle w:val="SCCCounselNameChar"/>
        </w:rPr>
        <w:t>Michell</w:t>
      </w:r>
      <w:proofErr w:type="spellEnd"/>
      <w:r w:rsidR="00872612">
        <w:rPr>
          <w:rStyle w:val="SCCCounselPartyRoleChar"/>
        </w:rPr>
        <w:t xml:space="preserve">, for the intervener </w:t>
      </w:r>
      <w:r w:rsidR="006C23A5">
        <w:rPr>
          <w:rStyle w:val="SCCCounselPartyRoleChar"/>
        </w:rPr>
        <w:t xml:space="preserve">the </w:t>
      </w:r>
      <w:r w:rsidR="00872612">
        <w:rPr>
          <w:rStyle w:val="SCCCounselPartyRoleChar"/>
        </w:rPr>
        <w:t>Council of Canadian Administrative Tribunals</w:t>
      </w:r>
      <w:r w:rsidR="00C776DA">
        <w:rPr>
          <w:rStyle w:val="SCCCounselPartyRoleChar"/>
        </w:rPr>
        <w:t>.</w:t>
      </w:r>
    </w:p>
    <w:p w:rsidR="00EA2B5B" w:rsidRDefault="00872612" w:rsidP="00E912BB">
      <w:pPr>
        <w:pStyle w:val="SCCNormalDoubleSpacing"/>
        <w:spacing w:after="480"/>
      </w:pPr>
      <w:r>
        <w:rPr>
          <w:rStyle w:val="SCCCounselNameChar"/>
        </w:rPr>
        <w:tab/>
      </w:r>
      <w:r w:rsidR="00A66445">
        <w:rPr>
          <w:rStyle w:val="SCCCounselNameChar"/>
          <w:i w:val="0"/>
        </w:rPr>
        <w:t xml:space="preserve">Written submissions only by </w:t>
      </w:r>
      <w:r w:rsidR="00644A57">
        <w:rPr>
          <w:rStyle w:val="SCCCounselNameChar"/>
        </w:rPr>
        <w:t xml:space="preserve">Susan L. </w:t>
      </w:r>
      <w:r w:rsidR="00644A57" w:rsidRPr="00644A57">
        <w:rPr>
          <w:rStyle w:val="SCCCounselNameChar"/>
        </w:rPr>
        <w:t>Stewart</w:t>
      </w:r>
      <w:r w:rsidR="00644A57">
        <w:rPr>
          <w:rStyle w:val="SCCCounselNameChar"/>
          <w:i w:val="0"/>
        </w:rPr>
        <w:t xml:space="preserve">, </w:t>
      </w:r>
      <w:r w:rsidR="00212EEA" w:rsidRPr="00644A57">
        <w:rPr>
          <w:rStyle w:val="SCCCounselNameChar"/>
        </w:rPr>
        <w:t>Linda</w:t>
      </w:r>
      <w:r w:rsidR="00212EEA">
        <w:rPr>
          <w:rStyle w:val="SCCCounselNameChar"/>
        </w:rPr>
        <w:t> </w:t>
      </w:r>
      <w:r w:rsidR="00102953">
        <w:rPr>
          <w:rStyle w:val="SCCCounselNameChar"/>
        </w:rPr>
        <w:t>R. Rothstein</w:t>
      </w:r>
      <w:r w:rsidR="00102953">
        <w:rPr>
          <w:rStyle w:val="SCCCounselNameChar"/>
          <w:i w:val="0"/>
        </w:rPr>
        <w:t xml:space="preserve">, </w:t>
      </w:r>
      <w:r w:rsidR="00102953">
        <w:rPr>
          <w:rStyle w:val="SCCCounselNameChar"/>
        </w:rPr>
        <w:t xml:space="preserve">Michael </w:t>
      </w:r>
      <w:proofErr w:type="spellStart"/>
      <w:r w:rsidR="00102953">
        <w:rPr>
          <w:rStyle w:val="SCCCounselNameChar"/>
        </w:rPr>
        <w:t>Fenrick</w:t>
      </w:r>
      <w:proofErr w:type="spellEnd"/>
      <w:r w:rsidR="00102953">
        <w:rPr>
          <w:rStyle w:val="SCCCounselNameChar"/>
          <w:i w:val="0"/>
        </w:rPr>
        <w:t xml:space="preserve">, </w:t>
      </w:r>
      <w:r w:rsidR="00212EEA">
        <w:rPr>
          <w:rStyle w:val="SCCCounselNameChar"/>
        </w:rPr>
        <w:t>Angela </w:t>
      </w:r>
      <w:r w:rsidR="00102953">
        <w:rPr>
          <w:rStyle w:val="SCCCounselNameChar"/>
        </w:rPr>
        <w:t>E. Rae</w:t>
      </w:r>
      <w:r w:rsidR="00644A57">
        <w:rPr>
          <w:rStyle w:val="SCCCounselNameChar"/>
          <w:i w:val="0"/>
        </w:rPr>
        <w:t xml:space="preserve"> and </w:t>
      </w:r>
      <w:r w:rsidR="00102953">
        <w:rPr>
          <w:rStyle w:val="SCCCounselNameChar"/>
        </w:rPr>
        <w:t xml:space="preserve">Anne Marie </w:t>
      </w:r>
      <w:proofErr w:type="spellStart"/>
      <w:r w:rsidR="00102953">
        <w:rPr>
          <w:rStyle w:val="SCCCounselNameChar"/>
        </w:rPr>
        <w:t>Heenan</w:t>
      </w:r>
      <w:proofErr w:type="spellEnd"/>
      <w:r w:rsidR="00102953">
        <w:rPr>
          <w:rStyle w:val="SCCCounselNameChar"/>
          <w:i w:val="0"/>
        </w:rPr>
        <w:t>,</w:t>
      </w:r>
      <w:r w:rsidR="00A66445">
        <w:rPr>
          <w:rStyle w:val="SCCCounselNameChar"/>
          <w:i w:val="0"/>
        </w:rPr>
        <w:t xml:space="preserve"> f</w:t>
      </w:r>
      <w:r w:rsidRPr="00B45DE0">
        <w:rPr>
          <w:rStyle w:val="SCCCounselPartyRoleChar"/>
        </w:rPr>
        <w:t>or the intervener</w:t>
      </w:r>
      <w:r w:rsidR="00B45DE0" w:rsidRPr="00B45DE0">
        <w:rPr>
          <w:rStyle w:val="SCCCounselPartyRoleChar"/>
        </w:rPr>
        <w:t>s</w:t>
      </w:r>
      <w:r w:rsidRPr="00B45DE0">
        <w:rPr>
          <w:rStyle w:val="SCCCounselPartyRoleChar"/>
        </w:rPr>
        <w:t xml:space="preserve"> </w:t>
      </w:r>
      <w:r w:rsidR="006C23A5">
        <w:rPr>
          <w:rStyle w:val="SCCCounselPartyRoleChar"/>
        </w:rPr>
        <w:t xml:space="preserve">the </w:t>
      </w:r>
      <w:r w:rsidRPr="00B45DE0">
        <w:rPr>
          <w:rStyle w:val="SCCCounselPartyRoleChar"/>
        </w:rPr>
        <w:t>National Academy of Arbitrators</w:t>
      </w:r>
      <w:r w:rsidR="00B45DE0" w:rsidRPr="00B45DE0">
        <w:rPr>
          <w:rStyle w:val="SCCCounselPartyRoleChar"/>
        </w:rPr>
        <w:t>,</w:t>
      </w:r>
      <w:r w:rsidRPr="00B45DE0">
        <w:rPr>
          <w:rStyle w:val="SCCCounselPartyRoleChar"/>
        </w:rPr>
        <w:t xml:space="preserve"> </w:t>
      </w:r>
      <w:r w:rsidR="00102953">
        <w:rPr>
          <w:rStyle w:val="SCCCounselPartyRoleChar"/>
        </w:rPr>
        <w:t xml:space="preserve">the </w:t>
      </w:r>
      <w:r w:rsidRPr="00B45DE0">
        <w:rPr>
          <w:rStyle w:val="SCCCounselPartyRoleChar"/>
        </w:rPr>
        <w:t>Ontario Labour</w:t>
      </w:r>
      <w:r w:rsidR="007C3A49">
        <w:rPr>
          <w:rStyle w:val="SCCCounselPartyRoleChar"/>
        </w:rPr>
        <w:noBreakHyphen/>
      </w:r>
      <w:r w:rsidRPr="00B45DE0">
        <w:rPr>
          <w:rStyle w:val="SCCCounselPartyRoleChar"/>
        </w:rPr>
        <w:t>Management Arbitrators</w:t>
      </w:r>
      <w:r w:rsidR="008D5707">
        <w:rPr>
          <w:rStyle w:val="SCCCounselPartyRoleChar"/>
        </w:rPr>
        <w:t>’</w:t>
      </w:r>
      <w:r w:rsidRPr="00B45DE0">
        <w:rPr>
          <w:rStyle w:val="SCCCounselPartyRoleChar"/>
        </w:rPr>
        <w:t xml:space="preserve"> Association and </w:t>
      </w:r>
      <w:proofErr w:type="spellStart"/>
      <w:r w:rsidRPr="00B45DE0">
        <w:rPr>
          <w:rStyle w:val="SCCCounselPartyRoleChar"/>
        </w:rPr>
        <w:t>Conférence</w:t>
      </w:r>
      <w:proofErr w:type="spellEnd"/>
      <w:r w:rsidRPr="00B45DE0">
        <w:rPr>
          <w:rStyle w:val="SCCCounselPartyRoleChar"/>
        </w:rPr>
        <w:t xml:space="preserve"> des </w:t>
      </w:r>
      <w:proofErr w:type="spellStart"/>
      <w:r w:rsidRPr="00B45DE0">
        <w:rPr>
          <w:rStyle w:val="SCCCounselPartyRoleChar"/>
        </w:rPr>
        <w:t>arbitres</w:t>
      </w:r>
      <w:proofErr w:type="spellEnd"/>
      <w:r w:rsidRPr="00B45DE0">
        <w:rPr>
          <w:rStyle w:val="SCCCounselPartyRoleChar"/>
        </w:rPr>
        <w:t xml:space="preserve"> du Québec</w:t>
      </w:r>
      <w:r w:rsidR="00C776DA">
        <w:rPr>
          <w:rStyle w:val="SCCCounselPartyRoleChar"/>
        </w:rPr>
        <w:t>.</w:t>
      </w:r>
    </w:p>
    <w:p w:rsidR="00EA2B5B" w:rsidRDefault="00872612" w:rsidP="00E912BB">
      <w:pPr>
        <w:pStyle w:val="SCCNormalDoubleSpacing"/>
        <w:spacing w:after="480"/>
      </w:pPr>
      <w:r>
        <w:rPr>
          <w:rStyle w:val="SCCCounselNameChar"/>
        </w:rPr>
        <w:tab/>
        <w:t>Steven Barrett</w:t>
      </w:r>
      <w:r>
        <w:rPr>
          <w:rStyle w:val="SCCCounselPartyRoleChar"/>
        </w:rPr>
        <w:t xml:space="preserve">, for the intervener </w:t>
      </w:r>
      <w:r w:rsidR="006C23A5">
        <w:rPr>
          <w:rStyle w:val="SCCCounselPartyRoleChar"/>
        </w:rPr>
        <w:t xml:space="preserve">the </w:t>
      </w:r>
      <w:r>
        <w:rPr>
          <w:rStyle w:val="SCCCounselPartyRoleChar"/>
        </w:rPr>
        <w:t>Canadian Labour Congress</w:t>
      </w:r>
      <w:r w:rsidR="00C776DA">
        <w:rPr>
          <w:rStyle w:val="SCCCounselPartyRoleChar"/>
        </w:rPr>
        <w:t>.</w:t>
      </w:r>
    </w:p>
    <w:p w:rsidR="00EA2B5B" w:rsidRDefault="00872612" w:rsidP="00E912BB">
      <w:pPr>
        <w:pStyle w:val="SCCNormalDoubleSpacing"/>
        <w:spacing w:after="480"/>
      </w:pPr>
      <w:r>
        <w:rPr>
          <w:rStyle w:val="SCCCounselNameChar"/>
        </w:rPr>
        <w:lastRenderedPageBreak/>
        <w:tab/>
      </w:r>
      <w:r w:rsidR="002175F6">
        <w:rPr>
          <w:rStyle w:val="SCCCounselNameChar"/>
          <w:i w:val="0"/>
        </w:rPr>
        <w:t xml:space="preserve">Written submissions only by </w:t>
      </w:r>
      <w:r w:rsidR="00212EEA">
        <w:rPr>
          <w:rStyle w:val="SCCCounselNameChar"/>
        </w:rPr>
        <w:t>William </w:t>
      </w:r>
      <w:r w:rsidR="002175F6">
        <w:rPr>
          <w:rStyle w:val="SCCCounselNameChar"/>
        </w:rPr>
        <w:t>W. Shores</w:t>
      </w:r>
      <w:r w:rsidR="002175F6" w:rsidRPr="00234A4C">
        <w:rPr>
          <w:rStyle w:val="SCCCounselNameChar"/>
          <w:i w:val="0"/>
        </w:rPr>
        <w:t>,</w:t>
      </w:r>
      <w:r w:rsidR="002175F6">
        <w:rPr>
          <w:rStyle w:val="SCCCounselNameChar"/>
        </w:rPr>
        <w:t xml:space="preserve"> Q.C.</w:t>
      </w:r>
      <w:r w:rsidR="00B40C0B" w:rsidRPr="00B40C0B">
        <w:rPr>
          <w:rStyle w:val="SCCCounselNameChar"/>
          <w:i w:val="0"/>
        </w:rPr>
        <w:t>,</w:t>
      </w:r>
      <w:r w:rsidR="002175F6">
        <w:rPr>
          <w:rStyle w:val="SCCCounselNameChar"/>
        </w:rPr>
        <w:t xml:space="preserve"> </w:t>
      </w:r>
      <w:r w:rsidR="002175F6">
        <w:rPr>
          <w:rStyle w:val="SCCCounselNameChar"/>
          <w:i w:val="0"/>
        </w:rPr>
        <w:t xml:space="preserve">and </w:t>
      </w:r>
      <w:r w:rsidR="00212EEA">
        <w:rPr>
          <w:rStyle w:val="SCCCounselNameChar"/>
        </w:rPr>
        <w:t>Kirk </w:t>
      </w:r>
      <w:r w:rsidR="002175F6">
        <w:rPr>
          <w:rStyle w:val="SCCCounselNameChar"/>
        </w:rPr>
        <w:t xml:space="preserve">N. </w:t>
      </w:r>
      <w:proofErr w:type="spellStart"/>
      <w:r w:rsidR="002175F6" w:rsidRPr="002175F6">
        <w:rPr>
          <w:rStyle w:val="SCCCounselNameChar"/>
        </w:rPr>
        <w:t>Lambre</w:t>
      </w:r>
      <w:r w:rsidR="002175F6">
        <w:rPr>
          <w:rStyle w:val="SCCCounselNameChar"/>
        </w:rPr>
        <w:t>c</w:t>
      </w:r>
      <w:r w:rsidR="002175F6" w:rsidRPr="002175F6">
        <w:rPr>
          <w:rStyle w:val="SCCCounselNameChar"/>
        </w:rPr>
        <w:t>ht</w:t>
      </w:r>
      <w:proofErr w:type="spellEnd"/>
      <w:r w:rsidR="002175F6" w:rsidRPr="00234A4C">
        <w:rPr>
          <w:rStyle w:val="SCCCounselNameChar"/>
          <w:i w:val="0"/>
        </w:rPr>
        <w:t>,</w:t>
      </w:r>
      <w:r w:rsidR="002175F6">
        <w:rPr>
          <w:rStyle w:val="SCCCounselNameChar"/>
        </w:rPr>
        <w:t xml:space="preserve"> Q.C.</w:t>
      </w:r>
      <w:r w:rsidR="002175F6">
        <w:rPr>
          <w:rStyle w:val="SCCCounselNameChar"/>
          <w:i w:val="0"/>
        </w:rPr>
        <w:t xml:space="preserve">, </w:t>
      </w:r>
      <w:r w:rsidRPr="002175F6">
        <w:rPr>
          <w:rStyle w:val="SCCCounselPartyRoleChar"/>
        </w:rPr>
        <w:t>for</w:t>
      </w:r>
      <w:r w:rsidRPr="00B45DE0">
        <w:rPr>
          <w:rStyle w:val="SCCCounselPartyRoleChar"/>
        </w:rPr>
        <w:t xml:space="preserve"> the intervener </w:t>
      </w:r>
      <w:r w:rsidR="006C23A5">
        <w:rPr>
          <w:rStyle w:val="SCCCounselPartyRoleChar"/>
        </w:rPr>
        <w:t>t</w:t>
      </w:r>
      <w:r w:rsidR="00B46B81" w:rsidRPr="00B45DE0">
        <w:rPr>
          <w:rStyle w:val="SCCCounselPartyRoleChar"/>
        </w:rPr>
        <w:t xml:space="preserve">he </w:t>
      </w:r>
      <w:r w:rsidRPr="00B45DE0">
        <w:rPr>
          <w:rStyle w:val="SCCCounselPartyRoleChar"/>
        </w:rPr>
        <w:t>National Association of Pharmacy Regulatory Authorities</w:t>
      </w:r>
      <w:r w:rsidR="00C776DA">
        <w:rPr>
          <w:rStyle w:val="SCCCounselPartyRoleChar"/>
        </w:rPr>
        <w:t>.</w:t>
      </w:r>
    </w:p>
    <w:p w:rsidR="00EA2B5B" w:rsidRDefault="00872612" w:rsidP="00E912BB">
      <w:pPr>
        <w:pStyle w:val="SCCNormalDoubleSpacing"/>
        <w:spacing w:after="480"/>
      </w:pPr>
      <w:r>
        <w:rPr>
          <w:rStyle w:val="SCCCounselNameChar"/>
        </w:rPr>
        <w:tab/>
        <w:t xml:space="preserve">Brendan Van </w:t>
      </w:r>
      <w:proofErr w:type="spellStart"/>
      <w:r>
        <w:rPr>
          <w:rStyle w:val="SCCCounselNameChar"/>
        </w:rPr>
        <w:t>Niejenhuis</w:t>
      </w:r>
      <w:proofErr w:type="spellEnd"/>
      <w:r>
        <w:rPr>
          <w:rStyle w:val="SCCCounselSeparatorChar"/>
        </w:rPr>
        <w:t xml:space="preserve"> and </w:t>
      </w:r>
      <w:r>
        <w:rPr>
          <w:rStyle w:val="SCCCounselNameChar"/>
        </w:rPr>
        <w:t xml:space="preserve">Andrea </w:t>
      </w:r>
      <w:proofErr w:type="spellStart"/>
      <w:r>
        <w:rPr>
          <w:rStyle w:val="SCCCounselNameChar"/>
        </w:rPr>
        <w:t>Gonsalves</w:t>
      </w:r>
      <w:proofErr w:type="spellEnd"/>
      <w:r>
        <w:rPr>
          <w:rStyle w:val="SCCCounselPartyRoleChar"/>
        </w:rPr>
        <w:t>, for the intervener Queen</w:t>
      </w:r>
      <w:r w:rsidR="008D5707">
        <w:rPr>
          <w:rStyle w:val="SCCCounselPartyRoleChar"/>
        </w:rPr>
        <w:t>’</w:t>
      </w:r>
      <w:r>
        <w:rPr>
          <w:rStyle w:val="SCCCounselPartyRoleChar"/>
        </w:rPr>
        <w:t>s Prison Law Clinic</w:t>
      </w:r>
      <w:r w:rsidR="00C776DA">
        <w:rPr>
          <w:rStyle w:val="SCCCounselPartyRoleChar"/>
        </w:rPr>
        <w:t>.</w:t>
      </w:r>
    </w:p>
    <w:p w:rsidR="00EA2B5B" w:rsidRDefault="00872612" w:rsidP="00E912BB">
      <w:pPr>
        <w:pStyle w:val="SCCNormalDoubleSpacing"/>
        <w:spacing w:after="480"/>
      </w:pPr>
      <w:r>
        <w:rPr>
          <w:rStyle w:val="SCCCounselNameChar"/>
        </w:rPr>
        <w:tab/>
        <w:t>Adam Goldenberg</w:t>
      </w:r>
      <w:r>
        <w:rPr>
          <w:rStyle w:val="SCCCounselPartyRoleChar"/>
        </w:rPr>
        <w:t>, for the intervener Advocates for the Rule of Law</w:t>
      </w:r>
      <w:r w:rsidR="00C776DA">
        <w:rPr>
          <w:rStyle w:val="SCCCounselPartyRoleChar"/>
        </w:rPr>
        <w:t>.</w:t>
      </w:r>
    </w:p>
    <w:p w:rsidR="005B684D" w:rsidRDefault="00872612" w:rsidP="00E912BB">
      <w:pPr>
        <w:pStyle w:val="SCCNormalDoubleSpacing"/>
        <w:spacing w:after="480"/>
        <w:rPr>
          <w:rStyle w:val="SCCCounselPartyRoleChar"/>
          <w:lang w:val="en-US"/>
        </w:rPr>
      </w:pPr>
      <w:r>
        <w:rPr>
          <w:rStyle w:val="SCCCounselNameChar"/>
        </w:rPr>
        <w:tab/>
      </w:r>
      <w:r w:rsidR="005B684D" w:rsidRPr="00C81667">
        <w:rPr>
          <w:rStyle w:val="SCCCounselNameChar"/>
          <w:lang w:val="en-US"/>
        </w:rPr>
        <w:t>Toni Schweitzer</w:t>
      </w:r>
      <w:r w:rsidR="005B684D">
        <w:rPr>
          <w:rStyle w:val="SCCCounselSeparatorChar"/>
        </w:rPr>
        <w:t xml:space="preserve">, </w:t>
      </w:r>
      <w:r w:rsidR="005B684D">
        <w:rPr>
          <w:rStyle w:val="SCCCounselPartyRoleChar"/>
        </w:rPr>
        <w:t xml:space="preserve">for the intervener </w:t>
      </w:r>
      <w:r w:rsidR="005B684D" w:rsidRPr="00C81667">
        <w:rPr>
          <w:rStyle w:val="SCCCounselPartyRoleChar"/>
          <w:lang w:val="en-US"/>
        </w:rPr>
        <w:t>Parkdale Community Legal Services</w:t>
      </w:r>
      <w:r w:rsidR="005B684D">
        <w:rPr>
          <w:rStyle w:val="SCCCounselPartyRoleChar"/>
          <w:lang w:val="en-US"/>
        </w:rPr>
        <w:t>.</w:t>
      </w:r>
    </w:p>
    <w:p w:rsidR="00EA2B5B" w:rsidRDefault="005B684D" w:rsidP="00E912BB">
      <w:pPr>
        <w:pStyle w:val="SCCNormalDoubleSpacing"/>
        <w:spacing w:after="480"/>
      </w:pPr>
      <w:r>
        <w:rPr>
          <w:rStyle w:val="SCCCounselPartyRoleChar"/>
          <w:lang w:val="en-US"/>
        </w:rPr>
        <w:tab/>
      </w:r>
      <w:r w:rsidR="00872612">
        <w:rPr>
          <w:rStyle w:val="SCCCounselNameChar"/>
        </w:rPr>
        <w:t xml:space="preserve">Paul </w:t>
      </w:r>
      <w:proofErr w:type="spellStart"/>
      <w:r w:rsidR="00872612">
        <w:rPr>
          <w:rStyle w:val="SCCCounselNameChar"/>
        </w:rPr>
        <w:t>Warchuk</w:t>
      </w:r>
      <w:proofErr w:type="spellEnd"/>
      <w:r w:rsidR="00872612">
        <w:rPr>
          <w:rStyle w:val="SCCCounselSeparatorChar"/>
        </w:rPr>
        <w:t xml:space="preserve"> and </w:t>
      </w:r>
      <w:r w:rsidR="00872612">
        <w:rPr>
          <w:rStyle w:val="SCCCounselNameChar"/>
        </w:rPr>
        <w:t>Francis Lévesque</w:t>
      </w:r>
      <w:r w:rsidR="00872612">
        <w:rPr>
          <w:rStyle w:val="SCCCounselPartyRoleChar"/>
        </w:rPr>
        <w:t xml:space="preserve">, for the intervener </w:t>
      </w:r>
      <w:r w:rsidR="006140DA">
        <w:rPr>
          <w:rStyle w:val="SCCCounselPartyRoleChar"/>
        </w:rPr>
        <w:t xml:space="preserve">the </w:t>
      </w:r>
      <w:r w:rsidR="00872612">
        <w:rPr>
          <w:rStyle w:val="SCCCounselPartyRoleChar"/>
        </w:rPr>
        <w:t>Cambridge Comparative Administrative Law Forum</w:t>
      </w:r>
      <w:r w:rsidR="00C776DA">
        <w:rPr>
          <w:rStyle w:val="SCCCounselPartyRoleChar"/>
        </w:rPr>
        <w:t>.</w:t>
      </w:r>
    </w:p>
    <w:p w:rsidR="00EA2B5B" w:rsidRDefault="00872612" w:rsidP="00E912BB">
      <w:pPr>
        <w:pStyle w:val="SCCNormalDoubleSpacing"/>
        <w:spacing w:after="480"/>
      </w:pPr>
      <w:r>
        <w:rPr>
          <w:rStyle w:val="SCCCounselNameChar"/>
        </w:rPr>
        <w:tab/>
      </w:r>
      <w:r w:rsidR="006140DA">
        <w:rPr>
          <w:rStyle w:val="SCCCounselNameChar"/>
        </w:rPr>
        <w:t xml:space="preserve">James </w:t>
      </w:r>
      <w:proofErr w:type="spellStart"/>
      <w:r w:rsidR="006140DA">
        <w:rPr>
          <w:rStyle w:val="SCCCounselNameChar"/>
        </w:rPr>
        <w:t>Plotkin</w:t>
      </w:r>
      <w:proofErr w:type="spellEnd"/>
      <w:r w:rsidR="006140DA">
        <w:rPr>
          <w:rStyle w:val="SCCCounselNameChar"/>
        </w:rPr>
        <w:t xml:space="preserve"> </w:t>
      </w:r>
      <w:r w:rsidR="006140DA">
        <w:rPr>
          <w:rStyle w:val="SCCCounselNameChar"/>
          <w:i w:val="0"/>
        </w:rPr>
        <w:t xml:space="preserve">and </w:t>
      </w:r>
      <w:r>
        <w:rPr>
          <w:rStyle w:val="SCCCounselNameChar"/>
        </w:rPr>
        <w:t>Alyssa Tomkins</w:t>
      </w:r>
      <w:r>
        <w:rPr>
          <w:rStyle w:val="SCCCounselPartyRoleChar"/>
        </w:rPr>
        <w:t>, for the intervener</w:t>
      </w:r>
      <w:r w:rsidR="006140DA">
        <w:rPr>
          <w:rStyle w:val="SCCCounselPartyRoleChar"/>
        </w:rPr>
        <w:t xml:space="preserve"> the</w:t>
      </w:r>
      <w:r>
        <w:rPr>
          <w:rStyle w:val="SCCCounselPartyRoleChar"/>
        </w:rPr>
        <w:t xml:space="preserve"> Samuelson</w:t>
      </w:r>
      <w:r w:rsidR="007C3A49">
        <w:rPr>
          <w:rStyle w:val="SCCCounselPartyRoleChar"/>
        </w:rPr>
        <w:noBreakHyphen/>
      </w:r>
      <w:proofErr w:type="spellStart"/>
      <w:r>
        <w:rPr>
          <w:rStyle w:val="SCCCounselPartyRoleChar"/>
        </w:rPr>
        <w:t>Glushko</w:t>
      </w:r>
      <w:proofErr w:type="spellEnd"/>
      <w:r>
        <w:rPr>
          <w:rStyle w:val="SCCCounselPartyRoleChar"/>
        </w:rPr>
        <w:t xml:space="preserve"> Canadian Internet Policy and Public Interest Clinic</w:t>
      </w:r>
      <w:r w:rsidR="00C776DA">
        <w:rPr>
          <w:rStyle w:val="SCCCounselPartyRoleChar"/>
        </w:rPr>
        <w:t>.</w:t>
      </w:r>
    </w:p>
    <w:p w:rsidR="002C5C63" w:rsidRPr="005B684D" w:rsidRDefault="00872612" w:rsidP="00E912BB">
      <w:pPr>
        <w:pStyle w:val="SCCNormalDoubleSpacing"/>
        <w:spacing w:after="480"/>
        <w:rPr>
          <w:rStyle w:val="SCCCounselPartyRoleChar"/>
        </w:rPr>
      </w:pPr>
      <w:r>
        <w:rPr>
          <w:rStyle w:val="SCCCounselNameChar"/>
        </w:rPr>
        <w:tab/>
      </w:r>
      <w:r w:rsidR="003C1ECA">
        <w:rPr>
          <w:rStyle w:val="SCCCounselNameChar"/>
        </w:rPr>
        <w:t xml:space="preserve">Guy </w:t>
      </w:r>
      <w:proofErr w:type="spellStart"/>
      <w:r w:rsidR="003C1ECA">
        <w:rPr>
          <w:rStyle w:val="SCCCounselNameChar"/>
        </w:rPr>
        <w:t>Régimbald</w:t>
      </w:r>
      <w:proofErr w:type="spellEnd"/>
      <w:r w:rsidR="003C1ECA" w:rsidRPr="003C1ECA">
        <w:rPr>
          <w:rStyle w:val="SCCCounselNameChar"/>
          <w:i w:val="0"/>
        </w:rPr>
        <w:t xml:space="preserve">, </w:t>
      </w:r>
      <w:r>
        <w:rPr>
          <w:rStyle w:val="SCCCounselPartyRoleChar"/>
        </w:rPr>
        <w:t xml:space="preserve">for the intervener </w:t>
      </w:r>
      <w:r w:rsidR="00E13262">
        <w:rPr>
          <w:rStyle w:val="SCCCounselPartyRoleChar"/>
        </w:rPr>
        <w:t xml:space="preserve">the </w:t>
      </w:r>
      <w:r>
        <w:rPr>
          <w:rStyle w:val="SCCCounselPartyRoleChar"/>
        </w:rPr>
        <w:t>Canadian Bar Association</w:t>
      </w:r>
      <w:r w:rsidR="00566A5A">
        <w:rPr>
          <w:rStyle w:val="SCCCounselPartyRoleChar"/>
        </w:rPr>
        <w:t>.</w:t>
      </w:r>
    </w:p>
    <w:p w:rsidR="002C5C63" w:rsidRDefault="002C5C63" w:rsidP="00E912BB">
      <w:pPr>
        <w:pStyle w:val="SCCNormalDoubleSpacing"/>
        <w:spacing w:after="480"/>
        <w:rPr>
          <w:rStyle w:val="SCCCounselPartyRoleChar"/>
        </w:rPr>
      </w:pPr>
      <w:r w:rsidRPr="00F21832">
        <w:rPr>
          <w:rStyle w:val="SCCCounselNameChar"/>
          <w:i w:val="0"/>
        </w:rPr>
        <w:tab/>
      </w:r>
      <w:r w:rsidRPr="00173959">
        <w:rPr>
          <w:rStyle w:val="SCCCounselNameChar"/>
        </w:rPr>
        <w:t>Audrey Macklin</w:t>
      </w:r>
      <w:r w:rsidRPr="00173959">
        <w:rPr>
          <w:rStyle w:val="SCCCounselPartyRoleChar"/>
        </w:rPr>
        <w:t xml:space="preserve"> and </w:t>
      </w:r>
      <w:r w:rsidRPr="00173959">
        <w:rPr>
          <w:rStyle w:val="SCCCounselNameChar"/>
        </w:rPr>
        <w:t xml:space="preserve">Anthony </w:t>
      </w:r>
      <w:proofErr w:type="spellStart"/>
      <w:r w:rsidRPr="00173959">
        <w:rPr>
          <w:rStyle w:val="SCCCounselNameChar"/>
        </w:rPr>
        <w:t>Navaneelan</w:t>
      </w:r>
      <w:proofErr w:type="spellEnd"/>
      <w:r w:rsidRPr="00173959">
        <w:rPr>
          <w:rStyle w:val="SCCCounselNameChar"/>
          <w:i w:val="0"/>
        </w:rPr>
        <w:t>,</w:t>
      </w:r>
      <w:r w:rsidRPr="00173959">
        <w:rPr>
          <w:rStyle w:val="SCCCounselPartyRoleChar"/>
        </w:rPr>
        <w:t xml:space="preserve"> for</w:t>
      </w:r>
      <w:r>
        <w:rPr>
          <w:rStyle w:val="SCCCounselPartyRoleChar"/>
        </w:rPr>
        <w:t xml:space="preserve"> the intervener </w:t>
      </w:r>
      <w:r w:rsidR="00B843E4">
        <w:rPr>
          <w:rStyle w:val="SCCCounselPartyRoleChar"/>
        </w:rPr>
        <w:t xml:space="preserve">the </w:t>
      </w:r>
      <w:r>
        <w:rPr>
          <w:rStyle w:val="SCCCounselPartyRoleChar"/>
        </w:rPr>
        <w:t>Canadian Association of Refugee Lawyers</w:t>
      </w:r>
      <w:r w:rsidR="00566A5A">
        <w:rPr>
          <w:rStyle w:val="SCCCounselPartyRoleChar"/>
        </w:rPr>
        <w:t>.</w:t>
      </w:r>
    </w:p>
    <w:p w:rsidR="002C5C63" w:rsidRDefault="002C5C63" w:rsidP="00E912BB">
      <w:pPr>
        <w:pStyle w:val="SCCNormalDoubleSpacing"/>
        <w:spacing w:after="480"/>
        <w:rPr>
          <w:rStyle w:val="SCCCounselPartyRoleChar"/>
        </w:rPr>
      </w:pPr>
      <w:r>
        <w:rPr>
          <w:rStyle w:val="SCCCounselNameChar"/>
          <w:i w:val="0"/>
        </w:rPr>
        <w:tab/>
      </w:r>
      <w:r w:rsidR="001B03BD">
        <w:rPr>
          <w:rStyle w:val="SCCCounselNameChar"/>
          <w:i w:val="0"/>
        </w:rPr>
        <w:t xml:space="preserve">Written submissions only by </w:t>
      </w:r>
      <w:r w:rsidR="001B03BD">
        <w:rPr>
          <w:rStyle w:val="SCCCounselNameChar"/>
        </w:rPr>
        <w:t xml:space="preserve">David </w:t>
      </w:r>
      <w:r w:rsidR="001B03BD" w:rsidRPr="00351B4E">
        <w:rPr>
          <w:rStyle w:val="SCCCounselNameChar"/>
        </w:rPr>
        <w:t>Cote</w:t>
      </w:r>
      <w:r w:rsidR="001B03BD">
        <w:rPr>
          <w:rStyle w:val="SCCCounselNameChar"/>
        </w:rPr>
        <w:t xml:space="preserve"> </w:t>
      </w:r>
      <w:r w:rsidR="001B03BD">
        <w:rPr>
          <w:rStyle w:val="SCCCounselNameChar"/>
          <w:i w:val="0"/>
        </w:rPr>
        <w:t xml:space="preserve">and </w:t>
      </w:r>
      <w:proofErr w:type="spellStart"/>
      <w:r w:rsidR="001B03BD">
        <w:rPr>
          <w:rStyle w:val="SCCCounselNameChar"/>
        </w:rPr>
        <w:t>Subodh</w:t>
      </w:r>
      <w:proofErr w:type="spellEnd"/>
      <w:r w:rsidR="001B03BD">
        <w:rPr>
          <w:rStyle w:val="SCCCounselNameChar"/>
        </w:rPr>
        <w:t xml:space="preserve"> </w:t>
      </w:r>
      <w:proofErr w:type="spellStart"/>
      <w:r w:rsidR="001B03BD" w:rsidRPr="001B03BD">
        <w:rPr>
          <w:rStyle w:val="SCCCounselNameChar"/>
        </w:rPr>
        <w:t>Bharati</w:t>
      </w:r>
      <w:proofErr w:type="spellEnd"/>
      <w:r w:rsidR="001B03BD" w:rsidRPr="001B03BD">
        <w:rPr>
          <w:rStyle w:val="SCCCounselNameChar"/>
          <w:i w:val="0"/>
        </w:rPr>
        <w:t>,</w:t>
      </w:r>
      <w:r w:rsidR="001B03BD" w:rsidRPr="001B03BD">
        <w:rPr>
          <w:rStyle w:val="SCCCounselNameChar"/>
        </w:rPr>
        <w:t xml:space="preserve"> </w:t>
      </w:r>
      <w:r w:rsidRPr="001B03BD">
        <w:rPr>
          <w:rStyle w:val="SCCCounselPartyRoleChar"/>
        </w:rPr>
        <w:t>for</w:t>
      </w:r>
      <w:r>
        <w:rPr>
          <w:rStyle w:val="SCCCounselPartyRoleChar"/>
        </w:rPr>
        <w:t xml:space="preserve"> the intervener </w:t>
      </w:r>
      <w:r w:rsidR="001B03BD">
        <w:rPr>
          <w:rStyle w:val="SCCCounselPartyRoleChar"/>
        </w:rPr>
        <w:t xml:space="preserve">the </w:t>
      </w:r>
      <w:r>
        <w:rPr>
          <w:rStyle w:val="SCCCounselPartyRoleChar"/>
        </w:rPr>
        <w:t>Community &amp; Legal Aid Services Programme.</w:t>
      </w:r>
    </w:p>
    <w:p w:rsidR="002C5C63" w:rsidRPr="00B843E4" w:rsidRDefault="002C5C63" w:rsidP="00E912BB">
      <w:pPr>
        <w:pStyle w:val="SCCNormalDoubleSpacing"/>
        <w:spacing w:after="480"/>
        <w:rPr>
          <w:rStyle w:val="SCCCounselPartyRoleChar"/>
          <w:lang w:val="fr-CA"/>
        </w:rPr>
      </w:pPr>
      <w:r>
        <w:rPr>
          <w:rStyle w:val="SCCCounselPartyRoleChar"/>
        </w:rPr>
        <w:lastRenderedPageBreak/>
        <w:tab/>
      </w:r>
      <w:r w:rsidRPr="00B843E4">
        <w:rPr>
          <w:rStyle w:val="SCCCounselNameChar"/>
          <w:lang w:val="fr-CA"/>
        </w:rPr>
        <w:t>Guillaume Cliche</w:t>
      </w:r>
      <w:r w:rsidR="007C3A49">
        <w:rPr>
          <w:rStyle w:val="SCCCounselNameChar"/>
          <w:lang w:val="fr-CA"/>
        </w:rPr>
        <w:noBreakHyphen/>
      </w:r>
      <w:r w:rsidRPr="00B843E4">
        <w:rPr>
          <w:rStyle w:val="SCCCounselNameChar"/>
          <w:lang w:val="fr-CA"/>
        </w:rPr>
        <w:t>Rivard</w:t>
      </w:r>
      <w:r w:rsidRPr="00B843E4">
        <w:rPr>
          <w:rStyle w:val="SCCCounselSeparatorChar"/>
          <w:lang w:val="fr-CA"/>
        </w:rPr>
        <w:t xml:space="preserve"> and </w:t>
      </w:r>
      <w:r w:rsidRPr="00B843E4">
        <w:rPr>
          <w:rStyle w:val="SCCCounselNameChar"/>
          <w:lang w:val="fr-CA"/>
        </w:rPr>
        <w:t xml:space="preserve">Peter </w:t>
      </w:r>
      <w:proofErr w:type="spellStart"/>
      <w:r w:rsidRPr="00B843E4">
        <w:rPr>
          <w:rStyle w:val="SCCCounselNameChar"/>
          <w:lang w:val="fr-CA"/>
        </w:rPr>
        <w:t>Shams</w:t>
      </w:r>
      <w:proofErr w:type="spellEnd"/>
      <w:r w:rsidRPr="00B843E4">
        <w:rPr>
          <w:rStyle w:val="SCCCounselPartyRoleChar"/>
          <w:lang w:val="fr-CA"/>
        </w:rPr>
        <w:t xml:space="preserve">, for the </w:t>
      </w:r>
      <w:proofErr w:type="spellStart"/>
      <w:r w:rsidRPr="00B843E4">
        <w:rPr>
          <w:rStyle w:val="SCCCounselPartyRoleChar"/>
          <w:lang w:val="fr-CA"/>
        </w:rPr>
        <w:t>intervener</w:t>
      </w:r>
      <w:proofErr w:type="spellEnd"/>
      <w:r w:rsidRPr="00B843E4">
        <w:rPr>
          <w:rStyle w:val="SCCCounselPartyRoleChar"/>
          <w:lang w:val="fr-CA"/>
        </w:rPr>
        <w:t xml:space="preserve"> Association québécoise des avocats et avocates en droit de l</w:t>
      </w:r>
      <w:r w:rsidR="008D5707">
        <w:rPr>
          <w:rStyle w:val="SCCCounselPartyRoleChar"/>
          <w:lang w:val="fr-CA"/>
        </w:rPr>
        <w:t>’</w:t>
      </w:r>
      <w:r w:rsidRPr="00B843E4">
        <w:rPr>
          <w:rStyle w:val="SCCCounselPartyRoleChar"/>
          <w:lang w:val="fr-CA"/>
        </w:rPr>
        <w:t>immigration.</w:t>
      </w:r>
    </w:p>
    <w:p w:rsidR="00CF74B7" w:rsidRPr="00C776DA" w:rsidRDefault="002C5C63" w:rsidP="00E912BB">
      <w:pPr>
        <w:pStyle w:val="SCCNormalDoubleSpacing"/>
        <w:spacing w:after="480"/>
      </w:pPr>
      <w:r w:rsidRPr="00B843E4">
        <w:rPr>
          <w:rStyle w:val="SCCCounselPartyRoleChar"/>
          <w:lang w:val="fr-CA"/>
        </w:rPr>
        <w:tab/>
      </w:r>
      <w:r w:rsidR="003C1ECA">
        <w:rPr>
          <w:rStyle w:val="SCCCounselNameChar"/>
        </w:rPr>
        <w:t xml:space="preserve">Nicholas </w:t>
      </w:r>
      <w:proofErr w:type="spellStart"/>
      <w:r w:rsidR="003C1ECA">
        <w:rPr>
          <w:rStyle w:val="SCCCounselNameChar"/>
        </w:rPr>
        <w:t>McHaffie</w:t>
      </w:r>
      <w:proofErr w:type="spellEnd"/>
      <w:r w:rsidR="00872612">
        <w:rPr>
          <w:rStyle w:val="SCCCounselPartyRoleChar"/>
        </w:rPr>
        <w:t xml:space="preserve">, for the intervener </w:t>
      </w:r>
      <w:r w:rsidR="001B03BD">
        <w:rPr>
          <w:rStyle w:val="SCCCounselPartyRoleChar"/>
        </w:rPr>
        <w:t>the First Nations Child &amp;</w:t>
      </w:r>
      <w:r w:rsidR="00872612">
        <w:rPr>
          <w:rStyle w:val="SCCCounselPartyRoleChar"/>
        </w:rPr>
        <w:t xml:space="preserve"> Family Caring Society of Canada</w:t>
      </w:r>
      <w:r w:rsidR="00566A5A">
        <w:rPr>
          <w:rStyle w:val="SCCCounselPartyRoleChar"/>
        </w:rPr>
        <w:t>.</w:t>
      </w:r>
    </w:p>
    <w:p w:rsidR="008B0231" w:rsidRDefault="00CF74B7" w:rsidP="008B0231">
      <w:pPr>
        <w:pStyle w:val="SCCNormalDoubleSpacing"/>
        <w:spacing w:after="480"/>
        <w:rPr>
          <w:rStyle w:val="SCCCounselNameChar"/>
          <w:i w:val="0"/>
        </w:rPr>
      </w:pPr>
      <w:r w:rsidRPr="00C776DA">
        <w:rPr>
          <w:rStyle w:val="SCCCounselNameChar"/>
        </w:rPr>
        <w:tab/>
      </w:r>
      <w:r w:rsidRPr="002C5C63">
        <w:rPr>
          <w:rStyle w:val="SCCCounselNameChar"/>
        </w:rPr>
        <w:t>Daniel Jutras</w:t>
      </w:r>
      <w:r w:rsidRPr="002C5C63">
        <w:rPr>
          <w:rStyle w:val="SCCCounselSeparatorChar"/>
        </w:rPr>
        <w:t xml:space="preserve"> and </w:t>
      </w:r>
      <w:r w:rsidR="002C5C63" w:rsidRPr="002C5C63">
        <w:rPr>
          <w:rStyle w:val="SCCCounselNameChar"/>
        </w:rPr>
        <w:t xml:space="preserve">Audrey </w:t>
      </w:r>
      <w:proofErr w:type="spellStart"/>
      <w:r w:rsidR="002C5C63" w:rsidRPr="002C5C63">
        <w:rPr>
          <w:rStyle w:val="SCCCounselNameChar"/>
        </w:rPr>
        <w:t>Bo</w:t>
      </w:r>
      <w:r w:rsidR="001B03BD">
        <w:rPr>
          <w:rStyle w:val="SCCCounselNameChar"/>
        </w:rPr>
        <w:t>c</w:t>
      </w:r>
      <w:r w:rsidR="002C5C63" w:rsidRPr="002C5C63">
        <w:rPr>
          <w:rStyle w:val="SCCCounselNameChar"/>
        </w:rPr>
        <w:t>tor</w:t>
      </w:r>
      <w:proofErr w:type="spellEnd"/>
      <w:r w:rsidRPr="002C5C63">
        <w:rPr>
          <w:rStyle w:val="SCCCounselPartyRoleChar"/>
        </w:rPr>
        <w:t xml:space="preserve">, </w:t>
      </w:r>
      <w:r w:rsidR="002C5C63" w:rsidRPr="002C5C63">
        <w:rPr>
          <w:rStyle w:val="SCCCounselPartyRoleChar"/>
        </w:rPr>
        <w:t xml:space="preserve">as </w:t>
      </w:r>
      <w:r w:rsidR="002C5C63" w:rsidRPr="001B03BD">
        <w:rPr>
          <w:rStyle w:val="SCCCounselPartyRoleChar"/>
          <w:i/>
        </w:rPr>
        <w:t xml:space="preserve">amici </w:t>
      </w:r>
      <w:r w:rsidRPr="001B03BD">
        <w:rPr>
          <w:rStyle w:val="SCCCounselPartyRoleChar"/>
          <w:i/>
        </w:rPr>
        <w:t>curiae</w:t>
      </w:r>
      <w:r w:rsidR="002C5C63" w:rsidRPr="002C5C63">
        <w:rPr>
          <w:rStyle w:val="SCCCounselPartyRoleChar"/>
        </w:rPr>
        <w:t>, and</w:t>
      </w:r>
      <w:r w:rsidRPr="002C5C63">
        <w:rPr>
          <w:rStyle w:val="SCCCounselPartyRoleChar"/>
        </w:rPr>
        <w:t xml:space="preserve"> </w:t>
      </w:r>
      <w:r w:rsidR="002C5C63" w:rsidRPr="002C5C63">
        <w:rPr>
          <w:rStyle w:val="SCCCounselNameChar"/>
        </w:rPr>
        <w:t xml:space="preserve">Olga </w:t>
      </w:r>
      <w:proofErr w:type="spellStart"/>
      <w:r w:rsidR="002C5C63" w:rsidRPr="002C5C63">
        <w:rPr>
          <w:rStyle w:val="SCCCounselNameChar"/>
        </w:rPr>
        <w:t>Redko</w:t>
      </w:r>
      <w:proofErr w:type="spellEnd"/>
      <w:r w:rsidR="001B03BD">
        <w:rPr>
          <w:rStyle w:val="SCCCounselPartyRoleChar"/>
        </w:rPr>
        <w:t xml:space="preserve"> and </w:t>
      </w:r>
      <w:r w:rsidR="001B03BD" w:rsidRPr="002C5C63">
        <w:rPr>
          <w:rStyle w:val="SCCCounselNameChar"/>
        </w:rPr>
        <w:t xml:space="preserve">Edward </w:t>
      </w:r>
      <w:proofErr w:type="spellStart"/>
      <w:r w:rsidR="001B03BD" w:rsidRPr="002C5C63">
        <w:rPr>
          <w:rStyle w:val="SCCCounselNameChar"/>
        </w:rPr>
        <w:t>Béchard</w:t>
      </w:r>
      <w:proofErr w:type="spellEnd"/>
      <w:r w:rsidR="001B03BD" w:rsidRPr="002C5C63">
        <w:rPr>
          <w:rStyle w:val="SCCCounselNameChar"/>
        </w:rPr>
        <w:t xml:space="preserve"> Torres</w:t>
      </w:r>
      <w:r w:rsidR="001B03BD">
        <w:rPr>
          <w:rStyle w:val="SCCCounselNameChar"/>
          <w:i w:val="0"/>
        </w:rPr>
        <w:t>.</w:t>
      </w:r>
    </w:p>
    <w:p w:rsidR="008B0231" w:rsidRDefault="0080178A" w:rsidP="0080178A">
      <w:pPr>
        <w:pStyle w:val="SCCNormalDoubleSpacing"/>
        <w:spacing w:after="480"/>
        <w:rPr>
          <w:rFonts w:eastAsia="Calibri"/>
          <w:szCs w:val="24"/>
        </w:rPr>
      </w:pPr>
      <w:r>
        <w:rPr>
          <w:rFonts w:eastAsia="Calibri"/>
          <w:szCs w:val="24"/>
        </w:rPr>
        <w:tab/>
      </w:r>
      <w:r w:rsidR="008B0231" w:rsidRPr="00F24E11">
        <w:rPr>
          <w:rFonts w:eastAsia="Calibri"/>
          <w:szCs w:val="24"/>
        </w:rPr>
        <w:t xml:space="preserve">The </w:t>
      </w:r>
      <w:r w:rsidR="008B0231" w:rsidRPr="0080178A">
        <w:rPr>
          <w:rStyle w:val="SCCCounselPartyRoleChar"/>
        </w:rPr>
        <w:t>following</w:t>
      </w:r>
      <w:r w:rsidR="008B0231" w:rsidRPr="00F24E11">
        <w:rPr>
          <w:rFonts w:eastAsia="Calibri"/>
          <w:szCs w:val="24"/>
        </w:rPr>
        <w:t xml:space="preserve"> is the judgment delivered by</w:t>
      </w:r>
    </w:p>
    <w:p w:rsidR="008B0231" w:rsidRPr="000821FA" w:rsidRDefault="007326A5" w:rsidP="000F2034">
      <w:pPr>
        <w:pStyle w:val="ParaNoNdepar-AltN"/>
        <w:tabs>
          <w:tab w:val="clear" w:pos="1166"/>
          <w:tab w:val="clear" w:pos="1422"/>
          <w:tab w:val="num" w:pos="1152"/>
        </w:tabs>
        <w:ind w:left="0"/>
        <w:rPr>
          <w:rFonts w:cs="Times New Roman"/>
        </w:rPr>
      </w:pPr>
      <w:r w:rsidRPr="007326A5">
        <w:rPr>
          <w:smallCaps/>
        </w:rPr>
        <w:t xml:space="preserve">The Chief Justice and </w:t>
      </w:r>
      <w:proofErr w:type="spellStart"/>
      <w:r w:rsidRPr="007326A5">
        <w:rPr>
          <w:smallCaps/>
        </w:rPr>
        <w:t>Moldaver</w:t>
      </w:r>
      <w:proofErr w:type="spellEnd"/>
      <w:r w:rsidRPr="007326A5">
        <w:rPr>
          <w:smallCaps/>
        </w:rPr>
        <w:t xml:space="preserve">, </w:t>
      </w:r>
      <w:proofErr w:type="spellStart"/>
      <w:r w:rsidRPr="007326A5">
        <w:rPr>
          <w:smallCaps/>
        </w:rPr>
        <w:t>Gascon</w:t>
      </w:r>
      <w:proofErr w:type="spellEnd"/>
      <w:r w:rsidRPr="007326A5">
        <w:rPr>
          <w:smallCaps/>
        </w:rPr>
        <w:t>, C</w:t>
      </w:r>
      <w:proofErr w:type="spellStart"/>
      <w:r w:rsidRPr="007326A5">
        <w:rPr>
          <w:smallCaps/>
          <w:lang w:val="en-US"/>
        </w:rPr>
        <w:t>ôté</w:t>
      </w:r>
      <w:proofErr w:type="spellEnd"/>
      <w:r w:rsidRPr="007326A5">
        <w:rPr>
          <w:smallCaps/>
          <w:lang w:val="en-US"/>
        </w:rPr>
        <w:t>, Brown, Rowe and Martin JJ.</w:t>
      </w:r>
      <w:r w:rsidRPr="000821FA">
        <w:t xml:space="preserve"> — </w:t>
      </w:r>
      <w:r w:rsidR="008B0231" w:rsidRPr="000821FA">
        <w:rPr>
          <w:rFonts w:cs="Times New Roman"/>
        </w:rPr>
        <w:t xml:space="preserve">This </w:t>
      </w:r>
      <w:r w:rsidR="008B0231">
        <w:rPr>
          <w:rFonts w:cs="Times New Roman"/>
        </w:rPr>
        <w:t xml:space="preserve">appeal and its companion cases </w:t>
      </w:r>
      <w:r w:rsidR="008B0231" w:rsidRPr="000821FA">
        <w:rPr>
          <w:rFonts w:cs="Times New Roman"/>
        </w:rPr>
        <w:t xml:space="preserve">(see </w:t>
      </w:r>
      <w:r w:rsidR="008B0231" w:rsidRPr="000821FA">
        <w:rPr>
          <w:rFonts w:cs="Times New Roman"/>
          <w:i/>
        </w:rPr>
        <w:t>Bell Canada v. Canada (Attorney General)</w:t>
      </w:r>
      <w:r w:rsidR="008B0231">
        <w:rPr>
          <w:rFonts w:cs="Times New Roman"/>
        </w:rPr>
        <w:t>,</w:t>
      </w:r>
      <w:r w:rsidR="008B0231" w:rsidRPr="000821FA">
        <w:rPr>
          <w:rFonts w:cs="Times New Roman"/>
          <w:i/>
        </w:rPr>
        <w:t xml:space="preserve"> </w:t>
      </w:r>
      <w:r w:rsidR="008B0231" w:rsidRPr="000821FA">
        <w:rPr>
          <w:rFonts w:cs="Times New Roman"/>
        </w:rPr>
        <w:t>2019 SCC 66</w:t>
      </w:r>
      <w:r w:rsidR="0026426D">
        <w:rPr>
          <w:rFonts w:cs="Times New Roman"/>
        </w:rPr>
        <w:t>, [2019] 4</w:t>
      </w:r>
      <w:r w:rsidR="001B472B">
        <w:rPr>
          <w:rFonts w:cs="Times New Roman"/>
        </w:rPr>
        <w:t xml:space="preserve"> S.C.R. </w:t>
      </w:r>
      <w:r w:rsidR="00D6025B">
        <w:rPr>
          <w:rFonts w:cs="Times New Roman"/>
        </w:rPr>
        <w:t>845</w:t>
      </w:r>
      <w:r w:rsidR="008B0231" w:rsidRPr="000821FA">
        <w:rPr>
          <w:rFonts w:cs="Times New Roman"/>
        </w:rPr>
        <w:t>), provide this Court with an opportunity to re-examine its approach to judicial review of administrative decisions.</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In these reasons, we will address two key aspects of the current administrative law jurisprudence which require reconsideration and clarification. First, we will chart a new course forward for determining the standard of review that applies when a court reviews the merits of an administrative decision. Second, we will provide additional guidance for reviewing courts to follow when conducting reasonableness review. The revised framework will continue to be guided by the principles underlying judicial review that this Court articulated in </w:t>
      </w:r>
      <w:r w:rsidRPr="000821FA">
        <w:rPr>
          <w:rFonts w:cs="Times New Roman"/>
          <w:i/>
        </w:rPr>
        <w:t>Dunsmuir v. New Brunswick</w:t>
      </w:r>
      <w:r w:rsidRPr="000821FA">
        <w:rPr>
          <w:rFonts w:cs="Times New Roman"/>
        </w:rPr>
        <w:t xml:space="preserve">, 2008 SCC 9, [2008] 1 S.C.R. 190: that judicial review functions to maintain the rule of law while </w:t>
      </w:r>
      <w:r w:rsidRPr="000821FA">
        <w:rPr>
          <w:rFonts w:cs="Times New Roman"/>
        </w:rPr>
        <w:lastRenderedPageBreak/>
        <w:t>giving effect to legislative intent. We will also affirm the need to develop and strengthen a culture of justification in administrative decision making.</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We will then address the merits of the case at bar, which relates to an application for judicial review of a decision by the Canadian Registrar of Citizenship concerning Alexander </w:t>
      </w:r>
      <w:proofErr w:type="spellStart"/>
      <w:r w:rsidRPr="000821FA">
        <w:rPr>
          <w:rFonts w:cs="Times New Roman"/>
        </w:rPr>
        <w:t>Vavilov</w:t>
      </w:r>
      <w:proofErr w:type="spellEnd"/>
      <w:r w:rsidRPr="000821FA">
        <w:rPr>
          <w:rFonts w:cs="Times New Roman"/>
        </w:rPr>
        <w:t>, who was born in Canada and whose parents were later revealed to be Russian spies. The Registrar found on the ba</w:t>
      </w:r>
      <w:r w:rsidR="00484BDB">
        <w:rPr>
          <w:rFonts w:cs="Times New Roman"/>
        </w:rPr>
        <w:t>sis of an interpretation of s. </w:t>
      </w:r>
      <w:r w:rsidRPr="000821FA">
        <w:rPr>
          <w:rFonts w:cs="Times New Roman"/>
        </w:rPr>
        <w:t xml:space="preserve">3(2)(a) of the </w:t>
      </w:r>
      <w:r w:rsidRPr="000821FA">
        <w:rPr>
          <w:rFonts w:cs="Times New Roman"/>
          <w:i/>
        </w:rPr>
        <w:t>Citizenship Act</w:t>
      </w:r>
      <w:r w:rsidRPr="000821FA">
        <w:rPr>
          <w:rFonts w:cs="Times New Roman"/>
        </w:rPr>
        <w:t>,</w:t>
      </w:r>
      <w:r w:rsidRPr="000821FA">
        <w:rPr>
          <w:rFonts w:cs="Times New Roman"/>
          <w:i/>
        </w:rPr>
        <w:t xml:space="preserve"> </w:t>
      </w:r>
      <w:r w:rsidRPr="000821FA">
        <w:rPr>
          <w:rFonts w:cs="Times New Roman"/>
        </w:rPr>
        <w:t xml:space="preserve">R.S.C. 1985, c. C-29, that Mr. </w:t>
      </w:r>
      <w:proofErr w:type="spellStart"/>
      <w:r w:rsidRPr="000821FA">
        <w:rPr>
          <w:rFonts w:cs="Times New Roman"/>
        </w:rPr>
        <w:t>Vavilov</w:t>
      </w:r>
      <w:proofErr w:type="spellEnd"/>
      <w:r w:rsidRPr="000821FA">
        <w:rPr>
          <w:rFonts w:cs="Times New Roman"/>
        </w:rPr>
        <w:t xml:space="preserve"> was not a Canadian citizen and cancelled his certificate of citizenship under s. 26(3) of the </w:t>
      </w:r>
      <w:r w:rsidRPr="000821FA">
        <w:rPr>
          <w:rFonts w:cs="Times New Roman"/>
          <w:i/>
        </w:rPr>
        <w:t>Citizenship Regulations</w:t>
      </w:r>
      <w:r w:rsidRPr="000821FA">
        <w:rPr>
          <w:rFonts w:cs="Times New Roman"/>
        </w:rPr>
        <w:t>, SOR/93-246. In our view, the standard of review to be applied to the Registrar’s decision is reasonableness, and the Registrar’s decision was unreasonable. We would therefore uphold the Federal Court of Appeal’s decision to quash it, and would dismiss the Minister of Citizenship and Immigration’s appeal.</w:t>
      </w:r>
    </w:p>
    <w:p w:rsidR="008B0231" w:rsidRPr="000821FA" w:rsidRDefault="008B0231" w:rsidP="008B0231">
      <w:pPr>
        <w:pStyle w:val="Title1LevelTitre1Niveau-AltL"/>
        <w:numPr>
          <w:ilvl w:val="0"/>
          <w:numId w:val="3"/>
        </w:numPr>
        <w:rPr>
          <w:rFonts w:cs="Times New Roman"/>
        </w:rPr>
      </w:pPr>
      <w:r w:rsidRPr="000821FA">
        <w:rPr>
          <w:rFonts w:cs="Times New Roman"/>
        </w:rPr>
        <w:t>Need for Clarification and Simplification of the Law of Judicial Review</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Over the past decades, the law relating to judicial review of administrative decisions in Canada has been characterized by continuously evolving jurisprudence and vigorous academic debate. This area of the law concerns matters which are fundamental to our legal and constitutional order, and seeks to navigate the proper relationship between administrative decision makers, the courts and individuals in our society.</w:t>
      </w:r>
      <w:r w:rsidRPr="000821FA" w:rsidDel="008D2736">
        <w:rPr>
          <w:rFonts w:cs="Times New Roman"/>
        </w:rPr>
        <w:t xml:space="preserve"> </w:t>
      </w:r>
      <w:r w:rsidRPr="000821FA">
        <w:rPr>
          <w:rFonts w:cs="Times New Roman"/>
        </w:rPr>
        <w:t xml:space="preserve">In parallel with the law, the role of administrative decision making in Canada has also evolved. Today, the administration of countless public bodies and regulatory regimes has been entrusted to statutory delegates with decision-making power. The number, </w:t>
      </w:r>
      <w:r w:rsidRPr="000821FA">
        <w:rPr>
          <w:rFonts w:cs="Times New Roman"/>
        </w:rPr>
        <w:lastRenderedPageBreak/>
        <w:t>diversity and importance of the matters that come before such delegates has made administrative decision making one of the principal manifestations of state power in the lives of Canadians.</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Given the ubiquity and practical importance of administrative decision making, it is essential that administrative decision makers, those subject to their decisions and courts tasked with reviewing those decisions have clear guidance on how judicial review is to be performed.</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In granting leave to appeal in the case at bar and in its companion cases, this Court’s leave to appeal judgment made clear that it viewed these appeals as an opportunity to consider the law applicable to the judicial review of administrative decisions as addressed in </w:t>
      </w:r>
      <w:r w:rsidRPr="000821FA">
        <w:rPr>
          <w:rFonts w:cs="Times New Roman"/>
          <w:i/>
        </w:rPr>
        <w:t xml:space="preserve">Dunsmuir </w:t>
      </w:r>
      <w:r w:rsidRPr="000821FA">
        <w:rPr>
          <w:rFonts w:cs="Times New Roman"/>
        </w:rPr>
        <w:t xml:space="preserve">and subsequent cases. In light of the importance of this issue, the Court appointed two </w:t>
      </w:r>
      <w:r w:rsidRPr="000821FA">
        <w:rPr>
          <w:rFonts w:cs="Times New Roman"/>
          <w:i/>
        </w:rPr>
        <w:t>amici curiae</w:t>
      </w:r>
      <w:r w:rsidRPr="000821FA">
        <w:rPr>
          <w:rFonts w:cs="Times New Roman"/>
        </w:rPr>
        <w:t>, invited the parties to devote a substantial portion of their submissions to the standard of review issue,</w:t>
      </w:r>
      <w:r w:rsidRPr="000821FA">
        <w:rPr>
          <w:rFonts w:cs="Times New Roman"/>
          <w:i/>
        </w:rPr>
        <w:t xml:space="preserve"> </w:t>
      </w:r>
      <w:r w:rsidRPr="000821FA">
        <w:rPr>
          <w:rFonts w:cs="Times New Roman"/>
        </w:rPr>
        <w:t>and granted leave to 27 interveners, comprising 4 attorneys general and numerous organizations representing the breadth of the Canadian administrative law landscape.</w:t>
      </w:r>
      <w:r w:rsidRPr="000821FA">
        <w:rPr>
          <w:rFonts w:cs="Times New Roman"/>
          <w:i/>
        </w:rPr>
        <w:t xml:space="preserve"> </w:t>
      </w:r>
      <w:r w:rsidRPr="000821FA">
        <w:rPr>
          <w:rFonts w:cs="Times New Roman"/>
        </w:rPr>
        <w:t xml:space="preserve">We have, as a result, received a wealth of helpful submissions on this issue. Despite this Court’s review of the subject in </w:t>
      </w:r>
      <w:r w:rsidRPr="000821FA">
        <w:rPr>
          <w:rFonts w:cs="Times New Roman"/>
          <w:i/>
        </w:rPr>
        <w:t>Dunsmuir</w:t>
      </w:r>
      <w:r w:rsidRPr="000821FA">
        <w:rPr>
          <w:rFonts w:cs="Times New Roman"/>
        </w:rPr>
        <w:t xml:space="preserve">, some aspects of the law remain challenging. In particular, the submissions presented to the Court have highlighted two aspects of the current framework which need clarification.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The first aspect is the analysis for determining the standard of review. It has become clear that </w:t>
      </w:r>
      <w:r w:rsidRPr="000821FA">
        <w:rPr>
          <w:rFonts w:cs="Times New Roman"/>
          <w:i/>
        </w:rPr>
        <w:t>Dunsmuir</w:t>
      </w:r>
      <w:r w:rsidRPr="000821FA">
        <w:rPr>
          <w:rFonts w:cs="Times New Roman"/>
        </w:rPr>
        <w:t xml:space="preserve">’s promise of simplicity and predictability in this </w:t>
      </w:r>
      <w:r w:rsidRPr="000821FA">
        <w:rPr>
          <w:rFonts w:cs="Times New Roman"/>
        </w:rPr>
        <w:lastRenderedPageBreak/>
        <w:t xml:space="preserve">respect has not been fully realized. </w:t>
      </w:r>
      <w:r w:rsidRPr="000821FA">
        <w:rPr>
          <w:rFonts w:cs="Times New Roman"/>
          <w:lang w:val="en"/>
        </w:rPr>
        <w:t xml:space="preserve">In </w:t>
      </w:r>
      <w:r w:rsidRPr="000821FA">
        <w:rPr>
          <w:rFonts w:cs="Times New Roman"/>
          <w:i/>
          <w:lang w:val="en"/>
        </w:rPr>
        <w:t>Dunsmuir</w:t>
      </w:r>
      <w:r w:rsidRPr="000821FA">
        <w:rPr>
          <w:rFonts w:cs="Times New Roman"/>
          <w:lang w:val="en"/>
        </w:rPr>
        <w:t xml:space="preserve">, a majority of the Court merged the standards of “patent unreasonableness” and “reasonableness </w:t>
      </w:r>
      <w:r w:rsidRPr="000821FA">
        <w:rPr>
          <w:rFonts w:cs="Times New Roman"/>
          <w:i/>
          <w:lang w:val="en"/>
        </w:rPr>
        <w:t>simpliciter</w:t>
      </w:r>
      <w:r w:rsidRPr="000821FA">
        <w:rPr>
          <w:rFonts w:cs="Times New Roman"/>
          <w:lang w:val="en"/>
        </w:rPr>
        <w:t xml:space="preserve">” into a single “reasonableness” standard, thus reducing the number of standards of review from three to two: paras. 34-50. </w:t>
      </w:r>
      <w:proofErr w:type="gramStart"/>
      <w:r w:rsidRPr="000821FA">
        <w:rPr>
          <w:rFonts w:cs="Times New Roman"/>
        </w:rPr>
        <w:t>It</w:t>
      </w:r>
      <w:proofErr w:type="gramEnd"/>
      <w:r w:rsidRPr="000821FA">
        <w:rPr>
          <w:rFonts w:cs="Times New Roman"/>
        </w:rPr>
        <w:t xml:space="preserve"> also sought to simplify the analysis for determining the applicable standard of review: paras. 51-64. Since </w:t>
      </w:r>
      <w:r w:rsidRPr="000821FA">
        <w:rPr>
          <w:rFonts w:cs="Times New Roman"/>
          <w:i/>
        </w:rPr>
        <w:t>Dunsmuir</w:t>
      </w:r>
      <w:r w:rsidRPr="000821FA">
        <w:rPr>
          <w:rFonts w:cs="Times New Roman"/>
        </w:rPr>
        <w:t xml:space="preserve">, the jurisprudence has evolved to recognize that reasonableness will be the applicable standard for most categories of questions on judicial review, including, presumptively, when a decision maker interprets its enabling statute: see, e.g., </w:t>
      </w:r>
      <w:r w:rsidRPr="000821FA">
        <w:rPr>
          <w:rFonts w:cs="Times New Roman"/>
          <w:i/>
          <w:lang w:val="en-US"/>
        </w:rPr>
        <w:t>Alberta (Information and Privacy Commissioner) v. Alberta Teachers’ Association</w:t>
      </w:r>
      <w:r w:rsidRPr="000821FA">
        <w:rPr>
          <w:rFonts w:cs="Times New Roman"/>
        </w:rPr>
        <w:t xml:space="preserve">, 2011 SCC 61, </w:t>
      </w:r>
      <w:r w:rsidRPr="000821FA">
        <w:rPr>
          <w:rFonts w:cs="Times New Roman"/>
          <w:lang w:val="en"/>
        </w:rPr>
        <w:t xml:space="preserve">[2011] 3 S.C.R. 654; </w:t>
      </w:r>
      <w:proofErr w:type="spellStart"/>
      <w:r w:rsidRPr="000821FA">
        <w:rPr>
          <w:rFonts w:cs="Times New Roman"/>
          <w:i/>
        </w:rPr>
        <w:t>Mouvement</w:t>
      </w:r>
      <w:proofErr w:type="spellEnd"/>
      <w:r w:rsidRPr="000821FA">
        <w:rPr>
          <w:rFonts w:cs="Times New Roman"/>
          <w:i/>
        </w:rPr>
        <w:t xml:space="preserve"> </w:t>
      </w:r>
      <w:proofErr w:type="spellStart"/>
      <w:r w:rsidRPr="000821FA">
        <w:rPr>
          <w:rFonts w:cs="Times New Roman"/>
          <w:i/>
        </w:rPr>
        <w:t>laïque</w:t>
      </w:r>
      <w:proofErr w:type="spellEnd"/>
      <w:r w:rsidRPr="000821FA">
        <w:rPr>
          <w:rFonts w:cs="Times New Roman"/>
          <w:i/>
        </w:rPr>
        <w:t xml:space="preserve"> </w:t>
      </w:r>
      <w:proofErr w:type="spellStart"/>
      <w:r w:rsidRPr="000821FA">
        <w:rPr>
          <w:rFonts w:cs="Times New Roman"/>
          <w:i/>
        </w:rPr>
        <w:t>québécois</w:t>
      </w:r>
      <w:proofErr w:type="spellEnd"/>
      <w:r w:rsidRPr="000821FA">
        <w:rPr>
          <w:rFonts w:cs="Times New Roman"/>
          <w:i/>
        </w:rPr>
        <w:t xml:space="preserve"> v. Saguenay (City)</w:t>
      </w:r>
      <w:r w:rsidRPr="000821FA">
        <w:rPr>
          <w:rFonts w:cs="Times New Roman"/>
        </w:rPr>
        <w:t xml:space="preserve">, 2015 SCC 16, [2015] 2 S.C.R. 3, at para. 46; </w:t>
      </w:r>
      <w:r w:rsidRPr="000821FA">
        <w:rPr>
          <w:rFonts w:cs="Times New Roman"/>
          <w:i/>
          <w:iCs/>
        </w:rPr>
        <w:t>Canadian National Railway Co. v. Canada (Attorney General)</w:t>
      </w:r>
      <w:r w:rsidRPr="000821FA">
        <w:rPr>
          <w:rFonts w:cs="Times New Roman"/>
        </w:rPr>
        <w:t>, 2014 SCC 40,</w:t>
      </w:r>
      <w:r w:rsidRPr="000821FA">
        <w:rPr>
          <w:rFonts w:cs="Times New Roman"/>
          <w:smallCaps/>
        </w:rPr>
        <w:t xml:space="preserve"> [2014] 2 S.C.R. 135,</w:t>
      </w:r>
      <w:r w:rsidRPr="000821FA">
        <w:rPr>
          <w:rFonts w:cs="Times New Roman"/>
        </w:rPr>
        <w:t xml:space="preserve"> at para. 55; </w:t>
      </w:r>
      <w:r w:rsidRPr="000821FA">
        <w:rPr>
          <w:rFonts w:cs="Times New Roman"/>
          <w:i/>
          <w:iCs/>
        </w:rPr>
        <w:t>Canadian Artists’ Representation v. National Gallery of Canada</w:t>
      </w:r>
      <w:r w:rsidRPr="000821FA">
        <w:rPr>
          <w:rFonts w:cs="Times New Roman"/>
        </w:rPr>
        <w:t>, 2014 SCC 42, [2014] 2 S.C.R. 197,</w:t>
      </w:r>
      <w:r w:rsidRPr="000821FA">
        <w:rPr>
          <w:rFonts w:cs="Times New Roman"/>
          <w:i/>
          <w:iCs/>
        </w:rPr>
        <w:t xml:space="preserve"> </w:t>
      </w:r>
      <w:r w:rsidRPr="000821FA">
        <w:rPr>
          <w:rFonts w:cs="Times New Roman"/>
        </w:rPr>
        <w:t>at para. 13;</w:t>
      </w:r>
      <w:r w:rsidRPr="000821FA">
        <w:rPr>
          <w:rFonts w:cs="Times New Roman"/>
          <w:i/>
          <w:iCs/>
        </w:rPr>
        <w:t xml:space="preserve"> Smith v. Alliance Pipeline Ltd.</w:t>
      </w:r>
      <w:r w:rsidRPr="000821FA">
        <w:rPr>
          <w:rFonts w:cs="Times New Roman"/>
        </w:rPr>
        <w:t xml:space="preserve">, 2011 SCC 7, [2011] 1 S.C.R. 160, at paras. 26 and 28; </w:t>
      </w:r>
      <w:r w:rsidRPr="000821FA">
        <w:rPr>
          <w:rFonts w:cs="Times New Roman"/>
          <w:i/>
          <w:iCs/>
        </w:rPr>
        <w:t xml:space="preserve">Canada (Citizenship and Immigration) v. </w:t>
      </w:r>
      <w:proofErr w:type="spellStart"/>
      <w:r w:rsidRPr="000821FA">
        <w:rPr>
          <w:rFonts w:cs="Times New Roman"/>
          <w:i/>
          <w:iCs/>
        </w:rPr>
        <w:t>Khosa</w:t>
      </w:r>
      <w:proofErr w:type="spellEnd"/>
      <w:r w:rsidRPr="000821FA">
        <w:rPr>
          <w:rFonts w:cs="Times New Roman"/>
          <w:iCs/>
        </w:rPr>
        <w:t>,</w:t>
      </w:r>
      <w:r w:rsidRPr="000821FA">
        <w:rPr>
          <w:rFonts w:cs="Times New Roman"/>
          <w:i/>
          <w:iCs/>
        </w:rPr>
        <w:t xml:space="preserve"> </w:t>
      </w:r>
      <w:r w:rsidRPr="000821FA">
        <w:rPr>
          <w:rFonts w:cs="Times New Roman"/>
          <w:iCs/>
        </w:rPr>
        <w:t>2009 SCC 12</w:t>
      </w:r>
      <w:r w:rsidRPr="000821FA">
        <w:rPr>
          <w:rFonts w:cs="Times New Roman"/>
        </w:rPr>
        <w:t xml:space="preserve">, [2009] 1 S.C.R. 339, at para. 25; </w:t>
      </w:r>
      <w:r w:rsidRPr="000821FA">
        <w:rPr>
          <w:rFonts w:cs="Times New Roman"/>
          <w:i/>
          <w:iCs/>
        </w:rPr>
        <w:t>Dunsmuir</w:t>
      </w:r>
      <w:r w:rsidRPr="000821FA">
        <w:rPr>
          <w:rFonts w:cs="Times New Roman"/>
        </w:rPr>
        <w:t xml:space="preserve">, at para. 54. The Court has indicated that this presumption may be rebutted by showing the issue on review falls within a category of questions attracting correctness review: see </w:t>
      </w:r>
      <w:r w:rsidRPr="000821FA">
        <w:rPr>
          <w:rFonts w:cs="Times New Roman"/>
          <w:i/>
        </w:rPr>
        <w:t>McLean v. British Columbia (Securities Commission)</w:t>
      </w:r>
      <w:r w:rsidRPr="000821FA">
        <w:rPr>
          <w:rFonts w:cs="Times New Roman"/>
        </w:rPr>
        <w:t xml:space="preserve">, 2013 SCC 67, </w:t>
      </w:r>
      <w:r w:rsidRPr="000821FA">
        <w:rPr>
          <w:rFonts w:cs="Times New Roman"/>
          <w:lang w:val="en"/>
        </w:rPr>
        <w:t xml:space="preserve">[2013] 3 S.C.R. 895, </w:t>
      </w:r>
      <w:r w:rsidRPr="000821FA">
        <w:rPr>
          <w:rFonts w:cs="Times New Roman"/>
        </w:rPr>
        <w:t xml:space="preserve">at para. 22. It may also be rebutted by showing that the context indicates that the legislature intended the standard of review to be correctness: </w:t>
      </w:r>
      <w:r w:rsidRPr="000821FA">
        <w:rPr>
          <w:rFonts w:cs="Times New Roman"/>
          <w:i/>
        </w:rPr>
        <w:t>McLean</w:t>
      </w:r>
      <w:r w:rsidRPr="000821FA">
        <w:rPr>
          <w:rFonts w:cs="Times New Roman"/>
        </w:rPr>
        <w:t>, at para.</w:t>
      </w:r>
      <w:r>
        <w:rPr>
          <w:rFonts w:cs="Times New Roman"/>
        </w:rPr>
        <w:t> </w:t>
      </w:r>
      <w:r w:rsidRPr="000821FA">
        <w:rPr>
          <w:rFonts w:cs="Times New Roman"/>
        </w:rPr>
        <w:t>22;</w:t>
      </w:r>
      <w:r w:rsidRPr="000821FA">
        <w:rPr>
          <w:rFonts w:cs="Times New Roman"/>
          <w:i/>
        </w:rPr>
        <w:t xml:space="preserve"> </w:t>
      </w:r>
      <w:r w:rsidRPr="000821FA">
        <w:rPr>
          <w:rFonts w:cs="Times New Roman"/>
          <w:i/>
          <w:lang w:val="en"/>
        </w:rPr>
        <w:t>Edmonton (City) v. Edmonton East (</w:t>
      </w:r>
      <w:proofErr w:type="spellStart"/>
      <w:r w:rsidRPr="000821FA">
        <w:rPr>
          <w:rFonts w:cs="Times New Roman"/>
          <w:i/>
          <w:lang w:val="en"/>
        </w:rPr>
        <w:t>Capilano</w:t>
      </w:r>
      <w:proofErr w:type="spellEnd"/>
      <w:r w:rsidRPr="000821FA">
        <w:rPr>
          <w:rFonts w:cs="Times New Roman"/>
          <w:i/>
          <w:lang w:val="en"/>
        </w:rPr>
        <w:t xml:space="preserve">) Shopping </w:t>
      </w:r>
      <w:proofErr w:type="spellStart"/>
      <w:r w:rsidRPr="000821FA">
        <w:rPr>
          <w:rFonts w:cs="Times New Roman"/>
          <w:i/>
          <w:lang w:val="en"/>
        </w:rPr>
        <w:t>Centres</w:t>
      </w:r>
      <w:proofErr w:type="spellEnd"/>
      <w:r w:rsidRPr="000821FA">
        <w:rPr>
          <w:rFonts w:cs="Times New Roman"/>
          <w:i/>
          <w:lang w:val="en"/>
        </w:rPr>
        <w:t xml:space="preserve"> Ltd.</w:t>
      </w:r>
      <w:r w:rsidRPr="000821FA">
        <w:rPr>
          <w:rFonts w:cs="Times New Roman"/>
          <w:lang w:val="en"/>
        </w:rPr>
        <w:t>, 2016 SCC 47, [2016] 2 S.C.R. 293</w:t>
      </w:r>
      <w:r w:rsidRPr="000821FA">
        <w:rPr>
          <w:rFonts w:cs="Times New Roman"/>
        </w:rPr>
        <w:t xml:space="preserve">, at para. 32; </w:t>
      </w:r>
      <w:r w:rsidRPr="000821FA">
        <w:rPr>
          <w:rFonts w:cs="Times New Roman"/>
          <w:i/>
          <w:lang w:bidi="en-US"/>
        </w:rPr>
        <w:t>Canada</w:t>
      </w:r>
      <w:r w:rsidRPr="000821FA">
        <w:rPr>
          <w:rFonts w:cs="Times New Roman"/>
          <w:lang w:bidi="en-US"/>
        </w:rPr>
        <w:t xml:space="preserve"> </w:t>
      </w:r>
      <w:r w:rsidRPr="000821FA">
        <w:rPr>
          <w:rFonts w:cs="Times New Roman"/>
          <w:i/>
          <w:lang w:bidi="en-US"/>
        </w:rPr>
        <w:t>(Canadian Human Rights Commission) v. Canada (Attorney General)</w:t>
      </w:r>
      <w:r w:rsidRPr="000821FA">
        <w:rPr>
          <w:rFonts w:cs="Times New Roman"/>
          <w:lang w:bidi="en-US"/>
        </w:rPr>
        <w:t>, 2018 SCC 31,</w:t>
      </w:r>
      <w:r w:rsidRPr="000821FA">
        <w:rPr>
          <w:rFonts w:cs="Times New Roman"/>
          <w:lang w:val="en"/>
        </w:rPr>
        <w:t xml:space="preserve"> [2018] 2 S.C.R. 230 </w:t>
      </w:r>
      <w:r w:rsidRPr="000821FA">
        <w:rPr>
          <w:rFonts w:cs="Times New Roman"/>
          <w:lang w:val="en"/>
        </w:rPr>
        <w:lastRenderedPageBreak/>
        <w:t>(“</w:t>
      </w:r>
      <w:r w:rsidRPr="000821FA">
        <w:rPr>
          <w:rFonts w:cs="Times New Roman"/>
          <w:i/>
          <w:lang w:val="en"/>
        </w:rPr>
        <w:t>CHRC</w:t>
      </w:r>
      <w:r w:rsidRPr="000821FA">
        <w:rPr>
          <w:rFonts w:cs="Times New Roman"/>
          <w:lang w:val="en"/>
        </w:rPr>
        <w:t>”), at paras. 45-46</w:t>
      </w:r>
      <w:r w:rsidRPr="000821FA">
        <w:rPr>
          <w:rFonts w:cs="Times New Roman"/>
        </w:rPr>
        <w:t xml:space="preserve">. However, uncertainty about when the contextual analysis remains appropriate and debate surrounding the scope of the correctness categories have sometimes caused confusion and made the analysis unwieldy: see, e.g., P. Daly, “Struggling </w:t>
      </w:r>
      <w:proofErr w:type="gramStart"/>
      <w:r w:rsidRPr="000821FA">
        <w:rPr>
          <w:rFonts w:cs="Times New Roman"/>
        </w:rPr>
        <w:t>Towards</w:t>
      </w:r>
      <w:proofErr w:type="gramEnd"/>
      <w:r w:rsidRPr="000821FA">
        <w:rPr>
          <w:rFonts w:cs="Times New Roman"/>
        </w:rPr>
        <w:t xml:space="preserve"> Coherence in Canadian Administrative Law? Recent Cases on Standard of Review and Reasonableness” (2016), 62 </w:t>
      </w:r>
      <w:r w:rsidRPr="000821FA">
        <w:rPr>
          <w:rFonts w:cs="Times New Roman"/>
          <w:i/>
        </w:rPr>
        <w:t>McGill L.J.</w:t>
      </w:r>
      <w:r w:rsidRPr="000821FA">
        <w:rPr>
          <w:rFonts w:cs="Times New Roman"/>
        </w:rPr>
        <w:t xml:space="preserve"> 527.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In addition, this analysis has in some respects departed from the theoretical foundations underpinning judicial review. While the application of the reasonableness standard is grounded, in part, in the necessity</w:t>
      </w:r>
      <w:r w:rsidRPr="000821FA">
        <w:rPr>
          <w:rFonts w:cs="Times New Roman"/>
          <w:lang w:val="en"/>
        </w:rPr>
        <w:t xml:space="preserve"> of avoiding “undue interference” in the face of </w:t>
      </w:r>
      <w:r w:rsidRPr="000821FA">
        <w:rPr>
          <w:rFonts w:cs="Times New Roman"/>
        </w:rPr>
        <w:t xml:space="preserve">the legislature’s intention to leave certain questions with administrative bodies rather than with the courts (see </w:t>
      </w:r>
      <w:r w:rsidRPr="000821FA">
        <w:rPr>
          <w:rFonts w:cs="Times New Roman"/>
          <w:i/>
        </w:rPr>
        <w:t>Dunsmuir</w:t>
      </w:r>
      <w:r w:rsidRPr="000821FA">
        <w:rPr>
          <w:rFonts w:cs="Times New Roman"/>
        </w:rPr>
        <w:t>, at para. 27), that standard has come to be routinely applied even where the legislature has provided for a different institutional structure through a statutory appeal mechanism.</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The uncertainty that has followed </w:t>
      </w:r>
      <w:r w:rsidRPr="000821FA">
        <w:rPr>
          <w:rFonts w:cs="Times New Roman"/>
          <w:i/>
        </w:rPr>
        <w:t>Dunsmuir</w:t>
      </w:r>
      <w:r w:rsidRPr="000821FA">
        <w:rPr>
          <w:rFonts w:cs="Times New Roman"/>
        </w:rPr>
        <w:t xml:space="preserve"> has been highlighted by judicial and academic criticism, litigants who have come before this Court, and organizations that represent Canadians who interact with administrative decision makers. These are not light critiques or theoretical challenges. They go to the </w:t>
      </w:r>
      <w:r>
        <w:rPr>
          <w:rFonts w:cs="Times New Roman"/>
        </w:rPr>
        <w:t xml:space="preserve">core of the </w:t>
      </w:r>
      <w:r w:rsidRPr="000821FA">
        <w:rPr>
          <w:rFonts w:cs="Times New Roman"/>
        </w:rPr>
        <w:t xml:space="preserve">coherence of our administrative law jurisprudence and to the practical implications of this lack of coherence. This Court, too, has taken note. In </w:t>
      </w:r>
      <w:r w:rsidRPr="000821FA">
        <w:rPr>
          <w:rFonts w:cs="Times New Roman"/>
          <w:i/>
        </w:rPr>
        <w:t>Wilson v. Atomic Energy of Canada Ltd.</w:t>
      </w:r>
      <w:r w:rsidRPr="000821FA">
        <w:rPr>
          <w:rFonts w:cs="Times New Roman"/>
        </w:rPr>
        <w:t xml:space="preserve">, 2016 SCC 29, [2016] 1 S.C.R. 770, at para. 19, </w:t>
      </w:r>
      <w:proofErr w:type="spellStart"/>
      <w:r w:rsidRPr="000821FA">
        <w:rPr>
          <w:rFonts w:cs="Times New Roman"/>
        </w:rPr>
        <w:t>Abella</w:t>
      </w:r>
      <w:proofErr w:type="spellEnd"/>
      <w:r w:rsidRPr="000821FA">
        <w:rPr>
          <w:rFonts w:cs="Times New Roman"/>
        </w:rPr>
        <w:t xml:space="preserve"> J. expressed the need to “simplify the standard of review labyrinth we currently find ourselves in” and offered suggestions with a view to beginning a necessary conversation on the way </w:t>
      </w:r>
      <w:r w:rsidRPr="000821FA">
        <w:rPr>
          <w:rFonts w:cs="Times New Roman"/>
        </w:rPr>
        <w:lastRenderedPageBreak/>
        <w:t xml:space="preserve">forward. It is in this context that the Court decided to grant leave to hear this case and the companion cases jointly.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This process has led us to conclude that a </w:t>
      </w:r>
      <w:r w:rsidRPr="000821FA">
        <w:rPr>
          <w:rFonts w:cs="Times New Roman"/>
          <w:lang w:val="en"/>
        </w:rPr>
        <w:t xml:space="preserve">reconsideration of this Court’s approach is necessary in order to bring greater coherence and predictability to this area of law. </w:t>
      </w:r>
      <w:r w:rsidRPr="000821FA">
        <w:rPr>
          <w:rFonts w:cs="Times New Roman"/>
        </w:rPr>
        <w:t xml:space="preserve">We have therefore adopted a revised framework for determining the standard of review where a court reviews the merits of an administrative decision. The analysis begins with a presumption that reasonableness is the applicable standard in all cases. Reviewing courts should derogate from this presumption only where required by a clear indication of legislative intent or by the rule of law.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The second aspect is the need for better guidance from this Court on the proper application of the reasonableness standard. The Court has heard concerns that reasonableness review is sometimes perceived as advancing a two-tiered justice system in which those subject to administrative decisions are entitled only to an outcome somewhere between “good enough” and “not quite wrong”. These concerns have been echoed by some members of the legal profession, civil society organizations and legal clinics. The Court has an obligation to take</w:t>
      </w:r>
      <w:r w:rsidRPr="000821FA" w:rsidDel="00645473">
        <w:rPr>
          <w:rFonts w:cs="Times New Roman"/>
        </w:rPr>
        <w:t xml:space="preserve"> </w:t>
      </w:r>
      <w:r w:rsidRPr="000821FA">
        <w:rPr>
          <w:rFonts w:cs="Times New Roman"/>
        </w:rPr>
        <w:t>these perspectives seriously and to ensure that the framework it adopts accommodates all types of administrative decision making, in areas that range from immigration, prison administration and social security entitlements to labour relations, securities regulation and energy policy.</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These concerns regarding the application of the reasonableness standard speak to the need for this Court to more clearly articulate what that standard entails and </w:t>
      </w:r>
      <w:r w:rsidRPr="000821FA">
        <w:rPr>
          <w:rFonts w:cs="Times New Roman"/>
        </w:rPr>
        <w:lastRenderedPageBreak/>
        <w:t xml:space="preserve">how it should be applied in practice. Reasonableness review is methodologically distinct from correctness review. It is informed by the need to respect the legislature’s choice to delegate decision-making authority to the administrative decision maker rather than to the reviewing court. In order to fulfill </w:t>
      </w:r>
      <w:r w:rsidRPr="000821FA">
        <w:rPr>
          <w:rFonts w:cs="Times New Roman"/>
          <w:i/>
        </w:rPr>
        <w:t>Dunsmuir</w:t>
      </w:r>
      <w:r w:rsidRPr="000821FA">
        <w:rPr>
          <w:rFonts w:cs="Times New Roman"/>
        </w:rPr>
        <w:t>’s promise to protect “the legality, the reasonableness and the fairness of the administrative process and its outcomes”, reasonableness review must entail a sensitive and respectful, but robust, evaluation of administrative decisions: para. 28.</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Reasonableness review is an approach meant to ensure that courts intervene in administrative matters only where it is truly necessary to do so in order to safeguard the legality, rationality and fairness of the administrative process. It finds its starting point in the principle of judicial restraint and demonstrates a respect for the distinct role of administrative decision makers. However, it is not a “rubber-stamping” process or a means of sheltering administrative decision makers from accountability. It remains a robust form of review.</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On the one hand, courts must recognize the legitimacy and authority of administrative decision makers within their proper spheres and adopt an appropriate posture of respect. On the other hand, administrative decision makers must adopt a culture of justification and demonstrate that their exercise of delegated public power can be “justified to citizens in terms of rationality and fairness”: the Rt. Hon. B.</w:t>
      </w:r>
      <w:r>
        <w:rPr>
          <w:rFonts w:cs="Times New Roman"/>
        </w:rPr>
        <w:t> </w:t>
      </w:r>
      <w:proofErr w:type="spellStart"/>
      <w:r w:rsidRPr="000821FA">
        <w:rPr>
          <w:rFonts w:cs="Times New Roman"/>
        </w:rPr>
        <w:t>McLachlin</w:t>
      </w:r>
      <w:proofErr w:type="spellEnd"/>
      <w:r w:rsidRPr="000821FA">
        <w:rPr>
          <w:rFonts w:cs="Times New Roman"/>
        </w:rPr>
        <w:t xml:space="preserve">, “The Roles of Administrative Tribunals and Courts in Maintaining the Rule of Law” (1998), 12 </w:t>
      </w:r>
      <w:r w:rsidRPr="000821FA">
        <w:rPr>
          <w:rFonts w:cs="Times New Roman"/>
          <w:i/>
        </w:rPr>
        <w:t xml:space="preserve">C.J.A.L.P. </w:t>
      </w:r>
      <w:r w:rsidRPr="000821FA">
        <w:rPr>
          <w:rFonts w:cs="Times New Roman"/>
        </w:rPr>
        <w:t xml:space="preserve">171, at p. 174 (emphasis deleted); see also </w:t>
      </w:r>
      <w:r w:rsidRPr="000821FA">
        <w:rPr>
          <w:rFonts w:cs="Times New Roman"/>
        </w:rPr>
        <w:lastRenderedPageBreak/>
        <w:t>M. Cohen-</w:t>
      </w:r>
      <w:proofErr w:type="spellStart"/>
      <w:r w:rsidRPr="000821FA">
        <w:rPr>
          <w:rFonts w:cs="Times New Roman"/>
        </w:rPr>
        <w:t>Eliya</w:t>
      </w:r>
      <w:proofErr w:type="spellEnd"/>
      <w:r w:rsidRPr="000821FA">
        <w:rPr>
          <w:rFonts w:cs="Times New Roman"/>
        </w:rPr>
        <w:t xml:space="preserve"> and I. </w:t>
      </w:r>
      <w:proofErr w:type="spellStart"/>
      <w:r w:rsidRPr="000821FA">
        <w:rPr>
          <w:rFonts w:cs="Times New Roman"/>
        </w:rPr>
        <w:t>Porat</w:t>
      </w:r>
      <w:proofErr w:type="spellEnd"/>
      <w:r w:rsidRPr="000821FA">
        <w:rPr>
          <w:rFonts w:cs="Times New Roman"/>
        </w:rPr>
        <w:t xml:space="preserve">, “Proportionality and Justification” (2014), 64 </w:t>
      </w:r>
      <w:r w:rsidRPr="000821FA">
        <w:rPr>
          <w:rFonts w:cs="Times New Roman"/>
          <w:i/>
        </w:rPr>
        <w:t>U.T.L.J.</w:t>
      </w:r>
      <w:r w:rsidRPr="000821FA">
        <w:rPr>
          <w:rFonts w:cs="Times New Roman"/>
        </w:rPr>
        <w:t xml:space="preserve"> 458, at pp. 467-70.</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szCs w:val="24"/>
        </w:rPr>
        <w:t xml:space="preserve">In </w:t>
      </w:r>
      <w:r w:rsidRPr="000F2034">
        <w:rPr>
          <w:rFonts w:cs="Times New Roman"/>
        </w:rPr>
        <w:t>conducting</w:t>
      </w:r>
      <w:r w:rsidRPr="000821FA">
        <w:rPr>
          <w:rFonts w:cs="Times New Roman"/>
          <w:szCs w:val="24"/>
        </w:rPr>
        <w:t xml:space="preserve"> a reasonableness review, a court must consider the outcome of the administrative decision in light of its underlying rationale in order to ensure that the decision as a whole is transparent, intelligible and justified. What distinguishes reasonableness review from correctness review is that the court conducting a reasonableness review must focus on the decision the administrative decision maker actually made, including the justification offered for it, and not on the conclusion the court itself would have reached in the administrative decision maker’s place</w:t>
      </w:r>
      <w:r w:rsidRPr="000821FA">
        <w:rPr>
          <w:rFonts w:cs="Times New Roman"/>
        </w:rPr>
        <w:t xml:space="preserve">. </w:t>
      </w:r>
    </w:p>
    <w:p w:rsidR="008B0231" w:rsidRPr="000821FA" w:rsidRDefault="008B0231" w:rsidP="008B0231">
      <w:pPr>
        <w:pStyle w:val="Title1LevelTitre1Niveau-AltL"/>
        <w:rPr>
          <w:rFonts w:cs="Times New Roman"/>
        </w:rPr>
      </w:pPr>
      <w:r w:rsidRPr="000821FA">
        <w:rPr>
          <w:rFonts w:cs="Times New Roman"/>
        </w:rPr>
        <w:t>Determining the Applicable Standard of Review</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821FA">
        <w:rPr>
          <w:rFonts w:cs="Times New Roman"/>
        </w:rPr>
        <w:t xml:space="preserve">In the following sections, we set out a revised framework for determining the standard of review a court should apply when the merits of an administrative decision are challenged. It starts with a presumption that reasonableness is the applicable standard whenever a court reviews administrative decisions.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The presumption of reasonableness review can be rebutted in two types of situations. The first is where the legislature has indicated that it intends a different standard or set of standards to apply. This will be the case where the legislature explicitly prescribes the applicable standard of review. It will also be the case where the legislature has provided a statutory appeal mechanism from an administrative decision to a court, thereby signalling the legislature’s intent that appellate standards </w:t>
      </w:r>
      <w:r w:rsidRPr="000821FA">
        <w:rPr>
          <w:rFonts w:cs="Times New Roman"/>
        </w:rPr>
        <w:lastRenderedPageBreak/>
        <w:t xml:space="preserve">apply when a court reviews the decision. The second situation in which the presumption of reasonableness review will be rebutted is where </w:t>
      </w:r>
      <w:r w:rsidRPr="000821FA">
        <w:rPr>
          <w:rFonts w:cs="Times New Roman"/>
          <w:lang w:val="en-US"/>
        </w:rPr>
        <w:t xml:space="preserve">the rule of law requires that the standard of correctness be applied. This will be the case for certain categories of questions, namely constitutional questions, general questions of law of central importance to the legal system as a whole and questions related to the jurisdictional boundaries between two or more </w:t>
      </w:r>
      <w:r>
        <w:rPr>
          <w:rFonts w:cs="Times New Roman"/>
          <w:lang w:val="en-US"/>
        </w:rPr>
        <w:t>administrative bodies</w:t>
      </w:r>
      <w:r w:rsidRPr="000821FA">
        <w:rPr>
          <w:rFonts w:cs="Times New Roman"/>
          <w:lang w:val="en-US"/>
        </w:rPr>
        <w:t>.</w:t>
      </w:r>
      <w:r w:rsidRPr="000821FA">
        <w:rPr>
          <w:rFonts w:cs="Times New Roman"/>
        </w:rPr>
        <w:t xml:space="preserve"> The general rule of reasonableness review, when coupled with these limited exceptions, offers a comprehensive approach to determining the applicable standard of review. As a result, it is no longer necessary for courts to engage in a “contextual inquiry” (</w:t>
      </w:r>
      <w:r w:rsidRPr="000821FA">
        <w:rPr>
          <w:rFonts w:cs="Times New Roman"/>
          <w:i/>
          <w:lang w:val="en"/>
        </w:rPr>
        <w:t>CHRC</w:t>
      </w:r>
      <w:r w:rsidRPr="000821FA">
        <w:rPr>
          <w:rFonts w:cs="Times New Roman"/>
          <w:lang w:val="en"/>
        </w:rPr>
        <w:t>, at paras.</w:t>
      </w:r>
      <w:r>
        <w:rPr>
          <w:rFonts w:cs="Times New Roman"/>
          <w:lang w:val="en"/>
        </w:rPr>
        <w:t> </w:t>
      </w:r>
      <w:r w:rsidRPr="000821FA">
        <w:rPr>
          <w:rFonts w:cs="Times New Roman"/>
          <w:lang w:val="en"/>
        </w:rPr>
        <w:t>45-47</w:t>
      </w:r>
      <w:r w:rsidR="00B43CE7">
        <w:rPr>
          <w:rFonts w:cs="Times New Roman"/>
          <w:lang w:val="en"/>
        </w:rPr>
        <w:t>;</w:t>
      </w:r>
      <w:r w:rsidRPr="000821FA">
        <w:rPr>
          <w:rFonts w:cs="Times New Roman"/>
          <w:lang w:val="en"/>
        </w:rPr>
        <w:t xml:space="preserve"> </w:t>
      </w:r>
      <w:r w:rsidRPr="000821FA">
        <w:rPr>
          <w:rFonts w:cs="Times New Roman"/>
          <w:lang w:bidi="en-US"/>
        </w:rPr>
        <w:t xml:space="preserve">see also </w:t>
      </w:r>
      <w:r w:rsidRPr="000821FA">
        <w:rPr>
          <w:rFonts w:cs="Times New Roman"/>
          <w:i/>
          <w:lang w:bidi="en-US"/>
        </w:rPr>
        <w:t>Dunsmuir</w:t>
      </w:r>
      <w:r w:rsidRPr="000821FA">
        <w:rPr>
          <w:rFonts w:cs="Times New Roman"/>
          <w:lang w:bidi="en-US"/>
        </w:rPr>
        <w:t xml:space="preserve">, at paras. 62-64; </w:t>
      </w:r>
      <w:r w:rsidRPr="000821FA">
        <w:rPr>
          <w:rFonts w:cs="Times New Roman"/>
          <w:i/>
          <w:lang w:bidi="en-US"/>
        </w:rPr>
        <w:t>McLean</w:t>
      </w:r>
      <w:r w:rsidRPr="000821FA">
        <w:rPr>
          <w:rFonts w:cs="Times New Roman"/>
          <w:lang w:bidi="en-US"/>
        </w:rPr>
        <w:t>, at para. 22</w:t>
      </w:r>
      <w:r w:rsidRPr="000821FA">
        <w:rPr>
          <w:rFonts w:cs="Times New Roman"/>
          <w:lang w:val="en"/>
        </w:rPr>
        <w:t xml:space="preserve">) </w:t>
      </w:r>
      <w:r w:rsidRPr="000821FA">
        <w:rPr>
          <w:rFonts w:cs="Times New Roman"/>
        </w:rPr>
        <w:t>in order to identify the appropriate standard</w:t>
      </w:r>
      <w:r w:rsidRPr="000821FA">
        <w:rPr>
          <w:rFonts w:cs="Times New Roman"/>
          <w:lang w:val="en"/>
        </w:rPr>
        <w:t xml:space="preserve">. </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821FA">
        <w:rPr>
          <w:rFonts w:cs="Times New Roman"/>
        </w:rPr>
        <w:t>Before setting out the framework for determining the standard of review in greater detail, we wish to acknowledge that these reasons depart from the Court’s existing jurisprudence on standard of rev</w:t>
      </w:r>
      <w:r w:rsidR="00484BDB">
        <w:rPr>
          <w:rFonts w:cs="Times New Roman"/>
        </w:rPr>
        <w:t>iew in certain respects.</w:t>
      </w:r>
      <w:r w:rsidRPr="000821FA">
        <w:rPr>
          <w:rFonts w:eastAsia="Times New Roman" w:cs="Times New Roman"/>
          <w:szCs w:val="24"/>
          <w:lang w:eastAsia="en-CA"/>
        </w:rPr>
        <w:t xml:space="preserve"> </w:t>
      </w:r>
      <w:r w:rsidRPr="000821FA">
        <w:rPr>
          <w:rFonts w:cs="Times New Roman"/>
        </w:rPr>
        <w:t>Any reconsideration such as this can be justified only by compelling circumstances, and we do not take this decision lightly.</w:t>
      </w:r>
      <w:r w:rsidRPr="000821FA">
        <w:rPr>
          <w:rFonts w:cs="Times New Roman"/>
          <w:lang w:val="en-US"/>
        </w:rPr>
        <w:t xml:space="preserve"> A decision to adjust course will always require the Court to carefully weigh the impact on legal certainty and predictability against the costs of continuing to follow a flawed approach: see </w:t>
      </w:r>
      <w:r w:rsidRPr="000821FA">
        <w:rPr>
          <w:rFonts w:cs="Times New Roman"/>
          <w:i/>
          <w:lang w:val="en-US"/>
        </w:rPr>
        <w:t>Canada (Attorney General) v. Bedford</w:t>
      </w:r>
      <w:r w:rsidRPr="000821FA">
        <w:rPr>
          <w:rFonts w:cs="Times New Roman"/>
          <w:lang w:val="en-US"/>
        </w:rPr>
        <w:t xml:space="preserve">, 2013 SCC 72, </w:t>
      </w:r>
      <w:r w:rsidRPr="000821FA">
        <w:rPr>
          <w:rFonts w:cs="Times New Roman"/>
        </w:rPr>
        <w:t xml:space="preserve">[2013] 3 S.C.R. 1101, </w:t>
      </w:r>
      <w:r w:rsidRPr="000821FA">
        <w:rPr>
          <w:rFonts w:cs="Times New Roman"/>
          <w:lang w:val="en-US"/>
        </w:rPr>
        <w:t xml:space="preserve">at para. 47; </w:t>
      </w:r>
      <w:r w:rsidRPr="000821FA">
        <w:rPr>
          <w:rFonts w:cs="Times New Roman"/>
          <w:i/>
          <w:lang w:val="en-US"/>
        </w:rPr>
        <w:t>Canada v. Craig</w:t>
      </w:r>
      <w:r w:rsidRPr="000821FA">
        <w:rPr>
          <w:rFonts w:cs="Times New Roman"/>
          <w:lang w:val="en-US"/>
        </w:rPr>
        <w:t xml:space="preserve">, 2012 SCC 43, </w:t>
      </w:r>
      <w:r w:rsidRPr="000821FA">
        <w:rPr>
          <w:rFonts w:cs="Times New Roman"/>
        </w:rPr>
        <w:t xml:space="preserve">[2012] 2 S.C.R. 489, </w:t>
      </w:r>
      <w:r w:rsidRPr="000821FA">
        <w:rPr>
          <w:rFonts w:cs="Times New Roman"/>
          <w:lang w:val="en-US"/>
        </w:rPr>
        <w:t>at paras. 24-27;</w:t>
      </w:r>
      <w:r w:rsidRPr="000821FA">
        <w:rPr>
          <w:rFonts w:cs="Times New Roman"/>
          <w:i/>
          <w:lang w:val="en-US"/>
        </w:rPr>
        <w:t xml:space="preserve"> Ontario (Attorney General) v. Fraser</w:t>
      </w:r>
      <w:r w:rsidRPr="000821FA">
        <w:rPr>
          <w:rFonts w:cs="Times New Roman"/>
          <w:lang w:val="en-US"/>
        </w:rPr>
        <w:t xml:space="preserve">, 2011 SCC 20, </w:t>
      </w:r>
      <w:r w:rsidRPr="000821FA">
        <w:rPr>
          <w:rStyle w:val="sccrespondentforrunningheadchar1"/>
          <w:rFonts w:cs="Times New Roman"/>
        </w:rPr>
        <w:t xml:space="preserve">[2011] 2 S.C.R. 3, </w:t>
      </w:r>
      <w:r w:rsidRPr="000821FA">
        <w:rPr>
          <w:rFonts w:cs="Times New Roman"/>
          <w:lang w:val="en-US"/>
        </w:rPr>
        <w:t>at paras. 56-57</w:t>
      </w:r>
      <w:r w:rsidR="00F1364D">
        <w:rPr>
          <w:rFonts w:cs="Times New Roman"/>
          <w:lang w:val="en-US"/>
        </w:rPr>
        <w:t>,</w:t>
      </w:r>
      <w:r w:rsidRPr="000821FA">
        <w:rPr>
          <w:rFonts w:cs="Times New Roman"/>
          <w:lang w:val="en-US"/>
        </w:rPr>
        <w:t xml:space="preserve"> 129-31</w:t>
      </w:r>
      <w:r w:rsidR="00F1364D">
        <w:rPr>
          <w:rFonts w:cs="Times New Roman"/>
          <w:lang w:val="en-US"/>
        </w:rPr>
        <w:t xml:space="preserve"> and</w:t>
      </w:r>
      <w:r w:rsidRPr="000821FA">
        <w:rPr>
          <w:rFonts w:cs="Times New Roman"/>
          <w:lang w:val="en-US"/>
        </w:rPr>
        <w:t xml:space="preserve"> 139; </w:t>
      </w:r>
      <w:r w:rsidRPr="000821FA">
        <w:rPr>
          <w:rFonts w:cs="Times New Roman"/>
          <w:i/>
          <w:lang w:val="en-US"/>
        </w:rPr>
        <w:t>R. v. Henry</w:t>
      </w:r>
      <w:r w:rsidRPr="000821FA">
        <w:rPr>
          <w:rFonts w:cs="Times New Roman"/>
          <w:lang w:val="en-US"/>
        </w:rPr>
        <w:t xml:space="preserve">, 2005 SCC 76, </w:t>
      </w:r>
      <w:r w:rsidRPr="000821FA">
        <w:rPr>
          <w:rFonts w:cs="Times New Roman"/>
        </w:rPr>
        <w:t xml:space="preserve">[2005] 3 S.C.R. 609, </w:t>
      </w:r>
      <w:r w:rsidRPr="000821FA">
        <w:rPr>
          <w:rFonts w:cs="Times New Roman"/>
          <w:lang w:val="en-US"/>
        </w:rPr>
        <w:t xml:space="preserve">at paras. 43-44; </w:t>
      </w:r>
      <w:r w:rsidRPr="000821FA">
        <w:rPr>
          <w:rFonts w:cs="Times New Roman"/>
          <w:i/>
          <w:lang w:val="en-US"/>
        </w:rPr>
        <w:t>R. v. Bernard</w:t>
      </w:r>
      <w:r w:rsidRPr="000821FA">
        <w:rPr>
          <w:rFonts w:cs="Times New Roman"/>
          <w:lang w:val="en-US"/>
        </w:rPr>
        <w:t>, [1988] 2 S.C.R. 833, at pp. 849-50.</w:t>
      </w:r>
    </w:p>
    <w:p w:rsidR="008B0231" w:rsidRPr="000821FA" w:rsidRDefault="008B0231" w:rsidP="000F2034">
      <w:pPr>
        <w:pStyle w:val="ParaNoNdepar-AltN"/>
        <w:tabs>
          <w:tab w:val="clear" w:pos="1166"/>
          <w:tab w:val="clear" w:pos="1422"/>
          <w:tab w:val="num" w:pos="1152"/>
        </w:tabs>
        <w:ind w:left="0"/>
        <w:rPr>
          <w:rFonts w:cs="Times New Roman"/>
          <w:lang w:val="en"/>
        </w:rPr>
      </w:pPr>
      <w:r w:rsidRPr="000821FA">
        <w:rPr>
          <w:rFonts w:cs="Times New Roman"/>
          <w:lang w:val="en-US"/>
        </w:rPr>
        <w:lastRenderedPageBreak/>
        <w:t xml:space="preserve">On this point, we recall the observation of Gibbs J. in </w:t>
      </w:r>
      <w:r w:rsidRPr="000821FA">
        <w:rPr>
          <w:rFonts w:cs="Times New Roman"/>
          <w:i/>
          <w:iCs/>
          <w:lang w:val="en"/>
        </w:rPr>
        <w:t>Queensland v. Commonwealth</w:t>
      </w:r>
      <w:r w:rsidRPr="000821FA">
        <w:rPr>
          <w:rFonts w:cs="Times New Roman"/>
          <w:lang w:val="en"/>
        </w:rPr>
        <w:t xml:space="preserve"> </w:t>
      </w:r>
      <w:r w:rsidRPr="000821FA">
        <w:rPr>
          <w:rStyle w:val="reflex3-block"/>
          <w:rFonts w:cs="Times New Roman"/>
          <w:lang w:val="en"/>
        </w:rPr>
        <w:t xml:space="preserve">(1977), </w:t>
      </w:r>
      <w:r w:rsidRPr="000821FA">
        <w:rPr>
          <w:rStyle w:val="reflex3-alt"/>
          <w:rFonts w:cs="Times New Roman"/>
          <w:lang w:val="en"/>
        </w:rPr>
        <w:t xml:space="preserve">139 C.L.R. 585 (H.C.A.), which this Court endorsed in </w:t>
      </w:r>
      <w:r w:rsidRPr="000821FA">
        <w:rPr>
          <w:rStyle w:val="reflex3-alt"/>
          <w:rFonts w:cs="Times New Roman"/>
          <w:i/>
          <w:lang w:val="en"/>
        </w:rPr>
        <w:t>Craig</w:t>
      </w:r>
      <w:r w:rsidRPr="000821FA">
        <w:rPr>
          <w:rStyle w:val="reflex3-alt"/>
          <w:rFonts w:cs="Times New Roman"/>
          <w:lang w:val="en"/>
        </w:rPr>
        <w:t xml:space="preserve">, at </w:t>
      </w:r>
      <w:r w:rsidRPr="000F2034">
        <w:t>para</w:t>
      </w:r>
      <w:r w:rsidRPr="000821FA">
        <w:rPr>
          <w:rStyle w:val="reflex3-alt"/>
          <w:rFonts w:cs="Times New Roman"/>
          <w:lang w:val="en"/>
        </w:rPr>
        <w:t>. 26:</w:t>
      </w:r>
    </w:p>
    <w:p w:rsidR="008B0231" w:rsidRPr="000821FA" w:rsidRDefault="008B0231" w:rsidP="008B0231">
      <w:pPr>
        <w:pStyle w:val="Citation-AltC"/>
      </w:pPr>
      <w:r w:rsidRPr="000821FA">
        <w:rPr>
          <w:lang w:val="en"/>
        </w:rPr>
        <w:t xml:space="preserve">No Justice is entitled to ignore the decisions and reasoning of his predecessors, and to arrive at his own judgment as though the pages of the law reports were blank, or as though the authority of a decision did not survive beyond the rising of the Court. A Justice, unlike a legislator, cannot introduce a </w:t>
      </w:r>
      <w:proofErr w:type="spellStart"/>
      <w:r w:rsidRPr="000821FA">
        <w:rPr>
          <w:lang w:val="en"/>
        </w:rPr>
        <w:t>programme</w:t>
      </w:r>
      <w:proofErr w:type="spellEnd"/>
      <w:r w:rsidRPr="000821FA">
        <w:rPr>
          <w:lang w:val="en"/>
        </w:rPr>
        <w:t xml:space="preserve"> of reform which sets at </w:t>
      </w:r>
      <w:proofErr w:type="spellStart"/>
      <w:r w:rsidRPr="000821FA">
        <w:rPr>
          <w:lang w:val="en"/>
        </w:rPr>
        <w:t>nought</w:t>
      </w:r>
      <w:proofErr w:type="spellEnd"/>
      <w:r w:rsidRPr="000821FA">
        <w:rPr>
          <w:lang w:val="en"/>
        </w:rPr>
        <w:t xml:space="preserve"> decisions formerly made and principles formerly est</w:t>
      </w:r>
      <w:r w:rsidR="00484BDB">
        <w:rPr>
          <w:lang w:val="en"/>
        </w:rPr>
        <w:t>ablished.</w:t>
      </w:r>
      <w:r w:rsidRPr="000821FA">
        <w:rPr>
          <w:lang w:val="en"/>
        </w:rPr>
        <w:t xml:space="preserve"> It is only after the most careful and respectful consideration of the earlier decision, and after giving due weight to all the circumstances, that a Justice may give effect to his own opinions in preference to an earlier decision of the Court.</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821FA">
        <w:rPr>
          <w:rFonts w:cs="Times New Roman"/>
        </w:rPr>
        <w:t>Nonetheless, this</w:t>
      </w:r>
      <w:r w:rsidRPr="000821FA">
        <w:rPr>
          <w:rFonts w:cs="Times New Roman"/>
          <w:lang w:val="en-US"/>
        </w:rPr>
        <w:t xml:space="preserve"> Court has in the past revisited precedents that were determined to be unsound in principle, that had proven to be unworkable and unnecessarily complex to apply, or that had attracted significant and valid judicial, academic </w:t>
      </w:r>
      <w:r w:rsidRPr="000F2034">
        <w:rPr>
          <w:rFonts w:cs="Times New Roman"/>
        </w:rPr>
        <w:t>and</w:t>
      </w:r>
      <w:r w:rsidRPr="000821FA">
        <w:rPr>
          <w:rFonts w:cs="Times New Roman"/>
          <w:lang w:val="en-US"/>
        </w:rPr>
        <w:t xml:space="preserve"> other criticism: </w:t>
      </w:r>
      <w:r w:rsidRPr="000821FA">
        <w:rPr>
          <w:rFonts w:cs="Times New Roman"/>
          <w:i/>
          <w:lang w:val="en-US"/>
        </w:rPr>
        <w:t>Craig</w:t>
      </w:r>
      <w:r w:rsidRPr="000821FA">
        <w:rPr>
          <w:rFonts w:cs="Times New Roman"/>
          <w:lang w:val="en-US"/>
        </w:rPr>
        <w:t xml:space="preserve">, at paras. 28-30; </w:t>
      </w:r>
      <w:r w:rsidRPr="000821FA">
        <w:rPr>
          <w:rFonts w:cs="Times New Roman"/>
          <w:i/>
          <w:lang w:val="en-US"/>
        </w:rPr>
        <w:t>Henry</w:t>
      </w:r>
      <w:r w:rsidRPr="000821FA">
        <w:rPr>
          <w:rFonts w:cs="Times New Roman"/>
          <w:lang w:val="en-US"/>
        </w:rPr>
        <w:t xml:space="preserve">, at paras. 45-47; </w:t>
      </w:r>
      <w:r w:rsidRPr="000821FA">
        <w:rPr>
          <w:rFonts w:cs="Times New Roman"/>
          <w:i/>
          <w:lang w:val="en-US"/>
        </w:rPr>
        <w:t>Fraser</w:t>
      </w:r>
      <w:r w:rsidRPr="000821FA">
        <w:rPr>
          <w:rFonts w:cs="Times New Roman"/>
          <w:lang w:val="en-US"/>
        </w:rPr>
        <w:t xml:space="preserve">, at para. 135 (per Rothstein J., concurring in the result); </w:t>
      </w:r>
      <w:r w:rsidRPr="000821FA">
        <w:rPr>
          <w:rFonts w:cs="Times New Roman"/>
          <w:i/>
          <w:lang w:val="en-US"/>
        </w:rPr>
        <w:t>Bernard</w:t>
      </w:r>
      <w:r w:rsidRPr="000821FA">
        <w:rPr>
          <w:rFonts w:cs="Times New Roman"/>
          <w:lang w:val="en-US"/>
        </w:rPr>
        <w:t xml:space="preserve">, at pp. 858-59. Although adhering to the established jurisprudence will generally promote certainty and predictability, in some instances doing so will create or perpetuate uncertainty in the law: </w:t>
      </w:r>
      <w:r w:rsidRPr="000821FA">
        <w:rPr>
          <w:rFonts w:cs="Times New Roman"/>
          <w:i/>
          <w:lang w:val="en-US"/>
        </w:rPr>
        <w:t xml:space="preserve">Minister of Indian Affairs and Northern Development v. </w:t>
      </w:r>
      <w:proofErr w:type="spellStart"/>
      <w:r w:rsidRPr="000821FA">
        <w:rPr>
          <w:rFonts w:cs="Times New Roman"/>
          <w:i/>
          <w:lang w:val="en-US"/>
        </w:rPr>
        <w:t>Ranville</w:t>
      </w:r>
      <w:proofErr w:type="spellEnd"/>
      <w:r w:rsidRPr="000821FA">
        <w:rPr>
          <w:rFonts w:cs="Times New Roman"/>
          <w:lang w:val="en-US"/>
        </w:rPr>
        <w:t xml:space="preserve">, [1982] 2 S.C.R. 518, at p. 528; </w:t>
      </w:r>
      <w:r w:rsidRPr="000821FA">
        <w:rPr>
          <w:rFonts w:cs="Times New Roman"/>
          <w:i/>
          <w:lang w:val="en-US"/>
        </w:rPr>
        <w:t>Bernard</w:t>
      </w:r>
      <w:r w:rsidRPr="000821FA">
        <w:rPr>
          <w:rFonts w:cs="Times New Roman"/>
          <w:lang w:val="en-US"/>
        </w:rPr>
        <w:t xml:space="preserve">, at p. 858; </w:t>
      </w:r>
      <w:r w:rsidRPr="000821FA">
        <w:rPr>
          <w:rFonts w:cs="Times New Roman"/>
          <w:i/>
          <w:lang w:val="en-US"/>
        </w:rPr>
        <w:t>R. v. B. (K.G.)</w:t>
      </w:r>
      <w:r w:rsidRPr="000821FA">
        <w:rPr>
          <w:rFonts w:cs="Times New Roman"/>
          <w:lang w:val="en-US"/>
        </w:rPr>
        <w:t xml:space="preserve">, [1993] 1 S.C.R. 740, at p. 778. In such circumstances, “following the prior decision because of </w:t>
      </w:r>
      <w:r w:rsidRPr="000821FA">
        <w:rPr>
          <w:rFonts w:cs="Times New Roman"/>
          <w:i/>
          <w:lang w:val="en-US"/>
        </w:rPr>
        <w:t>stare decisis</w:t>
      </w:r>
      <w:r w:rsidRPr="000821FA">
        <w:rPr>
          <w:rFonts w:cs="Times New Roman"/>
          <w:lang w:val="en-US"/>
        </w:rPr>
        <w:t xml:space="preserve"> would be contrary to the underlying value behind that doctrine, namely, clarity and certainty in the law”: </w:t>
      </w:r>
      <w:r w:rsidRPr="000821FA">
        <w:rPr>
          <w:rFonts w:cs="Times New Roman"/>
          <w:i/>
          <w:lang w:val="en-US"/>
        </w:rPr>
        <w:t>Bernard</w:t>
      </w:r>
      <w:r w:rsidRPr="000821FA">
        <w:rPr>
          <w:rFonts w:cs="Times New Roman"/>
          <w:lang w:val="en-US"/>
        </w:rPr>
        <w:t xml:space="preserve">, at p. 858. These considerations apply here. </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F2034">
        <w:rPr>
          <w:rFonts w:cs="Times New Roman"/>
        </w:rPr>
        <w:lastRenderedPageBreak/>
        <w:t>Certain</w:t>
      </w:r>
      <w:r w:rsidRPr="000821FA">
        <w:rPr>
          <w:rFonts w:cs="Times New Roman"/>
          <w:lang w:val="en-US"/>
        </w:rPr>
        <w:t xml:space="preserve"> aspects of the current framework are unclear and unduly complex. The practical effect of this lack of clarity is that courts sometimes struggle in conducting the standard of review analysis, and costly debates surrounding the appropriate standard and its application continue to overshadow the review on the merits in many cases, thereby undermining access to justice. </w:t>
      </w:r>
      <w:r w:rsidRPr="000821FA">
        <w:rPr>
          <w:rFonts w:cs="Times New Roman"/>
        </w:rPr>
        <w:t xml:space="preserve">The words of Binnie J. in his concurring reasons in </w:t>
      </w:r>
      <w:r w:rsidRPr="000821FA">
        <w:rPr>
          <w:rFonts w:cs="Times New Roman"/>
          <w:i/>
        </w:rPr>
        <w:t>Dunsmuir</w:t>
      </w:r>
      <w:r w:rsidRPr="000821FA">
        <w:rPr>
          <w:rFonts w:cs="Times New Roman"/>
        </w:rPr>
        <w:t>, at para. 133, are still apt:</w:t>
      </w:r>
    </w:p>
    <w:p w:rsidR="008B0231" w:rsidRPr="000821FA" w:rsidRDefault="00A90C1B" w:rsidP="008B0231">
      <w:pPr>
        <w:pStyle w:val="Citation-AltC"/>
      </w:pPr>
      <w:r>
        <w:t xml:space="preserve">. . . </w:t>
      </w:r>
      <w:proofErr w:type="gramStart"/>
      <w:r>
        <w:t>j</w:t>
      </w:r>
      <w:r w:rsidR="008B0231" w:rsidRPr="000821FA">
        <w:t>udicial</w:t>
      </w:r>
      <w:proofErr w:type="gramEnd"/>
      <w:r w:rsidR="008B0231" w:rsidRPr="000821FA">
        <w:t xml:space="preserve"> review is burdened with undue cos</w:t>
      </w:r>
      <w:r w:rsidR="00484BDB">
        <w:t>t and delay.</w:t>
      </w:r>
      <w:r w:rsidR="008B0231" w:rsidRPr="000821FA">
        <w:t xml:space="preserve"> Litigants understandably hesitate to go to court to seek redress for a perceived administrative injustice if their lawyers cannot predict with confidence even what stand</w:t>
      </w:r>
      <w:r w:rsidR="00B6233B">
        <w:t>ard of review will be applied.</w:t>
      </w:r>
      <w:r w:rsidR="0080178A">
        <w:t> </w:t>
      </w:r>
      <w:r w:rsidR="008B0231" w:rsidRPr="000821FA">
        <w:t>.</w:t>
      </w:r>
      <w:r w:rsidR="00B6233B">
        <w:t> </w:t>
      </w:r>
      <w:r w:rsidR="008B0231" w:rsidRPr="000821FA">
        <w:t>.</w:t>
      </w:r>
      <w:r w:rsidR="00B6233B">
        <w:t> </w:t>
      </w:r>
      <w:r w:rsidR="008B0231" w:rsidRPr="000821FA">
        <w:t>. If litigants do take the plunge, they may find the court’s attention focussed not on their complaints, or the government’s response, but on lengthy and arcane discussions of something they are told is [t</w:t>
      </w:r>
      <w:r w:rsidR="00217F7E">
        <w:t>he choice of standard analysis]</w:t>
      </w:r>
      <w:r w:rsidR="008B0231" w:rsidRPr="000821FA">
        <w:t>.</w:t>
      </w:r>
      <w:r w:rsidR="00217F7E">
        <w:t xml:space="preserve"> </w:t>
      </w:r>
      <w:r w:rsidR="008B0231" w:rsidRPr="000821FA">
        <w:t>.</w:t>
      </w:r>
      <w:r w:rsidR="00B6233B">
        <w:t> </w:t>
      </w:r>
      <w:r w:rsidR="008B0231" w:rsidRPr="000821FA">
        <w:t>.</w:t>
      </w:r>
      <w:r w:rsidR="00B6233B">
        <w:t> </w:t>
      </w:r>
      <w:r w:rsidR="008B0231" w:rsidRPr="000821FA">
        <w:t>. A victory before the reviewing court may be overturned on appeal because the wrong “st</w:t>
      </w:r>
      <w:r w:rsidR="00484BDB">
        <w:t>andard of review” was selected.</w:t>
      </w:r>
      <w:r w:rsidR="008B0231" w:rsidRPr="000821FA">
        <w:t xml:space="preserve"> A small business denied a licence or a professional person who wants to challenge disciplinary action should be able to seek judicial review without betting the store or the house on the outcome.</w:t>
      </w:r>
      <w:r w:rsidR="0080178A">
        <w:t> </w:t>
      </w:r>
    </w:p>
    <w:p w:rsidR="008B0231" w:rsidRPr="000821FA" w:rsidRDefault="008B0231" w:rsidP="008B0231">
      <w:pPr>
        <w:pStyle w:val="ParaNoNdepar-AltN"/>
        <w:numPr>
          <w:ilvl w:val="0"/>
          <w:numId w:val="0"/>
        </w:numPr>
        <w:rPr>
          <w:rFonts w:cs="Times New Roman"/>
        </w:rPr>
      </w:pPr>
      <w:r w:rsidRPr="000821FA">
        <w:rPr>
          <w:rFonts w:cs="Times New Roman"/>
        </w:rPr>
        <w:t xml:space="preserve">Regrettably, we find ourselves in a similar position following </w:t>
      </w:r>
      <w:r w:rsidRPr="000821FA">
        <w:rPr>
          <w:rFonts w:cs="Times New Roman"/>
          <w:i/>
        </w:rPr>
        <w:t>Dunsmuir</w:t>
      </w:r>
      <w:r w:rsidRPr="000821FA">
        <w:rPr>
          <w:rFonts w:cs="Times New Roman"/>
        </w:rPr>
        <w:t xml:space="preserve">. </w:t>
      </w:r>
      <w:r w:rsidRPr="000821FA">
        <w:rPr>
          <w:rFonts w:cs="Times New Roman"/>
          <w:lang w:val="en-US"/>
        </w:rPr>
        <w:t xml:space="preserve">As </w:t>
      </w:r>
      <w:proofErr w:type="spellStart"/>
      <w:r w:rsidRPr="000821FA">
        <w:rPr>
          <w:rFonts w:cs="Times New Roman"/>
          <w:lang w:val="en-US"/>
        </w:rPr>
        <w:t>Karakatsanis</w:t>
      </w:r>
      <w:proofErr w:type="spellEnd"/>
      <w:r w:rsidRPr="000821FA">
        <w:rPr>
          <w:rFonts w:cs="Times New Roman"/>
          <w:lang w:val="en-US"/>
        </w:rPr>
        <w:t xml:space="preserve"> J. observed in </w:t>
      </w:r>
      <w:r w:rsidRPr="000821FA">
        <w:rPr>
          <w:rFonts w:cs="Times New Roman"/>
          <w:i/>
          <w:lang w:val="en-US"/>
        </w:rPr>
        <w:t>Edmonton East</w:t>
      </w:r>
      <w:r w:rsidRPr="000821FA">
        <w:rPr>
          <w:rFonts w:cs="Times New Roman"/>
          <w:lang w:val="en-US"/>
        </w:rPr>
        <w:t>, at para. 35, “[t]he contextual approach can generate uncertainty and endless litigation concerning the standard of review”</w:t>
      </w:r>
      <w:r w:rsidR="006C4086">
        <w:rPr>
          <w:rFonts w:cs="Times New Roman"/>
          <w:lang w:val="en-US"/>
        </w:rPr>
        <w:t>.</w:t>
      </w:r>
      <w:r w:rsidRPr="000821FA">
        <w:rPr>
          <w:rFonts w:cs="Times New Roman"/>
          <w:lang w:val="en-US"/>
        </w:rPr>
        <w:t xml:space="preserve"> </w:t>
      </w:r>
      <w:r w:rsidRPr="000821FA">
        <w:rPr>
          <w:rFonts w:cs="Times New Roman"/>
        </w:rPr>
        <w:t xml:space="preserve">While counsel and courts attempt to work through the complexities of determining the standard of review and its proper application, litigants “still find the merits waiting in the wings for their chance to be seen and reviewed”: </w:t>
      </w:r>
      <w:r w:rsidRPr="000821FA">
        <w:rPr>
          <w:rFonts w:cs="Times New Roman"/>
          <w:i/>
        </w:rPr>
        <w:t>Wilson</w:t>
      </w:r>
      <w:r w:rsidRPr="000821FA">
        <w:rPr>
          <w:rFonts w:cs="Times New Roman"/>
        </w:rPr>
        <w:t xml:space="preserve">, at para. 25, per </w:t>
      </w:r>
      <w:proofErr w:type="spellStart"/>
      <w:r w:rsidRPr="000821FA">
        <w:rPr>
          <w:rFonts w:cs="Times New Roman"/>
        </w:rPr>
        <w:t>Abella</w:t>
      </w:r>
      <w:proofErr w:type="spellEnd"/>
      <w:r w:rsidRPr="000821FA">
        <w:rPr>
          <w:rFonts w:cs="Times New Roman"/>
        </w:rPr>
        <w:t xml:space="preserve"> J. </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821FA">
        <w:rPr>
          <w:rFonts w:cs="Times New Roman"/>
        </w:rPr>
        <w:t xml:space="preserve">As noted in </w:t>
      </w:r>
      <w:r w:rsidRPr="000821FA">
        <w:rPr>
          <w:rFonts w:cs="Times New Roman"/>
          <w:i/>
          <w:lang w:val="en"/>
        </w:rPr>
        <w:t>CHRC</w:t>
      </w:r>
      <w:r w:rsidRPr="000821FA">
        <w:rPr>
          <w:rFonts w:cs="Times New Roman"/>
          <w:lang w:val="en"/>
        </w:rPr>
        <w:t>,</w:t>
      </w:r>
      <w:r w:rsidRPr="000821FA">
        <w:rPr>
          <w:rFonts w:cs="Times New Roman"/>
        </w:rPr>
        <w:t xml:space="preserve"> this Court “has for years attempted to simplify the standard of review analysis in order to ‘get the parties away from arguing about the </w:t>
      </w:r>
      <w:r w:rsidRPr="000821FA">
        <w:rPr>
          <w:rFonts w:cs="Times New Roman"/>
        </w:rPr>
        <w:lastRenderedPageBreak/>
        <w:t xml:space="preserve">tests and back to arguing about the substantive merits of their case’”: para. 27, quoting </w:t>
      </w:r>
      <w:r w:rsidRPr="000821FA">
        <w:rPr>
          <w:rFonts w:cs="Times New Roman"/>
          <w:i/>
          <w:lang w:val="en-US"/>
        </w:rPr>
        <w:t>Alberta Teachers</w:t>
      </w:r>
      <w:r w:rsidRPr="000821FA">
        <w:rPr>
          <w:rFonts w:cs="Times New Roman"/>
          <w:lang w:val="en"/>
        </w:rPr>
        <w:t xml:space="preserve">, </w:t>
      </w:r>
      <w:r w:rsidRPr="000821FA">
        <w:rPr>
          <w:rFonts w:cs="Times New Roman"/>
        </w:rPr>
        <w:t xml:space="preserve">at para. 36, citing </w:t>
      </w:r>
      <w:r w:rsidRPr="000821FA">
        <w:rPr>
          <w:rFonts w:cs="Times New Roman"/>
          <w:i/>
        </w:rPr>
        <w:t>Dunsmuir</w:t>
      </w:r>
      <w:r w:rsidRPr="000821FA">
        <w:rPr>
          <w:rFonts w:cs="Times New Roman"/>
        </w:rPr>
        <w:t xml:space="preserve">, at para. 145, per Binnie J. </w:t>
      </w:r>
      <w:r w:rsidRPr="000821FA">
        <w:rPr>
          <w:rFonts w:cs="Times New Roman"/>
          <w:lang w:val="en-US"/>
        </w:rPr>
        <w:t xml:space="preserve">The principled changes set out below seek to promote the values underlying </w:t>
      </w:r>
      <w:r w:rsidRPr="000821FA">
        <w:rPr>
          <w:rFonts w:cs="Times New Roman"/>
          <w:i/>
          <w:lang w:val="en-US"/>
        </w:rPr>
        <w:t>stare decisis</w:t>
      </w:r>
      <w:r w:rsidRPr="000821FA">
        <w:rPr>
          <w:rFonts w:cs="Times New Roman"/>
          <w:lang w:val="en-US"/>
        </w:rPr>
        <w:t xml:space="preserve"> and to make the law on the standard of review more certain, coherent and workable going forward. </w:t>
      </w:r>
    </w:p>
    <w:p w:rsidR="008B0231" w:rsidRPr="000821FA" w:rsidRDefault="008B0231" w:rsidP="008B0231">
      <w:pPr>
        <w:pStyle w:val="Title2LevelTitre2Niveau"/>
        <w:numPr>
          <w:ilvl w:val="1"/>
          <w:numId w:val="3"/>
        </w:numPr>
        <w:rPr>
          <w:rFonts w:cs="Times New Roman"/>
        </w:rPr>
      </w:pPr>
      <w:r w:rsidRPr="000821FA">
        <w:rPr>
          <w:rFonts w:cs="Times New Roman"/>
        </w:rPr>
        <w:t>Presumption That Reasonableness Is the Applicable Standard</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Where a court reviews the merits of an administrative decision (i.e., judicial review of an administrative decision other than a review related to a breach of natural justice and/or the duty of procedural fairness), the standard of review it applies must reflect the legislature’s intent with respect to the role of the reviewing court, except where</w:t>
      </w:r>
      <w:r w:rsidRPr="000821FA">
        <w:rPr>
          <w:rFonts w:cs="Times New Roman"/>
          <w:i/>
        </w:rPr>
        <w:t xml:space="preserve"> </w:t>
      </w:r>
      <w:r w:rsidRPr="000821FA">
        <w:rPr>
          <w:rFonts w:cs="Times New Roman"/>
        </w:rPr>
        <w:t>giving effect to that intent i</w:t>
      </w:r>
      <w:r w:rsidR="00484BDB">
        <w:rPr>
          <w:rFonts w:cs="Times New Roman"/>
        </w:rPr>
        <w:t>s precluded by the rule of law.</w:t>
      </w:r>
      <w:r w:rsidRPr="000821FA">
        <w:rPr>
          <w:rFonts w:cs="Times New Roman"/>
        </w:rPr>
        <w:t xml:space="preserve"> The starting point for the analysis is a presumption that the legislature intended the standard of review to be reasonableness.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Parliament and the provincial legislatures are constitutionally empowered to create administrative bodies and to endow them with broad statutory powers: </w:t>
      </w:r>
      <w:r w:rsidRPr="000821FA">
        <w:rPr>
          <w:rFonts w:cs="Times New Roman"/>
          <w:i/>
        </w:rPr>
        <w:t>Dunsmuir</w:t>
      </w:r>
      <w:r w:rsidRPr="000821FA">
        <w:rPr>
          <w:rFonts w:cs="Times New Roman"/>
        </w:rPr>
        <w:t xml:space="preserve">, at para. 27. Where a legislature has created an administrative decision maker for the specific purpose of administering a statutory scheme, it must be presumed that the legislature also intended that decision maker to be able to fulfill its mandate and interpret the law as applicable to all issues that come before it. Where a legislature has not explicitly prescribed that a court is to have a role in reviewing the decisions of that decision maker, it can safely be assumed that the legislature intended the administrative </w:t>
      </w:r>
      <w:r w:rsidRPr="000821FA">
        <w:rPr>
          <w:rFonts w:cs="Times New Roman"/>
        </w:rPr>
        <w:lastRenderedPageBreak/>
        <w:t xml:space="preserve">decision maker to function with a minimum of judicial interference. However, because </w:t>
      </w:r>
      <w:r w:rsidRPr="000821FA">
        <w:rPr>
          <w:rFonts w:cs="Times New Roman"/>
          <w:lang w:val="en"/>
        </w:rPr>
        <w:t xml:space="preserve">judicial review is protected by s. 96 of the </w:t>
      </w:r>
      <w:r w:rsidRPr="000821FA">
        <w:rPr>
          <w:rFonts w:cs="Times New Roman"/>
          <w:i/>
          <w:lang w:val="en"/>
        </w:rPr>
        <w:t>Constitution Act, 1867</w:t>
      </w:r>
      <w:r w:rsidRPr="000821FA">
        <w:rPr>
          <w:rFonts w:cs="Times New Roman"/>
          <w:lang w:val="en"/>
        </w:rPr>
        <w:t xml:space="preserve">, legislatures cannot shield administrative decision making from curial scrutiny entirely: </w:t>
      </w:r>
      <w:r w:rsidRPr="000821FA">
        <w:rPr>
          <w:rFonts w:cs="Times New Roman"/>
          <w:i/>
          <w:lang w:val="en"/>
        </w:rPr>
        <w:t>Dunsmuir</w:t>
      </w:r>
      <w:r w:rsidRPr="000821FA">
        <w:rPr>
          <w:rFonts w:cs="Times New Roman"/>
          <w:lang w:val="en"/>
        </w:rPr>
        <w:t xml:space="preserve">, at para. 31; </w:t>
      </w:r>
      <w:proofErr w:type="spellStart"/>
      <w:r w:rsidRPr="000821FA">
        <w:rPr>
          <w:rFonts w:cs="Times New Roman"/>
          <w:i/>
        </w:rPr>
        <w:t>Crevier</w:t>
      </w:r>
      <w:proofErr w:type="spellEnd"/>
      <w:r w:rsidRPr="000821FA">
        <w:rPr>
          <w:rFonts w:cs="Times New Roman"/>
          <w:i/>
        </w:rPr>
        <w:t xml:space="preserve"> v. Attorney General of Quebec</w:t>
      </w:r>
      <w:r w:rsidRPr="000821FA">
        <w:rPr>
          <w:rFonts w:cs="Times New Roman"/>
        </w:rPr>
        <w:t xml:space="preserve">, [1981] 2 S.C.R. 220, at pp. 236-37; </w:t>
      </w:r>
      <w:r w:rsidRPr="000821FA">
        <w:rPr>
          <w:rFonts w:cs="Times New Roman"/>
          <w:i/>
        </w:rPr>
        <w:t xml:space="preserve">U.E.S., Local 298 v. </w:t>
      </w:r>
      <w:proofErr w:type="spellStart"/>
      <w:r w:rsidRPr="000821FA">
        <w:rPr>
          <w:rFonts w:cs="Times New Roman"/>
          <w:i/>
        </w:rPr>
        <w:t>Bibeault</w:t>
      </w:r>
      <w:proofErr w:type="spellEnd"/>
      <w:r w:rsidRPr="000821FA">
        <w:rPr>
          <w:rFonts w:cs="Times New Roman"/>
        </w:rPr>
        <w:t>, [1988] 2 S.C.R. 1048, at p. 1090</w:t>
      </w:r>
      <w:r w:rsidRPr="000821FA">
        <w:rPr>
          <w:rFonts w:cs="Times New Roman"/>
          <w:lang w:val="en"/>
        </w:rPr>
        <w:t xml:space="preserve">. Nevertheless, </w:t>
      </w:r>
      <w:r w:rsidRPr="000821FA">
        <w:rPr>
          <w:rFonts w:cs="Times New Roman"/>
        </w:rPr>
        <w:t>respect for these institutional design choices made by the legislature requires a reviewing court to adopt a posture of restraint on review.</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For years, this Court’s jurisprudence has moved toward a recognition that the reasonableness standard should be the starting point for a court’s review of an administrative decision. Indeed, a presumption of reasonableness review is already a well-established feature of the standard of review analysis</w:t>
      </w:r>
      <w:r w:rsidRPr="000821FA">
        <w:rPr>
          <w:rFonts w:eastAsiaTheme="minorHAnsi" w:cs="Times New Roman"/>
          <w:lang w:val="en-US" w:bidi="en-US"/>
        </w:rPr>
        <w:t xml:space="preserve"> </w:t>
      </w:r>
      <w:r w:rsidRPr="000821FA">
        <w:rPr>
          <w:rFonts w:cs="Times New Roman"/>
          <w:lang w:bidi="en-US"/>
        </w:rPr>
        <w:t>in cases in which administrative decision makers interpret their home statutes</w:t>
      </w:r>
      <w:r w:rsidRPr="000821FA">
        <w:rPr>
          <w:rFonts w:cs="Times New Roman"/>
        </w:rPr>
        <w:t xml:space="preserve">: see </w:t>
      </w:r>
      <w:r w:rsidRPr="000821FA">
        <w:rPr>
          <w:rFonts w:cs="Times New Roman"/>
          <w:i/>
        </w:rPr>
        <w:t>Alberta Teachers</w:t>
      </w:r>
      <w:r w:rsidRPr="000821FA">
        <w:rPr>
          <w:rFonts w:cs="Times New Roman"/>
        </w:rPr>
        <w:t xml:space="preserve">, at para. 30; </w:t>
      </w:r>
      <w:r w:rsidRPr="000821FA">
        <w:rPr>
          <w:rFonts w:cs="Times New Roman"/>
          <w:i/>
        </w:rPr>
        <w:t>Saguenay</w:t>
      </w:r>
      <w:r w:rsidRPr="000821FA">
        <w:rPr>
          <w:rFonts w:cs="Times New Roman"/>
        </w:rPr>
        <w:t xml:space="preserve">, at para. 46; </w:t>
      </w:r>
      <w:r w:rsidRPr="000821FA">
        <w:rPr>
          <w:rFonts w:cs="Times New Roman"/>
          <w:i/>
        </w:rPr>
        <w:t>Edmonton East</w:t>
      </w:r>
      <w:r w:rsidR="00484BDB">
        <w:rPr>
          <w:rFonts w:cs="Times New Roman"/>
        </w:rPr>
        <w:t xml:space="preserve">, at para. 22. </w:t>
      </w:r>
      <w:r w:rsidRPr="000821FA">
        <w:rPr>
          <w:rFonts w:cs="Times New Roman"/>
        </w:rPr>
        <w:t xml:space="preserve">In our view, </w:t>
      </w:r>
      <w:r w:rsidRPr="000821FA">
        <w:rPr>
          <w:rFonts w:cs="Times New Roman"/>
          <w:lang w:val="en"/>
        </w:rPr>
        <w:t xml:space="preserve">it is now appropriate to hold that whenever a court reviews an administrative decision, it should start with the presumption that the applicable standard of review for all aspects of that decision will be reasonableness. While this presumption applies to the administrative decision maker’s interpretation of its enabling statute, the presumption also applies more broadly to other aspects of its decision.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Before turning to an explanation of how the presumption of reasonableness review may be rebutted, we believe it is desirable to clarify one aspect of the conceptual basis for this presumption. Since </w:t>
      </w:r>
      <w:r w:rsidRPr="000821FA">
        <w:rPr>
          <w:rFonts w:cs="Times New Roman"/>
          <w:i/>
        </w:rPr>
        <w:t>C</w:t>
      </w:r>
      <w:r w:rsidR="00837FF9">
        <w:rPr>
          <w:rFonts w:cs="Times New Roman"/>
          <w:i/>
        </w:rPr>
        <w:t>anadian Union of Public Employees, Local 963</w:t>
      </w:r>
      <w:r w:rsidRPr="000821FA">
        <w:rPr>
          <w:rFonts w:cs="Times New Roman"/>
          <w:i/>
        </w:rPr>
        <w:t xml:space="preserve"> v. </w:t>
      </w:r>
      <w:r w:rsidRPr="000821FA">
        <w:rPr>
          <w:rFonts w:cs="Times New Roman"/>
          <w:i/>
        </w:rPr>
        <w:lastRenderedPageBreak/>
        <w:t>N</w:t>
      </w:r>
      <w:r w:rsidR="00FF3B33">
        <w:rPr>
          <w:rFonts w:cs="Times New Roman"/>
          <w:i/>
        </w:rPr>
        <w:t xml:space="preserve">ew </w:t>
      </w:r>
      <w:r w:rsidRPr="000821FA">
        <w:rPr>
          <w:rFonts w:cs="Times New Roman"/>
          <w:i/>
        </w:rPr>
        <w:t>B</w:t>
      </w:r>
      <w:r w:rsidR="00FF3B33">
        <w:rPr>
          <w:rFonts w:cs="Times New Roman"/>
          <w:i/>
        </w:rPr>
        <w:t>runswick Liquor Corp.</w:t>
      </w:r>
      <w:r w:rsidRPr="000821FA">
        <w:rPr>
          <w:rFonts w:cs="Times New Roman"/>
        </w:rPr>
        <w:t>, [1979] 2 S.C.R. 227</w:t>
      </w:r>
      <w:r w:rsidR="004B1033">
        <w:rPr>
          <w:rFonts w:cs="Times New Roman"/>
        </w:rPr>
        <w:t xml:space="preserve"> (“</w:t>
      </w:r>
      <w:r w:rsidR="004B1033">
        <w:rPr>
          <w:rFonts w:cs="Times New Roman"/>
          <w:i/>
        </w:rPr>
        <w:t>C.U.P.E.</w:t>
      </w:r>
      <w:r w:rsidR="004B1033">
        <w:rPr>
          <w:rFonts w:cs="Times New Roman"/>
        </w:rPr>
        <w:t>”)</w:t>
      </w:r>
      <w:r w:rsidRPr="000821FA">
        <w:rPr>
          <w:rFonts w:cs="Times New Roman"/>
        </w:rPr>
        <w:t xml:space="preserve">, the central rationale for applying a deferential standard of review in administrative law has been a respect for the legislature’s institutional design choice to delegate certain matters to non-judicial decision makers through statute: </w:t>
      </w:r>
      <w:r w:rsidRPr="000821FA">
        <w:rPr>
          <w:rFonts w:cs="Times New Roman"/>
          <w:i/>
        </w:rPr>
        <w:t>C.U.P.E.</w:t>
      </w:r>
      <w:r w:rsidRPr="000821FA">
        <w:rPr>
          <w:rFonts w:cs="Times New Roman"/>
        </w:rPr>
        <w:t>, at pp. 235-36. However, this Court has subsequently identified a number of other justifications for applying the reasonableness standard, some of which have taken on influential roles in the standard of re</w:t>
      </w:r>
      <w:r w:rsidR="00117168">
        <w:rPr>
          <w:rFonts w:cs="Times New Roman"/>
        </w:rPr>
        <w:t>view analysis at various times.</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In particular, the Court has described one rationale for applying the reasonableness standard as being the relative expertise of administrative decision makers with respect to the questions before them: see, e.g., </w:t>
      </w:r>
      <w:r w:rsidRPr="000821FA">
        <w:rPr>
          <w:rFonts w:cs="Times New Roman"/>
          <w:i/>
        </w:rPr>
        <w:t>C.U.P.E.</w:t>
      </w:r>
      <w:r w:rsidRPr="000821FA">
        <w:rPr>
          <w:rFonts w:cs="Times New Roman"/>
        </w:rPr>
        <w:t xml:space="preserve">, at p. 236; </w:t>
      </w:r>
      <w:proofErr w:type="spellStart"/>
      <w:r w:rsidRPr="000821FA">
        <w:rPr>
          <w:rFonts w:cs="Times New Roman"/>
          <w:i/>
          <w:lang w:bidi="en-US"/>
        </w:rPr>
        <w:t>Pushpanathan</w:t>
      </w:r>
      <w:proofErr w:type="spellEnd"/>
      <w:r w:rsidRPr="000821FA">
        <w:rPr>
          <w:rFonts w:cs="Times New Roman"/>
          <w:i/>
          <w:lang w:bidi="en-US"/>
        </w:rPr>
        <w:t xml:space="preserve"> v. Canada (Minister of Citizenship and Immigration)</w:t>
      </w:r>
      <w:r w:rsidRPr="000821FA">
        <w:rPr>
          <w:rFonts w:cs="Times New Roman"/>
          <w:lang w:bidi="en-US"/>
        </w:rPr>
        <w:t xml:space="preserve">, [1998] 1 S.C.R. 982, at paras. 32-35; </w:t>
      </w:r>
      <w:proofErr w:type="spellStart"/>
      <w:r w:rsidRPr="000821FA">
        <w:rPr>
          <w:rFonts w:cs="Times New Roman"/>
          <w:i/>
          <w:lang w:val="en"/>
        </w:rPr>
        <w:t>Pezim</w:t>
      </w:r>
      <w:proofErr w:type="spellEnd"/>
      <w:r w:rsidRPr="000821FA">
        <w:rPr>
          <w:rFonts w:cs="Times New Roman"/>
          <w:i/>
          <w:lang w:val="en"/>
        </w:rPr>
        <w:t xml:space="preserve"> v. British Columbia (Superintendent of Brokers)</w:t>
      </w:r>
      <w:r w:rsidRPr="000821FA">
        <w:rPr>
          <w:rFonts w:cs="Times New Roman"/>
          <w:lang w:val="en"/>
        </w:rPr>
        <w:t xml:space="preserve">, [1994] 2 S.C.R. 557, </w:t>
      </w:r>
      <w:r w:rsidRPr="000821FA">
        <w:rPr>
          <w:rFonts w:cs="Times New Roman"/>
        </w:rPr>
        <w:t>at pp. 591-92;</w:t>
      </w:r>
      <w:r w:rsidRPr="000821FA">
        <w:rPr>
          <w:rFonts w:cs="Times New Roman"/>
          <w:lang w:val="en"/>
        </w:rPr>
        <w:t xml:space="preserve"> </w:t>
      </w:r>
      <w:r w:rsidRPr="000821FA">
        <w:rPr>
          <w:rFonts w:cs="Times New Roman"/>
          <w:i/>
          <w:iCs/>
          <w:lang w:val="en" w:bidi="en-US"/>
        </w:rPr>
        <w:t xml:space="preserve">Canada (Director of Investigation and Research) v. </w:t>
      </w:r>
      <w:proofErr w:type="spellStart"/>
      <w:r w:rsidRPr="000821FA">
        <w:rPr>
          <w:rFonts w:cs="Times New Roman"/>
          <w:i/>
          <w:iCs/>
          <w:lang w:val="en" w:bidi="en-US"/>
        </w:rPr>
        <w:t>Southam</w:t>
      </w:r>
      <w:proofErr w:type="spellEnd"/>
      <w:r w:rsidRPr="000821FA">
        <w:rPr>
          <w:rFonts w:cs="Times New Roman"/>
          <w:i/>
          <w:iCs/>
          <w:lang w:val="en" w:bidi="en-US"/>
        </w:rPr>
        <w:t xml:space="preserve"> Inc.</w:t>
      </w:r>
      <w:r w:rsidRPr="000821FA">
        <w:rPr>
          <w:rFonts w:cs="Times New Roman"/>
          <w:lang w:val="en" w:bidi="en-US"/>
        </w:rPr>
        <w:t xml:space="preserve">, [1997] 1 S.C.R. 748, at paras. 50-53; </w:t>
      </w:r>
      <w:r w:rsidRPr="000821FA">
        <w:rPr>
          <w:rFonts w:cs="Times New Roman"/>
          <w:i/>
        </w:rPr>
        <w:t>Dunsmuir</w:t>
      </w:r>
      <w:r w:rsidRPr="000821FA">
        <w:rPr>
          <w:rFonts w:cs="Times New Roman"/>
        </w:rPr>
        <w:t xml:space="preserve">, at para. 49, </w:t>
      </w:r>
      <w:r w:rsidRPr="000821FA">
        <w:rPr>
          <w:rFonts w:cs="Times New Roman"/>
          <w:lang w:bidi="en-US"/>
        </w:rPr>
        <w:t xml:space="preserve">quoting D. J. </w:t>
      </w:r>
      <w:proofErr w:type="spellStart"/>
      <w:r w:rsidRPr="000821FA">
        <w:rPr>
          <w:rFonts w:cs="Times New Roman"/>
          <w:lang w:bidi="en-US"/>
        </w:rPr>
        <w:t>Mullan</w:t>
      </w:r>
      <w:proofErr w:type="spellEnd"/>
      <w:r w:rsidRPr="000821FA">
        <w:rPr>
          <w:rFonts w:cs="Times New Roman"/>
          <w:lang w:bidi="en-US"/>
        </w:rPr>
        <w:t xml:space="preserve">, “Establishing the Standard of Review: The Struggle for Complexity?” (2004), 17 </w:t>
      </w:r>
      <w:r w:rsidRPr="000821FA">
        <w:rPr>
          <w:rFonts w:cs="Times New Roman"/>
          <w:i/>
          <w:iCs/>
          <w:lang w:bidi="en-US"/>
        </w:rPr>
        <w:t>C.J.A.L.P.</w:t>
      </w:r>
      <w:r w:rsidRPr="000821FA">
        <w:rPr>
          <w:rFonts w:cs="Times New Roman"/>
          <w:lang w:bidi="en-US"/>
        </w:rPr>
        <w:t xml:space="preserve"> 59, at p. 93; see also </w:t>
      </w:r>
      <w:r w:rsidRPr="000821FA">
        <w:rPr>
          <w:rFonts w:cs="Times New Roman"/>
          <w:i/>
          <w:lang w:bidi="en-US"/>
        </w:rPr>
        <w:t>Dunsmuir</w:t>
      </w:r>
      <w:r w:rsidRPr="000821FA">
        <w:rPr>
          <w:rFonts w:cs="Times New Roman"/>
          <w:lang w:bidi="en-US"/>
        </w:rPr>
        <w:t>, at para. 68</w:t>
      </w:r>
      <w:r w:rsidRPr="000821FA">
        <w:rPr>
          <w:rFonts w:cs="Times New Roman"/>
        </w:rPr>
        <w:t xml:space="preserve">. However, this Court’s jurisprudence has sometimes been deeply divided on the question of what expertise entails in the administrative context, how it should be assessed and how it should inform the standard of review analysis: see, e.g., </w:t>
      </w:r>
      <w:proofErr w:type="spellStart"/>
      <w:r w:rsidRPr="000821FA">
        <w:rPr>
          <w:rFonts w:cs="Times New Roman"/>
          <w:i/>
        </w:rPr>
        <w:t>Khosa</w:t>
      </w:r>
      <w:proofErr w:type="spellEnd"/>
      <w:r w:rsidRPr="000821FA">
        <w:rPr>
          <w:rFonts w:cs="Times New Roman"/>
        </w:rPr>
        <w:t xml:space="preserve">, at paras. 23-25, per Binnie J. for the majority, compared to paras. 93-96, per Rothstein J., concurring in the result; </w:t>
      </w:r>
      <w:r w:rsidRPr="000821FA">
        <w:rPr>
          <w:rFonts w:cs="Times New Roman"/>
          <w:i/>
        </w:rPr>
        <w:t>Edmonton East</w:t>
      </w:r>
      <w:r w:rsidRPr="000821FA">
        <w:rPr>
          <w:rFonts w:cs="Times New Roman"/>
        </w:rPr>
        <w:t xml:space="preserve">, at para. 33, per </w:t>
      </w:r>
      <w:proofErr w:type="spellStart"/>
      <w:r w:rsidRPr="000821FA">
        <w:rPr>
          <w:rFonts w:cs="Times New Roman"/>
        </w:rPr>
        <w:t>Karakatsanis</w:t>
      </w:r>
      <w:proofErr w:type="spellEnd"/>
      <w:r w:rsidRPr="000821FA">
        <w:rPr>
          <w:rFonts w:cs="Times New Roman"/>
        </w:rPr>
        <w:t xml:space="preserve"> J. for the majority, compared to paras. 81-86, per Côté and Brown JJ., dissenting. In the era of what was known as the “pragmatic </w:t>
      </w:r>
      <w:r w:rsidRPr="000821FA">
        <w:rPr>
          <w:rFonts w:cs="Times New Roman"/>
        </w:rPr>
        <w:lastRenderedPageBreak/>
        <w:t xml:space="preserve">and functional” approach, which was </w:t>
      </w:r>
      <w:r w:rsidRPr="000821FA">
        <w:rPr>
          <w:rFonts w:eastAsia="Calibri" w:cs="Times New Roman"/>
          <w:lang w:val="en-US" w:bidi="en-US"/>
        </w:rPr>
        <w:t xml:space="preserve">first set out in </w:t>
      </w:r>
      <w:proofErr w:type="spellStart"/>
      <w:r w:rsidRPr="000821FA">
        <w:rPr>
          <w:rFonts w:eastAsia="Calibri" w:cs="Times New Roman"/>
          <w:i/>
          <w:lang w:val="en-US" w:bidi="en-US"/>
        </w:rPr>
        <w:t>Bibeault</w:t>
      </w:r>
      <w:proofErr w:type="spellEnd"/>
      <w:r w:rsidRPr="000821FA">
        <w:rPr>
          <w:rFonts w:eastAsia="Calibri" w:cs="Times New Roman"/>
          <w:lang w:val="en-US" w:bidi="en-US"/>
        </w:rPr>
        <w:t>,</w:t>
      </w:r>
      <w:r w:rsidRPr="000821FA">
        <w:rPr>
          <w:rFonts w:cs="Times New Roman"/>
        </w:rPr>
        <w:t xml:space="preserve"> a decision maker’s expertise relative to that of the reviewing court was one of the key contextual factors said to indicate legislative intent with respect to the standard of review, but the decision maker was not presumed to have relative expertise. Instead, whether a decision maker had greater expertise than the reviewing court was assessed in relation to the specific question at issue and on the basis of a contextual analysis that could incorporate factors such as the qualification of an administrative body’s members, their experience in a particular area and their involvement in policy making: see, e.g., </w:t>
      </w:r>
      <w:proofErr w:type="spellStart"/>
      <w:r w:rsidRPr="000821FA">
        <w:rPr>
          <w:rFonts w:cs="Times New Roman"/>
          <w:i/>
        </w:rPr>
        <w:t>Pezim</w:t>
      </w:r>
      <w:proofErr w:type="spellEnd"/>
      <w:r w:rsidRPr="000821FA">
        <w:rPr>
          <w:rFonts w:cs="Times New Roman"/>
        </w:rPr>
        <w:t>, at pp. 591-92;</w:t>
      </w:r>
      <w:r w:rsidRPr="000821FA">
        <w:rPr>
          <w:rFonts w:cs="Times New Roman"/>
          <w:i/>
        </w:rPr>
        <w:t xml:space="preserve"> </w:t>
      </w:r>
      <w:proofErr w:type="spellStart"/>
      <w:r w:rsidRPr="000821FA">
        <w:rPr>
          <w:rFonts w:cs="Times New Roman"/>
          <w:i/>
          <w:lang w:val="en"/>
        </w:rPr>
        <w:t>Southam</w:t>
      </w:r>
      <w:proofErr w:type="spellEnd"/>
      <w:r w:rsidRPr="000821FA">
        <w:rPr>
          <w:rFonts w:cs="Times New Roman"/>
          <w:lang w:val="en"/>
        </w:rPr>
        <w:t xml:space="preserve">, at paras. 50-53; </w:t>
      </w:r>
      <w:r w:rsidRPr="000821FA">
        <w:rPr>
          <w:rFonts w:cs="Times New Roman"/>
          <w:i/>
          <w:iCs/>
          <w:lang w:val="en"/>
        </w:rPr>
        <w:t>Dr. Q v. College of Physicians and Surgeons of British Columbia</w:t>
      </w:r>
      <w:r w:rsidRPr="000821FA">
        <w:rPr>
          <w:rFonts w:cs="Times New Roman"/>
          <w:lang w:val="en"/>
        </w:rPr>
        <w:t>, 2003 SCC 19, [2003] 1 S.C.R. 226</w:t>
      </w:r>
      <w:r w:rsidRPr="000821FA">
        <w:rPr>
          <w:rFonts w:cs="Times New Roman"/>
        </w:rPr>
        <w:t xml:space="preserve">, at paras. 28-29; </w:t>
      </w:r>
      <w:r w:rsidRPr="000821FA">
        <w:rPr>
          <w:rFonts w:cs="Times New Roman"/>
          <w:i/>
        </w:rPr>
        <w:t>Canada (Deputy Minister of National Revenue) v. Mattel Canada Inc.</w:t>
      </w:r>
      <w:r w:rsidRPr="000821FA">
        <w:rPr>
          <w:rFonts w:cs="Times New Roman"/>
        </w:rPr>
        <w:t xml:space="preserve">, 2001 SCC 36, [2001] 2 S.C.R. 100, at paras. 28-32; </w:t>
      </w:r>
      <w:r w:rsidRPr="000821FA">
        <w:rPr>
          <w:rFonts w:cs="Times New Roman"/>
          <w:i/>
          <w:lang w:val="en"/>
        </w:rPr>
        <w:t>Moreau</w:t>
      </w:r>
      <w:r w:rsidRPr="000821FA">
        <w:rPr>
          <w:rFonts w:cs="Times New Roman"/>
          <w:i/>
          <w:lang w:val="en"/>
        </w:rPr>
        <w:noBreakHyphen/>
      </w:r>
      <w:proofErr w:type="spellStart"/>
      <w:r w:rsidRPr="000821FA">
        <w:rPr>
          <w:rFonts w:cs="Times New Roman"/>
          <w:i/>
          <w:lang w:val="en"/>
        </w:rPr>
        <w:t>Bérubé</w:t>
      </w:r>
      <w:proofErr w:type="spellEnd"/>
      <w:r w:rsidRPr="000821FA">
        <w:rPr>
          <w:rFonts w:cs="Times New Roman"/>
          <w:i/>
          <w:lang w:val="en"/>
        </w:rPr>
        <w:t> </w:t>
      </w:r>
      <w:r w:rsidRPr="000821FA">
        <w:rPr>
          <w:rFonts w:cs="Times New Roman"/>
          <w:i/>
          <w:iCs/>
          <w:lang w:val="en"/>
        </w:rPr>
        <w:t>v</w:t>
      </w:r>
      <w:r w:rsidRPr="000821FA">
        <w:rPr>
          <w:rFonts w:cs="Times New Roman"/>
          <w:i/>
          <w:lang w:val="en"/>
        </w:rPr>
        <w:t>. New Brunswick (Judicial Council)</w:t>
      </w:r>
      <w:r w:rsidRPr="000821FA">
        <w:rPr>
          <w:rFonts w:cs="Times New Roman"/>
          <w:lang w:val="en"/>
        </w:rPr>
        <w:t>, 2002 SCC 11, [2002] 1 S.C.R. 249, at para. 50</w:t>
      </w:r>
      <w:r w:rsidRPr="000821FA">
        <w:rPr>
          <w:rFonts w:cs="Times New Roman"/>
        </w:rPr>
        <w:t>.</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Unfortunately, this contextual analysis proved to be unwieldy and offered limited practical guidance for courts attempting to assess an administrative decision maker’s relative expertise. More recently, the dominant approach in this Court has been to accept that expertise simply inheres in an administrative body by virtue of the specialized function designated for it by the legislature: </w:t>
      </w:r>
      <w:r w:rsidRPr="000821FA">
        <w:rPr>
          <w:rFonts w:cs="Times New Roman"/>
          <w:i/>
        </w:rPr>
        <w:t>Edmonton East</w:t>
      </w:r>
      <w:r w:rsidRPr="000821FA">
        <w:rPr>
          <w:rFonts w:cs="Times New Roman"/>
        </w:rPr>
        <w:t>, at para. 33. However, if administrative decision makers are understood to possess specialized expertise on all questions that come before them, the concept of expertise ceases to assist a reviewing court in attempting to distinguish questions for which applying the reasonableness standard is appropriate from those for which it is not.</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lastRenderedPageBreak/>
        <w:t>Of course, the fact that the specialized role of administrative decision makers lends itself to the development of expertise and institutional experience is not the only reason that a legislature may choose to delegate decision-making authority. Over the years, the Court has pointed to a number of other compelling rationales for the legislature to delegate the administration of a statutory scheme to a particular administrative decision maker. These rationales have included the decision maker’s proximity and responsiveness to stakeholders, ability to render decisions promptly, flexibly and efficiently, and ability to provide simplified and streamlined proceedings intended to promote access to justice.</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While specialized expertise and these other rationales may all be reasons for a legislature to delegate decision-making authority, a reviewing court need not evaluate which of these rationales apply in the case of a particular decision maker in order to determine the standard of review. Instead, in our view, it is the </w:t>
      </w:r>
      <w:r w:rsidRPr="000821FA">
        <w:rPr>
          <w:rFonts w:cs="Times New Roman"/>
          <w:i/>
        </w:rPr>
        <w:t xml:space="preserve">very fact </w:t>
      </w:r>
      <w:r w:rsidRPr="000821FA">
        <w:rPr>
          <w:rFonts w:cs="Times New Roman"/>
        </w:rPr>
        <w:t xml:space="preserve">that the legislature has chosen to delegate authority which justifies a default position of reasonableness review. The Court has in fact recognized this basis for applying the reasonableness standard to administrative decisions in the past. In </w:t>
      </w:r>
      <w:proofErr w:type="spellStart"/>
      <w:r w:rsidRPr="000821FA">
        <w:rPr>
          <w:rFonts w:cs="Times New Roman"/>
          <w:i/>
        </w:rPr>
        <w:t>Khosa</w:t>
      </w:r>
      <w:proofErr w:type="spellEnd"/>
      <w:r w:rsidRPr="000821FA">
        <w:rPr>
          <w:rFonts w:cs="Times New Roman"/>
        </w:rPr>
        <w:t xml:space="preserve">, for example, the majority understood </w:t>
      </w:r>
      <w:r w:rsidRPr="000821FA">
        <w:rPr>
          <w:rFonts w:cs="Times New Roman"/>
          <w:i/>
        </w:rPr>
        <w:t>Dunsmuir</w:t>
      </w:r>
      <w:r w:rsidRPr="000821FA">
        <w:rPr>
          <w:rFonts w:cs="Times New Roman"/>
        </w:rPr>
        <w:t xml:space="preserve"> to stand for the proposition that “</w:t>
      </w:r>
      <w:r w:rsidRPr="000821FA">
        <w:rPr>
          <w:rFonts w:cs="Times New Roman"/>
          <w:lang w:val="en"/>
        </w:rPr>
        <w:t xml:space="preserve">with or without a privative clause, a measure of deference has come to be accepted as appropriate where a particular decision had been allocated to an administrative decision-maker rather than to the courts”: para. 25. More recently, in </w:t>
      </w:r>
      <w:r w:rsidRPr="000821FA">
        <w:rPr>
          <w:rFonts w:cs="Times New Roman"/>
          <w:i/>
          <w:lang w:val="en"/>
        </w:rPr>
        <w:t>Edmonton East</w:t>
      </w:r>
      <w:r w:rsidRPr="000821FA">
        <w:rPr>
          <w:rFonts w:cs="Times New Roman"/>
          <w:lang w:val="en"/>
        </w:rPr>
        <w:t xml:space="preserve">, </w:t>
      </w:r>
      <w:proofErr w:type="spellStart"/>
      <w:r w:rsidRPr="000821FA">
        <w:rPr>
          <w:rFonts w:cs="Times New Roman"/>
          <w:lang w:val="en"/>
        </w:rPr>
        <w:t>Karakatsanis</w:t>
      </w:r>
      <w:proofErr w:type="spellEnd"/>
      <w:r w:rsidRPr="000821FA">
        <w:rPr>
          <w:rFonts w:cs="Times New Roman"/>
          <w:lang w:val="en"/>
        </w:rPr>
        <w:t xml:space="preserve"> J. explained that a presumption of reasonableness review “respects the principle of legislative supremacy and the choice made to delegate decision making to a tribunal, rather than </w:t>
      </w:r>
      <w:r w:rsidRPr="000821FA">
        <w:rPr>
          <w:rFonts w:cs="Times New Roman"/>
          <w:lang w:val="en"/>
        </w:rPr>
        <w:lastRenderedPageBreak/>
        <w:t>the courts”: para. 22.</w:t>
      </w:r>
      <w:r w:rsidRPr="000821FA">
        <w:rPr>
          <w:rFonts w:cs="Times New Roman"/>
          <w:i/>
          <w:lang w:val="en"/>
        </w:rPr>
        <w:t xml:space="preserve"> </w:t>
      </w:r>
      <w:r w:rsidRPr="000821FA">
        <w:rPr>
          <w:rFonts w:cs="Times New Roman"/>
          <w:lang w:val="en"/>
        </w:rPr>
        <w:t xml:space="preserve">And in </w:t>
      </w:r>
      <w:r w:rsidRPr="000821FA">
        <w:rPr>
          <w:rFonts w:cs="Times New Roman"/>
          <w:i/>
          <w:lang w:val="en"/>
        </w:rPr>
        <w:t>CHRC</w:t>
      </w:r>
      <w:r w:rsidRPr="000821FA">
        <w:rPr>
          <w:rFonts w:cs="Times New Roman"/>
          <w:lang w:val="en"/>
        </w:rPr>
        <w:t>,</w:t>
      </w:r>
      <w:r w:rsidRPr="000821FA">
        <w:rPr>
          <w:rFonts w:cs="Times New Roman"/>
          <w:i/>
          <w:lang w:val="en"/>
        </w:rPr>
        <w:t xml:space="preserve"> </w:t>
      </w:r>
      <w:proofErr w:type="spellStart"/>
      <w:r w:rsidRPr="000821FA">
        <w:rPr>
          <w:rFonts w:cs="Times New Roman"/>
          <w:lang w:val="en"/>
        </w:rPr>
        <w:t>Gascon</w:t>
      </w:r>
      <w:proofErr w:type="spellEnd"/>
      <w:r w:rsidRPr="000821FA">
        <w:rPr>
          <w:rFonts w:cs="Times New Roman"/>
          <w:lang w:val="en"/>
        </w:rPr>
        <w:t xml:space="preserve"> J. explained that “the fact that the legislature has allocated authority to a decision maker other than the courts is itself an indication that the legislature intended deferential review”: para. 50.</w:t>
      </w:r>
      <w:r w:rsidRPr="000821FA">
        <w:rPr>
          <w:rFonts w:cs="Times New Roman"/>
        </w:rPr>
        <w:t xml:space="preserve"> In other words, respect for this institutional design choice and the democratic principle, as well as the need for courts to avoid “undue interference” with the administrative decision maker’s discharge of its functions, is what justifies the presumptive application of the reasonableness standard: </w:t>
      </w:r>
      <w:r w:rsidRPr="000821FA">
        <w:rPr>
          <w:rFonts w:cs="Times New Roman"/>
          <w:i/>
        </w:rPr>
        <w:t>Dunsmuir</w:t>
      </w:r>
      <w:r w:rsidRPr="000821FA">
        <w:rPr>
          <w:rFonts w:cs="Times New Roman"/>
        </w:rPr>
        <w:t xml:space="preserve">, at para. 27.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We wish to emphasize that because these reasons adopt a presumption of reasonableness as the starting point, expertise is no longer relevant to a determination of the standard of review as it was in the contextual analysis. However, we are not doing away with the role of expertise in administrative decision making. This consideration is simply folded into the new starting point and, as explained below, expertise remains a relevant consideration in conducting</w:t>
      </w:r>
      <w:r w:rsidRPr="000821FA">
        <w:rPr>
          <w:rFonts w:cs="Times New Roman"/>
          <w:i/>
        </w:rPr>
        <w:t xml:space="preserve"> </w:t>
      </w:r>
      <w:r w:rsidRPr="000821FA">
        <w:rPr>
          <w:rFonts w:cs="Times New Roman"/>
        </w:rPr>
        <w:t xml:space="preserve">reasonableness review.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That being said, our starting position that the applicable standard of review is reasonableness is not incompatible with the rule of law. However, because this approach is grounded in respect for legislative choice, it also requires courts to give effect to clear legislative direction that a different standard was intended. Similarly, a reviewing court must be prepared to derogate from the presumption of reasonableness review where respect for the rule of law requires a singular, determinate and final answer to the question before it. Each of these situations will be discussed in turn below.</w:t>
      </w:r>
    </w:p>
    <w:p w:rsidR="008B0231" w:rsidRPr="000821FA" w:rsidRDefault="008B0231" w:rsidP="00B075BF">
      <w:pPr>
        <w:pStyle w:val="Title2LevelTitre2Niveau"/>
        <w:jc w:val="both"/>
        <w:rPr>
          <w:rFonts w:cs="Times New Roman"/>
        </w:rPr>
      </w:pPr>
      <w:r w:rsidRPr="000821FA">
        <w:rPr>
          <w:rFonts w:cs="Times New Roman"/>
        </w:rPr>
        <w:lastRenderedPageBreak/>
        <w:t xml:space="preserve">Derogation From the Presumption of Reasonableness Review on the Basis of Legislative Intent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This Court has described respect for legislative intent as the “polar star” of judicial review: </w:t>
      </w:r>
      <w:r w:rsidRPr="000821FA">
        <w:rPr>
          <w:rFonts w:cs="Times New Roman"/>
          <w:i/>
        </w:rPr>
        <w:t>C.U.P.E. v. Ontario (Minister of Labour)</w:t>
      </w:r>
      <w:r w:rsidRPr="000821FA">
        <w:rPr>
          <w:rFonts w:cs="Times New Roman"/>
        </w:rPr>
        <w:t xml:space="preserve">, 2003 SCC 29, </w:t>
      </w:r>
      <w:r w:rsidRPr="000821FA">
        <w:rPr>
          <w:rFonts w:cs="Times New Roman"/>
          <w:lang w:val="en"/>
        </w:rPr>
        <w:t xml:space="preserve">[2003] 1 S.C.R. 539, </w:t>
      </w:r>
      <w:r w:rsidRPr="000821FA">
        <w:rPr>
          <w:rFonts w:cs="Times New Roman"/>
        </w:rPr>
        <w:t xml:space="preserve">at para. 149. This description remains apt. The presumption of reasonableness review discussed above is intended to give effect to the legislature’s choice to leave certain matters with administrative decision makers rather than the courts. It follows that this presumption will be rebutted where a legislature has indicated that a different standard should apply. The legislature can do so in two ways. First, it may explicitly prescribe through statute what standard courts should apply when reviewing decisions of a particular administrative decision maker. Second, it may direct that derogation from the presumption of reasonableness review is appropriate by providing for a statutory appeal mechanism from an administrative decision maker to a court, thereby signalling the application of appellate standards. </w:t>
      </w:r>
    </w:p>
    <w:p w:rsidR="008B0231" w:rsidRPr="000821FA" w:rsidRDefault="008B0231" w:rsidP="008B0231">
      <w:pPr>
        <w:pStyle w:val="Title3LevelTitre3Niveau"/>
        <w:rPr>
          <w:rFonts w:cs="Times New Roman"/>
        </w:rPr>
      </w:pPr>
      <w:r w:rsidRPr="000821FA">
        <w:rPr>
          <w:rFonts w:cs="Times New Roman"/>
        </w:rPr>
        <w:t>Legislated Standards of Review</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Any framework rooted in legislative intent must, to the extent possible, respect clear statutory language that prescribes the applicable standard of review. This Court has consistently affirmed that legislated standards of review should be given effect: see, e.g., </w:t>
      </w:r>
      <w:r w:rsidRPr="000821FA">
        <w:rPr>
          <w:rFonts w:cs="Times New Roman"/>
          <w:i/>
        </w:rPr>
        <w:t>R. v. Owen</w:t>
      </w:r>
      <w:r w:rsidRPr="000821FA">
        <w:rPr>
          <w:rFonts w:cs="Times New Roman"/>
        </w:rPr>
        <w:t xml:space="preserve">, 2003 SCC 33, </w:t>
      </w:r>
      <w:r w:rsidRPr="000821FA">
        <w:rPr>
          <w:rFonts w:cs="Times New Roman"/>
          <w:lang w:val="en"/>
        </w:rPr>
        <w:t xml:space="preserve">[2003] 1 S.C.R. 779, </w:t>
      </w:r>
      <w:r w:rsidRPr="000821FA">
        <w:rPr>
          <w:rFonts w:cs="Times New Roman"/>
        </w:rPr>
        <w:t xml:space="preserve">at paras. 31-32; </w:t>
      </w:r>
      <w:proofErr w:type="spellStart"/>
      <w:r w:rsidRPr="000821FA">
        <w:rPr>
          <w:rFonts w:cs="Times New Roman"/>
          <w:i/>
        </w:rPr>
        <w:t>Khosa</w:t>
      </w:r>
      <w:proofErr w:type="spellEnd"/>
      <w:r w:rsidRPr="000821FA">
        <w:rPr>
          <w:rFonts w:cs="Times New Roman"/>
        </w:rPr>
        <w:t xml:space="preserve">, at paras. 18-19; </w:t>
      </w:r>
      <w:r w:rsidRPr="000821FA">
        <w:rPr>
          <w:rFonts w:cs="Times New Roman"/>
          <w:i/>
          <w:lang w:val="en-US"/>
        </w:rPr>
        <w:t xml:space="preserve">British Columbia (Workers’ Compensation Board) v. </w:t>
      </w:r>
      <w:proofErr w:type="spellStart"/>
      <w:r w:rsidRPr="000821FA">
        <w:rPr>
          <w:rFonts w:cs="Times New Roman"/>
          <w:i/>
          <w:lang w:val="en-US"/>
        </w:rPr>
        <w:t>Figliola</w:t>
      </w:r>
      <w:proofErr w:type="spellEnd"/>
      <w:r w:rsidRPr="000821FA">
        <w:rPr>
          <w:rFonts w:cs="Times New Roman"/>
          <w:lang w:val="en-US"/>
        </w:rPr>
        <w:t xml:space="preserve">, 2011 SCC 52, </w:t>
      </w:r>
      <w:r w:rsidRPr="000821FA">
        <w:rPr>
          <w:rFonts w:cs="Times New Roman"/>
          <w:caps/>
        </w:rPr>
        <w:t xml:space="preserve">[2011] 3 S.C.R. 422, </w:t>
      </w:r>
      <w:r w:rsidRPr="000821FA">
        <w:rPr>
          <w:rFonts w:cs="Times New Roman"/>
          <w:lang w:val="en-US"/>
        </w:rPr>
        <w:t>at para. 20;</w:t>
      </w:r>
      <w:r w:rsidRPr="000821FA">
        <w:rPr>
          <w:rFonts w:cs="Times New Roman"/>
        </w:rPr>
        <w:t xml:space="preserve"> </w:t>
      </w:r>
      <w:r w:rsidRPr="000821FA">
        <w:rPr>
          <w:rFonts w:cs="Times New Roman"/>
          <w:i/>
        </w:rPr>
        <w:t>Moore v. British Columbia (Education)</w:t>
      </w:r>
      <w:r w:rsidRPr="000821FA">
        <w:rPr>
          <w:rFonts w:cs="Times New Roman"/>
        </w:rPr>
        <w:t xml:space="preserve">, 2012 </w:t>
      </w:r>
      <w:r w:rsidRPr="000821FA">
        <w:rPr>
          <w:rFonts w:cs="Times New Roman"/>
        </w:rPr>
        <w:lastRenderedPageBreak/>
        <w:t xml:space="preserve">SCC 61, [2012] 3 S.C.R. 360, at para. 55; </w:t>
      </w:r>
      <w:r w:rsidRPr="000821FA">
        <w:rPr>
          <w:rFonts w:cs="Times New Roman"/>
          <w:i/>
        </w:rPr>
        <w:t xml:space="preserve">McCormick v. Fasken Martineau </w:t>
      </w:r>
      <w:proofErr w:type="spellStart"/>
      <w:r w:rsidRPr="000821FA">
        <w:rPr>
          <w:rFonts w:cs="Times New Roman"/>
          <w:i/>
        </w:rPr>
        <w:t>DuMoulin</w:t>
      </w:r>
      <w:proofErr w:type="spellEnd"/>
      <w:r w:rsidRPr="000821FA">
        <w:rPr>
          <w:rFonts w:cs="Times New Roman"/>
          <w:i/>
        </w:rPr>
        <w:t xml:space="preserve"> LLP</w:t>
      </w:r>
      <w:r w:rsidRPr="000821FA">
        <w:rPr>
          <w:rFonts w:cs="Times New Roman"/>
        </w:rPr>
        <w:t xml:space="preserve">, 2014 SCC 39, [2014] 2 S.C.R. 108, at para. 16; </w:t>
      </w:r>
      <w:r w:rsidRPr="000821FA">
        <w:rPr>
          <w:rFonts w:cs="Times New Roman"/>
          <w:i/>
          <w:lang w:val="en-US"/>
        </w:rPr>
        <w:t>British Columbia (Workers’ Compensation Appeal Tribunal) v. Fraser Health Authority</w:t>
      </w:r>
      <w:r w:rsidRPr="000821FA">
        <w:rPr>
          <w:rFonts w:cs="Times New Roman"/>
          <w:lang w:val="en-US"/>
        </w:rPr>
        <w:t xml:space="preserve">, 2016 SCC 25, </w:t>
      </w:r>
      <w:r w:rsidRPr="000821FA">
        <w:rPr>
          <w:rFonts w:cs="Times New Roman"/>
        </w:rPr>
        <w:t xml:space="preserve">[2016] 1 S.C.R. 587, </w:t>
      </w:r>
      <w:r w:rsidRPr="000821FA">
        <w:rPr>
          <w:rFonts w:cs="Times New Roman"/>
          <w:lang w:val="en-US"/>
        </w:rPr>
        <w:t>at</w:t>
      </w:r>
      <w:r w:rsidRPr="000821FA">
        <w:rPr>
          <w:rFonts w:cs="Times New Roman"/>
        </w:rPr>
        <w:t xml:space="preserve"> paras. 8 and 29; </w:t>
      </w:r>
      <w:r w:rsidRPr="000821FA">
        <w:rPr>
          <w:rFonts w:cs="Times New Roman"/>
          <w:i/>
        </w:rPr>
        <w:t xml:space="preserve">British Columbia Human Rights Tribunal v. </w:t>
      </w:r>
      <w:proofErr w:type="spellStart"/>
      <w:r w:rsidRPr="000821FA">
        <w:rPr>
          <w:rFonts w:cs="Times New Roman"/>
          <w:i/>
        </w:rPr>
        <w:t>Schrenk</w:t>
      </w:r>
      <w:proofErr w:type="spellEnd"/>
      <w:r w:rsidRPr="000821FA">
        <w:rPr>
          <w:rFonts w:cs="Times New Roman"/>
        </w:rPr>
        <w:t xml:space="preserve">, 2017 SCC 62, [2017] 2 S.C.R. 795, at para. 28.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It follows that where a legislature has indicated that courts are to apply the standard of correctness in reviewing certain questions, that standard must be applied. </w:t>
      </w:r>
      <w:r w:rsidRPr="000821FA">
        <w:rPr>
          <w:rFonts w:cs="Times New Roman"/>
          <w:lang w:val="en-US"/>
        </w:rPr>
        <w:t xml:space="preserve">In British </w:t>
      </w:r>
      <w:r w:rsidRPr="000F2034">
        <w:rPr>
          <w:rFonts w:cs="Times New Roman"/>
        </w:rPr>
        <w:t>Columbia</w:t>
      </w:r>
      <w:r w:rsidRPr="000821FA">
        <w:rPr>
          <w:rFonts w:cs="Times New Roman"/>
          <w:lang w:val="en-US"/>
        </w:rPr>
        <w:t xml:space="preserve">, the legislature has established the applicable standard of review for many tribunals by reference to the </w:t>
      </w:r>
      <w:r w:rsidRPr="000821FA">
        <w:rPr>
          <w:rFonts w:cs="Times New Roman"/>
          <w:i/>
          <w:lang w:val="en-US"/>
        </w:rPr>
        <w:t>Administrative Tribunals Act</w:t>
      </w:r>
      <w:r w:rsidRPr="000821FA">
        <w:rPr>
          <w:rFonts w:cs="Times New Roman"/>
          <w:lang w:val="en-US"/>
        </w:rPr>
        <w:t xml:space="preserve">, S.B.C. 2004, </w:t>
      </w:r>
      <w:proofErr w:type="gramStart"/>
      <w:r w:rsidRPr="000821FA">
        <w:rPr>
          <w:rFonts w:cs="Times New Roman"/>
          <w:lang w:val="en-US"/>
        </w:rPr>
        <w:t>c</w:t>
      </w:r>
      <w:proofErr w:type="gramEnd"/>
      <w:r w:rsidRPr="000821FA">
        <w:rPr>
          <w:rFonts w:cs="Times New Roman"/>
          <w:lang w:val="en-US"/>
        </w:rPr>
        <w:t xml:space="preserve">. 45: see ss. 58 and 59. For example, it has provided that the standard of review applicable to decisions on questions of statutory interpretation by </w:t>
      </w:r>
      <w:r w:rsidRPr="000821FA">
        <w:rPr>
          <w:rFonts w:cs="Times New Roman"/>
          <w:lang w:val="en-US" w:bidi="en-US"/>
        </w:rPr>
        <w:t xml:space="preserve">the B.C. Human Rights Tribunal </w:t>
      </w:r>
      <w:r w:rsidRPr="000821FA">
        <w:rPr>
          <w:rFonts w:cs="Times New Roman"/>
          <w:lang w:val="en-US"/>
        </w:rPr>
        <w:t xml:space="preserve">is to be correctness: </w:t>
      </w:r>
      <w:proofErr w:type="gramStart"/>
      <w:r w:rsidRPr="000821FA">
        <w:rPr>
          <w:rFonts w:cs="Times New Roman"/>
          <w:i/>
          <w:lang w:val="en-US"/>
        </w:rPr>
        <w:t>ibid.</w:t>
      </w:r>
      <w:r w:rsidRPr="000821FA">
        <w:rPr>
          <w:rFonts w:cs="Times New Roman"/>
          <w:lang w:val="en-US"/>
        </w:rPr>
        <w:t>,</w:t>
      </w:r>
      <w:proofErr w:type="gramEnd"/>
      <w:r w:rsidRPr="000821FA">
        <w:rPr>
          <w:rFonts w:cs="Times New Roman"/>
          <w:lang w:val="en-US"/>
        </w:rPr>
        <w:t xml:space="preserve"> s. 59(1); </w:t>
      </w:r>
      <w:r w:rsidRPr="000821FA">
        <w:rPr>
          <w:rFonts w:cs="Times New Roman"/>
          <w:i/>
        </w:rPr>
        <w:t>Human Rights Code</w:t>
      </w:r>
      <w:r w:rsidRPr="000821FA">
        <w:rPr>
          <w:rFonts w:cs="Times New Roman"/>
        </w:rPr>
        <w:t xml:space="preserve">, R.S.B.C. 1996, c. 210, </w:t>
      </w:r>
      <w:r w:rsidRPr="000821FA">
        <w:rPr>
          <w:rFonts w:cs="Times New Roman"/>
          <w:lang w:val="en-US"/>
        </w:rPr>
        <w:t xml:space="preserve">s. 32. </w:t>
      </w:r>
      <w:r w:rsidRPr="000821FA">
        <w:rPr>
          <w:rFonts w:cs="Times New Roman"/>
        </w:rPr>
        <w:t>We continue to be of the view that where the legislature has indicated the applicable standard of review, courts are bound to respect that designation, within the limi</w:t>
      </w:r>
      <w:r w:rsidR="00484BDB">
        <w:rPr>
          <w:rFonts w:cs="Times New Roman"/>
        </w:rPr>
        <w:t>ts imposed by the rule of law.</w:t>
      </w:r>
    </w:p>
    <w:p w:rsidR="008B0231" w:rsidRPr="000821FA" w:rsidRDefault="008B0231" w:rsidP="008B0231">
      <w:pPr>
        <w:pStyle w:val="Title3LevelTitre3Niveau"/>
        <w:numPr>
          <w:ilvl w:val="2"/>
          <w:numId w:val="3"/>
        </w:numPr>
        <w:rPr>
          <w:rFonts w:cs="Times New Roman"/>
        </w:rPr>
      </w:pPr>
      <w:r w:rsidRPr="000821FA">
        <w:rPr>
          <w:rFonts w:cs="Times New Roman"/>
        </w:rPr>
        <w:t>Statutory Appeal Mechanisms</w:t>
      </w:r>
    </w:p>
    <w:p w:rsidR="008B0231" w:rsidRPr="000821FA" w:rsidRDefault="008B0231" w:rsidP="000F2034">
      <w:pPr>
        <w:pStyle w:val="ParaNoNdepar-AltN"/>
        <w:tabs>
          <w:tab w:val="clear" w:pos="1166"/>
          <w:tab w:val="clear" w:pos="1422"/>
          <w:tab w:val="num" w:pos="1152"/>
        </w:tabs>
        <w:ind w:left="0"/>
        <w:rPr>
          <w:rFonts w:cs="Times New Roman"/>
          <w:lang w:val="en-US"/>
        </w:rPr>
      </w:pPr>
      <w:r w:rsidRPr="000821FA">
        <w:rPr>
          <w:rFonts w:cs="Times New Roman"/>
        </w:rPr>
        <w:t xml:space="preserve">We have reaffirmed that, to the extent possible, the standard of review analysis requires courts to give effect to the legislature’s institutional design choices to delegate authority through statute. In our view, this principled position also requires courts to give effect to the legislature’s intent, signalled by the presence of a statutory appeal mechanism from an administrative decision to a </w:t>
      </w:r>
      <w:proofErr w:type="gramStart"/>
      <w:r w:rsidRPr="000821FA">
        <w:rPr>
          <w:rFonts w:cs="Times New Roman"/>
        </w:rPr>
        <w:t>court, that</w:t>
      </w:r>
      <w:proofErr w:type="gramEnd"/>
      <w:r w:rsidRPr="000821FA">
        <w:rPr>
          <w:rFonts w:cs="Times New Roman"/>
        </w:rPr>
        <w:t xml:space="preserve"> the court is to </w:t>
      </w:r>
      <w:r w:rsidRPr="000821FA">
        <w:rPr>
          <w:rFonts w:cs="Times New Roman"/>
        </w:rPr>
        <w:lastRenderedPageBreak/>
        <w:t xml:space="preserve">perform an appellate function with respect to that decision. Just as a legislature may, within constitutional limits, insulate administrative decisions from judicial interference, it may also choose to establish a regime “which does not exclude the courts but rather makes them part of the enforcement machinery”: </w:t>
      </w:r>
      <w:r w:rsidRPr="000821FA">
        <w:rPr>
          <w:rFonts w:cs="Times New Roman"/>
          <w:i/>
        </w:rPr>
        <w:t xml:space="preserve">Seneca College of Applied Arts and Technology v. </w:t>
      </w:r>
      <w:proofErr w:type="spellStart"/>
      <w:r w:rsidRPr="000821FA">
        <w:rPr>
          <w:rFonts w:cs="Times New Roman"/>
          <w:i/>
        </w:rPr>
        <w:t>Bhadauria</w:t>
      </w:r>
      <w:proofErr w:type="spellEnd"/>
      <w:r w:rsidRPr="000821FA">
        <w:rPr>
          <w:rFonts w:cs="Times New Roman"/>
        </w:rPr>
        <w:t>, [1981] 2 S.C.R. 181, at p. 195. Where a legislature has provided that parties may</w:t>
      </w:r>
      <w:r w:rsidRPr="000821FA">
        <w:rPr>
          <w:rFonts w:cs="Times New Roman"/>
          <w:bCs/>
          <w:iCs/>
        </w:rPr>
        <w:t xml:space="preserve"> appeal from an administrative decision to a court, </w:t>
      </w:r>
      <w:proofErr w:type="gramStart"/>
      <w:r w:rsidRPr="000821FA">
        <w:rPr>
          <w:rFonts w:cs="Times New Roman"/>
          <w:bCs/>
          <w:iCs/>
        </w:rPr>
        <w:t>either as of right or with leave,</w:t>
      </w:r>
      <w:r w:rsidRPr="000821FA" w:rsidDel="000F72D4">
        <w:rPr>
          <w:rFonts w:cs="Times New Roman"/>
        </w:rPr>
        <w:t xml:space="preserve"> </w:t>
      </w:r>
      <w:r w:rsidRPr="000821FA">
        <w:rPr>
          <w:rFonts w:cs="Times New Roman"/>
        </w:rPr>
        <w:t xml:space="preserve">it has </w:t>
      </w:r>
      <w:r w:rsidRPr="000821FA">
        <w:rPr>
          <w:rFonts w:cs="Times New Roman"/>
          <w:bCs/>
          <w:iCs/>
        </w:rPr>
        <w:t>subjected the administrative regime to appellate oversight and</w:t>
      </w:r>
      <w:proofErr w:type="gramEnd"/>
      <w:r w:rsidRPr="000821FA">
        <w:rPr>
          <w:rFonts w:cs="Times New Roman"/>
          <w:bCs/>
          <w:iCs/>
        </w:rPr>
        <w:t xml:space="preserve"> </w:t>
      </w:r>
      <w:r w:rsidRPr="000821FA">
        <w:rPr>
          <w:rFonts w:cs="Times New Roman"/>
        </w:rPr>
        <w:t>indicated that it expects</w:t>
      </w:r>
      <w:r w:rsidRPr="000821FA">
        <w:rPr>
          <w:rFonts w:cs="Times New Roman"/>
          <w:i/>
        </w:rPr>
        <w:t xml:space="preserve"> </w:t>
      </w:r>
      <w:r w:rsidRPr="000821FA">
        <w:rPr>
          <w:rFonts w:cs="Times New Roman"/>
        </w:rPr>
        <w:t xml:space="preserve">the court to scrutinize such administrative decisions on an appellate basis. This expressed intention necessarily rebuts the blanket presumption of reasonableness review, which is premised on giving effect to a legislature’s decision to leave certain issues with a body other than a court. </w:t>
      </w:r>
      <w:r w:rsidRPr="000821FA">
        <w:rPr>
          <w:rFonts w:cs="Times New Roman"/>
          <w:lang w:val="en-US"/>
        </w:rPr>
        <w:t xml:space="preserve">This intention should be given effect. As noted by the intervener Attorney General of Quebec in </w:t>
      </w:r>
      <w:r w:rsidR="004418FB">
        <w:rPr>
          <w:rFonts w:cs="Times New Roman"/>
          <w:lang w:val="en-US"/>
        </w:rPr>
        <w:t>her</w:t>
      </w:r>
      <w:r w:rsidRPr="000821FA">
        <w:rPr>
          <w:rFonts w:cs="Times New Roman"/>
          <w:lang w:val="en-US"/>
        </w:rPr>
        <w:t xml:space="preserve"> factum, [</w:t>
      </w:r>
      <w:r w:rsidRPr="000821FA">
        <w:rPr>
          <w:rFonts w:cs="Times New Roman"/>
          <w:smallCaps/>
          <w:lang w:val="en-US"/>
        </w:rPr>
        <w:t>translation</w:t>
      </w:r>
      <w:r w:rsidRPr="000821FA">
        <w:rPr>
          <w:rFonts w:cs="Times New Roman"/>
          <w:lang w:val="en-US"/>
        </w:rPr>
        <w:t>] “[t]</w:t>
      </w:r>
      <w:proofErr w:type="gramStart"/>
      <w:r w:rsidRPr="000821FA">
        <w:rPr>
          <w:rFonts w:cs="Times New Roman"/>
          <w:lang w:val="en-US"/>
        </w:rPr>
        <w:t>he</w:t>
      </w:r>
      <w:proofErr w:type="gramEnd"/>
      <w:r w:rsidRPr="000821FA">
        <w:rPr>
          <w:rFonts w:cs="Times New Roman"/>
          <w:lang w:val="en-US"/>
        </w:rPr>
        <w:t xml:space="preserve"> requirement of deference must not sterilize such an appeal mechanism to the point that it changes the nature of the decision-making process the legislature intended to put in place”: para. 2.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It should therefore be recognized that, where the legislature has provided for an appeal from an administrative decision to a court, a court hearing such an appeal is to apply appellate standards of review to the decision. This means that the applicable standard is to be determined with reference to the nature of the question and to this Court’s jurisprudence on appellate standards of review. Where, for example, a court is hearing an appeal from an administrative decision, it would, in considering questions of law, including questions of statutory interpretation and those concerning the scope </w:t>
      </w:r>
      <w:r w:rsidRPr="000821FA">
        <w:rPr>
          <w:rFonts w:cs="Times New Roman"/>
        </w:rPr>
        <w:lastRenderedPageBreak/>
        <w:t>of a decision maker’s authority, apply the standard of correctness in accordance with</w:t>
      </w:r>
      <w:r w:rsidRPr="000821FA">
        <w:rPr>
          <w:rFonts w:cs="Times New Roman"/>
          <w:i/>
        </w:rPr>
        <w:t xml:space="preserve"> </w:t>
      </w:r>
      <w:proofErr w:type="spellStart"/>
      <w:r w:rsidRPr="000821FA">
        <w:rPr>
          <w:rFonts w:cs="Times New Roman"/>
          <w:i/>
        </w:rPr>
        <w:t>Housen</w:t>
      </w:r>
      <w:proofErr w:type="spellEnd"/>
      <w:r w:rsidRPr="000821FA">
        <w:rPr>
          <w:rFonts w:cs="Times New Roman"/>
          <w:i/>
        </w:rPr>
        <w:t xml:space="preserve"> v. </w:t>
      </w:r>
      <w:proofErr w:type="spellStart"/>
      <w:r w:rsidRPr="000821FA">
        <w:rPr>
          <w:rFonts w:cs="Times New Roman"/>
          <w:i/>
        </w:rPr>
        <w:t>Nikolaisen</w:t>
      </w:r>
      <w:proofErr w:type="spellEnd"/>
      <w:r w:rsidRPr="000821FA">
        <w:rPr>
          <w:rFonts w:cs="Times New Roman"/>
        </w:rPr>
        <w:t xml:space="preserve">, 2002 SCC 33, [2002] 2 S.C.R. 235, at para. 8. Where the scope of the statutory appeal includes questions of fact, the appellate standard of review for those questions is palpable and overriding error (as it is for questions of mixed fact and law where the legal principle is not readily extricable): see </w:t>
      </w:r>
      <w:proofErr w:type="spellStart"/>
      <w:r w:rsidRPr="000821FA">
        <w:rPr>
          <w:rFonts w:cs="Times New Roman"/>
          <w:i/>
        </w:rPr>
        <w:t>Housen</w:t>
      </w:r>
      <w:proofErr w:type="spellEnd"/>
      <w:r w:rsidRPr="000821FA">
        <w:rPr>
          <w:rFonts w:cs="Times New Roman"/>
        </w:rPr>
        <w:t xml:space="preserve">, at paras. 10, 19 and 26-37. </w:t>
      </w:r>
      <w:r w:rsidRPr="000821FA">
        <w:rPr>
          <w:rFonts w:cs="Times New Roman"/>
          <w:lang w:val="en"/>
        </w:rPr>
        <w:t>Of course, should a legislature intend that a different standard of review apply in a statutory appeal, it is always free to make that intention known by prescribing the applicable standard through statute.</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We acknowledge that giving effect to statutory appeal mechanisms in this way departs from the Court’s recent jurisprudence. However, after careful consideration, we are of the view that this shift is necessary in order to bring coherence and conceptual balance to the standard of review analysis and is justified by a weighing of the values of certainty and correctness: </w:t>
      </w:r>
      <w:r w:rsidRPr="000821FA">
        <w:rPr>
          <w:rFonts w:cs="Times New Roman"/>
          <w:i/>
        </w:rPr>
        <w:t>Craig</w:t>
      </w:r>
      <w:r w:rsidRPr="000821FA">
        <w:rPr>
          <w:rFonts w:cs="Times New Roman"/>
        </w:rPr>
        <w:t>, at para. 27. Our conclusion is based on the following considerations.</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eastAsia="Times New Roman" w:cs="Times New Roman"/>
          <w:szCs w:val="24"/>
          <w:lang w:eastAsia="en-CA"/>
        </w:rPr>
        <w:t xml:space="preserve">First, there has been significant judicial and academic criticism of this Court’s recent approach to statutory appeal rights: see, e.g., </w:t>
      </w:r>
      <w:r w:rsidRPr="000821FA">
        <w:rPr>
          <w:rFonts w:cs="Times New Roman"/>
        </w:rPr>
        <w:t xml:space="preserve">Y.-M. </w:t>
      </w:r>
      <w:proofErr w:type="spellStart"/>
      <w:r w:rsidRPr="000821FA">
        <w:rPr>
          <w:rFonts w:cs="Times New Roman"/>
        </w:rPr>
        <w:t>Morissette</w:t>
      </w:r>
      <w:proofErr w:type="spellEnd"/>
      <w:r w:rsidRPr="000821FA">
        <w:rPr>
          <w:rFonts w:cs="Times New Roman"/>
        </w:rPr>
        <w:t xml:space="preserve">, “What is a ‘reasonable decision’?” (2018), 31 </w:t>
      </w:r>
      <w:r w:rsidRPr="000821FA">
        <w:rPr>
          <w:rFonts w:cs="Times New Roman"/>
          <w:i/>
        </w:rPr>
        <w:t xml:space="preserve">C.J.A.L.P. </w:t>
      </w:r>
      <w:r w:rsidRPr="000821FA">
        <w:rPr>
          <w:rFonts w:cs="Times New Roman"/>
        </w:rPr>
        <w:t xml:space="preserve">225, at p. 244; </w:t>
      </w:r>
      <w:r w:rsidRPr="000821FA">
        <w:rPr>
          <w:rFonts w:cs="Times New Roman"/>
          <w:lang w:val="en-US"/>
        </w:rPr>
        <w:t>the Hon. J.</w:t>
      </w:r>
      <w:r w:rsidR="00DD521C">
        <w:rPr>
          <w:rFonts w:cs="Times New Roman"/>
          <w:lang w:val="en-US"/>
        </w:rPr>
        <w:t> </w:t>
      </w:r>
      <w:r w:rsidRPr="000821FA">
        <w:rPr>
          <w:rFonts w:cs="Times New Roman"/>
          <w:lang w:val="en-US"/>
        </w:rPr>
        <w:t>T.</w:t>
      </w:r>
      <w:r w:rsidR="00DD521C">
        <w:rPr>
          <w:rFonts w:cs="Times New Roman"/>
          <w:lang w:val="en-US"/>
        </w:rPr>
        <w:t xml:space="preserve"> </w:t>
      </w:r>
      <w:r w:rsidRPr="000821FA">
        <w:rPr>
          <w:rFonts w:cs="Times New Roman"/>
        </w:rPr>
        <w:t xml:space="preserve">Robertson, </w:t>
      </w:r>
      <w:r w:rsidRPr="000821FA">
        <w:rPr>
          <w:rFonts w:cs="Times New Roman"/>
          <w:i/>
        </w:rPr>
        <w:t>Administrative Deference: The Canadian Doctrine that Continues to Disappoint</w:t>
      </w:r>
      <w:r w:rsidRPr="000821FA">
        <w:rPr>
          <w:rFonts w:cs="Times New Roman"/>
        </w:rPr>
        <w:t xml:space="preserve"> (April 18, 2018) (online), at p. 8; the Hon. D. </w:t>
      </w:r>
      <w:proofErr w:type="spellStart"/>
      <w:r w:rsidRPr="000821FA">
        <w:rPr>
          <w:rFonts w:cs="Times New Roman"/>
        </w:rPr>
        <w:t>Stratas</w:t>
      </w:r>
      <w:proofErr w:type="spellEnd"/>
      <w:r w:rsidRPr="000821FA">
        <w:rPr>
          <w:rFonts w:cs="Times New Roman"/>
        </w:rPr>
        <w:t xml:space="preserve">, “The Canadian Law of Judicial Review: A Plea for Doctrinal Coherence and Consistency” (2016), 42 </w:t>
      </w:r>
      <w:r w:rsidRPr="000821FA">
        <w:rPr>
          <w:rFonts w:cs="Times New Roman"/>
          <w:i/>
        </w:rPr>
        <w:t>Queen’s L.J.</w:t>
      </w:r>
      <w:r w:rsidRPr="000821FA">
        <w:rPr>
          <w:rFonts w:cs="Times New Roman"/>
        </w:rPr>
        <w:t xml:space="preserve"> 27, at p. 33; </w:t>
      </w:r>
      <w:r w:rsidRPr="000821FA">
        <w:rPr>
          <w:rFonts w:cs="Times New Roman"/>
          <w:lang w:val="en-US"/>
        </w:rPr>
        <w:t xml:space="preserve">Daly, at pp. 541-42; </w:t>
      </w:r>
      <w:r w:rsidRPr="000821FA">
        <w:rPr>
          <w:rFonts w:cs="Times New Roman"/>
          <w:i/>
          <w:lang w:val="en-US"/>
        </w:rPr>
        <w:t>Québec (</w:t>
      </w:r>
      <w:proofErr w:type="spellStart"/>
      <w:r w:rsidRPr="000821FA">
        <w:rPr>
          <w:rFonts w:cs="Times New Roman"/>
          <w:i/>
          <w:lang w:val="en-US"/>
        </w:rPr>
        <w:t>Procureure</w:t>
      </w:r>
      <w:proofErr w:type="spellEnd"/>
      <w:r w:rsidRPr="000821FA">
        <w:rPr>
          <w:rFonts w:cs="Times New Roman"/>
          <w:i/>
          <w:lang w:val="en-US"/>
        </w:rPr>
        <w:t xml:space="preserve"> </w:t>
      </w:r>
      <w:proofErr w:type="spellStart"/>
      <w:r w:rsidRPr="000821FA">
        <w:rPr>
          <w:rFonts w:cs="Times New Roman"/>
          <w:i/>
          <w:lang w:val="en-US"/>
        </w:rPr>
        <w:t>générale</w:t>
      </w:r>
      <w:proofErr w:type="spellEnd"/>
      <w:r w:rsidRPr="000821FA">
        <w:rPr>
          <w:rFonts w:cs="Times New Roman"/>
          <w:i/>
          <w:lang w:val="en-US"/>
        </w:rPr>
        <w:t xml:space="preserve">) v. </w:t>
      </w:r>
      <w:r w:rsidRPr="000821FA">
        <w:rPr>
          <w:rFonts w:cs="Times New Roman"/>
          <w:i/>
          <w:lang w:val="en-US"/>
        </w:rPr>
        <w:lastRenderedPageBreak/>
        <w:t>Montréal (Ville)</w:t>
      </w:r>
      <w:r w:rsidRPr="000821FA">
        <w:rPr>
          <w:rFonts w:cs="Times New Roman"/>
          <w:lang w:val="en-US"/>
        </w:rPr>
        <w:t>, 2016 QCCA 2108, 17 Admin. L.R. (6th) 328, at paras. 36-46;</w:t>
      </w:r>
      <w:r w:rsidRPr="000821FA">
        <w:rPr>
          <w:rFonts w:cs="Times New Roman"/>
          <w:i/>
          <w:lang w:val="en-US"/>
        </w:rPr>
        <w:t xml:space="preserve"> </w:t>
      </w:r>
      <w:r w:rsidRPr="000821FA">
        <w:rPr>
          <w:rFonts w:cs="Times New Roman"/>
          <w:i/>
        </w:rPr>
        <w:t>Bell Canada v. 726</w:t>
      </w:r>
      <w:r w:rsidR="00951FA7">
        <w:rPr>
          <w:rFonts w:cs="Times New Roman"/>
          <w:i/>
        </w:rPr>
        <w:t>2591</w:t>
      </w:r>
      <w:r w:rsidRPr="000821FA">
        <w:rPr>
          <w:rFonts w:cs="Times New Roman"/>
          <w:i/>
        </w:rPr>
        <w:t xml:space="preserve"> Canada Ltd.</w:t>
      </w:r>
      <w:r w:rsidRPr="000821FA">
        <w:rPr>
          <w:rFonts w:cs="Times New Roman"/>
        </w:rPr>
        <w:t xml:space="preserve">, 2018 FCA 174, 428 D.L.R. (4th) 311, at paras. 190-92, per </w:t>
      </w:r>
      <w:proofErr w:type="spellStart"/>
      <w:r w:rsidRPr="000821FA">
        <w:rPr>
          <w:rFonts w:cs="Times New Roman"/>
        </w:rPr>
        <w:t>Nadon</w:t>
      </w:r>
      <w:proofErr w:type="spellEnd"/>
      <w:r w:rsidRPr="000821FA">
        <w:rPr>
          <w:rFonts w:cs="Times New Roman"/>
        </w:rPr>
        <w:t xml:space="preserve"> J.A., concurring, and at </w:t>
      </w:r>
      <w:r w:rsidR="00101177">
        <w:rPr>
          <w:rFonts w:cs="Times New Roman"/>
        </w:rPr>
        <w:t xml:space="preserve">paras. </w:t>
      </w:r>
      <w:r w:rsidRPr="000821FA">
        <w:rPr>
          <w:rFonts w:cs="Times New Roman"/>
        </w:rPr>
        <w:t xml:space="preserve">66 and 69-72, per Rennie J.A., dissenting; </w:t>
      </w:r>
      <w:r w:rsidRPr="000821FA">
        <w:rPr>
          <w:rFonts w:cs="Times New Roman"/>
          <w:i/>
        </w:rPr>
        <w:t>Garneau Community League v. Edmonton (City)</w:t>
      </w:r>
      <w:r w:rsidRPr="000821FA">
        <w:rPr>
          <w:rFonts w:cs="Times New Roman"/>
        </w:rPr>
        <w:t xml:space="preserve">, 2017 ABCA 374, </w:t>
      </w:r>
      <w:r w:rsidRPr="000821FA">
        <w:rPr>
          <w:rStyle w:val="nowrap"/>
          <w:rFonts w:cs="Times New Roman"/>
          <w:lang w:val="en"/>
        </w:rPr>
        <w:t>60 Alta. L.R. (6th) 1,</w:t>
      </w:r>
      <w:r w:rsidRPr="000821FA">
        <w:rPr>
          <w:rFonts w:cs="Times New Roman"/>
        </w:rPr>
        <w:t xml:space="preserve"> at paras. 91 and 93-95, per </w:t>
      </w:r>
      <w:proofErr w:type="spellStart"/>
      <w:r w:rsidRPr="000821FA">
        <w:rPr>
          <w:rFonts w:cs="Times New Roman"/>
        </w:rPr>
        <w:t>Slatter</w:t>
      </w:r>
      <w:proofErr w:type="spellEnd"/>
      <w:r w:rsidRPr="000821FA">
        <w:rPr>
          <w:rFonts w:cs="Times New Roman"/>
        </w:rPr>
        <w:t xml:space="preserve"> J.A., concurring; </w:t>
      </w:r>
      <w:r w:rsidRPr="000821FA">
        <w:rPr>
          <w:rFonts w:cs="Times New Roman"/>
          <w:i/>
        </w:rPr>
        <w:t>Nova Scotia (Attorney General) v. S&amp;D Smith Central Supplies Limited</w:t>
      </w:r>
      <w:r w:rsidRPr="000821FA">
        <w:rPr>
          <w:rFonts w:cs="Times New Roman"/>
        </w:rPr>
        <w:t>, 2019 NSCA 22, at paras. 250, 255</w:t>
      </w:r>
      <w:r w:rsidRPr="000821FA">
        <w:rPr>
          <w:rFonts w:cs="Times New Roman"/>
        </w:rPr>
        <w:noBreakHyphen/>
        <w:t>64 and 274</w:t>
      </w:r>
      <w:r w:rsidRPr="000821FA">
        <w:rPr>
          <w:rFonts w:cs="Times New Roman"/>
        </w:rPr>
        <w:noBreakHyphen/>
        <w:t>302 (</w:t>
      </w:r>
      <w:proofErr w:type="spellStart"/>
      <w:r w:rsidRPr="000821FA">
        <w:rPr>
          <w:rFonts w:cs="Times New Roman"/>
        </w:rPr>
        <w:t>CanLII</w:t>
      </w:r>
      <w:proofErr w:type="spellEnd"/>
      <w:r w:rsidRPr="000821FA">
        <w:rPr>
          <w:rFonts w:cs="Times New Roman"/>
        </w:rPr>
        <w:t xml:space="preserve">), per Beveridge J.A., dissenting; </w:t>
      </w:r>
      <w:r w:rsidRPr="000821FA">
        <w:rPr>
          <w:rFonts w:cs="Times New Roman"/>
          <w:i/>
        </w:rPr>
        <w:t>Atlantic Mining NS Corp. (D.D.V. Gold Limited) v. Oakley</w:t>
      </w:r>
      <w:r w:rsidRPr="000821FA">
        <w:rPr>
          <w:rFonts w:cs="Times New Roman"/>
        </w:rPr>
        <w:t>, 2019 NSCA 14, at paras. 9-14 (</w:t>
      </w:r>
      <w:proofErr w:type="spellStart"/>
      <w:r w:rsidRPr="000821FA">
        <w:rPr>
          <w:rFonts w:cs="Times New Roman"/>
        </w:rPr>
        <w:t>CanLII</w:t>
      </w:r>
      <w:proofErr w:type="spellEnd"/>
      <w:r w:rsidRPr="000821FA">
        <w:rPr>
          <w:rFonts w:cs="Times New Roman"/>
        </w:rPr>
        <w:t>)</w:t>
      </w:r>
      <w:r w:rsidRPr="000821FA">
        <w:rPr>
          <w:rFonts w:eastAsia="Times New Roman" w:cs="Times New Roman"/>
          <w:szCs w:val="24"/>
          <w:lang w:eastAsia="en-CA"/>
        </w:rPr>
        <w:t xml:space="preserve">. These critiques seize on the inconsistency inherent in a standard of review framework based on legislative intent that otherwise declines to give meaning to an express statutory right of appeal. This criticism observes that legislative choice is not one-dimensional; rather, it pulls in two directions. While </w:t>
      </w:r>
      <w:r>
        <w:rPr>
          <w:rFonts w:eastAsia="Times New Roman" w:cs="Times New Roman"/>
          <w:szCs w:val="24"/>
          <w:lang w:eastAsia="en-CA"/>
        </w:rPr>
        <w:t xml:space="preserve">a </w:t>
      </w:r>
      <w:r w:rsidRPr="000821FA">
        <w:rPr>
          <w:rFonts w:eastAsia="Times New Roman" w:cs="Times New Roman"/>
          <w:szCs w:val="24"/>
          <w:lang w:eastAsia="en-CA"/>
        </w:rPr>
        <w:t xml:space="preserve">legislative choice to delegate to an administrative decision maker grounds a presumption of reasonableness on the one hand, a legislative choice to enact a statutory right of appeal signals an intention to ascribe an appellate role to reviewing courts on the other hand.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eastAsia="Times New Roman" w:cs="Times New Roman"/>
          <w:szCs w:val="24"/>
          <w:lang w:eastAsia="en-CA"/>
        </w:rPr>
        <w:t xml:space="preserve">This </w:t>
      </w:r>
      <w:r w:rsidRPr="000F2034">
        <w:rPr>
          <w:rFonts w:cs="Times New Roman"/>
        </w:rPr>
        <w:t>Court</w:t>
      </w:r>
      <w:r w:rsidRPr="000821FA">
        <w:rPr>
          <w:rFonts w:eastAsia="Times New Roman" w:cs="Times New Roman"/>
          <w:szCs w:val="24"/>
          <w:lang w:eastAsia="en-CA"/>
        </w:rPr>
        <w:t xml:space="preserve"> has in the past held that the existence of </w:t>
      </w:r>
      <w:r w:rsidRPr="000821FA">
        <w:rPr>
          <w:rFonts w:eastAsia="Times New Roman" w:cs="Times New Roman"/>
          <w:szCs w:val="24"/>
          <w:lang w:val="en" w:eastAsia="en-CA"/>
        </w:rPr>
        <w:t xml:space="preserve">significant and valid judicial, academic and other criticism of its jurisprudence may justify reconsideration of a precedent: </w:t>
      </w:r>
      <w:r w:rsidRPr="000821FA">
        <w:rPr>
          <w:rFonts w:eastAsia="Times New Roman" w:cs="Times New Roman"/>
          <w:i/>
          <w:szCs w:val="24"/>
          <w:lang w:val="en" w:eastAsia="en-CA"/>
        </w:rPr>
        <w:t>Craig</w:t>
      </w:r>
      <w:r w:rsidRPr="000821FA">
        <w:rPr>
          <w:rFonts w:eastAsia="Times New Roman" w:cs="Times New Roman"/>
          <w:szCs w:val="24"/>
          <w:lang w:val="en" w:eastAsia="en-CA"/>
        </w:rPr>
        <w:t xml:space="preserve">, at para. 29; </w:t>
      </w:r>
      <w:r w:rsidRPr="000821FA">
        <w:rPr>
          <w:rFonts w:cs="Times New Roman"/>
          <w:i/>
          <w:lang w:val="en-US"/>
        </w:rPr>
        <w:t>R. v. Robinson</w:t>
      </w:r>
      <w:r w:rsidRPr="000821FA">
        <w:rPr>
          <w:rFonts w:cs="Times New Roman"/>
          <w:lang w:val="en-US"/>
        </w:rPr>
        <w:t>, [1996] 1 S.C.R. 683, at paras. 35-41</w:t>
      </w:r>
      <w:r w:rsidRPr="000821FA">
        <w:rPr>
          <w:rFonts w:eastAsia="Times New Roman" w:cs="Times New Roman"/>
          <w:szCs w:val="24"/>
          <w:lang w:val="en" w:eastAsia="en-CA"/>
        </w:rPr>
        <w:t xml:space="preserve">. </w:t>
      </w:r>
      <w:proofErr w:type="gramStart"/>
      <w:r w:rsidRPr="000821FA">
        <w:rPr>
          <w:rFonts w:eastAsia="Times New Roman" w:cs="Times New Roman"/>
          <w:szCs w:val="24"/>
          <w:lang w:val="en" w:eastAsia="en-CA"/>
        </w:rPr>
        <w:t>This</w:t>
      </w:r>
      <w:proofErr w:type="gramEnd"/>
      <w:r w:rsidRPr="000821FA">
        <w:rPr>
          <w:rFonts w:eastAsia="Times New Roman" w:cs="Times New Roman"/>
          <w:szCs w:val="24"/>
          <w:lang w:val="en" w:eastAsia="en-CA"/>
        </w:rPr>
        <w:t xml:space="preserve"> consideration applies in the instant case. In particular, the suggestion that the recent treatment of statutory rights of appeal represents a departure from the conceptual basis underpinning the standard of review framework is itself a compelling reason to </w:t>
      </w:r>
      <w:r w:rsidRPr="000821FA">
        <w:rPr>
          <w:rFonts w:eastAsia="Times New Roman" w:cs="Times New Roman"/>
          <w:szCs w:val="24"/>
          <w:lang w:val="en" w:eastAsia="en-CA"/>
        </w:rPr>
        <w:lastRenderedPageBreak/>
        <w:t xml:space="preserve">re-examine the current approach: </w:t>
      </w:r>
      <w:proofErr w:type="spellStart"/>
      <w:r w:rsidRPr="000821FA">
        <w:rPr>
          <w:rFonts w:eastAsia="Times New Roman" w:cs="Times New Roman"/>
          <w:i/>
          <w:szCs w:val="24"/>
          <w:lang w:val="en" w:eastAsia="en-CA"/>
        </w:rPr>
        <w:t>Khosa</w:t>
      </w:r>
      <w:proofErr w:type="spellEnd"/>
      <w:r w:rsidRPr="000821FA">
        <w:rPr>
          <w:rFonts w:eastAsia="Times New Roman" w:cs="Times New Roman"/>
          <w:szCs w:val="24"/>
          <w:lang w:val="en" w:eastAsia="en-CA"/>
        </w:rPr>
        <w:t>, at para. 87, per Rothstein J., con</w:t>
      </w:r>
      <w:r w:rsidR="00D05C73">
        <w:rPr>
          <w:rFonts w:eastAsia="Times New Roman" w:cs="Times New Roman"/>
          <w:szCs w:val="24"/>
          <w:lang w:val="en" w:eastAsia="en-CA"/>
        </w:rPr>
        <w:t>curring in the result.</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Second, there is no satisfactory justification for the recent trend in this Court’s jurisprudence to give no effect to statutory rights of appeal in the standard of review analysis absent exceptional wording: see </w:t>
      </w:r>
      <w:r w:rsidRPr="000821FA">
        <w:rPr>
          <w:rFonts w:cs="Times New Roman"/>
          <w:i/>
        </w:rPr>
        <w:t>Tervita Corp. v. Canada (Commissioner of Competition)</w:t>
      </w:r>
      <w:r w:rsidRPr="000821FA">
        <w:rPr>
          <w:rFonts w:cs="Times New Roman"/>
        </w:rPr>
        <w:t>, 2015 SCC 3, [2015] 1 S.C.R. 161, at paras. 35-39. Indeed, this approach is itself a departure from earlier jurisprudence</w:t>
      </w:r>
      <w:r w:rsidRPr="000821FA">
        <w:rPr>
          <w:rFonts w:cs="Times New Roman"/>
          <w:lang w:val="en-US"/>
        </w:rPr>
        <w:t>: the Hon. J.</w:t>
      </w:r>
      <w:r>
        <w:rPr>
          <w:rFonts w:cs="Times New Roman"/>
          <w:lang w:val="en-US"/>
        </w:rPr>
        <w:t> </w:t>
      </w:r>
      <w:r w:rsidRPr="000821FA">
        <w:rPr>
          <w:rFonts w:cs="Times New Roman"/>
          <w:lang w:val="en-US"/>
        </w:rPr>
        <w:t>T.</w:t>
      </w:r>
      <w:r>
        <w:rPr>
          <w:rFonts w:cs="Times New Roman"/>
          <w:lang w:val="en-US"/>
        </w:rPr>
        <w:t> </w:t>
      </w:r>
      <w:r w:rsidRPr="000821FA">
        <w:rPr>
          <w:rFonts w:cs="Times New Roman"/>
          <w:lang w:val="en-US"/>
        </w:rPr>
        <w:t xml:space="preserve">Robertson, “Judicial Deference to Administrative Tribunals: A Guide to 60 Years of Supreme Court Jurisprudence” (2014), 66 </w:t>
      </w:r>
      <w:r w:rsidRPr="000821FA">
        <w:rPr>
          <w:rFonts w:cs="Times New Roman"/>
          <w:i/>
          <w:lang w:val="en-US"/>
        </w:rPr>
        <w:t>S.C.L.R.</w:t>
      </w:r>
      <w:r w:rsidRPr="000821FA">
        <w:rPr>
          <w:rFonts w:cs="Times New Roman"/>
          <w:lang w:val="en-US"/>
        </w:rPr>
        <w:t xml:space="preserve"> (2d) 1, at pp. 91-93</w:t>
      </w:r>
      <w:r w:rsidRPr="000821FA">
        <w:rPr>
          <w:rFonts w:cs="Times New Roman"/>
        </w:rPr>
        <w:t xml:space="preserve">. </w:t>
      </w:r>
      <w:r w:rsidRPr="000821FA">
        <w:rPr>
          <w:rFonts w:cs="Times New Roman"/>
          <w:lang w:bidi="en-US"/>
        </w:rPr>
        <w:t>Under the former “pragmatic and functional” approach to determining the applicable standard of review</w:t>
      </w:r>
      <w:r w:rsidRPr="000821FA">
        <w:rPr>
          <w:rFonts w:cs="Times New Roman"/>
        </w:rPr>
        <w:t>, the existence of a privative clause or a statutory right of appeal was one of four contextual factors that a court would consider in order to determine the standard that the legislature intended to apply to a particular decision. Although a statutory appeal clause was not determinative, it was understood to be a key factor indicating that the legislature intended that a less deferential standard of review be applied</w:t>
      </w:r>
      <w:r w:rsidRPr="000821FA">
        <w:rPr>
          <w:rFonts w:cs="Times New Roman"/>
          <w:lang w:val="en"/>
        </w:rPr>
        <w:t>:</w:t>
      </w:r>
      <w:r w:rsidRPr="000821FA">
        <w:rPr>
          <w:rFonts w:cs="Times New Roman"/>
        </w:rPr>
        <w:t xml:space="preserve"> see, e.g., </w:t>
      </w:r>
      <w:proofErr w:type="spellStart"/>
      <w:r w:rsidRPr="000821FA">
        <w:rPr>
          <w:rFonts w:cs="Times New Roman"/>
          <w:i/>
          <w:lang w:val="en"/>
        </w:rPr>
        <w:t>Pezim</w:t>
      </w:r>
      <w:proofErr w:type="spellEnd"/>
      <w:r w:rsidRPr="000821FA">
        <w:rPr>
          <w:rFonts w:cs="Times New Roman"/>
        </w:rPr>
        <w:t>, at pp. 589-92;</w:t>
      </w:r>
      <w:r w:rsidRPr="000821FA">
        <w:rPr>
          <w:rFonts w:cs="Times New Roman"/>
          <w:i/>
        </w:rPr>
        <w:t xml:space="preserve"> </w:t>
      </w:r>
      <w:r w:rsidRPr="000821FA">
        <w:rPr>
          <w:rFonts w:cs="Times New Roman"/>
          <w:i/>
          <w:spacing w:val="-3"/>
          <w:lang w:val="en"/>
        </w:rPr>
        <w:t xml:space="preserve">British Columbia Telephone Co. </w:t>
      </w:r>
      <w:r w:rsidRPr="000821FA">
        <w:rPr>
          <w:rFonts w:cs="Times New Roman"/>
          <w:i/>
          <w:iCs/>
          <w:spacing w:val="-3"/>
          <w:lang w:val="en"/>
        </w:rPr>
        <w:t>v.</w:t>
      </w:r>
      <w:r w:rsidRPr="000821FA">
        <w:rPr>
          <w:rFonts w:cs="Times New Roman"/>
          <w:i/>
          <w:spacing w:val="-3"/>
          <w:lang w:val="en"/>
        </w:rPr>
        <w:t xml:space="preserve"> Shaw Cable Systems (B.C.) Ltd.</w:t>
      </w:r>
      <w:r w:rsidRPr="000821FA">
        <w:rPr>
          <w:rFonts w:cs="Times New Roman"/>
          <w:spacing w:val="-3"/>
          <w:lang w:val="en"/>
        </w:rPr>
        <w:t>, [1995] 2 S.C.R. 739, at paras. 28-31;</w:t>
      </w:r>
      <w:r w:rsidRPr="000821FA">
        <w:rPr>
          <w:rFonts w:cs="Times New Roman"/>
          <w:i/>
          <w:spacing w:val="-3"/>
          <w:lang w:val="en"/>
        </w:rPr>
        <w:t xml:space="preserve"> </w:t>
      </w:r>
      <w:proofErr w:type="spellStart"/>
      <w:r w:rsidRPr="000821FA">
        <w:rPr>
          <w:rFonts w:cs="Times New Roman"/>
          <w:i/>
          <w:spacing w:val="-3"/>
          <w:lang w:val="en"/>
        </w:rPr>
        <w:t>Southam</w:t>
      </w:r>
      <w:proofErr w:type="spellEnd"/>
      <w:r w:rsidRPr="000821FA">
        <w:rPr>
          <w:rFonts w:cs="Times New Roman"/>
        </w:rPr>
        <w:t xml:space="preserve">, at paras. 30-32, 46 and 54-55; </w:t>
      </w:r>
      <w:proofErr w:type="spellStart"/>
      <w:r w:rsidRPr="000821FA">
        <w:rPr>
          <w:rFonts w:cs="Times New Roman"/>
          <w:i/>
          <w:lang w:val="en"/>
        </w:rPr>
        <w:t>Pushpanathan</w:t>
      </w:r>
      <w:proofErr w:type="spellEnd"/>
      <w:r w:rsidRPr="000821FA">
        <w:rPr>
          <w:rFonts w:cs="Times New Roman"/>
          <w:lang w:val="en"/>
        </w:rPr>
        <w:t>,</w:t>
      </w:r>
      <w:r w:rsidRPr="000821FA">
        <w:rPr>
          <w:rFonts w:cs="Times New Roman"/>
          <w:i/>
          <w:lang w:val="en"/>
        </w:rPr>
        <w:t xml:space="preserve"> </w:t>
      </w:r>
      <w:r w:rsidRPr="000821FA">
        <w:rPr>
          <w:rFonts w:cs="Times New Roman"/>
        </w:rPr>
        <w:t xml:space="preserve">at paras. 30-31; </w:t>
      </w:r>
      <w:r w:rsidRPr="000821FA">
        <w:rPr>
          <w:rFonts w:cs="Times New Roman"/>
          <w:i/>
        </w:rPr>
        <w:t>Dr. Q</w:t>
      </w:r>
      <w:r w:rsidRPr="000821FA">
        <w:rPr>
          <w:rFonts w:cs="Times New Roman"/>
        </w:rPr>
        <w:t xml:space="preserve">, at para. 27; </w:t>
      </w:r>
      <w:r w:rsidRPr="000821FA">
        <w:rPr>
          <w:rFonts w:cs="Times New Roman"/>
          <w:i/>
        </w:rPr>
        <w:t>Mattel</w:t>
      </w:r>
      <w:r w:rsidRPr="000821FA">
        <w:rPr>
          <w:rFonts w:cs="Times New Roman"/>
        </w:rPr>
        <w:t>, at paras. 26-27;</w:t>
      </w:r>
      <w:r w:rsidRPr="000821FA">
        <w:rPr>
          <w:rFonts w:cs="Times New Roman"/>
          <w:i/>
          <w:iCs/>
          <w:lang w:val="en"/>
        </w:rPr>
        <w:t xml:space="preserve"> Law Society of New Brunswick v. Ryan</w:t>
      </w:r>
      <w:r w:rsidRPr="000821FA">
        <w:rPr>
          <w:rFonts w:cs="Times New Roman"/>
          <w:lang w:val="en"/>
        </w:rPr>
        <w:t xml:space="preserve">, 2003 SCC 20, [2003] 1 S.C.R. 247, at paras. 21 and 27-29; </w:t>
      </w:r>
      <w:r w:rsidRPr="000821FA">
        <w:rPr>
          <w:rFonts w:cs="Times New Roman"/>
          <w:i/>
          <w:lang w:val="en"/>
        </w:rPr>
        <w:t xml:space="preserve">Barrie Public Utilities </w:t>
      </w:r>
      <w:r w:rsidRPr="000821FA">
        <w:rPr>
          <w:rFonts w:cs="Times New Roman"/>
          <w:i/>
          <w:iCs/>
          <w:lang w:val="en"/>
        </w:rPr>
        <w:t>v.</w:t>
      </w:r>
      <w:r w:rsidRPr="000821FA">
        <w:rPr>
          <w:rFonts w:cs="Times New Roman"/>
          <w:i/>
          <w:lang w:val="en"/>
        </w:rPr>
        <w:t xml:space="preserve"> Canadian Cable Television Assn.</w:t>
      </w:r>
      <w:r w:rsidRPr="000821FA">
        <w:rPr>
          <w:rFonts w:cs="Times New Roman"/>
          <w:lang w:val="en"/>
        </w:rPr>
        <w:t xml:space="preserve">, 2003 SCC 28, [2003] 1 S.C.R. 476, at para. 11; </w:t>
      </w:r>
      <w:r w:rsidRPr="000821FA">
        <w:rPr>
          <w:rFonts w:cs="Times New Roman"/>
          <w:i/>
          <w:lang w:val="en"/>
        </w:rPr>
        <w:t xml:space="preserve">Monsanto Canada Inc. </w:t>
      </w:r>
      <w:r w:rsidRPr="000821FA">
        <w:rPr>
          <w:rFonts w:cs="Times New Roman"/>
          <w:i/>
          <w:iCs/>
          <w:lang w:val="en"/>
        </w:rPr>
        <w:t>v.</w:t>
      </w:r>
      <w:r w:rsidRPr="000821FA">
        <w:rPr>
          <w:rFonts w:cs="Times New Roman"/>
          <w:i/>
          <w:lang w:val="en"/>
        </w:rPr>
        <w:t xml:space="preserve"> Ontario (Superintendent of Financial Services)</w:t>
      </w:r>
      <w:r w:rsidRPr="000821FA">
        <w:rPr>
          <w:rFonts w:cs="Times New Roman"/>
          <w:lang w:val="en"/>
        </w:rPr>
        <w:t>, 2004 SCC 54, [2004] 3 S.C.R. 152, at para. 7</w:t>
      </w:r>
      <w:r w:rsidRPr="000821FA">
        <w:rPr>
          <w:rFonts w:cs="Times New Roman"/>
        </w:rPr>
        <w:t xml:space="preserve">.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lastRenderedPageBreak/>
        <w:t xml:space="preserve">The Court did indeed sometimes find that, even in a statutory appeal, a deferential standard of review was warranted for the legal findings of a decision maker that lay at the heart of the decision maker’s expertise: see, e.g., </w:t>
      </w:r>
      <w:proofErr w:type="spellStart"/>
      <w:r w:rsidRPr="000821FA">
        <w:rPr>
          <w:rFonts w:cs="Times New Roman"/>
          <w:i/>
        </w:rPr>
        <w:t>Pezim</w:t>
      </w:r>
      <w:proofErr w:type="spellEnd"/>
      <w:r w:rsidRPr="000821FA">
        <w:rPr>
          <w:rFonts w:cs="Times New Roman"/>
        </w:rPr>
        <w:t xml:space="preserve">. In other instances, however, the Court concluded that the existence of a statutory appeal mechanism and the fact that the decision maker did not have greater expertise than a court on the issue being considered indicated that correctness was the appropriate standard, including on matters involving the interpretation of the administrative decision maker’s home statute: see, e.g., </w:t>
      </w:r>
      <w:r w:rsidRPr="000821FA">
        <w:rPr>
          <w:rFonts w:cs="Times New Roman"/>
          <w:i/>
        </w:rPr>
        <w:t>Mattel</w:t>
      </w:r>
      <w:r w:rsidRPr="000821FA">
        <w:rPr>
          <w:rFonts w:cs="Times New Roman"/>
        </w:rPr>
        <w:t>, at paras. 26-33;</w:t>
      </w:r>
      <w:r w:rsidRPr="000821FA">
        <w:rPr>
          <w:rFonts w:cs="Times New Roman"/>
          <w:i/>
          <w:lang w:val="en"/>
        </w:rPr>
        <w:t xml:space="preserve"> Barrie Public Utilities</w:t>
      </w:r>
      <w:r w:rsidRPr="000821FA">
        <w:rPr>
          <w:rFonts w:cs="Times New Roman"/>
          <w:lang w:val="en"/>
        </w:rPr>
        <w:t>, at paras. 9-19;</w:t>
      </w:r>
      <w:r w:rsidRPr="000821FA">
        <w:rPr>
          <w:rFonts w:cs="Times New Roman"/>
        </w:rPr>
        <w:t xml:space="preserve"> </w:t>
      </w:r>
      <w:r w:rsidRPr="000821FA">
        <w:rPr>
          <w:rFonts w:cs="Times New Roman"/>
          <w:i/>
        </w:rPr>
        <w:t>Monsanto</w:t>
      </w:r>
      <w:r w:rsidRPr="000821FA">
        <w:rPr>
          <w:rFonts w:cs="Times New Roman"/>
        </w:rPr>
        <w:t>, at paras. 6-16.</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Yet as, in </w:t>
      </w:r>
      <w:r w:rsidRPr="000821FA">
        <w:rPr>
          <w:rFonts w:cs="Times New Roman"/>
          <w:i/>
        </w:rPr>
        <w:t>Dunsmuir</w:t>
      </w:r>
      <w:r w:rsidRPr="000821FA">
        <w:rPr>
          <w:rFonts w:cs="Times New Roman"/>
        </w:rPr>
        <w:t>,</w:t>
      </w:r>
      <w:r w:rsidRPr="000821FA">
        <w:rPr>
          <w:rFonts w:cs="Times New Roman"/>
          <w:i/>
        </w:rPr>
        <w:t xml:space="preserve"> Alberta Teachers</w:t>
      </w:r>
      <w:r w:rsidRPr="000821FA">
        <w:rPr>
          <w:rFonts w:cs="Times New Roman"/>
        </w:rPr>
        <w:t xml:space="preserve">, </w:t>
      </w:r>
      <w:r w:rsidRPr="000821FA">
        <w:rPr>
          <w:rFonts w:cs="Times New Roman"/>
          <w:i/>
        </w:rPr>
        <w:t>Edmonton East</w:t>
      </w:r>
      <w:r w:rsidRPr="000821FA">
        <w:rPr>
          <w:rFonts w:cs="Times New Roman"/>
        </w:rPr>
        <w:t xml:space="preserve"> and subsequent cases, the standard of review analysis was simplified and shifted from a contextual analysis to an approach more focused on categories, statutory appeal mechanisms ceased to play a role in the analysis. Although this simplification of the standard of review analysis may have been a laudable change, it did not justify ceasing to give </w:t>
      </w:r>
      <w:r w:rsidRPr="000821FA">
        <w:rPr>
          <w:rFonts w:cs="Times New Roman"/>
          <w:i/>
        </w:rPr>
        <w:t>any</w:t>
      </w:r>
      <w:r w:rsidRPr="000821FA">
        <w:rPr>
          <w:rFonts w:cs="Times New Roman"/>
        </w:rPr>
        <w:t xml:space="preserve"> effect to statutory appeal mechanisms. </w:t>
      </w:r>
      <w:r w:rsidRPr="000821FA">
        <w:rPr>
          <w:rFonts w:cs="Times New Roman"/>
          <w:i/>
        </w:rPr>
        <w:t xml:space="preserve">Dunsmuir </w:t>
      </w:r>
      <w:r w:rsidRPr="000821FA">
        <w:rPr>
          <w:rFonts w:cs="Times New Roman"/>
        </w:rPr>
        <w:t xml:space="preserve">itself provides little guidance on the rationale for this change. The majority in </w:t>
      </w:r>
      <w:r w:rsidRPr="000821FA">
        <w:rPr>
          <w:rFonts w:cs="Times New Roman"/>
          <w:i/>
        </w:rPr>
        <w:t>Dunsmuir</w:t>
      </w:r>
      <w:r w:rsidRPr="000821FA">
        <w:rPr>
          <w:rFonts w:cs="Times New Roman"/>
        </w:rPr>
        <w:t xml:space="preserve"> was silent on the role of a statutory right of appeal in determining the standard of review, and did not refer to the prior treatment of statutory rights of appeal under the pragmatic and functional approach.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More generally, there is no convincing reason to presume that legislatures mean something entirely different when they use the word “appeal” in an administrative law statute than they do in, for example, a criminal or commercial law </w:t>
      </w:r>
      <w:r w:rsidRPr="000821FA">
        <w:rPr>
          <w:rFonts w:cs="Times New Roman"/>
        </w:rPr>
        <w:lastRenderedPageBreak/>
        <w:t xml:space="preserve">context. Accepting that the word “appeal” refers to the same type of procedure in all these contexts also accords with the presumption of consistent expression, according to which the legislature is presumed to use language such that the same words have the same meaning both within a statute and across statutes: </w:t>
      </w:r>
      <w:r w:rsidRPr="000821FA">
        <w:rPr>
          <w:rFonts w:cs="Times New Roman"/>
          <w:lang w:val="en"/>
        </w:rPr>
        <w:t>R. Sullivan,</w:t>
      </w:r>
      <w:r w:rsidRPr="000821FA">
        <w:rPr>
          <w:rFonts w:cs="Times New Roman"/>
          <w:i/>
          <w:iCs/>
          <w:lang w:val="en"/>
        </w:rPr>
        <w:t xml:space="preserve"> Sullivan on the Construction of Statutes</w:t>
      </w:r>
      <w:r w:rsidRPr="000821FA">
        <w:rPr>
          <w:rFonts w:cs="Times New Roman"/>
          <w:lang w:val="en"/>
        </w:rPr>
        <w:t xml:space="preserve"> (6th ed. 2014)</w:t>
      </w:r>
      <w:r w:rsidRPr="000821FA">
        <w:rPr>
          <w:rFonts w:cs="Times New Roman"/>
        </w:rPr>
        <w:t xml:space="preserve">, at p. 217. Accepting that the legislature intends an appellate standard of review to be applied when it uses the word “appeal” also helps to explain why many statutes provide for </w:t>
      </w:r>
      <w:r w:rsidRPr="000821FA">
        <w:rPr>
          <w:rFonts w:cs="Times New Roman"/>
          <w:i/>
        </w:rPr>
        <w:t xml:space="preserve">both </w:t>
      </w:r>
      <w:r w:rsidRPr="000821FA">
        <w:rPr>
          <w:rFonts w:cs="Times New Roman"/>
        </w:rPr>
        <w:t xml:space="preserve">appeal and judicial review mechanisms in different contexts, thereby indicating two roles for reviewing courts: see, e.g., </w:t>
      </w:r>
      <w:r w:rsidRPr="000821FA">
        <w:rPr>
          <w:rFonts w:cs="Times New Roman"/>
          <w:i/>
        </w:rPr>
        <w:t>Federal Courts Act</w:t>
      </w:r>
      <w:r w:rsidRPr="000821FA">
        <w:rPr>
          <w:rFonts w:cs="Times New Roman"/>
        </w:rPr>
        <w:t>, R.S.C. 1985, c. F-7, ss. 27 and 28. This offers further support for giving effect to statutory rights of appeal. Our colleagues’ suggestion that our position in this regard “hinges” on what they call a “</w:t>
      </w:r>
      <w:proofErr w:type="spellStart"/>
      <w:r w:rsidRPr="000821FA">
        <w:rPr>
          <w:rFonts w:cs="Times New Roman"/>
        </w:rPr>
        <w:t>textualist</w:t>
      </w:r>
      <w:proofErr w:type="spellEnd"/>
      <w:r w:rsidRPr="000821FA">
        <w:rPr>
          <w:rFonts w:cs="Times New Roman"/>
        </w:rPr>
        <w:t xml:space="preserve"> argument” (at para. 246) is inaccurate.</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That there is no principled rationale for ignoring statutory appeal mechanisms becomes obvious when the broader context of those mechanisms is considered. The existence of a limited right of appeal, such as a right of appeal on questions of law or a right of appeal with leave of a court, does not preclude a court from considering other aspects of a decision in a judicial review proceeding. However, if the same standards of review applied regardless of whether a question was covered by the appeal provision, and regardless of whether an individual subject to an administrative decision was granted leave to appeal or applied for judicial review, the appeal provision would be completely redundant — contrary to the well-established </w:t>
      </w:r>
      <w:r w:rsidRPr="000821FA">
        <w:rPr>
          <w:rFonts w:cs="Times New Roman"/>
        </w:rPr>
        <w:lastRenderedPageBreak/>
        <w:t xml:space="preserve">principle that the legislature does not speak in vain: </w:t>
      </w:r>
      <w:r w:rsidRPr="000821FA">
        <w:rPr>
          <w:rFonts w:cs="Times New Roman"/>
          <w:i/>
          <w:iCs/>
        </w:rPr>
        <w:t xml:space="preserve">Attorney General of Quebec v. </w:t>
      </w:r>
      <w:proofErr w:type="spellStart"/>
      <w:r w:rsidRPr="000821FA">
        <w:rPr>
          <w:rFonts w:cs="Times New Roman"/>
          <w:i/>
          <w:iCs/>
        </w:rPr>
        <w:t>Carrières</w:t>
      </w:r>
      <w:proofErr w:type="spellEnd"/>
      <w:r w:rsidRPr="000821FA">
        <w:rPr>
          <w:rFonts w:cs="Times New Roman"/>
          <w:i/>
          <w:iCs/>
        </w:rPr>
        <w:t xml:space="preserve"> </w:t>
      </w:r>
      <w:proofErr w:type="spellStart"/>
      <w:r w:rsidRPr="000821FA">
        <w:rPr>
          <w:rFonts w:cs="Times New Roman"/>
          <w:i/>
          <w:iCs/>
        </w:rPr>
        <w:t>Ste-Thérèse</w:t>
      </w:r>
      <w:proofErr w:type="spellEnd"/>
      <w:r w:rsidRPr="000821FA">
        <w:rPr>
          <w:rFonts w:cs="Times New Roman"/>
          <w:i/>
          <w:iCs/>
        </w:rPr>
        <w:t xml:space="preserve"> </w:t>
      </w:r>
      <w:proofErr w:type="spellStart"/>
      <w:r w:rsidRPr="000821FA">
        <w:rPr>
          <w:rFonts w:cs="Times New Roman"/>
          <w:i/>
          <w:iCs/>
        </w:rPr>
        <w:t>Ltée</w:t>
      </w:r>
      <w:proofErr w:type="spellEnd"/>
      <w:r w:rsidRPr="000821FA">
        <w:rPr>
          <w:rFonts w:cs="Times New Roman"/>
        </w:rPr>
        <w:t xml:space="preserve">, [1985] 1 S.C.R. 831, at p. 838.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Finally, and most crucially, the appeals now before the Court have allowed for a comprehensive and considered examination of the standard of review analysis with the goal of remedying the conceptual and practical difficulties that have made this area of the law challenging for litigants and courts alike. To achieve this goal, the revised framework must, for at least two reasons, give effect to statutory appeal mechanisms. The first reason is conceptual. In the past, this Court has looked past an appeal clause primarily when the decision maker possessed greater relative expertise — what it </w:t>
      </w:r>
      <w:r w:rsidRPr="000821FA">
        <w:rPr>
          <w:rFonts w:cs="Times New Roman"/>
          <w:lang w:bidi="en-US"/>
        </w:rPr>
        <w:t xml:space="preserve">called the “specialization of duties” principle </w:t>
      </w:r>
      <w:r w:rsidRPr="000821FA">
        <w:rPr>
          <w:rFonts w:cs="Times New Roman"/>
        </w:rPr>
        <w:t xml:space="preserve">in </w:t>
      </w:r>
      <w:proofErr w:type="spellStart"/>
      <w:r w:rsidRPr="000821FA">
        <w:rPr>
          <w:rFonts w:cs="Times New Roman"/>
          <w:i/>
        </w:rPr>
        <w:t>Pezim</w:t>
      </w:r>
      <w:proofErr w:type="spellEnd"/>
      <w:r w:rsidRPr="000821FA">
        <w:rPr>
          <w:rFonts w:cs="Times New Roman"/>
        </w:rPr>
        <w:t>,</w:t>
      </w:r>
      <w:r w:rsidRPr="000821FA">
        <w:rPr>
          <w:rFonts w:cs="Times New Roman"/>
          <w:lang w:bidi="en-US"/>
        </w:rPr>
        <w:t xml:space="preserve"> </w:t>
      </w:r>
      <w:r w:rsidRPr="000821FA">
        <w:rPr>
          <w:rFonts w:cs="Times New Roman"/>
        </w:rPr>
        <w:t>at p. 591. But, as discussed above, the presumption of reasonableness review is no longer premised upon notions of relative expertise. Instead, it is now based on respect for the legislature’s institutional design choice, according to which the authority to make a decision is vested in an administrative decision maker rather than in a court. It would be inconsistent with this conceptual basis for the presumption of reasonableness review to disregard clear indications that the legislature has intentionally chosen a more involved role for the courts. Just as recognizing a presumption of reasonableness review on all questions respects a legislature’s choice to leave some matters first and foremost to an administrative decision maker, departing from that blanket presumption in the context of a statutory appeal respects the legislature’s choice of a more involved role for the courts in supervising administrative decision making.</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lastRenderedPageBreak/>
        <w:t xml:space="preserve">The second reason is that, building on developments in the case law over the past several years, this decision conclusively closes the door on the application of a contextual analysis to determine the applicable standard, and in doing so streamlines and simplifies the standard of review framework. With the elimination of the contextual approach to selecting the standard of review, the need for statutory rights of appeal to play a role becomes clearer. Eliminating the contextual approach means that statutory rights of appeal must now either play no role in administrative law or be accepted as directing a departure from the default position of reasonableness review. The latter must prevail.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Our colleagues agree that the time has come to put the contextual approach espoused in </w:t>
      </w:r>
      <w:r w:rsidRPr="000821FA">
        <w:rPr>
          <w:rFonts w:cs="Times New Roman"/>
          <w:i/>
        </w:rPr>
        <w:t>Dunsmuir</w:t>
      </w:r>
      <w:r w:rsidRPr="000821FA">
        <w:rPr>
          <w:rFonts w:cs="Times New Roman"/>
        </w:rPr>
        <w:t xml:space="preserve"> to rest and adopt a presumption of reasonableness review. We part company on the extent to which the departure from the contextual approach requires corresponding modifications to other aspects of the standard of review jurisprudence. We consider that the elimination of the contextual approach represents an incremental yet important adjustment to Canada’s judicial review roots. While it is true that this Court has, in the past several years of jurisprudential development, warned that the contextual approach should be applied “sparingly” (</w:t>
      </w:r>
      <w:r w:rsidRPr="000821FA">
        <w:rPr>
          <w:rFonts w:cs="Times New Roman"/>
          <w:i/>
        </w:rPr>
        <w:t>CHRC</w:t>
      </w:r>
      <w:r w:rsidRPr="000821FA">
        <w:rPr>
          <w:rFonts w:cs="Times New Roman"/>
        </w:rPr>
        <w:t xml:space="preserve">, at para. 46), it is incorrect to suggest that our jurisprudence was such that the elimination of the contextual analysis was “all but complete”: reasons of </w:t>
      </w:r>
      <w:proofErr w:type="spellStart"/>
      <w:r w:rsidRPr="000821FA">
        <w:rPr>
          <w:rFonts w:cs="Times New Roman"/>
        </w:rPr>
        <w:t>Abella</w:t>
      </w:r>
      <w:proofErr w:type="spellEnd"/>
      <w:r w:rsidRPr="000821FA">
        <w:rPr>
          <w:rFonts w:cs="Times New Roman"/>
        </w:rPr>
        <w:t xml:space="preserve"> and </w:t>
      </w:r>
      <w:proofErr w:type="spellStart"/>
      <w:r w:rsidRPr="000821FA">
        <w:rPr>
          <w:rFonts w:cs="Times New Roman"/>
        </w:rPr>
        <w:t>Karakatsanis</w:t>
      </w:r>
      <w:proofErr w:type="spellEnd"/>
      <w:r w:rsidRPr="000821FA">
        <w:rPr>
          <w:rFonts w:cs="Times New Roman"/>
        </w:rPr>
        <w:t xml:space="preserve"> JJ., at para. 277; see, in this regard, </w:t>
      </w:r>
      <w:r w:rsidRPr="000821FA">
        <w:rPr>
          <w:rFonts w:cs="Times New Roman"/>
          <w:i/>
        </w:rPr>
        <w:t>CHRC</w:t>
      </w:r>
      <w:r w:rsidRPr="000821FA">
        <w:rPr>
          <w:rFonts w:cs="Times New Roman"/>
        </w:rPr>
        <w:t xml:space="preserve">, at paras. 44-54; </w:t>
      </w:r>
      <w:r w:rsidRPr="000821FA">
        <w:rPr>
          <w:rFonts w:cs="Times New Roman"/>
          <w:i/>
        </w:rPr>
        <w:t>Saguenay</w:t>
      </w:r>
      <w:r w:rsidRPr="000821FA">
        <w:rPr>
          <w:rFonts w:cs="Times New Roman"/>
        </w:rPr>
        <w:t xml:space="preserve">, at para. 46; </w:t>
      </w:r>
      <w:r w:rsidRPr="000821FA">
        <w:rPr>
          <w:rFonts w:cs="Times New Roman"/>
          <w:i/>
        </w:rPr>
        <w:t>Tervita</w:t>
      </w:r>
      <w:r w:rsidRPr="000821FA">
        <w:rPr>
          <w:rFonts w:cs="Times New Roman"/>
        </w:rPr>
        <w:t xml:space="preserve">, at para. 35; </w:t>
      </w:r>
      <w:r w:rsidRPr="000821FA">
        <w:rPr>
          <w:rFonts w:cs="Times New Roman"/>
          <w:i/>
        </w:rPr>
        <w:t>McLean</w:t>
      </w:r>
      <w:r w:rsidRPr="000821FA">
        <w:rPr>
          <w:rFonts w:cs="Times New Roman"/>
        </w:rPr>
        <w:t xml:space="preserve">, at para. 22; </w:t>
      </w:r>
      <w:r w:rsidRPr="000821FA">
        <w:rPr>
          <w:rFonts w:cs="Times New Roman"/>
          <w:i/>
        </w:rPr>
        <w:t>Edmonton East</w:t>
      </w:r>
      <w:r w:rsidRPr="000821FA">
        <w:rPr>
          <w:rFonts w:cs="Times New Roman"/>
        </w:rPr>
        <w:t xml:space="preserve">, at para. 32; </w:t>
      </w:r>
      <w:r w:rsidRPr="000821FA">
        <w:rPr>
          <w:rFonts w:cs="Times New Roman"/>
          <w:i/>
        </w:rPr>
        <w:t>Rogers Communications Inc. v. Society of Composers, Authors and Music Publishers of Canada</w:t>
      </w:r>
      <w:r w:rsidRPr="000821FA">
        <w:rPr>
          <w:rFonts w:cs="Times New Roman"/>
        </w:rPr>
        <w:t xml:space="preserve">, 2012 SCC 35, </w:t>
      </w:r>
      <w:r w:rsidRPr="000821FA">
        <w:rPr>
          <w:rFonts w:cs="Times New Roman"/>
        </w:rPr>
        <w:lastRenderedPageBreak/>
        <w:t xml:space="preserve">[2012] 2 S.C.R. 283, at para. 15. The contextual analysis was one part of the broader standard of review framework set out in </w:t>
      </w:r>
      <w:r w:rsidRPr="000821FA">
        <w:rPr>
          <w:rFonts w:cs="Times New Roman"/>
          <w:i/>
        </w:rPr>
        <w:t>Dunsmuir</w:t>
      </w:r>
      <w:r w:rsidRPr="000821FA">
        <w:rPr>
          <w:rFonts w:cs="Times New Roman"/>
        </w:rPr>
        <w:t xml:space="preserve">. A departure from this aspect of the </w:t>
      </w:r>
      <w:r w:rsidRPr="000821FA">
        <w:rPr>
          <w:rFonts w:cs="Times New Roman"/>
          <w:i/>
        </w:rPr>
        <w:t xml:space="preserve">Dunsmuir </w:t>
      </w:r>
      <w:r w:rsidRPr="000821FA">
        <w:rPr>
          <w:rFonts w:cs="Times New Roman"/>
        </w:rPr>
        <w:t xml:space="preserve">framework requires a principled rebalancing of the framework as a whole in order to maintain the equilibrium between the roles of administrative decision makers and reviewing courts that is fundamental to administrative law.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 xml:space="preserve">In our view, with the starting position of this presumption of reasonableness review, and in the absence of a searching contextual analysis, legislative intent can only be given effect in this framework if statutory appeal mechanisms, as clear signals of legislative intent with respect to the applicable standard of review, are given effect through the application of appellate standards by reviewing courts. Conversely, </w:t>
      </w:r>
      <w:r w:rsidRPr="000821FA">
        <w:rPr>
          <w:rFonts w:cs="Times New Roman"/>
          <w:lang w:val="en"/>
        </w:rPr>
        <w:t xml:space="preserve">in such a framework that is based on a presumption of reasonableness review, contextual factors that courts once looked to as </w:t>
      </w:r>
      <w:proofErr w:type="spellStart"/>
      <w:r w:rsidRPr="000821FA">
        <w:rPr>
          <w:rFonts w:cs="Times New Roman"/>
          <w:lang w:val="en"/>
        </w:rPr>
        <w:t>signalling</w:t>
      </w:r>
      <w:proofErr w:type="spellEnd"/>
      <w:r w:rsidRPr="000821FA">
        <w:rPr>
          <w:rFonts w:cs="Times New Roman"/>
          <w:lang w:val="en"/>
        </w:rPr>
        <w:t xml:space="preserve"> deferential review, such as privative clauses, serve no independent or additional function in identifying the standard of review. </w:t>
      </w:r>
    </w:p>
    <w:p w:rsidR="008B0231" w:rsidRPr="000821FA" w:rsidRDefault="008B0231" w:rsidP="000F2034">
      <w:pPr>
        <w:pStyle w:val="ParaNoNdepar-AltN"/>
        <w:tabs>
          <w:tab w:val="clear" w:pos="1166"/>
          <w:tab w:val="clear" w:pos="1422"/>
          <w:tab w:val="num" w:pos="1152"/>
        </w:tabs>
        <w:ind w:left="0"/>
        <w:rPr>
          <w:rFonts w:cs="Times New Roman"/>
        </w:rPr>
      </w:pPr>
      <w:r w:rsidRPr="000821FA">
        <w:rPr>
          <w:rFonts w:cs="Times New Roman"/>
        </w:rPr>
        <w:t>We wish, at this juncture, to make three points regarding how the presence of a statutory appeal mechanism should inform the choice of standard analysis. First, we note that statutory regimes that provide for parties to appeal to a court from an administrative decision may allow them to do so in all cases (that is, as of right) or only with leave of the court. While the existence of a leave requirement will affect whether a court will hear an appeal from a particular decision, it does not affect the standard to be applied if leave is given and the appeal is heard.</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lastRenderedPageBreak/>
        <w:t>Second, we note that not all legislative provisions that contemplate a court reviewing an administrative decision actually provide a right of appeal. Some provisions simply recognize that all administrative decisions are subject to judicial review and address procedural or other similar aspects of judicial review in a particular context. Since these provisions do not give courts an appellate function, they do not</w:t>
      </w:r>
      <w:r w:rsidRPr="000821FA">
        <w:rPr>
          <w:rFonts w:cs="Times New Roman"/>
          <w:i/>
        </w:rPr>
        <w:t xml:space="preserve"> </w:t>
      </w:r>
      <w:r w:rsidRPr="000821FA">
        <w:rPr>
          <w:rFonts w:cs="Times New Roman"/>
        </w:rPr>
        <w:t xml:space="preserve">authorize the application of appellate standards. Some examples of such provisions are ss. 18 to 18.2, 18.4 and 28 of the </w:t>
      </w:r>
      <w:r w:rsidRPr="000821FA">
        <w:rPr>
          <w:rFonts w:cs="Times New Roman"/>
          <w:i/>
        </w:rPr>
        <w:t>Federal Courts Act</w:t>
      </w:r>
      <w:r w:rsidRPr="000821FA">
        <w:rPr>
          <w:rFonts w:cs="Times New Roman"/>
        </w:rPr>
        <w:t xml:space="preserve">, which confer jurisdiction on the Federal Court and the Federal Court of Appeal to hear and determine applications for judicial review of decisions of federal bodies and grant remedies, and also address procedural aspects of such applications: see </w:t>
      </w:r>
      <w:proofErr w:type="spellStart"/>
      <w:r w:rsidRPr="000821FA">
        <w:rPr>
          <w:rFonts w:cs="Times New Roman"/>
          <w:i/>
        </w:rPr>
        <w:t>Khosa</w:t>
      </w:r>
      <w:proofErr w:type="spellEnd"/>
      <w:r w:rsidRPr="000821FA">
        <w:rPr>
          <w:rFonts w:cs="Times New Roman"/>
        </w:rPr>
        <w:t xml:space="preserve">, at para. 34. Another example is the current version of s. 470 of Alberta’s </w:t>
      </w:r>
      <w:r w:rsidRPr="000821FA">
        <w:rPr>
          <w:rFonts w:cs="Times New Roman"/>
          <w:i/>
        </w:rPr>
        <w:t>Municipal Government Act</w:t>
      </w:r>
      <w:r w:rsidRPr="000821FA">
        <w:rPr>
          <w:rFonts w:cs="Times New Roman"/>
        </w:rPr>
        <w:t>, R.S.A. 2000, c. M-26, which does not provide for an appeal to a court, but addresses procedural considerations and consequences that apply “[w]</w:t>
      </w:r>
      <w:r w:rsidRPr="000821FA">
        <w:rPr>
          <w:rFonts w:cs="Times New Roman"/>
          <w:lang w:val="en"/>
        </w:rPr>
        <w:t>here a decision of an assessment review board is the subject of an application for judicial review”: s. 470(1).</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Third, we would note that statutory appeal rights are often circumscribed, as their scope might be limited with reference to the types of questions on which a party may appeal (where, for example, appeals are limited to questions of law) or the types of decisions that may be appealed (where, for example, not every decision of an administrative decision maker may be appealed to a court), or to the party or parties that may bring an appeal. However, the existence of a circumscribed right of appeal in a statutory scheme does not on its own preclude applications for judicial review of decisions, or of aspects of decisions, to which the appeal mechanism does not apply, or </w:t>
      </w:r>
      <w:r w:rsidRPr="000821FA">
        <w:rPr>
          <w:rFonts w:cs="Times New Roman"/>
        </w:rPr>
        <w:lastRenderedPageBreak/>
        <w:t>by individuals who have no right of appeal. But any such application for judicial review is distinct from an appeal, and the presumption of reasonableness review that applies on judicial review cannot then be rebutted by reference to the statutory appeal mechanism.</w:t>
      </w:r>
    </w:p>
    <w:p w:rsidR="008B0231" w:rsidRPr="000821FA" w:rsidRDefault="008B0231" w:rsidP="008B0231">
      <w:pPr>
        <w:pStyle w:val="Title2LevelTitre2Niveau"/>
        <w:numPr>
          <w:ilvl w:val="1"/>
          <w:numId w:val="3"/>
        </w:numPr>
        <w:rPr>
          <w:rFonts w:cs="Times New Roman"/>
        </w:rPr>
      </w:pPr>
      <w:r w:rsidRPr="000821FA">
        <w:rPr>
          <w:rFonts w:cs="Times New Roman"/>
        </w:rPr>
        <w:t>The Applicable Standard Is Correctness Where Required by the Rule of Law</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In our view, respect for the rule of law requires courts to apply the standard of correctness for certain types of legal questions: constitutional questions, general questions of law of central importance to the legal system as a whole and questions regarding the jurisdictional boundaries between two or more administrative bodies. The application of the correctness standard for such questions respects the unique role of the judiciary in interpreting the Constitution and ensures that courts are able to provide the last word on questions for which the rule of law requires consistency and for which a final and determinate answer is necessary: </w:t>
      </w:r>
      <w:r w:rsidRPr="000821FA">
        <w:rPr>
          <w:rFonts w:cs="Times New Roman"/>
          <w:i/>
        </w:rPr>
        <w:t>Dunsmuir</w:t>
      </w:r>
      <w:r w:rsidRPr="000821FA">
        <w:rPr>
          <w:rFonts w:cs="Times New Roman"/>
        </w:rPr>
        <w:t>,</w:t>
      </w:r>
      <w:r w:rsidRPr="000821FA">
        <w:rPr>
          <w:rFonts w:cs="Times New Roman"/>
          <w:i/>
        </w:rPr>
        <w:t xml:space="preserve"> </w:t>
      </w:r>
      <w:r w:rsidR="00484BDB">
        <w:rPr>
          <w:rFonts w:cs="Times New Roman"/>
        </w:rPr>
        <w:t>at para. 58.</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When applying the correctness standard, the reviewing court may choose either to uphold the administrative decision maker’s determination or to substitute its own view: </w:t>
      </w:r>
      <w:r w:rsidRPr="000821FA">
        <w:rPr>
          <w:rFonts w:cs="Times New Roman"/>
          <w:i/>
        </w:rPr>
        <w:t>Dunsmuir</w:t>
      </w:r>
      <w:r w:rsidRPr="000821FA">
        <w:rPr>
          <w:rFonts w:cs="Times New Roman"/>
        </w:rPr>
        <w:t xml:space="preserve">, at para. 50. While it should take the administrative decision maker’s reasoning into account — and indeed, it may find that reasoning persuasive and adopt it — the reviewing court is ultimately empowered to come to its own conclusions on the question. </w:t>
      </w:r>
    </w:p>
    <w:p w:rsidR="008B0231" w:rsidRPr="000821FA" w:rsidRDefault="008B0231" w:rsidP="008B0231">
      <w:pPr>
        <w:pStyle w:val="Title3LevelTitre3Niveau"/>
        <w:numPr>
          <w:ilvl w:val="2"/>
          <w:numId w:val="3"/>
        </w:numPr>
        <w:rPr>
          <w:rFonts w:cs="Times New Roman"/>
        </w:rPr>
      </w:pPr>
      <w:r w:rsidRPr="000821FA">
        <w:rPr>
          <w:rFonts w:cs="Times New Roman"/>
        </w:rPr>
        <w:t>Constitutional Questions</w:t>
      </w:r>
    </w:p>
    <w:p w:rsidR="008B0231" w:rsidRPr="000821FA" w:rsidRDefault="008B0231" w:rsidP="00AE4773">
      <w:pPr>
        <w:pStyle w:val="ParaNoNdepar-AltN"/>
        <w:tabs>
          <w:tab w:val="clear" w:pos="1166"/>
          <w:tab w:val="clear" w:pos="1422"/>
          <w:tab w:val="num" w:pos="1152"/>
        </w:tabs>
        <w:ind w:left="0"/>
        <w:rPr>
          <w:rFonts w:cs="Times New Roman"/>
          <w:lang w:bidi="en-US"/>
        </w:rPr>
      </w:pPr>
      <w:r w:rsidRPr="000821FA">
        <w:rPr>
          <w:rFonts w:cs="Times New Roman"/>
        </w:rPr>
        <w:lastRenderedPageBreak/>
        <w:t>Questions</w:t>
      </w:r>
      <w:r w:rsidRPr="000821FA">
        <w:rPr>
          <w:rFonts w:cs="Times New Roman"/>
          <w:lang w:bidi="en-US"/>
        </w:rPr>
        <w:t xml:space="preserve"> regarding the division of powers between Parliament and the provinces, </w:t>
      </w:r>
      <w:r w:rsidRPr="000821FA">
        <w:rPr>
          <w:rFonts w:cs="Times New Roman"/>
          <w:lang w:val="en-US" w:bidi="en-US"/>
        </w:rPr>
        <w:t xml:space="preserve">the relationship between the legislature and the other branches of the state, the scope of Aboriginal and treaty rights under s. 35 of the </w:t>
      </w:r>
      <w:r w:rsidRPr="000821FA">
        <w:rPr>
          <w:rFonts w:cs="Times New Roman"/>
          <w:i/>
          <w:lang w:val="en-US" w:bidi="en-US"/>
        </w:rPr>
        <w:t>Constitution Act, 1982</w:t>
      </w:r>
      <w:r w:rsidRPr="000821FA">
        <w:rPr>
          <w:rFonts w:cs="Times New Roman"/>
          <w:lang w:val="en-US" w:bidi="en-US"/>
        </w:rPr>
        <w:t xml:space="preserve">, and other constitutional matters require a final and determinate answer from the courts. Therefore, the standard of correctness must continue to be applied in reviewing such questions: </w:t>
      </w:r>
      <w:r w:rsidRPr="000821FA">
        <w:rPr>
          <w:rFonts w:cs="Times New Roman"/>
          <w:i/>
          <w:lang w:val="en-US" w:bidi="en-US"/>
        </w:rPr>
        <w:t>Dunsmuir</w:t>
      </w:r>
      <w:r w:rsidRPr="000821FA">
        <w:rPr>
          <w:rFonts w:cs="Times New Roman"/>
          <w:lang w:val="en-US" w:bidi="en-US"/>
        </w:rPr>
        <w:t xml:space="preserve">, </w:t>
      </w:r>
      <w:r w:rsidR="005E0745">
        <w:rPr>
          <w:rFonts w:cs="Times New Roman"/>
          <w:lang w:val="en-US" w:bidi="en-US"/>
        </w:rPr>
        <w:t xml:space="preserve">at </w:t>
      </w:r>
      <w:r w:rsidRPr="000821FA">
        <w:rPr>
          <w:rFonts w:cs="Times New Roman"/>
          <w:lang w:val="en-US" w:bidi="en-US"/>
        </w:rPr>
        <w:t xml:space="preserve">para. 58; </w:t>
      </w:r>
      <w:r w:rsidRPr="000821FA">
        <w:rPr>
          <w:rFonts w:cs="Times New Roman"/>
          <w:i/>
          <w:lang w:val="en-US" w:bidi="en-US"/>
        </w:rPr>
        <w:t>Westcoast Energy Inc. v. Canada (National Energy Board)</w:t>
      </w:r>
      <w:r w:rsidR="005E0745">
        <w:rPr>
          <w:rFonts w:cs="Times New Roman"/>
          <w:lang w:val="en-US" w:bidi="en-US"/>
        </w:rPr>
        <w:t>, [1998] 1 S.C.R. 322.</w:t>
      </w:r>
    </w:p>
    <w:p w:rsidR="008B0231" w:rsidRPr="000821FA" w:rsidRDefault="008B0231" w:rsidP="00AE4773">
      <w:pPr>
        <w:pStyle w:val="ParaNoNdepar-AltN"/>
        <w:tabs>
          <w:tab w:val="clear" w:pos="1166"/>
          <w:tab w:val="clear" w:pos="1422"/>
          <w:tab w:val="num" w:pos="1152"/>
        </w:tabs>
        <w:ind w:left="0"/>
        <w:rPr>
          <w:rFonts w:cs="Times New Roman"/>
          <w:lang w:bidi="en-US"/>
        </w:rPr>
      </w:pPr>
      <w:r w:rsidRPr="000821FA">
        <w:rPr>
          <w:rFonts w:cs="Times New Roman"/>
          <w:lang w:val="en-US" w:bidi="en-US"/>
        </w:rPr>
        <w:t xml:space="preserve">The Constitution — both written and unwritten — dictates the limits of all state action. Legislatures and </w:t>
      </w:r>
      <w:r w:rsidRPr="000821FA">
        <w:rPr>
          <w:rFonts w:cs="Times New Roman"/>
          <w:lang w:bidi="en-US"/>
        </w:rPr>
        <w:t xml:space="preserve">administrative decision makers are bound by the Constitution and must comply with it. A legislature cannot alter the scope of its own </w:t>
      </w:r>
      <w:r w:rsidRPr="000821FA">
        <w:rPr>
          <w:rFonts w:cs="Times New Roman"/>
        </w:rPr>
        <w:t>constitutional</w:t>
      </w:r>
      <w:r w:rsidRPr="000821FA">
        <w:rPr>
          <w:rFonts w:cs="Times New Roman"/>
          <w:lang w:bidi="en-US"/>
        </w:rPr>
        <w:t xml:space="preserve"> powers through statute. Nor can it alter the constitutional limits of executive power by delegating authority to an administrative body. In other words, although</w:t>
      </w:r>
      <w:r w:rsidRPr="000821FA">
        <w:rPr>
          <w:rFonts w:cs="Times New Roman"/>
          <w:lang w:val="en-US" w:bidi="en-US"/>
        </w:rPr>
        <w:t xml:space="preserve"> a legislature may choose what powers it delegates to an administrative body, it cannot delegate powers that it does not constitutionally have. </w:t>
      </w:r>
      <w:r w:rsidRPr="000821FA">
        <w:rPr>
          <w:rFonts w:cs="Times New Roman"/>
          <w:lang w:bidi="en-US"/>
        </w:rPr>
        <w:t>The constitutional authority to act must have determinate, defined and consistent limits, which necessitates the application of the correctness standard.</w:t>
      </w:r>
      <w:r w:rsidRPr="000821FA">
        <w:rPr>
          <w:rFonts w:eastAsiaTheme="minorHAnsi" w:cs="Times New Roman"/>
          <w:lang w:val="en-US" w:bidi="en-US"/>
        </w:rPr>
        <w:t xml:space="preserve"> </w:t>
      </w:r>
    </w:p>
    <w:p w:rsidR="008B0231" w:rsidRPr="000821FA" w:rsidRDefault="008B0231" w:rsidP="00AE4773">
      <w:pPr>
        <w:pStyle w:val="ParaNoNdepar-AltN"/>
        <w:tabs>
          <w:tab w:val="clear" w:pos="1166"/>
          <w:tab w:val="clear" w:pos="1422"/>
          <w:tab w:val="num" w:pos="1152"/>
        </w:tabs>
        <w:ind w:left="0"/>
        <w:rPr>
          <w:rFonts w:cs="Times New Roman"/>
          <w:lang w:val="en-US"/>
        </w:rPr>
      </w:pPr>
      <w:r w:rsidRPr="000821FA">
        <w:rPr>
          <w:rFonts w:cs="Times New Roman"/>
        </w:rPr>
        <w:t xml:space="preserve">Although the </w:t>
      </w:r>
      <w:r w:rsidRPr="000821FA">
        <w:rPr>
          <w:rFonts w:cs="Times New Roman"/>
          <w:i/>
        </w:rPr>
        <w:t xml:space="preserve">amici </w:t>
      </w:r>
      <w:r w:rsidRPr="000821FA">
        <w:rPr>
          <w:rFonts w:cs="Times New Roman"/>
        </w:rPr>
        <w:t xml:space="preserve">questioned the approach to the standard of review set out in </w:t>
      </w:r>
      <w:proofErr w:type="spellStart"/>
      <w:r w:rsidRPr="000821FA">
        <w:rPr>
          <w:rFonts w:cs="Times New Roman"/>
          <w:i/>
        </w:rPr>
        <w:t>Doré</w:t>
      </w:r>
      <w:proofErr w:type="spellEnd"/>
      <w:r w:rsidRPr="000821FA">
        <w:rPr>
          <w:rFonts w:cs="Times New Roman"/>
          <w:i/>
        </w:rPr>
        <w:t xml:space="preserve"> v. </w:t>
      </w:r>
      <w:proofErr w:type="spellStart"/>
      <w:r w:rsidRPr="000821FA">
        <w:rPr>
          <w:rFonts w:cs="Times New Roman"/>
          <w:i/>
        </w:rPr>
        <w:t>Barreau</w:t>
      </w:r>
      <w:proofErr w:type="spellEnd"/>
      <w:r w:rsidRPr="000821FA">
        <w:rPr>
          <w:rFonts w:cs="Times New Roman"/>
          <w:i/>
        </w:rPr>
        <w:t xml:space="preserve"> du Québec</w:t>
      </w:r>
      <w:r w:rsidRPr="000821FA">
        <w:rPr>
          <w:rFonts w:cs="Times New Roman"/>
        </w:rPr>
        <w:t xml:space="preserve">, 2012 SCC 12, [2012] 1 S.C.R. 395, a reconsideration of that approach is not germane to the issues in this appeal. However, it is important to draw a distinction between cases in which it is alleged that the effect of the administrative decision being reviewed is to unjustifiably limit rights under the </w:t>
      </w:r>
      <w:r w:rsidRPr="000821FA">
        <w:rPr>
          <w:rFonts w:cs="Times New Roman"/>
          <w:i/>
        </w:rPr>
        <w:lastRenderedPageBreak/>
        <w:t>Canadian Charter of Rights and Freedoms</w:t>
      </w:r>
      <w:r w:rsidRPr="000821FA">
        <w:rPr>
          <w:rFonts w:cs="Times New Roman"/>
        </w:rPr>
        <w:t xml:space="preserve"> (as was the case in </w:t>
      </w:r>
      <w:proofErr w:type="spellStart"/>
      <w:r w:rsidRPr="000821FA">
        <w:rPr>
          <w:rFonts w:cs="Times New Roman"/>
          <w:i/>
        </w:rPr>
        <w:t>Doré</w:t>
      </w:r>
      <w:proofErr w:type="spellEnd"/>
      <w:r w:rsidRPr="000821FA">
        <w:rPr>
          <w:rFonts w:cs="Times New Roman"/>
        </w:rPr>
        <w:t>) and those in which the issue on review is whether</w:t>
      </w:r>
      <w:r w:rsidRPr="000821FA">
        <w:rPr>
          <w:rFonts w:cs="Times New Roman"/>
          <w:lang w:bidi="en-US"/>
        </w:rPr>
        <w:t xml:space="preserve"> a provision of the decision maker’s enabling statute violates the </w:t>
      </w:r>
      <w:r w:rsidRPr="000821FA">
        <w:rPr>
          <w:rFonts w:cs="Times New Roman"/>
          <w:i/>
          <w:lang w:bidi="en-US"/>
        </w:rPr>
        <w:t xml:space="preserve">Charter </w:t>
      </w:r>
      <w:r w:rsidRPr="000821FA">
        <w:rPr>
          <w:rFonts w:cs="Times New Roman"/>
        </w:rPr>
        <w:t xml:space="preserve">(see, e.g., </w:t>
      </w:r>
      <w:r w:rsidRPr="000821FA">
        <w:rPr>
          <w:rFonts w:cs="Times New Roman"/>
          <w:i/>
          <w:lang w:val="en-US" w:bidi="en-US"/>
        </w:rPr>
        <w:t>Nova Scotia (Workers’ Compensation Board) v. Martin</w:t>
      </w:r>
      <w:r w:rsidRPr="000821FA">
        <w:rPr>
          <w:rFonts w:cs="Times New Roman"/>
          <w:lang w:val="en-US" w:bidi="en-US"/>
        </w:rPr>
        <w:t>, 2003 SCC 54, [2003] 2 S.C.R. 504, at para. 65)</w:t>
      </w:r>
      <w:r w:rsidRPr="000821FA">
        <w:rPr>
          <w:rFonts w:cs="Times New Roman"/>
        </w:rPr>
        <w:t>. Our jurisprudence holds that an administrative decision maker’s interpretation of the latter issue should be reviewed for correctness, and that jurisprudence is n</w:t>
      </w:r>
      <w:r w:rsidR="00484BDB">
        <w:rPr>
          <w:rFonts w:cs="Times New Roman"/>
        </w:rPr>
        <w:t>ot displaced by these reasons.</w:t>
      </w:r>
    </w:p>
    <w:p w:rsidR="008B0231" w:rsidRPr="000821FA" w:rsidRDefault="008B0231" w:rsidP="001002B9">
      <w:pPr>
        <w:pStyle w:val="Title3LevelTitre3Niveau"/>
        <w:numPr>
          <w:ilvl w:val="2"/>
          <w:numId w:val="3"/>
        </w:numPr>
        <w:jc w:val="both"/>
        <w:rPr>
          <w:rFonts w:cs="Times New Roman"/>
        </w:rPr>
      </w:pPr>
      <w:r w:rsidRPr="000821FA">
        <w:rPr>
          <w:rFonts w:cs="Times New Roman"/>
        </w:rPr>
        <w:t>General Questions of Law of Central Importance to the Legal System as a Whole</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In </w:t>
      </w:r>
      <w:r w:rsidRPr="000821FA">
        <w:rPr>
          <w:rFonts w:cs="Times New Roman"/>
          <w:i/>
        </w:rPr>
        <w:t>Dunsmuir</w:t>
      </w:r>
      <w:r w:rsidRPr="000821FA">
        <w:rPr>
          <w:rFonts w:cs="Times New Roman"/>
        </w:rPr>
        <w:t xml:space="preserve">, a majority of the Court held that, in addition to constitutional questions, general questions of law which are “both of central importance to the legal system as a whole and outside the adjudicator’s specialized area of expertise” will require the application of the correctness standard: para. 60, citing </w:t>
      </w:r>
      <w:r w:rsidRPr="000821FA">
        <w:rPr>
          <w:rFonts w:cs="Times New Roman"/>
          <w:i/>
        </w:rPr>
        <w:t>Toronto (City) v. C.U.P.E., Local 79</w:t>
      </w:r>
      <w:r w:rsidRPr="000821FA">
        <w:rPr>
          <w:rFonts w:cs="Times New Roman"/>
        </w:rPr>
        <w:t xml:space="preserve">, 2003 SCC 63, </w:t>
      </w:r>
      <w:r w:rsidRPr="000821FA">
        <w:rPr>
          <w:rFonts w:cs="Times New Roman"/>
          <w:lang w:val="en"/>
        </w:rPr>
        <w:t xml:space="preserve">[2003] 3 S.C.R. 77, </w:t>
      </w:r>
      <w:r w:rsidRPr="000821FA">
        <w:rPr>
          <w:rFonts w:cs="Times New Roman"/>
        </w:rPr>
        <w:t xml:space="preserve">at para. 62, per </w:t>
      </w:r>
      <w:proofErr w:type="spellStart"/>
      <w:r w:rsidRPr="000821FA">
        <w:rPr>
          <w:rFonts w:cs="Times New Roman"/>
        </w:rPr>
        <w:t>LeBel</w:t>
      </w:r>
      <w:proofErr w:type="spellEnd"/>
      <w:r w:rsidRPr="000821FA">
        <w:rPr>
          <w:rFonts w:cs="Times New Roman"/>
        </w:rPr>
        <w:t xml:space="preserve"> J., concurring. We remain of the view that the rule of law requires courts to have the final word with regard to general questions of law that are “of central importance to the legal system as a whole”. However, a return to first principles reveals that it is not necessary to evaluate </w:t>
      </w:r>
      <w:r w:rsidRPr="000821FA">
        <w:rPr>
          <w:rFonts w:cs="Times New Roman"/>
          <w:lang w:bidi="en-US"/>
        </w:rPr>
        <w:t>the decision maker’s specialized expertise in order to determine whether the correctness standard must be applied in cases involving such questions. As indicated above (at para. 31) of the reasons, the consideration of expertise is folded into the new starting point adopted in these reasons, namely the presumption of reasonableness review.</w:t>
      </w:r>
    </w:p>
    <w:p w:rsidR="008B0231" w:rsidRPr="000821FA" w:rsidRDefault="008B0231" w:rsidP="00AE4773">
      <w:pPr>
        <w:pStyle w:val="ParaNoNdepar-AltN"/>
        <w:tabs>
          <w:tab w:val="clear" w:pos="1166"/>
          <w:tab w:val="clear" w:pos="1422"/>
          <w:tab w:val="num" w:pos="1152"/>
        </w:tabs>
        <w:ind w:left="0"/>
        <w:rPr>
          <w:rFonts w:cs="Times New Roman"/>
          <w:szCs w:val="24"/>
          <w:lang w:val="en-US"/>
        </w:rPr>
      </w:pPr>
      <w:r w:rsidRPr="000821FA">
        <w:rPr>
          <w:rFonts w:cs="Times New Roman"/>
        </w:rPr>
        <w:lastRenderedPageBreak/>
        <w:t xml:space="preserve">As the majority of the Court recognized in </w:t>
      </w:r>
      <w:r w:rsidRPr="000821FA">
        <w:rPr>
          <w:rFonts w:cs="Times New Roman"/>
          <w:i/>
        </w:rPr>
        <w:t>Dunsmuir</w:t>
      </w:r>
      <w:r w:rsidRPr="000821FA">
        <w:rPr>
          <w:rFonts w:cs="Times New Roman"/>
        </w:rPr>
        <w:t xml:space="preserve">, the key underlying rationale for this category of questions is the reality that certain general questions of law “require uniform and consistent answers” as a result of “their impact on the administration of justice as a whole”: </w:t>
      </w:r>
      <w:r w:rsidRPr="000821FA">
        <w:rPr>
          <w:rFonts w:cs="Times New Roman"/>
          <w:i/>
        </w:rPr>
        <w:t>Dunsmuir</w:t>
      </w:r>
      <w:r w:rsidRPr="000821FA">
        <w:rPr>
          <w:rFonts w:cs="Times New Roman"/>
        </w:rPr>
        <w:t xml:space="preserve">, </w:t>
      </w:r>
      <w:r w:rsidR="00272032">
        <w:rPr>
          <w:rFonts w:cs="Times New Roman"/>
        </w:rPr>
        <w:t xml:space="preserve">at </w:t>
      </w:r>
      <w:r w:rsidRPr="000821FA">
        <w:rPr>
          <w:rFonts w:cs="Times New Roman"/>
        </w:rPr>
        <w:t xml:space="preserve">para. 60. In these cases, correctness review is necessary to resolve general questions of law that are </w:t>
      </w:r>
      <w:r w:rsidRPr="000821FA">
        <w:rPr>
          <w:rFonts w:cs="Times New Roman"/>
          <w:lang w:val="en-US" w:bidi="en-US"/>
        </w:rPr>
        <w:t>of “fundamental importance and broad applicability”,</w:t>
      </w:r>
      <w:r w:rsidRPr="000821FA">
        <w:rPr>
          <w:rFonts w:cs="Times New Roman"/>
          <w:i/>
          <w:lang w:val="en-US" w:bidi="en-US"/>
        </w:rPr>
        <w:t xml:space="preserve"> </w:t>
      </w:r>
      <w:r w:rsidRPr="000821FA">
        <w:rPr>
          <w:rFonts w:cs="Times New Roman"/>
          <w:lang w:val="en-US" w:bidi="en-US"/>
        </w:rPr>
        <w:t xml:space="preserve">with significant legal consequences for the justice system as a whole or for other institutions of government: see </w:t>
      </w:r>
      <w:r w:rsidRPr="000821FA">
        <w:rPr>
          <w:rFonts w:cs="Times New Roman"/>
          <w:i/>
          <w:lang w:val="en-US" w:bidi="en-US"/>
        </w:rPr>
        <w:t>Toronto (City)</w:t>
      </w:r>
      <w:r w:rsidRPr="000821FA">
        <w:rPr>
          <w:rFonts w:cs="Times New Roman"/>
          <w:lang w:val="en-US" w:bidi="en-US"/>
        </w:rPr>
        <w:t>,</w:t>
      </w:r>
      <w:r w:rsidRPr="000821FA">
        <w:rPr>
          <w:rFonts w:cs="Times New Roman"/>
          <w:i/>
          <w:lang w:val="en-US" w:bidi="en-US"/>
        </w:rPr>
        <w:t xml:space="preserve"> </w:t>
      </w:r>
      <w:r w:rsidRPr="000821FA">
        <w:rPr>
          <w:rFonts w:cs="Times New Roman"/>
          <w:lang w:val="en-US" w:bidi="en-US"/>
        </w:rPr>
        <w:t xml:space="preserve">at para. 70; </w:t>
      </w:r>
      <w:r w:rsidRPr="000821FA">
        <w:rPr>
          <w:rFonts w:cs="Times New Roman"/>
          <w:i/>
          <w:lang w:bidi="en-US"/>
        </w:rPr>
        <w:t>Alberta (Information and Privacy Commissioner) v. University of Calgary</w:t>
      </w:r>
      <w:r w:rsidRPr="000821FA">
        <w:rPr>
          <w:rFonts w:cs="Times New Roman"/>
          <w:lang w:val="en-US" w:bidi="en-US"/>
        </w:rPr>
        <w:t xml:space="preserve">, </w:t>
      </w:r>
      <w:r w:rsidRPr="000821FA">
        <w:rPr>
          <w:rFonts w:cs="Times New Roman"/>
          <w:lang w:bidi="en-US"/>
        </w:rPr>
        <w:t xml:space="preserve">2016 SCC 53, </w:t>
      </w:r>
      <w:r w:rsidRPr="000821FA">
        <w:rPr>
          <w:rFonts w:cs="Times New Roman"/>
        </w:rPr>
        <w:t xml:space="preserve">[2016] 2 S.C.R. 555, </w:t>
      </w:r>
      <w:r w:rsidRPr="000821FA">
        <w:rPr>
          <w:rFonts w:cs="Times New Roman"/>
          <w:lang w:val="en-US" w:bidi="en-US"/>
        </w:rPr>
        <w:t xml:space="preserve">at para. </w:t>
      </w:r>
      <w:r w:rsidRPr="000821FA">
        <w:rPr>
          <w:rFonts w:cs="Times New Roman"/>
          <w:lang w:val="fr-CA" w:bidi="en-US"/>
        </w:rPr>
        <w:t xml:space="preserve">20; </w:t>
      </w:r>
      <w:r w:rsidRPr="000821FA">
        <w:rPr>
          <w:rFonts w:cs="Times New Roman"/>
          <w:i/>
          <w:lang w:val="fr-CA" w:bidi="en-US"/>
        </w:rPr>
        <w:t xml:space="preserve">Canadian National </w:t>
      </w:r>
      <w:proofErr w:type="spellStart"/>
      <w:r w:rsidRPr="000821FA">
        <w:rPr>
          <w:rFonts w:cs="Times New Roman"/>
          <w:i/>
          <w:lang w:val="fr-CA" w:bidi="en-US"/>
        </w:rPr>
        <w:t>Railway</w:t>
      </w:r>
      <w:proofErr w:type="spellEnd"/>
      <w:r w:rsidRPr="000821FA">
        <w:rPr>
          <w:rFonts w:cs="Times New Roman"/>
          <w:lang w:val="fr-CA" w:bidi="en-US"/>
        </w:rPr>
        <w:t>, at para.</w:t>
      </w:r>
      <w:r>
        <w:rPr>
          <w:rFonts w:cs="Times New Roman"/>
          <w:lang w:val="fr-CA" w:bidi="en-US"/>
        </w:rPr>
        <w:t> </w:t>
      </w:r>
      <w:r w:rsidRPr="000821FA">
        <w:rPr>
          <w:rFonts w:cs="Times New Roman"/>
          <w:lang w:val="fr-CA" w:bidi="en-US"/>
        </w:rPr>
        <w:t xml:space="preserve">60; </w:t>
      </w:r>
      <w:r w:rsidRPr="000821FA">
        <w:rPr>
          <w:rFonts w:cs="Times New Roman"/>
          <w:i/>
          <w:lang w:val="fr-CA" w:bidi="en-US"/>
        </w:rPr>
        <w:t>Chagnon</w:t>
      </w:r>
      <w:r w:rsidRPr="000821FA">
        <w:rPr>
          <w:rFonts w:cs="Times New Roman"/>
          <w:i/>
          <w:lang w:val="fr-CA"/>
        </w:rPr>
        <w:t xml:space="preserve"> v. Syndicat de la fonction publique et parapublique du Québec</w:t>
      </w:r>
      <w:r w:rsidRPr="000821FA">
        <w:rPr>
          <w:rFonts w:cs="Times New Roman"/>
          <w:lang w:val="fr-CA"/>
        </w:rPr>
        <w:t>, 2018 SCC 39</w:t>
      </w:r>
      <w:r w:rsidRPr="000821FA">
        <w:rPr>
          <w:rFonts w:cs="Times New Roman"/>
          <w:lang w:val="fr-CA" w:bidi="en-US"/>
        </w:rPr>
        <w:t xml:space="preserve">, </w:t>
      </w:r>
      <w:r w:rsidRPr="000821FA">
        <w:rPr>
          <w:rFonts w:cs="Times New Roman"/>
          <w:lang w:val="fr-CA"/>
        </w:rPr>
        <w:t xml:space="preserve">[2018] 2 S.C.R. 687, </w:t>
      </w:r>
      <w:r w:rsidRPr="000821FA">
        <w:rPr>
          <w:rFonts w:cs="Times New Roman"/>
          <w:lang w:val="fr-CA" w:bidi="en-US"/>
        </w:rPr>
        <w:t xml:space="preserve">at para. </w:t>
      </w:r>
      <w:r w:rsidRPr="000821FA">
        <w:rPr>
          <w:rFonts w:cs="Times New Roman"/>
          <w:lang w:val="en-US" w:bidi="en-US"/>
        </w:rPr>
        <w:t xml:space="preserve">17; </w:t>
      </w:r>
      <w:r w:rsidRPr="000821FA">
        <w:rPr>
          <w:rFonts w:cs="Times New Roman"/>
          <w:i/>
          <w:lang w:val="en-US" w:bidi="en-US"/>
        </w:rPr>
        <w:t>Saguenay</w:t>
      </w:r>
      <w:r w:rsidRPr="000821FA">
        <w:rPr>
          <w:rFonts w:cs="Times New Roman"/>
          <w:lang w:val="en-US" w:bidi="en-US"/>
        </w:rPr>
        <w:t>, at para. 51</w:t>
      </w:r>
      <w:r w:rsidRPr="000821FA">
        <w:rPr>
          <w:rFonts w:cs="Times New Roman"/>
        </w:rPr>
        <w:t xml:space="preserve">; </w:t>
      </w:r>
      <w:r w:rsidRPr="000821FA">
        <w:rPr>
          <w:rFonts w:cs="Times New Roman"/>
          <w:i/>
        </w:rPr>
        <w:t>Canada (Canadian Human Rights Commission) v. Canada (Attorney General)</w:t>
      </w:r>
      <w:r w:rsidRPr="000821FA">
        <w:rPr>
          <w:rFonts w:cs="Times New Roman"/>
        </w:rPr>
        <w:t xml:space="preserve">, 2011 SCC 53, </w:t>
      </w:r>
      <w:r w:rsidRPr="000821FA">
        <w:rPr>
          <w:rFonts w:cs="Times New Roman"/>
          <w:caps/>
        </w:rPr>
        <w:t xml:space="preserve">[2011] 3 </w:t>
      </w:r>
      <w:r w:rsidRPr="000821FA">
        <w:rPr>
          <w:rFonts w:cs="Times New Roman"/>
        </w:rPr>
        <w:t>S.C.R. 471 (“</w:t>
      </w:r>
      <w:proofErr w:type="spellStart"/>
      <w:r w:rsidRPr="000821FA">
        <w:rPr>
          <w:rFonts w:cs="Times New Roman"/>
          <w:i/>
        </w:rPr>
        <w:t>Mowat</w:t>
      </w:r>
      <w:proofErr w:type="spellEnd"/>
      <w:r w:rsidRPr="000821FA">
        <w:rPr>
          <w:rFonts w:cs="Times New Roman"/>
        </w:rPr>
        <w:t xml:space="preserve">”), at para. </w:t>
      </w:r>
      <w:r w:rsidRPr="000821FA">
        <w:rPr>
          <w:rFonts w:cs="Times New Roman"/>
          <w:lang w:val="fr-CA"/>
        </w:rPr>
        <w:t xml:space="preserve">22; </w:t>
      </w:r>
      <w:r w:rsidRPr="000821FA">
        <w:rPr>
          <w:rFonts w:cs="Times New Roman"/>
          <w:i/>
          <w:lang w:val="fr-CA"/>
        </w:rPr>
        <w:t>Commission scolaire de Laval v. Syndicat de l’enseignement de la région de Laval</w:t>
      </w:r>
      <w:r w:rsidRPr="000821FA">
        <w:rPr>
          <w:rFonts w:cs="Times New Roman"/>
          <w:lang w:val="fr-CA"/>
        </w:rPr>
        <w:t xml:space="preserve">, 2016 SCC 8, [2016] 1 S.C.R. 29, at para. </w:t>
      </w:r>
      <w:r w:rsidRPr="000821FA">
        <w:rPr>
          <w:rFonts w:cs="Times New Roman"/>
          <w:lang w:val="en-US"/>
        </w:rPr>
        <w:t xml:space="preserve">38. </w:t>
      </w:r>
      <w:r w:rsidRPr="000821FA">
        <w:rPr>
          <w:rFonts w:cs="Times New Roman"/>
          <w:szCs w:val="24"/>
          <w:lang w:val="en-US" w:bidi="en-US"/>
        </w:rPr>
        <w:t xml:space="preserve">For example, the question in </w:t>
      </w:r>
      <w:r w:rsidRPr="000821FA">
        <w:rPr>
          <w:rFonts w:cs="Times New Roman"/>
          <w:i/>
          <w:szCs w:val="24"/>
          <w:lang w:val="en-US" w:bidi="en-US"/>
        </w:rPr>
        <w:t>University of Calgary</w:t>
      </w:r>
      <w:r w:rsidRPr="000821FA">
        <w:rPr>
          <w:rFonts w:cs="Times New Roman"/>
          <w:szCs w:val="24"/>
          <w:lang w:val="en-US" w:bidi="en-US"/>
        </w:rPr>
        <w:t xml:space="preserve"> could not be resolved by applying the reasonableness standard, because the decision would have had legal implications for a wide variety of other statutes and because the uniform protection of solicitor-client privilege </w:t>
      </w:r>
      <w:r w:rsidRPr="000821FA">
        <w:rPr>
          <w:rFonts w:cs="Times New Roman"/>
          <w:lang w:val="en-US" w:bidi="en-US"/>
        </w:rPr>
        <w:t>—</w:t>
      </w:r>
      <w:r w:rsidRPr="000821FA">
        <w:rPr>
          <w:rFonts w:cs="Times New Roman"/>
          <w:szCs w:val="24"/>
          <w:lang w:val="en-US" w:bidi="en-US"/>
        </w:rPr>
        <w:t xml:space="preserve"> at issue in that case </w:t>
      </w:r>
      <w:r w:rsidRPr="000821FA">
        <w:rPr>
          <w:rFonts w:cs="Times New Roman"/>
          <w:lang w:val="en-US" w:bidi="en-US"/>
        </w:rPr>
        <w:t>—</w:t>
      </w:r>
      <w:r w:rsidRPr="000821FA">
        <w:rPr>
          <w:rFonts w:cs="Times New Roman"/>
          <w:szCs w:val="24"/>
          <w:lang w:val="en-US" w:bidi="en-US"/>
        </w:rPr>
        <w:t xml:space="preserve"> is necessary for the proper functioning of the justice system: </w:t>
      </w:r>
      <w:r w:rsidRPr="000821FA">
        <w:rPr>
          <w:rFonts w:cs="Times New Roman"/>
          <w:i/>
          <w:szCs w:val="24"/>
          <w:lang w:val="en-US" w:bidi="en-US"/>
        </w:rPr>
        <w:t>University of Calgary</w:t>
      </w:r>
      <w:r w:rsidRPr="000821FA">
        <w:rPr>
          <w:rFonts w:cs="Times New Roman"/>
          <w:szCs w:val="24"/>
          <w:lang w:val="en-US" w:bidi="en-US"/>
        </w:rPr>
        <w:t xml:space="preserve">, at paras. 19-26. </w:t>
      </w:r>
      <w:proofErr w:type="gramStart"/>
      <w:r w:rsidRPr="000821FA">
        <w:rPr>
          <w:rFonts w:cs="Times New Roman"/>
          <w:szCs w:val="24"/>
          <w:lang w:val="en-US" w:bidi="en-US"/>
        </w:rPr>
        <w:t>As</w:t>
      </w:r>
      <w:proofErr w:type="gramEnd"/>
      <w:r w:rsidRPr="000821FA">
        <w:rPr>
          <w:rFonts w:cs="Times New Roman"/>
          <w:szCs w:val="24"/>
          <w:lang w:val="en-US" w:bidi="en-US"/>
        </w:rPr>
        <w:t xml:space="preserve"> this shows, the resolution of general questions of law </w:t>
      </w:r>
      <w:r w:rsidRPr="000821FA">
        <w:rPr>
          <w:rFonts w:cs="Times New Roman"/>
        </w:rPr>
        <w:t>“</w:t>
      </w:r>
      <w:r w:rsidRPr="000821FA">
        <w:rPr>
          <w:rFonts w:cs="Times New Roman"/>
          <w:szCs w:val="24"/>
          <w:lang w:val="en-US" w:bidi="en-US"/>
        </w:rPr>
        <w:t xml:space="preserve">of central importance to the legal system as a whole” has implications beyond the decision at hand, hence the need for </w:t>
      </w:r>
      <w:r w:rsidRPr="000821FA">
        <w:rPr>
          <w:rFonts w:cs="Times New Roman"/>
        </w:rPr>
        <w:t>“</w:t>
      </w:r>
      <w:r w:rsidRPr="000821FA">
        <w:rPr>
          <w:rFonts w:cs="Times New Roman"/>
          <w:szCs w:val="24"/>
          <w:lang w:val="en-US" w:bidi="en-US"/>
        </w:rPr>
        <w:t>un</w:t>
      </w:r>
      <w:r w:rsidR="00484BDB">
        <w:rPr>
          <w:rFonts w:cs="Times New Roman"/>
          <w:szCs w:val="24"/>
          <w:lang w:val="en-US" w:bidi="en-US"/>
        </w:rPr>
        <w:t>iform and consistent answers”.</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lastRenderedPageBreak/>
        <w:t xml:space="preserve">This Court’s jurisprudence continues to provide important guidance regarding what constitutes a general question of law of central importance to the legal system as a whole. </w:t>
      </w:r>
      <w:r w:rsidRPr="000821FA">
        <w:rPr>
          <w:rFonts w:cs="Times New Roman"/>
          <w:szCs w:val="24"/>
        </w:rPr>
        <w:t>For example, the following general questions of law have</w:t>
      </w:r>
      <w:r w:rsidRPr="000821FA">
        <w:rPr>
          <w:rFonts w:cs="Times New Roman"/>
        </w:rPr>
        <w:t xml:space="preserve"> been held to be of central importance to the legal system as a whole: w</w:t>
      </w:r>
      <w:r w:rsidRPr="000821FA">
        <w:rPr>
          <w:rFonts w:cs="Times New Roman"/>
          <w:lang w:val="en-US"/>
        </w:rPr>
        <w:t xml:space="preserve">hen an administrative proceeding will be barred by the doctrines of </w:t>
      </w:r>
      <w:r w:rsidRPr="000821FA">
        <w:rPr>
          <w:rFonts w:cs="Times New Roman"/>
          <w:i/>
          <w:lang w:val="en-US"/>
        </w:rPr>
        <w:t xml:space="preserve">res judicata </w:t>
      </w:r>
      <w:r w:rsidRPr="000821FA">
        <w:rPr>
          <w:rFonts w:cs="Times New Roman"/>
          <w:lang w:val="en-US"/>
        </w:rPr>
        <w:t xml:space="preserve">and abuse of process </w:t>
      </w:r>
      <w:r w:rsidRPr="000821FA">
        <w:rPr>
          <w:rFonts w:cs="Times New Roman"/>
        </w:rPr>
        <w:t>(</w:t>
      </w:r>
      <w:r w:rsidRPr="000821FA">
        <w:rPr>
          <w:rFonts w:cs="Times New Roman"/>
          <w:i/>
          <w:lang w:bidi="en-US"/>
        </w:rPr>
        <w:t>Toronto (City)</w:t>
      </w:r>
      <w:r w:rsidRPr="000821FA">
        <w:rPr>
          <w:rFonts w:cs="Times New Roman"/>
          <w:lang w:bidi="en-US"/>
        </w:rPr>
        <w:t>,</w:t>
      </w:r>
      <w:r w:rsidRPr="000821FA">
        <w:rPr>
          <w:rFonts w:cs="Times New Roman"/>
          <w:i/>
          <w:lang w:bidi="en-US"/>
        </w:rPr>
        <w:t xml:space="preserve"> </w:t>
      </w:r>
      <w:r w:rsidRPr="000821FA">
        <w:rPr>
          <w:rFonts w:cs="Times New Roman"/>
          <w:lang w:bidi="en-US"/>
        </w:rPr>
        <w:t>at para. 15)</w:t>
      </w:r>
      <w:r w:rsidRPr="000821FA">
        <w:rPr>
          <w:rFonts w:cs="Times New Roman"/>
        </w:rPr>
        <w:t>; the scope of the state’s duty of religious neutrality (</w:t>
      </w:r>
      <w:r w:rsidRPr="000821FA">
        <w:rPr>
          <w:rFonts w:cs="Times New Roman"/>
          <w:i/>
          <w:lang w:bidi="en-US"/>
        </w:rPr>
        <w:t>Saguenay</w:t>
      </w:r>
      <w:r w:rsidRPr="000821FA">
        <w:rPr>
          <w:rFonts w:cs="Times New Roman"/>
          <w:lang w:bidi="en-US"/>
        </w:rPr>
        <w:t>, at para. 49)</w:t>
      </w:r>
      <w:r w:rsidRPr="000821FA">
        <w:rPr>
          <w:rFonts w:cs="Times New Roman"/>
        </w:rPr>
        <w:t>; the appropriateness of limits on solicitor-client privilege (</w:t>
      </w:r>
      <w:r w:rsidRPr="000821FA">
        <w:rPr>
          <w:rFonts w:cs="Times New Roman"/>
          <w:i/>
          <w:lang w:bidi="en-US"/>
        </w:rPr>
        <w:t>University of Calgary</w:t>
      </w:r>
      <w:r w:rsidRPr="000821FA">
        <w:rPr>
          <w:rFonts w:cs="Times New Roman"/>
          <w:lang w:bidi="en-US"/>
        </w:rPr>
        <w:t xml:space="preserve">, at para. </w:t>
      </w:r>
      <w:r w:rsidRPr="000821FA">
        <w:rPr>
          <w:rFonts w:cs="Times New Roman"/>
        </w:rPr>
        <w:t>20); and the scope of parliamentary privilege (</w:t>
      </w:r>
      <w:proofErr w:type="spellStart"/>
      <w:r w:rsidRPr="000821FA">
        <w:rPr>
          <w:rFonts w:cs="Times New Roman"/>
          <w:i/>
        </w:rPr>
        <w:t>Chagnon</w:t>
      </w:r>
      <w:proofErr w:type="spellEnd"/>
      <w:r w:rsidRPr="000821FA">
        <w:rPr>
          <w:rFonts w:cs="Times New Roman"/>
        </w:rPr>
        <w:t xml:space="preserve">, at para. 17). We caution, however, that this jurisprudence must be read carefully, given that expertise is no longer a consideration in identifying such questions: see, e.g., </w:t>
      </w:r>
      <w:r w:rsidRPr="000821FA">
        <w:rPr>
          <w:rFonts w:cs="Times New Roman"/>
          <w:i/>
        </w:rPr>
        <w:t>CHRC</w:t>
      </w:r>
      <w:r w:rsidRPr="000821FA">
        <w:rPr>
          <w:rFonts w:cs="Times New Roman"/>
        </w:rPr>
        <w:t>, at para. 43.</w:t>
      </w:r>
    </w:p>
    <w:p w:rsidR="008B0231" w:rsidRPr="000821FA" w:rsidRDefault="008B0231" w:rsidP="00AE4773">
      <w:pPr>
        <w:pStyle w:val="ParaNoNdepar-AltN"/>
        <w:tabs>
          <w:tab w:val="clear" w:pos="1166"/>
          <w:tab w:val="clear" w:pos="1422"/>
          <w:tab w:val="num" w:pos="1152"/>
        </w:tabs>
        <w:ind w:left="0"/>
        <w:rPr>
          <w:rFonts w:cs="Times New Roman"/>
          <w:lang w:val="en-US"/>
        </w:rPr>
      </w:pPr>
      <w:r w:rsidRPr="000821FA">
        <w:rPr>
          <w:rFonts w:cs="Times New Roman"/>
        </w:rPr>
        <w:t xml:space="preserve">We would stress that the mere fact that a dispute is “of wider public concern” is not sufficient for a question to fall into this category — nor is the fact that the question, when framed in a general or abstract sense, touches on an important issue: see, e.g., </w:t>
      </w:r>
      <w:r w:rsidRPr="000821FA">
        <w:rPr>
          <w:rFonts w:cs="Times New Roman"/>
          <w:i/>
          <w:lang w:bidi="en-US"/>
        </w:rPr>
        <w:t xml:space="preserve">Communications, Energy and </w:t>
      </w:r>
      <w:proofErr w:type="spellStart"/>
      <w:r w:rsidRPr="000821FA">
        <w:rPr>
          <w:rFonts w:cs="Times New Roman"/>
          <w:i/>
          <w:lang w:bidi="en-US"/>
        </w:rPr>
        <w:t>Paperworkers</w:t>
      </w:r>
      <w:proofErr w:type="spellEnd"/>
      <w:r w:rsidRPr="000821FA">
        <w:rPr>
          <w:rFonts w:cs="Times New Roman"/>
          <w:i/>
          <w:lang w:bidi="en-US"/>
        </w:rPr>
        <w:t xml:space="preserve"> Union of Canada, Local 30 v. Irving Pulp &amp; Paper, Ltd.</w:t>
      </w:r>
      <w:r w:rsidRPr="000821FA">
        <w:rPr>
          <w:rFonts w:cs="Times New Roman"/>
          <w:lang w:bidi="en-US"/>
        </w:rPr>
        <w:t>, 2013 SCC 34, [2013] 2 S.C.R. 458, at</w:t>
      </w:r>
      <w:r w:rsidRPr="000821FA">
        <w:rPr>
          <w:rFonts w:cs="Times New Roman"/>
        </w:rPr>
        <w:t xml:space="preserve"> para. 66; </w:t>
      </w:r>
      <w:r w:rsidRPr="000821FA">
        <w:rPr>
          <w:rFonts w:cs="Times New Roman"/>
          <w:i/>
          <w:lang w:bidi="en-US"/>
        </w:rPr>
        <w:t>McLean</w:t>
      </w:r>
      <w:r w:rsidRPr="000821FA">
        <w:rPr>
          <w:rFonts w:cs="Times New Roman"/>
        </w:rPr>
        <w:t xml:space="preserve">, at para. 28; </w:t>
      </w:r>
      <w:proofErr w:type="spellStart"/>
      <w:r w:rsidRPr="000821FA">
        <w:rPr>
          <w:rFonts w:cs="Times New Roman"/>
          <w:i/>
          <w:lang w:bidi="en-US"/>
        </w:rPr>
        <w:t>Barreau</w:t>
      </w:r>
      <w:proofErr w:type="spellEnd"/>
      <w:r w:rsidRPr="000821FA">
        <w:rPr>
          <w:rFonts w:cs="Times New Roman"/>
          <w:i/>
          <w:lang w:bidi="en-US"/>
        </w:rPr>
        <w:t xml:space="preserve"> du Québec v. Quebec (Attorney General)</w:t>
      </w:r>
      <w:r w:rsidRPr="000821FA">
        <w:rPr>
          <w:rFonts w:cs="Times New Roman"/>
          <w:lang w:bidi="en-US"/>
        </w:rPr>
        <w:t>, 2017 SCC 56</w:t>
      </w:r>
      <w:r w:rsidRPr="000821FA">
        <w:rPr>
          <w:rFonts w:cs="Times New Roman"/>
        </w:rPr>
        <w:t>, [2017] 2 S.C.R. 488, at para. 18.</w:t>
      </w:r>
      <w:r w:rsidRPr="000821FA">
        <w:rPr>
          <w:rFonts w:cs="Times New Roman"/>
          <w:lang w:val="en-US"/>
        </w:rPr>
        <w:t xml:space="preserve"> </w:t>
      </w:r>
      <w:r w:rsidRPr="000821FA">
        <w:rPr>
          <w:rFonts w:cs="Times New Roman"/>
        </w:rPr>
        <w:t xml:space="preserve">The case law reveals many examples of questions this Court has concluded are </w:t>
      </w:r>
      <w:r w:rsidRPr="000821FA">
        <w:rPr>
          <w:rFonts w:cs="Times New Roman"/>
          <w:i/>
        </w:rPr>
        <w:t>not</w:t>
      </w:r>
      <w:r w:rsidRPr="000821FA">
        <w:rPr>
          <w:rFonts w:cs="Times New Roman"/>
        </w:rPr>
        <w:t xml:space="preserve"> general questions of law of central importance to the legal system as a whole. These include whether a certain tribunal can grant a particular type of compensation (</w:t>
      </w:r>
      <w:proofErr w:type="spellStart"/>
      <w:r w:rsidRPr="000821FA">
        <w:rPr>
          <w:rFonts w:cs="Times New Roman"/>
          <w:i/>
        </w:rPr>
        <w:t>Mowat</w:t>
      </w:r>
      <w:proofErr w:type="spellEnd"/>
      <w:r w:rsidRPr="000821FA">
        <w:rPr>
          <w:rFonts w:cs="Times New Roman"/>
        </w:rPr>
        <w:t>, at para. 25); when estoppel may be applied as an arbitral remedy (</w:t>
      </w:r>
      <w:r w:rsidRPr="000821FA">
        <w:rPr>
          <w:rFonts w:cs="Times New Roman"/>
          <w:i/>
        </w:rPr>
        <w:t xml:space="preserve">Nor-Man Regional Health Authority Inc. v. Manitoba Association of Health Care </w:t>
      </w:r>
      <w:r w:rsidRPr="000821FA">
        <w:rPr>
          <w:rFonts w:cs="Times New Roman"/>
          <w:i/>
        </w:rPr>
        <w:lastRenderedPageBreak/>
        <w:t>Professionals</w:t>
      </w:r>
      <w:r w:rsidRPr="000821FA">
        <w:rPr>
          <w:rFonts w:cs="Times New Roman"/>
        </w:rPr>
        <w:t xml:space="preserve">, 2011 SCC 59, </w:t>
      </w:r>
      <w:r w:rsidRPr="000821FA">
        <w:rPr>
          <w:rFonts w:cs="Times New Roman"/>
          <w:lang w:val="en"/>
        </w:rPr>
        <w:t xml:space="preserve">[2011] 3 S.C.R. 616, </w:t>
      </w:r>
      <w:r w:rsidRPr="000821FA">
        <w:rPr>
          <w:rFonts w:cs="Times New Roman"/>
        </w:rPr>
        <w:t xml:space="preserve">at paras. 37-38); </w:t>
      </w:r>
      <w:r w:rsidRPr="000821FA">
        <w:rPr>
          <w:rFonts w:cs="Times New Roman"/>
          <w:lang w:val="en-US"/>
        </w:rPr>
        <w:t>the interpretation of a statutory provision prescribing timelines for an investigation</w:t>
      </w:r>
      <w:r w:rsidRPr="000821FA">
        <w:rPr>
          <w:rFonts w:cs="Times New Roman"/>
        </w:rPr>
        <w:t> (</w:t>
      </w:r>
      <w:r w:rsidRPr="000821FA">
        <w:rPr>
          <w:rFonts w:cs="Times New Roman"/>
          <w:i/>
        </w:rPr>
        <w:t>Alberta Teachers</w:t>
      </w:r>
      <w:r w:rsidR="00484BDB">
        <w:rPr>
          <w:rFonts w:cs="Times New Roman"/>
        </w:rPr>
        <w:t xml:space="preserve">, at para. 32); </w:t>
      </w:r>
      <w:r w:rsidRPr="000821FA">
        <w:rPr>
          <w:rFonts w:cs="Times New Roman"/>
        </w:rPr>
        <w:t>the scope of a management rights clause in a collective agreement (</w:t>
      </w:r>
      <w:r w:rsidRPr="000821FA">
        <w:rPr>
          <w:rFonts w:cs="Times New Roman"/>
          <w:i/>
        </w:rPr>
        <w:t>Irving Pulp &amp; Paper</w:t>
      </w:r>
      <w:r w:rsidRPr="000821FA">
        <w:rPr>
          <w:rFonts w:cs="Times New Roman"/>
        </w:rPr>
        <w:t xml:space="preserve">, at paras. 7, 15-16 and 66, per Rothstein and </w:t>
      </w:r>
      <w:proofErr w:type="spellStart"/>
      <w:r w:rsidRPr="000821FA">
        <w:rPr>
          <w:rFonts w:cs="Times New Roman"/>
        </w:rPr>
        <w:t>Moldaver</w:t>
      </w:r>
      <w:proofErr w:type="spellEnd"/>
      <w:r w:rsidRPr="000821FA">
        <w:rPr>
          <w:rFonts w:cs="Times New Roman"/>
        </w:rPr>
        <w:t xml:space="preserve"> JJ., dissenting but not on this point); </w:t>
      </w:r>
      <w:r w:rsidRPr="000821FA">
        <w:rPr>
          <w:rFonts w:cs="Times New Roman"/>
          <w:lang w:val="en-US"/>
        </w:rPr>
        <w:t>whether a</w:t>
      </w:r>
      <w:r w:rsidRPr="000821FA">
        <w:rPr>
          <w:rFonts w:cs="Times New Roman"/>
          <w:i/>
          <w:iCs/>
          <w:lang w:val="en-US"/>
        </w:rPr>
        <w:t> </w:t>
      </w:r>
      <w:r w:rsidRPr="000821FA">
        <w:rPr>
          <w:rFonts w:cs="Times New Roman"/>
          <w:lang w:val="en-US"/>
        </w:rPr>
        <w:t>limitation period had been triggered under securities legislation (</w:t>
      </w:r>
      <w:r w:rsidRPr="000821FA">
        <w:rPr>
          <w:rFonts w:cs="Times New Roman"/>
          <w:i/>
          <w:lang w:val="en-US"/>
        </w:rPr>
        <w:t>McLean</w:t>
      </w:r>
      <w:r w:rsidRPr="000821FA">
        <w:rPr>
          <w:rFonts w:cs="Times New Roman"/>
          <w:lang w:val="en-US"/>
        </w:rPr>
        <w:t>, at paras. 28-31); w</w:t>
      </w:r>
      <w:proofErr w:type="spellStart"/>
      <w:r w:rsidRPr="000821FA">
        <w:rPr>
          <w:rFonts w:cs="Times New Roman"/>
        </w:rPr>
        <w:t>hether</w:t>
      </w:r>
      <w:proofErr w:type="spellEnd"/>
      <w:r w:rsidRPr="000821FA">
        <w:rPr>
          <w:rFonts w:cs="Times New Roman"/>
        </w:rPr>
        <w:t xml:space="preserve"> a party to a confidential contract could bring a complaint under a particular regulatory regime (</w:t>
      </w:r>
      <w:r w:rsidRPr="000821FA">
        <w:rPr>
          <w:rFonts w:cs="Times New Roman"/>
          <w:i/>
        </w:rPr>
        <w:t>Canadian National Railway</w:t>
      </w:r>
      <w:r w:rsidRPr="000821FA">
        <w:rPr>
          <w:rFonts w:cs="Times New Roman"/>
        </w:rPr>
        <w:t xml:space="preserve">, at para. 60); and </w:t>
      </w:r>
      <w:r w:rsidRPr="000821FA">
        <w:rPr>
          <w:rFonts w:cs="Times New Roman"/>
          <w:lang w:val="en-US"/>
        </w:rPr>
        <w:t>the scope of an exception allowing non-advocates to represent a minister in certain proceedings</w:t>
      </w:r>
      <w:r w:rsidRPr="000821FA">
        <w:rPr>
          <w:rFonts w:cs="Times New Roman"/>
        </w:rPr>
        <w:t xml:space="preserve"> (</w:t>
      </w:r>
      <w:proofErr w:type="spellStart"/>
      <w:r w:rsidRPr="000821FA">
        <w:rPr>
          <w:rFonts w:cs="Times New Roman"/>
          <w:i/>
          <w:lang w:val="en-US"/>
        </w:rPr>
        <w:t>Barreau</w:t>
      </w:r>
      <w:proofErr w:type="spellEnd"/>
      <w:r w:rsidRPr="000821FA">
        <w:rPr>
          <w:rFonts w:cs="Times New Roman"/>
          <w:i/>
          <w:lang w:val="en-US"/>
        </w:rPr>
        <w:t xml:space="preserve"> du Québec</w:t>
      </w:r>
      <w:r w:rsidRPr="000821FA">
        <w:rPr>
          <w:rFonts w:cs="Times New Roman"/>
          <w:lang w:val="en-US"/>
        </w:rPr>
        <w:t>, at paras. 17-18). As these comments and examples indicate, this does not mean that simply because expertise no longer plays a role in the selection of the standard of review, questions of central importance are now transformed into a broad catch-all category for correctness review.</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lang w:val="en-US"/>
        </w:rPr>
        <w:t>In short, general questions of law of central importance to the legal system as a whole requir</w:t>
      </w:r>
      <w:r w:rsidR="00484BDB">
        <w:rPr>
          <w:rFonts w:cs="Times New Roman"/>
          <w:lang w:val="en-US"/>
        </w:rPr>
        <w:t xml:space="preserve">e a single determinate answer. </w:t>
      </w:r>
      <w:r w:rsidRPr="000821FA">
        <w:rPr>
          <w:rFonts w:cs="Times New Roman"/>
          <w:lang w:val="en-US"/>
        </w:rPr>
        <w:t>In cases involving such questions</w:t>
      </w:r>
      <w:r w:rsidRPr="000821FA">
        <w:rPr>
          <w:rFonts w:cs="Times New Roman"/>
        </w:rPr>
        <w:t>, the rule of law requires courts to provide a greater degree of legal certainty than reasonableness review allows.</w:t>
      </w:r>
    </w:p>
    <w:p w:rsidR="008B0231" w:rsidRPr="000821FA" w:rsidRDefault="008B0231" w:rsidP="00C11107">
      <w:pPr>
        <w:pStyle w:val="Title3LevelTitre3Niveau"/>
        <w:numPr>
          <w:ilvl w:val="2"/>
          <w:numId w:val="3"/>
        </w:numPr>
        <w:jc w:val="both"/>
        <w:rPr>
          <w:rFonts w:cs="Times New Roman"/>
        </w:rPr>
      </w:pPr>
      <w:r w:rsidRPr="000821FA">
        <w:rPr>
          <w:rFonts w:cs="Times New Roman"/>
        </w:rPr>
        <w:t>Questions Regarding the Jurisdictional Boundaries Between Two or More Administrative Bodies</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Finally, the rule of law requires that the correctness standard be applied in order to resolve questions regarding the jurisdictional boundaries between two or more administrative bodies: </w:t>
      </w:r>
      <w:r w:rsidRPr="000821FA">
        <w:rPr>
          <w:rFonts w:cs="Times New Roman"/>
          <w:i/>
        </w:rPr>
        <w:t>Dunsmuir</w:t>
      </w:r>
      <w:r w:rsidRPr="000821FA">
        <w:rPr>
          <w:rFonts w:cs="Times New Roman"/>
        </w:rPr>
        <w:t xml:space="preserve">, </w:t>
      </w:r>
      <w:r w:rsidR="00727330">
        <w:rPr>
          <w:rFonts w:cs="Times New Roman"/>
        </w:rPr>
        <w:t xml:space="preserve">at </w:t>
      </w:r>
      <w:r w:rsidRPr="000821FA">
        <w:rPr>
          <w:rFonts w:cs="Times New Roman"/>
        </w:rPr>
        <w:t xml:space="preserve">para. 61. One such question arose in </w:t>
      </w:r>
      <w:r w:rsidRPr="000821FA">
        <w:rPr>
          <w:rFonts w:cs="Times New Roman"/>
          <w:i/>
        </w:rPr>
        <w:t xml:space="preserve">Regina Police </w:t>
      </w:r>
      <w:r w:rsidRPr="000821FA">
        <w:rPr>
          <w:rFonts w:cs="Times New Roman"/>
          <w:i/>
        </w:rPr>
        <w:lastRenderedPageBreak/>
        <w:t>Assn. Inc. v. Regina (City) Board of Police Commissioners</w:t>
      </w:r>
      <w:r w:rsidRPr="000821FA">
        <w:rPr>
          <w:rFonts w:cs="Times New Roman"/>
        </w:rPr>
        <w:t xml:space="preserve">, 2000 SCC 14, [2000] 1 S.C.R. 360, in which the issue was the jurisdiction of a labour arbitrator to consider matters of police discipline and dismissal that were otherwise subject to a comprehensive legislative regime. Similarly, in </w:t>
      </w:r>
      <w:r w:rsidRPr="000821FA">
        <w:rPr>
          <w:rFonts w:cs="Times New Roman"/>
          <w:i/>
        </w:rPr>
        <w:t xml:space="preserve">Quebec (Commission des droits de la </w:t>
      </w:r>
      <w:proofErr w:type="spellStart"/>
      <w:r w:rsidRPr="000821FA">
        <w:rPr>
          <w:rFonts w:cs="Times New Roman"/>
          <w:i/>
        </w:rPr>
        <w:t>personne</w:t>
      </w:r>
      <w:proofErr w:type="spellEnd"/>
      <w:r w:rsidRPr="000821FA">
        <w:rPr>
          <w:rFonts w:cs="Times New Roman"/>
          <w:i/>
        </w:rPr>
        <w:t xml:space="preserve"> </w:t>
      </w:r>
      <w:proofErr w:type="gramStart"/>
      <w:r w:rsidRPr="000821FA">
        <w:rPr>
          <w:rFonts w:cs="Times New Roman"/>
          <w:i/>
        </w:rPr>
        <w:t>et</w:t>
      </w:r>
      <w:proofErr w:type="gramEnd"/>
      <w:r w:rsidRPr="000821FA">
        <w:rPr>
          <w:rFonts w:cs="Times New Roman"/>
          <w:i/>
        </w:rPr>
        <w:t xml:space="preserve"> des droits de la </w:t>
      </w:r>
      <w:proofErr w:type="spellStart"/>
      <w:r w:rsidRPr="000821FA">
        <w:rPr>
          <w:rFonts w:cs="Times New Roman"/>
          <w:i/>
        </w:rPr>
        <w:t>jeunesse</w:t>
      </w:r>
      <w:proofErr w:type="spellEnd"/>
      <w:r w:rsidRPr="000821FA">
        <w:rPr>
          <w:rFonts w:cs="Times New Roman"/>
          <w:i/>
        </w:rPr>
        <w:t>) v. Quebec (Attorney General)</w:t>
      </w:r>
      <w:r w:rsidRPr="000821FA">
        <w:rPr>
          <w:rFonts w:cs="Times New Roman"/>
        </w:rPr>
        <w:t>, 2004 SCC 39, [2004] 2 S.C.R. 185, the Court considered a jurisdictional dispute between a labour arbitrator and the Quebec Human Rights Tribunal.</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Administrative decisions are rarely contested on this basis. Where they are, however, the rule of law requires courts to intervene where one administrative body has interpreted the scope of its authority in a manner that is incompatible with the jurisdiction of another. The rationale for this category of questions is simple: the rule of law cannot tolerate conflicting orders and proceedings where </w:t>
      </w:r>
      <w:r w:rsidRPr="000821FA">
        <w:rPr>
          <w:rFonts w:cs="Times New Roman"/>
          <w:lang w:val="en-US"/>
        </w:rPr>
        <w:t xml:space="preserve">they result in a true operational conflict between two administrative bodies, pulling a party in two different and incompatible directions: see </w:t>
      </w:r>
      <w:r w:rsidRPr="000821FA">
        <w:rPr>
          <w:rFonts w:cs="Times New Roman"/>
          <w:i/>
          <w:lang w:val="en-US"/>
        </w:rPr>
        <w:t>British Columbia Telephone Co.</w:t>
      </w:r>
      <w:r w:rsidRPr="000821FA">
        <w:rPr>
          <w:rFonts w:cs="Times New Roman"/>
          <w:lang w:val="en-US"/>
        </w:rPr>
        <w:t xml:space="preserve">, at para. 80, per </w:t>
      </w:r>
      <w:proofErr w:type="spellStart"/>
      <w:r w:rsidRPr="000821FA">
        <w:rPr>
          <w:rFonts w:cs="Times New Roman"/>
          <w:lang w:val="en-US"/>
        </w:rPr>
        <w:t>McLachlin</w:t>
      </w:r>
      <w:proofErr w:type="spellEnd"/>
      <w:r w:rsidRPr="000821FA">
        <w:rPr>
          <w:rFonts w:cs="Times New Roman"/>
          <w:lang w:val="en-US"/>
        </w:rPr>
        <w:t xml:space="preserve"> J. (as she then was), concurring</w:t>
      </w:r>
      <w:r w:rsidRPr="000821FA">
        <w:rPr>
          <w:rFonts w:cs="Times New Roman"/>
        </w:rPr>
        <w:t xml:space="preserve">. Members of the public must know where to turn in order to resolve a dispute. As with general questions of law of central importance to the legal system as a whole, the application of the correctness standard in these cases safeguards predictability, finality and certainty in the law of administrative decision making. </w:t>
      </w:r>
    </w:p>
    <w:p w:rsidR="008B0231" w:rsidRPr="000821FA" w:rsidRDefault="008B0231" w:rsidP="008B0231">
      <w:pPr>
        <w:pStyle w:val="Title2LevelTitre2Niveau"/>
        <w:numPr>
          <w:ilvl w:val="1"/>
          <w:numId w:val="3"/>
        </w:numPr>
        <w:rPr>
          <w:rFonts w:cs="Times New Roman"/>
        </w:rPr>
      </w:pPr>
      <w:r w:rsidRPr="000821FA">
        <w:rPr>
          <w:rFonts w:cs="Times New Roman"/>
        </w:rPr>
        <w:t>A Note Regarding Jurisdictional Questions</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lastRenderedPageBreak/>
        <w:t xml:space="preserve">We would cease to recognize jurisdictional questions as a distinct category attracting correctness review. The majority in </w:t>
      </w:r>
      <w:r w:rsidRPr="000821FA">
        <w:rPr>
          <w:rFonts w:cs="Times New Roman"/>
          <w:i/>
        </w:rPr>
        <w:t>Dunsmuir</w:t>
      </w:r>
      <w:r w:rsidRPr="000821FA">
        <w:rPr>
          <w:rFonts w:cs="Times New Roman"/>
        </w:rPr>
        <w:t xml:space="preserve"> held that it was “without question” (para. 50) that the correctness standard must be applied in reviewing jurisdictional questions (also referred to as true questions of jurisdiction or </w:t>
      </w:r>
      <w:r w:rsidRPr="000821FA">
        <w:rPr>
          <w:rFonts w:cs="Times New Roman"/>
          <w:i/>
        </w:rPr>
        <w:t>vires</w:t>
      </w:r>
      <w:r w:rsidRPr="000821FA">
        <w:rPr>
          <w:rFonts w:cs="Times New Roman"/>
        </w:rPr>
        <w:t xml:space="preserve">). True questions of jurisdiction were said to arise “where the tribunal must explicitly determine whether its statutory grant of power gives it the authority to decide a particular matter”: see </w:t>
      </w:r>
      <w:r w:rsidRPr="000821FA">
        <w:rPr>
          <w:rFonts w:cs="Times New Roman"/>
          <w:i/>
        </w:rPr>
        <w:t>Dunsmuir</w:t>
      </w:r>
      <w:r w:rsidRPr="000821FA">
        <w:rPr>
          <w:rFonts w:cs="Times New Roman"/>
        </w:rPr>
        <w:t xml:space="preserve">, at para. 59; </w:t>
      </w:r>
      <w:r w:rsidRPr="000821FA">
        <w:rPr>
          <w:rFonts w:cs="Times New Roman"/>
          <w:i/>
          <w:iCs/>
        </w:rPr>
        <w:t>Quebec (Attorney General) v. </w:t>
      </w:r>
      <w:proofErr w:type="spellStart"/>
      <w:r w:rsidRPr="000821FA">
        <w:rPr>
          <w:rFonts w:cs="Times New Roman"/>
          <w:i/>
          <w:iCs/>
        </w:rPr>
        <w:t>Guérin</w:t>
      </w:r>
      <w:proofErr w:type="spellEnd"/>
      <w:r w:rsidRPr="000821FA">
        <w:rPr>
          <w:rFonts w:cs="Times New Roman"/>
        </w:rPr>
        <w:t>, 2017 SCC 42</w:t>
      </w:r>
      <w:r w:rsidRPr="000821FA">
        <w:rPr>
          <w:rFonts w:cs="Times New Roman"/>
          <w:iCs/>
        </w:rPr>
        <w:t>,</w:t>
      </w:r>
      <w:r w:rsidRPr="000821FA">
        <w:rPr>
          <w:rFonts w:cs="Times New Roman"/>
        </w:rPr>
        <w:t xml:space="preserve"> [2017] 2 S.C.R. 3,</w:t>
      </w:r>
      <w:r w:rsidRPr="000821FA">
        <w:rPr>
          <w:rFonts w:cs="Times New Roman"/>
          <w:i/>
          <w:iCs/>
        </w:rPr>
        <w:t xml:space="preserve"> </w:t>
      </w:r>
      <w:r w:rsidRPr="000821FA">
        <w:rPr>
          <w:rFonts w:cs="Times New Roman"/>
          <w:iCs/>
        </w:rPr>
        <w:t>at para. 32</w:t>
      </w:r>
      <w:r w:rsidRPr="000821FA">
        <w:rPr>
          <w:rFonts w:cs="Times New Roman"/>
        </w:rPr>
        <w:t xml:space="preserve">. Since </w:t>
      </w:r>
      <w:r w:rsidRPr="000821FA">
        <w:rPr>
          <w:rFonts w:cs="Times New Roman"/>
          <w:i/>
        </w:rPr>
        <w:t>Dunsmuir</w:t>
      </w:r>
      <w:r w:rsidRPr="000821FA">
        <w:rPr>
          <w:rFonts w:cs="Times New Roman"/>
        </w:rPr>
        <w:t>, however, majorities of this Court have questioned the necessity of this category, struggled to articulate its scope and “</w:t>
      </w:r>
      <w:r w:rsidRPr="000821FA">
        <w:rPr>
          <w:rFonts w:cs="Times New Roman"/>
          <w:lang w:val="en"/>
        </w:rPr>
        <w:t xml:space="preserve">expressed serious reservations about whether such questions can be distinguished as a separate category of questions of law”: </w:t>
      </w:r>
      <w:r w:rsidRPr="000821FA">
        <w:rPr>
          <w:rFonts w:cs="Times New Roman"/>
          <w:i/>
          <w:lang w:val="en"/>
        </w:rPr>
        <w:t>McLean</w:t>
      </w:r>
      <w:r w:rsidRPr="000821FA">
        <w:rPr>
          <w:rFonts w:cs="Times New Roman"/>
          <w:lang w:val="en"/>
        </w:rPr>
        <w:t xml:space="preserve">, at para. 25, referring to </w:t>
      </w:r>
      <w:r w:rsidRPr="000821FA">
        <w:rPr>
          <w:rFonts w:cs="Times New Roman"/>
          <w:i/>
        </w:rPr>
        <w:t>Alberta Teachers</w:t>
      </w:r>
      <w:r w:rsidRPr="000821FA">
        <w:rPr>
          <w:rFonts w:cs="Times New Roman"/>
        </w:rPr>
        <w:t xml:space="preserve">, at para. 34; </w:t>
      </w:r>
      <w:r w:rsidRPr="000821FA">
        <w:rPr>
          <w:rFonts w:cs="Times New Roman"/>
          <w:i/>
        </w:rPr>
        <w:t>Edmonton East</w:t>
      </w:r>
      <w:r w:rsidRPr="000821FA">
        <w:rPr>
          <w:rFonts w:cs="Times New Roman"/>
        </w:rPr>
        <w:t xml:space="preserve">, at para. 26; </w:t>
      </w:r>
      <w:proofErr w:type="spellStart"/>
      <w:r w:rsidRPr="000821FA">
        <w:rPr>
          <w:rFonts w:cs="Times New Roman"/>
          <w:i/>
          <w:iCs/>
        </w:rPr>
        <w:t>Guérin</w:t>
      </w:r>
      <w:proofErr w:type="spellEnd"/>
      <w:r w:rsidRPr="000821FA">
        <w:rPr>
          <w:rFonts w:cs="Times New Roman"/>
          <w:iCs/>
        </w:rPr>
        <w:t>,</w:t>
      </w:r>
      <w:r w:rsidRPr="000821FA">
        <w:rPr>
          <w:rFonts w:cs="Times New Roman"/>
        </w:rPr>
        <w:t xml:space="preserve"> at paras. 32-36;</w:t>
      </w:r>
      <w:r w:rsidRPr="000821FA">
        <w:rPr>
          <w:rFonts w:cs="Times New Roman"/>
          <w:lang w:val="en"/>
        </w:rPr>
        <w:t xml:space="preserve"> </w:t>
      </w:r>
      <w:r w:rsidRPr="000821FA">
        <w:rPr>
          <w:rFonts w:cs="Times New Roman"/>
          <w:i/>
          <w:iCs/>
          <w:lang w:val="en"/>
        </w:rPr>
        <w:t>CHRC</w:t>
      </w:r>
      <w:r w:rsidRPr="000821FA">
        <w:rPr>
          <w:rFonts w:cs="Times New Roman"/>
          <w:lang w:val="en"/>
        </w:rPr>
        <w:t>, at paras. 31-41.</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As </w:t>
      </w:r>
      <w:proofErr w:type="spellStart"/>
      <w:r w:rsidRPr="000821FA">
        <w:rPr>
          <w:rFonts w:cs="Times New Roman"/>
        </w:rPr>
        <w:t>Gascon</w:t>
      </w:r>
      <w:proofErr w:type="spellEnd"/>
      <w:r w:rsidRPr="000821FA">
        <w:rPr>
          <w:rFonts w:cs="Times New Roman"/>
        </w:rPr>
        <w:t xml:space="preserve"> J. noted in </w:t>
      </w:r>
      <w:r w:rsidRPr="000821FA">
        <w:rPr>
          <w:rFonts w:cs="Times New Roman"/>
          <w:i/>
        </w:rPr>
        <w:t>CHRC</w:t>
      </w:r>
      <w:r w:rsidRPr="000821FA">
        <w:rPr>
          <w:rFonts w:cs="Times New Roman"/>
        </w:rPr>
        <w:t>,</w:t>
      </w:r>
      <w:r w:rsidRPr="000821FA">
        <w:rPr>
          <w:rFonts w:cs="Times New Roman"/>
          <w:i/>
        </w:rPr>
        <w:t xml:space="preserve"> </w:t>
      </w:r>
      <w:r w:rsidRPr="000821FA">
        <w:rPr>
          <w:rFonts w:cs="Times New Roman"/>
        </w:rPr>
        <w:t xml:space="preserve">the concept of “jurisdiction” in the administrative law context is inherently “slippery”: para. 38. This is because, in theory, any challenge to an administrative decision can be characterized as “jurisdictional” in the sense that it calls into question whether the decision maker had the authority to act as it did: see </w:t>
      </w:r>
      <w:r w:rsidRPr="000821FA">
        <w:rPr>
          <w:rFonts w:cs="Times New Roman"/>
          <w:i/>
        </w:rPr>
        <w:t>CHRC</w:t>
      </w:r>
      <w:r w:rsidRPr="000821FA">
        <w:rPr>
          <w:rFonts w:cs="Times New Roman"/>
        </w:rPr>
        <w:t xml:space="preserve">, at para. 38; </w:t>
      </w:r>
      <w:r w:rsidRPr="000821FA">
        <w:rPr>
          <w:rFonts w:cs="Times New Roman"/>
          <w:i/>
        </w:rPr>
        <w:t>Alberta</w:t>
      </w:r>
      <w:r w:rsidRPr="000821FA">
        <w:rPr>
          <w:rFonts w:cs="Times New Roman"/>
        </w:rPr>
        <w:t xml:space="preserve"> </w:t>
      </w:r>
      <w:r w:rsidRPr="000821FA">
        <w:rPr>
          <w:rFonts w:cs="Times New Roman"/>
          <w:i/>
        </w:rPr>
        <w:t>Teachers</w:t>
      </w:r>
      <w:r w:rsidRPr="000821FA">
        <w:rPr>
          <w:rFonts w:cs="Times New Roman"/>
        </w:rPr>
        <w:t xml:space="preserve">, at para. 34; see similarly </w:t>
      </w:r>
      <w:r w:rsidRPr="000821FA">
        <w:rPr>
          <w:rFonts w:cs="Times New Roman"/>
          <w:i/>
        </w:rPr>
        <w:t>City of Arlington, Texas v. Federal Communications Commission</w:t>
      </w:r>
      <w:r w:rsidRPr="000821FA">
        <w:rPr>
          <w:rFonts w:cs="Times New Roman"/>
        </w:rPr>
        <w:t>, 569 U.S. 290 (2013),</w:t>
      </w:r>
      <w:r w:rsidRPr="000821FA">
        <w:rPr>
          <w:rFonts w:cs="Times New Roman"/>
          <w:i/>
        </w:rPr>
        <w:t xml:space="preserve"> </w:t>
      </w:r>
      <w:r w:rsidRPr="000821FA">
        <w:rPr>
          <w:rFonts w:cs="Times New Roman"/>
          <w:szCs w:val="24"/>
        </w:rPr>
        <w:t>at p. 299</w:t>
      </w:r>
      <w:r w:rsidRPr="000821FA">
        <w:rPr>
          <w:rFonts w:cs="Times New Roman"/>
        </w:rPr>
        <w:t xml:space="preserve">. Although this Court’s jurisprudence contemplates that only a much narrower class of “truly” jurisdictional questions requires correctness review, it has observed that there are no “clear markers” to distinguish such questions from other questions related </w:t>
      </w:r>
      <w:r w:rsidRPr="000821FA">
        <w:rPr>
          <w:rFonts w:cs="Times New Roman"/>
        </w:rPr>
        <w:lastRenderedPageBreak/>
        <w:t xml:space="preserve">to the interpretation of an administrative decision maker’s enabling statute: see </w:t>
      </w:r>
      <w:r w:rsidRPr="000821FA">
        <w:rPr>
          <w:rFonts w:cs="Times New Roman"/>
          <w:i/>
        </w:rPr>
        <w:t>CHRC</w:t>
      </w:r>
      <w:r w:rsidRPr="000821FA">
        <w:rPr>
          <w:rFonts w:cs="Times New Roman"/>
        </w:rPr>
        <w:t>, at para. 38. Despite differing views on whether it is possible to demarcate a class of “truly” jurisdictional questions, there is general agreement that “it is often difficult to distinguish between exercises of delegated power that raise truly jurisdictional questions from those entailing an unremarkable application of an enabling statute”</w:t>
      </w:r>
      <w:r w:rsidRPr="000821FA">
        <w:rPr>
          <w:rFonts w:cs="Times New Roman"/>
          <w:lang w:val="en"/>
        </w:rPr>
        <w:t xml:space="preserve">: </w:t>
      </w:r>
      <w:r w:rsidRPr="000821FA">
        <w:rPr>
          <w:rFonts w:cs="Times New Roman"/>
          <w:i/>
        </w:rPr>
        <w:t>CHRC</w:t>
      </w:r>
      <w:r w:rsidRPr="000821FA">
        <w:rPr>
          <w:rFonts w:cs="Times New Roman"/>
        </w:rPr>
        <w:t xml:space="preserve">, at para. 111, per Brown J., concurring. This tension is perhaps clearest in cases where the legislature has delegated broad authority to an administrative decision maker that allows the latter to make regulations in pursuit of the objects of its enabling statute: see, e.g., </w:t>
      </w:r>
      <w:r w:rsidRPr="000821FA">
        <w:rPr>
          <w:rFonts w:cs="Times New Roman"/>
          <w:i/>
        </w:rPr>
        <w:t>Green v. Law Society of Manitoba</w:t>
      </w:r>
      <w:r w:rsidRPr="000821FA">
        <w:rPr>
          <w:rFonts w:cs="Times New Roman"/>
        </w:rPr>
        <w:t xml:space="preserve">, 2017 SCC 20, </w:t>
      </w:r>
      <w:r w:rsidRPr="008B2E92">
        <w:rPr>
          <w:rStyle w:val="sccrespondentforindexchar1"/>
          <w:rFonts w:cs="Times New Roman"/>
          <w:b w:val="0"/>
        </w:rPr>
        <w:t>[2017] 1 S.C.R. 360</w:t>
      </w:r>
      <w:r w:rsidRPr="000821FA">
        <w:rPr>
          <w:rFonts w:cs="Times New Roman"/>
        </w:rPr>
        <w:t xml:space="preserve">; </w:t>
      </w:r>
      <w:r w:rsidRPr="000821FA">
        <w:rPr>
          <w:rFonts w:cs="Times New Roman"/>
          <w:i/>
          <w:lang w:val="en"/>
        </w:rPr>
        <w:t>West Fraser Mills Ltd. v. British Columbia (Workers’ Compensation Appeal Tribunal)</w:t>
      </w:r>
      <w:r w:rsidRPr="000821FA">
        <w:rPr>
          <w:rFonts w:cs="Times New Roman"/>
          <w:lang w:val="en"/>
        </w:rPr>
        <w:t xml:space="preserve">, 2018 SCC 22, </w:t>
      </w:r>
      <w:r w:rsidRPr="000821FA">
        <w:rPr>
          <w:rStyle w:val="sccrespondentforrunningheadchar1"/>
          <w:rFonts w:cs="Times New Roman"/>
        </w:rPr>
        <w:t>[2018] 1 S.C.R. 635</w:t>
      </w:r>
      <w:r w:rsidRPr="000821FA">
        <w:rPr>
          <w:rFonts w:cs="Times New Roman"/>
          <w:lang w:val="en"/>
        </w:rPr>
        <w:t>.</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In </w:t>
      </w:r>
      <w:r w:rsidRPr="000821FA">
        <w:rPr>
          <w:rFonts w:cs="Times New Roman"/>
          <w:i/>
        </w:rPr>
        <w:t>CHRC</w:t>
      </w:r>
      <w:r w:rsidRPr="000821FA">
        <w:rPr>
          <w:rFonts w:cs="Times New Roman"/>
        </w:rPr>
        <w:t xml:space="preserve">, the majority, while noting this inherent difficulty — and the negative impact on litigants of the resulting uncertainty in the law — nonetheless left the question of whether the category of true questions of jurisdiction remains necessary to be determined in a later case. After hearing submissions on this issue and having an adequate opportunity for reflection on this point, we are now in a position to conclude that it is not necessary to maintain this category of correctness review. The arguments that support maintaining this category — in particular the concern that a delegated decision maker should not be free to determine the scope of its own authority — can be addressed adequately by applying the framework for conducting reasonableness review that we describe below. Reasonableness review is both robust and responsive to context. A proper application of the reasonableness standard will enable courts to </w:t>
      </w:r>
      <w:r w:rsidRPr="000821FA">
        <w:rPr>
          <w:rFonts w:cs="Times New Roman"/>
        </w:rPr>
        <w:lastRenderedPageBreak/>
        <w:t xml:space="preserve">fulfill their constitutional duty to ensure that administrative bodies have acted within the scope of their lawful authority without having to conduct a preliminary assessment regarding whether a particular interpretation raises a “truly” or “narrowly” jurisdictional issue and without having to apply the correctness standard. </w:t>
      </w:r>
    </w:p>
    <w:p w:rsidR="008B0231" w:rsidRPr="000821FA" w:rsidRDefault="008B0231" w:rsidP="00AE4773">
      <w:pPr>
        <w:pStyle w:val="ParaNoNdepar-AltN"/>
        <w:tabs>
          <w:tab w:val="clear" w:pos="1166"/>
          <w:tab w:val="clear" w:pos="1422"/>
          <w:tab w:val="num" w:pos="1152"/>
        </w:tabs>
        <w:ind w:left="0"/>
        <w:rPr>
          <w:rFonts w:cs="Times New Roman"/>
          <w:lang w:val="en-US"/>
        </w:rPr>
      </w:pPr>
      <w:r w:rsidRPr="000821FA">
        <w:rPr>
          <w:rFonts w:cs="Times New Roman"/>
          <w:lang w:val="en-US"/>
        </w:rPr>
        <w:t xml:space="preserve">Reasonableness review does not give administrative decision makers </w:t>
      </w:r>
      <w:r w:rsidRPr="000821FA">
        <w:rPr>
          <w:rFonts w:cs="Times New Roman"/>
        </w:rPr>
        <w:t xml:space="preserve">free rein in interpreting their enabling statutes, and therefore does not give them licence to enlarge their powers beyond what the legislature intended. Instead, it confirms that the governing statutory scheme will always operate as a constraint on administrative decision makers and </w:t>
      </w:r>
      <w:r w:rsidR="00484BDB">
        <w:rPr>
          <w:rFonts w:cs="Times New Roman"/>
        </w:rPr>
        <w:t xml:space="preserve">as a limit on their authority. </w:t>
      </w:r>
      <w:r w:rsidRPr="000821FA">
        <w:rPr>
          <w:rFonts w:cs="Times New Roman"/>
        </w:rPr>
        <w:t xml:space="preserve">Even where the reasonableness standard is applied in reviewing a decision maker’s interpretation of its authority, precise or narrow statutory language will necessarily limit the number of </w:t>
      </w:r>
      <w:r w:rsidRPr="000821FA">
        <w:rPr>
          <w:rFonts w:cs="Times New Roman"/>
          <w:i/>
        </w:rPr>
        <w:t xml:space="preserve">reasonable </w:t>
      </w:r>
      <w:r w:rsidRPr="000821FA">
        <w:rPr>
          <w:rFonts w:cs="Times New Roman"/>
        </w:rPr>
        <w:t xml:space="preserve">interpretations open to the decision maker — perhaps limiting it </w:t>
      </w:r>
      <w:r w:rsidR="00FF7578">
        <w:rPr>
          <w:rFonts w:cs="Times New Roman"/>
        </w:rPr>
        <w:t xml:space="preserve">to </w:t>
      </w:r>
      <w:r w:rsidRPr="000821FA">
        <w:rPr>
          <w:rFonts w:cs="Times New Roman"/>
        </w:rPr>
        <w:t>one. Conversely, where the legislature has afforded a decision maker broad powers in general terms — and has provided no right of appeal to a court — the legislature’s intention that the decision maker have greater leeway in interpreting its enabling statute should be given effect.</w:t>
      </w:r>
      <w:r w:rsidRPr="000821FA">
        <w:rPr>
          <w:rFonts w:cs="Times New Roman"/>
          <w:lang w:val="en-US"/>
        </w:rPr>
        <w:t xml:space="preserve"> Without seeking to import the U.S. jurisprudence on this issue wholesale, we find that</w:t>
      </w:r>
      <w:r w:rsidRPr="000821FA">
        <w:rPr>
          <w:rFonts w:cs="Times New Roman"/>
        </w:rPr>
        <w:t xml:space="preserve"> the following comments of the Supreme Court of the United States in </w:t>
      </w:r>
      <w:r w:rsidRPr="000821FA">
        <w:rPr>
          <w:rFonts w:cs="Times New Roman"/>
          <w:i/>
        </w:rPr>
        <w:t>Arlington</w:t>
      </w:r>
      <w:r w:rsidRPr="000821FA">
        <w:rPr>
          <w:rFonts w:cs="Times New Roman"/>
        </w:rPr>
        <w:t>, at p. 307, are apt:</w:t>
      </w:r>
    </w:p>
    <w:p w:rsidR="008B0231" w:rsidRPr="000821FA" w:rsidRDefault="008B0231" w:rsidP="008B0231">
      <w:pPr>
        <w:pStyle w:val="Citation-AltC"/>
      </w:pPr>
      <w:r w:rsidRPr="000821FA">
        <w:t>The fox-in-</w:t>
      </w:r>
      <w:r w:rsidRPr="000821FA">
        <w:softHyphen/>
        <w:t>the-henhouse syndrome is to be avoided not by establishing an arbitrary and undefinable category of agency decision-making that is accorded no deference, but by taking seriously, and applying rigorously, in all cases, statutory limits on agencies’ authority. Where [the legislature] has estab</w:t>
      </w:r>
      <w:r w:rsidRPr="000821FA">
        <w:softHyphen/>
        <w:t xml:space="preserve">lished a clear line, the agency cannot go beyond it; and where [the legislature] has established an ambiguous line, the agency can go no further </w:t>
      </w:r>
      <w:r w:rsidRPr="000821FA">
        <w:lastRenderedPageBreak/>
        <w:t xml:space="preserve">than the ambiguity will fairly allow. But in rigorously applying the latter rule, a court need not pause to puzzle over whether the interpretive question </w:t>
      </w:r>
      <w:r w:rsidR="0064152A">
        <w:t>present</w:t>
      </w:r>
      <w:r w:rsidR="00A90C1B">
        <w:t>ed is “jurisdictional</w:t>
      </w:r>
      <w:r w:rsidR="006322F7">
        <w:t>”</w:t>
      </w:r>
      <w:r w:rsidR="00A90C1B">
        <w:t>.</w:t>
      </w:r>
    </w:p>
    <w:p w:rsidR="008B0231" w:rsidRPr="000821FA" w:rsidRDefault="008B0231" w:rsidP="008B0231">
      <w:pPr>
        <w:pStyle w:val="Title2LevelTitre2Niveau"/>
        <w:numPr>
          <w:ilvl w:val="1"/>
          <w:numId w:val="3"/>
        </w:numPr>
        <w:jc w:val="both"/>
        <w:rPr>
          <w:rFonts w:cs="Times New Roman"/>
        </w:rPr>
      </w:pPr>
      <w:r w:rsidRPr="000821FA">
        <w:rPr>
          <w:rFonts w:cs="Times New Roman"/>
        </w:rPr>
        <w:t xml:space="preserve">Other Circumstances Requiring a Derogation </w:t>
      </w:r>
      <w:r w:rsidR="0064152A">
        <w:rPr>
          <w:rFonts w:cs="Times New Roman"/>
        </w:rPr>
        <w:t>F</w:t>
      </w:r>
      <w:r w:rsidRPr="000821FA">
        <w:rPr>
          <w:rFonts w:cs="Times New Roman"/>
        </w:rPr>
        <w:t>rom the Presumption of Reasonableness Review</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In these reasons, we have identified five situations in which a derogation from the presumption of reasonableness review is warranted either on the basis of legislative intent (i.e., legislated standards of review and statutory appeal mechanisms) or because correctness review is required by the rule of law (i.e., constitutional questions, general questions of law of central importance to the legal system as a whole, and questions regarding jurisdictional boundaries between administrative bodies). This framework is the product of careful consideration undertaken following extensive submissions and based on a thorough review of the relevant jurisprudence. We are of the view, at this time, that these reasons address all of the situations in which a reviewing court should derogate from the presumption of reasonableness review. As previously indicated, courts should no longer engage in a contextual inquiry to determine the standard of review or to rebut the presumption of reasonableness review. Letting go of</w:t>
      </w:r>
      <w:r w:rsidRPr="000821FA">
        <w:rPr>
          <w:rFonts w:cs="Times New Roman"/>
          <w:lang w:val="en"/>
        </w:rPr>
        <w:t xml:space="preserve"> this contextual approach will, we hope, “get the parties away from arguing about the tests and back to arguing about the substantive merits of their case”: </w:t>
      </w:r>
      <w:r w:rsidRPr="000821FA">
        <w:rPr>
          <w:rFonts w:cs="Times New Roman"/>
          <w:i/>
          <w:iCs/>
        </w:rPr>
        <w:t>Alberta Teachers</w:t>
      </w:r>
      <w:r w:rsidRPr="000821FA">
        <w:rPr>
          <w:rFonts w:cs="Times New Roman"/>
        </w:rPr>
        <w:t>, at para. 36, quoting </w:t>
      </w:r>
      <w:r w:rsidRPr="000821FA">
        <w:rPr>
          <w:rFonts w:cs="Times New Roman"/>
          <w:i/>
          <w:iCs/>
        </w:rPr>
        <w:t>Dunsmuir</w:t>
      </w:r>
      <w:r w:rsidRPr="000821FA">
        <w:rPr>
          <w:rFonts w:cs="Times New Roman"/>
        </w:rPr>
        <w:t xml:space="preserve">, at para. 145, per Binnie J., concurring.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However, we would not definitively foreclose the possibility that another category could be recognized as requiring a derogation from the presumption of </w:t>
      </w:r>
      <w:r w:rsidRPr="000821FA">
        <w:rPr>
          <w:rFonts w:cs="Times New Roman"/>
        </w:rPr>
        <w:lastRenderedPageBreak/>
        <w:t>reasonableness review in a future case. But our reluctance to pronounce that the list of exceptions to the application of a reasonableness standard is closed should not be understood as inviting the routine establishment of new categories requiring correctness review. Rather, it is a recognition that it would be unrealistic to declare that we have contemplated every possible set of circumstances in which legislative intent or the rule of law will require a derogation from the presumption of reasonableness review. That being said, the recognition of any new basis for correctness review would be exceptional and would need to be consistent with the framework and the overarching principles set out in these reasons. In other words, any new category warranting a derogation from the presumption of reasonableness review on the basis of legislative intent would require a signal of legislative intent as strong and compelling as those identified in these reasons (i.e., a legislated standard of review or a statutory appeal mechanism). Similarly, the recognition of a new category of questions requiring correctness review that is based on the rule of law would be justified only where failure to apply correctness review would undermine the rule of law and jeopardize the proper functioning of the justice system in a manner analogous to the three situations described in these reasons.</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The </w:t>
      </w:r>
      <w:r w:rsidRPr="000821FA">
        <w:rPr>
          <w:rFonts w:cs="Times New Roman"/>
          <w:i/>
        </w:rPr>
        <w:t>amici curiae</w:t>
      </w:r>
      <w:r w:rsidRPr="000821FA">
        <w:rPr>
          <w:rFonts w:cs="Times New Roman"/>
        </w:rPr>
        <w:t xml:space="preserve"> suggest that, in addition to the three categories of legal questions identified above, the Court should recognize an additional category of legal questions that would require correctness review on the basis of the rule of law: legal questions regarding which there is persistent discord or internal disagreement within an administrative body leading to legal incoherence. They</w:t>
      </w:r>
      <w:r w:rsidRPr="000821FA">
        <w:rPr>
          <w:rFonts w:cs="Times New Roman"/>
          <w:i/>
        </w:rPr>
        <w:t xml:space="preserve"> </w:t>
      </w:r>
      <w:r w:rsidRPr="000821FA">
        <w:rPr>
          <w:rFonts w:cs="Times New Roman"/>
        </w:rPr>
        <w:t xml:space="preserve">argue that correctness review </w:t>
      </w:r>
      <w:r w:rsidRPr="000821FA">
        <w:rPr>
          <w:rFonts w:cs="Times New Roman"/>
        </w:rPr>
        <w:lastRenderedPageBreak/>
        <w:t xml:space="preserve">is necessary in such situations because the rule of law breaks down where legal </w:t>
      </w:r>
      <w:r w:rsidRPr="000821FA">
        <w:rPr>
          <w:rFonts w:cs="Times New Roman"/>
          <w:lang w:bidi="en-US"/>
        </w:rPr>
        <w:t xml:space="preserve">inconsistency becomes the norm </w:t>
      </w:r>
      <w:r w:rsidRPr="000821FA">
        <w:rPr>
          <w:rFonts w:cs="Times New Roman"/>
        </w:rPr>
        <w:t>and the law’s meaning comes to depend on the identity of the decision maker. The</w:t>
      </w:r>
      <w:r w:rsidRPr="000821FA">
        <w:rPr>
          <w:rFonts w:cs="Times New Roman"/>
          <w:i/>
        </w:rPr>
        <w:t xml:space="preserve"> amici curiae </w:t>
      </w:r>
      <w:r w:rsidRPr="000821FA">
        <w:rPr>
          <w:rFonts w:cs="Times New Roman"/>
        </w:rPr>
        <w:t xml:space="preserve">submit that, where competing reasonable legal interpretations linger over time at the administrative level — such that a statute comes to mean, simultaneously, both “yes” and “no” — the courts must step in to provide a determinative answer to the question without according deference to the administrative decision maker: factum of the </w:t>
      </w:r>
      <w:r w:rsidRPr="000821FA">
        <w:rPr>
          <w:rFonts w:cs="Times New Roman"/>
          <w:i/>
        </w:rPr>
        <w:t>amici curiae</w:t>
      </w:r>
      <w:r w:rsidRPr="000821FA">
        <w:rPr>
          <w:rFonts w:cs="Times New Roman"/>
        </w:rPr>
        <w:t>, at para. 91.</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We are not persuaded that the Court should recognize a distinct correctness category for legal questions on which there is persistent discord within an administrative body. In </w:t>
      </w:r>
      <w:r w:rsidRPr="000821FA">
        <w:rPr>
          <w:rFonts w:cs="Times New Roman"/>
          <w:i/>
          <w:lang w:val="en-GB"/>
        </w:rPr>
        <w:t xml:space="preserve">Domtar Inc. v. Quebec (Commission </w:t>
      </w:r>
      <w:proofErr w:type="spellStart"/>
      <w:r w:rsidRPr="000821FA">
        <w:rPr>
          <w:rFonts w:cs="Times New Roman"/>
          <w:i/>
          <w:lang w:val="en-GB"/>
        </w:rPr>
        <w:t>d’appel</w:t>
      </w:r>
      <w:proofErr w:type="spellEnd"/>
      <w:r w:rsidRPr="000821FA">
        <w:rPr>
          <w:rFonts w:cs="Times New Roman"/>
          <w:i/>
          <w:lang w:val="en-GB"/>
        </w:rPr>
        <w:t xml:space="preserve"> </w:t>
      </w:r>
      <w:proofErr w:type="spellStart"/>
      <w:r w:rsidRPr="000821FA">
        <w:rPr>
          <w:rFonts w:cs="Times New Roman"/>
          <w:i/>
          <w:lang w:val="en-GB"/>
        </w:rPr>
        <w:t>en</w:t>
      </w:r>
      <w:proofErr w:type="spellEnd"/>
      <w:r w:rsidRPr="000821FA">
        <w:rPr>
          <w:rFonts w:cs="Times New Roman"/>
          <w:i/>
          <w:lang w:val="en-GB"/>
        </w:rPr>
        <w:t xml:space="preserve"> </w:t>
      </w:r>
      <w:proofErr w:type="spellStart"/>
      <w:r w:rsidRPr="000821FA">
        <w:rPr>
          <w:rFonts w:cs="Times New Roman"/>
          <w:i/>
          <w:lang w:val="en-GB"/>
        </w:rPr>
        <w:t>matière</w:t>
      </w:r>
      <w:proofErr w:type="spellEnd"/>
      <w:r w:rsidRPr="000821FA">
        <w:rPr>
          <w:rFonts w:cs="Times New Roman"/>
          <w:i/>
          <w:lang w:val="en-GB"/>
        </w:rPr>
        <w:t xml:space="preserve"> de </w:t>
      </w:r>
      <w:proofErr w:type="spellStart"/>
      <w:r w:rsidRPr="000821FA">
        <w:rPr>
          <w:rFonts w:cs="Times New Roman"/>
          <w:i/>
          <w:lang w:val="en-GB"/>
        </w:rPr>
        <w:t>lésions</w:t>
      </w:r>
      <w:proofErr w:type="spellEnd"/>
      <w:r w:rsidRPr="000821FA">
        <w:rPr>
          <w:rFonts w:cs="Times New Roman"/>
          <w:i/>
          <w:lang w:val="en-GB"/>
        </w:rPr>
        <w:t xml:space="preserve"> </w:t>
      </w:r>
      <w:proofErr w:type="spellStart"/>
      <w:r w:rsidRPr="000821FA">
        <w:rPr>
          <w:rFonts w:cs="Times New Roman"/>
          <w:i/>
          <w:lang w:val="en-GB"/>
        </w:rPr>
        <w:t>professionnelles</w:t>
      </w:r>
      <w:proofErr w:type="spellEnd"/>
      <w:r w:rsidRPr="000821FA">
        <w:rPr>
          <w:rFonts w:cs="Times New Roman"/>
          <w:i/>
          <w:lang w:val="en-GB"/>
        </w:rPr>
        <w:t>)</w:t>
      </w:r>
      <w:r w:rsidRPr="000821FA">
        <w:rPr>
          <w:rFonts w:cs="Times New Roman"/>
          <w:lang w:val="en-GB"/>
        </w:rPr>
        <w:t xml:space="preserve">, [1993] 2 S.C.R. 756, this Court held that “a lack of unanimity [within a tribunal] is the price to pay for the decision-making freedom and independence given to the members of these tribunals”: p. 800; see also </w:t>
      </w:r>
      <w:r w:rsidRPr="000821FA">
        <w:rPr>
          <w:rFonts w:cs="Times New Roman"/>
          <w:i/>
          <w:lang w:val="en-GB"/>
        </w:rPr>
        <w:t>Ellis-Don Ltd. v. Ontario (Labour Relations Board)</w:t>
      </w:r>
      <w:r w:rsidRPr="000821FA">
        <w:rPr>
          <w:rFonts w:cs="Times New Roman"/>
          <w:lang w:val="en-GB"/>
        </w:rPr>
        <w:t xml:space="preserve">, 2001 SCC 4, </w:t>
      </w:r>
      <w:r w:rsidRPr="000821FA">
        <w:rPr>
          <w:rFonts w:cs="Times New Roman"/>
          <w:lang w:val="en"/>
        </w:rPr>
        <w:t xml:space="preserve">[2001] 1 S.C.R. 221, </w:t>
      </w:r>
      <w:r w:rsidRPr="000821FA">
        <w:rPr>
          <w:rFonts w:cs="Times New Roman"/>
          <w:lang w:val="en-GB"/>
        </w:rPr>
        <w:t>at para. 28. That said, we</w:t>
      </w:r>
      <w:r w:rsidRPr="000821FA">
        <w:rPr>
          <w:rFonts w:cs="Times New Roman"/>
        </w:rPr>
        <w:t xml:space="preserve"> agree that the hypothetical scenario suggested by the </w:t>
      </w:r>
      <w:r w:rsidRPr="000821FA">
        <w:rPr>
          <w:rFonts w:cs="Times New Roman"/>
          <w:i/>
        </w:rPr>
        <w:t>amici curiae</w:t>
      </w:r>
      <w:r w:rsidRPr="000821FA">
        <w:rPr>
          <w:rFonts w:cs="Times New Roman"/>
        </w:rPr>
        <w:t xml:space="preserve"> — in which the law’s meaning depends on the identity of the individual decision maker, thereby leading to legal incoherence — is antithetical to the rule of law. In our view, however, the more robust form of reasonableness review set out below, which accounts for the value of consistency and the threat of arbitrariness, is capable, in tandem with internal administrative processes to promote consistency and with legislative oversight (see </w:t>
      </w:r>
      <w:r w:rsidRPr="000821FA">
        <w:rPr>
          <w:rFonts w:cs="Times New Roman"/>
          <w:i/>
        </w:rPr>
        <w:t>Domtar</w:t>
      </w:r>
      <w:r w:rsidRPr="000821FA">
        <w:rPr>
          <w:rFonts w:cs="Times New Roman"/>
        </w:rPr>
        <w:t>,</w:t>
      </w:r>
      <w:r w:rsidRPr="000821FA">
        <w:rPr>
          <w:rFonts w:cs="Times New Roman"/>
          <w:i/>
        </w:rPr>
        <w:t xml:space="preserve"> </w:t>
      </w:r>
      <w:r w:rsidRPr="000821FA">
        <w:rPr>
          <w:rFonts w:cs="Times New Roman"/>
        </w:rPr>
        <w:t xml:space="preserve">at p. 801), of guarding against threats to the rule of law. Moreover, the precise point at which internal discord on a point of law would be so serious, persistent </w:t>
      </w:r>
      <w:r w:rsidRPr="000821FA">
        <w:rPr>
          <w:rFonts w:cs="Times New Roman"/>
        </w:rPr>
        <w:lastRenderedPageBreak/>
        <w:t xml:space="preserve">and unresolvable that the resulting situation would amount to “legal incoherence” and require a court to step in is not obvious. Given these practical difficulties, this Court’s binding jurisprudence and the hypothetical nature of the problem, we decline to recognize such a category in this appeal. </w:t>
      </w:r>
    </w:p>
    <w:p w:rsidR="008B0231" w:rsidRPr="000821FA" w:rsidRDefault="008B0231" w:rsidP="008B0231">
      <w:pPr>
        <w:pStyle w:val="Title1LevelTitre1Niveau-AltL"/>
        <w:numPr>
          <w:ilvl w:val="0"/>
          <w:numId w:val="3"/>
        </w:numPr>
        <w:rPr>
          <w:rFonts w:cs="Times New Roman"/>
        </w:rPr>
      </w:pPr>
      <w:r w:rsidRPr="000821FA">
        <w:rPr>
          <w:rFonts w:cs="Times New Roman"/>
        </w:rPr>
        <w:t>Performing Reasonableness Review</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This Court’s administrative law jurisprudence has historically focused on the analytical framework used to determine the applicable standard of review, while providing relatively little guidance on how to conduct reasonableness review in practice.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In this section of our reasons, we endeavour to provide that guidance. The approach we set out is one that focuses on justification, offers methodological consistency and reinforces the principle “that reasoned decision-making is the lynchpin of institutional legitimacy”: factum</w:t>
      </w:r>
      <w:r w:rsidR="00591AF0">
        <w:rPr>
          <w:rFonts w:cs="Times New Roman"/>
        </w:rPr>
        <w:t xml:space="preserve"> of the </w:t>
      </w:r>
      <w:r w:rsidR="00591AF0" w:rsidRPr="00591AF0">
        <w:rPr>
          <w:rFonts w:cs="Times New Roman"/>
          <w:i/>
        </w:rPr>
        <w:t>amici curiae</w:t>
      </w:r>
      <w:r w:rsidRPr="000821FA">
        <w:rPr>
          <w:rFonts w:cs="Times New Roman"/>
        </w:rPr>
        <w:t xml:space="preserve">, at para. 12.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We pause to note that our colleagues’ approach to reasonableness review is not fundamentally dissimilar to ours. Our colleagues emphasize that reviewing courts should respect administrative decision makers and their specialized expertise, should not ask how they themselves would have resolved an issue and should focus on whether the applicant has demonstrated that the decision is unreasonable: paras. 288, 289 and 291. We agree. As we have stated above, at para. 13, reasonableness review finds </w:t>
      </w:r>
      <w:proofErr w:type="gramStart"/>
      <w:r w:rsidRPr="000821FA">
        <w:rPr>
          <w:rFonts w:cs="Times New Roman"/>
        </w:rPr>
        <w:t>its</w:t>
      </w:r>
      <w:proofErr w:type="gramEnd"/>
      <w:r w:rsidRPr="000821FA">
        <w:rPr>
          <w:rFonts w:cs="Times New Roman"/>
        </w:rPr>
        <w:t xml:space="preserve"> starting point in judicial restraint and respects the distinct role of administrative </w:t>
      </w:r>
      <w:r w:rsidRPr="000821FA">
        <w:rPr>
          <w:rFonts w:cs="Times New Roman"/>
        </w:rPr>
        <w:lastRenderedPageBreak/>
        <w:t xml:space="preserve">decision makers. Moreover, as explained below, reasonableness review considers all relevant circumstances in order to determine whether the applicant has met their onus. </w:t>
      </w:r>
    </w:p>
    <w:p w:rsidR="008B0231" w:rsidRPr="000821FA" w:rsidRDefault="008B0231" w:rsidP="008B0231">
      <w:pPr>
        <w:pStyle w:val="Title2LevelTitre2Niveau"/>
        <w:numPr>
          <w:ilvl w:val="1"/>
          <w:numId w:val="3"/>
        </w:numPr>
        <w:rPr>
          <w:rFonts w:cs="Times New Roman"/>
        </w:rPr>
      </w:pPr>
      <w:r w:rsidRPr="000821FA">
        <w:rPr>
          <w:rFonts w:cs="Times New Roman"/>
        </w:rPr>
        <w:t>Procedural Fairness and Substantive Review</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Before turning to a discussion of the proposed approach to reasonableness review, we pause to acknowledge that the requirements of the duty of procedural fairness in a given case — and in particular whether that duty requires a decision maker to give reasons for its decision — will impact how a court conducts reasonableness review.</w:t>
      </w:r>
    </w:p>
    <w:p w:rsidR="008B0231" w:rsidRPr="000821FA" w:rsidRDefault="008B0231" w:rsidP="00AE4773">
      <w:pPr>
        <w:pStyle w:val="ParaNoNdepar-AltN"/>
        <w:tabs>
          <w:tab w:val="clear" w:pos="1166"/>
          <w:tab w:val="clear" w:pos="1422"/>
          <w:tab w:val="num" w:pos="1152"/>
        </w:tabs>
        <w:ind w:left="0"/>
        <w:rPr>
          <w:rFonts w:cs="Times New Roman"/>
          <w:lang w:val="en-US"/>
        </w:rPr>
      </w:pPr>
      <w:r w:rsidRPr="000821FA">
        <w:rPr>
          <w:rFonts w:cs="Times New Roman"/>
        </w:rPr>
        <w:t>It is well established that, as a matter of procedural fairness, reasons are not required for all administrative decisions.</w:t>
      </w:r>
      <w:r w:rsidRPr="000821FA" w:rsidDel="007B756E">
        <w:rPr>
          <w:rFonts w:cs="Times New Roman"/>
        </w:rPr>
        <w:t xml:space="preserve"> </w:t>
      </w:r>
      <w:r w:rsidRPr="000821FA">
        <w:rPr>
          <w:rFonts w:cs="Times New Roman"/>
        </w:rPr>
        <w:t xml:space="preserve">The duty of procedural fairness in administrative law is “eminently variable”, inherently flexible and context-specific: </w:t>
      </w:r>
      <w:r w:rsidRPr="000821FA">
        <w:rPr>
          <w:rFonts w:cs="Times New Roman"/>
          <w:i/>
        </w:rPr>
        <w:t>Knight v. Indian Head School Division No. 19</w:t>
      </w:r>
      <w:r w:rsidRPr="000821FA">
        <w:rPr>
          <w:rFonts w:cs="Times New Roman"/>
        </w:rPr>
        <w:t xml:space="preserve">, [1990] 1 S.C.R. 653, at p. 682; </w:t>
      </w:r>
      <w:r w:rsidRPr="000821FA">
        <w:rPr>
          <w:rFonts w:cs="Times New Roman"/>
          <w:i/>
        </w:rPr>
        <w:t>Baker v. Canada (Minister of Citizenship and Immigration)</w:t>
      </w:r>
      <w:r w:rsidRPr="000821FA">
        <w:rPr>
          <w:rFonts w:cs="Times New Roman"/>
        </w:rPr>
        <w:t>,</w:t>
      </w:r>
      <w:r w:rsidRPr="000821FA">
        <w:rPr>
          <w:rFonts w:cs="Times New Roman"/>
          <w:i/>
        </w:rPr>
        <w:t xml:space="preserve"> </w:t>
      </w:r>
      <w:r w:rsidRPr="000821FA">
        <w:rPr>
          <w:rFonts w:cs="Times New Roman"/>
        </w:rPr>
        <w:t xml:space="preserve">[1999] 2 S.C.R. 817, at paras. 22-23; </w:t>
      </w:r>
      <w:r w:rsidRPr="000821FA">
        <w:rPr>
          <w:rFonts w:cs="Times New Roman"/>
          <w:i/>
        </w:rPr>
        <w:t>Moreau-</w:t>
      </w:r>
      <w:proofErr w:type="spellStart"/>
      <w:r w:rsidRPr="000821FA">
        <w:rPr>
          <w:rFonts w:cs="Times New Roman"/>
          <w:i/>
        </w:rPr>
        <w:t>Bérubé</w:t>
      </w:r>
      <w:proofErr w:type="spellEnd"/>
      <w:r w:rsidRPr="000821FA">
        <w:rPr>
          <w:rFonts w:cs="Times New Roman"/>
        </w:rPr>
        <w:t xml:space="preserve">, at paras. </w:t>
      </w:r>
      <w:r w:rsidRPr="002F6F63">
        <w:rPr>
          <w:rFonts w:cs="Times New Roman"/>
        </w:rPr>
        <w:t>74</w:t>
      </w:r>
      <w:r w:rsidRPr="002F6F63">
        <w:rPr>
          <w:rFonts w:eastAsia="MS Mincho" w:cs="Times New Roman"/>
        </w:rPr>
        <w:t>‑</w:t>
      </w:r>
      <w:r w:rsidRPr="002F6F63">
        <w:rPr>
          <w:rFonts w:cs="Times New Roman"/>
        </w:rPr>
        <w:t>75</w:t>
      </w:r>
      <w:r w:rsidRPr="000821FA">
        <w:rPr>
          <w:rFonts w:cs="Times New Roman"/>
        </w:rPr>
        <w:t xml:space="preserve">; </w:t>
      </w:r>
      <w:r w:rsidRPr="000821FA">
        <w:rPr>
          <w:rFonts w:cs="Times New Roman"/>
          <w:i/>
        </w:rPr>
        <w:t>Dunsmuir</w:t>
      </w:r>
      <w:r w:rsidRPr="000821FA">
        <w:rPr>
          <w:rFonts w:cs="Times New Roman"/>
        </w:rPr>
        <w:t xml:space="preserve">, at para. 79. Where a particular administrative decision-making context gives rise to a duty of procedural fairness, the specific procedural requirements that the duty imposes are determined with reference to all of the circumstances: </w:t>
      </w:r>
      <w:r w:rsidRPr="000821FA">
        <w:rPr>
          <w:rFonts w:cs="Times New Roman"/>
          <w:i/>
          <w:lang w:val="en-US"/>
        </w:rPr>
        <w:t>Baker</w:t>
      </w:r>
      <w:r w:rsidRPr="000821FA">
        <w:rPr>
          <w:rFonts w:cs="Times New Roman"/>
          <w:lang w:val="en-US"/>
        </w:rPr>
        <w:t>, at para. 21</w:t>
      </w:r>
      <w:r w:rsidRPr="000821FA">
        <w:rPr>
          <w:rFonts w:cs="Times New Roman"/>
        </w:rPr>
        <w:t xml:space="preserve">. In </w:t>
      </w:r>
      <w:r w:rsidRPr="000821FA">
        <w:rPr>
          <w:rFonts w:cs="Times New Roman"/>
          <w:i/>
        </w:rPr>
        <w:t>Baker</w:t>
      </w:r>
      <w:r w:rsidRPr="000821FA">
        <w:rPr>
          <w:rFonts w:cs="Times New Roman"/>
        </w:rPr>
        <w:t>, this Court set out a non-exhaustive list of</w:t>
      </w:r>
      <w:r w:rsidRPr="000821FA">
        <w:rPr>
          <w:rFonts w:cs="Times New Roman"/>
          <w:i/>
        </w:rPr>
        <w:t xml:space="preserve"> </w:t>
      </w:r>
      <w:r w:rsidRPr="000821FA">
        <w:rPr>
          <w:rFonts w:cs="Times New Roman"/>
        </w:rPr>
        <w:t xml:space="preserve">factors that inform the content of the duty of procedural fairness in a particular case, one aspect of which is whether written reasons are required. Those factors include: (1) the nature of the decision being made and the process followed in making it; (2) the nature of the statutory scheme; (3) the importance of the decision to </w:t>
      </w:r>
      <w:r w:rsidRPr="000821FA">
        <w:rPr>
          <w:rFonts w:cs="Times New Roman"/>
        </w:rPr>
        <w:lastRenderedPageBreak/>
        <w:t xml:space="preserve">the individual or individuals affected; (4) the legitimate expectations of the person challenging the decision; and (5) the choices of procedure made by the administrative decision maker itself: </w:t>
      </w:r>
      <w:r w:rsidRPr="000821FA">
        <w:rPr>
          <w:rFonts w:cs="Times New Roman"/>
          <w:i/>
        </w:rPr>
        <w:t>Baker</w:t>
      </w:r>
      <w:r w:rsidRPr="000821FA">
        <w:rPr>
          <w:rFonts w:cs="Times New Roman"/>
        </w:rPr>
        <w:t xml:space="preserve">, at paras. </w:t>
      </w:r>
      <w:r w:rsidRPr="000821FA">
        <w:rPr>
          <w:rFonts w:cs="Times New Roman"/>
          <w:lang w:val="fr-CA"/>
        </w:rPr>
        <w:t xml:space="preserve">23-27; </w:t>
      </w:r>
      <w:proofErr w:type="spellStart"/>
      <w:r w:rsidRPr="000821FA">
        <w:rPr>
          <w:rFonts w:cs="Times New Roman"/>
          <w:lang w:val="fr-CA"/>
        </w:rPr>
        <w:t>see</w:t>
      </w:r>
      <w:proofErr w:type="spellEnd"/>
      <w:r w:rsidRPr="000821FA">
        <w:rPr>
          <w:rFonts w:cs="Times New Roman"/>
          <w:lang w:val="fr-CA"/>
        </w:rPr>
        <w:t xml:space="preserve"> </w:t>
      </w:r>
      <w:proofErr w:type="spellStart"/>
      <w:r w:rsidRPr="000821FA">
        <w:rPr>
          <w:rFonts w:cs="Times New Roman"/>
          <w:lang w:val="fr-CA"/>
        </w:rPr>
        <w:t>also</w:t>
      </w:r>
      <w:proofErr w:type="spellEnd"/>
      <w:r w:rsidRPr="000821FA">
        <w:rPr>
          <w:rFonts w:cs="Times New Roman"/>
          <w:i/>
          <w:lang w:val="fr-CA"/>
        </w:rPr>
        <w:t xml:space="preserve"> Congrégation des témoins de Jéhovah de St-Jérôme-Lafontaine v. Lafontaine (Village)</w:t>
      </w:r>
      <w:r w:rsidRPr="000821FA">
        <w:rPr>
          <w:rFonts w:cs="Times New Roman"/>
          <w:lang w:val="fr-CA"/>
        </w:rPr>
        <w:t>,</w:t>
      </w:r>
      <w:r w:rsidRPr="000821FA">
        <w:rPr>
          <w:rFonts w:cs="Times New Roman"/>
          <w:i/>
          <w:lang w:val="fr-CA"/>
        </w:rPr>
        <w:t xml:space="preserve"> </w:t>
      </w:r>
      <w:r w:rsidRPr="000821FA">
        <w:rPr>
          <w:rFonts w:cs="Times New Roman"/>
          <w:lang w:val="fr-CA"/>
        </w:rPr>
        <w:t xml:space="preserve">2004 SCC 48, [2004] 2 S.C.R. 650, at para. </w:t>
      </w:r>
      <w:r w:rsidRPr="000821FA">
        <w:rPr>
          <w:rFonts w:cs="Times New Roman"/>
        </w:rPr>
        <w:t xml:space="preserve">5. Cases in which written reasons tend to be required include those in which the decision-making process gives the parties participatory rights, an adverse decision would have a significant impact on an individual or there is a right of appeal: </w:t>
      </w:r>
      <w:r w:rsidRPr="000821FA">
        <w:rPr>
          <w:rFonts w:cs="Times New Roman"/>
          <w:i/>
        </w:rPr>
        <w:t>Baker</w:t>
      </w:r>
      <w:r w:rsidRPr="000821FA">
        <w:rPr>
          <w:rFonts w:cs="Times New Roman"/>
        </w:rPr>
        <w:t xml:space="preserve">, at para. 43; </w:t>
      </w:r>
      <w:r w:rsidRPr="000821FA">
        <w:rPr>
          <w:rFonts w:cs="Times New Roman"/>
          <w:lang w:val="en"/>
        </w:rPr>
        <w:t>D. J. M. Brown and the Hon. J. M. Evans, with the assistance of D.</w:t>
      </w:r>
      <w:r>
        <w:rPr>
          <w:rFonts w:cs="Times New Roman"/>
          <w:lang w:val="en"/>
        </w:rPr>
        <w:t> </w:t>
      </w:r>
      <w:proofErr w:type="spellStart"/>
      <w:r w:rsidRPr="000821FA">
        <w:rPr>
          <w:rFonts w:cs="Times New Roman"/>
          <w:lang w:val="en"/>
        </w:rPr>
        <w:t>Fairlie</w:t>
      </w:r>
      <w:proofErr w:type="spellEnd"/>
      <w:r w:rsidRPr="000821FA">
        <w:rPr>
          <w:rFonts w:cs="Times New Roman"/>
          <w:lang w:val="en"/>
        </w:rPr>
        <w:t xml:space="preserve">, </w:t>
      </w:r>
      <w:r w:rsidRPr="000821FA">
        <w:rPr>
          <w:rFonts w:cs="Times New Roman"/>
          <w:i/>
          <w:iCs/>
          <w:lang w:val="en"/>
        </w:rPr>
        <w:t xml:space="preserve">Judicial Review of Administrative Action in Canada </w:t>
      </w:r>
      <w:r w:rsidRPr="000821FA">
        <w:rPr>
          <w:rFonts w:cs="Times New Roman"/>
          <w:lang w:val="en"/>
        </w:rPr>
        <w:t>(loose-leaf), vol. 3, at p. 12-54.</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lang w:val="en-US"/>
        </w:rPr>
        <w:t xml:space="preserve">In </w:t>
      </w:r>
      <w:r w:rsidRPr="000821FA">
        <w:rPr>
          <w:rFonts w:cs="Times New Roman"/>
        </w:rPr>
        <w:t>the case at bar and in its companion cases, reasons for the administrative decisions at issue were both required and provided. Our discussion of the proper approach to reasonableness review will therefore focus on the circumstances in which reasons for an administrative decision are required and available to the reviewing court.</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Notwithstanding the important differences between the administrative context and the judicial context, reasons generally serve many of the same purposes in the former as in the latter: </w:t>
      </w:r>
      <w:r w:rsidRPr="000821FA">
        <w:rPr>
          <w:rFonts w:cs="Times New Roman"/>
          <w:i/>
        </w:rPr>
        <w:t>R. v. Sheppard</w:t>
      </w:r>
      <w:r w:rsidRPr="000821FA">
        <w:rPr>
          <w:rFonts w:cs="Times New Roman"/>
        </w:rPr>
        <w:t>,</w:t>
      </w:r>
      <w:r w:rsidRPr="000821FA">
        <w:rPr>
          <w:rFonts w:cs="Times New Roman"/>
          <w:i/>
        </w:rPr>
        <w:t xml:space="preserve"> </w:t>
      </w:r>
      <w:r w:rsidRPr="000821FA">
        <w:rPr>
          <w:rFonts w:cs="Times New Roman"/>
          <w:lang w:val="en"/>
        </w:rPr>
        <w:t>2002 SCC 26</w:t>
      </w:r>
      <w:r w:rsidRPr="000821FA">
        <w:rPr>
          <w:rFonts w:cs="Times New Roman"/>
        </w:rPr>
        <w:t xml:space="preserve">, </w:t>
      </w:r>
      <w:r w:rsidRPr="000821FA">
        <w:rPr>
          <w:rFonts w:cs="Times New Roman"/>
          <w:lang w:val="en"/>
        </w:rPr>
        <w:t>[2002] 1 S.C.R. 869,</w:t>
      </w:r>
      <w:r w:rsidRPr="000821FA">
        <w:rPr>
          <w:rFonts w:cs="Times New Roman"/>
        </w:rPr>
        <w:t xml:space="preserve"> at paras. 15 and 22-23. Reasons explain how and why a decision was made. They help to show affected parties that their arguments have been considered and demonstrate that the decision was made in a fair and lawful manner. Reasons shield against arbitrariness as well as the perception of arbitrariness in the exercise of public power: </w:t>
      </w:r>
      <w:proofErr w:type="spellStart"/>
      <w:r w:rsidRPr="000821FA">
        <w:rPr>
          <w:rFonts w:cs="Times New Roman"/>
          <w:i/>
        </w:rPr>
        <w:t>Congrégation</w:t>
      </w:r>
      <w:proofErr w:type="spellEnd"/>
      <w:r w:rsidRPr="000821FA">
        <w:rPr>
          <w:rFonts w:cs="Times New Roman"/>
          <w:i/>
        </w:rPr>
        <w:t xml:space="preserve"> </w:t>
      </w:r>
      <w:r w:rsidRPr="000821FA">
        <w:rPr>
          <w:rFonts w:cs="Times New Roman"/>
          <w:i/>
        </w:rPr>
        <w:lastRenderedPageBreak/>
        <w:t xml:space="preserve">des </w:t>
      </w:r>
      <w:proofErr w:type="spellStart"/>
      <w:r w:rsidRPr="000821FA">
        <w:rPr>
          <w:rFonts w:cs="Times New Roman"/>
          <w:i/>
        </w:rPr>
        <w:t>témoins</w:t>
      </w:r>
      <w:proofErr w:type="spellEnd"/>
      <w:r w:rsidRPr="000821FA">
        <w:rPr>
          <w:rFonts w:cs="Times New Roman"/>
          <w:i/>
        </w:rPr>
        <w:t xml:space="preserve"> de </w:t>
      </w:r>
      <w:proofErr w:type="spellStart"/>
      <w:r w:rsidRPr="000821FA">
        <w:rPr>
          <w:rFonts w:cs="Times New Roman"/>
          <w:i/>
        </w:rPr>
        <w:t>Jéhovah</w:t>
      </w:r>
      <w:proofErr w:type="spellEnd"/>
      <w:r w:rsidRPr="000821FA">
        <w:rPr>
          <w:rFonts w:cs="Times New Roman"/>
          <w:i/>
        </w:rPr>
        <w:t xml:space="preserve"> de St-</w:t>
      </w:r>
      <w:proofErr w:type="spellStart"/>
      <w:r w:rsidRPr="000821FA">
        <w:rPr>
          <w:rFonts w:cs="Times New Roman"/>
          <w:i/>
        </w:rPr>
        <w:t>Jérôme</w:t>
      </w:r>
      <w:proofErr w:type="spellEnd"/>
      <w:r w:rsidRPr="000821FA">
        <w:rPr>
          <w:rFonts w:cs="Times New Roman"/>
          <w:i/>
        </w:rPr>
        <w:t>-Lafontaine</w:t>
      </w:r>
      <w:r w:rsidRPr="000821FA">
        <w:rPr>
          <w:rFonts w:cs="Times New Roman"/>
          <w:lang w:val="en"/>
        </w:rPr>
        <w:t xml:space="preserve">, </w:t>
      </w:r>
      <w:r w:rsidRPr="000821FA">
        <w:rPr>
          <w:rFonts w:cs="Times New Roman"/>
        </w:rPr>
        <w:t xml:space="preserve">at paras. 12-13. As </w:t>
      </w:r>
      <w:proofErr w:type="spellStart"/>
      <w:r w:rsidRPr="000821FA">
        <w:rPr>
          <w:rFonts w:cs="Times New Roman"/>
        </w:rPr>
        <w:t>L’Heureux-Dubé</w:t>
      </w:r>
      <w:proofErr w:type="spellEnd"/>
      <w:r w:rsidRPr="000821FA">
        <w:rPr>
          <w:rFonts w:cs="Times New Roman"/>
        </w:rPr>
        <w:t xml:space="preserve"> J. noted in </w:t>
      </w:r>
      <w:r w:rsidRPr="000821FA">
        <w:rPr>
          <w:rFonts w:cs="Times New Roman"/>
          <w:i/>
        </w:rPr>
        <w:t>Baker</w:t>
      </w:r>
      <w:r w:rsidRPr="000821FA">
        <w:rPr>
          <w:rFonts w:cs="Times New Roman"/>
        </w:rPr>
        <w:t>, “[t]hose affected may be more likely to feel they were treated fairly and appropriately if reasons are given”: para. 39, citing S.</w:t>
      </w:r>
      <w:r w:rsidR="00366069">
        <w:rPr>
          <w:rFonts w:cs="Times New Roman"/>
        </w:rPr>
        <w:t> </w:t>
      </w:r>
      <w:r w:rsidRPr="000821FA">
        <w:rPr>
          <w:rFonts w:cs="Times New Roman"/>
        </w:rPr>
        <w:t xml:space="preserve">A. de Smith, J. Jowell and Lord Woolf, </w:t>
      </w:r>
      <w:r w:rsidRPr="000821FA">
        <w:rPr>
          <w:rFonts w:cs="Times New Roman"/>
          <w:i/>
        </w:rPr>
        <w:t xml:space="preserve">Judicial Review of Administrative Action </w:t>
      </w:r>
      <w:r w:rsidRPr="000821FA">
        <w:rPr>
          <w:rFonts w:cs="Times New Roman"/>
        </w:rPr>
        <w:t xml:space="preserve">(5th ed. 1995), at pp. 459-60. And as Jocelyn Stacey and the Hon. Alice Woolley persuasively write, “public decisions gain their democratic and legal authority through a process of public justification” which includes reasons “that justify [the] decisions [of public decision makers] in light of the constitutional, statutory and common law context in which they operate”: “Can Pragmatism Function in Administrative Law?” (2016), 74 </w:t>
      </w:r>
      <w:r w:rsidRPr="000821FA">
        <w:rPr>
          <w:rFonts w:cs="Times New Roman"/>
          <w:i/>
        </w:rPr>
        <w:t>S.C.L.R.</w:t>
      </w:r>
      <w:r w:rsidRPr="000821FA">
        <w:rPr>
          <w:rFonts w:cs="Times New Roman"/>
        </w:rPr>
        <w:t xml:space="preserve"> (2d) 211, at p. 220.</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The process of drafting reasons also necessarily encourages administrative decision makers to more carefully examine their own thinking and to better articulate their analysis in the process: </w:t>
      </w:r>
      <w:r w:rsidRPr="000821FA">
        <w:rPr>
          <w:rFonts w:cs="Times New Roman"/>
          <w:i/>
        </w:rPr>
        <w:t>Baker</w:t>
      </w:r>
      <w:r w:rsidRPr="000821FA">
        <w:rPr>
          <w:rFonts w:cs="Times New Roman"/>
        </w:rPr>
        <w:t xml:space="preserve">, at para. 39. This is what Justice Sharpe describes — albeit in the judicial context — as the “discipline of reasons”: </w:t>
      </w:r>
      <w:r w:rsidRPr="000821FA">
        <w:rPr>
          <w:rFonts w:cs="Times New Roman"/>
          <w:i/>
        </w:rPr>
        <w:t>Good Judgmen</w:t>
      </w:r>
      <w:r w:rsidRPr="00FB074D">
        <w:rPr>
          <w:rFonts w:cs="Times New Roman"/>
          <w:i/>
        </w:rPr>
        <w:t>t: M</w:t>
      </w:r>
      <w:r w:rsidRPr="000821FA">
        <w:rPr>
          <w:rFonts w:cs="Times New Roman"/>
          <w:i/>
        </w:rPr>
        <w:t>aking Judicial Decisions</w:t>
      </w:r>
      <w:r w:rsidRPr="000821FA">
        <w:rPr>
          <w:rFonts w:cs="Times New Roman"/>
        </w:rPr>
        <w:t xml:space="preserve"> (2018), at p. 134; see also </w:t>
      </w:r>
      <w:r w:rsidRPr="000821FA">
        <w:rPr>
          <w:rFonts w:cs="Times New Roman"/>
          <w:i/>
        </w:rPr>
        <w:t>Sheppard</w:t>
      </w:r>
      <w:r w:rsidRPr="000821FA">
        <w:rPr>
          <w:rFonts w:cs="Times New Roman"/>
        </w:rPr>
        <w:t xml:space="preserve">, at para. 23.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Reasons facilitate meaningful judicial review by shedding light on the rationale for a decision: </w:t>
      </w:r>
      <w:r w:rsidRPr="000821FA">
        <w:rPr>
          <w:rFonts w:cs="Times New Roman"/>
          <w:i/>
        </w:rPr>
        <w:t>Baker</w:t>
      </w:r>
      <w:r w:rsidRPr="000821FA">
        <w:rPr>
          <w:rFonts w:cs="Times New Roman"/>
        </w:rPr>
        <w:t xml:space="preserve">, at para. 39. In </w:t>
      </w:r>
      <w:r w:rsidRPr="000821FA">
        <w:rPr>
          <w:rFonts w:cs="Times New Roman"/>
          <w:i/>
          <w:lang w:val="en"/>
        </w:rPr>
        <w:t>Newfoundland and Labrador Nurses’ Union v. Newfoundland and Labrador (Treasury Board)</w:t>
      </w:r>
      <w:r w:rsidRPr="000821FA">
        <w:rPr>
          <w:rFonts w:cs="Times New Roman"/>
          <w:lang w:val="en"/>
        </w:rPr>
        <w:t>, 2011 SCC 62, [2011] 3 S.C.R. 708,</w:t>
      </w:r>
      <w:r w:rsidRPr="000821FA">
        <w:rPr>
          <w:rFonts w:cs="Times New Roman"/>
        </w:rPr>
        <w:t xml:space="preserve"> the Court reaffirmed that “the purpose of reasons, when they are required, is to demonstrate ‘justification, transparency and intelligibility’”: para. 1, quoting </w:t>
      </w:r>
      <w:r w:rsidRPr="000821FA">
        <w:rPr>
          <w:rFonts w:cs="Times New Roman"/>
          <w:i/>
        </w:rPr>
        <w:t>Dunsmuir</w:t>
      </w:r>
      <w:r w:rsidRPr="000821FA">
        <w:rPr>
          <w:rFonts w:cs="Times New Roman"/>
        </w:rPr>
        <w:t xml:space="preserve">, at para. 47; see also </w:t>
      </w:r>
      <w:r w:rsidRPr="000821FA">
        <w:rPr>
          <w:rFonts w:cs="Times New Roman"/>
          <w:i/>
          <w:iCs/>
          <w:lang w:val="en"/>
        </w:rPr>
        <w:t xml:space="preserve">Suresh v. Canada (Minister of Citizenship and </w:t>
      </w:r>
      <w:r w:rsidRPr="000821FA">
        <w:rPr>
          <w:rFonts w:cs="Times New Roman"/>
          <w:i/>
          <w:iCs/>
          <w:lang w:val="en"/>
        </w:rPr>
        <w:lastRenderedPageBreak/>
        <w:t>Immigration)</w:t>
      </w:r>
      <w:r w:rsidRPr="000821FA">
        <w:rPr>
          <w:rFonts w:cs="Times New Roman"/>
          <w:lang w:val="en"/>
        </w:rPr>
        <w:t>, 2002 SCC 1, [2002] 1 S.C.R. 3, at para. 126</w:t>
      </w:r>
      <w:r w:rsidRPr="000821FA">
        <w:rPr>
          <w:rFonts w:cs="Times New Roman"/>
        </w:rPr>
        <w:t xml:space="preserve">. The starting point for our analysis is therefore that where reasons are required, they are the primary mechanism by which administrative decision makers show that their decisions are reasonable — both to the affected parties and to the reviewing courts. It follows that the provision of reasons for an administrative decision may have implications for its legitimacy, including in terms both of whether it is procedurally fair and of whether it is substantively reasonable. </w:t>
      </w:r>
    </w:p>
    <w:p w:rsidR="008B0231" w:rsidRPr="000821FA" w:rsidRDefault="008B0231" w:rsidP="008B0231">
      <w:pPr>
        <w:pStyle w:val="Title2LevelTitre2Niveau"/>
        <w:numPr>
          <w:ilvl w:val="1"/>
          <w:numId w:val="3"/>
        </w:numPr>
        <w:jc w:val="both"/>
        <w:rPr>
          <w:rFonts w:cs="Times New Roman"/>
        </w:rPr>
      </w:pPr>
      <w:r w:rsidRPr="000821FA">
        <w:rPr>
          <w:rFonts w:cs="Times New Roman"/>
        </w:rPr>
        <w:t>Reasonableness Review Is Concerned With the Decision-making Process and Its Outcomes</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Reasonableness review aims to give effect to the legislature’s intent to leave certain decisions with an administrative body while fulfilling the constitutional role of judicial review to ensure that exercises of state power are subject to the rule of law: see </w:t>
      </w:r>
      <w:r w:rsidRPr="000821FA">
        <w:rPr>
          <w:rFonts w:cs="Times New Roman"/>
          <w:i/>
        </w:rPr>
        <w:t>Dunsmuir</w:t>
      </w:r>
      <w:r w:rsidRPr="000821FA">
        <w:rPr>
          <w:rFonts w:cs="Times New Roman"/>
        </w:rPr>
        <w:t>, at paras. 27-28 and 48;</w:t>
      </w:r>
      <w:r w:rsidRPr="000821FA">
        <w:rPr>
          <w:rFonts w:cs="Times New Roman"/>
          <w:lang w:val="en"/>
        </w:rPr>
        <w:t xml:space="preserve"> </w:t>
      </w:r>
      <w:r w:rsidRPr="000821FA">
        <w:rPr>
          <w:rFonts w:cs="Times New Roman"/>
          <w:i/>
          <w:iCs/>
          <w:lang w:val="en"/>
        </w:rPr>
        <w:t>Catalyst Paper Corp. v. North Cowichan (District)</w:t>
      </w:r>
      <w:r w:rsidRPr="000821FA">
        <w:rPr>
          <w:rFonts w:cs="Times New Roman"/>
          <w:lang w:val="en"/>
        </w:rPr>
        <w:t>, 2012 SCC 2, [2012] 1 S.C.R. 5, at para. 10;</w:t>
      </w:r>
      <w:r w:rsidRPr="000821FA">
        <w:rPr>
          <w:rFonts w:cs="Times New Roman"/>
        </w:rPr>
        <w:t xml:space="preserve"> </w:t>
      </w:r>
      <w:r w:rsidRPr="000821FA">
        <w:rPr>
          <w:rFonts w:cs="Times New Roman"/>
          <w:i/>
        </w:rPr>
        <w:t>Reference re Remuneration of Judges of the Provincial Court of Prince Edward Island</w:t>
      </w:r>
      <w:r w:rsidRPr="000821FA">
        <w:rPr>
          <w:rFonts w:cs="Times New Roman"/>
        </w:rPr>
        <w:t xml:space="preserve">, [1997] 3 S.C.R. 3, at para. 10.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It follows that the focus of reasonableness review must be on the decision actually made by the decision maker, including both the decision maker’s reasoning process and the outcome. The role of courts in these circumstances is to </w:t>
      </w:r>
      <w:r w:rsidRPr="000821FA">
        <w:rPr>
          <w:rFonts w:cs="Times New Roman"/>
          <w:i/>
        </w:rPr>
        <w:t>review</w:t>
      </w:r>
      <w:r w:rsidRPr="000821FA">
        <w:rPr>
          <w:rFonts w:cs="Times New Roman"/>
        </w:rPr>
        <w:t xml:space="preserve">, and they are, at least as a general rule, to refrain from deciding the issue themselves. Accordingly, a court applying the reasonableness standard does not ask what decision it would have made in place of that of the administrative decision maker, attempt to </w:t>
      </w:r>
      <w:r w:rsidRPr="000821FA">
        <w:rPr>
          <w:rFonts w:cs="Times New Roman"/>
        </w:rPr>
        <w:lastRenderedPageBreak/>
        <w:t xml:space="preserve">ascertain the “range” of possible conclusions that would have been open to the decision maker, </w:t>
      </w:r>
      <w:r w:rsidRPr="000821FA">
        <w:rPr>
          <w:rFonts w:cs="Times New Roman"/>
          <w:lang w:val="en"/>
        </w:rPr>
        <w:t xml:space="preserve">conduct a </w:t>
      </w:r>
      <w:r w:rsidRPr="000821FA">
        <w:rPr>
          <w:rFonts w:cs="Times New Roman"/>
          <w:i/>
          <w:iCs/>
          <w:lang w:val="en"/>
        </w:rPr>
        <w:t>de novo</w:t>
      </w:r>
      <w:r w:rsidRPr="000821FA">
        <w:rPr>
          <w:rFonts w:cs="Times New Roman"/>
          <w:iCs/>
          <w:lang w:val="en"/>
        </w:rPr>
        <w:t xml:space="preserve"> </w:t>
      </w:r>
      <w:r w:rsidRPr="000821FA">
        <w:rPr>
          <w:rFonts w:cs="Times New Roman"/>
          <w:lang w:val="en"/>
        </w:rPr>
        <w:t xml:space="preserve">analysis </w:t>
      </w:r>
      <w:r w:rsidRPr="000821FA">
        <w:rPr>
          <w:rFonts w:cs="Times New Roman"/>
        </w:rPr>
        <w:t xml:space="preserve">or seek to determine the “correct” solution to the problem. The Federal Court of Appeal noted in </w:t>
      </w:r>
      <w:proofErr w:type="spellStart"/>
      <w:r w:rsidRPr="000821FA">
        <w:rPr>
          <w:rFonts w:cs="Times New Roman"/>
          <w:i/>
        </w:rPr>
        <w:t>Delios</w:t>
      </w:r>
      <w:proofErr w:type="spellEnd"/>
      <w:r w:rsidRPr="000821FA">
        <w:rPr>
          <w:rFonts w:cs="Times New Roman"/>
          <w:i/>
        </w:rPr>
        <w:t xml:space="preserve"> v. Canada (Attorney General)</w:t>
      </w:r>
      <w:r w:rsidRPr="000821FA">
        <w:rPr>
          <w:rFonts w:cs="Times New Roman"/>
        </w:rPr>
        <w:t>, 2015 FCA 117, 472 N.R. 171,</w:t>
      </w:r>
      <w:r w:rsidRPr="000821FA">
        <w:rPr>
          <w:rFonts w:cs="Times New Roman"/>
          <w:i/>
        </w:rPr>
        <w:t xml:space="preserve"> </w:t>
      </w:r>
      <w:r w:rsidRPr="000821FA">
        <w:rPr>
          <w:rFonts w:cs="Times New Roman"/>
        </w:rPr>
        <w:t xml:space="preserve">that, “as reviewing judges, we do not make our own yardstick and then use that yardstick to measure </w:t>
      </w:r>
      <w:r w:rsidR="00DA587E">
        <w:rPr>
          <w:rFonts w:cs="Times New Roman"/>
        </w:rPr>
        <w:t xml:space="preserve">what the administrator did”: </w:t>
      </w:r>
      <w:r w:rsidRPr="000821FA">
        <w:rPr>
          <w:rFonts w:cs="Times New Roman"/>
        </w:rPr>
        <w:t xml:space="preserve">para. 28; see also </w:t>
      </w:r>
      <w:r w:rsidRPr="000821FA">
        <w:rPr>
          <w:rFonts w:cs="Times New Roman"/>
          <w:i/>
        </w:rPr>
        <w:t>Ryan</w:t>
      </w:r>
      <w:r w:rsidRPr="000821FA">
        <w:rPr>
          <w:rFonts w:cs="Times New Roman"/>
        </w:rPr>
        <w:t>, at paras. 50-51.</w:t>
      </w:r>
      <w:r w:rsidRPr="000821FA">
        <w:rPr>
          <w:rFonts w:cs="Times New Roman"/>
          <w:lang w:val="en"/>
        </w:rPr>
        <w:t xml:space="preserve"> </w:t>
      </w:r>
      <w:r w:rsidRPr="000821FA">
        <w:rPr>
          <w:rFonts w:cs="Times New Roman"/>
        </w:rPr>
        <w:t>Instead, the reviewing court must consider only whether the decision made by the administrative decision maker — including both the rationale for the decision and the outcome to which it led — was unreasonable.</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As explained above, where the administrative decision maker has provided written reasons, those reasons are the means by which the decision maker communicates the rationale for its decision. A principled approach to reasonableness review is one which</w:t>
      </w:r>
      <w:r w:rsidRPr="000821FA">
        <w:rPr>
          <w:rFonts w:cs="Times New Roman"/>
          <w:i/>
        </w:rPr>
        <w:t xml:space="preserve"> </w:t>
      </w:r>
      <w:r w:rsidRPr="000821FA">
        <w:rPr>
          <w:rFonts w:cs="Times New Roman"/>
        </w:rPr>
        <w:t xml:space="preserve">puts those reasons first. A reviewing court must begin its inquiry into the reasonableness of a decision by examining the reasons provided with “respectful attention” and seeking to understand the reasoning process followed by the decision maker to arrive at its conclusion: see </w:t>
      </w:r>
      <w:r w:rsidRPr="000821FA">
        <w:rPr>
          <w:rFonts w:cs="Times New Roman"/>
          <w:i/>
        </w:rPr>
        <w:t>Dunsmuir</w:t>
      </w:r>
      <w:r w:rsidRPr="000821FA">
        <w:rPr>
          <w:rFonts w:cs="Times New Roman"/>
        </w:rPr>
        <w:t>, at para. 48, quoting D. </w:t>
      </w:r>
      <w:proofErr w:type="spellStart"/>
      <w:r w:rsidRPr="000821FA">
        <w:rPr>
          <w:rFonts w:cs="Times New Roman"/>
        </w:rPr>
        <w:t>Dyzenhaus</w:t>
      </w:r>
      <w:proofErr w:type="spellEnd"/>
      <w:r w:rsidRPr="000821FA">
        <w:rPr>
          <w:rFonts w:cs="Times New Roman"/>
        </w:rPr>
        <w:t xml:space="preserve">, </w:t>
      </w:r>
      <w:r w:rsidRPr="000821FA">
        <w:rPr>
          <w:rFonts w:cs="Times New Roman"/>
          <w:lang w:val="en"/>
        </w:rPr>
        <w:t xml:space="preserve">“The Politics of Deference: Judicial Review and Democracy”, in M. Taggart, ed., </w:t>
      </w:r>
      <w:r w:rsidRPr="000821FA">
        <w:rPr>
          <w:rFonts w:cs="Times New Roman"/>
          <w:i/>
          <w:iCs/>
          <w:lang w:val="en"/>
        </w:rPr>
        <w:t>The Province of Administrative Law</w:t>
      </w:r>
      <w:r w:rsidRPr="000821FA">
        <w:rPr>
          <w:rFonts w:cs="Times New Roman"/>
          <w:lang w:val="en"/>
        </w:rPr>
        <w:t xml:space="preserve"> (1997), 279, at p. 286.</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Developing an understanding of the reasoning that led to the administrative decision enables a reviewing court to assess whether the decision as a whole is reasonable. As we will explain in greater detail below, a reasonable decision is one that is based on an internally coherent and rational chain of analysis and that is justified in </w:t>
      </w:r>
      <w:r w:rsidRPr="000821FA">
        <w:rPr>
          <w:rFonts w:cs="Times New Roman"/>
        </w:rPr>
        <w:lastRenderedPageBreak/>
        <w:t>relation to the facts and law that constrain the decision maker. The reasonableness standard requires that a reviewing court defer to such a decision.</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lang w:val="en"/>
        </w:rPr>
        <w:t xml:space="preserve">Attention to the decision maker’s reasons is part of how courts demonstrate respect for the decision-making process: see </w:t>
      </w:r>
      <w:r w:rsidRPr="000821FA">
        <w:rPr>
          <w:rFonts w:cs="Times New Roman"/>
          <w:i/>
          <w:lang w:val="en"/>
        </w:rPr>
        <w:t>Dunsmuir</w:t>
      </w:r>
      <w:r w:rsidRPr="000821FA">
        <w:rPr>
          <w:rFonts w:cs="Times New Roman"/>
          <w:lang w:val="en"/>
        </w:rPr>
        <w:t xml:space="preserve">, at paras. 47-49. In </w:t>
      </w:r>
      <w:r w:rsidRPr="000821FA">
        <w:rPr>
          <w:rFonts w:cs="Times New Roman"/>
          <w:i/>
          <w:lang w:val="en"/>
        </w:rPr>
        <w:t>Dunsmuir</w:t>
      </w:r>
      <w:r w:rsidRPr="000821FA">
        <w:rPr>
          <w:rFonts w:cs="Times New Roman"/>
          <w:lang w:val="en"/>
        </w:rPr>
        <w:t xml:space="preserve">, this Court explicitly stated that the court conducting a reasonableness review is concerned with “the qualities that make a decision reasonable, referring both to the process of articulating the reasons and to outcomes”: para. 47. Reasonableness, according to </w:t>
      </w:r>
      <w:r w:rsidRPr="000821FA">
        <w:rPr>
          <w:rFonts w:cs="Times New Roman"/>
          <w:i/>
          <w:lang w:val="en"/>
        </w:rPr>
        <w:t>Dunsmuir</w:t>
      </w:r>
      <w:r w:rsidRPr="000821FA">
        <w:rPr>
          <w:rFonts w:cs="Times New Roman"/>
          <w:lang w:val="en"/>
        </w:rPr>
        <w:t xml:space="preserve">, “is concerned mostly with the existence of justification, transparency and intelligibility within the decision-making process”, as well as “with whether the decision falls within a range of possible, acceptable outcomes </w:t>
      </w:r>
      <w:r w:rsidRPr="000821FA">
        <w:rPr>
          <w:rFonts w:cs="Times New Roman"/>
        </w:rPr>
        <w:t xml:space="preserve">which are defensible in respect of the facts and law”: </w:t>
      </w:r>
      <w:r w:rsidRPr="000821FA">
        <w:rPr>
          <w:rFonts w:cs="Times New Roman"/>
          <w:i/>
        </w:rPr>
        <w:t>ibid</w:t>
      </w:r>
      <w:r w:rsidRPr="00C9060F">
        <w:rPr>
          <w:rFonts w:cs="Times New Roman"/>
        </w:rPr>
        <w:t>.</w:t>
      </w:r>
      <w:r w:rsidRPr="000821FA">
        <w:rPr>
          <w:rFonts w:cs="Times New Roman"/>
          <w:lang w:val="en"/>
        </w:rPr>
        <w:t xml:space="preserve"> In short, it is not enough for the outcome of a decision to be </w:t>
      </w:r>
      <w:r w:rsidRPr="000821FA">
        <w:rPr>
          <w:rFonts w:cs="Times New Roman"/>
          <w:i/>
          <w:lang w:val="en"/>
        </w:rPr>
        <w:t>justifiable</w:t>
      </w:r>
      <w:r w:rsidRPr="000821FA">
        <w:rPr>
          <w:rFonts w:cs="Times New Roman"/>
          <w:lang w:val="en"/>
        </w:rPr>
        <w:t xml:space="preserve">. Where reasons for a decision are required, the decision must also be </w:t>
      </w:r>
      <w:r w:rsidRPr="000821FA">
        <w:rPr>
          <w:rFonts w:cs="Times New Roman"/>
          <w:i/>
          <w:lang w:val="en"/>
        </w:rPr>
        <w:t>justified</w:t>
      </w:r>
      <w:r w:rsidRPr="000821FA">
        <w:rPr>
          <w:rFonts w:cs="Times New Roman"/>
          <w:lang w:val="en"/>
        </w:rPr>
        <w:t>, by way of those reasons, by the decision maker to those to whom the decision applies. While some outcomes may be so at odds with the legal and factual context that they could never be supported by intelligible and rational reasoning, an otherwise reasonable outcome also cannot stand if it was reached on an improper basis</w:t>
      </w:r>
      <w:r w:rsidRPr="000821FA">
        <w:rPr>
          <w:rFonts w:cs="Times New Roman"/>
        </w:rPr>
        <w:t xml:space="preserve">.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This Court’s jurisprudence since </w:t>
      </w:r>
      <w:r w:rsidRPr="000821FA">
        <w:rPr>
          <w:rFonts w:cs="Times New Roman"/>
          <w:i/>
        </w:rPr>
        <w:t>Dunsmuir</w:t>
      </w:r>
      <w:r w:rsidRPr="000821FA">
        <w:rPr>
          <w:rFonts w:cs="Times New Roman"/>
        </w:rPr>
        <w:t xml:space="preserve"> should not be understood as having shifted the focus of reasonableness review away from a concern with the reasoning process and toward a nearly exclusive focus on the </w:t>
      </w:r>
      <w:r w:rsidRPr="000821FA">
        <w:rPr>
          <w:rFonts w:cs="Times New Roman"/>
          <w:i/>
        </w:rPr>
        <w:t>outcome</w:t>
      </w:r>
      <w:r w:rsidRPr="000821FA">
        <w:rPr>
          <w:rFonts w:cs="Times New Roman"/>
        </w:rPr>
        <w:t xml:space="preserve"> of the administrative decision under review. Indeed, </w:t>
      </w:r>
      <w:r w:rsidRPr="000821FA">
        <w:rPr>
          <w:rFonts w:cs="Times New Roman"/>
          <w:lang w:val="en"/>
        </w:rPr>
        <w:t xml:space="preserve">that a court conducting a reasonableness </w:t>
      </w:r>
      <w:r w:rsidRPr="000821FA">
        <w:rPr>
          <w:rFonts w:cs="Times New Roman"/>
          <w:lang w:val="en"/>
        </w:rPr>
        <w:lastRenderedPageBreak/>
        <w:t xml:space="preserve">review properly considers both the outcome of the decision and the reasoning process that led to that outcome was recently reaffirmed in </w:t>
      </w:r>
      <w:r w:rsidRPr="000821FA">
        <w:rPr>
          <w:rFonts w:cs="Times New Roman"/>
          <w:i/>
        </w:rPr>
        <w:t xml:space="preserve">Delta Air Lines Inc. </w:t>
      </w:r>
      <w:r w:rsidRPr="000821FA">
        <w:rPr>
          <w:rFonts w:cs="Times New Roman"/>
          <w:i/>
          <w:iCs/>
        </w:rPr>
        <w:t>v.</w:t>
      </w:r>
      <w:r w:rsidRPr="000821FA">
        <w:rPr>
          <w:rFonts w:cs="Times New Roman"/>
          <w:i/>
        </w:rPr>
        <w:t xml:space="preserve"> </w:t>
      </w:r>
      <w:proofErr w:type="spellStart"/>
      <w:r w:rsidRPr="000821FA">
        <w:rPr>
          <w:rFonts w:cs="Times New Roman"/>
          <w:i/>
        </w:rPr>
        <w:t>Lukács</w:t>
      </w:r>
      <w:proofErr w:type="spellEnd"/>
      <w:r w:rsidRPr="000821FA">
        <w:rPr>
          <w:rFonts w:cs="Times New Roman"/>
        </w:rPr>
        <w:t xml:space="preserve">, 2018 SCC 2, [2018] 1 S.C.R. 6, </w:t>
      </w:r>
      <w:r w:rsidRPr="000821FA">
        <w:rPr>
          <w:rFonts w:cs="Times New Roman"/>
          <w:lang w:val="en"/>
        </w:rPr>
        <w:t>at para. 12. In that case, although the outcome</w:t>
      </w:r>
      <w:r w:rsidRPr="000821FA">
        <w:rPr>
          <w:rFonts w:cs="Times New Roman"/>
          <w:i/>
          <w:lang w:val="en"/>
        </w:rPr>
        <w:t xml:space="preserve"> </w:t>
      </w:r>
      <w:r w:rsidRPr="000821FA">
        <w:rPr>
          <w:rFonts w:cs="Times New Roman"/>
          <w:lang w:val="en"/>
        </w:rPr>
        <w:t xml:space="preserve">of the decision at issue may not have been unreasonable in the circumstances, the decision was set aside because the outcome had been arrived at on the basis of an unreasonable chain of analysis. This approach is consistent with the direction in </w:t>
      </w:r>
      <w:r w:rsidRPr="000821FA">
        <w:rPr>
          <w:rFonts w:cs="Times New Roman"/>
          <w:i/>
          <w:lang w:val="en"/>
        </w:rPr>
        <w:t>Dunsmuir</w:t>
      </w:r>
      <w:r w:rsidRPr="000821FA">
        <w:rPr>
          <w:rFonts w:cs="Times New Roman"/>
          <w:lang w:val="en"/>
        </w:rPr>
        <w:t xml:space="preserve"> that judicial review is concerned with </w:t>
      </w:r>
      <w:r w:rsidRPr="000821FA">
        <w:rPr>
          <w:rFonts w:cs="Times New Roman"/>
          <w:i/>
          <w:lang w:val="en"/>
        </w:rPr>
        <w:t>both</w:t>
      </w:r>
      <w:r w:rsidRPr="000821FA">
        <w:rPr>
          <w:rFonts w:cs="Times New Roman"/>
          <w:lang w:val="en"/>
        </w:rPr>
        <w:t xml:space="preserve"> outcome </w:t>
      </w:r>
      <w:r w:rsidRPr="000821FA">
        <w:rPr>
          <w:rFonts w:cs="Times New Roman"/>
          <w:i/>
          <w:lang w:val="en"/>
        </w:rPr>
        <w:t xml:space="preserve">and </w:t>
      </w:r>
      <w:r w:rsidRPr="000821FA">
        <w:rPr>
          <w:rFonts w:cs="Times New Roman"/>
          <w:lang w:val="en"/>
        </w:rPr>
        <w:t>process. To accept otherwise would undermine, rather than demonstrate respect toward, the institutional role of the administrative decision maker.</w:t>
      </w:r>
    </w:p>
    <w:p w:rsidR="008B0231" w:rsidRPr="000821FA" w:rsidRDefault="008B0231" w:rsidP="008B0231">
      <w:pPr>
        <w:pStyle w:val="Title2LevelTitre2Niveau"/>
        <w:numPr>
          <w:ilvl w:val="1"/>
          <w:numId w:val="3"/>
        </w:numPr>
        <w:rPr>
          <w:rFonts w:cs="Times New Roman"/>
        </w:rPr>
      </w:pPr>
      <w:r w:rsidRPr="000821FA">
        <w:rPr>
          <w:rFonts w:cs="Times New Roman"/>
        </w:rPr>
        <w:t>Reasonableness Is a Single Standard That Accounts for Context</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In any attempt to develop a coherent and unified approach to judicial review, the sheer variety of decisions and decision makers that such an approach must account for poses an inescapable challenge. The administrative decision makers whose decisions may be subject to judicial review include specialized tribunals exercising adjudicative functions, independent regulatory bodies, ministers, front-line decision makers, and more. Their decisions vary in complexity and importance, ranging from the routine to the life-altering. These include matters of “high policy” on the one hand and “pure law” on the other. Such decisions will sometimes involve complex technical considerations. At other times, common sense and ordinary logic will suffice.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Despite this diversity, reasonableness remains a single standard, and </w:t>
      </w:r>
      <w:r w:rsidRPr="000821FA">
        <w:rPr>
          <w:rFonts w:cs="Times New Roman"/>
          <w:lang w:val="en"/>
        </w:rPr>
        <w:t xml:space="preserve">elements of a decision’s context do not modulate the standard or the degree of scrutiny </w:t>
      </w:r>
      <w:r w:rsidRPr="000821FA">
        <w:rPr>
          <w:rFonts w:cs="Times New Roman"/>
          <w:lang w:val="en"/>
        </w:rPr>
        <w:lastRenderedPageBreak/>
        <w:t xml:space="preserve">by the reviewing court. Instead, the particular context of a decision constrains what will be reasonable for an administrative decision maker to decide in a given case. </w:t>
      </w:r>
      <w:r w:rsidRPr="000821FA">
        <w:rPr>
          <w:rFonts w:cs="Times New Roman"/>
        </w:rPr>
        <w:t>This is what it means to say that “[r]</w:t>
      </w:r>
      <w:proofErr w:type="spellStart"/>
      <w:r w:rsidRPr="000821FA">
        <w:rPr>
          <w:rFonts w:cs="Times New Roman"/>
        </w:rPr>
        <w:t>easonableness</w:t>
      </w:r>
      <w:proofErr w:type="spellEnd"/>
      <w:r w:rsidRPr="000821FA">
        <w:rPr>
          <w:rFonts w:cs="Times New Roman"/>
        </w:rPr>
        <w:t xml:space="preserve"> is a single standard that takes its colour from the context”: </w:t>
      </w:r>
      <w:proofErr w:type="spellStart"/>
      <w:r w:rsidRPr="000821FA">
        <w:rPr>
          <w:rFonts w:cs="Times New Roman"/>
          <w:i/>
        </w:rPr>
        <w:t>Khosa</w:t>
      </w:r>
      <w:proofErr w:type="spellEnd"/>
      <w:r w:rsidRPr="000821FA">
        <w:rPr>
          <w:rFonts w:cs="Times New Roman"/>
        </w:rPr>
        <w:t xml:space="preserve">, at para. 59; </w:t>
      </w:r>
      <w:r w:rsidRPr="000821FA">
        <w:rPr>
          <w:rFonts w:cs="Times New Roman"/>
          <w:i/>
        </w:rPr>
        <w:t>Catalyst</w:t>
      </w:r>
      <w:r w:rsidRPr="000821FA">
        <w:rPr>
          <w:rFonts w:cs="Times New Roman"/>
        </w:rPr>
        <w:t xml:space="preserve">, at para. 18; </w:t>
      </w:r>
      <w:r w:rsidRPr="000821FA">
        <w:rPr>
          <w:rFonts w:cs="Times New Roman"/>
          <w:i/>
        </w:rPr>
        <w:t>Halifax (Regional Municipality) v. Nova Scotia (Human Rights Commission)</w:t>
      </w:r>
      <w:r w:rsidRPr="000821FA">
        <w:rPr>
          <w:rFonts w:cs="Times New Roman"/>
        </w:rPr>
        <w:t>, 2012 SCC 10</w:t>
      </w:r>
      <w:r w:rsidRPr="00573308">
        <w:rPr>
          <w:rFonts w:cs="Times New Roman"/>
          <w:b/>
        </w:rPr>
        <w:t xml:space="preserve">, </w:t>
      </w:r>
      <w:r w:rsidRPr="00573308">
        <w:rPr>
          <w:rStyle w:val="sccrespondentforindexchar1"/>
          <w:rFonts w:cs="Times New Roman"/>
          <w:b w:val="0"/>
        </w:rPr>
        <w:t xml:space="preserve">[2012] 1 S.C.R. 364, </w:t>
      </w:r>
      <w:r w:rsidRPr="000821FA">
        <w:rPr>
          <w:rFonts w:cs="Times New Roman"/>
        </w:rPr>
        <w:t xml:space="preserve">at para. 44; </w:t>
      </w:r>
      <w:r w:rsidRPr="000821FA">
        <w:rPr>
          <w:rFonts w:cs="Times New Roman"/>
          <w:i/>
        </w:rPr>
        <w:t>Wilson</w:t>
      </w:r>
      <w:r w:rsidRPr="000821FA">
        <w:rPr>
          <w:rFonts w:cs="Times New Roman"/>
        </w:rPr>
        <w:t xml:space="preserve">, at para. 22, per </w:t>
      </w:r>
      <w:proofErr w:type="spellStart"/>
      <w:r w:rsidRPr="000821FA">
        <w:rPr>
          <w:rFonts w:cs="Times New Roman"/>
        </w:rPr>
        <w:t>Abella</w:t>
      </w:r>
      <w:proofErr w:type="spellEnd"/>
      <w:r w:rsidRPr="000821FA">
        <w:rPr>
          <w:rFonts w:cs="Times New Roman"/>
        </w:rPr>
        <w:t xml:space="preserve"> J.; </w:t>
      </w:r>
      <w:r w:rsidRPr="000821FA">
        <w:rPr>
          <w:rFonts w:cs="Times New Roman"/>
          <w:i/>
        </w:rPr>
        <w:t xml:space="preserve">Canada (Attorney General) v. Igloo </w:t>
      </w:r>
      <w:proofErr w:type="spellStart"/>
      <w:r w:rsidRPr="000821FA">
        <w:rPr>
          <w:rFonts w:cs="Times New Roman"/>
          <w:i/>
        </w:rPr>
        <w:t>Vikski</w:t>
      </w:r>
      <w:proofErr w:type="spellEnd"/>
      <w:r w:rsidRPr="000821FA">
        <w:rPr>
          <w:rFonts w:cs="Times New Roman"/>
          <w:i/>
        </w:rPr>
        <w:t xml:space="preserve"> Inc.</w:t>
      </w:r>
      <w:r w:rsidRPr="000821FA">
        <w:rPr>
          <w:rFonts w:cs="Times New Roman"/>
        </w:rPr>
        <w:t xml:space="preserve">, 2016 SCC 38, [2016] 2 S.C.R. 80, at para. 57, per Côté J., dissenting but not on this point; </w:t>
      </w:r>
      <w:r w:rsidRPr="000821FA">
        <w:rPr>
          <w:rFonts w:cs="Times New Roman"/>
          <w:i/>
        </w:rPr>
        <w:t>Law Society of British Columbia v. Trinity Western University</w:t>
      </w:r>
      <w:r w:rsidRPr="000821FA">
        <w:rPr>
          <w:rFonts w:cs="Times New Roman"/>
        </w:rPr>
        <w:t>, 2018 SCC 32</w:t>
      </w:r>
      <w:r w:rsidRPr="00573308">
        <w:rPr>
          <w:rFonts w:cs="Times New Roman"/>
          <w:b/>
        </w:rPr>
        <w:t xml:space="preserve">, </w:t>
      </w:r>
      <w:r w:rsidRPr="00573308">
        <w:rPr>
          <w:rStyle w:val="sccrespondentforindexchar1"/>
          <w:rFonts w:cs="Times New Roman"/>
          <w:b w:val="0"/>
        </w:rPr>
        <w:t>[2018] 2 S.C.R. 293,</w:t>
      </w:r>
      <w:r w:rsidRPr="000821FA">
        <w:rPr>
          <w:rFonts w:cs="Times New Roman"/>
        </w:rPr>
        <w:t xml:space="preserve"> at para. 53.</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The approach to reasonableness review that we articulate in these reasons accounts for the diversity of administrative decision making by recognizing that what is reasonable in a given situation will always depend on the constraints imposed by the legal and factual context of the particular decision under review. These contextual constraints dictate the limits and contours of the space in which the decision maker may act and the types of solutions it may adopt. The fact that the contextual constraints operating on an administrative decision maker may vary from one decision to another does not pose a problem for the reasonableness standard, because each decision must be both justified by the administrative body and evaluated by reviewing courts in relation to its own particular context.</w:t>
      </w:r>
    </w:p>
    <w:p w:rsidR="008B0231" w:rsidRPr="000821FA" w:rsidRDefault="008B0231" w:rsidP="008B0231">
      <w:pPr>
        <w:pStyle w:val="Title2LevelTitre2Niveau"/>
        <w:numPr>
          <w:ilvl w:val="1"/>
          <w:numId w:val="3"/>
        </w:numPr>
        <w:jc w:val="both"/>
        <w:rPr>
          <w:rFonts w:cs="Times New Roman"/>
        </w:rPr>
      </w:pPr>
      <w:r w:rsidRPr="000821FA">
        <w:rPr>
          <w:rFonts w:cs="Times New Roman"/>
        </w:rPr>
        <w:t>Formal Reasons for a Decision Should Be Read in Light of the Record and With Due Sensitivity to the Administrative Setting in Which They Were Given</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lastRenderedPageBreak/>
        <w:t xml:space="preserve">A reviewing court must bear in mind that the written reasons given by an administrative body must not be assessed against a standard of perfection. That the reasons given for a decision do </w:t>
      </w:r>
      <w:r w:rsidRPr="000821FA">
        <w:rPr>
          <w:rFonts w:cs="Times New Roman"/>
          <w:lang w:val="en"/>
        </w:rPr>
        <w:t xml:space="preserve">“not include all the arguments, statutory provisions, jurisprudence or other details the reviewing judge would have preferred” is not on its own a basis to set the decision aside: </w:t>
      </w:r>
      <w:r w:rsidRPr="000821FA">
        <w:rPr>
          <w:rFonts w:cs="Times New Roman"/>
          <w:i/>
          <w:lang w:val="en"/>
        </w:rPr>
        <w:t>Newfoundland Nurses</w:t>
      </w:r>
      <w:r w:rsidRPr="000821FA">
        <w:rPr>
          <w:rFonts w:cs="Times New Roman"/>
          <w:lang w:val="en"/>
        </w:rPr>
        <w:t>,</w:t>
      </w:r>
      <w:r w:rsidRPr="000821FA">
        <w:rPr>
          <w:rFonts w:cs="Times New Roman"/>
          <w:i/>
          <w:lang w:val="en"/>
        </w:rPr>
        <w:t xml:space="preserve"> </w:t>
      </w:r>
      <w:r w:rsidRPr="000821FA">
        <w:rPr>
          <w:rFonts w:cs="Times New Roman"/>
          <w:lang w:val="en"/>
        </w:rPr>
        <w:t>at para. 16.</w:t>
      </w:r>
      <w:r w:rsidRPr="000821FA">
        <w:rPr>
          <w:rFonts w:cs="Times New Roman"/>
        </w:rPr>
        <w:t xml:space="preserve"> The review of an administrative decision can be divorced neither from the institutional context in which the decision was made nor from the history of the proceedings.</w:t>
      </w:r>
    </w:p>
    <w:p w:rsidR="008B0231" w:rsidRPr="000821FA" w:rsidRDefault="008B0231" w:rsidP="00AE4773">
      <w:pPr>
        <w:pStyle w:val="ParaNoNdepar-AltN"/>
        <w:tabs>
          <w:tab w:val="clear" w:pos="1166"/>
          <w:tab w:val="clear" w:pos="1422"/>
          <w:tab w:val="num" w:pos="1152"/>
        </w:tabs>
        <w:ind w:left="0"/>
        <w:rPr>
          <w:rFonts w:cs="Times New Roman"/>
          <w:sz w:val="19"/>
          <w:szCs w:val="19"/>
          <w:lang w:val="en-US"/>
        </w:rPr>
      </w:pPr>
      <w:r w:rsidRPr="000821FA">
        <w:rPr>
          <w:rFonts w:cs="Times New Roman"/>
        </w:rPr>
        <w:t>Administrative decision makers cannot always be expected to deploy the same array of legal techniques that might be expected of a lawyer or judge — nor will it always be necessary or even useful for them to do so. Instead, the concepts and language employed by administrative decision makers will often be highly specific to their fields of experience and expertise, and this may impact both the form and content of their reasons. These differences are not necessarily a sign of an unreasonable decision — indeed, they may be indicative of a decision maker’s strength within its particular and specialized domain. “Administrative justice” will not always look like “judicial justice”, and reviewing courts must remain acutely aware of that fact.</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lang w:val="en"/>
        </w:rPr>
        <w:t xml:space="preserve">An administrative decision maker may demonstrate through its reasons that a given decision was made by bringing that institutional expertise and experience to bear: see </w:t>
      </w:r>
      <w:r w:rsidRPr="000821FA">
        <w:rPr>
          <w:rFonts w:cs="Times New Roman"/>
          <w:i/>
          <w:lang w:val="en"/>
        </w:rPr>
        <w:t>Dunsmuir</w:t>
      </w:r>
      <w:r w:rsidRPr="000821FA">
        <w:rPr>
          <w:rFonts w:cs="Times New Roman"/>
          <w:lang w:val="en"/>
        </w:rPr>
        <w:t xml:space="preserve">, at para. 49. In conducting reasonableness review, judges should be attentive to </w:t>
      </w:r>
      <w:r w:rsidRPr="00AE4773">
        <w:rPr>
          <w:rFonts w:cs="Times New Roman"/>
        </w:rPr>
        <w:t>the</w:t>
      </w:r>
      <w:r w:rsidRPr="000821FA">
        <w:rPr>
          <w:rFonts w:cs="Times New Roman"/>
          <w:lang w:val="en"/>
        </w:rPr>
        <w:t xml:space="preserve"> application by decision makers of specialized knowledge, as demonstrated by their reasons. Respectful attention to a decision maker’s demonstrated </w:t>
      </w:r>
      <w:r w:rsidRPr="000821FA">
        <w:rPr>
          <w:rFonts w:cs="Times New Roman"/>
          <w:lang w:val="en"/>
        </w:rPr>
        <w:lastRenderedPageBreak/>
        <w:t>expertise may reveal to a reviewing court that an outcome that might be puzzling or counterintuitive on its face nevertheless accords with the purposes and practical realities of the relevant administrative regime and represents a reasonable approach given the consequences and the operational impact of the decision. This demonstrated experience and expertise may also explain why a given issue is treated in less detail.</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The reviewing court must also read the decision maker’s reasons in light of the history and context of the proceedings in which they were rendered. For example, the reviewing court might consider the evidence before the decision maker, the submissions of the parties, publicly available policies or guidelines that informed the decision maker’s work, and past decisions of the relevant administrative body. This may explain an aspect of the decision maker’s reasoning process that is not apparent from the reasons themselves, or may reveal that an apparent shortcoming in the reasons is not, in fact, a failure of justification, intelligibility or transparency. Opposing parties may have made concessions that had obviated the need for the decision maker to adjudicate on a particular issue; the decision maker may have followed a well-established line of administrative case law that no party had challenged during the proceedings; or an individual decision maker may have adopted an interpretation set out in a public interpretive policy of the administrative body of which he or she is a member.</w:t>
      </w:r>
    </w:p>
    <w:p w:rsidR="008B0231" w:rsidRPr="000821FA" w:rsidRDefault="008B0231" w:rsidP="00AE4773">
      <w:pPr>
        <w:pStyle w:val="ParaNoNdepar-AltN"/>
        <w:tabs>
          <w:tab w:val="clear" w:pos="1166"/>
          <w:tab w:val="clear" w:pos="1422"/>
          <w:tab w:val="num" w:pos="1152"/>
        </w:tabs>
        <w:ind w:left="0"/>
        <w:rPr>
          <w:rFonts w:cs="Times New Roman"/>
          <w:sz w:val="19"/>
          <w:szCs w:val="19"/>
          <w:lang w:val="en-US"/>
        </w:rPr>
      </w:pPr>
      <w:r w:rsidRPr="000821FA">
        <w:rPr>
          <w:rFonts w:cs="Times New Roman"/>
        </w:rPr>
        <w:t xml:space="preserve">That being said, reviewing courts must keep in mind the principle that the exercise of public power must be justified, intelligible and transparent, not in the </w:t>
      </w:r>
      <w:r w:rsidRPr="000821FA">
        <w:rPr>
          <w:rFonts w:cs="Times New Roman"/>
        </w:rPr>
        <w:lastRenderedPageBreak/>
        <w:t xml:space="preserve">abstract, but to the individuals subject to it. It would therefore be unacceptable for an administrative decision maker to provide an affected party formal reasons that fail to justify its decision, but nevertheless expect that its decision would be upheld on the basis of internal records that were not available to that party.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Where, even if the reasons given by an administrative decision maker for a decision are read with sensitivity to the institutional setting and in light of the record, they contain a fundamental gap or reveal that the decision is based on an unreasonable chain of analysis, it is not ordinarily appropriate for the reviewing court to fashion its own reasons in order to buttress the administrative decision. Even if the outcome of the decision could be reasonable under different circumstances, </w:t>
      </w:r>
      <w:r w:rsidRPr="000821FA">
        <w:rPr>
          <w:rFonts w:cs="Times New Roman"/>
          <w:lang w:val="en"/>
        </w:rPr>
        <w:t xml:space="preserve">it is not open to a reviewing court to disregard the flawed basis for a decision and substitute its own justification for the outcome: </w:t>
      </w:r>
      <w:r w:rsidRPr="000821FA">
        <w:rPr>
          <w:rFonts w:cs="Times New Roman"/>
          <w:i/>
          <w:lang w:val="en"/>
        </w:rPr>
        <w:t>Delta Air Lines</w:t>
      </w:r>
      <w:r w:rsidRPr="000821FA">
        <w:rPr>
          <w:rFonts w:cs="Times New Roman"/>
          <w:lang w:val="en"/>
        </w:rPr>
        <w:t xml:space="preserve">, at paras. 26-28. </w:t>
      </w:r>
      <w:proofErr w:type="gramStart"/>
      <w:r w:rsidRPr="000821FA">
        <w:rPr>
          <w:rFonts w:cs="Times New Roman"/>
        </w:rPr>
        <w:t>To</w:t>
      </w:r>
      <w:proofErr w:type="gramEnd"/>
      <w:r w:rsidRPr="000821FA">
        <w:rPr>
          <w:rFonts w:cs="Times New Roman"/>
        </w:rPr>
        <w:t xml:space="preserve"> allow a reviewing court to do so would be to allow an administrative decision maker to abdicate its responsibility to justify to the affected party, in a manner that is transparent and intelligible, the basis on which it arrived at a particular conclusion. This would also amount to adopting an approach to reasonableness review focused solely on the outcome of a decision, to the exclusion of the rationale for that decision. To the extent that cases such as </w:t>
      </w:r>
      <w:r w:rsidRPr="000821FA">
        <w:rPr>
          <w:rFonts w:cs="Times New Roman"/>
          <w:i/>
        </w:rPr>
        <w:t xml:space="preserve">Newfoundland Nurses </w:t>
      </w:r>
      <w:r w:rsidRPr="000821FA">
        <w:rPr>
          <w:rFonts w:cs="Times New Roman"/>
        </w:rPr>
        <w:t xml:space="preserve">and </w:t>
      </w:r>
      <w:r w:rsidRPr="000821FA">
        <w:rPr>
          <w:rFonts w:cs="Times New Roman"/>
          <w:i/>
          <w:lang w:val="en"/>
        </w:rPr>
        <w:t>Alberta Teachers</w:t>
      </w:r>
      <w:r w:rsidRPr="000821FA">
        <w:rPr>
          <w:rFonts w:cs="Times New Roman"/>
          <w:lang w:val="en"/>
        </w:rPr>
        <w:t xml:space="preserve"> have been taken as suggesting otherwise, such a view is mistaken.</w:t>
      </w:r>
      <w:r w:rsidRPr="000821FA">
        <w:rPr>
          <w:rFonts w:cs="Times New Roman"/>
        </w:rPr>
        <w:t xml:space="preserve">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Indeed, </w:t>
      </w:r>
      <w:r w:rsidRPr="000821FA">
        <w:rPr>
          <w:rFonts w:cs="Times New Roman"/>
          <w:i/>
        </w:rPr>
        <w:t xml:space="preserve">Newfoundland Nurses </w:t>
      </w:r>
      <w:r w:rsidRPr="000821FA">
        <w:rPr>
          <w:rFonts w:cs="Times New Roman"/>
        </w:rPr>
        <w:t>is</w:t>
      </w:r>
      <w:r w:rsidRPr="000821FA">
        <w:rPr>
          <w:rFonts w:cs="Times New Roman"/>
          <w:i/>
        </w:rPr>
        <w:t xml:space="preserve"> </w:t>
      </w:r>
      <w:r w:rsidRPr="000821FA">
        <w:rPr>
          <w:rFonts w:cs="Times New Roman"/>
        </w:rPr>
        <w:t xml:space="preserve">far from holding that a decision maker’s grounds or rationale for a decision is irrelevant. It instead tells us that close attention </w:t>
      </w:r>
      <w:r w:rsidRPr="000821FA">
        <w:rPr>
          <w:rFonts w:cs="Times New Roman"/>
        </w:rPr>
        <w:lastRenderedPageBreak/>
        <w:t xml:space="preserve">must be paid to a decision maker’s written reasons and that they must be read holistically and contextually, for the very purpose of understanding the basis on which a decision was made. We agree with the observations of Rennie J. in </w:t>
      </w:r>
      <w:proofErr w:type="spellStart"/>
      <w:r w:rsidRPr="000821FA">
        <w:rPr>
          <w:rFonts w:cs="Times New Roman"/>
          <w:i/>
          <w:lang w:val="en"/>
        </w:rPr>
        <w:t>Komolafe</w:t>
      </w:r>
      <w:proofErr w:type="spellEnd"/>
      <w:r w:rsidRPr="000821FA">
        <w:rPr>
          <w:rFonts w:cs="Times New Roman"/>
          <w:i/>
          <w:lang w:val="en"/>
        </w:rPr>
        <w:t xml:space="preserve"> v. Canada (Minister of Citizenship and Immigration)</w:t>
      </w:r>
      <w:r w:rsidRPr="000821FA">
        <w:rPr>
          <w:rFonts w:cs="Times New Roman"/>
          <w:lang w:val="en"/>
        </w:rPr>
        <w:t xml:space="preserve">, 2013 FC 431, </w:t>
      </w:r>
      <w:r w:rsidRPr="000821FA">
        <w:rPr>
          <w:rStyle w:val="nowrap"/>
          <w:rFonts w:cs="Times New Roman"/>
        </w:rPr>
        <w:t xml:space="preserve">16 </w:t>
      </w:r>
      <w:proofErr w:type="spellStart"/>
      <w:r w:rsidRPr="000821FA">
        <w:rPr>
          <w:rStyle w:val="nowrap"/>
          <w:rFonts w:cs="Times New Roman"/>
        </w:rPr>
        <w:t>Imm</w:t>
      </w:r>
      <w:proofErr w:type="spellEnd"/>
      <w:r w:rsidRPr="000821FA">
        <w:rPr>
          <w:rStyle w:val="nowrap"/>
          <w:rFonts w:cs="Times New Roman"/>
        </w:rPr>
        <w:t xml:space="preserve">. L.R. (4th) 267, </w:t>
      </w:r>
      <w:r w:rsidRPr="000821FA">
        <w:rPr>
          <w:rFonts w:cs="Times New Roman"/>
          <w:lang w:val="en"/>
        </w:rPr>
        <w:t>at para. 11:</w:t>
      </w:r>
    </w:p>
    <w:p w:rsidR="008B0231" w:rsidRPr="000821FA" w:rsidRDefault="008B0231" w:rsidP="008B0231">
      <w:pPr>
        <w:pStyle w:val="Citation-AltC"/>
        <w:ind w:firstLine="274"/>
      </w:pPr>
      <w:r w:rsidRPr="000821FA">
        <w:rPr>
          <w:i/>
          <w:iCs/>
          <w:lang w:val="en"/>
        </w:rPr>
        <w:t>Newfoundland Nurses</w:t>
      </w:r>
      <w:r w:rsidRPr="000821FA">
        <w:rPr>
          <w:lang w:val="en"/>
        </w:rPr>
        <w:t xml:space="preserve"> is not an open invitation to the Court to provide reasons that were not given, nor is it </w:t>
      </w:r>
      <w:proofErr w:type="spellStart"/>
      <w:r w:rsidRPr="000821FA">
        <w:rPr>
          <w:lang w:val="en"/>
        </w:rPr>
        <w:t>licence</w:t>
      </w:r>
      <w:proofErr w:type="spellEnd"/>
      <w:r w:rsidRPr="000821FA">
        <w:rPr>
          <w:lang w:val="en"/>
        </w:rPr>
        <w:t xml:space="preserve"> to guess what findings might have been made or to speculate as to what the tribunal might have been thinking. This is particularly so where the reasons are silent on a critical issue. It is ironic that </w:t>
      </w:r>
      <w:r w:rsidRPr="000821FA">
        <w:rPr>
          <w:i/>
          <w:iCs/>
          <w:lang w:val="en"/>
        </w:rPr>
        <w:t>Newfoundland Nurses</w:t>
      </w:r>
      <w:r w:rsidRPr="000821FA">
        <w:rPr>
          <w:lang w:val="en"/>
        </w:rPr>
        <w:t>, a case which at its core is about deference and standard of review, is urged as authority for the supervisory court to do the task that the decision maker did not do, to supply the reasons that might have been given and make findi</w:t>
      </w:r>
      <w:r w:rsidR="00CA6738">
        <w:rPr>
          <w:lang w:val="en"/>
        </w:rPr>
        <w:t xml:space="preserve">ngs of fact that were not made. </w:t>
      </w:r>
      <w:r w:rsidRPr="000821FA">
        <w:rPr>
          <w:lang w:val="en"/>
        </w:rPr>
        <w:t>This is to turn</w:t>
      </w:r>
      <w:r w:rsidR="00484BDB">
        <w:rPr>
          <w:lang w:val="en"/>
        </w:rPr>
        <w:t xml:space="preserve"> the jurisprudence on its head.</w:t>
      </w:r>
      <w:r w:rsidRPr="000821FA">
        <w:rPr>
          <w:lang w:val="en"/>
        </w:rPr>
        <w:t xml:space="preserve"> </w:t>
      </w:r>
      <w:r w:rsidRPr="000821FA">
        <w:rPr>
          <w:i/>
          <w:iCs/>
          <w:lang w:val="en"/>
        </w:rPr>
        <w:t xml:space="preserve">Newfoundland Nurses </w:t>
      </w:r>
      <w:r w:rsidRPr="000821FA">
        <w:rPr>
          <w:lang w:val="en"/>
        </w:rPr>
        <w:t xml:space="preserve">allows reviewing courts to connect the dots on the page where the lines, and the direction they are headed, </w:t>
      </w:r>
      <w:r w:rsidR="00B6233B">
        <w:rPr>
          <w:lang w:val="en"/>
        </w:rPr>
        <w:t>may be rea</w:t>
      </w:r>
      <w:r w:rsidR="00CA6738">
        <w:rPr>
          <w:lang w:val="en"/>
        </w:rPr>
        <w:t>dily drawn</w:t>
      </w:r>
      <w:r w:rsidR="00B6233B">
        <w:rPr>
          <w:lang w:val="en"/>
        </w:rPr>
        <w:t>.</w:t>
      </w:r>
      <w:r w:rsidR="00B736AC">
        <w:rPr>
          <w:lang w:val="en"/>
        </w:rPr>
        <w:t> </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As for </w:t>
      </w:r>
      <w:r w:rsidRPr="000821FA">
        <w:rPr>
          <w:rFonts w:cs="Times New Roman"/>
          <w:i/>
        </w:rPr>
        <w:t>Alberta Teachers</w:t>
      </w:r>
      <w:r w:rsidRPr="000821FA">
        <w:rPr>
          <w:rFonts w:cs="Times New Roman"/>
        </w:rPr>
        <w:t xml:space="preserve">, it concerned a very specific and exceptional circumstance in which the reviewing court had exercised its discretion to consider a question of statutory interpretation on judicial review, even though that question had not been raised before the administrative decision maker and, as a result, no reasons had been given on that issue: paras. 22-26. Furthermore, it was agreed that the ultimate decision maker — the Information and Privacy Commissioner’s delegate — had applied a well-established interpretation of the statutory provision in question and that, had she been asked for reasons to justify her interpretation, she would have adopted reasons the Commissioner had given in past decisions. In other words, the reasons of the Commissioner that this Court relied on to find that the administrative decision was </w:t>
      </w:r>
      <w:r w:rsidRPr="000821FA">
        <w:rPr>
          <w:rFonts w:cs="Times New Roman"/>
        </w:rPr>
        <w:lastRenderedPageBreak/>
        <w:t xml:space="preserve">reasonable were not merely reasons that </w:t>
      </w:r>
      <w:r w:rsidRPr="000821FA">
        <w:rPr>
          <w:rFonts w:cs="Times New Roman"/>
          <w:i/>
        </w:rPr>
        <w:t>could</w:t>
      </w:r>
      <w:r w:rsidRPr="000821FA">
        <w:rPr>
          <w:rFonts w:cs="Times New Roman"/>
        </w:rPr>
        <w:t xml:space="preserve"> have been offered, in an abstract sense, but reasons that </w:t>
      </w:r>
      <w:r w:rsidRPr="000821FA">
        <w:rPr>
          <w:rFonts w:cs="Times New Roman"/>
          <w:i/>
        </w:rPr>
        <w:t xml:space="preserve">would </w:t>
      </w:r>
      <w:r w:rsidRPr="000821FA">
        <w:rPr>
          <w:rFonts w:cs="Times New Roman"/>
        </w:rPr>
        <w:t xml:space="preserve">have been offered had the issue been raised before the decision maker. Far from suggesting in </w:t>
      </w:r>
      <w:r w:rsidRPr="000821FA">
        <w:rPr>
          <w:rFonts w:cs="Times New Roman"/>
          <w:i/>
        </w:rPr>
        <w:t>Alberta Teachers</w:t>
      </w:r>
      <w:r w:rsidRPr="000821FA">
        <w:rPr>
          <w:rFonts w:cs="Times New Roman"/>
        </w:rPr>
        <w:t xml:space="preserve"> that reasonableness review is concerned primarily with outcome, as opposed to rationale, this Court rejected the position that a reviewing court is entitled to “reformulate a tribunal’s decision in a way that casts aside an unreasonable chain of analysis in favour of the court’s own rationale for the result”: para. 54, quoting </w:t>
      </w:r>
      <w:r w:rsidRPr="000821FA">
        <w:rPr>
          <w:rFonts w:cs="Times New Roman"/>
          <w:i/>
          <w:iCs/>
        </w:rPr>
        <w:t>Petro-Canada v. British Columbia (Workers’ Compensation Board)</w:t>
      </w:r>
      <w:r w:rsidRPr="000821FA">
        <w:rPr>
          <w:rFonts w:cs="Times New Roman"/>
        </w:rPr>
        <w:t xml:space="preserve">, 2009 BCCA 396, 276 B.C.A.C. 135, at paras. 53 and 56. In </w:t>
      </w:r>
      <w:r w:rsidRPr="000821FA">
        <w:rPr>
          <w:rFonts w:cs="Times New Roman"/>
          <w:i/>
        </w:rPr>
        <w:t>Alberta Teachers</w:t>
      </w:r>
      <w:r w:rsidRPr="000821FA">
        <w:rPr>
          <w:rFonts w:cs="Times New Roman"/>
        </w:rPr>
        <w:t>, this Court also reaffirmed the importance of giving proper reasons and reiterated that “</w:t>
      </w:r>
      <w:r w:rsidRPr="000821FA">
        <w:rPr>
          <w:rFonts w:cs="Times New Roman"/>
          <w:lang w:val="en"/>
        </w:rPr>
        <w:t>deference under the reasonableness standard is best given effect when administrative decision makers provide intelligible and transparent justification for their decisions, and when courts ground their review of the decision in the reasons provided”: para. 54. Where a decision maker’s rationale for an essential element of the decision is not addressed in the reasons and cannot be inferred from the record, the decision will generally fail to meet the requisite standard of justification, transparency and intelligibility.</w:t>
      </w:r>
    </w:p>
    <w:p w:rsidR="008B0231" w:rsidRPr="000821FA" w:rsidRDefault="008B0231" w:rsidP="008B0231">
      <w:pPr>
        <w:pStyle w:val="Title2LevelTitre2Niveau"/>
        <w:numPr>
          <w:ilvl w:val="1"/>
          <w:numId w:val="4"/>
        </w:numPr>
        <w:jc w:val="both"/>
        <w:rPr>
          <w:rFonts w:cs="Times New Roman"/>
        </w:rPr>
      </w:pPr>
      <w:r w:rsidRPr="000821FA">
        <w:rPr>
          <w:rFonts w:cs="Times New Roman"/>
        </w:rPr>
        <w:t>A Reasonable Decision Is One That Is Both Based on an Internally Coherent Reasoning and Justified in Light of the Legal and Factual Constraints That Bear on the Decision</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 xml:space="preserve">A reviewing court must develop an understanding of the decision maker’s reasoning process in order to determine whether the decision as a whole is reasonable. To make this determination, the reviewing court asks whether the decision bears the </w:t>
      </w:r>
      <w:r w:rsidRPr="000821FA">
        <w:rPr>
          <w:rFonts w:cs="Times New Roman"/>
        </w:rPr>
        <w:lastRenderedPageBreak/>
        <w:t xml:space="preserve">hallmarks of reasonableness — justification, transparency and intelligibility — and whether it is justified in relation to the relevant factual and legal constraints that bear on the decision: </w:t>
      </w:r>
      <w:r w:rsidRPr="000821FA">
        <w:rPr>
          <w:rFonts w:cs="Times New Roman"/>
          <w:i/>
        </w:rPr>
        <w:t>Dunsmuir</w:t>
      </w:r>
      <w:r w:rsidRPr="000821FA">
        <w:rPr>
          <w:rFonts w:cs="Times New Roman"/>
        </w:rPr>
        <w:t>, at paras. 47 and 74;</w:t>
      </w:r>
      <w:r w:rsidRPr="000821FA">
        <w:rPr>
          <w:rFonts w:cs="Times New Roman"/>
          <w:i/>
        </w:rPr>
        <w:t xml:space="preserve"> Catalyst</w:t>
      </w:r>
      <w:r w:rsidRPr="000821FA">
        <w:rPr>
          <w:rFonts w:cs="Times New Roman"/>
        </w:rPr>
        <w:t>, at para. 13.</w:t>
      </w:r>
    </w:p>
    <w:p w:rsidR="008B0231" w:rsidRPr="000821FA" w:rsidRDefault="008B0231" w:rsidP="00AE4773">
      <w:pPr>
        <w:pStyle w:val="ParaNoNdepar-AltN"/>
        <w:tabs>
          <w:tab w:val="clear" w:pos="1166"/>
          <w:tab w:val="clear" w:pos="1422"/>
          <w:tab w:val="num" w:pos="1152"/>
        </w:tabs>
        <w:ind w:left="0"/>
        <w:rPr>
          <w:rFonts w:cs="Times New Roman"/>
        </w:rPr>
      </w:pPr>
      <w:r w:rsidRPr="000821FA">
        <w:rPr>
          <w:rFonts w:cs="Times New Roman"/>
        </w:rPr>
        <w:t>The burden is on the party challenging the decision t</w:t>
      </w:r>
      <w:r w:rsidR="00484BDB">
        <w:rPr>
          <w:rFonts w:cs="Times New Roman"/>
        </w:rPr>
        <w:t>o show that it is unreasonable.</w:t>
      </w:r>
      <w:r w:rsidRPr="000821FA">
        <w:rPr>
          <w:rFonts w:cs="Times New Roman"/>
        </w:rPr>
        <w:t xml:space="preserve"> Before a decision can be set aside on this basis, the reviewing court must be satisfied that there are sufficiently serious shortcomings in the decision such that it cannot be said to exhibit the requisite degree of justification, intelligibility and transparency. Any alleged flaws or shortcomings must be more than merely superficial or peripheral to the merits of the decision. It would be improper for a reviewing court to overturn an administrative decision simply because its reasoning exhibits a minor misstep. Instead, the court must be satisfied that any shortcomings or flaws relied on by the party challenging the decision are sufficiently central or significant to render the decision unreasonable.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What makes a decision unreasonable? We find it conceptually useful here to consider two types of fundamental flaws. The first is a failure of rationality internal to the reasoning process. The second arises when a decision is in some respect untenable in light of the relevant factual and legal constraints that bear on it. There is</w:t>
      </w:r>
      <w:r w:rsidR="00552BC5">
        <w:rPr>
          <w:rFonts w:cs="Times New Roman"/>
        </w:rPr>
        <w:t>,</w:t>
      </w:r>
      <w:r w:rsidRPr="000821FA">
        <w:rPr>
          <w:rFonts w:cs="Times New Roman"/>
        </w:rPr>
        <w:t xml:space="preserve"> however, no need for reviewing courts to categorize failures of reasonableness as belonging to one type or the other. Rather, we use these descriptions simply as a convenient way to discuss the types of issues that may show a decision to be unreasonable.</w:t>
      </w:r>
    </w:p>
    <w:p w:rsidR="008B0231" w:rsidRPr="000821FA" w:rsidRDefault="008B0231" w:rsidP="008B0231">
      <w:pPr>
        <w:pStyle w:val="Title3LevelTitre3Niveau"/>
        <w:numPr>
          <w:ilvl w:val="2"/>
          <w:numId w:val="4"/>
        </w:numPr>
        <w:jc w:val="both"/>
        <w:rPr>
          <w:rFonts w:cs="Times New Roman"/>
        </w:rPr>
      </w:pPr>
      <w:r w:rsidRPr="000821FA">
        <w:rPr>
          <w:rFonts w:cs="Times New Roman"/>
        </w:rPr>
        <w:lastRenderedPageBreak/>
        <w:t>A Reasonable Decision Is Based on an Internally Coherent Reasoning</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To be reasonable, a decision must be based on reasoning that is both rational and logical. It follows that a failure in this respect may lead a reviewing court to conclude that a decision must be set aside. Reasonableness review is not a “line-by-line treasure hunt for error”: </w:t>
      </w:r>
      <w:r w:rsidRPr="000821FA">
        <w:rPr>
          <w:rFonts w:cs="Times New Roman"/>
          <w:i/>
        </w:rPr>
        <w:t>Irving Pulp &amp; Paper</w:t>
      </w:r>
      <w:r w:rsidRPr="000821FA">
        <w:rPr>
          <w:rFonts w:cs="Times New Roman"/>
        </w:rPr>
        <w:t xml:space="preserve">, at para. 54, citing </w:t>
      </w:r>
      <w:r w:rsidRPr="000821FA">
        <w:rPr>
          <w:rFonts w:cs="Times New Roman"/>
          <w:i/>
        </w:rPr>
        <w:t>Newfoundland Nurses</w:t>
      </w:r>
      <w:r w:rsidRPr="000821FA">
        <w:rPr>
          <w:rFonts w:cs="Times New Roman"/>
        </w:rPr>
        <w:t xml:space="preserve">, at para. 14. However, the reviewing court must be able to trace the decision maker’s reasoning without encountering any fatal flaws in its overarching logic, and it must be satisfied that “there is [a] line of analysis within the given reasons that could reasonably lead the tribunal from the evidence before it to the conclusion at which it arrived”: </w:t>
      </w:r>
      <w:r w:rsidRPr="000821FA">
        <w:rPr>
          <w:rFonts w:cs="Times New Roman"/>
          <w:i/>
        </w:rPr>
        <w:t>Ryan</w:t>
      </w:r>
      <w:r w:rsidRPr="000821FA">
        <w:rPr>
          <w:rFonts w:cs="Times New Roman"/>
          <w:lang w:val="en"/>
        </w:rPr>
        <w:t xml:space="preserve">, </w:t>
      </w:r>
      <w:r w:rsidRPr="000821FA">
        <w:rPr>
          <w:rFonts w:cs="Times New Roman"/>
        </w:rPr>
        <w:t xml:space="preserve">at para. 55; </w:t>
      </w:r>
      <w:proofErr w:type="spellStart"/>
      <w:r w:rsidRPr="000821FA">
        <w:rPr>
          <w:rFonts w:cs="Times New Roman"/>
          <w:i/>
        </w:rPr>
        <w:t>Southam</w:t>
      </w:r>
      <w:proofErr w:type="spellEnd"/>
      <w:r w:rsidRPr="000821FA">
        <w:rPr>
          <w:rFonts w:cs="Times New Roman"/>
        </w:rPr>
        <w:t xml:space="preserve">, at para. 56. Reasons that “simply repeat statutory language, summarize arguments made, and then state a peremptory conclusion” will rarely assist a reviewing court in understanding the rationale underlying a decision and “are no substitute for statements of fact, analysis, inference and judgment”: R. A. Macdonald and D. </w:t>
      </w:r>
      <w:proofErr w:type="spellStart"/>
      <w:r w:rsidRPr="000821FA">
        <w:rPr>
          <w:rFonts w:cs="Times New Roman"/>
        </w:rPr>
        <w:t>Lametti</w:t>
      </w:r>
      <w:proofErr w:type="spellEnd"/>
      <w:r w:rsidRPr="000821FA">
        <w:rPr>
          <w:rFonts w:cs="Times New Roman"/>
        </w:rPr>
        <w:t xml:space="preserve">, “Reasons for Decision in Administrative Law” (1990), 3 </w:t>
      </w:r>
      <w:r w:rsidRPr="000821FA">
        <w:rPr>
          <w:rFonts w:cs="Times New Roman"/>
          <w:i/>
        </w:rPr>
        <w:t>C.J.A.L.P.</w:t>
      </w:r>
      <w:r w:rsidRPr="000821FA">
        <w:rPr>
          <w:rFonts w:cs="Times New Roman"/>
        </w:rPr>
        <w:t xml:space="preserve"> 123, at p. 139; see als</w:t>
      </w:r>
      <w:r w:rsidRPr="000821FA">
        <w:rPr>
          <w:rFonts w:cs="Times New Roman"/>
          <w:szCs w:val="24"/>
        </w:rPr>
        <w:t xml:space="preserve">o </w:t>
      </w:r>
      <w:r w:rsidRPr="000821FA">
        <w:rPr>
          <w:rFonts w:cs="Times New Roman"/>
          <w:bCs/>
          <w:i/>
          <w:szCs w:val="24"/>
        </w:rPr>
        <w:t>Gonzalez v. Canada (Minister of Citizenship and Immigration)</w:t>
      </w:r>
      <w:r w:rsidRPr="000821FA">
        <w:rPr>
          <w:rFonts w:cs="Times New Roman"/>
          <w:bCs/>
          <w:szCs w:val="24"/>
        </w:rPr>
        <w:t xml:space="preserve">, </w:t>
      </w:r>
      <w:r w:rsidRPr="000821FA">
        <w:rPr>
          <w:rFonts w:cs="Times New Roman"/>
          <w:szCs w:val="24"/>
        </w:rPr>
        <w:t xml:space="preserve">2014 FC 750, 27 </w:t>
      </w:r>
      <w:proofErr w:type="spellStart"/>
      <w:r w:rsidRPr="000821FA">
        <w:rPr>
          <w:rFonts w:cs="Times New Roman"/>
          <w:szCs w:val="24"/>
        </w:rPr>
        <w:t>Imm</w:t>
      </w:r>
      <w:proofErr w:type="spellEnd"/>
      <w:r w:rsidRPr="000821FA">
        <w:rPr>
          <w:rFonts w:cs="Times New Roman"/>
          <w:szCs w:val="24"/>
        </w:rPr>
        <w:t>. L.R. (4th) 151, at paras. 57-59</w:t>
      </w:r>
      <w:r w:rsidRPr="000821FA">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While, as we indicated earlier (at paras. 89-96), formal reasons should be read in light of the record and with due sensitivity to the administrative regime in which they were given, a decision will be unreasonable if the reasons for it, read holistically, fail to reveal a rational chain of analysis or if they reveal that the decision was based on an irrational chain of analysis: see </w:t>
      </w:r>
      <w:r w:rsidRPr="000821FA">
        <w:rPr>
          <w:rStyle w:val="dec02citationcasename1"/>
          <w:rFonts w:cs="Times New Roman"/>
          <w:lang w:val="en"/>
        </w:rPr>
        <w:t xml:space="preserve">Wright v. Nova Scotia (Human Rights </w:t>
      </w:r>
      <w:r w:rsidRPr="000821FA">
        <w:rPr>
          <w:rStyle w:val="dec02citationcasename1"/>
          <w:rFonts w:cs="Times New Roman"/>
          <w:lang w:val="en"/>
        </w:rPr>
        <w:lastRenderedPageBreak/>
        <w:t xml:space="preserve">Commission), </w:t>
      </w:r>
      <w:r w:rsidRPr="000821FA">
        <w:rPr>
          <w:rFonts w:cs="Times New Roman"/>
          <w:lang w:val="en"/>
        </w:rPr>
        <w:t>2017 NSSC 11,</w:t>
      </w:r>
      <w:r w:rsidRPr="000821FA">
        <w:rPr>
          <w:rFonts w:cs="Times New Roman"/>
          <w:szCs w:val="24"/>
          <w:lang w:val="en"/>
        </w:rPr>
        <w:t xml:space="preserve"> </w:t>
      </w:r>
      <w:r w:rsidRPr="000821FA">
        <w:rPr>
          <w:rFonts w:cs="Times New Roman"/>
          <w:szCs w:val="24"/>
        </w:rPr>
        <w:t>23 Admin. L.R. (6th) 110</w:t>
      </w:r>
      <w:r w:rsidRPr="000821FA">
        <w:rPr>
          <w:rFonts w:cs="Times New Roman"/>
        </w:rPr>
        <w:t xml:space="preserve">; </w:t>
      </w:r>
      <w:proofErr w:type="spellStart"/>
      <w:r w:rsidRPr="000821FA">
        <w:rPr>
          <w:rFonts w:cs="Times New Roman"/>
          <w:i/>
        </w:rPr>
        <w:t>Southam</w:t>
      </w:r>
      <w:proofErr w:type="spellEnd"/>
      <w:r w:rsidRPr="000821FA">
        <w:rPr>
          <w:rFonts w:cs="Times New Roman"/>
        </w:rPr>
        <w:t xml:space="preserve">, at para. 56. A decision will also be unreasonable where the conclusion reached cannot follow from the analysis undertaken (see </w:t>
      </w:r>
      <w:proofErr w:type="spellStart"/>
      <w:r w:rsidRPr="000821FA">
        <w:rPr>
          <w:rFonts w:cs="Times New Roman"/>
          <w:i/>
        </w:rPr>
        <w:t>Sangmo</w:t>
      </w:r>
      <w:proofErr w:type="spellEnd"/>
      <w:r w:rsidRPr="000821FA">
        <w:rPr>
          <w:rFonts w:cs="Times New Roman"/>
          <w:i/>
        </w:rPr>
        <w:t xml:space="preserve"> v. Canada (</w:t>
      </w:r>
      <w:r w:rsidR="009A0574">
        <w:rPr>
          <w:rFonts w:cs="Times New Roman"/>
          <w:i/>
        </w:rPr>
        <w:t xml:space="preserve">Minister of </w:t>
      </w:r>
      <w:r w:rsidRPr="000821FA">
        <w:rPr>
          <w:rFonts w:cs="Times New Roman"/>
          <w:i/>
        </w:rPr>
        <w:t>Citizenship and Immigration)</w:t>
      </w:r>
      <w:r w:rsidRPr="000821FA">
        <w:rPr>
          <w:rFonts w:cs="Times New Roman"/>
        </w:rPr>
        <w:t>, 2016 FC 17, at para. 21 (</w:t>
      </w:r>
      <w:proofErr w:type="spellStart"/>
      <w:r w:rsidRPr="000821FA">
        <w:rPr>
          <w:rFonts w:cs="Times New Roman"/>
        </w:rPr>
        <w:t>CanLII</w:t>
      </w:r>
      <w:proofErr w:type="spellEnd"/>
      <w:r w:rsidRPr="000821FA">
        <w:rPr>
          <w:rFonts w:cs="Times New Roman"/>
        </w:rPr>
        <w:t xml:space="preserve">)) or if the reasons read in conjunction with the record do not make it possible to understand the decision maker’s reasoning on a critical point (see </w:t>
      </w:r>
      <w:r w:rsidRPr="000821FA">
        <w:rPr>
          <w:rFonts w:cs="Times New Roman"/>
          <w:i/>
          <w:iCs/>
          <w:lang w:val="en"/>
        </w:rPr>
        <w:t>Blas v. Canada (</w:t>
      </w:r>
      <w:r w:rsidR="00AB7AA8">
        <w:rPr>
          <w:rFonts w:cs="Times New Roman"/>
          <w:i/>
          <w:iCs/>
          <w:lang w:val="en"/>
        </w:rPr>
        <w:t xml:space="preserve">Minister of </w:t>
      </w:r>
      <w:r w:rsidRPr="000821FA">
        <w:rPr>
          <w:rFonts w:cs="Times New Roman"/>
          <w:i/>
          <w:iCs/>
          <w:lang w:val="en"/>
        </w:rPr>
        <w:t>Citizenship and Immigration)</w:t>
      </w:r>
      <w:r w:rsidRPr="000821FA">
        <w:rPr>
          <w:rFonts w:cs="Times New Roman"/>
          <w:lang w:val="en"/>
        </w:rPr>
        <w:t xml:space="preserve">, 2014 FC 629, </w:t>
      </w:r>
      <w:r w:rsidRPr="000821FA">
        <w:rPr>
          <w:rFonts w:cs="Times New Roman"/>
          <w:szCs w:val="24"/>
        </w:rPr>
        <w:t xml:space="preserve">26 </w:t>
      </w:r>
      <w:proofErr w:type="spellStart"/>
      <w:r w:rsidRPr="000821FA">
        <w:rPr>
          <w:rFonts w:cs="Times New Roman"/>
          <w:szCs w:val="24"/>
        </w:rPr>
        <w:t>Imm</w:t>
      </w:r>
      <w:proofErr w:type="spellEnd"/>
      <w:r w:rsidRPr="000821FA">
        <w:rPr>
          <w:rFonts w:cs="Times New Roman"/>
          <w:szCs w:val="24"/>
        </w:rPr>
        <w:t xml:space="preserve">. L.R. (4th) 92, at paras. 54-66; </w:t>
      </w:r>
      <w:r w:rsidRPr="000821FA">
        <w:rPr>
          <w:rFonts w:cs="Times New Roman"/>
          <w:bCs/>
          <w:i/>
          <w:szCs w:val="24"/>
        </w:rPr>
        <w:t>Reid v. Criminal Injuries Compensation Board</w:t>
      </w:r>
      <w:r w:rsidRPr="000821FA">
        <w:rPr>
          <w:rFonts w:cs="Times New Roman"/>
          <w:bCs/>
          <w:szCs w:val="24"/>
        </w:rPr>
        <w:t xml:space="preserve">, </w:t>
      </w:r>
      <w:r w:rsidRPr="000821FA">
        <w:rPr>
          <w:rFonts w:cs="Times New Roman"/>
          <w:szCs w:val="24"/>
        </w:rPr>
        <w:t xml:space="preserve">2015 ONSC 6578; </w:t>
      </w:r>
      <w:r w:rsidRPr="000821FA">
        <w:rPr>
          <w:rFonts w:cs="Times New Roman"/>
          <w:bCs/>
          <w:i/>
          <w:szCs w:val="24"/>
        </w:rPr>
        <w:t>Lloyd v. Canada (Attorney General)</w:t>
      </w:r>
      <w:r w:rsidRPr="000821FA">
        <w:rPr>
          <w:rFonts w:cs="Times New Roman"/>
          <w:bCs/>
          <w:szCs w:val="24"/>
        </w:rPr>
        <w:t xml:space="preserve">, </w:t>
      </w:r>
      <w:r w:rsidR="00484BDB">
        <w:rPr>
          <w:rFonts w:cs="Times New Roman"/>
          <w:szCs w:val="24"/>
        </w:rPr>
        <w:t xml:space="preserve">2016 FCA 115, </w:t>
      </w:r>
      <w:r w:rsidRPr="000821FA">
        <w:rPr>
          <w:rFonts w:cs="Times New Roman"/>
          <w:szCs w:val="24"/>
        </w:rPr>
        <w:t>2016 D.T.C. 5051</w:t>
      </w:r>
      <w:r w:rsidRPr="000821FA">
        <w:rPr>
          <w:rStyle w:val="nowrap"/>
          <w:rFonts w:cs="Times New Roman"/>
          <w:szCs w:val="24"/>
        </w:rPr>
        <w:t xml:space="preserve">; </w:t>
      </w:r>
      <w:r w:rsidRPr="000821FA">
        <w:rPr>
          <w:rFonts w:cs="Times New Roman"/>
          <w:i/>
          <w:szCs w:val="24"/>
          <w:lang w:val="en"/>
        </w:rPr>
        <w:t>Taman v. Canada (Attorney General)</w:t>
      </w:r>
      <w:r w:rsidRPr="000821FA">
        <w:rPr>
          <w:rFonts w:cs="Times New Roman"/>
          <w:szCs w:val="24"/>
          <w:lang w:val="en"/>
        </w:rPr>
        <w:t>, 2017 FCA 1, [2017] 3 F.C.R. 520, at para. 47)</w:t>
      </w:r>
      <w:r w:rsidR="004C50F1">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Similarly, the internal rationality of a decision may be called into question if the reasons exhibit clear logical fallacies, such as circular reasoning, false dilemmas, unfounded generalizations or an absurd premise. This is not an invitation to hold administrative decision makers to the formalistic constraints and standards of academic logicians. However, a reviewing court must ultimately be satisfied that the decision maker’s reasoning “adds up”. </w:t>
      </w:r>
    </w:p>
    <w:p w:rsidR="008B0231" w:rsidRPr="000821FA" w:rsidRDefault="008B0231" w:rsidP="008B0231">
      <w:pPr>
        <w:pStyle w:val="Title3LevelTitre3Niveau"/>
        <w:numPr>
          <w:ilvl w:val="2"/>
          <w:numId w:val="4"/>
        </w:numPr>
        <w:jc w:val="both"/>
        <w:rPr>
          <w:rFonts w:cs="Times New Roman"/>
        </w:rPr>
      </w:pPr>
      <w:r w:rsidRPr="000821FA">
        <w:rPr>
          <w:rFonts w:cs="Times New Roman"/>
        </w:rPr>
        <w:t>A Reasonable Decision Is Justified in Light of the Legal and Factual Constr</w:t>
      </w:r>
      <w:r w:rsidR="00E12286">
        <w:rPr>
          <w:rFonts w:cs="Times New Roman"/>
        </w:rPr>
        <w:t>aints That Bear on the Decision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lang w:val="en"/>
        </w:rPr>
        <w:t xml:space="preserve">In </w:t>
      </w:r>
      <w:r w:rsidRPr="000821FA">
        <w:rPr>
          <w:rFonts w:cs="Times New Roman"/>
        </w:rPr>
        <w:t xml:space="preserve">addition to the need for internally coherent reasoning, a decision, to be reasonable, must be justified in relation to the constellation of law and facts that are relevant to the decision: </w:t>
      </w:r>
      <w:r w:rsidRPr="000821FA">
        <w:rPr>
          <w:rFonts w:cs="Times New Roman"/>
          <w:i/>
        </w:rPr>
        <w:t>Dunsmuir</w:t>
      </w:r>
      <w:r w:rsidRPr="000821FA">
        <w:rPr>
          <w:rFonts w:cs="Times New Roman"/>
        </w:rPr>
        <w:t xml:space="preserve">, at para. 47; </w:t>
      </w:r>
      <w:r w:rsidRPr="000821FA">
        <w:rPr>
          <w:rFonts w:cs="Times New Roman"/>
          <w:i/>
        </w:rPr>
        <w:t>Catalyst</w:t>
      </w:r>
      <w:r w:rsidRPr="000821FA">
        <w:rPr>
          <w:rFonts w:cs="Times New Roman"/>
        </w:rPr>
        <w:t xml:space="preserve">, at para. 13; </w:t>
      </w:r>
      <w:r w:rsidRPr="000821FA">
        <w:rPr>
          <w:rFonts w:cs="Times New Roman"/>
          <w:i/>
        </w:rPr>
        <w:t xml:space="preserve">Nor-Man Regional </w:t>
      </w:r>
      <w:r w:rsidRPr="000821FA">
        <w:rPr>
          <w:rFonts w:cs="Times New Roman"/>
          <w:i/>
        </w:rPr>
        <w:lastRenderedPageBreak/>
        <w:t>Health Authority</w:t>
      </w:r>
      <w:r w:rsidRPr="000821FA">
        <w:rPr>
          <w:rFonts w:cs="Times New Roman"/>
          <w:lang w:val="en"/>
        </w:rPr>
        <w:t xml:space="preserve">, </w:t>
      </w:r>
      <w:r w:rsidRPr="000821FA">
        <w:rPr>
          <w:rFonts w:cs="Times New Roman"/>
        </w:rPr>
        <w:t>at para. 6. Elements of the legal and factual contexts of a decision operate as constraints on the decision maker in the exercise of its delegated powers.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It is unnecessary to catalogue all of the legal or factual considerations that could constrain an administrative decision maker in a particular case. However, in the sections that follow, we discuss a number of elements that will generally be relevant in evaluating whether a given decision is reasonable, namely</w:t>
      </w:r>
      <w:r w:rsidR="002F4F10">
        <w:rPr>
          <w:rFonts w:cs="Times New Roman"/>
        </w:rPr>
        <w:t>:</w:t>
      </w:r>
      <w:r w:rsidRPr="000821FA">
        <w:rPr>
          <w:rFonts w:cs="Times New Roman"/>
        </w:rPr>
        <w:t xml:space="preserve"> the governing statutory scheme; other relevant statutory or common law; the principles of statutory interpretation; the evidence before the decision maker and facts of which the decision maker may take notice; the submissions of the parties; the past practices and decisions of the </w:t>
      </w:r>
      <w:r>
        <w:rPr>
          <w:rFonts w:cs="Times New Roman"/>
        </w:rPr>
        <w:t>administrative body</w:t>
      </w:r>
      <w:r w:rsidRPr="000821FA">
        <w:rPr>
          <w:rFonts w:cs="Times New Roman"/>
        </w:rPr>
        <w:t>; and the potential impact of the dec</w:t>
      </w:r>
      <w:r>
        <w:rPr>
          <w:rFonts w:cs="Times New Roman"/>
        </w:rPr>
        <w:t>ision on the individual to whom</w:t>
      </w:r>
      <w:r w:rsidRPr="000821FA">
        <w:rPr>
          <w:rFonts w:cs="Times New Roman"/>
        </w:rPr>
        <w:t xml:space="preserve"> it applies. These elements are not a checklist for conducting reasonableness review, and they may vary in significance depending on the context. They are offered merely to highlight some elements of the surrounding context that can cause a reviewing court to lose confidence in the outcome reached.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A reviewing court may find that a decision is unreasonable when examined against these contextual considerations.</w:t>
      </w:r>
      <w:r w:rsidRPr="000821FA">
        <w:rPr>
          <w:rFonts w:cs="Times New Roman"/>
          <w:b/>
        </w:rPr>
        <w:t xml:space="preserve"> </w:t>
      </w:r>
      <w:r w:rsidRPr="000821FA">
        <w:rPr>
          <w:rFonts w:cs="Times New Roman"/>
        </w:rPr>
        <w:t xml:space="preserve">These elements necessarily interact with one another: for example, a reasonable penalty for professional misconduct in a given case must be justified </w:t>
      </w:r>
      <w:r w:rsidRPr="000821FA">
        <w:rPr>
          <w:rFonts w:cs="Times New Roman"/>
          <w:i/>
        </w:rPr>
        <w:t xml:space="preserve">both </w:t>
      </w:r>
      <w:r w:rsidRPr="000821FA">
        <w:rPr>
          <w:rFonts w:cs="Times New Roman"/>
        </w:rPr>
        <w:t>with respect to the types of penalties prescribed by the relevant legislation and with respect to the nature of the underlying misconduct.</w:t>
      </w:r>
    </w:p>
    <w:p w:rsidR="008B0231" w:rsidRPr="000821FA" w:rsidRDefault="002F4F10"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Governing Statutory Scheme</w:t>
      </w:r>
    </w:p>
    <w:p w:rsidR="008B0231" w:rsidRPr="000821FA" w:rsidRDefault="008B0231" w:rsidP="005C2571">
      <w:pPr>
        <w:pStyle w:val="ParaNoNdepar-AltN"/>
        <w:tabs>
          <w:tab w:val="clear" w:pos="1166"/>
          <w:tab w:val="clear" w:pos="1422"/>
          <w:tab w:val="num" w:pos="1152"/>
        </w:tabs>
        <w:ind w:left="0"/>
        <w:rPr>
          <w:rFonts w:cs="Times New Roman"/>
          <w:lang w:val="en"/>
        </w:rPr>
      </w:pPr>
      <w:r w:rsidRPr="000821FA">
        <w:rPr>
          <w:rFonts w:cs="Times New Roman"/>
        </w:rPr>
        <w:lastRenderedPageBreak/>
        <w:t xml:space="preserve">Because administrative decision makers receive their powers by statute, the governing statutory scheme is likely to be the most salient aspect of the legal context relevant to a particular decision. That administrative decision makers play a role, along with courts, in elaborating the precise content of the administrative schemes they administer should not be taken to mean that administrative decision makers are permitted to disregard or rewrite the law </w:t>
      </w:r>
      <w:proofErr w:type="spellStart"/>
      <w:r w:rsidRPr="000821FA">
        <w:rPr>
          <w:rFonts w:cs="Times New Roman"/>
        </w:rPr>
        <w:t>as</w:t>
      </w:r>
      <w:proofErr w:type="spellEnd"/>
      <w:r w:rsidRPr="000821FA">
        <w:rPr>
          <w:rFonts w:cs="Times New Roman"/>
        </w:rPr>
        <w:t xml:space="preserve"> enacted by Parliament and the provincial legislatures. Thus, for example, while an administrative body may have considerable discretion in making a particular decision, that decision must ultimately comply “</w:t>
      </w:r>
      <w:r w:rsidRPr="000821FA">
        <w:rPr>
          <w:rFonts w:cs="Times New Roman"/>
          <w:lang w:val="en"/>
        </w:rPr>
        <w:t xml:space="preserve">with the rationale and purview of the statutory scheme under which it is adopted”: </w:t>
      </w:r>
      <w:r w:rsidRPr="000821FA">
        <w:rPr>
          <w:rFonts w:cs="Times New Roman"/>
          <w:i/>
          <w:lang w:val="en"/>
        </w:rPr>
        <w:t>Catalyst</w:t>
      </w:r>
      <w:r w:rsidRPr="000821FA">
        <w:rPr>
          <w:rFonts w:cs="Times New Roman"/>
          <w:lang w:val="en"/>
        </w:rPr>
        <w:t xml:space="preserve">, at paras. 15 and 25-28; see also </w:t>
      </w:r>
      <w:r w:rsidRPr="000821FA">
        <w:rPr>
          <w:rFonts w:cs="Times New Roman"/>
          <w:i/>
          <w:lang w:val="en"/>
        </w:rPr>
        <w:t>Green</w:t>
      </w:r>
      <w:r w:rsidRPr="000821FA">
        <w:rPr>
          <w:rFonts w:cs="Times New Roman"/>
          <w:lang w:val="en"/>
        </w:rPr>
        <w:t xml:space="preserve">, at para. </w:t>
      </w:r>
      <w:r w:rsidRPr="000821FA">
        <w:rPr>
          <w:rFonts w:cs="Times New Roman"/>
          <w:lang w:val="en-US"/>
        </w:rPr>
        <w:t>44</w:t>
      </w:r>
      <w:r w:rsidRPr="000821FA">
        <w:rPr>
          <w:rFonts w:cs="Times New Roman"/>
          <w:lang w:val="en"/>
        </w:rPr>
        <w:t xml:space="preserve">. As Rand J. noted in </w:t>
      </w:r>
      <w:proofErr w:type="spellStart"/>
      <w:r w:rsidRPr="000821FA">
        <w:rPr>
          <w:rFonts w:cs="Times New Roman"/>
          <w:i/>
          <w:lang w:val="en"/>
        </w:rPr>
        <w:t>Roncarelli</w:t>
      </w:r>
      <w:proofErr w:type="spellEnd"/>
      <w:r w:rsidRPr="000821FA">
        <w:rPr>
          <w:rFonts w:cs="Times New Roman"/>
          <w:i/>
        </w:rPr>
        <w:t xml:space="preserve"> v. </w:t>
      </w:r>
      <w:proofErr w:type="spellStart"/>
      <w:r w:rsidRPr="000821FA">
        <w:rPr>
          <w:rFonts w:cs="Times New Roman"/>
          <w:i/>
        </w:rPr>
        <w:t>Duplessis</w:t>
      </w:r>
      <w:proofErr w:type="spellEnd"/>
      <w:r w:rsidRPr="000821FA">
        <w:rPr>
          <w:rFonts w:cs="Times New Roman"/>
        </w:rPr>
        <w:t>, [1959] S.C.R. 121</w:t>
      </w:r>
      <w:r w:rsidRPr="000821FA">
        <w:rPr>
          <w:rFonts w:cs="Times New Roman"/>
          <w:lang w:val="en"/>
        </w:rPr>
        <w:t>, at p. 140, “</w:t>
      </w:r>
      <w:r w:rsidRPr="000821FA">
        <w:rPr>
          <w:rFonts w:cs="Times New Roman"/>
        </w:rPr>
        <w:t>there is no such thing as absolute and untrammelled ‘discretion’”, and</w:t>
      </w:r>
      <w:r w:rsidRPr="000821FA">
        <w:rPr>
          <w:rFonts w:cs="Times New Roman"/>
          <w:lang w:val="en"/>
        </w:rPr>
        <w:t xml:space="preserve"> any exercise of discretion must accord with the purposes for which it was given: </w:t>
      </w:r>
      <w:r w:rsidRPr="000821FA">
        <w:rPr>
          <w:rFonts w:cs="Times New Roman"/>
        </w:rPr>
        <w:t xml:space="preserve">see also </w:t>
      </w:r>
      <w:proofErr w:type="spellStart"/>
      <w:r w:rsidRPr="000821FA">
        <w:rPr>
          <w:rFonts w:cs="Times New Roman"/>
          <w:i/>
        </w:rPr>
        <w:t>Congrégation</w:t>
      </w:r>
      <w:proofErr w:type="spellEnd"/>
      <w:r w:rsidRPr="000821FA">
        <w:rPr>
          <w:rFonts w:cs="Times New Roman"/>
          <w:i/>
        </w:rPr>
        <w:t xml:space="preserve"> des </w:t>
      </w:r>
      <w:proofErr w:type="spellStart"/>
      <w:r w:rsidRPr="000821FA">
        <w:rPr>
          <w:rFonts w:cs="Times New Roman"/>
          <w:i/>
        </w:rPr>
        <w:t>témoins</w:t>
      </w:r>
      <w:proofErr w:type="spellEnd"/>
      <w:r w:rsidRPr="000821FA">
        <w:rPr>
          <w:rFonts w:cs="Times New Roman"/>
          <w:i/>
        </w:rPr>
        <w:t xml:space="preserve"> de </w:t>
      </w:r>
      <w:proofErr w:type="spellStart"/>
      <w:r w:rsidRPr="000821FA">
        <w:rPr>
          <w:rFonts w:cs="Times New Roman"/>
          <w:i/>
        </w:rPr>
        <w:t>Jéhovah</w:t>
      </w:r>
      <w:proofErr w:type="spellEnd"/>
      <w:r w:rsidRPr="000821FA">
        <w:rPr>
          <w:rFonts w:cs="Times New Roman"/>
          <w:i/>
        </w:rPr>
        <w:t xml:space="preserve"> de St-</w:t>
      </w:r>
      <w:proofErr w:type="spellStart"/>
      <w:r w:rsidRPr="000821FA">
        <w:rPr>
          <w:rFonts w:cs="Times New Roman"/>
          <w:i/>
        </w:rPr>
        <w:t>Jérôme</w:t>
      </w:r>
      <w:proofErr w:type="spellEnd"/>
      <w:r w:rsidRPr="000821FA">
        <w:rPr>
          <w:rFonts w:cs="Times New Roman"/>
          <w:i/>
        </w:rPr>
        <w:t>-Lafontaine</w:t>
      </w:r>
      <w:r w:rsidRPr="000821FA">
        <w:rPr>
          <w:rFonts w:cs="Times New Roman"/>
        </w:rPr>
        <w:t xml:space="preserve">, at para. </w:t>
      </w:r>
      <w:r w:rsidRPr="000821FA">
        <w:rPr>
          <w:rFonts w:cs="Times New Roman"/>
          <w:lang w:val="en"/>
        </w:rPr>
        <w:t xml:space="preserve">7; </w:t>
      </w:r>
      <w:r w:rsidRPr="000821FA">
        <w:rPr>
          <w:rFonts w:cs="Times New Roman"/>
          <w:i/>
          <w:iCs/>
          <w:lang w:val="en"/>
        </w:rPr>
        <w:t>Montréal (City) v. Montreal Port Authority</w:t>
      </w:r>
      <w:r w:rsidRPr="000821FA">
        <w:rPr>
          <w:rFonts w:cs="Times New Roman"/>
          <w:lang w:val="en"/>
        </w:rPr>
        <w:t xml:space="preserve">, 2010 SCC 14, [2010] 1 S.C.R. 427, at paras. 32-33; </w:t>
      </w:r>
      <w:r w:rsidRPr="000821FA">
        <w:rPr>
          <w:rFonts w:cs="Times New Roman"/>
          <w:i/>
          <w:lang w:val="en"/>
        </w:rPr>
        <w:t>Nor-Man Regional Health Authority</w:t>
      </w:r>
      <w:r w:rsidRPr="000821FA">
        <w:rPr>
          <w:rFonts w:cs="Times New Roman"/>
          <w:lang w:val="en"/>
        </w:rPr>
        <w:t>, at para.</w:t>
      </w:r>
      <w:r>
        <w:rPr>
          <w:rFonts w:cs="Times New Roman"/>
          <w:lang w:val="en"/>
        </w:rPr>
        <w:t> </w:t>
      </w:r>
      <w:r w:rsidRPr="000821FA">
        <w:rPr>
          <w:rFonts w:cs="Times New Roman"/>
        </w:rPr>
        <w:t>6</w:t>
      </w:r>
      <w:r w:rsidRPr="000821FA">
        <w:rPr>
          <w:rFonts w:cs="Times New Roman"/>
          <w:lang w:val="en"/>
        </w:rPr>
        <w:t xml:space="preserve">. Likewise, a decision must comport with any more specific constraints imposed by the governing legislative scheme, such as the statutory definitions, principles or formulas that prescribe the exercise of a discretion: see </w:t>
      </w:r>
      <w:r w:rsidRPr="000821FA">
        <w:rPr>
          <w:rFonts w:cs="Times New Roman"/>
          <w:i/>
          <w:iCs/>
          <w:lang w:val="en"/>
        </w:rPr>
        <w:t>Montréal (City)</w:t>
      </w:r>
      <w:r w:rsidRPr="000821FA">
        <w:rPr>
          <w:rFonts w:cs="Times New Roman"/>
          <w:lang w:val="en"/>
        </w:rPr>
        <w:t xml:space="preserve">, at paras. 33 and 40-41; </w:t>
      </w:r>
      <w:r w:rsidRPr="000821FA">
        <w:rPr>
          <w:rFonts w:cs="Times New Roman"/>
          <w:i/>
          <w:lang w:val="en"/>
        </w:rPr>
        <w:t xml:space="preserve">Canada (Attorney General) v. </w:t>
      </w:r>
      <w:proofErr w:type="spellStart"/>
      <w:r w:rsidRPr="000821FA">
        <w:rPr>
          <w:rFonts w:cs="Times New Roman"/>
          <w:i/>
          <w:lang w:val="en"/>
        </w:rPr>
        <w:t>Almon</w:t>
      </w:r>
      <w:proofErr w:type="spellEnd"/>
      <w:r w:rsidRPr="000821FA">
        <w:rPr>
          <w:rFonts w:cs="Times New Roman"/>
          <w:i/>
          <w:lang w:val="en"/>
        </w:rPr>
        <w:t xml:space="preserve"> Equipment Limited</w:t>
      </w:r>
      <w:r w:rsidRPr="000821FA">
        <w:rPr>
          <w:rFonts w:cs="Times New Roman"/>
          <w:lang w:val="en"/>
        </w:rPr>
        <w:t xml:space="preserve">, 2010 FCA 193, [2011] 4 F.C.R. 203, at paras. 38-40. </w:t>
      </w:r>
      <w:proofErr w:type="gramStart"/>
      <w:r w:rsidRPr="000821FA">
        <w:rPr>
          <w:rFonts w:cs="Times New Roman"/>
        </w:rPr>
        <w:t>The</w:t>
      </w:r>
      <w:proofErr w:type="gramEnd"/>
      <w:r w:rsidRPr="000821FA">
        <w:rPr>
          <w:rFonts w:cs="Times New Roman"/>
        </w:rPr>
        <w:t xml:space="preserve"> statutory scheme also informs the acceptable approaches to decision making: for example, where a decision maker is given wide discretion, it would be unreasonable for it to fetter that discretion: see </w:t>
      </w:r>
      <w:r w:rsidRPr="000821FA">
        <w:rPr>
          <w:rFonts w:cs="Times New Roman"/>
          <w:i/>
        </w:rPr>
        <w:t>Delta Air Lines</w:t>
      </w:r>
      <w:r w:rsidRPr="000821FA">
        <w:rPr>
          <w:rFonts w:cs="Times New Roman"/>
        </w:rPr>
        <w:t>, at para. 18.</w:t>
      </w:r>
    </w:p>
    <w:p w:rsidR="008B0231" w:rsidRPr="000821FA" w:rsidRDefault="008B0231" w:rsidP="005C2571">
      <w:pPr>
        <w:pStyle w:val="ParaNoNdepar-AltN"/>
        <w:tabs>
          <w:tab w:val="clear" w:pos="1166"/>
          <w:tab w:val="clear" w:pos="1422"/>
          <w:tab w:val="num" w:pos="1152"/>
        </w:tabs>
        <w:ind w:left="0"/>
        <w:rPr>
          <w:rFonts w:cs="Times New Roman"/>
          <w:lang w:val="en"/>
        </w:rPr>
      </w:pPr>
      <w:r w:rsidRPr="000821FA">
        <w:rPr>
          <w:rFonts w:cs="Times New Roman"/>
          <w:lang w:val="en"/>
        </w:rPr>
        <w:lastRenderedPageBreak/>
        <w:t xml:space="preserve">As stated above, a proper application of the reasonableness standard is capable of allaying the concern that an administrative decision maker might interpret the scope of its own authority beyond what the legislature intended. As a result, there is no need to </w:t>
      </w:r>
      <w:r w:rsidRPr="005C2571">
        <w:rPr>
          <w:rFonts w:cs="Times New Roman"/>
        </w:rPr>
        <w:t>maintain</w:t>
      </w:r>
      <w:r w:rsidRPr="000821FA">
        <w:rPr>
          <w:rFonts w:cs="Times New Roman"/>
          <w:lang w:val="en"/>
        </w:rPr>
        <w:t xml:space="preserve"> a category of “truly” jurisdictional questions that are subject to correctness review. Although a decision maker’s interpretation of its statutory grant of authority is generally entitled to deference, the decision maker must nonetheless properly justify that interpretation. Reasonableness review does not allow administrative decision makers to arrogate powers to themselves that they were never intended to have, and an administrative body cannot exercise authority which was not delegated to it. Contrary to our colleagues’ concern (at para. 285), this does not reintroduce the concept of “jurisdictional error” into judicial review, but merely identifies one of the obvious and necessary constraints imposed on administrative decision makers.</w:t>
      </w:r>
    </w:p>
    <w:p w:rsidR="008B0231" w:rsidRPr="000821FA" w:rsidRDefault="008B0231" w:rsidP="005C2571">
      <w:pPr>
        <w:pStyle w:val="ParaNoNdepar-AltN"/>
        <w:tabs>
          <w:tab w:val="clear" w:pos="1166"/>
          <w:tab w:val="clear" w:pos="1422"/>
          <w:tab w:val="num" w:pos="1152"/>
        </w:tabs>
        <w:ind w:left="0"/>
        <w:rPr>
          <w:rFonts w:cs="Times New Roman"/>
          <w:lang w:val="en"/>
        </w:rPr>
      </w:pPr>
      <w:r w:rsidRPr="005C2571">
        <w:rPr>
          <w:rFonts w:cs="Times New Roman"/>
        </w:rPr>
        <w:t>Whether</w:t>
      </w:r>
      <w:r w:rsidRPr="000821FA">
        <w:rPr>
          <w:rFonts w:cs="Times New Roman"/>
          <w:lang w:val="en"/>
        </w:rPr>
        <w:t xml:space="preserve"> an interpretation is justified will depend on the context, including the language chosen by the legislature in describing the limits and contours of the decision maker’s authority. If a legislature wishes to precisely circumscribe an administrative decision maker’s power in some respect, it can do so by using precise and narrow language and delineating the power in detail, thereby tightly constraining the decision maker’s ability to interpret the provision. Conversely, where the legislature chooses to use broad, open-ended or highly qualitative language — for example, “in the public interest” — it clearly contemplates that the decision maker is to have greater flexibility in interpreting the meaning of such language. Other language will fall in the </w:t>
      </w:r>
      <w:r w:rsidRPr="000821FA">
        <w:rPr>
          <w:rFonts w:cs="Times New Roman"/>
          <w:lang w:val="en"/>
        </w:rPr>
        <w:lastRenderedPageBreak/>
        <w:t>middle of this spectrum. All of this is to say that certain questions relating to the scope of a decision maker’s authority may support more than one interpretation, while other questions may support only one, depending upon the text by which the statutory grant of authority is made. What matters is whether, in the eyes of the reviewing court, the decision maker has properly justified its interpretation of the statute in light of the surrounding context</w:t>
      </w:r>
      <w:r w:rsidRPr="000821FA">
        <w:rPr>
          <w:rFonts w:cs="Times New Roman"/>
        </w:rPr>
        <w:t>. It will, o</w:t>
      </w:r>
      <w:proofErr w:type="spellStart"/>
      <w:r w:rsidRPr="000821FA">
        <w:rPr>
          <w:rFonts w:cs="Times New Roman"/>
          <w:lang w:val="en"/>
        </w:rPr>
        <w:t>f</w:t>
      </w:r>
      <w:proofErr w:type="spellEnd"/>
      <w:r w:rsidRPr="000821FA">
        <w:rPr>
          <w:rFonts w:cs="Times New Roman"/>
          <w:lang w:val="en"/>
        </w:rPr>
        <w:t xml:space="preserve"> course, be impossible for an administrative decision maker to justify a decision that strays beyond the limits set by the statutory language it is interpreting.</w:t>
      </w:r>
    </w:p>
    <w:p w:rsidR="008B0231" w:rsidRPr="000821FA" w:rsidRDefault="006C4436"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Other Statutory or Common Law</w:t>
      </w:r>
    </w:p>
    <w:p w:rsidR="008B0231" w:rsidRPr="000821FA" w:rsidRDefault="008B0231" w:rsidP="005C2571">
      <w:pPr>
        <w:pStyle w:val="ParaNoNdepar-AltN"/>
        <w:tabs>
          <w:tab w:val="clear" w:pos="1166"/>
          <w:tab w:val="clear" w:pos="1422"/>
          <w:tab w:val="num" w:pos="1152"/>
        </w:tabs>
        <w:ind w:left="0"/>
        <w:rPr>
          <w:rFonts w:cs="Times New Roman"/>
          <w:lang w:val="en"/>
        </w:rPr>
      </w:pPr>
      <w:r w:rsidRPr="000821FA">
        <w:rPr>
          <w:rFonts w:cs="Times New Roman"/>
        </w:rPr>
        <w:t xml:space="preserve">It is evident that both statutory and common law will impose constraints on how and what an administrative decision maker can lawfully decide: see </w:t>
      </w:r>
      <w:r w:rsidRPr="000821FA">
        <w:rPr>
          <w:rFonts w:cs="Times New Roman"/>
          <w:i/>
          <w:lang w:val="en"/>
        </w:rPr>
        <w:t>Dunsmuir</w:t>
      </w:r>
      <w:r w:rsidRPr="000821FA">
        <w:rPr>
          <w:rFonts w:cs="Times New Roman"/>
          <w:lang w:val="en"/>
        </w:rPr>
        <w:t>, at paras. 47 and 74</w:t>
      </w:r>
      <w:r w:rsidRPr="000821FA">
        <w:rPr>
          <w:rFonts w:cs="Times New Roman"/>
        </w:rPr>
        <w:t>.</w:t>
      </w:r>
      <w:r w:rsidRPr="000821FA">
        <w:rPr>
          <w:rFonts w:cs="Times New Roman"/>
          <w:lang w:val="en"/>
        </w:rPr>
        <w:t xml:space="preserve"> For example, an administrative decision maker interpreting </w:t>
      </w:r>
      <w:r w:rsidRPr="005C2571">
        <w:rPr>
          <w:rFonts w:cs="Times New Roman"/>
        </w:rPr>
        <w:t>the</w:t>
      </w:r>
      <w:r w:rsidRPr="000821FA">
        <w:rPr>
          <w:rFonts w:cs="Times New Roman"/>
          <w:lang w:val="en"/>
        </w:rPr>
        <w:t xml:space="preserve"> scope of its regulation-making authority in order to exercise that authority cannot adopt an interpretation that is inconsistent with applicable common law principles regarding the nature of statutory powers: see </w:t>
      </w:r>
      <w:r w:rsidRPr="000821FA">
        <w:rPr>
          <w:rFonts w:cs="Times New Roman"/>
          <w:i/>
          <w:lang w:val="en"/>
        </w:rPr>
        <w:t>Katz Group Canada Inc. v. Ontario (Health and Long</w:t>
      </w:r>
      <w:r w:rsidRPr="000821FA">
        <w:rPr>
          <w:rFonts w:cs="Times New Roman"/>
          <w:i/>
          <w:lang w:val="en"/>
        </w:rPr>
        <w:noBreakHyphen/>
        <w:t>Term Care)</w:t>
      </w:r>
      <w:r w:rsidRPr="000821FA">
        <w:rPr>
          <w:rFonts w:cs="Times New Roman"/>
          <w:lang w:val="en"/>
        </w:rPr>
        <w:t xml:space="preserve">, 2013 SCC 64, [2013] 3 S.C.R. 810, at paras. 45-48. Neither can a body instructed by legislation to determine what tax rate is applicable in accordance with an existing tax system ignore that system and base its determination on a “fictitious” system it has arbitrarily created: </w:t>
      </w:r>
      <w:r w:rsidRPr="000821FA">
        <w:rPr>
          <w:rFonts w:cs="Times New Roman"/>
          <w:i/>
          <w:iCs/>
          <w:lang w:val="en"/>
        </w:rPr>
        <w:t>Montréal (City)</w:t>
      </w:r>
      <w:r w:rsidRPr="000821FA">
        <w:rPr>
          <w:rFonts w:cs="Times New Roman"/>
          <w:iCs/>
          <w:lang w:val="en"/>
        </w:rPr>
        <w:t xml:space="preserve">, at para. 40. Where a relationship is governed by private law, it would be unreasonable for a decision maker to ignore that law in adjudicating parties’ rights within that relationship: </w:t>
      </w:r>
      <w:r w:rsidRPr="000821FA">
        <w:rPr>
          <w:rFonts w:cs="Times New Roman"/>
          <w:i/>
          <w:iCs/>
          <w:lang w:val="en"/>
        </w:rPr>
        <w:t>Dunsmuir</w:t>
      </w:r>
      <w:r w:rsidRPr="000821FA">
        <w:rPr>
          <w:rFonts w:cs="Times New Roman"/>
          <w:iCs/>
          <w:lang w:val="en"/>
        </w:rPr>
        <w:t xml:space="preserve">, at </w:t>
      </w:r>
      <w:r w:rsidRPr="000821FA">
        <w:rPr>
          <w:rFonts w:cs="Times New Roman"/>
          <w:iCs/>
          <w:lang w:val="en"/>
        </w:rPr>
        <w:lastRenderedPageBreak/>
        <w:t xml:space="preserve">para. 74. </w:t>
      </w:r>
      <w:r w:rsidRPr="000821FA">
        <w:rPr>
          <w:rFonts w:cs="Times New Roman"/>
        </w:rPr>
        <w:t xml:space="preserve">Similarly, where the governing statute specifies a standard that is well known in law and in the jurisprudence, a reasonable decision will generally be one that is consistent with the established understanding of that standard: see, e.g., the discussion of “reasonable grounds to suspect” in </w:t>
      </w:r>
      <w:r w:rsidRPr="000821FA">
        <w:rPr>
          <w:rFonts w:cs="Times New Roman"/>
          <w:i/>
        </w:rPr>
        <w:t xml:space="preserve">Canada (Transport, Infrastructure and Communities) v. </w:t>
      </w:r>
      <w:proofErr w:type="spellStart"/>
      <w:r w:rsidRPr="000821FA">
        <w:rPr>
          <w:rFonts w:cs="Times New Roman"/>
          <w:i/>
        </w:rPr>
        <w:t>Farwaha</w:t>
      </w:r>
      <w:proofErr w:type="spellEnd"/>
      <w:r w:rsidRPr="000821FA">
        <w:rPr>
          <w:rFonts w:cs="Times New Roman"/>
        </w:rPr>
        <w:t xml:space="preserve">, 2014 FCA 56, [2015] </w:t>
      </w:r>
      <w:r w:rsidR="00DE6156">
        <w:rPr>
          <w:rFonts w:cs="Times New Roman"/>
        </w:rPr>
        <w:t>2 F.C.R. 1006, at paras. 93-98.</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Any precedents on the issue before the administrative decision maker or on a similar issue will act as a constraint on what the decision maker can reasonably decide. An administrative body’s decision may be unreasonable on the basis that the body failed to explain or justify a departure from a binding precedent in which the same provision had been interpreted. Where, for example, there is a relevant case in which a court considered a statutory provision, it would be unreasonable for an administrative decision maker to interpret or apply the provision without regard to that precedent. The decision maker would have to be able to explain why a different interpretation is preferable by, for example, explaining why the court’s interpretation does not work in the administrative context: M. </w:t>
      </w:r>
      <w:proofErr w:type="spellStart"/>
      <w:r w:rsidRPr="000821FA">
        <w:rPr>
          <w:rFonts w:cs="Times New Roman"/>
        </w:rPr>
        <w:t>Biddulph</w:t>
      </w:r>
      <w:proofErr w:type="spellEnd"/>
      <w:r w:rsidRPr="000821FA">
        <w:rPr>
          <w:rFonts w:cs="Times New Roman"/>
        </w:rPr>
        <w:t>, “Rethinking the Ramification</w:t>
      </w:r>
      <w:r w:rsidR="00075329">
        <w:rPr>
          <w:rFonts w:cs="Times New Roman"/>
        </w:rPr>
        <w:t>s</w:t>
      </w:r>
      <w:r w:rsidRPr="000821FA">
        <w:rPr>
          <w:rFonts w:cs="Times New Roman"/>
        </w:rPr>
        <w:t xml:space="preserve"> of Reasonableness Review: </w:t>
      </w:r>
      <w:r w:rsidRPr="000821FA">
        <w:rPr>
          <w:rFonts w:cs="Times New Roman"/>
          <w:i/>
        </w:rPr>
        <w:t xml:space="preserve">Stare Decisis </w:t>
      </w:r>
      <w:r w:rsidRPr="000821FA">
        <w:rPr>
          <w:rFonts w:cs="Times New Roman"/>
        </w:rPr>
        <w:t xml:space="preserve">and Reasonableness Review on Questions of Law” (2018), 56 </w:t>
      </w:r>
      <w:r w:rsidRPr="000821FA">
        <w:rPr>
          <w:rFonts w:cs="Times New Roman"/>
          <w:i/>
        </w:rPr>
        <w:t xml:space="preserve">Alta. L.R. </w:t>
      </w:r>
      <w:r w:rsidR="00484BDB">
        <w:rPr>
          <w:rFonts w:cs="Times New Roman"/>
        </w:rPr>
        <w:t xml:space="preserve">119, at p. 146. </w:t>
      </w:r>
      <w:r w:rsidRPr="000821FA">
        <w:rPr>
          <w:rFonts w:cs="Times New Roman"/>
        </w:rPr>
        <w:t xml:space="preserve">There may be circumstances in which it is quite simply unreasonable for an administrative decision maker to fail to apply or interpret a statutory provision in accordance with a binding precedent. For instance, where an immigration tribunal is required to determine whether an applicant’s act would constitute a criminal offence under Canadian law (see, e.g., </w:t>
      </w:r>
      <w:r w:rsidRPr="000821FA">
        <w:rPr>
          <w:rFonts w:cs="Times New Roman"/>
          <w:i/>
        </w:rPr>
        <w:t>Immigration and Refugee Protection Act</w:t>
      </w:r>
      <w:r w:rsidRPr="000821FA">
        <w:rPr>
          <w:rFonts w:cs="Times New Roman"/>
        </w:rPr>
        <w:t>, S.C. 2001, c. 27,</w:t>
      </w:r>
      <w:r w:rsidRPr="000821FA">
        <w:rPr>
          <w:rFonts w:cs="Times New Roman"/>
          <w:sz w:val="23"/>
          <w:szCs w:val="23"/>
        </w:rPr>
        <w:t xml:space="preserve"> </w:t>
      </w:r>
      <w:r w:rsidR="00466AC0">
        <w:rPr>
          <w:rFonts w:cs="Times New Roman"/>
        </w:rPr>
        <w:t xml:space="preserve">ss. 35 to </w:t>
      </w:r>
      <w:r w:rsidRPr="000821FA">
        <w:rPr>
          <w:rFonts w:cs="Times New Roman"/>
        </w:rPr>
        <w:t xml:space="preserve">37), it would clearly not be </w:t>
      </w:r>
      <w:r w:rsidRPr="000821FA">
        <w:rPr>
          <w:rFonts w:cs="Times New Roman"/>
        </w:rPr>
        <w:lastRenderedPageBreak/>
        <w:t>reasonable for the tribunal to adopt an interpretation of a criminal law provision that is inconsistent with how Canadian crimi</w:t>
      </w:r>
      <w:r w:rsidR="00466AC0">
        <w:rPr>
          <w:rFonts w:cs="Times New Roman"/>
        </w:rPr>
        <w:t>nal courts have interpreted it.</w:t>
      </w:r>
    </w:p>
    <w:p w:rsidR="008B0231" w:rsidRPr="000821FA" w:rsidRDefault="008B0231" w:rsidP="005C2571">
      <w:pPr>
        <w:pStyle w:val="ParaNoNdepar-AltN"/>
        <w:tabs>
          <w:tab w:val="clear" w:pos="1166"/>
          <w:tab w:val="clear" w:pos="1422"/>
          <w:tab w:val="num" w:pos="1152"/>
        </w:tabs>
        <w:ind w:left="0"/>
        <w:rPr>
          <w:rFonts w:cs="Times New Roman"/>
          <w:lang w:val="en"/>
        </w:rPr>
      </w:pPr>
      <w:r w:rsidRPr="000821FA">
        <w:rPr>
          <w:rFonts w:cs="Times New Roman"/>
          <w:lang w:val="en"/>
        </w:rPr>
        <w:t xml:space="preserve">That being said, administrative decision makers will not necessarily be required to apply equitable and common law principles in the same manner as courts in order for their decisions to be reasonable. For example, it may be reasonable for a decision maker to adapt a common law or equitable doctrine to its administrative context: see </w:t>
      </w:r>
      <w:r w:rsidRPr="000821FA">
        <w:rPr>
          <w:rFonts w:cs="Times New Roman"/>
          <w:i/>
          <w:lang w:val="en"/>
        </w:rPr>
        <w:t>Nor-Man Regional Health Authority</w:t>
      </w:r>
      <w:r w:rsidRPr="000821FA">
        <w:rPr>
          <w:rFonts w:cs="Times New Roman"/>
          <w:lang w:val="en"/>
        </w:rPr>
        <w:t xml:space="preserve">, at paras. 5-6, 44-45, 52, 54 and 60. Conversely, a decision maker that rigidly applies a common law doctrine without adapting it to </w:t>
      </w:r>
      <w:r w:rsidRPr="005C2571">
        <w:rPr>
          <w:rFonts w:cs="Times New Roman"/>
        </w:rPr>
        <w:t>the</w:t>
      </w:r>
      <w:r w:rsidRPr="000821FA">
        <w:rPr>
          <w:rFonts w:cs="Times New Roman"/>
          <w:lang w:val="en"/>
        </w:rPr>
        <w:t xml:space="preserve"> relevant administrative context may be acting unreasonably: see </w:t>
      </w:r>
      <w:r w:rsidRPr="000821FA">
        <w:rPr>
          <w:rFonts w:cs="Times New Roman"/>
          <w:i/>
          <w:iCs/>
          <w:lang w:val="en"/>
        </w:rPr>
        <w:t>Delta Air Lines</w:t>
      </w:r>
      <w:r w:rsidRPr="000821FA">
        <w:rPr>
          <w:rFonts w:cs="Times New Roman"/>
          <w:lang w:val="en"/>
        </w:rPr>
        <w:t>, at paras. 16-17 and 30. In short, whether an administrative decision maker has acted reasonably in adapting a legal or equitable doctrine involves a highly context-specific determination.</w:t>
      </w:r>
    </w:p>
    <w:p w:rsidR="008B0231" w:rsidRPr="000821FA" w:rsidRDefault="008B0231" w:rsidP="005C2571">
      <w:pPr>
        <w:pStyle w:val="ParaNoNdepar-AltN"/>
        <w:tabs>
          <w:tab w:val="clear" w:pos="1166"/>
          <w:tab w:val="clear" w:pos="1422"/>
          <w:tab w:val="num" w:pos="1152"/>
        </w:tabs>
        <w:ind w:left="0"/>
        <w:rPr>
          <w:rFonts w:cs="Times New Roman"/>
          <w:lang w:val="en"/>
        </w:rPr>
      </w:pPr>
      <w:r w:rsidRPr="000821FA">
        <w:rPr>
          <w:rFonts w:cs="Times New Roman"/>
          <w:lang w:val="en"/>
        </w:rPr>
        <w:t xml:space="preserve">We would also note that in some administrative decision making contexts, international law will operate as an important constraint on an administrative decision maker. It is well established that legislation is presumed to operate in conformity with Canada’s international obligations, and </w:t>
      </w:r>
      <w:r w:rsidRPr="000821FA">
        <w:rPr>
          <w:rFonts w:cs="Times New Roman"/>
        </w:rPr>
        <w:t>the legislat</w:t>
      </w:r>
      <w:r w:rsidR="0008698E">
        <w:rPr>
          <w:rFonts w:cs="Times New Roman"/>
        </w:rPr>
        <w:t>ure is “presumed to comply with</w:t>
      </w:r>
      <w:r w:rsidRPr="000821FA">
        <w:rPr>
          <w:rFonts w:cs="Times New Roman"/>
        </w:rPr>
        <w:t xml:space="preserve"> the values and principles of customary and conventional international law”</w:t>
      </w:r>
      <w:r w:rsidRPr="000821FA">
        <w:rPr>
          <w:rFonts w:cs="Times New Roman"/>
          <w:lang w:val="en"/>
        </w:rPr>
        <w:t xml:space="preserve">: </w:t>
      </w:r>
      <w:r w:rsidRPr="000821FA">
        <w:rPr>
          <w:rFonts w:cs="Times New Roman"/>
          <w:i/>
        </w:rPr>
        <w:t xml:space="preserve">R. v. </w:t>
      </w:r>
      <w:proofErr w:type="spellStart"/>
      <w:r w:rsidRPr="000821FA">
        <w:rPr>
          <w:rFonts w:cs="Times New Roman"/>
          <w:i/>
        </w:rPr>
        <w:t>Hape</w:t>
      </w:r>
      <w:proofErr w:type="spellEnd"/>
      <w:r w:rsidRPr="000821FA">
        <w:rPr>
          <w:rFonts w:cs="Times New Roman"/>
        </w:rPr>
        <w:t xml:space="preserve">, 2007 SCC 26, </w:t>
      </w:r>
      <w:r w:rsidRPr="000821FA">
        <w:rPr>
          <w:rFonts w:cs="Times New Roman"/>
          <w:lang w:val="en"/>
        </w:rPr>
        <w:t xml:space="preserve">[2007] 2 S.C.R. 292, </w:t>
      </w:r>
      <w:r w:rsidRPr="000821FA">
        <w:rPr>
          <w:rFonts w:cs="Times New Roman"/>
        </w:rPr>
        <w:t xml:space="preserve">at para. 53; </w:t>
      </w:r>
      <w:r w:rsidRPr="000821FA">
        <w:rPr>
          <w:rFonts w:cs="Times New Roman"/>
          <w:i/>
        </w:rPr>
        <w:t xml:space="preserve">R. v. </w:t>
      </w:r>
      <w:proofErr w:type="spellStart"/>
      <w:r w:rsidRPr="000821FA">
        <w:rPr>
          <w:rFonts w:cs="Times New Roman"/>
          <w:i/>
        </w:rPr>
        <w:t>Appulonappa</w:t>
      </w:r>
      <w:proofErr w:type="spellEnd"/>
      <w:r w:rsidRPr="000821FA">
        <w:rPr>
          <w:rFonts w:cs="Times New Roman"/>
        </w:rPr>
        <w:t>,</w:t>
      </w:r>
      <w:r w:rsidRPr="000821FA">
        <w:rPr>
          <w:rFonts w:cs="Times New Roman"/>
          <w:i/>
        </w:rPr>
        <w:t xml:space="preserve"> </w:t>
      </w:r>
      <w:r w:rsidRPr="000821FA">
        <w:rPr>
          <w:rFonts w:cs="Times New Roman"/>
        </w:rPr>
        <w:t xml:space="preserve">2015 SCC 59, </w:t>
      </w:r>
      <w:r w:rsidRPr="000821FA">
        <w:rPr>
          <w:rFonts w:cs="Times New Roman"/>
          <w:lang w:val="en"/>
        </w:rPr>
        <w:t xml:space="preserve">[2015] 3 S.C.R. 754, </w:t>
      </w:r>
      <w:r w:rsidRPr="000821FA">
        <w:rPr>
          <w:rFonts w:cs="Times New Roman"/>
        </w:rPr>
        <w:t>at para. 40.</w:t>
      </w:r>
      <w:r w:rsidRPr="000821FA">
        <w:rPr>
          <w:rFonts w:cs="Times New Roman"/>
          <w:lang w:val="en"/>
        </w:rPr>
        <w:t xml:space="preserve"> Since </w:t>
      </w:r>
      <w:r w:rsidRPr="000821FA">
        <w:rPr>
          <w:rFonts w:cs="Times New Roman"/>
          <w:i/>
          <w:lang w:val="en"/>
        </w:rPr>
        <w:t>Baker</w:t>
      </w:r>
      <w:r w:rsidRPr="000821FA">
        <w:rPr>
          <w:rFonts w:cs="Times New Roman"/>
          <w:lang w:val="en"/>
        </w:rPr>
        <w:t xml:space="preserve">, it has also been clear that international treaties and conventions, even where they have not been implemented domestically by </w:t>
      </w:r>
      <w:r w:rsidRPr="000821FA">
        <w:rPr>
          <w:rFonts w:cs="Times New Roman"/>
          <w:lang w:val="en"/>
        </w:rPr>
        <w:lastRenderedPageBreak/>
        <w:t xml:space="preserve">statute, can help to inform whether a decision was a reasonable exercise of administrative power: </w:t>
      </w:r>
      <w:r w:rsidRPr="000821FA">
        <w:rPr>
          <w:rFonts w:cs="Times New Roman"/>
          <w:i/>
          <w:lang w:val="en"/>
        </w:rPr>
        <w:t>Baker</w:t>
      </w:r>
      <w:r w:rsidR="001E466B">
        <w:rPr>
          <w:rFonts w:cs="Times New Roman"/>
          <w:lang w:val="en"/>
        </w:rPr>
        <w:t>, at paras. 69-71.</w:t>
      </w:r>
    </w:p>
    <w:p w:rsidR="008B0231" w:rsidRPr="000821FA" w:rsidRDefault="00B71E19"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Principles of Statutory Interpretation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Matters of statutory interpretation are not treated uniquely and, as with other questions of law, may be evaluated on a reasonableness standard. Although the general approach to reasonableness review described above applies in such cases, we recognize that it is necessary to provide additional guidance to reviewing courts on this point. This is because reviewing courts are accustomed to resolving questions of statutory interpretation in a context in which the issue is before them at first instance or on appeal, and where they are expected to perform their own independent analysis and come to their own conclusions.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Reasonableness review functions differently. Where reasonableness is the applicable standard on a question of statutory interpretation, the reviewing court does not undertake a </w:t>
      </w:r>
      <w:r w:rsidRPr="000821FA">
        <w:rPr>
          <w:rFonts w:cs="Times New Roman"/>
          <w:i/>
        </w:rPr>
        <w:t xml:space="preserve">de novo </w:t>
      </w:r>
      <w:r w:rsidRPr="000821FA">
        <w:rPr>
          <w:rFonts w:cs="Times New Roman"/>
        </w:rPr>
        <w:t xml:space="preserve">analysis of the question or “ask itself what the correct decision would have been”: </w:t>
      </w:r>
      <w:r w:rsidRPr="000821FA">
        <w:rPr>
          <w:rFonts w:cs="Times New Roman"/>
          <w:i/>
        </w:rPr>
        <w:t>Ryan</w:t>
      </w:r>
      <w:r w:rsidRPr="000821FA">
        <w:rPr>
          <w:rFonts w:cs="Times New Roman"/>
        </w:rPr>
        <w:t>, at para. 50. Instead, just as it does when applying the reasonableness standard in reviewing questions of fact, discretion or policy, the court must examine the administrative decision as a whole, including the reasons provided by the decision maker and the outcome that was reached.</w:t>
      </w:r>
    </w:p>
    <w:p w:rsidR="008B0231" w:rsidRPr="000821FA" w:rsidRDefault="008B0231" w:rsidP="005C2571">
      <w:pPr>
        <w:pStyle w:val="ParaNoNdepar-AltN"/>
        <w:tabs>
          <w:tab w:val="clear" w:pos="1166"/>
          <w:tab w:val="clear" w:pos="1422"/>
          <w:tab w:val="num" w:pos="1152"/>
        </w:tabs>
        <w:ind w:left="0"/>
        <w:rPr>
          <w:rFonts w:cs="Times New Roman"/>
          <w:szCs w:val="24"/>
          <w:shd w:val="clear" w:color="auto" w:fill="FFFFFF"/>
        </w:rPr>
      </w:pPr>
      <w:r w:rsidRPr="000821FA">
        <w:rPr>
          <w:rFonts w:cs="Times New Roman"/>
        </w:rPr>
        <w:t xml:space="preserve">A court interpreting a statutory provision does so by applying the “modern principle” of statutory interpretation, that is, that the words of a statute must be read </w:t>
      </w:r>
      <w:r w:rsidRPr="000821FA">
        <w:rPr>
          <w:rFonts w:cs="Times New Roman"/>
        </w:rPr>
        <w:lastRenderedPageBreak/>
        <w:t xml:space="preserve">“in their entire context and in their grammatical and ordinary sense harmoniously with the scheme of the Act, the object of the Act, and the intention of Parliament”: </w:t>
      </w:r>
      <w:r w:rsidRPr="000821FA">
        <w:rPr>
          <w:rFonts w:cs="Times New Roman"/>
          <w:i/>
        </w:rPr>
        <w:t>Rizzo &amp; Rizzo Shoes Ltd. (Re)</w:t>
      </w:r>
      <w:r w:rsidRPr="000821FA">
        <w:rPr>
          <w:rFonts w:cs="Times New Roman"/>
        </w:rPr>
        <w:t xml:space="preserve">, [1998] 1 S.C.R. 27, at para. 21, and </w:t>
      </w:r>
      <w:r w:rsidRPr="000821FA">
        <w:rPr>
          <w:rFonts w:cs="Times New Roman"/>
          <w:i/>
        </w:rPr>
        <w:t>Bell ExpressVu Limited Partnership v. Rex</w:t>
      </w:r>
      <w:r w:rsidRPr="000821FA">
        <w:rPr>
          <w:rFonts w:cs="Times New Roman"/>
        </w:rPr>
        <w:t>, 2002 SCC 42, [2002] 2 S.C.R. 559, at para. 26, both quoting E.</w:t>
      </w:r>
      <w:r>
        <w:rPr>
          <w:rFonts w:cs="Times New Roman"/>
        </w:rPr>
        <w:t> </w:t>
      </w:r>
      <w:proofErr w:type="spellStart"/>
      <w:r w:rsidRPr="000821FA">
        <w:rPr>
          <w:rFonts w:cs="Times New Roman"/>
        </w:rPr>
        <w:t>Driedger</w:t>
      </w:r>
      <w:proofErr w:type="spellEnd"/>
      <w:r w:rsidRPr="000821FA">
        <w:rPr>
          <w:rFonts w:cs="Times New Roman"/>
        </w:rPr>
        <w:t xml:space="preserve">, </w:t>
      </w:r>
      <w:r w:rsidRPr="000821FA">
        <w:rPr>
          <w:rFonts w:cs="Times New Roman"/>
          <w:i/>
        </w:rPr>
        <w:t>Construction of Statutes</w:t>
      </w:r>
      <w:r w:rsidRPr="000821FA">
        <w:rPr>
          <w:rFonts w:cs="Times New Roman"/>
        </w:rPr>
        <w:t xml:space="preserve"> (2nd ed. 1983), at p. 87. Parliament and the provincial legislatures have also provided guidance by way of statutory rules that explicitly govern the interpretation of statutes and regulations: see, e.g., </w:t>
      </w:r>
      <w:r w:rsidRPr="000821FA">
        <w:rPr>
          <w:rFonts w:cs="Times New Roman"/>
          <w:i/>
          <w:iCs/>
        </w:rPr>
        <w:t>Interpretation Act</w:t>
      </w:r>
      <w:r w:rsidRPr="000821FA">
        <w:rPr>
          <w:rFonts w:cs="Times New Roman"/>
        </w:rPr>
        <w:t xml:space="preserve">, R.S.C. 1985, c. I-21. </w:t>
      </w:r>
    </w:p>
    <w:p w:rsidR="008B0231" w:rsidRPr="000821FA" w:rsidRDefault="008B0231" w:rsidP="005C2571">
      <w:pPr>
        <w:pStyle w:val="ParaNoNdepar-AltN"/>
        <w:tabs>
          <w:tab w:val="clear" w:pos="1166"/>
          <w:tab w:val="clear" w:pos="1422"/>
          <w:tab w:val="num" w:pos="1152"/>
        </w:tabs>
        <w:ind w:left="0"/>
        <w:rPr>
          <w:rFonts w:cs="Times New Roman"/>
          <w:szCs w:val="24"/>
          <w:shd w:val="clear" w:color="auto" w:fill="FFFFFF"/>
        </w:rPr>
      </w:pPr>
      <w:r w:rsidRPr="000821FA">
        <w:rPr>
          <w:rFonts w:cs="Times New Roman"/>
        </w:rPr>
        <w:t xml:space="preserve">This Court has adopted the “modern principle” as the proper approach to statutory interpretation, because legislative intent can be understood only by reading the language chosen by the legislature in light of the purpose of the provision and the entire relevant context: </w:t>
      </w:r>
      <w:r w:rsidRPr="000821FA">
        <w:rPr>
          <w:rFonts w:cs="Times New Roman"/>
          <w:lang w:val="en"/>
        </w:rPr>
        <w:t>Sullivan,</w:t>
      </w:r>
      <w:r w:rsidRPr="000821FA">
        <w:rPr>
          <w:rFonts w:cs="Times New Roman"/>
        </w:rPr>
        <w:t xml:space="preserve"> at pp. 7-8. Those who draft and enact statutes expect that questions about their meaning will be resolved by an analysis that has regard to the text, context and purpose, regardless of whether the entity tasked with interpreting the law is a court or an administrative decision maker. An approach to reasonableness review that respects legislative intent must therefore assume that those who interpret the law — whether courts or administrative decision makers — will do so in a manner consistent with this principle of interpretation.</w:t>
      </w:r>
    </w:p>
    <w:p w:rsidR="008B0231" w:rsidRPr="000821FA" w:rsidRDefault="008B0231" w:rsidP="005C2571">
      <w:pPr>
        <w:pStyle w:val="ParaNoNdepar-AltN"/>
        <w:tabs>
          <w:tab w:val="clear" w:pos="1166"/>
          <w:tab w:val="clear" w:pos="1422"/>
          <w:tab w:val="num" w:pos="1152"/>
        </w:tabs>
        <w:ind w:left="0"/>
        <w:rPr>
          <w:rFonts w:cs="Times New Roman"/>
          <w:szCs w:val="24"/>
          <w:shd w:val="clear" w:color="auto" w:fill="FFFFFF"/>
        </w:rPr>
      </w:pPr>
      <w:r w:rsidRPr="000821FA">
        <w:rPr>
          <w:rFonts w:cs="Times New Roman"/>
        </w:rPr>
        <w:t xml:space="preserve">Administrative decision makers are not required to engage in a formalistic statutory interpretation exercise in every case. As discussed above, formal reasons for a decision will not always be necessary and may, where required, take different forms. </w:t>
      </w:r>
      <w:r w:rsidRPr="000821FA">
        <w:rPr>
          <w:rFonts w:cs="Times New Roman"/>
        </w:rPr>
        <w:lastRenderedPageBreak/>
        <w:t>And even where the interpretive exercise conducted by the administrative decision maker is set out in written reasons, it may look quite different from that of a court. The specialized expertise and experience of administrative decision makers may sometimes lead them to rely, in interpreting a provision, on considerations that a court would not have thought to employ but that actually enrich and elevate the interpretive exercise.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But whatever form the interpretive exercise takes, the merits of an administrative decision maker’s interpretation of a statutory provision must be consistent with the text, context and purpose of the provision. In this sense, the usual principles of statutory interpretation apply equally when an administrative decision maker interprets a provision. Where, for example, the words used are </w:t>
      </w:r>
      <w:r w:rsidRPr="000821FA">
        <w:rPr>
          <w:rStyle w:val="citationcar"/>
          <w:rFonts w:cs="Times New Roman"/>
          <w:szCs w:val="24"/>
        </w:rPr>
        <w:t>“precise and unequivocal”, their ordinary meaning will usually play a more significant role in the interpretive exercise</w:t>
      </w:r>
      <w:r w:rsidRPr="000821FA">
        <w:rPr>
          <w:rFonts w:cs="Times New Roman"/>
        </w:rPr>
        <w:t xml:space="preserve">: </w:t>
      </w:r>
      <w:r w:rsidRPr="000821FA">
        <w:rPr>
          <w:rFonts w:cs="Times New Roman"/>
          <w:i/>
          <w:iCs/>
        </w:rPr>
        <w:t xml:space="preserve">Canada </w:t>
      </w:r>
      <w:proofErr w:type="spellStart"/>
      <w:r w:rsidRPr="000821FA">
        <w:rPr>
          <w:rFonts w:cs="Times New Roman"/>
          <w:i/>
          <w:iCs/>
        </w:rPr>
        <w:t>Trustco</w:t>
      </w:r>
      <w:proofErr w:type="spellEnd"/>
      <w:r w:rsidRPr="000821FA">
        <w:rPr>
          <w:rFonts w:cs="Times New Roman"/>
          <w:i/>
          <w:iCs/>
        </w:rPr>
        <w:t xml:space="preserve"> Mortgage Co. v. Canada</w:t>
      </w:r>
      <w:r w:rsidRPr="000821FA">
        <w:rPr>
          <w:rFonts w:cs="Times New Roman"/>
        </w:rPr>
        <w:t>,</w:t>
      </w:r>
      <w:r w:rsidRPr="000821FA" w:rsidDel="008F2BA9">
        <w:rPr>
          <w:rFonts w:cs="Times New Roman"/>
        </w:rPr>
        <w:t xml:space="preserve"> </w:t>
      </w:r>
      <w:r w:rsidRPr="000821FA">
        <w:rPr>
          <w:rFonts w:cs="Times New Roman"/>
        </w:rPr>
        <w:t xml:space="preserve">2005 SCC 54, [2005] 2 S.C.R. 601, at para. 10. Where the meaning of a statutory provision is disputed in administrative proceedings, the decision maker must demonstrate in its reasons that it was alive to these essential elements.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administrative decision maker’s task is to interpret the contested provision in a manner consistent with the text, context and purpose, applying its particular insight into the statutory scheme at issue. It cannot adopt an interpretation it knows to be inferior — albeit plausible — merely because the interpretation in question appears to be available and is expedient. The decision maker’s responsibility is to discern meaning and legislative intent, not to “reverse-engineer” a desired outcome.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It can happen that an administrative decision maker, in interpreting a statutory provision, fails entirely to consider a pertinent aspect of its text, context or purpose. Where such an omission is a minor aspect of the interpretive context, it is not likely to undermine the decision as a whole. It is well established that decision makers are not</w:t>
      </w:r>
      <w:r w:rsidRPr="000821FA">
        <w:rPr>
          <w:rFonts w:cs="Times New Roman"/>
          <w:b/>
        </w:rPr>
        <w:t xml:space="preserve"> </w:t>
      </w:r>
      <w:r w:rsidRPr="000821FA">
        <w:rPr>
          <w:rFonts w:cs="Times New Roman"/>
        </w:rPr>
        <w:t xml:space="preserve">required “to explicitly address all possible shades of meaning” of a given provision: </w:t>
      </w:r>
      <w:r w:rsidRPr="000821FA">
        <w:rPr>
          <w:rFonts w:cs="Times New Roman"/>
          <w:i/>
        </w:rPr>
        <w:t>Construction Labour Relations v. Driver Iron Inc.</w:t>
      </w:r>
      <w:r w:rsidRPr="000821FA">
        <w:rPr>
          <w:rFonts w:cs="Times New Roman"/>
        </w:rPr>
        <w:t>, 2012 SCC 65, [2012] 3 S.C.R. 405, at para. 3. Just like judges, administrative decision makers may find it unnecessary to dwell on each and every signal of statutory intent in their reasons. In many cases, it may be necessary to touch upon only the most salient aspects of the text, context or purpose. If, however, it is clear that the administrative decision maker may well, had it considered a key element of a statutory provision’s text, context or purpose, have arrived at a different result, its failure to consider that element would be indefensible, and unreasonable in the circumstances. Like other aspects of reasonableness review, omissions are not stand-alone grounds for judicial intervention: the key question is whether the omitted aspect of the analysis causes the reviewing court to lose confidence in the outcome reached by the decision maker.</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There may be other cases in which the administrative decision maker has not explicitly considered the meaning of a relevant provision in its reasons, but the reviewing court is able to discern the interpretation adopted by the decision maker from the record and determine whether that interpretation is reasonable.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 xml:space="preserve">Finally, even though the task of a court conducting a reasonableness review is </w:t>
      </w:r>
      <w:r w:rsidRPr="000821FA">
        <w:rPr>
          <w:rFonts w:cs="Times New Roman"/>
          <w:i/>
        </w:rPr>
        <w:t>not</w:t>
      </w:r>
      <w:r w:rsidRPr="000821FA">
        <w:rPr>
          <w:rFonts w:cs="Times New Roman"/>
        </w:rPr>
        <w:t xml:space="preserve"> to perform a </w:t>
      </w:r>
      <w:r w:rsidRPr="000821FA">
        <w:rPr>
          <w:rFonts w:cs="Times New Roman"/>
          <w:i/>
        </w:rPr>
        <w:t xml:space="preserve">de novo </w:t>
      </w:r>
      <w:r w:rsidRPr="000821FA">
        <w:rPr>
          <w:rFonts w:cs="Times New Roman"/>
        </w:rPr>
        <w:t xml:space="preserve">analysis or to determine the “correct” interpretation of a disputed provision, it may sometimes become clear in the course of reviewing a decision that the interplay of text, context and purpose leaves room for a single reasonable interpretation of the statutory provision, or aspect of the statutory provision, that is at issue: </w:t>
      </w:r>
      <w:r w:rsidRPr="000821FA">
        <w:rPr>
          <w:rFonts w:cs="Times New Roman"/>
          <w:i/>
        </w:rPr>
        <w:t>Dunsmuir</w:t>
      </w:r>
      <w:r w:rsidRPr="000821FA">
        <w:rPr>
          <w:rFonts w:cs="Times New Roman"/>
        </w:rPr>
        <w:t xml:space="preserve">, at paras. 72-76. One case in which this conclusion was reached was </w:t>
      </w:r>
      <w:r w:rsidRPr="000821FA">
        <w:rPr>
          <w:rFonts w:cs="Times New Roman"/>
          <w:i/>
          <w:szCs w:val="24"/>
        </w:rPr>
        <w:t>Nova Tube Inc./Nova Steel Inc.</w:t>
      </w:r>
      <w:r w:rsidRPr="000821FA">
        <w:rPr>
          <w:rFonts w:cs="Times New Roman"/>
          <w:szCs w:val="24"/>
        </w:rPr>
        <w:t xml:space="preserve"> </w:t>
      </w:r>
      <w:r w:rsidRPr="000821FA">
        <w:rPr>
          <w:rFonts w:cs="Times New Roman"/>
          <w:i/>
          <w:szCs w:val="24"/>
        </w:rPr>
        <w:t xml:space="preserve">v. </w:t>
      </w:r>
      <w:proofErr w:type="spellStart"/>
      <w:r w:rsidRPr="000821FA">
        <w:rPr>
          <w:rFonts w:cs="Times New Roman"/>
          <w:i/>
          <w:szCs w:val="24"/>
        </w:rPr>
        <w:t>Conares</w:t>
      </w:r>
      <w:proofErr w:type="spellEnd"/>
      <w:r w:rsidRPr="000821FA">
        <w:rPr>
          <w:rFonts w:cs="Times New Roman"/>
          <w:i/>
          <w:szCs w:val="24"/>
        </w:rPr>
        <w:t xml:space="preserve"> Metal Supply Ltd.</w:t>
      </w:r>
      <w:r w:rsidRPr="000821FA">
        <w:rPr>
          <w:rFonts w:cs="Times New Roman"/>
          <w:szCs w:val="24"/>
        </w:rPr>
        <w:t xml:space="preserve">, 2019 FCA 52, in which </w:t>
      </w:r>
      <w:proofErr w:type="spellStart"/>
      <w:r w:rsidRPr="000821FA">
        <w:rPr>
          <w:rFonts w:cs="Times New Roman"/>
          <w:szCs w:val="24"/>
        </w:rPr>
        <w:t>Laskin</w:t>
      </w:r>
      <w:proofErr w:type="spellEnd"/>
      <w:r w:rsidRPr="000821FA">
        <w:rPr>
          <w:rFonts w:cs="Times New Roman"/>
          <w:szCs w:val="24"/>
        </w:rPr>
        <w:t xml:space="preserve"> J.A., after analyzing </w:t>
      </w:r>
      <w:r w:rsidRPr="000821FA">
        <w:rPr>
          <w:rFonts w:cs="Times New Roman"/>
        </w:rPr>
        <w:t>the reasoning of the administrative decision maker (at paras. 26-61 (</w:t>
      </w:r>
      <w:proofErr w:type="spellStart"/>
      <w:r w:rsidRPr="000821FA">
        <w:rPr>
          <w:rFonts w:cs="Times New Roman"/>
        </w:rPr>
        <w:t>CanLII</w:t>
      </w:r>
      <w:proofErr w:type="spellEnd"/>
      <w:r w:rsidRPr="000821FA">
        <w:rPr>
          <w:rFonts w:cs="Times New Roman"/>
        </w:rPr>
        <w:t xml:space="preserve">)), held that the decision maker’s interpretation had been unreasonable, and, furthermore, that the factors he had considered in his analysis </w:t>
      </w:r>
      <w:r w:rsidRPr="000821FA">
        <w:rPr>
          <w:rFonts w:cs="Times New Roman"/>
          <w:szCs w:val="24"/>
        </w:rPr>
        <w:t xml:space="preserve">weighed so overwhelmingly in favour of the opposite interpretation that that was the only reasonable interpretation of the provision: para. 61. </w:t>
      </w:r>
      <w:r w:rsidRPr="000821FA">
        <w:rPr>
          <w:rFonts w:cs="Times New Roman"/>
        </w:rPr>
        <w:t>As discussed below, it would serve no useful purpose in such a case to remit the interpretative question to the original decision maker. Even so, a court should generally pause before definitively pronouncing upon the interpretation of a provision entrusted to an administrative decision maker.</w:t>
      </w:r>
    </w:p>
    <w:p w:rsidR="008B0231" w:rsidRPr="000821FA" w:rsidRDefault="00703DAB" w:rsidP="00703DAB">
      <w:pPr>
        <w:pStyle w:val="Title4LevelTitre4Niveau"/>
        <w:numPr>
          <w:ilvl w:val="3"/>
          <w:numId w:val="4"/>
        </w:numPr>
        <w:tabs>
          <w:tab w:val="num" w:pos="900"/>
        </w:tabs>
        <w:rPr>
          <w:rFonts w:cs="Times New Roman"/>
        </w:rPr>
      </w:pPr>
      <w:r>
        <w:rPr>
          <w:rFonts w:cs="Times New Roman"/>
        </w:rPr>
        <w:tab/>
      </w:r>
      <w:r w:rsidR="008B0231" w:rsidRPr="000821FA">
        <w:rPr>
          <w:rFonts w:cs="Times New Roman"/>
        </w:rPr>
        <w:t>Evidence Before the Decision Maker</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It is trite law that the decision maker may assess and evaluate the evidence before it and that, absent exceptional circumstances, a reviewing court will not interfere with its factual findings. The reviewing court must refrain from “reweighing and reassessing the evidence considered by the decision maker”: </w:t>
      </w:r>
      <w:r w:rsidRPr="000821FA">
        <w:rPr>
          <w:rFonts w:cs="Times New Roman"/>
          <w:i/>
        </w:rPr>
        <w:t>CHRC</w:t>
      </w:r>
      <w:r w:rsidRPr="000821FA">
        <w:rPr>
          <w:rFonts w:cs="Times New Roman"/>
        </w:rPr>
        <w:t xml:space="preserve">, at para. 55; see </w:t>
      </w:r>
      <w:r w:rsidRPr="000821FA">
        <w:rPr>
          <w:rFonts w:cs="Times New Roman"/>
        </w:rPr>
        <w:lastRenderedPageBreak/>
        <w:t xml:space="preserve">also </w:t>
      </w:r>
      <w:proofErr w:type="spellStart"/>
      <w:r w:rsidRPr="000821FA">
        <w:rPr>
          <w:rFonts w:cs="Times New Roman"/>
          <w:i/>
          <w:iCs/>
        </w:rPr>
        <w:t>Khosa</w:t>
      </w:r>
      <w:proofErr w:type="spellEnd"/>
      <w:r w:rsidRPr="000821FA">
        <w:rPr>
          <w:rFonts w:cs="Times New Roman"/>
        </w:rPr>
        <w:t xml:space="preserve">, at para. 64; </w:t>
      </w:r>
      <w:r w:rsidRPr="000821FA">
        <w:rPr>
          <w:rFonts w:eastAsia="Times New Roman" w:cs="Times New Roman"/>
          <w:i/>
          <w:iCs/>
          <w:szCs w:val="24"/>
          <w:lang w:val="en" w:eastAsia="en-CA"/>
        </w:rPr>
        <w:t>Dr. Q</w:t>
      </w:r>
      <w:r w:rsidRPr="000821FA">
        <w:rPr>
          <w:rFonts w:eastAsia="Times New Roman" w:cs="Times New Roman"/>
          <w:szCs w:val="24"/>
          <w:lang w:val="en" w:eastAsia="en-CA"/>
        </w:rPr>
        <w:t>, at paras. 41-42</w:t>
      </w:r>
      <w:r w:rsidRPr="000821FA">
        <w:rPr>
          <w:rFonts w:cs="Times New Roman"/>
        </w:rPr>
        <w:t xml:space="preserve">. Indeed, many of the same reasons that support an appellate court’s deferring to a lower court’s factual findings, including the need for judicial efficiency, the importance of preserving certainty and public confidence, and the relatively advantageous position of the first instance decision maker, apply equally in the context of judicial review: see </w:t>
      </w:r>
      <w:proofErr w:type="spellStart"/>
      <w:r w:rsidRPr="000821FA">
        <w:rPr>
          <w:rFonts w:cs="Times New Roman"/>
          <w:i/>
        </w:rPr>
        <w:t>Housen</w:t>
      </w:r>
      <w:proofErr w:type="spellEnd"/>
      <w:r w:rsidRPr="000821FA">
        <w:rPr>
          <w:rFonts w:cs="Times New Roman"/>
        </w:rPr>
        <w:t xml:space="preserve">, at paras. 15-18; </w:t>
      </w:r>
      <w:r w:rsidRPr="000821FA">
        <w:rPr>
          <w:rFonts w:eastAsia="Times New Roman" w:cs="Times New Roman"/>
          <w:i/>
          <w:iCs/>
          <w:szCs w:val="24"/>
          <w:lang w:val="en" w:eastAsia="en-CA"/>
        </w:rPr>
        <w:t>Dr.</w:t>
      </w:r>
      <w:r>
        <w:rPr>
          <w:rFonts w:eastAsia="Times New Roman" w:cs="Times New Roman"/>
          <w:i/>
          <w:iCs/>
          <w:szCs w:val="24"/>
          <w:lang w:val="en" w:eastAsia="en-CA"/>
        </w:rPr>
        <w:t> </w:t>
      </w:r>
      <w:r w:rsidRPr="000821FA">
        <w:rPr>
          <w:rFonts w:eastAsia="Times New Roman" w:cs="Times New Roman"/>
          <w:i/>
          <w:iCs/>
          <w:szCs w:val="24"/>
          <w:lang w:val="en" w:eastAsia="en-CA"/>
        </w:rPr>
        <w:t>Q</w:t>
      </w:r>
      <w:r w:rsidRPr="000821FA">
        <w:rPr>
          <w:rFonts w:eastAsia="Times New Roman" w:cs="Times New Roman"/>
          <w:szCs w:val="24"/>
          <w:lang w:val="en" w:eastAsia="en-CA"/>
        </w:rPr>
        <w:t>, at para. 38;</w:t>
      </w:r>
      <w:r w:rsidRPr="000821FA">
        <w:rPr>
          <w:rFonts w:cs="Times New Roman"/>
        </w:rPr>
        <w:t xml:space="preserve"> </w:t>
      </w:r>
      <w:r w:rsidRPr="000821FA">
        <w:rPr>
          <w:rFonts w:cs="Times New Roman"/>
          <w:i/>
        </w:rPr>
        <w:t>Dunsmuir</w:t>
      </w:r>
      <w:r w:rsidR="0012632D">
        <w:rPr>
          <w:rFonts w:cs="Times New Roman"/>
        </w:rPr>
        <w:t>, at para. </w:t>
      </w:r>
      <w:r w:rsidRPr="000821FA">
        <w:rPr>
          <w:rFonts w:cs="Times New Roman"/>
        </w:rPr>
        <w:t>53.</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That being said, a reasonable decision is one that is justified in light of the facts: </w:t>
      </w:r>
      <w:r w:rsidRPr="000821FA">
        <w:rPr>
          <w:rFonts w:cs="Times New Roman"/>
          <w:i/>
        </w:rPr>
        <w:t>Dunsmuir</w:t>
      </w:r>
      <w:r w:rsidRPr="000821FA">
        <w:rPr>
          <w:rFonts w:cs="Times New Roman"/>
        </w:rPr>
        <w:t xml:space="preserve">, </w:t>
      </w:r>
      <w:r w:rsidR="0012632D">
        <w:rPr>
          <w:rFonts w:cs="Times New Roman"/>
        </w:rPr>
        <w:t>at para. </w:t>
      </w:r>
      <w:r w:rsidRPr="000821FA">
        <w:rPr>
          <w:rFonts w:cs="Times New Roman"/>
        </w:rPr>
        <w:t xml:space="preserve">47. The decision maker must take the evidentiary record and the general factual matrix that bears on its decision into account, and its decision must be reasonable in light of them: see </w:t>
      </w:r>
      <w:proofErr w:type="spellStart"/>
      <w:r w:rsidRPr="000821FA">
        <w:rPr>
          <w:rFonts w:cs="Times New Roman"/>
          <w:i/>
        </w:rPr>
        <w:t>Southam</w:t>
      </w:r>
      <w:proofErr w:type="spellEnd"/>
      <w:r w:rsidRPr="000821FA">
        <w:rPr>
          <w:rFonts w:cs="Times New Roman"/>
        </w:rPr>
        <w:t xml:space="preserve">, at para. 56. The reasonableness of a decision may be jeopardized where the decision maker has fundamentally misapprehended or failed to account for the evidence before it. In </w:t>
      </w:r>
      <w:r w:rsidRPr="000821FA">
        <w:rPr>
          <w:rFonts w:cs="Times New Roman"/>
          <w:i/>
        </w:rPr>
        <w:t>Baker</w:t>
      </w:r>
      <w:r w:rsidRPr="000821FA">
        <w:rPr>
          <w:rFonts w:cs="Times New Roman"/>
        </w:rPr>
        <w:t xml:space="preserve">, for example, the decision maker had relied on irrelevant stereotypes and failed to consider relevant evidence, which led to a conclusion that there was a reasonable apprehension of bias: para. 48. Moreover, the decision maker’s approach would </w:t>
      </w:r>
      <w:r w:rsidRPr="000821FA">
        <w:rPr>
          <w:rFonts w:cs="Times New Roman"/>
          <w:i/>
        </w:rPr>
        <w:t>also</w:t>
      </w:r>
      <w:r w:rsidRPr="000821FA">
        <w:rPr>
          <w:rFonts w:cs="Times New Roman"/>
        </w:rPr>
        <w:t xml:space="preserve"> have supported a finding that the decision was unreasonable on the basis that the decision maker showed that his conclusions were not based on the evidence that was actually before him: </w:t>
      </w:r>
      <w:r w:rsidR="00D64C4C">
        <w:rPr>
          <w:rFonts w:cs="Times New Roman"/>
          <w:i/>
        </w:rPr>
        <w:t>ibid</w:t>
      </w:r>
      <w:r w:rsidRPr="000821FA">
        <w:rPr>
          <w:rFonts w:cs="Times New Roman"/>
        </w:rPr>
        <w:t>.</w:t>
      </w:r>
    </w:p>
    <w:p w:rsidR="008B0231" w:rsidRPr="000821FA" w:rsidRDefault="00346E53"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Submissions of the Parties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principles of justification and transparency require that an administrative decision maker’s reasons meaningfully account for the central issues and concerns raised by the parties. The principle that the individual or individuals </w:t>
      </w:r>
      <w:r w:rsidRPr="000821FA">
        <w:rPr>
          <w:rFonts w:cs="Times New Roman"/>
        </w:rPr>
        <w:lastRenderedPageBreak/>
        <w:t xml:space="preserve">affected by a decision should have the opportunity to present their case fully and fairly underlies the duty of procedural fairness and is rooted in the right to be heard: </w:t>
      </w:r>
      <w:r w:rsidRPr="000821FA">
        <w:rPr>
          <w:rFonts w:cs="Times New Roman"/>
          <w:i/>
        </w:rPr>
        <w:t>Baker</w:t>
      </w:r>
      <w:r w:rsidRPr="000821FA">
        <w:rPr>
          <w:rFonts w:cs="Times New Roman"/>
        </w:rPr>
        <w:t xml:space="preserve">, at para. 28. The concept of responsive reasons is inherently bound up with this principle, because reasons are the primary mechanism by which decision makers demonstrate that they have actually </w:t>
      </w:r>
      <w:r w:rsidRPr="000821FA">
        <w:rPr>
          <w:rFonts w:cs="Times New Roman"/>
          <w:i/>
        </w:rPr>
        <w:t>listened</w:t>
      </w:r>
      <w:r w:rsidR="00FA6B01">
        <w:rPr>
          <w:rFonts w:cs="Times New Roman"/>
        </w:rPr>
        <w:t xml:space="preserve"> to the parties.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Reviewing courts cannot expect administrative decision makers to “respond to every argument or line of possible analysis” (</w:t>
      </w:r>
      <w:r w:rsidRPr="000821FA">
        <w:rPr>
          <w:rFonts w:cs="Times New Roman"/>
          <w:i/>
        </w:rPr>
        <w:t>Newfoundland Nurses</w:t>
      </w:r>
      <w:r w:rsidRPr="000821FA">
        <w:rPr>
          <w:rFonts w:cs="Times New Roman"/>
        </w:rPr>
        <w:t>, at para.</w:t>
      </w:r>
      <w:r w:rsidR="00302A36">
        <w:rPr>
          <w:rFonts w:cs="Times New Roman"/>
        </w:rPr>
        <w:t> </w:t>
      </w:r>
      <w:r w:rsidRPr="000821FA">
        <w:rPr>
          <w:rFonts w:cs="Times New Roman"/>
        </w:rPr>
        <w:t>25), or to “make an explicit finding on each constituent element, however subordinate, leading to its final conclusion” (para</w:t>
      </w:r>
      <w:r w:rsidR="00302A36">
        <w:rPr>
          <w:rFonts w:cs="Times New Roman"/>
        </w:rPr>
        <w:t>. </w:t>
      </w:r>
      <w:r w:rsidRPr="000821FA">
        <w:rPr>
          <w:rFonts w:cs="Times New Roman"/>
        </w:rPr>
        <w:t>16). To impose such expectations would have a paralyzing effect on the proper functioning of administrative bodies and would needlessly compromise important values such as efficiency and access to justice</w:t>
      </w:r>
      <w:r w:rsidRPr="003566F4">
        <w:rPr>
          <w:rFonts w:cs="Times New Roman"/>
        </w:rPr>
        <w:t>.</w:t>
      </w:r>
      <w:r w:rsidRPr="000821FA">
        <w:rPr>
          <w:rFonts w:cs="Times New Roman"/>
        </w:rPr>
        <w:t xml:space="preserve"> However, a decision maker’s failure to meaningfully grapple with key issues or central arguments raised by the parties may call into question whether the decision maker was actually alert and sensitive to the matter before it. In addition to assuring parties that their concerns have been heard, the process of drafting reasons with care and attention can alert the decision maker to inadvertent gaps and other flaws in its reasoning: </w:t>
      </w:r>
      <w:r w:rsidRPr="000821FA">
        <w:rPr>
          <w:rFonts w:cs="Times New Roman"/>
          <w:i/>
        </w:rPr>
        <w:t>Baker</w:t>
      </w:r>
      <w:r w:rsidRPr="000821FA">
        <w:rPr>
          <w:rFonts w:cs="Times New Roman"/>
        </w:rPr>
        <w:t>, at para. 39.</w:t>
      </w:r>
    </w:p>
    <w:p w:rsidR="008B0231" w:rsidRPr="000821FA" w:rsidRDefault="007A7F74"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Past Practices and Past Decisions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Administrative decision makers are not bound by their previous decisions in the same sense that courts are bound by </w:t>
      </w:r>
      <w:r w:rsidRPr="000821FA">
        <w:rPr>
          <w:rFonts w:cs="Times New Roman"/>
          <w:i/>
        </w:rPr>
        <w:t>stare decisis</w:t>
      </w:r>
      <w:r w:rsidRPr="000821FA">
        <w:rPr>
          <w:rFonts w:cs="Times New Roman"/>
        </w:rPr>
        <w:t xml:space="preserve">. As this Court noted in </w:t>
      </w:r>
      <w:r w:rsidRPr="000821FA">
        <w:rPr>
          <w:rFonts w:cs="Times New Roman"/>
          <w:i/>
        </w:rPr>
        <w:t>Domtar</w:t>
      </w:r>
      <w:r w:rsidRPr="000821FA">
        <w:rPr>
          <w:rFonts w:cs="Times New Roman"/>
        </w:rPr>
        <w:t>, “</w:t>
      </w:r>
      <w:r w:rsidRPr="000821FA">
        <w:rPr>
          <w:rFonts w:cs="Times New Roman"/>
          <w:lang w:val="en-GB"/>
        </w:rPr>
        <w:t>a lack of unanimity is the price to pay for the decision</w:t>
      </w:r>
      <w:r w:rsidRPr="000821FA">
        <w:rPr>
          <w:rFonts w:cs="Times New Roman"/>
          <w:lang w:val="en-GB"/>
        </w:rPr>
        <w:noBreakHyphen/>
        <w:t xml:space="preserve">making freedom and </w:t>
      </w:r>
      <w:r w:rsidRPr="000821FA">
        <w:rPr>
          <w:rFonts w:cs="Times New Roman"/>
          <w:lang w:val="en-GB"/>
        </w:rPr>
        <w:lastRenderedPageBreak/>
        <w:t>independence” given to administrative decision makers, and the mere fact that some conflict exists among an administrative body’s decisions does not threaten the rule of law: p. 800.</w:t>
      </w:r>
      <w:r w:rsidRPr="000821FA">
        <w:rPr>
          <w:rFonts w:cs="Times New Roman"/>
        </w:rPr>
        <w:t xml:space="preserve"> Nevertheless, administrative decision makers and reviewing courts alike must be concerned with the general consistency of administrative decisions. Those affected by administrative decisions are entitled to expect that like cases will generally be treated alike and that outcomes will not depend merely on the identity of the individual decision maker — expectations that do not evaporate simply because the parties are not before a judge.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Fortunately, administrative bodies generally have a range of resources at their disposal to address these types of concerns. Access to past reasons and summaries of past reasons enables multiple individual decision makers within a single organization (such as administrative tribunal members) to learn from each other’s work, and contributes to a harmonized decision-making culture. Institutions also routinely rely on standards, policy directives and internal legal opinions to encourage greater uniformity and guide the work of frontline decision makers. This Court has also held that plenary meetings of a tribunal’s members can be an effective tool to “foster coherence” and “</w:t>
      </w:r>
      <w:proofErr w:type="gramStart"/>
      <w:r w:rsidRPr="000821FA">
        <w:rPr>
          <w:rFonts w:cs="Times New Roman"/>
        </w:rPr>
        <w:t>avoid .</w:t>
      </w:r>
      <w:proofErr w:type="gramEnd"/>
      <w:r w:rsidR="00B6233B">
        <w:rPr>
          <w:rFonts w:cs="Times New Roman"/>
        </w:rPr>
        <w:t> </w:t>
      </w:r>
      <w:r w:rsidRPr="000821FA">
        <w:rPr>
          <w:rFonts w:cs="Times New Roman"/>
        </w:rPr>
        <w:t>.</w:t>
      </w:r>
      <w:r w:rsidR="00B6233B">
        <w:rPr>
          <w:rFonts w:cs="Times New Roman"/>
        </w:rPr>
        <w:t> </w:t>
      </w:r>
      <w:r w:rsidRPr="000821FA">
        <w:rPr>
          <w:rFonts w:cs="Times New Roman"/>
        </w:rPr>
        <w:t xml:space="preserve">. conflicting results”: </w:t>
      </w:r>
      <w:r w:rsidRPr="000821FA">
        <w:rPr>
          <w:rFonts w:cs="Times New Roman"/>
          <w:i/>
        </w:rPr>
        <w:t>IWA v. Consolidated-Bathurst Packaging Ltd.</w:t>
      </w:r>
      <w:r w:rsidRPr="000821FA">
        <w:rPr>
          <w:rFonts w:cs="Times New Roman"/>
        </w:rPr>
        <w:t xml:space="preserve">, [1990] 1 S.C.R. 282, at pp. 324-28. Where disagreement arises within an administrative body about how to appropriately resolve a given issue, that institution may also develop strategies to address that divergence internally and on its own initiative. Of course, consistency can also be encouraged through less formal methods, such as the development of training materials, checklists and templates for the purpose of </w:t>
      </w:r>
      <w:r w:rsidRPr="000821FA">
        <w:rPr>
          <w:rFonts w:cs="Times New Roman"/>
        </w:rPr>
        <w:lastRenderedPageBreak/>
        <w:t>streamlining and strengthening institutional best practices, provided that these methods do not operate to fetter decision making.</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Whether a particular decision is consistent with the administrative body’s past decisions is also a constraint that the reviewing court should consider when determining whether an administrative decision is reasonable. Where a decision maker </w:t>
      </w:r>
      <w:r w:rsidRPr="000821FA">
        <w:rPr>
          <w:rFonts w:cs="Times New Roman"/>
          <w:i/>
        </w:rPr>
        <w:t>does</w:t>
      </w:r>
      <w:r w:rsidRPr="000821FA">
        <w:rPr>
          <w:rFonts w:cs="Times New Roman"/>
        </w:rPr>
        <w:t xml:space="preserve"> depart from longstanding practices or established internal authority, it bears the justificatory burden of explaining that departure in its reasons. If the decision maker does not satisfy this burden, the decision will be unreasonable. In this sense, the legitimate expectations of the parties help to determine both whether reasons are required and what those reasons must explain: </w:t>
      </w:r>
      <w:r w:rsidRPr="000821FA">
        <w:rPr>
          <w:rFonts w:cs="Times New Roman"/>
          <w:i/>
        </w:rPr>
        <w:t>Baker</w:t>
      </w:r>
      <w:r w:rsidRPr="000821FA">
        <w:rPr>
          <w:rFonts w:cs="Times New Roman"/>
        </w:rPr>
        <w:t>, at para. 26. We repeat that this does not mean administrative decision makers are bound by internal precedent in the same manner as courts. Rather, it means that a decision that departs from longstanding practices or established internal decisions will be reasonable if that departure is justified, thereby reducing the risk of arbitrariness, which would undermine public confidence in administrative decision makers and in the justice system as a whole.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As discussed above, it has been argued that correctness review would be required where there is “persistent discord” on questions on law in an administrative body’s decisions. While we are not of the view that such a correctness category is required, we would note that reviewing courts have a role to play in managing the risk of persistently discordant or contradictory legal interpretations within an administrative body’s decisions. When evidence of internal disagreement on legal issues has been put </w:t>
      </w:r>
      <w:r w:rsidRPr="000821FA">
        <w:rPr>
          <w:rFonts w:cs="Times New Roman"/>
        </w:rPr>
        <w:lastRenderedPageBreak/>
        <w:t>before a reviewing court, the court may find it appropriate to telegraph the existence of an issue in its reasons and encourage the use of internal administrative structures to resolve the disagreement. And if internal disagreement continues,</w:t>
      </w:r>
      <w:r w:rsidRPr="000821FA">
        <w:rPr>
          <w:rFonts w:cs="Times New Roman"/>
          <w:lang w:bidi="en-US"/>
        </w:rPr>
        <w:t xml:space="preserve"> it may become increasingly difficult for the administrative body to justify decisions that serve only to preserve the discord.</w:t>
      </w:r>
    </w:p>
    <w:p w:rsidR="008B0231" w:rsidRPr="000821FA" w:rsidRDefault="0090252A"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Impact of the Decision on the Affected Individual</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It is well established that individuals are entitled to greater procedural protection when the decision in question involves the potential for significant personal impact or harm: </w:t>
      </w:r>
      <w:r w:rsidRPr="000821FA">
        <w:rPr>
          <w:rFonts w:cs="Times New Roman"/>
          <w:i/>
        </w:rPr>
        <w:t>Baker</w:t>
      </w:r>
      <w:r w:rsidRPr="000821FA">
        <w:rPr>
          <w:rFonts w:cs="Times New Roman"/>
        </w:rPr>
        <w:t>, at para. 25. However, this principle also has implications for how a court conducts reasonableness review. Central to the necessity of adequate justification is the perspective of the individual or party over whom authority is being exercised. Where the impact of a decision on an individual’s rights and interests is severe, the reasons provided to that individual must reflect the stakes. The principle of responsive justification means that if a decision has particularly harsh consequences for the affected individual, the decision maker must explain why its decision best reflects the legislature’s intention. This includes decisions with consequences that threaten an individual’s life, liberty, dignity or livelihood.</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Moreover, concerns regarding arbitrariness will generally be more acute in cases where the consequences of the decision for the affected party are particularly severe or harsh, and a failure to grapple with such consequences </w:t>
      </w:r>
      <w:r w:rsidRPr="000821FA">
        <w:rPr>
          <w:rFonts w:cs="Times New Roman"/>
          <w:lang w:bidi="en-US"/>
        </w:rPr>
        <w:t xml:space="preserve">may well be unreasonable. For example, this Court has held that the Immigration Appeal Division </w:t>
      </w:r>
      <w:r w:rsidRPr="000821FA">
        <w:rPr>
          <w:rFonts w:cs="Times New Roman"/>
          <w:lang w:bidi="en-US"/>
        </w:rPr>
        <w:lastRenderedPageBreak/>
        <w:t xml:space="preserve">should, when exercising its equitable jurisdiction to stay a removal order under the </w:t>
      </w:r>
      <w:r w:rsidRPr="000821FA">
        <w:rPr>
          <w:rFonts w:cs="Times New Roman"/>
          <w:i/>
          <w:lang w:bidi="en-US"/>
        </w:rPr>
        <w:t>Immigration and Refugee Protection Act</w:t>
      </w:r>
      <w:r w:rsidRPr="000821FA">
        <w:rPr>
          <w:rFonts w:cs="Times New Roman"/>
          <w:lang w:bidi="en-US"/>
        </w:rPr>
        <w:t xml:space="preserve">, consider the potential foreign hardship a deported person would face: </w:t>
      </w:r>
      <w:proofErr w:type="spellStart"/>
      <w:r w:rsidRPr="000821FA">
        <w:rPr>
          <w:rFonts w:cs="Times New Roman"/>
          <w:i/>
          <w:lang w:bidi="en-US"/>
        </w:rPr>
        <w:t>Chieu</w:t>
      </w:r>
      <w:proofErr w:type="spellEnd"/>
      <w:r w:rsidRPr="000821FA">
        <w:rPr>
          <w:rFonts w:cs="Times New Roman"/>
          <w:i/>
          <w:lang w:bidi="en-US"/>
        </w:rPr>
        <w:t xml:space="preserve"> v. Canada (Minister of Citizenship and Immigration)</w:t>
      </w:r>
      <w:r w:rsidRPr="000821FA">
        <w:rPr>
          <w:rFonts w:cs="Times New Roman"/>
          <w:lang w:bidi="en-US"/>
        </w:rPr>
        <w:t>, 2002 SCC 3, [2002] 1 S.C.R. 84.</w:t>
      </w:r>
      <w:r w:rsidRPr="000821FA">
        <w:rPr>
          <w:rFonts w:cs="Times New Roman"/>
          <w:b/>
        </w:rPr>
        <w:t xml:space="preserve">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Many administrative decision makers are entrusted with an extraordinary degree of power over the lives of ordinary people, including the most vulnerable among us. The corollary to that power is a heightened responsibility on the part of administrative decision makers to ensure that their reasons demonstrate that they have considered the consequences of a decision and that those consequences are justified in light of the facts and law. </w:t>
      </w:r>
    </w:p>
    <w:p w:rsidR="008B0231" w:rsidRPr="000821FA" w:rsidRDefault="008B0231" w:rsidP="008B0231">
      <w:pPr>
        <w:pStyle w:val="Title2LevelTitre2Niveau"/>
        <w:numPr>
          <w:ilvl w:val="1"/>
          <w:numId w:val="4"/>
        </w:numPr>
        <w:rPr>
          <w:rFonts w:cs="Times New Roman"/>
        </w:rPr>
      </w:pPr>
      <w:r w:rsidRPr="000821FA">
        <w:rPr>
          <w:rFonts w:cs="Times New Roman"/>
        </w:rPr>
        <w:t>Review in the Absence of Reasons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Where the duty of procedural fairness or the legislative scheme mandates that reasons be given to the affected party but none have been given, this failure will generally require the decision to be set aside and the matter remitted to the decision maker: see, e.g., </w:t>
      </w:r>
      <w:proofErr w:type="spellStart"/>
      <w:r w:rsidRPr="000821FA">
        <w:rPr>
          <w:rFonts w:cs="Times New Roman"/>
          <w:i/>
        </w:rPr>
        <w:t>Congrégation</w:t>
      </w:r>
      <w:proofErr w:type="spellEnd"/>
      <w:r w:rsidRPr="000821FA">
        <w:rPr>
          <w:rFonts w:cs="Times New Roman"/>
          <w:i/>
        </w:rPr>
        <w:t xml:space="preserve"> des </w:t>
      </w:r>
      <w:proofErr w:type="spellStart"/>
      <w:r w:rsidRPr="000821FA">
        <w:rPr>
          <w:rFonts w:cs="Times New Roman"/>
          <w:i/>
        </w:rPr>
        <w:t>témoins</w:t>
      </w:r>
      <w:proofErr w:type="spellEnd"/>
      <w:r w:rsidRPr="000821FA">
        <w:rPr>
          <w:rFonts w:cs="Times New Roman"/>
          <w:i/>
        </w:rPr>
        <w:t xml:space="preserve"> de </w:t>
      </w:r>
      <w:proofErr w:type="spellStart"/>
      <w:r w:rsidRPr="000821FA">
        <w:rPr>
          <w:rFonts w:cs="Times New Roman"/>
          <w:i/>
        </w:rPr>
        <w:t>Jéhovah</w:t>
      </w:r>
      <w:proofErr w:type="spellEnd"/>
      <w:r w:rsidRPr="000821FA">
        <w:rPr>
          <w:rFonts w:cs="Times New Roman"/>
          <w:i/>
        </w:rPr>
        <w:t xml:space="preserve"> de St-</w:t>
      </w:r>
      <w:proofErr w:type="spellStart"/>
      <w:r w:rsidRPr="000821FA">
        <w:rPr>
          <w:rFonts w:cs="Times New Roman"/>
          <w:i/>
        </w:rPr>
        <w:t>Jérôme</w:t>
      </w:r>
      <w:proofErr w:type="spellEnd"/>
      <w:r w:rsidRPr="000821FA">
        <w:rPr>
          <w:rFonts w:cs="Times New Roman"/>
          <w:i/>
        </w:rPr>
        <w:t>-Lafontaine</w:t>
      </w:r>
      <w:r w:rsidR="00841320">
        <w:rPr>
          <w:rFonts w:cs="Times New Roman"/>
        </w:rPr>
        <w:t>, at para. </w:t>
      </w:r>
      <w:r w:rsidRPr="000821FA">
        <w:rPr>
          <w:rFonts w:cs="Times New Roman"/>
        </w:rPr>
        <w:t xml:space="preserve">35. Also, where reasons are provided but they fail to provide a transparent </w:t>
      </w:r>
      <w:r>
        <w:rPr>
          <w:rFonts w:cs="Times New Roman"/>
        </w:rPr>
        <w:t xml:space="preserve">and intelligible justification </w:t>
      </w:r>
      <w:r w:rsidRPr="000821FA">
        <w:rPr>
          <w:rFonts w:cs="Times New Roman"/>
        </w:rPr>
        <w:t xml:space="preserve">as explained above, the decision will be unreasonable. In many cases, however, neither the duty of procedural fairness nor the statutory scheme will require that formal reasons be given at all: </w:t>
      </w:r>
      <w:r w:rsidRPr="000821FA">
        <w:rPr>
          <w:rFonts w:cs="Times New Roman"/>
          <w:i/>
        </w:rPr>
        <w:t>Baker</w:t>
      </w:r>
      <w:r w:rsidR="00841320">
        <w:rPr>
          <w:rFonts w:cs="Times New Roman"/>
        </w:rPr>
        <w:t>, at para. </w:t>
      </w:r>
      <w:r w:rsidRPr="000821FA">
        <w:rPr>
          <w:rFonts w:cs="Times New Roman"/>
        </w:rPr>
        <w:t>43.</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 xml:space="preserve">Admittedly, applying an approach to judicial review that prioritizes the decision maker’s justification for its decisions can be challenging in cases in which formal reasons have not been provided. This will often occur where the decision-making process does not easily lend itself to producing a single set of reasons, for example, where a municipality passes a bylaw or a law society renders a decision by holding a vote: see, e.g., </w:t>
      </w:r>
      <w:r w:rsidRPr="000821FA">
        <w:rPr>
          <w:rFonts w:cs="Times New Roman"/>
          <w:i/>
        </w:rPr>
        <w:t>Catalyst</w:t>
      </w:r>
      <w:r w:rsidRPr="000821FA">
        <w:rPr>
          <w:rFonts w:cs="Times New Roman"/>
        </w:rPr>
        <w:t xml:space="preserve">; </w:t>
      </w:r>
      <w:r w:rsidRPr="000821FA">
        <w:rPr>
          <w:rFonts w:cs="Times New Roman"/>
          <w:i/>
        </w:rPr>
        <w:t>Green</w:t>
      </w:r>
      <w:r w:rsidRPr="000821FA">
        <w:rPr>
          <w:rFonts w:cs="Times New Roman"/>
        </w:rPr>
        <w:t>;</w:t>
      </w:r>
      <w:r w:rsidRPr="000821FA">
        <w:rPr>
          <w:rFonts w:cs="Times New Roman"/>
          <w:i/>
        </w:rPr>
        <w:t xml:space="preserve"> Trinity Western University</w:t>
      </w:r>
      <w:r w:rsidRPr="000821FA">
        <w:rPr>
          <w:rFonts w:cs="Times New Roman"/>
        </w:rPr>
        <w:t xml:space="preserve">. However, even in such circumstances, the reasoning process that underlies the decision will not usually be opaque. It is important to recall that a reviewing court must look to the record as a whole to understand the decision, and that in doing so, the court will often uncover a clear rationale for the decision: </w:t>
      </w:r>
      <w:r w:rsidRPr="000821FA">
        <w:rPr>
          <w:rFonts w:cs="Times New Roman"/>
          <w:i/>
        </w:rPr>
        <w:t>Baker</w:t>
      </w:r>
      <w:r w:rsidRPr="000821FA">
        <w:rPr>
          <w:rFonts w:cs="Times New Roman"/>
        </w:rPr>
        <w:t xml:space="preserve">, at para. 44. For example, as </w:t>
      </w:r>
      <w:proofErr w:type="spellStart"/>
      <w:r w:rsidRPr="000821FA">
        <w:rPr>
          <w:rFonts w:cs="Times New Roman"/>
        </w:rPr>
        <w:t>McLachlin</w:t>
      </w:r>
      <w:proofErr w:type="spellEnd"/>
      <w:r w:rsidRPr="000821FA">
        <w:rPr>
          <w:rFonts w:cs="Times New Roman"/>
        </w:rPr>
        <w:t xml:space="preserve"> C.J. noted in </w:t>
      </w:r>
      <w:r w:rsidRPr="000821FA">
        <w:rPr>
          <w:rFonts w:cs="Times New Roman"/>
          <w:i/>
        </w:rPr>
        <w:t>Catalyst</w:t>
      </w:r>
      <w:r w:rsidRPr="000821FA">
        <w:rPr>
          <w:rFonts w:cs="Times New Roman"/>
        </w:rPr>
        <w:t>, “[t]he reasons for a municipal bylaw are traditionally deduced from the debate, deliberations and the statements of policy that give rise to the bylaw”: para. 29. In that case, not only were “the reasons [in the sens</w:t>
      </w:r>
      <w:r w:rsidR="00B6233B">
        <w:rPr>
          <w:rFonts w:cs="Times New Roman"/>
        </w:rPr>
        <w:t xml:space="preserve">e of rationale] for the </w:t>
      </w:r>
      <w:proofErr w:type="gramStart"/>
      <w:r w:rsidR="00B6233B">
        <w:rPr>
          <w:rFonts w:cs="Times New Roman"/>
        </w:rPr>
        <w:t>bylaw .</w:t>
      </w:r>
      <w:proofErr w:type="gramEnd"/>
      <w:r w:rsidR="00B6233B">
        <w:rPr>
          <w:rFonts w:cs="Times New Roman"/>
        </w:rPr>
        <w:t> </w:t>
      </w:r>
      <w:r w:rsidRPr="000821FA">
        <w:rPr>
          <w:rFonts w:cs="Times New Roman"/>
        </w:rPr>
        <w:t>.</w:t>
      </w:r>
      <w:r w:rsidR="00B6233B">
        <w:rPr>
          <w:rFonts w:cs="Times New Roman"/>
        </w:rPr>
        <w:t> </w:t>
      </w:r>
      <w:r w:rsidRPr="000821FA">
        <w:rPr>
          <w:rFonts w:cs="Times New Roman"/>
        </w:rPr>
        <w:t>. clear to everyone”, they had also been laid out in a five-year plan: para. 33. Conversely, even without reasons, it is possible for the record and the context to reveal that a decision was made on the basis of an improper motive or for another impermissible reason, as, for example, in</w:t>
      </w:r>
      <w:r w:rsidRPr="000821FA">
        <w:rPr>
          <w:rFonts w:eastAsia="Calibri" w:cs="Times New Roman"/>
          <w:lang w:val="en-US" w:bidi="en-US"/>
        </w:rPr>
        <w:t xml:space="preserve"> </w:t>
      </w:r>
      <w:proofErr w:type="spellStart"/>
      <w:r w:rsidRPr="000821FA">
        <w:rPr>
          <w:rFonts w:eastAsia="Calibri" w:cs="Times New Roman"/>
          <w:i/>
          <w:lang w:val="en-US" w:bidi="en-US"/>
        </w:rPr>
        <w:t>Roncarelli</w:t>
      </w:r>
      <w:proofErr w:type="spellEnd"/>
      <w:r w:rsidRPr="000821FA">
        <w:rPr>
          <w:rFonts w:eastAsia="Calibri" w:cs="Times New Roman"/>
          <w:lang w:val="en-US" w:bidi="en-US"/>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There will nonetheless be situations in which no reasons have been provided and neither the record nor the larger context sheds light on the basis for the decision. In such a case, the reviewing court must still examine the decision in light of the relevant constraints on the decision maker in order to determine whether the decision is reasonable. But it is perhaps inevitable that without reasons, the analysis </w:t>
      </w:r>
      <w:r w:rsidRPr="000821FA">
        <w:rPr>
          <w:rFonts w:cs="Times New Roman"/>
        </w:rPr>
        <w:lastRenderedPageBreak/>
        <w:t>will then focus on the outcome rather than on the decision maker’s reasoning p</w:t>
      </w:r>
      <w:r w:rsidR="00484BDB">
        <w:rPr>
          <w:rFonts w:cs="Times New Roman"/>
        </w:rPr>
        <w:t xml:space="preserve">rocess. </w:t>
      </w:r>
      <w:r w:rsidRPr="000821FA">
        <w:rPr>
          <w:rFonts w:cs="Times New Roman"/>
        </w:rPr>
        <w:t xml:space="preserve">This does not mean that reasonableness review is less robust in such circumstances, only that it takes a different shape. </w:t>
      </w:r>
    </w:p>
    <w:p w:rsidR="008B0231" w:rsidRPr="000821FA" w:rsidRDefault="008B0231" w:rsidP="008B0231">
      <w:pPr>
        <w:pStyle w:val="Title2LevelTitre2Niveau"/>
        <w:numPr>
          <w:ilvl w:val="1"/>
          <w:numId w:val="4"/>
        </w:numPr>
        <w:rPr>
          <w:rFonts w:cs="Times New Roman"/>
        </w:rPr>
      </w:pPr>
      <w:r w:rsidRPr="000821FA">
        <w:rPr>
          <w:rFonts w:cs="Times New Roman"/>
        </w:rPr>
        <w:t>A Note on Remedial Discretion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Where a court reviews an administrative decision, the question of the appropriate remedy is multi-faceted. It engages considerations that include the reviewing court’s common law or statutory jurisdiction and the great diversity of elements that may influence a court’s decision to exercise its discretion in respect of available remedies. While we do not aim to comprehensively address here the issue of remedies on judicial review, we do wish to briefly address the question of whether a court that quashes an unreasonable decision should exercise its discretion to remit the matter to the decision maker for reconsideration with the benefit of the court’s reasons.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Where the reasonableness standard is applied in conducting a judicial review, the choice of remedy must be guided by the rationale for applying that standard to begin with, including the recognition by the reviewing court that the legislature has entrusted the matter to the administrative decision maker, and not to the court, to decide: see </w:t>
      </w:r>
      <w:r w:rsidRPr="000821FA">
        <w:rPr>
          <w:rFonts w:cs="Times New Roman"/>
          <w:i/>
        </w:rPr>
        <w:t>Delta Air Lines</w:t>
      </w:r>
      <w:r w:rsidRPr="000821FA">
        <w:rPr>
          <w:rFonts w:cs="Times New Roman"/>
        </w:rPr>
        <w:t xml:space="preserve">, at para. 31. However, the question of remedy must also be guided by concerns related to the proper administration of the justice system, the need to ensure access to justice and </w:t>
      </w:r>
      <w:r w:rsidRPr="000821FA">
        <w:rPr>
          <w:rFonts w:cs="Times New Roman"/>
          <w:lang w:val="en"/>
        </w:rPr>
        <w:t xml:space="preserve">“the goal of expedient and cost-efficient decision making, which often motivates the creation of specialized administrative tribunals in the first place”: </w:t>
      </w:r>
      <w:r w:rsidRPr="000821FA">
        <w:rPr>
          <w:rFonts w:cs="Times New Roman"/>
          <w:i/>
          <w:lang w:val="en"/>
        </w:rPr>
        <w:t>Alberta Teachers</w:t>
      </w:r>
      <w:r w:rsidRPr="000821FA">
        <w:rPr>
          <w:rFonts w:cs="Times New Roman"/>
          <w:lang w:val="en"/>
        </w:rPr>
        <w:t>, at para. 55.</w:t>
      </w:r>
      <w:r w:rsidRPr="000821FA">
        <w:rPr>
          <w:rFonts w:cs="Times New Roman"/>
        </w:rPr>
        <w:t xml:space="preserve">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 xml:space="preserve">Giving effect to these principles in the remedial context means that where a decision reviewed by applying the reasonableness standard cannot be upheld, it will most often be appropriate to remit the matter to the decision maker to have it reconsider the decision, this time with the benefit of the court’s reasons. In reconsidering its decision, the decision maker may arrive at the same, or a different, outcome: see </w:t>
      </w:r>
      <w:r w:rsidRPr="000821FA">
        <w:rPr>
          <w:rFonts w:cs="Times New Roman"/>
          <w:i/>
          <w:lang w:val="en"/>
        </w:rPr>
        <w:t>Delta Air Lines</w:t>
      </w:r>
      <w:r w:rsidRPr="000821FA">
        <w:rPr>
          <w:rFonts w:cs="Times New Roman"/>
          <w:lang w:val="en"/>
        </w:rPr>
        <w:t>, at paras. 30-31.</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However, while courts should, as a general rule, respect the legislature’s intention to entrust the matter to the administrative decision maker, there are limited scenarios in which remitting the matter would stymie the timely and effective resolution of matters in a manner that no legislature could have intended: </w:t>
      </w:r>
      <w:proofErr w:type="spellStart"/>
      <w:r w:rsidRPr="000821FA">
        <w:rPr>
          <w:rFonts w:cs="Times New Roman"/>
          <w:i/>
        </w:rPr>
        <w:t>D’Errico</w:t>
      </w:r>
      <w:proofErr w:type="spellEnd"/>
      <w:r w:rsidRPr="000821FA">
        <w:rPr>
          <w:rFonts w:cs="Times New Roman"/>
          <w:i/>
        </w:rPr>
        <w:t xml:space="preserve"> v. Canada (Attorney General)</w:t>
      </w:r>
      <w:r w:rsidRPr="000821FA">
        <w:rPr>
          <w:rFonts w:cs="Times New Roman"/>
        </w:rPr>
        <w:t>, 2014 FCA 95</w:t>
      </w:r>
      <w:r w:rsidR="001140CE">
        <w:rPr>
          <w:rFonts w:cs="Times New Roman"/>
        </w:rPr>
        <w:t>, 459 N.R. 167</w:t>
      </w:r>
      <w:r w:rsidRPr="000821FA">
        <w:rPr>
          <w:rFonts w:cs="Times New Roman"/>
        </w:rPr>
        <w:t xml:space="preserve">, at paras. 18-19. </w:t>
      </w:r>
      <w:proofErr w:type="gramStart"/>
      <w:r w:rsidRPr="000821FA">
        <w:rPr>
          <w:rFonts w:cs="Times New Roman"/>
        </w:rPr>
        <w:t>An</w:t>
      </w:r>
      <w:proofErr w:type="gramEnd"/>
      <w:r w:rsidRPr="000821FA">
        <w:rPr>
          <w:rFonts w:cs="Times New Roman"/>
        </w:rPr>
        <w:t xml:space="preserve"> intention that the administrative decision maker decide the matter at first instance cannot give rise to an endless merry-go-round of judicial reviews and subsequent reconsiderations. Declining to remit a matter to the decision maker may be appropriate where it becomes evident to the court, in the course of its review, that a particular outcome is inevitable and that remitting the case would therefore serve no useful purpose: see</w:t>
      </w:r>
      <w:r w:rsidRPr="000821FA">
        <w:rPr>
          <w:rFonts w:cs="Times New Roman"/>
          <w:i/>
          <w:lang w:val="en"/>
        </w:rPr>
        <w:t xml:space="preserve"> </w:t>
      </w:r>
      <w:r w:rsidRPr="000821FA">
        <w:rPr>
          <w:rFonts w:cs="Times New Roman"/>
          <w:i/>
        </w:rPr>
        <w:t>Mobil Oil Canada Ltd. v. Canada-Newfoundland Offshore Petroleum Board</w:t>
      </w:r>
      <w:r w:rsidRPr="000821FA">
        <w:rPr>
          <w:rFonts w:cs="Times New Roman"/>
        </w:rPr>
        <w:t xml:space="preserve">, [1994] 1 S.C.R. 202, at pp. 228-30; </w:t>
      </w:r>
      <w:r w:rsidRPr="000821FA">
        <w:rPr>
          <w:rFonts w:cs="Times New Roman"/>
          <w:i/>
          <w:lang w:val="en"/>
        </w:rPr>
        <w:t xml:space="preserve">Renaud v. Quebec (Commission des affaires </w:t>
      </w:r>
      <w:proofErr w:type="spellStart"/>
      <w:r w:rsidRPr="000821FA">
        <w:rPr>
          <w:rFonts w:cs="Times New Roman"/>
          <w:i/>
          <w:lang w:val="en"/>
        </w:rPr>
        <w:t>sociales</w:t>
      </w:r>
      <w:proofErr w:type="spellEnd"/>
      <w:r w:rsidRPr="000821FA">
        <w:rPr>
          <w:rFonts w:cs="Times New Roman"/>
          <w:i/>
          <w:lang w:val="en"/>
        </w:rPr>
        <w:t>)</w:t>
      </w:r>
      <w:r w:rsidRPr="000821FA">
        <w:rPr>
          <w:rFonts w:cs="Times New Roman"/>
          <w:lang w:val="en"/>
        </w:rPr>
        <w:t xml:space="preserve">, [1999] 3 S.C.R. 855; </w:t>
      </w:r>
      <w:proofErr w:type="spellStart"/>
      <w:r w:rsidRPr="000821FA">
        <w:rPr>
          <w:rFonts w:cs="Times New Roman"/>
          <w:i/>
          <w:lang w:val="en"/>
        </w:rPr>
        <w:t>Groia</w:t>
      </w:r>
      <w:proofErr w:type="spellEnd"/>
      <w:r w:rsidRPr="000821FA">
        <w:rPr>
          <w:rFonts w:cs="Times New Roman"/>
          <w:i/>
          <w:lang w:val="en"/>
        </w:rPr>
        <w:t xml:space="preserve"> v. Law Society of Upper Canada</w:t>
      </w:r>
      <w:r w:rsidRPr="000821FA">
        <w:rPr>
          <w:rFonts w:cs="Times New Roman"/>
          <w:lang w:val="en"/>
        </w:rPr>
        <w:t>, 2018 SCC 27, [2018] 1 S.C.R. 772, at para. 161;</w:t>
      </w:r>
      <w:r w:rsidRPr="000821FA">
        <w:rPr>
          <w:rFonts w:cs="Times New Roman"/>
        </w:rPr>
        <w:t xml:space="preserve"> </w:t>
      </w:r>
      <w:r w:rsidRPr="000821FA">
        <w:rPr>
          <w:rFonts w:cs="Times New Roman"/>
          <w:i/>
          <w:iCs/>
        </w:rPr>
        <w:t>Sharif v. Canada (Attorney General)</w:t>
      </w:r>
      <w:r w:rsidRPr="000821FA">
        <w:rPr>
          <w:rFonts w:cs="Times New Roman"/>
        </w:rPr>
        <w:t xml:space="preserve">, 2018 FCA 205, 50 C.R. (7th) 1, at paras. 53-54; </w:t>
      </w:r>
      <w:r w:rsidRPr="000821FA">
        <w:rPr>
          <w:rFonts w:cs="Times New Roman"/>
          <w:i/>
        </w:rPr>
        <w:t>Maple Lodge Farms Ltd. v. Canadian Food Inspection Agency</w:t>
      </w:r>
      <w:r w:rsidRPr="000821FA">
        <w:rPr>
          <w:rFonts w:cs="Times New Roman"/>
        </w:rPr>
        <w:t xml:space="preserve">, 2017 FCA 45, </w:t>
      </w:r>
      <w:r w:rsidRPr="000821FA">
        <w:rPr>
          <w:rStyle w:val="nowrap"/>
          <w:rFonts w:cs="Times New Roman"/>
          <w:lang w:val="en"/>
        </w:rPr>
        <w:t xml:space="preserve">411 D.L.R. (4th) 175, </w:t>
      </w:r>
      <w:r w:rsidRPr="000821FA">
        <w:rPr>
          <w:rFonts w:cs="Times New Roman"/>
        </w:rPr>
        <w:t xml:space="preserve">at paras. 51-56 and 84; </w:t>
      </w:r>
      <w:proofErr w:type="spellStart"/>
      <w:r w:rsidRPr="000821FA">
        <w:rPr>
          <w:rFonts w:cs="Times New Roman"/>
          <w:i/>
        </w:rPr>
        <w:t>Gehl</w:t>
      </w:r>
      <w:proofErr w:type="spellEnd"/>
      <w:r w:rsidRPr="000821FA">
        <w:rPr>
          <w:rFonts w:cs="Times New Roman"/>
          <w:i/>
        </w:rPr>
        <w:t xml:space="preserve"> v. Canada (Attorney </w:t>
      </w:r>
      <w:r w:rsidRPr="000821FA">
        <w:rPr>
          <w:rFonts w:cs="Times New Roman"/>
          <w:i/>
        </w:rPr>
        <w:lastRenderedPageBreak/>
        <w:t>General)</w:t>
      </w:r>
      <w:r w:rsidRPr="000821FA">
        <w:rPr>
          <w:rFonts w:cs="Times New Roman"/>
        </w:rPr>
        <w:t>, 2017 ONCA 319</w:t>
      </w:r>
      <w:r w:rsidR="005B1761">
        <w:rPr>
          <w:rFonts w:cs="Times New Roman"/>
        </w:rPr>
        <w:t>, 138 O.R. (3d) 52</w:t>
      </w:r>
      <w:r w:rsidRPr="000821FA">
        <w:rPr>
          <w:rFonts w:cs="Times New Roman"/>
        </w:rPr>
        <w:t>,</w:t>
      </w:r>
      <w:r w:rsidRPr="000821FA">
        <w:rPr>
          <w:rFonts w:cs="Times New Roman"/>
          <w:i/>
        </w:rPr>
        <w:t xml:space="preserve"> </w:t>
      </w:r>
      <w:r w:rsidRPr="000821FA">
        <w:rPr>
          <w:rFonts w:cs="Times New Roman"/>
        </w:rPr>
        <w:t xml:space="preserve">at paras. 54 and 88. Elements like concern for delay, fairness to the parties, urgency of providing a resolution to the dispute, the nature of the particular regulatory regime, whether the administrative decision maker had a genuine opportunity to weigh in on the issue in question, costs to the parties, and the efficient use of public resources may also influence the exercise of a court’s discretion to remit a matter, just as they may influence the exercise of its discretion to quash a decision that is flawed: see </w:t>
      </w:r>
      <w:r w:rsidRPr="000821FA">
        <w:rPr>
          <w:rFonts w:cs="Times New Roman"/>
          <w:i/>
        </w:rPr>
        <w:t>M</w:t>
      </w:r>
      <w:proofErr w:type="spellStart"/>
      <w:r w:rsidRPr="000821FA">
        <w:rPr>
          <w:rFonts w:cs="Times New Roman"/>
          <w:i/>
          <w:lang w:val="en"/>
        </w:rPr>
        <w:t>iningWatch</w:t>
      </w:r>
      <w:proofErr w:type="spellEnd"/>
      <w:r w:rsidRPr="000821FA">
        <w:rPr>
          <w:rFonts w:cs="Times New Roman"/>
          <w:i/>
          <w:lang w:val="en"/>
        </w:rPr>
        <w:t xml:space="preserve"> Canada v. Canada (Fisheries and Oceans)</w:t>
      </w:r>
      <w:r w:rsidRPr="000821FA">
        <w:rPr>
          <w:rFonts w:cs="Times New Roman"/>
          <w:lang w:val="en"/>
        </w:rPr>
        <w:t xml:space="preserve">, 2010 SCC 2, [2010] 1 S.C.R. 6, at paras. 45-51; </w:t>
      </w:r>
      <w:r w:rsidRPr="000821FA">
        <w:rPr>
          <w:rFonts w:cs="Times New Roman"/>
          <w:i/>
          <w:lang w:val="en"/>
        </w:rPr>
        <w:t>Alberta Teachers</w:t>
      </w:r>
      <w:r w:rsidRPr="000821FA">
        <w:rPr>
          <w:rFonts w:cs="Times New Roman"/>
          <w:lang w:val="en"/>
        </w:rPr>
        <w:t>, at para. 55</w:t>
      </w:r>
      <w:r w:rsidRPr="000821FA">
        <w:rPr>
          <w:rFonts w:cs="Times New Roman"/>
        </w:rPr>
        <w:t>.</w:t>
      </w:r>
    </w:p>
    <w:p w:rsidR="008B0231" w:rsidRPr="000821FA" w:rsidRDefault="008B0231" w:rsidP="008B0231">
      <w:pPr>
        <w:pStyle w:val="Title1LevelTitre1Niveau-AltL"/>
        <w:numPr>
          <w:ilvl w:val="0"/>
          <w:numId w:val="4"/>
        </w:numPr>
        <w:rPr>
          <w:rFonts w:cs="Times New Roman"/>
        </w:rPr>
      </w:pPr>
      <w:r w:rsidRPr="000821FA">
        <w:rPr>
          <w:rFonts w:cs="Times New Roman"/>
        </w:rPr>
        <w:t>Role of Prior Jurisprudence</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Given that this appeal and its companion cases involve a recalibration of the governing approach to the choice of standard of review analysis and a clarification of the proper application of the reasonableness standard, it will be necessary to briefly address how the existing administrative law jurisprudence should be treated going forward. These reasons set out a holistic revision of the framework for determining the applicable standard of review. A court seeking to determine what standard is appropriate in a case before it should look to these reasons first in order to determine how this general framework applies to that case. Doing so may require the court to resolve subsidiary questions on which past precedents will often continue to provide helpful guidance. Indeed, much of the Court’s jurisprudence, such as cases concerning general questions of law of central importance to the legal system as a whole or those </w:t>
      </w:r>
      <w:r w:rsidRPr="000821FA">
        <w:rPr>
          <w:rFonts w:cs="Times New Roman"/>
        </w:rPr>
        <w:lastRenderedPageBreak/>
        <w:t>relating to jurisdictional boundaries between two or more administrative bodies, will continue to apply essentially without modification. On other issues, certain cases —including those on the effect of statutory appeal mechanisms, “true” questions of jurisdiction or the former contextual analysis — will necessarily have less precedential force. As for cases that dictated how to conduct reasonableness review, they will often continue to provide insight, but should be used carefully to ensure that their application is aligned in principle with these reasons.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This approach strives for future doctrinal stability under the new framework while clarifying the continued relevance of the existing jurisprudence. Where a reviewing court is not certain how these reasons relate to the case before it, it may find it prudent to request submissions from the parties on both the appropriate standard and the application of that standard.</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Before turning to Mr. </w:t>
      </w:r>
      <w:proofErr w:type="spellStart"/>
      <w:r w:rsidRPr="000821FA">
        <w:rPr>
          <w:rFonts w:cs="Times New Roman"/>
        </w:rPr>
        <w:t>Vavilov’s</w:t>
      </w:r>
      <w:proofErr w:type="spellEnd"/>
      <w:r w:rsidRPr="000821FA">
        <w:rPr>
          <w:rFonts w:cs="Times New Roman"/>
        </w:rPr>
        <w:t xml:space="preserve"> case, we pause to note that our colleagues mischaracterize the framework developed in these reasons as being an “encomium” f</w:t>
      </w:r>
      <w:r>
        <w:rPr>
          <w:rFonts w:cs="Times New Roman"/>
        </w:rPr>
        <w:t xml:space="preserve">or correctness, and a turn away </w:t>
      </w:r>
      <w:r w:rsidRPr="000821FA">
        <w:rPr>
          <w:rFonts w:cs="Times New Roman"/>
        </w:rPr>
        <w:t>from the Court’s deferential approach to the point of being a “eulogy” for deference (at paras. 199 and 201). With respect, this is a gross exaggeration. Assertions that these reasons adopt a formalistic, court-centric view of administrative law (at paras. 229 and 240), enable an unconstrained expansion of correctness review (at para. 253) or function as a sort of checklist for “line-by-line” reasonableness rev</w:t>
      </w:r>
      <w:r>
        <w:rPr>
          <w:rFonts w:cs="Times New Roman"/>
        </w:rPr>
        <w:t>iew (at para. 284), are counter</w:t>
      </w:r>
      <w:r w:rsidRPr="000821FA">
        <w:rPr>
          <w:rFonts w:cs="Times New Roman"/>
        </w:rPr>
        <w:t xml:space="preserve"> to the clear wording we use and do </w:t>
      </w:r>
      <w:r w:rsidRPr="000821FA">
        <w:rPr>
          <w:rFonts w:cs="Times New Roman"/>
        </w:rPr>
        <w:lastRenderedPageBreak/>
        <w:t xml:space="preserve">not take into consideration the delicate balance that we have accounted for in setting out this framework. </w:t>
      </w:r>
    </w:p>
    <w:p w:rsidR="008B0231" w:rsidRPr="000821FA" w:rsidRDefault="008B0231" w:rsidP="008B0231">
      <w:pPr>
        <w:pStyle w:val="Title1LevelTitre1Niveau-AltL"/>
        <w:numPr>
          <w:ilvl w:val="0"/>
          <w:numId w:val="4"/>
        </w:numPr>
        <w:rPr>
          <w:rFonts w:cs="Times New Roman"/>
        </w:rPr>
      </w:pPr>
      <w:r w:rsidRPr="000821FA">
        <w:rPr>
          <w:rFonts w:cs="Times New Roman"/>
        </w:rPr>
        <w:t xml:space="preserve">Mr. </w:t>
      </w:r>
      <w:proofErr w:type="spellStart"/>
      <w:r w:rsidRPr="000821FA">
        <w:rPr>
          <w:rFonts w:cs="Times New Roman"/>
        </w:rPr>
        <w:t>Vavilov’s</w:t>
      </w:r>
      <w:proofErr w:type="spellEnd"/>
      <w:r w:rsidRPr="000821FA">
        <w:rPr>
          <w:rFonts w:cs="Times New Roman"/>
        </w:rPr>
        <w:t xml:space="preserve"> Application for Judicial Review</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case at bar involves an application for judicial review of a decision made by the Canadian Registrar of Citizenship on August 15, 2014. The Registrar’s decision concerned Mr. </w:t>
      </w:r>
      <w:proofErr w:type="spellStart"/>
      <w:r w:rsidRPr="000821FA">
        <w:rPr>
          <w:rFonts w:cs="Times New Roman"/>
        </w:rPr>
        <w:t>Vavilov</w:t>
      </w:r>
      <w:proofErr w:type="spellEnd"/>
      <w:r w:rsidRPr="000821FA">
        <w:rPr>
          <w:rFonts w:cs="Times New Roman"/>
        </w:rPr>
        <w:t xml:space="preserve">, who was born in Canada and whose parents were later revealed to be undercover Russian spies. The Registrar determined that Mr. </w:t>
      </w:r>
      <w:proofErr w:type="spellStart"/>
      <w:r w:rsidRPr="000821FA">
        <w:rPr>
          <w:rFonts w:cs="Times New Roman"/>
        </w:rPr>
        <w:t>Vavilov</w:t>
      </w:r>
      <w:proofErr w:type="spellEnd"/>
      <w:r w:rsidRPr="000821FA">
        <w:rPr>
          <w:rFonts w:cs="Times New Roman"/>
        </w:rPr>
        <w:t xml:space="preserve"> was not a Canadian citizen on the basis of an interpretation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and cancelled his certificate of citizenship under s. 26(3) of the </w:t>
      </w:r>
      <w:r w:rsidRPr="000821FA">
        <w:rPr>
          <w:rFonts w:cs="Times New Roman"/>
          <w:i/>
        </w:rPr>
        <w:t>Citizenship Regulations</w:t>
      </w:r>
      <w:r w:rsidRPr="000821FA">
        <w:rPr>
          <w:rFonts w:cs="Times New Roman"/>
        </w:rPr>
        <w:t xml:space="preserve">. We conclude that the standard of review applicable to the Registrar’s decision is reasonableness, and that the Registrar’s decision was unreasonable. We would uphold the decision of the Federal Court of Appeal to quash the Registrar’s decision and would not remit the matter to the Registrar for redetermination. </w:t>
      </w:r>
    </w:p>
    <w:p w:rsidR="008B0231" w:rsidRPr="000821FA" w:rsidRDefault="008B0231" w:rsidP="008B0231">
      <w:pPr>
        <w:pStyle w:val="Title2LevelTitre2Niveau"/>
        <w:numPr>
          <w:ilvl w:val="1"/>
          <w:numId w:val="4"/>
        </w:numPr>
        <w:rPr>
          <w:rFonts w:cs="Times New Roman"/>
        </w:rPr>
      </w:pPr>
      <w:r w:rsidRPr="000821FA">
        <w:rPr>
          <w:rFonts w:cs="Times New Roman"/>
        </w:rPr>
        <w:t>Facts</w:t>
      </w:r>
    </w:p>
    <w:p w:rsidR="008B0231" w:rsidRPr="000821FA" w:rsidRDefault="008B0231" w:rsidP="005C2571">
      <w:pPr>
        <w:pStyle w:val="ParaNoNdepar-AltN"/>
        <w:tabs>
          <w:tab w:val="clear" w:pos="1166"/>
          <w:tab w:val="clear" w:pos="1422"/>
          <w:tab w:val="num" w:pos="1152"/>
        </w:tabs>
        <w:ind w:left="0"/>
        <w:rPr>
          <w:rFonts w:eastAsiaTheme="minorHAnsi" w:cs="Times New Roman"/>
          <w:u w:val="single"/>
        </w:rPr>
      </w:pPr>
      <w:r w:rsidRPr="000821FA">
        <w:rPr>
          <w:rFonts w:cs="Times New Roman"/>
        </w:rPr>
        <w:t xml:space="preserve">Mr. </w:t>
      </w:r>
      <w:proofErr w:type="spellStart"/>
      <w:r w:rsidRPr="000821FA">
        <w:rPr>
          <w:rFonts w:cs="Times New Roman"/>
        </w:rPr>
        <w:t>Vavilov</w:t>
      </w:r>
      <w:proofErr w:type="spellEnd"/>
      <w:r w:rsidRPr="000821FA">
        <w:rPr>
          <w:rFonts w:cs="Times New Roman"/>
        </w:rPr>
        <w:t xml:space="preserve"> was born in Toronto as Alexander Foley on June 3, 1994. At the time of his birth, </w:t>
      </w:r>
      <w:r w:rsidRPr="000821FA">
        <w:rPr>
          <w:rFonts w:eastAsiaTheme="minorHAnsi" w:cs="Times New Roman"/>
        </w:rPr>
        <w:t xml:space="preserve">his parents </w:t>
      </w:r>
      <w:r w:rsidRPr="000821FA">
        <w:rPr>
          <w:rFonts w:cs="Times New Roman"/>
        </w:rPr>
        <w:t xml:space="preserve">were posing as Canadians under the assumed names of Tracey Lee Ann Foley and Donald Howard </w:t>
      </w:r>
      <w:proofErr w:type="spellStart"/>
      <w:r w:rsidRPr="000821FA">
        <w:rPr>
          <w:rFonts w:cs="Times New Roman"/>
        </w:rPr>
        <w:t>Heathfield</w:t>
      </w:r>
      <w:proofErr w:type="spellEnd"/>
      <w:r w:rsidRPr="000821FA">
        <w:rPr>
          <w:rFonts w:cs="Times New Roman"/>
        </w:rPr>
        <w:t xml:space="preserve">. In reality, they were Elena </w:t>
      </w:r>
      <w:proofErr w:type="spellStart"/>
      <w:r w:rsidRPr="000821FA">
        <w:rPr>
          <w:rFonts w:cs="Times New Roman"/>
        </w:rPr>
        <w:t>Vavilova</w:t>
      </w:r>
      <w:proofErr w:type="spellEnd"/>
      <w:r w:rsidRPr="000821FA">
        <w:rPr>
          <w:rFonts w:cs="Times New Roman"/>
        </w:rPr>
        <w:t xml:space="preserve"> and Andrey </w:t>
      </w:r>
      <w:proofErr w:type="spellStart"/>
      <w:r w:rsidRPr="000821FA">
        <w:rPr>
          <w:rFonts w:cs="Times New Roman"/>
        </w:rPr>
        <w:t>Bezrukov</w:t>
      </w:r>
      <w:proofErr w:type="spellEnd"/>
      <w:r w:rsidRPr="000821FA">
        <w:rPr>
          <w:rFonts w:cs="Times New Roman"/>
        </w:rPr>
        <w:t xml:space="preserve">, two foreign nationals working on a long-term assignment for the Russian foreign intelligence service, the SVR. Their false Canadian </w:t>
      </w:r>
      <w:r w:rsidRPr="000821FA">
        <w:rPr>
          <w:rFonts w:cs="Times New Roman"/>
        </w:rPr>
        <w:lastRenderedPageBreak/>
        <w:t xml:space="preserve">identities had been assumed prior to the birth of Mr. </w:t>
      </w:r>
      <w:proofErr w:type="spellStart"/>
      <w:r w:rsidRPr="000821FA">
        <w:rPr>
          <w:rFonts w:cs="Times New Roman"/>
        </w:rPr>
        <w:t>Vavilov</w:t>
      </w:r>
      <w:proofErr w:type="spellEnd"/>
      <w:r w:rsidRPr="000821FA">
        <w:rPr>
          <w:rFonts w:cs="Times New Roman"/>
        </w:rPr>
        <w:t xml:space="preserve"> and of his older brother, Timothy, for purposes of a “deep cover” espionage network under the direction of the SVR. The United States Department of Justice refers to it as the “illegals” program. </w:t>
      </w:r>
    </w:p>
    <w:p w:rsidR="008B0231" w:rsidRPr="000821FA" w:rsidRDefault="008B0231" w:rsidP="005C2571">
      <w:pPr>
        <w:pStyle w:val="ParaNoNdepar-AltN"/>
        <w:tabs>
          <w:tab w:val="clear" w:pos="1166"/>
          <w:tab w:val="clear" w:pos="1422"/>
          <w:tab w:val="num" w:pos="1152"/>
        </w:tabs>
        <w:ind w:left="0"/>
        <w:rPr>
          <w:rFonts w:eastAsiaTheme="minorHAnsi" w:cs="Times New Roman"/>
          <w:u w:val="single"/>
        </w:rPr>
      </w:pPr>
      <w:r w:rsidRPr="000821FA">
        <w:rPr>
          <w:rFonts w:cs="Times New Roman"/>
        </w:rPr>
        <w:t xml:space="preserve">Ms. </w:t>
      </w:r>
      <w:proofErr w:type="spellStart"/>
      <w:r w:rsidRPr="000821FA">
        <w:rPr>
          <w:rFonts w:cs="Times New Roman"/>
        </w:rPr>
        <w:t>Vavilova</w:t>
      </w:r>
      <w:proofErr w:type="spellEnd"/>
      <w:r w:rsidRPr="000821FA">
        <w:rPr>
          <w:rFonts w:cs="Times New Roman"/>
        </w:rPr>
        <w:t xml:space="preserve"> and Mr. </w:t>
      </w:r>
      <w:proofErr w:type="spellStart"/>
      <w:r w:rsidRPr="000821FA">
        <w:rPr>
          <w:rFonts w:cs="Times New Roman"/>
        </w:rPr>
        <w:t>Bezrukov</w:t>
      </w:r>
      <w:proofErr w:type="spellEnd"/>
      <w:r w:rsidRPr="000821FA">
        <w:rPr>
          <w:rFonts w:cs="Times New Roman"/>
        </w:rPr>
        <w:t xml:space="preserve"> were deployed to Canada to establish false personal histories as Western citizens. They worked, ran a business, pursued higher education and, as noted, had two children here. After their second son was born, the family moved to France, and later to the United States. In the United States, Mr.</w:t>
      </w:r>
      <w:r>
        <w:rPr>
          <w:rFonts w:cs="Times New Roman"/>
        </w:rPr>
        <w:t> </w:t>
      </w:r>
      <w:proofErr w:type="spellStart"/>
      <w:r w:rsidRPr="000821FA">
        <w:rPr>
          <w:rFonts w:cs="Times New Roman"/>
        </w:rPr>
        <w:t>Bezrukov</w:t>
      </w:r>
      <w:proofErr w:type="spellEnd"/>
      <w:r w:rsidRPr="000821FA">
        <w:rPr>
          <w:rFonts w:cs="Times New Roman"/>
        </w:rPr>
        <w:t xml:space="preserve"> obtained a Masters of Public Administration at Harvard University and worked as a consultant, all while working to collect information on a variety of sensitive national security issues for the SVR. The nature of the undercover work of Ms. </w:t>
      </w:r>
      <w:proofErr w:type="spellStart"/>
      <w:r w:rsidRPr="000821FA">
        <w:rPr>
          <w:rFonts w:cs="Times New Roman"/>
        </w:rPr>
        <w:t>Vavilova</w:t>
      </w:r>
      <w:proofErr w:type="spellEnd"/>
      <w:r w:rsidRPr="000821FA">
        <w:rPr>
          <w:rFonts w:cs="Times New Roman"/>
        </w:rPr>
        <w:t xml:space="preserve"> and Mr. </w:t>
      </w:r>
      <w:proofErr w:type="spellStart"/>
      <w:r w:rsidRPr="000821FA">
        <w:rPr>
          <w:rFonts w:cs="Times New Roman"/>
        </w:rPr>
        <w:t>Bezrukov</w:t>
      </w:r>
      <w:proofErr w:type="spellEnd"/>
      <w:r w:rsidRPr="000821FA">
        <w:rPr>
          <w:rFonts w:cs="Times New Roman"/>
        </w:rPr>
        <w:t xml:space="preserve"> meant that there was no point at which either of them had any publicly acknowledged affiliation with the Russian state, held any official diplomatic or consular status, or had been granted any diplomatic privilege or immunity.</w:t>
      </w:r>
    </w:p>
    <w:p w:rsidR="008B0231" w:rsidRPr="000821FA" w:rsidRDefault="008B0231" w:rsidP="005C2571">
      <w:pPr>
        <w:pStyle w:val="ParaNoNdepar-AltN"/>
        <w:tabs>
          <w:tab w:val="clear" w:pos="1166"/>
          <w:tab w:val="clear" w:pos="1422"/>
          <w:tab w:val="num" w:pos="1152"/>
        </w:tabs>
        <w:ind w:left="0"/>
        <w:rPr>
          <w:rFonts w:eastAsiaTheme="minorHAnsi" w:cs="Times New Roman"/>
          <w:u w:val="single"/>
        </w:rPr>
      </w:pPr>
      <w:r w:rsidRPr="000821FA">
        <w:rPr>
          <w:rFonts w:cs="Times New Roman"/>
        </w:rPr>
        <w:t xml:space="preserve">Until he was about 16 years old, Mr. </w:t>
      </w:r>
      <w:proofErr w:type="spellStart"/>
      <w:r w:rsidRPr="000821FA">
        <w:rPr>
          <w:rFonts w:cs="Times New Roman"/>
        </w:rPr>
        <w:t>Vavilov</w:t>
      </w:r>
      <w:proofErr w:type="spellEnd"/>
      <w:r w:rsidRPr="000821FA">
        <w:rPr>
          <w:rFonts w:cs="Times New Roman"/>
        </w:rPr>
        <w:t xml:space="preserve"> did not know that his parents were not who they claimed to be. He believed that he was a Canadian citizen by birth, lived and identified as a Canadian, held a Canadian passport, learned both official languages and was proud of his heritage. His parents’ true identities became known to him on June 27, 2010, when they were arrested in the United States and charged (along with several other individuals) with conspiracy to act as unregistered agents of a foreign government. On July 8, 2010, they pled guilty, admitted their status as Russian citizens </w:t>
      </w:r>
      <w:r w:rsidRPr="000821FA">
        <w:rPr>
          <w:rFonts w:cs="Times New Roman"/>
        </w:rPr>
        <w:lastRenderedPageBreak/>
        <w:t>acting on behalf of the Russian state, and were returned to Russia in a “spy swap” the following day.</w:t>
      </w:r>
      <w:r w:rsidRPr="000821FA">
        <w:rPr>
          <w:rFonts w:eastAsiaTheme="minorHAnsi" w:cs="Times New Roman"/>
        </w:rPr>
        <w:t xml:space="preserve"> </w:t>
      </w:r>
      <w:r w:rsidRPr="000821FA">
        <w:rPr>
          <w:rFonts w:cs="Times New Roman"/>
        </w:rPr>
        <w:t xml:space="preserve">Mr. </w:t>
      </w:r>
      <w:proofErr w:type="spellStart"/>
      <w:r w:rsidRPr="000821FA">
        <w:rPr>
          <w:rFonts w:cs="Times New Roman"/>
        </w:rPr>
        <w:t>Vavilov</w:t>
      </w:r>
      <w:proofErr w:type="spellEnd"/>
      <w:r w:rsidRPr="000821FA">
        <w:rPr>
          <w:rFonts w:cs="Times New Roman"/>
        </w:rPr>
        <w:t xml:space="preserve"> has described the revelation as a traumatic event characterized by disbelief and a crisis of identity.</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Just prior to his parents’ deportation, Mr. </w:t>
      </w:r>
      <w:proofErr w:type="spellStart"/>
      <w:r w:rsidRPr="000821FA">
        <w:rPr>
          <w:rFonts w:cs="Times New Roman"/>
        </w:rPr>
        <w:t>Vavilov</w:t>
      </w:r>
      <w:proofErr w:type="spellEnd"/>
      <w:r w:rsidRPr="000821FA">
        <w:rPr>
          <w:rFonts w:cs="Times New Roman"/>
        </w:rPr>
        <w:t xml:space="preserve"> left the United States with his brother on a trip that had been planned before their parents’ arrest, going first to Paris, and then to Russia on a tourist visa. In October 2010, Mr. </w:t>
      </w:r>
      <w:proofErr w:type="spellStart"/>
      <w:r w:rsidRPr="000821FA">
        <w:rPr>
          <w:rFonts w:cs="Times New Roman"/>
        </w:rPr>
        <w:t>Vavilov</w:t>
      </w:r>
      <w:proofErr w:type="spellEnd"/>
      <w:r w:rsidRPr="000821FA">
        <w:rPr>
          <w:rFonts w:cs="Times New Roman"/>
        </w:rPr>
        <w:t xml:space="preserve"> unsuccessfully attempted to renew his Canadian passport through the Canadian Embassy in Moscow. Although he submitted to DNA testing and changed his surname from Foley to </w:t>
      </w:r>
      <w:proofErr w:type="spellStart"/>
      <w:r w:rsidRPr="000821FA">
        <w:rPr>
          <w:rFonts w:cs="Times New Roman"/>
        </w:rPr>
        <w:t>Vavilov</w:t>
      </w:r>
      <w:proofErr w:type="spellEnd"/>
      <w:r w:rsidRPr="000821FA">
        <w:rPr>
          <w:rFonts w:cs="Times New Roman"/>
        </w:rPr>
        <w:t xml:space="preserve"> at the behest of passport authorities, his second attempt to obtain a Canadian passport in December 2011 was also unsuccessful. He was then informed that despite his Canadian birth certificate, he would also need to obtain and provide a certificate of Canadian citizenship before he would be issued a passport. Mr. </w:t>
      </w:r>
      <w:proofErr w:type="spellStart"/>
      <w:r w:rsidRPr="000821FA">
        <w:rPr>
          <w:rFonts w:cs="Times New Roman"/>
        </w:rPr>
        <w:t>Vavilov</w:t>
      </w:r>
      <w:proofErr w:type="spellEnd"/>
      <w:r w:rsidRPr="000821FA">
        <w:rPr>
          <w:rFonts w:cs="Times New Roman"/>
        </w:rPr>
        <w:t xml:space="preserve"> applied for that certificate in October 2012, and it was issued to him on January 15, 2013. At that point, he made another passport application through the Canadian Embassy in Buenos Aires, Argentina, and, after a delay, applied for mandamus</w:t>
      </w:r>
      <w:r w:rsidRPr="00A8255D">
        <w:rPr>
          <w:rFonts w:cs="Times New Roman"/>
        </w:rPr>
        <w:t>,</w:t>
      </w:r>
      <w:r w:rsidRPr="000821FA">
        <w:rPr>
          <w:rFonts w:cs="Times New Roman"/>
        </w:rPr>
        <w:t xml:space="preserve"> a process that was settled out of court in June 2013. The Minister of Citizenship and Immigration undertook to issue a new travel document t</w:t>
      </w:r>
      <w:r w:rsidR="00CB00DD">
        <w:rPr>
          <w:rFonts w:cs="Times New Roman"/>
        </w:rPr>
        <w:t xml:space="preserve">o Mr. </w:t>
      </w:r>
      <w:proofErr w:type="spellStart"/>
      <w:r w:rsidR="00CB00DD">
        <w:rPr>
          <w:rFonts w:cs="Times New Roman"/>
        </w:rPr>
        <w:t>Vavilov</w:t>
      </w:r>
      <w:proofErr w:type="spellEnd"/>
      <w:r w:rsidR="00CB00DD">
        <w:rPr>
          <w:rFonts w:cs="Times New Roman"/>
        </w:rPr>
        <w:t xml:space="preserve"> by July 19, 2013.</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However, Mr. </w:t>
      </w:r>
      <w:proofErr w:type="spellStart"/>
      <w:r w:rsidRPr="000821FA">
        <w:rPr>
          <w:rFonts w:cs="Times New Roman"/>
        </w:rPr>
        <w:t>Vavilov</w:t>
      </w:r>
      <w:proofErr w:type="spellEnd"/>
      <w:r w:rsidRPr="000821FA">
        <w:rPr>
          <w:rFonts w:cs="Times New Roman"/>
        </w:rPr>
        <w:t xml:space="preserve"> never received a passport. Instead, he received a “procedural fairness letter” from the Canadian Registrar of Citizenship dated July 18, 2013 in which the Registrar stated that Mr. </w:t>
      </w:r>
      <w:proofErr w:type="spellStart"/>
      <w:r w:rsidRPr="000821FA">
        <w:rPr>
          <w:rFonts w:cs="Times New Roman"/>
        </w:rPr>
        <w:t>Vavilov</w:t>
      </w:r>
      <w:proofErr w:type="spellEnd"/>
      <w:r w:rsidRPr="000821FA">
        <w:rPr>
          <w:rFonts w:cs="Times New Roman"/>
        </w:rPr>
        <w:t xml:space="preserve"> had not been entitled to a certificate of citizenship, that his certificate of citizenship had been issued in error and that, </w:t>
      </w:r>
      <w:r w:rsidRPr="000821FA">
        <w:rPr>
          <w:rFonts w:cs="Times New Roman"/>
        </w:rPr>
        <w:lastRenderedPageBreak/>
        <w:t>pursuant to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he was not a citizen of Canada. Mr. </w:t>
      </w:r>
      <w:proofErr w:type="spellStart"/>
      <w:r w:rsidRPr="000821FA">
        <w:rPr>
          <w:rFonts w:cs="Times New Roman"/>
        </w:rPr>
        <w:t>Vavilov</w:t>
      </w:r>
      <w:proofErr w:type="spellEnd"/>
      <w:r w:rsidRPr="000821FA">
        <w:rPr>
          <w:rFonts w:cs="Times New Roman"/>
        </w:rPr>
        <w:t xml:space="preserve"> was invited to make submissions in response, and he did so. On August 15, 2014, the Registrar formally cancelled Mr. </w:t>
      </w:r>
      <w:proofErr w:type="spellStart"/>
      <w:r w:rsidRPr="000821FA">
        <w:rPr>
          <w:rFonts w:cs="Times New Roman"/>
        </w:rPr>
        <w:t>Vavilov’s</w:t>
      </w:r>
      <w:proofErr w:type="spellEnd"/>
      <w:r w:rsidRPr="000821FA">
        <w:rPr>
          <w:rFonts w:cs="Times New Roman"/>
        </w:rPr>
        <w:t xml:space="preserve"> Canadian citizenship certificate pursuant to s. 26(3) of the </w:t>
      </w:r>
      <w:r w:rsidRPr="000821FA">
        <w:rPr>
          <w:rFonts w:cs="Times New Roman"/>
          <w:i/>
        </w:rPr>
        <w:t>Citizenship Regulations</w:t>
      </w:r>
      <w:r w:rsidRPr="000821FA">
        <w:rPr>
          <w:rFonts w:cs="Times New Roman"/>
        </w:rPr>
        <w:t xml:space="preserve">. </w:t>
      </w:r>
    </w:p>
    <w:p w:rsidR="008B0231" w:rsidRPr="000821FA" w:rsidRDefault="008B0231" w:rsidP="008B0231">
      <w:pPr>
        <w:pStyle w:val="Title2LevelTitre2Niveau"/>
        <w:numPr>
          <w:ilvl w:val="1"/>
          <w:numId w:val="4"/>
        </w:numPr>
        <w:rPr>
          <w:rFonts w:cs="Times New Roman"/>
        </w:rPr>
      </w:pPr>
      <w:r w:rsidRPr="000821FA">
        <w:rPr>
          <w:rFonts w:cs="Times New Roman"/>
        </w:rPr>
        <w:t>Procedural History</w:t>
      </w:r>
    </w:p>
    <w:p w:rsidR="008B0231" w:rsidRPr="000821FA" w:rsidRDefault="008B0231" w:rsidP="008B0231">
      <w:pPr>
        <w:pStyle w:val="Title3LevelTitre3Niveau"/>
        <w:numPr>
          <w:ilvl w:val="2"/>
          <w:numId w:val="4"/>
        </w:numPr>
        <w:rPr>
          <w:rFonts w:cs="Times New Roman"/>
        </w:rPr>
      </w:pPr>
      <w:r w:rsidRPr="000821FA">
        <w:rPr>
          <w:rFonts w:cs="Times New Roman"/>
        </w:rPr>
        <w:t>Registrar’s Decision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a brief letter sent to Mr. </w:t>
      </w:r>
      <w:proofErr w:type="spellStart"/>
      <w:r w:rsidRPr="000821FA">
        <w:rPr>
          <w:rFonts w:cs="Times New Roman"/>
        </w:rPr>
        <w:t>Vavilov</w:t>
      </w:r>
      <w:proofErr w:type="spellEnd"/>
      <w:r w:rsidRPr="000821FA">
        <w:rPr>
          <w:rFonts w:cs="Times New Roman"/>
        </w:rPr>
        <w:t xml:space="preserve"> on August 15, 2014, the Registrar informed him that she was cancelling his certificate of citizenship pursuant to s. 26(3) of the </w:t>
      </w:r>
      <w:r w:rsidRPr="000821FA">
        <w:rPr>
          <w:rFonts w:cs="Times New Roman"/>
          <w:i/>
        </w:rPr>
        <w:t>Citizenship Regulations</w:t>
      </w:r>
      <w:r w:rsidRPr="000821FA">
        <w:rPr>
          <w:rFonts w:cs="Times New Roman"/>
        </w:rPr>
        <w:t xml:space="preserve"> on the basis that he was not entitled to it. The Registrar summarized her position as follows:</w:t>
      </w:r>
    </w:p>
    <w:p w:rsidR="008B0231" w:rsidRPr="000821FA" w:rsidRDefault="008B0231" w:rsidP="00FC78E5">
      <w:pPr>
        <w:pStyle w:val="ParaNoNdepar-AltN"/>
        <w:numPr>
          <w:ilvl w:val="4"/>
          <w:numId w:val="1"/>
        </w:numPr>
        <w:tabs>
          <w:tab w:val="clear" w:pos="1166"/>
        </w:tabs>
        <w:ind w:left="900" w:hanging="900"/>
        <w:rPr>
          <w:rFonts w:cs="Times New Roman"/>
        </w:rPr>
      </w:pPr>
      <w:r w:rsidRPr="000821FA">
        <w:rPr>
          <w:rFonts w:cs="Times New Roman"/>
        </w:rPr>
        <w:t xml:space="preserve">Although Mr. </w:t>
      </w:r>
      <w:proofErr w:type="spellStart"/>
      <w:r w:rsidRPr="000821FA">
        <w:rPr>
          <w:rFonts w:cs="Times New Roman"/>
        </w:rPr>
        <w:t>Vavilov</w:t>
      </w:r>
      <w:proofErr w:type="spellEnd"/>
      <w:r w:rsidRPr="000821FA">
        <w:rPr>
          <w:rFonts w:cs="Times New Roman"/>
        </w:rPr>
        <w:t xml:space="preserve"> was born in Toronto, neither of his parents was a citizen of Canada, and neither of them had been lawfully admitted to Canada for permanent residence at the time of his birth. </w:t>
      </w:r>
    </w:p>
    <w:p w:rsidR="008B0231" w:rsidRPr="000821FA" w:rsidRDefault="008B0231" w:rsidP="00FC78E5">
      <w:pPr>
        <w:pStyle w:val="ParaNoNdepar-AltN"/>
        <w:numPr>
          <w:ilvl w:val="4"/>
          <w:numId w:val="1"/>
        </w:numPr>
        <w:tabs>
          <w:tab w:val="clear" w:pos="1166"/>
        </w:tabs>
        <w:ind w:left="900" w:hanging="900"/>
        <w:rPr>
          <w:rFonts w:cs="Times New Roman"/>
        </w:rPr>
      </w:pPr>
      <w:r w:rsidRPr="000821FA">
        <w:rPr>
          <w:rFonts w:cs="Times New Roman"/>
        </w:rPr>
        <w:t xml:space="preserve">In 2010, Mr. </w:t>
      </w:r>
      <w:proofErr w:type="spellStart"/>
      <w:r w:rsidRPr="000821FA">
        <w:rPr>
          <w:rFonts w:cs="Times New Roman"/>
        </w:rPr>
        <w:t>Vavilov’s</w:t>
      </w:r>
      <w:proofErr w:type="spellEnd"/>
      <w:r w:rsidRPr="000821FA">
        <w:rPr>
          <w:rFonts w:cs="Times New Roman"/>
        </w:rPr>
        <w:t xml:space="preserve"> parents were convicted of “conspiracy to act in the United States as a foreign agent of a foreign government”, and recognized as unofficial agents working as “illegals” for the SVR.</w:t>
      </w:r>
    </w:p>
    <w:p w:rsidR="008B0231" w:rsidRPr="000821FA" w:rsidRDefault="008B0231" w:rsidP="00FC78E5">
      <w:pPr>
        <w:pStyle w:val="ParaNoNdepar-AltN"/>
        <w:numPr>
          <w:ilvl w:val="4"/>
          <w:numId w:val="1"/>
        </w:numPr>
        <w:tabs>
          <w:tab w:val="clear" w:pos="1166"/>
        </w:tabs>
        <w:ind w:left="900" w:hanging="900"/>
        <w:rPr>
          <w:rFonts w:cs="Times New Roman"/>
        </w:rPr>
      </w:pPr>
      <w:r w:rsidRPr="000821FA">
        <w:rPr>
          <w:rFonts w:cs="Times New Roman"/>
        </w:rPr>
        <w:t xml:space="preserve">As a result, the Registrar believed that, at the time of Mr. </w:t>
      </w:r>
      <w:proofErr w:type="spellStart"/>
      <w:r w:rsidRPr="000821FA">
        <w:rPr>
          <w:rFonts w:cs="Times New Roman"/>
        </w:rPr>
        <w:t>Vavilov’s</w:t>
      </w:r>
      <w:proofErr w:type="spellEnd"/>
      <w:r w:rsidRPr="000821FA">
        <w:rPr>
          <w:rFonts w:cs="Times New Roman"/>
        </w:rPr>
        <w:t xml:space="preserve"> birth, his parents were “employees or representatives of a foreign government”.</w:t>
      </w:r>
    </w:p>
    <w:p w:rsidR="008B0231" w:rsidRPr="000821FA" w:rsidRDefault="008B0231" w:rsidP="00FC78E5">
      <w:pPr>
        <w:pStyle w:val="ParaNoNdepar-AltN"/>
        <w:numPr>
          <w:ilvl w:val="4"/>
          <w:numId w:val="1"/>
        </w:numPr>
        <w:tabs>
          <w:tab w:val="clear" w:pos="1166"/>
        </w:tabs>
        <w:ind w:left="900" w:hanging="900"/>
        <w:rPr>
          <w:rFonts w:cs="Times New Roman"/>
        </w:rPr>
      </w:pPr>
      <w:r w:rsidRPr="000821FA">
        <w:rPr>
          <w:rFonts w:cs="Times New Roman"/>
        </w:rPr>
        <w:lastRenderedPageBreak/>
        <w:t xml:space="preserve">Accordingly, pursuant to s. 3(2)(a) of the </w:t>
      </w:r>
      <w:r w:rsidRPr="000821FA">
        <w:rPr>
          <w:rFonts w:cs="Times New Roman"/>
          <w:i/>
        </w:rPr>
        <w:t>Citizenship Act</w:t>
      </w:r>
      <w:r w:rsidRPr="000821FA">
        <w:rPr>
          <w:rFonts w:cs="Times New Roman"/>
        </w:rPr>
        <w:t xml:space="preserve">, Mr. </w:t>
      </w:r>
      <w:proofErr w:type="spellStart"/>
      <w:r w:rsidRPr="000821FA">
        <w:rPr>
          <w:rFonts w:cs="Times New Roman"/>
        </w:rPr>
        <w:t>Vavilov</w:t>
      </w:r>
      <w:proofErr w:type="spellEnd"/>
      <w:r w:rsidRPr="000821FA">
        <w:rPr>
          <w:rFonts w:cs="Times New Roman"/>
        </w:rPr>
        <w:t xml:space="preserve"> had never been a Canadian citizen and had not been entitled to receive the certificate of Canadian citizenship that had been issued to him in 2013. Section 3(2</w:t>
      </w:r>
      <w:proofErr w:type="gramStart"/>
      <w:r w:rsidRPr="000821FA">
        <w:rPr>
          <w:rFonts w:cs="Times New Roman"/>
        </w:rPr>
        <w:t>)(</w:t>
      </w:r>
      <w:proofErr w:type="gramEnd"/>
      <w:r w:rsidRPr="000821FA">
        <w:rPr>
          <w:rFonts w:cs="Times New Roman"/>
        </w:rPr>
        <w:t xml:space="preserve">a) provides that s. 3(1)(a) of the </w:t>
      </w:r>
      <w:r w:rsidRPr="000821FA">
        <w:rPr>
          <w:rFonts w:cs="Times New Roman"/>
          <w:i/>
        </w:rPr>
        <w:t>Citizenship Act</w:t>
      </w:r>
      <w:r w:rsidRPr="000821FA">
        <w:rPr>
          <w:rFonts w:cs="Times New Roman"/>
        </w:rPr>
        <w:t xml:space="preserve"> (which grants citizenship by birth to persons </w:t>
      </w:r>
      <w:r w:rsidRPr="000821FA">
        <w:rPr>
          <w:rFonts w:cs="Times New Roman"/>
          <w:lang w:bidi="en-US"/>
        </w:rPr>
        <w:t>born in Canada after February 14, 1977</w:t>
      </w:r>
      <w:r w:rsidRPr="000821FA">
        <w:rPr>
          <w:rFonts w:cs="Times New Roman"/>
        </w:rPr>
        <w:t>) does not apply to an individual if, at the time of the individual’s birth, neither of their parents was a citizen or lawfully admitted to Canada for permanent residence and either parent was “a diplomatic or consular officer or other representative or employee in Canada of a foreign government</w:t>
      </w:r>
      <w:r w:rsidR="00FC78E5">
        <w:rPr>
          <w:rFonts w:cs="Times New Roman"/>
        </w:rPr>
        <w:t>.</w:t>
      </w:r>
      <w:r w:rsidRPr="000821FA">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For these reasons, the Registrar cancelled the certificate and indicated that Mr. </w:t>
      </w:r>
      <w:proofErr w:type="spellStart"/>
      <w:r w:rsidRPr="000821FA">
        <w:rPr>
          <w:rFonts w:cs="Times New Roman"/>
        </w:rPr>
        <w:t>Vavilov</w:t>
      </w:r>
      <w:proofErr w:type="spellEnd"/>
      <w:r w:rsidRPr="000821FA">
        <w:rPr>
          <w:rFonts w:cs="Times New Roman"/>
        </w:rPr>
        <w:t xml:space="preserve"> would no longer be recognized as a Canadian citizen. The Registrar’s letter did not offer any analysis or interpretation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However, it appears that in coming to her decision, the Registrar relied on a 12-page report prepared by a junior analyst, which included an interpretation of this key statutory provision.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that report, the analyst provided a timeline of the procedural history of Mr. </w:t>
      </w:r>
      <w:proofErr w:type="spellStart"/>
      <w:r w:rsidRPr="000821FA">
        <w:rPr>
          <w:rFonts w:cs="Times New Roman"/>
        </w:rPr>
        <w:t>Vavilov’s</w:t>
      </w:r>
      <w:proofErr w:type="spellEnd"/>
      <w:r w:rsidRPr="000821FA">
        <w:rPr>
          <w:rFonts w:cs="Times New Roman"/>
        </w:rPr>
        <w:t xml:space="preserve"> file, a summary of the investigation into and charges against his parents in the United States, and background information on the SVR’s “illegals” program. The analyst also discussed several provisions of the </w:t>
      </w:r>
      <w:r w:rsidRPr="000821FA">
        <w:rPr>
          <w:rFonts w:cs="Times New Roman"/>
          <w:i/>
        </w:rPr>
        <w:t>Citizenship Act</w:t>
      </w:r>
      <w:r w:rsidRPr="000821FA">
        <w:rPr>
          <w:rFonts w:cs="Times New Roman"/>
        </w:rPr>
        <w:t>, including s. 3(2</w:t>
      </w:r>
      <w:proofErr w:type="gramStart"/>
      <w:r w:rsidRPr="000821FA">
        <w:rPr>
          <w:rFonts w:cs="Times New Roman"/>
        </w:rPr>
        <w:t>)(</w:t>
      </w:r>
      <w:proofErr w:type="gramEnd"/>
      <w:r w:rsidRPr="000821FA">
        <w:rPr>
          <w:rFonts w:cs="Times New Roman"/>
        </w:rPr>
        <w:t xml:space="preserve">a), and it is this aspect of her report that is most relevant to Mr. </w:t>
      </w:r>
      <w:proofErr w:type="spellStart"/>
      <w:r w:rsidRPr="000821FA">
        <w:rPr>
          <w:rFonts w:cs="Times New Roman"/>
        </w:rPr>
        <w:t>Vavilov’s</w:t>
      </w:r>
      <w:proofErr w:type="spellEnd"/>
      <w:r w:rsidRPr="000821FA">
        <w:rPr>
          <w:rFonts w:cs="Times New Roman"/>
        </w:rPr>
        <w:t xml:space="preserve"> application for judicial review. The analyst’s ultimate conclusion was that the certificate of citizenship </w:t>
      </w:r>
      <w:r w:rsidRPr="000821FA">
        <w:rPr>
          <w:rFonts w:cs="Times New Roman"/>
        </w:rPr>
        <w:lastRenderedPageBreak/>
        <w:t xml:space="preserve">issued to Mr. </w:t>
      </w:r>
      <w:proofErr w:type="spellStart"/>
      <w:r w:rsidRPr="000821FA">
        <w:rPr>
          <w:rFonts w:cs="Times New Roman"/>
        </w:rPr>
        <w:t>Vavilov</w:t>
      </w:r>
      <w:proofErr w:type="spellEnd"/>
      <w:r w:rsidRPr="000821FA">
        <w:rPr>
          <w:rFonts w:cs="Times New Roman"/>
        </w:rPr>
        <w:t xml:space="preserve"> in January 2013 was issued in error, as his parents had been “working as employees or representatives of a foreign government (the Russian Federation) during the time they resided in Canada, including at the time of Mr. </w:t>
      </w:r>
      <w:proofErr w:type="spellStart"/>
      <w:r w:rsidRPr="000821FA">
        <w:rPr>
          <w:rFonts w:cs="Times New Roman"/>
        </w:rPr>
        <w:t>Vavilov’s</w:t>
      </w:r>
      <w:proofErr w:type="spellEnd"/>
      <w:r w:rsidRPr="000821FA">
        <w:rPr>
          <w:rFonts w:cs="Times New Roman"/>
        </w:rPr>
        <w:t xml:space="preserve"> birth”, and that “[a]s such, Mr. </w:t>
      </w:r>
      <w:proofErr w:type="spellStart"/>
      <w:r w:rsidRPr="000821FA">
        <w:rPr>
          <w:rFonts w:cs="Times New Roman"/>
        </w:rPr>
        <w:t>Vavilov</w:t>
      </w:r>
      <w:proofErr w:type="spellEnd"/>
      <w:r w:rsidRPr="000821FA">
        <w:rPr>
          <w:rFonts w:cs="Times New Roman"/>
        </w:rPr>
        <w:t xml:space="preserve"> was not entitled to receive a citizenship certificate pursuant to paragraph 3(2)(a) of the </w:t>
      </w:r>
      <w:r w:rsidRPr="000821FA">
        <w:rPr>
          <w:rFonts w:cs="Times New Roman"/>
          <w:i/>
        </w:rPr>
        <w:t>Citizenship Act</w:t>
      </w:r>
      <w:r w:rsidRPr="000821FA">
        <w:rPr>
          <w:rFonts w:cs="Times New Roman"/>
        </w:rPr>
        <w:t xml:space="preserve">”: A.R., </w:t>
      </w:r>
      <w:r w:rsidR="00FC4820">
        <w:rPr>
          <w:rFonts w:cs="Times New Roman"/>
        </w:rPr>
        <w:t>v</w:t>
      </w:r>
      <w:r w:rsidR="00DE644E">
        <w:rPr>
          <w:rFonts w:cs="Times New Roman"/>
        </w:rPr>
        <w:t>ol. I, at p. </w:t>
      </w:r>
      <w:r w:rsidRPr="000821FA">
        <w:rPr>
          <w:rFonts w:cs="Times New Roman"/>
        </w:rPr>
        <w:t>3. The report was dated June 24, 2014.</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discussing the relevant legislation, the analyst cited s. 3(1)(a) of the </w:t>
      </w:r>
      <w:r w:rsidRPr="000821FA">
        <w:rPr>
          <w:rFonts w:cs="Times New Roman"/>
          <w:i/>
        </w:rPr>
        <w:t>Citizenship Act</w:t>
      </w:r>
      <w:r w:rsidRPr="000821FA">
        <w:rPr>
          <w:rFonts w:cs="Times New Roman"/>
        </w:rPr>
        <w:t xml:space="preserve">, which establishes the general rule that persons born in Canada after February 14, 1977 are Canadian citizens. The analyst also referred to an exception to that general rule set out in s. 3(2) of the </w:t>
      </w:r>
      <w:r w:rsidRPr="000821FA">
        <w:rPr>
          <w:rFonts w:cs="Times New Roman"/>
          <w:i/>
        </w:rPr>
        <w:t>Citizenship</w:t>
      </w:r>
      <w:r w:rsidRPr="000821FA">
        <w:rPr>
          <w:rFonts w:cs="Times New Roman"/>
        </w:rPr>
        <w:t xml:space="preserve"> </w:t>
      </w:r>
      <w:r w:rsidRPr="000821FA">
        <w:rPr>
          <w:rFonts w:cs="Times New Roman"/>
          <w:i/>
        </w:rPr>
        <w:t>Act</w:t>
      </w:r>
      <w:r w:rsidRPr="000821FA">
        <w:rPr>
          <w:rFonts w:cs="Times New Roman"/>
        </w:rPr>
        <w:t>, which reads as follows:</w:t>
      </w:r>
    </w:p>
    <w:p w:rsidR="008B0231" w:rsidRPr="000821FA" w:rsidRDefault="008B0231" w:rsidP="008B0231">
      <w:pPr>
        <w:pStyle w:val="subsection"/>
        <w:ind w:left="1440" w:hanging="360"/>
        <w:jc w:val="both"/>
      </w:pPr>
      <w:r w:rsidRPr="00354CDE">
        <w:rPr>
          <w:rStyle w:val="lawlabel"/>
          <w:b/>
        </w:rPr>
        <w:t>(2)</w:t>
      </w:r>
      <w:r w:rsidRPr="000821FA">
        <w:t> Paragraph (1</w:t>
      </w:r>
      <w:proofErr w:type="gramStart"/>
      <w:r w:rsidRPr="000821FA">
        <w:t>)(</w:t>
      </w:r>
      <w:proofErr w:type="gramEnd"/>
      <w:r w:rsidRPr="000821FA">
        <w:t>a) does not apply to a person if, at the time of his birth, neither of his parents was a citizen or lawfully admitted to Canada for permanent residence and either of his parents was</w:t>
      </w:r>
    </w:p>
    <w:p w:rsidR="008B0231" w:rsidRPr="000821FA" w:rsidRDefault="008B0231" w:rsidP="008B0231">
      <w:pPr>
        <w:pStyle w:val="paragraph"/>
        <w:ind w:left="1710" w:hanging="270"/>
      </w:pPr>
      <w:r w:rsidRPr="00354CDE">
        <w:rPr>
          <w:rStyle w:val="lawlabel"/>
          <w:b/>
        </w:rPr>
        <w:t>(a)</w:t>
      </w:r>
      <w:r w:rsidRPr="000821FA">
        <w:t> </w:t>
      </w:r>
      <w:proofErr w:type="gramStart"/>
      <w:r w:rsidRPr="000821FA">
        <w:t>a</w:t>
      </w:r>
      <w:proofErr w:type="gramEnd"/>
      <w:r w:rsidRPr="000821FA">
        <w:t xml:space="preserve"> diplomatic or consular officer or other representative or employee</w:t>
      </w:r>
      <w:r w:rsidR="00484BDB">
        <w:t xml:space="preserve"> </w:t>
      </w:r>
      <w:r w:rsidRPr="000821FA">
        <w:t>in Canada of a foreign government;</w:t>
      </w:r>
    </w:p>
    <w:p w:rsidR="008B0231" w:rsidRPr="000821FA" w:rsidRDefault="008B0231" w:rsidP="008B0231">
      <w:pPr>
        <w:pStyle w:val="paragraph"/>
        <w:ind w:left="1800" w:hanging="360"/>
      </w:pPr>
      <w:r w:rsidRPr="00354CDE">
        <w:rPr>
          <w:rStyle w:val="lawlabel"/>
          <w:b/>
        </w:rPr>
        <w:t>(b)</w:t>
      </w:r>
      <w:r w:rsidRPr="000821FA">
        <w:t> </w:t>
      </w:r>
      <w:proofErr w:type="gramStart"/>
      <w:r w:rsidRPr="000821FA">
        <w:t>an</w:t>
      </w:r>
      <w:proofErr w:type="gramEnd"/>
      <w:r w:rsidRPr="000821FA">
        <w:t xml:space="preserve"> employee in the service of a person referred to in paragraph (a);</w:t>
      </w:r>
      <w:r w:rsidR="00484BDB">
        <w:t xml:space="preserve"> </w:t>
      </w:r>
      <w:r w:rsidRPr="000821FA">
        <w:t>or</w:t>
      </w:r>
    </w:p>
    <w:p w:rsidR="008B0231" w:rsidRPr="000821FA" w:rsidRDefault="008B0231" w:rsidP="000974E5">
      <w:pPr>
        <w:pStyle w:val="ParaNoNdepar-AltN"/>
        <w:numPr>
          <w:ilvl w:val="0"/>
          <w:numId w:val="0"/>
        </w:numPr>
        <w:spacing w:before="0" w:after="720" w:line="240" w:lineRule="auto"/>
        <w:ind w:left="1714" w:hanging="274"/>
        <w:rPr>
          <w:rFonts w:cs="Times New Roman"/>
        </w:rPr>
      </w:pPr>
      <w:r w:rsidRPr="00354CDE">
        <w:rPr>
          <w:rStyle w:val="lawlabel"/>
          <w:rFonts w:cs="Times New Roman"/>
          <w:b/>
        </w:rPr>
        <w:t>(c)</w:t>
      </w:r>
      <w:r w:rsidRPr="000821FA">
        <w:rPr>
          <w:rFonts w:cs="Times New Roman"/>
        </w:rPr>
        <w:t> an officer or employee in Canada of a specialized agency of the United Nations or an officer or employee in Canada of any other international organization to whom there are granted, by or under any Act of Parliament, diplomatic privileges and immunities certified by the Minister of Foreign Affairs to be equivalent to those granted to a person or persons referred to in paragraph (a).</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analyst noted that s. 3(2</w:t>
      </w:r>
      <w:proofErr w:type="gramStart"/>
      <w:r w:rsidRPr="000821FA">
        <w:rPr>
          <w:rFonts w:cs="Times New Roman"/>
        </w:rPr>
        <w:t>)(</w:t>
      </w:r>
      <w:proofErr w:type="gramEnd"/>
      <w:r w:rsidRPr="000821FA">
        <w:rPr>
          <w:rFonts w:cs="Times New Roman"/>
        </w:rPr>
        <w:t xml:space="preserve">a) refers both to diplomatic and consular officers and to </w:t>
      </w:r>
      <w:r w:rsidRPr="000821FA">
        <w:rPr>
          <w:rFonts w:cs="Times New Roman"/>
          <w:i/>
        </w:rPr>
        <w:t>other</w:t>
      </w:r>
      <w:r w:rsidRPr="000821FA">
        <w:rPr>
          <w:rFonts w:cs="Times New Roman"/>
        </w:rPr>
        <w:t xml:space="preserve"> representatives or employees of a foreign government. She</w:t>
      </w:r>
      <w:r w:rsidRPr="000821FA">
        <w:rPr>
          <w:rFonts w:cs="Times New Roman"/>
          <w:lang w:bidi="en-US"/>
        </w:rPr>
        <w:t xml:space="preserve"> </w:t>
      </w:r>
      <w:r w:rsidRPr="000821FA">
        <w:rPr>
          <w:rFonts w:cs="Times New Roman"/>
          <w:lang w:bidi="en-US"/>
        </w:rPr>
        <w:lastRenderedPageBreak/>
        <w:t xml:space="preserve">acknowledged that the term “diplomatic or consular officer” is defined in s. 35(1) of the </w:t>
      </w:r>
      <w:r w:rsidRPr="000821FA">
        <w:rPr>
          <w:rFonts w:cs="Times New Roman"/>
          <w:i/>
          <w:lang w:bidi="en-US"/>
        </w:rPr>
        <w:t>Interpretation Act</w:t>
      </w:r>
      <w:r w:rsidRPr="000821FA">
        <w:rPr>
          <w:rFonts w:cs="Times New Roman"/>
          <w:lang w:bidi="en-US"/>
        </w:rPr>
        <w:t xml:space="preserve"> and that the definition lists a large number of posts within a foreign mission or consulate. However, the analyst observed that no statutory definition exists for the phrase “other representative or employee in Canada of a foreign government”</w:t>
      </w:r>
      <w:r w:rsidR="00174A87">
        <w:rPr>
          <w:rFonts w:cs="Times New Roman"/>
          <w:lang w:bidi="en-US"/>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lang w:bidi="en-US"/>
        </w:rPr>
        <w:t xml:space="preserve">The </w:t>
      </w:r>
      <w:r w:rsidRPr="000821FA">
        <w:rPr>
          <w:rFonts w:cs="Times New Roman"/>
        </w:rPr>
        <w:t>analyst</w:t>
      </w:r>
      <w:r w:rsidRPr="000821FA">
        <w:rPr>
          <w:rFonts w:cs="Times New Roman"/>
          <w:lang w:bidi="en-US"/>
        </w:rPr>
        <w:t xml:space="preserve"> compared the wording of s. 3(2</w:t>
      </w:r>
      <w:proofErr w:type="gramStart"/>
      <w:r w:rsidRPr="000821FA">
        <w:rPr>
          <w:rFonts w:cs="Times New Roman"/>
          <w:lang w:bidi="en-US"/>
        </w:rPr>
        <w:t>)(</w:t>
      </w:r>
      <w:proofErr w:type="gramEnd"/>
      <w:r w:rsidRPr="000821FA">
        <w:rPr>
          <w:rFonts w:cs="Times New Roman"/>
          <w:lang w:bidi="en-US"/>
        </w:rPr>
        <w:t>a) with that of a similar provision in predecessor</w:t>
      </w:r>
      <w:r w:rsidRPr="000821FA">
        <w:rPr>
          <w:rFonts w:cs="Times New Roman"/>
          <w:i/>
          <w:lang w:val="en-US" w:bidi="en-US"/>
        </w:rPr>
        <w:t xml:space="preserve"> </w:t>
      </w:r>
      <w:r w:rsidRPr="000821FA">
        <w:rPr>
          <w:rFonts w:cs="Times New Roman"/>
          <w:lang w:val="en-US" w:bidi="en-US"/>
        </w:rPr>
        <w:t xml:space="preserve">legislation. That provision, s. 5(3)(b) of the </w:t>
      </w:r>
      <w:r w:rsidRPr="000821FA">
        <w:rPr>
          <w:rFonts w:cs="Times New Roman"/>
          <w:i/>
          <w:lang w:val="en-US" w:bidi="en-US"/>
        </w:rPr>
        <w:t>Canadian Citizenship Act</w:t>
      </w:r>
      <w:r w:rsidRPr="00D07699">
        <w:rPr>
          <w:rFonts w:cs="Times New Roman"/>
          <w:lang w:val="en-US" w:bidi="en-US"/>
        </w:rPr>
        <w:t>,</w:t>
      </w:r>
      <w:r w:rsidRPr="000821FA">
        <w:rPr>
          <w:rFonts w:cs="Times New Roman"/>
          <w:lang w:val="en-US" w:bidi="en-US"/>
        </w:rPr>
        <w:t xml:space="preserve"> R.S.C. 1970, c. C-19, excluded from citizenship children whose “responsible parent” at the time of birth was:</w:t>
      </w:r>
    </w:p>
    <w:p w:rsidR="008B0231" w:rsidRPr="000821FA" w:rsidRDefault="008B0231" w:rsidP="00484BDB">
      <w:pPr>
        <w:pStyle w:val="Title5LevelTitre5Niveau"/>
        <w:numPr>
          <w:ilvl w:val="4"/>
          <w:numId w:val="4"/>
        </w:numPr>
        <w:tabs>
          <w:tab w:val="clear" w:pos="1728"/>
          <w:tab w:val="num" w:pos="1530"/>
        </w:tabs>
        <w:spacing w:before="0" w:after="0"/>
        <w:ind w:left="1530" w:hanging="378"/>
        <w:jc w:val="both"/>
        <w:rPr>
          <w:rFonts w:cs="Times New Roman"/>
          <w:u w:val="none"/>
        </w:rPr>
      </w:pPr>
      <w:r w:rsidRPr="000821FA">
        <w:rPr>
          <w:rFonts w:cs="Times New Roman"/>
          <w:u w:val="none"/>
        </w:rPr>
        <w:t>a foreign diplomatic or consular officer or a representative of a foreign</w:t>
      </w:r>
    </w:p>
    <w:p w:rsidR="008B0231" w:rsidRPr="000821FA" w:rsidRDefault="008B0231" w:rsidP="007464A4">
      <w:pPr>
        <w:pStyle w:val="Title5LevelTitre5Niveau"/>
        <w:numPr>
          <w:ilvl w:val="0"/>
          <w:numId w:val="0"/>
        </w:numPr>
        <w:spacing w:before="0" w:after="240"/>
        <w:ind w:left="1526"/>
        <w:jc w:val="both"/>
        <w:rPr>
          <w:rFonts w:cs="Times New Roman"/>
          <w:u w:val="none"/>
        </w:rPr>
      </w:pPr>
      <w:proofErr w:type="gramStart"/>
      <w:r w:rsidRPr="000821FA">
        <w:rPr>
          <w:rFonts w:cs="Times New Roman"/>
          <w:u w:val="none"/>
        </w:rPr>
        <w:t>government</w:t>
      </w:r>
      <w:proofErr w:type="gramEnd"/>
      <w:r w:rsidRPr="000821FA">
        <w:rPr>
          <w:rFonts w:cs="Times New Roman"/>
          <w:u w:val="none"/>
        </w:rPr>
        <w:t xml:space="preserve"> accredited to Her Majesty,</w:t>
      </w:r>
    </w:p>
    <w:p w:rsidR="008B0231" w:rsidRPr="000821FA" w:rsidRDefault="008B0231" w:rsidP="007464A4">
      <w:pPr>
        <w:pStyle w:val="Title5LevelTitre5Niveau"/>
        <w:numPr>
          <w:ilvl w:val="4"/>
          <w:numId w:val="4"/>
        </w:numPr>
        <w:tabs>
          <w:tab w:val="clear" w:pos="1728"/>
          <w:tab w:val="num" w:pos="1440"/>
        </w:tabs>
        <w:spacing w:before="0" w:after="240"/>
        <w:ind w:left="1526" w:hanging="374"/>
        <w:jc w:val="both"/>
        <w:rPr>
          <w:rFonts w:cs="Times New Roman"/>
          <w:u w:val="none"/>
        </w:rPr>
      </w:pPr>
      <w:r w:rsidRPr="000821FA">
        <w:rPr>
          <w:rFonts w:cs="Times New Roman"/>
          <w:u w:val="none"/>
        </w:rPr>
        <w:t>an employee of a foreign government attached to or in the service of a foreign diplomatic mission or consulate in Canada, or</w:t>
      </w:r>
    </w:p>
    <w:p w:rsidR="008B0231" w:rsidRPr="000821FA" w:rsidRDefault="008B0231" w:rsidP="007464A4">
      <w:pPr>
        <w:pStyle w:val="Title5LevelTitre5Niveau"/>
        <w:numPr>
          <w:ilvl w:val="4"/>
          <w:numId w:val="4"/>
        </w:numPr>
        <w:tabs>
          <w:tab w:val="clear" w:pos="1728"/>
          <w:tab w:val="num" w:pos="1440"/>
        </w:tabs>
        <w:spacing w:before="0"/>
        <w:ind w:left="1627" w:hanging="475"/>
        <w:jc w:val="both"/>
        <w:rPr>
          <w:rFonts w:cs="Times New Roman"/>
          <w:u w:val="none"/>
        </w:rPr>
      </w:pPr>
      <w:proofErr w:type="gramStart"/>
      <w:r w:rsidRPr="000821FA">
        <w:rPr>
          <w:rFonts w:cs="Times New Roman"/>
          <w:u w:val="none"/>
        </w:rPr>
        <w:t>an</w:t>
      </w:r>
      <w:proofErr w:type="gramEnd"/>
      <w:r w:rsidRPr="000821FA">
        <w:rPr>
          <w:rFonts w:cs="Times New Roman"/>
          <w:u w:val="none"/>
        </w:rPr>
        <w:t xml:space="preserve"> employee in the service of a person referred to in subparagraph (</w:t>
      </w:r>
      <w:proofErr w:type="spellStart"/>
      <w:r w:rsidRPr="000821FA">
        <w:rPr>
          <w:rFonts w:cs="Times New Roman"/>
          <w:u w:val="none"/>
        </w:rPr>
        <w:t>i</w:t>
      </w:r>
      <w:proofErr w:type="spellEnd"/>
      <w:r w:rsidRPr="000821FA">
        <w:rPr>
          <w:rFonts w:cs="Times New Roman"/>
          <w:u w:val="none"/>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lang w:bidi="en-US"/>
        </w:rPr>
        <w:t xml:space="preserve">The </w:t>
      </w:r>
      <w:r w:rsidRPr="000821FA">
        <w:rPr>
          <w:rFonts w:cs="Times New Roman"/>
        </w:rPr>
        <w:t>analyst</w:t>
      </w:r>
      <w:r w:rsidRPr="000821FA">
        <w:rPr>
          <w:rFonts w:cs="Times New Roman"/>
          <w:lang w:bidi="en-US"/>
        </w:rPr>
        <w:t xml:space="preserve"> reasoned that because </w:t>
      </w:r>
      <w:r w:rsidRPr="000821FA">
        <w:rPr>
          <w:rFonts w:cs="Times New Roman"/>
        </w:rPr>
        <w:t>s. 3(2</w:t>
      </w:r>
      <w:proofErr w:type="gramStart"/>
      <w:r w:rsidRPr="000821FA">
        <w:rPr>
          <w:rFonts w:cs="Times New Roman"/>
        </w:rPr>
        <w:t>)(</w:t>
      </w:r>
      <w:proofErr w:type="gramEnd"/>
      <w:r w:rsidRPr="000821FA">
        <w:rPr>
          <w:rFonts w:cs="Times New Roman"/>
        </w:rPr>
        <w:t xml:space="preserve">a) “makes reference to ‘representatives or employees </w:t>
      </w:r>
      <w:r w:rsidR="00A63CEA">
        <w:rPr>
          <w:rFonts w:cs="Times New Roman"/>
        </w:rPr>
        <w:t>of a foreign government</w:t>
      </w:r>
      <w:r w:rsidRPr="000821FA">
        <w:rPr>
          <w:rFonts w:cs="Times New Roman"/>
        </w:rPr>
        <w:t>’</w:t>
      </w:r>
      <w:r w:rsidR="00A63CEA">
        <w:rPr>
          <w:rFonts w:cs="Times New Roman"/>
        </w:rPr>
        <w:t>,</w:t>
      </w:r>
      <w:r w:rsidRPr="000821FA">
        <w:rPr>
          <w:rFonts w:cs="Times New Roman"/>
        </w:rPr>
        <w:t xml:space="preserve"> but does not link the representatives or employees to ‘attached to or in the service of a foreign diplomatic mission or consulate in Canada’ (as did the earlier version of the provision), it is reasonable to maintain that this provision intends to encompass individuals not included in the definition of ‘diplomatic and consular s</w:t>
      </w:r>
      <w:r w:rsidR="00AB6605">
        <w:rPr>
          <w:rFonts w:cs="Times New Roman"/>
        </w:rPr>
        <w:t>taff’”: A.R., vol. I, at p. 7.</w:t>
      </w:r>
    </w:p>
    <w:p w:rsidR="008B0231" w:rsidRPr="000821FA" w:rsidRDefault="008B0231" w:rsidP="005C2571">
      <w:pPr>
        <w:pStyle w:val="ParaNoNdepar-AltN"/>
        <w:tabs>
          <w:tab w:val="clear" w:pos="1166"/>
          <w:tab w:val="clear" w:pos="1422"/>
          <w:tab w:val="num" w:pos="1152"/>
        </w:tabs>
        <w:ind w:left="0"/>
        <w:rPr>
          <w:rFonts w:cs="Times New Roman"/>
          <w:iCs/>
          <w:lang w:val="en-US"/>
        </w:rPr>
      </w:pPr>
      <w:r w:rsidRPr="000821FA">
        <w:rPr>
          <w:rFonts w:cs="Times New Roman"/>
          <w:lang w:bidi="en-US"/>
        </w:rPr>
        <w:lastRenderedPageBreak/>
        <w:t xml:space="preserve">Although the analyst acknowledged that “Ms. </w:t>
      </w:r>
      <w:proofErr w:type="spellStart"/>
      <w:r w:rsidRPr="000821FA">
        <w:rPr>
          <w:rFonts w:cs="Times New Roman"/>
          <w:lang w:bidi="en-US"/>
        </w:rPr>
        <w:t>Vavilova</w:t>
      </w:r>
      <w:proofErr w:type="spellEnd"/>
      <w:r w:rsidRPr="000821FA">
        <w:rPr>
          <w:rFonts w:cs="Times New Roman"/>
          <w:lang w:bidi="en-US"/>
        </w:rPr>
        <w:t xml:space="preserve"> and Mr. </w:t>
      </w:r>
      <w:proofErr w:type="spellStart"/>
      <w:r w:rsidRPr="000821FA">
        <w:rPr>
          <w:rFonts w:cs="Times New Roman"/>
          <w:lang w:bidi="en-US"/>
        </w:rPr>
        <w:t>Bezrukov</w:t>
      </w:r>
      <w:proofErr w:type="spellEnd"/>
      <w:r w:rsidRPr="000821FA">
        <w:rPr>
          <w:rFonts w:cs="Times New Roman"/>
          <w:lang w:bidi="en-US"/>
        </w:rPr>
        <w:t xml:space="preserve">, were employed in Canada by a foreign government without the benefits or protections (i.e.: immunity) that accompany diplomatic, consular, or official status positions”, she concluded that they were nonetheless “unofficial employees or representatives” of Russia at the time of Mr. </w:t>
      </w:r>
      <w:proofErr w:type="spellStart"/>
      <w:r w:rsidRPr="000821FA">
        <w:rPr>
          <w:rFonts w:cs="Times New Roman"/>
          <w:lang w:bidi="en-US"/>
        </w:rPr>
        <w:t>Vavilov’s</w:t>
      </w:r>
      <w:proofErr w:type="spellEnd"/>
      <w:r w:rsidRPr="000821FA">
        <w:rPr>
          <w:rFonts w:cs="Times New Roman"/>
          <w:lang w:bidi="en-US"/>
        </w:rPr>
        <w:t xml:space="preserve"> birth: A.R., vol. I, at p. 13. The exception in s. 3(2</w:t>
      </w:r>
      <w:proofErr w:type="gramStart"/>
      <w:r w:rsidRPr="000821FA">
        <w:rPr>
          <w:rFonts w:cs="Times New Roman"/>
          <w:lang w:bidi="en-US"/>
        </w:rPr>
        <w:t>)(</w:t>
      </w:r>
      <w:proofErr w:type="gramEnd"/>
      <w:r w:rsidRPr="000821FA">
        <w:rPr>
          <w:rFonts w:cs="Times New Roman"/>
          <w:lang w:bidi="en-US"/>
        </w:rPr>
        <w:t xml:space="preserve">a) of the </w:t>
      </w:r>
      <w:r w:rsidRPr="000821FA">
        <w:rPr>
          <w:rFonts w:cs="Times New Roman"/>
          <w:i/>
          <w:lang w:bidi="en-US"/>
        </w:rPr>
        <w:t>Citizenship Act</w:t>
      </w:r>
      <w:r w:rsidRPr="000821FA">
        <w:rPr>
          <w:rFonts w:cs="Times New Roman"/>
          <w:lang w:bidi="en-US"/>
        </w:rPr>
        <w:t>, as she interpreted it, therefore</w:t>
      </w:r>
      <w:r w:rsidRPr="000821FA">
        <w:rPr>
          <w:rFonts w:cs="Times New Roman"/>
          <w:i/>
          <w:lang w:bidi="en-US"/>
        </w:rPr>
        <w:t xml:space="preserve"> </w:t>
      </w:r>
      <w:r w:rsidRPr="000821FA">
        <w:rPr>
          <w:rFonts w:cs="Times New Roman"/>
          <w:lang w:bidi="en-US"/>
        </w:rPr>
        <w:t xml:space="preserve">applied to Mr. </w:t>
      </w:r>
      <w:proofErr w:type="spellStart"/>
      <w:r w:rsidRPr="000821FA">
        <w:rPr>
          <w:rFonts w:cs="Times New Roman"/>
          <w:lang w:bidi="en-US"/>
        </w:rPr>
        <w:t>Vavilov</w:t>
      </w:r>
      <w:proofErr w:type="spellEnd"/>
      <w:r w:rsidRPr="000821FA">
        <w:rPr>
          <w:rFonts w:cs="Times New Roman"/>
          <w:lang w:bidi="en-US"/>
        </w:rPr>
        <w:t>.</w:t>
      </w:r>
      <w:r w:rsidRPr="000821FA">
        <w:rPr>
          <w:rFonts w:cs="Times New Roman"/>
        </w:rPr>
        <w:t xml:space="preserve"> As a result, the analyst recommended that the Canadian Registrar of Citizenship “recall” Mr. </w:t>
      </w:r>
      <w:proofErr w:type="spellStart"/>
      <w:r w:rsidRPr="000821FA">
        <w:rPr>
          <w:rFonts w:cs="Times New Roman"/>
        </w:rPr>
        <w:t>Vavilov’s</w:t>
      </w:r>
      <w:proofErr w:type="spellEnd"/>
      <w:r w:rsidRPr="000821FA">
        <w:rPr>
          <w:rFonts w:cs="Times New Roman"/>
        </w:rPr>
        <w:t xml:space="preserve"> certificate on the basis that he was not, and had never been, entitled to citizenship</w:t>
      </w:r>
      <w:r w:rsidR="00A86E6C">
        <w:rPr>
          <w:rFonts w:cs="Times New Roman"/>
        </w:rPr>
        <w:t xml:space="preserve">: </w:t>
      </w:r>
      <w:proofErr w:type="gramStart"/>
      <w:r w:rsidR="00A86E6C">
        <w:rPr>
          <w:rFonts w:cs="Times New Roman"/>
          <w:i/>
        </w:rPr>
        <w:t>ibid.</w:t>
      </w:r>
      <w:r w:rsidR="00A86E6C">
        <w:rPr>
          <w:rFonts w:cs="Times New Roman"/>
        </w:rPr>
        <w:t>,</w:t>
      </w:r>
      <w:proofErr w:type="gramEnd"/>
      <w:r w:rsidR="00A86E6C">
        <w:rPr>
          <w:rFonts w:cs="Times New Roman"/>
        </w:rPr>
        <w:t xml:space="preserve"> at p. 14</w:t>
      </w:r>
      <w:r w:rsidRPr="000821FA">
        <w:rPr>
          <w:rFonts w:cs="Times New Roman"/>
        </w:rPr>
        <w:t>.</w:t>
      </w:r>
    </w:p>
    <w:p w:rsidR="008B0231" w:rsidRPr="000821FA" w:rsidRDefault="008B0231" w:rsidP="008B0231">
      <w:pPr>
        <w:pStyle w:val="Title3LevelTitre3Niveau"/>
        <w:numPr>
          <w:ilvl w:val="2"/>
          <w:numId w:val="4"/>
        </w:numPr>
        <w:rPr>
          <w:rFonts w:cs="Times New Roman"/>
        </w:rPr>
      </w:pPr>
      <w:r w:rsidRPr="000821FA">
        <w:rPr>
          <w:rFonts w:cs="Times New Roman"/>
        </w:rPr>
        <w:t>Federal Court (Bell J.), 2015 FC 960, [2016] 2 F.C.R. 39</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Mr. </w:t>
      </w:r>
      <w:proofErr w:type="spellStart"/>
      <w:r w:rsidRPr="000821FA">
        <w:rPr>
          <w:rFonts w:cs="Times New Roman"/>
        </w:rPr>
        <w:t>Vavilov</w:t>
      </w:r>
      <w:proofErr w:type="spellEnd"/>
      <w:r w:rsidRPr="000821FA">
        <w:rPr>
          <w:rFonts w:cs="Times New Roman"/>
        </w:rPr>
        <w:t xml:space="preserve"> sought and was granted leave to bring an application for judicial review of the Registrar’s decision in the Federal Court </w:t>
      </w:r>
      <w:r w:rsidRPr="000821FA">
        <w:rPr>
          <w:rFonts w:cs="Times New Roman"/>
          <w:lang w:bidi="en-US"/>
        </w:rPr>
        <w:t xml:space="preserve">pursuant to s. 22.1 of the </w:t>
      </w:r>
      <w:r w:rsidRPr="000821FA">
        <w:rPr>
          <w:rFonts w:cs="Times New Roman"/>
          <w:i/>
          <w:lang w:bidi="en-US"/>
        </w:rPr>
        <w:t>Citizenship Act</w:t>
      </w:r>
      <w:r w:rsidRPr="000821FA">
        <w:rPr>
          <w:rFonts w:cs="Times New Roman"/>
        </w:rPr>
        <w:t>. His application was dismissed.</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Federal Court rejected Mr. </w:t>
      </w:r>
      <w:proofErr w:type="spellStart"/>
      <w:r w:rsidRPr="000821FA">
        <w:rPr>
          <w:rFonts w:cs="Times New Roman"/>
        </w:rPr>
        <w:t>Vavilov’s</w:t>
      </w:r>
      <w:proofErr w:type="spellEnd"/>
      <w:r w:rsidRPr="000821FA">
        <w:rPr>
          <w:rFonts w:cs="Times New Roman"/>
        </w:rPr>
        <w:t xml:space="preserve"> argument that the Registrar had breached her duty of procedural fairness by failing to disclose the documentation that had prompted the procedural fairness letter. In the Federal Court’s view, the Registrar had provided Mr. </w:t>
      </w:r>
      <w:proofErr w:type="spellStart"/>
      <w:r w:rsidRPr="000821FA">
        <w:rPr>
          <w:rFonts w:cs="Times New Roman"/>
        </w:rPr>
        <w:t>Vavilov</w:t>
      </w:r>
      <w:proofErr w:type="spellEnd"/>
      <w:r w:rsidRPr="000821FA">
        <w:rPr>
          <w:rFonts w:cs="Times New Roman"/>
        </w:rPr>
        <w:t xml:space="preserve"> sufficient information to allow him to meaningfully respond, and had thereby satisfied the requirements of procedural fairness in the circumstances.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Federal Court also rejected Mr. </w:t>
      </w:r>
      <w:proofErr w:type="spellStart"/>
      <w:r w:rsidRPr="000821FA">
        <w:rPr>
          <w:rFonts w:cs="Times New Roman"/>
        </w:rPr>
        <w:t>Vavilov’s</w:t>
      </w:r>
      <w:proofErr w:type="spellEnd"/>
      <w:r w:rsidRPr="000821FA">
        <w:rPr>
          <w:rFonts w:cs="Times New Roman"/>
        </w:rPr>
        <w:t xml:space="preserve"> challenge to the Registrar’s interpretation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Applying the correctness standard, </w:t>
      </w:r>
      <w:r w:rsidRPr="000821FA">
        <w:rPr>
          <w:rFonts w:cs="Times New Roman"/>
        </w:rPr>
        <w:lastRenderedPageBreak/>
        <w:t>the Federal Court agreed with the Registrar that undercover foreign operatives living in Canada fall within the meaning of the phrase “diplomatic or consular officer or other representative or employee in Canada of a foreign government” in s. 3(2</w:t>
      </w:r>
      <w:proofErr w:type="gramStart"/>
      <w:r w:rsidRPr="000821FA">
        <w:rPr>
          <w:rFonts w:cs="Times New Roman"/>
        </w:rPr>
        <w:t>)(</w:t>
      </w:r>
      <w:proofErr w:type="gramEnd"/>
      <w:r w:rsidRPr="000821FA">
        <w:rPr>
          <w:rFonts w:cs="Times New Roman"/>
        </w:rPr>
        <w:t>a). In the Federal Court’s view, to interpret s. 3(2</w:t>
      </w:r>
      <w:proofErr w:type="gramStart"/>
      <w:r w:rsidRPr="000821FA">
        <w:rPr>
          <w:rFonts w:cs="Times New Roman"/>
        </w:rPr>
        <w:t>)(</w:t>
      </w:r>
      <w:proofErr w:type="gramEnd"/>
      <w:r w:rsidRPr="000821FA">
        <w:rPr>
          <w:rFonts w:cs="Times New Roman"/>
        </w:rPr>
        <w:t>a) in any other way would render the phrase “other representative or employee in Canada of a foreign government” meaningless and would lead to the “absurd result” that “children of a foreign diplomat, registered at an embassy, who conducts spy operations, cannot claim Canadian citizenship by birth in Canada but children of those who enter unlawfully for the very same purpose, become Canadian citizens by birth”: para. 25.</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Finally, the Federal Court was satisfied, given the evidence, that the Registrar’s conclusion that Mr. </w:t>
      </w:r>
      <w:proofErr w:type="spellStart"/>
      <w:r w:rsidRPr="000821FA">
        <w:rPr>
          <w:rFonts w:cs="Times New Roman"/>
        </w:rPr>
        <w:t>Vavilov’s</w:t>
      </w:r>
      <w:proofErr w:type="spellEnd"/>
      <w:r w:rsidRPr="000821FA">
        <w:rPr>
          <w:rFonts w:cs="Times New Roman"/>
        </w:rPr>
        <w:t xml:space="preserve"> parents had at the time of his birth been in Canada as part of an undercover operation for the Russian government was reasonable.</w:t>
      </w:r>
    </w:p>
    <w:p w:rsidR="008B0231" w:rsidRPr="000821FA" w:rsidRDefault="008B0231" w:rsidP="008B0231">
      <w:pPr>
        <w:pStyle w:val="Title3LevelTitre3Niveau"/>
        <w:numPr>
          <w:ilvl w:val="2"/>
          <w:numId w:val="4"/>
        </w:numPr>
        <w:jc w:val="both"/>
        <w:rPr>
          <w:rFonts w:cs="Times New Roman"/>
        </w:rPr>
      </w:pPr>
      <w:r w:rsidRPr="000821FA">
        <w:rPr>
          <w:rFonts w:cs="Times New Roman"/>
        </w:rPr>
        <w:t>Federal Court of Appeal</w:t>
      </w:r>
      <w:bookmarkStart w:id="1" w:name="_Toc531266892"/>
      <w:r w:rsidRPr="000821FA">
        <w:rPr>
          <w:rFonts w:cs="Times New Roman"/>
        </w:rPr>
        <w:t xml:space="preserve"> (</w:t>
      </w:r>
      <w:proofErr w:type="spellStart"/>
      <w:r w:rsidRPr="000821FA">
        <w:rPr>
          <w:rFonts w:cs="Times New Roman"/>
        </w:rPr>
        <w:t>Stratas</w:t>
      </w:r>
      <w:proofErr w:type="spellEnd"/>
      <w:r w:rsidRPr="000821FA">
        <w:rPr>
          <w:rFonts w:cs="Times New Roman"/>
        </w:rPr>
        <w:t xml:space="preserve"> J.A. with Webb J.A. Concurring; Gleason J.A. Dissenting)</w:t>
      </w:r>
      <w:bookmarkEnd w:id="1"/>
      <w:r w:rsidRPr="000821FA">
        <w:rPr>
          <w:rFonts w:cs="Times New Roman"/>
        </w:rPr>
        <w:t>, 2017 FCA 132, [</w:t>
      </w:r>
      <w:r w:rsidRPr="000821FA">
        <w:rPr>
          <w:rStyle w:val="nowrap"/>
          <w:rFonts w:cs="Times New Roman"/>
          <w:lang w:val="en"/>
        </w:rPr>
        <w:t>2018] 3 F.C.R. 75</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 majority of the Federal Court of Appeal allowed Mr. </w:t>
      </w:r>
      <w:proofErr w:type="spellStart"/>
      <w:r w:rsidRPr="000821FA">
        <w:rPr>
          <w:rFonts w:cs="Times New Roman"/>
        </w:rPr>
        <w:t>Vavilov’s</w:t>
      </w:r>
      <w:proofErr w:type="spellEnd"/>
      <w:r w:rsidRPr="000821FA">
        <w:rPr>
          <w:rFonts w:cs="Times New Roman"/>
        </w:rPr>
        <w:t xml:space="preserve"> appeal from the Federal Court’s judgment and quashed the Registrar’s decision.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Court of Appeal unanimously rejected Mr. </w:t>
      </w:r>
      <w:proofErr w:type="spellStart"/>
      <w:r w:rsidRPr="000821FA">
        <w:rPr>
          <w:rFonts w:cs="Times New Roman"/>
        </w:rPr>
        <w:t>Vavilov’s</w:t>
      </w:r>
      <w:proofErr w:type="spellEnd"/>
      <w:r w:rsidRPr="000821FA">
        <w:rPr>
          <w:rFonts w:cs="Times New Roman"/>
        </w:rPr>
        <w:t xml:space="preserve"> argument that he had been denied procedural fairness by the Registrar. In the Court of Appeal’s view, the Registrar had provided Mr. </w:t>
      </w:r>
      <w:proofErr w:type="spellStart"/>
      <w:r w:rsidRPr="000821FA">
        <w:rPr>
          <w:rFonts w:cs="Times New Roman"/>
        </w:rPr>
        <w:t>Vavilov</w:t>
      </w:r>
      <w:proofErr w:type="spellEnd"/>
      <w:r w:rsidRPr="000821FA">
        <w:rPr>
          <w:rFonts w:cs="Times New Roman"/>
        </w:rPr>
        <w:t xml:space="preserve"> sufficient information in the procedural fairness letter to enable him to know the case to meet. Even if Mr. </w:t>
      </w:r>
      <w:proofErr w:type="spellStart"/>
      <w:r w:rsidRPr="000821FA">
        <w:rPr>
          <w:rFonts w:cs="Times New Roman"/>
        </w:rPr>
        <w:t>Vavilov</w:t>
      </w:r>
      <w:proofErr w:type="spellEnd"/>
      <w:r w:rsidRPr="000821FA">
        <w:rPr>
          <w:rFonts w:cs="Times New Roman"/>
        </w:rPr>
        <w:t xml:space="preserve"> had been </w:t>
      </w:r>
      <w:r w:rsidRPr="000821FA">
        <w:rPr>
          <w:rFonts w:cs="Times New Roman"/>
        </w:rPr>
        <w:lastRenderedPageBreak/>
        <w:t>entitled to more information at the time of that letter, the court indicated that his procedural fairness challenge would nevertheless have failed because he had subsequently obtained that additional information through his own efforts and was able to make meaningful submissions.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Court of Appeal was also unanimously of the view that the appropriate standard of review for the Registrar’s interpretation and application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was reasonableness. It split, however, on the application of that standard to the Registrar’s decision.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majority of the Court of Appeal concluded that the analyst’s interpretation of s. 3(2</w:t>
      </w:r>
      <w:proofErr w:type="gramStart"/>
      <w:r w:rsidRPr="000821FA">
        <w:rPr>
          <w:rFonts w:cs="Times New Roman"/>
        </w:rPr>
        <w:t>)(</w:t>
      </w:r>
      <w:proofErr w:type="gramEnd"/>
      <w:r w:rsidRPr="000821FA">
        <w:rPr>
          <w:rFonts w:cs="Times New Roman"/>
        </w:rPr>
        <w:t>a), which the Registrar had adopted, was unreasonable and that the Registrar’s decision should be quashed. The analysis relied on by the Registrar on the statutory interpretation issue was</w:t>
      </w:r>
      <w:r w:rsidRPr="000821FA">
        <w:rPr>
          <w:rFonts w:cs="Times New Roman"/>
          <w:szCs w:val="24"/>
          <w:lang w:val="en"/>
        </w:rPr>
        <w:t xml:space="preserve"> </w:t>
      </w:r>
      <w:r w:rsidRPr="000821FA">
        <w:rPr>
          <w:rFonts w:cs="Times New Roman"/>
        </w:rPr>
        <w:t>confined to a consideration of the text of s. 3(2</w:t>
      </w:r>
      <w:proofErr w:type="gramStart"/>
      <w:r w:rsidRPr="000821FA">
        <w:rPr>
          <w:rFonts w:cs="Times New Roman"/>
        </w:rPr>
        <w:t>)(</w:t>
      </w:r>
      <w:proofErr w:type="gramEnd"/>
      <w:r w:rsidRPr="000821FA">
        <w:rPr>
          <w:rFonts w:cs="Times New Roman"/>
        </w:rPr>
        <w:t>a) and an abbreviated review of its legislative history, which totally disregarded its purpose or context. In the majority’s view, such a “</w:t>
      </w:r>
      <w:r w:rsidRPr="000821FA">
        <w:rPr>
          <w:rFonts w:cs="Times New Roman"/>
          <w:lang w:val="en"/>
        </w:rPr>
        <w:t xml:space="preserve">cursory and incomplete approach to statutory interpretation” in a case such as this was indefensible: para. 44. Moreover, when the provision’s purpose </w:t>
      </w:r>
      <w:r w:rsidRPr="000821FA">
        <w:rPr>
          <w:rFonts w:cs="Times New Roman"/>
        </w:rPr>
        <w:t>and its</w:t>
      </w:r>
      <w:r w:rsidRPr="000821FA">
        <w:rPr>
          <w:rFonts w:cs="Times New Roman"/>
          <w:lang w:val="en"/>
        </w:rPr>
        <w:t xml:space="preserve"> context were taken into account, the only reasonable conclusion was that the </w:t>
      </w:r>
      <w:r w:rsidRPr="000821FA">
        <w:rPr>
          <w:rFonts w:cs="Times New Roman"/>
          <w:szCs w:val="24"/>
          <w:lang w:val="en"/>
        </w:rPr>
        <w:t>phrase</w:t>
      </w:r>
      <w:r w:rsidRPr="000821FA">
        <w:rPr>
          <w:rFonts w:cs="Times New Roman"/>
        </w:rPr>
        <w:t xml:space="preserve"> “employee in Canada of a foreign government” in s. 3(2</w:t>
      </w:r>
      <w:proofErr w:type="gramStart"/>
      <w:r w:rsidRPr="000821FA">
        <w:rPr>
          <w:rFonts w:cs="Times New Roman"/>
        </w:rPr>
        <w:t>)(</w:t>
      </w:r>
      <w:proofErr w:type="gramEnd"/>
      <w:r w:rsidRPr="000821FA">
        <w:rPr>
          <w:rFonts w:cs="Times New Roman"/>
        </w:rPr>
        <w:t xml:space="preserve">a) was meant to apply only to individuals who have been granted diplomatic privileges and immunities under international law. Because it was common ground that neither of Mr. </w:t>
      </w:r>
      <w:proofErr w:type="spellStart"/>
      <w:r w:rsidRPr="000821FA">
        <w:rPr>
          <w:rFonts w:cs="Times New Roman"/>
        </w:rPr>
        <w:t>Vavilov’s</w:t>
      </w:r>
      <w:proofErr w:type="spellEnd"/>
      <w:r w:rsidRPr="000821FA">
        <w:rPr>
          <w:rFonts w:cs="Times New Roman"/>
        </w:rPr>
        <w:t xml:space="preserve"> parents had been granted such privileges or immunities, s. 3(2</w:t>
      </w:r>
      <w:proofErr w:type="gramStart"/>
      <w:r w:rsidRPr="000821FA">
        <w:rPr>
          <w:rFonts w:cs="Times New Roman"/>
        </w:rPr>
        <w:t>)(</w:t>
      </w:r>
      <w:proofErr w:type="gramEnd"/>
      <w:r w:rsidRPr="000821FA">
        <w:rPr>
          <w:rFonts w:cs="Times New Roman"/>
        </w:rPr>
        <w:t xml:space="preserve">a) did not apply to him. The cancellation of his citizenship </w:t>
      </w:r>
      <w:r w:rsidRPr="000821FA">
        <w:rPr>
          <w:rFonts w:cs="Times New Roman"/>
        </w:rPr>
        <w:lastRenderedPageBreak/>
        <w:t>certificate on the basis of s. 3(2</w:t>
      </w:r>
      <w:proofErr w:type="gramStart"/>
      <w:r w:rsidRPr="000821FA">
        <w:rPr>
          <w:rFonts w:cs="Times New Roman"/>
        </w:rPr>
        <w:t>)(</w:t>
      </w:r>
      <w:proofErr w:type="gramEnd"/>
      <w:r w:rsidRPr="000821FA">
        <w:rPr>
          <w:rFonts w:cs="Times New Roman"/>
        </w:rPr>
        <w:t xml:space="preserve">a) therefore could not stand, and Mr. </w:t>
      </w:r>
      <w:proofErr w:type="spellStart"/>
      <w:r w:rsidRPr="000821FA">
        <w:rPr>
          <w:rFonts w:cs="Times New Roman"/>
        </w:rPr>
        <w:t>Vavilov</w:t>
      </w:r>
      <w:proofErr w:type="spellEnd"/>
      <w:r w:rsidRPr="000821FA">
        <w:rPr>
          <w:rFonts w:cs="Times New Roman"/>
        </w:rPr>
        <w:t xml:space="preserve"> was entitled to Canadian citizenship under the </w:t>
      </w:r>
      <w:r w:rsidRPr="000821FA">
        <w:rPr>
          <w:rFonts w:cs="Times New Roman"/>
          <w:i/>
        </w:rPr>
        <w:t>Citizenship Act</w:t>
      </w:r>
      <w:r w:rsidRPr="000821FA">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dissenting judge disagreed, finding that the Registrar’s interpretation of s. 3(2</w:t>
      </w:r>
      <w:proofErr w:type="gramStart"/>
      <w:r w:rsidRPr="000821FA">
        <w:rPr>
          <w:rFonts w:cs="Times New Roman"/>
        </w:rPr>
        <w:t>)(</w:t>
      </w:r>
      <w:proofErr w:type="gramEnd"/>
      <w:r w:rsidRPr="000821FA">
        <w:rPr>
          <w:rFonts w:cs="Times New Roman"/>
        </w:rPr>
        <w:t xml:space="preserve">a) was reasonable. According to the dissenting judge, the text of that provision admits of at least two rational interpretations: one that includes all employees of a foreign government and one that is restricted to those who have been granted diplomatic privileges and immunities. In the dissenting judge’s view, the former interpretation is not foreclosed by the context or the purpose of the provision. It was thus open to the Registrar to conclude that Mr. </w:t>
      </w:r>
      <w:proofErr w:type="spellStart"/>
      <w:r w:rsidRPr="000821FA">
        <w:rPr>
          <w:rFonts w:cs="Times New Roman"/>
        </w:rPr>
        <w:t>Vavilov’s</w:t>
      </w:r>
      <w:proofErr w:type="spellEnd"/>
      <w:r w:rsidRPr="000821FA">
        <w:rPr>
          <w:rFonts w:cs="Times New Roman"/>
        </w:rPr>
        <w:t xml:space="preserve"> parents fell within the scope of s. 3(2)(a). The dissenting judge would have upheld the Registrar’s decision.</w:t>
      </w:r>
    </w:p>
    <w:p w:rsidR="008B0231" w:rsidRPr="000821FA" w:rsidRDefault="008B0231" w:rsidP="008B0231">
      <w:pPr>
        <w:pStyle w:val="Title2LevelTitre2Niveau"/>
        <w:numPr>
          <w:ilvl w:val="1"/>
          <w:numId w:val="4"/>
        </w:numPr>
        <w:rPr>
          <w:rFonts w:cs="Times New Roman"/>
        </w:rPr>
      </w:pPr>
      <w:r w:rsidRPr="000821FA">
        <w:rPr>
          <w:rFonts w:cs="Times New Roman"/>
        </w:rPr>
        <w:t>Analysis</w:t>
      </w:r>
    </w:p>
    <w:p w:rsidR="008B0231" w:rsidRPr="000821FA" w:rsidRDefault="008B0231" w:rsidP="008B0231">
      <w:pPr>
        <w:pStyle w:val="Title3LevelTitre3Niveau"/>
        <w:numPr>
          <w:ilvl w:val="2"/>
          <w:numId w:val="4"/>
        </w:numPr>
        <w:rPr>
          <w:rFonts w:cs="Times New Roman"/>
        </w:rPr>
      </w:pPr>
      <w:r w:rsidRPr="000821FA">
        <w:rPr>
          <w:rFonts w:cs="Times New Roman"/>
        </w:rPr>
        <w:t>Standard of Review</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Applying the standard of review analysis set out above leads to the conclusion that the standard to be applied in reviewing the merits of the Registrar’s decision is reasonableness.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When a court reviews the merits of an administrative decision, reasonableness is presumed to be the applicable standard of review, and there is no basis for departing from that presumption in this case. The Registrar’s decision has come before the courts by way of judicial review, not by way of a statutory appeal. On </w:t>
      </w:r>
      <w:r w:rsidRPr="000821FA">
        <w:rPr>
          <w:rFonts w:cs="Times New Roman"/>
        </w:rPr>
        <w:lastRenderedPageBreak/>
        <w:t xml:space="preserve">this point, we note that ss. 22.1 through 22.4 of the </w:t>
      </w:r>
      <w:r w:rsidRPr="000821FA">
        <w:rPr>
          <w:rFonts w:cs="Times New Roman"/>
          <w:i/>
        </w:rPr>
        <w:t>Citizenship Act</w:t>
      </w:r>
      <w:r w:rsidRPr="000821FA">
        <w:rPr>
          <w:rFonts w:cs="Times New Roman"/>
        </w:rPr>
        <w:t xml:space="preserve"> lay down rules that govern applications for judicial review of decisions made under that Act, one of which, in s. 22.1(1), is that such an application may be made only with leave of the Federal Court. However, none of these provisions allow for a party to bring an appeal from a decision under the </w:t>
      </w:r>
      <w:r w:rsidRPr="000821FA">
        <w:rPr>
          <w:rFonts w:cs="Times New Roman"/>
          <w:i/>
        </w:rPr>
        <w:t>Citizenship Act</w:t>
      </w:r>
      <w:r w:rsidRPr="000821FA">
        <w:rPr>
          <w:rFonts w:cs="Times New Roman"/>
        </w:rPr>
        <w:t>. Given this fact, and given that Parliament has not prescribed the standard to be applied on judicial review of the decision at issue, there is no indication that the legislature intended a standard of review other than reasonableness to apply. The Registrar’s decision does not give rise to any constitutional questions, general questions of law of central importance to the legal system as a whole or questions regarding the jurisdictional boundaries between two or more administrative bodies. As a result, the standard to be applied in reviewing the decision is reasonableness.</w:t>
      </w:r>
    </w:p>
    <w:p w:rsidR="008B0231" w:rsidRPr="000821FA" w:rsidRDefault="008B0231" w:rsidP="008B0231">
      <w:pPr>
        <w:pStyle w:val="Title3LevelTitre3Niveau"/>
        <w:numPr>
          <w:ilvl w:val="2"/>
          <w:numId w:val="4"/>
        </w:numPr>
        <w:rPr>
          <w:rFonts w:cs="Times New Roman"/>
        </w:rPr>
      </w:pPr>
      <w:r w:rsidRPr="000821FA">
        <w:rPr>
          <w:rFonts w:cs="Times New Roman"/>
        </w:rPr>
        <w:t>Review for Reasonableness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principal issue before this Court is whether it was reasonable for the Registrar to find that Mr. </w:t>
      </w:r>
      <w:proofErr w:type="spellStart"/>
      <w:r w:rsidRPr="000821FA">
        <w:rPr>
          <w:rFonts w:cs="Times New Roman"/>
        </w:rPr>
        <w:t>Vavilov’s</w:t>
      </w:r>
      <w:proofErr w:type="spellEnd"/>
      <w:r w:rsidRPr="000821FA">
        <w:rPr>
          <w:rFonts w:cs="Times New Roman"/>
        </w:rPr>
        <w:t xml:space="preserve"> parents had been “other representative[s] or employee[s] in Canada of a foreign government” within the meaning of s. 3(2)(a) of the </w:t>
      </w:r>
      <w:r w:rsidRPr="000821FA">
        <w:rPr>
          <w:rFonts w:cs="Times New Roman"/>
          <w:i/>
        </w:rPr>
        <w:t>Citizenship Act</w:t>
      </w:r>
      <w:r w:rsidRPr="000821FA">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In our view, it was not. The Registrar failed to justify her interpretation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in light of the constraints imposed by the text of s. 3 of the </w:t>
      </w:r>
      <w:r w:rsidRPr="000821FA">
        <w:rPr>
          <w:rFonts w:cs="Times New Roman"/>
          <w:i/>
        </w:rPr>
        <w:t>Citizenship Act</w:t>
      </w:r>
      <w:r w:rsidRPr="000821FA">
        <w:rPr>
          <w:rFonts w:cs="Times New Roman"/>
        </w:rPr>
        <w:t xml:space="preserve"> considered as a whole, by other legislation and international treaties that inform the purpose of s. 3, by the jurisprudence on the interpretation of s. 3(2)(a), </w:t>
      </w:r>
      <w:r w:rsidRPr="000821FA">
        <w:rPr>
          <w:rFonts w:cs="Times New Roman"/>
        </w:rPr>
        <w:lastRenderedPageBreak/>
        <w:t xml:space="preserve">and by the potential consequences of her interpretation. Each of these elements — viewed individually and cumulatively — strongly supports the conclusion that s. 3(2)(a) was not intended to apply to children of foreign government representatives or employees who have not been granted diplomatic privileges and immunities. Though Mr. </w:t>
      </w:r>
      <w:proofErr w:type="spellStart"/>
      <w:r w:rsidRPr="000821FA">
        <w:rPr>
          <w:rFonts w:cs="Times New Roman"/>
        </w:rPr>
        <w:t>Vavilov</w:t>
      </w:r>
      <w:proofErr w:type="spellEnd"/>
      <w:r w:rsidRPr="000821FA">
        <w:rPr>
          <w:rFonts w:cs="Times New Roman"/>
        </w:rPr>
        <w:t xml:space="preserve"> raised many of these considerations in his submissions in response to the procedural fairness letter, the Registrar failed to address those submissions in her reasons and did not, to justify her interpretation of s. 3(2</w:t>
      </w:r>
      <w:proofErr w:type="gramStart"/>
      <w:r w:rsidRPr="000821FA">
        <w:rPr>
          <w:rFonts w:cs="Times New Roman"/>
        </w:rPr>
        <w:t>)(</w:t>
      </w:r>
      <w:proofErr w:type="gramEnd"/>
      <w:r w:rsidRPr="000821FA">
        <w:rPr>
          <w:rFonts w:cs="Times New Roman"/>
        </w:rPr>
        <w:t>a), do more than conduct a cursory review of the legislative history and conclude that her interpretation was not explicitly preclude</w:t>
      </w:r>
      <w:r w:rsidR="00AB6605">
        <w:rPr>
          <w:rFonts w:cs="Times New Roman"/>
        </w:rPr>
        <w:t>d by the text of s. 3(2)(a).</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Our review of the Registrar’s decision leads us to conclude that it was unreasonable for her to find that the phrase “diplomatic or consular officer or other representative or employee in Canada of a foreign government” applies to individuals who have not been granted diplomatic privileges and immunities in Canada. It is undisputed that Mr. </w:t>
      </w:r>
      <w:proofErr w:type="spellStart"/>
      <w:r w:rsidRPr="000821FA">
        <w:rPr>
          <w:rFonts w:cs="Times New Roman"/>
        </w:rPr>
        <w:t>Vavilov’s</w:t>
      </w:r>
      <w:proofErr w:type="spellEnd"/>
      <w:r w:rsidRPr="000821FA">
        <w:rPr>
          <w:rFonts w:cs="Times New Roman"/>
        </w:rPr>
        <w:t xml:space="preserve"> parents had not been granted such privileges and immunities. No purpose would therefore be served by remitting this matter to the Registrar. </w:t>
      </w:r>
    </w:p>
    <w:p w:rsidR="008B0231" w:rsidRPr="000821FA" w:rsidRDefault="002D4C46"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Section 3(2) of the Citizenship Act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analyst justified her conclusion that Mr. </w:t>
      </w:r>
      <w:proofErr w:type="spellStart"/>
      <w:r w:rsidRPr="000821FA">
        <w:rPr>
          <w:rFonts w:cs="Times New Roman"/>
        </w:rPr>
        <w:t>Vavilov</w:t>
      </w:r>
      <w:proofErr w:type="spellEnd"/>
      <w:r w:rsidRPr="000821FA">
        <w:rPr>
          <w:rFonts w:cs="Times New Roman"/>
        </w:rPr>
        <w:t xml:space="preserve"> is not a citizen of Canada by reasoning that his parents were “other representative[s] or employee[s] in Canada of a foreign government” within the meaning of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621E87">
        <w:rPr>
          <w:rFonts w:cs="Times New Roman"/>
        </w:rPr>
        <w:t>.</w:t>
      </w:r>
      <w:r w:rsidRPr="000821FA">
        <w:rPr>
          <w:rFonts w:cs="Times New Roman"/>
          <w:i/>
        </w:rPr>
        <w:t xml:space="preserve"> </w:t>
      </w:r>
      <w:r w:rsidRPr="000821FA">
        <w:rPr>
          <w:rFonts w:cs="Times New Roman"/>
        </w:rPr>
        <w:t>Section 3(2</w:t>
      </w:r>
      <w:proofErr w:type="gramStart"/>
      <w:r w:rsidRPr="000821FA">
        <w:rPr>
          <w:rFonts w:cs="Times New Roman"/>
        </w:rPr>
        <w:t>)(</w:t>
      </w:r>
      <w:proofErr w:type="gramEnd"/>
      <w:r w:rsidRPr="000821FA">
        <w:rPr>
          <w:rFonts w:cs="Times New Roman"/>
        </w:rPr>
        <w:t xml:space="preserve">a) provides that children of “a diplomatic or consular officer or other </w:t>
      </w:r>
      <w:r w:rsidRPr="000821FA">
        <w:rPr>
          <w:rFonts w:cs="Times New Roman"/>
        </w:rPr>
        <w:lastRenderedPageBreak/>
        <w:t xml:space="preserve">representative or employee in Canada of a foreign government” are exempt from the general rule in s. 3(1)(a) that individuals born in Canada after February 14, 1977 acquire Canadian citizenship by birth. The analyst observed that although the term “diplomatic or consular officer” is defined in the </w:t>
      </w:r>
      <w:r w:rsidRPr="000821FA">
        <w:rPr>
          <w:rFonts w:cs="Times New Roman"/>
          <w:i/>
        </w:rPr>
        <w:t xml:space="preserve">Interpretation Act </w:t>
      </w:r>
      <w:r w:rsidRPr="000821FA">
        <w:rPr>
          <w:rFonts w:cs="Times New Roman"/>
        </w:rPr>
        <w:t xml:space="preserve">and does not apply to individuals like Mr. </w:t>
      </w:r>
      <w:proofErr w:type="spellStart"/>
      <w:r w:rsidRPr="000821FA">
        <w:rPr>
          <w:rFonts w:cs="Times New Roman"/>
        </w:rPr>
        <w:t>Vavilov’s</w:t>
      </w:r>
      <w:proofErr w:type="spellEnd"/>
      <w:r w:rsidRPr="000821FA">
        <w:rPr>
          <w:rFonts w:cs="Times New Roman"/>
        </w:rPr>
        <w:t xml:space="preserve"> parents, the phrase “other representative or employee in Canada of a foreign government” is not so defined, and may apply to them.</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The analyst’s attempt to give the words “other representative or employee in Canada of a foreign government” a meaning distinct from that of “diplomatic or consular officer” is sensible. It is generally consistent with the principle of statutory interpretation that Parliament intends each word in a statute to have</w:t>
      </w:r>
      <w:r w:rsidR="00AB6605">
        <w:rPr>
          <w:rFonts w:cs="Times New Roman"/>
        </w:rPr>
        <w:t xml:space="preserve"> meaning: Sullivan, at p. 211. </w:t>
      </w:r>
      <w:r w:rsidRPr="000821FA">
        <w:rPr>
          <w:rFonts w:cs="Times New Roman"/>
        </w:rPr>
        <w:t>We accept that if the phrase “other representative or employee in Canada of a foreign government” were considered in isolation, it could apply to a spy working in the service of a foreign government in Canada. However, the analyst failed to address the immediate statutory context of s. 3(2)(a), including the closely related text in s. 3(2)(c):</w:t>
      </w:r>
    </w:p>
    <w:p w:rsidR="008B0231" w:rsidRPr="000821FA" w:rsidRDefault="008B0231" w:rsidP="008B0231">
      <w:pPr>
        <w:pStyle w:val="subsection"/>
        <w:tabs>
          <w:tab w:val="left" w:pos="1530"/>
        </w:tabs>
        <w:ind w:left="1530" w:hanging="360"/>
        <w:jc w:val="both"/>
      </w:pPr>
      <w:r w:rsidRPr="00524154">
        <w:rPr>
          <w:rStyle w:val="lawlabel"/>
          <w:b/>
        </w:rPr>
        <w:t>(2)</w:t>
      </w:r>
      <w:r w:rsidRPr="000821FA">
        <w:t> Paragraph (1</w:t>
      </w:r>
      <w:proofErr w:type="gramStart"/>
      <w:r w:rsidRPr="000821FA">
        <w:t>)(</w:t>
      </w:r>
      <w:proofErr w:type="gramEnd"/>
      <w:r w:rsidRPr="000821FA">
        <w:t>a) does not apply to a person if, at the time of his birth, neither of his parents was a citizen or lawfully admitted to Canada for permanent residence and either of his parents was</w:t>
      </w:r>
    </w:p>
    <w:p w:rsidR="008B0231" w:rsidRPr="000821FA" w:rsidRDefault="008B0231" w:rsidP="008B0231">
      <w:pPr>
        <w:pStyle w:val="paragraph"/>
        <w:tabs>
          <w:tab w:val="left" w:pos="1890"/>
        </w:tabs>
        <w:ind w:left="1800" w:hanging="270"/>
        <w:jc w:val="both"/>
      </w:pPr>
      <w:r w:rsidRPr="00524154">
        <w:rPr>
          <w:rStyle w:val="lawlabel"/>
          <w:b/>
        </w:rPr>
        <w:t>(a)</w:t>
      </w:r>
      <w:r w:rsidRPr="000821FA">
        <w:t> </w:t>
      </w:r>
      <w:proofErr w:type="gramStart"/>
      <w:r w:rsidRPr="000821FA">
        <w:t>a</w:t>
      </w:r>
      <w:proofErr w:type="gramEnd"/>
      <w:r w:rsidRPr="000821FA">
        <w:t xml:space="preserve"> diplomatic or consular officer or other representative or employee in Canada of a foreign government;</w:t>
      </w:r>
    </w:p>
    <w:p w:rsidR="008B0231" w:rsidRPr="000821FA" w:rsidRDefault="008B0231" w:rsidP="008B0231">
      <w:pPr>
        <w:pStyle w:val="paragraph"/>
        <w:ind w:left="1890" w:hanging="360"/>
        <w:jc w:val="both"/>
      </w:pPr>
      <w:r w:rsidRPr="00524154">
        <w:rPr>
          <w:rStyle w:val="lawlabel"/>
          <w:b/>
        </w:rPr>
        <w:t>(b)</w:t>
      </w:r>
      <w:r w:rsidRPr="000821FA">
        <w:t> </w:t>
      </w:r>
      <w:proofErr w:type="gramStart"/>
      <w:r w:rsidRPr="000821FA">
        <w:t>an</w:t>
      </w:r>
      <w:proofErr w:type="gramEnd"/>
      <w:r w:rsidRPr="000821FA">
        <w:t xml:space="preserve"> employee in the service of a person referred to in paragraph (a); or</w:t>
      </w:r>
    </w:p>
    <w:p w:rsidR="008B0231" w:rsidRPr="000821FA" w:rsidRDefault="008B0231" w:rsidP="00524154">
      <w:pPr>
        <w:pStyle w:val="ParaNoNdepar-AltN"/>
        <w:numPr>
          <w:ilvl w:val="0"/>
          <w:numId w:val="0"/>
        </w:numPr>
        <w:spacing w:before="0" w:after="720" w:line="240" w:lineRule="auto"/>
        <w:ind w:left="1886" w:hanging="360"/>
        <w:rPr>
          <w:rFonts w:cs="Times New Roman"/>
        </w:rPr>
      </w:pPr>
      <w:r w:rsidRPr="00524154">
        <w:rPr>
          <w:rStyle w:val="lawlabel"/>
          <w:rFonts w:cs="Times New Roman"/>
          <w:b/>
        </w:rPr>
        <w:t>(c)</w:t>
      </w:r>
      <w:r w:rsidRPr="000821FA">
        <w:rPr>
          <w:rFonts w:cs="Times New Roman"/>
        </w:rPr>
        <w:t xml:space="preserve"> an officer or employee in Canada of a specialized agency of the United Nations or an officer or employee in Canada of any other </w:t>
      </w:r>
      <w:r w:rsidRPr="000821FA">
        <w:rPr>
          <w:rFonts w:cs="Times New Roman"/>
        </w:rPr>
        <w:lastRenderedPageBreak/>
        <w:t>international organization to whom there are granted, by or under any Act of Parliament, diplomatic privileges and immunities certified by the Minister of Foreign Affairs to be equivalent to those granted to a person or persons referred to in paragraph (a).</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As the majority of the Court of Appeal noted (at paras. 61-62), the wording of s. 3(2)(c) provides clear support for the conclusion that </w:t>
      </w:r>
      <w:r w:rsidRPr="000821FA">
        <w:rPr>
          <w:rFonts w:cs="Times New Roman"/>
          <w:i/>
        </w:rPr>
        <w:t xml:space="preserve">all </w:t>
      </w:r>
      <w:r w:rsidRPr="000821FA">
        <w:rPr>
          <w:rFonts w:cs="Times New Roman"/>
        </w:rPr>
        <w:t xml:space="preserve">of the persons contemplated by s. 3(2)(a) — including those who are “employee[s] in Canada of a foreign government” — must have been granted </w:t>
      </w:r>
      <w:r w:rsidRPr="000821FA">
        <w:rPr>
          <w:rFonts w:cs="Times New Roman"/>
          <w:lang w:bidi="en-US"/>
        </w:rPr>
        <w:t>diplomatic privileges and immunities in some form. If, as the Registrar concluded, s. 3(2</w:t>
      </w:r>
      <w:proofErr w:type="gramStart"/>
      <w:r w:rsidRPr="000821FA">
        <w:rPr>
          <w:rFonts w:cs="Times New Roman"/>
          <w:lang w:bidi="en-US"/>
        </w:rPr>
        <w:t>)(</w:t>
      </w:r>
      <w:proofErr w:type="gramEnd"/>
      <w:r w:rsidRPr="000821FA">
        <w:rPr>
          <w:rFonts w:cs="Times New Roman"/>
          <w:lang w:bidi="en-US"/>
        </w:rPr>
        <w:t xml:space="preserve">a) includes persons who do not benefit from these privileges or immunities, it is difficult to understand how effect could be given to the explicit equivalency requirement articulated in s. 3(2)(c). </w:t>
      </w:r>
      <w:r w:rsidRPr="000821FA">
        <w:rPr>
          <w:rFonts w:cs="Times New Roman"/>
        </w:rPr>
        <w:t>However, the analyst did not account for this tension in the immediate statutory context of s. 3(2</w:t>
      </w:r>
      <w:proofErr w:type="gramStart"/>
      <w:r w:rsidRPr="000821FA">
        <w:rPr>
          <w:rFonts w:cs="Times New Roman"/>
        </w:rPr>
        <w:t>)(</w:t>
      </w:r>
      <w:proofErr w:type="gramEnd"/>
      <w:r w:rsidRPr="000821FA">
        <w:rPr>
          <w:rFonts w:cs="Times New Roman"/>
        </w:rPr>
        <w:t>a).</w:t>
      </w:r>
    </w:p>
    <w:p w:rsidR="008B0231" w:rsidRPr="000821FA" w:rsidRDefault="009704E0" w:rsidP="009704E0">
      <w:pPr>
        <w:pStyle w:val="Title4LevelTitre4Niveau"/>
        <w:numPr>
          <w:ilvl w:val="3"/>
          <w:numId w:val="4"/>
        </w:numPr>
        <w:tabs>
          <w:tab w:val="num" w:pos="900"/>
        </w:tabs>
        <w:jc w:val="both"/>
        <w:rPr>
          <w:rFonts w:cs="Times New Roman"/>
        </w:rPr>
      </w:pPr>
      <w:r>
        <w:rPr>
          <w:rFonts w:cs="Times New Roman"/>
        </w:rPr>
        <w:tab/>
      </w:r>
      <w:r w:rsidR="008B0231" w:rsidRPr="000821FA">
        <w:rPr>
          <w:rFonts w:cs="Times New Roman"/>
        </w:rPr>
        <w:t>The Foreign Missions and International Organizations Act and the Treaties It Implements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Before the Registrar, Mr. </w:t>
      </w:r>
      <w:proofErr w:type="spellStart"/>
      <w:r w:rsidRPr="000821FA">
        <w:rPr>
          <w:rFonts w:cs="Times New Roman"/>
        </w:rPr>
        <w:t>Vavilov</w:t>
      </w:r>
      <w:proofErr w:type="spellEnd"/>
      <w:r w:rsidRPr="000821FA">
        <w:rPr>
          <w:rFonts w:cs="Times New Roman"/>
        </w:rPr>
        <w:t xml:space="preserve"> argued that s. 3(2) of the </w:t>
      </w:r>
      <w:r w:rsidRPr="000821FA">
        <w:rPr>
          <w:rFonts w:cs="Times New Roman"/>
          <w:i/>
        </w:rPr>
        <w:t xml:space="preserve">Citizenship Act </w:t>
      </w:r>
      <w:r w:rsidRPr="000821FA">
        <w:rPr>
          <w:rFonts w:cs="Times New Roman"/>
        </w:rPr>
        <w:t xml:space="preserve">must be read in conjunction with both the </w:t>
      </w:r>
      <w:r w:rsidRPr="000821FA">
        <w:rPr>
          <w:rFonts w:cs="Times New Roman"/>
          <w:i/>
        </w:rPr>
        <w:t>Foreign Missions and International Organizations Act</w:t>
      </w:r>
      <w:r w:rsidRPr="000821FA">
        <w:rPr>
          <w:rFonts w:cs="Times New Roman"/>
        </w:rPr>
        <w:t>, S.C. 1991, c. 41 (“</w:t>
      </w:r>
      <w:r w:rsidRPr="000821FA">
        <w:rPr>
          <w:rFonts w:cs="Times New Roman"/>
          <w:i/>
        </w:rPr>
        <w:t>FMIOA</w:t>
      </w:r>
      <w:r w:rsidRPr="000821FA">
        <w:rPr>
          <w:rFonts w:cs="Times New Roman"/>
        </w:rPr>
        <w:t xml:space="preserve">”), and the </w:t>
      </w:r>
      <w:r w:rsidRPr="000821FA">
        <w:rPr>
          <w:rFonts w:cs="Times New Roman"/>
          <w:i/>
        </w:rPr>
        <w:t>Vienna Convention on Diplomatic Relations</w:t>
      </w:r>
      <w:r w:rsidRPr="000821FA">
        <w:rPr>
          <w:rFonts w:cs="Times New Roman"/>
        </w:rPr>
        <w:t>, Can. T.S. 1966 No. 29 (“</w:t>
      </w:r>
      <w:r w:rsidRPr="000821FA">
        <w:rPr>
          <w:rFonts w:cs="Times New Roman"/>
          <w:i/>
        </w:rPr>
        <w:t>VCDR</w:t>
      </w:r>
      <w:r w:rsidRPr="000821FA">
        <w:rPr>
          <w:rFonts w:cs="Times New Roman"/>
        </w:rPr>
        <w:t xml:space="preserve">”). The </w:t>
      </w:r>
      <w:r w:rsidRPr="000821FA">
        <w:rPr>
          <w:rFonts w:cs="Times New Roman"/>
          <w:i/>
        </w:rPr>
        <w:t>VCDR</w:t>
      </w:r>
      <w:r w:rsidRPr="000821FA">
        <w:rPr>
          <w:rFonts w:cs="Times New Roman"/>
        </w:rPr>
        <w:t xml:space="preserve"> and the </w:t>
      </w:r>
      <w:r w:rsidRPr="000821FA">
        <w:rPr>
          <w:rFonts w:cs="Times New Roman"/>
          <w:i/>
        </w:rPr>
        <w:t>Vienna Convention on Consular Relations</w:t>
      </w:r>
      <w:r w:rsidRPr="000821FA">
        <w:rPr>
          <w:rFonts w:cs="Times New Roman"/>
        </w:rPr>
        <w:t xml:space="preserve">, Can. T.S. 1974 No. 25, are the two leading treaties that extend diplomatic and/or consular privileges and immunities to employees and representatives of foreign governments in diplomatic missions and consular posts. </w:t>
      </w:r>
      <w:r w:rsidRPr="000821FA">
        <w:rPr>
          <w:rFonts w:cs="Times New Roman"/>
        </w:rPr>
        <w:lastRenderedPageBreak/>
        <w:t xml:space="preserve">Parliament has implemented the relevant provisions of both conventions by means of s. 3(1) of the </w:t>
      </w:r>
      <w:r w:rsidRPr="000821FA">
        <w:rPr>
          <w:rFonts w:cs="Times New Roman"/>
          <w:i/>
        </w:rPr>
        <w:t>FMIOA</w:t>
      </w:r>
      <w:r w:rsidR="000B5262">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To begin, we note that Canada affords citizenship in accordance both with the principle of </w:t>
      </w:r>
      <w:r w:rsidRPr="000821FA">
        <w:rPr>
          <w:rFonts w:cs="Times New Roman"/>
          <w:i/>
        </w:rPr>
        <w:t>jus soli</w:t>
      </w:r>
      <w:r w:rsidRPr="000821FA">
        <w:rPr>
          <w:rFonts w:cs="Times New Roman"/>
        </w:rPr>
        <w:t xml:space="preserve">, the acquisition of citizenship through birth regardless of the parents’ nationality, and with that of </w:t>
      </w:r>
      <w:r w:rsidRPr="000821FA">
        <w:rPr>
          <w:rFonts w:cs="Times New Roman"/>
          <w:i/>
        </w:rPr>
        <w:t xml:space="preserve">jus </w:t>
      </w:r>
      <w:proofErr w:type="spellStart"/>
      <w:r w:rsidRPr="000821FA">
        <w:rPr>
          <w:rFonts w:cs="Times New Roman"/>
          <w:i/>
        </w:rPr>
        <w:t>sanguinis</w:t>
      </w:r>
      <w:proofErr w:type="spellEnd"/>
      <w:r w:rsidRPr="000821FA">
        <w:rPr>
          <w:rFonts w:cs="Times New Roman"/>
        </w:rPr>
        <w:t xml:space="preserve">, the acquisition of citizenship by descent, that is through a parent: </w:t>
      </w:r>
      <w:r w:rsidRPr="000821FA">
        <w:rPr>
          <w:rFonts w:cs="Times New Roman"/>
          <w:i/>
          <w:lang w:bidi="en-US"/>
        </w:rPr>
        <w:t>Citizenship Act</w:t>
      </w:r>
      <w:r w:rsidRPr="000821FA">
        <w:rPr>
          <w:rFonts w:cs="Times New Roman"/>
          <w:lang w:bidi="en-US"/>
        </w:rPr>
        <w:t xml:space="preserve">, </w:t>
      </w:r>
      <w:r w:rsidRPr="000821FA">
        <w:rPr>
          <w:rFonts w:cs="Times New Roman"/>
        </w:rPr>
        <w:t>s. 3(1</w:t>
      </w:r>
      <w:proofErr w:type="gramStart"/>
      <w:r w:rsidRPr="000821FA">
        <w:rPr>
          <w:rFonts w:cs="Times New Roman"/>
        </w:rPr>
        <w:t>)(</w:t>
      </w:r>
      <w:proofErr w:type="gramEnd"/>
      <w:r w:rsidRPr="000821FA">
        <w:rPr>
          <w:rFonts w:cs="Times New Roman"/>
        </w:rPr>
        <w:t>a) and (b);</w:t>
      </w:r>
      <w:r w:rsidRPr="000821FA">
        <w:rPr>
          <w:rFonts w:cs="Times New Roman"/>
          <w:i/>
        </w:rPr>
        <w:t xml:space="preserve"> </w:t>
      </w:r>
      <w:r w:rsidRPr="000821FA">
        <w:rPr>
          <w:rFonts w:cs="Times New Roman"/>
        </w:rPr>
        <w:t>see</w:t>
      </w:r>
      <w:r w:rsidRPr="000821FA">
        <w:rPr>
          <w:rFonts w:cs="Times New Roman"/>
          <w:i/>
        </w:rPr>
        <w:t xml:space="preserve"> </w:t>
      </w:r>
      <w:r w:rsidRPr="000821FA">
        <w:rPr>
          <w:rFonts w:cs="Times New Roman"/>
        </w:rPr>
        <w:t xml:space="preserve">I. </w:t>
      </w:r>
      <w:proofErr w:type="spellStart"/>
      <w:r w:rsidRPr="000821FA">
        <w:rPr>
          <w:rFonts w:cs="Times New Roman"/>
        </w:rPr>
        <w:t>Brownlie</w:t>
      </w:r>
      <w:proofErr w:type="spellEnd"/>
      <w:r w:rsidRPr="000821FA">
        <w:rPr>
          <w:rFonts w:cs="Times New Roman"/>
        </w:rPr>
        <w:t xml:space="preserve">, </w:t>
      </w:r>
      <w:r w:rsidRPr="000821FA">
        <w:rPr>
          <w:rFonts w:cs="Times New Roman"/>
          <w:i/>
          <w:iCs/>
        </w:rPr>
        <w:t>Principles of Public International Law</w:t>
      </w:r>
      <w:r w:rsidRPr="000821FA">
        <w:rPr>
          <w:rFonts w:cs="Times New Roman"/>
        </w:rPr>
        <w:t xml:space="preserve"> (5th ed. 1998), at pp. 391-93. These two principles operate as a backdrop to s. 3 of the </w:t>
      </w:r>
      <w:r w:rsidRPr="000821FA">
        <w:rPr>
          <w:rFonts w:cs="Times New Roman"/>
          <w:i/>
        </w:rPr>
        <w:t xml:space="preserve">Citizenship Act </w:t>
      </w:r>
      <w:r w:rsidRPr="000821FA">
        <w:rPr>
          <w:rFonts w:cs="Times New Roman"/>
        </w:rPr>
        <w:t>as a whole. It is undisputed that s. 3(2</w:t>
      </w:r>
      <w:proofErr w:type="gramStart"/>
      <w:r w:rsidRPr="000821FA">
        <w:rPr>
          <w:rFonts w:cs="Times New Roman"/>
        </w:rPr>
        <w:t>)(</w:t>
      </w:r>
      <w:proofErr w:type="gramEnd"/>
      <w:r w:rsidRPr="000821FA">
        <w:rPr>
          <w:rFonts w:cs="Times New Roman"/>
        </w:rPr>
        <w:t>a) operates as an exception to these general rules. However, Mr. </w:t>
      </w:r>
      <w:proofErr w:type="spellStart"/>
      <w:r w:rsidRPr="000821FA">
        <w:rPr>
          <w:rFonts w:cs="Times New Roman"/>
        </w:rPr>
        <w:t>Vavilov</w:t>
      </w:r>
      <w:proofErr w:type="spellEnd"/>
      <w:r w:rsidRPr="000821FA">
        <w:rPr>
          <w:rFonts w:cs="Times New Roman"/>
        </w:rPr>
        <w:t xml:space="preserve"> took a narrower view of that exception than did the Registrar. In his submissions to the Registrar, he argued that Parliament intended s. 3(2) of the </w:t>
      </w:r>
      <w:r w:rsidRPr="000821FA">
        <w:rPr>
          <w:rFonts w:cs="Times New Roman"/>
          <w:i/>
        </w:rPr>
        <w:t xml:space="preserve">Citizenship Act </w:t>
      </w:r>
      <w:r w:rsidRPr="000821FA">
        <w:rPr>
          <w:rFonts w:cs="Times New Roman"/>
        </w:rPr>
        <w:t xml:space="preserve">to simply mirror the </w:t>
      </w:r>
      <w:r w:rsidRPr="000821FA">
        <w:rPr>
          <w:rFonts w:cs="Times New Roman"/>
          <w:i/>
        </w:rPr>
        <w:t xml:space="preserve">FMIOA </w:t>
      </w:r>
      <w:r w:rsidRPr="000821FA">
        <w:rPr>
          <w:rFonts w:cs="Times New Roman"/>
        </w:rPr>
        <w:t xml:space="preserve">and the </w:t>
      </w:r>
      <w:r w:rsidRPr="000821FA">
        <w:rPr>
          <w:rFonts w:cs="Times New Roman"/>
          <w:i/>
        </w:rPr>
        <w:t>VCDR</w:t>
      </w:r>
      <w:r w:rsidRPr="000821FA">
        <w:rPr>
          <w:rFonts w:cs="Times New Roman"/>
        </w:rPr>
        <w:t xml:space="preserve">, as well as Article II of the </w:t>
      </w:r>
      <w:r w:rsidRPr="000821FA">
        <w:rPr>
          <w:rFonts w:cs="Times New Roman"/>
          <w:i/>
        </w:rPr>
        <w:t>Optional Protocol to the Vienna Convention on Diplomatic Relations, concerning Acquisition of Nationality</w:t>
      </w:r>
      <w:r w:rsidRPr="000821FA">
        <w:rPr>
          <w:rFonts w:cs="Times New Roman"/>
        </w:rPr>
        <w:t>, 500 U.N.T.S. 223, which provides that “[m]embers of the mission not being nationals of the receiving State, and members of their families forming part of their household, shall not, solely by the operation of the law of the receiving State, acquire t</w:t>
      </w:r>
      <w:r w:rsidR="00AB6605">
        <w:rPr>
          <w:rFonts w:cs="Times New Roman"/>
        </w:rPr>
        <w:t xml:space="preserve">he nationality of that State”. </w:t>
      </w:r>
      <w:r w:rsidRPr="000821FA">
        <w:rPr>
          <w:rFonts w:cs="Times New Roman"/>
        </w:rPr>
        <w:t xml:space="preserve">Mr. </w:t>
      </w:r>
      <w:proofErr w:type="spellStart"/>
      <w:r w:rsidRPr="000821FA">
        <w:rPr>
          <w:rFonts w:cs="Times New Roman"/>
        </w:rPr>
        <w:t>Vavilov</w:t>
      </w:r>
      <w:proofErr w:type="spellEnd"/>
      <w:r w:rsidRPr="000821FA">
        <w:rPr>
          <w:rFonts w:cs="Times New Roman"/>
        </w:rPr>
        <w:t xml:space="preserve"> made the following submission to the Registrar:</w:t>
      </w:r>
    </w:p>
    <w:p w:rsidR="008B0231" w:rsidRDefault="008B0231" w:rsidP="008B0231">
      <w:pPr>
        <w:pStyle w:val="BlockQuote"/>
        <w:spacing w:after="0" w:line="240" w:lineRule="auto"/>
        <w:ind w:left="1440" w:right="0"/>
        <w:jc w:val="both"/>
        <w:rPr>
          <w:rFonts w:cs="Times New Roman"/>
          <w:iCs/>
        </w:rPr>
      </w:pPr>
      <w:r w:rsidRPr="000821FA">
        <w:rPr>
          <w:rFonts w:cs="Times New Roman"/>
        </w:rPr>
        <w:t xml:space="preserve">The purpose in excluding diplomats and their families, including newborn children, from acquiring citizenship in the receiving state relates to the immunities which extend to this group of people. Diplomats and their family members are immune from criminal prosecution and civil liability in the receiving state. </w:t>
      </w:r>
      <w:r w:rsidRPr="000821FA">
        <w:rPr>
          <w:rFonts w:cs="Times New Roman"/>
          <w:iCs/>
        </w:rPr>
        <w:t xml:space="preserve">As such, they cannot acquire citizenship in the receiving state and also benefit from these </w:t>
      </w:r>
      <w:r w:rsidRPr="000821FA">
        <w:rPr>
          <w:rFonts w:cs="Times New Roman"/>
          <w:iCs/>
        </w:rPr>
        <w:lastRenderedPageBreak/>
        <w:t xml:space="preserve">immunities. A citizen has duties and responsibilities to its country. Immunity is inconsistent with this principle and so does not apply to citizens. See Article 37 of the </w:t>
      </w:r>
      <w:r w:rsidRPr="000821FA">
        <w:rPr>
          <w:rFonts w:cs="Times New Roman"/>
          <w:i/>
          <w:iCs/>
        </w:rPr>
        <w:t>Convention</w:t>
      </w:r>
      <w:r w:rsidRPr="000821FA">
        <w:rPr>
          <w:rFonts w:cs="Times New Roman"/>
          <w:iCs/>
        </w:rPr>
        <w:t>.</w:t>
      </w:r>
    </w:p>
    <w:p w:rsidR="008B0231" w:rsidRPr="009464C7" w:rsidRDefault="008B0231" w:rsidP="008B0231"/>
    <w:p w:rsidR="008B0231" w:rsidRPr="000821FA" w:rsidRDefault="008B0231" w:rsidP="008B0231">
      <w:pPr>
        <w:pStyle w:val="BlockQuote"/>
        <w:spacing w:after="0" w:line="240" w:lineRule="auto"/>
        <w:ind w:left="1440" w:right="0"/>
        <w:jc w:val="both"/>
        <w:rPr>
          <w:rFonts w:cs="Times New Roman"/>
        </w:rPr>
      </w:pPr>
      <w:r w:rsidRPr="000821FA">
        <w:rPr>
          <w:rFonts w:cs="Times New Roman"/>
        </w:rPr>
        <w:t xml:space="preserve">Section 3(2) legislates into Canadian domestic law the above principles and should be narrowly interpreted with these purposes in mind. The term “employee in Canada of a foreign government” must be interpreted to mean an employee of a diplomatic mission, or connected to it, who benefits from the immunities of the </w:t>
      </w:r>
      <w:r w:rsidRPr="000821FA">
        <w:rPr>
          <w:rFonts w:cs="Times New Roman"/>
          <w:i/>
        </w:rPr>
        <w:t>Convention</w:t>
      </w:r>
      <w:r w:rsidRPr="000821FA">
        <w:rPr>
          <w:rFonts w:cs="Times New Roman"/>
        </w:rPr>
        <w:t xml:space="preserve">. Any other interpretation would lead to absurd results. There is no purpose served in excluding any child born of a person not having a connection to a diplomatic mission in Canada while sojourning here from the principle of </w:t>
      </w:r>
      <w:r w:rsidRPr="000821FA">
        <w:rPr>
          <w:rFonts w:cs="Times New Roman"/>
          <w:i/>
        </w:rPr>
        <w:t>Jus soli</w:t>
      </w:r>
      <w:r w:rsidRPr="000821FA">
        <w:rPr>
          <w:rFonts w:cs="Times New Roman"/>
        </w:rPr>
        <w:t>.</w:t>
      </w:r>
      <w:r w:rsidR="00A2629A">
        <w:rPr>
          <w:rFonts w:cs="Times New Roman"/>
        </w:rPr>
        <w:t> </w:t>
      </w:r>
    </w:p>
    <w:p w:rsidR="008B0231" w:rsidRPr="000821FA" w:rsidRDefault="008B0231" w:rsidP="008B0231"/>
    <w:p w:rsidR="008B0231" w:rsidRPr="000821FA" w:rsidRDefault="008B0231" w:rsidP="008B0231">
      <w:r w:rsidRPr="000821FA">
        <w:t>(A.R., vol. IV, at pp. 449-50)</w:t>
      </w:r>
    </w:p>
    <w:p w:rsidR="008B0231" w:rsidRPr="000821FA" w:rsidRDefault="008B0231" w:rsidP="008B0231"/>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w:t>
      </w:r>
      <w:r w:rsidRPr="000821FA">
        <w:rPr>
          <w:rFonts w:cs="Times New Roman"/>
          <w:i/>
        </w:rPr>
        <w:t>Al-</w:t>
      </w:r>
      <w:proofErr w:type="spellStart"/>
      <w:r w:rsidRPr="000821FA">
        <w:rPr>
          <w:rFonts w:cs="Times New Roman"/>
          <w:i/>
        </w:rPr>
        <w:t>Ghamdi</w:t>
      </w:r>
      <w:proofErr w:type="spellEnd"/>
      <w:r w:rsidRPr="000821FA">
        <w:rPr>
          <w:rFonts w:cs="Times New Roman"/>
          <w:i/>
        </w:rPr>
        <w:t xml:space="preserve"> v. Canada (Minister of Foreign Affairs </w:t>
      </w:r>
      <w:r w:rsidR="000826B9">
        <w:rPr>
          <w:rFonts w:cs="Times New Roman"/>
          <w:i/>
        </w:rPr>
        <w:t>and</w:t>
      </w:r>
      <w:r w:rsidRPr="000821FA">
        <w:rPr>
          <w:rFonts w:cs="Times New Roman"/>
          <w:i/>
        </w:rPr>
        <w:t xml:space="preserve"> International Trade)</w:t>
      </w:r>
      <w:r w:rsidRPr="000821FA">
        <w:rPr>
          <w:rFonts w:cs="Times New Roman"/>
        </w:rPr>
        <w:t xml:space="preserve">, 2007 FC 559, 64 </w:t>
      </w:r>
      <w:proofErr w:type="spellStart"/>
      <w:r w:rsidRPr="000821FA">
        <w:rPr>
          <w:rFonts w:cs="Times New Roman"/>
        </w:rPr>
        <w:t>Imm</w:t>
      </w:r>
      <w:proofErr w:type="spellEnd"/>
      <w:r w:rsidRPr="000821FA">
        <w:rPr>
          <w:rFonts w:cs="Times New Roman"/>
        </w:rPr>
        <w:t xml:space="preserve">. L.R. (3d) 67, a case which was referred to in the analyst’s report and which we will discuss in greater detail below, the Federal Court, at para. 53, quoted a passage by Professor </w:t>
      </w:r>
      <w:proofErr w:type="spellStart"/>
      <w:r w:rsidRPr="000821FA">
        <w:rPr>
          <w:rFonts w:cs="Times New Roman"/>
        </w:rPr>
        <w:t>Brownlie</w:t>
      </w:r>
      <w:proofErr w:type="spellEnd"/>
      <w:r w:rsidRPr="000821FA">
        <w:rPr>
          <w:rFonts w:cs="Times New Roman"/>
        </w:rPr>
        <w:t xml:space="preserve"> on this point:</w:t>
      </w:r>
    </w:p>
    <w:p w:rsidR="008B0231" w:rsidRDefault="00FF1765" w:rsidP="008B0231">
      <w:pPr>
        <w:pStyle w:val="BlockQuote"/>
        <w:spacing w:after="0" w:line="240" w:lineRule="auto"/>
        <w:ind w:left="1440" w:right="0"/>
        <w:jc w:val="both"/>
        <w:rPr>
          <w:rFonts w:cs="Times New Roman"/>
        </w:rPr>
      </w:pPr>
      <w:r>
        <w:rPr>
          <w:rFonts w:cs="Times New Roman"/>
        </w:rPr>
        <w:t xml:space="preserve">. . . </w:t>
      </w:r>
      <w:r w:rsidR="008B0231" w:rsidRPr="000821FA">
        <w:rPr>
          <w:rFonts w:cs="Times New Roman"/>
        </w:rPr>
        <w:t xml:space="preserve">Of particular interest are the special rules relating to the </w:t>
      </w:r>
      <w:r w:rsidR="008B0231" w:rsidRPr="001D3BFD">
        <w:rPr>
          <w:rFonts w:cs="Times New Roman"/>
          <w:i/>
          <w:iCs/>
        </w:rPr>
        <w:t>jus soli</w:t>
      </w:r>
      <w:r w:rsidR="008B0231" w:rsidRPr="000821FA">
        <w:rPr>
          <w:rFonts w:cs="Times New Roman"/>
        </w:rPr>
        <w:t>, appearing as exceptions to that principle, the effect of the exceptions being to remove the cases where its application is clearly unjustifiable. A rule which has very considerable authority stipulated that children born to persons having diplomatic immunity shall not be nationals by birth of the state to which the diplomatic agent concerned is accredited. Thirteen governments stated the exception in the preliminaries of the Hague Codification Conference. In a comment on the relevant article of the Harvard draft on diplomatic privileges and immunities it is stated: ‘This article is believed to be declaratory of an established rule of international law’. The rule receives ample support from legislation of states and expert opinion. The Convention on Certain Questions relating to the Conflict of Nationality Laws of 1930 provides in Article 12: ‘Rules of law whi</w:t>
      </w:r>
      <w:r w:rsidR="00EA06FD">
        <w:rPr>
          <w:rFonts w:cs="Times New Roman"/>
        </w:rPr>
        <w:t>ch confer nationality by reason</w:t>
      </w:r>
      <w:r w:rsidR="008B0231" w:rsidRPr="000821FA">
        <w:rPr>
          <w:rFonts w:cs="Times New Roman"/>
        </w:rPr>
        <w:t xml:space="preserve"> of birth on the territory of a State shall not apply automatically to children born to persons enjoying diplomatic immunities in the country where the birth occurs.’</w:t>
      </w:r>
    </w:p>
    <w:p w:rsidR="008B0231" w:rsidRPr="009464C7" w:rsidRDefault="008B0231" w:rsidP="008B0231"/>
    <w:p w:rsidR="008B0231" w:rsidRDefault="00EA06FD" w:rsidP="00EA06FD">
      <w:pPr>
        <w:pStyle w:val="BlockQuote"/>
        <w:tabs>
          <w:tab w:val="left" w:pos="1800"/>
        </w:tabs>
        <w:spacing w:after="0" w:line="240" w:lineRule="auto"/>
        <w:ind w:left="1440" w:right="0"/>
        <w:jc w:val="both"/>
        <w:rPr>
          <w:rFonts w:cs="Times New Roman"/>
        </w:rPr>
      </w:pPr>
      <w:r>
        <w:rPr>
          <w:rFonts w:cs="Times New Roman"/>
        </w:rPr>
        <w:lastRenderedPageBreak/>
        <w:tab/>
      </w:r>
      <w:r w:rsidR="008B0231" w:rsidRPr="000821FA">
        <w:rPr>
          <w:rFonts w:cs="Times New Roman"/>
        </w:rPr>
        <w:t>In 1961 the United Nations Conference on Diplomatic Intercourse and Immunities adopted an Optional Protocol concerning Acquisition of Nationality, which provided in Article II: ‘Members of the mission not being nationals of the receiving State, and members of their families forming part of their household, shall not, solely by the operation of the law of the receiving State, acquire the nationality of that State’. Some states extend the rule to the children of consuls, and there is some support for this from expe</w:t>
      </w:r>
      <w:r>
        <w:rPr>
          <w:rFonts w:cs="Times New Roman"/>
        </w:rPr>
        <w:t>rt opinion. [</w:t>
      </w:r>
      <w:r w:rsidR="00566AC5">
        <w:rPr>
          <w:rFonts w:cs="Times New Roman"/>
        </w:rPr>
        <w:t>Footnotes omitted</w:t>
      </w:r>
      <w:r>
        <w:rPr>
          <w:rFonts w:cs="Times New Roman"/>
        </w:rPr>
        <w:t>.]</w:t>
      </w:r>
    </w:p>
    <w:p w:rsidR="008B0231" w:rsidRPr="00B42060" w:rsidRDefault="008B0231" w:rsidP="008B0231"/>
    <w:p w:rsidR="008B0231" w:rsidRPr="000821FA" w:rsidRDefault="008B0231" w:rsidP="00AB387D">
      <w:pPr>
        <w:pStyle w:val="BlockQuote"/>
        <w:spacing w:after="720" w:line="240" w:lineRule="auto"/>
        <w:ind w:left="0"/>
        <w:jc w:val="both"/>
        <w:rPr>
          <w:rFonts w:cs="Times New Roman"/>
        </w:rPr>
      </w:pPr>
      <w:r w:rsidRPr="000821FA">
        <w:rPr>
          <w:rFonts w:cs="Times New Roman"/>
        </w:rPr>
        <w:t>(</w:t>
      </w:r>
      <w:proofErr w:type="spellStart"/>
      <w:r w:rsidRPr="000821FA">
        <w:rPr>
          <w:rFonts w:cs="Times New Roman"/>
        </w:rPr>
        <w:t>Brownlie</w:t>
      </w:r>
      <w:proofErr w:type="spellEnd"/>
      <w:r w:rsidR="009420D2">
        <w:rPr>
          <w:rFonts w:cs="Times New Roman"/>
        </w:rPr>
        <w:t>, at pp. 392-93)</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Mr. </w:t>
      </w:r>
      <w:proofErr w:type="spellStart"/>
      <w:r w:rsidRPr="000821FA">
        <w:rPr>
          <w:rFonts w:cs="Times New Roman"/>
        </w:rPr>
        <w:t>Vavilov</w:t>
      </w:r>
      <w:proofErr w:type="spellEnd"/>
      <w:r w:rsidRPr="000821FA">
        <w:rPr>
          <w:rFonts w:cs="Times New Roman"/>
        </w:rPr>
        <w:t xml:space="preserve"> included relevant excerpts from the parliamentary debate that had preceded the enactment of the </w:t>
      </w:r>
      <w:r w:rsidRPr="000821FA">
        <w:rPr>
          <w:rFonts w:cs="Times New Roman"/>
          <w:i/>
        </w:rPr>
        <w:t xml:space="preserve">Citizenship Act </w:t>
      </w:r>
      <w:r w:rsidRPr="000821FA">
        <w:rPr>
          <w:rFonts w:cs="Times New Roman"/>
        </w:rPr>
        <w:t>in support of his argument that the very purpose of s. 3(2) of the</w:t>
      </w:r>
      <w:r w:rsidRPr="000821FA">
        <w:rPr>
          <w:rFonts w:cs="Times New Roman"/>
          <w:i/>
        </w:rPr>
        <w:t xml:space="preserve"> Citizenship Act</w:t>
      </w:r>
      <w:r w:rsidRPr="000821FA">
        <w:rPr>
          <w:rFonts w:cs="Times New Roman"/>
        </w:rPr>
        <w:t xml:space="preserve"> was to align Canada’s citizenship rules with these principles of international law. These excerpts describe s. 3(2) as “conform[</w:t>
      </w:r>
      <w:proofErr w:type="spellStart"/>
      <w:r w:rsidRPr="000821FA">
        <w:rPr>
          <w:rFonts w:cs="Times New Roman"/>
        </w:rPr>
        <w:t>ing</w:t>
      </w:r>
      <w:proofErr w:type="spellEnd"/>
      <w:r w:rsidRPr="000821FA">
        <w:rPr>
          <w:rFonts w:cs="Times New Roman"/>
        </w:rPr>
        <w:t>] to international custom” and as having been drafted with the intention of “</w:t>
      </w:r>
      <w:proofErr w:type="spellStart"/>
      <w:r w:rsidRPr="000821FA">
        <w:rPr>
          <w:rFonts w:cs="Times New Roman"/>
        </w:rPr>
        <w:t>exclud</w:t>
      </w:r>
      <w:proofErr w:type="spellEnd"/>
      <w:r w:rsidRPr="000821FA">
        <w:rPr>
          <w:rFonts w:cs="Times New Roman"/>
        </w:rPr>
        <w:t>[</w:t>
      </w:r>
      <w:proofErr w:type="spellStart"/>
      <w:r w:rsidRPr="000821FA">
        <w:rPr>
          <w:rFonts w:cs="Times New Roman"/>
        </w:rPr>
        <w:t>ing</w:t>
      </w:r>
      <w:proofErr w:type="spellEnd"/>
      <w:r w:rsidRPr="000821FA">
        <w:rPr>
          <w:rFonts w:cs="Times New Roman"/>
        </w:rPr>
        <w:t xml:space="preserve">] children born in Canada to diplomats from becoming Canadian citizens”: Hon. J. Hugh Faulkner, Secretary of State of Canada, House of Commons, </w:t>
      </w:r>
      <w:r w:rsidRPr="000821FA">
        <w:rPr>
          <w:rFonts w:cs="Times New Roman"/>
          <w:i/>
        </w:rPr>
        <w:t>Minutes of Proceedings and Evidence of the Standing Committee on Broadcasting, Fil</w:t>
      </w:r>
      <w:r w:rsidR="00A501D4">
        <w:rPr>
          <w:rFonts w:cs="Times New Roman"/>
          <w:i/>
        </w:rPr>
        <w:t>ms and Assistance to the Arts, R</w:t>
      </w:r>
      <w:r w:rsidRPr="000821FA">
        <w:rPr>
          <w:rFonts w:cs="Times New Roman"/>
          <w:i/>
        </w:rPr>
        <w:t>especting Bill C-20</w:t>
      </w:r>
      <w:r w:rsidRPr="00430D10">
        <w:rPr>
          <w:rFonts w:cs="Times New Roman"/>
          <w:i/>
        </w:rPr>
        <w:t>,</w:t>
      </w:r>
      <w:r w:rsidRPr="000821FA">
        <w:rPr>
          <w:rFonts w:cs="Times New Roman"/>
        </w:rPr>
        <w:t xml:space="preserve"> </w:t>
      </w:r>
      <w:r w:rsidRPr="000821FA">
        <w:rPr>
          <w:rFonts w:cs="Times New Roman"/>
          <w:i/>
        </w:rPr>
        <w:t>An Act respecting citizenship</w:t>
      </w:r>
      <w:r>
        <w:rPr>
          <w:rFonts w:cs="Times New Roman"/>
        </w:rPr>
        <w:t xml:space="preserve">, </w:t>
      </w:r>
      <w:r w:rsidRPr="000821FA">
        <w:rPr>
          <w:rFonts w:cs="Times New Roman"/>
        </w:rPr>
        <w:t xml:space="preserve">No. 34, 1st Sess., 30th </w:t>
      </w:r>
      <w:r>
        <w:rPr>
          <w:rFonts w:cs="Times New Roman"/>
        </w:rPr>
        <w:t xml:space="preserve">Parl., February 24, 1976, at </w:t>
      </w:r>
      <w:r w:rsidR="00296AAF">
        <w:rPr>
          <w:rFonts w:cs="Times New Roman"/>
        </w:rPr>
        <w:t>p. </w:t>
      </w:r>
      <w:r w:rsidRPr="000821FA">
        <w:rPr>
          <w:rFonts w:cs="Times New Roman"/>
        </w:rPr>
        <w:t>34:23. The record of that debate also</w:t>
      </w:r>
      <w:r w:rsidRPr="000821FA">
        <w:rPr>
          <w:rFonts w:cs="Times New Roman"/>
          <w:i/>
        </w:rPr>
        <w:t xml:space="preserve"> </w:t>
      </w:r>
      <w:r w:rsidRPr="000821FA">
        <w:rPr>
          <w:rFonts w:cs="Times New Roman"/>
        </w:rPr>
        <w:t>reveals that Parliament took care to avoid the danger that because of how some provisions were written, “</w:t>
      </w:r>
      <w:proofErr w:type="gramStart"/>
      <w:r w:rsidRPr="000821FA">
        <w:rPr>
          <w:rFonts w:cs="Times New Roman"/>
        </w:rPr>
        <w:t>a</w:t>
      </w:r>
      <w:proofErr w:type="gramEnd"/>
      <w:r w:rsidRPr="000821FA">
        <w:rPr>
          <w:rFonts w:cs="Times New Roman"/>
        </w:rPr>
        <w:t xml:space="preserve"> number of other people would be affected such as those working for large foreign corporations”: </w:t>
      </w:r>
      <w:r w:rsidRPr="000821FA">
        <w:rPr>
          <w:rFonts w:cs="Times New Roman"/>
          <w:i/>
        </w:rPr>
        <w:t>ibid</w:t>
      </w:r>
      <w:r w:rsidRPr="000821FA">
        <w:rPr>
          <w:rFonts w:cs="Times New Roman"/>
        </w:rPr>
        <w:t xml:space="preserve">. Although the analyst discussed the textual difference between s. 3(2) and a similar provision in the former </w:t>
      </w:r>
      <w:r w:rsidRPr="000821FA">
        <w:rPr>
          <w:rFonts w:cs="Times New Roman"/>
          <w:i/>
        </w:rPr>
        <w:t>Canadian Citizenship Act</w:t>
      </w:r>
      <w:r w:rsidRPr="000821FA">
        <w:rPr>
          <w:rFonts w:cs="Times New Roman"/>
        </w:rPr>
        <w:t xml:space="preserve">, she did not grapple with these other elements of the legislative history, despite the fact that they cast considerable doubt on her conclusions, indicating that </w:t>
      </w:r>
      <w:r w:rsidRPr="000821FA">
        <w:rPr>
          <w:rFonts w:cs="Times New Roman"/>
        </w:rPr>
        <w:lastRenderedPageBreak/>
        <w:t>s. 3(2) was not intended to affect the status of individuals whose parents have not been granted diplomatic privileges and immunities.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attempting to distinguish the meaning of the phrase “other representative or employee in Canada of a foreign government” from that of the term “diplomatic or consular officer”, the analyst also appeared to overlook the possibility that some individuals who fall into the former category might be granted privileges or immunities despite not being considered “diplomatic or consular officer[s]” under the </w:t>
      </w:r>
      <w:r w:rsidRPr="000821FA">
        <w:rPr>
          <w:rFonts w:cs="Times New Roman"/>
          <w:i/>
        </w:rPr>
        <w:t>Interpretation Act</w:t>
      </w:r>
      <w:r w:rsidRPr="000821FA">
        <w:rPr>
          <w:rFonts w:cs="Times New Roman"/>
        </w:rPr>
        <w:t xml:space="preserve">. Yet, as the majority of the Federal Court of Appeal pointed out, such individuals do in fact exist: paras. 53-55, citing </w:t>
      </w:r>
      <w:r w:rsidRPr="000821FA">
        <w:rPr>
          <w:rFonts w:cs="Times New Roman"/>
          <w:i/>
        </w:rPr>
        <w:t>FMIOA</w:t>
      </w:r>
      <w:r w:rsidRPr="000821FA">
        <w:rPr>
          <w:rFonts w:cs="Times New Roman"/>
        </w:rPr>
        <w:t>,</w:t>
      </w:r>
      <w:r w:rsidRPr="000821FA">
        <w:rPr>
          <w:rFonts w:cs="Times New Roman"/>
          <w:i/>
        </w:rPr>
        <w:t xml:space="preserve"> </w:t>
      </w:r>
      <w:r w:rsidRPr="000821FA">
        <w:rPr>
          <w:rFonts w:cs="Times New Roman"/>
        </w:rPr>
        <w:t xml:space="preserve">at ss. 3 and 4 and Sched. II, Articles 1, 41, 43, 49, and 53. In light of Mr. </w:t>
      </w:r>
      <w:proofErr w:type="spellStart"/>
      <w:r w:rsidRPr="000821FA">
        <w:rPr>
          <w:rFonts w:cs="Times New Roman"/>
        </w:rPr>
        <w:t>Vavilov’s</w:t>
      </w:r>
      <w:proofErr w:type="spellEnd"/>
      <w:r w:rsidRPr="000821FA">
        <w:rPr>
          <w:rFonts w:cs="Times New Roman"/>
        </w:rPr>
        <w:t xml:space="preserve"> submissions regarding the purpose of s. 3(2), the failure to consider this possibility is a noticeable omission.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It is well established that domestic legislation is presumed to comply with Canada’s international obligations, and that it must be interpreted in a manner that reflects the principles of customary and conventional international law: </w:t>
      </w:r>
      <w:proofErr w:type="spellStart"/>
      <w:r w:rsidRPr="000821FA">
        <w:rPr>
          <w:rFonts w:cs="Times New Roman"/>
          <w:i/>
        </w:rPr>
        <w:t>Appulonappa</w:t>
      </w:r>
      <w:proofErr w:type="spellEnd"/>
      <w:r w:rsidRPr="000821FA">
        <w:rPr>
          <w:rFonts w:cs="Times New Roman"/>
        </w:rPr>
        <w:t xml:space="preserve">, at para. 40; see also </w:t>
      </w:r>
      <w:proofErr w:type="spellStart"/>
      <w:r w:rsidRPr="000821FA">
        <w:rPr>
          <w:rFonts w:cs="Times New Roman"/>
          <w:i/>
        </w:rPr>
        <w:t>Pushpanathan</w:t>
      </w:r>
      <w:proofErr w:type="spellEnd"/>
      <w:r w:rsidRPr="000821FA">
        <w:rPr>
          <w:rFonts w:cs="Times New Roman"/>
        </w:rPr>
        <w:t>,</w:t>
      </w:r>
      <w:r w:rsidRPr="000821FA">
        <w:rPr>
          <w:rFonts w:cs="Times New Roman"/>
          <w:i/>
        </w:rPr>
        <w:t xml:space="preserve"> </w:t>
      </w:r>
      <w:r w:rsidRPr="000821FA">
        <w:rPr>
          <w:rFonts w:cs="Times New Roman"/>
        </w:rPr>
        <w:t xml:space="preserve">at para. 51; </w:t>
      </w:r>
      <w:r w:rsidRPr="000821FA">
        <w:rPr>
          <w:rFonts w:cs="Times New Roman"/>
          <w:i/>
        </w:rPr>
        <w:t>Baker</w:t>
      </w:r>
      <w:r w:rsidRPr="000821FA">
        <w:rPr>
          <w:rFonts w:cs="Times New Roman"/>
        </w:rPr>
        <w:t>,</w:t>
      </w:r>
      <w:r w:rsidRPr="000821FA">
        <w:rPr>
          <w:rFonts w:cs="Times New Roman"/>
          <w:i/>
        </w:rPr>
        <w:t xml:space="preserve"> </w:t>
      </w:r>
      <w:r w:rsidRPr="000821FA">
        <w:rPr>
          <w:rFonts w:cs="Times New Roman"/>
        </w:rPr>
        <w:t xml:space="preserve">at para. 70; </w:t>
      </w:r>
      <w:proofErr w:type="spellStart"/>
      <w:r w:rsidRPr="000821FA">
        <w:rPr>
          <w:rFonts w:cs="Times New Roman"/>
          <w:i/>
          <w:lang w:val="en-GB"/>
        </w:rPr>
        <w:t>GreCon</w:t>
      </w:r>
      <w:proofErr w:type="spellEnd"/>
      <w:r w:rsidRPr="000821FA">
        <w:rPr>
          <w:rFonts w:cs="Times New Roman"/>
          <w:i/>
          <w:lang w:val="en-GB"/>
        </w:rPr>
        <w:t xml:space="preserve"> </w:t>
      </w:r>
      <w:proofErr w:type="spellStart"/>
      <w:r w:rsidRPr="000821FA">
        <w:rPr>
          <w:rFonts w:cs="Times New Roman"/>
          <w:i/>
          <w:lang w:val="en-GB"/>
        </w:rPr>
        <w:t>Dimter</w:t>
      </w:r>
      <w:proofErr w:type="spellEnd"/>
      <w:r w:rsidRPr="000821FA">
        <w:rPr>
          <w:rFonts w:cs="Times New Roman"/>
          <w:i/>
          <w:lang w:val="en-GB"/>
        </w:rPr>
        <w:t xml:space="preserve"> </w:t>
      </w:r>
      <w:proofErr w:type="spellStart"/>
      <w:r w:rsidRPr="000821FA">
        <w:rPr>
          <w:rFonts w:cs="Times New Roman"/>
          <w:i/>
          <w:lang w:val="en-GB"/>
        </w:rPr>
        <w:t>inc.</w:t>
      </w:r>
      <w:proofErr w:type="spellEnd"/>
      <w:r w:rsidRPr="000821FA">
        <w:rPr>
          <w:rFonts w:cs="Times New Roman"/>
          <w:i/>
          <w:lang w:val="en-GB"/>
        </w:rPr>
        <w:t xml:space="preserve"> v. J.R. Normand </w:t>
      </w:r>
      <w:proofErr w:type="spellStart"/>
      <w:r w:rsidRPr="000821FA">
        <w:rPr>
          <w:rFonts w:cs="Times New Roman"/>
          <w:i/>
          <w:lang w:val="en-GB"/>
        </w:rPr>
        <w:t>inc.</w:t>
      </w:r>
      <w:proofErr w:type="spellEnd"/>
      <w:r w:rsidRPr="000821FA">
        <w:rPr>
          <w:rFonts w:cs="Times New Roman"/>
          <w:lang w:val="en-GB"/>
        </w:rPr>
        <w:t xml:space="preserve">, 2005 SCC 46, [2005] 2 S.C.R. 401, at para. 39; </w:t>
      </w:r>
      <w:proofErr w:type="spellStart"/>
      <w:r w:rsidRPr="000821FA">
        <w:rPr>
          <w:rFonts w:cs="Times New Roman"/>
          <w:i/>
          <w:lang w:val="en-GB"/>
        </w:rPr>
        <w:t>Hape</w:t>
      </w:r>
      <w:proofErr w:type="spellEnd"/>
      <w:r w:rsidRPr="000821FA">
        <w:rPr>
          <w:rFonts w:cs="Times New Roman"/>
          <w:lang w:val="en-GB"/>
        </w:rPr>
        <w:t>,</w:t>
      </w:r>
      <w:r w:rsidRPr="000821FA">
        <w:rPr>
          <w:rFonts w:cs="Times New Roman"/>
          <w:i/>
          <w:lang w:val="en-GB"/>
        </w:rPr>
        <w:t xml:space="preserve"> </w:t>
      </w:r>
      <w:r w:rsidRPr="000821FA">
        <w:rPr>
          <w:rFonts w:cs="Times New Roman"/>
          <w:lang w:val="en-GB"/>
        </w:rPr>
        <w:t xml:space="preserve">at </w:t>
      </w:r>
      <w:r w:rsidR="00F121D1">
        <w:rPr>
          <w:rFonts w:cs="Times New Roman"/>
          <w:lang w:val="en-GB"/>
        </w:rPr>
        <w:t>paras. 53-</w:t>
      </w:r>
      <w:r w:rsidRPr="000821FA">
        <w:rPr>
          <w:rFonts w:cs="Times New Roman"/>
          <w:lang w:val="en-GB"/>
        </w:rPr>
        <w:t>54;</w:t>
      </w:r>
      <w:r w:rsidRPr="000821FA">
        <w:rPr>
          <w:rFonts w:cs="Times New Roman"/>
        </w:rPr>
        <w:t xml:space="preserve"> </w:t>
      </w:r>
      <w:r w:rsidRPr="000821FA">
        <w:rPr>
          <w:rFonts w:cs="Times New Roman"/>
          <w:i/>
        </w:rPr>
        <w:t>B010 v. Canada (Citizenship and Immigration)</w:t>
      </w:r>
      <w:r w:rsidRPr="000821FA">
        <w:rPr>
          <w:rFonts w:cs="Times New Roman"/>
        </w:rPr>
        <w:t>,</w:t>
      </w:r>
      <w:r w:rsidRPr="000821FA">
        <w:rPr>
          <w:rFonts w:cs="Times New Roman"/>
          <w:i/>
        </w:rPr>
        <w:t xml:space="preserve"> </w:t>
      </w:r>
      <w:r w:rsidRPr="000821FA">
        <w:rPr>
          <w:rFonts w:cs="Times New Roman"/>
        </w:rPr>
        <w:t xml:space="preserve">2015 SCC 58, </w:t>
      </w:r>
      <w:r w:rsidRPr="000821FA">
        <w:rPr>
          <w:rFonts w:cs="Times New Roman"/>
          <w:lang w:val="en-GB"/>
        </w:rPr>
        <w:t xml:space="preserve">[2015] 3 S.C.R. 704, </w:t>
      </w:r>
      <w:r w:rsidRPr="000821FA">
        <w:rPr>
          <w:rFonts w:cs="Times New Roman"/>
        </w:rPr>
        <w:t xml:space="preserve">at para. 48; </w:t>
      </w:r>
      <w:r w:rsidRPr="000821FA">
        <w:rPr>
          <w:rFonts w:cs="Times New Roman"/>
          <w:i/>
          <w:iCs/>
          <w:lang w:bidi="en-US"/>
        </w:rPr>
        <w:t xml:space="preserve">India v. </w:t>
      </w:r>
      <w:proofErr w:type="spellStart"/>
      <w:r w:rsidRPr="000821FA">
        <w:rPr>
          <w:rFonts w:cs="Times New Roman"/>
          <w:i/>
          <w:iCs/>
          <w:lang w:bidi="en-US"/>
        </w:rPr>
        <w:t>Badesha</w:t>
      </w:r>
      <w:proofErr w:type="spellEnd"/>
      <w:r w:rsidRPr="000821FA">
        <w:rPr>
          <w:rFonts w:cs="Times New Roman"/>
          <w:iCs/>
          <w:lang w:bidi="en-US"/>
        </w:rPr>
        <w:t>,</w:t>
      </w:r>
      <w:r w:rsidRPr="000821FA">
        <w:rPr>
          <w:rFonts w:cs="Times New Roman"/>
          <w:lang w:bidi="en-US"/>
        </w:rPr>
        <w:t xml:space="preserve"> 2017 SCC 44, [2017] 2 S.C.R. 127, at para. 38; </w:t>
      </w:r>
      <w:r w:rsidRPr="000821FA">
        <w:rPr>
          <w:rFonts w:cs="Times New Roman"/>
          <w:i/>
          <w:lang w:bidi="en-US"/>
        </w:rPr>
        <w:t xml:space="preserve">Office of the Children’s Lawyer v. </w:t>
      </w:r>
      <w:proofErr w:type="spellStart"/>
      <w:r w:rsidRPr="000821FA">
        <w:rPr>
          <w:rFonts w:cs="Times New Roman"/>
          <w:i/>
          <w:lang w:bidi="en-US"/>
        </w:rPr>
        <w:t>Balev</w:t>
      </w:r>
      <w:proofErr w:type="spellEnd"/>
      <w:r w:rsidRPr="000821FA">
        <w:rPr>
          <w:rFonts w:cs="Times New Roman"/>
          <w:lang w:bidi="en-US"/>
        </w:rPr>
        <w:t>, 2018 SCC 16, [2018] 1 S.C.R. 398, at paras. 31-32. Yet the analyst did not refer to the relevant international law, did not inquire into Parliament’s purpose in enacting s. 3(2) and did not resp</w:t>
      </w:r>
      <w:r w:rsidR="00F121D1">
        <w:rPr>
          <w:rFonts w:cs="Times New Roman"/>
          <w:lang w:bidi="en-US"/>
        </w:rPr>
        <w:t>ond to Mr. </w:t>
      </w:r>
      <w:proofErr w:type="spellStart"/>
      <w:r w:rsidRPr="000821FA">
        <w:rPr>
          <w:rFonts w:cs="Times New Roman"/>
          <w:lang w:bidi="en-US"/>
        </w:rPr>
        <w:t>Vavilov’s</w:t>
      </w:r>
      <w:proofErr w:type="spellEnd"/>
      <w:r w:rsidRPr="000821FA">
        <w:rPr>
          <w:rFonts w:cs="Times New Roman"/>
          <w:lang w:bidi="en-US"/>
        </w:rPr>
        <w:t xml:space="preserve"> </w:t>
      </w:r>
      <w:r w:rsidRPr="000821FA">
        <w:rPr>
          <w:rFonts w:cs="Times New Roman"/>
          <w:lang w:bidi="en-US"/>
        </w:rPr>
        <w:lastRenderedPageBreak/>
        <w:t>submissions on this issue. Nor did she advance any alternate explanation for why Parliament would craft such a provision in the first place.</w:t>
      </w:r>
      <w:r w:rsidRPr="000821FA">
        <w:rPr>
          <w:rFonts w:cs="Times New Roman"/>
        </w:rPr>
        <w:t xml:space="preserve"> In the face of compelling submissions that the underlying rationale of s. 3(2) was to implement a narrow exception to a general rule in a manner that was consistent with established principles of international law, the analyst and the Registrar chose a different interpretation without offering any reasoned explanation for doing so.</w:t>
      </w:r>
    </w:p>
    <w:p w:rsidR="008B0231" w:rsidRPr="000821FA" w:rsidRDefault="00DF2384"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Jurisprudence Interpreting Section 3(2) of the Citizenship Act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Although the analyst cited three Federal Court decisions on </w:t>
      </w:r>
      <w:r w:rsidRPr="000821FA">
        <w:rPr>
          <w:rFonts w:cs="Times New Roman"/>
          <w:lang w:val="en-US"/>
        </w:rPr>
        <w:t>s. 3(2</w:t>
      </w:r>
      <w:proofErr w:type="gramStart"/>
      <w:r w:rsidRPr="000821FA">
        <w:rPr>
          <w:rFonts w:cs="Times New Roman"/>
          <w:lang w:val="en-US"/>
        </w:rPr>
        <w:t>)(</w:t>
      </w:r>
      <w:proofErr w:type="gramEnd"/>
      <w:r w:rsidRPr="000821FA">
        <w:rPr>
          <w:rFonts w:cs="Times New Roman"/>
          <w:lang w:val="en-US"/>
        </w:rPr>
        <w:t xml:space="preserve">a) of the </w:t>
      </w:r>
      <w:r w:rsidRPr="000821FA">
        <w:rPr>
          <w:rFonts w:cs="Times New Roman"/>
          <w:i/>
          <w:lang w:val="en-US"/>
        </w:rPr>
        <w:t>Citizenship Act</w:t>
      </w:r>
      <w:r w:rsidRPr="000821FA">
        <w:rPr>
          <w:rFonts w:cs="Times New Roman"/>
          <w:lang w:val="en-US"/>
        </w:rPr>
        <w:t xml:space="preserve"> in a footnote</w:t>
      </w:r>
      <w:r w:rsidRPr="000821FA">
        <w:rPr>
          <w:rFonts w:cs="Times New Roman"/>
        </w:rPr>
        <w:t>, she dismissed them as being irrelevant on the basis that they related only to “individuals whose parents maintained diplomatic status in Canada at the time of their birth”</w:t>
      </w:r>
      <w:r w:rsidR="00185A08">
        <w:rPr>
          <w:rFonts w:cs="Times New Roman"/>
        </w:rPr>
        <w:t>: A.R., vol. I, at p. 7</w:t>
      </w:r>
      <w:r w:rsidRPr="000821FA">
        <w:rPr>
          <w:rFonts w:cs="Times New Roman"/>
        </w:rPr>
        <w:t xml:space="preserve">. But this distinction, while true, does not explain why the </w:t>
      </w:r>
      <w:r w:rsidRPr="000821FA">
        <w:rPr>
          <w:rFonts w:cs="Times New Roman"/>
          <w:i/>
        </w:rPr>
        <w:t>reasoning</w:t>
      </w:r>
      <w:r w:rsidRPr="000821FA">
        <w:rPr>
          <w:rFonts w:cs="Times New Roman"/>
        </w:rPr>
        <w:t xml:space="preserve"> employed in those decisions, which directly concerned the scope, the meaning and the legislative purpose of s. 3(2)(a), was inapplicable in Mr. </w:t>
      </w:r>
      <w:proofErr w:type="spellStart"/>
      <w:r w:rsidRPr="000821FA">
        <w:rPr>
          <w:rFonts w:cs="Times New Roman"/>
        </w:rPr>
        <w:t>Vavilov’s</w:t>
      </w:r>
      <w:proofErr w:type="spellEnd"/>
      <w:r w:rsidRPr="000821FA">
        <w:rPr>
          <w:rFonts w:cs="Times New Roman"/>
        </w:rPr>
        <w:t xml:space="preserve"> case. Had the analyst considered just the three cases cited in her report — </w:t>
      </w:r>
      <w:r w:rsidRPr="000821FA">
        <w:rPr>
          <w:rFonts w:cs="Times New Roman"/>
          <w:i/>
        </w:rPr>
        <w:t>Al-</w:t>
      </w:r>
      <w:proofErr w:type="spellStart"/>
      <w:r w:rsidRPr="000821FA">
        <w:rPr>
          <w:rFonts w:cs="Times New Roman"/>
          <w:i/>
        </w:rPr>
        <w:t>Ghamdi</w:t>
      </w:r>
      <w:proofErr w:type="spellEnd"/>
      <w:r w:rsidRPr="000821FA">
        <w:rPr>
          <w:rFonts w:cs="Times New Roman"/>
        </w:rPr>
        <w:t xml:space="preserve">; </w:t>
      </w:r>
      <w:r w:rsidRPr="000821FA">
        <w:rPr>
          <w:rFonts w:cs="Times New Roman"/>
          <w:i/>
        </w:rPr>
        <w:t>Lee v. Canada (Minister of Citizenship and Immigration)</w:t>
      </w:r>
      <w:r w:rsidRPr="000821FA">
        <w:rPr>
          <w:rFonts w:cs="Times New Roman"/>
        </w:rPr>
        <w:t>,</w:t>
      </w:r>
      <w:r w:rsidRPr="000821FA">
        <w:rPr>
          <w:rFonts w:cs="Times New Roman"/>
          <w:i/>
        </w:rPr>
        <w:t xml:space="preserve"> </w:t>
      </w:r>
      <w:r w:rsidRPr="000821FA">
        <w:rPr>
          <w:rFonts w:cs="Times New Roman"/>
        </w:rPr>
        <w:t xml:space="preserve">2008 FC 614, [2009] 1 F.C.R. 204; and </w:t>
      </w:r>
      <w:proofErr w:type="spellStart"/>
      <w:r w:rsidRPr="000821FA">
        <w:rPr>
          <w:rFonts w:cs="Times New Roman"/>
          <w:i/>
        </w:rPr>
        <w:t>Hitti</w:t>
      </w:r>
      <w:proofErr w:type="spellEnd"/>
      <w:r w:rsidRPr="000821FA">
        <w:rPr>
          <w:rFonts w:cs="Times New Roman"/>
          <w:i/>
        </w:rPr>
        <w:t xml:space="preserve"> v. Canada (Minister of Citizenship and Immigration)</w:t>
      </w:r>
      <w:r w:rsidRPr="000821FA">
        <w:rPr>
          <w:rFonts w:cs="Times New Roman"/>
        </w:rPr>
        <w:t>, 2007 FC 294, 310 F.T.R. 16</w:t>
      </w:r>
      <w:r w:rsidR="00B70ACE">
        <w:rPr>
          <w:rFonts w:cs="Times New Roman"/>
        </w:rPr>
        <w:t>8</w:t>
      </w:r>
      <w:r w:rsidRPr="000821FA">
        <w:rPr>
          <w:rFonts w:cs="Times New Roman"/>
        </w:rPr>
        <w:t xml:space="preserve"> — it would have been evident to her that she needed to grapple with and justify her interpretation in light of the persuasive and comprehensive legal reasoning that supports the position that s. 3(2)(a) was intended to apply only to those individuals whose parents have been granted diplomatic privileges and immunities.</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 xml:space="preserve">In </w:t>
      </w:r>
      <w:r w:rsidRPr="000821FA">
        <w:rPr>
          <w:rFonts w:cs="Times New Roman"/>
          <w:i/>
        </w:rPr>
        <w:t>Al-</w:t>
      </w:r>
      <w:proofErr w:type="spellStart"/>
      <w:r w:rsidRPr="000821FA">
        <w:rPr>
          <w:rFonts w:cs="Times New Roman"/>
          <w:i/>
        </w:rPr>
        <w:t>Ghamdi</w:t>
      </w:r>
      <w:proofErr w:type="spellEnd"/>
      <w:r w:rsidRPr="000821FA">
        <w:rPr>
          <w:rFonts w:cs="Times New Roman"/>
        </w:rPr>
        <w:t xml:space="preserve">, the Federal Court considered the constitutionality of paras. (a) and (c) of s. 3(2) of the </w:t>
      </w:r>
      <w:r w:rsidRPr="000821FA">
        <w:rPr>
          <w:rFonts w:cs="Times New Roman"/>
          <w:i/>
        </w:rPr>
        <w:t>Citizenship Act</w:t>
      </w:r>
      <w:r w:rsidRPr="000821FA">
        <w:rPr>
          <w:rFonts w:cs="Times New Roman"/>
        </w:rPr>
        <w:t xml:space="preserve"> in reviewing a decision in which Passport Canada had refused to issue a passport to a child of a Saudi Arabian diplomat. In its reasons, the court came to a number of conclusions regarding the purpose and scope of s. 3(</w:t>
      </w:r>
      <w:r w:rsidR="00A90C1B">
        <w:rPr>
          <w:rFonts w:cs="Times New Roman"/>
        </w:rPr>
        <w:t>2), including, at para. 5, that</w:t>
      </w:r>
      <w:r w:rsidRPr="000821FA">
        <w:rPr>
          <w:rFonts w:cs="Times New Roman"/>
        </w:rPr>
        <w:t xml:space="preserve"> </w:t>
      </w:r>
    </w:p>
    <w:p w:rsidR="008B0231" w:rsidRPr="000821FA" w:rsidRDefault="00A90C1B" w:rsidP="00273AC5">
      <w:pPr>
        <w:pStyle w:val="BlockQuote"/>
        <w:spacing w:after="0" w:line="240" w:lineRule="auto"/>
        <w:ind w:left="1170" w:right="0" w:firstLine="360"/>
        <w:jc w:val="both"/>
        <w:rPr>
          <w:rFonts w:cs="Times New Roman"/>
        </w:rPr>
      </w:pPr>
      <w:r>
        <w:rPr>
          <w:rFonts w:cs="Times New Roman"/>
        </w:rPr>
        <w:t>[t]</w:t>
      </w:r>
      <w:r w:rsidR="008B0231" w:rsidRPr="000821FA">
        <w:rPr>
          <w:rFonts w:cs="Times New Roman"/>
        </w:rPr>
        <w:t>he only individuals covered in paragraphs 3(2</w:t>
      </w:r>
      <w:proofErr w:type="gramStart"/>
      <w:r w:rsidR="008B0231" w:rsidRPr="000821FA">
        <w:rPr>
          <w:rFonts w:cs="Times New Roman"/>
        </w:rPr>
        <w:t>)(</w:t>
      </w:r>
      <w:proofErr w:type="gramEnd"/>
      <w:r w:rsidR="008B0231" w:rsidRPr="000821FA">
        <w:rPr>
          <w:rFonts w:cs="Times New Roman"/>
        </w:rPr>
        <w:t xml:space="preserve">a) and (c) of the </w:t>
      </w:r>
      <w:r w:rsidR="008B0231" w:rsidRPr="000821FA">
        <w:rPr>
          <w:rFonts w:cs="Times New Roman"/>
          <w:i/>
        </w:rPr>
        <w:t>Citizenship Act</w:t>
      </w:r>
      <w:r w:rsidR="008B0231" w:rsidRPr="000821FA">
        <w:rPr>
          <w:rFonts w:cs="Times New Roman"/>
        </w:rPr>
        <w:t xml:space="preserve"> are children of individuals with diplomatic status. These are individuals who enter Canada under special circumstances and without undergoing any of the normal procedures. Most importantly, while in Canada, they are granted all of the immunities and privileges of </w:t>
      </w:r>
      <w:proofErr w:type="gramStart"/>
      <w:r w:rsidR="008B0231" w:rsidRPr="000821FA">
        <w:rPr>
          <w:rFonts w:cs="Times New Roman"/>
        </w:rPr>
        <w:t>diplomats .</w:t>
      </w:r>
      <w:proofErr w:type="gramEnd"/>
      <w:r w:rsidR="00B6233B">
        <w:rPr>
          <w:rFonts w:cs="Times New Roman"/>
        </w:rPr>
        <w:t> </w:t>
      </w:r>
      <w:r w:rsidR="008B0231" w:rsidRPr="000821FA">
        <w:rPr>
          <w:rFonts w:cs="Times New Roman"/>
        </w:rPr>
        <w:t>.</w:t>
      </w:r>
      <w:r w:rsidR="00B6233B">
        <w:rPr>
          <w:rFonts w:cs="Times New Roman"/>
        </w:rPr>
        <w:t> </w:t>
      </w:r>
      <w:r w:rsidR="008B0231" w:rsidRPr="000821FA">
        <w:rPr>
          <w:rFonts w:cs="Times New Roman"/>
        </w:rPr>
        <w:t>.</w:t>
      </w:r>
      <w:r w:rsidR="00B6233B">
        <w:rPr>
          <w:rFonts w:cs="Times New Roman"/>
        </w:rPr>
        <w:t> </w:t>
      </w:r>
      <w:r w:rsidR="008B0231" w:rsidRPr="000821FA">
        <w:rPr>
          <w:rFonts w:cs="Times New Roman"/>
        </w:rPr>
        <w:t>.</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The court went on to extensively document the link between the exception to the rule of citizenship by birth set out in s. 3(2) of the </w:t>
      </w:r>
      <w:r w:rsidRPr="000821FA">
        <w:rPr>
          <w:rFonts w:cs="Times New Roman"/>
          <w:i/>
        </w:rPr>
        <w:t>Citizenship</w:t>
      </w:r>
      <w:r w:rsidRPr="000821FA">
        <w:rPr>
          <w:rFonts w:cs="Times New Roman"/>
        </w:rPr>
        <w:t xml:space="preserve"> </w:t>
      </w:r>
      <w:r w:rsidRPr="000821FA">
        <w:rPr>
          <w:rFonts w:cs="Times New Roman"/>
          <w:i/>
        </w:rPr>
        <w:t>Act</w:t>
      </w:r>
      <w:r w:rsidRPr="000821FA">
        <w:rPr>
          <w:rFonts w:cs="Times New Roman"/>
        </w:rPr>
        <w:t xml:space="preserve"> and the rules of international law, the </w:t>
      </w:r>
      <w:r w:rsidRPr="000821FA">
        <w:rPr>
          <w:rFonts w:cs="Times New Roman"/>
          <w:i/>
        </w:rPr>
        <w:t>FMIOA</w:t>
      </w:r>
      <w:r w:rsidRPr="000821FA">
        <w:rPr>
          <w:rFonts w:cs="Times New Roman"/>
        </w:rPr>
        <w:t xml:space="preserve"> and the </w:t>
      </w:r>
      <w:r w:rsidRPr="000821FA">
        <w:rPr>
          <w:rFonts w:cs="Times New Roman"/>
          <w:i/>
        </w:rPr>
        <w:t>VCDR</w:t>
      </w:r>
      <w:r w:rsidRPr="000821FA">
        <w:rPr>
          <w:rFonts w:cs="Times New Roman"/>
        </w:rPr>
        <w:t xml:space="preserve">: </w:t>
      </w:r>
      <w:r w:rsidRPr="000821FA">
        <w:rPr>
          <w:rFonts w:cs="Times New Roman"/>
          <w:i/>
        </w:rPr>
        <w:t>Al-</w:t>
      </w:r>
      <w:proofErr w:type="spellStart"/>
      <w:r w:rsidRPr="000821FA">
        <w:rPr>
          <w:rFonts w:cs="Times New Roman"/>
          <w:i/>
        </w:rPr>
        <w:t>Ghamdi</w:t>
      </w:r>
      <w:proofErr w:type="spellEnd"/>
      <w:r w:rsidR="000A3DFF">
        <w:rPr>
          <w:rFonts w:cs="Times New Roman"/>
        </w:rPr>
        <w:t>, at paras. 52 et</w:t>
      </w:r>
      <w:r w:rsidRPr="000821FA">
        <w:rPr>
          <w:rFonts w:cs="Times New Roman"/>
        </w:rPr>
        <w:t xml:space="preserve"> seq. It noted that there is an established rule of international law that children born to parents who enjoy diplomatic immunities are not entitled to automatic citizenship by birth, and that their status in this respect is an exception to the principle of </w:t>
      </w:r>
      <w:r w:rsidRPr="000821FA">
        <w:rPr>
          <w:rFonts w:cs="Times New Roman"/>
          <w:i/>
        </w:rPr>
        <w:t>jus soli</w:t>
      </w:r>
      <w:r w:rsidRPr="000821FA">
        <w:rPr>
          <w:rFonts w:cs="Times New Roman"/>
        </w:rPr>
        <w:t xml:space="preserve">: </w:t>
      </w:r>
      <w:r w:rsidRPr="000821FA">
        <w:rPr>
          <w:rFonts w:cs="Times New Roman"/>
          <w:i/>
        </w:rPr>
        <w:t>Al-</w:t>
      </w:r>
      <w:proofErr w:type="spellStart"/>
      <w:r w:rsidRPr="000821FA">
        <w:rPr>
          <w:rFonts w:cs="Times New Roman"/>
          <w:i/>
        </w:rPr>
        <w:t>Ghamdi</w:t>
      </w:r>
      <w:proofErr w:type="spellEnd"/>
      <w:r w:rsidRPr="000821FA">
        <w:rPr>
          <w:rFonts w:cs="Times New Roman"/>
        </w:rPr>
        <w:t xml:space="preserve">, at para. 53, quoting </w:t>
      </w:r>
      <w:proofErr w:type="spellStart"/>
      <w:r w:rsidRPr="000821FA">
        <w:rPr>
          <w:rFonts w:cs="Times New Roman"/>
        </w:rPr>
        <w:t>Brownlie</w:t>
      </w:r>
      <w:proofErr w:type="spellEnd"/>
      <w:r w:rsidRPr="000821FA">
        <w:rPr>
          <w:rFonts w:cs="Times New Roman"/>
        </w:rPr>
        <w:t xml:space="preserve">, at pp. 391-93. In finding that </w:t>
      </w:r>
      <w:r w:rsidRPr="000821FA">
        <w:rPr>
          <w:rFonts w:cs="Times New Roman"/>
          <w:iCs/>
        </w:rPr>
        <w:t xml:space="preserve">the exceptions under s. 3(2) to citizenship on the basis of </w:t>
      </w:r>
      <w:r w:rsidRPr="000821FA">
        <w:rPr>
          <w:rFonts w:cs="Times New Roman"/>
          <w:i/>
          <w:iCs/>
        </w:rPr>
        <w:t xml:space="preserve">jus soli </w:t>
      </w:r>
      <w:r w:rsidRPr="000821FA">
        <w:rPr>
          <w:rFonts w:cs="Times New Roman"/>
          <w:iCs/>
        </w:rPr>
        <w:t xml:space="preserve">do not infringe the rights of children of diplomats under s. 15 of the </w:t>
      </w:r>
      <w:r w:rsidRPr="000821FA">
        <w:rPr>
          <w:rFonts w:cs="Times New Roman"/>
          <w:i/>
          <w:iCs/>
        </w:rPr>
        <w:t>Charter</w:t>
      </w:r>
      <w:r w:rsidRPr="000821FA">
        <w:rPr>
          <w:rFonts w:cs="Times New Roman"/>
          <w:iCs/>
        </w:rPr>
        <w:t xml:space="preserve">, </w:t>
      </w:r>
      <w:r w:rsidRPr="000821FA">
        <w:rPr>
          <w:rFonts w:cs="Times New Roman"/>
        </w:rPr>
        <w:t xml:space="preserve">the court emphasized that </w:t>
      </w:r>
      <w:r w:rsidRPr="000821FA">
        <w:rPr>
          <w:rFonts w:cs="Times New Roman"/>
          <w:i/>
        </w:rPr>
        <w:t xml:space="preserve">all </w:t>
      </w:r>
      <w:r w:rsidRPr="000821FA">
        <w:rPr>
          <w:rFonts w:cs="Times New Roman"/>
        </w:rPr>
        <w:t xml:space="preserve">children to whom s. 3(2) applies are entitled to an “extraordinary array of privileges under the </w:t>
      </w:r>
      <w:r w:rsidRPr="000821FA">
        <w:rPr>
          <w:rFonts w:cs="Times New Roman"/>
          <w:i/>
        </w:rPr>
        <w:t>Foreign Missions and International Organizations Act</w:t>
      </w:r>
      <w:r w:rsidRPr="000821FA">
        <w:rPr>
          <w:rFonts w:cs="Times New Roman"/>
        </w:rPr>
        <w:t>”</w:t>
      </w:r>
      <w:r w:rsidRPr="000821FA">
        <w:rPr>
          <w:rFonts w:cs="Times New Roman"/>
          <w:iCs/>
        </w:rPr>
        <w:t xml:space="preserve">: </w:t>
      </w:r>
      <w:r w:rsidRPr="000821FA">
        <w:rPr>
          <w:rFonts w:cs="Times New Roman"/>
          <w:i/>
          <w:iCs/>
        </w:rPr>
        <w:t>Al-</w:t>
      </w:r>
      <w:proofErr w:type="spellStart"/>
      <w:r w:rsidRPr="000821FA">
        <w:rPr>
          <w:rFonts w:cs="Times New Roman"/>
          <w:i/>
          <w:iCs/>
        </w:rPr>
        <w:t>Ghamdi</w:t>
      </w:r>
      <w:proofErr w:type="spellEnd"/>
      <w:r w:rsidRPr="000821FA">
        <w:rPr>
          <w:rFonts w:cs="Times New Roman"/>
          <w:iCs/>
        </w:rPr>
        <w:t xml:space="preserve">, at para. 62. Citing the </w:t>
      </w:r>
      <w:r w:rsidRPr="000821FA">
        <w:rPr>
          <w:rFonts w:cs="Times New Roman"/>
          <w:i/>
          <w:iCs/>
        </w:rPr>
        <w:t>VCDR</w:t>
      </w:r>
      <w:r w:rsidRPr="000821FA">
        <w:rPr>
          <w:rFonts w:cs="Times New Roman"/>
          <w:iCs/>
        </w:rPr>
        <w:t>, it added that “[</w:t>
      </w:r>
      <w:proofErr w:type="spellStart"/>
      <w:r w:rsidRPr="000821FA">
        <w:rPr>
          <w:rFonts w:cs="Times New Roman"/>
        </w:rPr>
        <w:t>i</w:t>
      </w:r>
      <w:proofErr w:type="spellEnd"/>
      <w:r w:rsidRPr="000821FA">
        <w:rPr>
          <w:rFonts w:cs="Times New Roman"/>
        </w:rPr>
        <w:t xml:space="preserve">]t is precisely because of the vast array of privileges accorded to diplomats and their families, which are by their very nature inconsistent with the obligations of </w:t>
      </w:r>
      <w:r w:rsidRPr="000821FA">
        <w:rPr>
          <w:rFonts w:cs="Times New Roman"/>
        </w:rPr>
        <w:lastRenderedPageBreak/>
        <w:t xml:space="preserve">citizenship, that a person who enjoys diplomatic status cannot acquire citizenship”: para. 63. In its analysis under s. 1 of the </w:t>
      </w:r>
      <w:r w:rsidRPr="000821FA">
        <w:rPr>
          <w:rFonts w:cs="Times New Roman"/>
          <w:i/>
        </w:rPr>
        <w:t>Charter</w:t>
      </w:r>
      <w:r w:rsidRPr="000821FA">
        <w:rPr>
          <w:rFonts w:cs="Times New Roman"/>
        </w:rPr>
        <w:t xml:space="preserve">, the court found that the choice to deny citizenship to individuals provided for in s. 3(2) is “tightly connected” to a pressing government objective of ensuring “that no citizen is immune from the obligations of citizenship”, such as the obligations to pay taxes and comply with the criminal law: </w:t>
      </w:r>
      <w:r w:rsidRPr="000821FA">
        <w:rPr>
          <w:rFonts w:cs="Times New Roman"/>
          <w:i/>
        </w:rPr>
        <w:t>Al-</w:t>
      </w:r>
      <w:proofErr w:type="spellStart"/>
      <w:r w:rsidRPr="000821FA">
        <w:rPr>
          <w:rFonts w:cs="Times New Roman"/>
          <w:i/>
        </w:rPr>
        <w:t>Ghamdi</w:t>
      </w:r>
      <w:proofErr w:type="spellEnd"/>
      <w:r w:rsidRPr="000821FA">
        <w:rPr>
          <w:rFonts w:cs="Times New Roman"/>
        </w:rPr>
        <w:t xml:space="preserve">, at paras. 74-75. In the case at bar, the analyst failed entirely to engage with the arguments endorsed by the Federal Court in </w:t>
      </w:r>
      <w:r w:rsidRPr="000821FA">
        <w:rPr>
          <w:rFonts w:cs="Times New Roman"/>
          <w:i/>
        </w:rPr>
        <w:t>Al-</w:t>
      </w:r>
      <w:proofErr w:type="spellStart"/>
      <w:r w:rsidRPr="000821FA">
        <w:rPr>
          <w:rFonts w:cs="Times New Roman"/>
          <w:i/>
        </w:rPr>
        <w:t>Ghamdi</w:t>
      </w:r>
      <w:proofErr w:type="spellEnd"/>
      <w:r w:rsidRPr="000821FA">
        <w:rPr>
          <w:rFonts w:cs="Times New Roman"/>
        </w:rPr>
        <w:t xml:space="preserve"> despite the court’s key finding that s. 3(2)(a) applies only to “children born of foreign diplomats or an equivalent”, a conclusion upon which the very constitutionality of the provision turned: </w:t>
      </w:r>
      <w:r w:rsidRPr="000821FA">
        <w:rPr>
          <w:rFonts w:cs="Times New Roman"/>
          <w:i/>
        </w:rPr>
        <w:t>Al-</w:t>
      </w:r>
      <w:proofErr w:type="spellStart"/>
      <w:r w:rsidRPr="000821FA">
        <w:rPr>
          <w:rFonts w:cs="Times New Roman"/>
          <w:i/>
        </w:rPr>
        <w:t>Ghamdi</w:t>
      </w:r>
      <w:proofErr w:type="spellEnd"/>
      <w:r w:rsidRPr="000821FA">
        <w:rPr>
          <w:rFonts w:cs="Times New Roman"/>
        </w:rPr>
        <w:t>, at pa</w:t>
      </w:r>
      <w:r w:rsidR="00AB6605">
        <w:rPr>
          <w:rFonts w:cs="Times New Roman"/>
        </w:rPr>
        <w:t>ras. 3, 9, 27, 28, 56 and 59.</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In </w:t>
      </w:r>
      <w:r w:rsidRPr="000821FA">
        <w:rPr>
          <w:rFonts w:cs="Times New Roman"/>
          <w:i/>
        </w:rPr>
        <w:t>Lee</w:t>
      </w:r>
      <w:r w:rsidRPr="000821FA">
        <w:rPr>
          <w:rFonts w:cs="Times New Roman"/>
        </w:rPr>
        <w:t xml:space="preserve">, another case cited by the analyst, the Federal Court confirmed the finding in </w:t>
      </w:r>
      <w:r w:rsidRPr="000821FA">
        <w:rPr>
          <w:rFonts w:cs="Times New Roman"/>
          <w:i/>
        </w:rPr>
        <w:t>Al-</w:t>
      </w:r>
      <w:proofErr w:type="spellStart"/>
      <w:r w:rsidRPr="000821FA">
        <w:rPr>
          <w:rFonts w:cs="Times New Roman"/>
          <w:i/>
        </w:rPr>
        <w:t>Ghamdi</w:t>
      </w:r>
      <w:proofErr w:type="spellEnd"/>
      <w:r w:rsidRPr="000821FA">
        <w:rPr>
          <w:rFonts w:cs="Times New Roman"/>
        </w:rPr>
        <w:t xml:space="preserve"> that “[t]he only individuals covered in paragraphs 3(2</w:t>
      </w:r>
      <w:proofErr w:type="gramStart"/>
      <w:r w:rsidRPr="000821FA">
        <w:rPr>
          <w:rFonts w:cs="Times New Roman"/>
        </w:rPr>
        <w:t>)(</w:t>
      </w:r>
      <w:proofErr w:type="gramEnd"/>
      <w:r w:rsidRPr="000821FA">
        <w:rPr>
          <w:rFonts w:cs="Times New Roman"/>
        </w:rPr>
        <w:t xml:space="preserve">a) and (c) of the </w:t>
      </w:r>
      <w:r w:rsidRPr="000821FA">
        <w:rPr>
          <w:rFonts w:cs="Times New Roman"/>
          <w:i/>
        </w:rPr>
        <w:t>Citizenship Act</w:t>
      </w:r>
      <w:r w:rsidRPr="000821FA">
        <w:rPr>
          <w:rFonts w:cs="Times New Roman"/>
        </w:rPr>
        <w:t xml:space="preserve"> are children of individuals with diplomatic status”: </w:t>
      </w:r>
      <w:r w:rsidRPr="000821FA">
        <w:rPr>
          <w:rFonts w:cs="Times New Roman"/>
          <w:i/>
        </w:rPr>
        <w:t>Lee</w:t>
      </w:r>
      <w:r w:rsidRPr="000821FA">
        <w:rPr>
          <w:rFonts w:cs="Times New Roman"/>
        </w:rPr>
        <w:t>,</w:t>
      </w:r>
      <w:r w:rsidRPr="000821FA">
        <w:rPr>
          <w:rFonts w:cs="Times New Roman"/>
          <w:i/>
        </w:rPr>
        <w:t xml:space="preserve"> </w:t>
      </w:r>
      <w:r w:rsidRPr="000821FA">
        <w:rPr>
          <w:rFonts w:cs="Times New Roman"/>
        </w:rPr>
        <w:t xml:space="preserve">at para. 77. The court found in </w:t>
      </w:r>
      <w:r w:rsidRPr="000821FA">
        <w:rPr>
          <w:rFonts w:cs="Times New Roman"/>
          <w:i/>
        </w:rPr>
        <w:t xml:space="preserve">Lee </w:t>
      </w:r>
      <w:r w:rsidRPr="000821FA">
        <w:rPr>
          <w:rFonts w:cs="Times New Roman"/>
        </w:rPr>
        <w:t xml:space="preserve">that the “functional duties of the applicant’s father” were not relevant to whether or not the applicant was excluded from citizenship pursuant to s. 3(2)(a) of the </w:t>
      </w:r>
      <w:r w:rsidRPr="000821FA">
        <w:rPr>
          <w:rFonts w:cs="Times New Roman"/>
          <w:i/>
        </w:rPr>
        <w:t>Citizenship</w:t>
      </w:r>
      <w:r w:rsidRPr="000821FA">
        <w:rPr>
          <w:rFonts w:cs="Times New Roman"/>
        </w:rPr>
        <w:t xml:space="preserve"> </w:t>
      </w:r>
      <w:r w:rsidRPr="000821FA">
        <w:rPr>
          <w:rFonts w:cs="Times New Roman"/>
          <w:i/>
        </w:rPr>
        <w:t>Act</w:t>
      </w:r>
      <w:r w:rsidRPr="000821FA">
        <w:rPr>
          <w:rFonts w:cs="Times New Roman"/>
        </w:rPr>
        <w:t xml:space="preserve">: para. 58. Rather, what mattered was only that at the time of the applicant’s birth, his father had been a registered consular official and had held a diplomatic passport and the title of Vice-Consul: paras. 44, 58, 61 and 63. </w:t>
      </w:r>
    </w:p>
    <w:p w:rsidR="008B0231" w:rsidRPr="000821FA" w:rsidRDefault="008B0231" w:rsidP="005C2571">
      <w:pPr>
        <w:pStyle w:val="ParaNoNdepar-AltN"/>
        <w:tabs>
          <w:tab w:val="clear" w:pos="1166"/>
          <w:tab w:val="clear" w:pos="1422"/>
          <w:tab w:val="num" w:pos="1152"/>
        </w:tabs>
        <w:ind w:left="0"/>
        <w:rPr>
          <w:rFonts w:cs="Times New Roman"/>
        </w:rPr>
      </w:pPr>
      <w:proofErr w:type="spellStart"/>
      <w:r w:rsidRPr="000821FA">
        <w:rPr>
          <w:rFonts w:cs="Times New Roman"/>
          <w:i/>
        </w:rPr>
        <w:t>Hitti</w:t>
      </w:r>
      <w:proofErr w:type="spellEnd"/>
      <w:r w:rsidRPr="000821FA">
        <w:rPr>
          <w:rFonts w:cs="Times New Roman"/>
        </w:rPr>
        <w:t xml:space="preserve">, the third case cited in the analyst’s report, concerned a decision to confiscate two citizenship certificates on the basis that, under s. 3(2) of the </w:t>
      </w:r>
      <w:r w:rsidRPr="000821FA">
        <w:rPr>
          <w:rFonts w:cs="Times New Roman"/>
          <w:i/>
        </w:rPr>
        <w:t xml:space="preserve">Citizenship </w:t>
      </w:r>
      <w:r w:rsidRPr="000821FA">
        <w:rPr>
          <w:rFonts w:cs="Times New Roman"/>
          <w:i/>
        </w:rPr>
        <w:lastRenderedPageBreak/>
        <w:t>Act</w:t>
      </w:r>
      <w:r w:rsidRPr="000821FA">
        <w:rPr>
          <w:rFonts w:cs="Times New Roman"/>
        </w:rPr>
        <w:t xml:space="preserve">, their holders had never been entitled to them. In that case, the applicants’ father, a Lebanese citizen, had been employed as an information officer of the League of Arab States in Ottawa. Although the League did not have diplomatic standing at that time, Canada had agreed as a matter of courtesy to extend diplomatic status to officials of the League’s information centre, treating them as “attachés” of their home countries’ embassies: </w:t>
      </w:r>
      <w:proofErr w:type="spellStart"/>
      <w:r w:rsidRPr="000821FA">
        <w:rPr>
          <w:rFonts w:cs="Times New Roman"/>
          <w:i/>
        </w:rPr>
        <w:t>Hitti</w:t>
      </w:r>
      <w:proofErr w:type="spellEnd"/>
      <w:r w:rsidRPr="000821FA">
        <w:rPr>
          <w:rFonts w:cs="Times New Roman"/>
        </w:rPr>
        <w:t xml:space="preserve">, at paras. 6 and 9; see also </w:t>
      </w:r>
      <w:r w:rsidRPr="000821FA">
        <w:rPr>
          <w:rFonts w:cs="Times New Roman"/>
          <w:i/>
        </w:rPr>
        <w:t>Interpretation Act</w:t>
      </w:r>
      <w:r w:rsidRPr="000821FA">
        <w:rPr>
          <w:rFonts w:cs="Times New Roman"/>
        </w:rPr>
        <w:t xml:space="preserve">, s. 35(1). Mr. </w:t>
      </w:r>
      <w:proofErr w:type="spellStart"/>
      <w:r w:rsidRPr="000821FA">
        <w:rPr>
          <w:rFonts w:cs="Times New Roman"/>
        </w:rPr>
        <w:t>Hitti</w:t>
      </w:r>
      <w:proofErr w:type="spellEnd"/>
      <w:r w:rsidRPr="000821FA">
        <w:rPr>
          <w:rFonts w:cs="Times New Roman"/>
        </w:rPr>
        <w:t xml:space="preserve"> argued he did not, in practice, fulfill diplomatic tasks or act as a representative of Lebanon, but there was nonetheless a record of his being an accredited diplomat, enjoying the benefits of that status and being covered by the </w:t>
      </w:r>
      <w:r w:rsidRPr="000821FA">
        <w:rPr>
          <w:rFonts w:cs="Times New Roman"/>
          <w:i/>
          <w:iCs/>
        </w:rPr>
        <w:t>VCDR</w:t>
      </w:r>
      <w:r w:rsidRPr="000821FA">
        <w:rPr>
          <w:rFonts w:cs="Times New Roman"/>
        </w:rPr>
        <w:t xml:space="preserve"> when his children were born: paras. 5 and 8. The Federal Court rejected a submission that Mr. </w:t>
      </w:r>
      <w:proofErr w:type="spellStart"/>
      <w:r w:rsidRPr="000821FA">
        <w:rPr>
          <w:rFonts w:cs="Times New Roman"/>
        </w:rPr>
        <w:t>Hitti</w:t>
      </w:r>
      <w:proofErr w:type="spellEnd"/>
      <w:r w:rsidRPr="000821FA">
        <w:rPr>
          <w:rFonts w:cs="Times New Roman"/>
        </w:rPr>
        <w:t xml:space="preserve"> would have had to perform duties in the service of Lebanon in order for his children to fall within the meaning of s. 3(2)(a), and concluded that “what Mr. </w:t>
      </w:r>
      <w:proofErr w:type="spellStart"/>
      <w:r w:rsidRPr="000821FA">
        <w:rPr>
          <w:rFonts w:cs="Times New Roman"/>
        </w:rPr>
        <w:t>Hitti</w:t>
      </w:r>
      <w:proofErr w:type="spellEnd"/>
      <w:r w:rsidRPr="000821FA">
        <w:rPr>
          <w:rFonts w:cs="Times New Roman"/>
        </w:rPr>
        <w:t xml:space="preserve"> did when he was in the country is not relevant”: para. 32.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What can be seen from both </w:t>
      </w:r>
      <w:r w:rsidRPr="000821FA">
        <w:rPr>
          <w:rFonts w:cs="Times New Roman"/>
          <w:i/>
        </w:rPr>
        <w:t xml:space="preserve">Lee </w:t>
      </w:r>
      <w:r w:rsidRPr="000821FA">
        <w:rPr>
          <w:rFonts w:cs="Times New Roman"/>
        </w:rPr>
        <w:t xml:space="preserve">and </w:t>
      </w:r>
      <w:proofErr w:type="spellStart"/>
      <w:r w:rsidRPr="000821FA">
        <w:rPr>
          <w:rFonts w:cs="Times New Roman"/>
          <w:i/>
        </w:rPr>
        <w:t>Hitti</w:t>
      </w:r>
      <w:proofErr w:type="spellEnd"/>
      <w:r w:rsidRPr="000821FA">
        <w:rPr>
          <w:rFonts w:cs="Times New Roman"/>
          <w:i/>
        </w:rPr>
        <w:t xml:space="preserve"> </w:t>
      </w:r>
      <w:r w:rsidRPr="000821FA">
        <w:rPr>
          <w:rFonts w:cs="Times New Roman"/>
        </w:rPr>
        <w:t xml:space="preserve">is that what matters, for the purposes of s. 3(2)(a), is not whether an individual carries out activities in the service of a foreign state while in Canada, but whether, at the relevant time, the individual has been granted diplomatic privileges and immunities. Thus, in addition to the Federal Court’s decision in </w:t>
      </w:r>
      <w:r w:rsidRPr="000821FA">
        <w:rPr>
          <w:rFonts w:cs="Times New Roman"/>
          <w:i/>
        </w:rPr>
        <w:t>Al-</w:t>
      </w:r>
      <w:proofErr w:type="spellStart"/>
      <w:r w:rsidRPr="000821FA">
        <w:rPr>
          <w:rFonts w:cs="Times New Roman"/>
          <w:i/>
        </w:rPr>
        <w:t>Ghamdi</w:t>
      </w:r>
      <w:proofErr w:type="spellEnd"/>
      <w:r w:rsidRPr="000821FA">
        <w:rPr>
          <w:rFonts w:cs="Times New Roman"/>
        </w:rPr>
        <w:t xml:space="preserve">, the analyst was faced with two cases in which the application of s. 3(2) had turned on the existence of diplomatic status rather than on the “functional duties” or activities of the child’s parents. In these circumstances, it was a significant omission for her to ignore the Federal Court’s reasoning when determining </w:t>
      </w:r>
      <w:r w:rsidRPr="000821FA">
        <w:rPr>
          <w:rFonts w:cs="Times New Roman"/>
        </w:rPr>
        <w:lastRenderedPageBreak/>
        <w:t xml:space="preserve">whether the espionage activities of Ms. </w:t>
      </w:r>
      <w:proofErr w:type="spellStart"/>
      <w:r w:rsidRPr="000821FA">
        <w:rPr>
          <w:rFonts w:cs="Times New Roman"/>
        </w:rPr>
        <w:t>Vavilova</w:t>
      </w:r>
      <w:proofErr w:type="spellEnd"/>
      <w:r w:rsidRPr="000821FA">
        <w:rPr>
          <w:rFonts w:cs="Times New Roman"/>
        </w:rPr>
        <w:t xml:space="preserve"> and Mr. </w:t>
      </w:r>
      <w:proofErr w:type="spellStart"/>
      <w:r w:rsidRPr="000821FA">
        <w:rPr>
          <w:rFonts w:cs="Times New Roman"/>
        </w:rPr>
        <w:t>Bezrukov</w:t>
      </w:r>
      <w:proofErr w:type="spellEnd"/>
      <w:r w:rsidRPr="000821FA">
        <w:rPr>
          <w:rFonts w:cs="Times New Roman"/>
        </w:rPr>
        <w:t xml:space="preserve"> were sufficient to ground the application of s. 3(2)(a). </w:t>
      </w:r>
    </w:p>
    <w:p w:rsidR="008B0231" w:rsidRPr="000821FA" w:rsidRDefault="00A617FE" w:rsidP="008B0231">
      <w:pPr>
        <w:pStyle w:val="Title4LevelTitre4Niveau"/>
        <w:numPr>
          <w:ilvl w:val="3"/>
          <w:numId w:val="4"/>
        </w:numPr>
        <w:tabs>
          <w:tab w:val="num" w:pos="900"/>
        </w:tabs>
        <w:rPr>
          <w:rFonts w:cs="Times New Roman"/>
        </w:rPr>
      </w:pPr>
      <w:r>
        <w:rPr>
          <w:rFonts w:cs="Times New Roman"/>
        </w:rPr>
        <w:tab/>
      </w:r>
      <w:r w:rsidR="008B0231" w:rsidRPr="000821FA">
        <w:rPr>
          <w:rFonts w:cs="Times New Roman"/>
        </w:rPr>
        <w:t>Possible Consequences of the Registrar’s Interpretation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When asked why the children of individuals referred to in s. 3(2)(a) would be excluded from acquiring citizenship by birth, another analyst involved in Mr.</w:t>
      </w:r>
      <w:r>
        <w:rPr>
          <w:rFonts w:cs="Times New Roman"/>
        </w:rPr>
        <w:t> </w:t>
      </w:r>
      <w:proofErr w:type="spellStart"/>
      <w:r w:rsidRPr="000821FA">
        <w:rPr>
          <w:rFonts w:cs="Times New Roman"/>
        </w:rPr>
        <w:t>Vavilov’s</w:t>
      </w:r>
      <w:proofErr w:type="spellEnd"/>
      <w:r w:rsidRPr="000821FA">
        <w:rPr>
          <w:rFonts w:cs="Times New Roman"/>
        </w:rPr>
        <w:t xml:space="preserve"> file (who had also been involved in Mr. </w:t>
      </w:r>
      <w:proofErr w:type="spellStart"/>
      <w:r w:rsidRPr="000821FA">
        <w:rPr>
          <w:rFonts w:cs="Times New Roman"/>
        </w:rPr>
        <w:t>Vavilov’s</w:t>
      </w:r>
      <w:proofErr w:type="spellEnd"/>
      <w:r w:rsidRPr="000821FA">
        <w:rPr>
          <w:rFonts w:cs="Times New Roman"/>
        </w:rPr>
        <w:t xml:space="preserve"> brother’s file) responded as follows:</w:t>
      </w:r>
    </w:p>
    <w:p w:rsidR="008D3BD3" w:rsidRDefault="005923E8" w:rsidP="005923E8">
      <w:pPr>
        <w:pStyle w:val="BlockQuote"/>
        <w:tabs>
          <w:tab w:val="left" w:pos="1800"/>
        </w:tabs>
        <w:spacing w:after="0" w:line="240" w:lineRule="auto"/>
        <w:ind w:left="1440" w:right="0"/>
        <w:jc w:val="both"/>
        <w:rPr>
          <w:rFonts w:cs="Times New Roman"/>
        </w:rPr>
      </w:pPr>
      <w:r>
        <w:rPr>
          <w:rFonts w:cs="Times New Roman"/>
        </w:rPr>
        <w:tab/>
      </w:r>
      <w:r w:rsidR="008B0231" w:rsidRPr="000821FA">
        <w:rPr>
          <w:rFonts w:cs="Times New Roman"/>
        </w:rPr>
        <w:t xml:space="preserve">Well, usually the way we use section 3(2)(a) is for </w:t>
      </w:r>
      <w:r>
        <w:rPr>
          <w:rFonts w:cs="Times New Roman"/>
        </w:rPr>
        <w:t>—</w:t>
      </w:r>
      <w:r w:rsidR="008B0231" w:rsidRPr="000821FA">
        <w:rPr>
          <w:rFonts w:cs="Times New Roman"/>
        </w:rPr>
        <w:t xml:space="preserve"> you’re right, for diplomats and that they don’t </w:t>
      </w:r>
      <w:r>
        <w:rPr>
          <w:rFonts w:cs="Times New Roman"/>
        </w:rPr>
        <w:t>—</w:t>
      </w:r>
      <w:r w:rsidR="008B0231" w:rsidRPr="000821FA">
        <w:rPr>
          <w:rFonts w:cs="Times New Roman"/>
        </w:rPr>
        <w:t xml:space="preserve"> because they are not </w:t>
      </w:r>
      <w:r>
        <w:rPr>
          <w:rFonts w:cs="Times New Roman"/>
        </w:rPr>
        <w:t xml:space="preserve">— </w:t>
      </w:r>
      <w:r w:rsidR="008B0231" w:rsidRPr="000821FA">
        <w:rPr>
          <w:rFonts w:cs="Times New Roman"/>
        </w:rPr>
        <w:t>they are not obliged .</w:t>
      </w:r>
      <w:r w:rsidR="00B6233B">
        <w:rPr>
          <w:rFonts w:cs="Times New Roman"/>
        </w:rPr>
        <w:t> </w:t>
      </w:r>
      <w:r w:rsidR="008B0231" w:rsidRPr="000821FA">
        <w:rPr>
          <w:rFonts w:cs="Times New Roman"/>
        </w:rPr>
        <w:t>.</w:t>
      </w:r>
      <w:r w:rsidR="00B6233B">
        <w:rPr>
          <w:rFonts w:cs="Times New Roman"/>
        </w:rPr>
        <w:t> </w:t>
      </w:r>
      <w:r w:rsidR="008B0231" w:rsidRPr="000821FA">
        <w:rPr>
          <w:rFonts w:cs="Times New Roman"/>
        </w:rPr>
        <w:t xml:space="preserve">. to the law of Canada and everything, so that’s why their children do not obtain citizenship if they were born in Canada while the person was in Canada under that status. </w:t>
      </w:r>
    </w:p>
    <w:p w:rsidR="001B7B97" w:rsidRPr="001B7B97" w:rsidRDefault="001B7B97" w:rsidP="001B7B97">
      <w:pPr>
        <w:rPr>
          <w:lang w:eastAsia="en-US"/>
        </w:rPr>
      </w:pPr>
    </w:p>
    <w:p w:rsidR="008B0231" w:rsidRDefault="008D3BD3" w:rsidP="005923E8">
      <w:pPr>
        <w:pStyle w:val="BlockQuote"/>
        <w:tabs>
          <w:tab w:val="left" w:pos="1800"/>
        </w:tabs>
        <w:spacing w:after="0" w:line="240" w:lineRule="auto"/>
        <w:ind w:left="1440" w:right="0"/>
        <w:jc w:val="both"/>
        <w:rPr>
          <w:rFonts w:cs="Times New Roman"/>
        </w:rPr>
      </w:pPr>
      <w:r>
        <w:rPr>
          <w:rFonts w:cs="Times New Roman"/>
        </w:rPr>
        <w:tab/>
      </w:r>
      <w:r w:rsidR="008B0231" w:rsidRPr="000821FA">
        <w:rPr>
          <w:rFonts w:cs="Times New Roman"/>
        </w:rPr>
        <w:t>But then there is also this other part of the Act that says other representatives or employees of a foreign government in Canada, that may open the door for other person</w:t>
      </w:r>
      <w:r w:rsidR="00B74195">
        <w:rPr>
          <w:rFonts w:cs="Times New Roman"/>
        </w:rPr>
        <w:t>[s]</w:t>
      </w:r>
      <w:r w:rsidR="008B0231" w:rsidRPr="000821FA">
        <w:rPr>
          <w:rFonts w:cs="Times New Roman"/>
        </w:rPr>
        <w:t xml:space="preserve"> than diplomats and that’s how we interpreted in this specific case 3(2)(a) but the</w:t>
      </w:r>
      <w:r w:rsidR="008B0231">
        <w:rPr>
          <w:rFonts w:cs="Times New Roman"/>
        </w:rPr>
        <w:t>re is no jurisprudence on that</w:t>
      </w:r>
      <w:r w:rsidR="00273AC5">
        <w:rPr>
          <w:rFonts w:cs="Times New Roman"/>
        </w:rPr>
        <w:t> </w:t>
      </w:r>
      <w:r w:rsidR="008B0231">
        <w:rPr>
          <w:rFonts w:cs="Times New Roman"/>
        </w:rPr>
        <w:t>.</w:t>
      </w:r>
      <w:r w:rsidR="00B67E80">
        <w:rPr>
          <w:rFonts w:cs="Times New Roman"/>
        </w:rPr>
        <w:t> . . .</w:t>
      </w:r>
    </w:p>
    <w:p w:rsidR="008B0231" w:rsidRPr="009464C7" w:rsidRDefault="008B0231" w:rsidP="008B0231"/>
    <w:p w:rsidR="008B0231" w:rsidRPr="000821FA" w:rsidRDefault="008B0231" w:rsidP="00794F6D">
      <w:pPr>
        <w:pStyle w:val="BlockQuote"/>
        <w:spacing w:after="720" w:line="240" w:lineRule="auto"/>
        <w:ind w:left="0"/>
        <w:jc w:val="both"/>
        <w:rPr>
          <w:rFonts w:cs="Times New Roman"/>
        </w:rPr>
      </w:pPr>
      <w:r w:rsidRPr="000821FA">
        <w:rPr>
          <w:rFonts w:cs="Times New Roman"/>
        </w:rPr>
        <w:t>(R.R.</w:t>
      </w:r>
      <w:r w:rsidR="005013FD">
        <w:rPr>
          <w:rFonts w:cs="Times New Roman"/>
        </w:rPr>
        <w:t>,</w:t>
      </w:r>
      <w:r w:rsidRPr="000821FA">
        <w:rPr>
          <w:rFonts w:cs="Times New Roman"/>
        </w:rPr>
        <w:t xml:space="preserve"> transcript, at pp. 87-88)</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In other words, the officials responsible for these files were aware that s. 3(2</w:t>
      </w:r>
      <w:proofErr w:type="gramStart"/>
      <w:r w:rsidRPr="000821FA">
        <w:rPr>
          <w:rFonts w:cs="Times New Roman"/>
        </w:rPr>
        <w:t>)(</w:t>
      </w:r>
      <w:proofErr w:type="gramEnd"/>
      <w:r w:rsidRPr="000821FA">
        <w:rPr>
          <w:rFonts w:cs="Times New Roman"/>
        </w:rPr>
        <w:t>a) was informed by the principle that individuals subject to t</w:t>
      </w:r>
      <w:r w:rsidR="006D1DEA">
        <w:rPr>
          <w:rFonts w:cs="Times New Roman"/>
        </w:rPr>
        <w:t>he exception are “not obliged . </w:t>
      </w:r>
      <w:r w:rsidRPr="000821FA">
        <w:rPr>
          <w:rFonts w:cs="Times New Roman"/>
        </w:rPr>
        <w:t>.</w:t>
      </w:r>
      <w:r w:rsidR="006D1DEA">
        <w:rPr>
          <w:rFonts w:cs="Times New Roman"/>
        </w:rPr>
        <w:t> </w:t>
      </w:r>
      <w:r w:rsidRPr="000821FA">
        <w:rPr>
          <w:rFonts w:cs="Times New Roman"/>
        </w:rPr>
        <w:t xml:space="preserve">. to the law of Canada”. They were also aware that the interpretation they had adopted in the case of the </w:t>
      </w:r>
      <w:proofErr w:type="spellStart"/>
      <w:r w:rsidRPr="000821FA">
        <w:rPr>
          <w:rFonts w:cs="Times New Roman"/>
        </w:rPr>
        <w:t>Vavilov</w:t>
      </w:r>
      <w:proofErr w:type="spellEnd"/>
      <w:r w:rsidRPr="000821FA">
        <w:rPr>
          <w:rFonts w:cs="Times New Roman"/>
        </w:rPr>
        <w:t xml:space="preserve"> brothers was a novel one. Although the Registrar knew this, she failed to provide a rationale for this expanded interpretation.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lastRenderedPageBreak/>
        <w:t>Additionally, there is no evidence that the Registrar considered the potential consequences of expanding her</w:t>
      </w:r>
      <w:r w:rsidRPr="000821FA">
        <w:rPr>
          <w:rFonts w:cs="Times New Roman"/>
          <w:lang w:bidi="en-US"/>
        </w:rPr>
        <w:t xml:space="preserve"> </w:t>
      </w:r>
      <w:r w:rsidRPr="000821FA">
        <w:rPr>
          <w:rFonts w:cs="Times New Roman"/>
        </w:rPr>
        <w:t>interpretation of s. 3(2</w:t>
      </w:r>
      <w:proofErr w:type="gramStart"/>
      <w:r w:rsidRPr="000821FA">
        <w:rPr>
          <w:rFonts w:cs="Times New Roman"/>
        </w:rPr>
        <w:t>)(</w:t>
      </w:r>
      <w:proofErr w:type="gramEnd"/>
      <w:r w:rsidRPr="000821FA">
        <w:rPr>
          <w:rFonts w:cs="Times New Roman"/>
        </w:rPr>
        <w:t xml:space="preserve">a) to include individuals who have not been granted diplomatic privileges and immunities. Citizenship has been described as “the right to have rights”: U.S. Supreme Court Chief Justice Earl Warren, as quoted in A. </w:t>
      </w:r>
      <w:proofErr w:type="spellStart"/>
      <w:r w:rsidRPr="000821FA">
        <w:rPr>
          <w:rFonts w:cs="Times New Roman"/>
        </w:rPr>
        <w:t>Brouwer</w:t>
      </w:r>
      <w:proofErr w:type="spellEnd"/>
      <w:r w:rsidRPr="000821FA">
        <w:rPr>
          <w:rFonts w:cs="Times New Roman"/>
        </w:rPr>
        <w:t xml:space="preserve">, </w:t>
      </w:r>
      <w:r w:rsidRPr="000821FA">
        <w:rPr>
          <w:rFonts w:cs="Times New Roman"/>
          <w:i/>
        </w:rPr>
        <w:t xml:space="preserve">Statelessness in Canadian Context: A Discussion Paper </w:t>
      </w:r>
      <w:r w:rsidRPr="000821FA">
        <w:rPr>
          <w:rFonts w:cs="Times New Roman"/>
        </w:rPr>
        <w:t xml:space="preserve">(July 2003) (online), at p. 2. The importance of citizenship was recognized in </w:t>
      </w:r>
      <w:r w:rsidRPr="000821FA">
        <w:rPr>
          <w:rFonts w:cs="Times New Roman"/>
          <w:i/>
        </w:rPr>
        <w:t>Benner v. Canada (Secretary of State)</w:t>
      </w:r>
      <w:r w:rsidRPr="000821FA">
        <w:rPr>
          <w:rFonts w:cs="Times New Roman"/>
        </w:rPr>
        <w:t xml:space="preserve">, [1997] 1 S.C.R. 358, in which </w:t>
      </w:r>
      <w:proofErr w:type="spellStart"/>
      <w:r w:rsidRPr="000821FA">
        <w:rPr>
          <w:rFonts w:cs="Times New Roman"/>
        </w:rPr>
        <w:t>Iacobucci</w:t>
      </w:r>
      <w:proofErr w:type="spellEnd"/>
      <w:r w:rsidRPr="000821FA">
        <w:rPr>
          <w:rFonts w:cs="Times New Roman"/>
        </w:rPr>
        <w:t xml:space="preserve"> J., writing for this Court, stated: “I cannot imagine an interest more fundamental to full membership in Canadian society than Canadian citizenship”: para. 68. This was reiterated in </w:t>
      </w:r>
      <w:r w:rsidRPr="000821FA">
        <w:rPr>
          <w:rFonts w:cs="Times New Roman"/>
          <w:i/>
        </w:rPr>
        <w:t xml:space="preserve">Canada (Minister of Citizenship and Immigration) v. </w:t>
      </w:r>
      <w:proofErr w:type="spellStart"/>
      <w:r w:rsidRPr="000821FA">
        <w:rPr>
          <w:rFonts w:cs="Times New Roman"/>
          <w:i/>
        </w:rPr>
        <w:t>Tobiass</w:t>
      </w:r>
      <w:proofErr w:type="spellEnd"/>
      <w:r w:rsidRPr="000821FA">
        <w:rPr>
          <w:rFonts w:cs="Times New Roman"/>
        </w:rPr>
        <w:t xml:space="preserve">, [1997] 3 S.C.R. 391, in which this Court unanimously held that “[f]or some, such as those who might become stateless if deprived of their citizenship, it may be valued as highly as liberty”: para. 108.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It perhaps goes without saying that rules concerning citizenship require a high degree of interpretive consistency in order to shield against a perception of arbitrariness and to ensure conformity with Canada’s international obligations. We can therefore only assume that the Registrar intended that this new interpretation of s. 3(2</w:t>
      </w:r>
      <w:proofErr w:type="gramStart"/>
      <w:r w:rsidRPr="000821FA">
        <w:rPr>
          <w:rFonts w:cs="Times New Roman"/>
        </w:rPr>
        <w:t>)(</w:t>
      </w:r>
      <w:proofErr w:type="gramEnd"/>
      <w:r w:rsidRPr="000821FA">
        <w:rPr>
          <w:rFonts w:cs="Times New Roman"/>
        </w:rPr>
        <w:t>a) would apply to any other individual whose parent is employed by or represents a foreign government at the time of the individual’s birth in Canada but has not been granted diplomatic privileges and immunities. The Registrar’s interpretation would not, after all, limit the application of s. 3(2</w:t>
      </w:r>
      <w:proofErr w:type="gramStart"/>
      <w:r w:rsidRPr="000821FA">
        <w:rPr>
          <w:rFonts w:cs="Times New Roman"/>
        </w:rPr>
        <w:t>)(</w:t>
      </w:r>
      <w:proofErr w:type="gramEnd"/>
      <w:r w:rsidRPr="000821FA">
        <w:rPr>
          <w:rFonts w:cs="Times New Roman"/>
        </w:rPr>
        <w:t xml:space="preserve">a) to the children of spies — its logic would be equally applicable to a number of other scenarios, including that of a child of </w:t>
      </w:r>
      <w:r w:rsidRPr="000821FA">
        <w:rPr>
          <w:rFonts w:cs="Times New Roman"/>
        </w:rPr>
        <w:lastRenderedPageBreak/>
        <w:t>a non-citizen worker employed by an embassy as a gardener or cook, or of a child of a business traveller who represents a foreign government-owned corporation. Mr. </w:t>
      </w:r>
      <w:proofErr w:type="spellStart"/>
      <w:r w:rsidRPr="000821FA">
        <w:rPr>
          <w:rFonts w:cs="Times New Roman"/>
        </w:rPr>
        <w:t>Vavilov</w:t>
      </w:r>
      <w:proofErr w:type="spellEnd"/>
      <w:r w:rsidRPr="000821FA">
        <w:rPr>
          <w:rFonts w:cs="Times New Roman"/>
        </w:rPr>
        <w:t xml:space="preserve"> had raised the fact that provisions such as s. 3(2</w:t>
      </w:r>
      <w:proofErr w:type="gramStart"/>
      <w:r w:rsidRPr="000821FA">
        <w:rPr>
          <w:rFonts w:cs="Times New Roman"/>
        </w:rPr>
        <w:t>)(</w:t>
      </w:r>
      <w:proofErr w:type="gramEnd"/>
      <w:r w:rsidRPr="000821FA">
        <w:rPr>
          <w:rFonts w:cs="Times New Roman"/>
        </w:rPr>
        <w:t xml:space="preserve">a) must be given a narrow interpretation because they deny or potentially take away rights — that of citizenship under s. 3(1) in this case — which otherwise benefit from a liberal and broad interpretation: </w:t>
      </w:r>
      <w:r w:rsidR="00074B14">
        <w:rPr>
          <w:rFonts w:cs="Times New Roman"/>
          <w:i/>
        </w:rPr>
        <w:t>Brossard (Town) v. Que</w:t>
      </w:r>
      <w:r w:rsidRPr="000821FA">
        <w:rPr>
          <w:rFonts w:cs="Times New Roman"/>
          <w:i/>
        </w:rPr>
        <w:t xml:space="preserve">bec (Commission des droits de la </w:t>
      </w:r>
      <w:proofErr w:type="spellStart"/>
      <w:r w:rsidRPr="000821FA">
        <w:rPr>
          <w:rFonts w:cs="Times New Roman"/>
          <w:i/>
        </w:rPr>
        <w:t>personne</w:t>
      </w:r>
      <w:proofErr w:type="spellEnd"/>
      <w:r w:rsidRPr="000821FA">
        <w:rPr>
          <w:rFonts w:cs="Times New Roman"/>
          <w:i/>
        </w:rPr>
        <w:t>)</w:t>
      </w:r>
      <w:r w:rsidRPr="000821FA">
        <w:rPr>
          <w:rFonts w:cs="Times New Roman"/>
        </w:rPr>
        <w:t xml:space="preserve">, [1988] 2 S.C.R. 279, at p. 307. Yet there is no indication that the Registrar considered the potential harsh consequences of her interpretation for such a large class of individuals, which included Mr. </w:t>
      </w:r>
      <w:proofErr w:type="spellStart"/>
      <w:r w:rsidRPr="000821FA">
        <w:rPr>
          <w:rFonts w:cs="Times New Roman"/>
        </w:rPr>
        <w:t>Vavilov</w:t>
      </w:r>
      <w:proofErr w:type="spellEnd"/>
      <w:r w:rsidRPr="000821FA">
        <w:rPr>
          <w:rFonts w:cs="Times New Roman"/>
        </w:rPr>
        <w:t>, or the question whether, in light of those possible consequences, Parliament would have intended s. 3(2)(</w:t>
      </w:r>
      <w:r w:rsidR="00AB6605">
        <w:rPr>
          <w:rFonts w:cs="Times New Roman"/>
        </w:rPr>
        <w:t>a) to apply in this manner.</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Moreover, we would note that</w:t>
      </w:r>
      <w:r w:rsidRPr="000821FA">
        <w:rPr>
          <w:rFonts w:cs="Times New Roman"/>
          <w:b/>
        </w:rPr>
        <w:t xml:space="preserve"> </w:t>
      </w:r>
      <w:r w:rsidRPr="000821FA">
        <w:rPr>
          <w:rFonts w:cs="Times New Roman"/>
        </w:rPr>
        <w:t xml:space="preserve">despite following a different legal process, the Registrar’s decision in this case had the same effect as a revocation of citizenship — a process which has been described by scholars as “a kind of ‘political death’” — depriving Mr. </w:t>
      </w:r>
      <w:proofErr w:type="spellStart"/>
      <w:r w:rsidRPr="000821FA">
        <w:rPr>
          <w:rFonts w:cs="Times New Roman"/>
        </w:rPr>
        <w:t>Vavilov</w:t>
      </w:r>
      <w:proofErr w:type="spellEnd"/>
      <w:r w:rsidRPr="000821FA">
        <w:rPr>
          <w:rFonts w:cs="Times New Roman"/>
        </w:rPr>
        <w:t xml:space="preserve"> of </w:t>
      </w:r>
      <w:r w:rsidRPr="000821FA">
        <w:rPr>
          <w:rFonts w:cs="Times New Roman"/>
          <w:lang w:bidi="en-US"/>
        </w:rPr>
        <w:t>his right to vote and the right to enter and remain in Canada: see A. Macklin, “</w:t>
      </w:r>
      <w:r w:rsidRPr="000821FA">
        <w:rPr>
          <w:rFonts w:cs="Times New Roman"/>
          <w:lang w:val="en-US" w:bidi="en-US"/>
        </w:rPr>
        <w:t xml:space="preserve">Citizenship Revocation, the Privilege to Have Rights and the Production of the Alien” (2014), 40 </w:t>
      </w:r>
      <w:r w:rsidRPr="000821FA">
        <w:rPr>
          <w:rFonts w:cs="Times New Roman"/>
          <w:i/>
          <w:lang w:val="en-US" w:bidi="en-US"/>
        </w:rPr>
        <w:t xml:space="preserve">Queen’s L.J. </w:t>
      </w:r>
      <w:r w:rsidRPr="000821FA">
        <w:rPr>
          <w:rFonts w:cs="Times New Roman"/>
          <w:lang w:val="en-US" w:bidi="en-US"/>
        </w:rPr>
        <w:t xml:space="preserve">1, </w:t>
      </w:r>
      <w:r w:rsidRPr="000821FA">
        <w:rPr>
          <w:rFonts w:cs="Times New Roman"/>
          <w:lang w:bidi="en-US"/>
        </w:rPr>
        <w:t xml:space="preserve">at pp. 7-8. </w:t>
      </w:r>
      <w:r w:rsidRPr="000821FA">
        <w:rPr>
          <w:rFonts w:cs="Times New Roman"/>
        </w:rPr>
        <w:t xml:space="preserve">While we question whether the Registrar was empowered to unilaterally alter Canada’s position with respect to Mr. </w:t>
      </w:r>
      <w:proofErr w:type="spellStart"/>
      <w:r w:rsidRPr="000821FA">
        <w:rPr>
          <w:rFonts w:cs="Times New Roman"/>
        </w:rPr>
        <w:t>Vavilov’s</w:t>
      </w:r>
      <w:proofErr w:type="spellEnd"/>
      <w:r w:rsidRPr="000821FA">
        <w:rPr>
          <w:rFonts w:cs="Times New Roman"/>
        </w:rPr>
        <w:t xml:space="preserve"> citizenship and recognize that the relationship between the cancellation of a citizenship certificate under s. 26 of the </w:t>
      </w:r>
      <w:r w:rsidRPr="000821FA">
        <w:rPr>
          <w:rFonts w:cs="Times New Roman"/>
          <w:i/>
        </w:rPr>
        <w:t xml:space="preserve">Citizenship Regulations </w:t>
      </w:r>
      <w:r w:rsidRPr="000821FA">
        <w:rPr>
          <w:rFonts w:cs="Times New Roman"/>
        </w:rPr>
        <w:t xml:space="preserve">and the revocation of an individual’s citizenship (as set out in s. 10 of the </w:t>
      </w:r>
      <w:r w:rsidRPr="000821FA">
        <w:rPr>
          <w:rFonts w:cs="Times New Roman"/>
          <w:i/>
        </w:rPr>
        <w:t>Citizenship Act</w:t>
      </w:r>
      <w:r w:rsidRPr="000821FA">
        <w:rPr>
          <w:rFonts w:cs="Times New Roman"/>
        </w:rPr>
        <w:t xml:space="preserve">) </w:t>
      </w:r>
      <w:r w:rsidRPr="000821FA">
        <w:rPr>
          <w:rFonts w:cs="Times New Roman"/>
        </w:rPr>
        <w:lastRenderedPageBreak/>
        <w:t>is not clear, we leave this issue for another day because it was neither raised nor argued by the parties.</w:t>
      </w:r>
    </w:p>
    <w:p w:rsidR="008B0231" w:rsidRPr="000821FA" w:rsidRDefault="008B0231" w:rsidP="008B0231">
      <w:pPr>
        <w:pStyle w:val="Title2LevelTitre2Niveau"/>
        <w:numPr>
          <w:ilvl w:val="1"/>
          <w:numId w:val="4"/>
        </w:numPr>
        <w:rPr>
          <w:rFonts w:cs="Times New Roman"/>
        </w:rPr>
      </w:pPr>
      <w:r w:rsidRPr="000821FA">
        <w:rPr>
          <w:rFonts w:cs="Times New Roman"/>
        </w:rPr>
        <w:t>Conclusion</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szCs w:val="24"/>
        </w:rPr>
        <w:t xml:space="preserve">Multiple </w:t>
      </w:r>
      <w:r w:rsidRPr="005C2571">
        <w:rPr>
          <w:rFonts w:cs="Times New Roman"/>
        </w:rPr>
        <w:t>legal</w:t>
      </w:r>
      <w:r w:rsidRPr="000821FA">
        <w:rPr>
          <w:rFonts w:cs="Times New Roman"/>
          <w:szCs w:val="24"/>
        </w:rPr>
        <w:t xml:space="preserve"> and factual constraints may bear on a given administrative decision, and these constraints may interact with one another. In some cases, a failure to justify the decision against any one relevant constraint may be sufficient to cause the reviewing court to lose confidence in the reasonableness of the decision. Section</w:t>
      </w:r>
      <w:r w:rsidRPr="000821FA">
        <w:rPr>
          <w:rFonts w:cs="Times New Roman"/>
        </w:rPr>
        <w:t xml:space="preserve"> 3 of the </w:t>
      </w:r>
      <w:r w:rsidRPr="000821FA">
        <w:rPr>
          <w:rFonts w:cs="Times New Roman"/>
          <w:i/>
        </w:rPr>
        <w:t>Citizenship</w:t>
      </w:r>
      <w:r w:rsidRPr="000821FA">
        <w:rPr>
          <w:rFonts w:cs="Times New Roman"/>
        </w:rPr>
        <w:t xml:space="preserve"> </w:t>
      </w:r>
      <w:r w:rsidRPr="000821FA">
        <w:rPr>
          <w:rFonts w:cs="Times New Roman"/>
          <w:i/>
        </w:rPr>
        <w:t xml:space="preserve">Act </w:t>
      </w:r>
      <w:r w:rsidRPr="000821FA">
        <w:rPr>
          <w:rFonts w:cs="Times New Roman"/>
        </w:rPr>
        <w:t>considered as a whole, other legislation and international treaties that inform the purpose of s. 3, the jurisprudence cited in the analyst’s report, and the potential consequences of the Registrar’s decision point overwhelmingly to the conclusion that Parliament did not intend s. 3(2</w:t>
      </w:r>
      <w:proofErr w:type="gramStart"/>
      <w:r w:rsidRPr="000821FA">
        <w:rPr>
          <w:rFonts w:cs="Times New Roman"/>
        </w:rPr>
        <w:t>)(</w:t>
      </w:r>
      <w:proofErr w:type="gramEnd"/>
      <w:r w:rsidRPr="000821FA">
        <w:rPr>
          <w:rFonts w:cs="Times New Roman"/>
        </w:rPr>
        <w:t xml:space="preserve">a) to apply to children of individuals who have not been granted diplomatic privileges and immunities. The Registrar’s failure to justify her decision with respect to these constraints renders her interpretation unreasonable, and we would therefore uphold the Federal Court of Appeal’s decision to quash the Registrar’s decision. </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As noted above, we would exercise our discretion not to remit the matter to the Registrar for redetermination. Crucial to our decision is the fact that Mr. </w:t>
      </w:r>
      <w:proofErr w:type="spellStart"/>
      <w:r w:rsidRPr="000821FA">
        <w:rPr>
          <w:rFonts w:cs="Times New Roman"/>
        </w:rPr>
        <w:t>Vavilov</w:t>
      </w:r>
      <w:proofErr w:type="spellEnd"/>
      <w:r w:rsidRPr="000821FA">
        <w:rPr>
          <w:rFonts w:cs="Times New Roman"/>
        </w:rPr>
        <w:t xml:space="preserve"> explicitly raised all of these issues before the Registrar and that the Registrar had an opportunity to cons</w:t>
      </w:r>
      <w:r w:rsidR="00AB6605">
        <w:rPr>
          <w:rFonts w:cs="Times New Roman"/>
        </w:rPr>
        <w:t xml:space="preserve">ider them but failed to do so. </w:t>
      </w:r>
      <w:r w:rsidRPr="000821FA">
        <w:rPr>
          <w:rFonts w:cs="Times New Roman"/>
        </w:rPr>
        <w:t xml:space="preserve">She offered no justification for the interpretation she adopted except for a superficial reading of the provision in question and a comment on part of its legislative history. On the other hand, there is </w:t>
      </w:r>
      <w:r w:rsidRPr="000821FA">
        <w:rPr>
          <w:rFonts w:cs="Times New Roman"/>
        </w:rPr>
        <w:lastRenderedPageBreak/>
        <w:t>overwhelming support — including in the parliamentary debate, established principles of international law, an established line of jurisprudence and the text of the provision itself — for the conclusion that Parliament did not intend s. 3(2</w:t>
      </w:r>
      <w:proofErr w:type="gramStart"/>
      <w:r w:rsidRPr="000821FA">
        <w:rPr>
          <w:rFonts w:cs="Times New Roman"/>
        </w:rPr>
        <w:t>)(</w:t>
      </w:r>
      <w:proofErr w:type="gramEnd"/>
      <w:r w:rsidRPr="000821FA">
        <w:rPr>
          <w:rFonts w:cs="Times New Roman"/>
        </w:rPr>
        <w:t xml:space="preserve">a) of the </w:t>
      </w:r>
      <w:r w:rsidRPr="000821FA">
        <w:rPr>
          <w:rFonts w:cs="Times New Roman"/>
          <w:i/>
        </w:rPr>
        <w:t>Citizenship Act</w:t>
      </w:r>
      <w:r w:rsidRPr="000821FA">
        <w:rPr>
          <w:rFonts w:cs="Times New Roman"/>
        </w:rPr>
        <w:t xml:space="preserve"> to apply to children of individuals who have not been granted diplomatic privileges and immunities. That being said, we would stress that it is not our intention to offer a definitive interpretation of s. 3(2</w:t>
      </w:r>
      <w:proofErr w:type="gramStart"/>
      <w:r w:rsidRPr="000821FA">
        <w:rPr>
          <w:rFonts w:cs="Times New Roman"/>
        </w:rPr>
        <w:t>)(</w:t>
      </w:r>
      <w:proofErr w:type="gramEnd"/>
      <w:r w:rsidRPr="000821FA">
        <w:rPr>
          <w:rFonts w:cs="Times New Roman"/>
        </w:rPr>
        <w:t xml:space="preserve">a) in all respects, nor to foreclose the possibility that multiple reasonable interpretations of other aspects might be available to administrative decision makers. In short, we do not suggest that there is necessarily “one reasonable interpretation” of the provision as a whole. But we agree with the majority of the Court of Appeal that it was </w:t>
      </w:r>
      <w:r w:rsidRPr="000821FA">
        <w:rPr>
          <w:rFonts w:cs="Times New Roman"/>
          <w:i/>
        </w:rPr>
        <w:t xml:space="preserve">not </w:t>
      </w:r>
      <w:r w:rsidRPr="000821FA">
        <w:rPr>
          <w:rFonts w:cs="Times New Roman"/>
        </w:rPr>
        <w:t>reasonable for the Registrar to interpret s. 3(2</w:t>
      </w:r>
      <w:proofErr w:type="gramStart"/>
      <w:r w:rsidRPr="000821FA">
        <w:rPr>
          <w:rFonts w:cs="Times New Roman"/>
        </w:rPr>
        <w:t>)(</w:t>
      </w:r>
      <w:proofErr w:type="gramEnd"/>
      <w:r w:rsidRPr="000821FA">
        <w:rPr>
          <w:rFonts w:cs="Times New Roman"/>
        </w:rPr>
        <w:t>a) as applying to children of individuals who have not been granted diplomatic privileges and immunities at the time of the children’s birth.</w:t>
      </w:r>
    </w:p>
    <w:p w:rsidR="008B0231" w:rsidRPr="000821FA" w:rsidRDefault="008B0231" w:rsidP="005C2571">
      <w:pPr>
        <w:pStyle w:val="ParaNoNdepar-AltN"/>
        <w:tabs>
          <w:tab w:val="clear" w:pos="1166"/>
          <w:tab w:val="clear" w:pos="1422"/>
          <w:tab w:val="num" w:pos="1152"/>
        </w:tabs>
        <w:ind w:left="0"/>
        <w:rPr>
          <w:rFonts w:cs="Times New Roman"/>
        </w:rPr>
      </w:pPr>
      <w:r w:rsidRPr="000821FA">
        <w:rPr>
          <w:rFonts w:cs="Times New Roman"/>
        </w:rPr>
        <w:t xml:space="preserve">Given that it is undisputed that Ms. </w:t>
      </w:r>
      <w:proofErr w:type="spellStart"/>
      <w:r w:rsidRPr="000821FA">
        <w:rPr>
          <w:rFonts w:cs="Times New Roman"/>
        </w:rPr>
        <w:t>Vavilova</w:t>
      </w:r>
      <w:proofErr w:type="spellEnd"/>
      <w:r w:rsidRPr="000821FA">
        <w:rPr>
          <w:rFonts w:cs="Times New Roman"/>
        </w:rPr>
        <w:t xml:space="preserve"> and Mr. </w:t>
      </w:r>
      <w:proofErr w:type="spellStart"/>
      <w:r w:rsidRPr="000821FA">
        <w:rPr>
          <w:rFonts w:cs="Times New Roman"/>
        </w:rPr>
        <w:t>Bezrukov</w:t>
      </w:r>
      <w:proofErr w:type="spellEnd"/>
      <w:r w:rsidRPr="000821FA">
        <w:rPr>
          <w:rFonts w:cs="Times New Roman"/>
        </w:rPr>
        <w:t xml:space="preserve">, as undercover spies, were granted no such privileges, it would serve no purpose to remit the matter in this case to the Registrar. Given that Mr. </w:t>
      </w:r>
      <w:proofErr w:type="spellStart"/>
      <w:r w:rsidRPr="000821FA">
        <w:rPr>
          <w:rFonts w:cs="Times New Roman"/>
        </w:rPr>
        <w:t>Vavilov</w:t>
      </w:r>
      <w:proofErr w:type="spellEnd"/>
      <w:r w:rsidRPr="000821FA">
        <w:rPr>
          <w:rFonts w:cs="Times New Roman"/>
        </w:rPr>
        <w:t xml:space="preserve"> is a person who was born in Canada after February 14, 1977, his status is governed only by the general rule set out in s.</w:t>
      </w:r>
      <w:r w:rsidRPr="000821FA">
        <w:rPr>
          <w:rFonts w:cs="Times New Roman"/>
          <w:lang w:val="en-US"/>
        </w:rPr>
        <w:t xml:space="preserve"> 3(1)(a) of the </w:t>
      </w:r>
      <w:r w:rsidRPr="000821FA">
        <w:rPr>
          <w:rFonts w:cs="Times New Roman"/>
          <w:i/>
          <w:iCs/>
          <w:lang w:val="en-US"/>
        </w:rPr>
        <w:t>Citizenship Act</w:t>
      </w:r>
      <w:r w:rsidRPr="000821FA">
        <w:rPr>
          <w:rFonts w:cs="Times New Roman"/>
          <w:lang w:val="en-US"/>
        </w:rPr>
        <w:t>. He is a Canadian citizen.</w:t>
      </w:r>
    </w:p>
    <w:p w:rsidR="008B0231" w:rsidRPr="000821FA" w:rsidRDefault="008B0231" w:rsidP="008B0231">
      <w:pPr>
        <w:pStyle w:val="Title2LevelTitre2Niveau"/>
        <w:numPr>
          <w:ilvl w:val="1"/>
          <w:numId w:val="4"/>
        </w:numPr>
        <w:rPr>
          <w:rFonts w:cs="Times New Roman"/>
        </w:rPr>
      </w:pPr>
      <w:r w:rsidRPr="000821FA">
        <w:rPr>
          <w:rFonts w:cs="Times New Roman"/>
        </w:rPr>
        <w:t>Disposition</w:t>
      </w:r>
    </w:p>
    <w:p w:rsidR="008B0231" w:rsidRPr="002F79AE" w:rsidRDefault="008B0231" w:rsidP="005C2571">
      <w:pPr>
        <w:pStyle w:val="ParaNoNdepar-AltN"/>
        <w:tabs>
          <w:tab w:val="clear" w:pos="1166"/>
          <w:tab w:val="clear" w:pos="1422"/>
          <w:tab w:val="num" w:pos="1152"/>
        </w:tabs>
        <w:ind w:left="0"/>
        <w:rPr>
          <w:rStyle w:val="SCCCounselNameChar"/>
          <w:rFonts w:cs="Times New Roman"/>
          <w:i w:val="0"/>
        </w:rPr>
      </w:pPr>
      <w:r w:rsidRPr="000821FA">
        <w:rPr>
          <w:rFonts w:cs="Times New Roman"/>
        </w:rPr>
        <w:t xml:space="preserve">The appeal is dismissed with costs throughout to Mr. </w:t>
      </w:r>
      <w:proofErr w:type="spellStart"/>
      <w:r w:rsidRPr="000821FA">
        <w:rPr>
          <w:rFonts w:cs="Times New Roman"/>
        </w:rPr>
        <w:t>Vavilov</w:t>
      </w:r>
      <w:proofErr w:type="spellEnd"/>
      <w:r w:rsidRPr="000821FA">
        <w:rPr>
          <w:rFonts w:cs="Times New Roman"/>
        </w:rPr>
        <w:t xml:space="preserve">. </w:t>
      </w:r>
    </w:p>
    <w:p w:rsidR="008B0231" w:rsidRPr="00AF462A" w:rsidRDefault="00AF462A" w:rsidP="00AF462A">
      <w:pPr>
        <w:pStyle w:val="JudgeJuge"/>
        <w:tabs>
          <w:tab w:val="clear" w:pos="1260"/>
          <w:tab w:val="left" w:pos="1170"/>
        </w:tabs>
        <w:rPr>
          <w:rFonts w:eastAsia="Calibri"/>
          <w:smallCaps w:val="0"/>
          <w:szCs w:val="24"/>
        </w:rPr>
      </w:pPr>
      <w:r>
        <w:rPr>
          <w:rFonts w:eastAsia="Calibri"/>
          <w:smallCaps w:val="0"/>
          <w:szCs w:val="24"/>
        </w:rPr>
        <w:tab/>
      </w:r>
      <w:r w:rsidR="008B0231" w:rsidRPr="00AF462A">
        <w:rPr>
          <w:rFonts w:eastAsia="Calibri"/>
          <w:smallCaps w:val="0"/>
          <w:szCs w:val="24"/>
        </w:rPr>
        <w:t xml:space="preserve">The </w:t>
      </w:r>
      <w:r w:rsidR="008B0231" w:rsidRPr="00AF462A">
        <w:rPr>
          <w:smallCaps w:val="0"/>
        </w:rPr>
        <w:t>following</w:t>
      </w:r>
      <w:r w:rsidR="008B0231" w:rsidRPr="00AF462A">
        <w:rPr>
          <w:rFonts w:eastAsia="Calibri"/>
          <w:smallCaps w:val="0"/>
          <w:szCs w:val="24"/>
        </w:rPr>
        <w:t xml:space="preserve"> are the reasons delivered by</w:t>
      </w:r>
    </w:p>
    <w:p w:rsidR="008B0231" w:rsidRPr="0084431D" w:rsidRDefault="00AF462A" w:rsidP="005C2571">
      <w:pPr>
        <w:pStyle w:val="ParaNoNdepar-AltN"/>
        <w:tabs>
          <w:tab w:val="clear" w:pos="1166"/>
          <w:tab w:val="clear" w:pos="1422"/>
          <w:tab w:val="num" w:pos="1152"/>
        </w:tabs>
        <w:ind w:left="0"/>
      </w:pPr>
      <w:proofErr w:type="spellStart"/>
      <w:r w:rsidRPr="00AF462A">
        <w:rPr>
          <w:smallCaps/>
        </w:rPr>
        <w:lastRenderedPageBreak/>
        <w:t>Abella</w:t>
      </w:r>
      <w:proofErr w:type="spellEnd"/>
      <w:r w:rsidRPr="00AF462A">
        <w:rPr>
          <w:smallCaps/>
        </w:rPr>
        <w:t xml:space="preserve"> and </w:t>
      </w:r>
      <w:proofErr w:type="spellStart"/>
      <w:r w:rsidRPr="00AF462A">
        <w:rPr>
          <w:smallCaps/>
        </w:rPr>
        <w:t>Karakatsanis</w:t>
      </w:r>
      <w:proofErr w:type="spellEnd"/>
      <w:r w:rsidRPr="00AF462A">
        <w:rPr>
          <w:smallCaps/>
        </w:rPr>
        <w:t xml:space="preserve"> JJ.</w:t>
      </w:r>
      <w:r w:rsidRPr="0084431D">
        <w:t xml:space="preserve"> — </w:t>
      </w:r>
      <w:r w:rsidR="008B0231" w:rsidRPr="005C2571">
        <w:rPr>
          <w:rFonts w:cs="Times New Roman"/>
        </w:rPr>
        <w:t>Forty</w:t>
      </w:r>
      <w:r w:rsidR="008B0231" w:rsidRPr="0084431D">
        <w:t xml:space="preserve"> years ago, in </w:t>
      </w:r>
      <w:r w:rsidR="0022554B">
        <w:rPr>
          <w:i/>
        </w:rPr>
        <w:t>Canadian Union of Public Employees</w:t>
      </w:r>
      <w:r w:rsidR="008B0231" w:rsidRPr="0084431D">
        <w:rPr>
          <w:i/>
        </w:rPr>
        <w:t>, Local 963 v. New Brunswick Liquor Corp</w:t>
      </w:r>
      <w:r w:rsidR="0022554B">
        <w:rPr>
          <w:i/>
        </w:rPr>
        <w:t>.</w:t>
      </w:r>
      <w:r w:rsidR="008B0231" w:rsidRPr="0084431D">
        <w:t xml:space="preserve">, </w:t>
      </w:r>
      <w:r w:rsidR="008B0231" w:rsidRPr="0084431D">
        <w:rPr>
          <w:lang w:bidi="en-US"/>
        </w:rPr>
        <w:t xml:space="preserve">[1979] 2 S.C.R. 227, </w:t>
      </w:r>
      <w:r w:rsidR="008B0231" w:rsidRPr="0084431D">
        <w:t xml:space="preserve">this Court embarked on a course to recognize the unique and valuable role of administrative </w:t>
      </w:r>
      <w:r w:rsidR="008B0231">
        <w:t>decision-maker</w:t>
      </w:r>
      <w:r w:rsidR="008B0231" w:rsidRPr="0084431D">
        <w:t xml:space="preserve">s within the Canadian legal order. Breaking away from the court-centric theories of years past, the Court encouraged judges to show deference when specialized administrative </w:t>
      </w:r>
      <w:r w:rsidR="008B0231">
        <w:t>decision-maker</w:t>
      </w:r>
      <w:r w:rsidR="008B0231" w:rsidRPr="0084431D">
        <w:t>s provided reasonable answers to legal questions within their mandates. Building on this more mature understanding of administrative law, subsequent decisions of this Court sought to operationalize deference and explain its relationship to core democratic principles. These appeals offered a platform to clarify and refine our administrative law</w:t>
      </w:r>
      <w:r w:rsidR="008B0231" w:rsidRPr="0084431D">
        <w:rPr>
          <w:i/>
        </w:rPr>
        <w:t xml:space="preserve"> </w:t>
      </w:r>
      <w:r w:rsidR="008B0231" w:rsidRPr="0084431D">
        <w:t>jurisprudence, while remaining faithful to the deferential path it has travelled for four decades.</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Regrettably, the majority shows our precedents no such fidelity. Presented with an opportunity to steady the ship, the majority instead dramatically reverses course </w:t>
      </w:r>
      <w:r>
        <w:rPr>
          <w:rFonts w:cs="Times New Roman"/>
        </w:rPr>
        <w:t>—</w:t>
      </w:r>
      <w:r w:rsidRPr="0084431D">
        <w:rPr>
          <w:rFonts w:cs="Times New Roman"/>
        </w:rPr>
        <w:t xml:space="preserve"> away from this generation’s deferential approach and back towards a prior generation’s more intrusive one. Rather than confirming a meaningful presumption of deference for administrative </w:t>
      </w:r>
      <w:r>
        <w:rPr>
          <w:rFonts w:cs="Times New Roman"/>
        </w:rPr>
        <w:t>decision-maker</w:t>
      </w:r>
      <w:r w:rsidRPr="0084431D">
        <w:rPr>
          <w:rFonts w:cs="Times New Roman"/>
        </w:rPr>
        <w:t xml:space="preserve">s, as our common law has increasingly done for decades, the majority’s reasons strip away deference from hundreds of administrative actors subject to statutory rights of appeal; rather than following the consistent path of this Court’s jurisprudence in understanding legislative intent as being the intention to leave legal questions within their mandate to specialized </w:t>
      </w:r>
      <w:r>
        <w:rPr>
          <w:rFonts w:cs="Times New Roman"/>
        </w:rPr>
        <w:t>decision-maker</w:t>
      </w:r>
      <w:r w:rsidRPr="0084431D">
        <w:rPr>
          <w:rFonts w:cs="Times New Roman"/>
        </w:rPr>
        <w:t xml:space="preserve">s with expertise, the majority removes expertise from the equation entirely and reformulates legislative intent as an overriding intention to provide </w:t>
      </w:r>
      <w:r>
        <w:rPr>
          <w:rFonts w:cs="Times New Roman"/>
        </w:rPr>
        <w:t>—</w:t>
      </w:r>
      <w:r w:rsidRPr="0084431D">
        <w:rPr>
          <w:rFonts w:cs="Times New Roman"/>
        </w:rPr>
        <w:t xml:space="preserve"> or not provide </w:t>
      </w:r>
      <w:r>
        <w:rPr>
          <w:rFonts w:cs="Times New Roman"/>
        </w:rPr>
        <w:lastRenderedPageBreak/>
        <w:t>—</w:t>
      </w:r>
      <w:r w:rsidRPr="0084431D">
        <w:rPr>
          <w:rFonts w:cs="Times New Roman"/>
        </w:rPr>
        <w:t xml:space="preserve"> appeal routes; and rather than clarifying the role of reasons and how to review them, the majority revives the kind of search for errors that dominated the pre-</w:t>
      </w:r>
      <w:r w:rsidRPr="0084431D">
        <w:rPr>
          <w:rFonts w:cs="Times New Roman"/>
          <w:i/>
        </w:rPr>
        <w:t>C.U.P.E.</w:t>
      </w:r>
      <w:r w:rsidRPr="0084431D">
        <w:rPr>
          <w:rFonts w:cs="Times New Roman"/>
        </w:rPr>
        <w:t xml:space="preserve"> era. In other words, instead of </w:t>
      </w:r>
      <w:r w:rsidRPr="0084431D">
        <w:rPr>
          <w:rFonts w:cs="Times New Roman"/>
          <w:i/>
        </w:rPr>
        <w:t>reforming</w:t>
      </w:r>
      <w:r w:rsidRPr="0084431D">
        <w:rPr>
          <w:rFonts w:cs="Times New Roman"/>
        </w:rPr>
        <w:t xml:space="preserve"> this generation’s evolutionary approach to administrative law, the majority </w:t>
      </w:r>
      <w:r w:rsidRPr="0084431D">
        <w:rPr>
          <w:rFonts w:cs="Times New Roman"/>
          <w:i/>
        </w:rPr>
        <w:t>reverses</w:t>
      </w:r>
      <w:r w:rsidRPr="0084431D">
        <w:rPr>
          <w:rFonts w:cs="Times New Roman"/>
        </w:rPr>
        <w:t xml:space="preserve"> it, taking it back to the formalistic judge-centred approach this Court has spent decades dismantling.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We support the majority’s decision to eliminate the vexing contextual factors analysis from the standard of review framework and to abolish the shibboleth category of “true questions of jurisdiction”. These improvements, accompanied by a meaningful presumption of deference for administrative </w:t>
      </w:r>
      <w:r>
        <w:rPr>
          <w:rFonts w:cs="Times New Roman"/>
        </w:rPr>
        <w:t>decision-maker</w:t>
      </w:r>
      <w:r w:rsidRPr="0084431D">
        <w:rPr>
          <w:rFonts w:cs="Times New Roman"/>
        </w:rPr>
        <w:t xml:space="preserve">s, would have simplified our judicial review framework and addressed many of the criticisms levied against our jurisprudence since </w:t>
      </w:r>
      <w:r w:rsidRPr="0084431D">
        <w:rPr>
          <w:rFonts w:cs="Times New Roman"/>
          <w:i/>
        </w:rPr>
        <w:t>Dunsmuir v. New Brunswick</w:t>
      </w:r>
      <w:r w:rsidRPr="0084431D">
        <w:rPr>
          <w:rFonts w:cs="Times New Roman"/>
        </w:rPr>
        <w:t xml:space="preserve">, [2008] 1 S.C.R. 190.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But the majority goes much further and fundamentally reorients the decades-old relationship between administrative actors and the judiciary, by dramatically expanding the circumstances in which generalist judges will be entitled to substitute their own views for those of specialized </w:t>
      </w:r>
      <w:r>
        <w:rPr>
          <w:rFonts w:cs="Times New Roman"/>
        </w:rPr>
        <w:t>decision-maker</w:t>
      </w:r>
      <w:r w:rsidRPr="0084431D">
        <w:rPr>
          <w:rFonts w:cs="Times New Roman"/>
        </w:rPr>
        <w:t>s who apply their mandates on a daily basis. In so doing, the majority advocates a profoundly different philosophy of administrative law than the one which has guided our Court’s jurisprudence for the last four decades. The majority’s reasons are an encomium for correctness and a eulogy for deference.</w:t>
      </w:r>
    </w:p>
    <w:p w:rsidR="008B0231" w:rsidRPr="0084431D" w:rsidRDefault="008B0231" w:rsidP="008B0231">
      <w:pPr>
        <w:pStyle w:val="Title1LevelTitre1Niveau-AltL"/>
        <w:numPr>
          <w:ilvl w:val="0"/>
          <w:numId w:val="0"/>
        </w:numPr>
        <w:ind w:left="576" w:hanging="576"/>
        <w:rPr>
          <w:rFonts w:cs="Times New Roman"/>
        </w:rPr>
      </w:pPr>
      <w:r w:rsidRPr="0084431D">
        <w:rPr>
          <w:rFonts w:cs="Times New Roman"/>
        </w:rPr>
        <w:t>The Evolution of Canadian Administrative Law</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The modern Canadian state “could not function without the many and varied administrative tribunals that people the legal landscape” (The Rt. Hon. Beverle</w:t>
      </w:r>
      <w:r>
        <w:rPr>
          <w:rFonts w:cs="Times New Roman"/>
        </w:rPr>
        <w:t xml:space="preserve">y </w:t>
      </w:r>
      <w:proofErr w:type="spellStart"/>
      <w:r>
        <w:rPr>
          <w:rFonts w:cs="Times New Roman"/>
        </w:rPr>
        <w:t>McLachlin</w:t>
      </w:r>
      <w:proofErr w:type="spellEnd"/>
      <w:r>
        <w:rPr>
          <w:rFonts w:cs="Times New Roman"/>
        </w:rPr>
        <w:t xml:space="preserve">, </w:t>
      </w:r>
      <w:r w:rsidRPr="006E2EC4">
        <w:rPr>
          <w:rFonts w:cs="Times New Roman"/>
          <w:i/>
        </w:rPr>
        <w:t>Administrative Tribunals and the Courts: An Evolutionary Relationship</w:t>
      </w:r>
      <w:r w:rsidRPr="0084431D">
        <w:rPr>
          <w:rFonts w:cs="Times New Roman"/>
        </w:rPr>
        <w:t xml:space="preserve">, </w:t>
      </w:r>
      <w:r>
        <w:rPr>
          <w:rFonts w:cs="Times New Roman"/>
        </w:rPr>
        <w:t>May 27, 2013 (online))</w:t>
      </w:r>
      <w:r w:rsidRPr="0084431D">
        <w:rPr>
          <w:rFonts w:cs="Times New Roman"/>
        </w:rPr>
        <w:t xml:space="preserve">. Parliament and the provincial legislatures have entrusted a broad array of complex social and economic challenges to administrative actors, including regulation of labour relations, welfare programs, food and drug safety, agriculture, property assessments, liquor service and production, infrastructure, the financial markets, foreign investment, professional discipline, insurance, broadcasting, transportation and environmental protection, among many others. Without these administrative </w:t>
      </w:r>
      <w:r>
        <w:rPr>
          <w:rFonts w:cs="Times New Roman"/>
        </w:rPr>
        <w:t>decision-maker</w:t>
      </w:r>
      <w:r w:rsidRPr="0084431D">
        <w:rPr>
          <w:rFonts w:cs="Times New Roman"/>
        </w:rPr>
        <w:t xml:space="preserve">s, “government would be paralyzed, and so would the courts” (Guy </w:t>
      </w:r>
      <w:proofErr w:type="spellStart"/>
      <w:r w:rsidRPr="0084431D">
        <w:rPr>
          <w:rFonts w:cs="Times New Roman"/>
        </w:rPr>
        <w:t>Régimbald</w:t>
      </w:r>
      <w:proofErr w:type="spellEnd"/>
      <w:r w:rsidRPr="0084431D">
        <w:rPr>
          <w:rFonts w:cs="Times New Roman"/>
        </w:rPr>
        <w:t xml:space="preserve">, </w:t>
      </w:r>
      <w:r w:rsidRPr="0084431D">
        <w:rPr>
          <w:rFonts w:cs="Times New Roman"/>
          <w:i/>
        </w:rPr>
        <w:t>Canadian Administrative Law</w:t>
      </w:r>
      <w:r w:rsidRPr="0084431D">
        <w:rPr>
          <w:rFonts w:cs="Times New Roman"/>
        </w:rPr>
        <w:t xml:space="preserve"> </w:t>
      </w:r>
      <w:r>
        <w:rPr>
          <w:rFonts w:cs="Times New Roman"/>
        </w:rPr>
        <w:t>(</w:t>
      </w:r>
      <w:r w:rsidRPr="0084431D">
        <w:rPr>
          <w:rFonts w:cs="Times New Roman"/>
        </w:rPr>
        <w:t>2</w:t>
      </w:r>
      <w:r w:rsidRPr="006E2EC4">
        <w:rPr>
          <w:rFonts w:cs="Times New Roman"/>
        </w:rPr>
        <w:t>nd</w:t>
      </w:r>
      <w:r w:rsidRPr="0084431D">
        <w:rPr>
          <w:rFonts w:cs="Times New Roman"/>
        </w:rPr>
        <w:t xml:space="preserve"> ed.</w:t>
      </w:r>
      <w:r>
        <w:rPr>
          <w:rFonts w:cs="Times New Roman"/>
        </w:rPr>
        <w:t xml:space="preserve"> </w:t>
      </w:r>
      <w:r w:rsidRPr="0084431D">
        <w:rPr>
          <w:rFonts w:cs="Times New Roman"/>
        </w:rPr>
        <w:t>2015), at p. 3).</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exercising their mandates, administrative </w:t>
      </w:r>
      <w:r>
        <w:rPr>
          <w:rFonts w:cs="Times New Roman"/>
        </w:rPr>
        <w:t>decision-maker</w:t>
      </w:r>
      <w:r w:rsidRPr="0084431D">
        <w:rPr>
          <w:rFonts w:cs="Times New Roman"/>
        </w:rPr>
        <w:t>s often resolve claims and disputes within their areas of specialization (</w:t>
      </w:r>
      <w:r>
        <w:rPr>
          <w:rFonts w:cs="Times New Roman"/>
        </w:rPr>
        <w:t xml:space="preserve">Gus Van </w:t>
      </w:r>
      <w:proofErr w:type="spellStart"/>
      <w:r>
        <w:rPr>
          <w:rFonts w:cs="Times New Roman"/>
        </w:rPr>
        <w:t>Harten</w:t>
      </w:r>
      <w:proofErr w:type="spellEnd"/>
      <w:r w:rsidRPr="0084431D">
        <w:rPr>
          <w:rFonts w:cs="Times New Roman"/>
        </w:rPr>
        <w:t xml:space="preserve"> et al., </w:t>
      </w:r>
      <w:r w:rsidRPr="0084431D">
        <w:rPr>
          <w:rFonts w:cs="Times New Roman"/>
          <w:i/>
        </w:rPr>
        <w:t>Administrative Law: Cases, Text</w:t>
      </w:r>
      <w:r>
        <w:rPr>
          <w:rFonts w:cs="Times New Roman"/>
          <w:i/>
        </w:rPr>
        <w:t>,</w:t>
      </w:r>
      <w:r w:rsidRPr="0084431D">
        <w:rPr>
          <w:rFonts w:cs="Times New Roman"/>
          <w:i/>
        </w:rPr>
        <w:t xml:space="preserve"> and Materials</w:t>
      </w:r>
      <w:r w:rsidRPr="0084431D">
        <w:rPr>
          <w:rFonts w:cs="Times New Roman"/>
        </w:rPr>
        <w:t xml:space="preserve"> </w:t>
      </w:r>
      <w:r>
        <w:rPr>
          <w:rFonts w:cs="Times New Roman"/>
        </w:rPr>
        <w:t>(</w:t>
      </w:r>
      <w:r w:rsidRPr="0084431D">
        <w:rPr>
          <w:rFonts w:cs="Times New Roman"/>
        </w:rPr>
        <w:t>7</w:t>
      </w:r>
      <w:r w:rsidRPr="005B4A9F">
        <w:rPr>
          <w:rFonts w:cs="Times New Roman"/>
        </w:rPr>
        <w:t>th</w:t>
      </w:r>
      <w:r>
        <w:rPr>
          <w:rFonts w:cs="Times New Roman"/>
        </w:rPr>
        <w:t xml:space="preserve"> ed. </w:t>
      </w:r>
      <w:r w:rsidRPr="0084431D">
        <w:rPr>
          <w:rFonts w:cs="Times New Roman"/>
        </w:rPr>
        <w:t>2015), at p. 13). These claims and disputes vary greatly in scope and subject-matter. Corporate merger requests, professional discipline complaints by dissatisfied clients, requests</w:t>
      </w:r>
      <w:r>
        <w:rPr>
          <w:rFonts w:cs="Times New Roman"/>
        </w:rPr>
        <w:t xml:space="preserve"> for property re</w:t>
      </w:r>
      <w:r w:rsidRPr="0084431D">
        <w:rPr>
          <w:rFonts w:cs="Times New Roman"/>
        </w:rPr>
        <w:t xml:space="preserve">assessments and applications for welfare benefits, among many other matters, all fall within the purview of the </w:t>
      </w:r>
      <w:r w:rsidR="00AB6605">
        <w:rPr>
          <w:rFonts w:cs="Times New Roman"/>
        </w:rPr>
        <w:t>administrative justice system.</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administrative </w:t>
      </w:r>
      <w:r>
        <w:rPr>
          <w:rFonts w:cs="Times New Roman"/>
        </w:rPr>
        <w:t>decision-maker</w:t>
      </w:r>
      <w:r w:rsidRPr="0084431D" w:rsidDel="00511177">
        <w:rPr>
          <w:rFonts w:cs="Times New Roman"/>
        </w:rPr>
        <w:t>s tasked to resolve these issues come from many d</w:t>
      </w:r>
      <w:r>
        <w:rPr>
          <w:rFonts w:cs="Times New Roman"/>
        </w:rPr>
        <w:t xml:space="preserve">ifferent walks of life (Van </w:t>
      </w:r>
      <w:proofErr w:type="spellStart"/>
      <w:r>
        <w:rPr>
          <w:rFonts w:cs="Times New Roman"/>
        </w:rPr>
        <w:t>Harten</w:t>
      </w:r>
      <w:proofErr w:type="spellEnd"/>
      <w:r>
        <w:rPr>
          <w:rFonts w:cs="Times New Roman"/>
        </w:rPr>
        <w:t xml:space="preserve"> et al., </w:t>
      </w:r>
      <w:r w:rsidRPr="0084431D" w:rsidDel="00511177">
        <w:rPr>
          <w:rFonts w:cs="Times New Roman"/>
        </w:rPr>
        <w:t xml:space="preserve">at p. 15). Some have legal backgrounds, </w:t>
      </w:r>
      <w:r w:rsidRPr="0084431D">
        <w:rPr>
          <w:rFonts w:cs="Times New Roman"/>
        </w:rPr>
        <w:t>some</w:t>
      </w:r>
      <w:r w:rsidRPr="0084431D" w:rsidDel="00511177">
        <w:rPr>
          <w:rFonts w:cs="Times New Roman"/>
        </w:rPr>
        <w:t xml:space="preserve"> do no</w:t>
      </w:r>
      <w:r w:rsidRPr="0084431D">
        <w:rPr>
          <w:rFonts w:cs="Times New Roman"/>
        </w:rPr>
        <w:t xml:space="preserve">t. The diverse pool of </w:t>
      </w:r>
      <w:r>
        <w:rPr>
          <w:rFonts w:cs="Times New Roman"/>
        </w:rPr>
        <w:t>decision-maker</w:t>
      </w:r>
      <w:r w:rsidRPr="0084431D" w:rsidDel="00511177">
        <w:rPr>
          <w:rFonts w:cs="Times New Roman"/>
        </w:rPr>
        <w:t xml:space="preserve">s in the administrative </w:t>
      </w:r>
      <w:r w:rsidRPr="0084431D">
        <w:rPr>
          <w:rFonts w:cs="Times New Roman"/>
        </w:rPr>
        <w:lastRenderedPageBreak/>
        <w:t>system</w:t>
      </w:r>
      <w:r w:rsidRPr="0084431D" w:rsidDel="00511177">
        <w:rPr>
          <w:rFonts w:cs="Times New Roman"/>
        </w:rPr>
        <w:t xml:space="preserve"> responds to the diversity of issues that it must resolve. To address this broad range of issues, administrative dispute-resolution processes are generally “[d]</w:t>
      </w:r>
      <w:proofErr w:type="spellStart"/>
      <w:r w:rsidRPr="0084431D" w:rsidDel="00511177">
        <w:rPr>
          <w:rFonts w:cs="Times New Roman"/>
        </w:rPr>
        <w:t>esigned</w:t>
      </w:r>
      <w:proofErr w:type="spellEnd"/>
      <w:r w:rsidRPr="0084431D" w:rsidDel="00511177">
        <w:rPr>
          <w:rFonts w:cs="Times New Roman"/>
        </w:rPr>
        <w:t xml:space="preserve"> to be less cumbersome, less expensive, less formal and less delayed” than their judicial counterparts </w:t>
      </w:r>
      <w:r>
        <w:rPr>
          <w:rFonts w:cs="Times New Roman"/>
        </w:rPr>
        <w:t>—</w:t>
      </w:r>
      <w:r w:rsidRPr="0084431D" w:rsidDel="00511177">
        <w:rPr>
          <w:rFonts w:cs="Times New Roman"/>
        </w:rPr>
        <w:t xml:space="preserve"> but “no less </w:t>
      </w:r>
      <w:proofErr w:type="spellStart"/>
      <w:r w:rsidRPr="0084431D" w:rsidDel="00511177">
        <w:rPr>
          <w:rFonts w:cs="Times New Roman"/>
        </w:rPr>
        <w:t>effectiv</w:t>
      </w:r>
      <w:proofErr w:type="spellEnd"/>
      <w:r w:rsidRPr="0084431D" w:rsidDel="00511177">
        <w:rPr>
          <w:rFonts w:cs="Times New Roman"/>
        </w:rPr>
        <w:t xml:space="preserve">[e] or </w:t>
      </w:r>
      <w:proofErr w:type="spellStart"/>
      <w:r w:rsidRPr="0084431D" w:rsidDel="00511177">
        <w:rPr>
          <w:rFonts w:cs="Times New Roman"/>
        </w:rPr>
        <w:t>credibl</w:t>
      </w:r>
      <w:proofErr w:type="spellEnd"/>
      <w:r w:rsidRPr="0084431D" w:rsidDel="00511177">
        <w:rPr>
          <w:rFonts w:cs="Times New Roman"/>
        </w:rPr>
        <w:t>[e]” (</w:t>
      </w:r>
      <w:proofErr w:type="spellStart"/>
      <w:r w:rsidRPr="0084431D" w:rsidDel="00511177">
        <w:rPr>
          <w:rFonts w:cs="Times New Roman"/>
          <w:i/>
        </w:rPr>
        <w:t>Rasanen</w:t>
      </w:r>
      <w:proofErr w:type="spellEnd"/>
      <w:r w:rsidRPr="0084431D" w:rsidDel="00511177">
        <w:rPr>
          <w:rFonts w:cs="Times New Roman"/>
          <w:i/>
        </w:rPr>
        <w:t xml:space="preserve"> v. Rosemount Instruments Ltd. </w:t>
      </w:r>
      <w:r w:rsidRPr="0084431D" w:rsidDel="00511177">
        <w:rPr>
          <w:rFonts w:cs="Times New Roman"/>
        </w:rPr>
        <w:t>(1994</w:t>
      </w:r>
      <w:r w:rsidRPr="0084431D">
        <w:rPr>
          <w:rFonts w:cs="Times New Roman"/>
        </w:rPr>
        <w:t xml:space="preserve">), 17 O.R. (3d) 267 (C.A.), at </w:t>
      </w:r>
      <w:r w:rsidRPr="0084431D" w:rsidDel="00511177">
        <w:rPr>
          <w:rFonts w:cs="Times New Roman"/>
        </w:rPr>
        <w:t xml:space="preserve">p. 279). In the field of labour relations, for example, Parliament explicitly rejected a court-based system to resolve workplace disputes in favour of a Labour Board, staffed with representatives from management and labour alongside an independent member (Bora </w:t>
      </w:r>
      <w:proofErr w:type="spellStart"/>
      <w:r w:rsidRPr="0084431D" w:rsidDel="00511177">
        <w:rPr>
          <w:rFonts w:cs="Times New Roman"/>
        </w:rPr>
        <w:t>Laskin</w:t>
      </w:r>
      <w:proofErr w:type="spellEnd"/>
      <w:r w:rsidRPr="0084431D" w:rsidDel="00511177">
        <w:rPr>
          <w:rFonts w:cs="Times New Roman"/>
        </w:rPr>
        <w:t>, “Collective Bargaining in Ontario: A New Legislative Approach” (1943)</w:t>
      </w:r>
      <w:r w:rsidRPr="0084431D">
        <w:rPr>
          <w:rFonts w:cs="Times New Roman"/>
        </w:rPr>
        <w:t>,</w:t>
      </w:r>
      <w:r w:rsidRPr="0084431D" w:rsidDel="00511177">
        <w:rPr>
          <w:rFonts w:cs="Times New Roman"/>
        </w:rPr>
        <w:t xml:space="preserve"> 21 </w:t>
      </w:r>
      <w:r>
        <w:rPr>
          <w:rFonts w:cs="Times New Roman"/>
          <w:i/>
        </w:rPr>
        <w:t>Can. Bar</w:t>
      </w:r>
      <w:r w:rsidRPr="0084431D" w:rsidDel="00511177">
        <w:rPr>
          <w:rFonts w:cs="Times New Roman"/>
          <w:i/>
        </w:rPr>
        <w:t xml:space="preserve"> Rev. </w:t>
      </w:r>
      <w:r w:rsidRPr="0084431D" w:rsidDel="00511177">
        <w:rPr>
          <w:rFonts w:cs="Times New Roman"/>
        </w:rPr>
        <w:t>684;</w:t>
      </w:r>
      <w:r w:rsidRPr="0084431D">
        <w:rPr>
          <w:rFonts w:cs="Times New Roman"/>
        </w:rPr>
        <w:t xml:space="preserve"> John A. Willes, </w:t>
      </w:r>
      <w:r w:rsidRPr="0084431D">
        <w:rPr>
          <w:rFonts w:cs="Times New Roman"/>
          <w:i/>
        </w:rPr>
        <w:t>The Ontario Labour Court</w:t>
      </w:r>
      <w:r>
        <w:rPr>
          <w:rFonts w:cs="Times New Roman"/>
          <w:i/>
        </w:rPr>
        <w:t>:</w:t>
      </w:r>
      <w:r w:rsidRPr="0084431D">
        <w:rPr>
          <w:rFonts w:cs="Times New Roman"/>
          <w:i/>
        </w:rPr>
        <w:t xml:space="preserve"> 1943-1944</w:t>
      </w:r>
      <w:r w:rsidRPr="0084431D">
        <w:rPr>
          <w:rFonts w:cs="Times New Roman"/>
        </w:rPr>
        <w:t xml:space="preserve"> (1979); </w:t>
      </w:r>
      <w:r w:rsidRPr="0084431D" w:rsidDel="00511177">
        <w:rPr>
          <w:rFonts w:cs="Times New Roman"/>
        </w:rPr>
        <w:t xml:space="preserve">Katherine Munro, “A </w:t>
      </w:r>
      <w:r>
        <w:rPr>
          <w:rFonts w:cs="Times New Roman"/>
        </w:rPr>
        <w:t>‘Unique Experiment’</w:t>
      </w:r>
      <w:r w:rsidRPr="0084431D" w:rsidDel="00511177">
        <w:rPr>
          <w:rFonts w:cs="Times New Roman"/>
        </w:rPr>
        <w:t>: The Ontario Labour Court, 1943-1944” (2014)</w:t>
      </w:r>
      <w:r w:rsidRPr="0084431D">
        <w:rPr>
          <w:rFonts w:cs="Times New Roman"/>
        </w:rPr>
        <w:t>,</w:t>
      </w:r>
      <w:r w:rsidRPr="0084431D" w:rsidDel="00511177">
        <w:rPr>
          <w:rFonts w:cs="Times New Roman"/>
        </w:rPr>
        <w:t xml:space="preserve"> 74 </w:t>
      </w:r>
      <w:r w:rsidRPr="0084431D" w:rsidDel="00511177">
        <w:rPr>
          <w:rFonts w:cs="Times New Roman"/>
          <w:i/>
        </w:rPr>
        <w:t>Labour</w:t>
      </w:r>
      <w:r w:rsidRPr="0084431D" w:rsidDel="00511177">
        <w:rPr>
          <w:rFonts w:cs="Times New Roman"/>
        </w:rPr>
        <w:t xml:space="preserve"> 199). </w:t>
      </w:r>
      <w:r w:rsidRPr="0084431D">
        <w:rPr>
          <w:rFonts w:cs="Times New Roman"/>
        </w:rPr>
        <w:t xml:space="preserve">Other administrative processes </w:t>
      </w:r>
      <w:r>
        <w:rPr>
          <w:rFonts w:cs="Times New Roman"/>
        </w:rPr>
        <w:t>—</w:t>
      </w:r>
      <w:r w:rsidRPr="0084431D">
        <w:rPr>
          <w:rFonts w:cs="Times New Roman"/>
        </w:rPr>
        <w:t xml:space="preserve"> license renewals, zoning permit issuances and tax reassessments, for example </w:t>
      </w:r>
      <w:r>
        <w:rPr>
          <w:rFonts w:cs="Times New Roman"/>
        </w:rPr>
        <w:t>—</w:t>
      </w:r>
      <w:r w:rsidRPr="0084431D">
        <w:rPr>
          <w:rFonts w:cs="Times New Roman"/>
        </w:rPr>
        <w:t xml:space="preserve"> bear even less resemblance to the traditional judicial model.</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Courts, through judicial review, monitor the boundaries of administrative decision making. Questions about the standards of judicial review have been an enduring feature of Canadian administrative law. The debate, in recent times, has revolved around “reasonableness” and “correctness”, and determining when each standard applies. On the one hand, “reasonableness” review expects courts to defer to decisions by specialized </w:t>
      </w:r>
      <w:r>
        <w:rPr>
          <w:rFonts w:cs="Times New Roman"/>
        </w:rPr>
        <w:t>decision-maker</w:t>
      </w:r>
      <w:r w:rsidRPr="0084431D">
        <w:rPr>
          <w:rFonts w:cs="Times New Roman"/>
        </w:rPr>
        <w:t xml:space="preserve">s that “are defensible in respect of the facts and law”; on the other, “correctness” review allows courts to substitute their own opinions for those of the initial </w:t>
      </w:r>
      <w:r>
        <w:rPr>
          <w:rFonts w:cs="Times New Roman"/>
        </w:rPr>
        <w:t>decision-maker</w:t>
      </w:r>
      <w:r w:rsidRPr="0084431D">
        <w:rPr>
          <w:rFonts w:cs="Times New Roman"/>
        </w:rPr>
        <w:t xml:space="preserve"> (</w:t>
      </w:r>
      <w:r w:rsidRPr="0084431D">
        <w:rPr>
          <w:rFonts w:cs="Times New Roman"/>
          <w:i/>
        </w:rPr>
        <w:t>Dunsmuir</w:t>
      </w:r>
      <w:r w:rsidRPr="0084431D">
        <w:rPr>
          <w:rFonts w:cs="Times New Roman"/>
        </w:rPr>
        <w:t xml:space="preserve">, at paras. 47-50). This standard of </w:t>
      </w:r>
      <w:r w:rsidRPr="0084431D">
        <w:rPr>
          <w:rFonts w:cs="Times New Roman"/>
        </w:rPr>
        <w:lastRenderedPageBreak/>
        <w:t xml:space="preserve">review debate has profound implications for the extent to which reviewing courts may substitute their views for those of administrative </w:t>
      </w:r>
      <w:r>
        <w:rPr>
          <w:rFonts w:cs="Times New Roman"/>
        </w:rPr>
        <w:t>decision-maker</w:t>
      </w:r>
      <w:r w:rsidRPr="0084431D">
        <w:rPr>
          <w:rFonts w:cs="Times New Roman"/>
        </w:rPr>
        <w:t>s. At its core, it is a debate over two distinct philosophies of administrative law.</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The story of modern Canadian administrative law is the story of a shift away from the court-centric philosophy which denied administrative bodies the authority to interpret or shape the law. This approach found forceful expression in the work of Albert Venn Dicey. For Dicey, the rule of law meant the rule of courts. Dicey developed his philosophy at the end of the 19</w:t>
      </w:r>
      <w:r w:rsidRPr="005B4A9F">
        <w:rPr>
          <w:rFonts w:cs="Times New Roman"/>
        </w:rPr>
        <w:t>th</w:t>
      </w:r>
      <w:r w:rsidRPr="0084431D">
        <w:rPr>
          <w:rFonts w:cs="Times New Roman"/>
        </w:rPr>
        <w:t xml:space="preserve"> century to encourage the House of Lords to restrain the government from implementing ameliorative social and welfare reforms administered by new regulatory agencies. Famously, Dicey asserted that administrative law was anathema to the English legal system (</w:t>
      </w:r>
      <w:r w:rsidRPr="0084431D">
        <w:rPr>
          <w:rFonts w:cs="Times New Roman"/>
          <w:lang w:val="en-US"/>
        </w:rPr>
        <w:t xml:space="preserve">Albert Venn Dicey, </w:t>
      </w:r>
      <w:r w:rsidRPr="0084431D">
        <w:rPr>
          <w:rFonts w:cs="Times New Roman"/>
          <w:i/>
          <w:lang w:val="en-US"/>
        </w:rPr>
        <w:t>Introduction to the Study of the Law of the Constitution</w:t>
      </w:r>
      <w:r>
        <w:rPr>
          <w:rFonts w:cs="Times New Roman"/>
          <w:lang w:val="en-US"/>
        </w:rPr>
        <w:t xml:space="preserve"> (10th ed. 1959</w:t>
      </w:r>
      <w:r w:rsidRPr="0084431D">
        <w:rPr>
          <w:rFonts w:cs="Times New Roman"/>
          <w:lang w:val="en-US"/>
        </w:rPr>
        <w:t xml:space="preserve">), at </w:t>
      </w:r>
      <w:r>
        <w:rPr>
          <w:rFonts w:cs="Times New Roman"/>
          <w:lang w:val="en-US"/>
        </w:rPr>
        <w:t>pp. 334-35</w:t>
      </w:r>
      <w:r w:rsidRPr="0084431D">
        <w:rPr>
          <w:rFonts w:cs="Times New Roman"/>
          <w:lang w:val="en-US"/>
        </w:rPr>
        <w:t>)</w:t>
      </w:r>
      <w:r w:rsidRPr="0084431D">
        <w:rPr>
          <w:rFonts w:cs="Times New Roman"/>
        </w:rPr>
        <w:t>. Because, in his view, only the judiciary had the authority to interpret law, there was no reason for a court to defer to legal interpretations proffered by administrative bodies, since their decisions did not constitute “law” (</w:t>
      </w:r>
      <w:r w:rsidRPr="0084431D">
        <w:rPr>
          <w:rFonts w:cs="Times New Roman"/>
          <w:lang w:val="en-US"/>
        </w:rPr>
        <w:t xml:space="preserve">Kevin M. Stack, “Overcoming Dicey in Administrative Law” (2018), 68 </w:t>
      </w:r>
      <w:r w:rsidRPr="0084431D">
        <w:rPr>
          <w:rFonts w:cs="Times New Roman"/>
          <w:i/>
          <w:lang w:val="en-US"/>
        </w:rPr>
        <w:t>U.T.L.J.</w:t>
      </w:r>
      <w:r w:rsidRPr="0084431D">
        <w:rPr>
          <w:rFonts w:cs="Times New Roman"/>
          <w:lang w:val="en-US"/>
        </w:rPr>
        <w:t xml:space="preserve"> 293, at p. 294)</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canonical example of </w:t>
      </w:r>
      <w:proofErr w:type="spellStart"/>
      <w:r w:rsidRPr="0084431D">
        <w:rPr>
          <w:rFonts w:cs="Times New Roman"/>
        </w:rPr>
        <w:t>Dicey’s</w:t>
      </w:r>
      <w:proofErr w:type="spellEnd"/>
      <w:r w:rsidRPr="0084431D">
        <w:rPr>
          <w:rFonts w:cs="Times New Roman"/>
        </w:rPr>
        <w:t xml:space="preserve"> approach at work is the House of Lords’ decision in </w:t>
      </w:r>
      <w:proofErr w:type="spellStart"/>
      <w:r w:rsidRPr="0084431D">
        <w:rPr>
          <w:rFonts w:cs="Times New Roman"/>
          <w:i/>
          <w:lang w:val="en-US"/>
        </w:rPr>
        <w:t>Anisminic</w:t>
      </w:r>
      <w:proofErr w:type="spellEnd"/>
      <w:r w:rsidRPr="0084431D">
        <w:rPr>
          <w:rFonts w:cs="Times New Roman"/>
          <w:i/>
          <w:lang w:val="en-US"/>
        </w:rPr>
        <w:t xml:space="preserve"> Ltd. v. Foreign Compensation Commission</w:t>
      </w:r>
      <w:r w:rsidRPr="0084431D">
        <w:rPr>
          <w:rFonts w:cs="Times New Roman"/>
          <w:lang w:val="en-US"/>
        </w:rPr>
        <w:t xml:space="preserve">, [1969] 2 A.C. 147, the judicial progenitor of “jurisdictional error”. </w:t>
      </w:r>
      <w:proofErr w:type="spellStart"/>
      <w:r w:rsidRPr="0084431D">
        <w:rPr>
          <w:rFonts w:cs="Times New Roman"/>
          <w:i/>
        </w:rPr>
        <w:t>Anisminic</w:t>
      </w:r>
      <w:proofErr w:type="spellEnd"/>
      <w:r w:rsidRPr="0084431D">
        <w:rPr>
          <w:rFonts w:cs="Times New Roman"/>
        </w:rPr>
        <w:t xml:space="preserve"> entrenched non-deferential judicial review by endorsing a lengthy checklist of “jurisdictional errors” capable of undermining administrative decisions. Lord Reid noted that there were two scenarios </w:t>
      </w:r>
      <w:r w:rsidRPr="0084431D">
        <w:rPr>
          <w:rFonts w:cs="Times New Roman"/>
        </w:rPr>
        <w:lastRenderedPageBreak/>
        <w:t xml:space="preserve">in which an administrative </w:t>
      </w:r>
      <w:r>
        <w:rPr>
          <w:rFonts w:cs="Times New Roman"/>
        </w:rPr>
        <w:t>decision-maker</w:t>
      </w:r>
      <w:r w:rsidRPr="0084431D">
        <w:rPr>
          <w:rFonts w:cs="Times New Roman"/>
        </w:rPr>
        <w:t xml:space="preserve"> would lose jurisdiction. The first was narrow and asked whether the legislature had empowered the administrative </w:t>
      </w:r>
      <w:r>
        <w:rPr>
          <w:rFonts w:cs="Times New Roman"/>
        </w:rPr>
        <w:t>decision-maker</w:t>
      </w:r>
      <w:r w:rsidRPr="0084431D">
        <w:rPr>
          <w:rFonts w:cs="Times New Roman"/>
        </w:rPr>
        <w:t xml:space="preserve"> to “enter on the in</w:t>
      </w:r>
      <w:r>
        <w:rPr>
          <w:rFonts w:cs="Times New Roman"/>
        </w:rPr>
        <w:t>quiry in question” (</w:t>
      </w:r>
      <w:r w:rsidRPr="0084431D">
        <w:rPr>
          <w:rFonts w:cs="Times New Roman"/>
        </w:rPr>
        <w:t>p. 171). The second was wider:</w:t>
      </w:r>
    </w:p>
    <w:p w:rsidR="008B0231" w:rsidRPr="0084431D" w:rsidRDefault="008B0231" w:rsidP="008B0231">
      <w:pPr>
        <w:pStyle w:val="Citation-AltC"/>
      </w:pPr>
      <w:r w:rsidRPr="0084431D">
        <w:t xml:space="preserve">[T]here are many cases where, although the tribunal had jurisdiction to enter on the inquiry, it has done or failed to do something in the course of the inquiry which is of such a nature that its decision is a nullity. It may have given its decision in bad faith. It may have made a decision which it had no power to make. It may have failed in the course of the inquiry to comply with the requirements of natural justice. </w:t>
      </w:r>
      <w:r w:rsidRPr="0084431D">
        <w:rPr>
          <w:i/>
        </w:rPr>
        <w:t xml:space="preserve">It may in perfect </w:t>
      </w:r>
      <w:r>
        <w:rPr>
          <w:i/>
        </w:rPr>
        <w:t xml:space="preserve">good </w:t>
      </w:r>
      <w:r w:rsidRPr="0084431D">
        <w:rPr>
          <w:i/>
        </w:rPr>
        <w:t>faith have misconstrued the provisions giving it power to act so that it failed to deal with the question remitted to it and decided some question which was not remitted to it. It may have refused to take into account something which it was required to take into account</w:t>
      </w:r>
      <w:r w:rsidRPr="0084431D">
        <w:t>.</w:t>
      </w:r>
      <w:r w:rsidRPr="00704649">
        <w:rPr>
          <w:rStyle w:val="Hyperlink"/>
          <w:rFonts w:eastAsiaTheme="minorHAnsi"/>
          <w:u w:val="single"/>
          <w:vertAlign w:val="superscript"/>
        </w:rPr>
        <w:t xml:space="preserve"> </w:t>
      </w:r>
      <w:r w:rsidRPr="0084431D">
        <w:rPr>
          <w:rFonts w:eastAsiaTheme="minorHAnsi"/>
          <w:i/>
        </w:rPr>
        <w:t xml:space="preserve">Or it may have based its decision on some matter which, under the provisions setting it up, it had no right to take into account. I do not intend this list to be exhaustive. </w:t>
      </w:r>
      <w:r w:rsidRPr="0084431D">
        <w:t>[</w:t>
      </w:r>
      <w:r>
        <w:t>E</w:t>
      </w:r>
      <w:r w:rsidRPr="0084431D">
        <w:t>mphasis added</w:t>
      </w:r>
      <w:r>
        <w:t>; p. 171.</w:t>
      </w:r>
      <w:r w:rsidRPr="0084431D">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broad “jurisdictional error” approach in </w:t>
      </w:r>
      <w:proofErr w:type="spellStart"/>
      <w:r w:rsidRPr="0084431D">
        <w:rPr>
          <w:rFonts w:cs="Times New Roman"/>
          <w:i/>
        </w:rPr>
        <w:t>Anisminic</w:t>
      </w:r>
      <w:proofErr w:type="spellEnd"/>
      <w:r w:rsidRPr="0084431D">
        <w:rPr>
          <w:rFonts w:cs="Times New Roman"/>
        </w:rPr>
        <w:t xml:space="preserve"> initially found favour with this Court in cases like </w:t>
      </w:r>
      <w:r w:rsidRPr="0084431D">
        <w:rPr>
          <w:rFonts w:cs="Times New Roman"/>
          <w:i/>
          <w:lang w:val="en-US"/>
        </w:rPr>
        <w:t>Met</w:t>
      </w:r>
      <w:r>
        <w:rPr>
          <w:rFonts w:cs="Times New Roman"/>
          <w:i/>
          <w:lang w:val="en-US"/>
        </w:rPr>
        <w:t>ropolitan Life Insurance Co</w:t>
      </w:r>
      <w:r w:rsidR="00A03B44">
        <w:rPr>
          <w:rFonts w:cs="Times New Roman"/>
          <w:i/>
          <w:lang w:val="en-US"/>
        </w:rPr>
        <w:t>.</w:t>
      </w:r>
      <w:r w:rsidRPr="0084431D">
        <w:rPr>
          <w:rFonts w:cs="Times New Roman"/>
          <w:i/>
          <w:lang w:val="en-US"/>
        </w:rPr>
        <w:t xml:space="preserve"> v. International Union of Operating Engineers, Local 796</w:t>
      </w:r>
      <w:r w:rsidRPr="0084431D">
        <w:rPr>
          <w:rFonts w:cs="Times New Roman"/>
          <w:lang w:val="en-US"/>
        </w:rPr>
        <w:t xml:space="preserve">, [1970] S.C.R. 425, and </w:t>
      </w:r>
      <w:r w:rsidRPr="0084431D">
        <w:rPr>
          <w:rFonts w:cs="Times New Roman"/>
          <w:i/>
          <w:lang w:val="en-US"/>
        </w:rPr>
        <w:t xml:space="preserve">Bell v. Ontario </w:t>
      </w:r>
      <w:r>
        <w:rPr>
          <w:rFonts w:cs="Times New Roman"/>
          <w:i/>
          <w:lang w:val="en-US"/>
        </w:rPr>
        <w:t>Human Rights Commission</w:t>
      </w:r>
      <w:r w:rsidRPr="0084431D">
        <w:rPr>
          <w:rFonts w:cs="Times New Roman"/>
          <w:lang w:val="en-US"/>
        </w:rPr>
        <w:t>, [1971] S.C.R. 756. These cases “</w:t>
      </w:r>
      <w:r w:rsidRPr="0084431D">
        <w:rPr>
          <w:rFonts w:cs="Times New Roman"/>
        </w:rPr>
        <w:t>took the position that a definition of jurisdictional error should include any question pertaining to the interpretation of a statute made by an administrative tribunal”, and in each case, “</w:t>
      </w:r>
      <w:proofErr w:type="spellStart"/>
      <w:r w:rsidRPr="0084431D">
        <w:rPr>
          <w:rFonts w:cs="Times New Roman"/>
        </w:rPr>
        <w:t>th</w:t>
      </w:r>
      <w:proofErr w:type="spellEnd"/>
      <w:r w:rsidRPr="0084431D">
        <w:rPr>
          <w:rFonts w:cs="Times New Roman"/>
        </w:rPr>
        <w:t>[e] Court substituted what was, in its opinion, the correct interpretation of the enabling provision of the tribunal’s statute for that of the tribunal” (</w:t>
      </w:r>
      <w:r w:rsidRPr="0084431D">
        <w:rPr>
          <w:rFonts w:cs="Times New Roman"/>
          <w:i/>
        </w:rPr>
        <w:t>Canada (Attorney General) v. Public Service Alliance of Canada</w:t>
      </w:r>
      <w:r w:rsidRPr="0084431D">
        <w:rPr>
          <w:rFonts w:cs="Times New Roman"/>
        </w:rPr>
        <w:t>, [1991] 1 S.C.R. 614, at p. 650,</w:t>
      </w:r>
      <w:r w:rsidRPr="005B4A9F">
        <w:rPr>
          <w:rFonts w:cs="Times New Roman"/>
        </w:rPr>
        <w:t xml:space="preserve"> per</w:t>
      </w:r>
      <w:r w:rsidRPr="0084431D">
        <w:rPr>
          <w:rFonts w:cs="Times New Roman"/>
          <w:i/>
        </w:rPr>
        <w:t xml:space="preserve"> </w:t>
      </w:r>
      <w:r w:rsidRPr="0084431D">
        <w:rPr>
          <w:rFonts w:cs="Times New Roman"/>
        </w:rPr>
        <w:t>Cory J.</w:t>
      </w:r>
      <w:r>
        <w:rPr>
          <w:rFonts w:cs="Times New Roman"/>
        </w:rPr>
        <w:t>,</w:t>
      </w:r>
      <w:r w:rsidRPr="0084431D">
        <w:rPr>
          <w:rFonts w:cs="Times New Roman"/>
        </w:rPr>
        <w:t xml:space="preserve"> dissenting, but not on this point). In </w:t>
      </w:r>
      <w:r w:rsidRPr="0084431D">
        <w:rPr>
          <w:rFonts w:cs="Times New Roman"/>
          <w:i/>
        </w:rPr>
        <w:t>Metropolitan Life</w:t>
      </w:r>
      <w:r w:rsidRPr="0084431D">
        <w:rPr>
          <w:rFonts w:cs="Times New Roman"/>
        </w:rPr>
        <w:t>, for example, this Court quashed a labour board’s decision to certify a union, concluding that the Board had “ask[</w:t>
      </w:r>
      <w:proofErr w:type="spellStart"/>
      <w:r w:rsidRPr="0084431D">
        <w:rPr>
          <w:rFonts w:cs="Times New Roman"/>
        </w:rPr>
        <w:t>ed</w:t>
      </w:r>
      <w:proofErr w:type="spellEnd"/>
      <w:r w:rsidRPr="0084431D">
        <w:rPr>
          <w:rFonts w:cs="Times New Roman"/>
        </w:rPr>
        <w:t xml:space="preserve">] </w:t>
      </w:r>
      <w:r w:rsidRPr="0084431D">
        <w:rPr>
          <w:rFonts w:cs="Times New Roman"/>
        </w:rPr>
        <w:lastRenderedPageBreak/>
        <w:t>itself the wrong question” and “decided a question which was not remitted to it”</w:t>
      </w:r>
      <w:r w:rsidR="00AB6605">
        <w:rPr>
          <w:rFonts w:cs="Times New Roman"/>
        </w:rPr>
        <w:t xml:space="preserve"> </w:t>
      </w:r>
      <w:r w:rsidRPr="0084431D">
        <w:rPr>
          <w:rFonts w:cs="Times New Roman"/>
        </w:rPr>
        <w:t>(p</w:t>
      </w:r>
      <w:r>
        <w:rPr>
          <w:rFonts w:cs="Times New Roman"/>
        </w:rPr>
        <w:t>. </w:t>
      </w:r>
      <w:r w:rsidRPr="0084431D">
        <w:rPr>
          <w:rFonts w:cs="Times New Roman"/>
        </w:rPr>
        <w:t xml:space="preserve">435). In </w:t>
      </w:r>
      <w:r w:rsidRPr="0084431D">
        <w:rPr>
          <w:rFonts w:cs="Times New Roman"/>
          <w:i/>
        </w:rPr>
        <w:t>Bell</w:t>
      </w:r>
      <w:r w:rsidRPr="0084431D">
        <w:rPr>
          <w:rFonts w:cs="Times New Roman"/>
        </w:rPr>
        <w:t xml:space="preserve">, this Court held that a human rights commission had strayed beyond its jurisdiction by deciding to investigate a complaint of racial discrimination filed against a landlord. The Court held that the Commission had incorrectly interpreted the term “self-contained dwelling </w:t>
      </w:r>
      <w:proofErr w:type="spellStart"/>
      <w:r w:rsidRPr="0084431D">
        <w:rPr>
          <w:rFonts w:cs="Times New Roman"/>
        </w:rPr>
        <w:t>uni</w:t>
      </w:r>
      <w:proofErr w:type="spellEnd"/>
      <w:r>
        <w:rPr>
          <w:rFonts w:cs="Times New Roman"/>
        </w:rPr>
        <w:t>[</w:t>
      </w:r>
      <w:r w:rsidRPr="0084431D">
        <w:rPr>
          <w:rFonts w:cs="Times New Roman"/>
        </w:rPr>
        <w:t>t</w:t>
      </w:r>
      <w:r>
        <w:rPr>
          <w:rFonts w:cs="Times New Roman"/>
        </w:rPr>
        <w:t>]</w:t>
      </w:r>
      <w:r w:rsidRPr="0084431D">
        <w:rPr>
          <w:rFonts w:cs="Times New Roman"/>
        </w:rPr>
        <w:t xml:space="preserve">” found in s. 3 of the </w:t>
      </w:r>
      <w:r w:rsidRPr="0084431D">
        <w:rPr>
          <w:rFonts w:cs="Times New Roman"/>
          <w:i/>
        </w:rPr>
        <w:t>Ontario Human Rights Code</w:t>
      </w:r>
      <w:r w:rsidRPr="0084431D">
        <w:rPr>
          <w:rFonts w:cs="Times New Roman"/>
        </w:rPr>
        <w:t xml:space="preserve">, </w:t>
      </w:r>
      <w:r w:rsidRPr="005B4A9F">
        <w:rPr>
          <w:rFonts w:cs="Times New Roman"/>
          <w:i/>
        </w:rPr>
        <w:t>1961-62</w:t>
      </w:r>
      <w:r w:rsidRPr="0084431D">
        <w:rPr>
          <w:rFonts w:cs="Times New Roman"/>
        </w:rPr>
        <w:t xml:space="preserve">, </w:t>
      </w:r>
      <w:r>
        <w:rPr>
          <w:rFonts w:cs="Times New Roman"/>
        </w:rPr>
        <w:t xml:space="preserve">S.O. </w:t>
      </w:r>
      <w:r w:rsidRPr="00B94EFF">
        <w:rPr>
          <w:rFonts w:cs="Times New Roman"/>
        </w:rPr>
        <w:t>1961-62</w:t>
      </w:r>
      <w:r>
        <w:rPr>
          <w:rFonts w:cs="Times New Roman"/>
        </w:rPr>
        <w:t>,</w:t>
      </w:r>
      <w:r w:rsidRPr="0084431D">
        <w:rPr>
          <w:rFonts w:cs="Times New Roman"/>
        </w:rPr>
        <w:t xml:space="preserve"> c. 93, and by so doing, had lost jurisdiction to inquire into the complaint of discrimination</w:t>
      </w:r>
      <w:r>
        <w:rPr>
          <w:rFonts w:cs="Times New Roman"/>
        </w:rPr>
        <w:t xml:space="preserve"> (pp. 767 and</w:t>
      </w:r>
      <w:r w:rsidRPr="0084431D">
        <w:rPr>
          <w:rFonts w:cs="Times New Roman"/>
        </w:rPr>
        <w:t xml:space="preserve"> 775).</w:t>
      </w:r>
    </w:p>
    <w:p w:rsidR="008B0231" w:rsidRPr="00A90BF4" w:rsidRDefault="008B0231" w:rsidP="005C2571">
      <w:pPr>
        <w:pStyle w:val="ParaNoNdepar-AltN"/>
        <w:tabs>
          <w:tab w:val="clear" w:pos="1166"/>
          <w:tab w:val="clear" w:pos="1422"/>
          <w:tab w:val="num" w:pos="1152"/>
        </w:tabs>
        <w:ind w:left="0"/>
        <w:rPr>
          <w:rFonts w:cs="Times New Roman"/>
          <w:lang w:val="en-US"/>
        </w:rPr>
      </w:pPr>
      <w:r w:rsidRPr="0084431D">
        <w:rPr>
          <w:rFonts w:cs="Times New Roman"/>
        </w:rPr>
        <w:t>As these cases illustrate, t</w:t>
      </w:r>
      <w:r w:rsidRPr="0084431D">
        <w:rPr>
          <w:rFonts w:cs="Times New Roman"/>
          <w:lang w:val="en-US"/>
        </w:rPr>
        <w:t xml:space="preserve">he </w:t>
      </w:r>
      <w:proofErr w:type="spellStart"/>
      <w:r w:rsidRPr="0084431D">
        <w:rPr>
          <w:rFonts w:cs="Times New Roman"/>
          <w:i/>
          <w:lang w:val="en-US"/>
        </w:rPr>
        <w:t>Anisminic</w:t>
      </w:r>
      <w:proofErr w:type="spellEnd"/>
      <w:r w:rsidRPr="0084431D">
        <w:rPr>
          <w:rFonts w:cs="Times New Roman"/>
          <w:i/>
          <w:lang w:val="en-US"/>
        </w:rPr>
        <w:t xml:space="preserve"> </w:t>
      </w:r>
      <w:r w:rsidRPr="0084431D">
        <w:rPr>
          <w:rFonts w:cs="Times New Roman"/>
          <w:lang w:val="en-US"/>
        </w:rPr>
        <w:t>approach proved easy to manipulate,</w:t>
      </w:r>
      <w:r w:rsidRPr="0084431D">
        <w:rPr>
          <w:rFonts w:cs="Times New Roman"/>
        </w:rPr>
        <w:t xml:space="preserve"> allowing courts to characterize any question as “jurisdictional” and thereby give themselves latitude to substitute their own view of the appropriate answer without regard for the original </w:t>
      </w:r>
      <w:r>
        <w:rPr>
          <w:rFonts w:cs="Times New Roman"/>
        </w:rPr>
        <w:t>decision-maker</w:t>
      </w:r>
      <w:r w:rsidRPr="0084431D">
        <w:rPr>
          <w:rFonts w:cs="Times New Roman"/>
        </w:rPr>
        <w:t xml:space="preserve">’s decision or reasoning. The </w:t>
      </w:r>
      <w:proofErr w:type="spellStart"/>
      <w:r w:rsidRPr="0084431D">
        <w:rPr>
          <w:rFonts w:cs="Times New Roman"/>
          <w:i/>
        </w:rPr>
        <w:t>Anisminic</w:t>
      </w:r>
      <w:proofErr w:type="spellEnd"/>
      <w:r w:rsidRPr="0084431D">
        <w:rPr>
          <w:rFonts w:cs="Times New Roman"/>
          <w:i/>
        </w:rPr>
        <w:t xml:space="preserve"> </w:t>
      </w:r>
      <w:r w:rsidRPr="0084431D">
        <w:rPr>
          <w:rFonts w:cs="Times New Roman"/>
        </w:rPr>
        <w:t>era and the “jurisdictional error” approach were and continue to be subject to significant judicial and academic criticism (</w:t>
      </w:r>
      <w:r w:rsidRPr="0084431D">
        <w:rPr>
          <w:rFonts w:cs="Times New Roman"/>
          <w:i/>
        </w:rPr>
        <w:t>Public Service Alliance</w:t>
      </w:r>
      <w:r w:rsidRPr="0084431D">
        <w:rPr>
          <w:rFonts w:cs="Times New Roman"/>
        </w:rPr>
        <w:t xml:space="preserve">, at p. 650; </w:t>
      </w:r>
      <w:r w:rsidRPr="0084431D">
        <w:rPr>
          <w:rFonts w:cs="Times New Roman"/>
          <w:i/>
          <w:lang w:val="en-US"/>
        </w:rPr>
        <w:t>National Corn Growers Ass</w:t>
      </w:r>
      <w:r>
        <w:rPr>
          <w:rFonts w:cs="Times New Roman"/>
          <w:i/>
          <w:lang w:val="en-US"/>
        </w:rPr>
        <w:t>n</w:t>
      </w:r>
      <w:r w:rsidRPr="0084431D">
        <w:rPr>
          <w:rFonts w:cs="Times New Roman"/>
          <w:i/>
          <w:lang w:val="en-US"/>
        </w:rPr>
        <w:t>. v. Canada (Import Tribunal)</w:t>
      </w:r>
      <w:r w:rsidRPr="0084431D">
        <w:rPr>
          <w:rFonts w:cs="Times New Roman"/>
          <w:lang w:val="en-US"/>
        </w:rPr>
        <w:t xml:space="preserve">, [1990] 2 S.C.R. 1324, at p. 1335, </w:t>
      </w:r>
      <w:r w:rsidRPr="00A90BF4">
        <w:rPr>
          <w:rFonts w:cs="Times New Roman"/>
          <w:lang w:val="en-US"/>
        </w:rPr>
        <w:t xml:space="preserve">per </w:t>
      </w:r>
      <w:r w:rsidRPr="0084431D">
        <w:rPr>
          <w:rFonts w:cs="Times New Roman"/>
          <w:lang w:val="en-US"/>
        </w:rPr>
        <w:t>Wilson J., concurring;</w:t>
      </w:r>
      <w:r>
        <w:rPr>
          <w:rFonts w:cs="Times New Roman"/>
        </w:rPr>
        <w:t xml:space="preserve"> </w:t>
      </w:r>
      <w:r w:rsidRPr="0084431D">
        <w:rPr>
          <w:rFonts w:cs="Times New Roman"/>
        </w:rPr>
        <w:t xml:space="preserve">Beverley </w:t>
      </w:r>
      <w:proofErr w:type="spellStart"/>
      <w:r w:rsidRPr="0084431D">
        <w:rPr>
          <w:rFonts w:cs="Times New Roman"/>
        </w:rPr>
        <w:t>McLachlin</w:t>
      </w:r>
      <w:proofErr w:type="spellEnd"/>
      <w:r>
        <w:rPr>
          <w:rFonts w:cs="Times New Roman"/>
        </w:rPr>
        <w:t>, P.C.</w:t>
      </w:r>
      <w:r w:rsidRPr="0084431D">
        <w:rPr>
          <w:rFonts w:cs="Times New Roman"/>
        </w:rPr>
        <w:t xml:space="preserve">, “‘Administrative Law </w:t>
      </w:r>
      <w:r>
        <w:rPr>
          <w:rFonts w:cs="Times New Roman"/>
        </w:rPr>
        <w:t>i</w:t>
      </w:r>
      <w:r w:rsidRPr="0084431D">
        <w:rPr>
          <w:rFonts w:cs="Times New Roman"/>
        </w:rPr>
        <w:t xml:space="preserve">s Not for Sissies’: Finding a Path </w:t>
      </w:r>
      <w:r>
        <w:rPr>
          <w:rFonts w:cs="Times New Roman"/>
        </w:rPr>
        <w:t>T</w:t>
      </w:r>
      <w:r w:rsidRPr="0084431D">
        <w:rPr>
          <w:rFonts w:cs="Times New Roman"/>
        </w:rPr>
        <w:t xml:space="preserve">hrough the Thicket” (2016), 29 </w:t>
      </w:r>
      <w:r>
        <w:rPr>
          <w:rFonts w:cs="Times New Roman"/>
          <w:i/>
        </w:rPr>
        <w:t xml:space="preserve">C.J.A.L.P. </w:t>
      </w:r>
      <w:r w:rsidRPr="0084431D">
        <w:rPr>
          <w:rFonts w:cs="Times New Roman"/>
        </w:rPr>
        <w:t xml:space="preserve">127, at pp. 129-30; Jocelyn Stacey and Alice Woolley, “Can Pragmatism Function in Administrative Law?” </w:t>
      </w:r>
      <w:r w:rsidRPr="00A90BF4">
        <w:rPr>
          <w:rFonts w:cs="Times New Roman"/>
          <w:lang w:val="en-US"/>
        </w:rPr>
        <w:t xml:space="preserve">(2016), 74 </w:t>
      </w:r>
      <w:r w:rsidRPr="00A90BF4">
        <w:rPr>
          <w:rFonts w:cs="Times New Roman"/>
          <w:i/>
          <w:lang w:val="en-US"/>
        </w:rPr>
        <w:t>S.C.L.R.</w:t>
      </w:r>
      <w:r w:rsidRPr="00A90BF4">
        <w:rPr>
          <w:rFonts w:cs="Times New Roman"/>
          <w:lang w:val="en-US"/>
        </w:rPr>
        <w:t xml:space="preserve"> (2d) 211, at pp. 215-16; R.</w:t>
      </w:r>
      <w:r w:rsidR="003E6D63">
        <w:rPr>
          <w:rFonts w:cs="Times New Roman"/>
          <w:lang w:val="en-US"/>
        </w:rPr>
        <w:t> </w:t>
      </w:r>
      <w:r w:rsidR="00273AC5">
        <w:rPr>
          <w:rFonts w:cs="Times New Roman"/>
          <w:lang w:val="en-US"/>
        </w:rPr>
        <w:t>A. Macd</w:t>
      </w:r>
      <w:r w:rsidRPr="00A90BF4">
        <w:rPr>
          <w:rFonts w:cs="Times New Roman"/>
          <w:lang w:val="en-US"/>
        </w:rPr>
        <w:t xml:space="preserve">onald, “Absence of Jurisdiction: A Perspective” (1983), 43 </w:t>
      </w:r>
      <w:r w:rsidRPr="00A90BF4">
        <w:rPr>
          <w:rFonts w:cs="Times New Roman"/>
          <w:i/>
          <w:lang w:val="en-US"/>
        </w:rPr>
        <w:t>R.</w:t>
      </w:r>
      <w:r>
        <w:rPr>
          <w:rFonts w:cs="Times New Roman"/>
          <w:i/>
          <w:lang w:val="en-US"/>
        </w:rPr>
        <w:t xml:space="preserve"> du B.</w:t>
      </w:r>
      <w:r w:rsidRPr="00A90BF4">
        <w:rPr>
          <w:rFonts w:cs="Times New Roman"/>
          <w:lang w:val="en-US"/>
        </w:rPr>
        <w:t xml:space="preserve"> 307).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1979, the Court signaled a turn to a more deferential approach to judicial review with its watershed decision in </w:t>
      </w:r>
      <w:r w:rsidRPr="0084431D">
        <w:rPr>
          <w:rFonts w:cs="Times New Roman"/>
          <w:i/>
        </w:rPr>
        <w:t>C.U.P.E.</w:t>
      </w:r>
      <w:r w:rsidRPr="0084431D">
        <w:rPr>
          <w:rFonts w:cs="Times New Roman"/>
        </w:rPr>
        <w:t xml:space="preserve"> There, the Court challenged the </w:t>
      </w:r>
      <w:r w:rsidRPr="0084431D">
        <w:rPr>
          <w:rFonts w:cs="Times New Roman"/>
        </w:rPr>
        <w:lastRenderedPageBreak/>
        <w:t>“jurisdictional error” model and planted the seeds of a home-grown approach to administrative law in Canada. In a frequently-cited passage, Dickson J., writing for a unanimous Court, cautioned that courts “should not be alert to brand as jurisdictional, and therefore subject to broader curial review, that</w:t>
      </w:r>
      <w:r>
        <w:rPr>
          <w:rFonts w:cs="Times New Roman"/>
        </w:rPr>
        <w:t xml:space="preserve"> which may be doubtfully so” (</w:t>
      </w:r>
      <w:r w:rsidRPr="0084431D">
        <w:rPr>
          <w:rFonts w:cs="Times New Roman"/>
        </w:rPr>
        <w:t>p.</w:t>
      </w:r>
      <w:r>
        <w:rPr>
          <w:rFonts w:cs="Times New Roman"/>
        </w:rPr>
        <w:t> </w:t>
      </w:r>
      <w:r w:rsidRPr="0084431D">
        <w:rPr>
          <w:rFonts w:cs="Times New Roman"/>
        </w:rPr>
        <w:t xml:space="preserve">233; cited in nearly </w:t>
      </w:r>
      <w:r>
        <w:rPr>
          <w:rFonts w:cs="Times New Roman"/>
        </w:rPr>
        <w:t>20</w:t>
      </w:r>
      <w:r w:rsidRPr="0084431D">
        <w:rPr>
          <w:rFonts w:cs="Times New Roman"/>
        </w:rPr>
        <w:t xml:space="preserve"> decisions of this Court, including </w:t>
      </w:r>
      <w:r w:rsidRPr="0084431D">
        <w:rPr>
          <w:rFonts w:cs="Times New Roman"/>
          <w:i/>
        </w:rPr>
        <w:t>Dunsmuir</w:t>
      </w:r>
      <w:r w:rsidRPr="0084431D">
        <w:rPr>
          <w:rFonts w:cs="Times New Roman"/>
        </w:rPr>
        <w:t xml:space="preserve">, at para. 35; </w:t>
      </w:r>
      <w:r w:rsidRPr="0084431D">
        <w:rPr>
          <w:rFonts w:cs="Times New Roman"/>
          <w:i/>
        </w:rPr>
        <w:t xml:space="preserve">Canada (Citizenship and Immigration) v. </w:t>
      </w:r>
      <w:proofErr w:type="spellStart"/>
      <w:r w:rsidRPr="0084431D">
        <w:rPr>
          <w:rFonts w:cs="Times New Roman"/>
          <w:i/>
        </w:rPr>
        <w:t>Khosa</w:t>
      </w:r>
      <w:proofErr w:type="spellEnd"/>
      <w:r w:rsidRPr="0084431D">
        <w:rPr>
          <w:rFonts w:cs="Times New Roman"/>
        </w:rPr>
        <w:t xml:space="preserve">, [2009] 1 S.C.R. 339, at para. 45; </w:t>
      </w:r>
      <w:r w:rsidRPr="0084431D" w:rsidDel="005377AE">
        <w:rPr>
          <w:rFonts w:cs="Times New Roman"/>
          <w:i/>
        </w:rPr>
        <w:t>Alberta (Information and Privacy Commissioner) v. Alberta Teachers’ Association</w:t>
      </w:r>
      <w:r w:rsidRPr="0084431D" w:rsidDel="005377AE">
        <w:rPr>
          <w:rFonts w:cs="Times New Roman"/>
        </w:rPr>
        <w:t>, [2011] 3 S.C.R. 654,</w:t>
      </w:r>
      <w:r w:rsidRPr="0084431D">
        <w:rPr>
          <w:rFonts w:cs="Times New Roman"/>
        </w:rPr>
        <w:t xml:space="preserve"> at para. 33; </w:t>
      </w:r>
      <w:r w:rsidRPr="0084431D">
        <w:rPr>
          <w:rFonts w:cs="Times New Roman"/>
          <w:i/>
        </w:rPr>
        <w:t>Canada (Canadian Human Rights Commission) v. Canada (Attorney General)</w:t>
      </w:r>
      <w:r w:rsidRPr="0084431D">
        <w:rPr>
          <w:rFonts w:cs="Times New Roman"/>
        </w:rPr>
        <w:t xml:space="preserve">, [2018] 2 S.C.R. 230, at para. 31). The Court instead endorsed an approach that respected the legislature’s decision to assign legal policy issues in some areas to specialized, non-judicial </w:t>
      </w:r>
      <w:r>
        <w:rPr>
          <w:rFonts w:cs="Times New Roman"/>
        </w:rPr>
        <w:t>decision-maker</w:t>
      </w:r>
      <w:r w:rsidRPr="0084431D">
        <w:rPr>
          <w:rFonts w:cs="Times New Roman"/>
        </w:rPr>
        <w:t>s. The Court recognized that legislative language could “</w:t>
      </w:r>
      <w:proofErr w:type="spellStart"/>
      <w:r w:rsidRPr="0084431D">
        <w:rPr>
          <w:rFonts w:cs="Times New Roman"/>
        </w:rPr>
        <w:t>bristl</w:t>
      </w:r>
      <w:proofErr w:type="spellEnd"/>
      <w:r w:rsidRPr="0084431D">
        <w:rPr>
          <w:rFonts w:cs="Times New Roman"/>
        </w:rPr>
        <w:t xml:space="preserve">[e] with ambiguities” and that the interpretive choices made by administrative tribunals deserved respect from courts, particularly when, as in </w:t>
      </w:r>
      <w:r w:rsidRPr="0084431D">
        <w:rPr>
          <w:rFonts w:cs="Times New Roman"/>
          <w:i/>
        </w:rPr>
        <w:t>C.U.P.E.</w:t>
      </w:r>
      <w:r w:rsidRPr="0084431D">
        <w:rPr>
          <w:rFonts w:cs="Times New Roman"/>
        </w:rPr>
        <w:t>, the decision was protected by a privative clause</w:t>
      </w:r>
      <w:r>
        <w:rPr>
          <w:rFonts w:cs="Times New Roman"/>
        </w:rPr>
        <w:t xml:space="preserve"> (</w:t>
      </w:r>
      <w:r w:rsidRPr="0084431D">
        <w:rPr>
          <w:rFonts w:cs="Times New Roman"/>
        </w:rPr>
        <w:t>pp.</w:t>
      </w:r>
      <w:r>
        <w:rPr>
          <w:rFonts w:cs="Times New Roman"/>
        </w:rPr>
        <w:t> </w:t>
      </w:r>
      <w:r w:rsidRPr="0084431D">
        <w:rPr>
          <w:rFonts w:cs="Times New Roman"/>
        </w:rPr>
        <w:t>230</w:t>
      </w:r>
      <w:r>
        <w:rPr>
          <w:rFonts w:cs="Times New Roman"/>
        </w:rPr>
        <w:t xml:space="preserve"> and</w:t>
      </w:r>
      <w:r w:rsidRPr="0084431D">
        <w:rPr>
          <w:rFonts w:cs="Times New Roman"/>
        </w:rPr>
        <w:t xml:space="preserve"> 234-36).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By championing “curial deference” to administrative bodies, </w:t>
      </w:r>
      <w:r w:rsidRPr="0084431D">
        <w:rPr>
          <w:rFonts w:cs="Times New Roman"/>
          <w:i/>
        </w:rPr>
        <w:t>C.U.P.E.</w:t>
      </w:r>
      <w:r w:rsidRPr="0084431D">
        <w:rPr>
          <w:rFonts w:cs="Times New Roman"/>
        </w:rPr>
        <w:t xml:space="preserve"> embraced “a more sophisticated understanding of the role of administrative tribunals in the modern Canadian state” (</w:t>
      </w:r>
      <w:r w:rsidRPr="0084431D">
        <w:rPr>
          <w:rFonts w:cs="Times New Roman"/>
          <w:i/>
          <w:lang w:val="en-US"/>
        </w:rPr>
        <w:t>National Corn Growers</w:t>
      </w:r>
      <w:r w:rsidRPr="0084431D">
        <w:rPr>
          <w:rFonts w:cs="Times New Roman"/>
          <w:lang w:val="en-US"/>
        </w:rPr>
        <w:t xml:space="preserve">, at p. 1336, </w:t>
      </w:r>
      <w:r w:rsidRPr="00A90BF4">
        <w:rPr>
          <w:rFonts w:cs="Times New Roman"/>
          <w:lang w:val="en-US"/>
        </w:rPr>
        <w:t xml:space="preserve">per </w:t>
      </w:r>
      <w:r w:rsidRPr="0084431D">
        <w:rPr>
          <w:rFonts w:cs="Times New Roman"/>
          <w:lang w:val="en-US"/>
        </w:rPr>
        <w:t xml:space="preserve">Wilson J., concurring; </w:t>
      </w:r>
      <w:r w:rsidRPr="0084431D">
        <w:rPr>
          <w:rFonts w:cs="Times New Roman"/>
          <w:i/>
          <w:lang w:val="en-US"/>
        </w:rPr>
        <w:t>Domtar Inc. v. Quebec (Com</w:t>
      </w:r>
      <w:r>
        <w:rPr>
          <w:rFonts w:cs="Times New Roman"/>
          <w:i/>
          <w:lang w:val="en-US"/>
        </w:rPr>
        <w:t xml:space="preserve">mission </w:t>
      </w:r>
      <w:proofErr w:type="spellStart"/>
      <w:r>
        <w:rPr>
          <w:rFonts w:cs="Times New Roman"/>
          <w:i/>
          <w:lang w:val="en-US"/>
        </w:rPr>
        <w:t>d’appel</w:t>
      </w:r>
      <w:proofErr w:type="spellEnd"/>
      <w:r>
        <w:rPr>
          <w:rFonts w:cs="Times New Roman"/>
          <w:i/>
          <w:lang w:val="en-US"/>
        </w:rPr>
        <w:t xml:space="preserve"> </w:t>
      </w:r>
      <w:proofErr w:type="spellStart"/>
      <w:r>
        <w:rPr>
          <w:rFonts w:cs="Times New Roman"/>
          <w:i/>
          <w:lang w:val="en-US"/>
        </w:rPr>
        <w:t>en</w:t>
      </w:r>
      <w:proofErr w:type="spellEnd"/>
      <w:r>
        <w:rPr>
          <w:rFonts w:cs="Times New Roman"/>
          <w:i/>
          <w:lang w:val="en-US"/>
        </w:rPr>
        <w:t xml:space="preserve"> </w:t>
      </w:r>
      <w:proofErr w:type="spellStart"/>
      <w:r>
        <w:rPr>
          <w:rFonts w:cs="Times New Roman"/>
          <w:i/>
          <w:lang w:val="en-US"/>
        </w:rPr>
        <w:t>matière</w:t>
      </w:r>
      <w:proofErr w:type="spellEnd"/>
      <w:r>
        <w:rPr>
          <w:rFonts w:cs="Times New Roman"/>
          <w:i/>
          <w:lang w:val="en-US"/>
        </w:rPr>
        <w:t xml:space="preserve"> de </w:t>
      </w:r>
      <w:proofErr w:type="spellStart"/>
      <w:r>
        <w:rPr>
          <w:rFonts w:cs="Times New Roman"/>
          <w:i/>
          <w:lang w:val="en-US"/>
        </w:rPr>
        <w:t>lé</w:t>
      </w:r>
      <w:r w:rsidRPr="0084431D">
        <w:rPr>
          <w:rFonts w:cs="Times New Roman"/>
          <w:i/>
          <w:lang w:val="en-US"/>
        </w:rPr>
        <w:t>sions</w:t>
      </w:r>
      <w:proofErr w:type="spellEnd"/>
      <w:r w:rsidRPr="0084431D">
        <w:rPr>
          <w:rFonts w:cs="Times New Roman"/>
          <w:i/>
          <w:lang w:val="en-US"/>
        </w:rPr>
        <w:t xml:space="preserve"> </w:t>
      </w:r>
      <w:proofErr w:type="spellStart"/>
      <w:r w:rsidRPr="0084431D">
        <w:rPr>
          <w:rFonts w:cs="Times New Roman"/>
          <w:i/>
          <w:lang w:val="en-US"/>
        </w:rPr>
        <w:t>professionnelles</w:t>
      </w:r>
      <w:proofErr w:type="spellEnd"/>
      <w:r w:rsidRPr="0084431D">
        <w:rPr>
          <w:rFonts w:cs="Times New Roman"/>
          <w:i/>
          <w:lang w:val="en-US"/>
        </w:rPr>
        <w:t>)</w:t>
      </w:r>
      <w:r w:rsidRPr="0084431D">
        <w:rPr>
          <w:rFonts w:cs="Times New Roman"/>
          <w:lang w:val="en-US"/>
        </w:rPr>
        <w:t>, [1993] 2 S.C.R. 756, at p. 800)</w:t>
      </w:r>
      <w:r w:rsidRPr="0084431D">
        <w:rPr>
          <w:rFonts w:cs="Times New Roman"/>
        </w:rPr>
        <w:t xml:space="preserve">. As one scholar has observed: </w:t>
      </w:r>
    </w:p>
    <w:p w:rsidR="008B0231" w:rsidRDefault="00771C8B" w:rsidP="008B0231">
      <w:pPr>
        <w:pStyle w:val="Citation-AltC"/>
        <w:spacing w:before="240" w:after="240"/>
      </w:pPr>
      <w:r>
        <w:t>. </w:t>
      </w:r>
      <w:r w:rsidR="008B0231">
        <w:t>.</w:t>
      </w:r>
      <w:r>
        <w:t> </w:t>
      </w:r>
      <w:r w:rsidR="008B0231">
        <w:t xml:space="preserve">. </w:t>
      </w:r>
      <w:r w:rsidR="008B0231" w:rsidRPr="0084431D">
        <w:t xml:space="preserve">legislatures and courts in </w:t>
      </w:r>
      <w:r>
        <w:t>. </w:t>
      </w:r>
      <w:r w:rsidR="008B0231">
        <w:t>.</w:t>
      </w:r>
      <w:r>
        <w:t> </w:t>
      </w:r>
      <w:r w:rsidR="008B0231">
        <w:t xml:space="preserve">. </w:t>
      </w:r>
      <w:r w:rsidR="008B0231" w:rsidRPr="0084431D">
        <w:t xml:space="preserve">Canada have come to settle on the idea that the functional capacities of administrative agencies – their expertise, </w:t>
      </w:r>
      <w:r w:rsidR="008B0231" w:rsidRPr="0084431D">
        <w:lastRenderedPageBreak/>
        <w:t>investment in understanding the practical circumstances at issue, openness to participation, and level of responsiveness to political change – justify not only their law</w:t>
      </w:r>
      <w:r w:rsidR="008B0231">
        <w:t>-</w:t>
      </w:r>
      <w:r w:rsidR="008B0231" w:rsidRPr="0084431D">
        <w:t xml:space="preserve">making powers but also judicial deference to their interpretations and decisions. </w:t>
      </w:r>
      <w:r w:rsidR="008B0231" w:rsidRPr="0084431D">
        <w:rPr>
          <w:i/>
        </w:rPr>
        <w:t>Law-making and legal interpretation are shared enterprises in the administrative state</w:t>
      </w:r>
      <w:r w:rsidR="008B0231" w:rsidRPr="0084431D">
        <w:t>.</w:t>
      </w:r>
      <w:r w:rsidR="008B0231" w:rsidRPr="0084431D">
        <w:rPr>
          <w:i/>
        </w:rPr>
        <w:t xml:space="preserve"> </w:t>
      </w:r>
      <w:r w:rsidR="008B0231" w:rsidRPr="0084431D">
        <w:t>[</w:t>
      </w:r>
      <w:r w:rsidR="008B0231">
        <w:t>E</w:t>
      </w:r>
      <w:r w:rsidR="008B0231" w:rsidRPr="0084431D">
        <w:t>mphasis added</w:t>
      </w:r>
      <w:r w:rsidR="008B0231">
        <w:t>.]</w:t>
      </w:r>
    </w:p>
    <w:p w:rsidR="008B0231" w:rsidRDefault="008B0231" w:rsidP="008B0231">
      <w:pPr>
        <w:pStyle w:val="Citation-AltC"/>
        <w:spacing w:before="240" w:after="240"/>
      </w:pPr>
    </w:p>
    <w:p w:rsidR="008B0231" w:rsidRPr="0084431D" w:rsidRDefault="008B0231" w:rsidP="00E5664F">
      <w:pPr>
        <w:pStyle w:val="Citation-AltC"/>
        <w:spacing w:before="240"/>
        <w:ind w:left="0"/>
      </w:pPr>
      <w:r>
        <w:t>(Stack, at p. 310)</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explaining why courts must sometimes defer to administrative actors, </w:t>
      </w:r>
      <w:r w:rsidRPr="0084431D">
        <w:rPr>
          <w:rFonts w:cs="Times New Roman"/>
          <w:i/>
        </w:rPr>
        <w:t xml:space="preserve">C.U.P.E. </w:t>
      </w:r>
      <w:r w:rsidRPr="0084431D">
        <w:rPr>
          <w:rFonts w:cs="Times New Roman"/>
        </w:rPr>
        <w:t xml:space="preserve">embraced two related foundational justifications for Canada’s approach to administrative law </w:t>
      </w:r>
      <w:r>
        <w:rPr>
          <w:rFonts w:cs="Times New Roman"/>
          <w:lang w:val="en-US"/>
        </w:rPr>
        <w:t>—</w:t>
      </w:r>
      <w:r w:rsidRPr="0084431D">
        <w:rPr>
          <w:rFonts w:cs="Times New Roman"/>
          <w:lang w:val="en-US"/>
        </w:rPr>
        <w:t xml:space="preserve"> one based on the legislature’s express choice to have an administrative body decide the issues arising from its mandate; and one animated by the recognition that an administrative justice system could offer institutional advantages in relation to proximity, efficiency, and specialized expertise </w:t>
      </w:r>
      <w:r w:rsidRPr="0084431D">
        <w:rPr>
          <w:rFonts w:cs="Times New Roman"/>
        </w:rPr>
        <w:t>(</w:t>
      </w:r>
      <w:r w:rsidRPr="0084431D">
        <w:rPr>
          <w:rFonts w:cs="Times New Roman"/>
          <w:lang w:val="en-US"/>
        </w:rPr>
        <w:t xml:space="preserve">David </w:t>
      </w:r>
      <w:proofErr w:type="spellStart"/>
      <w:r w:rsidRPr="0084431D">
        <w:rPr>
          <w:rFonts w:cs="Times New Roman"/>
          <w:lang w:val="en-US"/>
        </w:rPr>
        <w:t>Dyzenhaus</w:t>
      </w:r>
      <w:proofErr w:type="spellEnd"/>
      <w:r w:rsidRPr="0084431D">
        <w:rPr>
          <w:rFonts w:cs="Times New Roman"/>
          <w:lang w:val="en-US"/>
        </w:rPr>
        <w:t>, “The Politics of Deference: Judicial Review and Democracy” in Michael Taggart</w:t>
      </w:r>
      <w:r>
        <w:rPr>
          <w:rFonts w:cs="Times New Roman"/>
          <w:lang w:val="en-US"/>
        </w:rPr>
        <w:t>,</w:t>
      </w:r>
      <w:r w:rsidRPr="0084431D">
        <w:rPr>
          <w:rFonts w:cs="Times New Roman"/>
          <w:lang w:val="en-US"/>
        </w:rPr>
        <w:t xml:space="preserve"> ed., </w:t>
      </w:r>
      <w:r w:rsidRPr="0084431D">
        <w:rPr>
          <w:rFonts w:cs="Times New Roman"/>
          <w:i/>
          <w:lang w:val="en-US"/>
        </w:rPr>
        <w:t>The Province of Administrative Law</w:t>
      </w:r>
      <w:r w:rsidRPr="0084431D">
        <w:rPr>
          <w:rFonts w:cs="Times New Roman"/>
          <w:lang w:val="en-US"/>
        </w:rPr>
        <w:t xml:space="preserve"> (1997), </w:t>
      </w:r>
      <w:r>
        <w:rPr>
          <w:rFonts w:cs="Times New Roman"/>
          <w:lang w:val="en-US"/>
        </w:rPr>
        <w:t xml:space="preserve">279 </w:t>
      </w:r>
      <w:r w:rsidRPr="0084431D">
        <w:rPr>
          <w:rFonts w:cs="Times New Roman"/>
          <w:lang w:val="en-US"/>
        </w:rPr>
        <w:t xml:space="preserve">at p. 304).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lang w:val="en-US"/>
        </w:rPr>
        <w:t xml:space="preserve">A new </w:t>
      </w:r>
      <w:r w:rsidRPr="005C2571">
        <w:rPr>
          <w:rFonts w:cs="Times New Roman"/>
        </w:rPr>
        <w:t>institutional</w:t>
      </w:r>
      <w:r w:rsidRPr="0084431D">
        <w:rPr>
          <w:rFonts w:cs="Times New Roman"/>
          <w:lang w:val="en-US"/>
        </w:rPr>
        <w:t xml:space="preserve"> relationship between the courts and administrative actors was thus being forged, based on</w:t>
      </w:r>
      <w:r w:rsidRPr="0084431D">
        <w:rPr>
          <w:rFonts w:cs="Times New Roman"/>
        </w:rPr>
        <w:t xml:space="preserve"> “an understanding of the role of expertise in the modern administrative state” which “acknowledge[d] that judges are not always in the best position to interpret the law” (The </w:t>
      </w:r>
      <w:r w:rsidRPr="0084431D">
        <w:rPr>
          <w:rFonts w:cs="Times New Roman"/>
          <w:lang w:val="en-US"/>
        </w:rPr>
        <w:t xml:space="preserve">Hon. Frank </w:t>
      </w:r>
      <w:proofErr w:type="spellStart"/>
      <w:r w:rsidRPr="0084431D">
        <w:rPr>
          <w:rFonts w:cs="Times New Roman"/>
          <w:lang w:val="en-US"/>
        </w:rPr>
        <w:t>Iacobucci</w:t>
      </w:r>
      <w:proofErr w:type="spellEnd"/>
      <w:r w:rsidRPr="0084431D">
        <w:rPr>
          <w:rFonts w:cs="Times New Roman"/>
          <w:lang w:val="en-US"/>
        </w:rPr>
        <w:t xml:space="preserve">, “Articulating a Rational Standard of Review Doctrine: A Tribute to John Willis” (2002), 27 </w:t>
      </w:r>
      <w:r w:rsidRPr="0084431D">
        <w:rPr>
          <w:rFonts w:cs="Times New Roman"/>
          <w:i/>
          <w:lang w:val="en-US"/>
        </w:rPr>
        <w:t>Queen’s L.J.</w:t>
      </w:r>
      <w:r w:rsidRPr="0084431D">
        <w:rPr>
          <w:rFonts w:cs="Times New Roman"/>
          <w:lang w:val="en-US"/>
        </w:rPr>
        <w:t xml:space="preserve"> 859, at p. 866).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subsequent decades, the Court attempted to reconcile the deference urged by </w:t>
      </w:r>
      <w:r w:rsidRPr="0084431D">
        <w:rPr>
          <w:rFonts w:cs="Times New Roman"/>
          <w:i/>
        </w:rPr>
        <w:t xml:space="preserve">C.U.P.E. </w:t>
      </w:r>
      <w:r w:rsidRPr="0084431D">
        <w:rPr>
          <w:rFonts w:cs="Times New Roman"/>
        </w:rPr>
        <w:t xml:space="preserve">with the lingering concept of “jurisdictional error”. In </w:t>
      </w:r>
      <w:r w:rsidRPr="0084431D">
        <w:rPr>
          <w:rFonts w:cs="Times New Roman"/>
          <w:i/>
          <w:lang w:val="en-US"/>
        </w:rPr>
        <w:t xml:space="preserve">U.E.S., Local 298 v. </w:t>
      </w:r>
      <w:proofErr w:type="spellStart"/>
      <w:r w:rsidRPr="0084431D">
        <w:rPr>
          <w:rFonts w:cs="Times New Roman"/>
          <w:i/>
          <w:lang w:val="en-US"/>
        </w:rPr>
        <w:t>Bibeault</w:t>
      </w:r>
      <w:proofErr w:type="spellEnd"/>
      <w:r w:rsidRPr="0084431D">
        <w:rPr>
          <w:rFonts w:cs="Times New Roman"/>
          <w:lang w:val="en-US"/>
        </w:rPr>
        <w:t xml:space="preserve">, [1988] 2 S.C.R. 1048, the Court introduced the </w:t>
      </w:r>
      <w:r w:rsidRPr="0084431D">
        <w:rPr>
          <w:rFonts w:cs="Times New Roman"/>
        </w:rPr>
        <w:t xml:space="preserve">“pragmatic and </w:t>
      </w:r>
      <w:r w:rsidRPr="0084431D">
        <w:rPr>
          <w:rFonts w:cs="Times New Roman"/>
        </w:rPr>
        <w:lastRenderedPageBreak/>
        <w:t xml:space="preserve">functional” approach for deciding when a matter was within the jurisdiction of an administrative body. Instead of describing jurisdiction as a preliminary or collateral matter, the </w:t>
      </w:r>
      <w:proofErr w:type="spellStart"/>
      <w:r w:rsidRPr="0084431D">
        <w:rPr>
          <w:rFonts w:cs="Times New Roman"/>
          <w:i/>
        </w:rPr>
        <w:t>Bibeault</w:t>
      </w:r>
      <w:proofErr w:type="spellEnd"/>
      <w:r w:rsidRPr="0084431D">
        <w:rPr>
          <w:rFonts w:cs="Times New Roman"/>
          <w:i/>
        </w:rPr>
        <w:t xml:space="preserve"> </w:t>
      </w:r>
      <w:r w:rsidRPr="0084431D">
        <w:rPr>
          <w:rFonts w:cs="Times New Roman"/>
        </w:rPr>
        <w:t>test directed reviewing courts to consider the wording of the enactment conferring jurisdiction on the administrative body, the purpose of the statute creating the</w:t>
      </w:r>
      <w:r w:rsidRPr="0084431D">
        <w:rPr>
          <w:rFonts w:cs="Times New Roman"/>
          <w:b/>
        </w:rPr>
        <w:t xml:space="preserve"> </w:t>
      </w:r>
      <w:r w:rsidRPr="0084431D">
        <w:rPr>
          <w:rFonts w:cs="Times New Roman"/>
        </w:rPr>
        <w:t>tribunal, the reason for the tribunal’s existence, the area of expertise of its members, and the nature of the question the tribunal had to decide</w:t>
      </w:r>
      <w:r w:rsidRPr="0084431D">
        <w:rPr>
          <w:rFonts w:cs="Times New Roman"/>
          <w:b/>
        </w:rPr>
        <w:t xml:space="preserve"> </w:t>
      </w:r>
      <w:r>
        <w:rPr>
          <w:rFonts w:cs="Times New Roman"/>
          <w:b/>
        </w:rPr>
        <w:t>—</w:t>
      </w:r>
      <w:r w:rsidRPr="0084431D">
        <w:rPr>
          <w:rFonts w:cs="Times New Roman"/>
          <w:b/>
        </w:rPr>
        <w:t xml:space="preserve"> </w:t>
      </w:r>
      <w:r w:rsidRPr="0084431D">
        <w:rPr>
          <w:rFonts w:cs="Times New Roman"/>
        </w:rPr>
        <w:t>all to determine whether the legislator “intend[</w:t>
      </w:r>
      <w:proofErr w:type="spellStart"/>
      <w:r w:rsidRPr="0084431D">
        <w:rPr>
          <w:rFonts w:cs="Times New Roman"/>
        </w:rPr>
        <w:t>ed</w:t>
      </w:r>
      <w:proofErr w:type="spellEnd"/>
      <w:r w:rsidRPr="0084431D">
        <w:rPr>
          <w:rFonts w:cs="Times New Roman"/>
        </w:rPr>
        <w:t>] the question to be within the jurisdiction conferred on the tribunal” (p. 1087; see also p. 1088). If so, the tribunal’s decision could only be set aside if it was</w:t>
      </w:r>
      <w:r>
        <w:rPr>
          <w:rFonts w:cs="Times New Roman"/>
        </w:rPr>
        <w:t xml:space="preserve"> “patently unreasonable” (</w:t>
      </w:r>
      <w:r w:rsidRPr="0084431D">
        <w:rPr>
          <w:rFonts w:cs="Times New Roman"/>
        </w:rPr>
        <w:t xml:space="preserve">p. 1086).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Although still rooted in a formalistic search for jurisdictional errors, the pragmatic and functional approach recognized that</w:t>
      </w:r>
      <w:r w:rsidRPr="0084431D">
        <w:rPr>
          <w:rFonts w:cs="Times New Roman"/>
          <w:b/>
        </w:rPr>
        <w:t xml:space="preserve"> </w:t>
      </w:r>
      <w:r w:rsidRPr="0084431D">
        <w:rPr>
          <w:rFonts w:cs="Times New Roman"/>
        </w:rPr>
        <w:t xml:space="preserve">legislatures had assigned courts and administrative </w:t>
      </w:r>
      <w:r>
        <w:rPr>
          <w:rFonts w:cs="Times New Roman"/>
        </w:rPr>
        <w:t>decision-maker</w:t>
      </w:r>
      <w:r w:rsidRPr="0084431D">
        <w:rPr>
          <w:rFonts w:cs="Times New Roman"/>
        </w:rPr>
        <w:t>s distinct roles, and that</w:t>
      </w:r>
      <w:r w:rsidRPr="0084431D">
        <w:rPr>
          <w:rFonts w:cs="Times New Roman"/>
          <w:lang w:val="en-US"/>
        </w:rPr>
        <w:t xml:space="preserve"> the specialization and expertise of administrative </w:t>
      </w:r>
      <w:r>
        <w:rPr>
          <w:rFonts w:cs="Times New Roman"/>
          <w:lang w:val="en-US"/>
        </w:rPr>
        <w:t>decision-maker</w:t>
      </w:r>
      <w:r w:rsidRPr="0084431D">
        <w:rPr>
          <w:rFonts w:cs="Times New Roman"/>
          <w:lang w:val="en-US"/>
        </w:rPr>
        <w:t xml:space="preserve">s deserved deference. </w:t>
      </w:r>
      <w:r w:rsidRPr="0084431D">
        <w:rPr>
          <w:rFonts w:cs="Times New Roman"/>
        </w:rPr>
        <w:t xml:space="preserve">In her concurring reasons in </w:t>
      </w:r>
      <w:r w:rsidRPr="0084431D">
        <w:rPr>
          <w:rFonts w:cs="Times New Roman"/>
          <w:i/>
        </w:rPr>
        <w:t xml:space="preserve">National </w:t>
      </w:r>
      <w:r w:rsidRPr="0084431D">
        <w:rPr>
          <w:rFonts w:cs="Times New Roman"/>
          <w:i/>
          <w:iCs/>
        </w:rPr>
        <w:t>Corn Growers</w:t>
      </w:r>
      <w:r w:rsidRPr="0084431D">
        <w:rPr>
          <w:rFonts w:cs="Times New Roman"/>
        </w:rPr>
        <w:t xml:space="preserve">, Wilson J. noted that part of the process of moving away from </w:t>
      </w:r>
      <w:proofErr w:type="spellStart"/>
      <w:r w:rsidRPr="0084431D">
        <w:rPr>
          <w:rFonts w:cs="Times New Roman"/>
        </w:rPr>
        <w:t>Dicey’s</w:t>
      </w:r>
      <w:proofErr w:type="spellEnd"/>
      <w:r w:rsidRPr="0084431D">
        <w:rPr>
          <w:rFonts w:cs="Times New Roman"/>
        </w:rPr>
        <w:t xml:space="preserve"> framework and towards a more sophisticated understanding of the role of administrative tribunals: </w:t>
      </w:r>
    </w:p>
    <w:p w:rsidR="008B0231" w:rsidRPr="0084431D" w:rsidRDefault="008B0231" w:rsidP="008B0231">
      <w:pPr>
        <w:pStyle w:val="Citation-AltC"/>
      </w:pPr>
      <w:r w:rsidRPr="0084431D">
        <w:t xml:space="preserve"> </w:t>
      </w:r>
      <w:r w:rsidR="00FA04CF">
        <w:t>. </w:t>
      </w:r>
      <w:r>
        <w:t>.</w:t>
      </w:r>
      <w:r w:rsidR="00FA04CF">
        <w:t> </w:t>
      </w:r>
      <w:r>
        <w:t xml:space="preserve">. </w:t>
      </w:r>
      <w:proofErr w:type="gramStart"/>
      <w:r w:rsidRPr="0084431D">
        <w:t>has</w:t>
      </w:r>
      <w:proofErr w:type="gramEnd"/>
      <w:r w:rsidRPr="0084431D">
        <w:t xml:space="preserve"> involved a growing recognition on the part of courts that they may simply not be as </w:t>
      </w:r>
      <w:proofErr w:type="spellStart"/>
      <w:r w:rsidRPr="0084431D">
        <w:t>well equipped</w:t>
      </w:r>
      <w:proofErr w:type="spellEnd"/>
      <w:r w:rsidRPr="0084431D">
        <w:t xml:space="preserve"> as administrative tribunals or agencies to deal with issues which Parliament has chosen to regulate through bodies exercising delegated power, e.g., labour relations, telecommunications, financial markets and international economic relations. Careful management of these sectors often requires the use of experts who have accumulated years of experience and a specialized understanding of the activities they supervise. [</w:t>
      </w:r>
      <w:r>
        <w:t>p. 1336</w:t>
      </w:r>
      <w:r w:rsidRPr="0084431D">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 xml:space="preserve">By the mid-1990s, the Court had accepted that specialization and the legislative intent to leave issues to administrative </w:t>
      </w:r>
      <w:r>
        <w:rPr>
          <w:rFonts w:cs="Times New Roman"/>
        </w:rPr>
        <w:t>decision-maker</w:t>
      </w:r>
      <w:r w:rsidRPr="0084431D">
        <w:rPr>
          <w:rFonts w:cs="Times New Roman"/>
        </w:rPr>
        <w:t xml:space="preserve">s were inextricable and essential factors in the standard of review analysis. It stressed that “the expertise of the tribunal is of the utmost importance in determining the intention of the legislator with respect to the degree of deference to be shown to a tribunal’s </w:t>
      </w:r>
      <w:proofErr w:type="gramStart"/>
      <w:r w:rsidRPr="0084431D">
        <w:rPr>
          <w:rFonts w:cs="Times New Roman"/>
        </w:rPr>
        <w:t>decision</w:t>
      </w:r>
      <w:r w:rsidR="00FA04CF">
        <w:rPr>
          <w:rFonts w:cs="Times New Roman"/>
        </w:rPr>
        <w:t xml:space="preserve"> .</w:t>
      </w:r>
      <w:proofErr w:type="gramEnd"/>
      <w:r w:rsidR="00FA04CF">
        <w:rPr>
          <w:rFonts w:cs="Times New Roman"/>
        </w:rPr>
        <w:t> </w:t>
      </w:r>
      <w:r>
        <w:rPr>
          <w:rFonts w:cs="Times New Roman"/>
        </w:rPr>
        <w:t>.</w:t>
      </w:r>
      <w:r w:rsidR="00FA04CF">
        <w:rPr>
          <w:rFonts w:cs="Times New Roman"/>
        </w:rPr>
        <w:t> </w:t>
      </w:r>
      <w:r>
        <w:rPr>
          <w:rFonts w:cs="Times New Roman"/>
        </w:rPr>
        <w:t xml:space="preserve">. </w:t>
      </w:r>
      <w:r w:rsidRPr="0084431D">
        <w:rPr>
          <w:rFonts w:cs="Times New Roman"/>
        </w:rPr>
        <w:t>[e]</w:t>
      </w:r>
      <w:proofErr w:type="spellStart"/>
      <w:r w:rsidRPr="0084431D">
        <w:rPr>
          <w:rFonts w:cs="Times New Roman"/>
        </w:rPr>
        <w:t>ven</w:t>
      </w:r>
      <w:proofErr w:type="spellEnd"/>
      <w:r w:rsidRPr="0084431D">
        <w:rPr>
          <w:rFonts w:cs="Times New Roman"/>
        </w:rPr>
        <w:t xml:space="preserve"> where the tribunal’s enabling statute provides explicitly for appellate review” (</w:t>
      </w:r>
      <w:r w:rsidRPr="0084431D">
        <w:rPr>
          <w:rFonts w:cs="Times New Roman"/>
          <w:i/>
          <w:iCs/>
        </w:rPr>
        <w:t xml:space="preserve">United Brotherhood of Carpenters and Joiners of America, Local 579 v. </w:t>
      </w:r>
      <w:proofErr w:type="spellStart"/>
      <w:r w:rsidRPr="0084431D">
        <w:rPr>
          <w:rFonts w:cs="Times New Roman"/>
          <w:i/>
          <w:iCs/>
        </w:rPr>
        <w:t>Bradco</w:t>
      </w:r>
      <w:proofErr w:type="spellEnd"/>
      <w:r w:rsidRPr="0084431D">
        <w:rPr>
          <w:rFonts w:cs="Times New Roman"/>
          <w:i/>
          <w:iCs/>
        </w:rPr>
        <w:t xml:space="preserve"> Construction Ltd.</w:t>
      </w:r>
      <w:r w:rsidRPr="0084431D">
        <w:rPr>
          <w:rFonts w:cs="Times New Roman"/>
        </w:rPr>
        <w:t xml:space="preserve">, [1993] 2 S.C.R. 316, at p. 335). Of the factors relevant to setting the standard of review, </w:t>
      </w:r>
      <w:r w:rsidRPr="0084431D">
        <w:rPr>
          <w:rFonts w:cs="Times New Roman"/>
          <w:spacing w:val="-3"/>
        </w:rPr>
        <w:t>expertise was held to be “the most important” (</w:t>
      </w:r>
      <w:r w:rsidRPr="0084431D">
        <w:rPr>
          <w:rFonts w:cs="Times New Roman"/>
          <w:i/>
          <w:spacing w:val="-3"/>
        </w:rPr>
        <w:t xml:space="preserve">Canada (Director of Investigation and Research) v. </w:t>
      </w:r>
      <w:proofErr w:type="spellStart"/>
      <w:r w:rsidRPr="0084431D">
        <w:rPr>
          <w:rFonts w:cs="Times New Roman"/>
          <w:i/>
          <w:spacing w:val="-3"/>
        </w:rPr>
        <w:t>Southam</w:t>
      </w:r>
      <w:proofErr w:type="spellEnd"/>
      <w:r>
        <w:rPr>
          <w:rFonts w:cs="Times New Roman"/>
          <w:i/>
          <w:spacing w:val="-3"/>
        </w:rPr>
        <w:t xml:space="preserve"> Inc.</w:t>
      </w:r>
      <w:r w:rsidRPr="0084431D">
        <w:rPr>
          <w:rFonts w:cs="Times New Roman"/>
          <w:spacing w:val="-3"/>
        </w:rPr>
        <w:t xml:space="preserve">, [1997] 1 S.C.R. 748, at para. 50).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spacing w:val="-3"/>
        </w:rPr>
        <w:t xml:space="preserve">Consistent with these judgments, this Court invoked </w:t>
      </w:r>
      <w:r w:rsidRPr="0084431D">
        <w:rPr>
          <w:rFonts w:cs="Times New Roman"/>
          <w:lang w:val="en-US"/>
        </w:rPr>
        <w:t xml:space="preserve">the specialized expertise of a securities commission to explain why its decisions were entitled to deference on judicial review even when there was a statutory right of appeal. Writing for a unanimous Court, </w:t>
      </w:r>
      <w:proofErr w:type="spellStart"/>
      <w:r w:rsidRPr="0084431D">
        <w:rPr>
          <w:rFonts w:cs="Times New Roman"/>
          <w:lang w:val="en-US"/>
        </w:rPr>
        <w:t>Iacobucci</w:t>
      </w:r>
      <w:proofErr w:type="spellEnd"/>
      <w:r w:rsidRPr="0084431D">
        <w:rPr>
          <w:rFonts w:cs="Times New Roman"/>
          <w:lang w:val="en-US"/>
        </w:rPr>
        <w:t xml:space="preserve"> J. explained that “</w:t>
      </w:r>
      <w:r w:rsidRPr="0084431D">
        <w:rPr>
          <w:rFonts w:cs="Times New Roman"/>
        </w:rPr>
        <w:t>the concept of the specialization of duties requires that deference be shown to decisions of specialized tribunals on matters which fall squarely within the tribunal’s expertise” (</w:t>
      </w:r>
      <w:proofErr w:type="spellStart"/>
      <w:r w:rsidRPr="0084431D">
        <w:rPr>
          <w:rFonts w:cs="Times New Roman"/>
          <w:i/>
          <w:lang w:val="en-US"/>
        </w:rPr>
        <w:t>Pezim</w:t>
      </w:r>
      <w:proofErr w:type="spellEnd"/>
      <w:r w:rsidRPr="0084431D">
        <w:rPr>
          <w:rFonts w:cs="Times New Roman"/>
          <w:i/>
          <w:lang w:val="en-US"/>
        </w:rPr>
        <w:t xml:space="preserve"> v. British Columbia (Superintendent of Brokers)</w:t>
      </w:r>
      <w:r w:rsidRPr="0084431D">
        <w:rPr>
          <w:rFonts w:cs="Times New Roman"/>
          <w:lang w:val="en-US"/>
        </w:rPr>
        <w:t xml:space="preserve">, [1994] 2 S.C.R. 557, </w:t>
      </w:r>
      <w:r>
        <w:rPr>
          <w:rFonts w:cs="Times New Roman"/>
        </w:rPr>
        <w:t xml:space="preserve">at </w:t>
      </w:r>
      <w:r w:rsidRPr="0084431D">
        <w:rPr>
          <w:rFonts w:cs="Times New Roman"/>
        </w:rPr>
        <w:t xml:space="preserve">p. 591; see also </w:t>
      </w:r>
      <w:r w:rsidRPr="0084431D">
        <w:rPr>
          <w:rFonts w:cs="Times New Roman"/>
          <w:i/>
        </w:rPr>
        <w:t>Bell Canada v. Canada (Canadian Radio-Television and Telecommunications Commission)</w:t>
      </w:r>
      <w:r w:rsidRPr="0084431D">
        <w:rPr>
          <w:rFonts w:cs="Times New Roman"/>
        </w:rPr>
        <w:t xml:space="preserve">, [1989] 1 S.C.R. 1722, at pp. 1745-46). Critically, the Court’s willingness to show deference demonstrated that specialization outweighed a statutory appeal as the most significant indicator of legislative intent.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 xml:space="preserve">In </w:t>
      </w:r>
      <w:proofErr w:type="spellStart"/>
      <w:r w:rsidRPr="0084431D">
        <w:rPr>
          <w:rFonts w:cs="Times New Roman"/>
          <w:i/>
        </w:rPr>
        <w:t>Pushpanathan</w:t>
      </w:r>
      <w:proofErr w:type="spellEnd"/>
      <w:r w:rsidRPr="0084431D">
        <w:rPr>
          <w:rFonts w:cs="Times New Roman"/>
          <w:i/>
        </w:rPr>
        <w:t xml:space="preserve"> v. Canada (Minister of Citizenship and Immigration)</w:t>
      </w:r>
      <w:r w:rsidRPr="0084431D">
        <w:rPr>
          <w:rFonts w:cs="Times New Roman"/>
        </w:rPr>
        <w:t xml:space="preserve">, [1998] 1 S.C.R. 982, the Court reformulated the pragmatic and functional approach, engaging four slightly different factors from those in </w:t>
      </w:r>
      <w:proofErr w:type="spellStart"/>
      <w:r w:rsidRPr="0084431D">
        <w:rPr>
          <w:rFonts w:cs="Times New Roman"/>
          <w:i/>
        </w:rPr>
        <w:t>Bibeault</w:t>
      </w:r>
      <w:proofErr w:type="spellEnd"/>
      <w:r w:rsidRPr="0084431D">
        <w:rPr>
          <w:rFonts w:cs="Times New Roman"/>
        </w:rPr>
        <w:t xml:space="preserve">, namely: (1) whether there was a privative clause, or conversely, a right of appeal; (2) the expertise of the </w:t>
      </w:r>
      <w:r>
        <w:rPr>
          <w:rFonts w:cs="Times New Roman"/>
        </w:rPr>
        <w:t>decision-maker</w:t>
      </w:r>
      <w:r w:rsidRPr="0084431D">
        <w:rPr>
          <w:rFonts w:cs="Times New Roman"/>
        </w:rPr>
        <w:t xml:space="preserve"> on the matter in question relative to the reviewing court; (3) the purpose of the statute as a whole, and of the provision in particular; and (4) the nature of the problem, </w:t>
      </w:r>
      <w:r w:rsidRPr="007365C1">
        <w:rPr>
          <w:rFonts w:cs="Times New Roman"/>
        </w:rPr>
        <w:t>i.e.,</w:t>
      </w:r>
      <w:r w:rsidRPr="0084431D">
        <w:rPr>
          <w:rFonts w:cs="Times New Roman"/>
        </w:rPr>
        <w:t xml:space="preserve"> whether it was a question of law, </w:t>
      </w:r>
      <w:r>
        <w:rPr>
          <w:rFonts w:cs="Times New Roman"/>
        </w:rPr>
        <w:t>fact, or mixed law and fact (paras. 29</w:t>
      </w:r>
      <w:r>
        <w:rPr>
          <w:rFonts w:cs="Times New Roman"/>
        </w:rPr>
        <w:noBreakHyphen/>
      </w:r>
      <w:r w:rsidRPr="0084431D">
        <w:rPr>
          <w:rFonts w:cs="Times New Roman"/>
        </w:rPr>
        <w:t xml:space="preserve">37). Instead of using these factors to answer whether a question was jurisdictional, </w:t>
      </w:r>
      <w:proofErr w:type="spellStart"/>
      <w:r w:rsidRPr="0084431D">
        <w:rPr>
          <w:rFonts w:cs="Times New Roman"/>
          <w:i/>
        </w:rPr>
        <w:t>Pushpanathan</w:t>
      </w:r>
      <w:proofErr w:type="spellEnd"/>
      <w:r w:rsidRPr="0084431D">
        <w:rPr>
          <w:rFonts w:cs="Times New Roman"/>
          <w:i/>
        </w:rPr>
        <w:t xml:space="preserve"> </w:t>
      </w:r>
      <w:r w:rsidRPr="0084431D">
        <w:rPr>
          <w:rFonts w:cs="Times New Roman"/>
        </w:rPr>
        <w:t xml:space="preserve">deployed them to discern how much deference the legislature intended an administrative decision to receive on judicial review. </w:t>
      </w:r>
      <w:proofErr w:type="spellStart"/>
      <w:r w:rsidRPr="0084431D">
        <w:rPr>
          <w:rFonts w:cs="Times New Roman"/>
          <w:i/>
        </w:rPr>
        <w:t>Pushpanathan</w:t>
      </w:r>
      <w:proofErr w:type="spellEnd"/>
      <w:r w:rsidRPr="0084431D">
        <w:rPr>
          <w:rFonts w:cs="Times New Roman"/>
          <w:i/>
        </w:rPr>
        <w:t xml:space="preserve"> </w:t>
      </w:r>
      <w:r w:rsidRPr="0084431D">
        <w:rPr>
          <w:rFonts w:cs="Times New Roman"/>
        </w:rPr>
        <w:t xml:space="preserve">confirmed three standards of review: patent unreasonableness, reasonableness </w:t>
      </w:r>
      <w:r w:rsidRPr="0084431D">
        <w:rPr>
          <w:rFonts w:cs="Times New Roman"/>
          <w:i/>
        </w:rPr>
        <w:t>simpliciter</w:t>
      </w:r>
      <w:r>
        <w:rPr>
          <w:rFonts w:cs="Times New Roman"/>
        </w:rPr>
        <w:t>, and correctness (</w:t>
      </w:r>
      <w:r w:rsidRPr="0084431D">
        <w:rPr>
          <w:rFonts w:cs="Times New Roman"/>
        </w:rPr>
        <w:t xml:space="preserve">para. 27; see also </w:t>
      </w:r>
      <w:proofErr w:type="spellStart"/>
      <w:r w:rsidRPr="0084431D">
        <w:rPr>
          <w:rFonts w:cs="Times New Roman"/>
          <w:i/>
        </w:rPr>
        <w:t>Southam</w:t>
      </w:r>
      <w:proofErr w:type="spellEnd"/>
      <w:r>
        <w:rPr>
          <w:rFonts w:cs="Times New Roman"/>
        </w:rPr>
        <w:t>, at paras. </w:t>
      </w:r>
      <w:r w:rsidRPr="0084431D">
        <w:rPr>
          <w:rFonts w:cs="Times New Roman"/>
        </w:rPr>
        <w:t>55</w:t>
      </w:r>
      <w:r>
        <w:rPr>
          <w:rFonts w:cs="Times New Roman"/>
        </w:rPr>
        <w:noBreakHyphen/>
      </w:r>
      <w:r w:rsidRPr="0084431D">
        <w:rPr>
          <w:rFonts w:cs="Times New Roman"/>
        </w:rPr>
        <w:t xml:space="preserve">56).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Significantly, </w:t>
      </w:r>
      <w:proofErr w:type="spellStart"/>
      <w:r w:rsidRPr="0084431D">
        <w:rPr>
          <w:rFonts w:cs="Times New Roman"/>
          <w:i/>
        </w:rPr>
        <w:t>Pushpanathan</w:t>
      </w:r>
      <w:proofErr w:type="spellEnd"/>
      <w:r w:rsidRPr="0084431D">
        <w:rPr>
          <w:rFonts w:cs="Times New Roman"/>
          <w:i/>
        </w:rPr>
        <w:t xml:space="preserve"> </w:t>
      </w:r>
      <w:r w:rsidRPr="0084431D">
        <w:rPr>
          <w:rFonts w:cs="Times New Roman"/>
        </w:rPr>
        <w:t>did not disturb the finding</w:t>
      </w:r>
      <w:r>
        <w:rPr>
          <w:rFonts w:cs="Times New Roman"/>
        </w:rPr>
        <w:t xml:space="preserve"> re</w:t>
      </w:r>
      <w:r w:rsidRPr="0084431D">
        <w:rPr>
          <w:rFonts w:cs="Times New Roman"/>
        </w:rPr>
        <w:t xml:space="preserve">affirmed in </w:t>
      </w:r>
      <w:proofErr w:type="spellStart"/>
      <w:r w:rsidRPr="0084431D">
        <w:rPr>
          <w:rFonts w:cs="Times New Roman"/>
          <w:i/>
        </w:rPr>
        <w:t>Southam</w:t>
      </w:r>
      <w:proofErr w:type="spellEnd"/>
      <w:r w:rsidRPr="0084431D">
        <w:rPr>
          <w:rFonts w:cs="Times New Roman"/>
          <w:i/>
        </w:rPr>
        <w:t xml:space="preserve"> </w:t>
      </w:r>
      <w:r w:rsidRPr="0084431D">
        <w:rPr>
          <w:rFonts w:cs="Times New Roman"/>
        </w:rPr>
        <w:t xml:space="preserve">that specialized expertise was the most important factor in determining whether a deferential standard applied. Specialized expertise thus remained integral to the calibration of legislative intent, even in the face of statutory rights of appeal (see </w:t>
      </w:r>
      <w:r w:rsidRPr="0084431D">
        <w:rPr>
          <w:rFonts w:cs="Times New Roman"/>
          <w:i/>
          <w:lang w:bidi="en-US"/>
        </w:rPr>
        <w:t>Law Society of New Brunswick v. Ryan</w:t>
      </w:r>
      <w:r w:rsidRPr="007365C1">
        <w:rPr>
          <w:rFonts w:cs="Times New Roman"/>
          <w:lang w:bidi="en-US"/>
        </w:rPr>
        <w:t>,</w:t>
      </w:r>
      <w:r w:rsidRPr="0084431D">
        <w:rPr>
          <w:rFonts w:cs="Times New Roman"/>
          <w:i/>
          <w:lang w:bidi="en-US"/>
        </w:rPr>
        <w:t xml:space="preserve"> </w:t>
      </w:r>
      <w:r w:rsidRPr="0084431D">
        <w:rPr>
          <w:rFonts w:cs="Times New Roman"/>
          <w:lang w:bidi="en-US"/>
        </w:rPr>
        <w:t>[2003] 1 S.C.R. 247, at paras. 21</w:t>
      </w:r>
      <w:r>
        <w:rPr>
          <w:rFonts w:cs="Times New Roman"/>
          <w:lang w:bidi="en-US"/>
        </w:rPr>
        <w:t xml:space="preserve"> and</w:t>
      </w:r>
      <w:r w:rsidRPr="0084431D">
        <w:rPr>
          <w:rFonts w:cs="Times New Roman"/>
          <w:lang w:bidi="en-US"/>
        </w:rPr>
        <w:t xml:space="preserve"> 29-34</w:t>
      </w:r>
      <w:r w:rsidRPr="0084431D">
        <w:rPr>
          <w:rFonts w:cs="Times New Roman"/>
        </w:rPr>
        <w:t>;</w:t>
      </w:r>
      <w:r w:rsidRPr="0084431D">
        <w:rPr>
          <w:rFonts w:cs="Times New Roman"/>
          <w:i/>
        </w:rPr>
        <w:t xml:space="preserve"> </w:t>
      </w:r>
      <w:proofErr w:type="spellStart"/>
      <w:r w:rsidRPr="0084431D">
        <w:rPr>
          <w:rFonts w:cs="Times New Roman"/>
          <w:i/>
        </w:rPr>
        <w:t>Cartaway</w:t>
      </w:r>
      <w:proofErr w:type="spellEnd"/>
      <w:r w:rsidRPr="0084431D">
        <w:rPr>
          <w:rFonts w:cs="Times New Roman"/>
          <w:i/>
        </w:rPr>
        <w:t xml:space="preserve"> Resources Corp. (Re)</w:t>
      </w:r>
      <w:r w:rsidRPr="0084431D">
        <w:rPr>
          <w:rFonts w:cs="Times New Roman"/>
        </w:rPr>
        <w:t xml:space="preserve">, [2004] 1 S.C.R. 672, at para. 45; </w:t>
      </w:r>
      <w:r w:rsidRPr="0084431D">
        <w:rPr>
          <w:rFonts w:cs="Times New Roman"/>
          <w:i/>
        </w:rPr>
        <w:t>Council of Canadians with Disabilities v. VIA Rail Canada Inc.</w:t>
      </w:r>
      <w:r w:rsidRPr="0084431D">
        <w:rPr>
          <w:rFonts w:cs="Times New Roman"/>
        </w:rPr>
        <w:t>, [2007</w:t>
      </w:r>
      <w:r>
        <w:rPr>
          <w:rFonts w:cs="Times New Roman"/>
        </w:rPr>
        <w:t>] 1 S.C.R. 650, at paras. 88</w:t>
      </w:r>
      <w:r>
        <w:rPr>
          <w:rFonts w:cs="Times New Roman"/>
        </w:rPr>
        <w:noBreakHyphen/>
        <w:t>92 and</w:t>
      </w:r>
      <w:r w:rsidR="00AB6605">
        <w:rPr>
          <w:rFonts w:cs="Times New Roman"/>
        </w:rPr>
        <w:t xml:space="preserve"> 100).</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rPr>
        <w:lastRenderedPageBreak/>
        <w:t xml:space="preserve">Next came </w:t>
      </w:r>
      <w:r w:rsidRPr="0084431D">
        <w:rPr>
          <w:rFonts w:cs="Times New Roman"/>
          <w:i/>
        </w:rPr>
        <w:t>Dunsmuir</w:t>
      </w:r>
      <w:r w:rsidRPr="0084431D">
        <w:rPr>
          <w:rFonts w:cs="Times New Roman"/>
        </w:rPr>
        <w:t>, which</w:t>
      </w:r>
      <w:r w:rsidRPr="0084431D">
        <w:rPr>
          <w:rFonts w:cs="Times New Roman"/>
          <w:i/>
        </w:rPr>
        <w:t xml:space="preserve"> </w:t>
      </w:r>
      <w:r w:rsidRPr="0084431D">
        <w:rPr>
          <w:rFonts w:cs="Times New Roman"/>
          <w:lang w:val="en-US"/>
        </w:rPr>
        <w:t xml:space="preserve">sought to simplify the pragmatic and functional analysis while maintaining respect for the specialized expertise of administrative </w:t>
      </w:r>
      <w:r>
        <w:rPr>
          <w:rFonts w:cs="Times New Roman"/>
          <w:lang w:val="en-US"/>
        </w:rPr>
        <w:t>decision-maker</w:t>
      </w:r>
      <w:r w:rsidRPr="0084431D">
        <w:rPr>
          <w:rFonts w:cs="Times New Roman"/>
          <w:lang w:val="en-US"/>
        </w:rPr>
        <w:t xml:space="preserve">s. The Court merged the three standards of review into two: reasonableness and correctness. </w:t>
      </w:r>
      <w:r w:rsidRPr="0084431D">
        <w:rPr>
          <w:rFonts w:cs="Times New Roman"/>
          <w:i/>
        </w:rPr>
        <w:t xml:space="preserve">Dunsmuir </w:t>
      </w:r>
      <w:r w:rsidRPr="0084431D">
        <w:rPr>
          <w:rFonts w:cs="Times New Roman"/>
        </w:rPr>
        <w:t xml:space="preserve">also wove together the deferential threads running through the Court’s administrative law jurisprudence, setting out a presumption of deferential review for certain categories of questions, including those where the </w:t>
      </w:r>
      <w:r>
        <w:rPr>
          <w:rFonts w:cs="Times New Roman"/>
        </w:rPr>
        <w:t>decision-maker</w:t>
      </w:r>
      <w:r w:rsidRPr="0084431D">
        <w:rPr>
          <w:rFonts w:cs="Times New Roman"/>
        </w:rPr>
        <w:t xml:space="preserve"> had expertise or was interpreting</w:t>
      </w:r>
      <w:r>
        <w:rPr>
          <w:rFonts w:cs="Times New Roman"/>
        </w:rPr>
        <w:t xml:space="preserve"> its “home” statute (</w:t>
      </w:r>
      <w:r w:rsidRPr="0084431D">
        <w:rPr>
          <w:rFonts w:cs="Times New Roman"/>
        </w:rPr>
        <w:t>paras.</w:t>
      </w:r>
      <w:r>
        <w:rPr>
          <w:rFonts w:cs="Times New Roman"/>
        </w:rPr>
        <w:t> </w:t>
      </w:r>
      <w:r w:rsidRPr="0084431D">
        <w:rPr>
          <w:rFonts w:cs="Times New Roman"/>
        </w:rPr>
        <w:t xml:space="preserve">53-54, </w:t>
      </w:r>
      <w:r w:rsidRPr="007365C1">
        <w:rPr>
          <w:rFonts w:cs="Times New Roman"/>
        </w:rPr>
        <w:t xml:space="preserve">per </w:t>
      </w:r>
      <w:proofErr w:type="spellStart"/>
      <w:r w:rsidRPr="0084431D">
        <w:rPr>
          <w:rFonts w:cs="Times New Roman"/>
        </w:rPr>
        <w:t>Bastarache</w:t>
      </w:r>
      <w:proofErr w:type="spellEnd"/>
      <w:r w:rsidRPr="0084431D">
        <w:rPr>
          <w:rFonts w:cs="Times New Roman"/>
        </w:rPr>
        <w:t xml:space="preserve"> and </w:t>
      </w:r>
      <w:proofErr w:type="spellStart"/>
      <w:r w:rsidRPr="0084431D">
        <w:rPr>
          <w:rFonts w:cs="Times New Roman"/>
        </w:rPr>
        <w:t>LeBel</w:t>
      </w:r>
      <w:proofErr w:type="spellEnd"/>
      <w:r w:rsidRPr="0084431D">
        <w:rPr>
          <w:rFonts w:cs="Times New Roman"/>
        </w:rPr>
        <w:t xml:space="preserve"> JJ.</w:t>
      </w:r>
      <w:r>
        <w:rPr>
          <w:rFonts w:cs="Times New Roman"/>
        </w:rPr>
        <w:t>,</w:t>
      </w:r>
      <w:r w:rsidRPr="0084431D">
        <w:rPr>
          <w:rFonts w:cs="Times New Roman"/>
        </w:rPr>
        <w:t xml:space="preserve"> and para. 124, </w:t>
      </w:r>
      <w:r w:rsidRPr="007365C1">
        <w:rPr>
          <w:rFonts w:cs="Times New Roman"/>
        </w:rPr>
        <w:t xml:space="preserve">per </w:t>
      </w:r>
      <w:r w:rsidRPr="0084431D">
        <w:rPr>
          <w:rFonts w:cs="Times New Roman"/>
        </w:rPr>
        <w:t>Binnie J., concurring). Certain categories of issues remained subject to correctness review, including constitutional questions regarding the division of powers, true questions of jurisdiction, questions of law that were both of central importance to the legal system as a whole and outside the adjudicator’s specialized area of expertise, and questions about jurisdictional lines betwe</w:t>
      </w:r>
      <w:r>
        <w:rPr>
          <w:rFonts w:cs="Times New Roman"/>
        </w:rPr>
        <w:t>en tribunals (</w:t>
      </w:r>
      <w:r w:rsidRPr="0084431D">
        <w:rPr>
          <w:rFonts w:cs="Times New Roman"/>
        </w:rPr>
        <w:t xml:space="preserve">paras. 58-61). Where the standard of review had not been satisfactorily determined in the jurisprudence, four contextual factors </w:t>
      </w:r>
      <w:r>
        <w:rPr>
          <w:rFonts w:cs="Times New Roman"/>
        </w:rPr>
        <w:t>—</w:t>
      </w:r>
      <w:r w:rsidRPr="0084431D">
        <w:rPr>
          <w:rFonts w:cs="Times New Roman"/>
        </w:rPr>
        <w:t xml:space="preserve"> the presence or absence of a privative clause, the purpose of the tribunal, the nature of the question at issue and the expertise of the tribunal </w:t>
      </w:r>
      <w:r>
        <w:rPr>
          <w:rFonts w:cs="Times New Roman"/>
        </w:rPr>
        <w:t>—</w:t>
      </w:r>
      <w:r w:rsidRPr="0084431D">
        <w:rPr>
          <w:rFonts w:cs="Times New Roman"/>
        </w:rPr>
        <w:t xml:space="preserve"> remained relevant to the standard of review analysis (para. 64).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Notably, </w:t>
      </w:r>
      <w:r w:rsidRPr="0084431D">
        <w:rPr>
          <w:rFonts w:cs="Times New Roman"/>
          <w:i/>
        </w:rPr>
        <w:t xml:space="preserve">Dunsmuir </w:t>
      </w:r>
      <w:r w:rsidRPr="0084431D">
        <w:rPr>
          <w:rFonts w:cs="Times New Roman"/>
        </w:rPr>
        <w:t xml:space="preserve">did not mention statutory rights of appeal as one of the contextual factors, and left undisturbed their marginal role in the standard of review analysis. Instead, the Court explicitly affirmed the links between deference, the specialized expertise of administrative </w:t>
      </w:r>
      <w:r>
        <w:rPr>
          <w:rFonts w:cs="Times New Roman"/>
        </w:rPr>
        <w:t>decision-maker</w:t>
      </w:r>
      <w:r w:rsidRPr="0084431D">
        <w:rPr>
          <w:rFonts w:cs="Times New Roman"/>
        </w:rPr>
        <w:t xml:space="preserve">s and legislative intent. Justices </w:t>
      </w:r>
      <w:proofErr w:type="spellStart"/>
      <w:r w:rsidRPr="0084431D">
        <w:rPr>
          <w:rFonts w:cs="Times New Roman"/>
        </w:rPr>
        <w:t>LeBel</w:t>
      </w:r>
      <w:proofErr w:type="spellEnd"/>
      <w:r w:rsidRPr="0084431D">
        <w:rPr>
          <w:rFonts w:cs="Times New Roman"/>
        </w:rPr>
        <w:t xml:space="preserve"> and </w:t>
      </w:r>
      <w:proofErr w:type="spellStart"/>
      <w:r w:rsidRPr="0084431D">
        <w:rPr>
          <w:rFonts w:cs="Times New Roman"/>
        </w:rPr>
        <w:t>Bastarache</w:t>
      </w:r>
      <w:proofErr w:type="spellEnd"/>
      <w:r w:rsidRPr="0084431D">
        <w:rPr>
          <w:rFonts w:cs="Times New Roman"/>
        </w:rPr>
        <w:t xml:space="preserve"> held that “deference requires respect for the legislative choices </w:t>
      </w:r>
      <w:r w:rsidRPr="0084431D">
        <w:rPr>
          <w:rFonts w:cs="Times New Roman"/>
        </w:rPr>
        <w:lastRenderedPageBreak/>
        <w:t>to leave some matters in the hands of administrativ</w:t>
      </w:r>
      <w:r>
        <w:rPr>
          <w:rFonts w:cs="Times New Roman"/>
        </w:rPr>
        <w:t>e decision maker</w:t>
      </w:r>
      <w:r w:rsidRPr="0084431D">
        <w:rPr>
          <w:rFonts w:cs="Times New Roman"/>
        </w:rPr>
        <w:t>s, for the processes and determinations that draw on particular expertise and experiences, and for the different roles of the courts and administrative bodies within the Canadian constitutional system” (</w:t>
      </w:r>
      <w:r>
        <w:rPr>
          <w:rFonts w:cs="Times New Roman"/>
        </w:rPr>
        <w:t>para. 49). T</w:t>
      </w:r>
      <w:r w:rsidRPr="0084431D">
        <w:rPr>
          <w:rFonts w:cs="Times New Roman"/>
        </w:rPr>
        <w:t xml:space="preserve">hey noted </w:t>
      </w:r>
      <w:r w:rsidRPr="0084431D" w:rsidDel="005377AE">
        <w:rPr>
          <w:rFonts w:cs="Times New Roman"/>
        </w:rPr>
        <w:t>that “in many instances, those working day to day in the implementation of frequently complex administrative schemes have or will develop a considerable degree of expertise or field sensitivity to the imperatives and nuances</w:t>
      </w:r>
      <w:r>
        <w:rPr>
          <w:rFonts w:cs="Times New Roman"/>
        </w:rPr>
        <w:t xml:space="preserve"> of the legislative regime” (</w:t>
      </w:r>
      <w:r w:rsidRPr="0084431D" w:rsidDel="005377AE">
        <w:rPr>
          <w:rFonts w:cs="Times New Roman"/>
        </w:rPr>
        <w:t>para. 49, citing D</w:t>
      </w:r>
      <w:r>
        <w:rPr>
          <w:rFonts w:cs="Times New Roman"/>
        </w:rPr>
        <w:t>avid</w:t>
      </w:r>
      <w:r w:rsidRPr="0084431D" w:rsidDel="005377AE">
        <w:rPr>
          <w:rFonts w:cs="Times New Roman"/>
        </w:rPr>
        <w:t xml:space="preserve"> J. </w:t>
      </w:r>
      <w:proofErr w:type="spellStart"/>
      <w:r w:rsidRPr="0084431D" w:rsidDel="005377AE">
        <w:rPr>
          <w:rFonts w:cs="Times New Roman"/>
        </w:rPr>
        <w:t>Mullan</w:t>
      </w:r>
      <w:proofErr w:type="spellEnd"/>
      <w:r w:rsidRPr="0084431D" w:rsidDel="005377AE">
        <w:rPr>
          <w:rFonts w:cs="Times New Roman"/>
        </w:rPr>
        <w:t>, “Establishing the Standard of Review: The St</w:t>
      </w:r>
      <w:r w:rsidRPr="0084431D">
        <w:rPr>
          <w:rFonts w:cs="Times New Roman"/>
        </w:rPr>
        <w:t xml:space="preserve">ruggle for Complexity?” (2004), </w:t>
      </w:r>
      <w:r w:rsidRPr="0084431D" w:rsidDel="005377AE">
        <w:rPr>
          <w:rFonts w:cs="Times New Roman"/>
        </w:rPr>
        <w:t>17 </w:t>
      </w:r>
      <w:r w:rsidRPr="0084431D" w:rsidDel="005377AE">
        <w:rPr>
          <w:rFonts w:cs="Times New Roman"/>
          <w:i/>
          <w:iCs/>
        </w:rPr>
        <w:t>C.J.A.L.P.</w:t>
      </w:r>
      <w:r w:rsidRPr="0084431D">
        <w:rPr>
          <w:rFonts w:cs="Times New Roman"/>
        </w:rPr>
        <w:t xml:space="preserve"> 59, at </w:t>
      </w:r>
      <w:r w:rsidRPr="0084431D" w:rsidDel="005377AE">
        <w:rPr>
          <w:rFonts w:cs="Times New Roman"/>
        </w:rPr>
        <w:t>p.</w:t>
      </w:r>
      <w:r>
        <w:rPr>
          <w:rFonts w:cs="Times New Roman"/>
        </w:rPr>
        <w:t> </w:t>
      </w:r>
      <w:r w:rsidRPr="0084431D" w:rsidDel="005377AE">
        <w:rPr>
          <w:rFonts w:cs="Times New Roman"/>
        </w:rPr>
        <w:t>93).</w:t>
      </w:r>
      <w:r w:rsidRPr="0084431D">
        <w:rPr>
          <w:rFonts w:cs="Times New Roman"/>
          <w:b/>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Post-</w:t>
      </w:r>
      <w:r w:rsidRPr="0084431D">
        <w:rPr>
          <w:rFonts w:cs="Times New Roman"/>
          <w:i/>
        </w:rPr>
        <w:t>Dunsmuir</w:t>
      </w:r>
      <w:r w:rsidRPr="0084431D">
        <w:rPr>
          <w:rFonts w:cs="Times New Roman"/>
        </w:rPr>
        <w:t xml:space="preserve">, this Court continued to stress that specialized expertise is the basis for making administrative </w:t>
      </w:r>
      <w:r>
        <w:rPr>
          <w:rFonts w:cs="Times New Roman"/>
        </w:rPr>
        <w:t>decision-maker</w:t>
      </w:r>
      <w:r w:rsidRPr="0084431D">
        <w:rPr>
          <w:rFonts w:cs="Times New Roman"/>
        </w:rPr>
        <w:t xml:space="preserve">s, rather than the courts, the appropriate forum to decide issues falling within their mandates (see </w:t>
      </w:r>
      <w:proofErr w:type="spellStart"/>
      <w:r w:rsidRPr="0084431D">
        <w:rPr>
          <w:rFonts w:cs="Times New Roman"/>
          <w:i/>
        </w:rPr>
        <w:t>Khosa</w:t>
      </w:r>
      <w:proofErr w:type="spellEnd"/>
      <w:r w:rsidRPr="0084431D">
        <w:rPr>
          <w:rFonts w:cs="Times New Roman"/>
        </w:rPr>
        <w:t>, at para.</w:t>
      </w:r>
      <w:r>
        <w:rPr>
          <w:rFonts w:cs="Times New Roman"/>
        </w:rPr>
        <w:t> </w:t>
      </w:r>
      <w:r w:rsidRPr="0084431D">
        <w:rPr>
          <w:rFonts w:cs="Times New Roman"/>
        </w:rPr>
        <w:t xml:space="preserve">25; </w:t>
      </w:r>
      <w:r w:rsidRPr="0084431D">
        <w:rPr>
          <w:rFonts w:cs="Times New Roman"/>
          <w:i/>
        </w:rPr>
        <w:t>R. v. Conway</w:t>
      </w:r>
      <w:r w:rsidRPr="0084431D">
        <w:rPr>
          <w:rFonts w:cs="Times New Roman"/>
        </w:rPr>
        <w:t xml:space="preserve">, [2010] 1 S.C.R. 765, at para. 53; </w:t>
      </w:r>
      <w:r w:rsidRPr="0084431D">
        <w:rPr>
          <w:rFonts w:cs="Times New Roman"/>
          <w:i/>
        </w:rPr>
        <w:t>McLean</w:t>
      </w:r>
      <w:r w:rsidRPr="0084431D">
        <w:rPr>
          <w:rFonts w:cs="Times New Roman"/>
        </w:rPr>
        <w:t xml:space="preserve"> </w:t>
      </w:r>
      <w:r w:rsidRPr="0084431D">
        <w:rPr>
          <w:rFonts w:cs="Times New Roman"/>
          <w:i/>
        </w:rPr>
        <w:t>v. British Columbia (Securities Commission)</w:t>
      </w:r>
      <w:r w:rsidRPr="0084431D">
        <w:rPr>
          <w:rFonts w:cs="Times New Roman"/>
        </w:rPr>
        <w:t>, [2013] 3 S.C.R. 895, at paras. 30-33). Drawing on the concept of specialized expertise, the Court’s post-</w:t>
      </w:r>
      <w:r w:rsidRPr="0084431D">
        <w:rPr>
          <w:rFonts w:cs="Times New Roman"/>
          <w:i/>
        </w:rPr>
        <w:t xml:space="preserve">Dunsmuir </w:t>
      </w:r>
      <w:r w:rsidRPr="0084431D">
        <w:rPr>
          <w:rFonts w:cs="Times New Roman"/>
        </w:rPr>
        <w:t xml:space="preserve">cases expressly confirmed a presumption of reasonableness review for an administrative </w:t>
      </w:r>
      <w:r>
        <w:rPr>
          <w:rFonts w:cs="Times New Roman"/>
        </w:rPr>
        <w:t>decision-maker</w:t>
      </w:r>
      <w:r w:rsidRPr="0084431D">
        <w:rPr>
          <w:rFonts w:cs="Times New Roman"/>
        </w:rPr>
        <w:t xml:space="preserve">’s interpretation of its home or closely-related statutes (see </w:t>
      </w:r>
      <w:r w:rsidRPr="0084431D">
        <w:rPr>
          <w:rFonts w:cs="Times New Roman"/>
          <w:i/>
        </w:rPr>
        <w:t>Alberta Teachers’ Association</w:t>
      </w:r>
      <w:r w:rsidRPr="0084431D">
        <w:rPr>
          <w:rFonts w:cs="Times New Roman"/>
        </w:rPr>
        <w:t xml:space="preserve">, at paras. 39-41). As </w:t>
      </w:r>
      <w:proofErr w:type="spellStart"/>
      <w:r w:rsidRPr="0084431D">
        <w:rPr>
          <w:rFonts w:cs="Times New Roman"/>
        </w:rPr>
        <w:t>Gascon</w:t>
      </w:r>
      <w:proofErr w:type="spellEnd"/>
      <w:r w:rsidRPr="0084431D">
        <w:rPr>
          <w:rFonts w:cs="Times New Roman"/>
        </w:rPr>
        <w:t xml:space="preserve"> J. explained in </w:t>
      </w:r>
      <w:proofErr w:type="spellStart"/>
      <w:r w:rsidRPr="0084431D">
        <w:rPr>
          <w:rFonts w:cs="Times New Roman"/>
          <w:i/>
        </w:rPr>
        <w:t>Mouvement</w:t>
      </w:r>
      <w:proofErr w:type="spellEnd"/>
      <w:r w:rsidRPr="0084431D">
        <w:rPr>
          <w:rFonts w:cs="Times New Roman"/>
          <w:i/>
        </w:rPr>
        <w:t xml:space="preserve"> </w:t>
      </w:r>
      <w:proofErr w:type="spellStart"/>
      <w:r w:rsidRPr="0084431D">
        <w:rPr>
          <w:rFonts w:cs="Times New Roman"/>
          <w:i/>
        </w:rPr>
        <w:t>laïque</w:t>
      </w:r>
      <w:proofErr w:type="spellEnd"/>
      <w:r w:rsidRPr="0084431D">
        <w:rPr>
          <w:rFonts w:cs="Times New Roman"/>
          <w:i/>
        </w:rPr>
        <w:t xml:space="preserve"> </w:t>
      </w:r>
      <w:proofErr w:type="spellStart"/>
      <w:r w:rsidRPr="0084431D">
        <w:rPr>
          <w:rFonts w:cs="Times New Roman"/>
          <w:i/>
        </w:rPr>
        <w:t>québécois</w:t>
      </w:r>
      <w:proofErr w:type="spellEnd"/>
      <w:r w:rsidRPr="0084431D">
        <w:rPr>
          <w:rFonts w:cs="Times New Roman"/>
          <w:i/>
        </w:rPr>
        <w:t> </w:t>
      </w:r>
      <w:r w:rsidRPr="0084431D">
        <w:rPr>
          <w:rFonts w:cs="Times New Roman"/>
          <w:i/>
          <w:iCs/>
        </w:rPr>
        <w:t>v.</w:t>
      </w:r>
      <w:r w:rsidRPr="0084431D">
        <w:rPr>
          <w:rFonts w:cs="Times New Roman"/>
          <w:i/>
        </w:rPr>
        <w:t> Saguenay (City)</w:t>
      </w:r>
      <w:r w:rsidRPr="0024648F">
        <w:rPr>
          <w:rFonts w:cs="Times New Roman"/>
        </w:rPr>
        <w:t xml:space="preserve">, </w:t>
      </w:r>
      <w:r w:rsidRPr="0084431D">
        <w:rPr>
          <w:rFonts w:cs="Times New Roman"/>
        </w:rPr>
        <w:t>[2015] 2 S.C.R. 3, at para. 46:</w:t>
      </w:r>
    </w:p>
    <w:p w:rsidR="008B0231" w:rsidRPr="0084431D" w:rsidRDefault="00AF462A" w:rsidP="00AF462A">
      <w:pPr>
        <w:pStyle w:val="Citation-AltC"/>
        <w:tabs>
          <w:tab w:val="left" w:pos="1530"/>
        </w:tabs>
      </w:pPr>
      <w:r>
        <w:tab/>
      </w:r>
      <w:r w:rsidR="008B0231" w:rsidRPr="0084431D">
        <w:t>Deference is in order where the Tribunal acts within it</w:t>
      </w:r>
      <w:r w:rsidR="008B0231">
        <w:t xml:space="preserve">s </w:t>
      </w:r>
      <w:r w:rsidR="00FA04CF">
        <w:t xml:space="preserve">specialized area of </w:t>
      </w:r>
      <w:proofErr w:type="gramStart"/>
      <w:r w:rsidR="00FA04CF">
        <w:t>expertise .</w:t>
      </w:r>
      <w:proofErr w:type="gramEnd"/>
      <w:r w:rsidR="00FA04CF">
        <w:t> </w:t>
      </w:r>
      <w:r w:rsidR="008B0231">
        <w:t>.</w:t>
      </w:r>
      <w:r w:rsidR="00FA04CF">
        <w:t> </w:t>
      </w:r>
      <w:r w:rsidR="008B0231">
        <w:t xml:space="preserve">. </w:t>
      </w:r>
      <w:r w:rsidR="008B0231" w:rsidRPr="0084431D">
        <w:t>(</w:t>
      </w:r>
      <w:r w:rsidR="008B0231" w:rsidRPr="0084431D">
        <w:rPr>
          <w:i/>
        </w:rPr>
        <w:t xml:space="preserve">Saskatchewan (Human Rights Commission) v. </w:t>
      </w:r>
      <w:proofErr w:type="spellStart"/>
      <w:r w:rsidR="008B0231" w:rsidRPr="0084431D">
        <w:rPr>
          <w:i/>
        </w:rPr>
        <w:t>Whatcott</w:t>
      </w:r>
      <w:proofErr w:type="spellEnd"/>
      <w:r w:rsidR="008B0231" w:rsidRPr="0084431D">
        <w:t>, 2013 SCC 11, [2013] 1 S.C.R. 467, at paras. 166-68; </w:t>
      </w:r>
      <w:proofErr w:type="spellStart"/>
      <w:r w:rsidR="008B0231" w:rsidRPr="0084431D">
        <w:rPr>
          <w:i/>
        </w:rPr>
        <w:t>Mowat</w:t>
      </w:r>
      <w:proofErr w:type="spellEnd"/>
      <w:r w:rsidR="008B0231" w:rsidRPr="0084431D">
        <w:t>, at para. 24). In </w:t>
      </w:r>
      <w:r w:rsidR="008B0231" w:rsidRPr="0084431D">
        <w:rPr>
          <w:i/>
        </w:rPr>
        <w:t xml:space="preserve">Alberta (Information and Privacy Commissioner) v. Alberta Teachers’ </w:t>
      </w:r>
      <w:r w:rsidR="008B0231" w:rsidRPr="0084431D">
        <w:rPr>
          <w:i/>
        </w:rPr>
        <w:lastRenderedPageBreak/>
        <w:t>Association</w:t>
      </w:r>
      <w:r w:rsidR="008B0231" w:rsidRPr="0084431D">
        <w:t>, 2011 SCC 61, [2011] 3 S.C.R. 654, at paras. 30, 34 and 39, the Court noted that, on judicial review of a decision of a specialized administrative tribunal interpreting and applying its enabling statute, it should be presumed that the stand</w:t>
      </w:r>
      <w:r w:rsidR="00B73755">
        <w:t xml:space="preserve">ard of review is reasonableness </w:t>
      </w:r>
      <w:r w:rsidR="008B0231" w:rsidRPr="0084431D">
        <w:t>(</w:t>
      </w:r>
      <w:r w:rsidR="008B0231" w:rsidRPr="0084431D">
        <w:rPr>
          <w:i/>
        </w:rPr>
        <w:t>Canadian National Railway Co. v. Canada (Attorney General)</w:t>
      </w:r>
      <w:r w:rsidR="008B0231" w:rsidRPr="0084431D">
        <w:t>, 2014 SCC 40, [2014] 2 S.C.R. 135, at para. 55; </w:t>
      </w:r>
      <w:r w:rsidR="008B0231" w:rsidRPr="0084431D">
        <w:rPr>
          <w:i/>
        </w:rPr>
        <w:t>Canadian Artists’ Representation v. National Gallery of Canada</w:t>
      </w:r>
      <w:r w:rsidR="008B0231" w:rsidRPr="0084431D">
        <w:t>, 2014 SCC 42, [2014] 2 S.C.R. 197 (“</w:t>
      </w:r>
      <w:r w:rsidR="008B0231" w:rsidRPr="0024648F">
        <w:rPr>
          <w:i/>
        </w:rPr>
        <w:t>NGC</w:t>
      </w:r>
      <w:r w:rsidR="008B0231" w:rsidRPr="0084431D">
        <w:t>”), at para. 13; </w:t>
      </w:r>
      <w:proofErr w:type="spellStart"/>
      <w:r w:rsidR="008B0231" w:rsidRPr="0084431D">
        <w:rPr>
          <w:i/>
        </w:rPr>
        <w:t>Khosa</w:t>
      </w:r>
      <w:proofErr w:type="spellEnd"/>
      <w:r w:rsidR="008B0231" w:rsidRPr="0084431D">
        <w:t>, at para. 25; </w:t>
      </w:r>
      <w:r w:rsidR="008B0231" w:rsidRPr="0084431D">
        <w:rPr>
          <w:i/>
        </w:rPr>
        <w:t>Smith v. Alliance Pipeline Ltd.</w:t>
      </w:r>
      <w:r w:rsidR="008B0231" w:rsidRPr="0084431D">
        <w:t>, 2011 SCC 7, [2011] 1 S.C.R. 160, at paras. 26 and 28; </w:t>
      </w:r>
      <w:r w:rsidR="008B0231" w:rsidRPr="0084431D">
        <w:rPr>
          <w:i/>
        </w:rPr>
        <w:t>Dunsmuir</w:t>
      </w:r>
      <w:r w:rsidR="008B0231" w:rsidRPr="0084431D">
        <w:t>, at para. 54)</w:t>
      </w:r>
      <w:r w:rsidR="008B0231">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And in </w:t>
      </w:r>
      <w:r w:rsidRPr="0084431D">
        <w:rPr>
          <w:rFonts w:cs="Times New Roman"/>
          <w:i/>
        </w:rPr>
        <w:t>Edmonton (City) v. Edmonton East (</w:t>
      </w:r>
      <w:proofErr w:type="spellStart"/>
      <w:r w:rsidRPr="0084431D">
        <w:rPr>
          <w:rFonts w:cs="Times New Roman"/>
          <w:i/>
        </w:rPr>
        <w:t>Capilano</w:t>
      </w:r>
      <w:proofErr w:type="spellEnd"/>
      <w:r w:rsidRPr="0084431D">
        <w:rPr>
          <w:rFonts w:cs="Times New Roman"/>
          <w:i/>
        </w:rPr>
        <w:t>) Shopping Centres Ltd.</w:t>
      </w:r>
      <w:r>
        <w:rPr>
          <w:rFonts w:cs="Times New Roman"/>
        </w:rPr>
        <w:t>, [2016] 2</w:t>
      </w:r>
      <w:r w:rsidRPr="0084431D">
        <w:rPr>
          <w:rFonts w:cs="Times New Roman"/>
        </w:rPr>
        <w:t xml:space="preserve"> S.C.R. 293, the majority recognized:</w:t>
      </w:r>
    </w:p>
    <w:p w:rsidR="008B0231" w:rsidRPr="0084431D" w:rsidRDefault="00AF462A" w:rsidP="00AF462A">
      <w:pPr>
        <w:pStyle w:val="Citation-AltC"/>
        <w:tabs>
          <w:tab w:val="left" w:pos="1620"/>
        </w:tabs>
      </w:pPr>
      <w:r>
        <w:tab/>
      </w:r>
      <w:r w:rsidR="008B0231" w:rsidRPr="0084431D">
        <w:t xml:space="preserve">The presumption of reasonableness is grounded in the legislature’s choice to give a specialized tribunal responsibility for administering the statutory provisions, and the expertise of the tribunal in so doing. Expertise arises from the specialization of functions of administrative tribunals like the Board which have a habitual familiarity with the legislative scheme they </w:t>
      </w:r>
      <w:proofErr w:type="gramStart"/>
      <w:r w:rsidR="008B0231" w:rsidRPr="0084431D">
        <w:t>administer</w:t>
      </w:r>
      <w:r w:rsidR="008B0231">
        <w:t xml:space="preserve"> .</w:t>
      </w:r>
      <w:proofErr w:type="gramEnd"/>
      <w:r w:rsidR="00714208">
        <w:t> </w:t>
      </w:r>
      <w:r w:rsidR="008B0231">
        <w:t>.</w:t>
      </w:r>
      <w:r w:rsidR="00714208">
        <w:t> </w:t>
      </w:r>
      <w:r w:rsidR="008B0231">
        <w:t>.</w:t>
      </w:r>
      <w:r w:rsidR="00714208">
        <w:t> </w:t>
      </w:r>
      <w:r w:rsidR="008B0231">
        <w:t xml:space="preserve">. </w:t>
      </w:r>
      <w:r w:rsidR="008B0231" w:rsidRPr="0084431D">
        <w:t>[E]</w:t>
      </w:r>
      <w:proofErr w:type="spellStart"/>
      <w:r w:rsidR="008B0231" w:rsidRPr="0084431D">
        <w:t>xpertise</w:t>
      </w:r>
      <w:proofErr w:type="spellEnd"/>
      <w:r w:rsidR="008B0231" w:rsidRPr="0084431D">
        <w:t xml:space="preserve"> is something that inheres in a tribunal itself as an institution: “.</w:t>
      </w:r>
      <w:r w:rsidR="00714208">
        <w:t> </w:t>
      </w:r>
      <w:r w:rsidR="008B0231" w:rsidRPr="0084431D">
        <w:t>.</w:t>
      </w:r>
      <w:r w:rsidR="00714208">
        <w:t> </w:t>
      </w:r>
      <w:r w:rsidR="008B0231" w:rsidRPr="0084431D">
        <w:t>. at an institutional level, adjudicators .</w:t>
      </w:r>
      <w:r w:rsidR="00714208">
        <w:t> </w:t>
      </w:r>
      <w:r w:rsidR="008B0231" w:rsidRPr="0084431D">
        <w:t>.</w:t>
      </w:r>
      <w:r w:rsidR="00714208">
        <w:t> </w:t>
      </w:r>
      <w:r w:rsidR="008B0231" w:rsidRPr="0084431D">
        <w:t>. can be presumed to hold relative expertise in the interpretation of the legislation that gives them their mandate, as well as related legislation that they might often encounter in the course of the</w:t>
      </w:r>
      <w:r w:rsidR="008B0231">
        <w:t>ir functions</w:t>
      </w:r>
      <w:r w:rsidR="008133DE">
        <w:t>.</w:t>
      </w:r>
      <w:r w:rsidR="008B0231" w:rsidRPr="0084431D">
        <w:t>” [</w:t>
      </w:r>
      <w:r w:rsidR="008B0231">
        <w:t>Citation</w:t>
      </w:r>
      <w:r w:rsidR="008B0231" w:rsidRPr="0084431D">
        <w:t xml:space="preserve"> omitted</w:t>
      </w:r>
      <w:r w:rsidR="008B0231">
        <w:t>; para. 33.</w:t>
      </w:r>
      <w:r w:rsidR="008B0231" w:rsidRPr="0084431D">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The presumption of deference, therefore, operationalized the Court’s longstanding jurisprudential acceptance of the “specialized expertise” principle in a workable manner, continuing the deferential path Dickson J. first laid out</w:t>
      </w:r>
      <w:r w:rsidRPr="0084431D">
        <w:rPr>
          <w:rFonts w:cs="Times New Roman"/>
          <w:b/>
        </w:rPr>
        <w:t xml:space="preserve"> </w:t>
      </w:r>
      <w:r w:rsidRPr="0084431D">
        <w:rPr>
          <w:rFonts w:cs="Times New Roman"/>
        </w:rPr>
        <w:t xml:space="preserve">in </w:t>
      </w:r>
      <w:r w:rsidRPr="0084431D">
        <w:rPr>
          <w:rFonts w:cs="Times New Roman"/>
          <w:i/>
        </w:rPr>
        <w:t>C.U.P.E.</w:t>
      </w:r>
    </w:p>
    <w:p w:rsidR="008B0231" w:rsidRPr="0084431D" w:rsidRDefault="008B0231" w:rsidP="005C2571">
      <w:pPr>
        <w:pStyle w:val="ParaNoNdepar-AltN"/>
        <w:tabs>
          <w:tab w:val="clear" w:pos="1166"/>
          <w:tab w:val="clear" w:pos="1422"/>
          <w:tab w:val="num" w:pos="1152"/>
        </w:tabs>
        <w:ind w:left="0"/>
        <w:rPr>
          <w:rFonts w:cs="Times New Roman"/>
          <w:szCs w:val="24"/>
          <w:lang w:val="en-US"/>
        </w:rPr>
      </w:pPr>
      <w:r w:rsidRPr="0084431D">
        <w:rPr>
          <w:rFonts w:cs="Times New Roman"/>
        </w:rPr>
        <w:t xml:space="preserve">As for statutory rights of appeal, they continued to be seen as either an irrelevant factor in the standard of review analysis or one that yielded to specialized expertise. So firmly entrenched was this principle that in cases like </w:t>
      </w:r>
      <w:r w:rsidRPr="0084431D">
        <w:rPr>
          <w:rFonts w:cs="Times New Roman"/>
          <w:i/>
          <w:szCs w:val="24"/>
          <w:lang w:val="en-US"/>
        </w:rPr>
        <w:t>Bell Canada v. Bell Aliant Regional Communications</w:t>
      </w:r>
      <w:r w:rsidRPr="0084431D">
        <w:rPr>
          <w:rFonts w:cs="Times New Roman"/>
          <w:szCs w:val="24"/>
          <w:lang w:val="en-US"/>
        </w:rPr>
        <w:t xml:space="preserve">, [2009] 2 S.C.R. 764, </w:t>
      </w:r>
      <w:r w:rsidRPr="0084431D">
        <w:rPr>
          <w:rFonts w:cs="Times New Roman"/>
          <w:i/>
          <w:szCs w:val="24"/>
          <w:lang w:val="en-US"/>
        </w:rPr>
        <w:t>Smith v. Alliance Pipeline Ltd.</w:t>
      </w:r>
      <w:r w:rsidRPr="0084431D">
        <w:rPr>
          <w:rFonts w:cs="Times New Roman"/>
          <w:szCs w:val="24"/>
          <w:lang w:val="en-US"/>
        </w:rPr>
        <w:t xml:space="preserve">, </w:t>
      </w:r>
      <w:r w:rsidRPr="0084431D">
        <w:rPr>
          <w:rFonts w:cs="Times New Roman"/>
          <w:szCs w:val="24"/>
          <w:lang w:val="en-US"/>
        </w:rPr>
        <w:lastRenderedPageBreak/>
        <w:t xml:space="preserve">[2011] 1 S.C.R. 160, </w:t>
      </w:r>
      <w:r w:rsidRPr="0084431D">
        <w:rPr>
          <w:rFonts w:cs="Times New Roman"/>
          <w:i/>
          <w:szCs w:val="24"/>
          <w:lang w:val="en-US"/>
        </w:rPr>
        <w:t>ATCO Gas and Pipelines Ltd. v. Alberta (Utilities Commission)</w:t>
      </w:r>
      <w:r w:rsidRPr="0084431D">
        <w:rPr>
          <w:rFonts w:cs="Times New Roman"/>
          <w:szCs w:val="24"/>
          <w:lang w:val="en-US"/>
        </w:rPr>
        <w:t>, [2015] 3 S.C.R. 219,</w:t>
      </w:r>
      <w:r w:rsidRPr="0084431D">
        <w:rPr>
          <w:rFonts w:cs="Times New Roman"/>
          <w:i/>
          <w:szCs w:val="24"/>
          <w:lang w:val="en-US"/>
        </w:rPr>
        <w:t xml:space="preserve"> </w:t>
      </w:r>
      <w:r w:rsidRPr="0084431D">
        <w:rPr>
          <w:rFonts w:cs="Times New Roman"/>
          <w:szCs w:val="24"/>
          <w:lang w:val="en-US"/>
        </w:rPr>
        <w:t xml:space="preserve">and </w:t>
      </w:r>
      <w:r w:rsidRPr="0084431D">
        <w:rPr>
          <w:rFonts w:cs="Times New Roman"/>
          <w:i/>
          <w:lang w:val="en-US"/>
        </w:rPr>
        <w:t xml:space="preserve">Canada (Attorney General) v. Igloo </w:t>
      </w:r>
      <w:proofErr w:type="spellStart"/>
      <w:r w:rsidRPr="0084431D">
        <w:rPr>
          <w:rFonts w:cs="Times New Roman"/>
          <w:i/>
          <w:lang w:val="en-US"/>
        </w:rPr>
        <w:t>Vikski</w:t>
      </w:r>
      <w:proofErr w:type="spellEnd"/>
      <w:r w:rsidRPr="0084431D">
        <w:rPr>
          <w:rFonts w:cs="Times New Roman"/>
          <w:i/>
          <w:lang w:val="en-US"/>
        </w:rPr>
        <w:t xml:space="preserve"> Inc.</w:t>
      </w:r>
      <w:r w:rsidRPr="0084431D">
        <w:rPr>
          <w:rFonts w:cs="Times New Roman"/>
          <w:lang w:val="en-US"/>
        </w:rPr>
        <w:t>, [2016] 2 S.C.R. 80</w:t>
      </w:r>
      <w:r w:rsidRPr="0084431D">
        <w:rPr>
          <w:rFonts w:cs="Times New Roman"/>
          <w:szCs w:val="24"/>
          <w:lang w:val="en-US"/>
        </w:rPr>
        <w:t xml:space="preserve">, the Court applied the reasonableness standard without even </w:t>
      </w:r>
      <w:r w:rsidRPr="0084431D">
        <w:rPr>
          <w:rFonts w:cs="Times New Roman"/>
          <w:i/>
          <w:szCs w:val="24"/>
          <w:lang w:val="en-US"/>
        </w:rPr>
        <w:t>referring</w:t>
      </w:r>
      <w:r w:rsidRPr="0084431D">
        <w:rPr>
          <w:rFonts w:cs="Times New Roman"/>
          <w:szCs w:val="24"/>
          <w:lang w:val="en-US"/>
        </w:rPr>
        <w:t xml:space="preserve"> to the presence of an appeal clause. When appeal clauses </w:t>
      </w:r>
      <w:r w:rsidRPr="0084431D">
        <w:rPr>
          <w:rFonts w:cs="Times New Roman"/>
          <w:i/>
          <w:szCs w:val="24"/>
          <w:lang w:val="en-US"/>
        </w:rPr>
        <w:t xml:space="preserve">were </w:t>
      </w:r>
      <w:r w:rsidRPr="0084431D">
        <w:rPr>
          <w:rFonts w:cs="Times New Roman"/>
          <w:szCs w:val="24"/>
          <w:lang w:val="en-US"/>
        </w:rPr>
        <w:t xml:space="preserve">discussed, the Court consistently confirmed that they did not oust the application of judicial review principles. </w:t>
      </w:r>
    </w:p>
    <w:p w:rsidR="008B0231" w:rsidRPr="0084431D" w:rsidRDefault="008B0231" w:rsidP="005C2571">
      <w:pPr>
        <w:pStyle w:val="ParaNoNdepar-AltN"/>
        <w:tabs>
          <w:tab w:val="clear" w:pos="1166"/>
          <w:tab w:val="clear" w:pos="1422"/>
          <w:tab w:val="num" w:pos="1152"/>
        </w:tabs>
        <w:ind w:left="0"/>
        <w:rPr>
          <w:rFonts w:cs="Times New Roman"/>
          <w:szCs w:val="24"/>
          <w:lang w:val="en-US"/>
        </w:rPr>
      </w:pPr>
      <w:r w:rsidRPr="0084431D">
        <w:rPr>
          <w:rFonts w:cs="Times New Roman"/>
          <w:szCs w:val="24"/>
          <w:lang w:val="en-US"/>
        </w:rPr>
        <w:t xml:space="preserve">In </w:t>
      </w:r>
      <w:proofErr w:type="spellStart"/>
      <w:r w:rsidRPr="005C2571">
        <w:rPr>
          <w:rFonts w:cs="Times New Roman"/>
          <w:i/>
        </w:rPr>
        <w:t>Khosa</w:t>
      </w:r>
      <w:proofErr w:type="spellEnd"/>
      <w:r w:rsidRPr="0084431D">
        <w:rPr>
          <w:rFonts w:cs="Times New Roman"/>
          <w:szCs w:val="24"/>
          <w:lang w:val="en-US"/>
        </w:rPr>
        <w:t xml:space="preserve">, Binnie J. explicitly endorsed </w:t>
      </w:r>
      <w:proofErr w:type="spellStart"/>
      <w:r w:rsidRPr="0084431D">
        <w:rPr>
          <w:rFonts w:cs="Times New Roman"/>
          <w:i/>
          <w:szCs w:val="24"/>
          <w:lang w:val="en-US"/>
        </w:rPr>
        <w:t>Pezim</w:t>
      </w:r>
      <w:proofErr w:type="spellEnd"/>
      <w:r w:rsidRPr="0084431D">
        <w:rPr>
          <w:rFonts w:cs="Times New Roman"/>
          <w:i/>
          <w:szCs w:val="24"/>
          <w:lang w:val="en-US"/>
        </w:rPr>
        <w:t xml:space="preserve"> </w:t>
      </w:r>
      <w:r w:rsidRPr="0084431D">
        <w:rPr>
          <w:rFonts w:cs="Times New Roman"/>
          <w:szCs w:val="24"/>
          <w:lang w:val="en-US"/>
        </w:rPr>
        <w:t xml:space="preserve">and rejected “the idea that in the absence of express statutory </w:t>
      </w:r>
      <w:proofErr w:type="gramStart"/>
      <w:r w:rsidRPr="0084431D">
        <w:rPr>
          <w:rFonts w:cs="Times New Roman"/>
          <w:szCs w:val="24"/>
          <w:lang w:val="en-US"/>
        </w:rPr>
        <w:t xml:space="preserve">language </w:t>
      </w:r>
      <w:r>
        <w:rPr>
          <w:rFonts w:cs="Times New Roman"/>
          <w:szCs w:val="24"/>
          <w:lang w:val="en-US"/>
        </w:rPr>
        <w:t>.</w:t>
      </w:r>
      <w:proofErr w:type="gramEnd"/>
      <w:r w:rsidR="0001373B">
        <w:rPr>
          <w:rFonts w:cs="Times New Roman"/>
          <w:szCs w:val="24"/>
          <w:lang w:val="en-US"/>
        </w:rPr>
        <w:t> </w:t>
      </w:r>
      <w:r>
        <w:rPr>
          <w:rFonts w:cs="Times New Roman"/>
          <w:szCs w:val="24"/>
          <w:lang w:val="en-US"/>
        </w:rPr>
        <w:t>.</w:t>
      </w:r>
      <w:r w:rsidR="0001373B">
        <w:rPr>
          <w:rFonts w:cs="Times New Roman"/>
          <w:szCs w:val="24"/>
          <w:lang w:val="en-US"/>
        </w:rPr>
        <w:t> </w:t>
      </w:r>
      <w:r>
        <w:rPr>
          <w:rFonts w:cs="Times New Roman"/>
          <w:szCs w:val="24"/>
          <w:lang w:val="en-US"/>
        </w:rPr>
        <w:t xml:space="preserve">. </w:t>
      </w:r>
      <w:r w:rsidRPr="0084431D">
        <w:rPr>
          <w:rFonts w:cs="Times New Roman"/>
          <w:szCs w:val="24"/>
          <w:lang w:val="en-US"/>
        </w:rPr>
        <w:t>a reviewing court is ‘to apply a correctness standard as it does in the regular appellate context’</w:t>
      </w:r>
      <w:r>
        <w:rPr>
          <w:rFonts w:cs="Times New Roman"/>
          <w:szCs w:val="24"/>
          <w:lang w:val="en-US"/>
        </w:rPr>
        <w:t>” (</w:t>
      </w:r>
      <w:r w:rsidRPr="0084431D">
        <w:rPr>
          <w:rFonts w:cs="Times New Roman"/>
          <w:szCs w:val="24"/>
          <w:lang w:val="en-US"/>
        </w:rPr>
        <w:t xml:space="preserve">para. 26). This reasoning was followed in </w:t>
      </w:r>
      <w:r w:rsidRPr="0084431D">
        <w:rPr>
          <w:rFonts w:cs="Times New Roman"/>
          <w:i/>
          <w:szCs w:val="24"/>
          <w:lang w:val="en-US"/>
        </w:rPr>
        <w:t>Canada (Canadian Human Rights Commission) v. Canada (Attorney General)</w:t>
      </w:r>
      <w:r w:rsidRPr="0084431D">
        <w:rPr>
          <w:rFonts w:cs="Times New Roman"/>
          <w:szCs w:val="24"/>
          <w:lang w:val="en-US"/>
        </w:rPr>
        <w:t xml:space="preserve">, [2011] 3 S.C.R. 471 </w:t>
      </w:r>
      <w:r>
        <w:rPr>
          <w:rFonts w:cs="Times New Roman"/>
          <w:szCs w:val="24"/>
          <w:lang w:val="en-US"/>
        </w:rPr>
        <w:t>(</w:t>
      </w:r>
      <w:r w:rsidRPr="0084431D">
        <w:rPr>
          <w:rFonts w:cs="Times New Roman"/>
          <w:szCs w:val="24"/>
          <w:lang w:val="en-US"/>
        </w:rPr>
        <w:t>“</w:t>
      </w:r>
      <w:proofErr w:type="spellStart"/>
      <w:r w:rsidRPr="0084431D">
        <w:rPr>
          <w:rFonts w:cs="Times New Roman"/>
          <w:i/>
          <w:szCs w:val="24"/>
          <w:lang w:val="en-US"/>
        </w:rPr>
        <w:t>Mowat</w:t>
      </w:r>
      <w:proofErr w:type="spellEnd"/>
      <w:r w:rsidRPr="0084431D">
        <w:rPr>
          <w:rFonts w:cs="Times New Roman"/>
          <w:szCs w:val="24"/>
          <w:lang w:val="en-US"/>
        </w:rPr>
        <w:t>”</w:t>
      </w:r>
      <w:r>
        <w:rPr>
          <w:rFonts w:cs="Times New Roman"/>
          <w:szCs w:val="24"/>
          <w:lang w:val="en-US"/>
        </w:rPr>
        <w:t>)</w:t>
      </w:r>
      <w:r w:rsidRPr="0084431D">
        <w:rPr>
          <w:rFonts w:cs="Times New Roman"/>
          <w:szCs w:val="24"/>
          <w:lang w:val="en-US"/>
        </w:rPr>
        <w:t>, where the Court confirmed that “care should be taken not to conflate” judicia</w:t>
      </w:r>
      <w:r>
        <w:rPr>
          <w:rFonts w:cs="Times New Roman"/>
          <w:szCs w:val="24"/>
          <w:lang w:val="en-US"/>
        </w:rPr>
        <w:t>l and appellate review (</w:t>
      </w:r>
      <w:r w:rsidRPr="0084431D">
        <w:rPr>
          <w:rFonts w:cs="Times New Roman"/>
          <w:szCs w:val="24"/>
          <w:lang w:val="en-US"/>
        </w:rPr>
        <w:t xml:space="preserve">para. 30; see also para. 31). </w:t>
      </w:r>
      <w:r w:rsidRPr="0084431D">
        <w:rPr>
          <w:rFonts w:cs="Times New Roman"/>
          <w:szCs w:val="24"/>
        </w:rPr>
        <w:t xml:space="preserve">In </w:t>
      </w:r>
      <w:r w:rsidRPr="0084431D">
        <w:rPr>
          <w:rFonts w:cs="Times New Roman"/>
          <w:i/>
          <w:szCs w:val="24"/>
        </w:rPr>
        <w:t>McLean</w:t>
      </w:r>
      <w:r w:rsidRPr="0084431D">
        <w:rPr>
          <w:rFonts w:cs="Times New Roman"/>
          <w:szCs w:val="24"/>
        </w:rPr>
        <w:t xml:space="preserve">, decided two years after </w:t>
      </w:r>
      <w:proofErr w:type="spellStart"/>
      <w:r w:rsidRPr="0084431D">
        <w:rPr>
          <w:rFonts w:cs="Times New Roman"/>
          <w:i/>
          <w:szCs w:val="24"/>
        </w:rPr>
        <w:t>Mowat</w:t>
      </w:r>
      <w:proofErr w:type="spellEnd"/>
      <w:r w:rsidRPr="0084431D">
        <w:rPr>
          <w:rFonts w:cs="Times New Roman"/>
          <w:szCs w:val="24"/>
        </w:rPr>
        <w:t xml:space="preserve">, the majority cited </w:t>
      </w:r>
      <w:proofErr w:type="spellStart"/>
      <w:r w:rsidRPr="0084431D">
        <w:rPr>
          <w:rFonts w:cs="Times New Roman"/>
          <w:i/>
          <w:szCs w:val="24"/>
        </w:rPr>
        <w:t>Pezim</w:t>
      </w:r>
      <w:proofErr w:type="spellEnd"/>
      <w:r w:rsidRPr="0084431D">
        <w:rPr>
          <w:rFonts w:cs="Times New Roman"/>
          <w:i/>
          <w:szCs w:val="24"/>
        </w:rPr>
        <w:t xml:space="preserve"> </w:t>
      </w:r>
      <w:r w:rsidRPr="0084431D">
        <w:rPr>
          <w:rFonts w:cs="Times New Roman"/>
          <w:szCs w:val="24"/>
        </w:rPr>
        <w:t>and other cases for the proposition that “general administrative law principles still apply” on a st</w:t>
      </w:r>
      <w:r>
        <w:rPr>
          <w:rFonts w:cs="Times New Roman"/>
          <w:szCs w:val="24"/>
        </w:rPr>
        <w:t>atutory appeal (see para. 21, fn.</w:t>
      </w:r>
      <w:r w:rsidRPr="0084431D">
        <w:rPr>
          <w:rFonts w:cs="Times New Roman"/>
          <w:szCs w:val="24"/>
        </w:rPr>
        <w:t xml:space="preserve"> 2). Similarly, </w:t>
      </w:r>
      <w:proofErr w:type="spellStart"/>
      <w:r w:rsidRPr="0084431D">
        <w:rPr>
          <w:rFonts w:cs="Times New Roman"/>
          <w:szCs w:val="24"/>
          <w:lang w:val="en-US"/>
        </w:rPr>
        <w:t>i</w:t>
      </w:r>
      <w:proofErr w:type="spellEnd"/>
      <w:r w:rsidRPr="0084431D">
        <w:rPr>
          <w:rFonts w:cs="Times New Roman"/>
        </w:rPr>
        <w:t xml:space="preserve">n </w:t>
      </w:r>
      <w:proofErr w:type="spellStart"/>
      <w:r w:rsidRPr="0084431D">
        <w:rPr>
          <w:rFonts w:cs="Times New Roman"/>
          <w:i/>
        </w:rPr>
        <w:t>Mouvement</w:t>
      </w:r>
      <w:proofErr w:type="spellEnd"/>
      <w:r w:rsidRPr="0084431D">
        <w:rPr>
          <w:rFonts w:cs="Times New Roman"/>
          <w:i/>
        </w:rPr>
        <w:t xml:space="preserve"> </w:t>
      </w:r>
      <w:proofErr w:type="spellStart"/>
      <w:r w:rsidRPr="0084431D">
        <w:rPr>
          <w:rFonts w:cs="Times New Roman"/>
          <w:i/>
        </w:rPr>
        <w:t>la</w:t>
      </w:r>
      <w:r w:rsidRPr="0084431D">
        <w:rPr>
          <w:rFonts w:cs="Times New Roman"/>
          <w:bCs/>
          <w:i/>
        </w:rPr>
        <w:t>ï</w:t>
      </w:r>
      <w:r w:rsidRPr="0084431D">
        <w:rPr>
          <w:rFonts w:cs="Times New Roman"/>
          <w:i/>
        </w:rPr>
        <w:t>que</w:t>
      </w:r>
      <w:proofErr w:type="spellEnd"/>
      <w:r w:rsidRPr="0084431D">
        <w:rPr>
          <w:rFonts w:cs="Times New Roman"/>
        </w:rPr>
        <w:t xml:space="preserve">, </w:t>
      </w:r>
      <w:proofErr w:type="spellStart"/>
      <w:r w:rsidRPr="0084431D">
        <w:rPr>
          <w:rFonts w:cs="Times New Roman"/>
        </w:rPr>
        <w:t>Gascon</w:t>
      </w:r>
      <w:proofErr w:type="spellEnd"/>
      <w:r w:rsidRPr="0084431D">
        <w:rPr>
          <w:rFonts w:cs="Times New Roman"/>
        </w:rPr>
        <w:t xml:space="preserve"> J. affirmed that</w:t>
      </w:r>
    </w:p>
    <w:p w:rsidR="008B0231" w:rsidRPr="0084431D" w:rsidRDefault="008B0231" w:rsidP="008B0231">
      <w:pPr>
        <w:pStyle w:val="Citation-AltC"/>
      </w:pPr>
      <w:r w:rsidRPr="0084431D">
        <w:t>[</w:t>
      </w:r>
      <w:proofErr w:type="gramStart"/>
      <w:r w:rsidRPr="0084431D">
        <w:t>w]</w:t>
      </w:r>
      <w:proofErr w:type="gramEnd"/>
      <w:r w:rsidRPr="0084431D">
        <w:t xml:space="preserve">here a court reviews a decision of a specialized administrative tribunal, the standard of review must be determined on the basis of administrative law principles. This is true regardless of whether the review is conducted in the context of an application for judicial review or of a statutory </w:t>
      </w:r>
      <w:proofErr w:type="gramStart"/>
      <w:r w:rsidRPr="0084431D">
        <w:t>appeal</w:t>
      </w:r>
      <w:r w:rsidR="0001373B">
        <w:t xml:space="preserve"> .</w:t>
      </w:r>
      <w:proofErr w:type="gramEnd"/>
      <w:r w:rsidR="0001373B">
        <w:t> </w:t>
      </w:r>
      <w:r w:rsidRPr="0084431D">
        <w:t>.</w:t>
      </w:r>
      <w:r w:rsidR="0001373B">
        <w:t> </w:t>
      </w:r>
      <w:r>
        <w:t>.</w:t>
      </w:r>
      <w:r w:rsidR="0001373B">
        <w:t> </w:t>
      </w:r>
      <w:r>
        <w:t>. [</w:t>
      </w:r>
      <w:r w:rsidRPr="0084431D">
        <w:t>para. 38]</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w:t>
      </w:r>
      <w:r w:rsidRPr="0084431D">
        <w:rPr>
          <w:rFonts w:cs="Times New Roman"/>
          <w:i/>
        </w:rPr>
        <w:t>Edmonton East</w:t>
      </w:r>
      <w:r w:rsidRPr="0084431D">
        <w:rPr>
          <w:rFonts w:cs="Times New Roman"/>
        </w:rPr>
        <w:t xml:space="preserve">, the Court considered </w:t>
      </w:r>
      <w:r>
        <w:rPr>
          <w:rFonts w:cs="Times New Roman"/>
        </w:rPr>
        <w:t>—</w:t>
      </w:r>
      <w:r w:rsidRPr="0084431D">
        <w:rPr>
          <w:rFonts w:cs="Times New Roman"/>
        </w:rPr>
        <w:t xml:space="preserve"> and again rejected </w:t>
      </w:r>
      <w:r>
        <w:rPr>
          <w:rFonts w:cs="Times New Roman"/>
        </w:rPr>
        <w:t>—</w:t>
      </w:r>
      <w:r w:rsidRPr="0084431D">
        <w:rPr>
          <w:rFonts w:cs="Times New Roman"/>
        </w:rPr>
        <w:t xml:space="preserve"> the argument that statutory appeals should form a new category of correctness review. As </w:t>
      </w:r>
      <w:r w:rsidRPr="0084431D">
        <w:rPr>
          <w:rFonts w:cs="Times New Roman"/>
        </w:rPr>
        <w:lastRenderedPageBreak/>
        <w:t>the majority noted, “recognizing issues arising on statutory appeals as a new category to which the correctness standard applies — as the Court of Appeal did in this case —</w:t>
      </w:r>
      <w:r w:rsidR="008133DE">
        <w:rPr>
          <w:rFonts w:cs="Times New Roman"/>
        </w:rPr>
        <w:t xml:space="preserve"> </w:t>
      </w:r>
      <w:r w:rsidRPr="0084431D">
        <w:rPr>
          <w:rFonts w:cs="Times New Roman"/>
        </w:rPr>
        <w:t>would go against strong jur</w:t>
      </w:r>
      <w:r>
        <w:rPr>
          <w:rFonts w:cs="Times New Roman"/>
        </w:rPr>
        <w:t>isprudence from this Court” (</w:t>
      </w:r>
      <w:r w:rsidRPr="0084431D">
        <w:rPr>
          <w:rFonts w:cs="Times New Roman"/>
        </w:rPr>
        <w:t xml:space="preserve">para. 28). Even the dissenting judges in </w:t>
      </w:r>
      <w:r w:rsidRPr="0084431D">
        <w:rPr>
          <w:rFonts w:cs="Times New Roman"/>
          <w:i/>
        </w:rPr>
        <w:t>Edmonton East</w:t>
      </w:r>
      <w:r w:rsidRPr="0084431D">
        <w:rPr>
          <w:rFonts w:cs="Times New Roman"/>
        </w:rPr>
        <w:t xml:space="preserve">, although of the view that the wording of the relevant statutory appeal clause and legislative scheme pointed to the correctness standard, nonetheless unequivocally stated that “a statutory right of appeal is not a new ‘category’ of correctness </w:t>
      </w:r>
      <w:r>
        <w:rPr>
          <w:rFonts w:cs="Times New Roman"/>
        </w:rPr>
        <w:t>review” (</w:t>
      </w:r>
      <w:r w:rsidR="00AF462A">
        <w:rPr>
          <w:rFonts w:cs="Times New Roman"/>
        </w:rPr>
        <w:t xml:space="preserve">para. 70).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By the time these appeals were heard, contextual factors had practically disappeared from the standard of review analysis, replaced by a presumption of deference subject only to the correctness exceptions set out in </w:t>
      </w:r>
      <w:r w:rsidRPr="0084431D">
        <w:rPr>
          <w:rFonts w:cs="Times New Roman"/>
          <w:i/>
        </w:rPr>
        <w:t xml:space="preserve">Dunsmuir </w:t>
      </w:r>
      <w:r>
        <w:rPr>
          <w:rFonts w:cs="Times New Roman"/>
        </w:rPr>
        <w:t>—</w:t>
      </w:r>
      <w:r w:rsidRPr="0084431D">
        <w:rPr>
          <w:rFonts w:cs="Times New Roman"/>
        </w:rPr>
        <w:t xml:space="preserve"> which explicitly did </w:t>
      </w:r>
      <w:r w:rsidRPr="0084431D">
        <w:rPr>
          <w:rFonts w:cs="Times New Roman"/>
          <w:i/>
        </w:rPr>
        <w:t xml:space="preserve">not </w:t>
      </w:r>
      <w:r w:rsidRPr="0084431D">
        <w:rPr>
          <w:rFonts w:cs="Times New Roman"/>
        </w:rPr>
        <w:t xml:space="preserve">include statutory rights of appeal. In other words, the Court was well on its way to realizing </w:t>
      </w:r>
      <w:r w:rsidRPr="0084431D">
        <w:rPr>
          <w:rFonts w:cs="Times New Roman"/>
          <w:i/>
        </w:rPr>
        <w:t>Dunsmuir</w:t>
      </w:r>
      <w:r w:rsidRPr="0084431D">
        <w:rPr>
          <w:rFonts w:cs="Times New Roman"/>
        </w:rPr>
        <w:t xml:space="preserve">’s promise of a simplified analysis. Justice </w:t>
      </w:r>
      <w:proofErr w:type="spellStart"/>
      <w:r w:rsidRPr="0084431D">
        <w:rPr>
          <w:rFonts w:cs="Times New Roman"/>
        </w:rPr>
        <w:t>Gascon</w:t>
      </w:r>
      <w:proofErr w:type="spellEnd"/>
      <w:r>
        <w:rPr>
          <w:rFonts w:cs="Times New Roman"/>
        </w:rPr>
        <w:t xml:space="preserve"> </w:t>
      </w:r>
      <w:r w:rsidRPr="0084431D">
        <w:rPr>
          <w:rFonts w:cs="Times New Roman"/>
        </w:rPr>
        <w:t xml:space="preserve">recognized as much last year in </w:t>
      </w:r>
      <w:r w:rsidRPr="0084431D">
        <w:rPr>
          <w:rFonts w:cs="Times New Roman"/>
          <w:i/>
        </w:rPr>
        <w:t>Canadian Human Rights Commission</w:t>
      </w:r>
      <w:r w:rsidRPr="0084431D">
        <w:rPr>
          <w:rFonts w:cs="Times New Roman"/>
        </w:rPr>
        <w:t>:</w:t>
      </w:r>
    </w:p>
    <w:p w:rsidR="008B0231" w:rsidRPr="0084431D" w:rsidRDefault="00AF462A" w:rsidP="00AF462A">
      <w:pPr>
        <w:pStyle w:val="Citation-AltC"/>
        <w:tabs>
          <w:tab w:val="left" w:pos="1710"/>
        </w:tabs>
      </w:pPr>
      <w:r>
        <w:rPr>
          <w:i/>
        </w:rPr>
        <w:tab/>
      </w:r>
      <w:r w:rsidR="008B0231" w:rsidRPr="0084431D">
        <w:rPr>
          <w:i/>
        </w:rPr>
        <w:t>This contextual approach should be applied sparingly</w:t>
      </w:r>
      <w:r w:rsidR="008B0231" w:rsidRPr="0084431D">
        <w:t>. As held by the majority of this Court in </w:t>
      </w:r>
      <w:r w:rsidR="008B0231" w:rsidRPr="0084431D">
        <w:rPr>
          <w:i/>
        </w:rPr>
        <w:t>Alberta Teachers</w:t>
      </w:r>
      <w:r w:rsidR="008B0231" w:rsidRPr="0084431D">
        <w:t>, it is inappropriate to “retreat to the application of a full standard of review analysis where it can be determined summarily</w:t>
      </w:r>
      <w:proofErr w:type="gramStart"/>
      <w:r w:rsidR="008B0231" w:rsidRPr="0084431D">
        <w:t>”</w:t>
      </w:r>
      <w:r w:rsidR="00D70A36">
        <w:t xml:space="preserve"> .</w:t>
      </w:r>
      <w:proofErr w:type="gramEnd"/>
      <w:r w:rsidR="00D70A36">
        <w:t> </w:t>
      </w:r>
      <w:r w:rsidR="008B0231">
        <w:t>.</w:t>
      </w:r>
      <w:r w:rsidR="00D70A36">
        <w:t> </w:t>
      </w:r>
      <w:r w:rsidR="008B0231">
        <w:t>.</w:t>
      </w:r>
      <w:r w:rsidR="00D70A36">
        <w:t> </w:t>
      </w:r>
      <w:r w:rsidR="008B0231">
        <w:t xml:space="preserve">. </w:t>
      </w:r>
      <w:r w:rsidR="008B0231" w:rsidRPr="0084431D">
        <w:t>After all, the “contextual approach can generate uncertainty and endless litigation concerning the standard of review” (</w:t>
      </w:r>
      <w:proofErr w:type="spellStart"/>
      <w:r w:rsidR="008B0231" w:rsidRPr="0084431D">
        <w:rPr>
          <w:i/>
        </w:rPr>
        <w:t>Capilano</w:t>
      </w:r>
      <w:proofErr w:type="spellEnd"/>
      <w:r w:rsidR="008B0231" w:rsidRPr="0084431D">
        <w:rPr>
          <w:i/>
        </w:rPr>
        <w:t xml:space="preserve"> </w:t>
      </w:r>
      <w:r w:rsidR="008B0231" w:rsidRPr="0024648F">
        <w:t>[</w:t>
      </w:r>
      <w:r w:rsidR="008B0231" w:rsidRPr="0084431D">
        <w:rPr>
          <w:i/>
        </w:rPr>
        <w:t>Edmonton East</w:t>
      </w:r>
      <w:r w:rsidR="008B0231" w:rsidRPr="0024648F">
        <w:t>],</w:t>
      </w:r>
      <w:r w:rsidR="008B0231" w:rsidRPr="0084431D">
        <w:t xml:space="preserve"> at para. 35). The presumption of reasonableness review and the identified categories will generally be sufficient to determine the applicable standard. In the exceptional cases where such a contextual analysis may be justified to rebut the presumption, it need not be a long and detailed one (</w:t>
      </w:r>
      <w:proofErr w:type="spellStart"/>
      <w:r w:rsidR="008B0231" w:rsidRPr="0084431D">
        <w:rPr>
          <w:i/>
        </w:rPr>
        <w:t>Capilano</w:t>
      </w:r>
      <w:proofErr w:type="spellEnd"/>
      <w:r w:rsidR="008B0231" w:rsidRPr="0084431D">
        <w:rPr>
          <w:i/>
        </w:rPr>
        <w:t xml:space="preserve"> </w:t>
      </w:r>
      <w:r w:rsidR="008B0231" w:rsidRPr="0024648F">
        <w:t>[</w:t>
      </w:r>
      <w:r w:rsidR="008B0231" w:rsidRPr="0084431D">
        <w:rPr>
          <w:i/>
        </w:rPr>
        <w:t>Edmonton East</w:t>
      </w:r>
      <w:r w:rsidR="008B0231" w:rsidRPr="0024648F">
        <w:t>]</w:t>
      </w:r>
      <w:r w:rsidR="008B0231" w:rsidRPr="0084431D">
        <w:t>, at para. 34). Where it has been done or referred to in the past, the analysis has been limited to determinative factors that showed a clear </w:t>
      </w:r>
      <w:r w:rsidR="008B0231" w:rsidRPr="0084431D">
        <w:rPr>
          <w:rStyle w:val="solexhl"/>
          <w:rFonts w:eastAsiaTheme="minorHAnsi"/>
        </w:rPr>
        <w:t>legislative intent</w:t>
      </w:r>
      <w:r w:rsidR="008B0231" w:rsidRPr="0084431D">
        <w:t> justifying the rebuttal of the presumption (see, e.g., </w:t>
      </w:r>
      <w:r w:rsidR="008B0231" w:rsidRPr="0084431D">
        <w:rPr>
          <w:i/>
        </w:rPr>
        <w:t>Rogers</w:t>
      </w:r>
      <w:r w:rsidR="008B0231" w:rsidRPr="0084431D">
        <w:t>, at para. 15; </w:t>
      </w:r>
      <w:r w:rsidR="008B0231" w:rsidRPr="0084431D">
        <w:rPr>
          <w:i/>
        </w:rPr>
        <w:t>Tervita</w:t>
      </w:r>
      <w:r w:rsidR="008B0231" w:rsidRPr="0084431D">
        <w:t>, at paras. 35-36; see also, </w:t>
      </w:r>
      <w:r w:rsidR="008B0231" w:rsidRPr="0084431D">
        <w:rPr>
          <w:i/>
        </w:rPr>
        <w:t>Saguenay</w:t>
      </w:r>
      <w:r w:rsidR="008B0231" w:rsidRPr="0084431D">
        <w:t>, at paras. 50-51)</w:t>
      </w:r>
      <w:r w:rsidR="008B0231">
        <w:t>.</w:t>
      </w:r>
      <w:r w:rsidR="008B0231" w:rsidRPr="0084431D">
        <w:t xml:space="preserve"> [</w:t>
      </w:r>
      <w:r w:rsidR="008B0231">
        <w:t>E</w:t>
      </w:r>
      <w:r w:rsidR="008B0231" w:rsidRPr="0084431D">
        <w:t>mphasis added</w:t>
      </w:r>
      <w:r w:rsidR="008B0231">
        <w:t>; para. 46.</w:t>
      </w:r>
      <w:r w:rsidR="008B0231" w:rsidRPr="0084431D">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 xml:space="preserve">In sum, for </w:t>
      </w:r>
      <w:r w:rsidRPr="005C2571">
        <w:rPr>
          <w:rFonts w:cs="Times New Roman"/>
          <w:szCs w:val="24"/>
          <w:lang w:val="en-US"/>
        </w:rPr>
        <w:t>four</w:t>
      </w:r>
      <w:r w:rsidRPr="0084431D">
        <w:rPr>
          <w:rFonts w:cs="Times New Roman"/>
        </w:rPr>
        <w:t xml:space="preserve"> decades, our standard of review jurisprudence has been clear and unwavering about the foundational role of specialized expertise and the limited role of statutory rights of appeal. Where confusion persists, it concerns the relevance of the contextual factors in </w:t>
      </w:r>
      <w:r w:rsidRPr="0084431D">
        <w:rPr>
          <w:rFonts w:cs="Times New Roman"/>
          <w:i/>
        </w:rPr>
        <w:t>Dunsmuir</w:t>
      </w:r>
      <w:r w:rsidRPr="0084431D">
        <w:rPr>
          <w:rFonts w:cs="Times New Roman"/>
        </w:rPr>
        <w:t xml:space="preserve">, the meaning of “true questions of jurisdiction” and how best to conduct reasonableness review. That was the backdrop against which these appeals were heard and argued. But rather than ushering in a simplified next act, these appeals have been used to rewrite the whole script, reassigning to the courts the starring role Dicey ordained a century ago. </w:t>
      </w:r>
    </w:p>
    <w:p w:rsidR="008B0231" w:rsidRPr="0084431D" w:rsidRDefault="008B0231" w:rsidP="008B0231">
      <w:pPr>
        <w:pStyle w:val="Title1LevelTitre1Niveau-AltL"/>
        <w:numPr>
          <w:ilvl w:val="0"/>
          <w:numId w:val="0"/>
        </w:numPr>
        <w:ind w:left="576" w:hanging="576"/>
        <w:rPr>
          <w:rFonts w:cs="Times New Roman"/>
          <w:u w:val="none"/>
        </w:rPr>
      </w:pPr>
      <w:r w:rsidRPr="0084431D">
        <w:rPr>
          <w:rFonts w:cs="Times New Roman"/>
        </w:rPr>
        <w:t>The Majority’s Reasons</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w:t>
      </w:r>
      <w:r w:rsidRPr="005C2571">
        <w:rPr>
          <w:rFonts w:cs="Times New Roman"/>
          <w:szCs w:val="24"/>
          <w:lang w:val="en-US"/>
        </w:rPr>
        <w:t>majority’s</w:t>
      </w:r>
      <w:r w:rsidRPr="0084431D">
        <w:rPr>
          <w:rFonts w:cs="Times New Roman"/>
        </w:rPr>
        <w:t xml:space="preserve"> framework rests on a flawed and incomplete conceptual account of judicial review, one that unjustifiably ignores the specialized expertise of administrative </w:t>
      </w:r>
      <w:r>
        <w:rPr>
          <w:rFonts w:cs="Times New Roman"/>
        </w:rPr>
        <w:t>decision-maker</w:t>
      </w:r>
      <w:r w:rsidRPr="0084431D">
        <w:rPr>
          <w:rFonts w:cs="Times New Roman"/>
        </w:rPr>
        <w:t>s. Although the majority uses language endorsing a “presumption of reasonableness review”, this presumption now rests on a totally new understanding of legislative intent and the rule of law. By prohibiting any consideration of well-established foundations for deference, such as “</w:t>
      </w:r>
      <w:proofErr w:type="gramStart"/>
      <w:r w:rsidRPr="0084431D">
        <w:rPr>
          <w:rFonts w:cs="Times New Roman"/>
        </w:rPr>
        <w:t xml:space="preserve">expertise </w:t>
      </w:r>
      <w:r w:rsidR="00B30632">
        <w:rPr>
          <w:rFonts w:cs="Times New Roman"/>
        </w:rPr>
        <w:t>.</w:t>
      </w:r>
      <w:proofErr w:type="gramEnd"/>
      <w:r w:rsidR="00B30632">
        <w:rPr>
          <w:rFonts w:cs="Times New Roman"/>
        </w:rPr>
        <w:t> </w:t>
      </w:r>
      <w:r>
        <w:rPr>
          <w:rFonts w:cs="Times New Roman"/>
        </w:rPr>
        <w:t>.</w:t>
      </w:r>
      <w:r w:rsidR="00B30632">
        <w:rPr>
          <w:rFonts w:cs="Times New Roman"/>
        </w:rPr>
        <w:t> </w:t>
      </w:r>
      <w:r>
        <w:rPr>
          <w:rFonts w:cs="Times New Roman"/>
        </w:rPr>
        <w:t xml:space="preserve">. </w:t>
      </w:r>
      <w:r w:rsidRPr="0084431D">
        <w:rPr>
          <w:rFonts w:cs="Times New Roman"/>
        </w:rPr>
        <w:t xml:space="preserve">institutional experience </w:t>
      </w:r>
      <w:r>
        <w:rPr>
          <w:rFonts w:cs="Times New Roman"/>
        </w:rPr>
        <w:t>.</w:t>
      </w:r>
      <w:r w:rsidR="00B30632">
        <w:rPr>
          <w:rFonts w:cs="Times New Roman"/>
        </w:rPr>
        <w:t> </w:t>
      </w:r>
      <w:r>
        <w:rPr>
          <w:rFonts w:cs="Times New Roman"/>
        </w:rPr>
        <w:t>.</w:t>
      </w:r>
      <w:r w:rsidR="00B30632">
        <w:rPr>
          <w:rFonts w:cs="Times New Roman"/>
        </w:rPr>
        <w:t> </w:t>
      </w:r>
      <w:r>
        <w:rPr>
          <w:rFonts w:cs="Times New Roman"/>
        </w:rPr>
        <w:t xml:space="preserve">. </w:t>
      </w:r>
      <w:r w:rsidRPr="0084431D">
        <w:rPr>
          <w:rFonts w:cs="Times New Roman"/>
        </w:rPr>
        <w:t xml:space="preserve">proximity and responsiveness to stakeholders </w:t>
      </w:r>
      <w:r>
        <w:rPr>
          <w:rFonts w:cs="Times New Roman"/>
        </w:rPr>
        <w:t>.</w:t>
      </w:r>
      <w:r w:rsidR="00B30632">
        <w:rPr>
          <w:rFonts w:cs="Times New Roman"/>
        </w:rPr>
        <w:t> </w:t>
      </w:r>
      <w:r>
        <w:rPr>
          <w:rFonts w:cs="Times New Roman"/>
        </w:rPr>
        <w:t>.</w:t>
      </w:r>
      <w:r w:rsidR="00B30632">
        <w:rPr>
          <w:rFonts w:cs="Times New Roman"/>
        </w:rPr>
        <w:t> </w:t>
      </w:r>
      <w:r>
        <w:rPr>
          <w:rFonts w:cs="Times New Roman"/>
        </w:rPr>
        <w:t xml:space="preserve">. </w:t>
      </w:r>
      <w:r w:rsidRPr="0084431D">
        <w:rPr>
          <w:rFonts w:cs="Times New Roman"/>
        </w:rPr>
        <w:t>prompt</w:t>
      </w:r>
      <w:r>
        <w:rPr>
          <w:rFonts w:cs="Times New Roman"/>
        </w:rPr>
        <w:t>[</w:t>
      </w:r>
      <w:r w:rsidRPr="0084431D">
        <w:rPr>
          <w:rFonts w:cs="Times New Roman"/>
        </w:rPr>
        <w:t>ness</w:t>
      </w:r>
      <w:r>
        <w:rPr>
          <w:rFonts w:cs="Times New Roman"/>
        </w:rPr>
        <w:t>]</w:t>
      </w:r>
      <w:r w:rsidRPr="0084431D">
        <w:rPr>
          <w:rFonts w:cs="Times New Roman"/>
        </w:rPr>
        <w:t xml:space="preserve">, </w:t>
      </w:r>
      <w:proofErr w:type="spellStart"/>
      <w:r w:rsidRPr="0084431D">
        <w:rPr>
          <w:rFonts w:cs="Times New Roman"/>
        </w:rPr>
        <w:t>flexib</w:t>
      </w:r>
      <w:proofErr w:type="spellEnd"/>
      <w:r>
        <w:rPr>
          <w:rFonts w:cs="Times New Roman"/>
        </w:rPr>
        <w:t>[</w:t>
      </w:r>
      <w:proofErr w:type="spellStart"/>
      <w:r w:rsidRPr="0084431D">
        <w:rPr>
          <w:rFonts w:cs="Times New Roman"/>
        </w:rPr>
        <w:t>ility</w:t>
      </w:r>
      <w:proofErr w:type="spellEnd"/>
      <w:r>
        <w:rPr>
          <w:rFonts w:cs="Times New Roman"/>
        </w:rPr>
        <w:t>]</w:t>
      </w:r>
      <w:r w:rsidRPr="0084431D">
        <w:rPr>
          <w:rFonts w:cs="Times New Roman"/>
        </w:rPr>
        <w:t xml:space="preserve">, and </w:t>
      </w:r>
      <w:proofErr w:type="spellStart"/>
      <w:r w:rsidRPr="0084431D">
        <w:rPr>
          <w:rFonts w:cs="Times New Roman"/>
        </w:rPr>
        <w:t>efficien</w:t>
      </w:r>
      <w:proofErr w:type="spellEnd"/>
      <w:r>
        <w:rPr>
          <w:rFonts w:cs="Times New Roman"/>
        </w:rPr>
        <w:t>[</w:t>
      </w:r>
      <w:r w:rsidRPr="0084431D">
        <w:rPr>
          <w:rFonts w:cs="Times New Roman"/>
        </w:rPr>
        <w:t>cy</w:t>
      </w:r>
      <w:r>
        <w:rPr>
          <w:rFonts w:cs="Times New Roman"/>
        </w:rPr>
        <w:t>];</w:t>
      </w:r>
      <w:r w:rsidRPr="0084431D">
        <w:rPr>
          <w:rFonts w:cs="Times New Roman"/>
        </w:rPr>
        <w:t xml:space="preserve"> and </w:t>
      </w:r>
      <w:r>
        <w:rPr>
          <w:rFonts w:cs="Times New Roman"/>
        </w:rPr>
        <w:t>.</w:t>
      </w:r>
      <w:r w:rsidR="00B30632">
        <w:rPr>
          <w:rFonts w:cs="Times New Roman"/>
        </w:rPr>
        <w:t> </w:t>
      </w:r>
      <w:r>
        <w:rPr>
          <w:rFonts w:cs="Times New Roman"/>
        </w:rPr>
        <w:t>.</w:t>
      </w:r>
      <w:r w:rsidR="00B30632">
        <w:rPr>
          <w:rFonts w:cs="Times New Roman"/>
        </w:rPr>
        <w:t> </w:t>
      </w:r>
      <w:r>
        <w:rPr>
          <w:rFonts w:cs="Times New Roman"/>
        </w:rPr>
        <w:t xml:space="preserve">. </w:t>
      </w:r>
      <w:r w:rsidRPr="0084431D">
        <w:rPr>
          <w:rFonts w:cs="Times New Roman"/>
        </w:rPr>
        <w:t>access to justice”, the majority reads out the foundations of the modern understanding of legislative</w:t>
      </w:r>
      <w:r w:rsidR="00AB6605">
        <w:rPr>
          <w:rFonts w:cs="Times New Roman"/>
        </w:rPr>
        <w:t xml:space="preserve"> intent in administrative law.</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In particular, such an approach ignores the possibility that specialization and other advantages are embedded</w:t>
      </w:r>
      <w:r w:rsidRPr="0084431D">
        <w:rPr>
          <w:rFonts w:cs="Times New Roman"/>
          <w:i/>
        </w:rPr>
        <w:t xml:space="preserve"> </w:t>
      </w:r>
      <w:r w:rsidRPr="0084431D">
        <w:rPr>
          <w:rFonts w:cs="Times New Roman"/>
        </w:rPr>
        <w:t xml:space="preserve">into the legislative choice to delegate particular subject matters to administrative </w:t>
      </w:r>
      <w:r>
        <w:rPr>
          <w:rFonts w:cs="Times New Roman"/>
        </w:rPr>
        <w:t>decision-maker</w:t>
      </w:r>
      <w:r w:rsidRPr="0084431D">
        <w:rPr>
          <w:rFonts w:cs="Times New Roman"/>
        </w:rPr>
        <w:t xml:space="preserve">s. Giving proper effect to the </w:t>
      </w:r>
      <w:r w:rsidRPr="0084431D">
        <w:rPr>
          <w:rFonts w:cs="Times New Roman"/>
        </w:rPr>
        <w:lastRenderedPageBreak/>
        <w:t xml:space="preserve">legislature’s choice to “delegate authority” to an administrative decision-maker requires understanding the </w:t>
      </w:r>
      <w:r w:rsidRPr="0084431D">
        <w:rPr>
          <w:rFonts w:cs="Times New Roman"/>
          <w:i/>
        </w:rPr>
        <w:t>advantages</w:t>
      </w:r>
      <w:r w:rsidRPr="0084431D">
        <w:rPr>
          <w:rFonts w:cs="Times New Roman"/>
        </w:rPr>
        <w:t xml:space="preserve"> that the decision-maker may enjoy in exercising its mandate (</w:t>
      </w:r>
      <w:r w:rsidRPr="0084431D">
        <w:rPr>
          <w:rFonts w:cs="Times New Roman"/>
          <w:i/>
        </w:rPr>
        <w:t>Dunsmuir</w:t>
      </w:r>
      <w:r w:rsidRPr="0084431D">
        <w:rPr>
          <w:rFonts w:cs="Times New Roman"/>
        </w:rPr>
        <w:t xml:space="preserve">, at para. 49). As </w:t>
      </w:r>
      <w:proofErr w:type="spellStart"/>
      <w:r w:rsidRPr="0084431D">
        <w:rPr>
          <w:rFonts w:cs="Times New Roman"/>
        </w:rPr>
        <w:t>Iacobucci</w:t>
      </w:r>
      <w:proofErr w:type="spellEnd"/>
      <w:r w:rsidRPr="0084431D">
        <w:rPr>
          <w:rFonts w:cs="Times New Roman"/>
        </w:rPr>
        <w:t xml:space="preserve"> J. observed in </w:t>
      </w:r>
      <w:proofErr w:type="spellStart"/>
      <w:r w:rsidRPr="0084431D">
        <w:rPr>
          <w:rFonts w:cs="Times New Roman"/>
          <w:i/>
        </w:rPr>
        <w:t>Southam</w:t>
      </w:r>
      <w:proofErr w:type="spellEnd"/>
      <w:r w:rsidRPr="0084431D">
        <w:rPr>
          <w:rFonts w:cs="Times New Roman"/>
        </w:rPr>
        <w:t>:</w:t>
      </w:r>
    </w:p>
    <w:p w:rsidR="008B0231" w:rsidRPr="0084431D" w:rsidRDefault="008B0231" w:rsidP="008B0231">
      <w:pPr>
        <w:pStyle w:val="Citation-AltC"/>
      </w:pPr>
      <w:r w:rsidRPr="0084431D">
        <w:rPr>
          <w:lang w:val="en"/>
        </w:rPr>
        <w:t xml:space="preserve">Presumably if Parliament entrusts a certain matter to a tribunal and not (initially at least) to the courts, </w:t>
      </w:r>
      <w:r w:rsidRPr="0084431D">
        <w:rPr>
          <w:i/>
          <w:lang w:val="en"/>
        </w:rPr>
        <w:t>it is because the tribunal enjoys some advantage that judges do not</w:t>
      </w:r>
      <w:r w:rsidRPr="0084431D">
        <w:rPr>
          <w:lang w:val="en"/>
        </w:rPr>
        <w:t>. For that reason alone, review of the decision of a tribunal should often be on a standard more deferential than correctness.</w:t>
      </w:r>
      <w:r>
        <w:rPr>
          <w:lang w:val="en"/>
        </w:rPr>
        <w:t xml:space="preserve"> [E</w:t>
      </w:r>
      <w:r w:rsidRPr="0084431D">
        <w:rPr>
          <w:lang w:val="en"/>
        </w:rPr>
        <w:t>mphasis added</w:t>
      </w:r>
      <w:r>
        <w:rPr>
          <w:lang w:val="en"/>
        </w:rPr>
        <w:t>; para. 55.</w:t>
      </w:r>
      <w:r w:rsidRPr="0084431D">
        <w:rPr>
          <w:lang w:val="e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Chief among those advantages are the institutional expertise and specialization </w:t>
      </w:r>
      <w:r w:rsidRPr="005C2571">
        <w:rPr>
          <w:rFonts w:cs="Times New Roman"/>
          <w:szCs w:val="24"/>
          <w:lang w:val="en-US"/>
        </w:rPr>
        <w:t>inherent</w:t>
      </w:r>
      <w:r w:rsidRPr="0084431D">
        <w:rPr>
          <w:rFonts w:cs="Times New Roman"/>
        </w:rPr>
        <w:t xml:space="preserve"> to administering a particular mandate on a daily basis. Those appointed to administrative tribunals are often chosen precisely because their backgrounds and experience align with their mandate (</w:t>
      </w:r>
      <w:r>
        <w:rPr>
          <w:rFonts w:cs="Times New Roman"/>
        </w:rPr>
        <w:t xml:space="preserve">Van </w:t>
      </w:r>
      <w:proofErr w:type="spellStart"/>
      <w:r>
        <w:rPr>
          <w:rFonts w:cs="Times New Roman"/>
        </w:rPr>
        <w:t>Harten</w:t>
      </w:r>
      <w:proofErr w:type="spellEnd"/>
      <w:r>
        <w:rPr>
          <w:rFonts w:cs="Times New Roman"/>
        </w:rPr>
        <w:t xml:space="preserve"> et al.</w:t>
      </w:r>
      <w:r w:rsidRPr="0084431D">
        <w:rPr>
          <w:rFonts w:cs="Times New Roman"/>
        </w:rPr>
        <w:t xml:space="preserve">, at p. 15; </w:t>
      </w:r>
      <w:proofErr w:type="spellStart"/>
      <w:r w:rsidRPr="0084431D">
        <w:rPr>
          <w:rFonts w:cs="Times New Roman"/>
        </w:rPr>
        <w:t>Régimbald</w:t>
      </w:r>
      <w:proofErr w:type="spellEnd"/>
      <w:r w:rsidRPr="0084431D">
        <w:rPr>
          <w:rFonts w:cs="Times New Roman"/>
        </w:rPr>
        <w:t>, at p. 463). Some administrative schemes explicitly require a degree of expertise from new members as a condition of appointment (</w:t>
      </w:r>
      <w:r w:rsidRPr="0084431D">
        <w:rPr>
          <w:rFonts w:cs="Times New Roman"/>
          <w:i/>
        </w:rPr>
        <w:t>Edmonton East</w:t>
      </w:r>
      <w:r w:rsidRPr="0084431D">
        <w:rPr>
          <w:rFonts w:cs="Times New Roman"/>
        </w:rPr>
        <w:t>, at para.</w:t>
      </w:r>
      <w:r>
        <w:rPr>
          <w:rFonts w:cs="Times New Roman"/>
        </w:rPr>
        <w:t> </w:t>
      </w:r>
      <w:r w:rsidRPr="0084431D">
        <w:rPr>
          <w:rFonts w:cs="Times New Roman"/>
        </w:rPr>
        <w:t xml:space="preserve">33; </w:t>
      </w:r>
      <w:r w:rsidRPr="0084431D">
        <w:rPr>
          <w:rFonts w:cs="Times New Roman"/>
          <w:i/>
        </w:rPr>
        <w:t>Dr. Q v. College of Physicians and Surgeons of British Columbia</w:t>
      </w:r>
      <w:r w:rsidRPr="0084431D">
        <w:rPr>
          <w:rFonts w:cs="Times New Roman"/>
        </w:rPr>
        <w:t>, [2003] 1</w:t>
      </w:r>
      <w:r>
        <w:rPr>
          <w:rFonts w:cs="Times New Roman"/>
        </w:rPr>
        <w:t> </w:t>
      </w:r>
      <w:r w:rsidRPr="0084431D">
        <w:rPr>
          <w:rFonts w:cs="Times New Roman"/>
        </w:rPr>
        <w:t xml:space="preserve">S.C.R. 226, at para. 29; </w:t>
      </w:r>
      <w:proofErr w:type="spellStart"/>
      <w:r w:rsidRPr="0084431D">
        <w:rPr>
          <w:rFonts w:cs="Times New Roman"/>
        </w:rPr>
        <w:t>Régimbald</w:t>
      </w:r>
      <w:proofErr w:type="spellEnd"/>
      <w:r w:rsidRPr="0084431D">
        <w:rPr>
          <w:rFonts w:cs="Times New Roman"/>
        </w:rPr>
        <w:t>, at p. 462). As institutions, administrative bodies also benefit from specialization as they develop “habitual familiarity with the legislative scheme they administer” (</w:t>
      </w:r>
      <w:r w:rsidRPr="0084431D">
        <w:rPr>
          <w:rFonts w:cs="Times New Roman"/>
          <w:i/>
        </w:rPr>
        <w:t>Edmonton East</w:t>
      </w:r>
      <w:r w:rsidRPr="0084431D">
        <w:rPr>
          <w:rFonts w:cs="Times New Roman"/>
        </w:rPr>
        <w:t>, at para. 33) and “</w:t>
      </w:r>
      <w:proofErr w:type="spellStart"/>
      <w:r w:rsidRPr="0084431D">
        <w:rPr>
          <w:rFonts w:cs="Times New Roman"/>
        </w:rPr>
        <w:t>grappl</w:t>
      </w:r>
      <w:proofErr w:type="spellEnd"/>
      <w:r w:rsidRPr="0084431D">
        <w:rPr>
          <w:rFonts w:cs="Times New Roman"/>
        </w:rPr>
        <w:t>[e] with</w:t>
      </w:r>
      <w:r>
        <w:rPr>
          <w:rFonts w:cs="Times New Roman"/>
        </w:rPr>
        <w:t xml:space="preserve"> issues on a repeated basis” (</w:t>
      </w:r>
      <w:r w:rsidRPr="0084431D">
        <w:rPr>
          <w:rFonts w:cs="Times New Roman"/>
          <w:i/>
        </w:rPr>
        <w:t>Parry Sound (District) Social Services Administration Board v. O.P.S.E.U., Local 324</w:t>
      </w:r>
      <w:r w:rsidRPr="0084431D">
        <w:rPr>
          <w:rFonts w:cs="Times New Roman"/>
        </w:rPr>
        <w:t xml:space="preserve">, [2003] 2 S.C.R. 157, at para. 53). Specialization and expertise are further enhanced by continuing education and through meetings of the membership of an administrative body to discuss policies and best practices (Finn </w:t>
      </w:r>
      <w:proofErr w:type="spellStart"/>
      <w:r w:rsidRPr="0084431D">
        <w:rPr>
          <w:rFonts w:cs="Times New Roman"/>
        </w:rPr>
        <w:t>Makela</w:t>
      </w:r>
      <w:proofErr w:type="spellEnd"/>
      <w:r w:rsidRPr="0084431D">
        <w:rPr>
          <w:rFonts w:cs="Times New Roman"/>
        </w:rPr>
        <w:t xml:space="preserve">, “Acquired Expertise of Administrative Tribunals and the Standard of Judicial </w:t>
      </w:r>
      <w:r w:rsidRPr="0084431D">
        <w:rPr>
          <w:rFonts w:cs="Times New Roman"/>
        </w:rPr>
        <w:lastRenderedPageBreak/>
        <w:t>Review: The Case of Grievance Arbitrators and Human Rights Law” (2013), 17</w:t>
      </w:r>
      <w:r>
        <w:rPr>
          <w:rFonts w:cs="Times New Roman"/>
        </w:rPr>
        <w:t> </w:t>
      </w:r>
      <w:r>
        <w:rPr>
          <w:rFonts w:cs="Times New Roman"/>
          <w:i/>
        </w:rPr>
        <w:t>C.L.E.L.J.</w:t>
      </w:r>
      <w:r w:rsidRPr="0084431D">
        <w:rPr>
          <w:rFonts w:cs="Times New Roman"/>
        </w:rPr>
        <w:t xml:space="preserve"> 345, at p. 349). In addition, the blended membership of some tribunals fosters special institutional competence in resolving “polycentric” disputes (</w:t>
      </w:r>
      <w:proofErr w:type="spellStart"/>
      <w:r w:rsidRPr="0084431D">
        <w:rPr>
          <w:rFonts w:cs="Times New Roman"/>
          <w:i/>
        </w:rPr>
        <w:t>Pushpanathan</w:t>
      </w:r>
      <w:proofErr w:type="spellEnd"/>
      <w:r w:rsidRPr="0084431D">
        <w:rPr>
          <w:rFonts w:cs="Times New Roman"/>
        </w:rPr>
        <w:t xml:space="preserve">, at para. 36; </w:t>
      </w:r>
      <w:r w:rsidRPr="0084431D">
        <w:rPr>
          <w:rFonts w:cs="Times New Roman"/>
          <w:i/>
        </w:rPr>
        <w:t>Dr. Q</w:t>
      </w:r>
      <w:r w:rsidR="00AF462A">
        <w:rPr>
          <w:rFonts w:cs="Times New Roman"/>
        </w:rPr>
        <w:t xml:space="preserve">, </w:t>
      </w:r>
      <w:r w:rsidRPr="0084431D">
        <w:rPr>
          <w:rFonts w:cs="Times New Roman"/>
        </w:rPr>
        <w:t xml:space="preserve">at paras. 29-30; </w:t>
      </w:r>
      <w:proofErr w:type="spellStart"/>
      <w:r w:rsidRPr="0084431D">
        <w:rPr>
          <w:rFonts w:cs="Times New Roman"/>
          <w:i/>
        </w:rPr>
        <w:t>Pezim</w:t>
      </w:r>
      <w:proofErr w:type="spellEnd"/>
      <w:r w:rsidRPr="0084431D">
        <w:rPr>
          <w:rFonts w:cs="Times New Roman"/>
        </w:rPr>
        <w:t>, at pp. 591-92</w:t>
      </w:r>
      <w:r>
        <w:rPr>
          <w:rFonts w:cs="Times New Roman"/>
        </w:rPr>
        <w:t xml:space="preserve"> and</w:t>
      </w:r>
      <w:r w:rsidRPr="0084431D">
        <w:rPr>
          <w:rFonts w:cs="Times New Roman"/>
        </w:rPr>
        <w:t xml:space="preserve"> 596).</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All this </w:t>
      </w:r>
      <w:r w:rsidRPr="005C2571">
        <w:rPr>
          <w:rFonts w:cs="Times New Roman"/>
          <w:szCs w:val="24"/>
          <w:lang w:val="en-US"/>
        </w:rPr>
        <w:t>equips</w:t>
      </w:r>
      <w:r w:rsidRPr="0084431D">
        <w:rPr>
          <w:rFonts w:cs="Times New Roman"/>
        </w:rPr>
        <w:t xml:space="preserve"> administrative </w:t>
      </w:r>
      <w:r>
        <w:rPr>
          <w:rFonts w:cs="Times New Roman"/>
        </w:rPr>
        <w:t>decision-maker</w:t>
      </w:r>
      <w:r w:rsidRPr="0084431D">
        <w:rPr>
          <w:rFonts w:cs="Times New Roman"/>
        </w:rPr>
        <w:t xml:space="preserve">s to tackle questions of law arising from their mandates. In interpreting their enabling statutes, for example, administrative actors may have a particularly astute appreciation for the on-the-ground consequences of particular legal interpretations; of statutory context; of the purposes that a provision or legislative scheme are meant to serve; and of specialized terminology used in their administrative setting. Coupled with this Court’s acknowledgment that legislative provisions often admit of multiple reasonable interpretations, the advantages stemming from specialization and expertise provide a robust foundation for deference to administrative </w:t>
      </w:r>
      <w:r>
        <w:rPr>
          <w:rFonts w:cs="Times New Roman"/>
        </w:rPr>
        <w:t>decision-maker</w:t>
      </w:r>
      <w:r w:rsidRPr="0084431D">
        <w:rPr>
          <w:rFonts w:cs="Times New Roman"/>
        </w:rPr>
        <w:t>s on legal questions within their mandate (</w:t>
      </w:r>
      <w:r w:rsidRPr="0084431D">
        <w:rPr>
          <w:rFonts w:cs="Times New Roman"/>
          <w:i/>
        </w:rPr>
        <w:t>C.U.P.E.</w:t>
      </w:r>
      <w:r w:rsidRPr="0084431D">
        <w:rPr>
          <w:rFonts w:cs="Times New Roman"/>
        </w:rPr>
        <w:t xml:space="preserve">, at p. 236; </w:t>
      </w:r>
      <w:r w:rsidRPr="0084431D">
        <w:rPr>
          <w:rFonts w:cs="Times New Roman"/>
          <w:i/>
        </w:rPr>
        <w:t>McLean</w:t>
      </w:r>
      <w:r w:rsidRPr="0084431D">
        <w:rPr>
          <w:rFonts w:cs="Times New Roman"/>
        </w:rPr>
        <w:t xml:space="preserve">, at para. 37). As Professor </w:t>
      </w:r>
      <w:r>
        <w:rPr>
          <w:rFonts w:cs="Times New Roman"/>
        </w:rPr>
        <w:t>H.</w:t>
      </w:r>
      <w:r w:rsidR="00527ECA">
        <w:rPr>
          <w:rFonts w:cs="Times New Roman"/>
        </w:rPr>
        <w:t xml:space="preserve"> </w:t>
      </w:r>
      <w:r>
        <w:rPr>
          <w:rFonts w:cs="Times New Roman"/>
        </w:rPr>
        <w:t>W.</w:t>
      </w:r>
      <w:r w:rsidRPr="0084431D">
        <w:rPr>
          <w:rFonts w:cs="Times New Roman"/>
        </w:rPr>
        <w:t xml:space="preserve"> Arthurs said: </w:t>
      </w:r>
    </w:p>
    <w:p w:rsidR="008B0231" w:rsidRDefault="00864104" w:rsidP="00864104">
      <w:pPr>
        <w:pStyle w:val="Citation-AltC"/>
        <w:tabs>
          <w:tab w:val="left" w:pos="1530"/>
        </w:tabs>
        <w:rPr>
          <w:lang w:val="en-GB"/>
        </w:rPr>
      </w:pPr>
      <w:r>
        <w:rPr>
          <w:lang w:val="en-GB"/>
        </w:rPr>
        <w:tab/>
      </w:r>
      <w:r w:rsidR="008B0231" w:rsidRPr="0084431D">
        <w:rPr>
          <w:lang w:val="en-GB"/>
        </w:rPr>
        <w:t xml:space="preserve">There is no reason to believe that a judge who reads a particular regulatory statute once in his life, perhaps in worst-case circumstances, can read it with greater fidelity to legislative purpose than an administrator who is sworn to uphold that purpose, who strives to do so daily, and is well-aware of the effect upon the purpose of the various alternate interpretations. There is no reason to believe that a legally-trained judge is better qualified to determine the existence or sufficiency or appropriateness of evidence on a given point than a trained economist or engineer, an arbitrator selected by the parties, or simply an experienced tribunal member who decides such cases day in and day out. There is no reason to believe that a judge whose entire professional life has been spent dealing with disputes one by one should possess an aptitude for issues which arise often because an </w:t>
      </w:r>
      <w:r w:rsidR="008B0231" w:rsidRPr="0084431D">
        <w:rPr>
          <w:lang w:val="en-GB"/>
        </w:rPr>
        <w:lastRenderedPageBreak/>
        <w:t>administrative system dealing with cases in volume has been designed to strike an appropriate balance between efficiency and eff</w:t>
      </w:r>
      <w:r w:rsidR="008B0231">
        <w:rPr>
          <w:lang w:val="en-GB"/>
        </w:rPr>
        <w:t xml:space="preserve">ective rights of participation. </w:t>
      </w:r>
    </w:p>
    <w:p w:rsidR="008B0231" w:rsidRDefault="008B0231" w:rsidP="008B0231">
      <w:pPr>
        <w:pStyle w:val="Citation-AltC"/>
        <w:rPr>
          <w:lang w:val="en-GB"/>
        </w:rPr>
      </w:pPr>
    </w:p>
    <w:p w:rsidR="008B0231" w:rsidRPr="007B4541" w:rsidRDefault="008B0231" w:rsidP="00864104">
      <w:pPr>
        <w:pStyle w:val="Citation-AltC"/>
        <w:ind w:left="0"/>
        <w:rPr>
          <w:lang w:val="en-US"/>
        </w:rPr>
      </w:pPr>
      <w:r>
        <w:rPr>
          <w:lang w:val="en-GB"/>
        </w:rPr>
        <w:t xml:space="preserve">(“Protection against Judicial Review” (1983), 43 </w:t>
      </w:r>
      <w:r w:rsidRPr="007B4541">
        <w:rPr>
          <w:i/>
          <w:lang w:val="en-GB"/>
        </w:rPr>
        <w:t>R. du B.</w:t>
      </w:r>
      <w:r>
        <w:rPr>
          <w:lang w:val="en-GB"/>
        </w:rPr>
        <w:t xml:space="preserve"> 277, at p. 289)</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Judges </w:t>
      </w:r>
      <w:r w:rsidRPr="005C2571">
        <w:rPr>
          <w:rFonts w:cs="Times New Roman"/>
          <w:szCs w:val="24"/>
          <w:lang w:val="en-US"/>
        </w:rPr>
        <w:t>of</w:t>
      </w:r>
      <w:r w:rsidRPr="0084431D">
        <w:rPr>
          <w:rFonts w:cs="Times New Roman"/>
        </w:rPr>
        <w:t xml:space="preserve"> this Court have endorsed both this passage and the broader proposition that specialization and expertise justify the deference owed to administrative </w:t>
      </w:r>
      <w:r>
        <w:rPr>
          <w:rFonts w:cs="Times New Roman"/>
        </w:rPr>
        <w:t>decision-maker</w:t>
      </w:r>
      <w:r w:rsidRPr="0084431D">
        <w:rPr>
          <w:rFonts w:cs="Times New Roman"/>
        </w:rPr>
        <w:t>s (</w:t>
      </w:r>
      <w:r w:rsidRPr="0084431D">
        <w:rPr>
          <w:rFonts w:cs="Times New Roman"/>
          <w:i/>
        </w:rPr>
        <w:t>National Corn Growers</w:t>
      </w:r>
      <w:r w:rsidRPr="0084431D">
        <w:rPr>
          <w:rFonts w:cs="Times New Roman"/>
        </w:rPr>
        <w:t xml:space="preserve">, at p. 1343, </w:t>
      </w:r>
      <w:r w:rsidRPr="007B4541">
        <w:rPr>
          <w:rFonts w:cs="Times New Roman"/>
        </w:rPr>
        <w:t>per</w:t>
      </w:r>
      <w:r w:rsidRPr="0084431D">
        <w:rPr>
          <w:rFonts w:cs="Times New Roman"/>
          <w:i/>
        </w:rPr>
        <w:t xml:space="preserve"> </w:t>
      </w:r>
      <w:r w:rsidRPr="0084431D">
        <w:rPr>
          <w:rFonts w:cs="Times New Roman"/>
        </w:rPr>
        <w:t xml:space="preserve">Wilson J., concurring). As early as </w:t>
      </w:r>
      <w:r w:rsidRPr="0084431D">
        <w:rPr>
          <w:rFonts w:cs="Times New Roman"/>
          <w:i/>
        </w:rPr>
        <w:t>C.U.P.E.</w:t>
      </w:r>
      <w:r w:rsidRPr="0084431D">
        <w:rPr>
          <w:rFonts w:cs="Times New Roman"/>
        </w:rPr>
        <w:t xml:space="preserve">, Dickson J. fused expertise and legislative intent by explaining that an administrative body’s specialized expertise can be essential to achieving the purposes of a statutory scheme: </w:t>
      </w:r>
    </w:p>
    <w:p w:rsidR="008B0231" w:rsidRPr="0084431D" w:rsidRDefault="008B0231" w:rsidP="008B0231">
      <w:pPr>
        <w:pStyle w:val="Citation-AltC"/>
      </w:pPr>
      <w:r w:rsidRPr="0084431D">
        <w:rPr>
          <w:lang w:val="en"/>
        </w:rPr>
        <w:t>The Act calls for a delicate balance between the need to maintain public services, and the need to maintain collective bargaining. Consid</w:t>
      </w:r>
      <w:r w:rsidRPr="0084431D">
        <w:rPr>
          <w:lang w:val="en"/>
        </w:rPr>
        <w:softHyphen/>
        <w:t>erable sensitivity and unique expertise on the part of Board members is all the more required if the twin purposes of the legislation are to be met</w:t>
      </w:r>
      <w:r>
        <w:rPr>
          <w:lang w:val="en"/>
        </w:rPr>
        <w:t>. [</w:t>
      </w:r>
      <w:r w:rsidRPr="0084431D">
        <w:rPr>
          <w:lang w:val="en"/>
        </w:rPr>
        <w:t>p. 236]</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sidDel="009C4C64">
        <w:rPr>
          <w:rFonts w:cs="Times New Roman"/>
        </w:rPr>
        <w:t xml:space="preserve"> </w:t>
      </w:r>
      <w:r w:rsidRPr="0084431D">
        <w:rPr>
          <w:rFonts w:cs="Times New Roman"/>
        </w:rPr>
        <w:t xml:space="preserve">Over time, </w:t>
      </w:r>
      <w:r w:rsidRPr="005C2571">
        <w:rPr>
          <w:rFonts w:cs="Times New Roman"/>
          <w:szCs w:val="24"/>
          <w:lang w:val="en-US"/>
        </w:rPr>
        <w:t>specialized</w:t>
      </w:r>
      <w:r w:rsidRPr="0084431D">
        <w:rPr>
          <w:rFonts w:cs="Times New Roman"/>
        </w:rPr>
        <w:t xml:space="preserve"> expertise would become </w:t>
      </w:r>
      <w:r w:rsidRPr="0084431D" w:rsidDel="009C4C64">
        <w:rPr>
          <w:rFonts w:cs="Times New Roman"/>
        </w:rPr>
        <w:t>the</w:t>
      </w:r>
      <w:r w:rsidRPr="0084431D" w:rsidDel="009C4C64">
        <w:rPr>
          <w:rFonts w:cs="Times New Roman"/>
          <w:i/>
        </w:rPr>
        <w:t xml:space="preserve"> </w:t>
      </w:r>
      <w:r w:rsidRPr="0084431D" w:rsidDel="009C4C64">
        <w:rPr>
          <w:rFonts w:cs="Times New Roman"/>
        </w:rPr>
        <w:t xml:space="preserve">core rationale for deferring to administrative </w:t>
      </w:r>
      <w:r>
        <w:rPr>
          <w:rFonts w:cs="Times New Roman"/>
        </w:rPr>
        <w:t>decision-maker</w:t>
      </w:r>
      <w:r w:rsidRPr="0084431D">
        <w:rPr>
          <w:rFonts w:cs="Times New Roman"/>
        </w:rPr>
        <w:t xml:space="preserve">s </w:t>
      </w:r>
      <w:r w:rsidRPr="0084431D" w:rsidDel="009C4C64">
        <w:rPr>
          <w:rFonts w:cs="Times New Roman"/>
        </w:rPr>
        <w:t>(</w:t>
      </w:r>
      <w:proofErr w:type="spellStart"/>
      <w:r w:rsidRPr="0084431D" w:rsidDel="009C4C64">
        <w:rPr>
          <w:rFonts w:cs="Times New Roman"/>
          <w:i/>
        </w:rPr>
        <w:t>Bradco</w:t>
      </w:r>
      <w:proofErr w:type="spellEnd"/>
      <w:r w:rsidRPr="0084431D" w:rsidDel="009C4C64">
        <w:rPr>
          <w:rFonts w:cs="Times New Roman"/>
          <w:i/>
        </w:rPr>
        <w:t xml:space="preserve"> Construction</w:t>
      </w:r>
      <w:r w:rsidRPr="0084431D" w:rsidDel="009C4C64">
        <w:rPr>
          <w:rFonts w:cs="Times New Roman"/>
        </w:rPr>
        <w:t xml:space="preserve">, at p. 335; </w:t>
      </w:r>
      <w:proofErr w:type="spellStart"/>
      <w:r w:rsidRPr="0084431D" w:rsidDel="009C4C64">
        <w:rPr>
          <w:rFonts w:cs="Times New Roman"/>
          <w:i/>
        </w:rPr>
        <w:t>Southam</w:t>
      </w:r>
      <w:proofErr w:type="spellEnd"/>
      <w:r w:rsidRPr="0084431D" w:rsidDel="009C4C64">
        <w:rPr>
          <w:rFonts w:cs="Times New Roman"/>
        </w:rPr>
        <w:t>, at para. 50; Audrey Macklin, “Standard of Review: Back to the Future?”</w:t>
      </w:r>
      <w:r>
        <w:rPr>
          <w:rFonts w:cs="Times New Roman"/>
        </w:rPr>
        <w:t>,</w:t>
      </w:r>
      <w:r w:rsidRPr="0084431D" w:rsidDel="009C4C64">
        <w:rPr>
          <w:rFonts w:cs="Times New Roman"/>
        </w:rPr>
        <w:t xml:space="preserve"> in </w:t>
      </w:r>
      <w:r>
        <w:rPr>
          <w:rFonts w:cs="Times New Roman"/>
        </w:rPr>
        <w:t>Colleen M. Flood and</w:t>
      </w:r>
      <w:r w:rsidRPr="0084431D" w:rsidDel="009C4C64">
        <w:rPr>
          <w:rFonts w:cs="Times New Roman"/>
        </w:rPr>
        <w:t xml:space="preserve"> Lorne </w:t>
      </w:r>
      <w:proofErr w:type="spellStart"/>
      <w:r w:rsidRPr="0084431D" w:rsidDel="009C4C64">
        <w:rPr>
          <w:rFonts w:cs="Times New Roman"/>
        </w:rPr>
        <w:t>Sossin</w:t>
      </w:r>
      <w:proofErr w:type="spellEnd"/>
      <w:r>
        <w:rPr>
          <w:rFonts w:cs="Times New Roman"/>
        </w:rPr>
        <w:t>,</w:t>
      </w:r>
      <w:r w:rsidRPr="0084431D" w:rsidDel="009C4C64">
        <w:rPr>
          <w:rFonts w:cs="Times New Roman"/>
        </w:rPr>
        <w:t xml:space="preserve"> ed</w:t>
      </w:r>
      <w:r>
        <w:rPr>
          <w:rFonts w:cs="Times New Roman"/>
        </w:rPr>
        <w:t>s</w:t>
      </w:r>
      <w:r w:rsidRPr="0084431D" w:rsidDel="009C4C64">
        <w:rPr>
          <w:rFonts w:cs="Times New Roman"/>
        </w:rPr>
        <w:t>.</w:t>
      </w:r>
      <w:r>
        <w:rPr>
          <w:rFonts w:cs="Times New Roman"/>
        </w:rPr>
        <w:t xml:space="preserve">, </w:t>
      </w:r>
      <w:r w:rsidRPr="007B4541">
        <w:rPr>
          <w:rFonts w:cs="Times New Roman"/>
          <w:i/>
        </w:rPr>
        <w:t>Administrative Law</w:t>
      </w:r>
      <w:r>
        <w:rPr>
          <w:rFonts w:cs="Times New Roman"/>
          <w:i/>
        </w:rPr>
        <w:t xml:space="preserve"> i</w:t>
      </w:r>
      <w:r w:rsidRPr="007B4541">
        <w:rPr>
          <w:rFonts w:cs="Times New Roman"/>
          <w:i/>
        </w:rPr>
        <w:t>n Context</w:t>
      </w:r>
      <w:r w:rsidRPr="0084431D" w:rsidDel="009C4C64">
        <w:rPr>
          <w:rFonts w:cs="Times New Roman"/>
        </w:rPr>
        <w:t xml:space="preserve"> (</w:t>
      </w:r>
      <w:r>
        <w:rPr>
          <w:rFonts w:cs="Times New Roman"/>
        </w:rPr>
        <w:t>3</w:t>
      </w:r>
      <w:r w:rsidRPr="007B4541">
        <w:rPr>
          <w:rFonts w:cs="Times New Roman"/>
        </w:rPr>
        <w:t>rd</w:t>
      </w:r>
      <w:r>
        <w:rPr>
          <w:rFonts w:cs="Times New Roman"/>
        </w:rPr>
        <w:t xml:space="preserve"> ed. 2018</w:t>
      </w:r>
      <w:r w:rsidRPr="0084431D" w:rsidDel="009C4C64">
        <w:rPr>
          <w:rFonts w:cs="Times New Roman"/>
        </w:rPr>
        <w:t>),</w:t>
      </w:r>
      <w:r>
        <w:rPr>
          <w:rFonts w:cs="Times New Roman"/>
        </w:rPr>
        <w:t xml:space="preserve"> 381</w:t>
      </w:r>
      <w:r w:rsidR="00527ECA">
        <w:rPr>
          <w:rFonts w:cs="Times New Roman"/>
        </w:rPr>
        <w:t>,</w:t>
      </w:r>
      <w:r w:rsidRPr="0084431D" w:rsidDel="009C4C64">
        <w:rPr>
          <w:rFonts w:cs="Times New Roman"/>
        </w:rPr>
        <w:t xml:space="preserve"> at</w:t>
      </w:r>
      <w:r>
        <w:rPr>
          <w:rFonts w:cs="Times New Roman"/>
        </w:rPr>
        <w:t xml:space="preserve"> </w:t>
      </w:r>
      <w:r w:rsidRPr="0084431D" w:rsidDel="009C4C64">
        <w:rPr>
          <w:rFonts w:cs="Times New Roman"/>
        </w:rPr>
        <w:t>p</w:t>
      </w:r>
      <w:r>
        <w:rPr>
          <w:rFonts w:cs="Times New Roman"/>
        </w:rPr>
        <w:t>p</w:t>
      </w:r>
      <w:r w:rsidRPr="0084431D" w:rsidDel="009C4C64">
        <w:rPr>
          <w:rFonts w:cs="Times New Roman"/>
        </w:rPr>
        <w:t xml:space="preserve">. </w:t>
      </w:r>
      <w:r>
        <w:rPr>
          <w:rFonts w:cs="Times New Roman"/>
        </w:rPr>
        <w:t>397-98</w:t>
      </w:r>
      <w:r w:rsidRPr="0084431D" w:rsidDel="009C4C64">
        <w:rPr>
          <w:rFonts w:cs="Times New Roman"/>
        </w:rPr>
        <w:t>).</w:t>
      </w:r>
      <w:r w:rsidRPr="0084431D">
        <w:rPr>
          <w:rFonts w:cs="Times New Roman"/>
        </w:rPr>
        <w:t xml:space="preserve"> Post-</w:t>
      </w:r>
      <w:r w:rsidRPr="0084431D">
        <w:rPr>
          <w:rFonts w:cs="Times New Roman"/>
          <w:i/>
        </w:rPr>
        <w:t>Dunsmuir</w:t>
      </w:r>
      <w:r w:rsidRPr="0084431D">
        <w:rPr>
          <w:rFonts w:cs="Times New Roman"/>
        </w:rPr>
        <w:t>, the Court</w:t>
      </w:r>
      <w:r w:rsidRPr="0084431D">
        <w:rPr>
          <w:rFonts w:cs="Times New Roman"/>
          <w:i/>
        </w:rPr>
        <w:t xml:space="preserve"> </w:t>
      </w:r>
      <w:r w:rsidRPr="0084431D">
        <w:rPr>
          <w:rFonts w:cs="Times New Roman"/>
        </w:rPr>
        <w:t xml:space="preserve">has been steadfast in confirming the central role of specialization and expertise, affirming their connection to legislative intent, and recognizing that they give administrative </w:t>
      </w:r>
      <w:r>
        <w:rPr>
          <w:rFonts w:cs="Times New Roman"/>
        </w:rPr>
        <w:t>decision-maker</w:t>
      </w:r>
      <w:r w:rsidRPr="0084431D">
        <w:rPr>
          <w:rFonts w:cs="Times New Roman"/>
        </w:rPr>
        <w:t>s the “interpretative upper hand” on questions of law (</w:t>
      </w:r>
      <w:r w:rsidRPr="0084431D">
        <w:rPr>
          <w:rFonts w:cs="Times New Roman"/>
          <w:i/>
        </w:rPr>
        <w:t>McLean</w:t>
      </w:r>
      <w:r w:rsidRPr="0084431D">
        <w:rPr>
          <w:rFonts w:cs="Times New Roman"/>
        </w:rPr>
        <w:t>, at para. 40; see also</w:t>
      </w:r>
      <w:r w:rsidRPr="0084431D">
        <w:rPr>
          <w:rFonts w:cs="Times New Roman"/>
          <w:i/>
        </w:rPr>
        <w:t xml:space="preserve"> Conway</w:t>
      </w:r>
      <w:r w:rsidRPr="0084431D">
        <w:rPr>
          <w:rFonts w:cs="Times New Roman"/>
        </w:rPr>
        <w:t xml:space="preserve">, at para. 53; </w:t>
      </w:r>
      <w:proofErr w:type="spellStart"/>
      <w:r w:rsidRPr="0084431D">
        <w:rPr>
          <w:rFonts w:cs="Times New Roman"/>
          <w:i/>
        </w:rPr>
        <w:t>Mowat</w:t>
      </w:r>
      <w:proofErr w:type="spellEnd"/>
      <w:r w:rsidRPr="0084431D">
        <w:rPr>
          <w:rFonts w:cs="Times New Roman"/>
        </w:rPr>
        <w:t xml:space="preserve">, at para. 30; </w:t>
      </w:r>
      <w:r w:rsidRPr="0084431D">
        <w:rPr>
          <w:rFonts w:cs="Times New Roman"/>
          <w:i/>
        </w:rPr>
        <w:t xml:space="preserve">Newfoundland and Labrador Nurses’ Union v. Newfoundland and </w:t>
      </w:r>
      <w:r w:rsidRPr="0084431D">
        <w:rPr>
          <w:rFonts w:cs="Times New Roman"/>
          <w:i/>
        </w:rPr>
        <w:lastRenderedPageBreak/>
        <w:t>Labrador (Treasury Board)</w:t>
      </w:r>
      <w:r w:rsidRPr="0084431D">
        <w:rPr>
          <w:rFonts w:cs="Times New Roman"/>
        </w:rPr>
        <w:t xml:space="preserve">, [2011] 3 S.C.R. 708, at para. </w:t>
      </w:r>
      <w:r w:rsidRPr="0084431D">
        <w:rPr>
          <w:rFonts w:cs="Times New Roman"/>
          <w:lang w:val="fr-FR"/>
        </w:rPr>
        <w:t xml:space="preserve">13; </w:t>
      </w:r>
      <w:r w:rsidRPr="0084431D">
        <w:rPr>
          <w:rFonts w:cs="Times New Roman"/>
          <w:i/>
          <w:lang w:val="fr-FR"/>
        </w:rPr>
        <w:t>Doré v. Barreau du Québec</w:t>
      </w:r>
      <w:r w:rsidRPr="0084431D">
        <w:rPr>
          <w:rFonts w:cs="Times New Roman"/>
          <w:lang w:val="fr-FR"/>
        </w:rPr>
        <w:t xml:space="preserve">, [2012] 1 S.C.R. 395, at para. 35; </w:t>
      </w:r>
      <w:r w:rsidRPr="0084431D">
        <w:rPr>
          <w:rFonts w:cs="Times New Roman"/>
          <w:i/>
          <w:lang w:val="fr-FR"/>
        </w:rPr>
        <w:t xml:space="preserve">Mouvement </w:t>
      </w:r>
      <w:proofErr w:type="spellStart"/>
      <w:r w:rsidRPr="0084431D">
        <w:rPr>
          <w:rFonts w:cs="Times New Roman"/>
          <w:i/>
        </w:rPr>
        <w:t>laïque</w:t>
      </w:r>
      <w:proofErr w:type="spellEnd"/>
      <w:r w:rsidRPr="0084431D">
        <w:rPr>
          <w:rFonts w:cs="Times New Roman"/>
          <w:lang w:val="fr-FR"/>
        </w:rPr>
        <w:t>,</w:t>
      </w:r>
      <w:r w:rsidRPr="0084431D">
        <w:rPr>
          <w:rFonts w:cs="Times New Roman"/>
          <w:lang w:val="en-US"/>
        </w:rPr>
        <w:t xml:space="preserve"> at para. 46; </w:t>
      </w:r>
      <w:proofErr w:type="spellStart"/>
      <w:r w:rsidRPr="0084431D">
        <w:rPr>
          <w:rFonts w:cs="Times New Roman"/>
          <w:i/>
          <w:lang w:val="en-US"/>
        </w:rPr>
        <w:t>Khosa</w:t>
      </w:r>
      <w:proofErr w:type="spellEnd"/>
      <w:r w:rsidRPr="0084431D">
        <w:rPr>
          <w:rFonts w:cs="Times New Roman"/>
          <w:lang w:val="en-US"/>
        </w:rPr>
        <w:t xml:space="preserve">, at para. 25; </w:t>
      </w:r>
      <w:r w:rsidRPr="0084431D">
        <w:rPr>
          <w:rFonts w:cs="Times New Roman"/>
          <w:i/>
          <w:lang w:val="en-US"/>
        </w:rPr>
        <w:t>Edmonton East</w:t>
      </w:r>
      <w:r w:rsidRPr="0084431D">
        <w:rPr>
          <w:rFonts w:cs="Times New Roman"/>
          <w:lang w:val="en-US"/>
        </w:rPr>
        <w:t xml:space="preserve">, at para. 33).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Although the majority’s approach extolls respect for the legislature’s “institutional design choices”, it accords no weight to the institutional advantages of specialization and expertise that administrative </w:t>
      </w:r>
      <w:r>
        <w:rPr>
          <w:rFonts w:cs="Times New Roman"/>
        </w:rPr>
        <w:t>decision-maker</w:t>
      </w:r>
      <w:r w:rsidRPr="0084431D">
        <w:rPr>
          <w:rFonts w:cs="Times New Roman"/>
        </w:rPr>
        <w:t xml:space="preserve">s possess in resolving questions of law. In so doing, the majority disregards the historically accepted reason </w:t>
      </w:r>
      <w:r w:rsidRPr="0084431D">
        <w:rPr>
          <w:rFonts w:cs="Times New Roman"/>
          <w:i/>
        </w:rPr>
        <w:t xml:space="preserve">why </w:t>
      </w:r>
      <w:r w:rsidRPr="0084431D">
        <w:rPr>
          <w:rFonts w:cs="Times New Roman"/>
        </w:rPr>
        <w:t xml:space="preserve">the legislature intended to delegate authority to an administrative actor.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Nor are w</w:t>
      </w:r>
      <w:r w:rsidRPr="005C2571">
        <w:rPr>
          <w:rFonts w:cs="Times New Roman"/>
          <w:szCs w:val="24"/>
          <w:lang w:val="en-US"/>
        </w:rPr>
        <w:t>e</w:t>
      </w:r>
      <w:r w:rsidRPr="0084431D">
        <w:rPr>
          <w:rFonts w:cs="Times New Roman"/>
        </w:rPr>
        <w:t xml:space="preserve"> persuaded by the majority’s claim that “if administrative </w:t>
      </w:r>
      <w:r>
        <w:rPr>
          <w:rFonts w:cs="Times New Roman"/>
        </w:rPr>
        <w:t>decision maker</w:t>
      </w:r>
      <w:r w:rsidRPr="0084431D">
        <w:rPr>
          <w:rFonts w:cs="Times New Roman"/>
        </w:rPr>
        <w:t xml:space="preserve">s are understood to possess specialized expertise on all questions that come before them, the concept of expertise ceases to assist a reviewing court </w:t>
      </w:r>
      <w:r>
        <w:rPr>
          <w:rFonts w:cs="Times New Roman"/>
        </w:rPr>
        <w:t xml:space="preserve">in </w:t>
      </w:r>
      <w:r w:rsidRPr="0084431D">
        <w:rPr>
          <w:rFonts w:cs="Times New Roman"/>
        </w:rPr>
        <w:t xml:space="preserve">attempting to distinguish </w:t>
      </w:r>
      <w:r>
        <w:rPr>
          <w:rFonts w:cs="Times New Roman"/>
        </w:rPr>
        <w:t>questions for which applying the</w:t>
      </w:r>
      <w:r w:rsidRPr="0084431D">
        <w:rPr>
          <w:rFonts w:cs="Times New Roman"/>
        </w:rPr>
        <w:t xml:space="preserve"> reasonableness standard </w:t>
      </w:r>
      <w:r>
        <w:rPr>
          <w:rFonts w:cs="Times New Roman"/>
        </w:rPr>
        <w:t>is appropriate from those for</w:t>
      </w:r>
      <w:r w:rsidRPr="0084431D">
        <w:rPr>
          <w:rFonts w:cs="Times New Roman"/>
        </w:rPr>
        <w:t xml:space="preserve"> which it is not”. Here, the majority sets up a false choice: expertise must either be assessed on a case-by-case basis or play no</w:t>
      </w:r>
      <w:r w:rsidRPr="0084431D">
        <w:rPr>
          <w:rFonts w:cs="Times New Roman"/>
          <w:i/>
        </w:rPr>
        <w:t xml:space="preserve"> </w:t>
      </w:r>
      <w:r w:rsidRPr="0084431D">
        <w:rPr>
          <w:rFonts w:cs="Times New Roman"/>
        </w:rPr>
        <w:t xml:space="preserve">role at all in a theory of judicial review.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We </w:t>
      </w:r>
      <w:r w:rsidRPr="005C2571">
        <w:rPr>
          <w:rFonts w:cs="Times New Roman"/>
          <w:szCs w:val="24"/>
          <w:lang w:val="en-US"/>
        </w:rPr>
        <w:t>disagree</w:t>
      </w:r>
      <w:r w:rsidRPr="0084431D">
        <w:rPr>
          <w:rFonts w:cs="Times New Roman"/>
        </w:rPr>
        <w:t xml:space="preserve">. </w:t>
      </w:r>
      <w:r w:rsidRPr="0084431D">
        <w:rPr>
          <w:rFonts w:cs="Times New Roman"/>
          <w:lang w:val="en-US"/>
        </w:rPr>
        <w:t xml:space="preserve">While not every decision-maker necessarily has expertise on every issue raised in an administrative proceeding, </w:t>
      </w:r>
      <w:r w:rsidRPr="0084431D">
        <w:rPr>
          <w:rFonts w:cs="Times New Roman"/>
        </w:rPr>
        <w:t xml:space="preserve">reviewing courts do not engage in an individualized, case-by-case assessment of specialization and expertise. The theory of deference is based not only on the legislative choice to delegate decisions, but also on institutional expertise and on “the reality that </w:t>
      </w:r>
      <w:r w:rsidR="009D5601">
        <w:rPr>
          <w:rFonts w:cs="Times New Roman"/>
        </w:rPr>
        <w:t>. </w:t>
      </w:r>
      <w:r>
        <w:rPr>
          <w:rFonts w:cs="Times New Roman"/>
        </w:rPr>
        <w:t>.</w:t>
      </w:r>
      <w:r w:rsidR="009D5601">
        <w:rPr>
          <w:rFonts w:cs="Times New Roman"/>
        </w:rPr>
        <w:t> </w:t>
      </w:r>
      <w:r>
        <w:rPr>
          <w:rFonts w:cs="Times New Roman"/>
        </w:rPr>
        <w:t xml:space="preserve">. </w:t>
      </w:r>
      <w:r w:rsidRPr="0084431D">
        <w:rPr>
          <w:rFonts w:cs="Times New Roman"/>
          <w:lang w:bidi="en-US"/>
        </w:rPr>
        <w:t xml:space="preserve">those working day to day in the implementation of frequently complex administrative schemes have or will develop a </w:t>
      </w:r>
      <w:r w:rsidRPr="0084431D">
        <w:rPr>
          <w:rFonts w:cs="Times New Roman"/>
          <w:lang w:bidi="en-US"/>
        </w:rPr>
        <w:lastRenderedPageBreak/>
        <w:t>considerable degree of expertise or field sensitivity to the imperatives and nuances of the legislative regime</w:t>
      </w:r>
      <w:r w:rsidRPr="0084431D">
        <w:rPr>
          <w:rFonts w:cs="Times New Roman"/>
        </w:rPr>
        <w:t>” (</w:t>
      </w:r>
      <w:proofErr w:type="spellStart"/>
      <w:r w:rsidRPr="0084431D">
        <w:rPr>
          <w:rFonts w:cs="Times New Roman"/>
          <w:i/>
        </w:rPr>
        <w:t>Khosa</w:t>
      </w:r>
      <w:proofErr w:type="spellEnd"/>
      <w:r w:rsidRPr="0084431D">
        <w:rPr>
          <w:rFonts w:cs="Times New Roman"/>
        </w:rPr>
        <w:t xml:space="preserve">, at para. 25; see also </w:t>
      </w:r>
      <w:r w:rsidRPr="0084431D">
        <w:rPr>
          <w:rFonts w:cs="Times New Roman"/>
          <w:i/>
        </w:rPr>
        <w:t>Nor-Man Regional Health Authority Inc. v. Manitoba Association of Health Care Professionals</w:t>
      </w:r>
      <w:r w:rsidRPr="0084431D">
        <w:rPr>
          <w:rFonts w:cs="Times New Roman"/>
        </w:rPr>
        <w:t xml:space="preserve">, [2011] 3 S.C.R. 616, at para. 53; </w:t>
      </w:r>
      <w:r w:rsidRPr="0084431D">
        <w:rPr>
          <w:rFonts w:cs="Times New Roman"/>
          <w:i/>
        </w:rPr>
        <w:t>Edmonton East</w:t>
      </w:r>
      <w:r w:rsidRPr="0084431D">
        <w:rPr>
          <w:rFonts w:cs="Times New Roman"/>
        </w:rPr>
        <w:t xml:space="preserve">, at para. 33).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w:t>
      </w:r>
      <w:r w:rsidRPr="005C2571">
        <w:rPr>
          <w:rFonts w:cs="Times New Roman"/>
          <w:szCs w:val="24"/>
          <w:lang w:val="en-US"/>
        </w:rPr>
        <w:t>exclusion</w:t>
      </w:r>
      <w:r w:rsidRPr="0084431D">
        <w:rPr>
          <w:rFonts w:cs="Times New Roman"/>
        </w:rPr>
        <w:t xml:space="preserve"> of expertise, specialization and other institutional advantages from the majority’s standard of review framework is not merely a theoretical concern. The removal of the current “conceptual basis” for deference opens the gates to expanded correctness review. The majority’s “presumption” of deference will yield all too easily to justifications for a correctness-oriented framework.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the majority’s framework, deference gives way whenever the “rule of law” demands it. The majority’s approach to the rule of law, however, flows from a court-centric </w:t>
      </w:r>
      <w:r w:rsidRPr="005C2571">
        <w:rPr>
          <w:rFonts w:cs="Times New Roman"/>
          <w:szCs w:val="24"/>
          <w:lang w:val="en-US"/>
        </w:rPr>
        <w:t>conception</w:t>
      </w:r>
      <w:r w:rsidRPr="0084431D">
        <w:rPr>
          <w:rFonts w:cs="Times New Roman"/>
        </w:rPr>
        <w:t xml:space="preserve"> of the rule of law rooted in </w:t>
      </w:r>
      <w:proofErr w:type="spellStart"/>
      <w:r w:rsidRPr="0084431D">
        <w:rPr>
          <w:rFonts w:cs="Times New Roman"/>
        </w:rPr>
        <w:t>Dicey’s</w:t>
      </w:r>
      <w:proofErr w:type="spellEnd"/>
      <w:r w:rsidRPr="0084431D">
        <w:rPr>
          <w:rFonts w:cs="Times New Roman"/>
        </w:rPr>
        <w:t xml:space="preserve"> 19</w:t>
      </w:r>
      <w:r w:rsidRPr="007B4541">
        <w:rPr>
          <w:rFonts w:cs="Times New Roman"/>
        </w:rPr>
        <w:t>th</w:t>
      </w:r>
      <w:r w:rsidRPr="0084431D">
        <w:rPr>
          <w:rFonts w:cs="Times New Roman"/>
        </w:rPr>
        <w:t xml:space="preserve"> century philosophy.</w:t>
      </w:r>
      <w:r w:rsidRPr="0084431D" w:rsidDel="001C4755">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The rule of law is not the rule of courts. A pluralist conception of the rule of law recognizes that</w:t>
      </w:r>
      <w:r w:rsidRPr="0084431D">
        <w:rPr>
          <w:rFonts w:cs="Times New Roman"/>
          <w:b/>
        </w:rPr>
        <w:t xml:space="preserve"> </w:t>
      </w:r>
      <w:r w:rsidRPr="0084431D">
        <w:rPr>
          <w:rFonts w:cs="Times New Roman"/>
        </w:rPr>
        <w:t xml:space="preserve">courts are not the exclusive guardians of law, and that others in the justice arena have shared responsibility for its development, including administrative </w:t>
      </w:r>
      <w:r>
        <w:rPr>
          <w:rFonts w:cs="Times New Roman"/>
        </w:rPr>
        <w:t>decision-maker</w:t>
      </w:r>
      <w:r w:rsidRPr="0084431D">
        <w:rPr>
          <w:rFonts w:cs="Times New Roman"/>
        </w:rPr>
        <w:t xml:space="preserve">s. </w:t>
      </w:r>
      <w:r w:rsidRPr="0084431D">
        <w:rPr>
          <w:rFonts w:cs="Times New Roman"/>
          <w:i/>
        </w:rPr>
        <w:t xml:space="preserve">Dunsmuir </w:t>
      </w:r>
      <w:r w:rsidRPr="0084431D">
        <w:rPr>
          <w:rFonts w:cs="Times New Roman"/>
        </w:rPr>
        <w:t xml:space="preserve">embraced this more inclusive view of the rule of law by acknowledging that the </w:t>
      </w:r>
      <w:r w:rsidRPr="0084431D">
        <w:rPr>
          <w:rFonts w:cs="Times New Roman"/>
          <w:lang w:bidi="en-US"/>
        </w:rPr>
        <w:t>“court-centric conception of the rule of law” had to be “reined in by acknowledging that the courts do not have a monopoly on dec</w:t>
      </w:r>
      <w:r>
        <w:rPr>
          <w:rFonts w:cs="Times New Roman"/>
          <w:lang w:bidi="en-US"/>
        </w:rPr>
        <w:t>iding all questions of law” (</w:t>
      </w:r>
      <w:r w:rsidRPr="0084431D">
        <w:rPr>
          <w:rFonts w:cs="Times New Roman"/>
          <w:lang w:bidi="en-US"/>
        </w:rPr>
        <w:t xml:space="preserve">para. 30). </w:t>
      </w:r>
      <w:r w:rsidRPr="0084431D">
        <w:rPr>
          <w:rFonts w:cs="Times New Roman"/>
        </w:rPr>
        <w:t xml:space="preserve">As discussed in </w:t>
      </w:r>
      <w:r w:rsidRPr="0084431D">
        <w:rPr>
          <w:rFonts w:cs="Times New Roman"/>
          <w:i/>
        </w:rPr>
        <w:t>Dunsmuir</w:t>
      </w:r>
      <w:r w:rsidRPr="0084431D">
        <w:rPr>
          <w:rFonts w:cs="Times New Roman"/>
        </w:rPr>
        <w:t xml:space="preserve">, the rule of law is understood as meaning that administrative </w:t>
      </w:r>
      <w:r>
        <w:rPr>
          <w:rFonts w:cs="Times New Roman"/>
        </w:rPr>
        <w:t>decision-maker</w:t>
      </w:r>
      <w:r w:rsidRPr="0084431D">
        <w:rPr>
          <w:rFonts w:cs="Times New Roman"/>
        </w:rPr>
        <w:t xml:space="preserve">s make legal determinations within their mandate, and not that only judges decide questions of law with an unrestricted license </w:t>
      </w:r>
      <w:r w:rsidRPr="0084431D">
        <w:rPr>
          <w:rFonts w:cs="Times New Roman"/>
        </w:rPr>
        <w:lastRenderedPageBreak/>
        <w:t xml:space="preserve">to substitute their opinions for those of administrative actors through correctness review </w:t>
      </w:r>
      <w:r w:rsidRPr="0084431D" w:rsidDel="001C4755">
        <w:rPr>
          <w:rFonts w:cs="Times New Roman"/>
        </w:rPr>
        <w:t>(</w:t>
      </w:r>
      <w:r w:rsidRPr="0084431D">
        <w:rPr>
          <w:rFonts w:cs="Times New Roman"/>
        </w:rPr>
        <w:t xml:space="preserve">see </w:t>
      </w:r>
      <w:proofErr w:type="spellStart"/>
      <w:r w:rsidRPr="0084431D" w:rsidDel="001C4755">
        <w:rPr>
          <w:rFonts w:cs="Times New Roman"/>
        </w:rPr>
        <w:t>McLac</w:t>
      </w:r>
      <w:r w:rsidRPr="0084431D">
        <w:rPr>
          <w:rFonts w:cs="Times New Roman"/>
        </w:rPr>
        <w:t>h</w:t>
      </w:r>
      <w:r>
        <w:rPr>
          <w:rFonts w:cs="Times New Roman"/>
        </w:rPr>
        <w:t>lin</w:t>
      </w:r>
      <w:proofErr w:type="spellEnd"/>
      <w:r>
        <w:rPr>
          <w:rFonts w:cs="Times New Roman"/>
        </w:rPr>
        <w:t xml:space="preserve">, </w:t>
      </w:r>
      <w:r w:rsidRPr="007B4541" w:rsidDel="001C4755">
        <w:rPr>
          <w:rFonts w:cs="Times New Roman"/>
          <w:i/>
        </w:rPr>
        <w:t>Administrative Tribunals and the Courts: An Evolutionary Relationship</w:t>
      </w:r>
      <w:r w:rsidRPr="0084431D" w:rsidDel="001C4755">
        <w:rPr>
          <w:rFonts w:cs="Times New Roman"/>
        </w:rPr>
        <w:t>; The Hon. Thomas A. Cromwe</w:t>
      </w:r>
      <w:r>
        <w:rPr>
          <w:rFonts w:cs="Times New Roman"/>
        </w:rPr>
        <w:t>ll, “What I Think I’ve Learned A</w:t>
      </w:r>
      <w:r w:rsidRPr="0084431D" w:rsidDel="001C4755">
        <w:rPr>
          <w:rFonts w:cs="Times New Roman"/>
        </w:rPr>
        <w:t xml:space="preserve">bout Administrative Law” (2017), 30 </w:t>
      </w:r>
      <w:r>
        <w:rPr>
          <w:rFonts w:cs="Times New Roman"/>
          <w:i/>
        </w:rPr>
        <w:t>C.J.A.L.P.</w:t>
      </w:r>
      <w:r w:rsidRPr="0084431D" w:rsidDel="001C4755">
        <w:rPr>
          <w:rFonts w:cs="Times New Roman"/>
        </w:rPr>
        <w:t xml:space="preserve"> 307, at p. 308; </w:t>
      </w:r>
      <w:r w:rsidRPr="0084431D" w:rsidDel="001C4755">
        <w:rPr>
          <w:rFonts w:cs="Times New Roman"/>
          <w:i/>
        </w:rPr>
        <w:t>Wilson v. Atomic Energy of Canada Ltd.</w:t>
      </w:r>
      <w:r w:rsidRPr="0084431D" w:rsidDel="001C4755">
        <w:rPr>
          <w:rFonts w:cs="Times New Roman"/>
        </w:rPr>
        <w:t xml:space="preserve">, [2016] 1 S.C.R. 770, at para. 31, </w:t>
      </w:r>
      <w:r w:rsidRPr="007B4541" w:rsidDel="001C4755">
        <w:rPr>
          <w:rFonts w:cs="Times New Roman"/>
        </w:rPr>
        <w:t xml:space="preserve">per </w:t>
      </w:r>
      <w:proofErr w:type="spellStart"/>
      <w:r w:rsidRPr="0084431D" w:rsidDel="001C4755">
        <w:rPr>
          <w:rFonts w:cs="Times New Roman"/>
        </w:rPr>
        <w:t>Abella</w:t>
      </w:r>
      <w:proofErr w:type="spellEnd"/>
      <w:r w:rsidRPr="0084431D" w:rsidDel="001C4755">
        <w:rPr>
          <w:rFonts w:cs="Times New Roman"/>
        </w:rPr>
        <w:t xml:space="preserve"> J.).</w:t>
      </w:r>
    </w:p>
    <w:p w:rsidR="008B0231" w:rsidRPr="0084431D" w:rsidRDefault="008B0231" w:rsidP="005C2571">
      <w:pPr>
        <w:pStyle w:val="ParaNoNdepar-AltN"/>
        <w:tabs>
          <w:tab w:val="clear" w:pos="1166"/>
          <w:tab w:val="clear" w:pos="1422"/>
          <w:tab w:val="num" w:pos="1152"/>
        </w:tabs>
        <w:ind w:left="0"/>
        <w:rPr>
          <w:rFonts w:cs="Times New Roman"/>
        </w:rPr>
      </w:pPr>
      <w:r w:rsidRPr="005C2571">
        <w:rPr>
          <w:rFonts w:cs="Times New Roman"/>
          <w:szCs w:val="24"/>
          <w:lang w:val="en-US"/>
        </w:rPr>
        <w:t>M</w:t>
      </w:r>
      <w:r w:rsidRPr="005C2571">
        <w:rPr>
          <w:rFonts w:cs="Times New Roman"/>
          <w:szCs w:val="24"/>
          <w:lang w:val="en-US" w:bidi="en-US"/>
        </w:rPr>
        <w:t>oreove</w:t>
      </w:r>
      <w:r w:rsidRPr="005C2571">
        <w:rPr>
          <w:rFonts w:cs="Times New Roman"/>
          <w:szCs w:val="24"/>
          <w:lang w:val="en-US"/>
        </w:rPr>
        <w:t>r</w:t>
      </w:r>
      <w:r w:rsidRPr="0084431D">
        <w:rPr>
          <w:rFonts w:cs="Times New Roman"/>
          <w:lang w:bidi="en-US"/>
        </w:rPr>
        <w:t>, central to any definition of the rule of law is access to a fair and efficient dispute resolution process, capable of dispensing timely justice (</w:t>
      </w:r>
      <w:proofErr w:type="spellStart"/>
      <w:r>
        <w:rPr>
          <w:rFonts w:cs="Times New Roman"/>
          <w:i/>
          <w:lang w:bidi="en-US"/>
        </w:rPr>
        <w:t>H</w:t>
      </w:r>
      <w:r w:rsidRPr="0084431D">
        <w:rPr>
          <w:rFonts w:cs="Times New Roman"/>
          <w:i/>
          <w:lang w:bidi="en-US"/>
        </w:rPr>
        <w:t>r</w:t>
      </w:r>
      <w:r>
        <w:rPr>
          <w:rFonts w:cs="Times New Roman"/>
          <w:i/>
          <w:lang w:bidi="en-US"/>
        </w:rPr>
        <w:t>y</w:t>
      </w:r>
      <w:r w:rsidRPr="0084431D">
        <w:rPr>
          <w:rFonts w:cs="Times New Roman"/>
          <w:i/>
          <w:lang w:bidi="en-US"/>
        </w:rPr>
        <w:t>niak</w:t>
      </w:r>
      <w:proofErr w:type="spellEnd"/>
      <w:r w:rsidRPr="0084431D">
        <w:rPr>
          <w:rFonts w:cs="Times New Roman"/>
          <w:i/>
          <w:lang w:bidi="en-US"/>
        </w:rPr>
        <w:t xml:space="preserve"> v. Mauldin</w:t>
      </w:r>
      <w:r w:rsidRPr="0084431D">
        <w:rPr>
          <w:rFonts w:cs="Times New Roman"/>
          <w:lang w:bidi="en-US"/>
        </w:rPr>
        <w:t>, [2014] 1 S.C.R. 87, at para. 1). This is an important objective for all litigants, from the sophisticated consumers of administrative justice, to, most significantly, the particularly vulnerable ones (</w:t>
      </w:r>
      <w:r>
        <w:rPr>
          <w:rFonts w:cs="Times New Roman"/>
          <w:lang w:bidi="en-US"/>
        </w:rPr>
        <w:t xml:space="preserve">Angus Grant and </w:t>
      </w:r>
      <w:r w:rsidRPr="0084431D">
        <w:rPr>
          <w:rFonts w:cs="Times New Roman"/>
          <w:lang w:bidi="en-US"/>
        </w:rPr>
        <w:t xml:space="preserve">Lorne </w:t>
      </w:r>
      <w:proofErr w:type="spellStart"/>
      <w:r w:rsidRPr="0084431D">
        <w:rPr>
          <w:rFonts w:cs="Times New Roman"/>
          <w:lang w:bidi="en-US"/>
        </w:rPr>
        <w:t>Sossin</w:t>
      </w:r>
      <w:proofErr w:type="spellEnd"/>
      <w:r w:rsidRPr="0084431D">
        <w:rPr>
          <w:rFonts w:cs="Times New Roman"/>
          <w:lang w:bidi="en-US"/>
        </w:rPr>
        <w:t xml:space="preserve">, </w:t>
      </w:r>
      <w:r>
        <w:rPr>
          <w:rFonts w:cs="Times New Roman"/>
          <w:lang w:bidi="en-US"/>
        </w:rPr>
        <w:t>“Fairness in Context: Achieving Fairness Through Access to Administrative Justice”,</w:t>
      </w:r>
      <w:r w:rsidRPr="0084431D">
        <w:rPr>
          <w:rFonts w:cs="Times New Roman"/>
          <w:lang w:bidi="en-US"/>
        </w:rPr>
        <w:t xml:space="preserve"> in</w:t>
      </w:r>
      <w:r>
        <w:rPr>
          <w:rFonts w:cs="Times New Roman"/>
          <w:lang w:bidi="en-US"/>
        </w:rPr>
        <w:t xml:space="preserve"> Colleen M. Flood and Lorne </w:t>
      </w:r>
      <w:proofErr w:type="spellStart"/>
      <w:r>
        <w:rPr>
          <w:rFonts w:cs="Times New Roman"/>
          <w:lang w:bidi="en-US"/>
        </w:rPr>
        <w:t>Sossin</w:t>
      </w:r>
      <w:proofErr w:type="spellEnd"/>
      <w:r>
        <w:rPr>
          <w:rFonts w:cs="Times New Roman"/>
          <w:lang w:bidi="en-US"/>
        </w:rPr>
        <w:t xml:space="preserve">, eds., </w:t>
      </w:r>
      <w:r w:rsidRPr="0084431D" w:rsidDel="009C4C64">
        <w:rPr>
          <w:rFonts w:cs="Times New Roman"/>
          <w:i/>
        </w:rPr>
        <w:t>Administrative Law in Contex</w:t>
      </w:r>
      <w:r w:rsidRPr="00A01306" w:rsidDel="009C4C64">
        <w:rPr>
          <w:rFonts w:cs="Times New Roman"/>
          <w:i/>
        </w:rPr>
        <w:t>t</w:t>
      </w:r>
      <w:r w:rsidRPr="0084431D">
        <w:rPr>
          <w:rFonts w:cs="Times New Roman"/>
        </w:rPr>
        <w:t xml:space="preserve"> </w:t>
      </w:r>
      <w:r>
        <w:rPr>
          <w:rFonts w:cs="Times New Roman"/>
        </w:rPr>
        <w:t>(3</w:t>
      </w:r>
      <w:r w:rsidRPr="00A01306">
        <w:rPr>
          <w:rFonts w:cs="Times New Roman"/>
        </w:rPr>
        <w:t>rd</w:t>
      </w:r>
      <w:r>
        <w:rPr>
          <w:rFonts w:cs="Times New Roman"/>
        </w:rPr>
        <w:t xml:space="preserve"> ed. 2018), 341, at p. 342</w:t>
      </w:r>
      <w:r w:rsidRPr="0084431D">
        <w:rPr>
          <w:rFonts w:cs="Times New Roman"/>
        </w:rPr>
        <w:t>)</w:t>
      </w:r>
      <w:r w:rsidRPr="0084431D">
        <w:rPr>
          <w:rFonts w:cs="Times New Roman"/>
          <w:lang w:bidi="en-US"/>
        </w:rPr>
        <w:t>. For this reason, access to justice is at the heart of the legislative choice to establish a robust system of administrative law (</w:t>
      </w:r>
      <w:r>
        <w:rPr>
          <w:rFonts w:cs="Times New Roman"/>
          <w:lang w:bidi="en-US"/>
        </w:rPr>
        <w:t xml:space="preserve">Grant and </w:t>
      </w:r>
      <w:proofErr w:type="spellStart"/>
      <w:r w:rsidRPr="0084431D">
        <w:rPr>
          <w:rFonts w:cs="Times New Roman"/>
          <w:lang w:bidi="en-US"/>
        </w:rPr>
        <w:t>Sossin</w:t>
      </w:r>
      <w:proofErr w:type="spellEnd"/>
      <w:r w:rsidRPr="0084431D">
        <w:rPr>
          <w:rFonts w:cs="Times New Roman"/>
          <w:lang w:bidi="en-US"/>
        </w:rPr>
        <w:t xml:space="preserve">, at pp. </w:t>
      </w:r>
      <w:r>
        <w:rPr>
          <w:rFonts w:cs="Times New Roman"/>
          <w:lang w:bidi="en-US"/>
        </w:rPr>
        <w:t>342 and 369-70</w:t>
      </w:r>
      <w:r w:rsidRPr="0084431D">
        <w:rPr>
          <w:rFonts w:cs="Times New Roman"/>
          <w:lang w:bidi="en-US"/>
        </w:rPr>
        <w:t xml:space="preserve">; </w:t>
      </w:r>
      <w:r>
        <w:rPr>
          <w:rFonts w:cs="Times New Roman"/>
        </w:rPr>
        <w:t xml:space="preserve">Van </w:t>
      </w:r>
      <w:proofErr w:type="spellStart"/>
      <w:r>
        <w:rPr>
          <w:rFonts w:cs="Times New Roman"/>
        </w:rPr>
        <w:t>Harten</w:t>
      </w:r>
      <w:proofErr w:type="spellEnd"/>
      <w:r w:rsidRPr="0084431D">
        <w:rPr>
          <w:rFonts w:cs="Times New Roman"/>
        </w:rPr>
        <w:t xml:space="preserve">, et al., at p. 17; </w:t>
      </w:r>
      <w:proofErr w:type="spellStart"/>
      <w:r w:rsidRPr="0084431D">
        <w:rPr>
          <w:rFonts w:cs="Times New Roman"/>
        </w:rPr>
        <w:t>Régimbald</w:t>
      </w:r>
      <w:proofErr w:type="spellEnd"/>
      <w:r w:rsidRPr="0084431D">
        <w:rPr>
          <w:rFonts w:cs="Times New Roman"/>
        </w:rPr>
        <w:t xml:space="preserve">, at pp. 2-3; </w:t>
      </w:r>
      <w:proofErr w:type="spellStart"/>
      <w:r w:rsidRPr="0084431D" w:rsidDel="001C4755">
        <w:rPr>
          <w:rFonts w:cs="Times New Roman"/>
        </w:rPr>
        <w:t>McLac</w:t>
      </w:r>
      <w:r w:rsidRPr="0084431D">
        <w:rPr>
          <w:rFonts w:cs="Times New Roman"/>
        </w:rPr>
        <w:t>hlin</w:t>
      </w:r>
      <w:proofErr w:type="spellEnd"/>
      <w:r w:rsidRPr="0084431D">
        <w:rPr>
          <w:rFonts w:cs="Times New Roman"/>
        </w:rPr>
        <w:t xml:space="preserve">, </w:t>
      </w:r>
      <w:r w:rsidRPr="00A01306" w:rsidDel="001C4755">
        <w:rPr>
          <w:rFonts w:cs="Times New Roman"/>
          <w:i/>
        </w:rPr>
        <w:t>Administrative Tribunals and the Court</w:t>
      </w:r>
      <w:r w:rsidRPr="00A01306">
        <w:rPr>
          <w:rFonts w:cs="Times New Roman"/>
          <w:i/>
        </w:rPr>
        <w:t>s: An Evolutionary Relationship</w:t>
      </w:r>
      <w:r w:rsidRPr="0084431D">
        <w:rPr>
          <w:rFonts w:cs="Times New Roman"/>
        </w:rPr>
        <w:t>)</w:t>
      </w:r>
      <w:r w:rsidRPr="0084431D">
        <w:rPr>
          <w:rFonts w:cs="Times New Roman"/>
          <w:lang w:bidi="en-US"/>
        </w:rPr>
        <w:t xml:space="preserve">. As </w:t>
      </w:r>
      <w:proofErr w:type="spellStart"/>
      <w:r w:rsidRPr="0084431D">
        <w:rPr>
          <w:rFonts w:cs="Times New Roman"/>
          <w:lang w:bidi="en-US"/>
        </w:rPr>
        <w:t>Morissette</w:t>
      </w:r>
      <w:proofErr w:type="spellEnd"/>
      <w:r w:rsidRPr="0084431D">
        <w:rPr>
          <w:rFonts w:cs="Times New Roman"/>
          <w:lang w:bidi="en-US"/>
        </w:rPr>
        <w:t xml:space="preserve"> J.A. has observed:</w:t>
      </w:r>
    </w:p>
    <w:p w:rsidR="008B0231" w:rsidRDefault="008B0231" w:rsidP="008B0231">
      <w:pPr>
        <w:pStyle w:val="Citation-AltC"/>
        <w:rPr>
          <w:lang w:val="en-US"/>
        </w:rPr>
      </w:pPr>
      <w:r>
        <w:rPr>
          <w:lang w:val="en-US"/>
        </w:rPr>
        <w:t>.</w:t>
      </w:r>
      <w:r w:rsidR="00A70A9E">
        <w:rPr>
          <w:lang w:val="en-US"/>
        </w:rPr>
        <w:t> </w:t>
      </w:r>
      <w:r>
        <w:rPr>
          <w:lang w:val="en-US"/>
        </w:rPr>
        <w:t>.</w:t>
      </w:r>
      <w:r w:rsidR="00A70A9E">
        <w:rPr>
          <w:lang w:val="en-US"/>
        </w:rPr>
        <w:t> </w:t>
      </w:r>
      <w:r>
        <w:rPr>
          <w:lang w:val="en-US"/>
        </w:rPr>
        <w:t xml:space="preserve">. </w:t>
      </w:r>
      <w:proofErr w:type="gramStart"/>
      <w:r w:rsidRPr="0084431D">
        <w:rPr>
          <w:lang w:val="en-US"/>
        </w:rPr>
        <w:t>the</w:t>
      </w:r>
      <w:proofErr w:type="gramEnd"/>
      <w:r w:rsidRPr="0084431D">
        <w:rPr>
          <w:lang w:val="en-US"/>
        </w:rPr>
        <w:t xml:space="preserve"> aims of administrative law .</w:t>
      </w:r>
      <w:r w:rsidR="00A70A9E">
        <w:rPr>
          <w:lang w:val="en-US"/>
        </w:rPr>
        <w:t> </w:t>
      </w:r>
      <w:r w:rsidRPr="0084431D">
        <w:rPr>
          <w:lang w:val="en-US"/>
        </w:rPr>
        <w:t>.</w:t>
      </w:r>
      <w:r w:rsidR="00A70A9E">
        <w:rPr>
          <w:lang w:val="en-US"/>
        </w:rPr>
        <w:t> </w:t>
      </w:r>
      <w:r w:rsidRPr="0084431D">
        <w:rPr>
          <w:lang w:val="en-US"/>
        </w:rPr>
        <w:t>. generally gravitate towards promoting access to justice. The means contemplated are costless or inexpensive, simple and expeditious procedures, expertise of the decision-makers, coherence of reasons, consistency of results and finality of decisions.</w:t>
      </w:r>
      <w:r>
        <w:rPr>
          <w:lang w:val="en-US"/>
        </w:rPr>
        <w:t xml:space="preserve"> </w:t>
      </w:r>
    </w:p>
    <w:p w:rsidR="008B0231" w:rsidRDefault="008B0231" w:rsidP="008B0231">
      <w:pPr>
        <w:pStyle w:val="Citation-AltC"/>
        <w:rPr>
          <w:lang w:val="en-US"/>
        </w:rPr>
      </w:pPr>
    </w:p>
    <w:p w:rsidR="008B0231" w:rsidRPr="0084431D" w:rsidRDefault="008B0231" w:rsidP="00864104">
      <w:pPr>
        <w:pStyle w:val="Citation-AltC"/>
        <w:ind w:left="0"/>
      </w:pPr>
      <w:r>
        <w:rPr>
          <w:lang w:val="en-US"/>
        </w:rPr>
        <w:t xml:space="preserve">(Yves-Marie </w:t>
      </w:r>
      <w:proofErr w:type="spellStart"/>
      <w:r>
        <w:rPr>
          <w:lang w:val="en-US"/>
        </w:rPr>
        <w:t>Morissette</w:t>
      </w:r>
      <w:proofErr w:type="spellEnd"/>
      <w:r>
        <w:rPr>
          <w:lang w:val="en-US"/>
        </w:rPr>
        <w:t xml:space="preserve">, “What is a ‘reasonable decision’?” (2018), 31 </w:t>
      </w:r>
      <w:r w:rsidRPr="009A0A05">
        <w:rPr>
          <w:i/>
          <w:lang w:val="en-US"/>
        </w:rPr>
        <w:t>C.J.A.L.P.</w:t>
      </w:r>
      <w:r>
        <w:rPr>
          <w:lang w:val="en-US"/>
        </w:rPr>
        <w:t xml:space="preserve"> 225, at p. 236)</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lang w:bidi="en-US"/>
        </w:rPr>
        <w:lastRenderedPageBreak/>
        <w:t xml:space="preserve">These goals are compromised when a narrow conception of the “rule of law” is invoked to impose judicial hegemony over administrative </w:t>
      </w:r>
      <w:r>
        <w:rPr>
          <w:rFonts w:cs="Times New Roman"/>
          <w:lang w:bidi="en-US"/>
        </w:rPr>
        <w:t>decision-maker</w:t>
      </w:r>
      <w:r w:rsidRPr="0084431D">
        <w:rPr>
          <w:rFonts w:cs="Times New Roman"/>
          <w:lang w:bidi="en-US"/>
        </w:rPr>
        <w:t xml:space="preserve">s. Doing so </w:t>
      </w:r>
      <w:r w:rsidRPr="005C2571">
        <w:rPr>
          <w:rFonts w:cs="Times New Roman"/>
          <w:szCs w:val="24"/>
          <w:lang w:val="en-US"/>
        </w:rPr>
        <w:t>perverts</w:t>
      </w:r>
      <w:r w:rsidRPr="0084431D">
        <w:rPr>
          <w:rFonts w:cs="Times New Roman"/>
          <w:lang w:bidi="en-US"/>
        </w:rPr>
        <w:t xml:space="preserve"> the purpose of establishing a parallel system of administrative justice, and adds unnecessary expense and complexity for the public.</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 even calls for a reformulation of the “questions of central importance” category from </w:t>
      </w:r>
      <w:r w:rsidRPr="0084431D">
        <w:rPr>
          <w:rFonts w:cs="Times New Roman"/>
          <w:i/>
        </w:rPr>
        <w:t>Dunsmuir</w:t>
      </w:r>
      <w:r w:rsidRPr="0084431D">
        <w:rPr>
          <w:rFonts w:cs="Times New Roman"/>
        </w:rPr>
        <w:t xml:space="preserve"> and permits courts to substitute their opinions for administrative </w:t>
      </w:r>
      <w:r>
        <w:rPr>
          <w:rFonts w:cs="Times New Roman"/>
        </w:rPr>
        <w:t>decision-maker</w:t>
      </w:r>
      <w:r w:rsidRPr="0084431D">
        <w:rPr>
          <w:rFonts w:cs="Times New Roman"/>
        </w:rPr>
        <w:t xml:space="preserve">s on “questions of central importance to the legal system as a whole”, even if those questions fall squarely within the mandate and expertise of the administrative decision-maker. As noted in </w:t>
      </w:r>
      <w:r w:rsidRPr="0084431D">
        <w:rPr>
          <w:rFonts w:cs="Times New Roman"/>
          <w:i/>
        </w:rPr>
        <w:t>Canadian Human Rights Commission</w:t>
      </w:r>
      <w:r w:rsidRPr="0084431D">
        <w:rPr>
          <w:rFonts w:cs="Times New Roman"/>
        </w:rPr>
        <w:t xml:space="preserve">, correctness review was permitted only for questions “of central importance to the legal system </w:t>
      </w:r>
      <w:r w:rsidRPr="0084431D">
        <w:rPr>
          <w:rFonts w:cs="Times New Roman"/>
          <w:i/>
        </w:rPr>
        <w:t>and</w:t>
      </w:r>
      <w:r w:rsidRPr="0084431D">
        <w:rPr>
          <w:rFonts w:cs="Times New Roman"/>
        </w:rPr>
        <w:t xml:space="preserve"> outside the specialized expertise of the adjudicator”</w:t>
      </w:r>
      <w:r>
        <w:rPr>
          <w:rFonts w:cs="Times New Roman"/>
        </w:rPr>
        <w:t xml:space="preserve"> (</w:t>
      </w:r>
      <w:r w:rsidRPr="0084431D">
        <w:rPr>
          <w:rFonts w:cs="Times New Roman"/>
        </w:rPr>
        <w:t>para. 28</w:t>
      </w:r>
      <w:r>
        <w:rPr>
          <w:rFonts w:cs="Times New Roman"/>
        </w:rPr>
        <w:t xml:space="preserve"> (</w:t>
      </w:r>
      <w:r w:rsidRPr="0084431D">
        <w:rPr>
          <w:rFonts w:cs="Times New Roman"/>
        </w:rPr>
        <w:t>emphasis in original)</w:t>
      </w:r>
      <w:r>
        <w:rPr>
          <w:rFonts w:cs="Times New Roman"/>
        </w:rPr>
        <w:t>)</w:t>
      </w:r>
      <w:r w:rsidRPr="0084431D">
        <w:rPr>
          <w:rFonts w:cs="Times New Roman"/>
        </w:rPr>
        <w:t>. Broadening this category fro</w:t>
      </w:r>
      <w:r>
        <w:rPr>
          <w:rFonts w:cs="Times New Roman"/>
        </w:rPr>
        <w:t>m its original characterization</w:t>
      </w:r>
      <w:r w:rsidRPr="0084431D">
        <w:rPr>
          <w:rFonts w:cs="Times New Roman"/>
        </w:rPr>
        <w:t xml:space="preserve"> unduly expands the issues available for judicial substitution. </w:t>
      </w:r>
      <w:r w:rsidRPr="0084431D">
        <w:rPr>
          <w:rFonts w:cs="Times New Roman"/>
          <w:lang w:bidi="en-US"/>
        </w:rPr>
        <w:t xml:space="preserve">Issues of discrimination, labour rights, and economic regulation of the securities markets (among many others) theoretically raise questions of vital importance for Canada and its legal system. But by ignoring administrative </w:t>
      </w:r>
      <w:r>
        <w:rPr>
          <w:rFonts w:cs="Times New Roman"/>
          <w:lang w:bidi="en-US"/>
        </w:rPr>
        <w:t>decision-maker</w:t>
      </w:r>
      <w:r w:rsidRPr="0084431D">
        <w:rPr>
          <w:rFonts w:cs="Times New Roman"/>
          <w:lang w:bidi="en-US"/>
        </w:rPr>
        <w:t>s’ expertise on these matters, this category will inevitably provide more “</w:t>
      </w:r>
      <w:proofErr w:type="gramStart"/>
      <w:r w:rsidRPr="0084431D">
        <w:rPr>
          <w:rFonts w:cs="Times New Roman"/>
          <w:lang w:bidi="en-US"/>
        </w:rPr>
        <w:t xml:space="preserve">room </w:t>
      </w:r>
      <w:r w:rsidR="002C4BD0">
        <w:rPr>
          <w:rFonts w:cs="Times New Roman"/>
          <w:lang w:bidi="en-US"/>
        </w:rPr>
        <w:t>.</w:t>
      </w:r>
      <w:proofErr w:type="gramEnd"/>
      <w:r w:rsidR="002C4BD0">
        <w:rPr>
          <w:rFonts w:cs="Times New Roman"/>
          <w:lang w:bidi="en-US"/>
        </w:rPr>
        <w:t> </w:t>
      </w:r>
      <w:r>
        <w:rPr>
          <w:rFonts w:cs="Times New Roman"/>
          <w:lang w:bidi="en-US"/>
        </w:rPr>
        <w:t>.</w:t>
      </w:r>
      <w:r w:rsidR="002C4BD0">
        <w:rPr>
          <w:rFonts w:cs="Times New Roman"/>
          <w:lang w:bidi="en-US"/>
        </w:rPr>
        <w:t> </w:t>
      </w:r>
      <w:r>
        <w:rPr>
          <w:rFonts w:cs="Times New Roman"/>
          <w:lang w:bidi="en-US"/>
        </w:rPr>
        <w:t xml:space="preserve">. </w:t>
      </w:r>
      <w:r w:rsidRPr="0084431D">
        <w:rPr>
          <w:rFonts w:cs="Times New Roman"/>
          <w:lang w:bidi="en-US"/>
        </w:rPr>
        <w:t xml:space="preserve">for both mistakes and manipulation” (Andrew Green, “Can There Be Too Much Context in Administrative Law? Setting the Standard of Review in Canadian Administrative Law” (2014), </w:t>
      </w:r>
      <w:r w:rsidRPr="0084431D">
        <w:rPr>
          <w:rFonts w:cs="Times New Roman"/>
          <w:lang w:bidi="en-US"/>
        </w:rPr>
        <w:lastRenderedPageBreak/>
        <w:t>47</w:t>
      </w:r>
      <w:r>
        <w:rPr>
          <w:rFonts w:cs="Times New Roman"/>
          <w:lang w:bidi="en-US"/>
        </w:rPr>
        <w:t> </w:t>
      </w:r>
      <w:r>
        <w:rPr>
          <w:rFonts w:cs="Times New Roman"/>
          <w:i/>
          <w:lang w:bidi="en-US"/>
        </w:rPr>
        <w:t>U.B.C. L. Rev.</w:t>
      </w:r>
      <w:r w:rsidRPr="0084431D">
        <w:rPr>
          <w:rFonts w:cs="Times New Roman"/>
          <w:lang w:bidi="en-US"/>
        </w:rPr>
        <w:t xml:space="preserve"> 443, at p. 483). We would leave </w:t>
      </w:r>
      <w:r w:rsidRPr="0084431D">
        <w:rPr>
          <w:rFonts w:cs="Times New Roman"/>
          <w:i/>
          <w:lang w:bidi="en-US"/>
        </w:rPr>
        <w:t>Dunsmuir</w:t>
      </w:r>
      <w:r w:rsidRPr="0084431D">
        <w:rPr>
          <w:rFonts w:cs="Times New Roman"/>
          <w:lang w:bidi="en-US"/>
        </w:rPr>
        <w:t>’s description of this category undisturbed.</w:t>
      </w:r>
      <w:r w:rsidRPr="00704649">
        <w:rPr>
          <w:rStyle w:val="Hyperlink"/>
          <w:color w:val="0000FF"/>
          <w:u w:val="single"/>
          <w:vertAlign w:val="superscript"/>
        </w:rPr>
        <w:footnoteReference w:id="1"/>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We </w:t>
      </w:r>
      <w:r w:rsidRPr="005C2571">
        <w:rPr>
          <w:rFonts w:cs="Times New Roman"/>
          <w:szCs w:val="24"/>
          <w:lang w:val="en-US"/>
        </w:rPr>
        <w:t>also</w:t>
      </w:r>
      <w:r w:rsidRPr="0084431D">
        <w:rPr>
          <w:rFonts w:cs="Times New Roman"/>
        </w:rPr>
        <w:t xml:space="preserve"> disagree with the majority’s reformulation of “legislative intent” to include, for the first time, an invitation for courts to apply correctness review to legal questions whenever an administrative scheme includes a right of appeal. We do not see how appeal rights represent a “different institutional structure” that requires a more searching form of review. The mere fact that a statute contemplates a reviewing role for a court says nothing about the </w:t>
      </w:r>
      <w:r w:rsidRPr="0084431D">
        <w:rPr>
          <w:rFonts w:cs="Times New Roman"/>
          <w:i/>
        </w:rPr>
        <w:t xml:space="preserve">degree of deference </w:t>
      </w:r>
      <w:r w:rsidRPr="0084431D">
        <w:rPr>
          <w:rFonts w:cs="Times New Roman"/>
        </w:rPr>
        <w:t>required in the review process. Rights of appeal reflect different choices by different legislatures to permit review for different reasons, on issues of fact, law, mixed fact and law, and discretion, among others. Providing parties with a right of appeal can serve several purposes entirely unrelated to the standard of review, including outlining: where the appeal will take place (sometimes, at a different reviewing court than in the routes provided for judicial review); who is eligible to take part; when materials must be filed; how materials must be presented; the reviewing court’s powers on</w:t>
      </w:r>
      <w:r>
        <w:rPr>
          <w:rFonts w:cs="Times New Roman"/>
        </w:rPr>
        <w:t xml:space="preserve"> appeal; any leave requirements;</w:t>
      </w:r>
      <w:r w:rsidRPr="0084431D">
        <w:rPr>
          <w:rFonts w:cs="Times New Roman"/>
        </w:rPr>
        <w:t xml:space="preserve"> and the grounds on which the parties may appeal (among other things). By providing this type of structure and guidance, statutory appeal provisions may allow legislatures to promote efficiency and access to justice, in a way that exclusive reliance on the judicial review procedure would not have.</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 xml:space="preserve">In </w:t>
      </w:r>
      <w:r w:rsidRPr="005C2571">
        <w:rPr>
          <w:rFonts w:cs="Times New Roman"/>
          <w:szCs w:val="24"/>
          <w:lang w:val="en-US"/>
        </w:rPr>
        <w:t>reality</w:t>
      </w:r>
      <w:r w:rsidRPr="0084431D">
        <w:rPr>
          <w:rFonts w:cs="Times New Roman"/>
        </w:rPr>
        <w:t>, the majority’s position on statutory appeal rights, although couched in language about “</w:t>
      </w:r>
      <w:proofErr w:type="spellStart"/>
      <w:r w:rsidRPr="0084431D">
        <w:rPr>
          <w:rFonts w:cs="Times New Roman"/>
        </w:rPr>
        <w:t>giv</w:t>
      </w:r>
      <w:proofErr w:type="spellEnd"/>
      <w:r w:rsidRPr="0084431D">
        <w:rPr>
          <w:rFonts w:cs="Times New Roman"/>
        </w:rPr>
        <w:t>[</w:t>
      </w:r>
      <w:proofErr w:type="spellStart"/>
      <w:r w:rsidRPr="0084431D">
        <w:rPr>
          <w:rFonts w:cs="Times New Roman"/>
        </w:rPr>
        <w:t>ing</w:t>
      </w:r>
      <w:proofErr w:type="spellEnd"/>
      <w:r w:rsidRPr="0084431D">
        <w:rPr>
          <w:rFonts w:cs="Times New Roman"/>
        </w:rPr>
        <w:t xml:space="preserve">] effect to the legislature’s institutional design choices”, hinges almost entirely on a </w:t>
      </w:r>
      <w:proofErr w:type="spellStart"/>
      <w:r w:rsidRPr="0084431D">
        <w:rPr>
          <w:rFonts w:cs="Times New Roman"/>
        </w:rPr>
        <w:t>textualist</w:t>
      </w:r>
      <w:proofErr w:type="spellEnd"/>
      <w:r w:rsidRPr="0084431D">
        <w:rPr>
          <w:rFonts w:cs="Times New Roman"/>
        </w:rPr>
        <w:t xml:space="preserve"> argument: the presence of the word “appeal” indicates a legislative intent that courts apply the same standards of review found i</w:t>
      </w:r>
      <w:r>
        <w:rPr>
          <w:rFonts w:cs="Times New Roman"/>
        </w:rPr>
        <w:t xml:space="preserve">n </w:t>
      </w:r>
      <w:r w:rsidRPr="0084431D">
        <w:rPr>
          <w:rFonts w:cs="Times New Roman"/>
        </w:rPr>
        <w:t xml:space="preserve">civil appellate jurisprudence.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majority’s reliance on the “presumption of consistent expression” in relation to the single word “appeal” is misplaced and disregards long-accepted institutional distinctions between how courts and administrative </w:t>
      </w:r>
      <w:r>
        <w:rPr>
          <w:rFonts w:cs="Times New Roman"/>
        </w:rPr>
        <w:t>decision-maker</w:t>
      </w:r>
      <w:r w:rsidRPr="0084431D">
        <w:rPr>
          <w:rFonts w:cs="Times New Roman"/>
        </w:rPr>
        <w:t xml:space="preserve">s function. The language in each setting is different; the mandates are different; the policy bases are different. The idea that </w:t>
      </w:r>
      <w:proofErr w:type="spellStart"/>
      <w:r w:rsidRPr="0084431D">
        <w:rPr>
          <w:rFonts w:cs="Times New Roman"/>
          <w:i/>
        </w:rPr>
        <w:t>Housen</w:t>
      </w:r>
      <w:proofErr w:type="spellEnd"/>
      <w:r>
        <w:rPr>
          <w:rFonts w:cs="Times New Roman"/>
          <w:i/>
        </w:rPr>
        <w:t xml:space="preserve"> v. </w:t>
      </w:r>
      <w:proofErr w:type="spellStart"/>
      <w:r>
        <w:rPr>
          <w:rFonts w:cs="Times New Roman"/>
          <w:i/>
        </w:rPr>
        <w:t>Nikolaisen</w:t>
      </w:r>
      <w:proofErr w:type="spellEnd"/>
      <w:r>
        <w:rPr>
          <w:rFonts w:cs="Times New Roman"/>
        </w:rPr>
        <w:t>, [2002] 2 S.C.R. 235,</w:t>
      </w:r>
      <w:r w:rsidRPr="0084431D">
        <w:rPr>
          <w:rFonts w:cs="Times New Roman"/>
          <w:i/>
        </w:rPr>
        <w:t xml:space="preserve"> </w:t>
      </w:r>
      <w:r w:rsidRPr="0084431D">
        <w:rPr>
          <w:rFonts w:cs="Times New Roman"/>
        </w:rPr>
        <w:t xml:space="preserve">must be inflexibly applied to every right of “appeal” within a statute </w:t>
      </w:r>
      <w:r>
        <w:rPr>
          <w:rFonts w:cs="Times New Roman"/>
        </w:rPr>
        <w:t>—</w:t>
      </w:r>
      <w:r w:rsidRPr="0084431D">
        <w:rPr>
          <w:rFonts w:cs="Times New Roman"/>
        </w:rPr>
        <w:t xml:space="preserve"> with no regard for the broader purposes of the statutory scheme or the practical implications of greater judicial involvement within it </w:t>
      </w:r>
      <w:r>
        <w:rPr>
          <w:rFonts w:cs="Times New Roman"/>
        </w:rPr>
        <w:t>—</w:t>
      </w:r>
      <w:r w:rsidRPr="0084431D">
        <w:rPr>
          <w:rFonts w:cs="Times New Roman"/>
        </w:rPr>
        <w:t xml:space="preserve"> is entirely unsupported by our jurisprudence</w:t>
      </w:r>
      <w:r>
        <w:rPr>
          <w:rFonts w:cs="Times New Roman"/>
        </w:rPr>
        <w:t>.</w:t>
      </w:r>
    </w:p>
    <w:p w:rsidR="008B0231" w:rsidRPr="0084431D" w:rsidRDefault="008B0231" w:rsidP="005C2571">
      <w:pPr>
        <w:pStyle w:val="ParaNoNdepar-AltN"/>
        <w:tabs>
          <w:tab w:val="clear" w:pos="1166"/>
          <w:tab w:val="clear" w:pos="1422"/>
          <w:tab w:val="num" w:pos="1152"/>
        </w:tabs>
        <w:ind w:left="0"/>
        <w:rPr>
          <w:rFonts w:cs="Times New Roman"/>
          <w:lang w:bidi="en-US"/>
        </w:rPr>
      </w:pPr>
      <w:r w:rsidRPr="0084431D">
        <w:rPr>
          <w:rFonts w:cs="Times New Roman"/>
        </w:rPr>
        <w:t>In addition, the majority’s claim that legislatures “d[o] not speak in vain” is irreconcilable with its treatment of privative clauses, which play no role in its standard of review framework. If, as the majority claims, Parliament’s decision to provide appeal routes must</w:t>
      </w:r>
      <w:r w:rsidRPr="0084431D">
        <w:rPr>
          <w:rFonts w:cs="Times New Roman"/>
          <w:i/>
        </w:rPr>
        <w:t xml:space="preserve"> </w:t>
      </w:r>
      <w:r w:rsidRPr="0084431D">
        <w:rPr>
          <w:rFonts w:cs="Times New Roman"/>
        </w:rPr>
        <w:t xml:space="preserve">influence the standard of review analysis, there is no principled reason why Parliament’s decision via privative clauses to </w:t>
      </w:r>
      <w:r w:rsidRPr="0084431D">
        <w:rPr>
          <w:rFonts w:cs="Times New Roman"/>
          <w:i/>
        </w:rPr>
        <w:t xml:space="preserve">prohibit </w:t>
      </w:r>
      <w:r w:rsidRPr="0084431D">
        <w:rPr>
          <w:rFonts w:cs="Times New Roman"/>
        </w:rPr>
        <w:t>appeals should not be given comparable effect.</w:t>
      </w:r>
      <w:r w:rsidRPr="005C2571">
        <w:rPr>
          <w:rStyle w:val="Hyperlink"/>
          <w:color w:val="0000FF"/>
          <w:vertAlign w:val="superscript"/>
        </w:rPr>
        <w:footnoteReference w:id="2"/>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In any event, legislatures in this country have known for at least</w:t>
      </w:r>
      <w:r w:rsidRPr="0084431D">
        <w:rPr>
          <w:rFonts w:cs="Times New Roman"/>
          <w:i/>
        </w:rPr>
        <w:t xml:space="preserve"> </w:t>
      </w:r>
      <w:r>
        <w:rPr>
          <w:rFonts w:cs="Times New Roman"/>
        </w:rPr>
        <w:t>25</w:t>
      </w:r>
      <w:r w:rsidRPr="0084431D">
        <w:rPr>
          <w:rFonts w:cs="Times New Roman"/>
        </w:rPr>
        <w:t xml:space="preserve"> years since </w:t>
      </w:r>
      <w:proofErr w:type="spellStart"/>
      <w:r w:rsidRPr="0084431D">
        <w:rPr>
          <w:rFonts w:cs="Times New Roman"/>
          <w:i/>
        </w:rPr>
        <w:t>Pezim</w:t>
      </w:r>
      <w:proofErr w:type="spellEnd"/>
      <w:r w:rsidRPr="0084431D">
        <w:rPr>
          <w:rFonts w:cs="Times New Roman"/>
        </w:rPr>
        <w:t xml:space="preserve"> that this Court has not treated statutory rights of appeal as a determinative reflection of legislative intent regarding the standard of review (</w:t>
      </w:r>
      <w:proofErr w:type="spellStart"/>
      <w:r w:rsidRPr="0084431D">
        <w:rPr>
          <w:rFonts w:cs="Times New Roman"/>
          <w:i/>
        </w:rPr>
        <w:t>Pezim</w:t>
      </w:r>
      <w:proofErr w:type="spellEnd"/>
      <w:r w:rsidRPr="0084431D">
        <w:rPr>
          <w:rFonts w:cs="Times New Roman"/>
        </w:rPr>
        <w:t>, at p. 590). Against this reality, the continued use by legislatures of the term “appeal” cannot be imbued with the intent</w:t>
      </w:r>
      <w:r w:rsidRPr="0084431D">
        <w:rPr>
          <w:rFonts w:cs="Times New Roman"/>
          <w:lang w:val="en-US"/>
        </w:rPr>
        <w:t xml:space="preserve"> that the majority retroactively ascribes to it; doing so is inconsistent with the principle that legislatures are presumed to enact legislation in compliance with existing common law rules (</w:t>
      </w:r>
      <w:r w:rsidRPr="0084431D">
        <w:rPr>
          <w:rFonts w:cs="Times New Roman"/>
          <w:lang w:val="en-US" w:bidi="en-US"/>
        </w:rPr>
        <w:t xml:space="preserve">Ruth Sullivan, </w:t>
      </w:r>
      <w:r w:rsidRPr="0084431D">
        <w:rPr>
          <w:rFonts w:cs="Times New Roman"/>
          <w:i/>
          <w:lang w:val="en-US" w:bidi="en-US"/>
        </w:rPr>
        <w:t>Statutory Interpretation</w:t>
      </w:r>
      <w:r w:rsidRPr="0084431D">
        <w:rPr>
          <w:rFonts w:cs="Times New Roman"/>
          <w:lang w:val="en-US" w:bidi="en-US"/>
        </w:rPr>
        <w:t xml:space="preserve"> </w:t>
      </w:r>
      <w:r>
        <w:rPr>
          <w:rFonts w:cs="Times New Roman"/>
          <w:lang w:val="en-US" w:bidi="en-US"/>
        </w:rPr>
        <w:t xml:space="preserve">(3rd ed. </w:t>
      </w:r>
      <w:r w:rsidRPr="0084431D">
        <w:rPr>
          <w:rFonts w:cs="Times New Roman"/>
          <w:lang w:val="en-US" w:bidi="en-US"/>
        </w:rPr>
        <w:t>2016), at p. 315</w:t>
      </w:r>
      <w:r w:rsidRPr="0084431D">
        <w:rPr>
          <w:rFonts w:cs="Times New Roman"/>
          <w:lang w:val="en-US"/>
        </w:rPr>
        <w:t>)</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Those legislatures, moreover, understood from our jurisprudence that this Court was committed to respecting </w:t>
      </w:r>
      <w:r w:rsidRPr="0084431D">
        <w:rPr>
          <w:rFonts w:cs="Times New Roman"/>
          <w:i/>
        </w:rPr>
        <w:t xml:space="preserve">standards </w:t>
      </w:r>
      <w:r w:rsidRPr="0084431D">
        <w:rPr>
          <w:rFonts w:cs="Times New Roman"/>
        </w:rPr>
        <w:t>of review that were statutorily prescribed, as British Columbia alone has done.</w:t>
      </w:r>
      <w:r w:rsidRPr="00EA0603">
        <w:rPr>
          <w:rStyle w:val="Hyperlink"/>
          <w:color w:val="0000FF"/>
          <w:vertAlign w:val="superscript"/>
        </w:rPr>
        <w:footnoteReference w:id="3"/>
      </w:r>
      <w:r w:rsidRPr="0084431D">
        <w:rPr>
          <w:rFonts w:cs="Times New Roman"/>
        </w:rPr>
        <w:t xml:space="preserve"> We agree with the Attorney</w:t>
      </w:r>
      <w:r>
        <w:rPr>
          <w:rFonts w:cs="Times New Roman"/>
        </w:rPr>
        <w:t xml:space="preserve"> </w:t>
      </w:r>
      <w:r w:rsidRPr="0084431D">
        <w:rPr>
          <w:rFonts w:cs="Times New Roman"/>
        </w:rPr>
        <w:t>General of Canada’s position in the companion appeal</w:t>
      </w:r>
      <w:r>
        <w:rPr>
          <w:rFonts w:cs="Times New Roman"/>
        </w:rPr>
        <w:t>s</w:t>
      </w:r>
      <w:r w:rsidRPr="0084431D">
        <w:rPr>
          <w:rFonts w:cs="Times New Roman"/>
        </w:rPr>
        <w:t xml:space="preserve"> </w:t>
      </w:r>
      <w:r>
        <w:rPr>
          <w:rFonts w:cs="Times New Roman"/>
        </w:rPr>
        <w:t xml:space="preserve">of </w:t>
      </w:r>
      <w:r w:rsidRPr="00E1078C">
        <w:rPr>
          <w:rFonts w:cs="Times New Roman"/>
          <w:i/>
        </w:rPr>
        <w:t>Bell Canada v. Canada (Attorney General)</w:t>
      </w:r>
      <w:r>
        <w:rPr>
          <w:rFonts w:cs="Times New Roman"/>
        </w:rPr>
        <w:t xml:space="preserve">, </w:t>
      </w:r>
      <w:r w:rsidR="00EA0603">
        <w:rPr>
          <w:rFonts w:cs="Times New Roman"/>
        </w:rPr>
        <w:t xml:space="preserve">[2019] </w:t>
      </w:r>
      <w:r w:rsidR="00501A0A">
        <w:rPr>
          <w:rFonts w:cs="Times New Roman"/>
        </w:rPr>
        <w:t>4</w:t>
      </w:r>
      <w:r w:rsidR="00EA0603">
        <w:rPr>
          <w:rFonts w:cs="Times New Roman"/>
        </w:rPr>
        <w:t xml:space="preserve"> S.C.R. </w:t>
      </w:r>
      <w:r w:rsidR="00D6025B">
        <w:rPr>
          <w:rFonts w:cs="Times New Roman"/>
        </w:rPr>
        <w:t>845</w:t>
      </w:r>
      <w:r w:rsidR="00EA0603">
        <w:rPr>
          <w:rFonts w:cs="Times New Roman"/>
        </w:rPr>
        <w:t xml:space="preserve">, </w:t>
      </w:r>
      <w:r w:rsidRPr="0084431D">
        <w:rPr>
          <w:rFonts w:cs="Times New Roman"/>
        </w:rPr>
        <w:t>that, absent exceptional circumstances, the existence of a statutory right of appeal does not displace the presumption that the standard of reasonableness applies.</w:t>
      </w:r>
      <w:r w:rsidRPr="00501A0A">
        <w:rPr>
          <w:rStyle w:val="Hyperlink"/>
          <w:color w:val="0000FF"/>
          <w:vertAlign w:val="superscript"/>
        </w:rPr>
        <w:footnoteReference w:id="4"/>
      </w:r>
      <w:r w:rsidRPr="00501A0A">
        <w:rPr>
          <w:rFonts w:cs="Times New Roman"/>
        </w:rPr>
        <w:t xml:space="preserve"> </w:t>
      </w:r>
      <w:r w:rsidRPr="0084431D">
        <w:rPr>
          <w:rFonts w:cs="Times New Roman"/>
        </w:rPr>
        <w:t xml:space="preserve">The majority, however, has inexplicably chosen the template proposed by the </w:t>
      </w:r>
      <w:r w:rsidRPr="0084431D">
        <w:rPr>
          <w:rFonts w:cs="Times New Roman"/>
          <w:i/>
        </w:rPr>
        <w:lastRenderedPageBreak/>
        <w:t>amici</w:t>
      </w:r>
      <w:r>
        <w:rPr>
          <w:rFonts w:cs="Times New Roman"/>
        </w:rPr>
        <w:t>,</w:t>
      </w:r>
      <w:r w:rsidRPr="00501A0A">
        <w:rPr>
          <w:rStyle w:val="Hyperlink"/>
          <w:color w:val="0000FF"/>
          <w:vertAlign w:val="superscript"/>
        </w:rPr>
        <w:footnoteReference w:id="5"/>
      </w:r>
      <w:r w:rsidRPr="0084431D">
        <w:rPr>
          <w:rFonts w:cs="Times New Roman"/>
        </w:rPr>
        <w:t xml:space="preserve"> recommending a sweeping overhaul of our approach to legislative intent and to the determination of the standard of review.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result reached by the majority means that hundreds of administrative </w:t>
      </w:r>
      <w:r>
        <w:rPr>
          <w:rFonts w:cs="Times New Roman"/>
        </w:rPr>
        <w:t>decision-maker</w:t>
      </w:r>
      <w:r w:rsidRPr="0084431D">
        <w:rPr>
          <w:rFonts w:cs="Times New Roman"/>
        </w:rPr>
        <w:t xml:space="preserve">s subject to different kinds of statutory rights of appeal </w:t>
      </w:r>
      <w:r>
        <w:rPr>
          <w:rFonts w:cs="Times New Roman"/>
        </w:rPr>
        <w:t>—</w:t>
      </w:r>
      <w:r w:rsidRPr="0084431D">
        <w:rPr>
          <w:rFonts w:cs="Times New Roman"/>
        </w:rPr>
        <w:t xml:space="preserve"> some in highly specialized fields, such as broadcasting, securities regulation and international trade </w:t>
      </w:r>
      <w:r>
        <w:rPr>
          <w:rFonts w:cs="Times New Roman"/>
        </w:rPr>
        <w:t>—</w:t>
      </w:r>
      <w:r w:rsidRPr="0084431D">
        <w:rPr>
          <w:rFonts w:cs="Times New Roman"/>
        </w:rPr>
        <w:t xml:space="preserve"> will now be subject to an </w:t>
      </w:r>
      <w:proofErr w:type="spellStart"/>
      <w:r w:rsidRPr="0084431D">
        <w:rPr>
          <w:rFonts w:cs="Times New Roman"/>
        </w:rPr>
        <w:t>irrebuttable</w:t>
      </w:r>
      <w:proofErr w:type="spellEnd"/>
      <w:r w:rsidRPr="0084431D">
        <w:rPr>
          <w:rFonts w:cs="Times New Roman"/>
        </w:rPr>
        <w:t xml:space="preserve"> presumption of correctness review. This has the potential to cause a stampede of litigation. Reviewing courts will have license to freely revisit legal questions on matters squarely within the expertise of administrative </w:t>
      </w:r>
      <w:r>
        <w:rPr>
          <w:rFonts w:cs="Times New Roman"/>
        </w:rPr>
        <w:t>decision-maker</w:t>
      </w:r>
      <w:r w:rsidRPr="0084431D">
        <w:rPr>
          <w:rFonts w:cs="Times New Roman"/>
        </w:rPr>
        <w:t xml:space="preserve">s, even if they are of no broader consequence outside of their administrative regimes. Even if specialized </w:t>
      </w:r>
      <w:r>
        <w:rPr>
          <w:rFonts w:cs="Times New Roman"/>
        </w:rPr>
        <w:t>decision-maker</w:t>
      </w:r>
      <w:r w:rsidRPr="0084431D">
        <w:rPr>
          <w:rFonts w:cs="Times New Roman"/>
        </w:rPr>
        <w:t xml:space="preserve">s provide reasonable interpretations of highly technical statutes with which they work daily, even if they provide internally consistent interpretations responsive to the parties’ submissions and consistent with the text, context and purpose of the governing scheme, the administrative body’s past practices and decisions, the common law, prior judicial rulings and international law, those interpretations can still be set aside by a reviewing court that simply takes a different view of the relevant statute. This risks undermining the integrity of administrative proceedings whenever there is a statutory right of appeal, rendering them little more than rehearsals for a judicial appeal </w:t>
      </w:r>
      <w:r>
        <w:rPr>
          <w:rFonts w:cs="Times New Roman"/>
        </w:rPr>
        <w:t>—</w:t>
      </w:r>
      <w:r w:rsidRPr="0084431D">
        <w:rPr>
          <w:rFonts w:cs="Times New Roman"/>
        </w:rPr>
        <w:t xml:space="preserve"> the inverse of the </w:t>
      </w:r>
      <w:r w:rsidRPr="0084431D">
        <w:rPr>
          <w:rFonts w:cs="Times New Roman"/>
        </w:rPr>
        <w:lastRenderedPageBreak/>
        <w:t>legislative intent to establish a specialized regime and entrust certain legal and policy questions to non-judicial actors.</w:t>
      </w:r>
    </w:p>
    <w:p w:rsidR="008B0231" w:rsidRPr="0084431D" w:rsidRDefault="008B0231" w:rsidP="005C2571">
      <w:pPr>
        <w:pStyle w:val="ParaNoNdepar-AltN"/>
        <w:tabs>
          <w:tab w:val="clear" w:pos="1166"/>
          <w:tab w:val="clear" w:pos="1422"/>
          <w:tab w:val="num" w:pos="1152"/>
        </w:tabs>
        <w:ind w:left="0"/>
        <w:rPr>
          <w:rFonts w:cs="Times New Roman"/>
          <w:lang w:bidi="en-US"/>
        </w:rPr>
      </w:pPr>
      <w:r w:rsidRPr="0084431D">
        <w:rPr>
          <w:rFonts w:cs="Times New Roman"/>
        </w:rPr>
        <w:t xml:space="preserve">Ironically, the majority’s approach will be a roadblock to its promise of simplicity. Elevating appeal clauses to indicators of correctness review creates a two-tier system of administrative law: one tier that defers to the expertise of administrative </w:t>
      </w:r>
      <w:r>
        <w:rPr>
          <w:rFonts w:cs="Times New Roman"/>
        </w:rPr>
        <w:t>decision-maker</w:t>
      </w:r>
      <w:r w:rsidRPr="0084431D">
        <w:rPr>
          <w:rFonts w:cs="Times New Roman"/>
        </w:rPr>
        <w:t xml:space="preserve">s where there is no appeal clause; and another tier where such clauses permit judges to substitute their own views of the legal issues at the core of those </w:t>
      </w:r>
      <w:r>
        <w:rPr>
          <w:rFonts w:cs="Times New Roman"/>
        </w:rPr>
        <w:t>decision-maker</w:t>
      </w:r>
      <w:r w:rsidRPr="0084431D">
        <w:rPr>
          <w:rFonts w:cs="Times New Roman"/>
        </w:rPr>
        <w:t>s’ mandates. Within the second tier, the application of appellate law principles will inevitably create confusion by encouraging segmentation in judicial review (</w:t>
      </w:r>
      <w:proofErr w:type="spellStart"/>
      <w:r w:rsidRPr="0084431D">
        <w:rPr>
          <w:rFonts w:cs="Times New Roman"/>
          <w:i/>
        </w:rPr>
        <w:t>Mouvement</w:t>
      </w:r>
      <w:proofErr w:type="spellEnd"/>
      <w:r w:rsidRPr="0084431D">
        <w:rPr>
          <w:rFonts w:cs="Times New Roman"/>
        </w:rPr>
        <w:t xml:space="preserve"> </w:t>
      </w:r>
      <w:proofErr w:type="spellStart"/>
      <w:r w:rsidRPr="0084431D">
        <w:rPr>
          <w:rFonts w:cs="Times New Roman"/>
          <w:i/>
        </w:rPr>
        <w:t>laïque</w:t>
      </w:r>
      <w:proofErr w:type="spellEnd"/>
      <w:r w:rsidRPr="0084431D">
        <w:rPr>
          <w:rFonts w:cs="Times New Roman"/>
        </w:rPr>
        <w:t>,</w:t>
      </w:r>
      <w:r w:rsidRPr="0084431D">
        <w:rPr>
          <w:rFonts w:cs="Times New Roman"/>
          <w:i/>
        </w:rPr>
        <w:t xml:space="preserve"> </w:t>
      </w:r>
      <w:r w:rsidRPr="0084431D">
        <w:rPr>
          <w:rFonts w:cs="Times New Roman"/>
        </w:rPr>
        <w:t xml:space="preserve">at para. 173, </w:t>
      </w:r>
      <w:r w:rsidRPr="003A2FDB">
        <w:rPr>
          <w:rFonts w:cs="Times New Roman"/>
        </w:rPr>
        <w:t xml:space="preserve">per </w:t>
      </w:r>
      <w:proofErr w:type="spellStart"/>
      <w:r w:rsidRPr="0084431D">
        <w:rPr>
          <w:rFonts w:cs="Times New Roman"/>
        </w:rPr>
        <w:t>Abella</w:t>
      </w:r>
      <w:proofErr w:type="spellEnd"/>
      <w:r w:rsidRPr="0084431D">
        <w:rPr>
          <w:rFonts w:cs="Times New Roman"/>
        </w:rPr>
        <w:t xml:space="preserve"> J., concurring in part; see also </w:t>
      </w:r>
      <w:r w:rsidRPr="0084431D">
        <w:rPr>
          <w:rFonts w:cs="Times New Roman"/>
          <w:lang w:val="en-US"/>
        </w:rPr>
        <w:t xml:space="preserve">Paul Daly, “Struggling Towards Coherence in Canadian Administrative Law? Recent Cases on Standard of Review and Reasonableness” (2016), 62 </w:t>
      </w:r>
      <w:r w:rsidRPr="0084431D">
        <w:rPr>
          <w:rFonts w:cs="Times New Roman"/>
          <w:i/>
          <w:lang w:val="en-US"/>
        </w:rPr>
        <w:t>McGill L.J.</w:t>
      </w:r>
      <w:r w:rsidRPr="0084431D">
        <w:rPr>
          <w:rFonts w:cs="Times New Roman"/>
          <w:lang w:val="en-US"/>
        </w:rPr>
        <w:t xml:space="preserve"> 527, at pp</w:t>
      </w:r>
      <w:r>
        <w:rPr>
          <w:rFonts w:cs="Times New Roman"/>
          <w:lang w:val="en-US"/>
        </w:rPr>
        <w:t>. 542-</w:t>
      </w:r>
      <w:r w:rsidR="009239FE">
        <w:rPr>
          <w:rFonts w:cs="Times New Roman"/>
          <w:lang w:val="en-US"/>
        </w:rPr>
        <w:t>43; t</w:t>
      </w:r>
      <w:r w:rsidRPr="0084431D">
        <w:rPr>
          <w:rFonts w:cs="Times New Roman"/>
          <w:lang w:val="en-US"/>
        </w:rPr>
        <w:t xml:space="preserve">he Hon. Joseph T. Robertson, “Identifying the Review Standard: Administrative Deference in a Nutshell” (2017), 68 </w:t>
      </w:r>
      <w:r w:rsidRPr="0084431D">
        <w:rPr>
          <w:rFonts w:cs="Times New Roman"/>
          <w:i/>
          <w:lang w:val="en-US"/>
        </w:rPr>
        <w:t>U.N.B.L.J.</w:t>
      </w:r>
      <w:r w:rsidRPr="0084431D">
        <w:rPr>
          <w:rFonts w:cs="Times New Roman"/>
          <w:lang w:val="en-US"/>
        </w:rPr>
        <w:t xml:space="preserve"> 145, at p. 162</w:t>
      </w:r>
      <w:r w:rsidRPr="0084431D">
        <w:rPr>
          <w:rFonts w:cs="Times New Roman"/>
        </w:rPr>
        <w:t xml:space="preserve">). Courts will be left with the task of identifying palpable and overriding errors for factual questions, extricating legal issues from questions of mixed fact and law, reviewing questions of law </w:t>
      </w:r>
      <w:r w:rsidRPr="0084431D">
        <w:rPr>
          <w:rFonts w:cs="Times New Roman"/>
          <w:i/>
        </w:rPr>
        <w:t>de novo</w:t>
      </w:r>
      <w:r w:rsidRPr="0084431D">
        <w:rPr>
          <w:rFonts w:cs="Times New Roman"/>
        </w:rPr>
        <w:t xml:space="preserve">, and potentially having to apply judicial review and appellate standards interchangeably if an applicant challenges in one proceeding multiple aspects of an administrative decision, some falling within an appeal clause and others not. It is an invitation to complexity and a barrier to access to justice.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The majority’s reasons “</w:t>
      </w:r>
      <w:r w:rsidRPr="0084431D">
        <w:rPr>
          <w:rFonts w:cs="Times New Roman"/>
          <w:lang w:val="en"/>
        </w:rPr>
        <w:t xml:space="preserve">roll back the </w:t>
      </w:r>
      <w:r w:rsidRPr="0084431D">
        <w:rPr>
          <w:rFonts w:cs="Times New Roman"/>
          <w:i/>
          <w:iCs/>
          <w:lang w:val="en"/>
        </w:rPr>
        <w:t>Dunsmuir</w:t>
      </w:r>
      <w:r w:rsidRPr="0084431D">
        <w:rPr>
          <w:rFonts w:cs="Times New Roman"/>
          <w:lang w:val="en"/>
        </w:rPr>
        <w:t xml:space="preserve"> clock to an era </w:t>
      </w:r>
      <w:r>
        <w:rPr>
          <w:rFonts w:cs="Times New Roman"/>
          <w:lang w:val="en"/>
        </w:rPr>
        <w:t>where</w:t>
      </w:r>
      <w:r w:rsidRPr="0084431D">
        <w:rPr>
          <w:rFonts w:cs="Times New Roman"/>
          <w:lang w:val="en"/>
        </w:rPr>
        <w:t xml:space="preserve"> some courts asserted a level of skill and knowledge in administrative matters which further experience showed they did not possess” (</w:t>
      </w:r>
      <w:proofErr w:type="spellStart"/>
      <w:r w:rsidRPr="0084431D">
        <w:rPr>
          <w:rFonts w:cs="Times New Roman"/>
          <w:i/>
          <w:lang w:val="en"/>
        </w:rPr>
        <w:t>Khosa</w:t>
      </w:r>
      <w:proofErr w:type="spellEnd"/>
      <w:r w:rsidRPr="0084431D">
        <w:rPr>
          <w:rFonts w:cs="Times New Roman"/>
          <w:lang w:val="en"/>
        </w:rPr>
        <w:t xml:space="preserve">, at para. 26). </w:t>
      </w:r>
      <w:r w:rsidRPr="0084431D">
        <w:rPr>
          <w:rFonts w:cs="Times New Roman"/>
        </w:rPr>
        <w:t xml:space="preserve">The reasons elevate statutory rights of appeal to a determinative factor based on a formalistic approach that ignores the legislature’s intention to leave certain legal and policy questions to specialized administrative </w:t>
      </w:r>
      <w:r>
        <w:rPr>
          <w:rFonts w:cs="Times New Roman"/>
        </w:rPr>
        <w:t>decision-maker</w:t>
      </w:r>
      <w:r w:rsidRPr="0084431D">
        <w:rPr>
          <w:rFonts w:cs="Times New Roman"/>
        </w:rPr>
        <w:t>s. This unravelling of</w:t>
      </w:r>
      <w:r w:rsidRPr="0084431D">
        <w:rPr>
          <w:rFonts w:cs="Times New Roman"/>
          <w:b/>
        </w:rPr>
        <w:t xml:space="preserve"> </w:t>
      </w:r>
      <w:r w:rsidRPr="0084431D">
        <w:rPr>
          <w:rFonts w:cs="Times New Roman"/>
        </w:rPr>
        <w:t xml:space="preserve">Canada’s carefully developed, deferential approach to administrative law returns us to the “black letter law” approach found in </w:t>
      </w:r>
      <w:proofErr w:type="spellStart"/>
      <w:r w:rsidRPr="0084431D">
        <w:rPr>
          <w:rFonts w:cs="Times New Roman"/>
          <w:i/>
        </w:rPr>
        <w:t>Anisminic</w:t>
      </w:r>
      <w:proofErr w:type="spellEnd"/>
      <w:r w:rsidRPr="0084431D">
        <w:rPr>
          <w:rFonts w:cs="Times New Roman"/>
          <w:i/>
        </w:rPr>
        <w:t xml:space="preserve"> </w:t>
      </w:r>
      <w:r w:rsidRPr="0084431D">
        <w:rPr>
          <w:rFonts w:cs="Times New Roman"/>
        </w:rPr>
        <w:t xml:space="preserve">and cases like </w:t>
      </w:r>
      <w:r w:rsidRPr="0084431D">
        <w:rPr>
          <w:rFonts w:cs="Times New Roman"/>
          <w:i/>
        </w:rPr>
        <w:t xml:space="preserve">Metropolitan Life </w:t>
      </w:r>
      <w:r w:rsidRPr="0084431D">
        <w:rPr>
          <w:rFonts w:cs="Times New Roman"/>
        </w:rPr>
        <w:t xml:space="preserve">whereby specialized </w:t>
      </w:r>
      <w:r>
        <w:rPr>
          <w:rFonts w:cs="Times New Roman"/>
        </w:rPr>
        <w:t>decision-maker</w:t>
      </w:r>
      <w:r w:rsidRPr="0084431D">
        <w:rPr>
          <w:rFonts w:cs="Times New Roman"/>
        </w:rPr>
        <w:t xml:space="preserve">s were subject to the pre-eminent determinations of a judge. Rather than building on </w:t>
      </w:r>
      <w:r w:rsidRPr="0084431D">
        <w:rPr>
          <w:rFonts w:cs="Times New Roman"/>
          <w:i/>
        </w:rPr>
        <w:t>Dunsmuir</w:t>
      </w:r>
      <w:r w:rsidRPr="0084431D">
        <w:rPr>
          <w:rFonts w:cs="Times New Roman"/>
        </w:rPr>
        <w:t>, which recognized</w:t>
      </w:r>
      <w:r w:rsidRPr="0084431D">
        <w:rPr>
          <w:rFonts w:cs="Times New Roman"/>
          <w:i/>
        </w:rPr>
        <w:t xml:space="preserve"> </w:t>
      </w:r>
      <w:r w:rsidRPr="0084431D">
        <w:rPr>
          <w:rFonts w:cs="Times New Roman"/>
        </w:rPr>
        <w:t xml:space="preserve">that specialization is fundamentally intertwined with the legislative choice to delegate particular subject matters to administrative </w:t>
      </w:r>
      <w:r>
        <w:rPr>
          <w:rFonts w:cs="Times New Roman"/>
        </w:rPr>
        <w:t>decision-maker</w:t>
      </w:r>
      <w:r w:rsidRPr="0084431D">
        <w:rPr>
          <w:rFonts w:cs="Times New Roman"/>
        </w:rPr>
        <w:t>s,</w:t>
      </w:r>
      <w:r w:rsidRPr="0084431D">
        <w:rPr>
          <w:rFonts w:cs="Times New Roman"/>
          <w:b/>
        </w:rPr>
        <w:t xml:space="preserve"> </w:t>
      </w:r>
      <w:r w:rsidRPr="0084431D">
        <w:rPr>
          <w:rFonts w:cs="Times New Roman"/>
        </w:rPr>
        <w:t xml:space="preserve">the majority’s reasons banish expertise from the standard of review analysis entirely, opening the door to a host of new correctness categories which remain open to further expansion. The majority’s approach not only erodes the presumption of deference; it erodes confidence in the existence </w:t>
      </w:r>
      <w:r>
        <w:rPr>
          <w:rFonts w:cs="Times New Roman"/>
        </w:rPr>
        <w:t>—</w:t>
      </w:r>
      <w:r w:rsidRPr="0084431D">
        <w:rPr>
          <w:rFonts w:cs="Times New Roman"/>
        </w:rPr>
        <w:t xml:space="preserve"> and desirability </w:t>
      </w:r>
      <w:r>
        <w:rPr>
          <w:rFonts w:cs="Times New Roman"/>
        </w:rPr>
        <w:t>—</w:t>
      </w:r>
      <w:r w:rsidRPr="0084431D">
        <w:rPr>
          <w:rFonts w:cs="Times New Roman"/>
        </w:rPr>
        <w:t xml:space="preserve"> of the “shared enterprise</w:t>
      </w:r>
      <w:r>
        <w:rPr>
          <w:rFonts w:cs="Times New Roman"/>
        </w:rPr>
        <w:t>s</w:t>
      </w:r>
      <w:r w:rsidRPr="0084431D">
        <w:rPr>
          <w:rFonts w:cs="Times New Roman"/>
        </w:rPr>
        <w:t xml:space="preserve"> in the administrative state” of “</w:t>
      </w:r>
      <w:r>
        <w:rPr>
          <w:rFonts w:cs="Times New Roman"/>
        </w:rPr>
        <w:t>[</w:t>
      </w:r>
      <w:r w:rsidRPr="0084431D">
        <w:rPr>
          <w:rFonts w:cs="Times New Roman"/>
        </w:rPr>
        <w:t>l</w:t>
      </w:r>
      <w:r>
        <w:rPr>
          <w:rFonts w:cs="Times New Roman"/>
        </w:rPr>
        <w:t>]</w:t>
      </w:r>
      <w:r w:rsidRPr="0084431D">
        <w:rPr>
          <w:rFonts w:cs="Times New Roman"/>
        </w:rPr>
        <w:t xml:space="preserve">aw-making and legal interpretation” between courts and administrative </w:t>
      </w:r>
      <w:r>
        <w:rPr>
          <w:rFonts w:cs="Times New Roman"/>
        </w:rPr>
        <w:t>decision-maker</w:t>
      </w:r>
      <w:r w:rsidRPr="0084431D">
        <w:rPr>
          <w:rFonts w:cs="Times New Roman"/>
        </w:rPr>
        <w:t xml:space="preserve">s (Stack, at p. 310).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But the aspect of the majority’s decision with the greatest potential to undermine both the integrity of this Court’s decisions, and public confidence in the stability of the law, is its disregard for precedent and </w:t>
      </w:r>
      <w:r w:rsidRPr="0084431D">
        <w:rPr>
          <w:rFonts w:cs="Times New Roman"/>
          <w:i/>
        </w:rPr>
        <w:t>stare decisis</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i/>
        </w:rPr>
        <w:lastRenderedPageBreak/>
        <w:t>Stare decisis</w:t>
      </w:r>
      <w:r w:rsidRPr="0084431D">
        <w:rPr>
          <w:rFonts w:cs="Times New Roman"/>
        </w:rPr>
        <w:t xml:space="preserve"> places significant limits on this Court’s ability to overturn its precedents. Justice Rothstein described some of these limits in </w:t>
      </w:r>
      <w:r w:rsidRPr="0084431D">
        <w:rPr>
          <w:rFonts w:cs="Times New Roman"/>
          <w:i/>
        </w:rPr>
        <w:t>Canada v. Craig</w:t>
      </w:r>
      <w:r w:rsidRPr="0084431D">
        <w:rPr>
          <w:rFonts w:cs="Times New Roman"/>
        </w:rPr>
        <w:t xml:space="preserve">, [2012] 2 S.C.R. 489, the case about horizontal </w:t>
      </w:r>
      <w:r w:rsidRPr="0084431D">
        <w:rPr>
          <w:rFonts w:cs="Times New Roman"/>
          <w:i/>
        </w:rPr>
        <w:t xml:space="preserve">stare decisis </w:t>
      </w:r>
      <w:r w:rsidRPr="0084431D">
        <w:rPr>
          <w:rFonts w:cs="Times New Roman"/>
        </w:rPr>
        <w:t>on which the majority relies:</w:t>
      </w:r>
    </w:p>
    <w:p w:rsidR="008B0231" w:rsidRPr="0084431D" w:rsidRDefault="00112424" w:rsidP="00112424">
      <w:pPr>
        <w:pStyle w:val="Citation-AltC"/>
        <w:tabs>
          <w:tab w:val="left" w:pos="1530"/>
        </w:tabs>
        <w:rPr>
          <w:rFonts w:eastAsiaTheme="minorEastAsia"/>
        </w:rPr>
      </w:pPr>
      <w:r>
        <w:rPr>
          <w:rFonts w:eastAsiaTheme="minorEastAsia"/>
        </w:rPr>
        <w:tab/>
      </w:r>
      <w:r w:rsidR="008B0231" w:rsidRPr="0084431D">
        <w:rPr>
          <w:rFonts w:eastAsiaTheme="minorEastAsia"/>
        </w:rPr>
        <w:t>The question of whether this Court should overrule one of its own prior decisions was addressed recently in </w:t>
      </w:r>
      <w:r w:rsidR="008B0231" w:rsidRPr="0084431D">
        <w:rPr>
          <w:rFonts w:eastAsiaTheme="minorEastAsia"/>
          <w:i/>
          <w:iCs/>
        </w:rPr>
        <w:t>Ontario (Attorney General) v. Fraser</w:t>
      </w:r>
      <w:r w:rsidR="008B0231" w:rsidRPr="0084431D">
        <w:rPr>
          <w:rFonts w:eastAsiaTheme="minorEastAsia"/>
        </w:rPr>
        <w:t>,</w:t>
      </w:r>
      <w:r w:rsidR="008B0231" w:rsidRPr="0084431D">
        <w:rPr>
          <w:rFonts w:eastAsiaTheme="minorEastAsia"/>
          <w:i/>
          <w:iCs/>
        </w:rPr>
        <w:t> </w:t>
      </w:r>
      <w:r w:rsidR="008B0231" w:rsidRPr="0084431D">
        <w:rPr>
          <w:rFonts w:eastAsiaTheme="minorEastAsia"/>
        </w:rPr>
        <w:t xml:space="preserve">2011 SCC 20, [2011] 2 S.C.R. 3. At paragraph 56, Chief Justice </w:t>
      </w:r>
      <w:proofErr w:type="spellStart"/>
      <w:r w:rsidR="008B0231" w:rsidRPr="0084431D">
        <w:rPr>
          <w:rFonts w:eastAsiaTheme="minorEastAsia"/>
        </w:rPr>
        <w:t>McLachlin</w:t>
      </w:r>
      <w:proofErr w:type="spellEnd"/>
      <w:r w:rsidR="008B0231" w:rsidRPr="0084431D">
        <w:rPr>
          <w:rFonts w:eastAsiaTheme="minorEastAsia"/>
        </w:rPr>
        <w:t xml:space="preserve"> and </w:t>
      </w:r>
      <w:proofErr w:type="spellStart"/>
      <w:r w:rsidR="008B0231" w:rsidRPr="0084431D">
        <w:rPr>
          <w:rFonts w:eastAsiaTheme="minorEastAsia"/>
        </w:rPr>
        <w:t>LeBel</w:t>
      </w:r>
      <w:proofErr w:type="spellEnd"/>
      <w:r w:rsidR="008B0231" w:rsidRPr="0084431D">
        <w:rPr>
          <w:rFonts w:eastAsiaTheme="minorEastAsia"/>
        </w:rPr>
        <w:t xml:space="preserve"> J., in joint majority reasons, noted that overturning a precedent of this Court is a step not to be lightly undertaken. </w:t>
      </w:r>
      <w:r w:rsidR="008B0231" w:rsidRPr="0084431D">
        <w:rPr>
          <w:rFonts w:eastAsiaTheme="minorEastAsia"/>
          <w:i/>
        </w:rPr>
        <w:t>This is especially so when the precedent represents the considered views of firm majorities</w:t>
      </w:r>
      <w:r w:rsidR="008B0231" w:rsidRPr="0084431D">
        <w:rPr>
          <w:rFonts w:eastAsiaTheme="minorEastAsia"/>
        </w:rPr>
        <w:t xml:space="preserve"> (para. 57).</w:t>
      </w:r>
    </w:p>
    <w:p w:rsidR="008B0231" w:rsidRPr="0084431D" w:rsidRDefault="008B0231" w:rsidP="008B0231">
      <w:pPr>
        <w:pStyle w:val="Citation-AltC"/>
        <w:rPr>
          <w:rFonts w:eastAsiaTheme="minorEastAsia"/>
        </w:rPr>
      </w:pPr>
    </w:p>
    <w:p w:rsidR="008B0231" w:rsidRPr="0084431D" w:rsidRDefault="00112424" w:rsidP="00112424">
      <w:pPr>
        <w:pStyle w:val="Citation-AltC"/>
        <w:tabs>
          <w:tab w:val="left" w:pos="1620"/>
        </w:tabs>
        <w:rPr>
          <w:rFonts w:eastAsiaTheme="minorEastAsia"/>
        </w:rPr>
      </w:pPr>
      <w:r>
        <w:rPr>
          <w:rFonts w:eastAsiaTheme="minorEastAsia"/>
        </w:rPr>
        <w:tab/>
      </w:r>
      <w:r w:rsidR="008B0231" w:rsidRPr="0084431D">
        <w:rPr>
          <w:rFonts w:eastAsiaTheme="minorEastAsia"/>
        </w:rPr>
        <w:t>Nonetheless, this Court has overruled its own decis</w:t>
      </w:r>
      <w:r w:rsidR="008B0231">
        <w:rPr>
          <w:rFonts w:eastAsiaTheme="minorEastAsia"/>
        </w:rPr>
        <w:t>ions on a number of occasions. </w:t>
      </w:r>
      <w:r w:rsidR="008B0231" w:rsidRPr="0084431D">
        <w:rPr>
          <w:rFonts w:eastAsiaTheme="minorEastAsia"/>
        </w:rPr>
        <w:t>(See </w:t>
      </w:r>
      <w:r w:rsidR="008B0231" w:rsidRPr="0084431D">
        <w:rPr>
          <w:rFonts w:eastAsiaTheme="minorEastAsia"/>
          <w:i/>
          <w:iCs/>
        </w:rPr>
        <w:t xml:space="preserve">R. v. </w:t>
      </w:r>
      <w:proofErr w:type="spellStart"/>
      <w:r w:rsidR="008B0231" w:rsidRPr="0084431D">
        <w:rPr>
          <w:rFonts w:eastAsiaTheme="minorEastAsia"/>
          <w:i/>
          <w:iCs/>
        </w:rPr>
        <w:t>Chaulk</w:t>
      </w:r>
      <w:proofErr w:type="spellEnd"/>
      <w:r w:rsidR="008B0231" w:rsidRPr="0084431D">
        <w:rPr>
          <w:rFonts w:eastAsiaTheme="minorEastAsia"/>
        </w:rPr>
        <w:t>, [1990] 3 S.C.R. 1303, at p.</w:t>
      </w:r>
      <w:r w:rsidR="008B0231">
        <w:rPr>
          <w:rFonts w:eastAsiaTheme="minorEastAsia"/>
        </w:rPr>
        <w:t> </w:t>
      </w:r>
      <w:r w:rsidR="008B0231" w:rsidRPr="0084431D">
        <w:rPr>
          <w:rFonts w:eastAsiaTheme="minorEastAsia"/>
        </w:rPr>
        <w:t>1353, </w:t>
      </w:r>
      <w:r w:rsidR="008B0231" w:rsidRPr="0084431D">
        <w:rPr>
          <w:rFonts w:eastAsiaTheme="minorEastAsia"/>
          <w:i/>
          <w:iCs/>
        </w:rPr>
        <w:t>per</w:t>
      </w:r>
      <w:r w:rsidR="008B0231" w:rsidRPr="0084431D">
        <w:rPr>
          <w:rFonts w:eastAsiaTheme="minorEastAsia"/>
        </w:rPr>
        <w:t> Lamer C.J., for the majority; </w:t>
      </w:r>
      <w:r w:rsidR="008B0231" w:rsidRPr="0084431D">
        <w:rPr>
          <w:rFonts w:eastAsiaTheme="minorEastAsia"/>
          <w:i/>
          <w:iCs/>
        </w:rPr>
        <w:t>R. v. B. (K.G.)</w:t>
      </w:r>
      <w:r w:rsidR="008B0231" w:rsidRPr="0084431D">
        <w:rPr>
          <w:rFonts w:eastAsiaTheme="minorEastAsia"/>
        </w:rPr>
        <w:t>, [1993] 1 S.C.R. 740; </w:t>
      </w:r>
      <w:r w:rsidR="008B0231" w:rsidRPr="0084431D">
        <w:rPr>
          <w:rFonts w:eastAsiaTheme="minorEastAsia"/>
          <w:i/>
          <w:iCs/>
        </w:rPr>
        <w:t>R. v. Robinson</w:t>
      </w:r>
      <w:r w:rsidR="008B0231" w:rsidRPr="0084431D">
        <w:rPr>
          <w:rFonts w:eastAsiaTheme="minorEastAsia"/>
        </w:rPr>
        <w:t>, [1996] 1 S.C.R. 683.) </w:t>
      </w:r>
      <w:r w:rsidR="008B0231" w:rsidRPr="0084431D">
        <w:rPr>
          <w:rFonts w:eastAsiaTheme="minorEastAsia"/>
          <w:i/>
        </w:rPr>
        <w:t xml:space="preserve">However, the Court must be satisfied based on compelling reasons that the precedent was wrongly decided and should be </w:t>
      </w:r>
      <w:proofErr w:type="gramStart"/>
      <w:r w:rsidR="008B0231" w:rsidRPr="0084431D">
        <w:rPr>
          <w:rFonts w:eastAsiaTheme="minorEastAsia"/>
          <w:i/>
        </w:rPr>
        <w:t>overruled</w:t>
      </w:r>
      <w:r w:rsidR="008B0231">
        <w:rPr>
          <w:rFonts w:eastAsiaTheme="minorEastAsia"/>
          <w:i/>
        </w:rPr>
        <w:t xml:space="preserve"> </w:t>
      </w:r>
      <w:r w:rsidR="008B0231" w:rsidRPr="0084431D">
        <w:rPr>
          <w:rFonts w:eastAsiaTheme="minorEastAsia"/>
          <w:i/>
        </w:rPr>
        <w:t>.</w:t>
      </w:r>
      <w:proofErr w:type="gramEnd"/>
      <w:r w:rsidR="00DC1785">
        <w:rPr>
          <w:rFonts w:eastAsiaTheme="minorEastAsia"/>
          <w:i/>
        </w:rPr>
        <w:t> </w:t>
      </w:r>
      <w:r w:rsidR="008B0231">
        <w:rPr>
          <w:rFonts w:eastAsiaTheme="minorEastAsia"/>
          <w:i/>
        </w:rPr>
        <w:t>.</w:t>
      </w:r>
      <w:r w:rsidR="00DC1785">
        <w:rPr>
          <w:rFonts w:eastAsiaTheme="minorEastAsia"/>
          <w:i/>
        </w:rPr>
        <w:t> </w:t>
      </w:r>
      <w:r w:rsidR="008B0231">
        <w:rPr>
          <w:rFonts w:eastAsiaTheme="minorEastAsia"/>
          <w:i/>
        </w:rPr>
        <w:t>.</w:t>
      </w:r>
      <w:r w:rsidR="00DC1785">
        <w:rPr>
          <w:rFonts w:eastAsiaTheme="minorEastAsia"/>
          <w:i/>
        </w:rPr>
        <w:t> </w:t>
      </w:r>
      <w:r w:rsidR="008B0231">
        <w:rPr>
          <w:rFonts w:eastAsiaTheme="minorEastAsia"/>
          <w:i/>
        </w:rPr>
        <w:t>.</w:t>
      </w:r>
    </w:p>
    <w:p w:rsidR="008B0231" w:rsidRPr="0084431D" w:rsidRDefault="008B0231" w:rsidP="008B0231">
      <w:pPr>
        <w:pStyle w:val="Citation-AltC"/>
        <w:rPr>
          <w:rFonts w:eastAsiaTheme="minorEastAsia"/>
        </w:rPr>
      </w:pPr>
    </w:p>
    <w:p w:rsidR="008B0231" w:rsidRPr="0084431D" w:rsidRDefault="00112424" w:rsidP="00112424">
      <w:pPr>
        <w:pStyle w:val="Citation-AltC"/>
        <w:tabs>
          <w:tab w:val="left" w:pos="1710"/>
        </w:tabs>
        <w:rPr>
          <w:rFonts w:eastAsiaTheme="minorEastAsia"/>
        </w:rPr>
      </w:pPr>
      <w:r>
        <w:rPr>
          <w:rFonts w:eastAsiaTheme="minorEastAsia"/>
        </w:rPr>
        <w:tab/>
      </w:r>
      <w:r w:rsidR="008B0231" w:rsidRPr="0084431D">
        <w:rPr>
          <w:rFonts w:eastAsiaTheme="minorEastAsia"/>
        </w:rPr>
        <w:t>Courts must proceed with caution when deciding to overrule a prior decision. In </w:t>
      </w:r>
      <w:r w:rsidR="008B0231" w:rsidRPr="0084431D">
        <w:rPr>
          <w:rFonts w:eastAsiaTheme="minorEastAsia"/>
          <w:i/>
          <w:iCs/>
        </w:rPr>
        <w:t>Queensland v. Commonwealth</w:t>
      </w:r>
      <w:r w:rsidR="008B0231" w:rsidRPr="0084431D">
        <w:rPr>
          <w:rFonts w:eastAsiaTheme="minorEastAsia"/>
        </w:rPr>
        <w:t> (1977), 139 C.L.R. 585 (H.C.A.), at p. 599, Justice Gibbs articulated the required approach succinctly:</w:t>
      </w:r>
    </w:p>
    <w:p w:rsidR="008B0231" w:rsidRPr="0084431D" w:rsidRDefault="008B0231" w:rsidP="008B0231">
      <w:pPr>
        <w:pStyle w:val="Citation-AltC"/>
        <w:rPr>
          <w:rFonts w:eastAsiaTheme="minorEastAsia"/>
        </w:rPr>
      </w:pPr>
    </w:p>
    <w:p w:rsidR="008B0231" w:rsidRPr="0084431D" w:rsidRDefault="008B0231" w:rsidP="008B0231">
      <w:pPr>
        <w:pStyle w:val="Citation-AltC"/>
        <w:ind w:left="1800"/>
        <w:rPr>
          <w:rFonts w:eastAsiaTheme="minorEastAsia"/>
        </w:rPr>
      </w:pPr>
      <w:r w:rsidRPr="0084431D">
        <w:rPr>
          <w:rFonts w:eastAsiaTheme="minorEastAsia"/>
        </w:rPr>
        <w:t>No Justice is entitled to ignore the decisions and reasoning of his predecessors, and to arrive at his own judgment as though the pages of the law reports were blank, or as though the authority of a decision did not survive beyond the rising of the Court. A Justice, unlike a legislator, cannot introduce a programme of reform which sets at nought decisions formerly made and pr</w:t>
      </w:r>
      <w:r>
        <w:rPr>
          <w:rFonts w:eastAsiaTheme="minorEastAsia"/>
        </w:rPr>
        <w:t>inciples formerly established. </w:t>
      </w:r>
      <w:r w:rsidRPr="0084431D">
        <w:rPr>
          <w:rFonts w:eastAsiaTheme="minorEastAsia"/>
        </w:rPr>
        <w:t>It is only after the most careful and respectful consideration of the earlier decision, and after giving due weight to all the circumstances, that a Justice may give effect to his own opinions in preference to an earlier decision of the Court.</w:t>
      </w:r>
      <w:r>
        <w:rPr>
          <w:rFonts w:eastAsiaTheme="minorEastAsia"/>
        </w:rPr>
        <w:t xml:space="preserve"> </w:t>
      </w:r>
      <w:r w:rsidRPr="0084431D">
        <w:rPr>
          <w:rFonts w:eastAsiaTheme="minorEastAsia"/>
        </w:rPr>
        <w:t>[</w:t>
      </w:r>
      <w:r>
        <w:rPr>
          <w:rFonts w:eastAsiaTheme="minorEastAsia"/>
        </w:rPr>
        <w:t>E</w:t>
      </w:r>
      <w:r w:rsidRPr="0084431D">
        <w:rPr>
          <w:rFonts w:eastAsiaTheme="minorEastAsia"/>
        </w:rPr>
        <w:t>mphasis added</w:t>
      </w:r>
      <w:r>
        <w:rPr>
          <w:rFonts w:eastAsiaTheme="minorEastAsia"/>
        </w:rPr>
        <w:t>; paras. 24-26.</w:t>
      </w:r>
      <w:r w:rsidRPr="0084431D">
        <w:rPr>
          <w:rFonts w:eastAsiaTheme="minorEastAsia"/>
        </w:rPr>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Apex courts in several jurisdictions outside Canada have similarly stressed the need for caution and compelling justification before departing from precedent. The </w:t>
      </w:r>
      <w:r w:rsidRPr="0084431D">
        <w:rPr>
          <w:rFonts w:cs="Times New Roman"/>
        </w:rPr>
        <w:lastRenderedPageBreak/>
        <w:t>United States Supreme Court refrains from overruling its past decisions absent a “special justification”, which must be over and above the belief that a prior case was wrongly decided (</w:t>
      </w:r>
      <w:r w:rsidRPr="0084431D">
        <w:rPr>
          <w:rFonts w:cs="Times New Roman"/>
          <w:i/>
        </w:rPr>
        <w:t>Kimble v. Marvel Entertainment, LLC</w:t>
      </w:r>
      <w:r w:rsidRPr="0084431D">
        <w:rPr>
          <w:rFonts w:cs="Times New Roman"/>
        </w:rPr>
        <w:t>,</w:t>
      </w:r>
      <w:r>
        <w:rPr>
          <w:rFonts w:cs="Times New Roman"/>
        </w:rPr>
        <w:t xml:space="preserve"> 135 S. Ct. 2401 (2015), at p. 2409</w:t>
      </w:r>
      <w:r w:rsidRPr="0084431D">
        <w:rPr>
          <w:rFonts w:cs="Times New Roman"/>
        </w:rPr>
        <w:t xml:space="preserve">; see also </w:t>
      </w:r>
      <w:r w:rsidRPr="0084431D">
        <w:rPr>
          <w:rFonts w:cs="Times New Roman"/>
          <w:i/>
        </w:rPr>
        <w:t>Halliburton Co. v. Erica P. John Fund, Inc.</w:t>
      </w:r>
      <w:r w:rsidRPr="0084431D">
        <w:rPr>
          <w:rFonts w:cs="Times New Roman"/>
        </w:rPr>
        <w:t xml:space="preserve">, 573 U.S. 258 (2014), at p. 266; </w:t>
      </w:r>
      <w:proofErr w:type="spellStart"/>
      <w:r>
        <w:rPr>
          <w:rFonts w:cs="Times New Roman"/>
          <w:i/>
        </w:rPr>
        <w:t>Kisor</w:t>
      </w:r>
      <w:proofErr w:type="spellEnd"/>
      <w:r>
        <w:rPr>
          <w:rFonts w:cs="Times New Roman"/>
          <w:i/>
        </w:rPr>
        <w:t xml:space="preserve"> v. </w:t>
      </w:r>
      <w:proofErr w:type="spellStart"/>
      <w:r>
        <w:rPr>
          <w:rFonts w:cs="Times New Roman"/>
          <w:i/>
        </w:rPr>
        <w:t>Wilkie</w:t>
      </w:r>
      <w:proofErr w:type="spellEnd"/>
      <w:r>
        <w:rPr>
          <w:rFonts w:cs="Times New Roman"/>
        </w:rPr>
        <w:t xml:space="preserve">, 139 S. Ct. 2400 </w:t>
      </w:r>
      <w:r w:rsidRPr="0084431D">
        <w:rPr>
          <w:rFonts w:cs="Times New Roman"/>
        </w:rPr>
        <w:t>(2019), at pp.</w:t>
      </w:r>
      <w:r>
        <w:rPr>
          <w:rFonts w:cs="Times New Roman"/>
        </w:rPr>
        <w:t xml:space="preserve"> 2418 and 2422</w:t>
      </w:r>
      <w:r w:rsidRPr="0084431D">
        <w:rPr>
          <w:rFonts w:cs="Times New Roman"/>
        </w:rPr>
        <w:t xml:space="preserve">; Bryan A. Garner et al., </w:t>
      </w:r>
      <w:r w:rsidRPr="0084431D">
        <w:rPr>
          <w:rFonts w:cs="Times New Roman"/>
          <w:i/>
        </w:rPr>
        <w:t>The Law of Judicial Precedent</w:t>
      </w:r>
      <w:r w:rsidRPr="0084431D">
        <w:rPr>
          <w:rFonts w:cs="Times New Roman"/>
        </w:rPr>
        <w:t xml:space="preserve"> (2016), at pp. 35-36).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Similarly, the House of Lords “require[d] much more than doubts as to the correctness of [a past decision] to justify departing from it” (</w:t>
      </w:r>
      <w:proofErr w:type="spellStart"/>
      <w:r w:rsidRPr="0084431D">
        <w:rPr>
          <w:rFonts w:cs="Times New Roman"/>
          <w:i/>
        </w:rPr>
        <w:t>Fitzleet</w:t>
      </w:r>
      <w:proofErr w:type="spellEnd"/>
      <w:r w:rsidRPr="0084431D">
        <w:rPr>
          <w:rFonts w:cs="Times New Roman"/>
          <w:i/>
        </w:rPr>
        <w:t xml:space="preserve"> Estates Ltd. v. Cherry</w:t>
      </w:r>
      <w:r>
        <w:rPr>
          <w:rFonts w:cs="Times New Roman"/>
        </w:rPr>
        <w:t xml:space="preserve"> (1977)</w:t>
      </w:r>
      <w:r w:rsidRPr="0084431D">
        <w:rPr>
          <w:rFonts w:cs="Times New Roman"/>
        </w:rPr>
        <w:t>,</w:t>
      </w:r>
      <w:r>
        <w:rPr>
          <w:rFonts w:cs="Times New Roman"/>
        </w:rPr>
        <w:t xml:space="preserve"> 51 T.C. 708, a</w:t>
      </w:r>
      <w:r w:rsidRPr="0084431D">
        <w:rPr>
          <w:rFonts w:cs="Times New Roman"/>
        </w:rPr>
        <w:t>t p. 718), an approach that the United Kingdom Supreme Court continues to endorse (</w:t>
      </w:r>
      <w:r w:rsidRPr="0084431D">
        <w:rPr>
          <w:rFonts w:cs="Times New Roman"/>
          <w:i/>
        </w:rPr>
        <w:t>R. v. Taylor</w:t>
      </w:r>
      <w:r w:rsidRPr="0084431D">
        <w:rPr>
          <w:rFonts w:cs="Times New Roman"/>
        </w:rPr>
        <w:t>,</w:t>
      </w:r>
      <w:r>
        <w:rPr>
          <w:rFonts w:cs="Times New Roman"/>
        </w:rPr>
        <w:t xml:space="preserve"> [2016] U</w:t>
      </w:r>
      <w:r w:rsidRPr="0084431D">
        <w:rPr>
          <w:rFonts w:cs="Times New Roman"/>
        </w:rPr>
        <w:t xml:space="preserve">KSC 5, </w:t>
      </w:r>
      <w:r>
        <w:rPr>
          <w:rFonts w:cs="Times New Roman"/>
        </w:rPr>
        <w:t xml:space="preserve">[2016] 4 All E.R. 617, </w:t>
      </w:r>
      <w:r w:rsidRPr="0084431D">
        <w:rPr>
          <w:rFonts w:cs="Times New Roman"/>
        </w:rPr>
        <w:t xml:space="preserve">at para. 19; </w:t>
      </w:r>
      <w:proofErr w:type="spellStart"/>
      <w:r w:rsidRPr="0084431D">
        <w:rPr>
          <w:rFonts w:cs="Times New Roman"/>
          <w:i/>
        </w:rPr>
        <w:t>Willers</w:t>
      </w:r>
      <w:proofErr w:type="spellEnd"/>
      <w:r w:rsidRPr="0084431D">
        <w:rPr>
          <w:rFonts w:cs="Times New Roman"/>
          <w:i/>
        </w:rPr>
        <w:t xml:space="preserve"> v. Joyce</w:t>
      </w:r>
      <w:r>
        <w:rPr>
          <w:rFonts w:cs="Times New Roman"/>
          <w:i/>
        </w:rPr>
        <w:t xml:space="preserve"> (No. 2)</w:t>
      </w:r>
      <w:r>
        <w:rPr>
          <w:rFonts w:cs="Times New Roman"/>
        </w:rPr>
        <w:t>, [2016] U</w:t>
      </w:r>
      <w:r w:rsidRPr="0084431D">
        <w:rPr>
          <w:rFonts w:cs="Times New Roman"/>
        </w:rPr>
        <w:t xml:space="preserve">KSC 44, </w:t>
      </w:r>
      <w:r>
        <w:rPr>
          <w:rFonts w:cs="Times New Roman"/>
        </w:rPr>
        <w:t xml:space="preserve">[2017] 2 All E.R. 383, </w:t>
      </w:r>
      <w:r w:rsidRPr="0084431D">
        <w:rPr>
          <w:rFonts w:cs="Times New Roman"/>
        </w:rPr>
        <w:t xml:space="preserve">at para. 7; </w:t>
      </w:r>
      <w:proofErr w:type="spellStart"/>
      <w:r w:rsidRPr="0084431D">
        <w:rPr>
          <w:rFonts w:cs="Times New Roman"/>
          <w:i/>
        </w:rPr>
        <w:t>Knauer</w:t>
      </w:r>
      <w:proofErr w:type="spellEnd"/>
      <w:r w:rsidRPr="0084431D">
        <w:rPr>
          <w:rFonts w:cs="Times New Roman"/>
          <w:i/>
        </w:rPr>
        <w:t xml:space="preserve"> v. Ministry of </w:t>
      </w:r>
      <w:r w:rsidRPr="005C2571">
        <w:rPr>
          <w:rFonts w:cs="Times New Roman"/>
        </w:rPr>
        <w:t>Justice</w:t>
      </w:r>
      <w:r>
        <w:rPr>
          <w:rFonts w:cs="Times New Roman"/>
        </w:rPr>
        <w:t>, [2016] U</w:t>
      </w:r>
      <w:r w:rsidRPr="0084431D">
        <w:rPr>
          <w:rFonts w:cs="Times New Roman"/>
        </w:rPr>
        <w:t xml:space="preserve">KSC 9, </w:t>
      </w:r>
      <w:r>
        <w:rPr>
          <w:rFonts w:cs="Times New Roman"/>
        </w:rPr>
        <w:t xml:space="preserve">[2016] 4 All E.R. 897, </w:t>
      </w:r>
      <w:r w:rsidRPr="0084431D">
        <w:rPr>
          <w:rFonts w:cs="Times New Roman"/>
        </w:rPr>
        <w:t xml:space="preserve">at paras. 22-23).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New Zealand’s Supreme Court views “caution, often considerable caution” as the “touchstone” of its approach to horizontal </w:t>
      </w:r>
      <w:r w:rsidRPr="0084431D">
        <w:rPr>
          <w:rFonts w:cs="Times New Roman"/>
          <w:i/>
        </w:rPr>
        <w:t>stare decisis</w:t>
      </w:r>
      <w:r w:rsidRPr="0084431D">
        <w:rPr>
          <w:rFonts w:cs="Times New Roman"/>
        </w:rPr>
        <w:t>, and has emphasized that it will not depart from precedent “merely because, if the matter were being decided afresh, the Court might take a different view” (</w:t>
      </w:r>
      <w:r>
        <w:rPr>
          <w:rFonts w:cs="Times New Roman"/>
          <w:i/>
        </w:rPr>
        <w:t>Couch v. Attorney-</w:t>
      </w:r>
      <w:r w:rsidRPr="0084431D">
        <w:rPr>
          <w:rFonts w:cs="Times New Roman"/>
          <w:i/>
        </w:rPr>
        <w:t>General</w:t>
      </w:r>
      <w:r w:rsidRPr="0084431D">
        <w:rPr>
          <w:rFonts w:cs="Times New Roman"/>
        </w:rPr>
        <w:t xml:space="preserve"> </w:t>
      </w:r>
      <w:r w:rsidRPr="0084431D">
        <w:rPr>
          <w:rFonts w:cs="Times New Roman"/>
          <w:i/>
        </w:rPr>
        <w:t>(No. 2)</w:t>
      </w:r>
      <w:r>
        <w:rPr>
          <w:rFonts w:cs="Times New Roman"/>
        </w:rPr>
        <w:t>, [2010] N</w:t>
      </w:r>
      <w:r w:rsidRPr="0084431D">
        <w:rPr>
          <w:rFonts w:cs="Times New Roman"/>
        </w:rPr>
        <w:t xml:space="preserve">ZSC 27, </w:t>
      </w:r>
      <w:r>
        <w:rPr>
          <w:rFonts w:cs="Times New Roman"/>
        </w:rPr>
        <w:t xml:space="preserve">[2010] 3 N.Z.L.R. 149, </w:t>
      </w:r>
      <w:r w:rsidRPr="0084431D">
        <w:rPr>
          <w:rFonts w:cs="Times New Roman"/>
        </w:rPr>
        <w:t>at para</w:t>
      </w:r>
      <w:r>
        <w:rPr>
          <w:rFonts w:cs="Times New Roman"/>
        </w:rPr>
        <w:t>s</w:t>
      </w:r>
      <w:r w:rsidRPr="0084431D">
        <w:rPr>
          <w:rFonts w:cs="Times New Roman"/>
        </w:rPr>
        <w:t>. 105,</w:t>
      </w:r>
      <w:r w:rsidRPr="009D0E40">
        <w:rPr>
          <w:rFonts w:cs="Times New Roman"/>
        </w:rPr>
        <w:t xml:space="preserve"> per</w:t>
      </w:r>
      <w:r w:rsidRPr="0084431D">
        <w:rPr>
          <w:rFonts w:cs="Times New Roman"/>
        </w:rPr>
        <w:t xml:space="preserve"> Tipping J., and 209, </w:t>
      </w:r>
      <w:r w:rsidRPr="009D0E40">
        <w:rPr>
          <w:rFonts w:cs="Times New Roman"/>
        </w:rPr>
        <w:t>per</w:t>
      </w:r>
      <w:r w:rsidRPr="0084431D">
        <w:rPr>
          <w:rFonts w:cs="Times New Roman"/>
          <w:i/>
        </w:rPr>
        <w:t xml:space="preserve"> </w:t>
      </w:r>
      <w:r w:rsidRPr="0084431D">
        <w:rPr>
          <w:rFonts w:cs="Times New Roman"/>
        </w:rPr>
        <w:t xml:space="preserve">McGrath J.).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Restraint and respect for precedent also guide the High Court of Australia and South Africa’s Constitutional Court when applying </w:t>
      </w:r>
      <w:r w:rsidRPr="0084431D">
        <w:rPr>
          <w:rFonts w:cs="Times New Roman"/>
          <w:i/>
        </w:rPr>
        <w:t xml:space="preserve">stare decisis </w:t>
      </w:r>
      <w:r w:rsidRPr="0084431D">
        <w:rPr>
          <w:rFonts w:cs="Times New Roman"/>
        </w:rPr>
        <w:t>(</w:t>
      </w:r>
      <w:r w:rsidRPr="0084431D">
        <w:rPr>
          <w:rFonts w:cs="Times New Roman"/>
          <w:i/>
        </w:rPr>
        <w:t>Lee v. New South Wales Crime Commission</w:t>
      </w:r>
      <w:r>
        <w:rPr>
          <w:rFonts w:cs="Times New Roman"/>
        </w:rPr>
        <w:t>, [2013] H</w:t>
      </w:r>
      <w:r w:rsidRPr="0084431D">
        <w:rPr>
          <w:rFonts w:cs="Times New Roman"/>
        </w:rPr>
        <w:t xml:space="preserve">CA 39, </w:t>
      </w:r>
      <w:r>
        <w:rPr>
          <w:rFonts w:cs="Times New Roman"/>
        </w:rPr>
        <w:t xml:space="preserve">302 A.L.R. 363, </w:t>
      </w:r>
      <w:r w:rsidRPr="0084431D">
        <w:rPr>
          <w:rFonts w:cs="Times New Roman"/>
        </w:rPr>
        <w:t>at paras. 62</w:t>
      </w:r>
      <w:r>
        <w:rPr>
          <w:rFonts w:cs="Times New Roman"/>
        </w:rPr>
        <w:t>-66 and</w:t>
      </w:r>
      <w:r w:rsidRPr="0084431D">
        <w:rPr>
          <w:rFonts w:cs="Times New Roman"/>
        </w:rPr>
        <w:t xml:space="preserve"> 70; </w:t>
      </w:r>
      <w:r w:rsidRPr="0084431D">
        <w:rPr>
          <w:rFonts w:cs="Times New Roman"/>
          <w:i/>
        </w:rPr>
        <w:lastRenderedPageBreak/>
        <w:t>Camps Bay Ratepayers’ and Residents’ Association v. Harrison</w:t>
      </w:r>
      <w:r w:rsidRPr="0084431D">
        <w:rPr>
          <w:rFonts w:cs="Times New Roman"/>
        </w:rPr>
        <w:t xml:space="preserve">, [2010] ZACC 19, </w:t>
      </w:r>
      <w:r>
        <w:rPr>
          <w:rFonts w:cs="Times New Roman"/>
        </w:rPr>
        <w:t xml:space="preserve">2011 (4) S.A. 42, </w:t>
      </w:r>
      <w:r w:rsidRPr="0084431D">
        <w:rPr>
          <w:rFonts w:cs="Times New Roman"/>
        </w:rPr>
        <w:t xml:space="preserve">at </w:t>
      </w:r>
      <w:r>
        <w:rPr>
          <w:rFonts w:cs="Times New Roman"/>
        </w:rPr>
        <w:t>pp. 55-56</w:t>
      </w:r>
      <w:r w:rsidRPr="0084431D">
        <w:rPr>
          <w:rFonts w:cs="Times New Roman"/>
        </w:rPr>
        <w:t xml:space="preserve">; </w:t>
      </w:r>
      <w:r w:rsidRPr="0084431D">
        <w:rPr>
          <w:rFonts w:cs="Times New Roman"/>
          <w:i/>
        </w:rPr>
        <w:t>Buffalo City Metropolitan</w:t>
      </w:r>
      <w:r>
        <w:rPr>
          <w:rFonts w:cs="Times New Roman"/>
          <w:i/>
        </w:rPr>
        <w:t xml:space="preserve"> Municipality</w:t>
      </w:r>
      <w:r w:rsidRPr="0084431D">
        <w:rPr>
          <w:rFonts w:cs="Times New Roman"/>
          <w:i/>
        </w:rPr>
        <w:t xml:space="preserve"> v. </w:t>
      </w:r>
      <w:proofErr w:type="spellStart"/>
      <w:r w:rsidRPr="0084431D">
        <w:rPr>
          <w:rFonts w:cs="Times New Roman"/>
          <w:i/>
        </w:rPr>
        <w:t>Asla</w:t>
      </w:r>
      <w:proofErr w:type="spellEnd"/>
      <w:r w:rsidRPr="0084431D">
        <w:rPr>
          <w:rFonts w:cs="Times New Roman"/>
          <w:i/>
        </w:rPr>
        <w:t xml:space="preserve"> Construction </w:t>
      </w:r>
      <w:r w:rsidR="00AC47F2">
        <w:rPr>
          <w:rFonts w:cs="Times New Roman"/>
          <w:i/>
        </w:rPr>
        <w:t xml:space="preserve">(Pty) </w:t>
      </w:r>
      <w:r w:rsidRPr="0084431D">
        <w:rPr>
          <w:rFonts w:cs="Times New Roman"/>
          <w:i/>
        </w:rPr>
        <w:t>Ltd.</w:t>
      </w:r>
      <w:r>
        <w:rPr>
          <w:rFonts w:cs="Times New Roman"/>
        </w:rPr>
        <w:t>, [2019] Z</w:t>
      </w:r>
      <w:r w:rsidRPr="0084431D">
        <w:rPr>
          <w:rFonts w:cs="Times New Roman"/>
        </w:rPr>
        <w:t xml:space="preserve">ACC 15, </w:t>
      </w:r>
      <w:r>
        <w:rPr>
          <w:rFonts w:cs="Times New Roman"/>
        </w:rPr>
        <w:t xml:space="preserve">2019 (4) S.A. 331, </w:t>
      </w:r>
      <w:r w:rsidR="00850B99">
        <w:rPr>
          <w:rFonts w:cs="Times New Roman"/>
        </w:rPr>
        <w:t>at para. 65).</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virtues of horizontal </w:t>
      </w:r>
      <w:r w:rsidRPr="0084431D">
        <w:rPr>
          <w:rFonts w:cs="Times New Roman"/>
          <w:i/>
        </w:rPr>
        <w:t xml:space="preserve">stare decisis </w:t>
      </w:r>
      <w:r w:rsidRPr="0084431D">
        <w:rPr>
          <w:rFonts w:cs="Times New Roman"/>
        </w:rPr>
        <w:t xml:space="preserve">are widely recognized. The doctrine “promotes the </w:t>
      </w:r>
      <w:proofErr w:type="spellStart"/>
      <w:r w:rsidRPr="0084431D">
        <w:rPr>
          <w:rFonts w:cs="Times New Roman"/>
        </w:rPr>
        <w:t>evenhanded</w:t>
      </w:r>
      <w:proofErr w:type="spellEnd"/>
      <w:r w:rsidRPr="0084431D">
        <w:rPr>
          <w:rFonts w:cs="Times New Roman"/>
        </w:rPr>
        <w:t>, predictable</w:t>
      </w:r>
      <w:r>
        <w:rPr>
          <w:rFonts w:cs="Times New Roman"/>
        </w:rPr>
        <w:t>,</w:t>
      </w:r>
      <w:r w:rsidRPr="0084431D">
        <w:rPr>
          <w:rFonts w:cs="Times New Roman"/>
        </w:rPr>
        <w:t xml:space="preserve"> and consistent development of legal principles, fosters reliance on judicial decisions, and contributes to the actual and perceived integrity of the judicial process” (</w:t>
      </w:r>
      <w:r w:rsidRPr="0084431D">
        <w:rPr>
          <w:rFonts w:cs="Times New Roman"/>
          <w:i/>
        </w:rPr>
        <w:t>Kimble</w:t>
      </w:r>
      <w:r w:rsidRPr="0084431D">
        <w:rPr>
          <w:rFonts w:cs="Times New Roman"/>
        </w:rPr>
        <w:t xml:space="preserve">, </w:t>
      </w:r>
      <w:r>
        <w:rPr>
          <w:rFonts w:cs="Times New Roman"/>
        </w:rPr>
        <w:t>at p. 2409</w:t>
      </w:r>
      <w:r w:rsidRPr="0084431D">
        <w:rPr>
          <w:rFonts w:cs="Times New Roman"/>
        </w:rPr>
        <w:t xml:space="preserve">, citing </w:t>
      </w:r>
      <w:r w:rsidRPr="0084431D">
        <w:rPr>
          <w:rFonts w:cs="Times New Roman"/>
          <w:i/>
        </w:rPr>
        <w:t>Payne v. Tennessee</w:t>
      </w:r>
      <w:r w:rsidRPr="0084431D">
        <w:rPr>
          <w:rFonts w:cs="Times New Roman"/>
        </w:rPr>
        <w:t xml:space="preserve">, 501 U.S. 808 (1991), at p. 827). </w:t>
      </w:r>
      <w:r w:rsidRPr="0084431D">
        <w:rPr>
          <w:rFonts w:cs="Times New Roman"/>
          <w:lang w:val="en-US"/>
        </w:rPr>
        <w:t xml:space="preserve">This Court has stressed the importance of </w:t>
      </w:r>
      <w:r w:rsidRPr="0084431D">
        <w:rPr>
          <w:rFonts w:cs="Times New Roman"/>
          <w:i/>
          <w:lang w:val="en-US"/>
        </w:rPr>
        <w:t xml:space="preserve">stare decisis </w:t>
      </w:r>
      <w:r w:rsidRPr="0084431D">
        <w:rPr>
          <w:rFonts w:cs="Times New Roman"/>
          <w:lang w:val="en-US"/>
        </w:rPr>
        <w:t>for “[c]</w:t>
      </w:r>
      <w:proofErr w:type="spellStart"/>
      <w:r w:rsidRPr="0084431D">
        <w:rPr>
          <w:rFonts w:cs="Times New Roman"/>
          <w:lang w:val="en-US"/>
        </w:rPr>
        <w:t>ertainty</w:t>
      </w:r>
      <w:proofErr w:type="spellEnd"/>
      <w:r w:rsidRPr="0084431D">
        <w:rPr>
          <w:rFonts w:cs="Times New Roman"/>
          <w:lang w:val="en-US"/>
        </w:rPr>
        <w:t xml:space="preserve"> in the law” (</w:t>
      </w:r>
      <w:r w:rsidRPr="0084431D">
        <w:rPr>
          <w:rFonts w:cs="Times New Roman"/>
          <w:i/>
        </w:rPr>
        <w:t>Canada (Attorney General) v. Bedford</w:t>
      </w:r>
      <w:r w:rsidRPr="0084431D">
        <w:rPr>
          <w:rFonts w:cs="Times New Roman"/>
        </w:rPr>
        <w:t xml:space="preserve">, [2013] 3 S.C.R. 1101, at para. 38; </w:t>
      </w:r>
      <w:r w:rsidRPr="0084431D">
        <w:rPr>
          <w:rFonts w:cs="Times New Roman"/>
          <w:i/>
          <w:lang w:val="en-US"/>
        </w:rPr>
        <w:t>R. v. Bernard</w:t>
      </w:r>
      <w:r w:rsidRPr="0084431D">
        <w:rPr>
          <w:rFonts w:cs="Times New Roman"/>
          <w:lang w:val="en-US"/>
        </w:rPr>
        <w:t>, [1988] 2 S.C.R. 833, at p. 849;</w:t>
      </w:r>
      <w:r w:rsidRPr="0084431D">
        <w:rPr>
          <w:rFonts w:cs="Times New Roman"/>
          <w:i/>
          <w:lang w:val="en-US"/>
        </w:rPr>
        <w:t xml:space="preserve"> Minister of Indian Affairs and Northern Development v. </w:t>
      </w:r>
      <w:proofErr w:type="spellStart"/>
      <w:r w:rsidRPr="0084431D">
        <w:rPr>
          <w:rFonts w:cs="Times New Roman"/>
          <w:i/>
          <w:lang w:val="en-US"/>
        </w:rPr>
        <w:t>Ranville</w:t>
      </w:r>
      <w:proofErr w:type="spellEnd"/>
      <w:r w:rsidRPr="0084431D">
        <w:rPr>
          <w:rFonts w:cs="Times New Roman"/>
          <w:lang w:val="en-US"/>
        </w:rPr>
        <w:t>, [1982] 2 S.C.R. 518, at p. 527)</w:t>
      </w:r>
      <w:r w:rsidRPr="0084431D">
        <w:rPr>
          <w:rFonts w:cs="Times New Roman"/>
        </w:rPr>
        <w:t xml:space="preserve">. Other courts have described </w:t>
      </w:r>
      <w:r w:rsidRPr="0084431D">
        <w:rPr>
          <w:rFonts w:cs="Times New Roman"/>
          <w:i/>
        </w:rPr>
        <w:t xml:space="preserve">stare decisis </w:t>
      </w:r>
      <w:r w:rsidRPr="0084431D">
        <w:rPr>
          <w:rFonts w:cs="Times New Roman"/>
        </w:rPr>
        <w:t>as a “foundation stone of the rule of law” (</w:t>
      </w:r>
      <w:r w:rsidRPr="0084431D">
        <w:rPr>
          <w:rFonts w:cs="Times New Roman"/>
          <w:i/>
        </w:rPr>
        <w:t>Michigan v. Bay Mills Indian Community</w:t>
      </w:r>
      <w:r w:rsidRPr="0084431D">
        <w:rPr>
          <w:rFonts w:cs="Times New Roman"/>
        </w:rPr>
        <w:t>, 572 U.S.</w:t>
      </w:r>
      <w:r>
        <w:rPr>
          <w:rFonts w:cs="Times New Roman"/>
        </w:rPr>
        <w:t xml:space="preserve"> 782</w:t>
      </w:r>
      <w:r w:rsidRPr="0084431D">
        <w:rPr>
          <w:rFonts w:cs="Times New Roman"/>
        </w:rPr>
        <w:t xml:space="preserve"> (2014), at p. </w:t>
      </w:r>
      <w:r>
        <w:rPr>
          <w:rFonts w:cs="Times New Roman"/>
        </w:rPr>
        <w:t>798</w:t>
      </w:r>
      <w:r w:rsidRPr="0084431D">
        <w:rPr>
          <w:rFonts w:cs="Times New Roman"/>
        </w:rPr>
        <w:t xml:space="preserve">; </w:t>
      </w:r>
      <w:r w:rsidRPr="0084431D">
        <w:rPr>
          <w:rFonts w:cs="Times New Roman"/>
          <w:i/>
        </w:rPr>
        <w:t>Kimble</w:t>
      </w:r>
      <w:r w:rsidRPr="009D2694">
        <w:rPr>
          <w:rFonts w:cs="Times New Roman"/>
        </w:rPr>
        <w:t>,</w:t>
      </w:r>
      <w:r w:rsidRPr="0084431D">
        <w:rPr>
          <w:rFonts w:cs="Times New Roman"/>
          <w:i/>
        </w:rPr>
        <w:t xml:space="preserve"> </w:t>
      </w:r>
      <w:r w:rsidRPr="0084431D">
        <w:rPr>
          <w:rFonts w:cs="Times New Roman"/>
        </w:rPr>
        <w:t xml:space="preserve">at p. </w:t>
      </w:r>
      <w:r>
        <w:rPr>
          <w:rFonts w:cs="Times New Roman"/>
        </w:rPr>
        <w:t>2409</w:t>
      </w:r>
      <w:r w:rsidRPr="0084431D">
        <w:rPr>
          <w:rFonts w:cs="Times New Roman"/>
        </w:rPr>
        <w:t xml:space="preserve">; </w:t>
      </w:r>
      <w:proofErr w:type="spellStart"/>
      <w:r w:rsidRPr="0084431D">
        <w:rPr>
          <w:rFonts w:cs="Times New Roman"/>
          <w:i/>
        </w:rPr>
        <w:t>Kisor</w:t>
      </w:r>
      <w:proofErr w:type="spellEnd"/>
      <w:r w:rsidRPr="0084431D">
        <w:rPr>
          <w:rFonts w:cs="Times New Roman"/>
        </w:rPr>
        <w:t xml:space="preserve">, at p. </w:t>
      </w:r>
      <w:r>
        <w:rPr>
          <w:rFonts w:cs="Times New Roman"/>
        </w:rPr>
        <w:t>2422</w:t>
      </w:r>
      <w:r w:rsidRPr="0084431D">
        <w:rPr>
          <w:rFonts w:cs="Times New Roman"/>
        </w:rPr>
        <w:t xml:space="preserve">; see also </w:t>
      </w:r>
      <w:r>
        <w:rPr>
          <w:rFonts w:cs="Times New Roman"/>
          <w:i/>
        </w:rPr>
        <w:t>Camps Bay</w:t>
      </w:r>
      <w:r>
        <w:rPr>
          <w:rFonts w:cs="Times New Roman"/>
        </w:rPr>
        <w:t>, at pp. 55-56</w:t>
      </w:r>
      <w:r w:rsidRPr="0084431D">
        <w:rPr>
          <w:rFonts w:cs="Times New Roman"/>
        </w:rPr>
        <w:t>; Jeremy Waldron, “</w:t>
      </w:r>
      <w:r w:rsidRPr="00985E70">
        <w:rPr>
          <w:rFonts w:cs="Times New Roman"/>
          <w:i/>
        </w:rPr>
        <w:t>Stare Decisis</w:t>
      </w:r>
      <w:r w:rsidRPr="0084431D">
        <w:rPr>
          <w:rFonts w:cs="Times New Roman"/>
        </w:rPr>
        <w:t xml:space="preserve"> and the Rule of Law: A Layered Approach” (2012), 111 </w:t>
      </w:r>
      <w:r w:rsidRPr="0084431D">
        <w:rPr>
          <w:rFonts w:cs="Times New Roman"/>
          <w:i/>
        </w:rPr>
        <w:t>Mich. L.</w:t>
      </w:r>
      <w:r>
        <w:rPr>
          <w:rFonts w:cs="Times New Roman"/>
          <w:i/>
        </w:rPr>
        <w:t xml:space="preserve"> </w:t>
      </w:r>
      <w:r w:rsidRPr="0084431D">
        <w:rPr>
          <w:rFonts w:cs="Times New Roman"/>
          <w:i/>
        </w:rPr>
        <w:t>R</w:t>
      </w:r>
      <w:r>
        <w:rPr>
          <w:rFonts w:cs="Times New Roman"/>
          <w:i/>
        </w:rPr>
        <w:t>ev</w:t>
      </w:r>
      <w:r w:rsidRPr="0084431D">
        <w:rPr>
          <w:rFonts w:cs="Times New Roman"/>
          <w:i/>
        </w:rPr>
        <w:t>.</w:t>
      </w:r>
      <w:r w:rsidRPr="0084431D">
        <w:rPr>
          <w:rFonts w:cs="Times New Roman"/>
        </w:rPr>
        <w:t xml:space="preserve"> 1, at p. 28; Lewis F. Powell</w:t>
      </w:r>
      <w:r>
        <w:rPr>
          <w:rFonts w:cs="Times New Roman"/>
        </w:rPr>
        <w:t>,</w:t>
      </w:r>
      <w:r w:rsidRPr="0084431D">
        <w:rPr>
          <w:rFonts w:cs="Times New Roman"/>
        </w:rPr>
        <w:t xml:space="preserve"> Jr., “</w:t>
      </w:r>
      <w:r w:rsidRPr="0025494B">
        <w:rPr>
          <w:rFonts w:cs="Times New Roman"/>
          <w:i/>
          <w:iCs/>
        </w:rPr>
        <w:t>Stare Decisis</w:t>
      </w:r>
      <w:r w:rsidRPr="0084431D">
        <w:rPr>
          <w:rFonts w:cs="Times New Roman"/>
        </w:rPr>
        <w:t xml:space="preserve"> and Judicial Restraint” (1990), 47 </w:t>
      </w:r>
      <w:r w:rsidRPr="0084431D">
        <w:rPr>
          <w:rFonts w:cs="Times New Roman"/>
          <w:i/>
        </w:rPr>
        <w:t>Wash. &amp; Lee L. Rev.</w:t>
      </w:r>
      <w:r w:rsidR="0025494B">
        <w:rPr>
          <w:rFonts w:cs="Times New Roman"/>
        </w:rPr>
        <w:t xml:space="preserve"> 281, at p. 288).</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Respect for precedent also safeguards this Court’s institutional legitimacy. The precedential value of a judgment of this Court does not “expire with the tenure of the particular panel of judges that decided it” (</w:t>
      </w:r>
      <w:proofErr w:type="spellStart"/>
      <w:r w:rsidRPr="0084431D">
        <w:rPr>
          <w:rFonts w:cs="Times New Roman"/>
          <w:i/>
        </w:rPr>
        <w:t>Pl</w:t>
      </w:r>
      <w:r>
        <w:rPr>
          <w:rFonts w:cs="Times New Roman"/>
          <w:i/>
        </w:rPr>
        <w:t>ourde</w:t>
      </w:r>
      <w:proofErr w:type="spellEnd"/>
      <w:r w:rsidRPr="0084431D">
        <w:rPr>
          <w:rFonts w:cs="Times New Roman"/>
          <w:i/>
        </w:rPr>
        <w:t xml:space="preserve"> v. Wal-Mart Canada Corp.</w:t>
      </w:r>
      <w:r w:rsidRPr="0084431D">
        <w:rPr>
          <w:rFonts w:cs="Times New Roman"/>
        </w:rPr>
        <w:t xml:space="preserve">, [2009] 3 S.C.R. 465, at para. 13). American cases have stressed similar themes: </w:t>
      </w:r>
    </w:p>
    <w:p w:rsidR="008B0231" w:rsidRDefault="008B0231" w:rsidP="008B0231">
      <w:pPr>
        <w:pStyle w:val="Citation-AltC"/>
      </w:pPr>
      <w:r w:rsidRPr="0084431D">
        <w:lastRenderedPageBreak/>
        <w:t xml:space="preserve">There </w:t>
      </w:r>
      <w:proofErr w:type="gramStart"/>
      <w:r w:rsidRPr="0084431D">
        <w:t>is</w:t>
      </w:r>
      <w:r w:rsidR="00BA61BB">
        <w:t xml:space="preserve"> .</w:t>
      </w:r>
      <w:proofErr w:type="gramEnd"/>
      <w:r w:rsidR="00BA61BB">
        <w:t> </w:t>
      </w:r>
      <w:r>
        <w:t>.</w:t>
      </w:r>
      <w:r w:rsidR="00BA61BB">
        <w:t> </w:t>
      </w:r>
      <w:r>
        <w:t>. a</w:t>
      </w:r>
      <w:r w:rsidRPr="0084431D">
        <w:t xml:space="preserve"> point beyond which frequent overr</w:t>
      </w:r>
      <w:r>
        <w:t>uling would overtax the country’s belief in the Court’</w:t>
      </w:r>
      <w:r w:rsidRPr="0084431D">
        <w:t xml:space="preserve">s good faith. Despite the variety of reasons that may inform and justify a decision to overrule, we cannot forget that such a decision is usually perceived (and perceived correctly) as, at the least, a statement that a prior decision was wrong. There is a limit to the amount of error that can plausibly be imputed to prior Courts. If that limit should be exceeded, disturbance of prior rulings would be taken as evidence that justifiable </w:t>
      </w:r>
      <w:proofErr w:type="spellStart"/>
      <w:r w:rsidRPr="0084431D">
        <w:t>reexamination</w:t>
      </w:r>
      <w:proofErr w:type="spellEnd"/>
      <w:r w:rsidRPr="0084431D">
        <w:t xml:space="preserve"> of principle had given way to drives for particular results in the short term. The legitimacy of the Court would fade with the frequency of its vacillation</w:t>
      </w:r>
      <w:r>
        <w:t>.</w:t>
      </w:r>
    </w:p>
    <w:p w:rsidR="008B0231" w:rsidRDefault="008B0231" w:rsidP="008B0231">
      <w:pPr>
        <w:pStyle w:val="Citation-AltC"/>
      </w:pPr>
    </w:p>
    <w:p w:rsidR="008B0231" w:rsidRPr="0084431D" w:rsidRDefault="008B0231" w:rsidP="005608BB">
      <w:pPr>
        <w:pStyle w:val="Citation-AltC"/>
        <w:ind w:left="0"/>
      </w:pPr>
      <w:r>
        <w:t>(</w:t>
      </w:r>
      <w:r w:rsidRPr="009D2694">
        <w:rPr>
          <w:i/>
        </w:rPr>
        <w:t>Planned Parenthood of Southeastern Pennsylvania v. Casey, Governor of Pennsylvania</w:t>
      </w:r>
      <w:r>
        <w:t xml:space="preserve">, 505 U.S. 833 (1992), at p. 866; see also </w:t>
      </w:r>
      <w:r w:rsidRPr="009D2694">
        <w:rPr>
          <w:i/>
        </w:rPr>
        <w:t>Florida Department of Health and Reh</w:t>
      </w:r>
      <w:r>
        <w:rPr>
          <w:i/>
        </w:rPr>
        <w:t>a</w:t>
      </w:r>
      <w:r w:rsidRPr="009D2694">
        <w:rPr>
          <w:i/>
        </w:rPr>
        <w:t>bilitative Services v. Florida Nursing Home Association</w:t>
      </w:r>
      <w:r>
        <w:t>, 450 U.S. 147 (1981), at p. 153, per Stevens J., concurring.)</w:t>
      </w:r>
      <w:r w:rsidRPr="0084431D">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Several scholars have made this point as well (see e.g., Michael J. Gerhardt, </w:t>
      </w:r>
      <w:proofErr w:type="gramStart"/>
      <w:r w:rsidRPr="0084431D">
        <w:rPr>
          <w:rFonts w:cs="Times New Roman"/>
          <w:i/>
        </w:rPr>
        <w:t>The</w:t>
      </w:r>
      <w:proofErr w:type="gramEnd"/>
      <w:r w:rsidRPr="0084431D">
        <w:rPr>
          <w:rFonts w:cs="Times New Roman"/>
          <w:i/>
        </w:rPr>
        <w:t xml:space="preserve"> Power of Precedent</w:t>
      </w:r>
      <w:r w:rsidRPr="0084431D">
        <w:rPr>
          <w:rFonts w:cs="Times New Roman"/>
        </w:rPr>
        <w:t xml:space="preserve"> (2008), at p. 18; Garner</w:t>
      </w:r>
      <w:r>
        <w:rPr>
          <w:rFonts w:cs="Times New Roman"/>
        </w:rPr>
        <w:t xml:space="preserve"> et al.</w:t>
      </w:r>
      <w:r w:rsidRPr="0084431D">
        <w:rPr>
          <w:rFonts w:cs="Times New Roman"/>
        </w:rPr>
        <w:t>, at p. 391)</w:t>
      </w:r>
      <w:r>
        <w:rPr>
          <w:rFonts w:cs="Times New Roman"/>
        </w:rPr>
        <w:t xml:space="preserve">. </w:t>
      </w:r>
      <w:proofErr w:type="spellStart"/>
      <w:r>
        <w:rPr>
          <w:rFonts w:cs="Times New Roman"/>
        </w:rPr>
        <w:t>Aharon</w:t>
      </w:r>
      <w:proofErr w:type="spellEnd"/>
      <w:r>
        <w:rPr>
          <w:rFonts w:cs="Times New Roman"/>
        </w:rPr>
        <w:t xml:space="preserve"> Barak has warned that</w:t>
      </w:r>
    </w:p>
    <w:p w:rsidR="008B0231" w:rsidRDefault="008B0231" w:rsidP="008B0231">
      <w:pPr>
        <w:pStyle w:val="Citation-AltC"/>
      </w:pPr>
      <w:proofErr w:type="gramStart"/>
      <w:r w:rsidRPr="0084431D">
        <w:t>overruling</w:t>
      </w:r>
      <w:proofErr w:type="gramEnd"/>
      <w:r w:rsidRPr="0084431D">
        <w:t xml:space="preserve"> precedent damages the public’s conception of the judicial role, and undermines the respect in which the public holds the courts and its faith in them. Precedent should not resemble a ticket valid only for the day of purchase</w:t>
      </w:r>
      <w:r>
        <w:t xml:space="preserve">. </w:t>
      </w:r>
    </w:p>
    <w:p w:rsidR="008B0231" w:rsidRDefault="008B0231" w:rsidP="008B0231">
      <w:pPr>
        <w:pStyle w:val="Citation-AltC"/>
      </w:pPr>
    </w:p>
    <w:p w:rsidR="008B0231" w:rsidRPr="0084431D" w:rsidRDefault="008B0231" w:rsidP="005608BB">
      <w:pPr>
        <w:pStyle w:val="Citation-AltC"/>
        <w:ind w:left="0"/>
      </w:pPr>
      <w:r>
        <w:t xml:space="preserve">(“Overruling </w:t>
      </w:r>
      <w:r w:rsidRPr="00C60F20">
        <w:t>Precedent”</w:t>
      </w:r>
      <w:r>
        <w:t xml:space="preserve"> (1986), 21 </w:t>
      </w:r>
      <w:proofErr w:type="spellStart"/>
      <w:r w:rsidRPr="00C60F20">
        <w:rPr>
          <w:i/>
        </w:rPr>
        <w:t>Is</w:t>
      </w:r>
      <w:r w:rsidR="009239FE">
        <w:rPr>
          <w:i/>
        </w:rPr>
        <w:t>.L.R</w:t>
      </w:r>
      <w:proofErr w:type="spellEnd"/>
      <w:r w:rsidR="009239FE">
        <w:rPr>
          <w:i/>
        </w:rPr>
        <w:t>.</w:t>
      </w:r>
      <w:r>
        <w:t xml:space="preserve"> 269, at p. 275)</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majority’s reasons, in our view, disregard the high threshold required to overturn one of this Court’s decisions. The justification for the majority abandoning this Court’s long-standing view of how statutory appeal clauses impact the standard of review analysis is that this Court’s approach was “unsound in principle” and criticized by judges and academics. The majority also suggests that the Court’s decisions set up an “unworkable and unnecessarily complex” system of judicial review. Abandoning </w:t>
      </w:r>
      <w:r w:rsidRPr="0084431D">
        <w:rPr>
          <w:rFonts w:cs="Times New Roman"/>
        </w:rPr>
        <w:lastRenderedPageBreak/>
        <w:t xml:space="preserve">them, the majority argues, would promote the values underlying </w:t>
      </w:r>
      <w:r w:rsidRPr="0084431D">
        <w:rPr>
          <w:rFonts w:cs="Times New Roman"/>
          <w:i/>
        </w:rPr>
        <w:t>stare decisis</w:t>
      </w:r>
      <w:r w:rsidRPr="0084431D">
        <w:rPr>
          <w:rFonts w:cs="Times New Roman"/>
        </w:rPr>
        <w:t xml:space="preserve">, namely “clarity and certainty in the law”. In doing so, the majority discards several of this Court’s bedrock administrative law principles.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 leaves unaddressed the most significant rejection of this Court’s jurisprudence in its reasons </w:t>
      </w:r>
      <w:r>
        <w:rPr>
          <w:rFonts w:cs="Times New Roman"/>
        </w:rPr>
        <w:t>—</w:t>
      </w:r>
      <w:r w:rsidRPr="0084431D">
        <w:rPr>
          <w:rFonts w:cs="Times New Roman"/>
        </w:rPr>
        <w:t xml:space="preserve"> its decision to change the entire “conceptual basis” for judicial review by excluding specialization, expertise and other institutional advantages from the analysis. The lack of any justification for this foundational shift </w:t>
      </w:r>
      <w:r>
        <w:rPr>
          <w:rFonts w:cs="Times New Roman"/>
        </w:rPr>
        <w:t>—</w:t>
      </w:r>
      <w:r w:rsidRPr="0084431D">
        <w:rPr>
          <w:rFonts w:cs="Times New Roman"/>
        </w:rPr>
        <w:t xml:space="preserve"> repeatedly invoked by the majority to sanitize further</w:t>
      </w:r>
      <w:r w:rsidRPr="0084431D">
        <w:rPr>
          <w:rFonts w:cs="Times New Roman"/>
          <w:i/>
        </w:rPr>
        <w:t xml:space="preserve"> </w:t>
      </w:r>
      <w:r w:rsidRPr="0084431D">
        <w:rPr>
          <w:rFonts w:cs="Times New Roman"/>
        </w:rPr>
        <w:t xml:space="preserve">overturning of precedent </w:t>
      </w:r>
      <w:r>
        <w:rPr>
          <w:rFonts w:cs="Times New Roman"/>
        </w:rPr>
        <w:t>—</w:t>
      </w:r>
      <w:r w:rsidRPr="0084431D">
        <w:rPr>
          <w:rFonts w:cs="Times New Roman"/>
        </w:rPr>
        <w:t xml:space="preserve"> undercuts the majority’s stated respect for </w:t>
      </w:r>
      <w:r w:rsidRPr="0084431D">
        <w:rPr>
          <w:rFonts w:cs="Times New Roman"/>
          <w:i/>
        </w:rPr>
        <w:t xml:space="preserve">stare decisis </w:t>
      </w:r>
      <w:r w:rsidRPr="0084431D">
        <w:rPr>
          <w:rFonts w:cs="Times New Roman"/>
        </w:rPr>
        <w:t xml:space="preserve">principles.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The majority explains its decision to overrule the Court’s prior decisions about appeal clauses by asserting that these precedents had “no satisfactory justification”. It does not point, however,</w:t>
      </w:r>
      <w:r w:rsidRPr="0084431D" w:rsidDel="001A436A">
        <w:rPr>
          <w:rFonts w:cs="Times New Roman"/>
        </w:rPr>
        <w:t xml:space="preserve"> to </w:t>
      </w:r>
      <w:r w:rsidRPr="0084431D">
        <w:rPr>
          <w:rFonts w:cs="Times New Roman"/>
        </w:rPr>
        <w:t>any arguments</w:t>
      </w:r>
      <w:r w:rsidRPr="0084431D" w:rsidDel="001A436A">
        <w:rPr>
          <w:rFonts w:cs="Times New Roman"/>
        </w:rPr>
        <w:t xml:space="preserve"> different from those heard and rejected by other panels of this Court</w:t>
      </w:r>
      <w:r w:rsidRPr="0084431D">
        <w:rPr>
          <w:rFonts w:cs="Times New Roman"/>
        </w:rPr>
        <w:t xml:space="preserve"> over the decades</w:t>
      </w:r>
      <w:r w:rsidRPr="0084431D" w:rsidDel="001A436A">
        <w:rPr>
          <w:rFonts w:cs="Times New Roman"/>
        </w:rPr>
        <w:t xml:space="preserve"> whose decisions are being </w:t>
      </w:r>
      <w:r w:rsidRPr="0084431D">
        <w:rPr>
          <w:rFonts w:cs="Times New Roman"/>
        </w:rPr>
        <w:t>discarded</w:t>
      </w:r>
      <w:r w:rsidRPr="0084431D" w:rsidDel="001A436A">
        <w:rPr>
          <w:rFonts w:cs="Times New Roman"/>
        </w:rPr>
        <w:t xml:space="preserve">. </w:t>
      </w:r>
      <w:r w:rsidRPr="0084431D">
        <w:rPr>
          <w:rFonts w:cs="Times New Roman"/>
        </w:rPr>
        <w:t xml:space="preserve">Instead, the majority substitutes its own preferred approach to interpreting statutory rights of appeal </w:t>
      </w:r>
      <w:r>
        <w:rPr>
          <w:rFonts w:cs="Times New Roman"/>
        </w:rPr>
        <w:t>—</w:t>
      </w:r>
      <w:r w:rsidRPr="0084431D">
        <w:rPr>
          <w:rFonts w:cs="Times New Roman"/>
        </w:rPr>
        <w:t xml:space="preserve"> an approach rejected by several prior panels of this Court in a line of decisions stretching back three decades. The rejection of such an approach was explicitly reaffirmed </w:t>
      </w:r>
      <w:r w:rsidRPr="0084431D">
        <w:rPr>
          <w:rFonts w:cs="Times New Roman"/>
          <w:i/>
        </w:rPr>
        <w:t>no fewer than four times in the past ten years</w:t>
      </w:r>
      <w:r w:rsidRPr="0084431D">
        <w:rPr>
          <w:rFonts w:cs="Times New Roman"/>
        </w:rPr>
        <w:t xml:space="preserve"> (</w:t>
      </w:r>
      <w:proofErr w:type="spellStart"/>
      <w:r w:rsidRPr="0084431D">
        <w:rPr>
          <w:rFonts w:cs="Times New Roman"/>
          <w:i/>
        </w:rPr>
        <w:t>Khosa</w:t>
      </w:r>
      <w:proofErr w:type="spellEnd"/>
      <w:r w:rsidRPr="0084431D">
        <w:rPr>
          <w:rFonts w:cs="Times New Roman"/>
        </w:rPr>
        <w:t>, at para.</w:t>
      </w:r>
      <w:r>
        <w:rPr>
          <w:rFonts w:cs="Times New Roman"/>
        </w:rPr>
        <w:t> </w:t>
      </w:r>
      <w:r w:rsidRPr="0084431D">
        <w:rPr>
          <w:rFonts w:cs="Times New Roman"/>
          <w:lang w:val="fr-FR"/>
        </w:rPr>
        <w:t xml:space="preserve">26; </w:t>
      </w:r>
      <w:proofErr w:type="spellStart"/>
      <w:r w:rsidRPr="0084431D">
        <w:rPr>
          <w:rFonts w:cs="Times New Roman"/>
          <w:i/>
          <w:lang w:val="fr-FR"/>
        </w:rPr>
        <w:t>Mowat</w:t>
      </w:r>
      <w:proofErr w:type="spellEnd"/>
      <w:r w:rsidRPr="0084431D">
        <w:rPr>
          <w:rFonts w:cs="Times New Roman"/>
          <w:lang w:val="fr-FR"/>
        </w:rPr>
        <w:t xml:space="preserve">, at paras. 30-31; </w:t>
      </w:r>
      <w:r w:rsidRPr="0084431D">
        <w:rPr>
          <w:rFonts w:cs="Times New Roman"/>
          <w:i/>
          <w:lang w:val="fr-FR"/>
        </w:rPr>
        <w:t>Mouvement laïque</w:t>
      </w:r>
      <w:r w:rsidRPr="0084431D">
        <w:rPr>
          <w:rFonts w:cs="Times New Roman"/>
          <w:lang w:val="fr-FR"/>
        </w:rPr>
        <w:t xml:space="preserve">, at para. 38; </w:t>
      </w:r>
      <w:r w:rsidRPr="0084431D">
        <w:rPr>
          <w:rFonts w:cs="Times New Roman"/>
          <w:i/>
          <w:lang w:val="fr-FR"/>
        </w:rPr>
        <w:t>Edmonton East</w:t>
      </w:r>
      <w:r w:rsidRPr="0084431D">
        <w:rPr>
          <w:rFonts w:cs="Times New Roman"/>
          <w:lang w:val="fr-FR"/>
        </w:rPr>
        <w:t xml:space="preserve">, at paras. </w:t>
      </w:r>
      <w:r w:rsidRPr="0084431D">
        <w:rPr>
          <w:rFonts w:cs="Times New Roman"/>
        </w:rPr>
        <w:t xml:space="preserve">27-31; see also </w:t>
      </w:r>
      <w:r w:rsidRPr="0084431D">
        <w:rPr>
          <w:rFonts w:cs="Times New Roman"/>
          <w:i/>
        </w:rPr>
        <w:t>McLean</w:t>
      </w:r>
      <w:r w:rsidRPr="0084431D">
        <w:rPr>
          <w:rFonts w:cs="Times New Roman"/>
        </w:rPr>
        <w:t xml:space="preserve">, at para. 21).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Overruling these judgments flouts </w:t>
      </w:r>
      <w:r w:rsidRPr="0084431D">
        <w:rPr>
          <w:rFonts w:cs="Times New Roman"/>
          <w:i/>
        </w:rPr>
        <w:t xml:space="preserve">stare decisis </w:t>
      </w:r>
      <w:r w:rsidRPr="0084431D">
        <w:rPr>
          <w:rFonts w:cs="Times New Roman"/>
        </w:rPr>
        <w:t xml:space="preserve">principles, which prohibit courts from overturning past decisions which “simply </w:t>
      </w:r>
      <w:proofErr w:type="spellStart"/>
      <w:r w:rsidRPr="0084431D">
        <w:rPr>
          <w:rFonts w:cs="Times New Roman"/>
        </w:rPr>
        <w:t>represen</w:t>
      </w:r>
      <w:proofErr w:type="spellEnd"/>
      <w:r w:rsidRPr="0084431D">
        <w:rPr>
          <w:rFonts w:cs="Times New Roman"/>
        </w:rPr>
        <w:t xml:space="preserve">[t] a preferred choice </w:t>
      </w:r>
      <w:r w:rsidRPr="0084431D">
        <w:rPr>
          <w:rFonts w:cs="Times New Roman"/>
        </w:rPr>
        <w:lastRenderedPageBreak/>
        <w:t xml:space="preserve">with which the current </w:t>
      </w:r>
      <w:r>
        <w:rPr>
          <w:rFonts w:cs="Times New Roman"/>
        </w:rPr>
        <w:t>B</w:t>
      </w:r>
      <w:r w:rsidRPr="0084431D">
        <w:rPr>
          <w:rFonts w:cs="Times New Roman"/>
        </w:rPr>
        <w:t>ench does not agree” (</w:t>
      </w:r>
      <w:r>
        <w:rPr>
          <w:rFonts w:cs="Times New Roman"/>
          <w:i/>
        </w:rPr>
        <w:t>Couch</w:t>
      </w:r>
      <w:r w:rsidRPr="0084431D">
        <w:rPr>
          <w:rFonts w:cs="Times New Roman"/>
        </w:rPr>
        <w:t>, at para. 105;</w:t>
      </w:r>
      <w:r>
        <w:rPr>
          <w:rFonts w:cs="Times New Roman"/>
        </w:rPr>
        <w:t xml:space="preserve"> see also</w:t>
      </w:r>
      <w:r w:rsidRPr="0084431D">
        <w:rPr>
          <w:rFonts w:cs="Times New Roman"/>
        </w:rPr>
        <w:t xml:space="preserve"> </w:t>
      </w:r>
      <w:proofErr w:type="spellStart"/>
      <w:r w:rsidRPr="0084431D">
        <w:rPr>
          <w:rFonts w:cs="Times New Roman"/>
          <w:i/>
        </w:rPr>
        <w:t>Knauer</w:t>
      </w:r>
      <w:proofErr w:type="spellEnd"/>
      <w:r w:rsidRPr="0084431D">
        <w:rPr>
          <w:rFonts w:cs="Times New Roman"/>
        </w:rPr>
        <w:t>, at para.</w:t>
      </w:r>
      <w:r>
        <w:rPr>
          <w:rFonts w:cs="Times New Roman"/>
        </w:rPr>
        <w:t> </w:t>
      </w:r>
      <w:r w:rsidRPr="0084431D">
        <w:rPr>
          <w:rFonts w:cs="Times New Roman"/>
        </w:rPr>
        <w:t xml:space="preserve">22; </w:t>
      </w:r>
      <w:r w:rsidRPr="0084431D">
        <w:rPr>
          <w:rFonts w:cs="Times New Roman"/>
          <w:i/>
        </w:rPr>
        <w:t>Casey</w:t>
      </w:r>
      <w:r w:rsidRPr="0084431D">
        <w:rPr>
          <w:rFonts w:cs="Times New Roman"/>
        </w:rPr>
        <w:t>, at p. 864). “</w:t>
      </w:r>
      <w:r>
        <w:rPr>
          <w:rFonts w:cs="Times New Roman"/>
        </w:rPr>
        <w:t>[</w:t>
      </w:r>
      <w:r w:rsidRPr="0084431D">
        <w:rPr>
          <w:rFonts w:cs="Times New Roman"/>
        </w:rPr>
        <w:t>T</w:t>
      </w:r>
      <w:r>
        <w:rPr>
          <w:rFonts w:cs="Times New Roman"/>
        </w:rPr>
        <w:t>]</w:t>
      </w:r>
      <w:r w:rsidRPr="0084431D">
        <w:rPr>
          <w:rFonts w:cs="Times New Roman"/>
        </w:rPr>
        <w:t xml:space="preserve">he entire idea of </w:t>
      </w:r>
      <w:r w:rsidRPr="0084431D">
        <w:rPr>
          <w:rFonts w:cs="Times New Roman"/>
          <w:i/>
        </w:rPr>
        <w:t>stare decisis</w:t>
      </w:r>
      <w:r w:rsidRPr="0084431D">
        <w:rPr>
          <w:rFonts w:cs="Times New Roman"/>
        </w:rPr>
        <w:t xml:space="preserve"> is that judges do not get to reverse a decision just because they never liked it in the first instance” (</w:t>
      </w:r>
      <w:r w:rsidRPr="0084431D">
        <w:rPr>
          <w:rFonts w:cs="Times New Roman"/>
          <w:i/>
        </w:rPr>
        <w:t>Knick v. Township of Scott</w:t>
      </w:r>
      <w:r>
        <w:rPr>
          <w:rFonts w:cs="Times New Roman"/>
          <w:i/>
        </w:rPr>
        <w:t>, Pennsylvania</w:t>
      </w:r>
      <w:r w:rsidRPr="0084431D">
        <w:rPr>
          <w:rFonts w:cs="Times New Roman"/>
        </w:rPr>
        <w:t xml:space="preserve">, </w:t>
      </w:r>
      <w:r>
        <w:rPr>
          <w:rFonts w:cs="Times New Roman"/>
        </w:rPr>
        <w:t>139 S. Ct. 2162 (2019), at p. 2190</w:t>
      </w:r>
      <w:r w:rsidRPr="0084431D">
        <w:rPr>
          <w:rFonts w:cs="Times New Roman"/>
        </w:rPr>
        <w:t xml:space="preserve">, </w:t>
      </w:r>
      <w:r w:rsidRPr="00C60F20">
        <w:rPr>
          <w:rFonts w:cs="Times New Roman"/>
        </w:rPr>
        <w:t xml:space="preserve">per </w:t>
      </w:r>
      <w:r w:rsidRPr="0084431D">
        <w:rPr>
          <w:rFonts w:cs="Times New Roman"/>
        </w:rPr>
        <w:t>Kagan J., dissenting)</w:t>
      </w:r>
      <w:r w:rsidRPr="0084431D">
        <w:rPr>
          <w:rFonts w:cs="Times New Roman"/>
          <w:i/>
        </w:rPr>
        <w:t xml:space="preserve">. </w:t>
      </w:r>
      <w:r w:rsidRPr="0084431D">
        <w:rPr>
          <w:rFonts w:cs="Times New Roman"/>
        </w:rPr>
        <w:t xml:space="preserve">As the United States Supreme Court noted in </w:t>
      </w:r>
      <w:r w:rsidRPr="0084431D">
        <w:rPr>
          <w:rFonts w:cs="Times New Roman"/>
          <w:i/>
        </w:rPr>
        <w:t>Kimble</w:t>
      </w:r>
      <w:r w:rsidRPr="0084431D">
        <w:rPr>
          <w:rFonts w:cs="Times New Roman"/>
        </w:rPr>
        <w:t>:</w:t>
      </w:r>
    </w:p>
    <w:p w:rsidR="008B0231" w:rsidRPr="0084431D" w:rsidRDefault="008B0231" w:rsidP="008B0231">
      <w:pPr>
        <w:pStyle w:val="Citation-AltC"/>
      </w:pPr>
      <w:r>
        <w:t>.</w:t>
      </w:r>
      <w:r w:rsidR="00BA61BB">
        <w:t> </w:t>
      </w:r>
      <w:r>
        <w:t>.</w:t>
      </w:r>
      <w:r w:rsidR="00BA61BB">
        <w:t> </w:t>
      </w:r>
      <w:r>
        <w:t xml:space="preserve">. </w:t>
      </w:r>
      <w:r w:rsidRPr="0084431D">
        <w:t>an argument that we got something wrong</w:t>
      </w:r>
      <w:r w:rsidR="008133DE">
        <w:t xml:space="preserve"> </w:t>
      </w:r>
      <w:r w:rsidRPr="0084431D">
        <w:t>—</w:t>
      </w:r>
      <w:r w:rsidR="008133DE">
        <w:t xml:space="preserve"> </w:t>
      </w:r>
      <w:r w:rsidRPr="0084431D">
        <w:t>even a good argument to that effect</w:t>
      </w:r>
      <w:r w:rsidR="008133DE">
        <w:t xml:space="preserve"> </w:t>
      </w:r>
      <w:r w:rsidRPr="0084431D">
        <w:t>—</w:t>
      </w:r>
      <w:r w:rsidR="008133DE">
        <w:t xml:space="preserve"> </w:t>
      </w:r>
      <w:r w:rsidRPr="0084431D">
        <w:t>cannot by itself justify scrapping settled precedent. Or otherwise said, it is not alone sufficient that we would decide a case differently now than we did then. To reverse course, we require as well what we have termed a “special justification”</w:t>
      </w:r>
      <w:r w:rsidR="008133DE">
        <w:t xml:space="preserve"> </w:t>
      </w:r>
      <w:r w:rsidRPr="0084431D">
        <w:t>—</w:t>
      </w:r>
      <w:r w:rsidR="008133DE">
        <w:t xml:space="preserve"> </w:t>
      </w:r>
      <w:r w:rsidRPr="0084431D">
        <w:t>over and above the belief “that the precedent was wrongly decided.” [</w:t>
      </w:r>
      <w:r>
        <w:t>C</w:t>
      </w:r>
      <w:r w:rsidRPr="0084431D">
        <w:t>itation omitted</w:t>
      </w:r>
      <w:r>
        <w:t>; p. 2409.</w:t>
      </w:r>
      <w:r w:rsidRPr="0084431D">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But it is the unprecedented wholesale rejection of an entire body of jurisprudence that is particularly unsettling. The affected cases</w:t>
      </w:r>
      <w:r>
        <w:rPr>
          <w:rFonts w:cs="Times New Roman"/>
        </w:rPr>
        <w:t xml:space="preserve"> are</w:t>
      </w:r>
      <w:r w:rsidRPr="0084431D">
        <w:rPr>
          <w:rFonts w:cs="Times New Roman"/>
        </w:rPr>
        <w:t xml:space="preserve"> too numerous to list in full here. It includes many decisions conducting deferential review even in the face of a statutory right of appeal (</w:t>
      </w:r>
      <w:proofErr w:type="spellStart"/>
      <w:r w:rsidRPr="0084431D">
        <w:rPr>
          <w:rFonts w:cs="Times New Roman"/>
          <w:i/>
        </w:rPr>
        <w:t>Pezim</w:t>
      </w:r>
      <w:proofErr w:type="spellEnd"/>
      <w:r w:rsidRPr="0084431D">
        <w:rPr>
          <w:rFonts w:cs="Times New Roman"/>
        </w:rPr>
        <w:t>;</w:t>
      </w:r>
      <w:r w:rsidRPr="0084431D">
        <w:rPr>
          <w:rFonts w:cs="Times New Roman"/>
          <w:i/>
        </w:rPr>
        <w:t xml:space="preserve"> </w:t>
      </w:r>
      <w:proofErr w:type="spellStart"/>
      <w:r w:rsidRPr="0084431D">
        <w:rPr>
          <w:rFonts w:cs="Times New Roman"/>
          <w:i/>
        </w:rPr>
        <w:t>Southam</w:t>
      </w:r>
      <w:proofErr w:type="spellEnd"/>
      <w:r w:rsidRPr="0084431D">
        <w:rPr>
          <w:rFonts w:cs="Times New Roman"/>
        </w:rPr>
        <w:t>;</w:t>
      </w:r>
      <w:r w:rsidRPr="0084431D">
        <w:rPr>
          <w:rFonts w:cs="Times New Roman"/>
          <w:i/>
        </w:rPr>
        <w:t xml:space="preserve"> Committee for Equal Treatment of Asbestos Minority Shareholders v. Ontario (Securities Commission)</w:t>
      </w:r>
      <w:r w:rsidRPr="0084431D">
        <w:rPr>
          <w:rFonts w:cs="Times New Roman"/>
        </w:rPr>
        <w:t>, [2001] 2 S.C.R. 132;</w:t>
      </w:r>
      <w:r w:rsidRPr="0084431D">
        <w:rPr>
          <w:rFonts w:cs="Times New Roman"/>
          <w:i/>
        </w:rPr>
        <w:t xml:space="preserve"> Dr. Q</w:t>
      </w:r>
      <w:r w:rsidRPr="0084431D">
        <w:rPr>
          <w:rFonts w:cs="Times New Roman"/>
        </w:rPr>
        <w:t>;</w:t>
      </w:r>
      <w:r w:rsidRPr="0084431D">
        <w:rPr>
          <w:rFonts w:cs="Times New Roman"/>
          <w:i/>
        </w:rPr>
        <w:t xml:space="preserve"> Ryan</w:t>
      </w:r>
      <w:r w:rsidRPr="0084431D">
        <w:rPr>
          <w:rFonts w:cs="Times New Roman"/>
        </w:rPr>
        <w:t>;</w:t>
      </w:r>
      <w:r w:rsidRPr="0084431D">
        <w:rPr>
          <w:rFonts w:cs="Times New Roman"/>
          <w:i/>
        </w:rPr>
        <w:t xml:space="preserve"> </w:t>
      </w:r>
      <w:proofErr w:type="spellStart"/>
      <w:r w:rsidRPr="0084431D">
        <w:rPr>
          <w:rFonts w:cs="Times New Roman"/>
          <w:i/>
        </w:rPr>
        <w:t>Cartaway</w:t>
      </w:r>
      <w:proofErr w:type="spellEnd"/>
      <w:r w:rsidRPr="0084431D">
        <w:rPr>
          <w:rFonts w:cs="Times New Roman"/>
        </w:rPr>
        <w:t>;</w:t>
      </w:r>
      <w:r w:rsidRPr="0084431D">
        <w:rPr>
          <w:rFonts w:cs="Times New Roman"/>
          <w:i/>
        </w:rPr>
        <w:t xml:space="preserve"> VIA Rail</w:t>
      </w:r>
      <w:r w:rsidRPr="0084431D">
        <w:rPr>
          <w:rFonts w:cs="Times New Roman"/>
        </w:rPr>
        <w:t>;</w:t>
      </w:r>
      <w:r w:rsidRPr="0084431D">
        <w:rPr>
          <w:rFonts w:cs="Times New Roman"/>
          <w:i/>
        </w:rPr>
        <w:t xml:space="preserve"> Association des courtiers et agents </w:t>
      </w:r>
      <w:proofErr w:type="spellStart"/>
      <w:r w:rsidRPr="0084431D">
        <w:rPr>
          <w:rFonts w:cs="Times New Roman"/>
          <w:i/>
        </w:rPr>
        <w:t>immobiliers</w:t>
      </w:r>
      <w:proofErr w:type="spellEnd"/>
      <w:r w:rsidRPr="0084431D">
        <w:rPr>
          <w:rFonts w:cs="Times New Roman"/>
          <w:i/>
        </w:rPr>
        <w:t xml:space="preserve"> du Québec v. </w:t>
      </w:r>
      <w:proofErr w:type="spellStart"/>
      <w:r w:rsidRPr="0084431D">
        <w:rPr>
          <w:rFonts w:cs="Times New Roman"/>
          <w:i/>
        </w:rPr>
        <w:t>Proprio</w:t>
      </w:r>
      <w:proofErr w:type="spellEnd"/>
      <w:r w:rsidRPr="0084431D">
        <w:rPr>
          <w:rFonts w:cs="Times New Roman"/>
          <w:i/>
        </w:rPr>
        <w:t xml:space="preserve"> Direct </w:t>
      </w:r>
      <w:proofErr w:type="spellStart"/>
      <w:r w:rsidRPr="0084431D">
        <w:rPr>
          <w:rFonts w:cs="Times New Roman"/>
          <w:i/>
        </w:rPr>
        <w:t>inc.</w:t>
      </w:r>
      <w:proofErr w:type="spellEnd"/>
      <w:r w:rsidRPr="00C60F20">
        <w:rPr>
          <w:rFonts w:cs="Times New Roman"/>
        </w:rPr>
        <w:t>,</w:t>
      </w:r>
      <w:r w:rsidRPr="0084431D">
        <w:rPr>
          <w:rFonts w:cs="Times New Roman"/>
          <w:i/>
        </w:rPr>
        <w:t xml:space="preserve"> </w:t>
      </w:r>
      <w:r w:rsidRPr="0084431D">
        <w:rPr>
          <w:rFonts w:cs="Times New Roman"/>
        </w:rPr>
        <w:t xml:space="preserve">[2008] 2 S.C.R. 195; </w:t>
      </w:r>
      <w:r w:rsidRPr="0084431D">
        <w:rPr>
          <w:rFonts w:cs="Times New Roman"/>
          <w:i/>
        </w:rPr>
        <w:t>Nolan v. Kerry (Canada) Inc.</w:t>
      </w:r>
      <w:r w:rsidRPr="0084431D">
        <w:rPr>
          <w:rFonts w:cs="Times New Roman"/>
        </w:rPr>
        <w:t>, [2009] 2 S.C.R. 678;</w:t>
      </w:r>
      <w:r w:rsidRPr="0084431D">
        <w:rPr>
          <w:rFonts w:cs="Times New Roman"/>
          <w:i/>
        </w:rPr>
        <w:t xml:space="preserve"> McLean</w:t>
      </w:r>
      <w:r w:rsidRPr="0084431D">
        <w:rPr>
          <w:rFonts w:cs="Times New Roman"/>
        </w:rPr>
        <w:t>;</w:t>
      </w:r>
      <w:r w:rsidRPr="0084431D">
        <w:rPr>
          <w:rFonts w:cs="Times New Roman"/>
          <w:i/>
        </w:rPr>
        <w:t xml:space="preserve"> Bell Canada (2009)</w:t>
      </w:r>
      <w:r w:rsidRPr="0084431D">
        <w:rPr>
          <w:rFonts w:cs="Times New Roman"/>
        </w:rPr>
        <w:t>;</w:t>
      </w:r>
      <w:r w:rsidRPr="0084431D">
        <w:rPr>
          <w:rFonts w:cs="Times New Roman"/>
          <w:i/>
        </w:rPr>
        <w:t xml:space="preserve"> ATCO Gas</w:t>
      </w:r>
      <w:r w:rsidRPr="0084431D">
        <w:rPr>
          <w:rFonts w:cs="Times New Roman"/>
        </w:rPr>
        <w:t xml:space="preserve">; </w:t>
      </w:r>
      <w:proofErr w:type="spellStart"/>
      <w:r w:rsidRPr="0084431D">
        <w:rPr>
          <w:rFonts w:cs="Times New Roman"/>
          <w:i/>
        </w:rPr>
        <w:t>Mouvement</w:t>
      </w:r>
      <w:proofErr w:type="spellEnd"/>
      <w:r w:rsidRPr="0084431D">
        <w:rPr>
          <w:rFonts w:cs="Times New Roman"/>
          <w:i/>
        </w:rPr>
        <w:t xml:space="preserve"> </w:t>
      </w:r>
      <w:proofErr w:type="spellStart"/>
      <w:r w:rsidRPr="0084431D">
        <w:rPr>
          <w:rFonts w:cs="Times New Roman"/>
          <w:i/>
        </w:rPr>
        <w:t>laïque</w:t>
      </w:r>
      <w:proofErr w:type="spellEnd"/>
      <w:r>
        <w:rPr>
          <w:rFonts w:cs="Times New Roman"/>
        </w:rPr>
        <w:t>;</w:t>
      </w:r>
      <w:r w:rsidRPr="0084431D">
        <w:rPr>
          <w:rFonts w:cs="Times New Roman"/>
        </w:rPr>
        <w:t xml:space="preserve"> </w:t>
      </w:r>
      <w:r w:rsidRPr="0084431D">
        <w:rPr>
          <w:rFonts w:cs="Times New Roman"/>
          <w:i/>
        </w:rPr>
        <w:t xml:space="preserve">Igloo </w:t>
      </w:r>
      <w:proofErr w:type="spellStart"/>
      <w:r w:rsidRPr="0084431D">
        <w:rPr>
          <w:rFonts w:cs="Times New Roman"/>
          <w:i/>
        </w:rPr>
        <w:t>Vikski</w:t>
      </w:r>
      <w:proofErr w:type="spellEnd"/>
      <w:r w:rsidRPr="0084431D">
        <w:rPr>
          <w:rFonts w:cs="Times New Roman"/>
        </w:rPr>
        <w:t xml:space="preserve">; </w:t>
      </w:r>
      <w:r w:rsidRPr="0084431D">
        <w:rPr>
          <w:rFonts w:cs="Times New Roman"/>
          <w:i/>
        </w:rPr>
        <w:t>Edmonton East</w:t>
      </w:r>
      <w:r w:rsidRPr="0084431D">
        <w:rPr>
          <w:rFonts w:cs="Times New Roman"/>
        </w:rPr>
        <w:t>) and bedrock judgments affirming the relevance of administrative expertise to the standard of review analysis and to “home statute” deference (</w:t>
      </w:r>
      <w:r w:rsidRPr="0084431D">
        <w:rPr>
          <w:rFonts w:cs="Times New Roman"/>
          <w:i/>
        </w:rPr>
        <w:t>C.U.P.E.</w:t>
      </w:r>
      <w:r w:rsidRPr="0084431D">
        <w:rPr>
          <w:rFonts w:cs="Times New Roman"/>
        </w:rPr>
        <w:t xml:space="preserve">; </w:t>
      </w:r>
      <w:r w:rsidRPr="0084431D">
        <w:rPr>
          <w:rFonts w:cs="Times New Roman"/>
          <w:i/>
        </w:rPr>
        <w:t>National Corn Growers</w:t>
      </w:r>
      <w:r w:rsidRPr="0084431D">
        <w:rPr>
          <w:rFonts w:cs="Times New Roman"/>
        </w:rPr>
        <w:t xml:space="preserve">; </w:t>
      </w:r>
      <w:r w:rsidRPr="0084431D">
        <w:rPr>
          <w:rFonts w:cs="Times New Roman"/>
          <w:i/>
        </w:rPr>
        <w:t>Domtar Inc.</w:t>
      </w:r>
      <w:r w:rsidRPr="0084431D">
        <w:rPr>
          <w:rFonts w:cs="Times New Roman"/>
        </w:rPr>
        <w:t xml:space="preserve">; </w:t>
      </w:r>
      <w:proofErr w:type="spellStart"/>
      <w:r w:rsidRPr="0084431D">
        <w:rPr>
          <w:rFonts w:cs="Times New Roman"/>
          <w:i/>
        </w:rPr>
        <w:t>Bradco</w:t>
      </w:r>
      <w:proofErr w:type="spellEnd"/>
      <w:r w:rsidRPr="0084431D">
        <w:rPr>
          <w:rFonts w:cs="Times New Roman"/>
          <w:i/>
        </w:rPr>
        <w:t xml:space="preserve"> Construction</w:t>
      </w:r>
      <w:r w:rsidRPr="0084431D">
        <w:rPr>
          <w:rFonts w:cs="Times New Roman"/>
        </w:rPr>
        <w:t>;</w:t>
      </w:r>
      <w:r w:rsidRPr="0084431D">
        <w:rPr>
          <w:rFonts w:cs="Times New Roman"/>
          <w:i/>
        </w:rPr>
        <w:t xml:space="preserve"> </w:t>
      </w:r>
      <w:proofErr w:type="spellStart"/>
      <w:r w:rsidRPr="0084431D">
        <w:rPr>
          <w:rFonts w:cs="Times New Roman"/>
          <w:i/>
        </w:rPr>
        <w:t>Southam</w:t>
      </w:r>
      <w:proofErr w:type="spellEnd"/>
      <w:r w:rsidRPr="0084431D">
        <w:rPr>
          <w:rFonts w:cs="Times New Roman"/>
        </w:rPr>
        <w:t xml:space="preserve">; </w:t>
      </w:r>
      <w:proofErr w:type="spellStart"/>
      <w:r w:rsidRPr="0084431D">
        <w:rPr>
          <w:rFonts w:cs="Times New Roman"/>
          <w:i/>
        </w:rPr>
        <w:t>Pushpanathan</w:t>
      </w:r>
      <w:proofErr w:type="spellEnd"/>
      <w:r w:rsidRPr="0084431D">
        <w:rPr>
          <w:rFonts w:cs="Times New Roman"/>
        </w:rPr>
        <w:t xml:space="preserve">; </w:t>
      </w:r>
      <w:r w:rsidRPr="0084431D">
        <w:rPr>
          <w:rFonts w:cs="Times New Roman"/>
          <w:i/>
        </w:rPr>
        <w:t>Alberta Teachers’ Association</w:t>
      </w:r>
      <w:r w:rsidRPr="0084431D">
        <w:rPr>
          <w:rFonts w:cs="Times New Roman"/>
        </w:rPr>
        <w:t xml:space="preserve">; </w:t>
      </w:r>
      <w:r w:rsidRPr="0084431D">
        <w:rPr>
          <w:rFonts w:cs="Times New Roman"/>
          <w:i/>
          <w:lang w:bidi="en-US"/>
        </w:rPr>
        <w:t>Canadian Human Rights Commission</w:t>
      </w:r>
      <w:r w:rsidRPr="0084431D">
        <w:rPr>
          <w:rFonts w:cs="Times New Roman"/>
          <w:lang w:bidi="en-US"/>
        </w:rPr>
        <w:t>, among many others)</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Most of those decisions were decided unanimously or by strong majorities. At no point, however, does the majority acknowledge this Court’s strong reluctance to overturn precedents that “</w:t>
      </w:r>
      <w:proofErr w:type="spellStart"/>
      <w:r w:rsidRPr="0084431D">
        <w:rPr>
          <w:rFonts w:cs="Times New Roman"/>
        </w:rPr>
        <w:t>represen</w:t>
      </w:r>
      <w:proofErr w:type="spellEnd"/>
      <w:r w:rsidRPr="0084431D">
        <w:rPr>
          <w:rFonts w:cs="Times New Roman"/>
        </w:rPr>
        <w:t>[t] the considered views of firm majorities” (</w:t>
      </w:r>
      <w:r w:rsidRPr="0084431D">
        <w:rPr>
          <w:rFonts w:cs="Times New Roman"/>
          <w:i/>
        </w:rPr>
        <w:t>Craig</w:t>
      </w:r>
      <w:r w:rsidRPr="0084431D">
        <w:rPr>
          <w:rFonts w:cs="Times New Roman"/>
        </w:rPr>
        <w:t xml:space="preserve">, at para. 24; </w:t>
      </w:r>
      <w:r w:rsidRPr="0084431D">
        <w:rPr>
          <w:rFonts w:cs="Times New Roman"/>
          <w:i/>
        </w:rPr>
        <w:t>Ontario (Attorney General) v. Fraser</w:t>
      </w:r>
      <w:r w:rsidRPr="0084431D">
        <w:rPr>
          <w:rFonts w:cs="Times New Roman"/>
        </w:rPr>
        <w:t>, [2011] 2 S.C.R. 3, at para. 57;</w:t>
      </w:r>
      <w:r>
        <w:rPr>
          <w:rFonts w:cs="Times New Roman"/>
        </w:rPr>
        <w:t xml:space="preserve"> see also</w:t>
      </w:r>
      <w:r w:rsidRPr="0084431D">
        <w:rPr>
          <w:rFonts w:cs="Times New Roman"/>
        </w:rPr>
        <w:t xml:space="preserve"> </w:t>
      </w:r>
      <w:r w:rsidRPr="0084431D">
        <w:rPr>
          <w:rFonts w:cs="Times New Roman"/>
          <w:i/>
          <w:iCs/>
        </w:rPr>
        <w:t>Nishi v. Rascal Trucking Ltd.</w:t>
      </w:r>
      <w:r w:rsidRPr="0084431D">
        <w:rPr>
          <w:rFonts w:cs="Times New Roman"/>
        </w:rPr>
        <w:t>, [2013] 2 S.C.R. 438, at paras. 23</w:t>
      </w:r>
      <w:r>
        <w:rPr>
          <w:rFonts w:cs="Times New Roman"/>
        </w:rPr>
        <w:t xml:space="preserve">-24), or to overrule decisions </w:t>
      </w:r>
      <w:r w:rsidRPr="0084431D">
        <w:rPr>
          <w:rFonts w:cs="Times New Roman"/>
        </w:rPr>
        <w:t xml:space="preserve">of a </w:t>
      </w:r>
      <w:r>
        <w:rPr>
          <w:rFonts w:cs="Times New Roman"/>
        </w:rPr>
        <w:t>“</w:t>
      </w:r>
      <w:r w:rsidRPr="0084431D">
        <w:rPr>
          <w:rFonts w:cs="Times New Roman"/>
        </w:rPr>
        <w:t>recent vintage” (</w:t>
      </w:r>
      <w:r w:rsidRPr="0084431D">
        <w:rPr>
          <w:rFonts w:cs="Times New Roman"/>
          <w:i/>
        </w:rPr>
        <w:t>Fraser</w:t>
      </w:r>
      <w:r w:rsidRPr="0084431D">
        <w:rPr>
          <w:rFonts w:cs="Times New Roman"/>
        </w:rPr>
        <w:t xml:space="preserve">, at para. 57; see also </w:t>
      </w:r>
      <w:r w:rsidRPr="0084431D">
        <w:rPr>
          <w:rFonts w:cs="Times New Roman"/>
          <w:i/>
        </w:rPr>
        <w:t>Nishi</w:t>
      </w:r>
      <w:r w:rsidRPr="0084431D">
        <w:rPr>
          <w:rFonts w:cs="Times New Roman"/>
        </w:rPr>
        <w:t xml:space="preserve">, at para. 23). </w:t>
      </w:r>
      <w:r w:rsidRPr="0084431D">
        <w:rPr>
          <w:rFonts w:cs="Times New Roman"/>
          <w:szCs w:val="24"/>
        </w:rPr>
        <w:t xml:space="preserve">The decisions the majority </w:t>
      </w:r>
      <w:r w:rsidRPr="0084431D">
        <w:rPr>
          <w:rFonts w:cs="Times New Roman"/>
          <w:i/>
          <w:szCs w:val="24"/>
        </w:rPr>
        <w:t xml:space="preserve">does </w:t>
      </w:r>
      <w:r w:rsidRPr="0084431D">
        <w:rPr>
          <w:rFonts w:cs="Times New Roman"/>
          <w:szCs w:val="24"/>
        </w:rPr>
        <w:t xml:space="preserve">rely on, by contrast, involved overturning usually only one precedent and almost always an older one: </w:t>
      </w:r>
      <w:r w:rsidRPr="0084431D">
        <w:rPr>
          <w:rFonts w:cs="Times New Roman"/>
          <w:i/>
          <w:szCs w:val="24"/>
        </w:rPr>
        <w:t>Craig</w:t>
      </w:r>
      <w:r w:rsidRPr="0084431D">
        <w:rPr>
          <w:rFonts w:cs="Times New Roman"/>
          <w:szCs w:val="24"/>
        </w:rPr>
        <w:t xml:space="preserve"> overruled a 34-year-old precedent; </w:t>
      </w:r>
      <w:r w:rsidRPr="0084431D">
        <w:rPr>
          <w:rFonts w:cs="Times New Roman"/>
          <w:i/>
          <w:szCs w:val="24"/>
          <w:lang w:val="en-US"/>
        </w:rPr>
        <w:t>R. v. Henry</w:t>
      </w:r>
      <w:r w:rsidRPr="0084431D">
        <w:rPr>
          <w:rFonts w:cs="Times New Roman"/>
          <w:szCs w:val="24"/>
          <w:lang w:val="en-US"/>
        </w:rPr>
        <w:t xml:space="preserve">, </w:t>
      </w:r>
      <w:r w:rsidRPr="0084431D">
        <w:rPr>
          <w:rFonts w:cs="Times New Roman"/>
          <w:szCs w:val="24"/>
        </w:rPr>
        <w:t>[2005] 3 S.C.R. 609</w:t>
      </w:r>
      <w:r>
        <w:rPr>
          <w:rFonts w:cs="Times New Roman"/>
          <w:szCs w:val="24"/>
        </w:rPr>
        <w:t>,</w:t>
      </w:r>
      <w:r w:rsidRPr="0084431D">
        <w:rPr>
          <w:rFonts w:cs="Times New Roman"/>
          <w:szCs w:val="24"/>
        </w:rPr>
        <w:t xml:space="preserve"> overruled a 19-year-old precedent (and another 15-year-old precedent, in part); and the dissenting judges in </w:t>
      </w:r>
      <w:r w:rsidRPr="0084431D">
        <w:rPr>
          <w:rFonts w:cs="Times New Roman"/>
          <w:i/>
          <w:szCs w:val="24"/>
          <w:lang w:val="en-US"/>
        </w:rPr>
        <w:t>Bernard</w:t>
      </w:r>
      <w:r w:rsidRPr="0084431D">
        <w:rPr>
          <w:rFonts w:cs="Times New Roman"/>
          <w:szCs w:val="24"/>
          <w:lang w:val="en-US"/>
        </w:rPr>
        <w:t xml:space="preserve"> would have </w:t>
      </w:r>
      <w:r w:rsidRPr="0084431D">
        <w:rPr>
          <w:rFonts w:cs="Times New Roman"/>
          <w:szCs w:val="24"/>
        </w:rPr>
        <w:t>overruled a 10-year-old precedent.</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majority’s decision to overturn precedent also has the potential to disturb settled interpretations of many statutes that contain a right of appeal. Under the majority’s approach, every existing interpretation of such statutes by an administrative body that has been affirmed under a reasonableness standard of review will be open to fresh challenge. In </w:t>
      </w:r>
      <w:r w:rsidRPr="0084431D">
        <w:rPr>
          <w:rFonts w:cs="Times New Roman"/>
          <w:i/>
        </w:rPr>
        <w:t>McLean</w:t>
      </w:r>
      <w:r w:rsidRPr="0084431D">
        <w:rPr>
          <w:rFonts w:cs="Times New Roman"/>
        </w:rPr>
        <w:t xml:space="preserve">, for example, this Court acknowledged that a limitations period in British Columbia’s </w:t>
      </w:r>
      <w:r w:rsidRPr="0084431D">
        <w:rPr>
          <w:rFonts w:cs="Times New Roman"/>
          <w:i/>
        </w:rPr>
        <w:t>Securities Act</w:t>
      </w:r>
      <w:r w:rsidRPr="005608BB">
        <w:rPr>
          <w:rStyle w:val="Hyperlink"/>
          <w:color w:val="0000FF"/>
          <w:vertAlign w:val="superscript"/>
        </w:rPr>
        <w:footnoteReference w:id="6"/>
      </w:r>
      <w:r w:rsidRPr="0084431D">
        <w:rPr>
          <w:rFonts w:cs="Times New Roman"/>
        </w:rPr>
        <w:t xml:space="preserve"> had two reasonable interpretations, but deferred to the one the Commission preferred based on deferential review. We see no reason why an individual in the same situation as Ms</w:t>
      </w:r>
      <w:r>
        <w:rPr>
          <w:rFonts w:cs="Times New Roman"/>
        </w:rPr>
        <w:t>. McLean could not now re</w:t>
      </w:r>
      <w:r w:rsidRPr="0084431D">
        <w:rPr>
          <w:rFonts w:cs="Times New Roman"/>
        </w:rPr>
        <w:t xml:space="preserve">visit our Court’s decision through the statutory right of appeal in the </w:t>
      </w:r>
      <w:r w:rsidRPr="0084431D">
        <w:rPr>
          <w:rFonts w:cs="Times New Roman"/>
          <w:i/>
        </w:rPr>
        <w:t>Securities Act</w:t>
      </w:r>
      <w:r w:rsidRPr="0084431D">
        <w:rPr>
          <w:rFonts w:cs="Times New Roman"/>
        </w:rPr>
        <w:t>,</w:t>
      </w:r>
      <w:r w:rsidRPr="0084431D">
        <w:rPr>
          <w:rFonts w:cs="Times New Roman"/>
          <w:i/>
        </w:rPr>
        <w:t xml:space="preserve"> </w:t>
      </w:r>
      <w:r w:rsidRPr="0084431D">
        <w:rPr>
          <w:rFonts w:cs="Times New Roman"/>
        </w:rPr>
        <w:t xml:space="preserve">and insist that a new reviewing court offer </w:t>
      </w:r>
      <w:r w:rsidRPr="0084431D">
        <w:rPr>
          <w:rFonts w:cs="Times New Roman"/>
          <w:i/>
        </w:rPr>
        <w:t xml:space="preserve">its </w:t>
      </w:r>
      <w:r w:rsidRPr="0084431D">
        <w:rPr>
          <w:rFonts w:cs="Times New Roman"/>
        </w:rPr>
        <w:t xml:space="preserve">definitive view of the relevant limitations </w:t>
      </w:r>
      <w:r w:rsidRPr="0084431D">
        <w:rPr>
          <w:rFonts w:cs="Times New Roman"/>
        </w:rPr>
        <w:lastRenderedPageBreak/>
        <w:t xml:space="preserve">period now that appeal clauses are interpreted to permit judicial substitution rather than deference.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The majority does not address the chaos that such legal uncertainty will generate for those who rely on settled interpretations of administrative statutes to structure their affairs, despite the fact that protecting these reliance interests is a well-recognized and especially powerful reason for respecting precedent (Garner et al., at pp. 404-11; Neil Duxbury, </w:t>
      </w:r>
      <w:r w:rsidRPr="0084431D">
        <w:rPr>
          <w:rFonts w:cs="Times New Roman"/>
          <w:i/>
        </w:rPr>
        <w:t>The Nature and Authority of Precedent</w:t>
      </w:r>
      <w:r w:rsidRPr="0084431D">
        <w:rPr>
          <w:rFonts w:cs="Times New Roman"/>
        </w:rPr>
        <w:t xml:space="preserve"> (2008), at pp</w:t>
      </w:r>
      <w:r>
        <w:rPr>
          <w:rFonts w:cs="Times New Roman"/>
        </w:rPr>
        <w:t>. </w:t>
      </w:r>
      <w:r w:rsidRPr="0084431D">
        <w:rPr>
          <w:rFonts w:cs="Times New Roman"/>
        </w:rPr>
        <w:t>11</w:t>
      </w:r>
      <w:r>
        <w:rPr>
          <w:rFonts w:cs="Times New Roman"/>
        </w:rPr>
        <w:t>8</w:t>
      </w:r>
      <w:r>
        <w:rPr>
          <w:rFonts w:cs="Times New Roman"/>
        </w:rPr>
        <w:noBreakHyphen/>
      </w:r>
      <w:r w:rsidRPr="0084431D">
        <w:rPr>
          <w:rFonts w:cs="Times New Roman"/>
        </w:rPr>
        <w:t xml:space="preserve">19; </w:t>
      </w:r>
      <w:r w:rsidRPr="0084431D">
        <w:rPr>
          <w:rFonts w:cs="Times New Roman"/>
          <w:i/>
        </w:rPr>
        <w:t>Kimble</w:t>
      </w:r>
      <w:r>
        <w:rPr>
          <w:rFonts w:cs="Times New Roman"/>
        </w:rPr>
        <w:t>, at pp. 2410-11</w:t>
      </w:r>
      <w:r w:rsidRPr="0084431D">
        <w:rPr>
          <w:rFonts w:cs="Times New Roman"/>
        </w:rPr>
        <w:t>). By changing the entire status quo, the majority’s approach will</w:t>
      </w:r>
      <w:r w:rsidRPr="0084431D">
        <w:rPr>
          <w:rFonts w:cs="Times New Roman"/>
          <w:b/>
        </w:rPr>
        <w:t xml:space="preserve"> </w:t>
      </w:r>
      <w:r w:rsidRPr="0084431D">
        <w:rPr>
          <w:rFonts w:cs="Times New Roman"/>
        </w:rPr>
        <w:t xml:space="preserve">undermine legal certainty </w:t>
      </w:r>
      <w:r>
        <w:rPr>
          <w:rFonts w:cs="Times New Roman"/>
        </w:rPr>
        <w:t>—</w:t>
      </w:r>
      <w:r w:rsidRPr="0084431D">
        <w:rPr>
          <w:rFonts w:cs="Times New Roman"/>
        </w:rPr>
        <w:t xml:space="preserve"> “the foundational principle upon which the common law relies” (</w:t>
      </w:r>
      <w:r w:rsidRPr="0084431D">
        <w:rPr>
          <w:rFonts w:cs="Times New Roman"/>
          <w:i/>
        </w:rPr>
        <w:t>Bedford</w:t>
      </w:r>
      <w:r w:rsidRPr="0084431D">
        <w:rPr>
          <w:rFonts w:cs="Times New Roman"/>
        </w:rPr>
        <w:t xml:space="preserve">, at para. 38; see also </w:t>
      </w:r>
      <w:r w:rsidRPr="001A555C">
        <w:rPr>
          <w:rFonts w:cs="Times New Roman"/>
        </w:rPr>
        <w:t>Cromwell, at p. 315).</w:t>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Moreover, if this Court had</w:t>
      </w:r>
      <w:r>
        <w:rPr>
          <w:rFonts w:cs="Times New Roman"/>
        </w:rPr>
        <w:t xml:space="preserve"> for over 30</w:t>
      </w:r>
      <w:r w:rsidRPr="0084431D">
        <w:rPr>
          <w:rFonts w:cs="Times New Roman"/>
        </w:rPr>
        <w:t xml:space="preserve"> years significantly misconstrued the purpose of statutory appeal routes by failing to recognize what </w:t>
      </w:r>
      <w:r w:rsidRPr="0084431D">
        <w:rPr>
          <w:rFonts w:cs="Times New Roman"/>
          <w:i/>
        </w:rPr>
        <w:t>this</w:t>
      </w:r>
      <w:r w:rsidRPr="0084431D">
        <w:rPr>
          <w:rFonts w:cs="Times New Roman"/>
        </w:rPr>
        <w:t xml:space="preserve"> majority has ultimately discerned </w:t>
      </w:r>
      <w:r>
        <w:rPr>
          <w:rFonts w:cs="Times New Roman"/>
        </w:rPr>
        <w:t>—</w:t>
      </w:r>
      <w:r w:rsidRPr="0084431D">
        <w:rPr>
          <w:rFonts w:cs="Times New Roman"/>
        </w:rPr>
        <w:t xml:space="preserve"> that in enacting such routes, legislatures were unequivocally directing courts to review </w:t>
      </w:r>
      <w:r w:rsidRPr="0084431D">
        <w:rPr>
          <w:rFonts w:cs="Times New Roman"/>
          <w:i/>
        </w:rPr>
        <w:t>de novo</w:t>
      </w:r>
      <w:r w:rsidRPr="0084431D">
        <w:rPr>
          <w:rFonts w:cs="Times New Roman"/>
        </w:rPr>
        <w:t xml:space="preserve"> every question of law that an administrative body addresses, regardless of that body’s expertise </w:t>
      </w:r>
      <w:r>
        <w:rPr>
          <w:rFonts w:cs="Times New Roman"/>
        </w:rPr>
        <w:t>—</w:t>
      </w:r>
      <w:r w:rsidRPr="0084431D">
        <w:rPr>
          <w:rFonts w:cs="Times New Roman"/>
        </w:rPr>
        <w:t xml:space="preserve"> legislatures across Canada were free to clarify this interpretation and endorse the majority’s favoured approach through legislative amendment. Given the possibility </w:t>
      </w:r>
      <w:r>
        <w:rPr>
          <w:rFonts w:cs="Times New Roman"/>
        </w:rPr>
        <w:t>—</w:t>
      </w:r>
      <w:r w:rsidRPr="0084431D">
        <w:rPr>
          <w:rFonts w:cs="Times New Roman"/>
        </w:rPr>
        <w:t xml:space="preserve"> and continued absence </w:t>
      </w:r>
      <w:r>
        <w:rPr>
          <w:rFonts w:cs="Times New Roman"/>
        </w:rPr>
        <w:t>—</w:t>
      </w:r>
      <w:r w:rsidRPr="0084431D">
        <w:rPr>
          <w:rFonts w:cs="Times New Roman"/>
        </w:rPr>
        <w:t xml:space="preserve"> of legislative correction, the case for overturning our past decisions is even less compelling (</w:t>
      </w:r>
      <w:proofErr w:type="spellStart"/>
      <w:r w:rsidRPr="0084431D">
        <w:rPr>
          <w:rFonts w:cs="Times New Roman"/>
          <w:i/>
        </w:rPr>
        <w:t>Binus</w:t>
      </w:r>
      <w:proofErr w:type="spellEnd"/>
      <w:r w:rsidRPr="0084431D">
        <w:rPr>
          <w:rFonts w:cs="Times New Roman"/>
          <w:i/>
        </w:rPr>
        <w:t xml:space="preserve"> v. The Queen</w:t>
      </w:r>
      <w:r w:rsidRPr="0084431D">
        <w:rPr>
          <w:rFonts w:cs="Times New Roman"/>
        </w:rPr>
        <w:t xml:space="preserve">, [1967] S.C.R. 594, at p. 601; see also </w:t>
      </w:r>
      <w:r w:rsidRPr="0084431D">
        <w:rPr>
          <w:rFonts w:cs="Times New Roman"/>
          <w:i/>
        </w:rPr>
        <w:t>Kimble</w:t>
      </w:r>
      <w:r w:rsidRPr="0084431D">
        <w:rPr>
          <w:rFonts w:cs="Times New Roman"/>
        </w:rPr>
        <w:t xml:space="preserve">, at p. </w:t>
      </w:r>
      <w:r>
        <w:rPr>
          <w:rFonts w:cs="Times New Roman"/>
        </w:rPr>
        <w:t>2409</w:t>
      </w:r>
      <w:r w:rsidRPr="0084431D">
        <w:rPr>
          <w:rFonts w:cs="Times New Roman"/>
        </w:rPr>
        <w:t xml:space="preserve">; </w:t>
      </w:r>
      <w:proofErr w:type="spellStart"/>
      <w:r w:rsidRPr="0084431D">
        <w:rPr>
          <w:rFonts w:cs="Times New Roman"/>
          <w:i/>
        </w:rPr>
        <w:t>Kisor</w:t>
      </w:r>
      <w:proofErr w:type="spellEnd"/>
      <w:r w:rsidRPr="0084431D">
        <w:rPr>
          <w:rFonts w:cs="Times New Roman"/>
        </w:rPr>
        <w:t>, at pp.</w:t>
      </w:r>
      <w:r>
        <w:rPr>
          <w:rFonts w:cs="Times New Roman"/>
        </w:rPr>
        <w:t> 2422-23</w:t>
      </w:r>
      <w:r w:rsidRPr="0084431D">
        <w:rPr>
          <w:rFonts w:cs="Times New Roman"/>
        </w:rPr>
        <w:t xml:space="preserve">; </w:t>
      </w:r>
      <w:proofErr w:type="spellStart"/>
      <w:r w:rsidRPr="0084431D">
        <w:rPr>
          <w:rFonts w:cs="Times New Roman"/>
          <w:i/>
        </w:rPr>
        <w:t>Bilski</w:t>
      </w:r>
      <w:proofErr w:type="spellEnd"/>
      <w:r w:rsidRPr="0084431D">
        <w:rPr>
          <w:rFonts w:cs="Times New Roman"/>
          <w:i/>
        </w:rPr>
        <w:t xml:space="preserve"> v. </w:t>
      </w:r>
      <w:proofErr w:type="spellStart"/>
      <w:r w:rsidRPr="0084431D">
        <w:rPr>
          <w:rFonts w:cs="Times New Roman"/>
          <w:i/>
        </w:rPr>
        <w:t>Kappos</w:t>
      </w:r>
      <w:proofErr w:type="spellEnd"/>
      <w:r>
        <w:rPr>
          <w:rFonts w:cs="Times New Roman"/>
        </w:rPr>
        <w:t xml:space="preserve">, </w:t>
      </w:r>
      <w:r w:rsidRPr="00C60F20">
        <w:rPr>
          <w:rFonts w:cs="Times New Roman"/>
          <w:i/>
        </w:rPr>
        <w:t>Un</w:t>
      </w:r>
      <w:r>
        <w:rPr>
          <w:rFonts w:cs="Times New Roman"/>
          <w:i/>
        </w:rPr>
        <w:t xml:space="preserve">der Secretary of Commerce for </w:t>
      </w:r>
      <w:r w:rsidRPr="008C1BB8">
        <w:rPr>
          <w:rFonts w:cs="Times New Roman"/>
          <w:i/>
        </w:rPr>
        <w:t>Intellectual</w:t>
      </w:r>
      <w:r w:rsidRPr="00C60F20">
        <w:rPr>
          <w:rFonts w:cs="Times New Roman"/>
          <w:i/>
        </w:rPr>
        <w:t xml:space="preserve"> Property and Director, Patent and Trademark Office</w:t>
      </w:r>
      <w:r w:rsidRPr="0084431D">
        <w:rPr>
          <w:rFonts w:cs="Times New Roman"/>
        </w:rPr>
        <w:t>, 561 U.S. 593 (2010)</w:t>
      </w:r>
      <w:r>
        <w:rPr>
          <w:rFonts w:cs="Times New Roman"/>
        </w:rPr>
        <w:t>, at pp. 601-</w:t>
      </w:r>
      <w:r w:rsidRPr="0084431D">
        <w:rPr>
          <w:rFonts w:cs="Times New Roman"/>
        </w:rPr>
        <w:t>2).</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lastRenderedPageBreak/>
        <w:t xml:space="preserve">Each of these rationales for adhering to precedent </w:t>
      </w:r>
      <w:r>
        <w:rPr>
          <w:rFonts w:cs="Times New Roman"/>
        </w:rPr>
        <w:t>—</w:t>
      </w:r>
      <w:r w:rsidRPr="0084431D">
        <w:rPr>
          <w:rFonts w:cs="Times New Roman"/>
        </w:rPr>
        <w:t xml:space="preserve"> consistent affirmation, reliance interests and the possibility of legislative correction </w:t>
      </w:r>
      <w:r>
        <w:rPr>
          <w:rFonts w:cs="Times New Roman"/>
        </w:rPr>
        <w:t>—</w:t>
      </w:r>
      <w:r w:rsidRPr="0084431D">
        <w:rPr>
          <w:rFonts w:cs="Times New Roman"/>
        </w:rPr>
        <w:t xml:space="preserve"> was recently endorsed by the United States Supreme Court in </w:t>
      </w:r>
      <w:proofErr w:type="spellStart"/>
      <w:r w:rsidRPr="0084431D">
        <w:rPr>
          <w:rFonts w:cs="Times New Roman"/>
          <w:i/>
        </w:rPr>
        <w:t>Kisor</w:t>
      </w:r>
      <w:proofErr w:type="spellEnd"/>
      <w:r w:rsidRPr="0084431D">
        <w:rPr>
          <w:rFonts w:cs="Times New Roman"/>
        </w:rPr>
        <w:t xml:space="preserve">. There, the Court invoked </w:t>
      </w:r>
      <w:r w:rsidRPr="0084431D">
        <w:rPr>
          <w:rFonts w:cs="Times New Roman"/>
          <w:i/>
        </w:rPr>
        <w:t>stare decisis</w:t>
      </w:r>
      <w:r w:rsidRPr="0084431D">
        <w:rPr>
          <w:rFonts w:cs="Times New Roman"/>
        </w:rPr>
        <w:t xml:space="preserve"> to uphold two administrative law precedents which urged deference to administrative agencies when they interpreted ambiguous provisions in their regulations (</w:t>
      </w:r>
      <w:r w:rsidRPr="0084431D">
        <w:rPr>
          <w:rFonts w:cs="Times New Roman"/>
          <w:i/>
        </w:rPr>
        <w:t>Bowles</w:t>
      </w:r>
      <w:r>
        <w:rPr>
          <w:rFonts w:cs="Times New Roman"/>
          <w:i/>
        </w:rPr>
        <w:t>, Price Administrator</w:t>
      </w:r>
      <w:r w:rsidRPr="0084431D">
        <w:rPr>
          <w:rFonts w:cs="Times New Roman"/>
          <w:i/>
        </w:rPr>
        <w:t xml:space="preserve"> v. Seminole Rock &amp; Sand Co.</w:t>
      </w:r>
      <w:r w:rsidRPr="0084431D">
        <w:rPr>
          <w:rFonts w:cs="Times New Roman"/>
        </w:rPr>
        <w:t xml:space="preserve">, 325 U.S. 410 (1945); </w:t>
      </w:r>
      <w:r w:rsidRPr="0084431D">
        <w:rPr>
          <w:rFonts w:cs="Times New Roman"/>
          <w:i/>
        </w:rPr>
        <w:t>Auer v. Robbins</w:t>
      </w:r>
      <w:r w:rsidRPr="0084431D">
        <w:rPr>
          <w:rFonts w:cs="Times New Roman"/>
        </w:rPr>
        <w:t xml:space="preserve">, 519 U.S. 452 (1997)). Writing for the majority on the issue of </w:t>
      </w:r>
      <w:r w:rsidRPr="0084431D">
        <w:rPr>
          <w:rFonts w:cs="Times New Roman"/>
          <w:i/>
        </w:rPr>
        <w:t>stare decisis</w:t>
      </w:r>
      <w:r w:rsidRPr="0084431D">
        <w:rPr>
          <w:rFonts w:cs="Times New Roman"/>
        </w:rPr>
        <w:t xml:space="preserve">, Justice Kagan explained at length why the doctrine barred the Court from overturning </w:t>
      </w:r>
      <w:r w:rsidRPr="0084431D">
        <w:rPr>
          <w:rFonts w:cs="Times New Roman"/>
          <w:i/>
        </w:rPr>
        <w:t xml:space="preserve">Auer </w:t>
      </w:r>
      <w:r w:rsidRPr="0084431D">
        <w:rPr>
          <w:rFonts w:cs="Times New Roman"/>
        </w:rPr>
        <w:t xml:space="preserve">or </w:t>
      </w:r>
      <w:r w:rsidRPr="0084431D">
        <w:rPr>
          <w:rFonts w:cs="Times New Roman"/>
          <w:i/>
        </w:rPr>
        <w:t>Seminole Rock</w:t>
      </w:r>
      <w:r w:rsidRPr="0084431D">
        <w:rPr>
          <w:rFonts w:cs="Times New Roman"/>
        </w:rPr>
        <w:t xml:space="preserve">. To begin, Justice Kagan reiterated the importance of </w:t>
      </w:r>
      <w:r w:rsidRPr="0084431D">
        <w:rPr>
          <w:rFonts w:cs="Times New Roman"/>
          <w:i/>
        </w:rPr>
        <w:t xml:space="preserve">stare decisis </w:t>
      </w:r>
      <w:r w:rsidRPr="0084431D">
        <w:rPr>
          <w:rFonts w:cs="Times New Roman"/>
        </w:rPr>
        <w:t xml:space="preserve">and the need for special justification to overcome its demands. She then explained that </w:t>
      </w:r>
      <w:r w:rsidRPr="0084431D">
        <w:rPr>
          <w:rFonts w:cs="Times New Roman"/>
          <w:i/>
        </w:rPr>
        <w:t xml:space="preserve">stare decisis </w:t>
      </w:r>
      <w:r w:rsidRPr="0084431D">
        <w:rPr>
          <w:rFonts w:cs="Times New Roman"/>
        </w:rPr>
        <w:t xml:space="preserve">carried even greater force than usual when applied to two decisions that had been affirmed by a “long line of precedents” going back 75 years or more and cited by lower </w:t>
      </w:r>
      <w:r>
        <w:rPr>
          <w:rFonts w:cs="Times New Roman"/>
        </w:rPr>
        <w:t>courts thousands of times (p. 2422</w:t>
      </w:r>
      <w:r w:rsidRPr="0084431D">
        <w:rPr>
          <w:rFonts w:cs="Times New Roman"/>
        </w:rPr>
        <w:t xml:space="preserve">). She noted that overturning the challenged precedents would cast doubt on many settled statutory interpretations and invite </w:t>
      </w:r>
      <w:proofErr w:type="spellStart"/>
      <w:r w:rsidRPr="0084431D">
        <w:rPr>
          <w:rFonts w:cs="Times New Roman"/>
        </w:rPr>
        <w:t>re</w:t>
      </w:r>
      <w:r>
        <w:rPr>
          <w:rFonts w:cs="Times New Roman"/>
        </w:rPr>
        <w:t>litigation</w:t>
      </w:r>
      <w:proofErr w:type="spellEnd"/>
      <w:r>
        <w:rPr>
          <w:rFonts w:cs="Times New Roman"/>
        </w:rPr>
        <w:t xml:space="preserve"> of cases (p. 2422</w:t>
      </w:r>
      <w:r w:rsidRPr="0084431D">
        <w:rPr>
          <w:rFonts w:cs="Times New Roman"/>
        </w:rPr>
        <w:t>). Finally, Justice Kagan reasoned that Congress remained free to overturn the cases if the Court had misconstrued legislative intent:</w:t>
      </w:r>
    </w:p>
    <w:p w:rsidR="008B0231" w:rsidRPr="0084431D" w:rsidRDefault="008B0231" w:rsidP="008B0231">
      <w:pPr>
        <w:pStyle w:val="Citation-AltC"/>
        <w:rPr>
          <w:lang w:val="en-US"/>
        </w:rPr>
      </w:pPr>
      <w:r>
        <w:t>.</w:t>
      </w:r>
      <w:r w:rsidR="00323928">
        <w:t> </w:t>
      </w:r>
      <w:r>
        <w:t>.</w:t>
      </w:r>
      <w:r w:rsidR="00323928">
        <w:t> </w:t>
      </w:r>
      <w:r>
        <w:t xml:space="preserve">. </w:t>
      </w:r>
      <w:proofErr w:type="gramStart"/>
      <w:r w:rsidRPr="0084431D">
        <w:rPr>
          <w:rFonts w:eastAsiaTheme="minorEastAsia"/>
        </w:rPr>
        <w:t>even</w:t>
      </w:r>
      <w:proofErr w:type="gramEnd"/>
      <w:r w:rsidRPr="0084431D">
        <w:rPr>
          <w:rFonts w:eastAsiaTheme="minorEastAsia"/>
        </w:rPr>
        <w:t xml:space="preserve"> if we are wrong about </w:t>
      </w:r>
      <w:r w:rsidRPr="0084431D">
        <w:rPr>
          <w:rFonts w:eastAsiaTheme="minorEastAsia"/>
          <w:i/>
        </w:rPr>
        <w:t>Auer</w:t>
      </w:r>
      <w:r w:rsidRPr="00A01306">
        <w:rPr>
          <w:rFonts w:eastAsiaTheme="minorEastAsia"/>
        </w:rPr>
        <w:t>,</w:t>
      </w:r>
      <w:r w:rsidRPr="0084431D">
        <w:rPr>
          <w:rFonts w:eastAsiaTheme="minorEastAsia"/>
          <w:i/>
        </w:rPr>
        <w:t xml:space="preserve"> </w:t>
      </w:r>
      <w:r>
        <w:rPr>
          <w:rFonts w:eastAsiaTheme="minorEastAsia"/>
        </w:rPr>
        <w:t>“</w:t>
      </w:r>
      <w:r w:rsidRPr="0084431D">
        <w:rPr>
          <w:rFonts w:eastAsiaTheme="minorEastAsia"/>
        </w:rPr>
        <w:t>Congress</w:t>
      </w:r>
      <w:r w:rsidRPr="0084431D">
        <w:rPr>
          <w:lang w:val="en-US"/>
        </w:rPr>
        <w:t xml:space="preserve"> </w:t>
      </w:r>
      <w:r w:rsidRPr="0084431D">
        <w:rPr>
          <w:lang w:val="x-none"/>
        </w:rPr>
        <w:t>remains free to alter what we have done.</w:t>
      </w:r>
      <w:r>
        <w:rPr>
          <w:lang w:val="en-US"/>
        </w:rPr>
        <w:t>”</w:t>
      </w:r>
      <w:r w:rsidRPr="0084431D">
        <w:rPr>
          <w:lang w:val="x-none"/>
        </w:rPr>
        <w:t xml:space="preserve"> In a constitutional case, only we can correct our error. But that is not so here. Our deference decisions are </w:t>
      </w:r>
      <w:r>
        <w:rPr>
          <w:lang w:val="en-US"/>
        </w:rPr>
        <w:t>“</w:t>
      </w:r>
      <w:r w:rsidRPr="0084431D">
        <w:rPr>
          <w:lang w:val="x-none"/>
        </w:rPr>
        <w:t>balls tossed into Congress’s court,</w:t>
      </w:r>
      <w:r w:rsidRPr="0084431D">
        <w:rPr>
          <w:lang w:val="en-US"/>
        </w:rPr>
        <w:t xml:space="preserve"> </w:t>
      </w:r>
      <w:r w:rsidRPr="0084431D">
        <w:rPr>
          <w:lang w:val="x-none"/>
        </w:rPr>
        <w:t>for acceptance or not as that branch elects.</w:t>
      </w:r>
      <w:r>
        <w:rPr>
          <w:lang w:val="en-US"/>
        </w:rPr>
        <w:t>”</w:t>
      </w:r>
      <w:r w:rsidRPr="0084431D">
        <w:rPr>
          <w:lang w:val="en-US"/>
        </w:rPr>
        <w:t xml:space="preserve"> </w:t>
      </w:r>
      <w:r w:rsidRPr="0084431D">
        <w:rPr>
          <w:lang w:val="x-none"/>
        </w:rPr>
        <w:t xml:space="preserve">And so far, at least, Congress has chosen acceptance. It could amend the APA or any specific statute to require the sort of </w:t>
      </w:r>
      <w:r w:rsidRPr="0084431D">
        <w:rPr>
          <w:i/>
          <w:lang w:val="x-none"/>
        </w:rPr>
        <w:t xml:space="preserve">de novo </w:t>
      </w:r>
      <w:r w:rsidRPr="0084431D">
        <w:rPr>
          <w:lang w:val="x-none"/>
        </w:rPr>
        <w:t xml:space="preserve">review of regulatory interpretations that </w:t>
      </w:r>
      <w:proofErr w:type="spellStart"/>
      <w:r w:rsidRPr="0084431D">
        <w:rPr>
          <w:lang w:val="x-none"/>
        </w:rPr>
        <w:t>Kisor</w:t>
      </w:r>
      <w:proofErr w:type="spellEnd"/>
      <w:r w:rsidRPr="0084431D">
        <w:rPr>
          <w:lang w:val="x-none"/>
        </w:rPr>
        <w:t xml:space="preserve"> favors. Instead, for approaching a century, it has let our deference regime work side-by-side with both the APA and the many statutes delegating rulemaking power to agencies. It has done so even after we made clear that our deference decisions reflect a presumption </w:t>
      </w:r>
      <w:r w:rsidRPr="0084431D">
        <w:rPr>
          <w:lang w:val="x-none"/>
        </w:rPr>
        <w:lastRenderedPageBreak/>
        <w:t>about congressional intent. And it has done so even after Members of this Court began to raise questions about the doctrine. Given that history</w:t>
      </w:r>
      <w:r>
        <w:rPr>
          <w:lang w:val="en-US"/>
        </w:rPr>
        <w:t xml:space="preserve"> </w:t>
      </w:r>
      <w:r w:rsidRPr="0084431D">
        <w:rPr>
          <w:lang w:val="x-none"/>
        </w:rPr>
        <w:t>—</w:t>
      </w:r>
      <w:r>
        <w:rPr>
          <w:lang w:val="en-US"/>
        </w:rPr>
        <w:t xml:space="preserve"> </w:t>
      </w:r>
      <w:r w:rsidRPr="0084431D">
        <w:rPr>
          <w:lang w:val="x-none"/>
        </w:rPr>
        <w:t xml:space="preserve">and Congress’s continuing ability to take up </w:t>
      </w:r>
      <w:proofErr w:type="spellStart"/>
      <w:r w:rsidRPr="0084431D">
        <w:rPr>
          <w:lang w:val="x-none"/>
        </w:rPr>
        <w:t>Kisor’s</w:t>
      </w:r>
      <w:proofErr w:type="spellEnd"/>
      <w:r w:rsidRPr="0084431D">
        <w:rPr>
          <w:lang w:val="en-US"/>
        </w:rPr>
        <w:t xml:space="preserve"> </w:t>
      </w:r>
      <w:r w:rsidRPr="0084431D">
        <w:rPr>
          <w:lang w:val="x-none"/>
        </w:rPr>
        <w:t>arguments</w:t>
      </w:r>
      <w:r>
        <w:rPr>
          <w:lang w:val="en-US"/>
        </w:rPr>
        <w:t xml:space="preserve"> </w:t>
      </w:r>
      <w:r w:rsidRPr="0084431D">
        <w:rPr>
          <w:lang w:val="x-none"/>
        </w:rPr>
        <w:t>—</w:t>
      </w:r>
      <w:r>
        <w:rPr>
          <w:lang w:val="en-US"/>
        </w:rPr>
        <w:t xml:space="preserve"> </w:t>
      </w:r>
      <w:r w:rsidRPr="0084431D">
        <w:rPr>
          <w:lang w:val="x-none"/>
        </w:rPr>
        <w:t xml:space="preserve">we would need a particularly “special justification” to now reverse </w:t>
      </w:r>
      <w:r w:rsidRPr="0084431D">
        <w:rPr>
          <w:i/>
          <w:lang w:val="x-none"/>
        </w:rPr>
        <w:t>Auer</w:t>
      </w:r>
      <w:r w:rsidRPr="0084431D">
        <w:rPr>
          <w:lang w:val="en-US"/>
        </w:rPr>
        <w:t>.</w:t>
      </w:r>
      <w:r w:rsidRPr="0084431D">
        <w:rPr>
          <w:i/>
          <w:lang w:val="x-none"/>
        </w:rPr>
        <w:t xml:space="preserve"> </w:t>
      </w:r>
      <w:r w:rsidRPr="0084431D">
        <w:rPr>
          <w:lang w:val="en-US"/>
        </w:rPr>
        <w:t>[</w:t>
      </w:r>
      <w:r>
        <w:rPr>
          <w:lang w:val="en-US"/>
        </w:rPr>
        <w:t xml:space="preserve">Citations </w:t>
      </w:r>
      <w:r w:rsidRPr="0084431D">
        <w:rPr>
          <w:lang w:val="en-US"/>
        </w:rPr>
        <w:t>omitted</w:t>
      </w:r>
      <w:r>
        <w:rPr>
          <w:lang w:val="en-US"/>
        </w:rPr>
        <w:t>; pp. 2422-23</w:t>
      </w:r>
      <w:r w:rsidR="005608BB">
        <w:rPr>
          <w:lang w:val="en-US"/>
        </w:rPr>
        <w:t>.</w:t>
      </w:r>
      <w:r w:rsidRPr="0084431D">
        <w:rPr>
          <w:lang w:val="en-US"/>
        </w:rPr>
        <w:t xml:space="preserv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the face of these compelling reasons for adhering to precedent, many of which have found resonance in this Court’s jurisprudence, the majority’s reliance on “judicial and academic criticism” falls far short of overcoming the demands of </w:t>
      </w:r>
      <w:r w:rsidRPr="0084431D">
        <w:rPr>
          <w:rFonts w:cs="Times New Roman"/>
          <w:i/>
        </w:rPr>
        <w:t>stare decisis</w:t>
      </w:r>
      <w:r w:rsidRPr="0084431D">
        <w:rPr>
          <w:rFonts w:cs="Times New Roman"/>
        </w:rPr>
        <w:t xml:space="preserve">. It is hard to see why the </w:t>
      </w:r>
      <w:r w:rsidRPr="0084431D">
        <w:rPr>
          <w:rFonts w:cs="Times New Roman"/>
          <w:i/>
        </w:rPr>
        <w:t xml:space="preserve">obiter </w:t>
      </w:r>
      <w:r w:rsidRPr="0084431D">
        <w:rPr>
          <w:rFonts w:cs="Times New Roman"/>
        </w:rPr>
        <w:t xml:space="preserve">views of the handful of Canadian judges referred to by the majority should be determinative or even persuasive. The majority omits the views of any academics or judges who </w:t>
      </w:r>
      <w:r w:rsidRPr="0084431D">
        <w:rPr>
          <w:rFonts w:cs="Times New Roman"/>
          <w:i/>
        </w:rPr>
        <w:t xml:space="preserve">have </w:t>
      </w:r>
      <w:r w:rsidRPr="0084431D">
        <w:rPr>
          <w:rFonts w:cs="Times New Roman"/>
        </w:rPr>
        <w:t>voiced support for a strong presumption of deference without identifying our approach to statutory rights of appeal as cause for concern (</w:t>
      </w:r>
      <w:proofErr w:type="spellStart"/>
      <w:r w:rsidRPr="0084431D">
        <w:rPr>
          <w:rFonts w:cs="Times New Roman"/>
        </w:rPr>
        <w:t>Dyzenhaus</w:t>
      </w:r>
      <w:proofErr w:type="spellEnd"/>
      <w:r w:rsidRPr="0084431D">
        <w:rPr>
          <w:rFonts w:cs="Times New Roman"/>
        </w:rPr>
        <w:t xml:space="preserve">, </w:t>
      </w:r>
      <w:r w:rsidRPr="0084431D">
        <w:rPr>
          <w:rFonts w:eastAsia="Times New Roman" w:cs="Times New Roman"/>
        </w:rPr>
        <w:t>“Dignity in Administrative Law</w:t>
      </w:r>
      <w:r>
        <w:rPr>
          <w:rFonts w:eastAsia="Times New Roman" w:cs="Times New Roman"/>
        </w:rPr>
        <w:t>: Judicial Deference in a Culture of Justification</w:t>
      </w:r>
      <w:r w:rsidRPr="0084431D">
        <w:rPr>
          <w:rFonts w:eastAsia="Times New Roman" w:cs="Times New Roman"/>
        </w:rPr>
        <w:t>”,</w:t>
      </w:r>
      <w:r>
        <w:rPr>
          <w:rFonts w:cs="Times New Roman"/>
        </w:rPr>
        <w:t xml:space="preserve"> at p. 109</w:t>
      </w:r>
      <w:r w:rsidRPr="0084431D">
        <w:rPr>
          <w:rFonts w:cs="Times New Roman"/>
        </w:rPr>
        <w:t>; Green, at pp.</w:t>
      </w:r>
      <w:r>
        <w:rPr>
          <w:rFonts w:cs="Times New Roman"/>
        </w:rPr>
        <w:t xml:space="preserve"> 489-</w:t>
      </w:r>
      <w:r w:rsidRPr="0084431D">
        <w:rPr>
          <w:rFonts w:cs="Times New Roman"/>
        </w:rPr>
        <w:t xml:space="preserve">90; Matthew </w:t>
      </w:r>
      <w:proofErr w:type="spellStart"/>
      <w:r w:rsidRPr="0084431D">
        <w:rPr>
          <w:rFonts w:cs="Times New Roman"/>
        </w:rPr>
        <w:t>Lewans</w:t>
      </w:r>
      <w:proofErr w:type="spellEnd"/>
      <w:r w:rsidRPr="0084431D">
        <w:rPr>
          <w:rFonts w:cs="Times New Roman"/>
        </w:rPr>
        <w:t xml:space="preserve">, </w:t>
      </w:r>
      <w:r w:rsidRPr="0084431D">
        <w:rPr>
          <w:rFonts w:cs="Times New Roman"/>
          <w:i/>
        </w:rPr>
        <w:t>Administrative Law and Judicial Deference</w:t>
      </w:r>
      <w:r w:rsidRPr="0084431D">
        <w:rPr>
          <w:rFonts w:cs="Times New Roman"/>
        </w:rPr>
        <w:t xml:space="preserve"> (2016); Jonathan M. </w:t>
      </w:r>
      <w:proofErr w:type="spellStart"/>
      <w:r w:rsidRPr="0084431D">
        <w:rPr>
          <w:rFonts w:cs="Times New Roman"/>
        </w:rPr>
        <w:t>Coady</w:t>
      </w:r>
      <w:proofErr w:type="spellEnd"/>
      <w:r w:rsidRPr="0084431D">
        <w:rPr>
          <w:rFonts w:cs="Times New Roman"/>
        </w:rPr>
        <w:t xml:space="preserve">, “The Time Has Come: Standard of Review in Canadian Administrative Law” (2017), 68 </w:t>
      </w:r>
      <w:r w:rsidRPr="0084431D">
        <w:rPr>
          <w:rFonts w:cs="Times New Roman"/>
          <w:i/>
        </w:rPr>
        <w:t>U.N.B.L.J.</w:t>
      </w:r>
      <w:r w:rsidRPr="0084431D">
        <w:rPr>
          <w:rFonts w:cs="Times New Roman"/>
        </w:rPr>
        <w:t xml:space="preserve"> 87</w:t>
      </w:r>
      <w:r w:rsidR="009239FE">
        <w:rPr>
          <w:rFonts w:cs="Times New Roman"/>
        </w:rPr>
        <w:t>; t</w:t>
      </w:r>
      <w:r w:rsidRPr="0084431D">
        <w:rPr>
          <w:rFonts w:cs="Times New Roman"/>
        </w:rPr>
        <w:t xml:space="preserve">he Hon. John M. Evans, “Standards of Review in Administrative Law” (2013), 26 </w:t>
      </w:r>
      <w:r>
        <w:rPr>
          <w:rFonts w:cs="Times New Roman"/>
          <w:i/>
        </w:rPr>
        <w:t xml:space="preserve">C.J.A.L.P. </w:t>
      </w:r>
      <w:r>
        <w:rPr>
          <w:rFonts w:cs="Times New Roman"/>
        </w:rPr>
        <w:t>67</w:t>
      </w:r>
      <w:r w:rsidRPr="0084431D">
        <w:rPr>
          <w:rFonts w:cs="Times New Roman"/>
        </w:rPr>
        <w:t xml:space="preserve">, at p. 79; </w:t>
      </w:r>
      <w:r w:rsidR="00284868">
        <w:rPr>
          <w:rFonts w:cs="Times New Roman"/>
        </w:rPr>
        <w:t>t</w:t>
      </w:r>
      <w:r w:rsidR="009239FE">
        <w:rPr>
          <w:rFonts w:cs="Times New Roman"/>
        </w:rPr>
        <w:t>he H</w:t>
      </w:r>
      <w:r w:rsidRPr="0084431D">
        <w:rPr>
          <w:rFonts w:cs="Times New Roman"/>
        </w:rPr>
        <w:t xml:space="preserve">on. John M. Evans, “Triumph of Reasonableness: But How Much Does It Really Matter?” (2014), 27 </w:t>
      </w:r>
      <w:r w:rsidRPr="00742AF7">
        <w:rPr>
          <w:rFonts w:cs="Times New Roman"/>
          <w:i/>
        </w:rPr>
        <w:t>C.J.A.L.P.</w:t>
      </w:r>
      <w:r w:rsidRPr="0084431D">
        <w:rPr>
          <w:rFonts w:cs="Times New Roman"/>
        </w:rPr>
        <w:t xml:space="preserve"> 101; Jerry V. DeMarco, “Seeking Simplicity in Canada’s Complex World of Judicial Review” (2019), 32 </w:t>
      </w:r>
      <w:r>
        <w:rPr>
          <w:rFonts w:cs="Times New Roman"/>
          <w:i/>
        </w:rPr>
        <w:t>C.J.A.L.P.</w:t>
      </w:r>
      <w:r w:rsidRPr="0084431D">
        <w:rPr>
          <w:rFonts w:cs="Times New Roman"/>
          <w:i/>
        </w:rPr>
        <w:t xml:space="preserve"> </w:t>
      </w:r>
      <w:r w:rsidR="000B4F49">
        <w:rPr>
          <w:rFonts w:cs="Times New Roman"/>
        </w:rPr>
        <w:t>67).</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A selective assortment of criticism is not evidence of generalized criticism or unworkability. This Court frequently tackles contentious, high-profile cases that engender strong and persisting divisions of opinion. The public looks to us to </w:t>
      </w:r>
      <w:r w:rsidRPr="0084431D">
        <w:rPr>
          <w:rFonts w:cs="Times New Roman"/>
        </w:rPr>
        <w:lastRenderedPageBreak/>
        <w:t xml:space="preserve">definitively resolve those cases, regardless of the composition of the Court. As </w:t>
      </w:r>
      <w:r>
        <w:rPr>
          <w:rFonts w:cs="Times New Roman"/>
        </w:rPr>
        <w:t>Hayne J.</w:t>
      </w:r>
      <w:r w:rsidRPr="0084431D">
        <w:rPr>
          <w:rFonts w:cs="Times New Roman"/>
        </w:rPr>
        <w:t xml:space="preserve"> noted in </w:t>
      </w:r>
      <w:r w:rsidRPr="0084431D">
        <w:rPr>
          <w:rFonts w:cs="Times New Roman"/>
          <w:i/>
        </w:rPr>
        <w:t>Lee</w:t>
      </w:r>
      <w:r w:rsidRPr="0084431D">
        <w:rPr>
          <w:rFonts w:cs="Times New Roman"/>
        </w:rPr>
        <w:t>:</w:t>
      </w:r>
    </w:p>
    <w:p w:rsidR="008B0231" w:rsidRPr="0084431D" w:rsidRDefault="008B0231" w:rsidP="00FA03B3">
      <w:pPr>
        <w:pStyle w:val="Citation-AltC"/>
        <w:ind w:left="1620"/>
      </w:pPr>
      <w:r w:rsidRPr="0084431D">
        <w:t>To regard the judgments of this Court as open to reconsideration whenever a new argument is found more attractive than the principle expressed in a standing decision is to overlook the function which a final court of appeal must perform in defining the law. In difficult areas of the law, differences of legal opinion are inevitable; before a final court of appeal, the choice between competing legal solutions oftentimes turns on the emphasis or weight given by each of the judges to one factor against a countervailing factor</w:t>
      </w:r>
      <w:r w:rsidR="009239FE">
        <w:t>.</w:t>
      </w:r>
      <w:r w:rsidR="00344B4F">
        <w:t> </w:t>
      </w:r>
      <w:r w:rsidRPr="0084431D">
        <w:t>.</w:t>
      </w:r>
      <w:r w:rsidR="00344B4F">
        <w:t> </w:t>
      </w:r>
      <w:r w:rsidRPr="0084431D">
        <w:t>.</w:t>
      </w:r>
      <w:r w:rsidR="00344B4F">
        <w:t> </w:t>
      </w:r>
      <w:r w:rsidRPr="0084431D">
        <w:t xml:space="preserve">. </w:t>
      </w:r>
      <w:r w:rsidRPr="0084431D">
        <w:rPr>
          <w:i/>
          <w:iCs/>
        </w:rPr>
        <w:t>In such cases, the decision itself determines which solution is, for the purposes of the current law, correct</w:t>
      </w:r>
      <w:r w:rsidRPr="0084431D">
        <w:t xml:space="preserve">. It is not to the point to argue in the next case that, leaving the particular decision out of account, another solution is better supported by legal theory. </w:t>
      </w:r>
      <w:r w:rsidRPr="0084431D">
        <w:rPr>
          <w:i/>
          <w:iCs/>
        </w:rPr>
        <w:t>Such an approach</w:t>
      </w:r>
      <w:r w:rsidRPr="0084431D">
        <w:t xml:space="preserve"> </w:t>
      </w:r>
      <w:r w:rsidRPr="0084431D">
        <w:rPr>
          <w:i/>
          <w:iCs/>
        </w:rPr>
        <w:t>would diminish the authority and finality of the judgments of this Court.</w:t>
      </w:r>
      <w:r w:rsidRPr="0084431D">
        <w:t xml:space="preserve"> As the function of defining the law is vested in the Court rather than in the justices who compose it, a decision of the Court will be followed in subsequent cases by the Court, however composed, subject to the exceptional power which resides in the Court to permit reconsideration. </w:t>
      </w:r>
    </w:p>
    <w:p w:rsidR="008B0231" w:rsidRPr="0084431D" w:rsidRDefault="008B0231" w:rsidP="008B0231">
      <w:pPr>
        <w:pStyle w:val="Citation-AltC"/>
        <w:ind w:left="1440"/>
      </w:pPr>
    </w:p>
    <w:p w:rsidR="008B0231" w:rsidRDefault="008B0231" w:rsidP="00501A0A">
      <w:pPr>
        <w:pStyle w:val="Citation-AltC"/>
        <w:tabs>
          <w:tab w:val="left" w:pos="1620"/>
        </w:tabs>
        <w:ind w:left="1170"/>
        <w:rPr>
          <w:lang w:val="en"/>
        </w:rPr>
      </w:pPr>
      <w:r>
        <w:rPr>
          <w:lang w:val="en"/>
        </w:rPr>
        <w:tab/>
      </w:r>
      <w:r w:rsidRPr="0084431D">
        <w:rPr>
          <w:lang w:val="en"/>
        </w:rPr>
        <w:t xml:space="preserve">Accordingly, as one commentator has put the point: “the previous decision is to be treated as the primary premise from which other arguments follow, and not just </w:t>
      </w:r>
      <w:r>
        <w:rPr>
          <w:lang w:val="en"/>
        </w:rPr>
        <w:t>as one potential premise among</w:t>
      </w:r>
      <w:r w:rsidRPr="0084431D">
        <w:rPr>
          <w:lang w:val="en"/>
        </w:rPr>
        <w:t xml:space="preserve"> an aggregate of competing premises”. [</w:t>
      </w:r>
      <w:r>
        <w:rPr>
          <w:lang w:val="en"/>
        </w:rPr>
        <w:t>E</w:t>
      </w:r>
      <w:r w:rsidRPr="0084431D">
        <w:rPr>
          <w:lang w:val="en"/>
        </w:rPr>
        <w:t>mphasis in original</w:t>
      </w:r>
      <w:r>
        <w:rPr>
          <w:lang w:val="en"/>
        </w:rPr>
        <w:t>; footnote omitted.</w:t>
      </w:r>
      <w:r w:rsidRPr="0084431D">
        <w:rPr>
          <w:lang w:val="en"/>
        </w:rPr>
        <w:t>]</w:t>
      </w:r>
    </w:p>
    <w:p w:rsidR="008B0231" w:rsidRDefault="008B0231" w:rsidP="008B0231">
      <w:pPr>
        <w:pStyle w:val="Citation-AltC"/>
        <w:ind w:left="1440"/>
        <w:rPr>
          <w:lang w:val="en"/>
        </w:rPr>
      </w:pPr>
    </w:p>
    <w:p w:rsidR="008B0231" w:rsidRPr="0084431D" w:rsidRDefault="008B0231" w:rsidP="005608BB">
      <w:pPr>
        <w:pStyle w:val="Citation-AltC"/>
        <w:ind w:left="0"/>
        <w:rPr>
          <w:lang w:val="en"/>
        </w:rPr>
      </w:pPr>
      <w:r>
        <w:rPr>
          <w:lang w:val="en"/>
        </w:rPr>
        <w:t>(</w:t>
      </w:r>
      <w:proofErr w:type="gramStart"/>
      <w:r>
        <w:rPr>
          <w:lang w:val="en"/>
        </w:rPr>
        <w:t>paras</w:t>
      </w:r>
      <w:proofErr w:type="gramEnd"/>
      <w:r>
        <w:rPr>
          <w:lang w:val="en"/>
        </w:rPr>
        <w:t xml:space="preserve">. 65-66, citing </w:t>
      </w:r>
      <w:r w:rsidRPr="00DD0337">
        <w:rPr>
          <w:i/>
          <w:lang w:val="en"/>
        </w:rPr>
        <w:t>Baker v. Campbell</w:t>
      </w:r>
      <w:r>
        <w:rPr>
          <w:lang w:val="en"/>
        </w:rPr>
        <w:t xml:space="preserve"> </w:t>
      </w:r>
      <w:r w:rsidR="008133DE">
        <w:rPr>
          <w:lang w:val="en"/>
        </w:rPr>
        <w:t>(</w:t>
      </w:r>
      <w:r>
        <w:rPr>
          <w:lang w:val="en"/>
        </w:rPr>
        <w:t>1983</w:t>
      </w:r>
      <w:r w:rsidR="008133DE">
        <w:rPr>
          <w:lang w:val="en"/>
        </w:rPr>
        <w:t xml:space="preserve">), </w:t>
      </w:r>
      <w:r>
        <w:rPr>
          <w:lang w:val="en"/>
        </w:rPr>
        <w:t>153 C.L.R. 52</w:t>
      </w:r>
      <w:r w:rsidR="008133DE">
        <w:rPr>
          <w:lang w:val="en"/>
        </w:rPr>
        <w:t xml:space="preserve"> (H.C.A.)</w:t>
      </w:r>
      <w:r>
        <w:rPr>
          <w:lang w:val="en"/>
        </w:rPr>
        <w:t>, at pp. 102-3</w:t>
      </w:r>
      <w:r w:rsidR="005608BB">
        <w:rPr>
          <w:lang w:val="en"/>
        </w:rPr>
        <w:t>.</w:t>
      </w:r>
      <w:r>
        <w:rPr>
          <w:lang w:val="en"/>
        </w:rPr>
        <w:t>)</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This Court, in fact, has been clear that “criticism of a judgment is not sufficient to justify over</w:t>
      </w:r>
      <w:r>
        <w:rPr>
          <w:rFonts w:cs="Times New Roman"/>
        </w:rPr>
        <w:t>ruling</w:t>
      </w:r>
      <w:r w:rsidRPr="0084431D">
        <w:rPr>
          <w:rFonts w:cs="Times New Roman"/>
        </w:rPr>
        <w:t xml:space="preserve"> it” (</w:t>
      </w:r>
      <w:r w:rsidRPr="0084431D">
        <w:rPr>
          <w:rFonts w:cs="Times New Roman"/>
          <w:i/>
        </w:rPr>
        <w:t>Fraser</w:t>
      </w:r>
      <w:r w:rsidRPr="0084431D">
        <w:rPr>
          <w:rFonts w:cs="Times New Roman"/>
        </w:rPr>
        <w:t xml:space="preserve">, at para. 86). Differences of legal and public opinion are a natural by-product of contentious cases like </w:t>
      </w:r>
      <w:r w:rsidRPr="0084431D">
        <w:rPr>
          <w:rFonts w:cs="Times New Roman"/>
          <w:i/>
        </w:rPr>
        <w:t>R. v. Jordan</w:t>
      </w:r>
      <w:r w:rsidRPr="0084431D">
        <w:rPr>
          <w:rFonts w:cs="Times New Roman"/>
        </w:rPr>
        <w:t xml:space="preserve">, [2016] 1 S.C.R. 631, or even </w:t>
      </w:r>
      <w:proofErr w:type="spellStart"/>
      <w:r>
        <w:rPr>
          <w:rFonts w:cs="Times New Roman"/>
          <w:i/>
        </w:rPr>
        <w:t>Housen</w:t>
      </w:r>
      <w:proofErr w:type="spellEnd"/>
      <w:r w:rsidRPr="0084431D">
        <w:rPr>
          <w:rFonts w:cs="Times New Roman"/>
        </w:rPr>
        <w:t>, which, as this Court acknowledged, was initially applied by appeal courts</w:t>
      </w:r>
      <w:r w:rsidRPr="0084431D">
        <w:rPr>
          <w:rFonts w:cs="Times New Roman"/>
          <w:i/>
        </w:rPr>
        <w:t xml:space="preserve"> </w:t>
      </w:r>
      <w:r w:rsidRPr="0084431D">
        <w:rPr>
          <w:rFonts w:cs="Times New Roman"/>
        </w:rPr>
        <w:t>with “varying degrees of enthusiasm” (</w:t>
      </w:r>
      <w:r w:rsidRPr="0084431D">
        <w:rPr>
          <w:rFonts w:cs="Times New Roman"/>
          <w:i/>
        </w:rPr>
        <w:t>H.L. v. Canada (</w:t>
      </w:r>
      <w:r>
        <w:rPr>
          <w:rFonts w:cs="Times New Roman"/>
          <w:i/>
        </w:rPr>
        <w:t>Attorney General</w:t>
      </w:r>
      <w:r w:rsidRPr="0084431D">
        <w:rPr>
          <w:rFonts w:cs="Times New Roman"/>
          <w:i/>
        </w:rPr>
        <w:t>)</w:t>
      </w:r>
      <w:r w:rsidRPr="00DD0337">
        <w:rPr>
          <w:rFonts w:cs="Times New Roman"/>
        </w:rPr>
        <w:t>,</w:t>
      </w:r>
      <w:r w:rsidRPr="0084431D">
        <w:rPr>
          <w:rFonts w:cs="Times New Roman"/>
          <w:i/>
        </w:rPr>
        <w:t xml:space="preserve"> </w:t>
      </w:r>
      <w:r w:rsidRPr="0084431D">
        <w:rPr>
          <w:rFonts w:cs="Times New Roman"/>
        </w:rPr>
        <w:t xml:space="preserve">[2005] 1 S.C.R. 401, at para. 76; see also Paul M. </w:t>
      </w:r>
      <w:proofErr w:type="spellStart"/>
      <w:r w:rsidRPr="0084431D">
        <w:rPr>
          <w:rFonts w:cs="Times New Roman"/>
        </w:rPr>
        <w:t>Perell</w:t>
      </w:r>
      <w:proofErr w:type="spellEnd"/>
      <w:r w:rsidRPr="0084431D">
        <w:rPr>
          <w:rFonts w:cs="Times New Roman"/>
        </w:rPr>
        <w:t xml:space="preserve">, “The Standard of </w:t>
      </w:r>
      <w:r w:rsidRPr="0084431D">
        <w:rPr>
          <w:rFonts w:cs="Times New Roman"/>
        </w:rPr>
        <w:lastRenderedPageBreak/>
        <w:t xml:space="preserve">Appellate Review and </w:t>
      </w:r>
      <w:r>
        <w:rPr>
          <w:rFonts w:cs="Times New Roman"/>
        </w:rPr>
        <w:t>T</w:t>
      </w:r>
      <w:r w:rsidRPr="0084431D">
        <w:rPr>
          <w:rFonts w:cs="Times New Roman"/>
        </w:rPr>
        <w:t xml:space="preserve">he Ironies of </w:t>
      </w:r>
      <w:proofErr w:type="spellStart"/>
      <w:r w:rsidRPr="0084431D">
        <w:rPr>
          <w:rFonts w:cs="Times New Roman"/>
        </w:rPr>
        <w:t>Housen</w:t>
      </w:r>
      <w:proofErr w:type="spellEnd"/>
      <w:r w:rsidRPr="0084431D">
        <w:rPr>
          <w:rFonts w:cs="Times New Roman"/>
        </w:rPr>
        <w:t xml:space="preserve"> v. </w:t>
      </w:r>
      <w:proofErr w:type="spellStart"/>
      <w:r w:rsidRPr="0084431D">
        <w:rPr>
          <w:rFonts w:cs="Times New Roman"/>
        </w:rPr>
        <w:t>Nikolaisen</w:t>
      </w:r>
      <w:proofErr w:type="spellEnd"/>
      <w:r w:rsidRPr="0084431D">
        <w:rPr>
          <w:rFonts w:cs="Times New Roman"/>
        </w:rPr>
        <w:t xml:space="preserve">” (2004), 28 </w:t>
      </w:r>
      <w:r w:rsidRPr="0084431D">
        <w:rPr>
          <w:rFonts w:cs="Times New Roman"/>
          <w:i/>
        </w:rPr>
        <w:t>Adv. Q.</w:t>
      </w:r>
      <w:r w:rsidRPr="0084431D">
        <w:rPr>
          <w:rFonts w:cs="Times New Roman"/>
        </w:rPr>
        <w:t xml:space="preserve"> 40, at p. 53; Mike Madden, “Conquering the Common Law Hydra: A Probably Correct and Reasonable Overview of Current Standards of Appellate and Judicial Review” (2010), 36 </w:t>
      </w:r>
      <w:r w:rsidRPr="0084431D">
        <w:rPr>
          <w:rFonts w:cs="Times New Roman"/>
          <w:i/>
        </w:rPr>
        <w:t>Adv. Q.</w:t>
      </w:r>
      <w:r>
        <w:rPr>
          <w:rFonts w:cs="Times New Roman"/>
        </w:rPr>
        <w:t xml:space="preserve"> 269, at pp. 278-79 and</w:t>
      </w:r>
      <w:r w:rsidRPr="0084431D">
        <w:rPr>
          <w:rFonts w:cs="Times New Roman"/>
        </w:rPr>
        <w:t xml:space="preserve"> 293; Paul J. Pape an</w:t>
      </w:r>
      <w:r>
        <w:rPr>
          <w:rFonts w:cs="Times New Roman"/>
        </w:rPr>
        <w:t>d John J. Adair, “Unreasonable review: The losing p</w:t>
      </w:r>
      <w:r w:rsidRPr="0084431D">
        <w:rPr>
          <w:rFonts w:cs="Times New Roman"/>
        </w:rPr>
        <w:t xml:space="preserve">arty and the </w:t>
      </w:r>
      <w:r>
        <w:rPr>
          <w:rFonts w:cs="Times New Roman"/>
        </w:rPr>
        <w:t>palpable and overriding error s</w:t>
      </w:r>
      <w:r w:rsidRPr="0084431D">
        <w:rPr>
          <w:rFonts w:cs="Times New Roman"/>
        </w:rPr>
        <w:t xml:space="preserve">tandard” (2008), 27 </w:t>
      </w:r>
      <w:r>
        <w:rPr>
          <w:rFonts w:cs="Times New Roman"/>
          <w:i/>
        </w:rPr>
        <w:t>Adv.</w:t>
      </w:r>
      <w:r w:rsidRPr="0084431D">
        <w:rPr>
          <w:rFonts w:cs="Times New Roman"/>
          <w:i/>
        </w:rPr>
        <w:t xml:space="preserve"> J.</w:t>
      </w:r>
      <w:r>
        <w:rPr>
          <w:rFonts w:cs="Times New Roman"/>
        </w:rPr>
        <w:t xml:space="preserve"> 6, at p. 8</w:t>
      </w:r>
      <w:r w:rsidRPr="0084431D">
        <w:rPr>
          <w:rFonts w:cs="Times New Roman"/>
        </w:rPr>
        <w:t>; Geoff</w:t>
      </w:r>
      <w:r>
        <w:rPr>
          <w:rFonts w:cs="Times New Roman"/>
        </w:rPr>
        <w:t xml:space="preserve"> R.</w:t>
      </w:r>
      <w:r w:rsidRPr="0084431D">
        <w:rPr>
          <w:rFonts w:cs="Times New Roman"/>
        </w:rPr>
        <w:t xml:space="preserve"> Hall, “Two Unsettled Questions in the Law of Contractual Interpretation: A Call to the Supreme Court of Canada” (2011), 50</w:t>
      </w:r>
      <w:r>
        <w:rPr>
          <w:rFonts w:cs="Times New Roman"/>
        </w:rPr>
        <w:t xml:space="preserve"> </w:t>
      </w:r>
      <w:r w:rsidRPr="001B1FF6">
        <w:rPr>
          <w:rFonts w:cs="Times New Roman"/>
          <w:i/>
        </w:rPr>
        <w:t>Can. Bus. L.J.</w:t>
      </w:r>
      <w:r w:rsidRPr="0084431D">
        <w:rPr>
          <w:rFonts w:cs="Times New Roman"/>
        </w:rPr>
        <w:t xml:space="preserve"> 434, at p. 436).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To justify circumventing this Court’s jurisprudence, the majority</w:t>
      </w:r>
      <w:r w:rsidRPr="0084431D">
        <w:rPr>
          <w:rFonts w:cs="Times New Roman"/>
          <w:i/>
        </w:rPr>
        <w:t xml:space="preserve"> </w:t>
      </w:r>
      <w:r w:rsidRPr="0084431D">
        <w:rPr>
          <w:rFonts w:cs="Times New Roman"/>
        </w:rPr>
        <w:t xml:space="preserve">claims that the precedents being overturned </w:t>
      </w:r>
      <w:r w:rsidRPr="0084431D">
        <w:rPr>
          <w:rFonts w:cs="Times New Roman"/>
          <w:i/>
        </w:rPr>
        <w:t xml:space="preserve">themselves </w:t>
      </w:r>
      <w:r w:rsidRPr="0084431D">
        <w:rPr>
          <w:rFonts w:cs="Times New Roman"/>
        </w:rPr>
        <w:t xml:space="preserve">departed from the approach to statutory rights of appeal under the pragmatic and functional test. That, with respect, is wrong. Ever since </w:t>
      </w:r>
      <w:r w:rsidRPr="0084431D">
        <w:rPr>
          <w:rFonts w:cs="Times New Roman"/>
          <w:i/>
        </w:rPr>
        <w:t xml:space="preserve">Bell Canada (1989) </w:t>
      </w:r>
      <w:r w:rsidRPr="0084431D">
        <w:rPr>
          <w:rFonts w:cs="Times New Roman"/>
        </w:rPr>
        <w:t xml:space="preserve">and in several subsequent decisions outlined earlier in these reasons, statutory rights of appeal have played little or no role in the standard of review analysis. </w:t>
      </w:r>
      <w:r w:rsidRPr="0084431D">
        <w:rPr>
          <w:rFonts w:cs="Times New Roman"/>
          <w:lang w:val="en-GB"/>
        </w:rPr>
        <w:t>Moreover, in pre-</w:t>
      </w:r>
      <w:r w:rsidRPr="0084431D">
        <w:rPr>
          <w:rFonts w:cs="Times New Roman"/>
          <w:i/>
          <w:lang w:val="en-GB"/>
        </w:rPr>
        <w:t>Dunsmuir</w:t>
      </w:r>
      <w:r w:rsidRPr="0084431D">
        <w:rPr>
          <w:rFonts w:cs="Times New Roman"/>
          <w:lang w:val="en-GB"/>
        </w:rPr>
        <w:t xml:space="preserve"> cases, statutory rights of appeal were still</w:t>
      </w:r>
      <w:r w:rsidRPr="0084431D">
        <w:rPr>
          <w:rFonts w:cs="Times New Roman"/>
          <w:i/>
          <w:lang w:val="en-GB"/>
        </w:rPr>
        <w:t xml:space="preserve"> </w:t>
      </w:r>
      <w:r w:rsidRPr="0084431D">
        <w:rPr>
          <w:rFonts w:cs="Times New Roman"/>
          <w:lang w:val="en-GB"/>
        </w:rPr>
        <w:t xml:space="preserve">seen as only one factor among others </w:t>
      </w:r>
      <w:r>
        <w:rPr>
          <w:rFonts w:cs="Times New Roman"/>
          <w:lang w:val="en-GB"/>
        </w:rPr>
        <w:t>—</w:t>
      </w:r>
      <w:r w:rsidRPr="0084431D">
        <w:rPr>
          <w:rFonts w:cs="Times New Roman"/>
          <w:lang w:val="en-GB"/>
        </w:rPr>
        <w:t xml:space="preserve"> and </w:t>
      </w:r>
      <w:r w:rsidRPr="0084431D">
        <w:rPr>
          <w:rFonts w:cs="Times New Roman"/>
          <w:i/>
          <w:lang w:val="en-GB"/>
        </w:rPr>
        <w:t>not</w:t>
      </w:r>
      <w:r w:rsidRPr="0084431D">
        <w:rPr>
          <w:rFonts w:cs="Times New Roman"/>
          <w:lang w:val="en-GB"/>
        </w:rPr>
        <w:t xml:space="preserve"> as unequivocal indicators of correctness review (see</w:t>
      </w:r>
      <w:r>
        <w:rPr>
          <w:rFonts w:cs="Times New Roman"/>
          <w:lang w:val="en-GB"/>
        </w:rPr>
        <w:t>,</w:t>
      </w:r>
      <w:r w:rsidRPr="0084431D">
        <w:rPr>
          <w:rFonts w:cs="Times New Roman"/>
          <w:lang w:val="en-GB"/>
        </w:rPr>
        <w:t xml:space="preserve"> for example, </w:t>
      </w:r>
      <w:r w:rsidRPr="0084431D">
        <w:rPr>
          <w:rFonts w:cs="Times New Roman"/>
          <w:i/>
        </w:rPr>
        <w:t>Canada (Deputy Minister of National Revenue) v. Mattel Canada Inc.</w:t>
      </w:r>
      <w:r w:rsidRPr="0084431D">
        <w:rPr>
          <w:rFonts w:cs="Times New Roman"/>
        </w:rPr>
        <w:t xml:space="preserve">, [2001] 2 S.C.R. 100, at paras. 27-33; </w:t>
      </w:r>
      <w:proofErr w:type="spellStart"/>
      <w:r w:rsidRPr="0084431D">
        <w:rPr>
          <w:rFonts w:cs="Times New Roman"/>
          <w:i/>
        </w:rPr>
        <w:t>Chieu</w:t>
      </w:r>
      <w:proofErr w:type="spellEnd"/>
      <w:r w:rsidRPr="0084431D">
        <w:rPr>
          <w:rFonts w:cs="Times New Roman"/>
          <w:i/>
        </w:rPr>
        <w:t xml:space="preserve"> v. Canada (Minister of Citizenship and Immigration)</w:t>
      </w:r>
      <w:r w:rsidRPr="0084431D">
        <w:rPr>
          <w:rFonts w:cs="Times New Roman"/>
        </w:rPr>
        <w:t xml:space="preserve">, [2002] 1 S.C.R. 84, at paras. 23-24; </w:t>
      </w:r>
      <w:r w:rsidRPr="0084431D">
        <w:rPr>
          <w:rFonts w:cs="Times New Roman"/>
          <w:i/>
        </w:rPr>
        <w:t>Harvard College v. Canada (Commissioner of Patents)</w:t>
      </w:r>
      <w:r>
        <w:rPr>
          <w:rFonts w:cs="Times New Roman"/>
        </w:rPr>
        <w:t>, [2002] 4 S.C.R. 45, at paras. 149-</w:t>
      </w:r>
      <w:r w:rsidRPr="0084431D">
        <w:rPr>
          <w:rFonts w:cs="Times New Roman"/>
        </w:rPr>
        <w:t>51</w:t>
      </w:r>
      <w:r w:rsidRPr="0084431D">
        <w:rPr>
          <w:rFonts w:cs="Times New Roman"/>
          <w:lang w:val="en-GB"/>
        </w:rPr>
        <w:t xml:space="preserve">). </w:t>
      </w:r>
      <w:r w:rsidRPr="0084431D">
        <w:rPr>
          <w:rFonts w:cs="Times New Roman"/>
        </w:rPr>
        <w:t>O</w:t>
      </w:r>
      <w:proofErr w:type="spellStart"/>
      <w:r>
        <w:rPr>
          <w:rFonts w:cs="Times New Roman"/>
          <w:lang w:val="en-GB"/>
        </w:rPr>
        <w:t>ur</w:t>
      </w:r>
      <w:proofErr w:type="spellEnd"/>
      <w:r>
        <w:rPr>
          <w:rFonts w:cs="Times New Roman"/>
          <w:lang w:val="en-GB"/>
        </w:rPr>
        <w:t xml:space="preserve"> pre- </w:t>
      </w:r>
      <w:r w:rsidRPr="0084431D">
        <w:rPr>
          <w:rFonts w:cs="Times New Roman"/>
          <w:lang w:val="en-GB"/>
        </w:rPr>
        <w:t>and post-</w:t>
      </w:r>
      <w:r w:rsidRPr="0084431D">
        <w:rPr>
          <w:rFonts w:cs="Times New Roman"/>
          <w:i/>
          <w:lang w:val="en-GB"/>
        </w:rPr>
        <w:t xml:space="preserve">Dunsmuir </w:t>
      </w:r>
      <w:r w:rsidRPr="0084431D">
        <w:rPr>
          <w:rFonts w:cs="Times New Roman"/>
          <w:lang w:val="en-GB"/>
        </w:rPr>
        <w:t>cases on statutory rights of appeal shared in common an</w:t>
      </w:r>
      <w:r>
        <w:rPr>
          <w:rFonts w:cs="Times New Roman"/>
          <w:lang w:val="en-GB"/>
        </w:rPr>
        <w:t xml:space="preserve"> </w:t>
      </w:r>
      <w:r w:rsidRPr="0084431D">
        <w:rPr>
          <w:rFonts w:cs="Times New Roman"/>
          <w:lang w:val="en-GB"/>
        </w:rPr>
        <w:t xml:space="preserve">unwavering commitment to determining the standard of review in administrative </w:t>
      </w:r>
      <w:r w:rsidRPr="0084431D">
        <w:rPr>
          <w:rFonts w:cs="Times New Roman"/>
          <w:lang w:val="en-GB"/>
        </w:rPr>
        <w:lastRenderedPageBreak/>
        <w:t>proceedings using administrative law principles, even when appeal rights were involved.</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For the majority, the elimination of the contextual factors appears to have justified the reconstruction of the whole judicial review framework. Yet t</w:t>
      </w:r>
      <w:r w:rsidRPr="0084431D">
        <w:rPr>
          <w:rFonts w:cs="Times New Roman"/>
          <w:lang w:val="en-GB"/>
        </w:rPr>
        <w:t>he elimination of the contextual analysis was all but complete in our post-</w:t>
      </w:r>
      <w:r w:rsidRPr="0084431D">
        <w:rPr>
          <w:rFonts w:cs="Times New Roman"/>
          <w:i/>
          <w:lang w:val="en-GB"/>
        </w:rPr>
        <w:t xml:space="preserve">Dunsmuir </w:t>
      </w:r>
      <w:r w:rsidRPr="0084431D">
        <w:rPr>
          <w:rFonts w:cs="Times New Roman"/>
          <w:lang w:val="en-GB"/>
        </w:rPr>
        <w:t xml:space="preserve">jurisprudence, and does not support the foundational changes to judicial review in the majority’s decision. </w:t>
      </w:r>
      <w:r w:rsidRPr="0084431D">
        <w:rPr>
          <w:rFonts w:cs="Times New Roman"/>
          <w:szCs w:val="24"/>
        </w:rPr>
        <w:t>Neither that development, nor</w:t>
      </w:r>
      <w:r w:rsidRPr="0084431D">
        <w:rPr>
          <w:rFonts w:cs="Times New Roman"/>
        </w:rPr>
        <w:t xml:space="preserve"> the majority’s assertion that our precedents have proven “unclear and unduly complex”, justifies the conclusion that </w:t>
      </w:r>
      <w:r w:rsidRPr="0084431D">
        <w:rPr>
          <w:rFonts w:cs="Times New Roman"/>
          <w:i/>
        </w:rPr>
        <w:t xml:space="preserve">all </w:t>
      </w:r>
      <w:r w:rsidRPr="0084431D">
        <w:rPr>
          <w:rFonts w:cs="Times New Roman"/>
        </w:rPr>
        <w:t xml:space="preserve">of our administrative law precedents </w:t>
      </w:r>
      <w:r>
        <w:rPr>
          <w:rFonts w:cs="Times New Roman"/>
        </w:rPr>
        <w:t>—</w:t>
      </w:r>
      <w:r w:rsidRPr="0084431D">
        <w:rPr>
          <w:rFonts w:cs="Times New Roman"/>
        </w:rPr>
        <w:t xml:space="preserve"> even those unconnected to the practical difficulties in applying </w:t>
      </w:r>
      <w:r w:rsidRPr="0084431D">
        <w:rPr>
          <w:rFonts w:cs="Times New Roman"/>
          <w:i/>
        </w:rPr>
        <w:t xml:space="preserve">Dunsmuir </w:t>
      </w:r>
      <w:r>
        <w:rPr>
          <w:rFonts w:cs="Times New Roman"/>
        </w:rPr>
        <w:t>—</w:t>
      </w:r>
      <w:r w:rsidRPr="0084431D">
        <w:rPr>
          <w:rFonts w:cs="Times New Roman"/>
        </w:rPr>
        <w:t xml:space="preserve"> are suddenly fair game.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This Court is overturning a long line of well-established and recently-affirmed precedents in a whole area of law, including several unanimous or strong majority judgments. There is no principled justification for such a dramatic departure from this C</w:t>
      </w:r>
      <w:r w:rsidR="00AB6605">
        <w:rPr>
          <w:rFonts w:cs="Times New Roman"/>
        </w:rPr>
        <w:t>ourt’s existing jurisprudence.</w:t>
      </w:r>
    </w:p>
    <w:p w:rsidR="008B0231" w:rsidRPr="0084431D" w:rsidRDefault="008B0231" w:rsidP="008B0231">
      <w:pPr>
        <w:pStyle w:val="ParaNoNdepar-AltN"/>
        <w:numPr>
          <w:ilvl w:val="0"/>
          <w:numId w:val="0"/>
        </w:numPr>
        <w:rPr>
          <w:rFonts w:cs="Times New Roman"/>
          <w:u w:val="single"/>
        </w:rPr>
      </w:pPr>
      <w:r w:rsidRPr="0084431D">
        <w:rPr>
          <w:rFonts w:cs="Times New Roman"/>
          <w:u w:val="single"/>
        </w:rPr>
        <w:t>Going Forward</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In our view, a more modest approach to modifying our past decisions, one that goes no further than necessary to clarify the law and its application, is justified. </w:t>
      </w:r>
      <w:r w:rsidRPr="0084431D">
        <w:rPr>
          <w:rFonts w:cs="Times New Roman"/>
          <w:szCs w:val="24"/>
        </w:rPr>
        <w:t>“[W]hen a court does choose to overrule its own precedents, it should do so carefully, with moderation, and with due regard for all the important considerations that undergird the doctrine” (Garner</w:t>
      </w:r>
      <w:r>
        <w:rPr>
          <w:rFonts w:cs="Times New Roman"/>
          <w:szCs w:val="24"/>
        </w:rPr>
        <w:t xml:space="preserve"> et al.</w:t>
      </w:r>
      <w:r w:rsidRPr="0084431D">
        <w:rPr>
          <w:rFonts w:cs="Times New Roman"/>
          <w:szCs w:val="24"/>
        </w:rPr>
        <w:t>, at p</w:t>
      </w:r>
      <w:r>
        <w:rPr>
          <w:rFonts w:cs="Times New Roman"/>
          <w:szCs w:val="24"/>
        </w:rPr>
        <w:t>p. 41-42</w:t>
      </w:r>
      <w:r w:rsidRPr="0084431D">
        <w:rPr>
          <w:rFonts w:cs="Times New Roman"/>
          <w:szCs w:val="24"/>
        </w:rPr>
        <w:t xml:space="preserve">). </w:t>
      </w:r>
      <w:r w:rsidRPr="0084431D">
        <w:rPr>
          <w:rFonts w:cs="Times New Roman"/>
        </w:rPr>
        <w:t xml:space="preserve">Such an approach to changing precedent </w:t>
      </w:r>
      <w:r w:rsidRPr="0084431D">
        <w:rPr>
          <w:rFonts w:cs="Times New Roman"/>
        </w:rPr>
        <w:lastRenderedPageBreak/>
        <w:t>preserves the integrity of the judicial process and, at a more conceptual level, of the law itself as a social construct. Michael</w:t>
      </w:r>
      <w:r>
        <w:rPr>
          <w:rFonts w:cs="Times New Roman"/>
        </w:rPr>
        <w:t xml:space="preserve"> J.</w:t>
      </w:r>
      <w:r w:rsidRPr="0084431D">
        <w:rPr>
          <w:rFonts w:cs="Times New Roman"/>
        </w:rPr>
        <w:t xml:space="preserve"> Gerhardt summarized this approach eloquently:</w:t>
      </w:r>
    </w:p>
    <w:p w:rsidR="008B0231" w:rsidRPr="0084431D" w:rsidRDefault="008B0231" w:rsidP="008B0231">
      <w:pPr>
        <w:pStyle w:val="Citation-AltC"/>
      </w:pPr>
      <w:r w:rsidRPr="0084431D">
        <w:t xml:space="preserve">Judicial modesty </w:t>
      </w:r>
      <w:proofErr w:type="gramStart"/>
      <w:r w:rsidRPr="0084431D">
        <w:t>is</w:t>
      </w:r>
      <w:r w:rsidR="00FE47A4">
        <w:t xml:space="preserve"> .</w:t>
      </w:r>
      <w:proofErr w:type="gramEnd"/>
      <w:r w:rsidR="00FE47A4">
        <w:t> </w:t>
      </w:r>
      <w:r>
        <w:t>.</w:t>
      </w:r>
      <w:r w:rsidR="00FE47A4">
        <w:t> </w:t>
      </w:r>
      <w:r>
        <w:t xml:space="preserve">. </w:t>
      </w:r>
      <w:r w:rsidRPr="0084431D">
        <w:t>a disposition to respect precedents (as embodying the opinions of others), to learn from their and others’ experiences, and to decide cases incrementally to minimize conflicts with either earlier opinions of the Court or other constitutional actors</w:t>
      </w:r>
      <w:r>
        <w:t>.</w:t>
      </w:r>
      <w:r w:rsidRPr="0084431D">
        <w:t xml:space="preserve"> [p. 7]</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 Judicial modesty promotes the responsible development of the common law. Lord</w:t>
      </w:r>
      <w:r>
        <w:rPr>
          <w:rFonts w:cs="Times New Roman"/>
        </w:rPr>
        <w:t xml:space="preserve"> Tom</w:t>
      </w:r>
      <w:r w:rsidRPr="0084431D">
        <w:rPr>
          <w:rFonts w:cs="Times New Roman"/>
        </w:rPr>
        <w:t xml:space="preserve"> Bingham described that process in his seminal work, </w:t>
      </w:r>
      <w:r w:rsidRPr="0084431D">
        <w:rPr>
          <w:rFonts w:cs="Times New Roman"/>
          <w:i/>
        </w:rPr>
        <w:t xml:space="preserve">The Rule of Law </w:t>
      </w:r>
      <w:r w:rsidRPr="0084431D">
        <w:rPr>
          <w:rFonts w:cs="Times New Roman"/>
        </w:rPr>
        <w:t>(2010):</w:t>
      </w:r>
    </w:p>
    <w:p w:rsidR="008B0231" w:rsidRPr="0084431D" w:rsidRDefault="00AD26C3" w:rsidP="008B0231">
      <w:pPr>
        <w:pStyle w:val="Citation-AltC"/>
      </w:pPr>
      <w:r>
        <w:t>. </w:t>
      </w:r>
      <w:r w:rsidR="008B0231">
        <w:t>.</w:t>
      </w:r>
      <w:r>
        <w:t> </w:t>
      </w:r>
      <w:r w:rsidR="008B0231">
        <w:t xml:space="preserve">. </w:t>
      </w:r>
      <w:r w:rsidR="008B0231" w:rsidRPr="0084431D">
        <w:t>it is one thing to move the law a little further along a line on which it is already moving, or to adapt it to accord with modern views and practices; it is quite another to seek to recast the law in a radically innovative or adventurous way, because that is to make it uncertain and unpredictable, features which are the antithesis of the rule of law</w:t>
      </w:r>
      <w:r w:rsidR="008B0231">
        <w:t>. [pp. 45-46]</w:t>
      </w:r>
    </w:p>
    <w:p w:rsidR="008B0231" w:rsidRPr="0084431D" w:rsidRDefault="008B0231" w:rsidP="008B0231">
      <w:pPr>
        <w:pStyle w:val="Citation-AltC"/>
      </w:pPr>
    </w:p>
    <w:p w:rsidR="008B0231" w:rsidRPr="0084431D" w:rsidRDefault="008B0231" w:rsidP="005608BB">
      <w:pPr>
        <w:pStyle w:val="Citation-AltC"/>
        <w:ind w:left="0"/>
      </w:pPr>
      <w:r>
        <w:t>(</w:t>
      </w:r>
      <w:r w:rsidRPr="0084431D">
        <w:t xml:space="preserve">See also Robert J. Sharpe, </w:t>
      </w:r>
      <w:r w:rsidRPr="0084431D">
        <w:rPr>
          <w:i/>
        </w:rPr>
        <w:t>Good Judgmen</w:t>
      </w:r>
      <w:r w:rsidRPr="001B1FF6">
        <w:rPr>
          <w:i/>
        </w:rPr>
        <w:t>t:</w:t>
      </w:r>
      <w:r w:rsidRPr="0084431D">
        <w:t xml:space="preserve"> </w:t>
      </w:r>
      <w:r w:rsidRPr="0084431D">
        <w:rPr>
          <w:i/>
        </w:rPr>
        <w:t>Making Judicial Decisions</w:t>
      </w:r>
      <w:r w:rsidRPr="0084431D">
        <w:t xml:space="preserve"> (2018), at p. 93; Beverley </w:t>
      </w:r>
      <w:proofErr w:type="spellStart"/>
      <w:r w:rsidRPr="0084431D">
        <w:t>McLachlin</w:t>
      </w:r>
      <w:proofErr w:type="spellEnd"/>
      <w:r w:rsidRPr="0084431D">
        <w:t>, “The Role of the Supreme Court of Canada in Shaping the Common Law”</w:t>
      </w:r>
      <w:r>
        <w:t>, in Paul Daly, ed.,</w:t>
      </w:r>
      <w:r w:rsidRPr="0084431D">
        <w:t xml:space="preserve"> </w:t>
      </w:r>
      <w:r w:rsidRPr="0084431D">
        <w:rPr>
          <w:i/>
        </w:rPr>
        <w:t>Apex Courts and the Common Law</w:t>
      </w:r>
      <w:r>
        <w:t xml:space="preserve"> (2</w:t>
      </w:r>
      <w:r w:rsidRPr="0084431D">
        <w:t>019),</w:t>
      </w:r>
      <w:r>
        <w:t xml:space="preserve"> 25, </w:t>
      </w:r>
      <w:r w:rsidRPr="0084431D">
        <w:t xml:space="preserve">at p. 35; </w:t>
      </w:r>
      <w:r w:rsidRPr="0084431D">
        <w:rPr>
          <w:rStyle w:val="Emphasis"/>
        </w:rPr>
        <w:t xml:space="preserve">R. v. </w:t>
      </w:r>
      <w:proofErr w:type="spellStart"/>
      <w:r w:rsidRPr="0084431D">
        <w:rPr>
          <w:rStyle w:val="Emphasis"/>
        </w:rPr>
        <w:t>Salituro</w:t>
      </w:r>
      <w:proofErr w:type="spellEnd"/>
      <w:r w:rsidRPr="0084431D">
        <w:t xml:space="preserve">, [1991] 3 S.C.R. 654, at p. 670; </w:t>
      </w:r>
      <w:proofErr w:type="spellStart"/>
      <w:r w:rsidRPr="0084431D">
        <w:rPr>
          <w:i/>
          <w:iCs/>
        </w:rPr>
        <w:t>Friedmann</w:t>
      </w:r>
      <w:proofErr w:type="spellEnd"/>
      <w:r w:rsidRPr="0084431D">
        <w:rPr>
          <w:i/>
          <w:iCs/>
        </w:rPr>
        <w:t xml:space="preserve"> Equity Developments Inc. v. Final Note Ltd.</w:t>
      </w:r>
      <w:r w:rsidRPr="0084431D">
        <w:t xml:space="preserve">, [2000] 1 S.C.R. 842, at para. 42; </w:t>
      </w:r>
      <w:r w:rsidRPr="0084431D">
        <w:rPr>
          <w:i/>
        </w:rPr>
        <w:t>R. v. Kang-Brown</w:t>
      </w:r>
      <w:r w:rsidRPr="0084431D">
        <w:t>, [2008] 1 S.C.R. 456, at paras.</w:t>
      </w:r>
      <w:r>
        <w:t> </w:t>
      </w:r>
      <w:r w:rsidRPr="0084431D">
        <w:t>14-16</w:t>
      </w:r>
      <w:r>
        <w:t xml:space="preserve">, per </w:t>
      </w:r>
      <w:proofErr w:type="spellStart"/>
      <w:r>
        <w:t>Le</w:t>
      </w:r>
      <w:r w:rsidR="005608BB">
        <w:t>B</w:t>
      </w:r>
      <w:r>
        <w:t>el</w:t>
      </w:r>
      <w:proofErr w:type="spellEnd"/>
      <w:r>
        <w:t xml:space="preserve"> J.,</w:t>
      </w:r>
      <w:r w:rsidRPr="0084431D">
        <w:t xml:space="preserve"> and 73-74, </w:t>
      </w:r>
      <w:r w:rsidRPr="001B1FF6">
        <w:t xml:space="preserve">per </w:t>
      </w:r>
      <w:r>
        <w:t>Binnie J., concurring.)</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Lord Bingham’s comments highlight that a nuanced balance must be struck between maintaining the stability of the common law and ensuring that the law is flexible and responsive enough to adapt to new circumstances and shifts in societal norms. </w:t>
      </w:r>
      <w:r w:rsidRPr="0084431D">
        <w:rPr>
          <w:rFonts w:cs="Times New Roman"/>
          <w:i/>
        </w:rPr>
        <w:t xml:space="preserve">Stare decisis </w:t>
      </w:r>
      <w:r w:rsidRPr="0084431D">
        <w:rPr>
          <w:rFonts w:cs="Times New Roman"/>
        </w:rPr>
        <w:t xml:space="preserve">plays a critical role in maintaining that balance and upholding the rule of law. When </w:t>
      </w:r>
      <w:proofErr w:type="gramStart"/>
      <w:r w:rsidRPr="0084431D">
        <w:rPr>
          <w:rFonts w:cs="Times New Roman"/>
          <w:i/>
          <w:iCs/>
        </w:rPr>
        <w:t>stare decisis</w:t>
      </w:r>
      <w:proofErr w:type="gramEnd"/>
      <w:r w:rsidRPr="0084431D">
        <w:rPr>
          <w:rFonts w:cs="Times New Roman"/>
        </w:rPr>
        <w:t xml:space="preserve"> is respected, precedent acts as a stabilizing force: </w:t>
      </w:r>
      <w:r w:rsidRPr="0084431D">
        <w:rPr>
          <w:rFonts w:cs="Times New Roman"/>
        </w:rPr>
        <w:lastRenderedPageBreak/>
        <w:t>providing certainty as to what the law is, consistency that allows those subject to the law to order their affairs accordingly, and continuity that protects reliance on those legal consequences.</w:t>
      </w:r>
      <w:r w:rsidRPr="0084431D">
        <w:rPr>
          <w:rFonts w:cs="Times New Roman"/>
          <w:i/>
          <w:iCs/>
        </w:rPr>
        <w:t xml:space="preserve"> Stare decisis</w:t>
      </w:r>
      <w:r w:rsidRPr="0084431D">
        <w:rPr>
          <w:rFonts w:cs="Times New Roman"/>
        </w:rPr>
        <w:t xml:space="preserve"> is at the heart of the iterative development of the common law, fostering progressive, incremental and responsible change.</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So what do we suggest? We support a standard of review framework with a meaningful rule of deference, based on </w:t>
      </w:r>
      <w:r w:rsidRPr="0084431D">
        <w:rPr>
          <w:rFonts w:cs="Times New Roman"/>
          <w:i/>
        </w:rPr>
        <w:t>both</w:t>
      </w:r>
      <w:r w:rsidRPr="0084431D">
        <w:rPr>
          <w:rFonts w:cs="Times New Roman"/>
        </w:rPr>
        <w:t xml:space="preserve"> the legislative choice to delegate decision-making authority to an administrative actor </w:t>
      </w:r>
      <w:r w:rsidRPr="0084431D">
        <w:rPr>
          <w:rFonts w:cs="Times New Roman"/>
          <w:i/>
        </w:rPr>
        <w:t xml:space="preserve">and </w:t>
      </w:r>
      <w:r w:rsidRPr="0084431D">
        <w:rPr>
          <w:rFonts w:cs="Times New Roman"/>
        </w:rPr>
        <w:t xml:space="preserve">on the specialized expertise that these </w:t>
      </w:r>
      <w:r>
        <w:rPr>
          <w:rFonts w:cs="Times New Roman"/>
        </w:rPr>
        <w:t>decision-maker</w:t>
      </w:r>
      <w:r w:rsidRPr="0084431D">
        <w:rPr>
          <w:rFonts w:cs="Times New Roman"/>
        </w:rPr>
        <w:t xml:space="preserve">s possess and develop in applying their mandates. Outside of the three remaining correctness categories from </w:t>
      </w:r>
      <w:r w:rsidRPr="0084431D">
        <w:rPr>
          <w:rFonts w:cs="Times New Roman"/>
          <w:i/>
        </w:rPr>
        <w:t>Dunsmuir</w:t>
      </w:r>
      <w:r w:rsidRPr="0084431D">
        <w:rPr>
          <w:rFonts w:cs="Times New Roman"/>
        </w:rPr>
        <w:t xml:space="preserve"> </w:t>
      </w:r>
      <w:r>
        <w:rPr>
          <w:rFonts w:cs="Times New Roman"/>
        </w:rPr>
        <w:t>—</w:t>
      </w:r>
      <w:r w:rsidRPr="0084431D">
        <w:rPr>
          <w:rFonts w:cs="Times New Roman"/>
        </w:rPr>
        <w:t xml:space="preserve"> and absent clear and explicit legislative direction on the </w:t>
      </w:r>
      <w:r w:rsidRPr="0084431D">
        <w:rPr>
          <w:rFonts w:cs="Times New Roman"/>
          <w:i/>
        </w:rPr>
        <w:t>standard</w:t>
      </w:r>
      <w:r w:rsidRPr="0084431D">
        <w:rPr>
          <w:rFonts w:cs="Times New Roman"/>
        </w:rPr>
        <w:t xml:space="preserve"> of review </w:t>
      </w:r>
      <w:r>
        <w:rPr>
          <w:rFonts w:cs="Times New Roman"/>
        </w:rPr>
        <w:t>—</w:t>
      </w:r>
      <w:r w:rsidRPr="0084431D">
        <w:rPr>
          <w:rFonts w:cs="Times New Roman"/>
        </w:rPr>
        <w:t xml:space="preserve"> administrative decisions should be reviewed for reasonableness. Like the majority, we support eliminating the category of “true questions of jurisdiction”</w:t>
      </w:r>
      <w:r w:rsidRPr="0084431D">
        <w:rPr>
          <w:rFonts w:cs="Times New Roman"/>
          <w:i/>
        </w:rPr>
        <w:t xml:space="preserve"> </w:t>
      </w:r>
      <w:r w:rsidRPr="0084431D">
        <w:rPr>
          <w:rFonts w:cs="Times New Roman"/>
        </w:rPr>
        <w:t xml:space="preserve">and foreclosing the use of the contextual factors identified in </w:t>
      </w:r>
      <w:r w:rsidRPr="0084431D">
        <w:rPr>
          <w:rFonts w:cs="Times New Roman"/>
          <w:i/>
        </w:rPr>
        <w:t xml:space="preserve">Dunsmuir. </w:t>
      </w:r>
      <w:r w:rsidRPr="0084431D">
        <w:rPr>
          <w:rFonts w:cs="Times New Roman"/>
        </w:rPr>
        <w:t>These developments introduce incremental changes to our judicial review framework, while respecting its underlying principles and placing the ball in the legislatures’ court to modify the standards of review if they wish.</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To the extent that concerns were expressed about the quality of administrative decision making by some interveners who represented particularly vulnerable groups, we agree that they must be taken seriously. But the solution does not lie in authorizing more incursions into the administrative system by generalist judges who lack the expertise necessary to implement these sensitive mandates. Any perceived shortcomings in administrative decision making are not solved by permitting </w:t>
      </w:r>
      <w:r w:rsidRPr="0084431D">
        <w:rPr>
          <w:rFonts w:cs="Times New Roman"/>
          <w:i/>
          <w:iCs/>
        </w:rPr>
        <w:lastRenderedPageBreak/>
        <w:t xml:space="preserve">de novo </w:t>
      </w:r>
      <w:r w:rsidRPr="0084431D">
        <w:rPr>
          <w:rFonts w:cs="Times New Roman"/>
        </w:rPr>
        <w:t xml:space="preserve">review of every legal decision by a court and, as a result, adding to the delay and cost of obtaining a final decision. The solution lies instead in ensuring the proper qualifications and training of administrative </w:t>
      </w:r>
      <w:r>
        <w:rPr>
          <w:rFonts w:cs="Times New Roman"/>
        </w:rPr>
        <w:t>decision-maker</w:t>
      </w:r>
      <w:r w:rsidRPr="0084431D">
        <w:rPr>
          <w:rFonts w:cs="Times New Roman"/>
        </w:rPr>
        <w:t>s. Like courts, administrative actors are fully capable of, and responsible for, improving the quality of their own decision-making processes, thereby strengthening access to justice in the administrative justice system.</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We also acknowledge that this Court should offer additional direction on conducting reasonableness review.</w:t>
      </w:r>
      <w:r w:rsidRPr="00704649">
        <w:rPr>
          <w:rStyle w:val="Hyperlink"/>
          <w:color w:val="0000FF"/>
          <w:u w:val="single"/>
          <w:vertAlign w:val="superscript"/>
        </w:rPr>
        <w:footnoteReference w:id="7"/>
      </w:r>
      <w:r w:rsidRPr="0084431D">
        <w:rPr>
          <w:rFonts w:cs="Times New Roman"/>
        </w:rPr>
        <w:t xml:space="preserve"> We fear, however, that </w:t>
      </w:r>
      <w:r w:rsidRPr="0084431D">
        <w:rPr>
          <w:rFonts w:cs="Times New Roman"/>
          <w:lang w:val="en-US"/>
        </w:rPr>
        <w:t>the majority’s multi-factored, open-ended list of “constraints” on administrative decision making will encourage reviewing courts to dissect administrative reasons in a “line-by-line treasure hunt for error” (</w:t>
      </w:r>
      <w:r w:rsidRPr="0084431D">
        <w:rPr>
          <w:rFonts w:cs="Times New Roman"/>
          <w:i/>
        </w:rPr>
        <w:t xml:space="preserve">Communications, Energy and </w:t>
      </w:r>
      <w:proofErr w:type="spellStart"/>
      <w:r w:rsidRPr="0084431D">
        <w:rPr>
          <w:rFonts w:cs="Times New Roman"/>
          <w:i/>
        </w:rPr>
        <w:t>Paperworkers</w:t>
      </w:r>
      <w:proofErr w:type="spellEnd"/>
      <w:r w:rsidRPr="0084431D">
        <w:rPr>
          <w:rFonts w:cs="Times New Roman"/>
          <w:i/>
        </w:rPr>
        <w:t xml:space="preserve"> Union of Canada, Local 30 v. Irving Pulp &amp; Paper, Ltd.</w:t>
      </w:r>
      <w:r w:rsidRPr="0084431D">
        <w:rPr>
          <w:rFonts w:cs="Times New Roman"/>
        </w:rPr>
        <w:t>, [2013] 2 S.C.R. 458, at para. 54</w:t>
      </w:r>
      <w:r w:rsidRPr="0084431D">
        <w:rPr>
          <w:rFonts w:cs="Times New Roman"/>
          <w:lang w:val="en-US"/>
        </w:rPr>
        <w:t xml:space="preserve">). These </w:t>
      </w:r>
      <w:r w:rsidRPr="0084431D">
        <w:rPr>
          <w:rFonts w:cs="Times New Roman"/>
        </w:rPr>
        <w:t xml:space="preserve">“constraints” may function in practice as a wide-ranging catalogue of hypothetical errors to justify quashing an administrative decision </w:t>
      </w:r>
      <w:r>
        <w:rPr>
          <w:rFonts w:cs="Times New Roman"/>
        </w:rPr>
        <w:t>—</w:t>
      </w:r>
      <w:r w:rsidRPr="0084431D">
        <w:rPr>
          <w:rFonts w:cs="Times New Roman"/>
        </w:rPr>
        <w:t xml:space="preserve"> a checklist with unsettling similarities to the series of “jurisdictional errors” spelled out in </w:t>
      </w:r>
      <w:proofErr w:type="spellStart"/>
      <w:r w:rsidRPr="0084431D">
        <w:rPr>
          <w:rFonts w:cs="Times New Roman"/>
          <w:i/>
        </w:rPr>
        <w:t>Anisminic</w:t>
      </w:r>
      <w:proofErr w:type="spellEnd"/>
      <w:r w:rsidRPr="0084431D">
        <w:rPr>
          <w:rFonts w:cs="Times New Roman"/>
          <w:i/>
        </w:rPr>
        <w:t xml:space="preserve"> </w:t>
      </w:r>
      <w:r w:rsidRPr="0084431D">
        <w:rPr>
          <w:rFonts w:cs="Times New Roman"/>
        </w:rPr>
        <w:t xml:space="preserve">itself.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Structuring reasonableness review in this fashion effectively imposes on administrative </w:t>
      </w:r>
      <w:r>
        <w:rPr>
          <w:rFonts w:cs="Times New Roman"/>
        </w:rPr>
        <w:t>decision-maker</w:t>
      </w:r>
      <w:r w:rsidRPr="0084431D">
        <w:rPr>
          <w:rFonts w:cs="Times New Roman"/>
        </w:rPr>
        <w:t xml:space="preserve">s a higher standard of justification than that applied to trial judges. Such an approach </w:t>
      </w:r>
      <w:r w:rsidRPr="0084431D">
        <w:rPr>
          <w:rFonts w:cs="Times New Roman"/>
          <w:lang w:val="en-US"/>
        </w:rPr>
        <w:t xml:space="preserve">undercuts deference and revives a long-abandoned posture of suspicion towards administrative decision making. </w:t>
      </w:r>
      <w:r w:rsidRPr="0084431D">
        <w:rPr>
          <w:rFonts w:cs="Times New Roman"/>
        </w:rPr>
        <w:t xml:space="preserve">We are also concerned </w:t>
      </w:r>
      <w:r w:rsidRPr="0084431D">
        <w:rPr>
          <w:rFonts w:cs="Times New Roman"/>
        </w:rPr>
        <w:lastRenderedPageBreak/>
        <w:t xml:space="preserve">by the majority’s warning that administrative </w:t>
      </w:r>
      <w:r>
        <w:rPr>
          <w:rFonts w:cs="Times New Roman"/>
        </w:rPr>
        <w:t>decision-maker</w:t>
      </w:r>
      <w:r w:rsidRPr="0084431D">
        <w:rPr>
          <w:rFonts w:cs="Times New Roman"/>
        </w:rPr>
        <w:t xml:space="preserve">s cannot “arrogate powers to themselves that they were never intended to have”, an unhelpful truism that risks reintroducing the tortured concept of “jurisdictional error” by another name. </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rPr>
        <w:t xml:space="preserve">We would advocate a continued approach to reasonableness review which </w:t>
      </w:r>
      <w:r w:rsidRPr="0084431D">
        <w:rPr>
          <w:rFonts w:cs="Times New Roman"/>
          <w:lang w:val="en-US"/>
        </w:rPr>
        <w:t xml:space="preserve">focuses on the concept of </w:t>
      </w:r>
      <w:r w:rsidRPr="0084431D">
        <w:rPr>
          <w:rFonts w:cs="Times New Roman"/>
          <w:i/>
          <w:lang w:val="en-US"/>
        </w:rPr>
        <w:t xml:space="preserve">deference </w:t>
      </w:r>
      <w:r w:rsidRPr="0084431D">
        <w:rPr>
          <w:rFonts w:cs="Times New Roman"/>
          <w:lang w:val="en-US"/>
        </w:rPr>
        <w:t xml:space="preserve">and what it requires of reviewing courts. Curial deference, after all, is </w:t>
      </w:r>
      <w:r w:rsidRPr="0084431D">
        <w:rPr>
          <w:rFonts w:cs="Times New Roman"/>
          <w:i/>
          <w:lang w:val="en-US"/>
        </w:rPr>
        <w:t xml:space="preserve">the </w:t>
      </w:r>
      <w:r w:rsidRPr="0084431D">
        <w:rPr>
          <w:rFonts w:cs="Times New Roman"/>
          <w:lang w:val="en-US"/>
        </w:rPr>
        <w:t xml:space="preserve">hallmark of reasonableness review, setting it apart from the substitution of opinion permitted under the correctness standard. The choice of a particular standard of review </w:t>
      </w:r>
      <w:r>
        <w:rPr>
          <w:rFonts w:cs="Times New Roman"/>
          <w:lang w:val="en-US"/>
        </w:rPr>
        <w:t>—</w:t>
      </w:r>
      <w:r w:rsidRPr="0084431D">
        <w:rPr>
          <w:rFonts w:cs="Times New Roman"/>
          <w:lang w:val="en-US"/>
        </w:rPr>
        <w:t xml:space="preserve"> whether described as “correctness”, “reasonableness” or in other terms </w:t>
      </w:r>
      <w:r>
        <w:rPr>
          <w:rFonts w:cs="Times New Roman"/>
          <w:lang w:val="en-US"/>
        </w:rPr>
        <w:t>—</w:t>
      </w:r>
      <w:r w:rsidRPr="0084431D">
        <w:rPr>
          <w:rFonts w:cs="Times New Roman"/>
          <w:lang w:val="en-US"/>
        </w:rPr>
        <w:t xml:space="preserve"> is fundamentally about “whether or not a reviewing court should defer”</w:t>
      </w:r>
      <w:r w:rsidRPr="00B729D2">
        <w:rPr>
          <w:rStyle w:val="Hyperlink"/>
          <w:color w:val="0000FF"/>
          <w:vertAlign w:val="superscript"/>
        </w:rPr>
        <w:footnoteReference w:id="8"/>
      </w:r>
      <w:r w:rsidRPr="0084431D">
        <w:rPr>
          <w:rFonts w:cs="Times New Roman"/>
          <w:lang w:val="en-US"/>
        </w:rPr>
        <w:t xml:space="preserve"> to an administrative decision (see </w:t>
      </w:r>
      <w:r w:rsidRPr="0084431D">
        <w:rPr>
          <w:rFonts w:cs="Times New Roman"/>
          <w:i/>
          <w:lang w:val="en-US"/>
        </w:rPr>
        <w:t>Dunsmuir</w:t>
      </w:r>
      <w:r w:rsidRPr="0084431D">
        <w:rPr>
          <w:rFonts w:cs="Times New Roman"/>
          <w:lang w:val="en-US"/>
        </w:rPr>
        <w:t xml:space="preserve">, at para. 141, </w:t>
      </w:r>
      <w:r w:rsidRPr="001B1FF6">
        <w:rPr>
          <w:rFonts w:cs="Times New Roman"/>
          <w:lang w:val="en-US"/>
        </w:rPr>
        <w:t xml:space="preserve">per </w:t>
      </w:r>
      <w:r w:rsidRPr="0084431D">
        <w:rPr>
          <w:rFonts w:cs="Times New Roman"/>
          <w:lang w:val="en-US"/>
        </w:rPr>
        <w:t>Binnie J.</w:t>
      </w:r>
      <w:r>
        <w:rPr>
          <w:rFonts w:cs="Times New Roman"/>
          <w:lang w:val="en-US"/>
        </w:rPr>
        <w:t>,</w:t>
      </w:r>
      <w:r w:rsidRPr="0084431D">
        <w:rPr>
          <w:rFonts w:cs="Times New Roman"/>
          <w:lang w:val="en-US"/>
        </w:rPr>
        <w:t xml:space="preserve"> concurring; </w:t>
      </w:r>
      <w:proofErr w:type="spellStart"/>
      <w:r w:rsidRPr="0084431D">
        <w:rPr>
          <w:rFonts w:cs="Times New Roman"/>
        </w:rPr>
        <w:t>Régimbald</w:t>
      </w:r>
      <w:proofErr w:type="spellEnd"/>
      <w:r w:rsidRPr="0084431D">
        <w:rPr>
          <w:rFonts w:cs="Times New Roman"/>
        </w:rPr>
        <w:t>, at pp. 539-40</w:t>
      </w:r>
      <w:r w:rsidRPr="0084431D">
        <w:rPr>
          <w:rFonts w:cs="Times New Roman"/>
          <w:lang w:val="en-US"/>
        </w:rPr>
        <w:t>). If courts, therefore, are to properly conduct “reasonableness” review, they must properly understand what deference means.</w:t>
      </w:r>
    </w:p>
    <w:p w:rsidR="008B0231" w:rsidRPr="0084431D" w:rsidRDefault="008B0231" w:rsidP="005C2571">
      <w:pPr>
        <w:pStyle w:val="ParaNoNdepar-AltN"/>
        <w:tabs>
          <w:tab w:val="clear" w:pos="1166"/>
          <w:tab w:val="clear" w:pos="1422"/>
          <w:tab w:val="num" w:pos="1152"/>
        </w:tabs>
        <w:ind w:left="0"/>
        <w:rPr>
          <w:rFonts w:cs="Times New Roman"/>
        </w:rPr>
      </w:pPr>
      <w:r w:rsidRPr="0084431D">
        <w:rPr>
          <w:rFonts w:cs="Times New Roman"/>
          <w:lang w:val="en-US"/>
        </w:rPr>
        <w:t xml:space="preserve">In our </w:t>
      </w:r>
      <w:r w:rsidRPr="005C2571">
        <w:rPr>
          <w:rFonts w:cs="Times New Roman"/>
        </w:rPr>
        <w:t>view</w:t>
      </w:r>
      <w:r w:rsidRPr="0084431D">
        <w:rPr>
          <w:rFonts w:cs="Times New Roman"/>
          <w:lang w:val="en-US"/>
        </w:rPr>
        <w:t>, deference imposes three requirements on courts conducting reasonableness review. It informs the attitude a reviewing court must adopt towards an administrative decision-maker; it affects how a court frames the question it must answer on judicial review; and it affects how a reviewing court evaluates challenges to an administrative decision.</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rPr>
        <w:t>First and foremost, d</w:t>
      </w:r>
      <w:proofErr w:type="spellStart"/>
      <w:r w:rsidRPr="0084431D">
        <w:rPr>
          <w:rFonts w:cs="Times New Roman"/>
          <w:lang w:val="en-US"/>
        </w:rPr>
        <w:t>eference</w:t>
      </w:r>
      <w:proofErr w:type="spellEnd"/>
      <w:r w:rsidRPr="0084431D">
        <w:rPr>
          <w:rFonts w:cs="Times New Roman"/>
          <w:lang w:val="en-US"/>
        </w:rPr>
        <w:t xml:space="preserve"> is an “attitude of the court” conducting reasonableness review (</w:t>
      </w:r>
      <w:r w:rsidRPr="0084431D">
        <w:rPr>
          <w:rFonts w:cs="Times New Roman"/>
          <w:i/>
          <w:lang w:val="en-US"/>
        </w:rPr>
        <w:t>Dunsmuir</w:t>
      </w:r>
      <w:r w:rsidRPr="0084431D">
        <w:rPr>
          <w:rFonts w:cs="Times New Roman"/>
          <w:lang w:val="en-US"/>
        </w:rPr>
        <w:t xml:space="preserve">, at para. 48). Deference mandates respect for the </w:t>
      </w:r>
      <w:r w:rsidRPr="0084431D">
        <w:rPr>
          <w:rFonts w:cs="Times New Roman"/>
          <w:lang w:val="en-US"/>
        </w:rPr>
        <w:lastRenderedPageBreak/>
        <w:t xml:space="preserve">legislative choice to entrust a decision to administrative actors rather than to the courts, and for the important role that </w:t>
      </w:r>
      <w:r w:rsidRPr="0084431D" w:rsidDel="00784516">
        <w:rPr>
          <w:rFonts w:cs="Times New Roman"/>
          <w:lang w:val="en-US"/>
        </w:rPr>
        <w:t>a</w:t>
      </w:r>
      <w:r w:rsidRPr="0084431D">
        <w:rPr>
          <w:rFonts w:cs="Times New Roman"/>
          <w:lang w:val="en-US"/>
        </w:rPr>
        <w:t xml:space="preserve">dministrative </w:t>
      </w:r>
      <w:r>
        <w:rPr>
          <w:rFonts w:cs="Times New Roman"/>
          <w:lang w:val="en-US"/>
        </w:rPr>
        <w:t>decision-maker</w:t>
      </w:r>
      <w:r w:rsidRPr="0084431D" w:rsidDel="00784516">
        <w:rPr>
          <w:rFonts w:cs="Times New Roman"/>
          <w:lang w:val="en-US"/>
        </w:rPr>
        <w:t>s play</w:t>
      </w:r>
      <w:r w:rsidRPr="0084431D">
        <w:rPr>
          <w:rFonts w:cs="Times New Roman"/>
          <w:lang w:val="en-US"/>
        </w:rPr>
        <w:t xml:space="preserve"> </w:t>
      </w:r>
      <w:r w:rsidRPr="0084431D" w:rsidDel="00784516">
        <w:rPr>
          <w:rFonts w:cs="Times New Roman"/>
          <w:lang w:val="en-US"/>
        </w:rPr>
        <w:t>in upholding and applying the rule of la</w:t>
      </w:r>
      <w:r w:rsidRPr="0084431D">
        <w:rPr>
          <w:rFonts w:cs="Times New Roman"/>
          <w:lang w:val="en-US"/>
        </w:rPr>
        <w:t>w (</w:t>
      </w:r>
      <w:r w:rsidRPr="0084431D" w:rsidDel="00784516">
        <w:rPr>
          <w:rFonts w:cs="Times New Roman"/>
          <w:i/>
          <w:lang w:val="en-US"/>
        </w:rPr>
        <w:t>Toronto (City) v. C.U.P.E., Local 79</w:t>
      </w:r>
      <w:r w:rsidRPr="0084431D" w:rsidDel="00784516">
        <w:rPr>
          <w:rFonts w:cs="Times New Roman"/>
          <w:lang w:val="en-US"/>
        </w:rPr>
        <w:t>, [2003] 3 S.C.R. 77, at para. 131</w:t>
      </w:r>
      <w:r w:rsidRPr="0084431D">
        <w:rPr>
          <w:rFonts w:cs="Times New Roman"/>
          <w:lang w:val="en-US"/>
        </w:rPr>
        <w:t>,</w:t>
      </w:r>
      <w:r w:rsidRPr="0084431D">
        <w:rPr>
          <w:rFonts w:cs="Times New Roman"/>
          <w:i/>
          <w:lang w:val="en-US"/>
        </w:rPr>
        <w:t xml:space="preserve"> </w:t>
      </w:r>
      <w:r w:rsidRPr="001B1FF6">
        <w:rPr>
          <w:rFonts w:cs="Times New Roman"/>
          <w:lang w:val="en-US"/>
        </w:rPr>
        <w:t>per</w:t>
      </w:r>
      <w:r w:rsidRPr="0084431D">
        <w:rPr>
          <w:rFonts w:cs="Times New Roman"/>
          <w:i/>
          <w:lang w:val="en-US"/>
        </w:rPr>
        <w:t xml:space="preserve"> </w:t>
      </w:r>
      <w:proofErr w:type="spellStart"/>
      <w:r w:rsidRPr="0084431D" w:rsidDel="00784516">
        <w:rPr>
          <w:rFonts w:cs="Times New Roman"/>
          <w:lang w:val="en-US"/>
        </w:rPr>
        <w:t>LeBel</w:t>
      </w:r>
      <w:proofErr w:type="spellEnd"/>
      <w:r w:rsidRPr="0084431D">
        <w:rPr>
          <w:rFonts w:cs="Times New Roman"/>
          <w:lang w:val="en-US"/>
        </w:rPr>
        <w:t xml:space="preserve"> J., concurring). Deference also requires respect for administrative </w:t>
      </w:r>
      <w:r>
        <w:rPr>
          <w:rFonts w:cs="Times New Roman"/>
          <w:lang w:val="en-US"/>
        </w:rPr>
        <w:t>decision-maker</w:t>
      </w:r>
      <w:r w:rsidRPr="0084431D">
        <w:rPr>
          <w:rFonts w:cs="Times New Roman"/>
          <w:lang w:val="en-US"/>
        </w:rPr>
        <w:t>s, their specialized expertise and the institutional setting in which they operate (</w:t>
      </w:r>
      <w:r w:rsidRPr="0084431D">
        <w:rPr>
          <w:rFonts w:cs="Times New Roman"/>
          <w:i/>
          <w:lang w:val="en-US"/>
        </w:rPr>
        <w:t>Dunsmuir</w:t>
      </w:r>
      <w:r w:rsidRPr="0084431D">
        <w:rPr>
          <w:rFonts w:cs="Times New Roman"/>
          <w:lang w:val="en-US"/>
        </w:rPr>
        <w:t>, at paras. 48-49). Reviewing courts must pay “respectful attention” to the reasons offered for an administrative decision, make a genuine effort to understand why the decision was made, and give the decision a fair and generous construction in light of the entire record (</w:t>
      </w:r>
      <w:r w:rsidRPr="0084431D">
        <w:rPr>
          <w:rFonts w:cs="Times New Roman"/>
          <w:i/>
          <w:lang w:val="en-US"/>
        </w:rPr>
        <w:t>Newfoundland Nurses</w:t>
      </w:r>
      <w:r>
        <w:rPr>
          <w:rFonts w:cs="Times New Roman"/>
          <w:lang w:val="en-US"/>
        </w:rPr>
        <w:t>, at paras. 11-14 and</w:t>
      </w:r>
      <w:r w:rsidR="00AB6605">
        <w:rPr>
          <w:rFonts w:cs="Times New Roman"/>
          <w:lang w:val="en-US"/>
        </w:rPr>
        <w:t xml:space="preserve"> 17).</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Second, deference affects how a court frames the question it must answer when conducting judicial review. A reviewing court does not ask how it</w:t>
      </w:r>
      <w:r w:rsidRPr="0084431D">
        <w:rPr>
          <w:rFonts w:cs="Times New Roman"/>
          <w:i/>
          <w:lang w:val="en-US"/>
        </w:rPr>
        <w:t xml:space="preserve"> </w:t>
      </w:r>
      <w:r w:rsidRPr="0084431D">
        <w:rPr>
          <w:rFonts w:cs="Times New Roman"/>
          <w:lang w:val="en-US"/>
        </w:rPr>
        <w:t>would have resolved an issue, but rather, whether the answer provided by the administrative decision-maker has been shown to be unreasonable (</w:t>
      </w:r>
      <w:proofErr w:type="spellStart"/>
      <w:r w:rsidRPr="0084431D">
        <w:rPr>
          <w:rFonts w:cs="Times New Roman"/>
          <w:i/>
          <w:lang w:val="en-US"/>
        </w:rPr>
        <w:t>Khosa</w:t>
      </w:r>
      <w:proofErr w:type="spellEnd"/>
      <w:r>
        <w:rPr>
          <w:rFonts w:cs="Times New Roman"/>
          <w:lang w:val="en-US"/>
        </w:rPr>
        <w:t>, at paras. 59 and</w:t>
      </w:r>
      <w:r w:rsidRPr="0084431D">
        <w:rPr>
          <w:rFonts w:cs="Times New Roman"/>
          <w:lang w:val="en-US"/>
        </w:rPr>
        <w:t xml:space="preserve"> 61-62; </w:t>
      </w:r>
      <w:r w:rsidRPr="0084431D">
        <w:rPr>
          <w:rFonts w:cs="Times New Roman"/>
          <w:i/>
          <w:lang w:val="en-US"/>
        </w:rPr>
        <w:t>Dunsmuir</w:t>
      </w:r>
      <w:r w:rsidRPr="0084431D">
        <w:rPr>
          <w:rFonts w:cs="Times New Roman"/>
          <w:lang w:val="en-US"/>
        </w:rPr>
        <w:t xml:space="preserve">, at para. 47). Framing the inquiry in this way ensures that the administrative decision under review is the focus of the analysis. </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This Court has often endorsed this approach to conducting reasonableness review. In </w:t>
      </w:r>
      <w:r w:rsidRPr="0084431D">
        <w:rPr>
          <w:rFonts w:cs="Times New Roman"/>
          <w:i/>
          <w:lang w:val="en-US"/>
        </w:rPr>
        <w:t>Ryan</w:t>
      </w:r>
      <w:r w:rsidRPr="0084431D">
        <w:rPr>
          <w:rFonts w:cs="Times New Roman"/>
          <w:lang w:val="en-US"/>
        </w:rPr>
        <w:t xml:space="preserve">, </w:t>
      </w:r>
      <w:r w:rsidRPr="005C2571">
        <w:rPr>
          <w:rFonts w:cs="Times New Roman"/>
        </w:rPr>
        <w:t>for</w:t>
      </w:r>
      <w:r w:rsidRPr="0084431D">
        <w:rPr>
          <w:rFonts w:cs="Times New Roman"/>
          <w:lang w:val="en-US"/>
        </w:rPr>
        <w:t xml:space="preserve"> example, </w:t>
      </w:r>
      <w:proofErr w:type="spellStart"/>
      <w:r w:rsidRPr="0084431D">
        <w:rPr>
          <w:rFonts w:cs="Times New Roman"/>
          <w:lang w:val="en-US"/>
        </w:rPr>
        <w:t>Iacobucci</w:t>
      </w:r>
      <w:proofErr w:type="spellEnd"/>
      <w:r w:rsidRPr="0084431D">
        <w:rPr>
          <w:rFonts w:cs="Times New Roman"/>
          <w:lang w:val="en-US"/>
        </w:rPr>
        <w:t xml:space="preserve"> J. explained:</w:t>
      </w:r>
    </w:p>
    <w:p w:rsidR="008B0231" w:rsidRPr="0084431D" w:rsidRDefault="002955BE" w:rsidP="008B0231">
      <w:pPr>
        <w:pStyle w:val="Citation-AltC"/>
        <w:rPr>
          <w:lang w:val="en"/>
        </w:rPr>
      </w:pPr>
      <w:r>
        <w:rPr>
          <w:lang w:val="en-US"/>
        </w:rPr>
        <w:t>. </w:t>
      </w:r>
      <w:r w:rsidR="008B0231">
        <w:rPr>
          <w:lang w:val="en-US"/>
        </w:rPr>
        <w:t>.</w:t>
      </w:r>
      <w:r>
        <w:rPr>
          <w:lang w:val="en-US"/>
        </w:rPr>
        <w:t> </w:t>
      </w:r>
      <w:r w:rsidR="008B0231">
        <w:rPr>
          <w:lang w:val="en-US"/>
        </w:rPr>
        <w:t xml:space="preserve">. </w:t>
      </w:r>
      <w:r w:rsidR="00FD0FC4" w:rsidRPr="0084431D">
        <w:rPr>
          <w:lang w:val="en"/>
        </w:rPr>
        <w:t>w</w:t>
      </w:r>
      <w:r w:rsidR="008B0231" w:rsidRPr="0084431D">
        <w:rPr>
          <w:lang w:val="en"/>
        </w:rPr>
        <w:t>hen deciding whether an administrative action was unreasonable, a court should not at any point ask itself what the correct decision would have been</w:t>
      </w:r>
      <w:r w:rsidR="00FA03B3">
        <w:rPr>
          <w:lang w:val="en"/>
        </w:rPr>
        <w:t>. </w:t>
      </w:r>
      <w:r w:rsidR="002E5FB2">
        <w:rPr>
          <w:lang w:val="en"/>
        </w:rPr>
        <w:t>. </w:t>
      </w:r>
      <w:r w:rsidR="008B0231">
        <w:rPr>
          <w:lang w:val="en"/>
        </w:rPr>
        <w:t>.</w:t>
      </w:r>
      <w:r w:rsidR="002E5FB2">
        <w:rPr>
          <w:lang w:val="en"/>
        </w:rPr>
        <w:t> </w:t>
      </w:r>
      <w:r w:rsidR="008B0231">
        <w:rPr>
          <w:lang w:val="en"/>
        </w:rPr>
        <w:t>.</w:t>
      </w:r>
      <w:r w:rsidR="002E5FB2">
        <w:rPr>
          <w:lang w:val="en"/>
        </w:rPr>
        <w:t> </w:t>
      </w:r>
      <w:r w:rsidR="008B0231" w:rsidRPr="0084431D">
        <w:rPr>
          <w:lang w:val="en"/>
        </w:rPr>
        <w:t xml:space="preserve"> The standard of reasonableness does not imply that a decision-maker is merely afforded a “margin of error” around what the court b</w:t>
      </w:r>
      <w:r w:rsidR="00AB6605">
        <w:rPr>
          <w:lang w:val="en"/>
        </w:rPr>
        <w:t>elieves is the correct result.</w:t>
      </w:r>
    </w:p>
    <w:p w:rsidR="008B0231" w:rsidRPr="0084431D" w:rsidRDefault="008B0231" w:rsidP="008B0231">
      <w:pPr>
        <w:pStyle w:val="Citation-AltC"/>
        <w:rPr>
          <w:lang w:val="en"/>
        </w:rPr>
      </w:pPr>
    </w:p>
    <w:p w:rsidR="008B0231" w:rsidRPr="0084431D" w:rsidRDefault="00233CCA" w:rsidP="00FA03B3">
      <w:pPr>
        <w:pStyle w:val="Citation-AltC"/>
        <w:ind w:firstLine="274"/>
        <w:rPr>
          <w:lang w:val="en"/>
        </w:rPr>
      </w:pPr>
      <w:r>
        <w:rPr>
          <w:lang w:val="en"/>
        </w:rPr>
        <w:t>. </w:t>
      </w:r>
      <w:r w:rsidR="008B0231">
        <w:rPr>
          <w:lang w:val="en"/>
        </w:rPr>
        <w:t>.</w:t>
      </w:r>
      <w:r>
        <w:rPr>
          <w:lang w:val="en"/>
        </w:rPr>
        <w:t> </w:t>
      </w:r>
      <w:r w:rsidR="008B0231">
        <w:rPr>
          <w:lang w:val="en"/>
        </w:rPr>
        <w:t xml:space="preserve">. </w:t>
      </w:r>
      <w:r w:rsidR="008B0231" w:rsidRPr="0084431D">
        <w:rPr>
          <w:lang w:val="en"/>
        </w:rPr>
        <w:t>Unlike a review for correctness, there will often be no single right answer to the questions that are under review against the standard of reasonableness</w:t>
      </w:r>
      <w:r w:rsidR="008B0231">
        <w:rPr>
          <w:lang w:val="en"/>
        </w:rPr>
        <w:t>.</w:t>
      </w:r>
      <w:r>
        <w:rPr>
          <w:lang w:val="en"/>
        </w:rPr>
        <w:t> </w:t>
      </w:r>
      <w:r w:rsidR="008B0231">
        <w:rPr>
          <w:lang w:val="en"/>
        </w:rPr>
        <w:t>.</w:t>
      </w:r>
      <w:r>
        <w:rPr>
          <w:lang w:val="en"/>
        </w:rPr>
        <w:t> </w:t>
      </w:r>
      <w:r w:rsidR="008B0231">
        <w:rPr>
          <w:lang w:val="en"/>
        </w:rPr>
        <w:t>.</w:t>
      </w:r>
      <w:r>
        <w:rPr>
          <w:lang w:val="en"/>
        </w:rPr>
        <w:t> </w:t>
      </w:r>
      <w:r w:rsidR="008B0231">
        <w:rPr>
          <w:lang w:val="en"/>
        </w:rPr>
        <w:t>.</w:t>
      </w:r>
      <w:r w:rsidR="008B0231" w:rsidRPr="0084431D">
        <w:rPr>
          <w:lang w:val="en"/>
        </w:rPr>
        <w:t xml:space="preserve"> Even if there could be, notionally, a single best answer, it is not the court’s role to seek this out when deciding if the decision was unreasonable.</w:t>
      </w:r>
      <w:r w:rsidR="008B0231">
        <w:rPr>
          <w:lang w:val="en"/>
        </w:rPr>
        <w:t xml:space="preserve"> [</w:t>
      </w:r>
      <w:proofErr w:type="gramStart"/>
      <w:r w:rsidR="008B0231" w:rsidRPr="0084431D">
        <w:rPr>
          <w:lang w:val="en"/>
        </w:rPr>
        <w:t>paras</w:t>
      </w:r>
      <w:proofErr w:type="gramEnd"/>
      <w:r w:rsidR="00A322D2">
        <w:rPr>
          <w:lang w:val="en"/>
        </w:rPr>
        <w:t>. 50-51]</w:t>
      </w:r>
    </w:p>
    <w:p w:rsidR="008B0231" w:rsidRPr="0084431D" w:rsidRDefault="008B0231" w:rsidP="008B0231">
      <w:pPr>
        <w:pStyle w:val="Citation-AltC"/>
        <w:rPr>
          <w:lang w:val="en"/>
        </w:rPr>
      </w:pPr>
    </w:p>
    <w:p w:rsidR="008B0231" w:rsidRPr="0084431D" w:rsidRDefault="008B0231" w:rsidP="00B729D2">
      <w:pPr>
        <w:pStyle w:val="Citation-AltC"/>
        <w:ind w:left="0"/>
        <w:rPr>
          <w:lang w:val="en"/>
        </w:rPr>
      </w:pPr>
      <w:r>
        <w:rPr>
          <w:lang w:val="en"/>
        </w:rPr>
        <w:t>(</w:t>
      </w:r>
      <w:r w:rsidRPr="0084431D">
        <w:rPr>
          <w:lang w:val="en"/>
        </w:rPr>
        <w:t xml:space="preserve">See also </w:t>
      </w:r>
      <w:r w:rsidRPr="0084431D">
        <w:rPr>
          <w:i/>
        </w:rPr>
        <w:t>Volvo Canada Ltd. v. U.A.W., Local 720</w:t>
      </w:r>
      <w:r w:rsidRPr="0084431D">
        <w:t xml:space="preserve">, [1980] 1 S.C.R. 178, at p. 214; </w:t>
      </w:r>
      <w:r w:rsidRPr="0084431D">
        <w:rPr>
          <w:i/>
        </w:rPr>
        <w:t>Toronto (City)</w:t>
      </w:r>
      <w:r w:rsidRPr="0084431D">
        <w:t xml:space="preserve">, at paras. 94-95, </w:t>
      </w:r>
      <w:r w:rsidRPr="001B1FF6">
        <w:t xml:space="preserve">per </w:t>
      </w:r>
      <w:proofErr w:type="spellStart"/>
      <w:r w:rsidRPr="0084431D">
        <w:t>LeBel</w:t>
      </w:r>
      <w:proofErr w:type="spellEnd"/>
      <w:r w:rsidRPr="0084431D">
        <w:t xml:space="preserve"> </w:t>
      </w:r>
      <w:r>
        <w:t>J.</w:t>
      </w:r>
      <w:r w:rsidRPr="0084431D">
        <w:t xml:space="preserve">, concurring; </w:t>
      </w:r>
      <w:r w:rsidRPr="0084431D">
        <w:rPr>
          <w:i/>
        </w:rPr>
        <w:t>VIA Rail</w:t>
      </w:r>
      <w:r w:rsidRPr="0084431D">
        <w:t xml:space="preserve">, at para. 101; </w:t>
      </w:r>
      <w:r>
        <w:rPr>
          <w:i/>
        </w:rPr>
        <w:t xml:space="preserve">Mason v. Minister of </w:t>
      </w:r>
      <w:r w:rsidRPr="0084431D">
        <w:rPr>
          <w:i/>
        </w:rPr>
        <w:t>Citizenship and Immigration</w:t>
      </w:r>
      <w:r w:rsidRPr="0084431D">
        <w:t>, 2019 FC 1251, at para. 22</w:t>
      </w:r>
      <w:r>
        <w:t xml:space="preserve"> (</w:t>
      </w:r>
      <w:proofErr w:type="spellStart"/>
      <w:r>
        <w:t>CanLII</w:t>
      </w:r>
      <w:proofErr w:type="spellEnd"/>
      <w:r>
        <w:t>)</w:t>
      </w:r>
      <w:r w:rsidRPr="0084431D">
        <w:t xml:space="preserve">, </w:t>
      </w:r>
      <w:r w:rsidRPr="00C2494D">
        <w:t xml:space="preserve">per </w:t>
      </w:r>
      <w:proofErr w:type="spellStart"/>
      <w:r w:rsidRPr="0084431D">
        <w:t>Grammond</w:t>
      </w:r>
      <w:proofErr w:type="spellEnd"/>
      <w:r w:rsidRPr="0084431D">
        <w:t xml:space="preserve"> J.; </w:t>
      </w:r>
      <w:proofErr w:type="spellStart"/>
      <w:r w:rsidRPr="0084431D">
        <w:t>Régimbald</w:t>
      </w:r>
      <w:proofErr w:type="spellEnd"/>
      <w:r w:rsidRPr="0084431D">
        <w:t xml:space="preserve">, at p. 539; Sharpe, </w:t>
      </w:r>
      <w:r>
        <w:t xml:space="preserve">at pp. 204 and </w:t>
      </w:r>
      <w:r w:rsidRPr="0084431D">
        <w:t xml:space="preserve">208; Paul Daly, “The Signal and the Noise in Administrative Law” (2017), 68 </w:t>
      </w:r>
      <w:r w:rsidRPr="0084431D">
        <w:rPr>
          <w:i/>
        </w:rPr>
        <w:t>U.N.B.L.J.</w:t>
      </w:r>
      <w:r>
        <w:t xml:space="preserve"> 6</w:t>
      </w:r>
      <w:r w:rsidR="004C239E">
        <w:t>7</w:t>
      </w:r>
      <w:r w:rsidRPr="0084431D">
        <w:t>, at p. 85; Evans, “Triumph of Reasonableness: But How Much Does It Really Matter?”, at p. 107.</w:t>
      </w:r>
      <w:r>
        <w:t>)</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Third, deferential</w:t>
      </w:r>
      <w:r w:rsidRPr="0084431D">
        <w:rPr>
          <w:rFonts w:cs="Times New Roman"/>
        </w:rPr>
        <w:t xml:space="preserve"> </w:t>
      </w:r>
      <w:r w:rsidRPr="0084431D">
        <w:rPr>
          <w:rFonts w:cs="Times New Roman"/>
          <w:lang w:val="en-US"/>
        </w:rPr>
        <w:t>review impacts how a reviewing court evaluates challenges</w:t>
      </w:r>
      <w:r w:rsidRPr="0084431D">
        <w:rPr>
          <w:rFonts w:cs="Times New Roman"/>
          <w:i/>
          <w:lang w:val="en-US"/>
        </w:rPr>
        <w:t xml:space="preserve"> </w:t>
      </w:r>
      <w:r w:rsidRPr="0084431D">
        <w:rPr>
          <w:rFonts w:cs="Times New Roman"/>
          <w:lang w:val="en-US"/>
        </w:rPr>
        <w:t xml:space="preserve">to an administrative decision. Deference requires the applicant seeking judicial review to bear the onus of showing that the decision was unreasonable </w:t>
      </w:r>
      <w:r>
        <w:rPr>
          <w:rFonts w:cs="Times New Roman"/>
          <w:lang w:val="en-US"/>
        </w:rPr>
        <w:t>(</w:t>
      </w:r>
      <w:r w:rsidRPr="0084431D">
        <w:rPr>
          <w:rFonts w:cs="Times New Roman"/>
          <w:i/>
          <w:lang w:val="en-US"/>
        </w:rPr>
        <w:t>Williams Lake Indian Band v. Canada (Aboriginal Affairs and Northern Development)</w:t>
      </w:r>
      <w:r w:rsidRPr="0084431D">
        <w:rPr>
          <w:rFonts w:cs="Times New Roman"/>
          <w:lang w:val="en-US"/>
        </w:rPr>
        <w:t xml:space="preserve">, [2018] 1 S.C.R. 83, at para. 108; </w:t>
      </w:r>
      <w:r w:rsidRPr="0084431D">
        <w:rPr>
          <w:rFonts w:cs="Times New Roman"/>
          <w:i/>
          <w:lang w:val="en-US"/>
        </w:rPr>
        <w:t xml:space="preserve">Mission Institution v. </w:t>
      </w:r>
      <w:proofErr w:type="spellStart"/>
      <w:r w:rsidRPr="0084431D">
        <w:rPr>
          <w:rFonts w:cs="Times New Roman"/>
          <w:i/>
          <w:lang w:val="en-US"/>
        </w:rPr>
        <w:t>Khela</w:t>
      </w:r>
      <w:proofErr w:type="spellEnd"/>
      <w:r w:rsidRPr="0084431D">
        <w:rPr>
          <w:rFonts w:cs="Times New Roman"/>
          <w:lang w:val="en-US"/>
        </w:rPr>
        <w:t>, [2014] 1</w:t>
      </w:r>
      <w:r>
        <w:rPr>
          <w:rFonts w:cs="Times New Roman"/>
          <w:lang w:val="en-US"/>
        </w:rPr>
        <w:t> </w:t>
      </w:r>
      <w:r w:rsidRPr="0084431D">
        <w:rPr>
          <w:rFonts w:cs="Times New Roman"/>
          <w:lang w:val="en-US"/>
        </w:rPr>
        <w:t xml:space="preserve">S.C.R. 502, at para. 64; </w:t>
      </w:r>
      <w:r w:rsidRPr="0084431D">
        <w:rPr>
          <w:rFonts w:cs="Times New Roman"/>
          <w:i/>
        </w:rPr>
        <w:t>May v. Ferndale Institution</w:t>
      </w:r>
      <w:r w:rsidRPr="0084431D">
        <w:rPr>
          <w:rFonts w:cs="Times New Roman"/>
        </w:rPr>
        <w:t xml:space="preserve">, [2005] 3 S.C.R. 809, at para. 71; </w:t>
      </w:r>
      <w:r w:rsidRPr="0084431D">
        <w:rPr>
          <w:rFonts w:cs="Times New Roman"/>
          <w:i/>
          <w:lang w:val="en-US"/>
        </w:rPr>
        <w:t>Ryan</w:t>
      </w:r>
      <w:r w:rsidRPr="0084431D">
        <w:rPr>
          <w:rFonts w:cs="Times New Roman"/>
          <w:lang w:val="en-US"/>
        </w:rPr>
        <w:t xml:space="preserve">, at para. 48; </w:t>
      </w:r>
      <w:proofErr w:type="spellStart"/>
      <w:r w:rsidRPr="0084431D">
        <w:rPr>
          <w:rFonts w:cs="Times New Roman"/>
          <w:i/>
          <w:lang w:val="en-US"/>
        </w:rPr>
        <w:t>Southam</w:t>
      </w:r>
      <w:proofErr w:type="spellEnd"/>
      <w:r w:rsidRPr="0084431D">
        <w:rPr>
          <w:rFonts w:cs="Times New Roman"/>
          <w:lang w:val="en-US"/>
        </w:rPr>
        <w:t xml:space="preserve">, at para. 61; </w:t>
      </w:r>
      <w:r w:rsidRPr="0084431D">
        <w:rPr>
          <w:rFonts w:cs="Times New Roman"/>
          <w:i/>
        </w:rPr>
        <w:t>Northern Telecom</w:t>
      </w:r>
      <w:r>
        <w:rPr>
          <w:rFonts w:cs="Times New Roman"/>
          <w:i/>
        </w:rPr>
        <w:t xml:space="preserve"> Ltd.</w:t>
      </w:r>
      <w:r w:rsidRPr="0084431D">
        <w:rPr>
          <w:rFonts w:cs="Times New Roman"/>
          <w:i/>
        </w:rPr>
        <w:t xml:space="preserve"> v. Communications Workers</w:t>
      </w:r>
      <w:r>
        <w:rPr>
          <w:rFonts w:cs="Times New Roman"/>
          <w:i/>
        </w:rPr>
        <w:t xml:space="preserve"> of Canada</w:t>
      </w:r>
      <w:r w:rsidRPr="0084431D">
        <w:rPr>
          <w:rFonts w:cs="Times New Roman"/>
        </w:rPr>
        <w:t>, [1980] 1 S.C.R. 115, at p. 130</w:t>
      </w:r>
      <w:r>
        <w:rPr>
          <w:rFonts w:cs="Times New Roman"/>
        </w:rPr>
        <w:t>)</w:t>
      </w:r>
      <w:r w:rsidRPr="0084431D">
        <w:rPr>
          <w:rFonts w:cs="Times New Roman"/>
          <w:lang w:val="en-US"/>
        </w:rPr>
        <w:t xml:space="preserve">. Focusing on whether the applicant has demonstrated that the decision is unreasonable reinforces </w:t>
      </w:r>
      <w:r w:rsidRPr="0084431D">
        <w:rPr>
          <w:rFonts w:cs="Times New Roman"/>
        </w:rPr>
        <w:t>the central role that administrative decisions play in a properly deferential review process, and confirms that the decision-maker does not have to persuade the court that its decision is reasonable.</w:t>
      </w:r>
    </w:p>
    <w:p w:rsidR="008B0231" w:rsidRPr="0084431D" w:rsidRDefault="008B0231" w:rsidP="005C2571">
      <w:pPr>
        <w:pStyle w:val="ParaNoNdepar-AltN"/>
        <w:tabs>
          <w:tab w:val="clear" w:pos="1166"/>
          <w:tab w:val="clear" w:pos="1422"/>
          <w:tab w:val="num" w:pos="1152"/>
        </w:tabs>
        <w:ind w:left="0"/>
        <w:rPr>
          <w:rFonts w:cs="Times New Roman"/>
          <w:lang w:val="en-US"/>
        </w:rPr>
      </w:pPr>
      <w:r w:rsidRPr="005C2571">
        <w:rPr>
          <w:rFonts w:cs="Times New Roman"/>
        </w:rPr>
        <w:t>Assessing</w:t>
      </w:r>
      <w:r w:rsidRPr="0084431D">
        <w:rPr>
          <w:rFonts w:cs="Times New Roman"/>
          <w:lang w:val="en-US"/>
        </w:rPr>
        <w:t xml:space="preserve"> whether a decision is reasonable also requires a qualitative assessment. Reasonableness is a concept that pervades the law but is difficult to define </w:t>
      </w:r>
      <w:r w:rsidRPr="0084431D">
        <w:rPr>
          <w:rFonts w:cs="Times New Roman"/>
          <w:lang w:val="en-US"/>
        </w:rPr>
        <w:lastRenderedPageBreak/>
        <w:t>with precision (</w:t>
      </w:r>
      <w:r w:rsidRPr="0084431D">
        <w:rPr>
          <w:rFonts w:cs="Times New Roman"/>
          <w:i/>
          <w:lang w:val="en-US"/>
        </w:rPr>
        <w:t>Dunsmuir</w:t>
      </w:r>
      <w:r w:rsidRPr="0084431D">
        <w:rPr>
          <w:rFonts w:cs="Times New Roman"/>
          <w:lang w:val="en-US"/>
        </w:rPr>
        <w:t xml:space="preserve">, at para. 46). </w:t>
      </w:r>
      <w:r w:rsidRPr="0084431D">
        <w:rPr>
          <w:rFonts w:cs="Times New Roman"/>
        </w:rPr>
        <w:t>It requires, by its very nature, a fact-specific inquiry that involves a certain understanding of common experience. Reasonableness cannot be reduced to a formula or a checklist of factors, many of which will not be relevant to a particular decision</w:t>
      </w:r>
      <w:r w:rsidRPr="0084431D">
        <w:rPr>
          <w:rFonts w:eastAsiaTheme="minorHAnsi" w:cs="Times New Roman"/>
        </w:rPr>
        <w:t>.</w:t>
      </w:r>
      <w:r w:rsidRPr="0084431D">
        <w:rPr>
          <w:rFonts w:cs="Times New Roman"/>
        </w:rPr>
        <w:t xml:space="preserve"> Ultimately, w</w:t>
      </w:r>
      <w:proofErr w:type="spellStart"/>
      <w:r w:rsidRPr="0084431D">
        <w:rPr>
          <w:rFonts w:cs="Times New Roman"/>
          <w:lang w:val="en-US"/>
        </w:rPr>
        <w:t>hether</w:t>
      </w:r>
      <w:proofErr w:type="spellEnd"/>
      <w:r w:rsidRPr="0084431D">
        <w:rPr>
          <w:rFonts w:cs="Times New Roman"/>
          <w:lang w:val="en-US"/>
        </w:rPr>
        <w:t xml:space="preserve"> an administrative decision is reasonable will depend on the context (</w:t>
      </w:r>
      <w:r w:rsidRPr="0084431D">
        <w:rPr>
          <w:rFonts w:cs="Times New Roman"/>
          <w:i/>
          <w:lang w:val="en-US"/>
        </w:rPr>
        <w:t>Catalyst Paper Corp. v. North Cowichan (District)</w:t>
      </w:r>
      <w:r w:rsidRPr="0084431D">
        <w:rPr>
          <w:rFonts w:cs="Times New Roman"/>
          <w:lang w:val="en-US"/>
        </w:rPr>
        <w:t xml:space="preserve">, [2012] 1 S.C.R. 5, at para. 18). </w:t>
      </w:r>
      <w:r w:rsidRPr="0084431D">
        <w:rPr>
          <w:rFonts w:cs="Times New Roman"/>
        </w:rPr>
        <w:t xml:space="preserve">Administrative law covers an infinite variety of decisions and decision-making contexts, as </w:t>
      </w:r>
      <w:proofErr w:type="spellStart"/>
      <w:r w:rsidRPr="0084431D">
        <w:rPr>
          <w:rFonts w:cs="Times New Roman"/>
        </w:rPr>
        <w:t>LeBel</w:t>
      </w:r>
      <w:proofErr w:type="spellEnd"/>
      <w:r w:rsidRPr="0084431D">
        <w:rPr>
          <w:rFonts w:cs="Times New Roman"/>
        </w:rPr>
        <w:t xml:space="preserve"> J. colourfully explained in </w:t>
      </w:r>
      <w:proofErr w:type="spellStart"/>
      <w:r w:rsidRPr="0084431D">
        <w:rPr>
          <w:rFonts w:cs="Times New Roman"/>
          <w:i/>
        </w:rPr>
        <w:t>Blencoe</w:t>
      </w:r>
      <w:proofErr w:type="spellEnd"/>
      <w:r w:rsidRPr="0084431D">
        <w:rPr>
          <w:rFonts w:cs="Times New Roman"/>
          <w:i/>
        </w:rPr>
        <w:t> </w:t>
      </w:r>
      <w:r w:rsidRPr="0084431D">
        <w:rPr>
          <w:rFonts w:cs="Times New Roman"/>
          <w:i/>
          <w:iCs/>
        </w:rPr>
        <w:t>v</w:t>
      </w:r>
      <w:r w:rsidRPr="0084431D">
        <w:rPr>
          <w:rFonts w:cs="Times New Roman"/>
          <w:i/>
        </w:rPr>
        <w:t>. British Columbia (Human Rights Commission)</w:t>
      </w:r>
      <w:r w:rsidRPr="0084431D">
        <w:rPr>
          <w:rFonts w:cs="Times New Roman"/>
        </w:rPr>
        <w:t>, [2000] 2 S.C.R. 307</w:t>
      </w:r>
      <w:r>
        <w:rPr>
          <w:rFonts w:cs="Times New Roman"/>
        </w:rPr>
        <w:t>,</w:t>
      </w:r>
      <w:r w:rsidRPr="0084431D">
        <w:rPr>
          <w:rFonts w:cs="Times New Roman"/>
        </w:rPr>
        <w:t xml:space="preserve"> at para. 158 (dissenting in part, but not on this point): </w:t>
      </w:r>
    </w:p>
    <w:p w:rsidR="008B0231" w:rsidRPr="0084431D" w:rsidRDefault="001979C1" w:rsidP="008B0231">
      <w:pPr>
        <w:pStyle w:val="Citation-AltC"/>
      </w:pPr>
      <w:r>
        <w:t>. </w:t>
      </w:r>
      <w:r w:rsidR="008B0231">
        <w:t>.</w:t>
      </w:r>
      <w:r>
        <w:t> </w:t>
      </w:r>
      <w:r w:rsidR="008B0231">
        <w:t xml:space="preserve">. </w:t>
      </w:r>
      <w:proofErr w:type="gramStart"/>
      <w:r w:rsidR="008B0231" w:rsidRPr="0084431D">
        <w:t>not</w:t>
      </w:r>
      <w:proofErr w:type="gramEnd"/>
      <w:r w:rsidR="008B0231" w:rsidRPr="0084431D">
        <w:t xml:space="preserve"> all administrative bodies are the same. Indeed, this is an understatement. At first glance, labour boards, police commissions, and milk control boards may seem to have about as much in common as assembly lines, cops, and cows! Administrative bodies do, of course, have some common features, but the diversity of their powers, mandate and structure is such that to apply particular standards from one context to another might well be entirely inappropriate.</w:t>
      </w:r>
      <w:r w:rsidR="00E31C89">
        <w:t> </w:t>
      </w:r>
      <w:r w:rsidR="008B0231" w:rsidRPr="0084431D">
        <w:t xml:space="preserve"> </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Deference, in our view, requires approaching each administrative decision on its own terms </w:t>
      </w:r>
      <w:r w:rsidRPr="005C2571">
        <w:rPr>
          <w:rFonts w:cs="Times New Roman"/>
        </w:rPr>
        <w:t>and</w:t>
      </w:r>
      <w:r w:rsidRPr="0084431D">
        <w:rPr>
          <w:rFonts w:cs="Times New Roman"/>
          <w:lang w:val="en-US"/>
        </w:rPr>
        <w:t xml:space="preserve"> in its own context. But we emphasize that the inherently contextual nature of reasonableness review does not mean that the degree of scrutiny applied by a reviewing court varies (</w:t>
      </w:r>
      <w:r w:rsidRPr="0084431D">
        <w:rPr>
          <w:rFonts w:cs="Times New Roman"/>
          <w:i/>
          <w:lang w:val="en-US"/>
        </w:rPr>
        <w:t>Alberta Teachers’ Association</w:t>
      </w:r>
      <w:r w:rsidRPr="0084431D">
        <w:rPr>
          <w:rFonts w:cs="Times New Roman"/>
          <w:lang w:val="en-US"/>
        </w:rPr>
        <w:t xml:space="preserve">, at para. 47; </w:t>
      </w:r>
      <w:r w:rsidRPr="0084431D">
        <w:rPr>
          <w:rFonts w:cs="Times New Roman"/>
          <w:i/>
          <w:lang w:val="en-US"/>
        </w:rPr>
        <w:t>Wilson</w:t>
      </w:r>
      <w:r w:rsidRPr="00C2494D">
        <w:rPr>
          <w:rFonts w:cs="Times New Roman"/>
          <w:lang w:val="en-US"/>
        </w:rPr>
        <w:t xml:space="preserve">, </w:t>
      </w:r>
      <w:r w:rsidRPr="0084431D">
        <w:rPr>
          <w:rFonts w:cs="Times New Roman"/>
          <w:lang w:val="en-US"/>
        </w:rPr>
        <w:t>at para. 18). It merely means that when assessing a challenge to an administrative decision, a reviewing court must be attentive to all relevant circumstances, including the reasons offered to support the decision, the record, the statutory scheme and the particular issues raised by the applicant, among other factors (see</w:t>
      </w:r>
      <w:r>
        <w:rPr>
          <w:rFonts w:cs="Times New Roman"/>
          <w:lang w:val="en-US"/>
        </w:rPr>
        <w:t>,</w:t>
      </w:r>
      <w:r w:rsidRPr="0084431D">
        <w:rPr>
          <w:rFonts w:cs="Times New Roman"/>
          <w:lang w:val="en-US"/>
        </w:rPr>
        <w:t xml:space="preserve"> for example, </w:t>
      </w:r>
      <w:r w:rsidRPr="0084431D">
        <w:rPr>
          <w:rFonts w:cs="Times New Roman"/>
          <w:i/>
          <w:lang w:val="en-US"/>
        </w:rPr>
        <w:t xml:space="preserve">Suresh </w:t>
      </w:r>
      <w:r w:rsidRPr="0084431D">
        <w:rPr>
          <w:rFonts w:cs="Times New Roman"/>
          <w:i/>
          <w:lang w:val="en-US"/>
        </w:rPr>
        <w:lastRenderedPageBreak/>
        <w:t>v. Canada (Minister of Citizenship and Immigration)</w:t>
      </w:r>
      <w:r w:rsidRPr="0084431D">
        <w:rPr>
          <w:rFonts w:cs="Times New Roman"/>
          <w:lang w:val="en-US"/>
        </w:rPr>
        <w:t xml:space="preserve">, [2002] 1 S.C.R. 3, at para. 40; </w:t>
      </w:r>
      <w:r w:rsidRPr="0084431D">
        <w:rPr>
          <w:rFonts w:cs="Times New Roman"/>
          <w:i/>
          <w:lang w:val="en-US"/>
        </w:rPr>
        <w:t>Newfoundland Nurses</w:t>
      </w:r>
      <w:r w:rsidRPr="0084431D">
        <w:rPr>
          <w:rFonts w:cs="Times New Roman"/>
          <w:lang w:val="en-US"/>
        </w:rPr>
        <w:t xml:space="preserve">, at para. 18; </w:t>
      </w:r>
      <w:r>
        <w:rPr>
          <w:rFonts w:cs="Times New Roman"/>
          <w:lang w:val="en-US"/>
        </w:rPr>
        <w:t xml:space="preserve">Van </w:t>
      </w:r>
      <w:proofErr w:type="spellStart"/>
      <w:r>
        <w:rPr>
          <w:rFonts w:cs="Times New Roman"/>
          <w:lang w:val="en-US"/>
        </w:rPr>
        <w:t>Harten</w:t>
      </w:r>
      <w:proofErr w:type="spellEnd"/>
      <w:r w:rsidRPr="0084431D">
        <w:rPr>
          <w:rFonts w:cs="Times New Roman"/>
          <w:lang w:val="en-US"/>
        </w:rPr>
        <w:t xml:space="preserve"> et al., at p. 794). Without this context, it is impossible to determine what constitutes a sufficiently compelling justification to quash a decision under reasonableness review. Context may make a challenge to an administrative decision more or less persuasive </w:t>
      </w:r>
      <w:r>
        <w:rPr>
          <w:rFonts w:cs="Times New Roman"/>
          <w:lang w:val="en-US"/>
        </w:rPr>
        <w:t>—</w:t>
      </w:r>
      <w:r w:rsidRPr="0084431D">
        <w:rPr>
          <w:rFonts w:cs="Times New Roman"/>
          <w:lang w:val="en-US"/>
        </w:rPr>
        <w:t xml:space="preserve"> but it does not alter the deferential posture of the reviewing court (</w:t>
      </w:r>
      <w:r w:rsidRPr="0084431D">
        <w:rPr>
          <w:rFonts w:cs="Times New Roman"/>
          <w:i/>
          <w:lang w:val="en-US"/>
        </w:rPr>
        <w:t>Suresh</w:t>
      </w:r>
      <w:r w:rsidR="00AB6605">
        <w:rPr>
          <w:rFonts w:cs="Times New Roman"/>
          <w:lang w:val="en-US"/>
        </w:rPr>
        <w:t>, at para. 40).</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Deference, however, does not require reviewing courts to shirk their obligation to review the decision. So long as they maintain a respectful attitude, frame the judicial review inquiry properly and demand compelling justification for quashing a decision, reviewing courts are entitled to meaningfully probe an administrative decision. A thorough evaluation by a reviewing court is not “disguised correctness review”, as some have used the phrase. Deference, after all, stems from respect, not inattention to detail. </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rPr>
        <w:t>Bearing this in mind, we offer the following suggestions for conducting reasonableness review. We begin with situations where reasons are required.</w:t>
      </w:r>
      <w:r w:rsidRPr="00B97C83">
        <w:rPr>
          <w:rStyle w:val="Hyperlink"/>
          <w:color w:val="0000FF"/>
          <w:u w:val="single"/>
          <w:vertAlign w:val="superscript"/>
        </w:rPr>
        <w:footnoteReference w:id="9"/>
      </w:r>
      <w:r w:rsidRPr="0084431D">
        <w:rPr>
          <w:rFonts w:cs="Times New Roman"/>
        </w:rPr>
        <w:t xml:space="preserve"> </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rPr>
        <w:t>T</w:t>
      </w:r>
      <w:r w:rsidRPr="0084431D">
        <w:rPr>
          <w:rFonts w:cs="Times New Roman"/>
          <w:lang w:val="en-US"/>
        </w:rPr>
        <w:t xml:space="preserve">he </w:t>
      </w:r>
      <w:r w:rsidRPr="005C2571">
        <w:rPr>
          <w:rFonts w:cs="Times New Roman"/>
        </w:rPr>
        <w:t>administrative</w:t>
      </w:r>
      <w:r w:rsidRPr="0084431D">
        <w:rPr>
          <w:rFonts w:cs="Times New Roman"/>
          <w:lang w:val="en-US"/>
        </w:rPr>
        <w:t xml:space="preserve"> decision is the focal point of the review exercise. Where reasons are provided, they serve as the natural starting point to determine whether the decision-maker acted reasonably </w:t>
      </w:r>
      <w:r>
        <w:rPr>
          <w:rFonts w:cs="Times New Roman"/>
          <w:lang w:val="en-US"/>
        </w:rPr>
        <w:t>(</w:t>
      </w:r>
      <w:r w:rsidRPr="0084431D">
        <w:rPr>
          <w:rFonts w:cs="Times New Roman"/>
          <w:i/>
          <w:lang w:val="en-US"/>
        </w:rPr>
        <w:t>Williams Lake</w:t>
      </w:r>
      <w:r w:rsidRPr="0084431D">
        <w:rPr>
          <w:rFonts w:cs="Times New Roman"/>
          <w:lang w:val="en-US"/>
        </w:rPr>
        <w:t>, at para. 36</w:t>
      </w:r>
      <w:r>
        <w:rPr>
          <w:rFonts w:cs="Times New Roman"/>
          <w:lang w:val="en-US"/>
        </w:rPr>
        <w:t>)</w:t>
      </w:r>
      <w:r w:rsidRPr="0084431D">
        <w:rPr>
          <w:rFonts w:cs="Times New Roman"/>
          <w:lang w:val="en-US"/>
        </w:rPr>
        <w:t xml:space="preserve">. By beginning with the reasons offered for the decision, read in light of the surrounding context and the </w:t>
      </w:r>
      <w:r w:rsidRPr="0084431D">
        <w:rPr>
          <w:rFonts w:cs="Times New Roman"/>
          <w:lang w:val="en-US"/>
        </w:rPr>
        <w:lastRenderedPageBreak/>
        <w:t>grounds raised to challenge the decision, reviewing courts provide meaningful oversight while respecting the legitimacy of specialized administrative decision making.</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Reviewing courts should approach the reasons with respect for the specialized </w:t>
      </w:r>
      <w:r>
        <w:rPr>
          <w:rFonts w:cs="Times New Roman"/>
          <w:lang w:val="en-US"/>
        </w:rPr>
        <w:t>decision-maker</w:t>
      </w:r>
      <w:r w:rsidRPr="0084431D">
        <w:rPr>
          <w:rFonts w:cs="Times New Roman"/>
          <w:lang w:val="en-US"/>
        </w:rPr>
        <w:t>s, the significant role they have been assigned and the institutional context chosen by the legislator. Reasons should be approached generously, on their own terms. Reviewing courts should be hesitant to second-guess operational implications, practical challenges and on-the-ground knowledge used to justify an administrative decision. Reviewing courts must also remain alert to specialized concepts or language used in an administrative decision that may be unfamiliar to a generalist judge (</w:t>
      </w:r>
      <w:r w:rsidRPr="0084431D">
        <w:rPr>
          <w:rFonts w:cs="Times New Roman"/>
          <w:i/>
          <w:lang w:val="en-US"/>
        </w:rPr>
        <w:t>Newfoundland Nurses</w:t>
      </w:r>
      <w:r w:rsidRPr="0084431D">
        <w:rPr>
          <w:rFonts w:cs="Times New Roman"/>
          <w:lang w:val="en-US"/>
        </w:rPr>
        <w:t xml:space="preserve">, at para. 13; </w:t>
      </w:r>
      <w:r w:rsidRPr="0084431D">
        <w:rPr>
          <w:rFonts w:cs="Times New Roman"/>
          <w:i/>
          <w:lang w:val="en-US"/>
        </w:rPr>
        <w:t xml:space="preserve">Igloo </w:t>
      </w:r>
      <w:proofErr w:type="spellStart"/>
      <w:r w:rsidRPr="0084431D">
        <w:rPr>
          <w:rFonts w:cs="Times New Roman"/>
          <w:i/>
          <w:lang w:val="en-US"/>
        </w:rPr>
        <w:t>Vikski</w:t>
      </w:r>
      <w:proofErr w:type="spellEnd"/>
      <w:r>
        <w:rPr>
          <w:rFonts w:cs="Times New Roman"/>
          <w:lang w:val="en-US"/>
        </w:rPr>
        <w:t>, at paras. 17 and</w:t>
      </w:r>
      <w:r w:rsidRPr="0084431D">
        <w:rPr>
          <w:rFonts w:cs="Times New Roman"/>
          <w:lang w:val="en-US"/>
        </w:rPr>
        <w:t xml:space="preserve"> 30). When confronted with unfamiliar language or modes of reasoning, judges should acknowledge that such differences are an inevitable, intentional and invaluable by-product of the legislative choice to assign a matter to the administrative system. They may lend considerable force to an administrative decision and, by the same token, render an applicant’s challenge to that decision less compelling. Reviewing courts scrutinizing an administrative body’s decision under the reasonableness framework should therefore keep in mind that the administrative body holds the “interpretative upper hand” (</w:t>
      </w:r>
      <w:r w:rsidRPr="0084431D">
        <w:rPr>
          <w:rFonts w:cs="Times New Roman"/>
          <w:i/>
          <w:lang w:val="en-US"/>
        </w:rPr>
        <w:t>McLean</w:t>
      </w:r>
      <w:r w:rsidR="00AB6605">
        <w:rPr>
          <w:rFonts w:cs="Times New Roman"/>
          <w:lang w:val="en-US"/>
        </w:rPr>
        <w:t>, at para. 40).</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Throughout the review process, a court conducting deferential review must view claims of </w:t>
      </w:r>
      <w:r w:rsidRPr="005C2571">
        <w:rPr>
          <w:rFonts w:cs="Times New Roman"/>
        </w:rPr>
        <w:t>administrative</w:t>
      </w:r>
      <w:r w:rsidRPr="0084431D">
        <w:rPr>
          <w:rFonts w:cs="Times New Roman"/>
          <w:lang w:val="en-US"/>
        </w:rPr>
        <w:t xml:space="preserve"> error in context and with caution, cognizant of the need </w:t>
      </w:r>
      <w:r w:rsidRPr="0084431D">
        <w:rPr>
          <w:rFonts w:cs="Times New Roman"/>
          <w:lang w:val="en-US"/>
        </w:rPr>
        <w:lastRenderedPageBreak/>
        <w:t xml:space="preserve">to avoid substituting its opinion for that of those empowered and better equipped to answer the questions at issue. Because judicial substitution is incompatible with deference, reviewing courts must carefully evaluate the challenges raised by an applicant to ensure they go to the </w:t>
      </w:r>
      <w:r w:rsidRPr="0084431D">
        <w:rPr>
          <w:rFonts w:cs="Times New Roman"/>
          <w:i/>
          <w:lang w:val="en-US"/>
        </w:rPr>
        <w:t xml:space="preserve">reasonableness </w:t>
      </w:r>
      <w:r w:rsidRPr="0084431D">
        <w:rPr>
          <w:rFonts w:cs="Times New Roman"/>
          <w:lang w:val="en-US"/>
        </w:rPr>
        <w:t xml:space="preserve">of the administrative decision. </w:t>
      </w:r>
    </w:p>
    <w:p w:rsidR="008B0231" w:rsidRPr="0084431D" w:rsidRDefault="008B0231" w:rsidP="005C2571">
      <w:pPr>
        <w:pStyle w:val="ParaNoNdepar-AltN"/>
        <w:tabs>
          <w:tab w:val="clear" w:pos="1166"/>
          <w:tab w:val="clear" w:pos="1422"/>
          <w:tab w:val="num" w:pos="1152"/>
        </w:tabs>
        <w:ind w:left="0"/>
        <w:rPr>
          <w:rFonts w:cs="Times New Roman"/>
          <w:lang w:val="en-US"/>
        </w:rPr>
      </w:pPr>
      <w:r w:rsidRPr="0084431D">
        <w:rPr>
          <w:rFonts w:cs="Times New Roman"/>
          <w:lang w:val="en-US"/>
        </w:rPr>
        <w:t xml:space="preserve">Unsurprisingly, applicants rarely present challenges to an administrative decision as explicit invitations for courts to substitute their opinions for those of administrative </w:t>
      </w:r>
      <w:r w:rsidRPr="005C2571">
        <w:rPr>
          <w:rFonts w:cs="Times New Roman"/>
        </w:rPr>
        <w:t>actors</w:t>
      </w:r>
      <w:r w:rsidRPr="0084431D">
        <w:rPr>
          <w:rFonts w:cs="Times New Roman"/>
          <w:lang w:val="en-US"/>
        </w:rPr>
        <w:t>. Courts, therefore, must carefully probe challenges to administrative decisions to assess whether they amount, in substance, to a mere difference of opinion with how the administrative decision-maker weighed or prioritized the various factors relevant to the decision-making process. Allegations of error may, on deeper examination, simply reflect a legitimate difference in approach by an administrative decision-maker. By rooting out and rejecting such challenges, courts respect the valuable and distinct perspective that administrative bodies bring to answering legal questions, flowing from the considerable expertise and field sensitivity they develop by administering their mandate and working within the intricacies of their statutory context on a daily basis. The understanding and insights of administrative actors enhance the decision-making process and may be more conducive to reaching a result</w:t>
      </w:r>
      <w:r w:rsidRPr="0084431D">
        <w:rPr>
          <w:rFonts w:cs="Times New Roman"/>
          <w:spacing w:val="-3"/>
        </w:rPr>
        <w:t xml:space="preserve"> “that promotes effective public policy and </w:t>
      </w:r>
      <w:proofErr w:type="gramStart"/>
      <w:r w:rsidRPr="0084431D">
        <w:rPr>
          <w:rFonts w:cs="Times New Roman"/>
          <w:spacing w:val="-3"/>
        </w:rPr>
        <w:t>administration</w:t>
      </w:r>
      <w:r>
        <w:rPr>
          <w:rFonts w:cs="Times New Roman"/>
          <w:spacing w:val="-3"/>
        </w:rPr>
        <w:t xml:space="preserve"> .</w:t>
      </w:r>
      <w:proofErr w:type="gramEnd"/>
      <w:r w:rsidR="00103DAE">
        <w:rPr>
          <w:rFonts w:cs="Times New Roman"/>
          <w:spacing w:val="-3"/>
        </w:rPr>
        <w:t> </w:t>
      </w:r>
      <w:r>
        <w:rPr>
          <w:rFonts w:cs="Times New Roman"/>
          <w:spacing w:val="-3"/>
        </w:rPr>
        <w:t>.</w:t>
      </w:r>
      <w:r w:rsidR="00103DAE">
        <w:rPr>
          <w:rFonts w:cs="Times New Roman"/>
          <w:spacing w:val="-3"/>
        </w:rPr>
        <w:t> </w:t>
      </w:r>
      <w:r>
        <w:rPr>
          <w:rFonts w:cs="Times New Roman"/>
          <w:spacing w:val="-3"/>
        </w:rPr>
        <w:t>.</w:t>
      </w:r>
      <w:r w:rsidRPr="0084431D">
        <w:rPr>
          <w:rFonts w:cs="Times New Roman"/>
          <w:spacing w:val="-3"/>
        </w:rPr>
        <w:t xml:space="preserve"> than the limited knowledge, detachment, and modes of reasoning typically associated with courts of law”</w:t>
      </w:r>
      <w:r w:rsidRPr="0084431D">
        <w:rPr>
          <w:rFonts w:cs="Times New Roman"/>
          <w:lang w:val="en-US"/>
        </w:rPr>
        <w:t xml:space="preserve"> (</w:t>
      </w:r>
      <w:r w:rsidRPr="0084431D">
        <w:rPr>
          <w:rFonts w:cs="Times New Roman"/>
          <w:i/>
          <w:spacing w:val="-3"/>
          <w:lang w:val="en-GB"/>
        </w:rPr>
        <w:t>National Corn Growers</w:t>
      </w:r>
      <w:r w:rsidRPr="0084431D">
        <w:rPr>
          <w:rFonts w:cs="Times New Roman"/>
          <w:spacing w:val="-3"/>
          <w:lang w:val="en-GB"/>
        </w:rPr>
        <w:t>, at</w:t>
      </w:r>
      <w:r w:rsidRPr="0084431D">
        <w:rPr>
          <w:rFonts w:cs="Times New Roman"/>
          <w:lang w:val="en-US"/>
        </w:rPr>
        <w:t xml:space="preserve"> pp. 1336-37</w:t>
      </w:r>
      <w:r>
        <w:rPr>
          <w:rFonts w:cs="Times New Roman"/>
          <w:lang w:val="en-US"/>
        </w:rPr>
        <w:t xml:space="preserve"> (emphasis deleted)</w:t>
      </w:r>
      <w:r w:rsidRPr="0084431D">
        <w:rPr>
          <w:rFonts w:cs="Times New Roman"/>
          <w:lang w:val="en-US"/>
        </w:rPr>
        <w:t>,</w:t>
      </w:r>
      <w:r w:rsidRPr="00C2494D">
        <w:rPr>
          <w:rFonts w:cs="Times New Roman"/>
          <w:lang w:val="en-US"/>
        </w:rPr>
        <w:t xml:space="preserve"> per</w:t>
      </w:r>
      <w:r w:rsidRPr="0084431D">
        <w:rPr>
          <w:rFonts w:cs="Times New Roman"/>
          <w:i/>
          <w:lang w:val="en-US"/>
        </w:rPr>
        <w:t xml:space="preserve"> </w:t>
      </w:r>
      <w:r w:rsidRPr="0084431D">
        <w:rPr>
          <w:rFonts w:cs="Times New Roman"/>
          <w:lang w:val="en-US"/>
        </w:rPr>
        <w:t>Wilson J.</w:t>
      </w:r>
      <w:r>
        <w:rPr>
          <w:rFonts w:cs="Times New Roman"/>
          <w:lang w:val="en-US"/>
        </w:rPr>
        <w:t>,</w:t>
      </w:r>
      <w:r w:rsidRPr="0084431D">
        <w:rPr>
          <w:rFonts w:cs="Times New Roman"/>
          <w:lang w:val="en-US"/>
        </w:rPr>
        <w:t xml:space="preserve"> concurring, citing J. M. Evans et al.</w:t>
      </w:r>
      <w:r>
        <w:rPr>
          <w:rFonts w:cs="Times New Roman"/>
          <w:lang w:val="en-US"/>
        </w:rPr>
        <w:t>,</w:t>
      </w:r>
      <w:r w:rsidRPr="0084431D">
        <w:rPr>
          <w:rFonts w:cs="Times New Roman"/>
          <w:lang w:val="en-US"/>
        </w:rPr>
        <w:t xml:space="preserve"> </w:t>
      </w:r>
      <w:r w:rsidRPr="0084431D">
        <w:rPr>
          <w:rFonts w:cs="Times New Roman"/>
          <w:i/>
          <w:lang w:val="en-US"/>
        </w:rPr>
        <w:t>Administrative Law</w:t>
      </w:r>
      <w:r>
        <w:rPr>
          <w:rFonts w:cs="Times New Roman"/>
          <w:i/>
          <w:lang w:val="en-US"/>
        </w:rPr>
        <w:t>: Cases, Text, and Materials</w:t>
      </w:r>
      <w:r w:rsidRPr="0084431D">
        <w:rPr>
          <w:rFonts w:cs="Times New Roman"/>
          <w:lang w:val="en-US"/>
        </w:rPr>
        <w:t xml:space="preserve"> </w:t>
      </w:r>
      <w:r>
        <w:rPr>
          <w:rFonts w:cs="Times New Roman"/>
          <w:lang w:val="en-US"/>
        </w:rPr>
        <w:t>(</w:t>
      </w:r>
      <w:r w:rsidRPr="0084431D">
        <w:rPr>
          <w:rFonts w:cs="Times New Roman"/>
          <w:lang w:val="en-US"/>
        </w:rPr>
        <w:t>3rd ed. 1989</w:t>
      </w:r>
      <w:r>
        <w:rPr>
          <w:rFonts w:cs="Times New Roman"/>
          <w:lang w:val="en-US"/>
        </w:rPr>
        <w:t>)</w:t>
      </w:r>
      <w:r w:rsidRPr="0084431D">
        <w:rPr>
          <w:rFonts w:cs="Times New Roman"/>
          <w:lang w:val="en-US"/>
        </w:rPr>
        <w:t xml:space="preserve">, at p. 414).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lastRenderedPageBreak/>
        <w:t xml:space="preserve">When resolving challenges to an administrative decision, courts must also consider the </w:t>
      </w:r>
      <w:r w:rsidRPr="0084431D">
        <w:rPr>
          <w:rFonts w:cs="Times New Roman"/>
          <w:i/>
          <w:lang w:val="en-US"/>
        </w:rPr>
        <w:t>materiality</w:t>
      </w:r>
      <w:r w:rsidRPr="0084431D">
        <w:rPr>
          <w:rFonts w:cs="Times New Roman"/>
          <w:lang w:val="en-US"/>
        </w:rPr>
        <w:t xml:space="preserve"> of any alleged errors in the decision-maker’s reasoning. </w:t>
      </w:r>
      <w:r w:rsidRPr="0084431D">
        <w:rPr>
          <w:rFonts w:cs="Times New Roman"/>
        </w:rPr>
        <w:t xml:space="preserve">Under </w:t>
      </w:r>
      <w:r w:rsidRPr="00EB1CF2">
        <w:rPr>
          <w:rFonts w:cs="Times New Roman"/>
          <w:lang w:val="en-US"/>
        </w:rPr>
        <w:t>reasonableness</w:t>
      </w:r>
      <w:r w:rsidRPr="0084431D">
        <w:rPr>
          <w:rFonts w:cs="Times New Roman"/>
        </w:rPr>
        <w:t xml:space="preserve"> review, an error is not necessarily sufficient to justify quashing a decision. Inevitably, the weight of an error will depend on the extent to which it affects the decision. An error that is peripheral to the administrative decision-maker’s reasoning process, or overcome by more compelling points advanced in support of the result, does not provide fertile ground for judicial review. Ultimately, the role of the reviewing court is to examine the decision as a whole to determine whether it is reasonable (</w:t>
      </w:r>
      <w:r w:rsidRPr="0084431D">
        <w:rPr>
          <w:rFonts w:cs="Times New Roman"/>
          <w:i/>
        </w:rPr>
        <w:t>Dunsmuir</w:t>
      </w:r>
      <w:r w:rsidRPr="0084431D">
        <w:rPr>
          <w:rFonts w:cs="Times New Roman"/>
        </w:rPr>
        <w:t xml:space="preserve">, at para. 47; </w:t>
      </w:r>
      <w:proofErr w:type="spellStart"/>
      <w:r w:rsidRPr="0084431D">
        <w:rPr>
          <w:rFonts w:cs="Times New Roman"/>
          <w:i/>
        </w:rPr>
        <w:t>Khosa</w:t>
      </w:r>
      <w:proofErr w:type="spellEnd"/>
      <w:r w:rsidRPr="0084431D">
        <w:rPr>
          <w:rFonts w:cs="Times New Roman"/>
        </w:rPr>
        <w:t xml:space="preserve">, at para. 59). </w:t>
      </w:r>
      <w:r w:rsidRPr="0084431D">
        <w:rPr>
          <w:rFonts w:cs="Times New Roman"/>
          <w:lang w:val="en-US"/>
        </w:rPr>
        <w:t>Considering the materiality of any impugned errors is a natural part of this exercise, and of reading administrative reasons “together with the outcome” (</w:t>
      </w:r>
      <w:r w:rsidRPr="0084431D">
        <w:rPr>
          <w:rFonts w:cs="Times New Roman"/>
          <w:i/>
          <w:lang w:val="en-US"/>
        </w:rPr>
        <w:t>Newfoundland Nurses</w:t>
      </w:r>
      <w:r w:rsidRPr="0084431D">
        <w:rPr>
          <w:rFonts w:cs="Times New Roman"/>
          <w:lang w:val="en-US"/>
        </w:rPr>
        <w:t xml:space="preserve">, at para. 14).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Review of the decision as a whole is especially vital when an applicant alleges that an administrative decision contains material omissions. Significantly, and as this Court has frequently emphasized, administrative </w:t>
      </w:r>
      <w:r>
        <w:rPr>
          <w:rFonts w:cs="Times New Roman"/>
          <w:lang w:val="en-US"/>
        </w:rPr>
        <w:t>decision-maker</w:t>
      </w:r>
      <w:r w:rsidRPr="0084431D">
        <w:rPr>
          <w:rFonts w:cs="Times New Roman"/>
          <w:lang w:val="en-US"/>
        </w:rPr>
        <w:t>s are not required to consider and comment upon every issue raised by the parties in their reasons (</w:t>
      </w:r>
      <w:r w:rsidRPr="0084431D">
        <w:rPr>
          <w:rFonts w:cs="Times New Roman"/>
          <w:i/>
          <w:lang w:val="en-US"/>
        </w:rPr>
        <w:t xml:space="preserve">Construction </w:t>
      </w:r>
      <w:proofErr w:type="spellStart"/>
      <w:r w:rsidRPr="0084431D">
        <w:rPr>
          <w:rFonts w:cs="Times New Roman"/>
          <w:i/>
          <w:lang w:val="en-US"/>
        </w:rPr>
        <w:t>Labour</w:t>
      </w:r>
      <w:proofErr w:type="spellEnd"/>
      <w:r w:rsidRPr="0084431D">
        <w:rPr>
          <w:rFonts w:cs="Times New Roman"/>
          <w:i/>
          <w:lang w:val="en-US"/>
        </w:rPr>
        <w:t xml:space="preserve"> Relations v. Driver Iron Inc.</w:t>
      </w:r>
      <w:r w:rsidRPr="0084431D">
        <w:rPr>
          <w:rFonts w:cs="Times New Roman"/>
          <w:lang w:val="en-US"/>
        </w:rPr>
        <w:t>, [2012] 3 S.C.R. 405, at para. 3;</w:t>
      </w:r>
      <w:r w:rsidRPr="0084431D">
        <w:rPr>
          <w:rFonts w:cs="Times New Roman"/>
          <w:i/>
          <w:lang w:val="en-US"/>
        </w:rPr>
        <w:t xml:space="preserve"> Newfoundland Nurses</w:t>
      </w:r>
      <w:r w:rsidRPr="0084431D">
        <w:rPr>
          <w:rFonts w:cs="Times New Roman"/>
          <w:lang w:val="en-US"/>
        </w:rPr>
        <w:t xml:space="preserve">, at para. 16, citing </w:t>
      </w:r>
      <w:r w:rsidRPr="0084431D">
        <w:rPr>
          <w:rFonts w:cs="Times New Roman"/>
          <w:i/>
          <w:lang w:val="en-US"/>
        </w:rPr>
        <w:t xml:space="preserve">Service Employees’ International Union, Local No. 333 v. </w:t>
      </w:r>
      <w:proofErr w:type="spellStart"/>
      <w:r w:rsidRPr="0084431D">
        <w:rPr>
          <w:rFonts w:cs="Times New Roman"/>
          <w:i/>
          <w:lang w:val="en-US"/>
        </w:rPr>
        <w:t>Nipawin</w:t>
      </w:r>
      <w:proofErr w:type="spellEnd"/>
      <w:r w:rsidRPr="0084431D">
        <w:rPr>
          <w:rFonts w:cs="Times New Roman"/>
          <w:i/>
          <w:lang w:val="en-US"/>
        </w:rPr>
        <w:t xml:space="preserve"> District Staff Nurses Association</w:t>
      </w:r>
      <w:r w:rsidRPr="0084431D">
        <w:rPr>
          <w:rFonts w:cs="Times New Roman"/>
          <w:lang w:val="en-US"/>
        </w:rPr>
        <w:t>, [1975] 1 S.C.R. 382, at p.</w:t>
      </w:r>
      <w:r>
        <w:rPr>
          <w:rFonts w:cs="Times New Roman"/>
          <w:lang w:val="en-US"/>
        </w:rPr>
        <w:t> </w:t>
      </w:r>
      <w:r w:rsidRPr="0084431D">
        <w:rPr>
          <w:rFonts w:cs="Times New Roman"/>
          <w:lang w:val="en-US"/>
        </w:rPr>
        <w:t>391)</w:t>
      </w:r>
      <w:r w:rsidRPr="0084431D">
        <w:rPr>
          <w:rFonts w:cs="Times New Roman"/>
        </w:rPr>
        <w:t xml:space="preserve">. Further, a reviewing court is not restricted to the four corners of the written reasons delivered by the decision-maker and should, if </w:t>
      </w:r>
      <w:r w:rsidRPr="0084431D">
        <w:rPr>
          <w:rFonts w:cs="Times New Roman"/>
          <w:lang w:val="en-US"/>
        </w:rPr>
        <w:t>faced with a gap in the reasons, look to the record to see if it sheds light on the decision (</w:t>
      </w:r>
      <w:r w:rsidRPr="0084431D">
        <w:rPr>
          <w:rFonts w:cs="Times New Roman"/>
          <w:i/>
          <w:lang w:val="en-US"/>
        </w:rPr>
        <w:t>Williams Lake</w:t>
      </w:r>
      <w:r w:rsidRPr="0084431D">
        <w:rPr>
          <w:rFonts w:cs="Times New Roman"/>
          <w:lang w:val="en-US"/>
        </w:rPr>
        <w:t>, at para. 37;</w:t>
      </w:r>
      <w:r w:rsidRPr="0084431D">
        <w:rPr>
          <w:rFonts w:cs="Times New Roman"/>
          <w:i/>
          <w:lang w:val="en-US"/>
        </w:rPr>
        <w:t xml:space="preserve"> </w:t>
      </w:r>
      <w:r w:rsidRPr="0084431D">
        <w:rPr>
          <w:rFonts w:cs="Times New Roman"/>
          <w:i/>
          <w:lang w:val="en-US"/>
        </w:rPr>
        <w:lastRenderedPageBreak/>
        <w:t xml:space="preserve">Delta Air Lines Inc. v. </w:t>
      </w:r>
      <w:proofErr w:type="spellStart"/>
      <w:r w:rsidRPr="0084431D">
        <w:rPr>
          <w:rFonts w:cs="Times New Roman"/>
          <w:i/>
          <w:lang w:val="en-US"/>
        </w:rPr>
        <w:t>Lukács</w:t>
      </w:r>
      <w:proofErr w:type="spellEnd"/>
      <w:r w:rsidRPr="0084431D">
        <w:rPr>
          <w:rFonts w:cs="Times New Roman"/>
          <w:lang w:val="en-US"/>
        </w:rPr>
        <w:t xml:space="preserve">, [2018] 1 S.C.R. 6, at para. 23; </w:t>
      </w:r>
      <w:r w:rsidRPr="0084431D">
        <w:rPr>
          <w:rFonts w:cs="Times New Roman"/>
          <w:i/>
          <w:lang w:val="en-US"/>
        </w:rPr>
        <w:t>Newfoundland Nurses</w:t>
      </w:r>
      <w:r w:rsidRPr="0084431D">
        <w:rPr>
          <w:rFonts w:cs="Times New Roman"/>
          <w:lang w:val="en-US"/>
        </w:rPr>
        <w:t xml:space="preserve">, at para. 15; </w:t>
      </w:r>
      <w:r w:rsidRPr="0084431D">
        <w:rPr>
          <w:rFonts w:cs="Times New Roman"/>
          <w:i/>
          <w:iCs/>
        </w:rPr>
        <w:t>Alberta Teachers’ Association</w:t>
      </w:r>
      <w:r w:rsidRPr="0084431D">
        <w:rPr>
          <w:rFonts w:cs="Times New Roman"/>
        </w:rPr>
        <w:t xml:space="preserve">, </w:t>
      </w:r>
      <w:r>
        <w:rPr>
          <w:rFonts w:cs="Times New Roman"/>
        </w:rPr>
        <w:t>at paras. 53 and</w:t>
      </w:r>
      <w:r w:rsidRPr="0084431D">
        <w:rPr>
          <w:rFonts w:cs="Times New Roman"/>
        </w:rPr>
        <w:t xml:space="preserve"> 56)</w:t>
      </w:r>
      <w:r w:rsidR="00AB6605">
        <w:rPr>
          <w:rFonts w:cs="Times New Roman"/>
          <w:lang w:val="en-US"/>
        </w:rPr>
        <w:t>.</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rPr>
        <w:t>The use of the record and other context to supplement a decision-maker’s reasons has been the subject of some academic discussion (see</w:t>
      </w:r>
      <w:r>
        <w:rPr>
          <w:rFonts w:cs="Times New Roman"/>
        </w:rPr>
        <w:t xml:space="preserve">, for example, </w:t>
      </w:r>
      <w:proofErr w:type="spellStart"/>
      <w:r>
        <w:rPr>
          <w:rFonts w:cs="Times New Roman"/>
        </w:rPr>
        <w:t>Mullan</w:t>
      </w:r>
      <w:proofErr w:type="spellEnd"/>
      <w:r>
        <w:rPr>
          <w:rFonts w:cs="Times New Roman"/>
        </w:rPr>
        <w:t xml:space="preserve">, </w:t>
      </w:r>
      <w:r w:rsidRPr="0084431D">
        <w:rPr>
          <w:rFonts w:cs="Times New Roman"/>
        </w:rPr>
        <w:t>at pp. 69-74). We support a flexible approach to supplementing reasons, which is consistent with the flexible approach used to determine whether administrative reasons must be provided to begin with and sensitive to the “day</w:t>
      </w:r>
      <w:r>
        <w:rPr>
          <w:rFonts w:cs="Times New Roman"/>
        </w:rPr>
        <w:t>-</w:t>
      </w:r>
      <w:r w:rsidRPr="0084431D">
        <w:rPr>
          <w:rFonts w:cs="Times New Roman"/>
        </w:rPr>
        <w:t>to</w:t>
      </w:r>
      <w:r>
        <w:rPr>
          <w:rFonts w:cs="Times New Roman"/>
        </w:rPr>
        <w:t>-</w:t>
      </w:r>
      <w:r w:rsidRPr="0084431D">
        <w:rPr>
          <w:rFonts w:cs="Times New Roman"/>
        </w:rPr>
        <w:t>day realities of administrative agencies”</w:t>
      </w:r>
      <w:r>
        <w:rPr>
          <w:rFonts w:cs="Times New Roman"/>
        </w:rPr>
        <w:t xml:space="preserve"> (</w:t>
      </w:r>
      <w:r w:rsidRPr="00C2494D">
        <w:rPr>
          <w:rFonts w:cs="Times New Roman"/>
          <w:i/>
        </w:rPr>
        <w:t>Baker</w:t>
      </w:r>
      <w:r>
        <w:rPr>
          <w:rFonts w:cs="Times New Roman"/>
        </w:rPr>
        <w:t>, at para. 44)</w:t>
      </w:r>
      <w:r w:rsidRPr="0084431D">
        <w:rPr>
          <w:rFonts w:cs="Times New Roman"/>
        </w:rPr>
        <w:t xml:space="preserve">, which may not be conducive to the production </w:t>
      </w:r>
      <w:r w:rsidRPr="0084431D">
        <w:rPr>
          <w:rFonts w:cs="Times New Roman"/>
          <w:lang w:val="en"/>
        </w:rPr>
        <w:t>of “archival” reasons associated with court judgments (</w:t>
      </w:r>
      <w:r w:rsidRPr="00C2494D">
        <w:rPr>
          <w:rFonts w:cs="Times New Roman"/>
          <w:lang w:val="en"/>
        </w:rPr>
        <w:t>para</w:t>
      </w:r>
      <w:r>
        <w:rPr>
          <w:rFonts w:cs="Times New Roman"/>
          <w:lang w:val="en"/>
        </w:rPr>
        <w:t>.</w:t>
      </w:r>
      <w:r w:rsidRPr="00C2494D">
        <w:rPr>
          <w:rFonts w:cs="Times New Roman"/>
          <w:lang w:val="en"/>
        </w:rPr>
        <w:t xml:space="preserve"> </w:t>
      </w:r>
      <w:r>
        <w:rPr>
          <w:rFonts w:cs="Times New Roman"/>
          <w:lang w:val="en"/>
        </w:rPr>
        <w:t>40</w:t>
      </w:r>
      <w:r w:rsidRPr="0084431D">
        <w:rPr>
          <w:rFonts w:cs="Times New Roman"/>
          <w:lang w:val="en"/>
        </w:rPr>
        <w:t xml:space="preserve">, citing Roderick A. Macdonald and David </w:t>
      </w:r>
      <w:proofErr w:type="spellStart"/>
      <w:r w:rsidRPr="0084431D">
        <w:rPr>
          <w:rFonts w:cs="Times New Roman"/>
          <w:lang w:val="en"/>
        </w:rPr>
        <w:t>Lametti</w:t>
      </w:r>
      <w:proofErr w:type="spellEnd"/>
      <w:r w:rsidRPr="0084431D">
        <w:rPr>
          <w:rFonts w:cs="Times New Roman"/>
          <w:lang w:val="en"/>
        </w:rPr>
        <w:t>, “Reasons for Decision in Administrative Law” (1990), 3</w:t>
      </w:r>
      <w:r w:rsidRPr="0084431D">
        <w:rPr>
          <w:rFonts w:cs="Times New Roman"/>
          <w:i/>
          <w:iCs/>
          <w:lang w:val="en"/>
        </w:rPr>
        <w:t xml:space="preserve"> </w:t>
      </w:r>
      <w:r>
        <w:rPr>
          <w:rFonts w:cs="Times New Roman"/>
          <w:i/>
          <w:iCs/>
          <w:lang w:val="en"/>
        </w:rPr>
        <w:t>C.J.A.L.P</w:t>
      </w:r>
      <w:r w:rsidRPr="0084431D">
        <w:rPr>
          <w:rFonts w:cs="Times New Roman"/>
          <w:i/>
          <w:iCs/>
          <w:lang w:val="en"/>
        </w:rPr>
        <w:t xml:space="preserve">. </w:t>
      </w:r>
      <w:r w:rsidRPr="0084431D">
        <w:rPr>
          <w:rFonts w:cs="Times New Roman"/>
          <w:lang w:val="en"/>
        </w:rPr>
        <w:t>123).</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Some materials that may help bridge gaps in a reviewing court’s understanding of an administrative decision include: the record of any formal proceedings as well as the materials before the decision-maker, past decisions of the administrative body, and policies or guidelines developed to guide the type of decision under review (see Matthew </w:t>
      </w:r>
      <w:proofErr w:type="spellStart"/>
      <w:r w:rsidRPr="0084431D">
        <w:rPr>
          <w:rFonts w:cs="Times New Roman"/>
          <w:lang w:val="en-US"/>
        </w:rPr>
        <w:t>Lewans</w:t>
      </w:r>
      <w:proofErr w:type="spellEnd"/>
      <w:r w:rsidRPr="0084431D">
        <w:rPr>
          <w:rFonts w:cs="Times New Roman"/>
          <w:lang w:val="en-US"/>
        </w:rPr>
        <w:t xml:space="preserve">, “Renovating Judicial Review” (2017), </w:t>
      </w:r>
      <w:r>
        <w:rPr>
          <w:rFonts w:cs="Times New Roman"/>
          <w:lang w:val="en-US"/>
        </w:rPr>
        <w:t>68 </w:t>
      </w:r>
      <w:r w:rsidRPr="0084431D">
        <w:rPr>
          <w:rFonts w:cs="Times New Roman"/>
          <w:i/>
          <w:lang w:val="en-US"/>
        </w:rPr>
        <w:t>U.N.B.L.J.</w:t>
      </w:r>
      <w:r w:rsidRPr="0084431D">
        <w:rPr>
          <w:rFonts w:cs="Times New Roman"/>
          <w:lang w:val="en-US"/>
        </w:rPr>
        <w:t xml:space="preserve"> 109, at pp. 137-38).</w:t>
      </w:r>
      <w:r w:rsidRPr="0084431D">
        <w:rPr>
          <w:rFonts w:cs="Times New Roman"/>
        </w:rPr>
        <w:t xml:space="preserve"> Reviewing these materials may assist a court in understanding, “by inference”, why an administrative decision-maker reached a particular outcome (</w:t>
      </w:r>
      <w:r w:rsidRPr="0084431D">
        <w:rPr>
          <w:rFonts w:cs="Times New Roman"/>
          <w:i/>
        </w:rPr>
        <w:t>Baker</w:t>
      </w:r>
      <w:r w:rsidRPr="0084431D">
        <w:rPr>
          <w:rFonts w:cs="Times New Roman"/>
        </w:rPr>
        <w:t xml:space="preserve">, at para. 44; </w:t>
      </w:r>
      <w:r w:rsidRPr="0084431D">
        <w:rPr>
          <w:rFonts w:cs="Times New Roman"/>
          <w:lang w:val="en-US"/>
        </w:rPr>
        <w:t xml:space="preserve">see also </w:t>
      </w:r>
      <w:r w:rsidRPr="0084431D">
        <w:rPr>
          <w:rFonts w:cs="Times New Roman"/>
          <w:i/>
          <w:lang w:val="en-US"/>
        </w:rPr>
        <w:t>Williams Lake</w:t>
      </w:r>
      <w:r w:rsidRPr="0084431D">
        <w:rPr>
          <w:rFonts w:cs="Times New Roman"/>
          <w:lang w:val="en-US"/>
        </w:rPr>
        <w:t xml:space="preserve">, at para. 37; </w:t>
      </w:r>
      <w:r w:rsidRPr="0084431D">
        <w:rPr>
          <w:rFonts w:cs="Times New Roman"/>
          <w:i/>
          <w:lang w:val="en-US"/>
        </w:rPr>
        <w:t>Mills v. Workplace Safety and Insurance Appeals Tribunal</w:t>
      </w:r>
      <w:r>
        <w:rPr>
          <w:rFonts w:cs="Times New Roman"/>
          <w:i/>
          <w:lang w:val="en-US"/>
        </w:rPr>
        <w:t xml:space="preserve"> (Ont.)</w:t>
      </w:r>
      <w:r w:rsidRPr="0084431D">
        <w:rPr>
          <w:rFonts w:cs="Times New Roman"/>
          <w:lang w:val="en-US"/>
        </w:rPr>
        <w:t xml:space="preserve">, </w:t>
      </w:r>
      <w:r>
        <w:rPr>
          <w:rFonts w:cs="Times New Roman"/>
          <w:lang w:val="en-US"/>
        </w:rPr>
        <w:t xml:space="preserve">2008 ONCA 436, </w:t>
      </w:r>
      <w:r w:rsidRPr="0084431D">
        <w:rPr>
          <w:rFonts w:cs="Times New Roman"/>
          <w:lang w:val="en-US"/>
        </w:rPr>
        <w:t>237 O.A.C. 71, at paras. 38-39).</w:t>
      </w:r>
      <w:r w:rsidRPr="0084431D">
        <w:rPr>
          <w:rFonts w:cs="Times New Roman"/>
        </w:rPr>
        <w:t xml:space="preserve"> It may reveal further confirmatory context for a line of </w:t>
      </w:r>
      <w:r w:rsidRPr="0084431D">
        <w:rPr>
          <w:rFonts w:cs="Times New Roman"/>
        </w:rPr>
        <w:lastRenderedPageBreak/>
        <w:t xml:space="preserve">reasoning employed by the decision-maker </w:t>
      </w:r>
      <w:r>
        <w:rPr>
          <w:rFonts w:cs="Times New Roman"/>
        </w:rPr>
        <w:t>—</w:t>
      </w:r>
      <w:r w:rsidRPr="0084431D">
        <w:rPr>
          <w:rFonts w:cs="Times New Roman"/>
        </w:rPr>
        <w:t xml:space="preserve"> by showing, for example, that the decision-maker’s understanding of the purpose of its statutory mandate finds support in the provision’s legislative history (</w:t>
      </w:r>
      <w:r w:rsidRPr="0084431D">
        <w:rPr>
          <w:rFonts w:cs="Times New Roman"/>
          <w:i/>
        </w:rPr>
        <w:t>Celgene Corp. v. Canada (Attorney General)</w:t>
      </w:r>
      <w:r w:rsidRPr="0084431D">
        <w:rPr>
          <w:rFonts w:cs="Times New Roman"/>
        </w:rPr>
        <w:t>, [2011] 1 S.C.R. 3, at paras. 25-29). Reviewing the record can also yield responses to the specific challenges raised by an applicant on judicial review, responses that are “</w:t>
      </w:r>
      <w:r w:rsidRPr="0084431D">
        <w:rPr>
          <w:rFonts w:cs="Times New Roman"/>
          <w:lang w:val="en"/>
        </w:rPr>
        <w:t>consistent with the process of reasoning” applied by the administrative decision-maker (</w:t>
      </w:r>
      <w:r w:rsidRPr="0084431D">
        <w:rPr>
          <w:rFonts w:cs="Times New Roman"/>
          <w:i/>
          <w:lang w:val="en"/>
        </w:rPr>
        <w:t xml:space="preserve">Igloo </w:t>
      </w:r>
      <w:proofErr w:type="spellStart"/>
      <w:r w:rsidRPr="0084431D">
        <w:rPr>
          <w:rFonts w:cs="Times New Roman"/>
          <w:i/>
          <w:lang w:val="en"/>
        </w:rPr>
        <w:t>Vikski</w:t>
      </w:r>
      <w:proofErr w:type="spellEnd"/>
      <w:r w:rsidRPr="0084431D">
        <w:rPr>
          <w:rFonts w:cs="Times New Roman"/>
          <w:lang w:val="en"/>
        </w:rPr>
        <w:t>, at para. 45). In these ways, reviewing courts may legitimately supplement written reasons without “supplant[</w:t>
      </w:r>
      <w:proofErr w:type="spellStart"/>
      <w:r w:rsidRPr="0084431D">
        <w:rPr>
          <w:rFonts w:cs="Times New Roman"/>
          <w:lang w:val="en"/>
        </w:rPr>
        <w:t>ing</w:t>
      </w:r>
      <w:proofErr w:type="spellEnd"/>
      <w:r w:rsidRPr="0084431D">
        <w:rPr>
          <w:rFonts w:cs="Times New Roman"/>
          <w:lang w:val="en"/>
        </w:rPr>
        <w:t>] the analysis of the administrative body” (</w:t>
      </w:r>
      <w:proofErr w:type="spellStart"/>
      <w:r w:rsidRPr="0084431D">
        <w:rPr>
          <w:rFonts w:cs="Times New Roman"/>
          <w:i/>
          <w:lang w:val="en-US"/>
        </w:rPr>
        <w:t>Lukács</w:t>
      </w:r>
      <w:proofErr w:type="spellEnd"/>
      <w:r w:rsidRPr="0084431D">
        <w:rPr>
          <w:rFonts w:cs="Times New Roman"/>
          <w:lang w:val="en"/>
        </w:rPr>
        <w:t xml:space="preserve">, at para. 24).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rPr>
        <w:t xml:space="preserve">The “adequacy” of reasons, in other words, is not “a stand-alone basis for quashing a </w:t>
      </w:r>
      <w:r w:rsidRPr="00EB1CF2">
        <w:rPr>
          <w:rFonts w:cs="Times New Roman"/>
          <w:lang w:val="en-US"/>
        </w:rPr>
        <w:t>decision</w:t>
      </w:r>
      <w:r w:rsidRPr="0084431D">
        <w:rPr>
          <w:rFonts w:cs="Times New Roman"/>
        </w:rPr>
        <w:t>” (</w:t>
      </w:r>
      <w:r w:rsidRPr="0084431D">
        <w:rPr>
          <w:rFonts w:cs="Times New Roman"/>
          <w:i/>
        </w:rPr>
        <w:t>Newfoundland Nurses</w:t>
      </w:r>
      <w:r w:rsidRPr="0084431D">
        <w:rPr>
          <w:rFonts w:cs="Times New Roman"/>
        </w:rPr>
        <w:t>, at para. 14). As this Court has repeatedly confirmed, reasons must instead “be read together with the outcome and serve the purpose of showing whe</w:t>
      </w:r>
      <w:r>
        <w:rPr>
          <w:rFonts w:cs="Times New Roman"/>
        </w:rPr>
        <w:t>ther the result falls within a</w:t>
      </w:r>
      <w:r w:rsidRPr="0084431D">
        <w:rPr>
          <w:rFonts w:cs="Times New Roman"/>
        </w:rPr>
        <w:t xml:space="preserve"> range of possible outcomes” (</w:t>
      </w:r>
      <w:r w:rsidRPr="0084431D">
        <w:rPr>
          <w:rFonts w:cs="Times New Roman"/>
          <w:i/>
        </w:rPr>
        <w:t>Newfoundland Nurses</w:t>
      </w:r>
      <w:r w:rsidRPr="0084431D">
        <w:rPr>
          <w:rFonts w:cs="Times New Roman"/>
        </w:rPr>
        <w:t xml:space="preserve">, at para. 14; </w:t>
      </w:r>
      <w:r w:rsidRPr="0084431D">
        <w:rPr>
          <w:rFonts w:cs="Times New Roman"/>
          <w:i/>
        </w:rPr>
        <w:t>Halifax (Regional Municipality) v. Canada (Public Works and Government Services)</w:t>
      </w:r>
      <w:r w:rsidRPr="0084431D">
        <w:rPr>
          <w:rFonts w:cs="Times New Roman"/>
        </w:rPr>
        <w:t xml:space="preserve">, [2012] 2 S.C.R. 108, at para. 44; </w:t>
      </w:r>
      <w:proofErr w:type="spellStart"/>
      <w:r w:rsidRPr="0084431D">
        <w:rPr>
          <w:rFonts w:cs="Times New Roman"/>
          <w:i/>
        </w:rPr>
        <w:t>Agraira</w:t>
      </w:r>
      <w:proofErr w:type="spellEnd"/>
      <w:r w:rsidRPr="0084431D">
        <w:rPr>
          <w:rFonts w:cs="Times New Roman"/>
          <w:i/>
        </w:rPr>
        <w:t xml:space="preserve"> v. Canada (Public Safety and Emergency Preparedness)</w:t>
      </w:r>
      <w:r w:rsidRPr="0084431D">
        <w:rPr>
          <w:rFonts w:cs="Times New Roman"/>
        </w:rPr>
        <w:t xml:space="preserve">, [2013] 2 S.C.R. 559, at para. 52; </w:t>
      </w:r>
      <w:r w:rsidRPr="0084431D">
        <w:rPr>
          <w:rFonts w:cs="Times New Roman"/>
          <w:i/>
        </w:rPr>
        <w:t>Williams Lake</w:t>
      </w:r>
      <w:r w:rsidRPr="0084431D">
        <w:rPr>
          <w:rFonts w:cs="Times New Roman"/>
        </w:rPr>
        <w:t xml:space="preserve">, at para. 141, </w:t>
      </w:r>
      <w:r w:rsidRPr="00C2494D">
        <w:rPr>
          <w:rFonts w:cs="Times New Roman"/>
        </w:rPr>
        <w:t xml:space="preserve">per </w:t>
      </w:r>
      <w:r w:rsidRPr="0084431D">
        <w:rPr>
          <w:rFonts w:cs="Times New Roman"/>
        </w:rPr>
        <w:t>Rowe J., dissenting</w:t>
      </w:r>
      <w:r>
        <w:rPr>
          <w:rFonts w:cs="Times New Roman"/>
        </w:rPr>
        <w:t>,</w:t>
      </w:r>
      <w:r w:rsidRPr="0084431D">
        <w:rPr>
          <w:rFonts w:cs="Times New Roman"/>
        </w:rPr>
        <w:t xml:space="preserve"> but not on this point). This approach puts substance over form in situations where the basis for a decision by a specialized administrative actor is evident on the record, but not clearly expressed in written reasons. Quashing decisions in such circumstances defeats the purpose of deference and thwarts access to justice by wasting administrative and judicial resources.</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rPr>
        <w:lastRenderedPageBreak/>
        <w:t xml:space="preserve">In our view, therefore, if an applicant claims that an administrative decision-maker failed to address a relevant factor in reaching a decision, the reviewing court must consider the submissions and record before the decision-maker, and the materiality of any such omission to the decision rendered. An administrative decision-maker’s failure, for example, to refer to a particular statutory provision or the full factual record before it does not automatically entitle a reviewing court to conduct a </w:t>
      </w:r>
      <w:r w:rsidRPr="0084431D">
        <w:rPr>
          <w:rFonts w:cs="Times New Roman"/>
          <w:i/>
        </w:rPr>
        <w:t xml:space="preserve">de novo </w:t>
      </w:r>
      <w:r w:rsidRPr="0084431D">
        <w:rPr>
          <w:rFonts w:cs="Times New Roman"/>
        </w:rPr>
        <w:t xml:space="preserve">assessment of the decision under review. The inquiry must remain focussed on whether the applicant has satisfied the burden of showing that the omission renders the decision reached unreasonable.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We acknowledge that respecting the line between reasonableness and correctness review has posed a particular challenge for judges when reviewing interpretation by administrative </w:t>
      </w:r>
      <w:r>
        <w:rPr>
          <w:rFonts w:cs="Times New Roman"/>
          <w:lang w:val="en-US"/>
        </w:rPr>
        <w:t>decision-maker</w:t>
      </w:r>
      <w:r w:rsidRPr="0084431D">
        <w:rPr>
          <w:rFonts w:cs="Times New Roman"/>
          <w:lang w:val="en-US"/>
        </w:rPr>
        <w:t xml:space="preserve">s of their statutory mandates. Judges routinely interpret statutes and have developed a template for how to scrutinize words in that context. But the same deferential approach we have outlined above must apply with equal force to statutory interpretation cases. When reviewing an administrative decision involving statutory interpretation, a court should not assess the decision by determining what, in its own view, would be a reasonable interpretation. Such an approach “imperils deference” (Paul Daly, “Unreasonable Interpretations of Law” (2014), 66 </w:t>
      </w:r>
      <w:r w:rsidRPr="0084431D">
        <w:rPr>
          <w:rFonts w:cs="Times New Roman"/>
          <w:i/>
          <w:lang w:val="en-US"/>
        </w:rPr>
        <w:t>S.C.L.R.</w:t>
      </w:r>
      <w:r w:rsidRPr="0084431D">
        <w:rPr>
          <w:rFonts w:cs="Times New Roman"/>
          <w:lang w:val="en-US"/>
        </w:rPr>
        <w:t xml:space="preserve"> (2d) 233, at </w:t>
      </w:r>
      <w:r>
        <w:rPr>
          <w:rFonts w:cs="Times New Roman"/>
          <w:lang w:val="en-US"/>
        </w:rPr>
        <w:t>p. 250</w:t>
      </w:r>
      <w:r w:rsidRPr="0084431D">
        <w:rPr>
          <w:rFonts w:cs="Times New Roman"/>
          <w:lang w:val="en-US"/>
        </w:rPr>
        <w:t xml:space="preserve">).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We agree with Justice Evans that “</w:t>
      </w:r>
      <w:r w:rsidRPr="0084431D">
        <w:rPr>
          <w:rFonts w:eastAsia="Times New Roman" w:cs="Times New Roman"/>
        </w:rPr>
        <w:t xml:space="preserve">once [a] court embarks on its own interpretation of the </w:t>
      </w:r>
      <w:r w:rsidRPr="00EB1CF2">
        <w:rPr>
          <w:rFonts w:cs="Times New Roman"/>
          <w:lang w:val="en-US"/>
        </w:rPr>
        <w:t>statute</w:t>
      </w:r>
      <w:r w:rsidRPr="0084431D">
        <w:rPr>
          <w:rFonts w:eastAsia="Times New Roman" w:cs="Times New Roman"/>
        </w:rPr>
        <w:t xml:space="preserve"> to determine the</w:t>
      </w:r>
      <w:r>
        <w:rPr>
          <w:rFonts w:eastAsia="Times New Roman" w:cs="Times New Roman"/>
        </w:rPr>
        <w:t xml:space="preserve"> reasonableness of the tribunal’</w:t>
      </w:r>
      <w:r w:rsidRPr="0084431D">
        <w:rPr>
          <w:rFonts w:eastAsia="Times New Roman" w:cs="Times New Roman"/>
        </w:rPr>
        <w:t xml:space="preserve">s decision, </w:t>
      </w:r>
      <w:r w:rsidRPr="0084431D">
        <w:rPr>
          <w:rFonts w:eastAsia="Times New Roman" w:cs="Times New Roman"/>
        </w:rPr>
        <w:lastRenderedPageBreak/>
        <w:t>there seems often to be little room for deference” (</w:t>
      </w:r>
      <w:r>
        <w:rPr>
          <w:rFonts w:eastAsia="Times New Roman" w:cs="Times New Roman"/>
        </w:rPr>
        <w:t xml:space="preserve">Evans, </w:t>
      </w:r>
      <w:r w:rsidRPr="0084431D">
        <w:rPr>
          <w:rFonts w:eastAsia="Times New Roman" w:cs="Times New Roman"/>
        </w:rPr>
        <w:t>“Triumph of Reasonableness</w:t>
      </w:r>
      <w:r>
        <w:rPr>
          <w:rFonts w:eastAsia="Times New Roman" w:cs="Times New Roman"/>
        </w:rPr>
        <w:t>: But How Much Does It Really Matter?</w:t>
      </w:r>
      <w:r w:rsidRPr="0084431D">
        <w:rPr>
          <w:rFonts w:eastAsia="Times New Roman" w:cs="Times New Roman"/>
        </w:rPr>
        <w:t xml:space="preserve">”, at p. 109; see also </w:t>
      </w:r>
      <w:r w:rsidRPr="0084431D">
        <w:rPr>
          <w:rFonts w:eastAsia="Times New Roman" w:cs="Times New Roman"/>
          <w:i/>
        </w:rPr>
        <w:t>Mason</w:t>
      </w:r>
      <w:r w:rsidRPr="0084431D">
        <w:rPr>
          <w:rFonts w:eastAsia="Times New Roman" w:cs="Times New Roman"/>
        </w:rPr>
        <w:t xml:space="preserve">, at para. 34; </w:t>
      </w:r>
      <w:proofErr w:type="spellStart"/>
      <w:r w:rsidRPr="0084431D">
        <w:rPr>
          <w:rFonts w:eastAsia="Times New Roman" w:cs="Times New Roman"/>
        </w:rPr>
        <w:t>Dyzenhaus</w:t>
      </w:r>
      <w:proofErr w:type="spellEnd"/>
      <w:r w:rsidRPr="0084431D">
        <w:rPr>
          <w:rFonts w:eastAsia="Times New Roman" w:cs="Times New Roman"/>
        </w:rPr>
        <w:t>, “Dignity in Administrative Law</w:t>
      </w:r>
      <w:r>
        <w:rPr>
          <w:rFonts w:eastAsia="Times New Roman" w:cs="Times New Roman"/>
        </w:rPr>
        <w:t>: Judicial Deference in a Culture of Justification</w:t>
      </w:r>
      <w:r w:rsidRPr="0084431D">
        <w:rPr>
          <w:rFonts w:eastAsia="Times New Roman" w:cs="Times New Roman"/>
        </w:rPr>
        <w:t xml:space="preserve">”, at p. 108; Daly, “Unreasonable Interpretations of Law”, at </w:t>
      </w:r>
      <w:r>
        <w:rPr>
          <w:rFonts w:eastAsia="Times New Roman" w:cs="Times New Roman"/>
        </w:rPr>
        <w:t>pp. 254-55</w:t>
      </w:r>
      <w:r w:rsidRPr="0084431D">
        <w:rPr>
          <w:rFonts w:eastAsia="Times New Roman" w:cs="Times New Roman"/>
        </w:rPr>
        <w:t xml:space="preserve">). </w:t>
      </w:r>
      <w:r w:rsidRPr="0084431D">
        <w:rPr>
          <w:rFonts w:cs="Times New Roman"/>
          <w:lang w:val="en-US"/>
        </w:rPr>
        <w:t xml:space="preserve">We add that a </w:t>
      </w:r>
      <w:r w:rsidRPr="0084431D">
        <w:rPr>
          <w:rFonts w:cs="Times New Roman"/>
          <w:i/>
          <w:lang w:val="en-US"/>
        </w:rPr>
        <w:t xml:space="preserve">de novo </w:t>
      </w:r>
      <w:r w:rsidRPr="0084431D">
        <w:rPr>
          <w:rFonts w:cs="Times New Roman"/>
          <w:lang w:val="en-US"/>
        </w:rPr>
        <w:t>interpretation of a statute, conducted as a prelude to “deferential” review, necessarily omits a vital piece of the interpretive puzzle: the perspective of the front-line, specialized administrative body that routinely applies the statutory scheme in question (</w:t>
      </w:r>
      <w:proofErr w:type="spellStart"/>
      <w:r w:rsidRPr="0084431D">
        <w:rPr>
          <w:rFonts w:cs="Times New Roman"/>
          <w:lang w:val="en-US"/>
        </w:rPr>
        <w:t>Dyzenhaus</w:t>
      </w:r>
      <w:proofErr w:type="spellEnd"/>
      <w:r w:rsidRPr="0084431D">
        <w:rPr>
          <w:rFonts w:cs="Times New Roman"/>
          <w:lang w:val="en-US"/>
        </w:rPr>
        <w:t>, “</w:t>
      </w:r>
      <w:r>
        <w:rPr>
          <w:rFonts w:cs="Times New Roman"/>
          <w:lang w:val="en-US"/>
        </w:rPr>
        <w:t xml:space="preserve">The </w:t>
      </w:r>
      <w:r w:rsidRPr="0084431D">
        <w:rPr>
          <w:rFonts w:cs="Times New Roman"/>
          <w:lang w:val="en-US"/>
        </w:rPr>
        <w:t>Politics of Deference</w:t>
      </w:r>
      <w:r>
        <w:rPr>
          <w:rFonts w:cs="Times New Roman"/>
          <w:lang w:val="en-US"/>
        </w:rPr>
        <w:t>: Judicial Review and Democracy</w:t>
      </w:r>
      <w:r w:rsidRPr="0084431D">
        <w:rPr>
          <w:rFonts w:cs="Times New Roman"/>
          <w:lang w:val="en-US"/>
        </w:rPr>
        <w:t>”, at p. 304; Paul Daly, “Deference on Questions of Law</w:t>
      </w:r>
      <w:r>
        <w:rPr>
          <w:rFonts w:cs="Times New Roman"/>
          <w:lang w:val="en-US"/>
        </w:rPr>
        <w:t>”</w:t>
      </w:r>
      <w:r w:rsidRPr="0084431D">
        <w:rPr>
          <w:rFonts w:cs="Times New Roman"/>
          <w:lang w:val="en-US"/>
        </w:rPr>
        <w:t xml:space="preserve"> (2011), 74 </w:t>
      </w:r>
      <w:r w:rsidRPr="0084431D">
        <w:rPr>
          <w:rFonts w:cs="Times New Roman"/>
          <w:i/>
          <w:lang w:val="en-US"/>
        </w:rPr>
        <w:t>Mod. L. Rev.</w:t>
      </w:r>
      <w:r w:rsidRPr="0084431D">
        <w:rPr>
          <w:rFonts w:cs="Times New Roman"/>
          <w:lang w:val="en-US"/>
        </w:rPr>
        <w:t xml:space="preserve"> 694). By placing that perspective at the heart of the judicial review inquiry, courts display respect for administrative specialization and expertise, and for the legislative choice to delegate certain questions to non-judicial bodies.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EB1CF2">
        <w:rPr>
          <w:rFonts w:cs="Times New Roman"/>
          <w:lang w:val="en-US"/>
        </w:rPr>
        <w:t>Conversely</w:t>
      </w:r>
      <w:r w:rsidRPr="0084431D">
        <w:rPr>
          <w:rFonts w:cs="Times New Roman"/>
        </w:rPr>
        <w:t xml:space="preserve">, by </w:t>
      </w:r>
      <w:r w:rsidRPr="0084431D">
        <w:rPr>
          <w:rFonts w:cs="Times New Roman"/>
          <w:lang w:val="en-US"/>
        </w:rPr>
        <w:t xml:space="preserve">imposing their own interpretation of a statutory provision, courts </w:t>
      </w:r>
      <w:r w:rsidRPr="0084431D">
        <w:rPr>
          <w:rFonts w:cs="Times New Roman"/>
          <w:i/>
          <w:lang w:val="en-US"/>
        </w:rPr>
        <w:t>undermine</w:t>
      </w:r>
      <w:r w:rsidRPr="0084431D">
        <w:rPr>
          <w:rFonts w:cs="Times New Roman"/>
          <w:lang w:val="en-US"/>
        </w:rPr>
        <w:t xml:space="preserve"> legislative intent to confide a mandate to the decision-maker. Applying a statute will almost always require some interpretation, making the interpretive mandate of administrative </w:t>
      </w:r>
      <w:r>
        <w:rPr>
          <w:rFonts w:cs="Times New Roman"/>
          <w:lang w:val="en-US"/>
        </w:rPr>
        <w:t>decision-maker</w:t>
      </w:r>
      <w:r w:rsidRPr="0084431D">
        <w:rPr>
          <w:rFonts w:cs="Times New Roman"/>
          <w:lang w:val="en-US"/>
        </w:rPr>
        <w:t>s inherent to their legislative mandate. The decision-maker who applies the statute has primary responsibility for interpreting the provisions in order to carry out their mandate effectively.</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Administrative </w:t>
      </w:r>
      <w:r>
        <w:rPr>
          <w:rFonts w:cs="Times New Roman"/>
          <w:lang w:val="en-US"/>
        </w:rPr>
        <w:t>decision-maker</w:t>
      </w:r>
      <w:r w:rsidRPr="0084431D" w:rsidDel="00B4285F">
        <w:rPr>
          <w:rFonts w:cs="Times New Roman"/>
          <w:lang w:val="en-US"/>
        </w:rPr>
        <w:t xml:space="preserve">s performing statutory interpretation </w:t>
      </w:r>
      <w:r w:rsidRPr="0084431D">
        <w:rPr>
          <w:rFonts w:cs="Times New Roman"/>
          <w:lang w:val="en-US"/>
        </w:rPr>
        <w:t>should therefore</w:t>
      </w:r>
      <w:r w:rsidRPr="0084431D" w:rsidDel="00B4285F">
        <w:rPr>
          <w:rFonts w:cs="Times New Roman"/>
          <w:lang w:val="en-US"/>
        </w:rPr>
        <w:t xml:space="preserve"> be</w:t>
      </w:r>
      <w:r w:rsidRPr="0084431D">
        <w:rPr>
          <w:rFonts w:cs="Times New Roman"/>
          <w:lang w:val="en-US"/>
        </w:rPr>
        <w:t xml:space="preserve"> permitted to be</w:t>
      </w:r>
      <w:r w:rsidRPr="0084431D" w:rsidDel="00B4285F">
        <w:rPr>
          <w:rFonts w:cs="Times New Roman"/>
          <w:lang w:val="en-US"/>
        </w:rPr>
        <w:t xml:space="preserve"> guided by</w:t>
      </w:r>
      <w:r w:rsidRPr="0084431D">
        <w:rPr>
          <w:rFonts w:cs="Times New Roman"/>
          <w:lang w:val="en-US"/>
        </w:rPr>
        <w:t xml:space="preserve"> </w:t>
      </w:r>
      <w:r w:rsidRPr="0084431D" w:rsidDel="00B4285F">
        <w:rPr>
          <w:rFonts w:cs="Times New Roman"/>
          <w:lang w:val="en-US"/>
        </w:rPr>
        <w:t>their expertise and knowledge of the practical realities of their administrative regime.</w:t>
      </w:r>
      <w:r w:rsidRPr="0084431D">
        <w:rPr>
          <w:rFonts w:cs="Times New Roman"/>
          <w:lang w:val="en-US"/>
        </w:rPr>
        <w:t xml:space="preserve"> In</w:t>
      </w:r>
      <w:r w:rsidRPr="0084431D" w:rsidDel="00B4285F">
        <w:rPr>
          <w:rFonts w:cs="Times New Roman"/>
          <w:lang w:val="en-US"/>
        </w:rPr>
        <w:t xml:space="preserve"> many cases, the</w:t>
      </w:r>
      <w:r w:rsidRPr="0084431D">
        <w:rPr>
          <w:rFonts w:cs="Times New Roman"/>
          <w:lang w:val="en-US"/>
        </w:rPr>
        <w:t xml:space="preserve"> “ordinary meaning” of a </w:t>
      </w:r>
      <w:r w:rsidRPr="0084431D">
        <w:rPr>
          <w:rFonts w:cs="Times New Roman"/>
          <w:lang w:val="en-US"/>
        </w:rPr>
        <w:lastRenderedPageBreak/>
        <w:t xml:space="preserve">word or term makes no sense in a </w:t>
      </w:r>
      <w:r w:rsidRPr="0084431D" w:rsidDel="00B4285F">
        <w:rPr>
          <w:rFonts w:cs="Times New Roman"/>
          <w:lang w:val="en-US"/>
        </w:rPr>
        <w:t>specialized</w:t>
      </w:r>
      <w:r w:rsidRPr="0084431D">
        <w:rPr>
          <w:rFonts w:cs="Times New Roman"/>
          <w:lang w:val="en-US"/>
        </w:rPr>
        <w:t xml:space="preserve"> context. And in some settings, law and policy are so inextricably at play that they give the words of a statute a meaning unique to a particular specialized context (</w:t>
      </w:r>
      <w:r w:rsidRPr="0084431D">
        <w:rPr>
          <w:rFonts w:cs="Times New Roman"/>
          <w:i/>
          <w:lang w:val="en-US"/>
        </w:rPr>
        <w:t>National Corn Growers</w:t>
      </w:r>
      <w:r w:rsidRPr="0084431D">
        <w:rPr>
          <w:rFonts w:cs="Times New Roman"/>
          <w:lang w:val="en-US"/>
        </w:rPr>
        <w:t xml:space="preserve">, at p. 1336, </w:t>
      </w:r>
      <w:r w:rsidRPr="001454C8">
        <w:rPr>
          <w:rFonts w:cs="Times New Roman"/>
          <w:lang w:val="en-US"/>
        </w:rPr>
        <w:t xml:space="preserve">per </w:t>
      </w:r>
      <w:r w:rsidRPr="0084431D">
        <w:rPr>
          <w:rFonts w:cs="Times New Roman"/>
          <w:lang w:val="en-US"/>
        </w:rPr>
        <w:t xml:space="preserve">Wilson J., concurring; </w:t>
      </w:r>
      <w:r w:rsidRPr="0084431D">
        <w:rPr>
          <w:rFonts w:cs="Times New Roman"/>
          <w:i/>
          <w:spacing w:val="-3"/>
        </w:rPr>
        <w:t>Domtar Inc.</w:t>
      </w:r>
      <w:r w:rsidRPr="0084431D">
        <w:rPr>
          <w:rFonts w:cs="Times New Roman"/>
          <w:spacing w:val="-3"/>
        </w:rPr>
        <w:t xml:space="preserve">, at p. 800). Further, </w:t>
      </w:r>
      <w:r w:rsidRPr="0084431D">
        <w:rPr>
          <w:rFonts w:cs="Times New Roman"/>
          <w:lang w:val="en-US"/>
        </w:rPr>
        <w:t>not only are statutory provisions sometimes capable of bearing more than one reasonable interpretation, they are sometimes drafted in general terms or with “purposeful ambiguity” in order to permit adaptation to future, unknown circumstances (see Felix Frankfurter, “Some Reflections on the Reading of Statutes” (1947),</w:t>
      </w:r>
      <w:r>
        <w:rPr>
          <w:rFonts w:cs="Times New Roman"/>
          <w:lang w:val="en-US"/>
        </w:rPr>
        <w:t xml:space="preserve"> 47</w:t>
      </w:r>
      <w:r w:rsidRPr="0084431D">
        <w:rPr>
          <w:rFonts w:cs="Times New Roman"/>
          <w:lang w:val="en-US"/>
        </w:rPr>
        <w:t xml:space="preserve"> </w:t>
      </w:r>
      <w:r w:rsidRPr="0084431D">
        <w:rPr>
          <w:rFonts w:cs="Times New Roman"/>
          <w:i/>
          <w:lang w:val="en-US"/>
        </w:rPr>
        <w:t>Colum. L. Rev.</w:t>
      </w:r>
      <w:r w:rsidRPr="0084431D">
        <w:rPr>
          <w:rFonts w:cs="Times New Roman"/>
          <w:lang w:val="en-US"/>
        </w:rPr>
        <w:t xml:space="preserve"> 527, at p. 528). These considerations make it all the more compelling that reviewing courts avoid imposing judicial norms on administrative </w:t>
      </w:r>
      <w:r>
        <w:rPr>
          <w:rFonts w:cs="Times New Roman"/>
          <w:lang w:val="en-US"/>
        </w:rPr>
        <w:t>decision-maker</w:t>
      </w:r>
      <w:r w:rsidRPr="0084431D">
        <w:rPr>
          <w:rFonts w:cs="Times New Roman"/>
          <w:lang w:val="en-US"/>
        </w:rPr>
        <w:t xml:space="preserve">s or maintaining a dogmatic insistence on formalism. Where a decision-maker can explain its decision adequately, that decision should be upheld (Daly, “Unreasonable Interpretations of Law”, at </w:t>
      </w:r>
      <w:r>
        <w:rPr>
          <w:rFonts w:cs="Times New Roman"/>
          <w:lang w:val="en-US"/>
        </w:rPr>
        <w:t>pp. 233-34, 250 and 254-55</w:t>
      </w:r>
      <w:r w:rsidRPr="0084431D">
        <w:rPr>
          <w:rFonts w:cs="Times New Roman"/>
          <w:lang w:val="en-US"/>
        </w:rPr>
        <w:t>).</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Justice Brown’s reasons in </w:t>
      </w:r>
      <w:r w:rsidRPr="0084431D">
        <w:rPr>
          <w:rFonts w:cs="Times New Roman"/>
          <w:i/>
          <w:lang w:val="en-US"/>
        </w:rPr>
        <w:t xml:space="preserve">Igloo </w:t>
      </w:r>
      <w:proofErr w:type="spellStart"/>
      <w:r w:rsidRPr="0084431D">
        <w:rPr>
          <w:rFonts w:cs="Times New Roman"/>
          <w:i/>
          <w:lang w:val="en-US"/>
        </w:rPr>
        <w:t>Vikski</w:t>
      </w:r>
      <w:proofErr w:type="spellEnd"/>
      <w:r w:rsidRPr="0084431D">
        <w:rPr>
          <w:rFonts w:cs="Times New Roman"/>
          <w:lang w:val="en-US"/>
        </w:rPr>
        <w:t xml:space="preserve"> provide a useful illustration of a properly deferential approach to statutory interpretation. That</w:t>
      </w:r>
      <w:r w:rsidRPr="0084431D">
        <w:rPr>
          <w:rFonts w:cs="Times New Roman"/>
          <w:b/>
          <w:lang w:val="en-US"/>
        </w:rPr>
        <w:t xml:space="preserve"> </w:t>
      </w:r>
      <w:r w:rsidRPr="0084431D">
        <w:rPr>
          <w:rFonts w:cs="Times New Roman"/>
          <w:lang w:val="en-US"/>
        </w:rPr>
        <w:t xml:space="preserve">case involved an interpretation of the </w:t>
      </w:r>
      <w:r w:rsidRPr="0084431D">
        <w:rPr>
          <w:rFonts w:cs="Times New Roman"/>
          <w:i/>
          <w:lang w:val="en-US"/>
        </w:rPr>
        <w:t>Customs Tariff</w:t>
      </w:r>
      <w:r w:rsidRPr="0084431D">
        <w:rPr>
          <w:rFonts w:cs="Times New Roman"/>
          <w:lang w:val="en-US"/>
        </w:rPr>
        <w:t>, S.C. 1997, c. 36</w:t>
      </w:r>
      <w:r>
        <w:rPr>
          <w:rFonts w:cs="Times New Roman"/>
          <w:lang w:val="en-US"/>
        </w:rPr>
        <w:t>,</w:t>
      </w:r>
      <w:r w:rsidRPr="0084431D">
        <w:rPr>
          <w:rFonts w:cs="Times New Roman"/>
          <w:lang w:val="en-US"/>
        </w:rPr>
        <w:t xml:space="preserve"> as it applies to hockey goaltender gloves. The Canada Border Services Agency had classified the gloves as “</w:t>
      </w:r>
      <w:r>
        <w:rPr>
          <w:rFonts w:cs="Times New Roman"/>
          <w:lang w:val="en-US"/>
        </w:rPr>
        <w:t>[</w:t>
      </w:r>
      <w:r w:rsidRPr="0084431D">
        <w:rPr>
          <w:rFonts w:cs="Times New Roman"/>
          <w:lang w:val="en-US"/>
        </w:rPr>
        <w:t>g</w:t>
      </w:r>
      <w:r>
        <w:rPr>
          <w:rFonts w:cs="Times New Roman"/>
          <w:lang w:val="en-US"/>
        </w:rPr>
        <w:t>]</w:t>
      </w:r>
      <w:r w:rsidRPr="0084431D">
        <w:rPr>
          <w:rFonts w:cs="Times New Roman"/>
          <w:lang w:val="en-US"/>
        </w:rPr>
        <w:t xml:space="preserve">loves, mittens </w:t>
      </w:r>
      <w:r>
        <w:rPr>
          <w:rFonts w:cs="Times New Roman"/>
          <w:lang w:val="en-US"/>
        </w:rPr>
        <w:t xml:space="preserve">[or] </w:t>
      </w:r>
      <w:r w:rsidRPr="0084431D">
        <w:rPr>
          <w:rFonts w:cs="Times New Roman"/>
          <w:lang w:val="en-US"/>
        </w:rPr>
        <w:t xml:space="preserve">mitts”. Igloo </w:t>
      </w:r>
      <w:proofErr w:type="spellStart"/>
      <w:r w:rsidRPr="0084431D">
        <w:rPr>
          <w:rFonts w:cs="Times New Roman"/>
          <w:lang w:val="en-US"/>
        </w:rPr>
        <w:t>Vikski</w:t>
      </w:r>
      <w:proofErr w:type="spellEnd"/>
      <w:r w:rsidRPr="0084431D">
        <w:rPr>
          <w:rFonts w:cs="Times New Roman"/>
          <w:lang w:val="en-US"/>
        </w:rPr>
        <w:t xml:space="preserve"> argued they should have been classified as sporting equipment. The Canadian International Trade Tribunal (</w:t>
      </w:r>
      <w:r>
        <w:rPr>
          <w:rFonts w:cs="Times New Roman"/>
          <w:lang w:val="en-US"/>
        </w:rPr>
        <w:t>“</w:t>
      </w:r>
      <w:r w:rsidRPr="0084431D">
        <w:rPr>
          <w:rFonts w:cs="Times New Roman"/>
          <w:lang w:val="en-US"/>
        </w:rPr>
        <w:t>CITT</w:t>
      </w:r>
      <w:r>
        <w:rPr>
          <w:rFonts w:cs="Times New Roman"/>
          <w:lang w:val="en-US"/>
        </w:rPr>
        <w:t>”</w:t>
      </w:r>
      <w:r w:rsidRPr="0084431D">
        <w:rPr>
          <w:rFonts w:cs="Times New Roman"/>
          <w:lang w:val="en-US"/>
        </w:rPr>
        <w:t>) confirmed the initial classification. The Federal Court of Appeal reversed the decision.</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Acknowledging that the “specific expertise” of the CITT gave it the upper hand over a reviewing court with respect to certain questions of law, Justice Brown </w:t>
      </w:r>
      <w:r w:rsidRPr="0084431D">
        <w:rPr>
          <w:rFonts w:cs="Times New Roman"/>
          <w:lang w:val="en-US"/>
        </w:rPr>
        <w:lastRenderedPageBreak/>
        <w:t xml:space="preserve">determined that the standard of review was reasonableness. Writing for seven other members of the Court, he carefully reviewed the reasons of the CITT and how it had engaged with Igloo </w:t>
      </w:r>
      <w:proofErr w:type="spellStart"/>
      <w:r w:rsidRPr="0084431D">
        <w:rPr>
          <w:rFonts w:cs="Times New Roman"/>
          <w:lang w:val="en-US"/>
        </w:rPr>
        <w:t>Vikski’s</w:t>
      </w:r>
      <w:proofErr w:type="spellEnd"/>
      <w:r w:rsidRPr="0084431D">
        <w:rPr>
          <w:rFonts w:cs="Times New Roman"/>
          <w:lang w:val="en-US"/>
        </w:rPr>
        <w:t xml:space="preserve"> arguments before turning to the errors alleged by Igloo </w:t>
      </w:r>
      <w:proofErr w:type="spellStart"/>
      <w:r w:rsidRPr="0084431D">
        <w:rPr>
          <w:rFonts w:cs="Times New Roman"/>
          <w:lang w:val="en-US"/>
        </w:rPr>
        <w:t>Vikski</w:t>
      </w:r>
      <w:proofErr w:type="spellEnd"/>
      <w:r w:rsidRPr="0084431D">
        <w:rPr>
          <w:rFonts w:cs="Times New Roman"/>
          <w:lang w:val="en-US"/>
        </w:rPr>
        <w:t xml:space="preserve"> and the Federal Court of Appeal. Conceding that the CITT reasons lacked “perfect clarity”, Justice Brown nevertheless concluded that the Tribunal’s interpretation was reasonable. While he agreed with Igloo </w:t>
      </w:r>
      <w:proofErr w:type="spellStart"/>
      <w:r w:rsidRPr="0084431D">
        <w:rPr>
          <w:rFonts w:cs="Times New Roman"/>
          <w:lang w:val="en-US"/>
        </w:rPr>
        <w:t>Vikski</w:t>
      </w:r>
      <w:proofErr w:type="spellEnd"/>
      <w:r w:rsidRPr="0084431D">
        <w:rPr>
          <w:rFonts w:cs="Times New Roman"/>
          <w:lang w:val="en-US"/>
        </w:rPr>
        <w:t xml:space="preserve"> that an alternate interpretation to that given by the CITT was available, the inclusive language of the applicable statute was broad enough to accommodate the CITT’s reasonable interpretation. By beginning with the reasons offered for the interpretation and turning to the challenges mounted against it in light of the surrounding context, </w:t>
      </w:r>
      <w:r w:rsidRPr="0084431D">
        <w:rPr>
          <w:rFonts w:cs="Times New Roman"/>
          <w:i/>
          <w:lang w:val="en-US"/>
        </w:rPr>
        <w:t xml:space="preserve">Igloo </w:t>
      </w:r>
      <w:proofErr w:type="spellStart"/>
      <w:r w:rsidRPr="0084431D">
        <w:rPr>
          <w:rFonts w:cs="Times New Roman"/>
          <w:i/>
          <w:lang w:val="en-US"/>
        </w:rPr>
        <w:t>Vikski</w:t>
      </w:r>
      <w:proofErr w:type="spellEnd"/>
      <w:r w:rsidRPr="0084431D">
        <w:rPr>
          <w:rFonts w:cs="Times New Roman"/>
          <w:i/>
          <w:lang w:val="en-US"/>
        </w:rPr>
        <w:t xml:space="preserve"> </w:t>
      </w:r>
      <w:r w:rsidRPr="0084431D">
        <w:rPr>
          <w:rFonts w:cs="Times New Roman"/>
          <w:lang w:val="en-US"/>
        </w:rPr>
        <w:t xml:space="preserve">provides an excellent example of respectful and properly deferential judicial review.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We conclude our discussion of reasonableness review by addressing cases where reasons are neither required nor available for judicial review. In these circumstances, </w:t>
      </w:r>
      <w:r w:rsidRPr="0084431D">
        <w:rPr>
          <w:rFonts w:cs="Times New Roman"/>
        </w:rPr>
        <w:t>a reviewing court should rema</w:t>
      </w:r>
      <w:r>
        <w:rPr>
          <w:rFonts w:cs="Times New Roman"/>
        </w:rPr>
        <w:t xml:space="preserve">in focussed on </w:t>
      </w:r>
      <w:r w:rsidRPr="0084431D">
        <w:rPr>
          <w:rFonts w:cs="Times New Roman"/>
        </w:rPr>
        <w:t xml:space="preserve">whether the decision has been shown to be unreasonable. The reasonableness of the decision may be justified by past decisions of the administrative body (see </w:t>
      </w:r>
      <w:r w:rsidRPr="0084431D">
        <w:rPr>
          <w:rFonts w:cs="Times New Roman"/>
          <w:i/>
        </w:rPr>
        <w:t>Edmonton East</w:t>
      </w:r>
      <w:r w:rsidRPr="0084431D">
        <w:rPr>
          <w:rFonts w:cs="Times New Roman"/>
        </w:rPr>
        <w:t xml:space="preserve">, at paras. </w:t>
      </w:r>
      <w:r>
        <w:rPr>
          <w:rFonts w:cs="Times New Roman"/>
        </w:rPr>
        <w:t>38 and</w:t>
      </w:r>
      <w:r w:rsidRPr="0084431D">
        <w:rPr>
          <w:rFonts w:cs="Times New Roman"/>
        </w:rPr>
        <w:t xml:space="preserve"> 44-46; </w:t>
      </w:r>
      <w:r w:rsidRPr="0084431D">
        <w:rPr>
          <w:rFonts w:cs="Times New Roman"/>
          <w:i/>
        </w:rPr>
        <w:t>Alberta Teachers’ Association</w:t>
      </w:r>
      <w:r w:rsidRPr="0084431D">
        <w:rPr>
          <w:rFonts w:cs="Times New Roman"/>
        </w:rPr>
        <w:t xml:space="preserve">, at paras. 56-64). In other circumstances, reviewing courts may have to assess the reasonableness of the outcome in light of the procedural context surrounding the decision (see </w:t>
      </w:r>
      <w:r w:rsidRPr="0084431D">
        <w:rPr>
          <w:rFonts w:cs="Times New Roman"/>
          <w:i/>
          <w:lang w:val="en-US"/>
        </w:rPr>
        <w:t>Law Society of British Columbia v. Trinity Western University</w:t>
      </w:r>
      <w:r w:rsidRPr="0084431D">
        <w:rPr>
          <w:rFonts w:cs="Times New Roman"/>
          <w:lang w:val="en-US"/>
        </w:rPr>
        <w:t xml:space="preserve">, [2018] 2 S.C.R. 293, at paras. 51-56; </w:t>
      </w:r>
      <w:r w:rsidRPr="0084431D">
        <w:rPr>
          <w:rFonts w:cs="Times New Roman"/>
          <w:i/>
          <w:lang w:val="en-US"/>
        </w:rPr>
        <w:t>Edmonton East</w:t>
      </w:r>
      <w:r>
        <w:rPr>
          <w:rFonts w:cs="Times New Roman"/>
          <w:lang w:val="en-US"/>
        </w:rPr>
        <w:t>, at paras. </w:t>
      </w:r>
      <w:r w:rsidRPr="0084431D">
        <w:rPr>
          <w:rFonts w:cs="Times New Roman"/>
          <w:lang w:val="en-US"/>
        </w:rPr>
        <w:t>48</w:t>
      </w:r>
      <w:r>
        <w:rPr>
          <w:rFonts w:cs="Times New Roman"/>
          <w:lang w:val="en-US"/>
        </w:rPr>
        <w:noBreakHyphen/>
      </w:r>
      <w:r w:rsidRPr="0084431D">
        <w:rPr>
          <w:rFonts w:cs="Times New Roman"/>
          <w:lang w:val="en-US"/>
        </w:rPr>
        <w:t xml:space="preserve">60; </w:t>
      </w:r>
      <w:r w:rsidRPr="0084431D">
        <w:rPr>
          <w:rFonts w:cs="Times New Roman"/>
          <w:i/>
          <w:lang w:val="en-US"/>
        </w:rPr>
        <w:t>Catalyst Paper Corp.</w:t>
      </w:r>
      <w:r w:rsidRPr="0084431D">
        <w:rPr>
          <w:rFonts w:cs="Times New Roman"/>
          <w:lang w:val="en-US"/>
        </w:rPr>
        <w:t>, at paras. 32-36). In all cases, the question remains whether the challenging party has demonstrated that a decision is unreasonable.</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rPr>
        <w:lastRenderedPageBreak/>
        <w:t xml:space="preserve">In sum, reasonableness review is based on deference to administrative </w:t>
      </w:r>
      <w:r>
        <w:rPr>
          <w:rFonts w:cs="Times New Roman"/>
        </w:rPr>
        <w:t>decision-maker</w:t>
      </w:r>
      <w:r w:rsidRPr="0084431D">
        <w:rPr>
          <w:rFonts w:cs="Times New Roman"/>
        </w:rPr>
        <w:t>s and to the legislative intention to confide in them a mandate. Deference must</w:t>
      </w:r>
      <w:r w:rsidRPr="0084431D">
        <w:rPr>
          <w:rFonts w:cs="Times New Roman"/>
          <w:i/>
        </w:rPr>
        <w:t xml:space="preserve"> </w:t>
      </w:r>
      <w:r w:rsidRPr="0084431D">
        <w:rPr>
          <w:rFonts w:cs="Times New Roman"/>
        </w:rPr>
        <w:t xml:space="preserve">inform the attitude of a reviewing court and the nature of its analysis: the court does not ask how it would have resolved the issue before the administrative decision-maker but instead evaluates whether the decision-maker acted reasonably. The reviewing court starts with the reasons offered for the administrative decision, read in light of the surrounding context and based on the grounds advanced to challenge the reasonableness of the decision. The reviewing court must remain focussed on the reasonableness of the decision viewed as a whole, in light of the record, and with attention to the materiality of any alleged errors to the decision-maker’s reasoning process. By properly conducting reasonableness review, judges provide careful and meaningful oversight of the administrative justice system while respecting its legitimacy and the perspectives of its front-line, specialized </w:t>
      </w:r>
      <w:r>
        <w:rPr>
          <w:rFonts w:cs="Times New Roman"/>
        </w:rPr>
        <w:t>decision-maker</w:t>
      </w:r>
      <w:r w:rsidRPr="0084431D">
        <w:rPr>
          <w:rFonts w:cs="Times New Roman"/>
        </w:rPr>
        <w:t>s.</w:t>
      </w:r>
    </w:p>
    <w:p w:rsidR="008B0231" w:rsidRPr="0084431D" w:rsidRDefault="008B0231" w:rsidP="008B0231">
      <w:pPr>
        <w:pStyle w:val="TitleTitre-AltT"/>
        <w:rPr>
          <w:rFonts w:cs="Times New Roman"/>
          <w:u w:val="single"/>
          <w:lang w:val="en-US"/>
        </w:rPr>
      </w:pPr>
      <w:r w:rsidRPr="0084431D">
        <w:rPr>
          <w:rFonts w:cs="Times New Roman"/>
          <w:u w:val="single"/>
          <w:lang w:val="en-US"/>
        </w:rPr>
        <w:t xml:space="preserve">Application to Mr. </w:t>
      </w:r>
      <w:proofErr w:type="spellStart"/>
      <w:r w:rsidRPr="0084431D">
        <w:rPr>
          <w:rFonts w:cs="Times New Roman"/>
          <w:u w:val="single"/>
          <w:lang w:val="en-US"/>
        </w:rPr>
        <w:t>Vavilov</w:t>
      </w:r>
      <w:proofErr w:type="spellEnd"/>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Alexander </w:t>
      </w:r>
      <w:proofErr w:type="spellStart"/>
      <w:r w:rsidRPr="0084431D">
        <w:rPr>
          <w:rFonts w:cs="Times New Roman"/>
          <w:lang w:val="en-US"/>
        </w:rPr>
        <w:t>Vavilov</w:t>
      </w:r>
      <w:proofErr w:type="spellEnd"/>
      <w:r w:rsidRPr="0084431D">
        <w:rPr>
          <w:rFonts w:cs="Times New Roman"/>
          <w:lang w:val="en-US"/>
        </w:rPr>
        <w:t xml:space="preserve"> challenges the Registrar of Citizenship’s decision to cancel his citizenship certificate. The Registrar concluded that Mr. </w:t>
      </w:r>
      <w:proofErr w:type="spellStart"/>
      <w:r w:rsidRPr="0084431D">
        <w:rPr>
          <w:rFonts w:cs="Times New Roman"/>
          <w:lang w:val="en-US"/>
        </w:rPr>
        <w:t>Vavilov</w:t>
      </w:r>
      <w:proofErr w:type="spellEnd"/>
      <w:r w:rsidRPr="0084431D">
        <w:rPr>
          <w:rFonts w:cs="Times New Roman"/>
          <w:lang w:val="en-US"/>
        </w:rPr>
        <w:t xml:space="preserve"> was not a Canadian citizen, and therefore not entitled to a certificate of Canadian citizenship because, although he was born in Canada, his parents were “</w:t>
      </w:r>
      <w:r>
        <w:rPr>
          <w:rFonts w:cs="Times New Roman"/>
          <w:lang w:val="en-US"/>
        </w:rPr>
        <w:t xml:space="preserve">other </w:t>
      </w:r>
      <w:r w:rsidRPr="0084431D">
        <w:rPr>
          <w:rFonts w:cs="Times New Roman"/>
          <w:lang w:val="en-US"/>
        </w:rPr>
        <w:t>representative</w:t>
      </w:r>
      <w:r>
        <w:rPr>
          <w:rFonts w:cs="Times New Roman"/>
          <w:lang w:val="en-US"/>
        </w:rPr>
        <w:t>[</w:t>
      </w:r>
      <w:r w:rsidRPr="0084431D">
        <w:rPr>
          <w:rFonts w:cs="Times New Roman"/>
          <w:lang w:val="en-US"/>
        </w:rPr>
        <w:t>s</w:t>
      </w:r>
      <w:r>
        <w:rPr>
          <w:rFonts w:cs="Times New Roman"/>
          <w:lang w:val="en-US"/>
        </w:rPr>
        <w:t xml:space="preserve">] or employee[s] in Canada </w:t>
      </w:r>
      <w:r w:rsidRPr="0084431D">
        <w:rPr>
          <w:rFonts w:cs="Times New Roman"/>
          <w:lang w:val="en-US"/>
        </w:rPr>
        <w:t>of a foreign government” within the meaning of s. 3(2</w:t>
      </w:r>
      <w:proofErr w:type="gramStart"/>
      <w:r w:rsidRPr="0084431D">
        <w:rPr>
          <w:rFonts w:cs="Times New Roman"/>
          <w:lang w:val="en-US"/>
        </w:rPr>
        <w:t>)(</w:t>
      </w:r>
      <w:proofErr w:type="gramEnd"/>
      <w:r w:rsidRPr="0084431D">
        <w:rPr>
          <w:rFonts w:cs="Times New Roman"/>
          <w:lang w:val="en-US"/>
        </w:rPr>
        <w:t xml:space="preserve">a) of the </w:t>
      </w:r>
      <w:r w:rsidRPr="0084431D">
        <w:rPr>
          <w:rFonts w:cs="Times New Roman"/>
          <w:i/>
          <w:lang w:val="en-US"/>
        </w:rPr>
        <w:t>Citizenship Act</w:t>
      </w:r>
      <w:r w:rsidRPr="0084431D">
        <w:rPr>
          <w:rFonts w:cs="Times New Roman"/>
          <w:lang w:val="en-US"/>
        </w:rPr>
        <w:t xml:space="preserve">, R.S.C. 1985, c. C-29.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lastRenderedPageBreak/>
        <w:t xml:space="preserve">The first issue is the applicable standard of review. We agree with the majority that reasonableness applies.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The second issue is whether the Registrar was reasonable in concluding that the exception to Canadian citizenship in s. 3(2</w:t>
      </w:r>
      <w:proofErr w:type="gramStart"/>
      <w:r w:rsidRPr="0084431D">
        <w:rPr>
          <w:rFonts w:cs="Times New Roman"/>
          <w:lang w:val="en-US"/>
        </w:rPr>
        <w:t>)(</w:t>
      </w:r>
      <w:proofErr w:type="gramEnd"/>
      <w:r w:rsidRPr="0084431D">
        <w:rPr>
          <w:rFonts w:cs="Times New Roman"/>
          <w:lang w:val="en-US"/>
        </w:rPr>
        <w:t xml:space="preserve">a) applies not only to parents who enjoy diplomatic privileges and immunities, but also to intelligence agents of a foreign government. The onus is therefore on Mr. </w:t>
      </w:r>
      <w:proofErr w:type="spellStart"/>
      <w:r w:rsidRPr="0084431D">
        <w:rPr>
          <w:rFonts w:cs="Times New Roman"/>
          <w:lang w:val="en-US"/>
        </w:rPr>
        <w:t>Vavilov</w:t>
      </w:r>
      <w:proofErr w:type="spellEnd"/>
      <w:r w:rsidRPr="0084431D">
        <w:rPr>
          <w:rFonts w:cs="Times New Roman"/>
          <w:lang w:val="en-US"/>
        </w:rPr>
        <w:t xml:space="preserve"> to satisfy the reviewing court that the decision was unreasonable. In our view, he has met that onus.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lang w:val="en-US"/>
        </w:rPr>
        <w:t xml:space="preserve"> Mr. </w:t>
      </w:r>
      <w:proofErr w:type="spellStart"/>
      <w:r w:rsidRPr="0084431D">
        <w:rPr>
          <w:rFonts w:cs="Times New Roman"/>
          <w:lang w:val="en-US"/>
        </w:rPr>
        <w:t>Vavilov</w:t>
      </w:r>
      <w:proofErr w:type="spellEnd"/>
      <w:r w:rsidRPr="0084431D">
        <w:rPr>
          <w:rFonts w:cs="Times New Roman"/>
          <w:lang w:val="en-US"/>
        </w:rPr>
        <w:t xml:space="preserve"> was born in Canada in 1994. His Russian parents, Elena </w:t>
      </w:r>
      <w:proofErr w:type="spellStart"/>
      <w:r w:rsidRPr="0084431D">
        <w:rPr>
          <w:rFonts w:cs="Times New Roman"/>
          <w:lang w:val="en-US"/>
        </w:rPr>
        <w:t>Vavilova</w:t>
      </w:r>
      <w:proofErr w:type="spellEnd"/>
      <w:r w:rsidRPr="0084431D">
        <w:rPr>
          <w:rFonts w:cs="Times New Roman"/>
          <w:lang w:val="en-US"/>
        </w:rPr>
        <w:t xml:space="preserve"> and Andrey </w:t>
      </w:r>
      <w:proofErr w:type="spellStart"/>
      <w:r w:rsidRPr="0084431D">
        <w:rPr>
          <w:rFonts w:cs="Times New Roman"/>
          <w:lang w:val="en-US"/>
        </w:rPr>
        <w:t>Bezrukov</w:t>
      </w:r>
      <w:proofErr w:type="spellEnd"/>
      <w:r w:rsidRPr="0084431D">
        <w:rPr>
          <w:rFonts w:cs="Times New Roman"/>
          <w:lang w:val="en-US"/>
        </w:rPr>
        <w:t xml:space="preserve">, entered Canada at some point prior to his birth, assumed the identities of two deceased Canadians and fraudulently obtained Canadian passports. After leaving Canada to live in France, Mr. </w:t>
      </w:r>
      <w:proofErr w:type="spellStart"/>
      <w:r w:rsidRPr="0084431D">
        <w:rPr>
          <w:rFonts w:cs="Times New Roman"/>
          <w:lang w:val="en-US"/>
        </w:rPr>
        <w:t>Vavilov</w:t>
      </w:r>
      <w:proofErr w:type="spellEnd"/>
      <w:r w:rsidRPr="0084431D">
        <w:rPr>
          <w:rFonts w:cs="Times New Roman"/>
          <w:lang w:val="en-US"/>
        </w:rPr>
        <w:t xml:space="preserve"> and his family moved to the United States. While in the United States, Mr. </w:t>
      </w:r>
      <w:proofErr w:type="spellStart"/>
      <w:r w:rsidRPr="0084431D">
        <w:rPr>
          <w:rFonts w:cs="Times New Roman"/>
          <w:lang w:val="en-US"/>
        </w:rPr>
        <w:t>Vavilov’s</w:t>
      </w:r>
      <w:proofErr w:type="spellEnd"/>
      <w:r w:rsidRPr="0084431D">
        <w:rPr>
          <w:rFonts w:cs="Times New Roman"/>
          <w:lang w:val="en-US"/>
        </w:rPr>
        <w:t xml:space="preserve"> parents became American citizens under their assumed Canadian identities. Mr. </w:t>
      </w:r>
      <w:proofErr w:type="spellStart"/>
      <w:r w:rsidRPr="0084431D">
        <w:rPr>
          <w:rFonts w:cs="Times New Roman"/>
          <w:lang w:val="en-US"/>
        </w:rPr>
        <w:t>Vavilov</w:t>
      </w:r>
      <w:proofErr w:type="spellEnd"/>
      <w:r w:rsidRPr="0084431D">
        <w:rPr>
          <w:rFonts w:cs="Times New Roman"/>
          <w:lang w:val="en-US"/>
        </w:rPr>
        <w:t xml:space="preserve"> and his older brother also obtained American citizenship.</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In June 2010, agents of the United States Federal Bureau of Investigation arrested Mr. </w:t>
      </w:r>
      <w:proofErr w:type="spellStart"/>
      <w:r w:rsidRPr="0084431D">
        <w:rPr>
          <w:rFonts w:cs="Times New Roman"/>
        </w:rPr>
        <w:t>Vavilov’s</w:t>
      </w:r>
      <w:proofErr w:type="spellEnd"/>
      <w:r w:rsidRPr="0084431D">
        <w:rPr>
          <w:rFonts w:cs="Times New Roman"/>
        </w:rPr>
        <w:t xml:space="preserve"> parents and charged them with conspiracy to act as unregistered agents of a foreign government and to commit money laundering. Mr. </w:t>
      </w:r>
      <w:proofErr w:type="spellStart"/>
      <w:r w:rsidRPr="0084431D">
        <w:rPr>
          <w:rFonts w:cs="Times New Roman"/>
        </w:rPr>
        <w:t>Vavilov’s</w:t>
      </w:r>
      <w:proofErr w:type="spellEnd"/>
      <w:r w:rsidRPr="0084431D">
        <w:rPr>
          <w:rFonts w:cs="Times New Roman"/>
        </w:rPr>
        <w:t xml:space="preserve"> parents pleaded guilty to the conspiracy charges in July 2010 and were returned to Russia in a spy swap. Around the same time, Mr. </w:t>
      </w:r>
      <w:proofErr w:type="spellStart"/>
      <w:r w:rsidRPr="0084431D">
        <w:rPr>
          <w:rFonts w:cs="Times New Roman"/>
        </w:rPr>
        <w:t>Vavilov</w:t>
      </w:r>
      <w:proofErr w:type="spellEnd"/>
      <w:r w:rsidRPr="0084431D">
        <w:rPr>
          <w:rFonts w:cs="Times New Roman"/>
        </w:rPr>
        <w:t xml:space="preserve"> and his brother travelled to Russia. The American government subsequently revoked Mr. </w:t>
      </w:r>
      <w:proofErr w:type="spellStart"/>
      <w:r w:rsidRPr="0084431D">
        <w:rPr>
          <w:rFonts w:cs="Times New Roman"/>
        </w:rPr>
        <w:t>Vavilov’s</w:t>
      </w:r>
      <w:proofErr w:type="spellEnd"/>
      <w:r w:rsidRPr="0084431D">
        <w:rPr>
          <w:rFonts w:cs="Times New Roman"/>
        </w:rPr>
        <w:t xml:space="preserve"> passport and citizenship. In December 2010, he was issued a Russian passport and birth certificate.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lastRenderedPageBreak/>
        <w:t xml:space="preserve">From 2010 to 2013, Mr. </w:t>
      </w:r>
      <w:proofErr w:type="spellStart"/>
      <w:r w:rsidRPr="0084431D">
        <w:rPr>
          <w:rFonts w:cs="Times New Roman"/>
          <w:lang w:val="en-US"/>
        </w:rPr>
        <w:t>Vavilov</w:t>
      </w:r>
      <w:proofErr w:type="spellEnd"/>
      <w:r w:rsidRPr="0084431D">
        <w:rPr>
          <w:rFonts w:cs="Times New Roman"/>
          <w:lang w:val="en-US"/>
        </w:rPr>
        <w:t xml:space="preserve"> repeatedly sought a Canadian passport. In December 2011, he obtained an amended Ontario birth certificate, showing his parents’ true names and places of birth. Using this birth certificate, Mr. </w:t>
      </w:r>
      <w:proofErr w:type="spellStart"/>
      <w:r w:rsidRPr="0084431D">
        <w:rPr>
          <w:rFonts w:cs="Times New Roman"/>
          <w:lang w:val="en-US"/>
        </w:rPr>
        <w:t>Vavilov</w:t>
      </w:r>
      <w:proofErr w:type="spellEnd"/>
      <w:r w:rsidRPr="0084431D">
        <w:rPr>
          <w:rFonts w:cs="Times New Roman"/>
          <w:lang w:val="en-US"/>
        </w:rPr>
        <w:t xml:space="preserve"> applied for and received a certificate of Canadian citizenship in January 2013. Relying on these certificates, Mr. </w:t>
      </w:r>
      <w:proofErr w:type="spellStart"/>
      <w:r w:rsidRPr="0084431D">
        <w:rPr>
          <w:rFonts w:cs="Times New Roman"/>
          <w:lang w:val="en-US"/>
        </w:rPr>
        <w:t>Vavilov</w:t>
      </w:r>
      <w:proofErr w:type="spellEnd"/>
      <w:r w:rsidRPr="0084431D">
        <w:rPr>
          <w:rFonts w:cs="Times New Roman"/>
          <w:lang w:val="en-US"/>
        </w:rPr>
        <w:t xml:space="preserve"> applied for an extension of his Canadian passport in</w:t>
      </w:r>
      <w:r>
        <w:rPr>
          <w:rFonts w:cs="Times New Roman"/>
          <w:lang w:val="en-US"/>
        </w:rPr>
        <w:t xml:space="preserve"> </w:t>
      </w:r>
      <w:r w:rsidRPr="0084431D">
        <w:rPr>
          <w:rFonts w:cs="Times New Roman"/>
          <w:lang w:val="en-US"/>
        </w:rPr>
        <w:t xml:space="preserve">early 2013. On July 18, 2013, the Registrar wrote to Mr. </w:t>
      </w:r>
      <w:proofErr w:type="spellStart"/>
      <w:r w:rsidRPr="0084431D">
        <w:rPr>
          <w:rFonts w:cs="Times New Roman"/>
          <w:lang w:val="en-US"/>
        </w:rPr>
        <w:t>Vavilov</w:t>
      </w:r>
      <w:proofErr w:type="spellEnd"/>
      <w:r w:rsidRPr="0084431D">
        <w:rPr>
          <w:rFonts w:cs="Times New Roman"/>
          <w:lang w:val="en-US"/>
        </w:rPr>
        <w:t xml:space="preserve">, informing him that there was reason to believe the citizenship certificate had been erroneously issued and asking him for additional information.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On April 22, 2014, Mr. </w:t>
      </w:r>
      <w:proofErr w:type="spellStart"/>
      <w:r w:rsidRPr="0084431D">
        <w:rPr>
          <w:rFonts w:cs="Times New Roman"/>
          <w:lang w:val="en-US"/>
        </w:rPr>
        <w:t>Vavilov</w:t>
      </w:r>
      <w:proofErr w:type="spellEnd"/>
      <w:r w:rsidRPr="0084431D">
        <w:rPr>
          <w:rFonts w:cs="Times New Roman"/>
          <w:lang w:val="en-US"/>
        </w:rPr>
        <w:t xml:space="preserve"> provided extensive written submissions to the Registrar. He argued that the narrow exception set out in s. 3(2) of the Act does not apply to him. Because he was born in Canada, he is entitled to Canadian citizenship. Mr. </w:t>
      </w:r>
      <w:proofErr w:type="spellStart"/>
      <w:r w:rsidRPr="0084431D">
        <w:rPr>
          <w:rFonts w:cs="Times New Roman"/>
          <w:lang w:val="en-US"/>
        </w:rPr>
        <w:t>Vavilov</w:t>
      </w:r>
      <w:proofErr w:type="spellEnd"/>
      <w:r w:rsidRPr="0084431D">
        <w:rPr>
          <w:rFonts w:cs="Times New Roman"/>
          <w:lang w:val="en-US"/>
        </w:rPr>
        <w:t xml:space="preserve"> also argued that the Registrar had failed to respect the requirements of procedural fairness.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The Registrar wrote to Mr. </w:t>
      </w:r>
      <w:proofErr w:type="spellStart"/>
      <w:r w:rsidRPr="0084431D">
        <w:rPr>
          <w:rFonts w:cs="Times New Roman"/>
          <w:lang w:val="en-US"/>
        </w:rPr>
        <w:t>Vavilov</w:t>
      </w:r>
      <w:proofErr w:type="spellEnd"/>
      <w:r w:rsidRPr="0084431D">
        <w:rPr>
          <w:rFonts w:cs="Times New Roman"/>
          <w:lang w:val="en-US"/>
        </w:rPr>
        <w:t xml:space="preserve"> on August 15, 2014, cancelling his certificate of Canadian citizenship. In her view, because Mr. </w:t>
      </w:r>
      <w:proofErr w:type="spellStart"/>
      <w:r w:rsidRPr="0084431D">
        <w:rPr>
          <w:rFonts w:cs="Times New Roman"/>
          <w:lang w:val="en-US"/>
        </w:rPr>
        <w:t>Vavilov</w:t>
      </w:r>
      <w:proofErr w:type="spellEnd"/>
      <w:r w:rsidRPr="0084431D">
        <w:rPr>
          <w:rFonts w:cs="Times New Roman"/>
          <w:lang w:val="en-US"/>
        </w:rPr>
        <w:t xml:space="preserve"> met the two statutory restrictions in s. 3(2) of the Act, he was not a Canadian citizen. First, when Mr. </w:t>
      </w:r>
      <w:proofErr w:type="spellStart"/>
      <w:r w:rsidRPr="0084431D">
        <w:rPr>
          <w:rFonts w:cs="Times New Roman"/>
          <w:lang w:val="en-US"/>
        </w:rPr>
        <w:t>Vavilov</w:t>
      </w:r>
      <w:proofErr w:type="spellEnd"/>
      <w:r w:rsidRPr="0084431D">
        <w:rPr>
          <w:rFonts w:cs="Times New Roman"/>
          <w:lang w:val="en-US"/>
        </w:rPr>
        <w:t xml:space="preserve"> was born in Canada, neither of his parents were Canadian citizens or lawfully admitted to Canada for permanent residence. Second, as unofficial agents working for Russia’s Foreign Intelligence Service, Mr. </w:t>
      </w:r>
      <w:proofErr w:type="spellStart"/>
      <w:r w:rsidRPr="0084431D">
        <w:rPr>
          <w:rFonts w:cs="Times New Roman"/>
          <w:lang w:val="en-US"/>
        </w:rPr>
        <w:t>Vavilov’s</w:t>
      </w:r>
      <w:proofErr w:type="spellEnd"/>
      <w:r w:rsidRPr="0084431D">
        <w:rPr>
          <w:rFonts w:cs="Times New Roman"/>
          <w:lang w:val="en-US"/>
        </w:rPr>
        <w:t xml:space="preserve"> parents were “</w:t>
      </w:r>
      <w:r>
        <w:rPr>
          <w:rFonts w:cs="Times New Roman"/>
          <w:lang w:val="en-US"/>
        </w:rPr>
        <w:t xml:space="preserve">other </w:t>
      </w:r>
      <w:r w:rsidRPr="0084431D">
        <w:rPr>
          <w:rFonts w:cs="Times New Roman"/>
          <w:lang w:val="en-US"/>
        </w:rPr>
        <w:t>representative</w:t>
      </w:r>
      <w:r>
        <w:rPr>
          <w:rFonts w:cs="Times New Roman"/>
          <w:lang w:val="en-US"/>
        </w:rPr>
        <w:t>[</w:t>
      </w:r>
      <w:r w:rsidRPr="0084431D">
        <w:rPr>
          <w:rFonts w:cs="Times New Roman"/>
          <w:lang w:val="en-US"/>
        </w:rPr>
        <w:t>s</w:t>
      </w:r>
      <w:r>
        <w:rPr>
          <w:rFonts w:cs="Times New Roman"/>
          <w:lang w:val="en-US"/>
        </w:rPr>
        <w:t>] or employee[s] in Canada</w:t>
      </w:r>
      <w:r w:rsidRPr="0084431D">
        <w:rPr>
          <w:rFonts w:cs="Times New Roman"/>
          <w:lang w:val="en-US"/>
        </w:rPr>
        <w:t xml:space="preserve"> of a foreign government” within the meaning of s. 3(2</w:t>
      </w:r>
      <w:proofErr w:type="gramStart"/>
      <w:r w:rsidRPr="0084431D">
        <w:rPr>
          <w:rFonts w:cs="Times New Roman"/>
          <w:lang w:val="en-US"/>
        </w:rPr>
        <w:t>)(</w:t>
      </w:r>
      <w:proofErr w:type="gramEnd"/>
      <w:r w:rsidRPr="0084431D">
        <w:rPr>
          <w:rFonts w:cs="Times New Roman"/>
          <w:lang w:val="en-US"/>
        </w:rPr>
        <w:t xml:space="preserve">a).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lastRenderedPageBreak/>
        <w:t xml:space="preserve">The Federal Court </w:t>
      </w:r>
      <w:r>
        <w:rPr>
          <w:rFonts w:cs="Times New Roman"/>
          <w:lang w:val="en-US"/>
        </w:rPr>
        <w:t xml:space="preserve">([2016] 2 F.C.R. 39) </w:t>
      </w:r>
      <w:r w:rsidRPr="0084431D">
        <w:rPr>
          <w:rFonts w:cs="Times New Roman"/>
          <w:lang w:val="en-US"/>
        </w:rPr>
        <w:t xml:space="preserve">dismissed Mr. </w:t>
      </w:r>
      <w:proofErr w:type="spellStart"/>
      <w:r w:rsidRPr="0084431D">
        <w:rPr>
          <w:rFonts w:cs="Times New Roman"/>
          <w:lang w:val="en-US"/>
        </w:rPr>
        <w:t>Vavilov’s</w:t>
      </w:r>
      <w:proofErr w:type="spellEnd"/>
      <w:r w:rsidRPr="0084431D">
        <w:rPr>
          <w:rFonts w:cs="Times New Roman"/>
          <w:lang w:val="en-US"/>
        </w:rPr>
        <w:t xml:space="preserve"> application for judicial review. It found that the Registrar had satisfied the requirements of procedural fairness and, applying a correctness standard, determined that the Registrar’s interpretation of s. 3(2</w:t>
      </w:r>
      <w:proofErr w:type="gramStart"/>
      <w:r w:rsidRPr="0084431D">
        <w:rPr>
          <w:rFonts w:cs="Times New Roman"/>
          <w:lang w:val="en-US"/>
        </w:rPr>
        <w:t>)(</w:t>
      </w:r>
      <w:proofErr w:type="gramEnd"/>
      <w:r w:rsidRPr="0084431D">
        <w:rPr>
          <w:rFonts w:cs="Times New Roman"/>
          <w:lang w:val="en-US"/>
        </w:rPr>
        <w:t xml:space="preserve">a) was correct. The Federal Court then reviewed the application of s. 3(2)(a) on a reasonableness standard and concluded that the Registrar had reasonably determined that Mr. </w:t>
      </w:r>
      <w:proofErr w:type="spellStart"/>
      <w:r w:rsidRPr="0084431D">
        <w:rPr>
          <w:rFonts w:cs="Times New Roman"/>
          <w:lang w:val="en-US"/>
        </w:rPr>
        <w:t>Vavilov’s</w:t>
      </w:r>
      <w:proofErr w:type="spellEnd"/>
      <w:r w:rsidRPr="0084431D">
        <w:rPr>
          <w:rFonts w:cs="Times New Roman"/>
          <w:lang w:val="en-US"/>
        </w:rPr>
        <w:t xml:space="preserve"> parents were working in Canada as undercover agents of the Russian government at the time of his birth.</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The Federal Court of Appeal </w:t>
      </w:r>
      <w:r>
        <w:rPr>
          <w:rFonts w:cs="Times New Roman"/>
          <w:lang w:val="en-US"/>
        </w:rPr>
        <w:t xml:space="preserve">([2018] 3 F.C.R. 75) </w:t>
      </w:r>
      <w:r w:rsidRPr="0084431D">
        <w:rPr>
          <w:rFonts w:cs="Times New Roman"/>
          <w:lang w:val="en-US"/>
        </w:rPr>
        <w:t xml:space="preserve">allowed the appeal and quashed the Registrar’s decision to cancel Mr. </w:t>
      </w:r>
      <w:proofErr w:type="spellStart"/>
      <w:r w:rsidRPr="0084431D">
        <w:rPr>
          <w:rFonts w:cs="Times New Roman"/>
          <w:lang w:val="en-US"/>
        </w:rPr>
        <w:t>Vavilov’s</w:t>
      </w:r>
      <w:proofErr w:type="spellEnd"/>
      <w:r w:rsidRPr="0084431D">
        <w:rPr>
          <w:rFonts w:cs="Times New Roman"/>
          <w:lang w:val="en-US"/>
        </w:rPr>
        <w:t xml:space="preserve"> citizenship certificate. Writing for the majority, </w:t>
      </w:r>
      <w:proofErr w:type="spellStart"/>
      <w:r w:rsidRPr="0084431D">
        <w:rPr>
          <w:rFonts w:cs="Times New Roman"/>
          <w:lang w:val="en-US"/>
        </w:rPr>
        <w:t>Stratas</w:t>
      </w:r>
      <w:proofErr w:type="spellEnd"/>
      <w:r w:rsidRPr="0084431D">
        <w:rPr>
          <w:rFonts w:cs="Times New Roman"/>
          <w:lang w:val="en-US"/>
        </w:rPr>
        <w:t xml:space="preserve"> J.A. agreed that the requirements of procedural fairness were met but held that the Registrar’s interpretation of s. 3(2</w:t>
      </w:r>
      <w:proofErr w:type="gramStart"/>
      <w:r w:rsidRPr="0084431D">
        <w:rPr>
          <w:rFonts w:cs="Times New Roman"/>
          <w:lang w:val="en-US"/>
        </w:rPr>
        <w:t>)(</w:t>
      </w:r>
      <w:proofErr w:type="gramEnd"/>
      <w:r w:rsidRPr="0084431D">
        <w:rPr>
          <w:rFonts w:cs="Times New Roman"/>
          <w:lang w:val="en-US"/>
        </w:rPr>
        <w:t>a) was unreasonable. In his view, only those who enjoy diplomatic privileges and immunities fall within the exception to citizenship found in s. 3(2</w:t>
      </w:r>
      <w:proofErr w:type="gramStart"/>
      <w:r w:rsidRPr="0084431D">
        <w:rPr>
          <w:rFonts w:cs="Times New Roman"/>
          <w:lang w:val="en-US"/>
        </w:rPr>
        <w:t>)(</w:t>
      </w:r>
      <w:proofErr w:type="gramEnd"/>
      <w:r w:rsidRPr="0084431D">
        <w:rPr>
          <w:rFonts w:cs="Times New Roman"/>
          <w:lang w:val="en-US"/>
        </w:rPr>
        <w:t xml:space="preserve">a). Justice </w:t>
      </w:r>
      <w:proofErr w:type="spellStart"/>
      <w:r w:rsidRPr="0084431D">
        <w:rPr>
          <w:rFonts w:cs="Times New Roman"/>
          <w:lang w:val="en-US"/>
        </w:rPr>
        <w:t>Stratas</w:t>
      </w:r>
      <w:proofErr w:type="spellEnd"/>
      <w:r w:rsidRPr="0084431D">
        <w:rPr>
          <w:rFonts w:cs="Times New Roman"/>
          <w:lang w:val="en-US"/>
        </w:rPr>
        <w:t xml:space="preserve"> reached this conclusion after considering the context and purpose of the provision, its legislative history and international law principles related to citizenship and diplomatic privileges and immunities.</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As a general rule, administrative decisions are to be judicially reviewed for reasonableness. None of the correctness exceptions apply to the Registrar’s interpretation of the Act in this case. As such, the standard of review is reasonableness.</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The following provisions of the </w:t>
      </w:r>
      <w:r w:rsidRPr="0084431D">
        <w:rPr>
          <w:rFonts w:cs="Times New Roman"/>
          <w:i/>
          <w:lang w:val="en-US"/>
        </w:rPr>
        <w:t>Citizenship Act</w:t>
      </w:r>
      <w:r w:rsidRPr="0084431D">
        <w:rPr>
          <w:rFonts w:cs="Times New Roman"/>
          <w:lang w:val="en-US"/>
        </w:rPr>
        <w:t xml:space="preserve"> are relevant to this appeal:</w:t>
      </w:r>
    </w:p>
    <w:p w:rsidR="008B0231" w:rsidRPr="0084431D" w:rsidRDefault="008B0231" w:rsidP="008B0231">
      <w:pPr>
        <w:pStyle w:val="Citation-AltC"/>
        <w:rPr>
          <w:b/>
          <w:lang w:val="en-US"/>
        </w:rPr>
      </w:pPr>
      <w:r w:rsidRPr="0084431D">
        <w:rPr>
          <w:b/>
          <w:lang w:val="en-US"/>
        </w:rPr>
        <w:lastRenderedPageBreak/>
        <w:t>Persons who are citizens</w:t>
      </w:r>
    </w:p>
    <w:p w:rsidR="008B0231" w:rsidRPr="0084431D" w:rsidRDefault="008B0231" w:rsidP="008B0231">
      <w:pPr>
        <w:pStyle w:val="Citation-AltC"/>
        <w:rPr>
          <w:b/>
          <w:lang w:val="en-US"/>
        </w:rPr>
      </w:pPr>
    </w:p>
    <w:p w:rsidR="008B0231" w:rsidRPr="0084431D" w:rsidRDefault="008B0231" w:rsidP="008B0231">
      <w:pPr>
        <w:pStyle w:val="Citation-AltC"/>
        <w:rPr>
          <w:lang w:val="en-US"/>
        </w:rPr>
      </w:pPr>
      <w:r w:rsidRPr="0084431D">
        <w:rPr>
          <w:b/>
          <w:lang w:val="en-US"/>
        </w:rPr>
        <w:t>3 (1)</w:t>
      </w:r>
      <w:r w:rsidRPr="0084431D">
        <w:rPr>
          <w:lang w:val="en-US"/>
        </w:rPr>
        <w:t xml:space="preserve"> Subject to this Act, a person is a citizen if</w:t>
      </w:r>
    </w:p>
    <w:p w:rsidR="008B0231" w:rsidRPr="0084431D" w:rsidRDefault="008B0231" w:rsidP="008B0231">
      <w:pPr>
        <w:pStyle w:val="Citation-AltC"/>
        <w:rPr>
          <w:lang w:val="en-US"/>
        </w:rPr>
      </w:pPr>
    </w:p>
    <w:p w:rsidR="008B0231" w:rsidRPr="0084431D" w:rsidRDefault="008B0231" w:rsidP="008B0231">
      <w:pPr>
        <w:pStyle w:val="Citation-AltC"/>
        <w:ind w:left="1890"/>
        <w:rPr>
          <w:lang w:val="en-US"/>
        </w:rPr>
      </w:pPr>
      <w:r w:rsidRPr="0084431D">
        <w:rPr>
          <w:b/>
          <w:lang w:val="en-US"/>
        </w:rPr>
        <w:t>(a)</w:t>
      </w:r>
      <w:r w:rsidRPr="0084431D">
        <w:rPr>
          <w:lang w:val="en-US"/>
        </w:rPr>
        <w:t xml:space="preserve"> </w:t>
      </w:r>
      <w:proofErr w:type="gramStart"/>
      <w:r w:rsidRPr="0084431D">
        <w:rPr>
          <w:lang w:val="en-US"/>
        </w:rPr>
        <w:t>the</w:t>
      </w:r>
      <w:proofErr w:type="gramEnd"/>
      <w:r w:rsidRPr="0084431D">
        <w:rPr>
          <w:lang w:val="en-US"/>
        </w:rPr>
        <w:t xml:space="preserve"> person was born in Canada after February 14, 1977;</w:t>
      </w:r>
    </w:p>
    <w:p w:rsidR="008B0231" w:rsidRPr="0084431D" w:rsidRDefault="008B0231" w:rsidP="008B0231">
      <w:pPr>
        <w:pStyle w:val="Citation-AltC"/>
        <w:jc w:val="center"/>
        <w:rPr>
          <w:lang w:val="en-US"/>
        </w:rPr>
      </w:pPr>
    </w:p>
    <w:p w:rsidR="008B0231" w:rsidRPr="0084431D" w:rsidRDefault="00CE5440" w:rsidP="008B0231">
      <w:pPr>
        <w:pStyle w:val="Citation-AltC"/>
        <w:jc w:val="center"/>
        <w:rPr>
          <w:lang w:val="en-US"/>
        </w:rPr>
      </w:pPr>
      <w:r>
        <w:rPr>
          <w:lang w:val="en-US"/>
        </w:rPr>
        <w:t>. </w:t>
      </w:r>
      <w:r w:rsidR="008B0231">
        <w:rPr>
          <w:lang w:val="en-US"/>
        </w:rPr>
        <w:t>.</w:t>
      </w:r>
      <w:r>
        <w:rPr>
          <w:lang w:val="en-US"/>
        </w:rPr>
        <w:t> </w:t>
      </w:r>
      <w:r w:rsidR="008B0231">
        <w:rPr>
          <w:lang w:val="en-US"/>
        </w:rPr>
        <w:t>.</w:t>
      </w:r>
    </w:p>
    <w:p w:rsidR="008B0231" w:rsidRPr="0084431D" w:rsidRDefault="008B0231" w:rsidP="008B0231">
      <w:pPr>
        <w:pStyle w:val="Citation-AltC"/>
        <w:jc w:val="center"/>
        <w:rPr>
          <w:lang w:val="en-US"/>
        </w:rPr>
      </w:pPr>
    </w:p>
    <w:p w:rsidR="008B0231" w:rsidRPr="0084431D" w:rsidRDefault="008B0231" w:rsidP="008B0231">
      <w:pPr>
        <w:pStyle w:val="Citation-AltC"/>
        <w:rPr>
          <w:b/>
          <w:lang w:val="en-US"/>
        </w:rPr>
      </w:pPr>
      <w:r w:rsidRPr="0084431D">
        <w:rPr>
          <w:b/>
          <w:lang w:val="en-US"/>
        </w:rPr>
        <w:t>Not applicable to children of foreign diplomats, etc.</w:t>
      </w:r>
    </w:p>
    <w:p w:rsidR="008B0231" w:rsidRPr="0084431D" w:rsidRDefault="008B0231" w:rsidP="008B0231">
      <w:pPr>
        <w:pStyle w:val="Citation-AltC"/>
        <w:rPr>
          <w:b/>
          <w:lang w:val="en-US"/>
        </w:rPr>
      </w:pPr>
    </w:p>
    <w:p w:rsidR="008B0231" w:rsidRPr="0084431D" w:rsidRDefault="008B0231" w:rsidP="008B0231">
      <w:pPr>
        <w:pStyle w:val="Citation-AltC"/>
        <w:rPr>
          <w:lang w:val="en-US"/>
        </w:rPr>
      </w:pPr>
      <w:r w:rsidRPr="0084431D">
        <w:rPr>
          <w:b/>
          <w:lang w:val="en-US"/>
        </w:rPr>
        <w:t>(2)</w:t>
      </w:r>
      <w:r w:rsidRPr="0084431D">
        <w:rPr>
          <w:lang w:val="en-US"/>
        </w:rPr>
        <w:t xml:space="preserve"> Paragraph (1</w:t>
      </w:r>
      <w:proofErr w:type="gramStart"/>
      <w:r w:rsidRPr="0084431D">
        <w:rPr>
          <w:lang w:val="en-US"/>
        </w:rPr>
        <w:t>)(</w:t>
      </w:r>
      <w:proofErr w:type="gramEnd"/>
      <w:r w:rsidRPr="0084431D">
        <w:rPr>
          <w:lang w:val="en-US"/>
        </w:rPr>
        <w:t>a) does not apply to a person if, at the time of his birth, neither of his parents was a citizen or lawfully admitted to Canada for permanent residence and either of his parents was</w:t>
      </w:r>
    </w:p>
    <w:p w:rsidR="008B0231" w:rsidRPr="0084431D" w:rsidRDefault="008B0231" w:rsidP="008B0231">
      <w:pPr>
        <w:pStyle w:val="Citation-AltC"/>
        <w:rPr>
          <w:lang w:val="en-US"/>
        </w:rPr>
      </w:pPr>
    </w:p>
    <w:p w:rsidR="008B0231" w:rsidRPr="0084431D" w:rsidRDefault="008B0231" w:rsidP="008B0231">
      <w:pPr>
        <w:pStyle w:val="Citation-AltC"/>
        <w:ind w:left="1890"/>
        <w:rPr>
          <w:lang w:val="en-US"/>
        </w:rPr>
      </w:pPr>
      <w:r w:rsidRPr="0084431D">
        <w:rPr>
          <w:b/>
          <w:lang w:val="en-US"/>
        </w:rPr>
        <w:t>(a)</w:t>
      </w:r>
      <w:r w:rsidRPr="0084431D">
        <w:rPr>
          <w:lang w:val="en-US"/>
        </w:rPr>
        <w:t xml:space="preserve"> </w:t>
      </w:r>
      <w:proofErr w:type="gramStart"/>
      <w:r w:rsidRPr="0084431D">
        <w:rPr>
          <w:lang w:val="en-US"/>
        </w:rPr>
        <w:t>a</w:t>
      </w:r>
      <w:proofErr w:type="gramEnd"/>
      <w:r w:rsidRPr="0084431D">
        <w:rPr>
          <w:lang w:val="en-US"/>
        </w:rPr>
        <w:t xml:space="preserve"> diplomatic or consular officer or other representative or employee in Canada of a foreign government;</w:t>
      </w:r>
    </w:p>
    <w:p w:rsidR="008B0231" w:rsidRPr="0084431D" w:rsidRDefault="008B0231" w:rsidP="008B0231">
      <w:pPr>
        <w:pStyle w:val="Citation-AltC"/>
        <w:ind w:left="1890"/>
        <w:rPr>
          <w:lang w:val="en-US"/>
        </w:rPr>
      </w:pPr>
    </w:p>
    <w:p w:rsidR="008B0231" w:rsidRPr="0084431D" w:rsidRDefault="008B0231" w:rsidP="008B0231">
      <w:pPr>
        <w:pStyle w:val="Citation-AltC"/>
        <w:ind w:left="1890"/>
        <w:rPr>
          <w:lang w:val="en-US"/>
        </w:rPr>
      </w:pPr>
      <w:r w:rsidRPr="0084431D">
        <w:rPr>
          <w:b/>
          <w:lang w:val="en-US"/>
        </w:rPr>
        <w:t>(b)</w:t>
      </w:r>
      <w:r w:rsidRPr="0084431D">
        <w:rPr>
          <w:lang w:val="en-US"/>
        </w:rPr>
        <w:t xml:space="preserve"> </w:t>
      </w:r>
      <w:proofErr w:type="gramStart"/>
      <w:r w:rsidRPr="0084431D">
        <w:rPr>
          <w:lang w:val="en-US"/>
        </w:rPr>
        <w:t>an</w:t>
      </w:r>
      <w:proofErr w:type="gramEnd"/>
      <w:r w:rsidRPr="0084431D">
        <w:rPr>
          <w:lang w:val="en-US"/>
        </w:rPr>
        <w:t xml:space="preserve"> employee in the service of a person referred to in paragraph (a); or</w:t>
      </w:r>
    </w:p>
    <w:p w:rsidR="008B0231" w:rsidRPr="0084431D" w:rsidRDefault="008B0231" w:rsidP="008B0231">
      <w:pPr>
        <w:pStyle w:val="Citation-AltC"/>
        <w:ind w:left="1890"/>
        <w:rPr>
          <w:lang w:val="en-US"/>
        </w:rPr>
      </w:pPr>
    </w:p>
    <w:p w:rsidR="008B0231" w:rsidRPr="0084431D" w:rsidRDefault="008B0231" w:rsidP="008B0231">
      <w:pPr>
        <w:pStyle w:val="Citation-AltC"/>
        <w:keepLines/>
        <w:ind w:left="1888"/>
        <w:rPr>
          <w:lang w:val="en-US"/>
        </w:rPr>
      </w:pPr>
      <w:r w:rsidRPr="0084431D">
        <w:rPr>
          <w:b/>
          <w:lang w:val="en-US"/>
        </w:rPr>
        <w:t>(c)</w:t>
      </w:r>
      <w:r w:rsidRPr="0084431D">
        <w:rPr>
          <w:lang w:val="en-US"/>
        </w:rPr>
        <w:t xml:space="preserve"> an officer or employee in Canada of a specialized agency of the United Nations or an officer or employee in Canada of any other international organization to whom there are granted, by or under any Act of Parliament, diplomatic privileges and immunities certified by the Minister of Foreign Affairs to be equivalent to those granted to a person or persons referred to in paragraph (a).</w:t>
      </w:r>
    </w:p>
    <w:p w:rsidR="008B0231" w:rsidRPr="0084431D" w:rsidRDefault="008B0231" w:rsidP="008B0231">
      <w:pPr>
        <w:pStyle w:val="ContinueParaSuitedupar-AltP"/>
        <w:rPr>
          <w:rFonts w:cs="Times New Roman"/>
          <w:lang w:val="en-US"/>
        </w:rPr>
      </w:pPr>
      <w:r w:rsidRPr="0084431D">
        <w:rPr>
          <w:rFonts w:cs="Times New Roman"/>
          <w:lang w:val="en-US"/>
        </w:rPr>
        <w:t>The general rule embodied in s. 3(1</w:t>
      </w:r>
      <w:proofErr w:type="gramStart"/>
      <w:r w:rsidRPr="0084431D">
        <w:rPr>
          <w:rFonts w:cs="Times New Roman"/>
          <w:lang w:val="en-US"/>
        </w:rPr>
        <w:t>)(</w:t>
      </w:r>
      <w:proofErr w:type="gramEnd"/>
      <w:r w:rsidRPr="0084431D">
        <w:rPr>
          <w:rFonts w:cs="Times New Roman"/>
          <w:lang w:val="en-US"/>
        </w:rPr>
        <w:t xml:space="preserve">a) of the Act is that persons born in Canada are Canadian citizens. Section 3(2) sets out an exception to this rule. As such, if s. 3(2) applies to Mr. </w:t>
      </w:r>
      <w:proofErr w:type="spellStart"/>
      <w:r w:rsidRPr="0084431D">
        <w:rPr>
          <w:rFonts w:cs="Times New Roman"/>
          <w:lang w:val="en-US"/>
        </w:rPr>
        <w:t>Vavilov</w:t>
      </w:r>
      <w:proofErr w:type="spellEnd"/>
      <w:r w:rsidRPr="0084431D">
        <w:rPr>
          <w:rFonts w:cs="Times New Roman"/>
          <w:lang w:val="en-US"/>
        </w:rPr>
        <w:t>, he was never a Canadian citizen.</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The specific issue in this case is whether the Registrar’s interpretation of the statutory exception to citizenship was reasonable. Reasonableness review entails deference to the decision-maker, and we begin our analysis by examining the reasons offered by the Registrar in light of the context and the grounds argued.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lastRenderedPageBreak/>
        <w:t xml:space="preserve">In this case, the Registrar’s letter to </w:t>
      </w:r>
      <w:r>
        <w:rPr>
          <w:rFonts w:cs="Times New Roman"/>
          <w:lang w:val="en-US"/>
        </w:rPr>
        <w:t xml:space="preserve">Mr. </w:t>
      </w:r>
      <w:proofErr w:type="spellStart"/>
      <w:r w:rsidRPr="0084431D">
        <w:rPr>
          <w:rFonts w:cs="Times New Roman"/>
          <w:lang w:val="en-US"/>
        </w:rPr>
        <w:t>Vavilov</w:t>
      </w:r>
      <w:proofErr w:type="spellEnd"/>
      <w:r w:rsidRPr="0084431D">
        <w:rPr>
          <w:rFonts w:cs="Times New Roman"/>
          <w:lang w:val="en-US"/>
        </w:rPr>
        <w:t xml:space="preserve"> summarized the key points underlying her decision. In concluding that </w:t>
      </w:r>
      <w:r>
        <w:rPr>
          <w:rFonts w:cs="Times New Roman"/>
          <w:lang w:val="en-US"/>
        </w:rPr>
        <w:t xml:space="preserve">Mr. </w:t>
      </w:r>
      <w:proofErr w:type="spellStart"/>
      <w:r w:rsidRPr="0084431D">
        <w:rPr>
          <w:rFonts w:cs="Times New Roman"/>
          <w:lang w:val="en-US"/>
        </w:rPr>
        <w:t>Vavilov</w:t>
      </w:r>
      <w:proofErr w:type="spellEnd"/>
      <w:r w:rsidRPr="0084431D">
        <w:rPr>
          <w:rFonts w:cs="Times New Roman"/>
          <w:lang w:val="en-US"/>
        </w:rPr>
        <w:t xml:space="preserve"> was not entitled to Canadian citizenship, the Registrar adopted the recommendations of an analyst employed by Citizenship and Immigration Canada. As such, the analyst’s report properly forms part of the reasons supporting the Registrar’s decision.</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lang w:val="en-US"/>
        </w:rPr>
        <w:t xml:space="preserve">The analyst’s report sought to answer the question of whether </w:t>
      </w:r>
      <w:r>
        <w:rPr>
          <w:rFonts w:cs="Times New Roman"/>
          <w:lang w:val="en-US"/>
        </w:rPr>
        <w:t xml:space="preserve">Mr. </w:t>
      </w:r>
      <w:proofErr w:type="spellStart"/>
      <w:r w:rsidRPr="0084431D">
        <w:rPr>
          <w:rFonts w:cs="Times New Roman"/>
          <w:lang w:val="en-US"/>
        </w:rPr>
        <w:t>Vavilov</w:t>
      </w:r>
      <w:proofErr w:type="spellEnd"/>
      <w:r w:rsidRPr="0084431D">
        <w:rPr>
          <w:rFonts w:cs="Times New Roman"/>
          <w:lang w:val="en-US"/>
        </w:rPr>
        <w:t xml:space="preserve"> was erroneously issued a certificate of Canadian citizenship. The report identifies the key question in this case as being </w:t>
      </w:r>
      <w:r w:rsidRPr="0084431D">
        <w:rPr>
          <w:rFonts w:cs="Times New Roman"/>
        </w:rPr>
        <w:t xml:space="preserve">whether either of </w:t>
      </w:r>
      <w:r>
        <w:rPr>
          <w:rFonts w:cs="Times New Roman"/>
        </w:rPr>
        <w:t xml:space="preserve">Mr. </w:t>
      </w:r>
      <w:proofErr w:type="spellStart"/>
      <w:r w:rsidRPr="0084431D">
        <w:rPr>
          <w:rFonts w:cs="Times New Roman"/>
        </w:rPr>
        <w:t>Vavilov’s</w:t>
      </w:r>
      <w:proofErr w:type="spellEnd"/>
      <w:r w:rsidRPr="0084431D">
        <w:rPr>
          <w:rFonts w:cs="Times New Roman"/>
        </w:rPr>
        <w:t xml:space="preserve"> parents was a “representative” or “employee” of a foreign government within the meaning of s.</w:t>
      </w:r>
      <w:r>
        <w:rPr>
          <w:rFonts w:cs="Times New Roman"/>
        </w:rPr>
        <w:t> </w:t>
      </w:r>
      <w:r w:rsidRPr="0084431D">
        <w:rPr>
          <w:rFonts w:cs="Times New Roman"/>
        </w:rPr>
        <w:t xml:space="preserve">3(2)(a). Much of the report relates to matters not disputed in this appeal, including the legal status of </w:t>
      </w:r>
      <w:r>
        <w:rPr>
          <w:rFonts w:cs="Times New Roman"/>
        </w:rPr>
        <w:t xml:space="preserve">Mr. </w:t>
      </w:r>
      <w:proofErr w:type="spellStart"/>
      <w:r w:rsidRPr="0084431D">
        <w:rPr>
          <w:rFonts w:cs="Times New Roman"/>
        </w:rPr>
        <w:t>Vavilov’s</w:t>
      </w:r>
      <w:proofErr w:type="spellEnd"/>
      <w:r w:rsidRPr="0084431D">
        <w:rPr>
          <w:rFonts w:cs="Times New Roman"/>
        </w:rPr>
        <w:t xml:space="preserve"> parents in Canada and their employment as Russian intelligence agents. </w:t>
      </w:r>
    </w:p>
    <w:p w:rsidR="008B0231" w:rsidRPr="0084431D" w:rsidRDefault="008B0231" w:rsidP="00EB1CF2">
      <w:pPr>
        <w:pStyle w:val="ParaNoNdepar-AltN"/>
        <w:tabs>
          <w:tab w:val="clear" w:pos="1166"/>
          <w:tab w:val="clear" w:pos="1422"/>
          <w:tab w:val="num" w:pos="1152"/>
        </w:tabs>
        <w:ind w:left="0"/>
        <w:rPr>
          <w:rFonts w:cs="Times New Roman"/>
          <w:lang w:val="en-US"/>
        </w:rPr>
      </w:pPr>
      <w:r w:rsidRPr="0084431D">
        <w:rPr>
          <w:rFonts w:cs="Times New Roman"/>
        </w:rPr>
        <w:t>The analyst began her analysis with the text of s. 3(2</w:t>
      </w:r>
      <w:proofErr w:type="gramStart"/>
      <w:r w:rsidRPr="0084431D">
        <w:rPr>
          <w:rFonts w:cs="Times New Roman"/>
        </w:rPr>
        <w:t>)(</w:t>
      </w:r>
      <w:proofErr w:type="gramEnd"/>
      <w:r w:rsidRPr="0084431D">
        <w:rPr>
          <w:rFonts w:cs="Times New Roman"/>
        </w:rPr>
        <w:t xml:space="preserve">a). In concluding that the provision </w:t>
      </w:r>
      <w:r w:rsidRPr="00EB1CF2">
        <w:rPr>
          <w:rFonts w:cs="Times New Roman"/>
          <w:lang w:val="en-US"/>
        </w:rPr>
        <w:t>operates</w:t>
      </w:r>
      <w:r w:rsidRPr="0084431D">
        <w:rPr>
          <w:rFonts w:cs="Times New Roman"/>
        </w:rPr>
        <w:t xml:space="preserve"> to deny </w:t>
      </w:r>
      <w:r>
        <w:rPr>
          <w:rFonts w:cs="Times New Roman"/>
        </w:rPr>
        <w:t xml:space="preserve">Mr. </w:t>
      </w:r>
      <w:proofErr w:type="spellStart"/>
      <w:r w:rsidRPr="0084431D">
        <w:rPr>
          <w:rFonts w:cs="Times New Roman"/>
        </w:rPr>
        <w:t>Vavilov</w:t>
      </w:r>
      <w:proofErr w:type="spellEnd"/>
      <w:r w:rsidRPr="0084431D">
        <w:rPr>
          <w:rFonts w:cs="Times New Roman"/>
        </w:rPr>
        <w:t xml:space="preserve"> Canadian citizenship, she set out two textual arguments. </w:t>
      </w:r>
      <w:r w:rsidRPr="0084431D">
        <w:rPr>
          <w:rFonts w:cs="Times New Roman"/>
          <w:lang w:val="en-US"/>
        </w:rPr>
        <w:t>First, she compared the current version of s. 3(2)(a) to an earlier iteration of the exception found in</w:t>
      </w:r>
      <w:r>
        <w:rPr>
          <w:rFonts w:cs="Times New Roman"/>
          <w:lang w:val="en-US"/>
        </w:rPr>
        <w:t xml:space="preserve"> s. 5(3) of</w:t>
      </w:r>
      <w:r w:rsidRPr="0084431D">
        <w:rPr>
          <w:rFonts w:cs="Times New Roman"/>
          <w:lang w:val="en-US"/>
        </w:rPr>
        <w:t xml:space="preserve"> the </w:t>
      </w:r>
      <w:r w:rsidRPr="0084431D">
        <w:rPr>
          <w:rFonts w:cs="Times New Roman"/>
          <w:i/>
          <w:lang w:val="en-US"/>
        </w:rPr>
        <w:t>Canadian Citizenship Act</w:t>
      </w:r>
      <w:r w:rsidRPr="0084431D">
        <w:rPr>
          <w:rFonts w:cs="Times New Roman"/>
          <w:lang w:val="en-US"/>
        </w:rPr>
        <w:t>, R.S.C. 1970, c.</w:t>
      </w:r>
      <w:r>
        <w:rPr>
          <w:rFonts w:cs="Times New Roman"/>
          <w:lang w:val="en-US"/>
        </w:rPr>
        <w:t> </w:t>
      </w:r>
      <w:r w:rsidRPr="0084431D">
        <w:rPr>
          <w:rFonts w:cs="Times New Roman"/>
          <w:lang w:val="en-US"/>
        </w:rPr>
        <w:t>C</w:t>
      </w:r>
      <w:r w:rsidR="008541CE">
        <w:rPr>
          <w:rFonts w:cs="Times New Roman"/>
          <w:lang w:val="en-US"/>
        </w:rPr>
        <w:t>-</w:t>
      </w:r>
      <w:r w:rsidRPr="0084431D">
        <w:rPr>
          <w:rFonts w:cs="Times New Roman"/>
          <w:lang w:val="en-US"/>
        </w:rPr>
        <w:t>19:</w:t>
      </w:r>
    </w:p>
    <w:p w:rsidR="008B0231" w:rsidRPr="0084431D" w:rsidRDefault="008B0231" w:rsidP="008B0231">
      <w:pPr>
        <w:pStyle w:val="Citation-AltC"/>
        <w:rPr>
          <w:b/>
        </w:rPr>
      </w:pPr>
      <w:r w:rsidRPr="0084431D">
        <w:rPr>
          <w:b/>
        </w:rPr>
        <w:t>Not applicable to children of foreign diplomats, etc.</w:t>
      </w:r>
    </w:p>
    <w:p w:rsidR="008B0231" w:rsidRPr="0084431D" w:rsidRDefault="008B0231" w:rsidP="008B0231">
      <w:pPr>
        <w:pStyle w:val="Citation-AltC"/>
      </w:pPr>
    </w:p>
    <w:p w:rsidR="008B0231" w:rsidRPr="0084431D" w:rsidRDefault="008B0231" w:rsidP="008B0231">
      <w:pPr>
        <w:pStyle w:val="Citation-AltC"/>
      </w:pPr>
      <w:r w:rsidRPr="001454C8">
        <w:t>(3)</w:t>
      </w:r>
      <w:r w:rsidRPr="0084431D">
        <w:t xml:space="preserve"> Subsection (1) does not apply to a person if, at the time of that person’s birth, his responsible parent</w:t>
      </w:r>
    </w:p>
    <w:p w:rsidR="008B0231" w:rsidRPr="0084431D" w:rsidRDefault="008B0231" w:rsidP="008B0231">
      <w:pPr>
        <w:pStyle w:val="Citation-AltC"/>
      </w:pPr>
    </w:p>
    <w:p w:rsidR="008B0231" w:rsidRPr="0084431D" w:rsidRDefault="008B0231" w:rsidP="008B0231">
      <w:pPr>
        <w:pStyle w:val="Citation-AltC"/>
        <w:ind w:left="1890"/>
      </w:pPr>
      <w:r w:rsidRPr="001454C8">
        <w:t>(</w:t>
      </w:r>
      <w:r w:rsidRPr="001454C8">
        <w:rPr>
          <w:i/>
        </w:rPr>
        <w:t>a</w:t>
      </w:r>
      <w:r w:rsidRPr="001454C8">
        <w:t>)</w:t>
      </w:r>
      <w:r w:rsidRPr="0084431D">
        <w:t xml:space="preserve"> </w:t>
      </w:r>
      <w:proofErr w:type="gramStart"/>
      <w:r w:rsidRPr="0084431D">
        <w:t>is</w:t>
      </w:r>
      <w:proofErr w:type="gramEnd"/>
      <w:r w:rsidRPr="0084431D">
        <w:t xml:space="preserve"> an alien who has not been lawfully admitted to Canada for permanent residence; and </w:t>
      </w:r>
    </w:p>
    <w:p w:rsidR="008B0231" w:rsidRPr="0084431D" w:rsidRDefault="008B0231" w:rsidP="008B0231">
      <w:pPr>
        <w:pStyle w:val="Citation-AltC"/>
        <w:ind w:left="1890"/>
      </w:pPr>
    </w:p>
    <w:p w:rsidR="008B0231" w:rsidRPr="0084431D" w:rsidRDefault="008B0231" w:rsidP="008B0231">
      <w:pPr>
        <w:pStyle w:val="Citation-AltC"/>
        <w:ind w:left="1890"/>
      </w:pPr>
      <w:r w:rsidRPr="001454C8">
        <w:t>(</w:t>
      </w:r>
      <w:r w:rsidRPr="001454C8">
        <w:rPr>
          <w:i/>
        </w:rPr>
        <w:t>b</w:t>
      </w:r>
      <w:r w:rsidRPr="001454C8">
        <w:t>)</w:t>
      </w:r>
      <w:r w:rsidRPr="0084431D">
        <w:t xml:space="preserve"> </w:t>
      </w:r>
      <w:proofErr w:type="gramStart"/>
      <w:r w:rsidRPr="0084431D">
        <w:t>is</w:t>
      </w:r>
      <w:proofErr w:type="gramEnd"/>
      <w:r w:rsidRPr="0084431D">
        <w:t xml:space="preserve"> </w:t>
      </w:r>
    </w:p>
    <w:p w:rsidR="008B0231" w:rsidRPr="0084431D" w:rsidRDefault="008B0231" w:rsidP="008B0231">
      <w:pPr>
        <w:pStyle w:val="Citation-AltC"/>
        <w:ind w:left="1800"/>
      </w:pPr>
    </w:p>
    <w:p w:rsidR="008B0231" w:rsidRPr="0084431D" w:rsidRDefault="008B0231" w:rsidP="008B0231">
      <w:pPr>
        <w:pStyle w:val="Citation-AltC"/>
        <w:ind w:left="2610"/>
      </w:pPr>
      <w:r w:rsidRPr="001454C8">
        <w:t>(</w:t>
      </w:r>
      <w:proofErr w:type="spellStart"/>
      <w:r w:rsidRPr="001454C8">
        <w:t>i</w:t>
      </w:r>
      <w:proofErr w:type="spellEnd"/>
      <w:r w:rsidRPr="001454C8">
        <w:t>)</w:t>
      </w:r>
      <w:r w:rsidRPr="0084431D">
        <w:t xml:space="preserve"> </w:t>
      </w:r>
      <w:proofErr w:type="gramStart"/>
      <w:r w:rsidRPr="0084431D">
        <w:t>a</w:t>
      </w:r>
      <w:proofErr w:type="gramEnd"/>
      <w:r w:rsidRPr="0084431D">
        <w:t xml:space="preserve"> foreign diplomatic or consular officer or</w:t>
      </w:r>
      <w:r>
        <w:t xml:space="preserve"> a</w:t>
      </w:r>
      <w:r w:rsidRPr="0084431D">
        <w:t xml:space="preserve"> representative of a foreign government </w:t>
      </w:r>
      <w:r w:rsidRPr="0084431D">
        <w:rPr>
          <w:u w:val="single"/>
        </w:rPr>
        <w:t>accredited to Her Majesty</w:t>
      </w:r>
      <w:r w:rsidRPr="0084431D">
        <w:t>,</w:t>
      </w:r>
    </w:p>
    <w:p w:rsidR="008B0231" w:rsidRPr="0084431D" w:rsidRDefault="008B0231" w:rsidP="008B0231">
      <w:pPr>
        <w:pStyle w:val="Citation-AltC"/>
        <w:ind w:left="2610"/>
      </w:pPr>
    </w:p>
    <w:p w:rsidR="008B0231" w:rsidRPr="0084431D" w:rsidRDefault="008B0231" w:rsidP="008B0231">
      <w:pPr>
        <w:pStyle w:val="Citation-AltC"/>
        <w:ind w:left="2610"/>
      </w:pPr>
      <w:r w:rsidRPr="001454C8">
        <w:t>(ii)</w:t>
      </w:r>
      <w:r w:rsidRPr="0084431D">
        <w:t xml:space="preserve"> </w:t>
      </w:r>
      <w:proofErr w:type="gramStart"/>
      <w:r w:rsidRPr="0084431D">
        <w:t>an</w:t>
      </w:r>
      <w:proofErr w:type="gramEnd"/>
      <w:r w:rsidRPr="0084431D">
        <w:t xml:space="preserve"> employee of a foreign government </w:t>
      </w:r>
      <w:r w:rsidRPr="0084431D">
        <w:rPr>
          <w:u w:val="single"/>
        </w:rPr>
        <w:t>attached to or in the service of a foreign diplomatic mission or consulate in Canada</w:t>
      </w:r>
      <w:r w:rsidRPr="0084431D">
        <w:t>, or</w:t>
      </w:r>
    </w:p>
    <w:p w:rsidR="008B0231" w:rsidRPr="0084431D" w:rsidRDefault="008B0231" w:rsidP="008B0231">
      <w:pPr>
        <w:pStyle w:val="Citation-AltC"/>
        <w:ind w:left="2610"/>
      </w:pPr>
    </w:p>
    <w:p w:rsidR="008B0231" w:rsidRPr="0084431D" w:rsidRDefault="008B0231" w:rsidP="008B0231">
      <w:pPr>
        <w:pStyle w:val="Citation-AltC"/>
        <w:ind w:left="2610"/>
      </w:pPr>
      <w:r w:rsidRPr="001454C8">
        <w:t>(iii)</w:t>
      </w:r>
      <w:r w:rsidRPr="0084431D">
        <w:t xml:space="preserve"> </w:t>
      </w:r>
      <w:proofErr w:type="gramStart"/>
      <w:r w:rsidRPr="0084431D">
        <w:t>an</w:t>
      </w:r>
      <w:proofErr w:type="gramEnd"/>
      <w:r w:rsidRPr="0084431D">
        <w:t xml:space="preserve"> employee in the service of a person referred to in subparagraph (</w:t>
      </w:r>
      <w:proofErr w:type="spellStart"/>
      <w:r w:rsidRPr="0084431D">
        <w:t>i</w:t>
      </w:r>
      <w:proofErr w:type="spellEnd"/>
      <w:r>
        <w:t>).</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The analyst stated that the removal of references to official accreditation or a diplomatic mission indicate that the previous exception was narrower than s.</w:t>
      </w:r>
      <w:r>
        <w:rPr>
          <w:rFonts w:cs="Times New Roman"/>
        </w:rPr>
        <w:t> </w:t>
      </w:r>
      <w:r w:rsidRPr="0084431D">
        <w:rPr>
          <w:rFonts w:cs="Times New Roman"/>
        </w:rPr>
        <w:t>3(2</w:t>
      </w:r>
      <w:proofErr w:type="gramStart"/>
      <w:r w:rsidRPr="0084431D">
        <w:rPr>
          <w:rFonts w:cs="Times New Roman"/>
        </w:rPr>
        <w:t>)(</w:t>
      </w:r>
      <w:proofErr w:type="gramEnd"/>
      <w:r w:rsidRPr="0084431D">
        <w:rPr>
          <w:rFonts w:cs="Times New Roman"/>
        </w:rPr>
        <w:t xml:space="preserve">a). She then pointed out that the definition of “diplomatic or consular officer” in s. 35(1) of the </w:t>
      </w:r>
      <w:r w:rsidRPr="0084431D">
        <w:rPr>
          <w:rFonts w:cs="Times New Roman"/>
          <w:i/>
        </w:rPr>
        <w:t>Interpretation Act</w:t>
      </w:r>
      <w:r w:rsidRPr="0084431D">
        <w:rPr>
          <w:rFonts w:cs="Times New Roman"/>
        </w:rPr>
        <w:t>, R.S.C. 1985, c. I-21</w:t>
      </w:r>
      <w:r>
        <w:rPr>
          <w:rFonts w:cs="Times New Roman"/>
        </w:rPr>
        <w:t xml:space="preserve">, </w:t>
      </w:r>
      <w:r w:rsidRPr="0084431D">
        <w:rPr>
          <w:rFonts w:cs="Times New Roman"/>
        </w:rPr>
        <w:t>clearly associates these individuals with diplomatic positions. Because the current version of s. 3(2</w:t>
      </w:r>
      <w:proofErr w:type="gramStart"/>
      <w:r w:rsidRPr="0084431D">
        <w:rPr>
          <w:rFonts w:cs="Times New Roman"/>
        </w:rPr>
        <w:t>)(</w:t>
      </w:r>
      <w:proofErr w:type="gramEnd"/>
      <w:r w:rsidRPr="0084431D">
        <w:rPr>
          <w:rFonts w:cs="Times New Roman"/>
        </w:rPr>
        <w:t>a) does not link “</w:t>
      </w:r>
      <w:r w:rsidRPr="0084431D">
        <w:rPr>
          <w:rFonts w:cs="Times New Roman"/>
          <w:lang w:val="en-US"/>
        </w:rPr>
        <w:t>other representative or employee in Canada of a foreign government</w:t>
      </w:r>
      <w:r w:rsidRPr="0084431D">
        <w:rPr>
          <w:rFonts w:cs="Times New Roman"/>
        </w:rPr>
        <w:t xml:space="preserve">” to a diplomatic mission, the analyst determined “it is reasonable to maintain that this provision intends to encompass individuals not included in the definition of ‘diplomatic and consular staff.’” Finally, the analyst stated that the phrase “other representative or employee in Canada of a foreign government” has not been previously interpreted by a court.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Beyond </w:t>
      </w:r>
      <w:r w:rsidRPr="00EB1CF2">
        <w:rPr>
          <w:rFonts w:cs="Times New Roman"/>
          <w:lang w:val="en-US"/>
        </w:rPr>
        <w:t>the</w:t>
      </w:r>
      <w:r w:rsidRPr="0084431D">
        <w:rPr>
          <w:rFonts w:cs="Times New Roman"/>
        </w:rPr>
        <w:t xml:space="preserve"> analyst’s report, there is little in the record to supplement the Registrar’s reasons. There is no evidence about whether the Registrar has previously applied this provision to individuals like </w:t>
      </w:r>
      <w:r>
        <w:rPr>
          <w:rFonts w:cs="Times New Roman"/>
        </w:rPr>
        <w:t xml:space="preserve">Mr. </w:t>
      </w:r>
      <w:proofErr w:type="spellStart"/>
      <w:r w:rsidRPr="0084431D">
        <w:rPr>
          <w:rFonts w:cs="Times New Roman"/>
        </w:rPr>
        <w:t>Vavilov</w:t>
      </w:r>
      <w:proofErr w:type="spellEnd"/>
      <w:r w:rsidRPr="0084431D">
        <w:rPr>
          <w:rFonts w:cs="Times New Roman"/>
        </w:rPr>
        <w:t xml:space="preserve">, whose parents did not enjoy diplomatic privileges and immunities. Neither does there appear to be any internal </w:t>
      </w:r>
      <w:r w:rsidRPr="0084431D">
        <w:rPr>
          <w:rFonts w:cs="Times New Roman"/>
        </w:rPr>
        <w:lastRenderedPageBreak/>
        <w:t>policy, guideline or legal opinion to guide the Registrar in making these types of decisions.</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In </w:t>
      </w:r>
      <w:r w:rsidRPr="00EB1CF2">
        <w:rPr>
          <w:rFonts w:cs="Times New Roman"/>
          <w:lang w:val="en-US"/>
        </w:rPr>
        <w:t>challenging</w:t>
      </w:r>
      <w:r w:rsidRPr="0084431D">
        <w:rPr>
          <w:rFonts w:cs="Times New Roman"/>
        </w:rPr>
        <w:t xml:space="preserve"> the Registrar’s decision, </w:t>
      </w:r>
      <w:r>
        <w:rPr>
          <w:rFonts w:cs="Times New Roman"/>
        </w:rPr>
        <w:t xml:space="preserve">Mr. </w:t>
      </w:r>
      <w:proofErr w:type="spellStart"/>
      <w:r w:rsidRPr="0084431D">
        <w:rPr>
          <w:rFonts w:cs="Times New Roman"/>
        </w:rPr>
        <w:t>Vavilov</w:t>
      </w:r>
      <w:proofErr w:type="spellEnd"/>
      <w:r w:rsidRPr="0084431D">
        <w:rPr>
          <w:rFonts w:cs="Times New Roman"/>
        </w:rPr>
        <w:t xml:space="preserve"> bears the onus of demonstrating why it is not reasonable. Before this Court, </w:t>
      </w:r>
      <w:r>
        <w:rPr>
          <w:rFonts w:cs="Times New Roman"/>
        </w:rPr>
        <w:t xml:space="preserve">Mr. </w:t>
      </w:r>
      <w:proofErr w:type="spellStart"/>
      <w:r w:rsidRPr="0084431D">
        <w:rPr>
          <w:rFonts w:cs="Times New Roman"/>
        </w:rPr>
        <w:t>Vavilov</w:t>
      </w:r>
      <w:proofErr w:type="spellEnd"/>
      <w:r w:rsidRPr="0084431D">
        <w:rPr>
          <w:rFonts w:cs="Times New Roman"/>
        </w:rPr>
        <w:t xml:space="preserve"> submitted that the analyst focussed solely on the text of the exception to citizenship. In his view, had the broader objectives of s. 3(2</w:t>
      </w:r>
      <w:proofErr w:type="gramStart"/>
      <w:r w:rsidRPr="0084431D">
        <w:rPr>
          <w:rFonts w:cs="Times New Roman"/>
        </w:rPr>
        <w:t>)(</w:t>
      </w:r>
      <w:proofErr w:type="gramEnd"/>
      <w:r w:rsidRPr="0084431D">
        <w:rPr>
          <w:rFonts w:cs="Times New Roman"/>
        </w:rPr>
        <w:t xml:space="preserve">a) been considered, the analyst would have concluded that “other representative” or “employee” only applies to individuals who benefit from diplomatic privileges and immunities.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In his submissions before the Registrar, </w:t>
      </w:r>
      <w:r>
        <w:rPr>
          <w:rFonts w:cs="Times New Roman"/>
        </w:rPr>
        <w:t xml:space="preserve">Mr. </w:t>
      </w:r>
      <w:proofErr w:type="spellStart"/>
      <w:r w:rsidRPr="0084431D">
        <w:rPr>
          <w:rFonts w:cs="Times New Roman"/>
        </w:rPr>
        <w:t>Vavilov</w:t>
      </w:r>
      <w:proofErr w:type="spellEnd"/>
      <w:r w:rsidRPr="0084431D">
        <w:rPr>
          <w:rFonts w:cs="Times New Roman"/>
        </w:rPr>
        <w:t xml:space="preserve"> offered three reasons why the text of s. 3(2) must be read against the backdrop of Canadian and international law relating to the roles and functions of diplomats.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First, </w:t>
      </w:r>
      <w:r>
        <w:rPr>
          <w:rFonts w:cs="Times New Roman"/>
        </w:rPr>
        <w:t xml:space="preserve">Mr. </w:t>
      </w:r>
      <w:proofErr w:type="spellStart"/>
      <w:r w:rsidRPr="0084431D">
        <w:rPr>
          <w:rFonts w:cs="Times New Roman"/>
        </w:rPr>
        <w:t>Vavilov</w:t>
      </w:r>
      <w:proofErr w:type="spellEnd"/>
      <w:r w:rsidRPr="0084431D">
        <w:rPr>
          <w:rFonts w:cs="Times New Roman"/>
        </w:rPr>
        <w:t xml:space="preserve"> explained that s. 3(2)(a) should be read in conjunction with the </w:t>
      </w:r>
      <w:r w:rsidRPr="0084431D">
        <w:rPr>
          <w:rFonts w:cs="Times New Roman"/>
          <w:i/>
        </w:rPr>
        <w:t>Foreign Missions and International Organizations Act</w:t>
      </w:r>
      <w:r w:rsidRPr="0084431D">
        <w:rPr>
          <w:rFonts w:cs="Times New Roman"/>
        </w:rPr>
        <w:t>, S.C. 1991, c. 41 (</w:t>
      </w:r>
      <w:r>
        <w:rPr>
          <w:rFonts w:cs="Times New Roman"/>
        </w:rPr>
        <w:t>“</w:t>
      </w:r>
      <w:r w:rsidRPr="0084431D">
        <w:rPr>
          <w:rFonts w:cs="Times New Roman"/>
          <w:i/>
        </w:rPr>
        <w:t>FMIOA</w:t>
      </w:r>
      <w:r>
        <w:rPr>
          <w:rFonts w:cs="Times New Roman"/>
          <w:i/>
        </w:rPr>
        <w:t>”</w:t>
      </w:r>
      <w:r w:rsidRPr="0084431D">
        <w:rPr>
          <w:rFonts w:cs="Times New Roman"/>
        </w:rPr>
        <w:t xml:space="preserve">). This </w:t>
      </w:r>
      <w:r w:rsidRPr="00EB1CF2">
        <w:rPr>
          <w:rFonts w:cs="Times New Roman"/>
          <w:lang w:val="en-US"/>
        </w:rPr>
        <w:t>statute</w:t>
      </w:r>
      <w:r w:rsidRPr="0084431D">
        <w:rPr>
          <w:rFonts w:cs="Times New Roman"/>
        </w:rPr>
        <w:t xml:space="preserve"> incorporates into Canadian law aspects of the </w:t>
      </w:r>
      <w:r w:rsidRPr="0084431D">
        <w:rPr>
          <w:rFonts w:cs="Times New Roman"/>
          <w:i/>
        </w:rPr>
        <w:t>Vienna Convention on Diplomatic Relations</w:t>
      </w:r>
      <w:r w:rsidRPr="0084431D">
        <w:rPr>
          <w:rFonts w:cs="Times New Roman"/>
        </w:rPr>
        <w:t>,</w:t>
      </w:r>
      <w:r>
        <w:rPr>
          <w:rFonts w:cs="Times New Roman"/>
        </w:rPr>
        <w:t xml:space="preserve"> Can. T.S. 1966 No. 29,</w:t>
      </w:r>
      <w:r w:rsidRPr="0084431D">
        <w:rPr>
          <w:rFonts w:cs="Times New Roman"/>
        </w:rPr>
        <w:t xml:space="preserve"> Sched. I to the </w:t>
      </w:r>
      <w:r w:rsidRPr="0084431D">
        <w:rPr>
          <w:rFonts w:cs="Times New Roman"/>
          <w:i/>
        </w:rPr>
        <w:t>FMIOA</w:t>
      </w:r>
      <w:r w:rsidRPr="0084431D">
        <w:rPr>
          <w:rFonts w:cs="Times New Roman"/>
        </w:rPr>
        <w:t xml:space="preserve">, and the </w:t>
      </w:r>
      <w:r w:rsidRPr="0084431D">
        <w:rPr>
          <w:rFonts w:cs="Times New Roman"/>
          <w:i/>
        </w:rPr>
        <w:t>Vienna Convention on Consular Relations</w:t>
      </w:r>
      <w:r w:rsidRPr="0084431D">
        <w:rPr>
          <w:rFonts w:cs="Times New Roman"/>
        </w:rPr>
        <w:t>,</w:t>
      </w:r>
      <w:r>
        <w:rPr>
          <w:rFonts w:cs="Times New Roman"/>
        </w:rPr>
        <w:t xml:space="preserve"> Can. T.S. 1974 No. 25,</w:t>
      </w:r>
      <w:r w:rsidRPr="0084431D">
        <w:rPr>
          <w:rFonts w:cs="Times New Roman"/>
        </w:rPr>
        <w:t xml:space="preserve"> Sched. II to the </w:t>
      </w:r>
      <w:r w:rsidRPr="0084431D">
        <w:rPr>
          <w:rFonts w:cs="Times New Roman"/>
          <w:i/>
        </w:rPr>
        <w:t>FMIOA</w:t>
      </w:r>
      <w:r w:rsidRPr="0084431D">
        <w:rPr>
          <w:rFonts w:cs="Times New Roman"/>
        </w:rPr>
        <w:t xml:space="preserve">, which deal with diplomatic privileges and immunities. He submitted that s. 3(2) denies citizenship to children of diplomats because diplomatic privileges and immunities, including immunity from criminal prosecution and civil liability, are inconsistent with the duties and responsibilities of a citizen. Because </w:t>
      </w:r>
      <w:r>
        <w:rPr>
          <w:rFonts w:cs="Times New Roman"/>
        </w:rPr>
        <w:t xml:space="preserve">Mr. </w:t>
      </w:r>
      <w:proofErr w:type="spellStart"/>
      <w:r w:rsidRPr="0084431D">
        <w:rPr>
          <w:rFonts w:cs="Times New Roman"/>
        </w:rPr>
        <w:t>Vavilov’s</w:t>
      </w:r>
      <w:proofErr w:type="spellEnd"/>
      <w:r w:rsidRPr="0084431D">
        <w:rPr>
          <w:rFonts w:cs="Times New Roman"/>
        </w:rPr>
        <w:t xml:space="preserve"> </w:t>
      </w:r>
      <w:r w:rsidRPr="0084431D">
        <w:rPr>
          <w:rFonts w:cs="Times New Roman"/>
        </w:rPr>
        <w:lastRenderedPageBreak/>
        <w:t xml:space="preserve">parents did not enjoy such privileges and immunities, there would be no purpose in excluding their children born in Canada from becoming Canadian citizens.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Second, </w:t>
      </w:r>
      <w:r>
        <w:rPr>
          <w:rFonts w:cs="Times New Roman"/>
        </w:rPr>
        <w:t xml:space="preserve">Mr. </w:t>
      </w:r>
      <w:proofErr w:type="spellStart"/>
      <w:r w:rsidRPr="0084431D">
        <w:rPr>
          <w:rFonts w:cs="Times New Roman"/>
        </w:rPr>
        <w:t>Vavilov</w:t>
      </w:r>
      <w:proofErr w:type="spellEnd"/>
      <w:r w:rsidRPr="0084431D">
        <w:rPr>
          <w:rFonts w:cs="Times New Roman"/>
        </w:rPr>
        <w:t xml:space="preserve"> provided the Registrar with Hansard committee meeting minutes such as the comments of the Hon</w:t>
      </w:r>
      <w:r w:rsidR="005D3416">
        <w:rPr>
          <w:rFonts w:cs="Times New Roman"/>
        </w:rPr>
        <w:t>.</w:t>
      </w:r>
      <w:r w:rsidRPr="0084431D">
        <w:rPr>
          <w:rFonts w:cs="Times New Roman"/>
        </w:rPr>
        <w:t xml:space="preserve"> J. Hugh Faulkner, Secretary of State, when introducing the amendments to s. 3(2), who explained that the provision had been redrafted to narrow the exception to citizenship.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Third, </w:t>
      </w:r>
      <w:r>
        <w:rPr>
          <w:rFonts w:cs="Times New Roman"/>
        </w:rPr>
        <w:t xml:space="preserve">Mr. </w:t>
      </w:r>
      <w:proofErr w:type="spellStart"/>
      <w:r w:rsidRPr="0084431D">
        <w:rPr>
          <w:rFonts w:cs="Times New Roman"/>
        </w:rPr>
        <w:t>Vavilov</w:t>
      </w:r>
      <w:proofErr w:type="spellEnd"/>
      <w:r w:rsidRPr="0084431D">
        <w:rPr>
          <w:rFonts w:cs="Times New Roman"/>
        </w:rPr>
        <w:t xml:space="preserve"> cited case law, arguing that: (</w:t>
      </w:r>
      <w:proofErr w:type="spellStart"/>
      <w:r w:rsidRPr="0084431D">
        <w:rPr>
          <w:rFonts w:cs="Times New Roman"/>
        </w:rPr>
        <w:t>i</w:t>
      </w:r>
      <w:proofErr w:type="spellEnd"/>
      <w:r w:rsidRPr="0084431D">
        <w:rPr>
          <w:rFonts w:cs="Times New Roman"/>
        </w:rPr>
        <w:t>) the exception to citizenship should be narrowly construed because it takes away substantive rights (</w:t>
      </w:r>
      <w:r w:rsidRPr="0084431D">
        <w:rPr>
          <w:rFonts w:cs="Times New Roman"/>
          <w:i/>
        </w:rPr>
        <w:t>Brossard</w:t>
      </w:r>
      <w:r>
        <w:rPr>
          <w:rFonts w:cs="Times New Roman"/>
          <w:i/>
        </w:rPr>
        <w:t xml:space="preserve"> (Town)</w:t>
      </w:r>
      <w:r w:rsidRPr="0084431D">
        <w:rPr>
          <w:rFonts w:cs="Times New Roman"/>
          <w:i/>
        </w:rPr>
        <w:t xml:space="preserve"> v. Quebec</w:t>
      </w:r>
      <w:r>
        <w:rPr>
          <w:rFonts w:cs="Times New Roman"/>
          <w:i/>
        </w:rPr>
        <w:t xml:space="preserve"> Commission des droits de la </w:t>
      </w:r>
      <w:proofErr w:type="spellStart"/>
      <w:r>
        <w:rPr>
          <w:rFonts w:cs="Times New Roman"/>
          <w:i/>
        </w:rPr>
        <w:t>personne</w:t>
      </w:r>
      <w:proofErr w:type="spellEnd"/>
      <w:r w:rsidRPr="001D0107">
        <w:rPr>
          <w:rFonts w:cs="Times New Roman"/>
        </w:rPr>
        <w:t>,</w:t>
      </w:r>
      <w:r w:rsidRPr="0084431D">
        <w:rPr>
          <w:rFonts w:cs="Times New Roman"/>
          <w:i/>
        </w:rPr>
        <w:t xml:space="preserve"> </w:t>
      </w:r>
      <w:r w:rsidRPr="0084431D">
        <w:rPr>
          <w:rFonts w:cs="Times New Roman"/>
        </w:rPr>
        <w:t>[1988] 2 S.C.R. 279, at p. 307); (ii) s. 3(2)(a) must be interpreted functionally and purposively (</w:t>
      </w:r>
      <w:proofErr w:type="spellStart"/>
      <w:r w:rsidRPr="0084431D">
        <w:rPr>
          <w:rFonts w:cs="Times New Roman"/>
          <w:i/>
        </w:rPr>
        <w:t>Medovarski</w:t>
      </w:r>
      <w:proofErr w:type="spellEnd"/>
      <w:r w:rsidRPr="0084431D">
        <w:rPr>
          <w:rFonts w:cs="Times New Roman"/>
          <w:i/>
        </w:rPr>
        <w:t xml:space="preserve"> v. Canada</w:t>
      </w:r>
      <w:r>
        <w:rPr>
          <w:rFonts w:cs="Times New Roman"/>
          <w:i/>
        </w:rPr>
        <w:t xml:space="preserve"> (Minister of Citizenship and Immigration)</w:t>
      </w:r>
      <w:r w:rsidRPr="0084431D">
        <w:rPr>
          <w:rFonts w:cs="Times New Roman"/>
        </w:rPr>
        <w:t>, [2005] 2 S.C.R. 539, at para. 8); and (iii) because</w:t>
      </w:r>
      <w:r>
        <w:rPr>
          <w:rFonts w:cs="Times New Roman"/>
        </w:rPr>
        <w:t xml:space="preserve"> Mr.</w:t>
      </w:r>
      <w:r w:rsidRPr="0084431D">
        <w:rPr>
          <w:rFonts w:cs="Times New Roman"/>
        </w:rPr>
        <w:t xml:space="preserve"> </w:t>
      </w:r>
      <w:proofErr w:type="spellStart"/>
      <w:r w:rsidRPr="0084431D">
        <w:rPr>
          <w:rFonts w:cs="Times New Roman"/>
        </w:rPr>
        <w:t>Vavilov’s</w:t>
      </w:r>
      <w:proofErr w:type="spellEnd"/>
      <w:r w:rsidRPr="0084431D">
        <w:rPr>
          <w:rFonts w:cs="Times New Roman"/>
        </w:rPr>
        <w:t xml:space="preserve"> parents were not immune from criminal or civil proceedings, they fall outside the scope of s. 3(2) (</w:t>
      </w:r>
      <w:r w:rsidRPr="0084431D">
        <w:rPr>
          <w:rFonts w:cs="Times New Roman"/>
          <w:i/>
        </w:rPr>
        <w:t>Greco v. Holy See</w:t>
      </w:r>
      <w:r>
        <w:rPr>
          <w:rFonts w:cs="Times New Roman"/>
          <w:i/>
        </w:rPr>
        <w:t xml:space="preserve"> (State of the Vatican City)</w:t>
      </w:r>
      <w:r w:rsidRPr="0084431D">
        <w:rPr>
          <w:rFonts w:cs="Times New Roman"/>
        </w:rPr>
        <w:t>, [1999] O.J. No. 2467</w:t>
      </w:r>
      <w:r>
        <w:rPr>
          <w:rFonts w:cs="Times New Roman"/>
        </w:rPr>
        <w:t xml:space="preserve"> (QL)</w:t>
      </w:r>
      <w:r w:rsidRPr="0084431D">
        <w:rPr>
          <w:rFonts w:cs="Times New Roman"/>
        </w:rPr>
        <w:t xml:space="preserve"> (S.C.</w:t>
      </w:r>
      <w:r>
        <w:rPr>
          <w:rFonts w:cs="Times New Roman"/>
        </w:rPr>
        <w:t>J.</w:t>
      </w:r>
      <w:r w:rsidRPr="0084431D">
        <w:rPr>
          <w:rFonts w:cs="Times New Roman"/>
        </w:rPr>
        <w:t xml:space="preserve">); </w:t>
      </w:r>
      <w:r w:rsidRPr="0084431D">
        <w:rPr>
          <w:rFonts w:cs="Times New Roman"/>
          <w:i/>
        </w:rPr>
        <w:t xml:space="preserve">R. v. </w:t>
      </w:r>
      <w:proofErr w:type="spellStart"/>
      <w:r w:rsidRPr="0084431D">
        <w:rPr>
          <w:rFonts w:cs="Times New Roman"/>
          <w:i/>
        </w:rPr>
        <w:t>Bonadie</w:t>
      </w:r>
      <w:proofErr w:type="spellEnd"/>
      <w:r w:rsidRPr="0084431D">
        <w:rPr>
          <w:rFonts w:cs="Times New Roman"/>
          <w:i/>
        </w:rPr>
        <w:t xml:space="preserve"> </w:t>
      </w:r>
      <w:r w:rsidRPr="0084431D">
        <w:rPr>
          <w:rFonts w:cs="Times New Roman"/>
        </w:rPr>
        <w:t xml:space="preserve">(1996), 109 C.C.C. (3d) 356 (Ont. C.J.); </w:t>
      </w:r>
      <w:r w:rsidRPr="0084431D">
        <w:rPr>
          <w:rFonts w:cs="Times New Roman"/>
          <w:i/>
        </w:rPr>
        <w:t>Al-</w:t>
      </w:r>
      <w:proofErr w:type="spellStart"/>
      <w:r w:rsidRPr="0084431D">
        <w:rPr>
          <w:rFonts w:cs="Times New Roman"/>
          <w:i/>
        </w:rPr>
        <w:t>Ghamdi</w:t>
      </w:r>
      <w:proofErr w:type="spellEnd"/>
      <w:r w:rsidRPr="0084431D">
        <w:rPr>
          <w:rFonts w:cs="Times New Roman"/>
          <w:i/>
        </w:rPr>
        <w:t xml:space="preserve"> v. Canada (Minister of Foreign Affairs </w:t>
      </w:r>
      <w:r w:rsidR="000617B3">
        <w:rPr>
          <w:rFonts w:cs="Times New Roman"/>
          <w:i/>
        </w:rPr>
        <w:t>and</w:t>
      </w:r>
      <w:r w:rsidRPr="0084431D">
        <w:rPr>
          <w:rFonts w:cs="Times New Roman"/>
          <w:i/>
        </w:rPr>
        <w:t xml:space="preserve"> International Trade</w:t>
      </w:r>
      <w:r w:rsidRPr="001D0107">
        <w:rPr>
          <w:rFonts w:cs="Times New Roman"/>
          <w:i/>
        </w:rPr>
        <w:t>)</w:t>
      </w:r>
      <w:r w:rsidRPr="0084431D">
        <w:rPr>
          <w:rFonts w:cs="Times New Roman"/>
        </w:rPr>
        <w:t xml:space="preserve"> </w:t>
      </w:r>
      <w:r>
        <w:rPr>
          <w:rFonts w:cs="Times New Roman"/>
        </w:rPr>
        <w:t xml:space="preserve">(2007), 64 </w:t>
      </w:r>
      <w:proofErr w:type="spellStart"/>
      <w:r>
        <w:rPr>
          <w:rFonts w:cs="Times New Roman"/>
        </w:rPr>
        <w:t>Imm</w:t>
      </w:r>
      <w:proofErr w:type="spellEnd"/>
      <w:r>
        <w:rPr>
          <w:rFonts w:cs="Times New Roman"/>
        </w:rPr>
        <w:t>. L.R. (3d) 67 (F.C.)</w:t>
      </w:r>
      <w:r w:rsidR="000A533F">
        <w:rPr>
          <w:rFonts w:cs="Times New Roman"/>
        </w:rPr>
        <w:t>).</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The Federal Court’s decision in </w:t>
      </w:r>
      <w:r w:rsidRPr="0084431D">
        <w:rPr>
          <w:rFonts w:cs="Times New Roman"/>
          <w:i/>
        </w:rPr>
        <w:t>Al-</w:t>
      </w:r>
      <w:proofErr w:type="spellStart"/>
      <w:r w:rsidRPr="0084431D">
        <w:rPr>
          <w:rFonts w:cs="Times New Roman"/>
          <w:i/>
        </w:rPr>
        <w:t>Ghamdi</w:t>
      </w:r>
      <w:proofErr w:type="spellEnd"/>
      <w:r w:rsidRPr="0084431D">
        <w:rPr>
          <w:rFonts w:cs="Times New Roman"/>
        </w:rPr>
        <w:t>, a case which challenged the constitutionality of s. 3(2</w:t>
      </w:r>
      <w:proofErr w:type="gramStart"/>
      <w:r w:rsidRPr="0084431D">
        <w:rPr>
          <w:rFonts w:cs="Times New Roman"/>
        </w:rPr>
        <w:t>)(</w:t>
      </w:r>
      <w:proofErr w:type="gramEnd"/>
      <w:r w:rsidRPr="0084431D">
        <w:rPr>
          <w:rFonts w:cs="Times New Roman"/>
        </w:rPr>
        <w:t>a), was particularly relevant. In that case, Shore J. wrote that s. 3(2</w:t>
      </w:r>
      <w:proofErr w:type="gramStart"/>
      <w:r w:rsidRPr="0084431D">
        <w:rPr>
          <w:rFonts w:cs="Times New Roman"/>
        </w:rPr>
        <w:t>)(</w:t>
      </w:r>
      <w:proofErr w:type="gramEnd"/>
      <w:r w:rsidRPr="0084431D">
        <w:rPr>
          <w:rFonts w:cs="Times New Roman"/>
        </w:rPr>
        <w:t>a) only applies to the “children of individuals with diplomatic status” (paras. 5</w:t>
      </w:r>
      <w:r>
        <w:rPr>
          <w:rFonts w:cs="Times New Roman"/>
        </w:rPr>
        <w:t xml:space="preserve"> and</w:t>
      </w:r>
      <w:r w:rsidRPr="0084431D">
        <w:rPr>
          <w:rFonts w:cs="Times New Roman"/>
        </w:rPr>
        <w:t xml:space="preserve"> 65). Justice Shore also stated that “[</w:t>
      </w:r>
      <w:proofErr w:type="spellStart"/>
      <w:r w:rsidRPr="0084431D">
        <w:rPr>
          <w:rFonts w:cs="Times New Roman"/>
        </w:rPr>
        <w:t>i</w:t>
      </w:r>
      <w:proofErr w:type="spellEnd"/>
      <w:r w:rsidRPr="0084431D">
        <w:rPr>
          <w:rFonts w:cs="Times New Roman"/>
        </w:rPr>
        <w:t xml:space="preserve">]t is precisely because of the vast array of privileges accorded to diplomats and their families, which are by their very nature </w:t>
      </w:r>
      <w:r w:rsidRPr="0084431D">
        <w:rPr>
          <w:rFonts w:cs="Times New Roman"/>
        </w:rPr>
        <w:lastRenderedPageBreak/>
        <w:t xml:space="preserve">inconsistent with the obligations of citizenship, that a person who enjoys diplomatic status cannot acquire citizenship” (para. 63).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The </w:t>
      </w:r>
      <w:r w:rsidRPr="00EB1CF2">
        <w:rPr>
          <w:rFonts w:cs="Times New Roman"/>
          <w:lang w:val="en-US"/>
        </w:rPr>
        <w:t>Registrar’s</w:t>
      </w:r>
      <w:r w:rsidRPr="0084431D">
        <w:rPr>
          <w:rFonts w:cs="Times New Roman"/>
        </w:rPr>
        <w:t xml:space="preserve"> reasons failed to respond to </w:t>
      </w:r>
      <w:r>
        <w:rPr>
          <w:rFonts w:cs="Times New Roman"/>
        </w:rPr>
        <w:t xml:space="preserve">Mr. </w:t>
      </w:r>
      <w:proofErr w:type="spellStart"/>
      <w:r w:rsidRPr="0084431D">
        <w:rPr>
          <w:rFonts w:cs="Times New Roman"/>
        </w:rPr>
        <w:t>Vavilov’s</w:t>
      </w:r>
      <w:proofErr w:type="spellEnd"/>
      <w:r w:rsidRPr="0084431D">
        <w:rPr>
          <w:rFonts w:cs="Times New Roman"/>
        </w:rPr>
        <w:t xml:space="preserve"> extensive and compelling submissions about the objectives of s. 3(2</w:t>
      </w:r>
      <w:proofErr w:type="gramStart"/>
      <w:r w:rsidRPr="0084431D">
        <w:rPr>
          <w:rFonts w:cs="Times New Roman"/>
        </w:rPr>
        <w:t>)(</w:t>
      </w:r>
      <w:proofErr w:type="gramEnd"/>
      <w:r w:rsidRPr="0084431D">
        <w:rPr>
          <w:rFonts w:cs="Times New Roman"/>
        </w:rPr>
        <w:t xml:space="preserve">a). It appears that the analyst misunderstood </w:t>
      </w:r>
      <w:r>
        <w:rPr>
          <w:rFonts w:cs="Times New Roman"/>
        </w:rPr>
        <w:t xml:space="preserve">Mr. </w:t>
      </w:r>
      <w:proofErr w:type="spellStart"/>
      <w:r w:rsidRPr="0084431D">
        <w:rPr>
          <w:rFonts w:cs="Times New Roman"/>
        </w:rPr>
        <w:t>Vavilov’s</w:t>
      </w:r>
      <w:proofErr w:type="spellEnd"/>
      <w:r w:rsidRPr="0084431D">
        <w:rPr>
          <w:rFonts w:cs="Times New Roman"/>
        </w:rPr>
        <w:t xml:space="preserve"> arguments on this point. In discussing the scope of s.</w:t>
      </w:r>
      <w:r>
        <w:rPr>
          <w:rFonts w:cs="Times New Roman"/>
        </w:rPr>
        <w:t> </w:t>
      </w:r>
      <w:r w:rsidRPr="0084431D">
        <w:rPr>
          <w:rFonts w:cs="Times New Roman"/>
        </w:rPr>
        <w:t>3(2), she wrote, “[c]</w:t>
      </w:r>
      <w:proofErr w:type="spellStart"/>
      <w:r w:rsidRPr="0084431D">
        <w:rPr>
          <w:rFonts w:cs="Times New Roman"/>
        </w:rPr>
        <w:t>ounsel</w:t>
      </w:r>
      <w:proofErr w:type="spellEnd"/>
      <w:r w:rsidRPr="0084431D">
        <w:rPr>
          <w:rFonts w:cs="Times New Roman"/>
        </w:rPr>
        <w:t xml:space="preserve"> argues that</w:t>
      </w:r>
      <w:r>
        <w:rPr>
          <w:rFonts w:cs="Times New Roman"/>
        </w:rPr>
        <w:t xml:space="preserve"> CIC [Citizenship and</w:t>
      </w:r>
      <w:r w:rsidRPr="0084431D">
        <w:rPr>
          <w:rFonts w:cs="Times New Roman"/>
        </w:rPr>
        <w:t xml:space="preserve"> Immigration Canada] cannot invoke subsection 3(2) because CIC has not requested or obtained verification with the Foreign Affairs Protocol to prove that [</w:t>
      </w:r>
      <w:r>
        <w:rPr>
          <w:rFonts w:cs="Times New Roman"/>
        </w:rPr>
        <w:t xml:space="preserve">Mr. </w:t>
      </w:r>
      <w:proofErr w:type="spellStart"/>
      <w:r w:rsidRPr="0084431D">
        <w:rPr>
          <w:rFonts w:cs="Times New Roman"/>
        </w:rPr>
        <w:t>Vavilov’s</w:t>
      </w:r>
      <w:proofErr w:type="spellEnd"/>
      <w:r w:rsidRPr="0084431D">
        <w:rPr>
          <w:rFonts w:cs="Times New Roman"/>
        </w:rPr>
        <w:t xml:space="preserve"> parents] held diplomatic or consular status with the Russian Federation while they resided in Canada.” It thus appears that the analyst did not recognize that </w:t>
      </w:r>
      <w:r>
        <w:rPr>
          <w:rFonts w:cs="Times New Roman"/>
        </w:rPr>
        <w:t xml:space="preserve">Mr. </w:t>
      </w:r>
      <w:proofErr w:type="spellStart"/>
      <w:r w:rsidRPr="0084431D">
        <w:rPr>
          <w:rFonts w:cs="Times New Roman"/>
        </w:rPr>
        <w:t>Vavilov’s</w:t>
      </w:r>
      <w:proofErr w:type="spellEnd"/>
      <w:r w:rsidRPr="0084431D">
        <w:rPr>
          <w:rFonts w:cs="Times New Roman"/>
        </w:rPr>
        <w:t xml:space="preserve"> argument was more fundamental in nature —</w:t>
      </w:r>
      <w:r>
        <w:rPr>
          <w:rFonts w:cs="Times New Roman"/>
        </w:rPr>
        <w:t xml:space="preserve"> </w:t>
      </w:r>
      <w:r w:rsidRPr="0084431D">
        <w:rPr>
          <w:rFonts w:cs="Times New Roman"/>
        </w:rPr>
        <w:t>namely, that the objectives of s. 3(2) require the terms “other representative” and “employee” to be read narrowly. During discovery, in fact, the analyst acknowledged that her research did not reveal a policy purpose behind s. 3(2</w:t>
      </w:r>
      <w:proofErr w:type="gramStart"/>
      <w:r w:rsidRPr="0084431D">
        <w:rPr>
          <w:rFonts w:cs="Times New Roman"/>
        </w:rPr>
        <w:t>)(</w:t>
      </w:r>
      <w:proofErr w:type="gramEnd"/>
      <w:r w:rsidRPr="0084431D">
        <w:rPr>
          <w:rFonts w:cs="Times New Roman"/>
        </w:rPr>
        <w:t xml:space="preserve">a) or why the phrase “other representative or employee” was included in the Act. It also appears that the analyst did not understand the potential relevance of the </w:t>
      </w:r>
      <w:r w:rsidRPr="0084431D">
        <w:rPr>
          <w:rFonts w:cs="Times New Roman"/>
          <w:i/>
        </w:rPr>
        <w:t>Al-</w:t>
      </w:r>
      <w:proofErr w:type="spellStart"/>
      <w:r w:rsidRPr="0084431D">
        <w:rPr>
          <w:rFonts w:cs="Times New Roman"/>
          <w:i/>
        </w:rPr>
        <w:t>Ghamdi</w:t>
      </w:r>
      <w:proofErr w:type="spellEnd"/>
      <w:r w:rsidRPr="0084431D">
        <w:rPr>
          <w:rFonts w:cs="Times New Roman"/>
        </w:rPr>
        <w:t xml:space="preserve"> decision, since her report stated that “[t]</w:t>
      </w:r>
      <w:proofErr w:type="gramStart"/>
      <w:r w:rsidRPr="0084431D">
        <w:rPr>
          <w:rFonts w:cs="Times New Roman"/>
        </w:rPr>
        <w:t>he</w:t>
      </w:r>
      <w:proofErr w:type="gramEnd"/>
      <w:r w:rsidRPr="0084431D">
        <w:rPr>
          <w:rFonts w:cs="Times New Roman"/>
        </w:rPr>
        <w:t xml:space="preserve"> jurisprudence that does exist only relates to individuals whose parents maintained diplomatic status in Canada at the time of their birth.”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The Registrar, in the end, interpreted s. 3(2</w:t>
      </w:r>
      <w:proofErr w:type="gramStart"/>
      <w:r w:rsidRPr="0084431D">
        <w:rPr>
          <w:rFonts w:cs="Times New Roman"/>
        </w:rPr>
        <w:t>)(</w:t>
      </w:r>
      <w:proofErr w:type="gramEnd"/>
      <w:r w:rsidRPr="0084431D">
        <w:rPr>
          <w:rFonts w:cs="Times New Roman"/>
        </w:rPr>
        <w:t xml:space="preserve">a) broadly, based on the analyst’s </w:t>
      </w:r>
      <w:r w:rsidRPr="00EB1CF2">
        <w:rPr>
          <w:rFonts w:cs="Times New Roman"/>
          <w:lang w:val="en-US"/>
        </w:rPr>
        <w:t>purely</w:t>
      </w:r>
      <w:r w:rsidRPr="0084431D">
        <w:rPr>
          <w:rFonts w:cs="Times New Roman"/>
        </w:rPr>
        <w:t xml:space="preserve"> textual assessment of the provision, including a comparison with the text of the previous version. This reading of “other representative or employee” was </w:t>
      </w:r>
      <w:r w:rsidRPr="0084431D">
        <w:rPr>
          <w:rFonts w:cs="Times New Roman"/>
        </w:rPr>
        <w:lastRenderedPageBreak/>
        <w:t xml:space="preserve">only reasonable if the text is read in isolation from its objective. Nothing in the history of this provision indicates that Parliament intended to widen its scope. Rather, as </w:t>
      </w:r>
      <w:r>
        <w:rPr>
          <w:rFonts w:cs="Times New Roman"/>
        </w:rPr>
        <w:t>Mr. </w:t>
      </w:r>
      <w:proofErr w:type="spellStart"/>
      <w:r w:rsidRPr="0084431D">
        <w:rPr>
          <w:rFonts w:cs="Times New Roman"/>
        </w:rPr>
        <w:t>Vavilov</w:t>
      </w:r>
      <w:proofErr w:type="spellEnd"/>
      <w:r w:rsidRPr="0084431D">
        <w:rPr>
          <w:rFonts w:cs="Times New Roman"/>
        </w:rPr>
        <w:t xml:space="preserve"> points out, the modifications made to s. 3(2) in 1976 appear to mirror those embodied in the </w:t>
      </w:r>
      <w:r w:rsidRPr="0084431D">
        <w:rPr>
          <w:rFonts w:cs="Times New Roman"/>
          <w:i/>
        </w:rPr>
        <w:t>Vienna Convention on Diplomatic Relations</w:t>
      </w:r>
      <w:r w:rsidRPr="0084431D">
        <w:rPr>
          <w:rFonts w:cs="Times New Roman"/>
        </w:rPr>
        <w:t xml:space="preserve"> and the </w:t>
      </w:r>
      <w:r w:rsidRPr="0084431D">
        <w:rPr>
          <w:rFonts w:cs="Times New Roman"/>
          <w:i/>
        </w:rPr>
        <w:t>Vienna Convention on Consular Relations</w:t>
      </w:r>
      <w:r w:rsidRPr="0084431D">
        <w:rPr>
          <w:rFonts w:cs="Times New Roman"/>
        </w:rPr>
        <w:t xml:space="preserve">, which were incorporated into Canadian law in 1977. The judicial treatment of this provision, in particular the statements in </w:t>
      </w:r>
      <w:r w:rsidRPr="0084431D">
        <w:rPr>
          <w:rFonts w:cs="Times New Roman"/>
          <w:i/>
        </w:rPr>
        <w:t>Al-</w:t>
      </w:r>
      <w:proofErr w:type="spellStart"/>
      <w:r w:rsidRPr="0084431D">
        <w:rPr>
          <w:rFonts w:cs="Times New Roman"/>
          <w:i/>
        </w:rPr>
        <w:t>Ghamdi</w:t>
      </w:r>
      <w:proofErr w:type="spellEnd"/>
      <w:r w:rsidRPr="0084431D">
        <w:rPr>
          <w:rFonts w:cs="Times New Roman"/>
        </w:rPr>
        <w:t xml:space="preserve"> about the narrow scope of s. 3(2</w:t>
      </w:r>
      <w:proofErr w:type="gramStart"/>
      <w:r w:rsidRPr="0084431D">
        <w:rPr>
          <w:rFonts w:cs="Times New Roman"/>
        </w:rPr>
        <w:t>)(</w:t>
      </w:r>
      <w:proofErr w:type="gramEnd"/>
      <w:r w:rsidRPr="0084431D">
        <w:rPr>
          <w:rFonts w:cs="Times New Roman"/>
        </w:rPr>
        <w:t>a) and the inconsistency between diplomatic privileges and immunities and citizenship, also points to the need for a narrow interpretation of the exception to citizenship.</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In </w:t>
      </w:r>
      <w:r w:rsidRPr="00EB1CF2">
        <w:rPr>
          <w:rFonts w:cs="Times New Roman"/>
          <w:lang w:val="en-US"/>
        </w:rPr>
        <w:t>addition</w:t>
      </w:r>
      <w:r w:rsidRPr="0084431D">
        <w:rPr>
          <w:rFonts w:cs="Times New Roman"/>
        </w:rPr>
        <w:t>, as noted by the majority of the Federal Court of Appeal, the text of s. 3(2</w:t>
      </w:r>
      <w:proofErr w:type="gramStart"/>
      <w:r w:rsidRPr="0084431D">
        <w:rPr>
          <w:rFonts w:cs="Times New Roman"/>
        </w:rPr>
        <w:t>)(</w:t>
      </w:r>
      <w:proofErr w:type="gramEnd"/>
      <w:r w:rsidRPr="0084431D">
        <w:rPr>
          <w:rFonts w:cs="Times New Roman"/>
        </w:rPr>
        <w:t>c) can be seen as undermining the Registrar’s interpretation. That provision denies citizenship to children born to individuals who enjoy “</w:t>
      </w:r>
      <w:r w:rsidRPr="0084431D">
        <w:rPr>
          <w:rFonts w:cs="Times New Roman"/>
          <w:lang w:val="en-US"/>
        </w:rPr>
        <w:t xml:space="preserve">diplomatic privileges and immunities certified by the Minister of Foreign Affairs to be equivalent to those granted to a person or persons referred to in paragraph (a)”. As </w:t>
      </w:r>
      <w:proofErr w:type="spellStart"/>
      <w:r w:rsidRPr="0084431D">
        <w:rPr>
          <w:rFonts w:cs="Times New Roman"/>
          <w:lang w:val="en-US"/>
        </w:rPr>
        <w:t>Stratas</w:t>
      </w:r>
      <w:proofErr w:type="spellEnd"/>
      <w:r w:rsidRPr="0084431D">
        <w:rPr>
          <w:rFonts w:cs="Times New Roman"/>
          <w:lang w:val="en-US"/>
        </w:rPr>
        <w:t xml:space="preserve"> J.A. noted, this language suggests that s. 3(2</w:t>
      </w:r>
      <w:proofErr w:type="gramStart"/>
      <w:r w:rsidRPr="0084431D">
        <w:rPr>
          <w:rFonts w:cs="Times New Roman"/>
          <w:lang w:val="en-US"/>
        </w:rPr>
        <w:t>)(</w:t>
      </w:r>
      <w:proofErr w:type="gramEnd"/>
      <w:r w:rsidRPr="0084431D">
        <w:rPr>
          <w:rFonts w:cs="Times New Roman"/>
          <w:lang w:val="en-US"/>
        </w:rPr>
        <w:t xml:space="preserve">a) covers </w:t>
      </w:r>
      <w:r w:rsidRPr="0084431D">
        <w:rPr>
          <w:rFonts w:cs="Times New Roman"/>
          <w:i/>
          <w:lang w:val="en-US"/>
        </w:rPr>
        <w:t>only</w:t>
      </w:r>
      <w:r w:rsidRPr="0084431D">
        <w:rPr>
          <w:rFonts w:cs="Times New Roman"/>
          <w:lang w:val="en-US"/>
        </w:rPr>
        <w:t xml:space="preserve"> those “employee[s] in Canada of a foreign government” who have diplomatic privileges and immunities. </w:t>
      </w:r>
    </w:p>
    <w:p w:rsidR="008B0231" w:rsidRPr="0084431D" w:rsidRDefault="008B0231" w:rsidP="00EB1CF2">
      <w:pPr>
        <w:pStyle w:val="ParaNoNdepar-AltN"/>
        <w:tabs>
          <w:tab w:val="clear" w:pos="1166"/>
          <w:tab w:val="clear" w:pos="1422"/>
          <w:tab w:val="num" w:pos="1152"/>
        </w:tabs>
        <w:ind w:left="0"/>
        <w:rPr>
          <w:rFonts w:cs="Times New Roman"/>
        </w:rPr>
      </w:pPr>
      <w:r w:rsidRPr="0084431D">
        <w:rPr>
          <w:rFonts w:cs="Times New Roman"/>
        </w:rPr>
        <w:t xml:space="preserve">By ignoring the objectives of the provision, the Registrar rendered an unreasonable decision. In particular, the arguments supporting a reading of s. 3(2) that is restricted to those who have diplomatic privileges and immunities, likely would have </w:t>
      </w:r>
      <w:r w:rsidRPr="00EB1CF2">
        <w:rPr>
          <w:rFonts w:cs="Times New Roman"/>
          <w:lang w:val="en-US"/>
        </w:rPr>
        <w:t>changed</w:t>
      </w:r>
      <w:r w:rsidRPr="0084431D">
        <w:rPr>
          <w:rFonts w:cs="Times New Roman"/>
        </w:rPr>
        <w:t xml:space="preserve"> the outcome in this case.</w:t>
      </w:r>
    </w:p>
    <w:p w:rsidR="008B0231" w:rsidRPr="0084431D" w:rsidRDefault="008B0231" w:rsidP="00EB1CF2">
      <w:pPr>
        <w:pStyle w:val="ParaNoNdepar-AltN"/>
        <w:tabs>
          <w:tab w:val="clear" w:pos="1166"/>
          <w:tab w:val="clear" w:pos="1422"/>
          <w:tab w:val="num" w:pos="1152"/>
        </w:tabs>
        <w:ind w:left="0"/>
        <w:rPr>
          <w:rFonts w:cs="Times New Roman"/>
        </w:rPr>
      </w:pPr>
      <w:r>
        <w:rPr>
          <w:rFonts w:cs="Times New Roman"/>
        </w:rPr>
        <w:lastRenderedPageBreak/>
        <w:t xml:space="preserve">Mr. </w:t>
      </w:r>
      <w:proofErr w:type="spellStart"/>
      <w:r w:rsidRPr="0084431D">
        <w:rPr>
          <w:rFonts w:cs="Times New Roman"/>
        </w:rPr>
        <w:t>Vavilov</w:t>
      </w:r>
      <w:proofErr w:type="spellEnd"/>
      <w:r w:rsidRPr="0084431D">
        <w:rPr>
          <w:rFonts w:cs="Times New Roman"/>
        </w:rPr>
        <w:t xml:space="preserve"> has satisfied us that the Registrar’s decision is unreasonable. As a result, </w:t>
      </w:r>
      <w:r>
        <w:rPr>
          <w:rFonts w:cs="Times New Roman"/>
        </w:rPr>
        <w:t>the Court of Appeal properly quashed</w:t>
      </w:r>
      <w:r w:rsidRPr="0084431D">
        <w:rPr>
          <w:rFonts w:cs="Times New Roman"/>
        </w:rPr>
        <w:t xml:space="preserve"> the Registrar’s decision to cancel </w:t>
      </w:r>
      <w:r>
        <w:rPr>
          <w:rFonts w:cs="Times New Roman"/>
        </w:rPr>
        <w:t xml:space="preserve">Mr. </w:t>
      </w:r>
      <w:proofErr w:type="spellStart"/>
      <w:r w:rsidRPr="0084431D">
        <w:rPr>
          <w:rFonts w:cs="Times New Roman"/>
        </w:rPr>
        <w:t>Vavilov’s</w:t>
      </w:r>
      <w:proofErr w:type="spellEnd"/>
      <w:r w:rsidRPr="0084431D">
        <w:rPr>
          <w:rFonts w:cs="Times New Roman"/>
        </w:rPr>
        <w:t xml:space="preserve"> citizenship certificate</w:t>
      </w:r>
      <w:r>
        <w:rPr>
          <w:rFonts w:cs="Times New Roman"/>
        </w:rPr>
        <w:t>,</w:t>
      </w:r>
      <w:r w:rsidRPr="0084431D">
        <w:rPr>
          <w:rFonts w:cs="Times New Roman"/>
        </w:rPr>
        <w:t xml:space="preserve"> and he is thus entitled to a certificate of Canadian </w:t>
      </w:r>
      <w:r w:rsidRPr="00EB1CF2">
        <w:rPr>
          <w:rFonts w:cs="Times New Roman"/>
          <w:lang w:val="en-US"/>
        </w:rPr>
        <w:t>citizenship</w:t>
      </w:r>
      <w:r w:rsidRPr="0084431D">
        <w:rPr>
          <w:rFonts w:cs="Times New Roman"/>
        </w:rPr>
        <w:t xml:space="preserve">. </w:t>
      </w:r>
    </w:p>
    <w:p w:rsidR="008B0231" w:rsidRPr="003A0B25" w:rsidRDefault="008B0231" w:rsidP="00EB1CF2">
      <w:pPr>
        <w:pStyle w:val="ParaNoNdepar-AltN"/>
        <w:tabs>
          <w:tab w:val="clear" w:pos="1166"/>
          <w:tab w:val="clear" w:pos="1422"/>
          <w:tab w:val="num" w:pos="1152"/>
        </w:tabs>
        <w:ind w:left="0"/>
        <w:rPr>
          <w:rFonts w:cs="Times New Roman"/>
        </w:rPr>
      </w:pPr>
      <w:r>
        <w:rPr>
          <w:rFonts w:cs="Times New Roman"/>
        </w:rPr>
        <w:t xml:space="preserve">We </w:t>
      </w:r>
      <w:r w:rsidRPr="00EB1CF2">
        <w:rPr>
          <w:rFonts w:cs="Times New Roman"/>
          <w:lang w:val="en-US"/>
        </w:rPr>
        <w:t>would</w:t>
      </w:r>
      <w:r>
        <w:rPr>
          <w:rFonts w:cs="Times New Roman"/>
        </w:rPr>
        <w:t xml:space="preserve"> therefore </w:t>
      </w:r>
      <w:r w:rsidRPr="0084431D">
        <w:rPr>
          <w:rFonts w:cs="Times New Roman"/>
        </w:rPr>
        <w:t xml:space="preserve">dismiss the appeal with costs to Mr. </w:t>
      </w:r>
      <w:proofErr w:type="spellStart"/>
      <w:r w:rsidRPr="0084431D">
        <w:rPr>
          <w:rFonts w:cs="Times New Roman"/>
        </w:rPr>
        <w:t>Vavilov</w:t>
      </w:r>
      <w:proofErr w:type="spellEnd"/>
      <w:r w:rsidRPr="0084431D">
        <w:rPr>
          <w:rFonts w:cs="Times New Roman"/>
        </w:rPr>
        <w:t xml:space="preserve"> throughout. </w:t>
      </w:r>
    </w:p>
    <w:p w:rsidR="009B57B3" w:rsidRDefault="009B57B3" w:rsidP="00E912BB">
      <w:pPr>
        <w:pStyle w:val="SCCNormalDoubleSpacing"/>
        <w:spacing w:after="480"/>
      </w:pPr>
      <w:r w:rsidRPr="00CF74B7">
        <w:rPr>
          <w:lang w:val="en-US"/>
        </w:rPr>
        <w:tab/>
      </w:r>
      <w:r w:rsidR="00656313" w:rsidRPr="001650B6">
        <w:rPr>
          <w:i/>
        </w:rPr>
        <w:t>Appeal</w:t>
      </w:r>
      <w:r w:rsidR="00EB667C" w:rsidRPr="001650B6">
        <w:t xml:space="preserve"> </w:t>
      </w:r>
      <w:r w:rsidR="00675379" w:rsidRPr="001650B6">
        <w:rPr>
          <w:i/>
        </w:rPr>
        <w:t>dismissed</w:t>
      </w:r>
      <w:r w:rsidR="00D103B4" w:rsidRPr="001650B6">
        <w:rPr>
          <w:i/>
        </w:rPr>
        <w:t xml:space="preserve"> with costs throughout</w:t>
      </w:r>
      <w:r w:rsidR="00EB667C" w:rsidRPr="001650B6">
        <w:rPr>
          <w:i/>
        </w:rPr>
        <w:t>.</w:t>
      </w:r>
    </w:p>
    <w:p w:rsidR="002C5C63" w:rsidRDefault="0098762D" w:rsidP="00E912BB">
      <w:pPr>
        <w:pStyle w:val="SCCLawFirm"/>
        <w:spacing w:after="480"/>
      </w:pPr>
      <w:r>
        <w:tab/>
      </w:r>
      <w:r w:rsidR="002C5C63" w:rsidRPr="00AE50F9">
        <w:t>Solicitor for the appellant</w:t>
      </w:r>
      <w:r w:rsidR="008A142E">
        <w:t>: </w:t>
      </w:r>
      <w:r w:rsidR="002C5C63" w:rsidRPr="00AE50F9">
        <w:t>Attorney General of Canada, Toronto.</w:t>
      </w:r>
    </w:p>
    <w:p w:rsidR="002C5C63" w:rsidRDefault="0098762D" w:rsidP="00E912BB">
      <w:pPr>
        <w:pStyle w:val="SCCLawFirm"/>
        <w:spacing w:after="480"/>
      </w:pPr>
      <w:r w:rsidRPr="00AE50F9">
        <w:tab/>
      </w:r>
      <w:r w:rsidR="002C5C63" w:rsidRPr="00AE50F9">
        <w:t xml:space="preserve">Solicitors for the </w:t>
      </w:r>
      <w:r w:rsidR="002C5C63" w:rsidRPr="00217AF6">
        <w:t>respondent</w:t>
      </w:r>
      <w:r w:rsidR="008A142E" w:rsidRPr="00217AF6">
        <w:t>: </w:t>
      </w:r>
      <w:r w:rsidR="002C5C63" w:rsidRPr="00217AF6">
        <w:t xml:space="preserve">Jackman </w:t>
      </w:r>
      <w:proofErr w:type="spellStart"/>
      <w:r w:rsidR="002C5C63" w:rsidRPr="00217AF6">
        <w:t>Nazami</w:t>
      </w:r>
      <w:proofErr w:type="spellEnd"/>
      <w:r w:rsidR="002C5C63" w:rsidRPr="00217AF6">
        <w:t xml:space="preserve"> &amp; Associates, Toronto;</w:t>
      </w:r>
      <w:r w:rsidR="002C5C63" w:rsidRPr="00AE50F9">
        <w:t xml:space="preserve"> </w:t>
      </w:r>
      <w:r w:rsidR="002C5C63" w:rsidRPr="00F70F48">
        <w:t>University of Windsor — Faculty of Law, Windsor.</w:t>
      </w:r>
    </w:p>
    <w:p w:rsidR="00EA2B5B" w:rsidRDefault="00872612" w:rsidP="00E912BB">
      <w:pPr>
        <w:pStyle w:val="SCCLawFirm"/>
        <w:spacing w:after="480"/>
      </w:pPr>
      <w:r>
        <w:tab/>
        <w:t xml:space="preserve">Solicitor for the intervener </w:t>
      </w:r>
      <w:r w:rsidR="009914CA">
        <w:t xml:space="preserve">the </w:t>
      </w:r>
      <w:r>
        <w:t>Attorney General of Ontario</w:t>
      </w:r>
      <w:r w:rsidR="008A142E">
        <w:t>: </w:t>
      </w:r>
      <w:r>
        <w:t>Attorney General of Ontario, Toronto.</w:t>
      </w:r>
    </w:p>
    <w:p w:rsidR="00851A49" w:rsidRPr="00851A49" w:rsidRDefault="00851A49" w:rsidP="00E912BB">
      <w:pPr>
        <w:pStyle w:val="SCCNormalDoubleSpacing"/>
        <w:spacing w:after="480"/>
        <w:rPr>
          <w:i/>
        </w:rPr>
      </w:pPr>
      <w:r>
        <w:tab/>
      </w:r>
      <w:r w:rsidRPr="00851A49">
        <w:rPr>
          <w:i/>
        </w:rPr>
        <w:t xml:space="preserve">Solicitor for the intervener </w:t>
      </w:r>
      <w:r w:rsidR="009914CA">
        <w:rPr>
          <w:i/>
        </w:rPr>
        <w:t xml:space="preserve">the </w:t>
      </w:r>
      <w:r w:rsidR="005B684D">
        <w:rPr>
          <w:i/>
        </w:rPr>
        <w:t>Attorney General of Que</w:t>
      </w:r>
      <w:r w:rsidRPr="00851A49">
        <w:rPr>
          <w:i/>
        </w:rPr>
        <w:t>bec</w:t>
      </w:r>
      <w:r w:rsidR="008A142E">
        <w:rPr>
          <w:i/>
        </w:rPr>
        <w:t>: </w:t>
      </w:r>
      <w:r w:rsidR="005B684D">
        <w:rPr>
          <w:i/>
        </w:rPr>
        <w:t>Attorney General of Que</w:t>
      </w:r>
      <w:r w:rsidRPr="00851A49">
        <w:rPr>
          <w:i/>
        </w:rPr>
        <w:t>bec, Québec.</w:t>
      </w:r>
    </w:p>
    <w:p w:rsidR="00851A49" w:rsidRDefault="00851A49" w:rsidP="00E912BB">
      <w:pPr>
        <w:pStyle w:val="SCCLawFirm"/>
        <w:spacing w:after="480"/>
      </w:pPr>
      <w:r>
        <w:tab/>
        <w:t xml:space="preserve">Solicitor for the intervener </w:t>
      </w:r>
      <w:r w:rsidR="009914CA">
        <w:t xml:space="preserve">the </w:t>
      </w:r>
      <w:r>
        <w:t>Attorney General of British Columbia</w:t>
      </w:r>
      <w:r w:rsidR="008A142E">
        <w:t>: </w:t>
      </w:r>
      <w:r>
        <w:t>Attorney General of British Columbia, Victoria.</w:t>
      </w:r>
    </w:p>
    <w:p w:rsidR="008B3F38" w:rsidRPr="00AE50F9" w:rsidRDefault="008B3F38" w:rsidP="00E912BB">
      <w:pPr>
        <w:pStyle w:val="SCCLawFirm"/>
        <w:spacing w:after="480"/>
      </w:pPr>
      <w:r>
        <w:lastRenderedPageBreak/>
        <w:tab/>
        <w:t xml:space="preserve">Solicitor for the intervener </w:t>
      </w:r>
      <w:r w:rsidR="009914CA">
        <w:t xml:space="preserve">the </w:t>
      </w:r>
      <w:r>
        <w:t>Attorney General</w:t>
      </w:r>
      <w:r w:rsidR="00031427">
        <w:t xml:space="preserve"> of</w:t>
      </w:r>
      <w:r>
        <w:t xml:space="preserve"> Saskatchewan</w:t>
      </w:r>
      <w:r w:rsidR="008A142E">
        <w:t>: </w:t>
      </w:r>
      <w:r w:rsidR="00EB667C">
        <w:t xml:space="preserve">Attorney General </w:t>
      </w:r>
      <w:r w:rsidR="00EB667C" w:rsidRPr="007332EC">
        <w:t>of</w:t>
      </w:r>
      <w:r w:rsidRPr="00AE50F9">
        <w:t xml:space="preserve"> Saskatchewan, Regina.</w:t>
      </w:r>
    </w:p>
    <w:p w:rsidR="00EA2B5B" w:rsidRPr="00AE50F9" w:rsidRDefault="008B3F38" w:rsidP="00E912BB">
      <w:pPr>
        <w:pStyle w:val="SCCLawFirm"/>
        <w:spacing w:after="480"/>
        <w:rPr>
          <w:lang w:val="en-US"/>
        </w:rPr>
      </w:pPr>
      <w:r w:rsidRPr="00AE50F9">
        <w:rPr>
          <w:lang w:val="en-US"/>
        </w:rPr>
        <w:tab/>
      </w:r>
      <w:r w:rsidR="007332EC">
        <w:t>Solicitor</w:t>
      </w:r>
      <w:r w:rsidR="00CE3C21" w:rsidRPr="00AE50F9">
        <w:t xml:space="preserve"> for the intervener </w:t>
      </w:r>
      <w:r w:rsidR="009914CA">
        <w:t xml:space="preserve">the </w:t>
      </w:r>
      <w:r w:rsidR="00CE3C21" w:rsidRPr="00AE50F9">
        <w:t>Canadian Council for Refugees</w:t>
      </w:r>
      <w:r w:rsidR="008A142E">
        <w:t>: </w:t>
      </w:r>
      <w:r w:rsidR="00CE3C21" w:rsidRPr="00AE50F9">
        <w:t xml:space="preserve">The Law Office of Jamie </w:t>
      </w:r>
      <w:proofErr w:type="spellStart"/>
      <w:r w:rsidR="00CE3C21" w:rsidRPr="00AE50F9">
        <w:t>Liew</w:t>
      </w:r>
      <w:proofErr w:type="spellEnd"/>
      <w:r w:rsidR="00CE3C21" w:rsidRPr="00AE50F9">
        <w:t>, Ottawa.</w:t>
      </w:r>
    </w:p>
    <w:p w:rsidR="00EA2B5B" w:rsidRPr="00AE50F9" w:rsidRDefault="00872612" w:rsidP="00E912BB">
      <w:pPr>
        <w:pStyle w:val="SCCLawFirm"/>
        <w:spacing w:after="480"/>
      </w:pPr>
      <w:r w:rsidRPr="00AE50F9">
        <w:rPr>
          <w:lang w:val="en-US"/>
        </w:rPr>
        <w:tab/>
      </w:r>
      <w:r w:rsidR="00ED5C1B">
        <w:t>Solicitor</w:t>
      </w:r>
      <w:r w:rsidRPr="00AE50F9">
        <w:t xml:space="preserve"> for the intervener </w:t>
      </w:r>
      <w:r w:rsidR="009914CA">
        <w:t xml:space="preserve">the </w:t>
      </w:r>
      <w:r w:rsidRPr="00AE50F9">
        <w:t>Advoca</w:t>
      </w:r>
      <w:r w:rsidR="008B3F38" w:rsidRPr="00AE50F9">
        <w:t>cy Centre for Tenants Ontario</w:t>
      </w:r>
      <w:r w:rsidR="00952ECE">
        <w:t xml:space="preserve"> </w:t>
      </w:r>
      <w:r w:rsidR="000D7CD4" w:rsidRPr="000D7CD4">
        <w:t>-</w:t>
      </w:r>
      <w:r w:rsidR="00952ECE" w:rsidRPr="00952ECE">
        <w:t xml:space="preserve"> Tenant Duty Counsel Program</w:t>
      </w:r>
      <w:r w:rsidR="008A142E">
        <w:t>: </w:t>
      </w:r>
      <w:r w:rsidRPr="00AE50F9">
        <w:t>Advocacy Centre for Tenants Ontario, Toronto.</w:t>
      </w:r>
    </w:p>
    <w:p w:rsidR="00EA2B5B" w:rsidRPr="00AE50F9" w:rsidRDefault="008B3F38" w:rsidP="00E912BB">
      <w:pPr>
        <w:pStyle w:val="SCCLawFirm"/>
        <w:spacing w:after="480"/>
      </w:pPr>
      <w:r w:rsidRPr="00AE50F9">
        <w:tab/>
        <w:t>Solicitor</w:t>
      </w:r>
      <w:r w:rsidR="00872612" w:rsidRPr="00AE50F9">
        <w:t xml:space="preserve"> for the intervener</w:t>
      </w:r>
      <w:r w:rsidR="00FE7586">
        <w:t>s</w:t>
      </w:r>
      <w:r w:rsidR="00872612" w:rsidRPr="00AE50F9">
        <w:t xml:space="preserve"> </w:t>
      </w:r>
      <w:r w:rsidR="009914CA">
        <w:t xml:space="preserve">the </w:t>
      </w:r>
      <w:r w:rsidR="00872612" w:rsidRPr="00AE50F9">
        <w:t xml:space="preserve">Ontario Securities Commission, </w:t>
      </w:r>
      <w:r w:rsidR="009914CA">
        <w:t xml:space="preserve">the </w:t>
      </w:r>
      <w:r w:rsidR="00872612" w:rsidRPr="00AE50F9">
        <w:t>British Columbia Securities Commission and</w:t>
      </w:r>
      <w:r w:rsidR="009914CA">
        <w:t xml:space="preserve"> the</w:t>
      </w:r>
      <w:r w:rsidR="00872612" w:rsidRPr="00AE50F9">
        <w:t xml:space="preserve"> </w:t>
      </w:r>
      <w:r w:rsidRPr="006D7CF3">
        <w:t>Alberta Securities Commission</w:t>
      </w:r>
      <w:r w:rsidR="008A142E" w:rsidRPr="006D7CF3">
        <w:t>: </w:t>
      </w:r>
      <w:r w:rsidR="00872612" w:rsidRPr="006D7CF3">
        <w:t>Ontario Securities Commission, Toronto.</w:t>
      </w:r>
    </w:p>
    <w:p w:rsidR="00EA2B5B" w:rsidRPr="00AE50F9" w:rsidRDefault="00ED5C1B" w:rsidP="00E912BB">
      <w:pPr>
        <w:pStyle w:val="SCCLawFirm"/>
        <w:spacing w:after="480"/>
      </w:pPr>
      <w:r>
        <w:tab/>
        <w:t>Solicitor</w:t>
      </w:r>
      <w:r w:rsidR="00872612" w:rsidRPr="00AE50F9">
        <w:t xml:space="preserve"> for the intervener Ecojustice Canada</w:t>
      </w:r>
      <w:r w:rsidR="00C571B8">
        <w:t xml:space="preserve"> Society</w:t>
      </w:r>
      <w:r w:rsidR="008A142E">
        <w:t>: </w:t>
      </w:r>
      <w:r w:rsidR="00872612" w:rsidRPr="00AE50F9">
        <w:t>Ecojustice Canada Society, Toronto.</w:t>
      </w:r>
    </w:p>
    <w:p w:rsidR="0071055E" w:rsidRDefault="008B3F38" w:rsidP="00E912BB">
      <w:pPr>
        <w:pStyle w:val="SCCNormalDoubleSpacing"/>
        <w:spacing w:after="480"/>
        <w:rPr>
          <w:i/>
        </w:rPr>
      </w:pPr>
      <w:r w:rsidRPr="00AE50F9">
        <w:tab/>
      </w:r>
      <w:r w:rsidR="00ED5C1B">
        <w:rPr>
          <w:i/>
        </w:rPr>
        <w:t>Solicitor</w:t>
      </w:r>
      <w:r w:rsidR="00872612" w:rsidRPr="00AE50F9">
        <w:rPr>
          <w:i/>
        </w:rPr>
        <w:t xml:space="preserve"> for the intervener</w:t>
      </w:r>
      <w:r w:rsidRPr="00AE50F9">
        <w:rPr>
          <w:i/>
        </w:rPr>
        <w:t>s</w:t>
      </w:r>
      <w:r w:rsidR="00872612" w:rsidRPr="00AE50F9">
        <w:rPr>
          <w:i/>
        </w:rPr>
        <w:t xml:space="preserve"> </w:t>
      </w:r>
      <w:r w:rsidR="00C571B8">
        <w:rPr>
          <w:i/>
        </w:rPr>
        <w:t xml:space="preserve">the </w:t>
      </w:r>
      <w:r w:rsidR="00872612" w:rsidRPr="00AE50F9">
        <w:rPr>
          <w:i/>
        </w:rPr>
        <w:t>Workplace Safety and Insurance Appeals Tribunal</w:t>
      </w:r>
      <w:r w:rsidR="00C571B8">
        <w:rPr>
          <w:i/>
        </w:rPr>
        <w:t xml:space="preserve"> (Ontario)</w:t>
      </w:r>
      <w:r w:rsidRPr="00AE50F9">
        <w:rPr>
          <w:i/>
        </w:rPr>
        <w:t>,</w:t>
      </w:r>
      <w:r w:rsidR="00872612" w:rsidRPr="00AE50F9">
        <w:rPr>
          <w:i/>
        </w:rPr>
        <w:t xml:space="preserve"> </w:t>
      </w:r>
      <w:r w:rsidR="00C571B8">
        <w:rPr>
          <w:i/>
        </w:rPr>
        <w:t xml:space="preserve">the </w:t>
      </w:r>
      <w:r w:rsidR="00872612" w:rsidRPr="00AE50F9">
        <w:rPr>
          <w:i/>
        </w:rPr>
        <w:t>Workers</w:t>
      </w:r>
      <w:r w:rsidR="008D5707">
        <w:rPr>
          <w:i/>
        </w:rPr>
        <w:t>’</w:t>
      </w:r>
      <w:r w:rsidR="00872612" w:rsidRPr="00AE50F9">
        <w:rPr>
          <w:i/>
        </w:rPr>
        <w:t xml:space="preserve"> Compensation Appeals Tribunal (Northw</w:t>
      </w:r>
      <w:r w:rsidR="00851A49" w:rsidRPr="00AE50F9">
        <w:rPr>
          <w:i/>
        </w:rPr>
        <w:t>est Territories and Nunavut),</w:t>
      </w:r>
      <w:r w:rsidR="00872612" w:rsidRPr="00AE50F9">
        <w:rPr>
          <w:i/>
        </w:rPr>
        <w:t xml:space="preserve"> </w:t>
      </w:r>
      <w:r w:rsidR="00C571B8">
        <w:rPr>
          <w:i/>
        </w:rPr>
        <w:t xml:space="preserve">the </w:t>
      </w:r>
      <w:r w:rsidR="00872612" w:rsidRPr="00AE50F9">
        <w:rPr>
          <w:i/>
        </w:rPr>
        <w:t>Workers</w:t>
      </w:r>
      <w:r w:rsidR="008D5707">
        <w:rPr>
          <w:i/>
        </w:rPr>
        <w:t>’</w:t>
      </w:r>
      <w:r w:rsidR="00872612" w:rsidRPr="00AE50F9">
        <w:rPr>
          <w:i/>
        </w:rPr>
        <w:t xml:space="preserve"> Compensation Appeals Tribunal (Nova Scotia)</w:t>
      </w:r>
      <w:r w:rsidR="00851A49" w:rsidRPr="00AE50F9">
        <w:rPr>
          <w:i/>
        </w:rPr>
        <w:t xml:space="preserve">, </w:t>
      </w:r>
      <w:r w:rsidR="00C571B8">
        <w:rPr>
          <w:i/>
        </w:rPr>
        <w:t xml:space="preserve">the </w:t>
      </w:r>
      <w:r w:rsidR="00851A49" w:rsidRPr="00AE50F9">
        <w:rPr>
          <w:i/>
        </w:rPr>
        <w:t>Appeals Commission for Alberta Workers</w:t>
      </w:r>
      <w:r w:rsidR="008D5707">
        <w:rPr>
          <w:i/>
        </w:rPr>
        <w:t>’</w:t>
      </w:r>
      <w:r w:rsidR="00851A49" w:rsidRPr="00AE50F9">
        <w:rPr>
          <w:i/>
        </w:rPr>
        <w:t xml:space="preserve"> Compensation and </w:t>
      </w:r>
      <w:r w:rsidR="00C571B8">
        <w:rPr>
          <w:i/>
        </w:rPr>
        <w:t xml:space="preserve">the </w:t>
      </w:r>
      <w:r w:rsidR="00851A49" w:rsidRPr="00AE50F9">
        <w:rPr>
          <w:i/>
        </w:rPr>
        <w:t>Workers</w:t>
      </w:r>
      <w:r w:rsidR="008D5707">
        <w:rPr>
          <w:i/>
        </w:rPr>
        <w:t>’</w:t>
      </w:r>
      <w:r w:rsidR="00851A49" w:rsidRPr="00AE50F9">
        <w:rPr>
          <w:i/>
        </w:rPr>
        <w:t xml:space="preserve"> Compensation Appeals Tribunal (New </w:t>
      </w:r>
      <w:r w:rsidR="00851A49" w:rsidRPr="006D7CF3">
        <w:rPr>
          <w:i/>
        </w:rPr>
        <w:t>Brunswick)</w:t>
      </w:r>
      <w:r w:rsidR="008A142E" w:rsidRPr="006D7CF3">
        <w:rPr>
          <w:i/>
        </w:rPr>
        <w:t>: </w:t>
      </w:r>
      <w:r w:rsidR="00872612" w:rsidRPr="006D7CF3">
        <w:rPr>
          <w:i/>
        </w:rPr>
        <w:t>Workplace Safety and Insurance Appeals Tribunal, Toronto.</w:t>
      </w:r>
    </w:p>
    <w:p w:rsidR="00085B53" w:rsidRDefault="00085B53" w:rsidP="00E912BB">
      <w:pPr>
        <w:pStyle w:val="SCCNormalDoubleSpacing"/>
        <w:spacing w:after="480"/>
        <w:rPr>
          <w:i/>
        </w:rPr>
      </w:pPr>
      <w:r w:rsidRPr="00AE50F9">
        <w:lastRenderedPageBreak/>
        <w:tab/>
      </w:r>
      <w:r>
        <w:rPr>
          <w:i/>
        </w:rPr>
        <w:t xml:space="preserve">Solicitors for the intervener the British Columbia International Commercial Arbitration Centre Foundation: Fasken Martineau </w:t>
      </w:r>
      <w:proofErr w:type="spellStart"/>
      <w:r>
        <w:rPr>
          <w:i/>
        </w:rPr>
        <w:t>DuMoulin</w:t>
      </w:r>
      <w:proofErr w:type="spellEnd"/>
      <w:r>
        <w:rPr>
          <w:i/>
        </w:rPr>
        <w:t>, Vancouver.</w:t>
      </w:r>
    </w:p>
    <w:p w:rsidR="00DE734D" w:rsidRDefault="008B3F38" w:rsidP="005B41DF">
      <w:pPr>
        <w:pStyle w:val="SCCLawFirm"/>
        <w:spacing w:after="480"/>
      </w:pPr>
      <w:r w:rsidRPr="00AE50F9">
        <w:tab/>
        <w:t>Solicitors</w:t>
      </w:r>
      <w:r w:rsidR="00872612" w:rsidRPr="00AE50F9">
        <w:t xml:space="preserve"> for the intervener </w:t>
      </w:r>
      <w:r w:rsidR="009914CA">
        <w:t xml:space="preserve">the </w:t>
      </w:r>
      <w:r w:rsidR="00872612" w:rsidRPr="00AE50F9">
        <w:t>Council of Canadian Administrative Tribunals</w:t>
      </w:r>
      <w:r w:rsidR="008A142E">
        <w:t>: </w:t>
      </w:r>
      <w:r w:rsidR="00872612" w:rsidRPr="00AE50F9">
        <w:t>Lax O</w:t>
      </w:r>
      <w:r w:rsidR="008D5707">
        <w:t>’</w:t>
      </w:r>
      <w:r w:rsidRPr="00AE50F9">
        <w:t xml:space="preserve">Sullivan </w:t>
      </w:r>
      <w:proofErr w:type="spellStart"/>
      <w:r w:rsidRPr="00AE50F9">
        <w:t>Lisus</w:t>
      </w:r>
      <w:proofErr w:type="spellEnd"/>
      <w:r w:rsidRPr="00AE50F9">
        <w:t xml:space="preserve"> Gottlieb</w:t>
      </w:r>
      <w:r w:rsidR="00872612" w:rsidRPr="00AE50F9">
        <w:t>, Toronto.</w:t>
      </w:r>
    </w:p>
    <w:p w:rsidR="00954E03" w:rsidRDefault="00954E03" w:rsidP="00E16941">
      <w:pPr>
        <w:pStyle w:val="SCCNormalDoubleSpacing"/>
        <w:spacing w:after="480"/>
        <w:rPr>
          <w:rStyle w:val="SCCCounselPartyRoleChar"/>
          <w:i/>
          <w:lang w:val="en-US"/>
        </w:rPr>
      </w:pPr>
      <w:r w:rsidRPr="00AE50F9">
        <w:tab/>
      </w:r>
      <w:r w:rsidRPr="006D7CF3">
        <w:rPr>
          <w:i/>
        </w:rPr>
        <w:t xml:space="preserve">Solicitors </w:t>
      </w:r>
      <w:r w:rsidRPr="006D7CF3">
        <w:rPr>
          <w:rStyle w:val="SCCCounselNameChar"/>
        </w:rPr>
        <w:t>f</w:t>
      </w:r>
      <w:r w:rsidRPr="006D7CF3">
        <w:rPr>
          <w:rStyle w:val="SCCCounselPartyRoleChar"/>
          <w:i/>
        </w:rPr>
        <w:t>or the interveners the National Academy of Arbitrators, the Ontario Labour</w:t>
      </w:r>
      <w:r w:rsidRPr="006D7CF3">
        <w:rPr>
          <w:rStyle w:val="SCCCounselPartyRoleChar"/>
          <w:i/>
        </w:rPr>
        <w:noBreakHyphen/>
        <w:t xml:space="preserve">Management Arbitrators’ Association and </w:t>
      </w:r>
      <w:proofErr w:type="spellStart"/>
      <w:r w:rsidRPr="006D7CF3">
        <w:rPr>
          <w:rStyle w:val="SCCCounselPartyRoleChar"/>
          <w:i/>
        </w:rPr>
        <w:t>Conférence</w:t>
      </w:r>
      <w:proofErr w:type="spellEnd"/>
      <w:r w:rsidRPr="006D7CF3">
        <w:rPr>
          <w:rStyle w:val="SCCCounselPartyRoleChar"/>
          <w:i/>
        </w:rPr>
        <w:t xml:space="preserve"> des </w:t>
      </w:r>
      <w:proofErr w:type="spellStart"/>
      <w:r w:rsidRPr="006D7CF3">
        <w:rPr>
          <w:rStyle w:val="SCCCounselPartyRoleChar"/>
          <w:i/>
        </w:rPr>
        <w:t>arbitres</w:t>
      </w:r>
      <w:proofErr w:type="spellEnd"/>
      <w:r w:rsidRPr="006D7CF3">
        <w:rPr>
          <w:rStyle w:val="SCCCounselPartyRoleChar"/>
          <w:i/>
        </w:rPr>
        <w:t xml:space="preserve"> du Québec: </w:t>
      </w:r>
      <w:r w:rsidR="00C177DA" w:rsidRPr="006D7CF3">
        <w:rPr>
          <w:rStyle w:val="SCCCounselPartyRoleChar"/>
          <w:i/>
          <w:lang w:val="en-US"/>
        </w:rPr>
        <w:t>Susan L. Stewart, Toronto</w:t>
      </w:r>
      <w:r w:rsidR="00C177DA">
        <w:rPr>
          <w:rStyle w:val="SCCCounselPartyRoleChar"/>
          <w:i/>
          <w:lang w:val="en-US"/>
        </w:rPr>
        <w:t xml:space="preserve">; </w:t>
      </w:r>
      <w:proofErr w:type="spellStart"/>
      <w:r w:rsidR="007153B5" w:rsidRPr="006D7CF3">
        <w:rPr>
          <w:rStyle w:val="SCCCounselPartyRoleChar"/>
          <w:i/>
          <w:lang w:val="en-US"/>
        </w:rPr>
        <w:t>Paliare</w:t>
      </w:r>
      <w:proofErr w:type="spellEnd"/>
      <w:r w:rsidR="007153B5" w:rsidRPr="006D7CF3">
        <w:rPr>
          <w:rStyle w:val="SCCCounselPartyRoleChar"/>
          <w:i/>
          <w:lang w:val="en-US"/>
        </w:rPr>
        <w:t xml:space="preserve"> Rola</w:t>
      </w:r>
      <w:r w:rsidR="00C177DA">
        <w:rPr>
          <w:rStyle w:val="SCCCounselPartyRoleChar"/>
          <w:i/>
          <w:lang w:val="en-US"/>
        </w:rPr>
        <w:t>nd Rosenberg Rothstein, Toronto</w:t>
      </w:r>
      <w:r w:rsidR="00644D01">
        <w:rPr>
          <w:rStyle w:val="SCCCounselPartyRoleChar"/>
          <w:i/>
          <w:lang w:val="en-US"/>
        </w:rPr>
        <w:t xml:space="preserve">; Rae </w:t>
      </w:r>
      <w:r w:rsidR="00644D01" w:rsidRPr="00E16941">
        <w:rPr>
          <w:i/>
        </w:rPr>
        <w:t>Christen</w:t>
      </w:r>
      <w:r w:rsidR="00644D01">
        <w:rPr>
          <w:rStyle w:val="SCCCounselPartyRoleChar"/>
          <w:i/>
          <w:lang w:val="en-US"/>
        </w:rPr>
        <w:t xml:space="preserve"> Jeffries, Toronto.</w:t>
      </w:r>
    </w:p>
    <w:p w:rsidR="00EF5441" w:rsidRDefault="00851A49" w:rsidP="005B41DF">
      <w:pPr>
        <w:pStyle w:val="SCCLawFirm"/>
        <w:spacing w:after="480"/>
      </w:pPr>
      <w:r w:rsidRPr="00AE50F9">
        <w:tab/>
        <w:t>Solicitor</w:t>
      </w:r>
      <w:r w:rsidR="00872612" w:rsidRPr="00AE50F9">
        <w:t>s for the intervener</w:t>
      </w:r>
      <w:r w:rsidR="009914CA">
        <w:t xml:space="preserve"> the</w:t>
      </w:r>
      <w:r w:rsidR="00872612" w:rsidRPr="00AE50F9">
        <w:t xml:space="preserve"> Canadian Labour Congress</w:t>
      </w:r>
      <w:r w:rsidR="008A142E">
        <w:t>: </w:t>
      </w:r>
      <w:proofErr w:type="spellStart"/>
      <w:r w:rsidRPr="00AE50F9">
        <w:t>Goldblatt</w:t>
      </w:r>
      <w:proofErr w:type="spellEnd"/>
      <w:r w:rsidRPr="00AE50F9">
        <w:t xml:space="preserve"> Partners</w:t>
      </w:r>
      <w:r w:rsidR="00872612" w:rsidRPr="00AE50F9">
        <w:t>, Toronto.</w:t>
      </w:r>
    </w:p>
    <w:p w:rsidR="00954E03" w:rsidRDefault="00954E03" w:rsidP="00A07116">
      <w:pPr>
        <w:pStyle w:val="SCCNormalDoubleSpacing"/>
        <w:spacing w:after="480"/>
        <w:rPr>
          <w:i/>
        </w:rPr>
      </w:pPr>
      <w:r w:rsidRPr="00AE50F9">
        <w:tab/>
      </w:r>
      <w:r>
        <w:rPr>
          <w:i/>
        </w:rPr>
        <w:t>Solicitors for the intervener the</w:t>
      </w:r>
      <w:r w:rsidRPr="00EF5441">
        <w:t xml:space="preserve"> </w:t>
      </w:r>
      <w:r w:rsidRPr="00EF5441">
        <w:rPr>
          <w:i/>
        </w:rPr>
        <w:t>National Association of Pharmacy Regulatory Authorities</w:t>
      </w:r>
      <w:r>
        <w:rPr>
          <w:i/>
        </w:rPr>
        <w:t>: Shores Jardine, Edmonton.</w:t>
      </w:r>
    </w:p>
    <w:p w:rsidR="00EA2B5B" w:rsidRPr="00AE50F9" w:rsidRDefault="00851A49" w:rsidP="00E912BB">
      <w:pPr>
        <w:pStyle w:val="SCCLawFirm"/>
        <w:spacing w:after="480"/>
      </w:pPr>
      <w:r w:rsidRPr="00AE50F9">
        <w:tab/>
        <w:t>Solicitors</w:t>
      </w:r>
      <w:r w:rsidR="00872612" w:rsidRPr="00AE50F9">
        <w:t xml:space="preserve"> for the intervener Queen</w:t>
      </w:r>
      <w:r w:rsidR="008D5707">
        <w:t>’</w:t>
      </w:r>
      <w:r w:rsidR="00872612" w:rsidRPr="00AE50F9">
        <w:t>s Prison Law</w:t>
      </w:r>
      <w:r w:rsidR="003A6CF7">
        <w:t xml:space="preserve"> Clinic</w:t>
      </w:r>
      <w:r w:rsidR="008A142E">
        <w:t>: </w:t>
      </w:r>
      <w:proofErr w:type="spellStart"/>
      <w:r w:rsidRPr="00AE50F9">
        <w:t>Stockwoods</w:t>
      </w:r>
      <w:proofErr w:type="spellEnd"/>
      <w:r w:rsidR="00872612" w:rsidRPr="00AE50F9">
        <w:t>, Toronto.</w:t>
      </w:r>
    </w:p>
    <w:p w:rsidR="00EA2B5B" w:rsidRDefault="00851A49" w:rsidP="00E912BB">
      <w:pPr>
        <w:pStyle w:val="SCCLawFirm"/>
        <w:spacing w:after="480"/>
      </w:pPr>
      <w:r w:rsidRPr="00AE50F9">
        <w:tab/>
        <w:t>Solicitor</w:t>
      </w:r>
      <w:r w:rsidR="00872612" w:rsidRPr="00AE50F9">
        <w:t>s for the intervener Advocates for the Rule of Law</w:t>
      </w:r>
      <w:r w:rsidR="008A142E">
        <w:t>: </w:t>
      </w:r>
      <w:r w:rsidR="00B65B7A" w:rsidRPr="00AE50F9">
        <w:t xml:space="preserve">McCarthy </w:t>
      </w:r>
      <w:proofErr w:type="spellStart"/>
      <w:r w:rsidR="00B65B7A" w:rsidRPr="00AE50F9">
        <w:t>Tétrault</w:t>
      </w:r>
      <w:proofErr w:type="spellEnd"/>
      <w:r w:rsidR="00945CD7">
        <w:t>, Vancouver</w:t>
      </w:r>
      <w:r w:rsidR="00872612" w:rsidRPr="00AE50F9">
        <w:t>.</w:t>
      </w:r>
    </w:p>
    <w:p w:rsidR="00CE3C21" w:rsidRDefault="00CE3C21" w:rsidP="00E912BB">
      <w:pPr>
        <w:pStyle w:val="SCCLawFirm"/>
        <w:spacing w:after="480"/>
      </w:pPr>
      <w:r>
        <w:lastRenderedPageBreak/>
        <w:tab/>
        <w:t>Solicitor</w:t>
      </w:r>
      <w:r w:rsidRPr="00AE50F9">
        <w:t xml:space="preserve"> for the intervener </w:t>
      </w:r>
      <w:r w:rsidR="009914CA">
        <w:t xml:space="preserve">the </w:t>
      </w:r>
      <w:r w:rsidRPr="00AE50F9">
        <w:t>Parkdale Community Legal Services</w:t>
      </w:r>
      <w:r w:rsidR="008A142E">
        <w:t>: </w:t>
      </w:r>
      <w:r w:rsidRPr="00AE50F9">
        <w:t>Parkdale Community Legal Services, Toronto.</w:t>
      </w:r>
    </w:p>
    <w:p w:rsidR="00EA2B5B" w:rsidRPr="00AE50F9" w:rsidRDefault="00851A49" w:rsidP="00E912BB">
      <w:pPr>
        <w:pStyle w:val="SCCLawFirm"/>
        <w:spacing w:after="480"/>
      </w:pPr>
      <w:r w:rsidRPr="00AE50F9">
        <w:tab/>
        <w:t>Solicitors</w:t>
      </w:r>
      <w:r w:rsidR="00872612" w:rsidRPr="00AE50F9">
        <w:t xml:space="preserve"> for the intervener </w:t>
      </w:r>
      <w:r w:rsidR="008C6C13">
        <w:t xml:space="preserve">the </w:t>
      </w:r>
      <w:r w:rsidR="00872612" w:rsidRPr="00AE50F9">
        <w:t>Cambridge Comparative Administrative Law Forum</w:t>
      </w:r>
      <w:r w:rsidR="008A142E">
        <w:t>: </w:t>
      </w:r>
      <w:r w:rsidR="00B65B7A" w:rsidRPr="004A323A">
        <w:t>Cambridge University — The Faculty of Law</w:t>
      </w:r>
      <w:r w:rsidR="00872612" w:rsidRPr="004A323A">
        <w:t>, C</w:t>
      </w:r>
      <w:r w:rsidRPr="004A323A">
        <w:t>ambridge</w:t>
      </w:r>
      <w:r w:rsidR="00C212EE">
        <w:t>, U.K.</w:t>
      </w:r>
      <w:r w:rsidR="00B65B7A" w:rsidRPr="004A323A">
        <w:t xml:space="preserve">; </w:t>
      </w:r>
      <w:r w:rsidR="004A323A" w:rsidRPr="004A323A">
        <w:t>White &amp; Case, Washington, D.C</w:t>
      </w:r>
      <w:r w:rsidR="00872612" w:rsidRPr="004A323A">
        <w:t>.</w:t>
      </w:r>
    </w:p>
    <w:p w:rsidR="00EA2B5B" w:rsidRPr="00AE50F9" w:rsidRDefault="00851A49" w:rsidP="00E912BB">
      <w:pPr>
        <w:pStyle w:val="SCCLawFirm"/>
        <w:spacing w:after="480"/>
      </w:pPr>
      <w:r w:rsidRPr="00AE50F9">
        <w:tab/>
        <w:t>Solicitor</w:t>
      </w:r>
      <w:r w:rsidR="00872612" w:rsidRPr="00AE50F9">
        <w:t xml:space="preserve">s for the intervener </w:t>
      </w:r>
      <w:r w:rsidR="008C6C13">
        <w:t xml:space="preserve">the </w:t>
      </w:r>
      <w:r w:rsidR="00872612" w:rsidRPr="00AE50F9">
        <w:t>Samuelson</w:t>
      </w:r>
      <w:r w:rsidR="007C3A49">
        <w:noBreakHyphen/>
      </w:r>
      <w:proofErr w:type="spellStart"/>
      <w:r w:rsidR="00872612" w:rsidRPr="00AE50F9">
        <w:t>Glushko</w:t>
      </w:r>
      <w:proofErr w:type="spellEnd"/>
      <w:r w:rsidR="00872612" w:rsidRPr="00AE50F9">
        <w:t xml:space="preserve"> Canadian Internet Poli</w:t>
      </w:r>
      <w:r w:rsidRPr="00AE50F9">
        <w:t>cy and Public Interest Clinic</w:t>
      </w:r>
      <w:r w:rsidR="008A142E">
        <w:t>: </w:t>
      </w:r>
      <w:proofErr w:type="spellStart"/>
      <w:r w:rsidRPr="00AE50F9">
        <w:t>Caza</w:t>
      </w:r>
      <w:proofErr w:type="spellEnd"/>
      <w:r w:rsidR="00B65B7A" w:rsidRPr="00AE50F9">
        <w:t xml:space="preserve"> </w:t>
      </w:r>
      <w:proofErr w:type="spellStart"/>
      <w:r w:rsidRPr="00AE50F9">
        <w:t>Saikaley</w:t>
      </w:r>
      <w:proofErr w:type="spellEnd"/>
      <w:r w:rsidR="00872612" w:rsidRPr="00AE50F9">
        <w:t>, Ottawa.</w:t>
      </w:r>
    </w:p>
    <w:p w:rsidR="00EA2B5B" w:rsidRPr="00AE50F9" w:rsidRDefault="00CB632C" w:rsidP="00E912BB">
      <w:pPr>
        <w:pStyle w:val="SCCLawFirm"/>
        <w:spacing w:after="480"/>
      </w:pPr>
      <w:r w:rsidRPr="00AE50F9">
        <w:tab/>
        <w:t>Solicitors</w:t>
      </w:r>
      <w:r w:rsidR="00872612" w:rsidRPr="00AE50F9">
        <w:t xml:space="preserve"> for the intervener </w:t>
      </w:r>
      <w:r w:rsidR="005D0D16">
        <w:t xml:space="preserve">the </w:t>
      </w:r>
      <w:r w:rsidR="00872612" w:rsidRPr="00AE50F9">
        <w:t>Canadian Bar Association</w:t>
      </w:r>
      <w:r w:rsidR="008A142E">
        <w:t>: </w:t>
      </w:r>
      <w:proofErr w:type="spellStart"/>
      <w:r w:rsidR="00B65B7A" w:rsidRPr="00AE50F9">
        <w:t>Gowling</w:t>
      </w:r>
      <w:proofErr w:type="spellEnd"/>
      <w:r w:rsidR="00B65B7A" w:rsidRPr="00AE50F9">
        <w:t xml:space="preserve"> WLG (</w:t>
      </w:r>
      <w:r w:rsidR="00B65B7A" w:rsidRPr="005D0D16">
        <w:t xml:space="preserve">Canada), </w:t>
      </w:r>
      <w:r w:rsidR="00CE3C21" w:rsidRPr="005D0D16">
        <w:t>Ottawa</w:t>
      </w:r>
      <w:r w:rsidR="00D17643" w:rsidRPr="005D0D16">
        <w:t>.</w:t>
      </w:r>
    </w:p>
    <w:p w:rsidR="005D0D16" w:rsidRDefault="00CB632C" w:rsidP="005B41DF">
      <w:pPr>
        <w:pStyle w:val="SCCLawFirm"/>
        <w:spacing w:after="480"/>
      </w:pPr>
      <w:r w:rsidRPr="00AE50F9">
        <w:tab/>
      </w:r>
      <w:r w:rsidR="00CE3C21" w:rsidRPr="00AE50F9">
        <w:t xml:space="preserve">Solicitors for the intervener </w:t>
      </w:r>
      <w:r w:rsidR="009914CA">
        <w:t xml:space="preserve">the </w:t>
      </w:r>
      <w:r w:rsidR="00CE3C21" w:rsidRPr="00AE50F9">
        <w:t xml:space="preserve">Canadian Association of Refugee </w:t>
      </w:r>
      <w:r w:rsidR="00CE3C21" w:rsidRPr="00365E85">
        <w:t>Lawyers</w:t>
      </w:r>
      <w:r w:rsidR="008A142E" w:rsidRPr="00365E85">
        <w:t>: </w:t>
      </w:r>
      <w:r w:rsidR="00CE3C21" w:rsidRPr="00365E85">
        <w:t xml:space="preserve">Centre for Criminology &amp; </w:t>
      </w:r>
      <w:proofErr w:type="spellStart"/>
      <w:r w:rsidR="00CE3C21" w:rsidRPr="00365E85">
        <w:t>Sociolegal</w:t>
      </w:r>
      <w:proofErr w:type="spellEnd"/>
      <w:r w:rsidR="00CE3C21" w:rsidRPr="00365E85">
        <w:t xml:space="preserve"> Studies — University of Toronto, Toronto;</w:t>
      </w:r>
      <w:r w:rsidR="00CE3C21" w:rsidRPr="00AE50F9">
        <w:t xml:space="preserve"> Legal Aid Ontario, Toronto.</w:t>
      </w:r>
    </w:p>
    <w:p w:rsidR="002334B8" w:rsidRPr="002334B8" w:rsidRDefault="002334B8" w:rsidP="002334B8">
      <w:pPr>
        <w:pStyle w:val="SCCNormalDoubleSpacing"/>
        <w:spacing w:after="480"/>
        <w:rPr>
          <w:i/>
        </w:rPr>
      </w:pPr>
      <w:r>
        <w:tab/>
      </w:r>
      <w:r>
        <w:rPr>
          <w:i/>
        </w:rPr>
        <w:t>Solicitor for the intervener the Community &amp; Legal Aid Services Programme: Community &amp; Legal Aid Services Programme, Toronto.</w:t>
      </w:r>
    </w:p>
    <w:p w:rsidR="00CE3C21" w:rsidRPr="00CE3C21" w:rsidRDefault="00CE3C21" w:rsidP="00E912BB">
      <w:pPr>
        <w:pStyle w:val="SCCLawFirm"/>
        <w:spacing w:after="480"/>
        <w:rPr>
          <w:lang w:val="fr-CA"/>
        </w:rPr>
      </w:pPr>
      <w:r>
        <w:tab/>
      </w:r>
      <w:r w:rsidRPr="00CE3C21">
        <w:rPr>
          <w:lang w:val="fr-CA"/>
        </w:rPr>
        <w:t xml:space="preserve">Solicitors for the </w:t>
      </w:r>
      <w:proofErr w:type="spellStart"/>
      <w:r w:rsidRPr="00CE3C21">
        <w:rPr>
          <w:lang w:val="fr-CA"/>
        </w:rPr>
        <w:t>intervener</w:t>
      </w:r>
      <w:proofErr w:type="spellEnd"/>
      <w:r w:rsidRPr="00CE3C21">
        <w:rPr>
          <w:lang w:val="fr-CA"/>
        </w:rPr>
        <w:t xml:space="preserve"> Association québécoise des avocats et avocates en droit de </w:t>
      </w:r>
      <w:r w:rsidRPr="00365E85">
        <w:rPr>
          <w:lang w:val="fr-CA"/>
        </w:rPr>
        <w:t>l</w:t>
      </w:r>
      <w:r w:rsidR="008D5707" w:rsidRPr="00365E85">
        <w:rPr>
          <w:lang w:val="fr-CA"/>
        </w:rPr>
        <w:t>’</w:t>
      </w:r>
      <w:r w:rsidRPr="00365E85">
        <w:rPr>
          <w:lang w:val="fr-CA"/>
        </w:rPr>
        <w:t>immigration</w:t>
      </w:r>
      <w:r w:rsidR="008A142E" w:rsidRPr="00365E85">
        <w:rPr>
          <w:lang w:val="fr-CA"/>
        </w:rPr>
        <w:t>: </w:t>
      </w:r>
      <w:r w:rsidRPr="00365E85">
        <w:rPr>
          <w:lang w:val="fr-CA"/>
        </w:rPr>
        <w:t xml:space="preserve">Nguyen, </w:t>
      </w:r>
      <w:proofErr w:type="spellStart"/>
      <w:r w:rsidRPr="00365E85">
        <w:rPr>
          <w:lang w:val="fr-CA"/>
        </w:rPr>
        <w:t>Tutunjian</w:t>
      </w:r>
      <w:proofErr w:type="spellEnd"/>
      <w:r w:rsidRPr="00365E85">
        <w:rPr>
          <w:lang w:val="fr-CA"/>
        </w:rPr>
        <w:t xml:space="preserve"> &amp; Cliche</w:t>
      </w:r>
      <w:r w:rsidR="007C3A49" w:rsidRPr="00365E85">
        <w:rPr>
          <w:lang w:val="fr-CA"/>
        </w:rPr>
        <w:noBreakHyphen/>
      </w:r>
      <w:r w:rsidRPr="00365E85">
        <w:rPr>
          <w:lang w:val="fr-CA"/>
        </w:rPr>
        <w:t xml:space="preserve">Rivard, Montréal; </w:t>
      </w:r>
      <w:proofErr w:type="spellStart"/>
      <w:r w:rsidRPr="00365E85">
        <w:rPr>
          <w:lang w:val="fr-CA"/>
        </w:rPr>
        <w:t>Hadekel</w:t>
      </w:r>
      <w:proofErr w:type="spellEnd"/>
      <w:r w:rsidRPr="00365E85">
        <w:rPr>
          <w:lang w:val="fr-CA"/>
        </w:rPr>
        <w:t xml:space="preserve"> </w:t>
      </w:r>
      <w:proofErr w:type="spellStart"/>
      <w:r w:rsidRPr="00365E85">
        <w:rPr>
          <w:lang w:val="fr-CA"/>
        </w:rPr>
        <w:t>Shams</w:t>
      </w:r>
      <w:proofErr w:type="spellEnd"/>
      <w:r w:rsidRPr="00365E85">
        <w:rPr>
          <w:lang w:val="fr-CA"/>
        </w:rPr>
        <w:t>, Montréal.</w:t>
      </w:r>
    </w:p>
    <w:p w:rsidR="00CE3C21" w:rsidRPr="006936F7" w:rsidRDefault="00CE3C21" w:rsidP="006936F7">
      <w:pPr>
        <w:pStyle w:val="SCCLawFirm"/>
      </w:pPr>
      <w:r w:rsidRPr="00CE3C21">
        <w:rPr>
          <w:lang w:val="fr-CA"/>
        </w:rPr>
        <w:lastRenderedPageBreak/>
        <w:tab/>
      </w:r>
      <w:r w:rsidR="00CB632C" w:rsidRPr="00AE50F9">
        <w:t>Solicitors</w:t>
      </w:r>
      <w:r w:rsidR="00872612" w:rsidRPr="00AE50F9">
        <w:t xml:space="preserve"> for the intervener </w:t>
      </w:r>
      <w:r w:rsidR="006936F7">
        <w:t>the First Nations Child &amp;</w:t>
      </w:r>
      <w:r w:rsidR="00872612" w:rsidRPr="00AE50F9">
        <w:t xml:space="preserve"> Family Caring Society of Canada</w:t>
      </w:r>
      <w:r w:rsidR="008A142E">
        <w:t>: </w:t>
      </w:r>
      <w:proofErr w:type="spellStart"/>
      <w:r w:rsidR="00B65B7A" w:rsidRPr="006936F7">
        <w:t>Stikeman</w:t>
      </w:r>
      <w:proofErr w:type="spellEnd"/>
      <w:r w:rsidR="00B65B7A" w:rsidRPr="006936F7">
        <w:t xml:space="preserve"> Elliott, </w:t>
      </w:r>
      <w:r w:rsidRPr="006936F7">
        <w:t>Ottawa</w:t>
      </w:r>
      <w:r w:rsidR="00872612" w:rsidRPr="006936F7">
        <w:t>.</w:t>
      </w:r>
    </w:p>
    <w:sectPr w:rsidR="00CE3C21" w:rsidRPr="006936F7"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E2" w:rsidRDefault="005119E2">
      <w:r>
        <w:separator/>
      </w:r>
    </w:p>
  </w:endnote>
  <w:endnote w:type="continuationSeparator" w:id="0">
    <w:p w:rsidR="005119E2" w:rsidRDefault="005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Default="00D60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Default="00D60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Default="00D6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E2" w:rsidRDefault="005119E2">
      <w:r>
        <w:separator/>
      </w:r>
    </w:p>
  </w:footnote>
  <w:footnote w:type="continuationSeparator" w:id="0">
    <w:p w:rsidR="005119E2" w:rsidRDefault="005119E2">
      <w:r>
        <w:continuationSeparator/>
      </w:r>
    </w:p>
  </w:footnote>
  <w:footnote w:id="1">
    <w:p w:rsidR="00D6025B" w:rsidRPr="00F97516" w:rsidRDefault="00D6025B" w:rsidP="008B0231">
      <w:pPr>
        <w:pStyle w:val="FootnoteText"/>
      </w:pPr>
      <w:r w:rsidRPr="00F97516">
        <w:rPr>
          <w:rStyle w:val="FootnoteReference"/>
        </w:rPr>
        <w:footnoteRef/>
      </w:r>
      <w:r w:rsidRPr="00F97516">
        <w:t xml:space="preserve"> </w:t>
      </w:r>
      <w:r>
        <w:t>Other than one of the two</w:t>
      </w:r>
      <w:r w:rsidRPr="00F97516">
        <w:t xml:space="preserve"> </w:t>
      </w:r>
      <w:r>
        <w:rPr>
          <w:i/>
        </w:rPr>
        <w:t>amici</w:t>
      </w:r>
      <w:r w:rsidRPr="00F97516">
        <w:t xml:space="preserve">, no one asked us to modify this category. </w:t>
      </w:r>
    </w:p>
  </w:footnote>
  <w:footnote w:id="2">
    <w:p w:rsidR="00D6025B" w:rsidRPr="003E2CBD" w:rsidRDefault="00D6025B" w:rsidP="00273AC5">
      <w:pPr>
        <w:pStyle w:val="FootnoteText"/>
        <w:ind w:left="180" w:hanging="180"/>
      </w:pPr>
      <w:r w:rsidRPr="003E2CBD">
        <w:rPr>
          <w:rStyle w:val="FootnoteReference"/>
        </w:rPr>
        <w:footnoteRef/>
      </w:r>
      <w:r w:rsidRPr="003E2CBD">
        <w:t xml:space="preserve"> </w:t>
      </w:r>
      <w:r>
        <w:tab/>
      </w:r>
      <w:r w:rsidRPr="002E6D36">
        <w:t xml:space="preserve">The “constitutional concerns” cited by the majority are no answer to this dilemma </w:t>
      </w:r>
      <w:r>
        <w:t>—</w:t>
      </w:r>
      <w:r w:rsidRPr="002E6D36">
        <w:t xml:space="preserve"> nothing in </w:t>
      </w:r>
      <w:proofErr w:type="spellStart"/>
      <w:r w:rsidRPr="002E6D36">
        <w:rPr>
          <w:i/>
        </w:rPr>
        <w:t>Crevier</w:t>
      </w:r>
      <w:proofErr w:type="spellEnd"/>
      <w:r w:rsidRPr="002E6D36">
        <w:rPr>
          <w:i/>
        </w:rPr>
        <w:t xml:space="preserve"> v. Attorney General of Quebec</w:t>
      </w:r>
      <w:r w:rsidRPr="002E6D36">
        <w:t>, [1981] 2 S.C.R. 220</w:t>
      </w:r>
      <w:r>
        <w:t>,</w:t>
      </w:r>
      <w:r w:rsidRPr="002E6D36">
        <w:t xml:space="preserve"> prevents privative clauses from influencing the </w:t>
      </w:r>
      <w:r w:rsidRPr="002E6D36">
        <w:rPr>
          <w:i/>
        </w:rPr>
        <w:t>standard</w:t>
      </w:r>
      <w:r w:rsidRPr="002E6D36">
        <w:t xml:space="preserve"> of review, as they did for years under the pragmatic and functional approach and in </w:t>
      </w:r>
      <w:r w:rsidRPr="002E6D36">
        <w:rPr>
          <w:i/>
        </w:rPr>
        <w:t>C.U.P.E.</w:t>
      </w:r>
      <w:r w:rsidRPr="002E6D36">
        <w:t xml:space="preserve"> (David </w:t>
      </w:r>
      <w:proofErr w:type="spellStart"/>
      <w:r w:rsidRPr="002E6D36">
        <w:t>Dyzenhaus</w:t>
      </w:r>
      <w:proofErr w:type="spellEnd"/>
      <w:r w:rsidRPr="002E6D36">
        <w:t xml:space="preserve">, “Dignity in Administrative Law: Judicial Deference in a Culture of Justification” (2012), 17 </w:t>
      </w:r>
      <w:r w:rsidRPr="002E6D36">
        <w:rPr>
          <w:i/>
        </w:rPr>
        <w:t>Rev. Const. Stud.</w:t>
      </w:r>
      <w:r>
        <w:t xml:space="preserve"> 87, at p. 103; David </w:t>
      </w:r>
      <w:proofErr w:type="spellStart"/>
      <w:r w:rsidRPr="002E6D36">
        <w:t>Mullan</w:t>
      </w:r>
      <w:proofErr w:type="spellEnd"/>
      <w:r w:rsidRPr="002E6D36">
        <w:t xml:space="preserve">, “Unresolved Issues on Standard of Review in Canadian Judicial Review of Administrative Action – </w:t>
      </w:r>
      <w:r>
        <w:t>T</w:t>
      </w:r>
      <w:r w:rsidRPr="002E6D36">
        <w:t>he Top Fifteen</w:t>
      </w:r>
      <w:r>
        <w:t>!</w:t>
      </w:r>
      <w:r w:rsidRPr="002E6D36">
        <w:t xml:space="preserve">” (2013), 42 </w:t>
      </w:r>
      <w:r w:rsidRPr="002E6D36">
        <w:rPr>
          <w:i/>
        </w:rPr>
        <w:t>Adv. Q</w:t>
      </w:r>
      <w:r w:rsidRPr="003A2FDB">
        <w:rPr>
          <w:i/>
        </w:rPr>
        <w:t>.</w:t>
      </w:r>
      <w:r w:rsidRPr="002E6D36">
        <w:t xml:space="preserve"> 1, at p. 21).</w:t>
      </w:r>
    </w:p>
  </w:footnote>
  <w:footnote w:id="3">
    <w:p w:rsidR="00D6025B" w:rsidRPr="0084431D" w:rsidRDefault="00D6025B" w:rsidP="00501A0A">
      <w:pPr>
        <w:pStyle w:val="FootnoteText"/>
        <w:ind w:left="180" w:hanging="180"/>
        <w:rPr>
          <w:lang w:val="en-US"/>
        </w:rPr>
      </w:pPr>
      <w:r w:rsidRPr="003C151F">
        <w:rPr>
          <w:rStyle w:val="FootnoteReference"/>
        </w:rPr>
        <w:footnoteRef/>
      </w:r>
      <w:r w:rsidRPr="003C151F">
        <w:t xml:space="preserve"> </w:t>
      </w:r>
      <w:r>
        <w:tab/>
      </w:r>
      <w:r w:rsidRPr="0084431D">
        <w:t xml:space="preserve">See </w:t>
      </w:r>
      <w:r w:rsidRPr="0084431D">
        <w:rPr>
          <w:i/>
        </w:rPr>
        <w:t>Administrative Tribunals Act</w:t>
      </w:r>
      <w:r>
        <w:t>, S.B.C. 2004, c</w:t>
      </w:r>
      <w:r w:rsidRPr="0084431D">
        <w:t xml:space="preserve">. 45. </w:t>
      </w:r>
      <w:r w:rsidRPr="00A736DD">
        <w:t>Quebec’s</w:t>
      </w:r>
      <w:r w:rsidRPr="003C151F">
        <w:t xml:space="preserve"> recent attempt to introduce such legislation</w:t>
      </w:r>
      <w:r w:rsidRPr="00EE5494">
        <w:t xml:space="preserve"> is</w:t>
      </w:r>
      <w:r w:rsidRPr="0084431D">
        <w:t xml:space="preserve"> </w:t>
      </w:r>
      <w:r w:rsidRPr="003C151F">
        <w:t>another example of a legislature which understood that it was free to set standards of review, and that the mere articulation of a right of appeal did not dictate what those standards would be</w:t>
      </w:r>
      <w:r>
        <w:t>: s</w:t>
      </w:r>
      <w:proofErr w:type="spellStart"/>
      <w:r>
        <w:rPr>
          <w:lang w:val="en-US"/>
        </w:rPr>
        <w:t>ee</w:t>
      </w:r>
      <w:proofErr w:type="spellEnd"/>
      <w:r>
        <w:rPr>
          <w:lang w:val="en-US"/>
        </w:rPr>
        <w:t xml:space="preserve"> </w:t>
      </w:r>
      <w:r w:rsidRPr="0084431D">
        <w:rPr>
          <w:lang w:val="en-US"/>
        </w:rPr>
        <w:t xml:space="preserve">Bill 32, </w:t>
      </w:r>
      <w:r w:rsidRPr="0084431D">
        <w:rPr>
          <w:i/>
          <w:iCs/>
          <w:lang w:val="en-US"/>
        </w:rPr>
        <w:t>An Act mainly to promote the efficiency of penal justice and to establish the terms governing the intervention of the Court of Québec with respect to applications for appeal</w:t>
      </w:r>
      <w:r w:rsidRPr="0084431D">
        <w:rPr>
          <w:lang w:val="en-US"/>
        </w:rPr>
        <w:t>, 1st Sess., 42nd Leg., 2019.</w:t>
      </w:r>
    </w:p>
  </w:footnote>
  <w:footnote w:id="4">
    <w:p w:rsidR="00D6025B" w:rsidRPr="003E2CBD" w:rsidRDefault="00D6025B" w:rsidP="00501A0A">
      <w:pPr>
        <w:pStyle w:val="FootnoteText"/>
        <w:ind w:left="180" w:hanging="180"/>
      </w:pPr>
      <w:r w:rsidRPr="003E2CBD">
        <w:rPr>
          <w:rStyle w:val="FootnoteReference"/>
        </w:rPr>
        <w:footnoteRef/>
      </w:r>
      <w:r w:rsidRPr="003E2CBD">
        <w:t xml:space="preserve"> </w:t>
      </w:r>
      <w:r>
        <w:tab/>
      </w:r>
      <w:r w:rsidRPr="003E2CBD">
        <w:t xml:space="preserve">The notion that legislative intent finds determinative expression in statutory rights of appeal found no support in the submissions of four of the five </w:t>
      </w:r>
      <w:r>
        <w:t>a</w:t>
      </w:r>
      <w:r w:rsidRPr="003E2CBD">
        <w:t>ttorneys</w:t>
      </w:r>
      <w:r>
        <w:t xml:space="preserve"> g</w:t>
      </w:r>
      <w:r w:rsidRPr="003E2CBD">
        <w:t xml:space="preserve">eneral who appeared before us. </w:t>
      </w:r>
    </w:p>
  </w:footnote>
  <w:footnote w:id="5">
    <w:p w:rsidR="00D6025B" w:rsidRPr="003E2CBD" w:rsidRDefault="00D6025B" w:rsidP="00501A0A">
      <w:pPr>
        <w:pStyle w:val="FootnoteText"/>
        <w:ind w:left="180" w:hanging="180"/>
      </w:pPr>
      <w:r w:rsidRPr="003E2CBD">
        <w:rPr>
          <w:rStyle w:val="FootnoteReference"/>
        </w:rPr>
        <w:footnoteRef/>
      </w:r>
      <w:r w:rsidRPr="003E2CBD">
        <w:t xml:space="preserve"> </w:t>
      </w:r>
      <w:r>
        <w:tab/>
        <w:t>E</w:t>
      </w:r>
      <w:r w:rsidRPr="003E2CBD">
        <w:t xml:space="preserve">ven the </w:t>
      </w:r>
      <w:r w:rsidRPr="003E2CBD">
        <w:rPr>
          <w:i/>
        </w:rPr>
        <w:t>amici</w:t>
      </w:r>
      <w:r w:rsidRPr="003E2CBD">
        <w:t xml:space="preserve"> did not go so far as to say that </w:t>
      </w:r>
      <w:r w:rsidRPr="003E2CBD">
        <w:rPr>
          <w:i/>
        </w:rPr>
        <w:t>all</w:t>
      </w:r>
      <w:r w:rsidRPr="003E2CBD">
        <w:t xml:space="preserve"> appeal clauses were indicative of a legislative intent for courts to substitute their views on questions of law. </w:t>
      </w:r>
    </w:p>
    <w:p w:rsidR="00D6025B" w:rsidRPr="00620774" w:rsidRDefault="00D6025B" w:rsidP="008B0231">
      <w:pPr>
        <w:pStyle w:val="FootnoteText"/>
      </w:pPr>
    </w:p>
  </w:footnote>
  <w:footnote w:id="6">
    <w:p w:rsidR="00D6025B" w:rsidRPr="00B00C52" w:rsidRDefault="00D6025B" w:rsidP="008B0231">
      <w:pPr>
        <w:pStyle w:val="FootnoteText"/>
        <w:rPr>
          <w:sz w:val="24"/>
          <w:szCs w:val="24"/>
        </w:rPr>
      </w:pPr>
      <w:r w:rsidRPr="00B00C52">
        <w:rPr>
          <w:rStyle w:val="FootnoteReference"/>
          <w:szCs w:val="24"/>
        </w:rPr>
        <w:footnoteRef/>
      </w:r>
      <w:r>
        <w:rPr>
          <w:sz w:val="24"/>
          <w:szCs w:val="24"/>
        </w:rPr>
        <w:t xml:space="preserve"> </w:t>
      </w:r>
      <w:r w:rsidRPr="00501A0A">
        <w:t>R.S.B.C. 1996, c. 418, s. 159</w:t>
      </w:r>
      <w:r>
        <w:t>.</w:t>
      </w:r>
    </w:p>
  </w:footnote>
  <w:footnote w:id="7">
    <w:p w:rsidR="00D6025B" w:rsidRPr="00671093" w:rsidRDefault="00D6025B" w:rsidP="00FA03B3">
      <w:pPr>
        <w:pStyle w:val="FootnoteText"/>
        <w:ind w:left="180" w:hanging="180"/>
      </w:pPr>
      <w:r>
        <w:rPr>
          <w:rStyle w:val="FootnoteReference"/>
        </w:rPr>
        <w:footnoteRef/>
      </w:r>
      <w:r>
        <w:t xml:space="preserve"> </w:t>
      </w:r>
      <w:r>
        <w:tab/>
        <w:t xml:space="preserve">Consistent with requests from some commentators and some of the interveners at these hearings, including the Canadian Bar Association and the Council of Canadian Administrative Tribunals (see also </w:t>
      </w:r>
      <w:proofErr w:type="spellStart"/>
      <w:r w:rsidRPr="0080494E">
        <w:t>Mullan</w:t>
      </w:r>
      <w:proofErr w:type="spellEnd"/>
      <w:r w:rsidRPr="0080494E">
        <w:t xml:space="preserve">, </w:t>
      </w:r>
      <w:r>
        <w:t>at pp. 76-78</w:t>
      </w:r>
      <w:r w:rsidRPr="00481167">
        <w:t>)</w:t>
      </w:r>
      <w:r>
        <w:t>.</w:t>
      </w:r>
    </w:p>
  </w:footnote>
  <w:footnote w:id="8">
    <w:p w:rsidR="00D6025B" w:rsidRPr="00045770" w:rsidRDefault="00D6025B" w:rsidP="00FA03B3">
      <w:pPr>
        <w:pStyle w:val="FootnoteText"/>
        <w:ind w:left="180" w:hanging="180"/>
      </w:pPr>
      <w:r w:rsidRPr="00045770">
        <w:rPr>
          <w:rStyle w:val="FootnoteReference"/>
        </w:rPr>
        <w:footnoteRef/>
      </w:r>
      <w:r w:rsidRPr="00045770">
        <w:t xml:space="preserve"> </w:t>
      </w:r>
      <w:r>
        <w:tab/>
      </w:r>
      <w:r w:rsidRPr="00045770">
        <w:t>Factum of the</w:t>
      </w:r>
      <w:r>
        <w:t xml:space="preserve"> intervener the</w:t>
      </w:r>
      <w:r w:rsidRPr="00045770">
        <w:t xml:space="preserve"> Canadian Association o</w:t>
      </w:r>
      <w:r>
        <w:t>f Refugee Lawyers, at para. 5; f</w:t>
      </w:r>
      <w:r w:rsidRPr="00045770">
        <w:t xml:space="preserve">actum of the </w:t>
      </w:r>
      <w:r>
        <w:t>intervener the C</w:t>
      </w:r>
      <w:r w:rsidRPr="00045770">
        <w:t xml:space="preserve">ouncil of Canadian Administrative Tribunals, at paras. 24-26. </w:t>
      </w:r>
    </w:p>
  </w:footnote>
  <w:footnote w:id="9">
    <w:p w:rsidR="00D6025B" w:rsidRDefault="00D6025B" w:rsidP="00FA03B3">
      <w:pPr>
        <w:pStyle w:val="FootnoteText"/>
        <w:ind w:left="180" w:hanging="180"/>
      </w:pPr>
      <w:r w:rsidRPr="004840DC">
        <w:rPr>
          <w:rStyle w:val="FootnoteReference"/>
          <w:rFonts w:eastAsiaTheme="minorHAnsi"/>
        </w:rPr>
        <w:footnoteRef/>
      </w:r>
      <w:r>
        <w:t xml:space="preserve"> </w:t>
      </w:r>
      <w:r>
        <w:tab/>
      </w:r>
      <w:r w:rsidRPr="004840DC">
        <w:t xml:space="preserve">Under the duty of procedural fairness outlined in </w:t>
      </w:r>
      <w:r w:rsidRPr="004840DC">
        <w:rPr>
          <w:i/>
        </w:rPr>
        <w:t>Baker</w:t>
      </w:r>
      <w:r>
        <w:rPr>
          <w:i/>
        </w:rPr>
        <w:t xml:space="preserve"> v. Canada (Minister of Citizenship and Immigration)</w:t>
      </w:r>
      <w:r w:rsidRPr="004840DC">
        <w:t>,</w:t>
      </w:r>
      <w:r>
        <w:t xml:space="preserve"> [1999] 2 S.C.R. 817,</w:t>
      </w:r>
      <w:r w:rsidRPr="004840DC">
        <w:t xml:space="preserve"> at para. 43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Default="00D60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Pr="00B64791" w:rsidRDefault="00D6025B" w:rsidP="00B64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5B" w:rsidRDefault="00D60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422"/>
        </w:tabs>
        <w:ind w:left="27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ADC"/>
    <w:rsid w:val="00007707"/>
    <w:rsid w:val="00012364"/>
    <w:rsid w:val="0001373B"/>
    <w:rsid w:val="000140D6"/>
    <w:rsid w:val="000147FC"/>
    <w:rsid w:val="00014959"/>
    <w:rsid w:val="00015706"/>
    <w:rsid w:val="000159C4"/>
    <w:rsid w:val="00020C6E"/>
    <w:rsid w:val="00025198"/>
    <w:rsid w:val="00027FB6"/>
    <w:rsid w:val="00031427"/>
    <w:rsid w:val="00031646"/>
    <w:rsid w:val="0003331B"/>
    <w:rsid w:val="00036388"/>
    <w:rsid w:val="0004176A"/>
    <w:rsid w:val="00051EC6"/>
    <w:rsid w:val="00052738"/>
    <w:rsid w:val="00055EFC"/>
    <w:rsid w:val="000578A3"/>
    <w:rsid w:val="00060C21"/>
    <w:rsid w:val="00061675"/>
    <w:rsid w:val="000617B3"/>
    <w:rsid w:val="000620E6"/>
    <w:rsid w:val="000648CC"/>
    <w:rsid w:val="000708A2"/>
    <w:rsid w:val="00072018"/>
    <w:rsid w:val="00074B14"/>
    <w:rsid w:val="00075329"/>
    <w:rsid w:val="00080900"/>
    <w:rsid w:val="000815B4"/>
    <w:rsid w:val="000826B9"/>
    <w:rsid w:val="00085A45"/>
    <w:rsid w:val="00085B53"/>
    <w:rsid w:val="0008698E"/>
    <w:rsid w:val="00086EAB"/>
    <w:rsid w:val="00094B4E"/>
    <w:rsid w:val="000967E3"/>
    <w:rsid w:val="000974E5"/>
    <w:rsid w:val="000A3DFF"/>
    <w:rsid w:val="000A533F"/>
    <w:rsid w:val="000A7AD7"/>
    <w:rsid w:val="000B4F49"/>
    <w:rsid w:val="000B5262"/>
    <w:rsid w:val="000B603F"/>
    <w:rsid w:val="000C2399"/>
    <w:rsid w:val="000C59B8"/>
    <w:rsid w:val="000C5E2D"/>
    <w:rsid w:val="000C6AF0"/>
    <w:rsid w:val="000D0D19"/>
    <w:rsid w:val="000D22B8"/>
    <w:rsid w:val="000D2AB2"/>
    <w:rsid w:val="000D2DC3"/>
    <w:rsid w:val="000D6F92"/>
    <w:rsid w:val="000D7CD4"/>
    <w:rsid w:val="000E1C2E"/>
    <w:rsid w:val="000E33FB"/>
    <w:rsid w:val="000E436C"/>
    <w:rsid w:val="000F2034"/>
    <w:rsid w:val="000F6A3B"/>
    <w:rsid w:val="000F77B6"/>
    <w:rsid w:val="001002B9"/>
    <w:rsid w:val="00101177"/>
    <w:rsid w:val="00102953"/>
    <w:rsid w:val="00103A11"/>
    <w:rsid w:val="00103DAE"/>
    <w:rsid w:val="00104F33"/>
    <w:rsid w:val="001072A5"/>
    <w:rsid w:val="00107D81"/>
    <w:rsid w:val="00110668"/>
    <w:rsid w:val="00111DE2"/>
    <w:rsid w:val="00112424"/>
    <w:rsid w:val="001140CE"/>
    <w:rsid w:val="00116B38"/>
    <w:rsid w:val="00117168"/>
    <w:rsid w:val="00117BB2"/>
    <w:rsid w:val="00122A7F"/>
    <w:rsid w:val="0012632D"/>
    <w:rsid w:val="001347D0"/>
    <w:rsid w:val="00135406"/>
    <w:rsid w:val="00135972"/>
    <w:rsid w:val="00135F79"/>
    <w:rsid w:val="001426A9"/>
    <w:rsid w:val="00144EE7"/>
    <w:rsid w:val="00146F47"/>
    <w:rsid w:val="001479D3"/>
    <w:rsid w:val="00151CE7"/>
    <w:rsid w:val="00153835"/>
    <w:rsid w:val="00154D7C"/>
    <w:rsid w:val="001570B0"/>
    <w:rsid w:val="0015752C"/>
    <w:rsid w:val="00157737"/>
    <w:rsid w:val="00161CF5"/>
    <w:rsid w:val="0016415D"/>
    <w:rsid w:val="001650B6"/>
    <w:rsid w:val="00165277"/>
    <w:rsid w:val="001655F8"/>
    <w:rsid w:val="00167C8F"/>
    <w:rsid w:val="00170592"/>
    <w:rsid w:val="00173959"/>
    <w:rsid w:val="00173F39"/>
    <w:rsid w:val="00174A63"/>
    <w:rsid w:val="00174A87"/>
    <w:rsid w:val="001758E4"/>
    <w:rsid w:val="00176D44"/>
    <w:rsid w:val="00177B49"/>
    <w:rsid w:val="00180700"/>
    <w:rsid w:val="00180F3D"/>
    <w:rsid w:val="00184E30"/>
    <w:rsid w:val="00185A08"/>
    <w:rsid w:val="00186351"/>
    <w:rsid w:val="00190A5A"/>
    <w:rsid w:val="00192BE4"/>
    <w:rsid w:val="0019420A"/>
    <w:rsid w:val="00194ADF"/>
    <w:rsid w:val="00195D83"/>
    <w:rsid w:val="001979C1"/>
    <w:rsid w:val="001A00C1"/>
    <w:rsid w:val="001A1528"/>
    <w:rsid w:val="001A2C35"/>
    <w:rsid w:val="001A3166"/>
    <w:rsid w:val="001A4339"/>
    <w:rsid w:val="001B03BD"/>
    <w:rsid w:val="001B33E0"/>
    <w:rsid w:val="001B4573"/>
    <w:rsid w:val="001B472B"/>
    <w:rsid w:val="001B7040"/>
    <w:rsid w:val="001B7B97"/>
    <w:rsid w:val="001B7F22"/>
    <w:rsid w:val="001C1F3D"/>
    <w:rsid w:val="001C779F"/>
    <w:rsid w:val="001D2AC1"/>
    <w:rsid w:val="001D3BFD"/>
    <w:rsid w:val="001D4E88"/>
    <w:rsid w:val="001D701F"/>
    <w:rsid w:val="001D7910"/>
    <w:rsid w:val="001E3248"/>
    <w:rsid w:val="001E466B"/>
    <w:rsid w:val="001F1A23"/>
    <w:rsid w:val="00200F04"/>
    <w:rsid w:val="0020239D"/>
    <w:rsid w:val="0020689C"/>
    <w:rsid w:val="00212EEA"/>
    <w:rsid w:val="002145B7"/>
    <w:rsid w:val="002148D8"/>
    <w:rsid w:val="00214F75"/>
    <w:rsid w:val="002175F6"/>
    <w:rsid w:val="002176C2"/>
    <w:rsid w:val="00217AF6"/>
    <w:rsid w:val="00217F7E"/>
    <w:rsid w:val="00220595"/>
    <w:rsid w:val="00220FC2"/>
    <w:rsid w:val="002212F4"/>
    <w:rsid w:val="002222F4"/>
    <w:rsid w:val="00224FC0"/>
    <w:rsid w:val="0022554B"/>
    <w:rsid w:val="00225893"/>
    <w:rsid w:val="00225EA4"/>
    <w:rsid w:val="00226EAF"/>
    <w:rsid w:val="00231F3A"/>
    <w:rsid w:val="0023206C"/>
    <w:rsid w:val="002334B8"/>
    <w:rsid w:val="0023380F"/>
    <w:rsid w:val="00233ACA"/>
    <w:rsid w:val="00233CCA"/>
    <w:rsid w:val="00234199"/>
    <w:rsid w:val="00234A4C"/>
    <w:rsid w:val="0023506A"/>
    <w:rsid w:val="00236BDB"/>
    <w:rsid w:val="002406EE"/>
    <w:rsid w:val="00243EC8"/>
    <w:rsid w:val="00244277"/>
    <w:rsid w:val="0025494B"/>
    <w:rsid w:val="00254B96"/>
    <w:rsid w:val="0026426D"/>
    <w:rsid w:val="0026569B"/>
    <w:rsid w:val="002708D8"/>
    <w:rsid w:val="00270D93"/>
    <w:rsid w:val="00272032"/>
    <w:rsid w:val="002722F9"/>
    <w:rsid w:val="00273AC5"/>
    <w:rsid w:val="002745CC"/>
    <w:rsid w:val="00274B18"/>
    <w:rsid w:val="00280E2C"/>
    <w:rsid w:val="00283711"/>
    <w:rsid w:val="00284868"/>
    <w:rsid w:val="002926CF"/>
    <w:rsid w:val="002947EC"/>
    <w:rsid w:val="002955BE"/>
    <w:rsid w:val="00296AAF"/>
    <w:rsid w:val="002A0654"/>
    <w:rsid w:val="002A1565"/>
    <w:rsid w:val="002B4476"/>
    <w:rsid w:val="002B4C1D"/>
    <w:rsid w:val="002B6DDE"/>
    <w:rsid w:val="002B7924"/>
    <w:rsid w:val="002C4BD0"/>
    <w:rsid w:val="002C4DB6"/>
    <w:rsid w:val="002C5C63"/>
    <w:rsid w:val="002C5D44"/>
    <w:rsid w:val="002D0D72"/>
    <w:rsid w:val="002D28C3"/>
    <w:rsid w:val="002D335F"/>
    <w:rsid w:val="002D39A4"/>
    <w:rsid w:val="002D4C46"/>
    <w:rsid w:val="002D698B"/>
    <w:rsid w:val="002D7E99"/>
    <w:rsid w:val="002E2BF2"/>
    <w:rsid w:val="002E337A"/>
    <w:rsid w:val="002E3715"/>
    <w:rsid w:val="002E3ABD"/>
    <w:rsid w:val="002E5FB2"/>
    <w:rsid w:val="002E6705"/>
    <w:rsid w:val="002E6925"/>
    <w:rsid w:val="002E70BF"/>
    <w:rsid w:val="002E7DF4"/>
    <w:rsid w:val="002F0B39"/>
    <w:rsid w:val="002F0F6A"/>
    <w:rsid w:val="002F2DDE"/>
    <w:rsid w:val="002F3B97"/>
    <w:rsid w:val="002F4F10"/>
    <w:rsid w:val="002F6F63"/>
    <w:rsid w:val="002F79AE"/>
    <w:rsid w:val="002F79E7"/>
    <w:rsid w:val="00301D08"/>
    <w:rsid w:val="00302A36"/>
    <w:rsid w:val="0030329A"/>
    <w:rsid w:val="00306A7A"/>
    <w:rsid w:val="00310065"/>
    <w:rsid w:val="0031086F"/>
    <w:rsid w:val="00313EA1"/>
    <w:rsid w:val="0031414C"/>
    <w:rsid w:val="0031416A"/>
    <w:rsid w:val="00314E01"/>
    <w:rsid w:val="00316AF3"/>
    <w:rsid w:val="0032089D"/>
    <w:rsid w:val="00321EE3"/>
    <w:rsid w:val="00323928"/>
    <w:rsid w:val="00331010"/>
    <w:rsid w:val="003310DE"/>
    <w:rsid w:val="003323B0"/>
    <w:rsid w:val="003331BF"/>
    <w:rsid w:val="00340C65"/>
    <w:rsid w:val="003419D5"/>
    <w:rsid w:val="00344B4F"/>
    <w:rsid w:val="00345C5A"/>
    <w:rsid w:val="003467F3"/>
    <w:rsid w:val="00346E53"/>
    <w:rsid w:val="003506F8"/>
    <w:rsid w:val="0035169A"/>
    <w:rsid w:val="00351B4E"/>
    <w:rsid w:val="0035259D"/>
    <w:rsid w:val="00354CDE"/>
    <w:rsid w:val="003553FE"/>
    <w:rsid w:val="003566F4"/>
    <w:rsid w:val="00360E95"/>
    <w:rsid w:val="00364B18"/>
    <w:rsid w:val="00365E85"/>
    <w:rsid w:val="00366069"/>
    <w:rsid w:val="00380E3D"/>
    <w:rsid w:val="00383E39"/>
    <w:rsid w:val="003A0B25"/>
    <w:rsid w:val="003A125D"/>
    <w:rsid w:val="003A4C70"/>
    <w:rsid w:val="003A6CF7"/>
    <w:rsid w:val="003B15E5"/>
    <w:rsid w:val="003B215F"/>
    <w:rsid w:val="003B31ED"/>
    <w:rsid w:val="003B74FC"/>
    <w:rsid w:val="003C1ECA"/>
    <w:rsid w:val="003C3DBA"/>
    <w:rsid w:val="003C799C"/>
    <w:rsid w:val="003D0399"/>
    <w:rsid w:val="003D2400"/>
    <w:rsid w:val="003D36D2"/>
    <w:rsid w:val="003D6E14"/>
    <w:rsid w:val="003E1C71"/>
    <w:rsid w:val="003E1C7E"/>
    <w:rsid w:val="003E2E70"/>
    <w:rsid w:val="003E3ED1"/>
    <w:rsid w:val="003E6825"/>
    <w:rsid w:val="003E6D63"/>
    <w:rsid w:val="003F327B"/>
    <w:rsid w:val="003F340A"/>
    <w:rsid w:val="00406166"/>
    <w:rsid w:val="0040704B"/>
    <w:rsid w:val="00410A55"/>
    <w:rsid w:val="00411300"/>
    <w:rsid w:val="00415417"/>
    <w:rsid w:val="00417960"/>
    <w:rsid w:val="0042446D"/>
    <w:rsid w:val="00425597"/>
    <w:rsid w:val="00426659"/>
    <w:rsid w:val="00430D10"/>
    <w:rsid w:val="00431403"/>
    <w:rsid w:val="00432C9A"/>
    <w:rsid w:val="00432E46"/>
    <w:rsid w:val="00433EE1"/>
    <w:rsid w:val="00434018"/>
    <w:rsid w:val="004408E3"/>
    <w:rsid w:val="004418FB"/>
    <w:rsid w:val="004471F8"/>
    <w:rsid w:val="00450352"/>
    <w:rsid w:val="0045304A"/>
    <w:rsid w:val="00454BDB"/>
    <w:rsid w:val="00461EFC"/>
    <w:rsid w:val="004630F9"/>
    <w:rsid w:val="0046328E"/>
    <w:rsid w:val="00464800"/>
    <w:rsid w:val="00465132"/>
    <w:rsid w:val="00466AC0"/>
    <w:rsid w:val="0046789A"/>
    <w:rsid w:val="004679B1"/>
    <w:rsid w:val="00471539"/>
    <w:rsid w:val="00472AFC"/>
    <w:rsid w:val="004734A2"/>
    <w:rsid w:val="00475B21"/>
    <w:rsid w:val="00480C90"/>
    <w:rsid w:val="0048396F"/>
    <w:rsid w:val="00484BDB"/>
    <w:rsid w:val="00493C18"/>
    <w:rsid w:val="00494175"/>
    <w:rsid w:val="00496B13"/>
    <w:rsid w:val="004A2FA5"/>
    <w:rsid w:val="004A323A"/>
    <w:rsid w:val="004A600C"/>
    <w:rsid w:val="004A6118"/>
    <w:rsid w:val="004B1033"/>
    <w:rsid w:val="004B1E2A"/>
    <w:rsid w:val="004B413E"/>
    <w:rsid w:val="004C239E"/>
    <w:rsid w:val="004C478D"/>
    <w:rsid w:val="004C50F1"/>
    <w:rsid w:val="004C7D09"/>
    <w:rsid w:val="004D1143"/>
    <w:rsid w:val="004E2C26"/>
    <w:rsid w:val="004E6911"/>
    <w:rsid w:val="004E6B23"/>
    <w:rsid w:val="004F3089"/>
    <w:rsid w:val="004F36FF"/>
    <w:rsid w:val="004F3F01"/>
    <w:rsid w:val="004F7647"/>
    <w:rsid w:val="005013FD"/>
    <w:rsid w:val="00501A0A"/>
    <w:rsid w:val="00502BC4"/>
    <w:rsid w:val="00502C7E"/>
    <w:rsid w:val="005119E2"/>
    <w:rsid w:val="005125A8"/>
    <w:rsid w:val="00516E80"/>
    <w:rsid w:val="00521AE8"/>
    <w:rsid w:val="00524154"/>
    <w:rsid w:val="00526F9A"/>
    <w:rsid w:val="00527180"/>
    <w:rsid w:val="00527ECA"/>
    <w:rsid w:val="00535318"/>
    <w:rsid w:val="0054201E"/>
    <w:rsid w:val="0054501D"/>
    <w:rsid w:val="0054511B"/>
    <w:rsid w:val="00550F32"/>
    <w:rsid w:val="00551C10"/>
    <w:rsid w:val="00552BC5"/>
    <w:rsid w:val="00555291"/>
    <w:rsid w:val="00555DCB"/>
    <w:rsid w:val="005608BB"/>
    <w:rsid w:val="00566A5A"/>
    <w:rsid w:val="00566AC5"/>
    <w:rsid w:val="00566AD1"/>
    <w:rsid w:val="00567F97"/>
    <w:rsid w:val="00570003"/>
    <w:rsid w:val="00570922"/>
    <w:rsid w:val="0057241C"/>
    <w:rsid w:val="00573308"/>
    <w:rsid w:val="00575B35"/>
    <w:rsid w:val="00583EDE"/>
    <w:rsid w:val="00585889"/>
    <w:rsid w:val="00591551"/>
    <w:rsid w:val="00591AF0"/>
    <w:rsid w:val="005923E8"/>
    <w:rsid w:val="005947D3"/>
    <w:rsid w:val="005A6079"/>
    <w:rsid w:val="005A7E38"/>
    <w:rsid w:val="005B1761"/>
    <w:rsid w:val="005B41DF"/>
    <w:rsid w:val="005B684D"/>
    <w:rsid w:val="005C0A2D"/>
    <w:rsid w:val="005C2571"/>
    <w:rsid w:val="005C5FF5"/>
    <w:rsid w:val="005C7F15"/>
    <w:rsid w:val="005D0D16"/>
    <w:rsid w:val="005D3416"/>
    <w:rsid w:val="005D40D1"/>
    <w:rsid w:val="005E0643"/>
    <w:rsid w:val="005E0745"/>
    <w:rsid w:val="005E16B3"/>
    <w:rsid w:val="005E2E8D"/>
    <w:rsid w:val="005E2FD1"/>
    <w:rsid w:val="005E4698"/>
    <w:rsid w:val="005E6F17"/>
    <w:rsid w:val="005F2F9D"/>
    <w:rsid w:val="005F586E"/>
    <w:rsid w:val="00610539"/>
    <w:rsid w:val="00613969"/>
    <w:rsid w:val="006140DA"/>
    <w:rsid w:val="00615AD5"/>
    <w:rsid w:val="00621E87"/>
    <w:rsid w:val="00623CF4"/>
    <w:rsid w:val="00625A54"/>
    <w:rsid w:val="00625C35"/>
    <w:rsid w:val="006322F7"/>
    <w:rsid w:val="00632A41"/>
    <w:rsid w:val="00635E08"/>
    <w:rsid w:val="00636FEC"/>
    <w:rsid w:val="00637ACE"/>
    <w:rsid w:val="0064008C"/>
    <w:rsid w:val="0064152A"/>
    <w:rsid w:val="00644A57"/>
    <w:rsid w:val="00644D01"/>
    <w:rsid w:val="00646132"/>
    <w:rsid w:val="00650A9A"/>
    <w:rsid w:val="00652548"/>
    <w:rsid w:val="00655FF6"/>
    <w:rsid w:val="00656313"/>
    <w:rsid w:val="006565F4"/>
    <w:rsid w:val="00657D49"/>
    <w:rsid w:val="0066474E"/>
    <w:rsid w:val="006703D4"/>
    <w:rsid w:val="00672071"/>
    <w:rsid w:val="00673F2B"/>
    <w:rsid w:val="00675379"/>
    <w:rsid w:val="00680C0B"/>
    <w:rsid w:val="00682750"/>
    <w:rsid w:val="006831FE"/>
    <w:rsid w:val="00684EEA"/>
    <w:rsid w:val="00690E47"/>
    <w:rsid w:val="00691D2F"/>
    <w:rsid w:val="006936F7"/>
    <w:rsid w:val="00693737"/>
    <w:rsid w:val="00695C63"/>
    <w:rsid w:val="0069678A"/>
    <w:rsid w:val="0069689B"/>
    <w:rsid w:val="006A1551"/>
    <w:rsid w:val="006A3C58"/>
    <w:rsid w:val="006A794A"/>
    <w:rsid w:val="006B5FF5"/>
    <w:rsid w:val="006B6BEC"/>
    <w:rsid w:val="006B7B9E"/>
    <w:rsid w:val="006C23A5"/>
    <w:rsid w:val="006C27FC"/>
    <w:rsid w:val="006C4086"/>
    <w:rsid w:val="006C4436"/>
    <w:rsid w:val="006C48C5"/>
    <w:rsid w:val="006C55CB"/>
    <w:rsid w:val="006D1D78"/>
    <w:rsid w:val="006D1DEA"/>
    <w:rsid w:val="006D365E"/>
    <w:rsid w:val="006D41D0"/>
    <w:rsid w:val="006D6933"/>
    <w:rsid w:val="006D7CF3"/>
    <w:rsid w:val="006E1042"/>
    <w:rsid w:val="006E543F"/>
    <w:rsid w:val="006E72F5"/>
    <w:rsid w:val="006F1399"/>
    <w:rsid w:val="006F30AF"/>
    <w:rsid w:val="006F591B"/>
    <w:rsid w:val="006F7ED1"/>
    <w:rsid w:val="00701759"/>
    <w:rsid w:val="00702719"/>
    <w:rsid w:val="00703103"/>
    <w:rsid w:val="00703DAB"/>
    <w:rsid w:val="00704649"/>
    <w:rsid w:val="00705C15"/>
    <w:rsid w:val="00705E70"/>
    <w:rsid w:val="0071055E"/>
    <w:rsid w:val="007122D0"/>
    <w:rsid w:val="00714208"/>
    <w:rsid w:val="007153B5"/>
    <w:rsid w:val="00715955"/>
    <w:rsid w:val="0071600E"/>
    <w:rsid w:val="007208D1"/>
    <w:rsid w:val="00721796"/>
    <w:rsid w:val="00723439"/>
    <w:rsid w:val="007272E7"/>
    <w:rsid w:val="00727330"/>
    <w:rsid w:val="00731545"/>
    <w:rsid w:val="007326A5"/>
    <w:rsid w:val="007332EC"/>
    <w:rsid w:val="00744BB4"/>
    <w:rsid w:val="007464A4"/>
    <w:rsid w:val="00747288"/>
    <w:rsid w:val="0074787F"/>
    <w:rsid w:val="00747DD3"/>
    <w:rsid w:val="007549C8"/>
    <w:rsid w:val="00754A0B"/>
    <w:rsid w:val="00756F16"/>
    <w:rsid w:val="007634F9"/>
    <w:rsid w:val="00766D14"/>
    <w:rsid w:val="007670E9"/>
    <w:rsid w:val="00767A0F"/>
    <w:rsid w:val="00767CD7"/>
    <w:rsid w:val="00767D68"/>
    <w:rsid w:val="007702D9"/>
    <w:rsid w:val="00771C8B"/>
    <w:rsid w:val="00772028"/>
    <w:rsid w:val="00775CBF"/>
    <w:rsid w:val="00775F4B"/>
    <w:rsid w:val="007766C5"/>
    <w:rsid w:val="0078227B"/>
    <w:rsid w:val="00784D44"/>
    <w:rsid w:val="00785787"/>
    <w:rsid w:val="0078752F"/>
    <w:rsid w:val="00787B3A"/>
    <w:rsid w:val="007934B6"/>
    <w:rsid w:val="007937F2"/>
    <w:rsid w:val="007942C7"/>
    <w:rsid w:val="00794F6D"/>
    <w:rsid w:val="007955EF"/>
    <w:rsid w:val="007A05F6"/>
    <w:rsid w:val="007A31AF"/>
    <w:rsid w:val="007A3C15"/>
    <w:rsid w:val="007A5F4D"/>
    <w:rsid w:val="007A6E5D"/>
    <w:rsid w:val="007A7F74"/>
    <w:rsid w:val="007B41EE"/>
    <w:rsid w:val="007B6B8F"/>
    <w:rsid w:val="007B6F4A"/>
    <w:rsid w:val="007C0C6E"/>
    <w:rsid w:val="007C1FE7"/>
    <w:rsid w:val="007C3A49"/>
    <w:rsid w:val="007C3E18"/>
    <w:rsid w:val="007D04D7"/>
    <w:rsid w:val="007D6CE6"/>
    <w:rsid w:val="007E1C47"/>
    <w:rsid w:val="007E337A"/>
    <w:rsid w:val="007E5C70"/>
    <w:rsid w:val="007F0B40"/>
    <w:rsid w:val="007F2FF5"/>
    <w:rsid w:val="007F3F08"/>
    <w:rsid w:val="007F6DF9"/>
    <w:rsid w:val="00800F55"/>
    <w:rsid w:val="0080178A"/>
    <w:rsid w:val="00801BE5"/>
    <w:rsid w:val="00804CC6"/>
    <w:rsid w:val="00806E17"/>
    <w:rsid w:val="008133DE"/>
    <w:rsid w:val="00817190"/>
    <w:rsid w:val="00820002"/>
    <w:rsid w:val="00820EE5"/>
    <w:rsid w:val="008260E2"/>
    <w:rsid w:val="00830967"/>
    <w:rsid w:val="00830E2D"/>
    <w:rsid w:val="008322BD"/>
    <w:rsid w:val="00833E0A"/>
    <w:rsid w:val="00834564"/>
    <w:rsid w:val="00834F73"/>
    <w:rsid w:val="00837FF9"/>
    <w:rsid w:val="00841320"/>
    <w:rsid w:val="00850B99"/>
    <w:rsid w:val="00851A49"/>
    <w:rsid w:val="008541CE"/>
    <w:rsid w:val="0085421A"/>
    <w:rsid w:val="00854E35"/>
    <w:rsid w:val="0085634A"/>
    <w:rsid w:val="00864104"/>
    <w:rsid w:val="00864CF8"/>
    <w:rsid w:val="008669C2"/>
    <w:rsid w:val="00866F26"/>
    <w:rsid w:val="00867DD6"/>
    <w:rsid w:val="00870990"/>
    <w:rsid w:val="00872612"/>
    <w:rsid w:val="00872819"/>
    <w:rsid w:val="00874914"/>
    <w:rsid w:val="0087615E"/>
    <w:rsid w:val="00876619"/>
    <w:rsid w:val="00876C1D"/>
    <w:rsid w:val="008807CF"/>
    <w:rsid w:val="00883B28"/>
    <w:rsid w:val="0088511D"/>
    <w:rsid w:val="00890B06"/>
    <w:rsid w:val="00891422"/>
    <w:rsid w:val="00892E1A"/>
    <w:rsid w:val="008933EA"/>
    <w:rsid w:val="00894AA9"/>
    <w:rsid w:val="00895C00"/>
    <w:rsid w:val="008A0ED7"/>
    <w:rsid w:val="008A1402"/>
    <w:rsid w:val="008A142E"/>
    <w:rsid w:val="008A2C7B"/>
    <w:rsid w:val="008A3F29"/>
    <w:rsid w:val="008A690B"/>
    <w:rsid w:val="008B0231"/>
    <w:rsid w:val="008B1775"/>
    <w:rsid w:val="008B2E92"/>
    <w:rsid w:val="008B34AE"/>
    <w:rsid w:val="008B3E2A"/>
    <w:rsid w:val="008B3F38"/>
    <w:rsid w:val="008B660A"/>
    <w:rsid w:val="008C01DA"/>
    <w:rsid w:val="008C2108"/>
    <w:rsid w:val="008C6717"/>
    <w:rsid w:val="008C692E"/>
    <w:rsid w:val="008C6C13"/>
    <w:rsid w:val="008C6CE4"/>
    <w:rsid w:val="008D232E"/>
    <w:rsid w:val="008D3BD3"/>
    <w:rsid w:val="008D5707"/>
    <w:rsid w:val="008E3BAF"/>
    <w:rsid w:val="008E4CDB"/>
    <w:rsid w:val="008E6AC5"/>
    <w:rsid w:val="008E6D43"/>
    <w:rsid w:val="008F00AF"/>
    <w:rsid w:val="008F226F"/>
    <w:rsid w:val="008F3789"/>
    <w:rsid w:val="008F78E9"/>
    <w:rsid w:val="00901CB9"/>
    <w:rsid w:val="0090252A"/>
    <w:rsid w:val="00905650"/>
    <w:rsid w:val="009102C2"/>
    <w:rsid w:val="009103BA"/>
    <w:rsid w:val="00910831"/>
    <w:rsid w:val="00911989"/>
    <w:rsid w:val="009179F9"/>
    <w:rsid w:val="009219EC"/>
    <w:rsid w:val="009239FE"/>
    <w:rsid w:val="00924855"/>
    <w:rsid w:val="00926AA8"/>
    <w:rsid w:val="009278E9"/>
    <w:rsid w:val="00932293"/>
    <w:rsid w:val="00933E5E"/>
    <w:rsid w:val="00935218"/>
    <w:rsid w:val="00936D88"/>
    <w:rsid w:val="009374B9"/>
    <w:rsid w:val="009403F3"/>
    <w:rsid w:val="009420D2"/>
    <w:rsid w:val="00943717"/>
    <w:rsid w:val="00943C70"/>
    <w:rsid w:val="00945CD7"/>
    <w:rsid w:val="009466ED"/>
    <w:rsid w:val="00950BA8"/>
    <w:rsid w:val="0095157A"/>
    <w:rsid w:val="00951FA7"/>
    <w:rsid w:val="009520D8"/>
    <w:rsid w:val="0095260D"/>
    <w:rsid w:val="00952ECE"/>
    <w:rsid w:val="00954E03"/>
    <w:rsid w:val="009555B7"/>
    <w:rsid w:val="009567AA"/>
    <w:rsid w:val="00967374"/>
    <w:rsid w:val="0096760A"/>
    <w:rsid w:val="009704E0"/>
    <w:rsid w:val="00975F72"/>
    <w:rsid w:val="00985619"/>
    <w:rsid w:val="00985E70"/>
    <w:rsid w:val="009869D5"/>
    <w:rsid w:val="0098762D"/>
    <w:rsid w:val="00987979"/>
    <w:rsid w:val="009914CA"/>
    <w:rsid w:val="009932E7"/>
    <w:rsid w:val="00996BF2"/>
    <w:rsid w:val="00997CAF"/>
    <w:rsid w:val="009A0574"/>
    <w:rsid w:val="009A1B23"/>
    <w:rsid w:val="009A282C"/>
    <w:rsid w:val="009A3174"/>
    <w:rsid w:val="009A343A"/>
    <w:rsid w:val="009A3D41"/>
    <w:rsid w:val="009B086C"/>
    <w:rsid w:val="009B2F23"/>
    <w:rsid w:val="009B57B3"/>
    <w:rsid w:val="009C0FC5"/>
    <w:rsid w:val="009C4B17"/>
    <w:rsid w:val="009C5B92"/>
    <w:rsid w:val="009C7593"/>
    <w:rsid w:val="009D2920"/>
    <w:rsid w:val="009D5262"/>
    <w:rsid w:val="009D5601"/>
    <w:rsid w:val="009D5AEB"/>
    <w:rsid w:val="009E27B4"/>
    <w:rsid w:val="009E3A01"/>
    <w:rsid w:val="009E643E"/>
    <w:rsid w:val="009E684F"/>
    <w:rsid w:val="009F0E33"/>
    <w:rsid w:val="00A00AD6"/>
    <w:rsid w:val="00A030CE"/>
    <w:rsid w:val="00A03B44"/>
    <w:rsid w:val="00A07116"/>
    <w:rsid w:val="00A07FC6"/>
    <w:rsid w:val="00A1463C"/>
    <w:rsid w:val="00A1485E"/>
    <w:rsid w:val="00A149DF"/>
    <w:rsid w:val="00A1755C"/>
    <w:rsid w:val="00A21B90"/>
    <w:rsid w:val="00A2629A"/>
    <w:rsid w:val="00A27CBC"/>
    <w:rsid w:val="00A322D2"/>
    <w:rsid w:val="00A323F9"/>
    <w:rsid w:val="00A360BF"/>
    <w:rsid w:val="00A37181"/>
    <w:rsid w:val="00A37F18"/>
    <w:rsid w:val="00A40C57"/>
    <w:rsid w:val="00A41805"/>
    <w:rsid w:val="00A42DCD"/>
    <w:rsid w:val="00A501D4"/>
    <w:rsid w:val="00A52AFB"/>
    <w:rsid w:val="00A548CB"/>
    <w:rsid w:val="00A5521C"/>
    <w:rsid w:val="00A617FE"/>
    <w:rsid w:val="00A63CEA"/>
    <w:rsid w:val="00A643E7"/>
    <w:rsid w:val="00A66445"/>
    <w:rsid w:val="00A7028D"/>
    <w:rsid w:val="00A70A9E"/>
    <w:rsid w:val="00A7179D"/>
    <w:rsid w:val="00A73C38"/>
    <w:rsid w:val="00A747A8"/>
    <w:rsid w:val="00A77350"/>
    <w:rsid w:val="00A774AC"/>
    <w:rsid w:val="00A8255D"/>
    <w:rsid w:val="00A826C6"/>
    <w:rsid w:val="00A84A11"/>
    <w:rsid w:val="00A85536"/>
    <w:rsid w:val="00A86E6C"/>
    <w:rsid w:val="00A87A23"/>
    <w:rsid w:val="00A90C1B"/>
    <w:rsid w:val="00A92C13"/>
    <w:rsid w:val="00A939C0"/>
    <w:rsid w:val="00AA3CB1"/>
    <w:rsid w:val="00AA5251"/>
    <w:rsid w:val="00AB387D"/>
    <w:rsid w:val="00AB6605"/>
    <w:rsid w:val="00AB670D"/>
    <w:rsid w:val="00AB78C1"/>
    <w:rsid w:val="00AB7AA8"/>
    <w:rsid w:val="00AC47F2"/>
    <w:rsid w:val="00AC6FB7"/>
    <w:rsid w:val="00AD0E65"/>
    <w:rsid w:val="00AD152D"/>
    <w:rsid w:val="00AD26C3"/>
    <w:rsid w:val="00AE4535"/>
    <w:rsid w:val="00AE4773"/>
    <w:rsid w:val="00AE50F9"/>
    <w:rsid w:val="00AF03C5"/>
    <w:rsid w:val="00AF462A"/>
    <w:rsid w:val="00AF5826"/>
    <w:rsid w:val="00AF6596"/>
    <w:rsid w:val="00AF7575"/>
    <w:rsid w:val="00B000D8"/>
    <w:rsid w:val="00B00F75"/>
    <w:rsid w:val="00B03AD6"/>
    <w:rsid w:val="00B048A0"/>
    <w:rsid w:val="00B050DD"/>
    <w:rsid w:val="00B075BF"/>
    <w:rsid w:val="00B10934"/>
    <w:rsid w:val="00B11E63"/>
    <w:rsid w:val="00B143D1"/>
    <w:rsid w:val="00B145B6"/>
    <w:rsid w:val="00B243BF"/>
    <w:rsid w:val="00B279EB"/>
    <w:rsid w:val="00B30632"/>
    <w:rsid w:val="00B30B1F"/>
    <w:rsid w:val="00B3235D"/>
    <w:rsid w:val="00B36701"/>
    <w:rsid w:val="00B40C0B"/>
    <w:rsid w:val="00B43CE7"/>
    <w:rsid w:val="00B45DE0"/>
    <w:rsid w:val="00B46B81"/>
    <w:rsid w:val="00B47C90"/>
    <w:rsid w:val="00B47DBA"/>
    <w:rsid w:val="00B50C81"/>
    <w:rsid w:val="00B53D96"/>
    <w:rsid w:val="00B54DC4"/>
    <w:rsid w:val="00B557DC"/>
    <w:rsid w:val="00B557F8"/>
    <w:rsid w:val="00B5600B"/>
    <w:rsid w:val="00B6233B"/>
    <w:rsid w:val="00B64791"/>
    <w:rsid w:val="00B65B7A"/>
    <w:rsid w:val="00B66B83"/>
    <w:rsid w:val="00B67E80"/>
    <w:rsid w:val="00B70ACE"/>
    <w:rsid w:val="00B71E19"/>
    <w:rsid w:val="00B729D2"/>
    <w:rsid w:val="00B72CD4"/>
    <w:rsid w:val="00B736AC"/>
    <w:rsid w:val="00B73755"/>
    <w:rsid w:val="00B74195"/>
    <w:rsid w:val="00B815FC"/>
    <w:rsid w:val="00B82715"/>
    <w:rsid w:val="00B840AD"/>
    <w:rsid w:val="00B843E4"/>
    <w:rsid w:val="00B84F8F"/>
    <w:rsid w:val="00B93FBC"/>
    <w:rsid w:val="00B958D5"/>
    <w:rsid w:val="00B9735C"/>
    <w:rsid w:val="00B97C83"/>
    <w:rsid w:val="00BA1BC8"/>
    <w:rsid w:val="00BA61BB"/>
    <w:rsid w:val="00BA6C9E"/>
    <w:rsid w:val="00BA7DA0"/>
    <w:rsid w:val="00BB2EE4"/>
    <w:rsid w:val="00BB7014"/>
    <w:rsid w:val="00BC2108"/>
    <w:rsid w:val="00BC4483"/>
    <w:rsid w:val="00BD0E9E"/>
    <w:rsid w:val="00BD1BEC"/>
    <w:rsid w:val="00BD24E5"/>
    <w:rsid w:val="00BD29A5"/>
    <w:rsid w:val="00BD32FF"/>
    <w:rsid w:val="00BD3D46"/>
    <w:rsid w:val="00BD5CF7"/>
    <w:rsid w:val="00BD756D"/>
    <w:rsid w:val="00BD7FED"/>
    <w:rsid w:val="00BE321E"/>
    <w:rsid w:val="00BE38FD"/>
    <w:rsid w:val="00BE6733"/>
    <w:rsid w:val="00BF0D0F"/>
    <w:rsid w:val="00BF6051"/>
    <w:rsid w:val="00C02092"/>
    <w:rsid w:val="00C0623F"/>
    <w:rsid w:val="00C11107"/>
    <w:rsid w:val="00C177DA"/>
    <w:rsid w:val="00C212EE"/>
    <w:rsid w:val="00C24D91"/>
    <w:rsid w:val="00C33BCD"/>
    <w:rsid w:val="00C405E6"/>
    <w:rsid w:val="00C516F2"/>
    <w:rsid w:val="00C53F14"/>
    <w:rsid w:val="00C571B8"/>
    <w:rsid w:val="00C600CF"/>
    <w:rsid w:val="00C6084F"/>
    <w:rsid w:val="00C61F79"/>
    <w:rsid w:val="00C62A66"/>
    <w:rsid w:val="00C65595"/>
    <w:rsid w:val="00C67AD7"/>
    <w:rsid w:val="00C71458"/>
    <w:rsid w:val="00C77613"/>
    <w:rsid w:val="00C776DA"/>
    <w:rsid w:val="00C81667"/>
    <w:rsid w:val="00C828E7"/>
    <w:rsid w:val="00C82A88"/>
    <w:rsid w:val="00C836E3"/>
    <w:rsid w:val="00C85A68"/>
    <w:rsid w:val="00C85E58"/>
    <w:rsid w:val="00C86719"/>
    <w:rsid w:val="00C9060F"/>
    <w:rsid w:val="00C91A66"/>
    <w:rsid w:val="00C921DD"/>
    <w:rsid w:val="00C93CBC"/>
    <w:rsid w:val="00CA0368"/>
    <w:rsid w:val="00CA0DCD"/>
    <w:rsid w:val="00CA2158"/>
    <w:rsid w:val="00CA5F0B"/>
    <w:rsid w:val="00CA6391"/>
    <w:rsid w:val="00CA6576"/>
    <w:rsid w:val="00CA6738"/>
    <w:rsid w:val="00CB00DD"/>
    <w:rsid w:val="00CB632C"/>
    <w:rsid w:val="00CC2806"/>
    <w:rsid w:val="00CC34BD"/>
    <w:rsid w:val="00CC3DDE"/>
    <w:rsid w:val="00CC6970"/>
    <w:rsid w:val="00CD0774"/>
    <w:rsid w:val="00CD1AB2"/>
    <w:rsid w:val="00CD470A"/>
    <w:rsid w:val="00CD784E"/>
    <w:rsid w:val="00CE161A"/>
    <w:rsid w:val="00CE1D58"/>
    <w:rsid w:val="00CE3171"/>
    <w:rsid w:val="00CE3C21"/>
    <w:rsid w:val="00CE5440"/>
    <w:rsid w:val="00CF0CE0"/>
    <w:rsid w:val="00CF1601"/>
    <w:rsid w:val="00CF3302"/>
    <w:rsid w:val="00CF683C"/>
    <w:rsid w:val="00CF74B7"/>
    <w:rsid w:val="00D01197"/>
    <w:rsid w:val="00D0172F"/>
    <w:rsid w:val="00D05C73"/>
    <w:rsid w:val="00D068A7"/>
    <w:rsid w:val="00D07699"/>
    <w:rsid w:val="00D07949"/>
    <w:rsid w:val="00D103B4"/>
    <w:rsid w:val="00D127FA"/>
    <w:rsid w:val="00D15778"/>
    <w:rsid w:val="00D17476"/>
    <w:rsid w:val="00D17643"/>
    <w:rsid w:val="00D217CD"/>
    <w:rsid w:val="00D27545"/>
    <w:rsid w:val="00D32086"/>
    <w:rsid w:val="00D359AE"/>
    <w:rsid w:val="00D37A3F"/>
    <w:rsid w:val="00D43005"/>
    <w:rsid w:val="00D43DA1"/>
    <w:rsid w:val="00D4431D"/>
    <w:rsid w:val="00D4667A"/>
    <w:rsid w:val="00D6025B"/>
    <w:rsid w:val="00D63A1C"/>
    <w:rsid w:val="00D64C4C"/>
    <w:rsid w:val="00D667DF"/>
    <w:rsid w:val="00D66A96"/>
    <w:rsid w:val="00D70A36"/>
    <w:rsid w:val="00D73670"/>
    <w:rsid w:val="00D745B3"/>
    <w:rsid w:val="00D7516F"/>
    <w:rsid w:val="00D752ED"/>
    <w:rsid w:val="00D805D5"/>
    <w:rsid w:val="00D8225C"/>
    <w:rsid w:val="00D83911"/>
    <w:rsid w:val="00D84C82"/>
    <w:rsid w:val="00D8579F"/>
    <w:rsid w:val="00D94310"/>
    <w:rsid w:val="00D95646"/>
    <w:rsid w:val="00D95F21"/>
    <w:rsid w:val="00D95F8E"/>
    <w:rsid w:val="00D97134"/>
    <w:rsid w:val="00D97513"/>
    <w:rsid w:val="00DA0590"/>
    <w:rsid w:val="00DA14AC"/>
    <w:rsid w:val="00DA3320"/>
    <w:rsid w:val="00DA587E"/>
    <w:rsid w:val="00DB4852"/>
    <w:rsid w:val="00DB674C"/>
    <w:rsid w:val="00DB7BEA"/>
    <w:rsid w:val="00DC01E3"/>
    <w:rsid w:val="00DC1739"/>
    <w:rsid w:val="00DC1785"/>
    <w:rsid w:val="00DC1788"/>
    <w:rsid w:val="00DC62D2"/>
    <w:rsid w:val="00DD168E"/>
    <w:rsid w:val="00DD29ED"/>
    <w:rsid w:val="00DD47C4"/>
    <w:rsid w:val="00DD521C"/>
    <w:rsid w:val="00DD7FFE"/>
    <w:rsid w:val="00DE0697"/>
    <w:rsid w:val="00DE0E8C"/>
    <w:rsid w:val="00DE2398"/>
    <w:rsid w:val="00DE319C"/>
    <w:rsid w:val="00DE3D55"/>
    <w:rsid w:val="00DE598F"/>
    <w:rsid w:val="00DE6156"/>
    <w:rsid w:val="00DE644E"/>
    <w:rsid w:val="00DE734D"/>
    <w:rsid w:val="00DF0B8D"/>
    <w:rsid w:val="00DF0CA8"/>
    <w:rsid w:val="00DF2384"/>
    <w:rsid w:val="00DF2B48"/>
    <w:rsid w:val="00DF49A7"/>
    <w:rsid w:val="00DF4EB4"/>
    <w:rsid w:val="00DF7062"/>
    <w:rsid w:val="00E07EE2"/>
    <w:rsid w:val="00E07FD1"/>
    <w:rsid w:val="00E12286"/>
    <w:rsid w:val="00E13262"/>
    <w:rsid w:val="00E13B13"/>
    <w:rsid w:val="00E15177"/>
    <w:rsid w:val="00E16941"/>
    <w:rsid w:val="00E176D8"/>
    <w:rsid w:val="00E21DB7"/>
    <w:rsid w:val="00E23B41"/>
    <w:rsid w:val="00E24573"/>
    <w:rsid w:val="00E249CA"/>
    <w:rsid w:val="00E25E1E"/>
    <w:rsid w:val="00E268C6"/>
    <w:rsid w:val="00E27EE7"/>
    <w:rsid w:val="00E31C89"/>
    <w:rsid w:val="00E338BA"/>
    <w:rsid w:val="00E35404"/>
    <w:rsid w:val="00E41A73"/>
    <w:rsid w:val="00E42ACE"/>
    <w:rsid w:val="00E43378"/>
    <w:rsid w:val="00E45109"/>
    <w:rsid w:val="00E469B7"/>
    <w:rsid w:val="00E47B7A"/>
    <w:rsid w:val="00E5664F"/>
    <w:rsid w:val="00E56A44"/>
    <w:rsid w:val="00E60269"/>
    <w:rsid w:val="00E603EB"/>
    <w:rsid w:val="00E65C51"/>
    <w:rsid w:val="00E71F26"/>
    <w:rsid w:val="00E73373"/>
    <w:rsid w:val="00E77932"/>
    <w:rsid w:val="00E81978"/>
    <w:rsid w:val="00E81E22"/>
    <w:rsid w:val="00E8359F"/>
    <w:rsid w:val="00E86AD7"/>
    <w:rsid w:val="00E904E9"/>
    <w:rsid w:val="00E912BB"/>
    <w:rsid w:val="00E97830"/>
    <w:rsid w:val="00EA0603"/>
    <w:rsid w:val="00EA06FD"/>
    <w:rsid w:val="00EA2B5B"/>
    <w:rsid w:val="00EB051C"/>
    <w:rsid w:val="00EB1CF2"/>
    <w:rsid w:val="00EB667C"/>
    <w:rsid w:val="00EC054D"/>
    <w:rsid w:val="00EC27B4"/>
    <w:rsid w:val="00EC3AE6"/>
    <w:rsid w:val="00ED5C1B"/>
    <w:rsid w:val="00ED751E"/>
    <w:rsid w:val="00ED7987"/>
    <w:rsid w:val="00EE364B"/>
    <w:rsid w:val="00EE4593"/>
    <w:rsid w:val="00EE643C"/>
    <w:rsid w:val="00EF0683"/>
    <w:rsid w:val="00EF5441"/>
    <w:rsid w:val="00EF5D97"/>
    <w:rsid w:val="00EF69B5"/>
    <w:rsid w:val="00EF69D2"/>
    <w:rsid w:val="00EF766E"/>
    <w:rsid w:val="00F0070C"/>
    <w:rsid w:val="00F00EB7"/>
    <w:rsid w:val="00F103C5"/>
    <w:rsid w:val="00F121D1"/>
    <w:rsid w:val="00F12DD3"/>
    <w:rsid w:val="00F1364D"/>
    <w:rsid w:val="00F14A9B"/>
    <w:rsid w:val="00F160E4"/>
    <w:rsid w:val="00F21151"/>
    <w:rsid w:val="00F21832"/>
    <w:rsid w:val="00F22CFF"/>
    <w:rsid w:val="00F23B4C"/>
    <w:rsid w:val="00F2615F"/>
    <w:rsid w:val="00F3068A"/>
    <w:rsid w:val="00F32757"/>
    <w:rsid w:val="00F3318D"/>
    <w:rsid w:val="00F34FA4"/>
    <w:rsid w:val="00F36AB6"/>
    <w:rsid w:val="00F379B3"/>
    <w:rsid w:val="00F37A09"/>
    <w:rsid w:val="00F40907"/>
    <w:rsid w:val="00F409CE"/>
    <w:rsid w:val="00F4379D"/>
    <w:rsid w:val="00F50D2D"/>
    <w:rsid w:val="00F56C8B"/>
    <w:rsid w:val="00F5734C"/>
    <w:rsid w:val="00F57A8B"/>
    <w:rsid w:val="00F66810"/>
    <w:rsid w:val="00F70F48"/>
    <w:rsid w:val="00F718ED"/>
    <w:rsid w:val="00F8175B"/>
    <w:rsid w:val="00F82882"/>
    <w:rsid w:val="00F846D9"/>
    <w:rsid w:val="00F84DF4"/>
    <w:rsid w:val="00F85C97"/>
    <w:rsid w:val="00F8623D"/>
    <w:rsid w:val="00FA03B3"/>
    <w:rsid w:val="00FA04CF"/>
    <w:rsid w:val="00FA132A"/>
    <w:rsid w:val="00FA602D"/>
    <w:rsid w:val="00FA6B01"/>
    <w:rsid w:val="00FB074D"/>
    <w:rsid w:val="00FB29C5"/>
    <w:rsid w:val="00FB37D2"/>
    <w:rsid w:val="00FB5F82"/>
    <w:rsid w:val="00FB70D6"/>
    <w:rsid w:val="00FC4820"/>
    <w:rsid w:val="00FC4EFB"/>
    <w:rsid w:val="00FC57F5"/>
    <w:rsid w:val="00FC78E5"/>
    <w:rsid w:val="00FD068D"/>
    <w:rsid w:val="00FD0FC4"/>
    <w:rsid w:val="00FD225C"/>
    <w:rsid w:val="00FD4F28"/>
    <w:rsid w:val="00FD7686"/>
    <w:rsid w:val="00FE47A4"/>
    <w:rsid w:val="00FE6784"/>
    <w:rsid w:val="00FE67EE"/>
    <w:rsid w:val="00FE7586"/>
    <w:rsid w:val="00FF1765"/>
    <w:rsid w:val="00FF3B33"/>
    <w:rsid w:val="00FF46F6"/>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4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023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B023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B023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B023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B023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B023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B023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C776DA"/>
    <w:pPr>
      <w:ind w:left="720"/>
      <w:contextualSpacing/>
    </w:pPr>
  </w:style>
  <w:style w:type="character" w:customStyle="1" w:styleId="nowrap">
    <w:name w:val="nowrap"/>
    <w:basedOn w:val="DefaultParagraphFont"/>
    <w:rsid w:val="000B603F"/>
  </w:style>
  <w:style w:type="paragraph" w:customStyle="1" w:styleId="ParaNoNdepar-AltN">
    <w:name w:val="Para. No. / Nº de par. - Alt N"/>
    <w:link w:val="ParaNoNdepar-AltNChar"/>
    <w:qFormat/>
    <w:rsid w:val="000B603F"/>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B603F"/>
    <w:rPr>
      <w:rFonts w:eastAsiaTheme="minorEastAsia" w:cstheme="minorBidi"/>
      <w:sz w:val="24"/>
      <w:szCs w:val="22"/>
      <w:lang w:eastAsia="en-US"/>
    </w:rPr>
  </w:style>
  <w:style w:type="character" w:styleId="Emphasis">
    <w:name w:val="Emphasis"/>
    <w:basedOn w:val="DefaultParagraphFont"/>
    <w:uiPriority w:val="20"/>
    <w:qFormat/>
    <w:rsid w:val="0088511D"/>
    <w:rPr>
      <w:i/>
      <w:iCs/>
    </w:rPr>
  </w:style>
  <w:style w:type="character" w:customStyle="1" w:styleId="reflex3-block">
    <w:name w:val="reflex3-block"/>
    <w:basedOn w:val="DefaultParagraphFont"/>
    <w:rsid w:val="00107D81"/>
  </w:style>
  <w:style w:type="character" w:customStyle="1" w:styleId="reflex3-alt">
    <w:name w:val="reflex3-alt"/>
    <w:basedOn w:val="DefaultParagraphFont"/>
    <w:rsid w:val="00107D81"/>
  </w:style>
  <w:style w:type="character" w:customStyle="1" w:styleId="solexhl">
    <w:name w:val="solexhl"/>
    <w:basedOn w:val="DefaultParagraphFont"/>
    <w:rsid w:val="00461EFC"/>
  </w:style>
  <w:style w:type="character" w:styleId="Hyperlink">
    <w:name w:val="Hyperlink"/>
    <w:basedOn w:val="DefaultParagraphFont"/>
    <w:uiPriority w:val="99"/>
    <w:unhideWhenUsed/>
    <w:rsid w:val="000967E3"/>
  </w:style>
  <w:style w:type="paragraph" w:styleId="FootnoteText">
    <w:name w:val="footnote text"/>
    <w:basedOn w:val="Normal"/>
    <w:link w:val="FootnoteTextChar"/>
    <w:uiPriority w:val="99"/>
    <w:unhideWhenUsed/>
    <w:rsid w:val="00D667D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667DF"/>
  </w:style>
  <w:style w:type="character" w:styleId="FootnoteReference">
    <w:name w:val="footnote reference"/>
    <w:basedOn w:val="DefaultParagraphFont"/>
    <w:uiPriority w:val="99"/>
    <w:semiHidden/>
    <w:unhideWhenUsed/>
    <w:rsid w:val="00D667DF"/>
    <w:rPr>
      <w:vertAlign w:val="superscript"/>
    </w:rPr>
  </w:style>
  <w:style w:type="character" w:styleId="CommentReference">
    <w:name w:val="annotation reference"/>
    <w:basedOn w:val="DefaultParagraphFont"/>
    <w:uiPriority w:val="99"/>
    <w:semiHidden/>
    <w:unhideWhenUsed/>
    <w:rsid w:val="00D667DF"/>
    <w:rPr>
      <w:sz w:val="16"/>
      <w:szCs w:val="16"/>
    </w:rPr>
  </w:style>
  <w:style w:type="paragraph" w:styleId="CommentText">
    <w:name w:val="annotation text"/>
    <w:basedOn w:val="Normal"/>
    <w:link w:val="CommentTextChar"/>
    <w:uiPriority w:val="99"/>
    <w:unhideWhenUsed/>
    <w:rsid w:val="00D667DF"/>
    <w:rPr>
      <w:sz w:val="20"/>
    </w:rPr>
  </w:style>
  <w:style w:type="character" w:customStyle="1" w:styleId="CommentTextChar">
    <w:name w:val="Comment Text Char"/>
    <w:basedOn w:val="DefaultParagraphFont"/>
    <w:link w:val="CommentText"/>
    <w:uiPriority w:val="99"/>
    <w:rsid w:val="00D667DF"/>
  </w:style>
  <w:style w:type="paragraph" w:styleId="CommentSubject">
    <w:name w:val="annotation subject"/>
    <w:basedOn w:val="CommentText"/>
    <w:next w:val="CommentText"/>
    <w:link w:val="CommentSubjectChar"/>
    <w:uiPriority w:val="99"/>
    <w:semiHidden/>
    <w:unhideWhenUsed/>
    <w:rsid w:val="00D667DF"/>
    <w:rPr>
      <w:b/>
      <w:bCs/>
    </w:rPr>
  </w:style>
  <w:style w:type="character" w:customStyle="1" w:styleId="CommentSubjectChar">
    <w:name w:val="Comment Subject Char"/>
    <w:basedOn w:val="CommentTextChar"/>
    <w:link w:val="CommentSubject"/>
    <w:uiPriority w:val="99"/>
    <w:semiHidden/>
    <w:rsid w:val="00D667DF"/>
    <w:rPr>
      <w:b/>
      <w:bCs/>
    </w:rPr>
  </w:style>
  <w:style w:type="character" w:customStyle="1" w:styleId="Heading3Char">
    <w:name w:val="Heading 3 Char"/>
    <w:basedOn w:val="DefaultParagraphFont"/>
    <w:link w:val="Heading3"/>
    <w:uiPriority w:val="9"/>
    <w:semiHidden/>
    <w:rsid w:val="008B023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B023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B023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B023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B023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B023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B0231"/>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B0231"/>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B0231"/>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B0231"/>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B0231"/>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B0231"/>
    <w:rPr>
      <w:b/>
      <w:sz w:val="24"/>
    </w:rPr>
  </w:style>
  <w:style w:type="table" w:styleId="TableGrid">
    <w:name w:val="Table Grid"/>
    <w:basedOn w:val="TableNormal"/>
    <w:uiPriority w:val="59"/>
    <w:rsid w:val="008B023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023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B023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B0231"/>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8B0231"/>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B023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B0231"/>
    <w:pPr>
      <w:numPr>
        <w:ilvl w:val="2"/>
      </w:numPr>
      <w:outlineLvl w:val="2"/>
    </w:pPr>
  </w:style>
  <w:style w:type="paragraph" w:customStyle="1" w:styleId="Title4LevelTitre4Niveau">
    <w:name w:val="Title 4 Level / Titre 4 Niveau"/>
    <w:basedOn w:val="Title3LevelTitre3Niveau"/>
    <w:next w:val="ParaNoNdepar-AltN"/>
    <w:uiPriority w:val="4"/>
    <w:qFormat/>
    <w:rsid w:val="008B023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B0231"/>
    <w:pPr>
      <w:numPr>
        <w:ilvl w:val="4"/>
      </w:numPr>
      <w:tabs>
        <w:tab w:val="clear" w:pos="1728"/>
        <w:tab w:val="num" w:pos="1440"/>
      </w:tabs>
      <w:outlineLvl w:val="4"/>
    </w:pPr>
  </w:style>
  <w:style w:type="paragraph" w:styleId="TOC1">
    <w:name w:val="toc 1"/>
    <w:basedOn w:val="Normal"/>
    <w:next w:val="Normal"/>
    <w:autoRedefine/>
    <w:uiPriority w:val="39"/>
    <w:unhideWhenUsed/>
    <w:rsid w:val="008B0231"/>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B0231"/>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B0231"/>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B0231"/>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B0231"/>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B0231"/>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B023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B023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B0231"/>
    <w:pPr>
      <w:numPr>
        <w:ilvl w:val="5"/>
      </w:numPr>
      <w:jc w:val="both"/>
      <w:outlineLvl w:val="5"/>
    </w:pPr>
    <w:rPr>
      <w:i/>
      <w:u w:val="none"/>
    </w:rPr>
  </w:style>
  <w:style w:type="paragraph" w:styleId="Revision">
    <w:name w:val="Revision"/>
    <w:hidden/>
    <w:uiPriority w:val="99"/>
    <w:semiHidden/>
    <w:rsid w:val="008B0231"/>
    <w:rPr>
      <w:rFonts w:eastAsiaTheme="minorHAnsi" w:cstheme="minorBidi"/>
      <w:sz w:val="24"/>
      <w:szCs w:val="22"/>
      <w:lang w:val="en-US" w:eastAsia="en-US" w:bidi="en-US"/>
    </w:rPr>
  </w:style>
  <w:style w:type="paragraph" w:customStyle="1" w:styleId="paranondepar-altn1">
    <w:name w:val="paranondepar-altn1"/>
    <w:basedOn w:val="Normal"/>
    <w:rsid w:val="008B0231"/>
    <w:pPr>
      <w:spacing w:before="480" w:after="480"/>
      <w:jc w:val="both"/>
    </w:pPr>
    <w:rPr>
      <w:rFonts w:eastAsiaTheme="minorHAnsi" w:cstheme="minorBidi"/>
      <w:szCs w:val="22"/>
      <w:lang w:val="en-US" w:eastAsia="en-US" w:bidi="en-US"/>
    </w:rPr>
  </w:style>
  <w:style w:type="character" w:customStyle="1" w:styleId="reflex2-link1">
    <w:name w:val="reflex2-link1"/>
    <w:basedOn w:val="DefaultParagraphFont"/>
    <w:rsid w:val="008B0231"/>
    <w:rPr>
      <w:strike w:val="0"/>
      <w:dstrike w:val="0"/>
      <w:color w:val="027ABB"/>
      <w:u w:val="none"/>
      <w:effect w:val="none"/>
    </w:rPr>
  </w:style>
  <w:style w:type="character" w:customStyle="1" w:styleId="citationcar">
    <w:name w:val="citationcar"/>
    <w:basedOn w:val="DefaultParagraphFont"/>
    <w:rsid w:val="008B0231"/>
  </w:style>
  <w:style w:type="character" w:styleId="FollowedHyperlink">
    <w:name w:val="FollowedHyperlink"/>
    <w:basedOn w:val="DefaultParagraphFont"/>
    <w:uiPriority w:val="99"/>
    <w:semiHidden/>
    <w:unhideWhenUsed/>
    <w:rsid w:val="008B0231"/>
    <w:rPr>
      <w:color w:val="800080" w:themeColor="followedHyperlink"/>
      <w:u w:val="single"/>
    </w:rPr>
  </w:style>
  <w:style w:type="paragraph" w:customStyle="1" w:styleId="BlockQuote">
    <w:name w:val="Block Quote"/>
    <w:next w:val="Normal"/>
    <w:qFormat/>
    <w:rsid w:val="008B0231"/>
    <w:pPr>
      <w:spacing w:after="200" w:line="276" w:lineRule="auto"/>
      <w:ind w:left="720" w:right="720"/>
    </w:pPr>
    <w:rPr>
      <w:rFonts w:eastAsiaTheme="minorHAnsi" w:cstheme="minorBidi"/>
      <w:sz w:val="24"/>
      <w:szCs w:val="22"/>
      <w:lang w:eastAsia="en-US"/>
    </w:rPr>
  </w:style>
  <w:style w:type="character" w:customStyle="1" w:styleId="dec02citationcasename1">
    <w:name w:val="dec02citationcasename1"/>
    <w:basedOn w:val="DefaultParagraphFont"/>
    <w:rsid w:val="008B0231"/>
    <w:rPr>
      <w:i/>
      <w:iCs/>
    </w:rPr>
  </w:style>
  <w:style w:type="character" w:customStyle="1" w:styleId="fs-small4">
    <w:name w:val="fs-small4"/>
    <w:basedOn w:val="DefaultParagraphFont"/>
    <w:rsid w:val="008B0231"/>
  </w:style>
  <w:style w:type="paragraph" w:customStyle="1" w:styleId="sec">
    <w:name w:val="sec"/>
    <w:basedOn w:val="Normal"/>
    <w:rsid w:val="008B0231"/>
    <w:pPr>
      <w:spacing w:before="100" w:beforeAutospacing="1" w:after="100" w:afterAutospacing="1"/>
    </w:pPr>
    <w:rPr>
      <w:rFonts w:eastAsiaTheme="minorHAnsi" w:cstheme="minorBidi"/>
      <w:szCs w:val="22"/>
      <w:lang w:val="en-US" w:eastAsia="en-US" w:bidi="en-US"/>
    </w:rPr>
  </w:style>
  <w:style w:type="character" w:customStyle="1" w:styleId="secnumholder">
    <w:name w:val="secnumholder"/>
    <w:basedOn w:val="DefaultParagraphFont"/>
    <w:rsid w:val="008B0231"/>
  </w:style>
  <w:style w:type="character" w:customStyle="1" w:styleId="canliisection">
    <w:name w:val="canlii_section"/>
    <w:basedOn w:val="DefaultParagraphFont"/>
    <w:rsid w:val="008B0231"/>
  </w:style>
  <w:style w:type="paragraph" w:customStyle="1" w:styleId="sub">
    <w:name w:val="sub"/>
    <w:basedOn w:val="Normal"/>
    <w:rsid w:val="008B0231"/>
    <w:pPr>
      <w:spacing w:before="100" w:beforeAutospacing="1" w:after="100" w:afterAutospacing="1"/>
    </w:pPr>
    <w:rPr>
      <w:rFonts w:eastAsiaTheme="minorHAnsi" w:cstheme="minorBidi"/>
      <w:szCs w:val="22"/>
      <w:lang w:val="en-US" w:eastAsia="en-US" w:bidi="en-US"/>
    </w:rPr>
  </w:style>
  <w:style w:type="character" w:customStyle="1" w:styleId="holder">
    <w:name w:val="holder"/>
    <w:basedOn w:val="DefaultParagraphFont"/>
    <w:rsid w:val="008B0231"/>
  </w:style>
  <w:style w:type="paragraph" w:customStyle="1" w:styleId="para">
    <w:name w:val="para"/>
    <w:basedOn w:val="Normal"/>
    <w:rsid w:val="008B0231"/>
    <w:pPr>
      <w:spacing w:before="100" w:beforeAutospacing="1" w:after="100" w:afterAutospacing="1"/>
    </w:pPr>
    <w:rPr>
      <w:rFonts w:eastAsiaTheme="minorHAnsi" w:cstheme="minorBidi"/>
      <w:szCs w:val="22"/>
      <w:lang w:val="en-US" w:eastAsia="en-US" w:bidi="en-US"/>
    </w:rPr>
  </w:style>
  <w:style w:type="character" w:styleId="SubtleEmphasis">
    <w:name w:val="Subtle Emphasis"/>
    <w:basedOn w:val="DefaultParagraphFont"/>
    <w:uiPriority w:val="19"/>
    <w:rsid w:val="008B0231"/>
    <w:rPr>
      <w:i/>
      <w:iCs/>
      <w:color w:val="808080" w:themeColor="text1" w:themeTint="7F"/>
    </w:rPr>
  </w:style>
  <w:style w:type="character" w:customStyle="1" w:styleId="sccappellantforindexchar0">
    <w:name w:val="sccappellantforindexchar"/>
    <w:basedOn w:val="DefaultParagraphFont"/>
    <w:rsid w:val="008B0231"/>
  </w:style>
  <w:style w:type="character" w:customStyle="1" w:styleId="sccrespondentforindexchar0">
    <w:name w:val="sccrespondentforindexchar"/>
    <w:basedOn w:val="DefaultParagraphFont"/>
    <w:rsid w:val="008B0231"/>
  </w:style>
  <w:style w:type="character" w:customStyle="1" w:styleId="JudgeJugeChar">
    <w:name w:val="Judge / Juge Char"/>
    <w:basedOn w:val="DefaultParagraphFont"/>
    <w:link w:val="JudgeJuge"/>
    <w:uiPriority w:val="3"/>
    <w:rsid w:val="008B0231"/>
    <w:rPr>
      <w:smallCaps/>
      <w:sz w:val="24"/>
    </w:rPr>
  </w:style>
  <w:style w:type="paragraph" w:styleId="NoSpacing">
    <w:name w:val="No Spacing"/>
    <w:uiPriority w:val="1"/>
    <w:qFormat/>
    <w:rsid w:val="008B023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B023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B023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B0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B023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B023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B0231"/>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8B023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B0231"/>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8B0231"/>
    <w:rPr>
      <w:b/>
      <w:bCs/>
      <w:i/>
      <w:iCs/>
      <w:color w:val="4F81BD" w:themeColor="accent1"/>
    </w:rPr>
  </w:style>
  <w:style w:type="character" w:styleId="SubtleReference">
    <w:name w:val="Subtle Reference"/>
    <w:basedOn w:val="DefaultParagraphFont"/>
    <w:uiPriority w:val="31"/>
    <w:rsid w:val="008B0231"/>
    <w:rPr>
      <w:smallCaps/>
      <w:color w:val="C0504D" w:themeColor="accent2"/>
      <w:u w:val="single"/>
    </w:rPr>
  </w:style>
  <w:style w:type="character" w:styleId="IntenseReference">
    <w:name w:val="Intense Reference"/>
    <w:basedOn w:val="DefaultParagraphFont"/>
    <w:uiPriority w:val="32"/>
    <w:rsid w:val="008B0231"/>
    <w:rPr>
      <w:b/>
      <w:bCs/>
      <w:smallCaps/>
      <w:color w:val="C0504D" w:themeColor="accent2"/>
      <w:spacing w:val="5"/>
      <w:u w:val="single"/>
    </w:rPr>
  </w:style>
  <w:style w:type="character" w:styleId="BookTitle">
    <w:name w:val="Book Title"/>
    <w:basedOn w:val="DefaultParagraphFont"/>
    <w:uiPriority w:val="33"/>
    <w:rsid w:val="008B0231"/>
    <w:rPr>
      <w:b/>
      <w:bCs/>
      <w:smallCaps/>
      <w:spacing w:val="5"/>
    </w:rPr>
  </w:style>
  <w:style w:type="character" w:customStyle="1" w:styleId="sccrespondentforrunningheadchar1">
    <w:name w:val="sccrespondentforrunningheadchar1"/>
    <w:basedOn w:val="DefaultParagraphFont"/>
    <w:rsid w:val="008B0231"/>
    <w:rPr>
      <w:smallCaps/>
    </w:rPr>
  </w:style>
  <w:style w:type="character" w:customStyle="1" w:styleId="sccrespondentforindexchar1">
    <w:name w:val="sccrespondentforindexchar1"/>
    <w:basedOn w:val="DefaultParagraphFont"/>
    <w:rsid w:val="008B0231"/>
    <w:rPr>
      <w:b/>
      <w:bCs/>
    </w:rPr>
  </w:style>
  <w:style w:type="paragraph" w:customStyle="1" w:styleId="citation-altc1">
    <w:name w:val="citation-altc1"/>
    <w:basedOn w:val="Normal"/>
    <w:rsid w:val="008B0231"/>
    <w:pPr>
      <w:spacing w:after="720"/>
      <w:ind w:left="1166"/>
      <w:jc w:val="both"/>
    </w:pPr>
    <w:rPr>
      <w:szCs w:val="24"/>
    </w:rPr>
  </w:style>
  <w:style w:type="paragraph" w:customStyle="1" w:styleId="paragnum1">
    <w:name w:val="paragnum1"/>
    <w:basedOn w:val="Normal"/>
    <w:rsid w:val="008B0231"/>
    <w:pPr>
      <w:tabs>
        <w:tab w:val="num" w:pos="0"/>
      </w:tabs>
      <w:spacing w:before="552"/>
    </w:pPr>
    <w:rPr>
      <w:szCs w:val="24"/>
    </w:rPr>
  </w:style>
  <w:style w:type="paragraph" w:customStyle="1" w:styleId="marginalnote">
    <w:name w:val="marginalnote"/>
    <w:basedOn w:val="Normal"/>
    <w:rsid w:val="008B0231"/>
    <w:pPr>
      <w:spacing w:before="100" w:beforeAutospacing="1" w:after="100" w:afterAutospacing="1"/>
    </w:pPr>
    <w:rPr>
      <w:szCs w:val="24"/>
      <w:lang w:val="en-US" w:eastAsia="en-US"/>
    </w:rPr>
  </w:style>
  <w:style w:type="paragraph" w:customStyle="1" w:styleId="subsection">
    <w:name w:val="subsection"/>
    <w:basedOn w:val="Normal"/>
    <w:rsid w:val="008B0231"/>
    <w:pPr>
      <w:spacing w:before="100" w:beforeAutospacing="1" w:after="100" w:afterAutospacing="1"/>
    </w:pPr>
    <w:rPr>
      <w:szCs w:val="24"/>
      <w:lang w:val="en-US" w:eastAsia="en-US"/>
    </w:rPr>
  </w:style>
  <w:style w:type="character" w:customStyle="1" w:styleId="lawlabel">
    <w:name w:val="lawlabel"/>
    <w:basedOn w:val="DefaultParagraphFont"/>
    <w:rsid w:val="008B0231"/>
  </w:style>
  <w:style w:type="paragraph" w:customStyle="1" w:styleId="paragraph">
    <w:name w:val="paragraph"/>
    <w:basedOn w:val="Normal"/>
    <w:rsid w:val="008B0231"/>
    <w:pPr>
      <w:spacing w:before="100" w:beforeAutospacing="1" w:after="100" w:afterAutospacing="1"/>
    </w:pPr>
    <w:rPr>
      <w:szCs w:val="24"/>
      <w:lang w:val="en-US" w:eastAsia="en-US"/>
    </w:rPr>
  </w:style>
  <w:style w:type="paragraph" w:customStyle="1" w:styleId="sccnormaldoublespacing1">
    <w:name w:val="sccnormaldoublespacing1"/>
    <w:basedOn w:val="Normal"/>
    <w:rsid w:val="008B0231"/>
    <w:pPr>
      <w:jc w:val="both"/>
    </w:pPr>
    <w:rPr>
      <w:szCs w:val="24"/>
    </w:rPr>
  </w:style>
  <w:style w:type="paragraph" w:customStyle="1" w:styleId="citation11">
    <w:name w:val="citation11"/>
    <w:basedOn w:val="Normal"/>
    <w:rsid w:val="008B0231"/>
    <w:pPr>
      <w:spacing w:after="720"/>
      <w:ind w:left="1166"/>
      <w:jc w:val="both"/>
    </w:pPr>
    <w:rPr>
      <w:szCs w:val="24"/>
    </w:rPr>
  </w:style>
  <w:style w:type="paragraph" w:customStyle="1" w:styleId="reasonsnumbering-altn2">
    <w:name w:val="reasonsnumbering-altn2"/>
    <w:basedOn w:val="Normal"/>
    <w:rsid w:val="008B0231"/>
    <w:pPr>
      <w:spacing w:after="480"/>
      <w:jc w:val="both"/>
    </w:pPr>
    <w:rPr>
      <w:szCs w:val="24"/>
    </w:rPr>
  </w:style>
  <w:style w:type="character" w:customStyle="1" w:styleId="reflex">
    <w:name w:val="reflex"/>
    <w:basedOn w:val="DefaultParagraphFont"/>
    <w:rsid w:val="008B0231"/>
  </w:style>
  <w:style w:type="character" w:customStyle="1" w:styleId="canliisubsection">
    <w:name w:val="canlii_subsection"/>
    <w:basedOn w:val="DefaultParagraphFont"/>
    <w:rsid w:val="008B0231"/>
  </w:style>
  <w:style w:type="character" w:customStyle="1" w:styleId="lawlabel2">
    <w:name w:val="lawlabel2"/>
    <w:basedOn w:val="DefaultParagraphFont"/>
    <w:rsid w:val="008B0231"/>
    <w:rPr>
      <w:b/>
      <w:bCs/>
      <w:color w:val="000000"/>
    </w:rPr>
  </w:style>
  <w:style w:type="character" w:customStyle="1" w:styleId="sectionlabel">
    <w:name w:val="sectionlabel"/>
    <w:basedOn w:val="DefaultParagraphFont"/>
    <w:rsid w:val="008B0231"/>
  </w:style>
  <w:style w:type="character" w:customStyle="1" w:styleId="canliisectionwithsubsection">
    <w:name w:val="canlii_section_with_subsection"/>
    <w:basedOn w:val="DefaultParagraphFont"/>
    <w:rsid w:val="008B0231"/>
  </w:style>
  <w:style w:type="paragraph" w:customStyle="1" w:styleId="11">
    <w:name w:val="11"/>
    <w:basedOn w:val="Normal"/>
    <w:rsid w:val="008B0231"/>
    <w:pPr>
      <w:autoSpaceDE w:val="0"/>
      <w:autoSpaceDN w:val="0"/>
      <w:ind w:hanging="720"/>
    </w:pPr>
    <w:rPr>
      <w:szCs w:val="24"/>
      <w:lang w:val="en-US" w:eastAsia="en-US"/>
    </w:rPr>
  </w:style>
  <w:style w:type="table" w:customStyle="1" w:styleId="TableGrid2">
    <w:name w:val="Table Grid2"/>
    <w:basedOn w:val="TableNormal"/>
    <w:next w:val="TableGrid"/>
    <w:uiPriority w:val="59"/>
    <w:rsid w:val="008B023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48A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9SCC-CSC65_3_e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65_2_e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so-dce/2019SCC-CSC65_1_e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0C4A-9700-4350-B17A-482E6E35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58548</Words>
  <Characters>333726</Characters>
  <Application>Microsoft Office Word</Application>
  <DocSecurity>0</DocSecurity>
  <Lines>2781</Lines>
  <Paragraphs>782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391492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2019-12-19T11:58:00Z</dcterms:created>
  <dcterms:modified xsi:type="dcterms:W3CDTF">2022-03-27T17:47:00Z</dcterms:modified>
</cp:coreProperties>
</file>