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9FF7D" w14:textId="77777777" w:rsidR="00B67317" w:rsidRPr="0080188D" w:rsidRDefault="00B67317" w:rsidP="00B67317">
      <w:pPr>
        <w:tabs>
          <w:tab w:val="center" w:pos="4680"/>
          <w:tab w:val="right" w:pos="9360"/>
        </w:tabs>
        <w:jc w:val="center"/>
        <w:rPr>
          <w:rFonts w:eastAsiaTheme="minorHAnsi" w:cstheme="minorBidi"/>
          <w:szCs w:val="24"/>
          <w:lang w:eastAsia="en-US"/>
        </w:rPr>
      </w:pPr>
      <w:r w:rsidRPr="0080188D">
        <w:rPr>
          <w:rFonts w:eastAsiaTheme="minorHAnsi" w:cstheme="minorBidi"/>
          <w:szCs w:val="24"/>
          <w:lang w:eastAsia="en-US"/>
        </w:rPr>
        <w:ptab w:relativeTo="margin" w:alignment="center" w:leader="none"/>
      </w:r>
      <w:r w:rsidRPr="0080188D">
        <w:rPr>
          <w:rFonts w:eastAsiaTheme="minorHAnsi" w:cstheme="minorBidi"/>
          <w:szCs w:val="24"/>
          <w:lang w:eastAsia="en-US"/>
        </w:rPr>
        <w:t xml:space="preserve"> </w:t>
      </w:r>
      <w:r w:rsidRPr="0080188D">
        <w:rPr>
          <w:rFonts w:eastAsiaTheme="minorHAnsi" w:cstheme="minorBidi"/>
          <w:szCs w:val="24"/>
          <w:lang w:eastAsia="en-US"/>
        </w:rPr>
        <w:object w:dxaOrig="1365" w:dyaOrig="1440" w14:anchorId="04566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05pt" o:ole="">
            <v:imagedata r:id="rId8" o:title=""/>
          </v:shape>
          <o:OLEObject Type="Embed" ProgID="Presentations.Drawing.13" ShapeID="_x0000_i1025" DrawAspect="Content" ObjectID="_1740310441" r:id="rId9"/>
        </w:object>
      </w:r>
      <w:r w:rsidRPr="0080188D">
        <w:rPr>
          <w:rFonts w:eastAsiaTheme="minorHAnsi" w:cstheme="minorBidi"/>
          <w:szCs w:val="24"/>
          <w:lang w:eastAsia="en-US"/>
        </w:rPr>
        <w:t xml:space="preserve"> </w:t>
      </w:r>
      <w:r w:rsidRPr="0080188D">
        <w:rPr>
          <w:rFonts w:eastAsiaTheme="minorHAnsi" w:cstheme="minorBidi"/>
          <w:szCs w:val="24"/>
          <w:lang w:eastAsia="en-US"/>
        </w:rPr>
        <w:ptab w:relativeTo="margin" w:alignment="right" w:leader="none"/>
      </w:r>
    </w:p>
    <w:p w14:paraId="3A6B036D" w14:textId="77777777" w:rsidR="00B67317" w:rsidRPr="0080188D" w:rsidRDefault="00B67317" w:rsidP="00B67317">
      <w:pPr>
        <w:tabs>
          <w:tab w:val="center" w:pos="4680"/>
          <w:tab w:val="right" w:pos="9360"/>
        </w:tabs>
        <w:rPr>
          <w:rFonts w:eastAsiaTheme="minorHAnsi" w:cstheme="minorBidi"/>
          <w:szCs w:val="24"/>
          <w:lang w:eastAsia="en-US"/>
        </w:rPr>
      </w:pPr>
    </w:p>
    <w:p w14:paraId="366F3C1A" w14:textId="77777777" w:rsidR="00B67317" w:rsidRPr="0080188D" w:rsidRDefault="00B67317" w:rsidP="00B67317">
      <w:pPr>
        <w:jc w:val="center"/>
        <w:rPr>
          <w:rFonts w:eastAsiaTheme="minorHAnsi" w:cstheme="minorBidi"/>
          <w:b/>
          <w:szCs w:val="24"/>
          <w:lang w:eastAsia="en-US"/>
        </w:rPr>
      </w:pPr>
      <w:r w:rsidRPr="0080188D">
        <w:rPr>
          <w:rFonts w:eastAsiaTheme="minorHAnsi" w:cstheme="minorBidi"/>
          <w:b/>
          <w:szCs w:val="24"/>
          <w:lang w:eastAsia="en-US"/>
        </w:rPr>
        <w:t>SUPREME COURT OF CANADA</w:t>
      </w:r>
    </w:p>
    <w:p w14:paraId="64617135" w14:textId="77777777" w:rsidR="00B67317" w:rsidRPr="0080188D" w:rsidRDefault="00B67317" w:rsidP="00B67317">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B67317" w:rsidRPr="0080188D" w14:paraId="378E9025" w14:textId="77777777" w:rsidTr="00D710FD">
        <w:trPr>
          <w:cantSplit/>
        </w:trPr>
        <w:tc>
          <w:tcPr>
            <w:tcW w:w="5670" w:type="dxa"/>
          </w:tcPr>
          <w:p w14:paraId="0940EE33" w14:textId="3AE26CFF" w:rsidR="00B67317" w:rsidRPr="0080188D" w:rsidRDefault="00B67317" w:rsidP="00D710FD">
            <w:r w:rsidRPr="0080188D">
              <w:rPr>
                <w:b/>
                <w:smallCaps/>
              </w:rPr>
              <w:t>Citation:</w:t>
            </w:r>
            <w:r w:rsidRPr="0080188D">
              <w:t xml:space="preserve"> </w:t>
            </w:r>
            <w:r w:rsidRPr="00C34666">
              <w:t xml:space="preserve">British Columbia (Attorney General) </w:t>
            </w:r>
            <w:r w:rsidRPr="00C34666">
              <w:rPr>
                <w:i/>
              </w:rPr>
              <w:t>v.</w:t>
            </w:r>
            <w:r w:rsidRPr="00C34666">
              <w:t xml:space="preserve"> Provincial Court Judges’ Association of British Columbia, 2020 SCC 20</w:t>
            </w:r>
            <w:r w:rsidR="00756F9B">
              <w:t>, [2020] 2 S.C.R. 506</w:t>
            </w:r>
          </w:p>
        </w:tc>
        <w:tc>
          <w:tcPr>
            <w:tcW w:w="3906" w:type="dxa"/>
          </w:tcPr>
          <w:p w14:paraId="1AFEDC3E" w14:textId="77777777" w:rsidR="00B67317" w:rsidRPr="0080188D" w:rsidRDefault="00B67317" w:rsidP="00D710FD">
            <w:r w:rsidRPr="0080188D">
              <w:rPr>
                <w:b/>
                <w:smallCaps/>
              </w:rPr>
              <w:t>Appeal Heard:</w:t>
            </w:r>
            <w:r w:rsidRPr="0080188D">
              <w:t xml:space="preserve"> December 9, 2019</w:t>
            </w:r>
          </w:p>
          <w:p w14:paraId="3E53F577" w14:textId="77777777" w:rsidR="00B67317" w:rsidRPr="0080188D" w:rsidRDefault="00B67317" w:rsidP="00D710FD">
            <w:r w:rsidRPr="0080188D">
              <w:rPr>
                <w:b/>
                <w:smallCaps/>
              </w:rPr>
              <w:t>Judgment Rendered:</w:t>
            </w:r>
            <w:r w:rsidRPr="0080188D">
              <w:t xml:space="preserve"> July 31, 2020</w:t>
            </w:r>
          </w:p>
          <w:p w14:paraId="35FC9FE3" w14:textId="77777777" w:rsidR="00B67317" w:rsidRPr="0080188D" w:rsidRDefault="00B67317" w:rsidP="00D710FD">
            <w:r w:rsidRPr="0080188D">
              <w:rPr>
                <w:b/>
                <w:smallCaps/>
              </w:rPr>
              <w:t>Docket:</w:t>
            </w:r>
            <w:r w:rsidRPr="0080188D">
              <w:t xml:space="preserve"> 38381</w:t>
            </w:r>
          </w:p>
        </w:tc>
      </w:tr>
    </w:tbl>
    <w:p w14:paraId="733CBC9F" w14:textId="77777777" w:rsidR="00B67317" w:rsidRPr="0080188D" w:rsidRDefault="00B67317" w:rsidP="00B67317">
      <w:pPr>
        <w:rPr>
          <w:rFonts w:eastAsiaTheme="minorHAnsi" w:cstheme="minorBidi"/>
          <w:szCs w:val="24"/>
          <w:lang w:eastAsia="en-US"/>
        </w:rPr>
      </w:pPr>
    </w:p>
    <w:p w14:paraId="7C1D1027" w14:textId="77777777" w:rsidR="00B67317" w:rsidRPr="0080188D" w:rsidRDefault="00B67317" w:rsidP="00B67317">
      <w:pPr>
        <w:rPr>
          <w:rFonts w:eastAsiaTheme="minorHAnsi" w:cstheme="minorBidi"/>
          <w:b/>
          <w:smallCaps/>
          <w:szCs w:val="24"/>
          <w:lang w:eastAsia="en-US"/>
        </w:rPr>
      </w:pPr>
      <w:r w:rsidRPr="0080188D">
        <w:rPr>
          <w:rFonts w:eastAsiaTheme="minorHAnsi" w:cstheme="minorBidi"/>
          <w:b/>
          <w:smallCaps/>
          <w:szCs w:val="24"/>
          <w:lang w:eastAsia="en-US"/>
        </w:rPr>
        <w:t>Between:</w:t>
      </w:r>
    </w:p>
    <w:p w14:paraId="020193B2" w14:textId="77777777" w:rsidR="00B67317" w:rsidRPr="0080188D" w:rsidRDefault="00B67317" w:rsidP="00B67317">
      <w:pPr>
        <w:jc w:val="center"/>
        <w:rPr>
          <w:rFonts w:eastAsiaTheme="minorHAnsi" w:cstheme="minorBidi"/>
          <w:b/>
          <w:szCs w:val="24"/>
          <w:lang w:eastAsia="en-US"/>
        </w:rPr>
      </w:pPr>
      <w:r w:rsidRPr="0080188D">
        <w:rPr>
          <w:rFonts w:eastAsiaTheme="minorHAnsi" w:cstheme="minorBidi"/>
          <w:b/>
          <w:szCs w:val="24"/>
          <w:lang w:eastAsia="en-US"/>
        </w:rPr>
        <w:t>Attorney General of British Columbia</w:t>
      </w:r>
    </w:p>
    <w:p w14:paraId="118BB9F5" w14:textId="77777777" w:rsidR="00B67317" w:rsidRPr="0080188D" w:rsidRDefault="00B67317" w:rsidP="00B67317">
      <w:pPr>
        <w:jc w:val="center"/>
        <w:rPr>
          <w:rFonts w:eastAsiaTheme="minorHAnsi" w:cstheme="minorBidi"/>
          <w:szCs w:val="24"/>
          <w:lang w:eastAsia="en-US"/>
        </w:rPr>
      </w:pPr>
      <w:r w:rsidRPr="0080188D">
        <w:rPr>
          <w:rFonts w:eastAsiaTheme="minorHAnsi" w:cstheme="minorBidi"/>
          <w:szCs w:val="24"/>
          <w:lang w:eastAsia="en-US"/>
        </w:rPr>
        <w:t>Appellant</w:t>
      </w:r>
    </w:p>
    <w:p w14:paraId="38699884" w14:textId="77777777" w:rsidR="00B67317" w:rsidRPr="0080188D" w:rsidRDefault="00B67317" w:rsidP="00B67317">
      <w:pPr>
        <w:rPr>
          <w:rFonts w:eastAsiaTheme="minorHAnsi" w:cstheme="minorBidi"/>
          <w:szCs w:val="24"/>
          <w:lang w:eastAsia="en-US"/>
        </w:rPr>
      </w:pPr>
    </w:p>
    <w:p w14:paraId="460CC663" w14:textId="77777777" w:rsidR="00B67317" w:rsidRPr="0080188D" w:rsidRDefault="00B67317" w:rsidP="00B67317">
      <w:pPr>
        <w:jc w:val="center"/>
        <w:rPr>
          <w:rFonts w:eastAsiaTheme="minorHAnsi" w:cstheme="minorBidi"/>
          <w:szCs w:val="24"/>
          <w:lang w:eastAsia="en-US"/>
        </w:rPr>
      </w:pPr>
      <w:r w:rsidRPr="0080188D">
        <w:rPr>
          <w:rFonts w:eastAsiaTheme="minorHAnsi" w:cstheme="minorBidi"/>
          <w:szCs w:val="24"/>
          <w:lang w:eastAsia="en-US"/>
        </w:rPr>
        <w:t>and</w:t>
      </w:r>
    </w:p>
    <w:p w14:paraId="732393E9" w14:textId="77777777" w:rsidR="00B67317" w:rsidRPr="0080188D" w:rsidRDefault="00B67317" w:rsidP="00B67317">
      <w:pPr>
        <w:jc w:val="center"/>
        <w:rPr>
          <w:rFonts w:eastAsiaTheme="minorHAnsi" w:cstheme="minorBidi"/>
          <w:b/>
          <w:szCs w:val="24"/>
          <w:lang w:eastAsia="en-US"/>
        </w:rPr>
      </w:pPr>
    </w:p>
    <w:p w14:paraId="36EE4A94" w14:textId="77777777" w:rsidR="00B67317" w:rsidRPr="0080188D" w:rsidRDefault="00B67317" w:rsidP="00B67317">
      <w:pPr>
        <w:jc w:val="center"/>
        <w:rPr>
          <w:rFonts w:eastAsiaTheme="minorHAnsi" w:cstheme="minorBidi"/>
          <w:b/>
          <w:szCs w:val="24"/>
          <w:lang w:eastAsia="en-US"/>
        </w:rPr>
      </w:pPr>
      <w:r w:rsidRPr="0080188D">
        <w:rPr>
          <w:rFonts w:eastAsiaTheme="minorHAnsi" w:cstheme="minorBidi"/>
          <w:b/>
          <w:szCs w:val="24"/>
          <w:lang w:eastAsia="en-US"/>
        </w:rPr>
        <w:t>Provincial Court Judges’ Association of British Columbia</w:t>
      </w:r>
    </w:p>
    <w:p w14:paraId="6EAFF032" w14:textId="77777777" w:rsidR="00B67317" w:rsidRPr="0080188D" w:rsidRDefault="00B67317" w:rsidP="00B67317">
      <w:pPr>
        <w:jc w:val="center"/>
        <w:rPr>
          <w:rFonts w:eastAsiaTheme="minorHAnsi" w:cstheme="minorBidi"/>
          <w:szCs w:val="24"/>
          <w:lang w:eastAsia="en-US"/>
        </w:rPr>
      </w:pPr>
      <w:r w:rsidRPr="0080188D">
        <w:rPr>
          <w:rFonts w:eastAsiaTheme="minorHAnsi" w:cstheme="minorBidi"/>
          <w:szCs w:val="24"/>
          <w:lang w:eastAsia="en-US"/>
        </w:rPr>
        <w:t>Respondent</w:t>
      </w:r>
    </w:p>
    <w:p w14:paraId="6E9EA599" w14:textId="77777777" w:rsidR="00B67317" w:rsidRPr="0080188D" w:rsidRDefault="00B67317" w:rsidP="00B67317">
      <w:pPr>
        <w:rPr>
          <w:rFonts w:eastAsiaTheme="minorHAnsi" w:cstheme="minorBidi"/>
          <w:szCs w:val="24"/>
          <w:lang w:eastAsia="en-US"/>
        </w:rPr>
      </w:pPr>
    </w:p>
    <w:p w14:paraId="5743CD1A" w14:textId="77777777" w:rsidR="00B67317" w:rsidRPr="0080188D" w:rsidRDefault="00B67317" w:rsidP="00B67317">
      <w:pPr>
        <w:jc w:val="center"/>
        <w:rPr>
          <w:rFonts w:eastAsiaTheme="minorHAnsi" w:cstheme="minorBidi"/>
          <w:szCs w:val="24"/>
          <w:lang w:eastAsia="en-US"/>
        </w:rPr>
      </w:pPr>
      <w:r w:rsidRPr="0080188D">
        <w:rPr>
          <w:rFonts w:eastAsiaTheme="minorHAnsi" w:cstheme="minorBidi"/>
          <w:szCs w:val="24"/>
          <w:lang w:eastAsia="en-US"/>
        </w:rPr>
        <w:t>- and -</w:t>
      </w:r>
    </w:p>
    <w:p w14:paraId="5F203549" w14:textId="77777777" w:rsidR="00B67317" w:rsidRPr="0080188D" w:rsidRDefault="00B67317" w:rsidP="00B67317">
      <w:pPr>
        <w:jc w:val="center"/>
        <w:rPr>
          <w:rFonts w:eastAsiaTheme="minorHAnsi" w:cstheme="minorBidi"/>
          <w:b/>
          <w:szCs w:val="24"/>
          <w:lang w:eastAsia="en-US"/>
        </w:rPr>
      </w:pPr>
    </w:p>
    <w:p w14:paraId="71A91F5D" w14:textId="77777777" w:rsidR="00B67317" w:rsidRPr="0080188D" w:rsidRDefault="00B67317" w:rsidP="00B67317">
      <w:pPr>
        <w:jc w:val="center"/>
        <w:rPr>
          <w:rFonts w:eastAsiaTheme="minorHAnsi" w:cstheme="minorBidi"/>
          <w:b/>
          <w:szCs w:val="24"/>
          <w:lang w:eastAsia="en-US"/>
        </w:rPr>
      </w:pPr>
      <w:r w:rsidRPr="0080188D">
        <w:rPr>
          <w:rFonts w:eastAsiaTheme="minorHAnsi" w:cstheme="minorBidi"/>
          <w:b/>
          <w:szCs w:val="24"/>
          <w:lang w:eastAsia="en-US"/>
        </w:rPr>
        <w:t>Attorney General of Canada, Attorney General of Ontario, Attorney General of Quebec, Attorney General of Saskatchewan, Attorney General of Alberta, Canadian Superior Courts Judges Association, Canadian Bar Association, Canadian Association of Provincial Court Judges, Canadian Taxpayers Federation and Canadian Civil Liberties Association</w:t>
      </w:r>
    </w:p>
    <w:p w14:paraId="00251791" w14:textId="77777777" w:rsidR="00B67317" w:rsidRPr="0080188D" w:rsidRDefault="00B67317" w:rsidP="00B67317">
      <w:pPr>
        <w:jc w:val="center"/>
        <w:rPr>
          <w:rFonts w:eastAsiaTheme="minorHAnsi" w:cstheme="minorBidi"/>
          <w:szCs w:val="24"/>
          <w:lang w:eastAsia="en-US"/>
        </w:rPr>
      </w:pPr>
      <w:r w:rsidRPr="0080188D">
        <w:rPr>
          <w:rFonts w:eastAsiaTheme="minorHAnsi" w:cstheme="minorBidi"/>
          <w:szCs w:val="24"/>
          <w:lang w:eastAsia="en-US"/>
        </w:rPr>
        <w:t>Interveners</w:t>
      </w:r>
    </w:p>
    <w:p w14:paraId="2A05D4FE" w14:textId="77777777" w:rsidR="00B67317" w:rsidRPr="0080188D" w:rsidRDefault="00B67317" w:rsidP="00B67317">
      <w:pPr>
        <w:rPr>
          <w:rFonts w:eastAsiaTheme="minorHAnsi" w:cstheme="minorBidi"/>
          <w:szCs w:val="24"/>
          <w:lang w:eastAsia="en-US"/>
        </w:rPr>
      </w:pPr>
    </w:p>
    <w:p w14:paraId="3CC8DA69" w14:textId="77777777" w:rsidR="00B67317" w:rsidRPr="0080188D" w:rsidRDefault="00B67317" w:rsidP="00B67317">
      <w:pPr>
        <w:rPr>
          <w:rFonts w:eastAsiaTheme="minorHAnsi" w:cstheme="minorBidi"/>
          <w:szCs w:val="24"/>
          <w:lang w:eastAsia="en-US"/>
        </w:rPr>
      </w:pPr>
    </w:p>
    <w:p w14:paraId="006FB09C" w14:textId="77777777" w:rsidR="00B67317" w:rsidRPr="0080188D" w:rsidRDefault="00B67317" w:rsidP="00B67317">
      <w:pPr>
        <w:rPr>
          <w:rFonts w:eastAsiaTheme="minorHAnsi" w:cstheme="minorBidi"/>
          <w:szCs w:val="24"/>
          <w:lang w:eastAsia="en-US"/>
        </w:rPr>
      </w:pPr>
      <w:r w:rsidRPr="0080188D">
        <w:rPr>
          <w:rFonts w:eastAsiaTheme="minorHAnsi" w:cstheme="minorBidi"/>
          <w:b/>
          <w:smallCaps/>
          <w:szCs w:val="24"/>
          <w:lang w:eastAsia="en-US"/>
        </w:rPr>
        <w:t>Coram:</w:t>
      </w:r>
      <w:r w:rsidRPr="0080188D">
        <w:rPr>
          <w:rFonts w:eastAsiaTheme="minorHAnsi" w:cstheme="minorBidi"/>
          <w:szCs w:val="24"/>
          <w:lang w:eastAsia="en-US"/>
        </w:rPr>
        <w:t xml:space="preserve"> Wagner C.J. and Abella, Moldaver, Karakatsanis, Côté, Brown, Rowe, Martin and Kasirer JJ.</w:t>
      </w:r>
    </w:p>
    <w:p w14:paraId="57D70891" w14:textId="77777777" w:rsidR="00B67317" w:rsidRPr="0080188D" w:rsidRDefault="00B67317" w:rsidP="00B67317">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67317" w:rsidRPr="0080188D" w14:paraId="7073C7A2" w14:textId="77777777" w:rsidTr="00D710FD">
        <w:trPr>
          <w:cantSplit/>
        </w:trPr>
        <w:tc>
          <w:tcPr>
            <w:tcW w:w="3618" w:type="dxa"/>
          </w:tcPr>
          <w:p w14:paraId="6F708FD8" w14:textId="77777777" w:rsidR="00B67317" w:rsidRPr="0080188D" w:rsidRDefault="00B67317" w:rsidP="00D710FD">
            <w:pPr>
              <w:rPr>
                <w:b/>
                <w:smallCaps/>
              </w:rPr>
            </w:pPr>
            <w:r w:rsidRPr="0080188D">
              <w:rPr>
                <w:b/>
                <w:smallCaps/>
              </w:rPr>
              <w:t>Reasons for Judgment:</w:t>
            </w:r>
          </w:p>
          <w:p w14:paraId="4C4B4FB9" w14:textId="77777777" w:rsidR="00B67317" w:rsidRPr="0080188D" w:rsidRDefault="00B67317" w:rsidP="00D710FD">
            <w:r w:rsidRPr="0080188D">
              <w:t>(paras. 1 to 121)</w:t>
            </w:r>
          </w:p>
        </w:tc>
        <w:tc>
          <w:tcPr>
            <w:tcW w:w="5958" w:type="dxa"/>
          </w:tcPr>
          <w:p w14:paraId="003E4899" w14:textId="77777777" w:rsidR="00B67317" w:rsidRPr="0080188D" w:rsidRDefault="00B67317" w:rsidP="00D710FD">
            <w:r w:rsidRPr="0080188D">
              <w:t>Karakatsanis J. (Wagner C.J. and Abella, Moldaver, Côté, Brown, Rowe, Martin and Kasirer JJ. concurring)</w:t>
            </w:r>
          </w:p>
        </w:tc>
      </w:tr>
    </w:tbl>
    <w:p w14:paraId="24BE7895" w14:textId="77777777" w:rsidR="00B67317" w:rsidRPr="0080188D" w:rsidRDefault="00B67317" w:rsidP="00B67317">
      <w:pPr>
        <w:rPr>
          <w:rFonts w:eastAsiaTheme="minorHAnsi" w:cstheme="minorBidi"/>
          <w:szCs w:val="24"/>
          <w:lang w:eastAsia="en-US"/>
        </w:rPr>
      </w:pPr>
    </w:p>
    <w:p w14:paraId="3B4655D5" w14:textId="77777777" w:rsidR="00B67317" w:rsidRPr="0080188D" w:rsidRDefault="00B67317" w:rsidP="00B67317">
      <w:pPr>
        <w:rPr>
          <w:rFonts w:eastAsiaTheme="minorHAnsi" w:cstheme="minorBidi"/>
          <w:szCs w:val="24"/>
          <w:lang w:eastAsia="en-US"/>
        </w:rPr>
      </w:pPr>
      <w:r w:rsidRPr="0080188D">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0000F5FF" wp14:editId="3FE9E80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A3CF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14579BCE" w14:textId="77777777" w:rsidR="00B67317" w:rsidRDefault="00B67317" w:rsidP="00B67317">
      <w:pPr>
        <w:rPr>
          <w:rStyle w:val="SCCAppellantForRunningHeadChar"/>
        </w:rPr>
      </w:pPr>
      <w:r>
        <w:rPr>
          <w:rStyle w:val="SCCAppellantForRunningHeadChar"/>
        </w:rPr>
        <w:br w:type="page"/>
      </w:r>
    </w:p>
    <w:p w14:paraId="50CC5B6C" w14:textId="77777777" w:rsidR="00F218B2" w:rsidRDefault="005F6F8F" w:rsidP="002A5497">
      <w:pPr>
        <w:pStyle w:val="SCCLsocLastPartyInRole"/>
      </w:pPr>
      <w:bookmarkStart w:id="0" w:name="_GoBack"/>
      <w:bookmarkEnd w:id="0"/>
      <w:r>
        <w:lastRenderedPageBreak/>
        <w:t>Attorney General of British Columbia</w:t>
      </w:r>
      <w:r>
        <w:rPr>
          <w:rStyle w:val="SCCLsocPartyRole"/>
        </w:rPr>
        <w:tab/>
        <w:t>Appellant</w:t>
      </w:r>
    </w:p>
    <w:p w14:paraId="4ADC2DA7" w14:textId="153BD55F" w:rsidR="00F218B2" w:rsidRDefault="005F6F8F" w:rsidP="002A5497">
      <w:pPr>
        <w:pStyle w:val="SCCLsocVersus"/>
        <w:tabs>
          <w:tab w:val="left" w:pos="6192"/>
        </w:tabs>
      </w:pPr>
      <w:r>
        <w:t>v.</w:t>
      </w:r>
    </w:p>
    <w:p w14:paraId="7BD03D53" w14:textId="77777777" w:rsidR="00EA762B" w:rsidRDefault="005F6F8F" w:rsidP="002A5497">
      <w:pPr>
        <w:pStyle w:val="SCCLsocLastPartyInRole"/>
      </w:pPr>
      <w:r>
        <w:t>Provincial Court Judges</w:t>
      </w:r>
      <w:r w:rsidR="00BA7C42">
        <w:t>’</w:t>
      </w:r>
      <w:r>
        <w:t xml:space="preserve"> Association of British Columbia</w:t>
      </w:r>
      <w:r>
        <w:rPr>
          <w:rStyle w:val="SCCLsocPartyRole"/>
        </w:rPr>
        <w:tab/>
        <w:t>Respondent</w:t>
      </w:r>
    </w:p>
    <w:p w14:paraId="7ECD9B4D" w14:textId="77777777" w:rsidR="00F218B2" w:rsidRDefault="005F6F8F" w:rsidP="002A5497">
      <w:pPr>
        <w:pStyle w:val="SCCLsocOtherPartySeparator"/>
      </w:pPr>
      <w:r>
        <w:t>and</w:t>
      </w:r>
    </w:p>
    <w:p w14:paraId="30CBC672" w14:textId="77777777" w:rsidR="00F218B2" w:rsidRDefault="005F6F8F">
      <w:pPr>
        <w:pStyle w:val="SCCLsocParty"/>
      </w:pPr>
      <w:r>
        <w:t>Attorney General of Canada,</w:t>
      </w:r>
    </w:p>
    <w:p w14:paraId="1488C56E" w14:textId="77777777" w:rsidR="00F218B2" w:rsidRDefault="005F6F8F">
      <w:pPr>
        <w:pStyle w:val="SCCLsocParty"/>
      </w:pPr>
      <w:r>
        <w:t>Attorney General of Ontario,</w:t>
      </w:r>
    </w:p>
    <w:p w14:paraId="5E0AC169" w14:textId="77777777" w:rsidR="00F218B2" w:rsidRDefault="005F6F8F">
      <w:pPr>
        <w:pStyle w:val="SCCLsocParty"/>
      </w:pPr>
      <w:r>
        <w:t>Attorney General of Quebec,</w:t>
      </w:r>
    </w:p>
    <w:p w14:paraId="5DAAB8AD" w14:textId="77777777" w:rsidR="00F218B2" w:rsidRDefault="005F6F8F">
      <w:pPr>
        <w:pStyle w:val="SCCLsocParty"/>
      </w:pPr>
      <w:r>
        <w:t xml:space="preserve">Attorney General </w:t>
      </w:r>
      <w:r w:rsidR="00A61364">
        <w:t>of</w:t>
      </w:r>
      <w:r>
        <w:t xml:space="preserve"> Saskatchewan,</w:t>
      </w:r>
    </w:p>
    <w:p w14:paraId="797BB563" w14:textId="77777777" w:rsidR="00F218B2" w:rsidRDefault="005F6F8F">
      <w:pPr>
        <w:pStyle w:val="SCCLsocParty"/>
      </w:pPr>
      <w:r>
        <w:t>Attorney General of Alberta,</w:t>
      </w:r>
    </w:p>
    <w:p w14:paraId="19EA906D" w14:textId="77777777" w:rsidR="00F218B2" w:rsidRDefault="005F6F8F">
      <w:pPr>
        <w:pStyle w:val="SCCLsocParty"/>
      </w:pPr>
      <w:r>
        <w:t>Canadian Superior Courts Judges Association,</w:t>
      </w:r>
    </w:p>
    <w:p w14:paraId="56B36A02" w14:textId="77777777" w:rsidR="00F218B2" w:rsidRDefault="005F6F8F">
      <w:pPr>
        <w:pStyle w:val="SCCLsocParty"/>
      </w:pPr>
      <w:r>
        <w:t>Canadian Bar Association,</w:t>
      </w:r>
    </w:p>
    <w:p w14:paraId="3BF6A259" w14:textId="77777777" w:rsidR="00F218B2" w:rsidRDefault="005F6F8F">
      <w:pPr>
        <w:pStyle w:val="SCCLsocParty"/>
      </w:pPr>
      <w:r>
        <w:t>Canadian Association of Provincial Court Judges,</w:t>
      </w:r>
    </w:p>
    <w:p w14:paraId="7FBEFF14" w14:textId="44BE215E" w:rsidR="00F218B2" w:rsidRDefault="001B6F88">
      <w:pPr>
        <w:pStyle w:val="SCCLsocParty"/>
      </w:pPr>
      <w:r>
        <w:t>Canadian Taxpayers Federation</w:t>
      </w:r>
      <w:r w:rsidR="00BA7C42">
        <w:t xml:space="preserve"> and</w:t>
      </w:r>
    </w:p>
    <w:p w14:paraId="5D4C9ECC" w14:textId="77777777" w:rsidR="00F218B2" w:rsidRDefault="005F6F8F" w:rsidP="002A5497">
      <w:pPr>
        <w:pStyle w:val="SCCLsocLastPartyInRole"/>
      </w:pPr>
      <w:r>
        <w:t>Canadian Civil Liberties Association</w:t>
      </w:r>
      <w:r>
        <w:rPr>
          <w:rStyle w:val="SCCLsocPartyRole"/>
        </w:rPr>
        <w:tab/>
        <w:t>Interveners</w:t>
      </w:r>
    </w:p>
    <w:p w14:paraId="2E12A1FE" w14:textId="77777777" w:rsidR="00426659" w:rsidRPr="00426659" w:rsidRDefault="00426659" w:rsidP="002A5497">
      <w:pPr>
        <w:spacing w:after="720"/>
        <w:jc w:val="both"/>
        <w:rPr>
          <w:b/>
        </w:rPr>
      </w:pPr>
      <w:r w:rsidRPr="00426659">
        <w:rPr>
          <w:b/>
        </w:rPr>
        <w:t>Indexed as:</w:t>
      </w:r>
      <w:r>
        <w:rPr>
          <w:b/>
        </w:rPr>
        <w:t xml:space="preserve"> </w:t>
      </w:r>
      <w:r w:rsidR="00BA7C42">
        <w:rPr>
          <w:b/>
        </w:rPr>
        <w:t>British Columbia (</w:t>
      </w:r>
      <w:r>
        <w:rPr>
          <w:rStyle w:val="SCCAppellantForIndexChar"/>
        </w:rPr>
        <w:t>Attorney General</w:t>
      </w:r>
      <w:r w:rsidR="00BA7C42">
        <w:rPr>
          <w:rStyle w:val="SCCAppellantForIndexChar"/>
        </w:rPr>
        <w:t>)</w:t>
      </w:r>
      <w:r w:rsidRPr="00426659">
        <w:rPr>
          <w:b/>
        </w:rPr>
        <w:t xml:space="preserve"> </w:t>
      </w:r>
      <w:r w:rsidRPr="00426659">
        <w:rPr>
          <w:b/>
          <w:i/>
        </w:rPr>
        <w:t>v.</w:t>
      </w:r>
      <w:r w:rsidRPr="00426659">
        <w:rPr>
          <w:b/>
        </w:rPr>
        <w:t xml:space="preserve"> </w:t>
      </w:r>
      <w:r w:rsidRPr="00877B6B">
        <w:rPr>
          <w:rStyle w:val="SCCRespondentForIndexChar"/>
        </w:rPr>
        <w:t>Provincial Court Judges</w:t>
      </w:r>
      <w:r w:rsidR="00BA7C42" w:rsidRPr="00877B6B">
        <w:rPr>
          <w:rStyle w:val="SCCRespondentForIndexChar"/>
        </w:rPr>
        <w:t>’ Association of British Columbia</w:t>
      </w:r>
    </w:p>
    <w:p w14:paraId="34618FA6" w14:textId="4985F7B0" w:rsidR="00426659" w:rsidRPr="00C02092" w:rsidRDefault="00AE4535" w:rsidP="002A5497">
      <w:pPr>
        <w:pStyle w:val="SCCSystemYear"/>
        <w:spacing w:after="720"/>
        <w:jc w:val="both"/>
      </w:pPr>
      <w:r>
        <w:t>2020</w:t>
      </w:r>
      <w:r w:rsidR="003D0399">
        <w:t xml:space="preserve"> </w:t>
      </w:r>
      <w:r w:rsidR="00426659" w:rsidRPr="00C02092">
        <w:t>SCC </w:t>
      </w:r>
      <w:r w:rsidR="000F197A">
        <w:t>20</w:t>
      </w:r>
    </w:p>
    <w:p w14:paraId="26513AB5" w14:textId="76B30B11" w:rsidR="008322BD" w:rsidRDefault="00BA7C42" w:rsidP="002A5497">
      <w:pPr>
        <w:spacing w:after="720"/>
        <w:jc w:val="both"/>
      </w:pPr>
      <w:r>
        <w:t>File No.:</w:t>
      </w:r>
      <w:r w:rsidR="009B57B3" w:rsidRPr="001426A9">
        <w:t xml:space="preserve"> </w:t>
      </w:r>
      <w:r w:rsidR="009B57B3">
        <w:t>38381</w:t>
      </w:r>
      <w:r w:rsidR="009B57B3" w:rsidRPr="001426A9">
        <w:t>.</w:t>
      </w:r>
    </w:p>
    <w:p w14:paraId="4A7438BD" w14:textId="756D1684" w:rsidR="008322BD" w:rsidRDefault="004733FF" w:rsidP="002A5497">
      <w:pPr>
        <w:spacing w:after="720"/>
        <w:jc w:val="both"/>
      </w:pPr>
      <w:r>
        <w:t>2019: December </w:t>
      </w:r>
      <w:r w:rsidR="00AE4535">
        <w:t>9</w:t>
      </w:r>
      <w:r w:rsidR="009B57B3" w:rsidRPr="001426A9">
        <w:t xml:space="preserve">; </w:t>
      </w:r>
      <w:r w:rsidR="00877B6B">
        <w:t>2020:</w:t>
      </w:r>
      <w:r>
        <w:t> </w:t>
      </w:r>
      <w:r w:rsidR="00877B6B">
        <w:t>July 31</w:t>
      </w:r>
      <w:r w:rsidR="009B57B3" w:rsidRPr="001426A9">
        <w:t>.</w:t>
      </w:r>
    </w:p>
    <w:p w14:paraId="63E463F1" w14:textId="77777777" w:rsidR="008322BD" w:rsidRDefault="00BA7C42" w:rsidP="002A5497">
      <w:pPr>
        <w:spacing w:after="720"/>
        <w:jc w:val="both"/>
      </w:pPr>
      <w:r>
        <w:t xml:space="preserve">Present: </w:t>
      </w:r>
      <w:r w:rsidR="009B57B3">
        <w:t>Wagner C.J. and Abella, Moldaver, Karakatsanis, Côté, Brown, Rowe, Martin and Kasirer JJ.</w:t>
      </w:r>
    </w:p>
    <w:p w14:paraId="1DDA6DC6" w14:textId="1E88C7D3" w:rsidR="008322BD" w:rsidRPr="001C779F" w:rsidRDefault="00656313" w:rsidP="002A5497">
      <w:pPr>
        <w:pStyle w:val="SCCLowerCourtNameLowercase"/>
        <w:spacing w:after="720" w:line="240" w:lineRule="auto"/>
      </w:pPr>
      <w:r>
        <w:lastRenderedPageBreak/>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w:t>
      </w:r>
      <w:r w:rsidR="008424C0">
        <w:t xml:space="preserve"> of appeal for british columbia</w:t>
      </w:r>
    </w:p>
    <w:p w14:paraId="13689C92" w14:textId="45B8BB46" w:rsidR="00385AE6" w:rsidRDefault="009B57B3" w:rsidP="00385AE6">
      <w:pPr>
        <w:pStyle w:val="SCCNormalDoubleSpacing"/>
        <w:spacing w:after="480"/>
      </w:pPr>
      <w:r w:rsidRPr="00583EDE">
        <w:tab/>
      </w:r>
      <w:r w:rsidR="00385AE6" w:rsidRPr="00D27C19">
        <w:rPr>
          <w:i/>
        </w:rPr>
        <w:t>Constitutional law —</w:t>
      </w:r>
      <w:r w:rsidR="00385AE6">
        <w:rPr>
          <w:i/>
        </w:rPr>
        <w:t xml:space="preserve"> </w:t>
      </w:r>
      <w:r w:rsidR="00385AE6" w:rsidRPr="00D27C19">
        <w:rPr>
          <w:i/>
        </w:rPr>
        <w:t>Judicial independence —</w:t>
      </w:r>
      <w:r w:rsidR="00385AE6">
        <w:rPr>
          <w:i/>
        </w:rPr>
        <w:t xml:space="preserve"> </w:t>
      </w:r>
      <w:r w:rsidR="00385AE6" w:rsidRPr="00D27C19">
        <w:rPr>
          <w:i/>
        </w:rPr>
        <w:t xml:space="preserve">Judicial remuneration — </w:t>
      </w:r>
      <w:r w:rsidR="00385AE6">
        <w:rPr>
          <w:i/>
        </w:rPr>
        <w:t>J</w:t>
      </w:r>
      <w:r w:rsidR="00385AE6" w:rsidRPr="00E4453E">
        <w:rPr>
          <w:i/>
        </w:rPr>
        <w:t xml:space="preserve">udicial compensation commission </w:t>
      </w:r>
      <w:r w:rsidR="00385AE6">
        <w:rPr>
          <w:i/>
        </w:rPr>
        <w:t>making</w:t>
      </w:r>
      <w:r w:rsidR="00385AE6" w:rsidRPr="00E4453E">
        <w:rPr>
          <w:i/>
        </w:rPr>
        <w:t xml:space="preserve"> recommendations </w:t>
      </w:r>
      <w:r w:rsidR="00385AE6">
        <w:rPr>
          <w:i/>
        </w:rPr>
        <w:t xml:space="preserve">to </w:t>
      </w:r>
      <w:r w:rsidR="00385AE6" w:rsidRPr="00612ED1">
        <w:rPr>
          <w:i/>
        </w:rPr>
        <w:t>provincial</w:t>
      </w:r>
      <w:r w:rsidR="00385AE6">
        <w:rPr>
          <w:i/>
        </w:rPr>
        <w:t xml:space="preserve"> Attorney General </w:t>
      </w:r>
      <w:r w:rsidR="00385AE6" w:rsidRPr="00E4453E">
        <w:rPr>
          <w:i/>
        </w:rPr>
        <w:t xml:space="preserve">about remuneration, allowances and benefits of provincial judges </w:t>
      </w:r>
      <w:r w:rsidR="00385AE6" w:rsidRPr="00D27C19">
        <w:rPr>
          <w:i/>
        </w:rPr>
        <w:t>—</w:t>
      </w:r>
      <w:r w:rsidR="00385AE6">
        <w:rPr>
          <w:i/>
        </w:rPr>
        <w:t xml:space="preserve"> Attorney General making</w:t>
      </w:r>
      <w:r w:rsidR="00385AE6" w:rsidRPr="00D27C19">
        <w:rPr>
          <w:i/>
        </w:rPr>
        <w:t xml:space="preserve"> submission to Cabinet concerning commission’s recommendations and government’s response </w:t>
      </w:r>
      <w:r w:rsidR="00385AE6">
        <w:rPr>
          <w:i/>
        </w:rPr>
        <w:t>— Legislative Assembly</w:t>
      </w:r>
      <w:r w:rsidR="00385AE6" w:rsidRPr="00AA18A6">
        <w:rPr>
          <w:i/>
        </w:rPr>
        <w:t xml:space="preserve"> </w:t>
      </w:r>
      <w:r w:rsidR="00385AE6">
        <w:rPr>
          <w:i/>
        </w:rPr>
        <w:t xml:space="preserve">passing resolution rejecting </w:t>
      </w:r>
      <w:r w:rsidR="00385AE6" w:rsidRPr="00AA18A6">
        <w:rPr>
          <w:i/>
        </w:rPr>
        <w:t>commission’</w:t>
      </w:r>
      <w:r w:rsidR="00385AE6">
        <w:rPr>
          <w:i/>
        </w:rPr>
        <w:t xml:space="preserve">s recommended increase in </w:t>
      </w:r>
      <w:r w:rsidR="00385AE6" w:rsidRPr="00AA18A6">
        <w:rPr>
          <w:i/>
        </w:rPr>
        <w:t>salary</w:t>
      </w:r>
      <w:r w:rsidR="00385AE6">
        <w:rPr>
          <w:i/>
        </w:rPr>
        <w:t xml:space="preserve"> — Judges petitioning for judicial review of Legislative Assembly’s resolution — Whether Cabinet submission should form part of record on </w:t>
      </w:r>
      <w:r w:rsidR="00385AE6" w:rsidRPr="00810D4D">
        <w:rPr>
          <w:i/>
        </w:rPr>
        <w:t>judicial review</w:t>
      </w:r>
      <w:r w:rsidR="00385AE6" w:rsidRPr="00810D4D">
        <w:t>.</w:t>
      </w:r>
    </w:p>
    <w:p w14:paraId="2F4B466F" w14:textId="4105D0F5" w:rsidR="00385AE6" w:rsidRPr="003776B1" w:rsidRDefault="00385AE6" w:rsidP="002A5497">
      <w:pPr>
        <w:pStyle w:val="SCCNormalDoubleSpacing"/>
        <w:spacing w:after="480"/>
      </w:pPr>
      <w:r w:rsidRPr="001426A9">
        <w:tab/>
      </w:r>
      <w:r w:rsidR="00745F78">
        <w:t>In October 2016,</w:t>
      </w:r>
      <w:r>
        <w:t xml:space="preserve"> the British Columbia judicial compensation commission </w:t>
      </w:r>
      <w:r w:rsidRPr="003776B1">
        <w:t>recommended an 8.2 percent increase in the salary of provincial judges in 2017</w:t>
      </w:r>
      <w:r w:rsidR="002A5497">
        <w:noBreakHyphen/>
      </w:r>
      <w:r w:rsidRPr="003776B1">
        <w:t>18.</w:t>
      </w:r>
      <w:r>
        <w:t xml:space="preserve"> T</w:t>
      </w:r>
      <w:r w:rsidRPr="003776B1">
        <w:t>he Attorney General made a submission to Cabinet concerning the commission’s recommendations</w:t>
      </w:r>
      <w:r>
        <w:t xml:space="preserve">, and then </w:t>
      </w:r>
      <w:r w:rsidRPr="00B74B0B">
        <w:t>tabled the government’s proposed response to the commission’s report</w:t>
      </w:r>
      <w:r>
        <w:t xml:space="preserve"> and proposed</w:t>
      </w:r>
      <w:r w:rsidRPr="00B74B0B">
        <w:t xml:space="preserve"> a resolution rejecting the commission’s recommended </w:t>
      </w:r>
      <w:r>
        <w:t xml:space="preserve">salary </w:t>
      </w:r>
      <w:r w:rsidRPr="00B74B0B">
        <w:t xml:space="preserve">increase and adopting a </w:t>
      </w:r>
      <w:r>
        <w:t>3.8 percent</w:t>
      </w:r>
      <w:r w:rsidRPr="00B74B0B">
        <w:t xml:space="preserve"> increase</w:t>
      </w:r>
      <w:r>
        <w:t xml:space="preserve"> instead. T</w:t>
      </w:r>
      <w:r w:rsidRPr="00B74B0B">
        <w:t>he Legislative Assembly passed the resolution</w:t>
      </w:r>
      <w:r>
        <w:t xml:space="preserve">. The </w:t>
      </w:r>
      <w:r w:rsidRPr="00121CA4">
        <w:t>Provincial Court Judges’</w:t>
      </w:r>
      <w:r>
        <w:t xml:space="preserve"> Association petitioned for judicial review of the resolution and sought an order to require the Attorney General to produce the Cabinet submission relied on in preparing the government’s response. The</w:t>
      </w:r>
      <w:r w:rsidRPr="008B1839">
        <w:t xml:space="preserve"> master</w:t>
      </w:r>
      <w:r>
        <w:t xml:space="preserve"> hearing the motion </w:t>
      </w:r>
      <w:r w:rsidRPr="008B1839">
        <w:t>ordered the Attorney General to produce the Cabinet submission</w:t>
      </w:r>
      <w:r>
        <w:t xml:space="preserve">. Appeals by the Attorney General from the master’s </w:t>
      </w:r>
      <w:r>
        <w:lastRenderedPageBreak/>
        <w:t>decision to t</w:t>
      </w:r>
      <w:r w:rsidRPr="008B1839">
        <w:t xml:space="preserve">he Supreme Court of British Columbia </w:t>
      </w:r>
      <w:r>
        <w:t>and then to t</w:t>
      </w:r>
      <w:r w:rsidRPr="008B1839">
        <w:t xml:space="preserve">he Court of Appeal </w:t>
      </w:r>
      <w:r>
        <w:t xml:space="preserve">were </w:t>
      </w:r>
      <w:r w:rsidRPr="008B1839">
        <w:t>dismissed.</w:t>
      </w:r>
    </w:p>
    <w:p w14:paraId="75D9EF68" w14:textId="77777777" w:rsidR="00385AE6" w:rsidRPr="001426A9" w:rsidRDefault="00385AE6" w:rsidP="002A5497">
      <w:pPr>
        <w:pStyle w:val="SCCNormalDoubleSpacing"/>
        <w:spacing w:after="480"/>
      </w:pPr>
      <w:r>
        <w:tab/>
      </w:r>
      <w:r w:rsidRPr="00F94502">
        <w:rPr>
          <w:rStyle w:val="QuoteChar"/>
          <w:color w:val="auto"/>
          <w:lang w:val="en-CA"/>
        </w:rPr>
        <w:t>Held</w:t>
      </w:r>
      <w:r w:rsidRPr="001426A9">
        <w:rPr>
          <w:rStyle w:val="QuoteChar"/>
          <w:i w:val="0"/>
          <w:color w:val="auto"/>
          <w:lang w:val="en-CA"/>
        </w:rPr>
        <w:t>:</w:t>
      </w:r>
      <w:r>
        <w:t xml:space="preserve"> The appeal should be allowed and the master’s order for production of the Cabinet submission quashed.</w:t>
      </w:r>
    </w:p>
    <w:p w14:paraId="6E655E32" w14:textId="00751550" w:rsidR="00385AE6" w:rsidRDefault="00385AE6" w:rsidP="002A5497">
      <w:pPr>
        <w:pStyle w:val="SCCNormalDoubleSpacing"/>
        <w:spacing w:after="480"/>
      </w:pPr>
      <w:r>
        <w:tab/>
        <w:t>A</w:t>
      </w:r>
      <w:r w:rsidRPr="00121CA4">
        <w:t xml:space="preserve"> government must give specific reasons justifying any departure from the recommendations</w:t>
      </w:r>
      <w:r>
        <w:t xml:space="preserve"> of a judicial compensation commission. T</w:t>
      </w:r>
      <w:r w:rsidRPr="00121CA4">
        <w:t xml:space="preserve">he government’s response to </w:t>
      </w:r>
      <w:r>
        <w:t>the</w:t>
      </w:r>
      <w:r w:rsidRPr="00121CA4">
        <w:t xml:space="preserve"> commission’s recommendations is subject to </w:t>
      </w:r>
      <w:r>
        <w:t xml:space="preserve">a </w:t>
      </w:r>
      <w:r w:rsidRPr="00121CA4">
        <w:t>li</w:t>
      </w:r>
      <w:r>
        <w:t xml:space="preserve">mited form of judicial review as </w:t>
      </w:r>
      <w:r w:rsidRPr="002F444C">
        <w:t xml:space="preserve">described in </w:t>
      </w:r>
      <w:r w:rsidRPr="002F444C">
        <w:rPr>
          <w:i/>
        </w:rPr>
        <w:t>Bodner v. Alberta</w:t>
      </w:r>
      <w:r w:rsidRPr="002F444C">
        <w:t>, 2005</w:t>
      </w:r>
      <w:r>
        <w:t xml:space="preserve"> SCC 44, [2005] 2 S.C.R. 286. </w:t>
      </w:r>
      <w:r w:rsidRPr="00121CA4">
        <w:rPr>
          <w:i/>
        </w:rPr>
        <w:t xml:space="preserve">Bodner </w:t>
      </w:r>
      <w:r w:rsidRPr="00121CA4">
        <w:t>review is the mechanism for ensuring that the government respects the commission process and for safeguarding the public confidence in the administration of justice that process serves to protect.</w:t>
      </w:r>
      <w:r>
        <w:t xml:space="preserve"> </w:t>
      </w:r>
      <w:r w:rsidRPr="00121CA4">
        <w:t xml:space="preserve">The standard of justification to uphold the government’s response </w:t>
      </w:r>
      <w:r>
        <w:t xml:space="preserve">is that of </w:t>
      </w:r>
      <w:r w:rsidRPr="00121CA4">
        <w:t>ration</w:t>
      </w:r>
      <w:r>
        <w:t xml:space="preserve">ality. </w:t>
      </w:r>
      <w:r>
        <w:rPr>
          <w:i/>
        </w:rPr>
        <w:t xml:space="preserve">Bodner </w:t>
      </w:r>
      <w:r>
        <w:t>sets out a three</w:t>
      </w:r>
      <w:r w:rsidR="002A5497">
        <w:noBreakHyphen/>
      </w:r>
      <w:r>
        <w:t>part test for determining whether a government’s decision to depart from a commission’s recommendation m</w:t>
      </w:r>
      <w:r w:rsidR="000971B0">
        <w:t>eets this standard: (1) </w:t>
      </w:r>
      <w:r>
        <w:t>whether the government has articulated a legitimate reason for departing from the co</w:t>
      </w:r>
      <w:r w:rsidR="000971B0">
        <w:t>mmission’s recommendations; (2) </w:t>
      </w:r>
      <w:r>
        <w:t>whether the government’s reasons rely upon a reasona</w:t>
      </w:r>
      <w:r w:rsidR="000971B0">
        <w:t>ble factual foundation; and (3) </w:t>
      </w:r>
      <w:r>
        <w:t>whether the commission process has been respected and its purposes — preserving judicial independence and depoliticizing the setting of judicial remuneration —</w:t>
      </w:r>
      <w:r w:rsidR="00745F78">
        <w:t xml:space="preserve"> </w:t>
      </w:r>
      <w:r w:rsidR="008424C0">
        <w:t>have been achieved.</w:t>
      </w:r>
    </w:p>
    <w:p w14:paraId="41DB8C9D" w14:textId="7CBCA632" w:rsidR="00385AE6" w:rsidRDefault="00385AE6" w:rsidP="002A5497">
      <w:pPr>
        <w:pStyle w:val="SCCNormalDoubleSpacing"/>
        <w:spacing w:after="480"/>
      </w:pPr>
      <w:r>
        <w:tab/>
        <w:t>T</w:t>
      </w:r>
      <w:r w:rsidRPr="00C11A37">
        <w:t xml:space="preserve">he limited nature of </w:t>
      </w:r>
      <w:r w:rsidRPr="00C11A37">
        <w:rPr>
          <w:i/>
        </w:rPr>
        <w:t>Bodner</w:t>
      </w:r>
      <w:r w:rsidRPr="00C11A37">
        <w:t xml:space="preserve"> review, the role of the reviewing court and the purpose of the process have implications for the evidence considered by the reviewing court.</w:t>
      </w:r>
      <w:r>
        <w:t xml:space="preserve"> T</w:t>
      </w:r>
      <w:r w:rsidRPr="00A963B9">
        <w:t xml:space="preserve">he rules of evidence and production must be applied in </w:t>
      </w:r>
      <w:r>
        <w:t xml:space="preserve">a </w:t>
      </w:r>
      <w:r w:rsidRPr="00A963B9">
        <w:t xml:space="preserve">manner that </w:t>
      </w:r>
      <w:r w:rsidRPr="00A963B9">
        <w:lastRenderedPageBreak/>
        <w:t xml:space="preserve">reflects the unique features of </w:t>
      </w:r>
      <w:r>
        <w:rPr>
          <w:i/>
        </w:rPr>
        <w:t>Bodner</w:t>
      </w:r>
      <w:r w:rsidRPr="00A963B9">
        <w:t xml:space="preserve"> review, and respects both judicial independence and the confidentiality of Cabinet decision making.</w:t>
      </w:r>
      <w:r>
        <w:t xml:space="preserve"> </w:t>
      </w:r>
      <w:r w:rsidRPr="0054757B">
        <w:t xml:space="preserve">The record on </w:t>
      </w:r>
      <w:r w:rsidRPr="0054757B">
        <w:rPr>
          <w:i/>
        </w:rPr>
        <w:t>Bodner</w:t>
      </w:r>
      <w:r w:rsidRPr="0054757B">
        <w:t xml:space="preserve"> review necessarily includes any submissions made to the commission by the government, judges and others; the commission’s report, including its recommendations; and the government’s response to the recommendations</w:t>
      </w:r>
      <w:r>
        <w:t xml:space="preserve">. </w:t>
      </w:r>
      <w:r w:rsidRPr="00121CA4">
        <w:t xml:space="preserve">Certain forms of additional evidence are admissible if they are relevant to determining whether any part of the </w:t>
      </w:r>
      <w:r w:rsidRPr="00121CA4">
        <w:rPr>
          <w:i/>
        </w:rPr>
        <w:t>Bodner</w:t>
      </w:r>
      <w:r w:rsidRPr="00121CA4">
        <w:t xml:space="preserve"> test has been met, including </w:t>
      </w:r>
      <w:r>
        <w:t xml:space="preserve">evidence </w:t>
      </w:r>
      <w:r w:rsidRPr="00005F85">
        <w:t>aimed at calling into question the reasonableness of the factual foundation relied on by the government, the government’s lack of meaningful engagement with or respect for the commission process or whether the government’s response was grounded in an improper or colourable purpose. To those ends, the party seeking review can ask that the government produce evidence in its possession.</w:t>
      </w:r>
      <w:r>
        <w:t xml:space="preserve"> S</w:t>
      </w:r>
      <w:r w:rsidRPr="00121CA4">
        <w:t xml:space="preserve">ince a </w:t>
      </w:r>
      <w:r w:rsidRPr="00121CA4">
        <w:rPr>
          <w:i/>
        </w:rPr>
        <w:t xml:space="preserve">Bodner </w:t>
      </w:r>
      <w:r w:rsidRPr="00121CA4">
        <w:t>review often concerns decisions in which Cabinet plays a part, a party seeking review may request the production of a confidential Cabinet document.</w:t>
      </w:r>
    </w:p>
    <w:p w14:paraId="1EAE44F8" w14:textId="14B93A68" w:rsidR="00385AE6" w:rsidRDefault="00385AE6" w:rsidP="002A5497">
      <w:pPr>
        <w:pStyle w:val="SCCNormalDoubleSpacing"/>
        <w:spacing w:after="480"/>
      </w:pPr>
      <w:r>
        <w:tab/>
      </w:r>
      <w:r w:rsidRPr="00846FBA">
        <w:t xml:space="preserve">Generally, what is in issue in a </w:t>
      </w:r>
      <w:r w:rsidRPr="00846FBA">
        <w:rPr>
          <w:i/>
        </w:rPr>
        <w:t>Bodner</w:t>
      </w:r>
      <w:r w:rsidRPr="00846FBA">
        <w:t xml:space="preserve"> review is whether a government failed to meet its constitutional obligations flowing from the principle of judicial independence in its response to a commission’s recommendations. The relevance of any proposed additional evidence must therefore be tested in relation to the issues that the court must determine on </w:t>
      </w:r>
      <w:r>
        <w:t>such a</w:t>
      </w:r>
      <w:r w:rsidRPr="00846FBA">
        <w:t xml:space="preserve"> review.</w:t>
      </w:r>
      <w:r>
        <w:t xml:space="preserve"> </w:t>
      </w:r>
      <w:r w:rsidRPr="00121CA4">
        <w:t xml:space="preserve">To be relevant, the proposed evidence must contain something that tends to </w:t>
      </w:r>
      <w:r>
        <w:t>address</w:t>
      </w:r>
      <w:r w:rsidRPr="00121CA4">
        <w:t xml:space="preserve"> a fact concerning one of the steps of the test established in </w:t>
      </w:r>
      <w:r w:rsidRPr="00121CA4">
        <w:rPr>
          <w:i/>
        </w:rPr>
        <w:t>Bodner</w:t>
      </w:r>
      <w:r w:rsidR="008424C0">
        <w:t>.</w:t>
      </w:r>
    </w:p>
    <w:p w14:paraId="1E98A115" w14:textId="21025843" w:rsidR="00385AE6" w:rsidRDefault="00385AE6" w:rsidP="002A5497">
      <w:pPr>
        <w:pStyle w:val="SCCNormalDoubleSpacing"/>
        <w:spacing w:after="480"/>
      </w:pPr>
      <w:r>
        <w:lastRenderedPageBreak/>
        <w:tab/>
      </w:r>
      <w:r w:rsidRPr="00121CA4">
        <w:t xml:space="preserve">However, </w:t>
      </w:r>
      <w:r>
        <w:t>s</w:t>
      </w:r>
      <w:r w:rsidRPr="00121CA4">
        <w:t xml:space="preserve">omething more than relevance is needed to strike the appropriate balance between respecting Cabinet confidentiality and maintaining the overall integrity of </w:t>
      </w:r>
      <w:r w:rsidRPr="00121CA4">
        <w:rPr>
          <w:i/>
        </w:rPr>
        <w:t>Bodner</w:t>
      </w:r>
      <w:r w:rsidRPr="00121CA4">
        <w:t xml:space="preserve"> review.</w:t>
      </w:r>
      <w:r>
        <w:t xml:space="preserve"> </w:t>
      </w:r>
      <w:r w:rsidRPr="003E1557">
        <w:t xml:space="preserve">Although any inspection of a confidential Cabinet document undermines Cabinet confidentiality to some extent, judicial inspection of a document that concerns Cabinet deliberations about the judiciary would undermine it more significantly. </w:t>
      </w:r>
      <w:r>
        <w:t>Accordingly, s</w:t>
      </w:r>
      <w:r w:rsidRPr="00121CA4">
        <w:t xml:space="preserve">pecial considerations arise when the party seeking </w:t>
      </w:r>
      <w:r w:rsidRPr="00121CA4">
        <w:rPr>
          <w:i/>
        </w:rPr>
        <w:t xml:space="preserve">Bodner </w:t>
      </w:r>
      <w:r w:rsidRPr="00121CA4">
        <w:t>review asks the government to produce a document related to Cabinet decision</w:t>
      </w:r>
      <w:r>
        <w:t xml:space="preserve"> </w:t>
      </w:r>
      <w:r w:rsidRPr="00121CA4">
        <w:t>making</w:t>
      </w:r>
      <w:r>
        <w:t>. T</w:t>
      </w:r>
      <w:r w:rsidRPr="0095742D">
        <w:t xml:space="preserve">he party seeking review </w:t>
      </w:r>
      <w:r>
        <w:t>must</w:t>
      </w:r>
      <w:r w:rsidRPr="0095742D">
        <w:t xml:space="preserve"> point to something in the record, including otherwise admissible evidence, that supports its view that the document may tend to show that the government response failed to meet one or more parts of the</w:t>
      </w:r>
      <w:r>
        <w:t xml:space="preserve"> </w:t>
      </w:r>
      <w:r>
        <w:rPr>
          <w:i/>
        </w:rPr>
        <w:t>Bodner</w:t>
      </w:r>
      <w:r w:rsidRPr="0095742D">
        <w:t xml:space="preserve"> test.</w:t>
      </w:r>
      <w:r>
        <w:t xml:space="preserve"> I</w:t>
      </w:r>
      <w:r w:rsidRPr="0095742D">
        <w:t>t is not enough to simply say that the document was before the decision</w:t>
      </w:r>
      <w:r w:rsidR="002A5497">
        <w:noBreakHyphen/>
      </w:r>
      <w:r w:rsidRPr="0095742D">
        <w:t>maker or that it would provide additional background or context for the reviewing court.</w:t>
      </w:r>
    </w:p>
    <w:p w14:paraId="606864F0" w14:textId="234B6212" w:rsidR="00385AE6" w:rsidRDefault="00385AE6" w:rsidP="002A5497">
      <w:pPr>
        <w:pStyle w:val="SCCNormalDoubleSpacing"/>
        <w:spacing w:after="480"/>
      </w:pPr>
      <w:r>
        <w:tab/>
      </w:r>
      <w:r w:rsidRPr="00121CA4">
        <w:t xml:space="preserve">If the party seeking review makes the requisite showing </w:t>
      </w:r>
      <w:r>
        <w:t xml:space="preserve">— </w:t>
      </w:r>
      <w:r w:rsidRPr="00121CA4">
        <w:t xml:space="preserve">that there is some basis to believe that the document may contain evidence which tends to show that the government failed to meet one of the requirements described in </w:t>
      </w:r>
      <w:r w:rsidRPr="00121CA4">
        <w:rPr>
          <w:i/>
        </w:rPr>
        <w:t>Bodner</w:t>
      </w:r>
      <w:r w:rsidRPr="00121CA4">
        <w:t xml:space="preserve"> </w:t>
      </w:r>
      <w:r>
        <w:t>—</w:t>
      </w:r>
      <w:r w:rsidRPr="00121CA4">
        <w:t xml:space="preserve"> the government must produce it for the court’s examination.</w:t>
      </w:r>
      <w:r>
        <w:t xml:space="preserve"> T</w:t>
      </w:r>
      <w:r w:rsidRPr="00121CA4">
        <w:t xml:space="preserve">he reviewing court must </w:t>
      </w:r>
      <w:r>
        <w:t xml:space="preserve">then </w:t>
      </w:r>
      <w:r w:rsidRPr="00121CA4">
        <w:t>examine the document in private</w:t>
      </w:r>
      <w:r>
        <w:t xml:space="preserve"> </w:t>
      </w:r>
      <w:r w:rsidRPr="00121CA4">
        <w:t xml:space="preserve">to determine whether it, in fact, provides some evidence which tends to show that the government failed to meet one of the parts of the </w:t>
      </w:r>
      <w:r>
        <w:rPr>
          <w:i/>
        </w:rPr>
        <w:t xml:space="preserve">Bodner </w:t>
      </w:r>
      <w:r w:rsidRPr="00121CA4">
        <w:t xml:space="preserve">test. </w:t>
      </w:r>
      <w:r>
        <w:t>T</w:t>
      </w:r>
      <w:r w:rsidRPr="00121CA4">
        <w:t>he document must</w:t>
      </w:r>
      <w:r>
        <w:t xml:space="preserve"> be of as</w:t>
      </w:r>
      <w:r w:rsidRPr="00121CA4">
        <w:t xml:space="preserve">sistance in challenging the legitimacy of the government’s reasons, the reasonableness of the factual foundation it relied on, the respect </w:t>
      </w:r>
      <w:r>
        <w:t>it</w:t>
      </w:r>
      <w:r w:rsidRPr="00121CA4">
        <w:t xml:space="preserve"> has shown the commission process or whether the objectives of the process have been achieved</w:t>
      </w:r>
      <w:r w:rsidR="008424C0">
        <w:t>.</w:t>
      </w:r>
    </w:p>
    <w:p w14:paraId="1FF541E0" w14:textId="361996B1" w:rsidR="00385AE6" w:rsidRDefault="00385AE6" w:rsidP="002A5497">
      <w:pPr>
        <w:pStyle w:val="SCCNormalDoubleSpacing"/>
        <w:spacing w:after="480"/>
      </w:pPr>
      <w:r>
        <w:lastRenderedPageBreak/>
        <w:tab/>
      </w:r>
      <w:r w:rsidRPr="00121CA4">
        <w:t xml:space="preserve">Even if the document meets this test, </w:t>
      </w:r>
      <w:r>
        <w:t xml:space="preserve">its </w:t>
      </w:r>
      <w:r w:rsidRPr="00121CA4">
        <w:t>production remains subject to any other rule of evidence that bars its disclosure, such as public interest immunity</w:t>
      </w:r>
      <w:r>
        <w:t xml:space="preserve">. This doctrine </w:t>
      </w:r>
      <w:r w:rsidRPr="00121CA4">
        <w:t>prevents the disclosure of a document where the court is satisfied that the public interest in keeping the document confidential outweighs the public interest in its disclosure</w:t>
      </w:r>
      <w:r>
        <w:t xml:space="preserve">. </w:t>
      </w:r>
      <w:r w:rsidRPr="00121CA4">
        <w:t>Public interest immunity require</w:t>
      </w:r>
      <w:r>
        <w:t>s</w:t>
      </w:r>
      <w:r w:rsidRPr="00121CA4">
        <w:t xml:space="preserve"> a careful balancing of </w:t>
      </w:r>
      <w:r>
        <w:t>these</w:t>
      </w:r>
      <w:r w:rsidRPr="00121CA4">
        <w:t xml:space="preserve"> competing public interests</w:t>
      </w:r>
      <w:r>
        <w:t xml:space="preserve">, which </w:t>
      </w:r>
      <w:r w:rsidRPr="00121CA4">
        <w:t>must be weighed with reference to a specific document in the context of a particular proceeding.</w:t>
      </w:r>
      <w:r>
        <w:t xml:space="preserve"> T</w:t>
      </w:r>
      <w:r w:rsidRPr="00121CA4">
        <w:t>he government has the burden of establishing that a document should not be disclosed because of public interest immunity</w:t>
      </w:r>
      <w:r>
        <w:t>. In the case of confidential Cabinet documents, s</w:t>
      </w:r>
      <w:r w:rsidRPr="00A963B9">
        <w:t xml:space="preserve">ince there will be a strong public interest </w:t>
      </w:r>
      <w:r w:rsidRPr="00535E61">
        <w:t>in</w:t>
      </w:r>
      <w:r>
        <w:t xml:space="preserve"> </w:t>
      </w:r>
      <w:r w:rsidRPr="00A963B9">
        <w:t>keeping a document concerning Cabinet deliberations confidential, it must be outweighed by a still stronger public interest to warrant disclosure.</w:t>
      </w:r>
      <w:r>
        <w:t xml:space="preserve"> The main factors relevant to balancing the public interests in confidentiality and disclosure are </w:t>
      </w:r>
      <w:r w:rsidRPr="00121CA4">
        <w:t xml:space="preserve">identified in </w:t>
      </w:r>
      <w:r w:rsidRPr="00121CA4">
        <w:rPr>
          <w:i/>
        </w:rPr>
        <w:t>Carey v. Ontario</w:t>
      </w:r>
      <w:r w:rsidRPr="00121CA4">
        <w:t>, [1986] 2 S.C.R. 637</w:t>
      </w:r>
      <w:r>
        <w:t>: the level of the decision</w:t>
      </w:r>
      <w:r w:rsidR="002A5497">
        <w:noBreakHyphen/>
      </w:r>
      <w:r>
        <w:t>making process; the nature of the policy concerned; the contents of the documents; the timing of disclosure; the interests of the administration of justice; and whether the party seeking the production of the documents alleges unconscionable behaviour</w:t>
      </w:r>
      <w:r w:rsidR="008424C0">
        <w:t xml:space="preserve"> on the part of the government.</w:t>
      </w:r>
    </w:p>
    <w:p w14:paraId="1EECFD6D" w14:textId="188BDBB8" w:rsidR="00385AE6" w:rsidRDefault="00385AE6" w:rsidP="002A5497">
      <w:pPr>
        <w:pStyle w:val="SCCNormalDoubleSpacing"/>
        <w:spacing w:after="480"/>
      </w:pPr>
      <w:r>
        <w:tab/>
      </w:r>
      <w:r w:rsidRPr="00121CA4">
        <w:t xml:space="preserve">In </w:t>
      </w:r>
      <w:r>
        <w:t xml:space="preserve">the </w:t>
      </w:r>
      <w:r>
        <w:rPr>
          <w:i/>
        </w:rPr>
        <w:t>Bodner</w:t>
      </w:r>
      <w:r>
        <w:t xml:space="preserve"> review</w:t>
      </w:r>
      <w:r w:rsidRPr="00121CA4">
        <w:t xml:space="preserve"> context, </w:t>
      </w:r>
      <w:r>
        <w:t>various</w:t>
      </w:r>
      <w:r w:rsidRPr="00121CA4">
        <w:t xml:space="preserve"> factors will often weigh in favour of keeping </w:t>
      </w:r>
      <w:r>
        <w:t>a</w:t>
      </w:r>
      <w:r w:rsidRPr="00121CA4">
        <w:t xml:space="preserve"> document confidenti</w:t>
      </w:r>
      <w:r w:rsidR="002A5497">
        <w:t>al. </w:t>
      </w:r>
      <w:r>
        <w:t>T</w:t>
      </w:r>
      <w:r w:rsidRPr="00121CA4">
        <w:t>he Cabinet decision</w:t>
      </w:r>
      <w:r w:rsidR="002A5497">
        <w:noBreakHyphen/>
      </w:r>
      <w:r w:rsidRPr="00121CA4">
        <w:t xml:space="preserve">making process is </w:t>
      </w:r>
      <w:r>
        <w:t xml:space="preserve">among </w:t>
      </w:r>
      <w:r w:rsidRPr="00121CA4">
        <w:t>the highest level</w:t>
      </w:r>
      <w:r>
        <w:t>s</w:t>
      </w:r>
      <w:r w:rsidRPr="00121CA4">
        <w:t xml:space="preserve"> of decision</w:t>
      </w:r>
      <w:r>
        <w:t xml:space="preserve"> </w:t>
      </w:r>
      <w:r w:rsidRPr="00121CA4">
        <w:t>making within the executive</w:t>
      </w:r>
      <w:r>
        <w:t>. J</w:t>
      </w:r>
      <w:r w:rsidRPr="00121CA4">
        <w:t>udicial remuneration is an important and sensitive area of public policy.</w:t>
      </w:r>
      <w:r>
        <w:t xml:space="preserve"> T</w:t>
      </w:r>
      <w:r w:rsidRPr="00121CA4">
        <w:t>he contents of a document concerning Cabinet deliberations may well reflect the views of individual ministers of the Crown and reveal disagreement among ministers</w:t>
      </w:r>
      <w:r>
        <w:t>; a</w:t>
      </w:r>
      <w:r w:rsidRPr="00121CA4">
        <w:t xml:space="preserve">s a result, </w:t>
      </w:r>
      <w:r>
        <w:t>its</w:t>
      </w:r>
      <w:r w:rsidRPr="00121CA4">
        <w:t xml:space="preserve"> contents will frequently be </w:t>
      </w:r>
      <w:r w:rsidRPr="00121CA4">
        <w:lastRenderedPageBreak/>
        <w:t>highly sensitive</w:t>
      </w:r>
      <w:r>
        <w:t xml:space="preserve">. </w:t>
      </w:r>
      <w:r w:rsidRPr="00121CA4">
        <w:t>Depending on the contents of the document, the timing may also weigh in favour of keeping the document confidenti</w:t>
      </w:r>
      <w:r w:rsidR="008424C0">
        <w:t>al.</w:t>
      </w:r>
    </w:p>
    <w:p w14:paraId="04C30A47" w14:textId="5F5A33EC" w:rsidR="00385AE6" w:rsidRDefault="00385AE6" w:rsidP="002A5497">
      <w:pPr>
        <w:pStyle w:val="SCCNormalDoubleSpacing"/>
        <w:spacing w:after="480"/>
      </w:pPr>
      <w:r>
        <w:tab/>
        <w:t xml:space="preserve">The interests of the administration of justice </w:t>
      </w:r>
      <w:r w:rsidRPr="00121CA4">
        <w:t>encompass a broad set of considerations</w:t>
      </w:r>
      <w:r>
        <w:t xml:space="preserve">, including </w:t>
      </w:r>
      <w:r w:rsidRPr="00121CA4">
        <w:t>the importance of the case and the need or desirab</w:t>
      </w:r>
      <w:r>
        <w:t xml:space="preserve">ility of producing the document. In the </w:t>
      </w:r>
      <w:r>
        <w:rPr>
          <w:i/>
        </w:rPr>
        <w:t>Bodner</w:t>
      </w:r>
      <w:r>
        <w:t xml:space="preserve"> review context, t</w:t>
      </w:r>
      <w:r w:rsidRPr="00121CA4">
        <w:t xml:space="preserve">hese considerations cut both ways. Although </w:t>
      </w:r>
      <w:r>
        <w:t>such</w:t>
      </w:r>
      <w:r w:rsidRPr="00121CA4">
        <w:t xml:space="preserve"> reviews are of great importance, the fact that a party seeks production of a relevant confidential Cabinet document in </w:t>
      </w:r>
      <w:r>
        <w:t>this</w:t>
      </w:r>
      <w:r w:rsidRPr="00121CA4">
        <w:t xml:space="preserve"> context is not itself </w:t>
      </w:r>
      <w:r>
        <w:t>a general basis for disclosure. W</w:t>
      </w:r>
      <w:r w:rsidRPr="00121CA4">
        <w:t>hen considering the interests of the administration of justice, the focus must remain on the degree to which the document bears on what is at issue in the litigation.</w:t>
      </w:r>
      <w:r>
        <w:t xml:space="preserve"> If the </w:t>
      </w:r>
      <w:r w:rsidRPr="00121CA4">
        <w:t>document tends to establish that the government set out to provide misleading public reasons for its response to the commission’s recommendations</w:t>
      </w:r>
      <w:r>
        <w:t xml:space="preserve">, </w:t>
      </w:r>
      <w:r w:rsidRPr="00121CA4">
        <w:t>relied on a fundamentally flawed factual foundation</w:t>
      </w:r>
      <w:r>
        <w:t xml:space="preserve">, </w:t>
      </w:r>
      <w:r w:rsidRPr="00121CA4">
        <w:t xml:space="preserve">acted with an </w:t>
      </w:r>
      <w:r>
        <w:t>improper or colourable purpose,</w:t>
      </w:r>
      <w:r w:rsidRPr="00121CA4">
        <w:t xml:space="preserve"> or was indifferent or disrespectful towards the commission process</w:t>
      </w:r>
      <w:r>
        <w:t>, this</w:t>
      </w:r>
      <w:r w:rsidRPr="00121CA4">
        <w:t xml:space="preserve"> bears so directly </w:t>
      </w:r>
      <w:r>
        <w:t>—</w:t>
      </w:r>
      <w:r w:rsidRPr="00121CA4">
        <w:t xml:space="preserve"> and so determinately </w:t>
      </w:r>
      <w:r>
        <w:t>—</w:t>
      </w:r>
      <w:r w:rsidRPr="00121CA4">
        <w:t xml:space="preserve"> on the</w:t>
      </w:r>
      <w:r>
        <w:t xml:space="preserve"> outcome of the</w:t>
      </w:r>
      <w:r w:rsidRPr="00121CA4">
        <w:t xml:space="preserve"> </w:t>
      </w:r>
      <w:r w:rsidRPr="00121CA4">
        <w:rPr>
          <w:i/>
        </w:rPr>
        <w:t>Bodner</w:t>
      </w:r>
      <w:r w:rsidRPr="00121CA4">
        <w:t xml:space="preserve"> review that to exclude the document would be contrary to the interests of the administration of justice</w:t>
      </w:r>
      <w:r>
        <w:t xml:space="preserve">. </w:t>
      </w:r>
      <w:r w:rsidRPr="004F483F">
        <w:t xml:space="preserve">By contrast, </w:t>
      </w:r>
      <w:r>
        <w:t>if</w:t>
      </w:r>
      <w:r w:rsidRPr="004F483F">
        <w:t xml:space="preserve"> a Cabinet document</w:t>
      </w:r>
      <w:r>
        <w:t>’s</w:t>
      </w:r>
      <w:r w:rsidRPr="004F483F">
        <w:t xml:space="preserve"> impact on the </w:t>
      </w:r>
      <w:r w:rsidRPr="004F483F">
        <w:rPr>
          <w:i/>
        </w:rPr>
        <w:t>Bodner</w:t>
      </w:r>
      <w:r w:rsidRPr="004F483F">
        <w:t xml:space="preserve"> review would be limited</w:t>
      </w:r>
      <w:r>
        <w:t>, and if its e</w:t>
      </w:r>
      <w:r w:rsidRPr="004F483F">
        <w:t>xclusion from the record could hardly keep the reviewing court from adjudicating the issues on their merits</w:t>
      </w:r>
      <w:r>
        <w:t>, t</w:t>
      </w:r>
      <w:r w:rsidRPr="004F483F">
        <w:t>he probative value of such evidence might not weigh heavil</w:t>
      </w:r>
      <w:r w:rsidR="008424C0">
        <w:t>y enough to warrant disclosure.</w:t>
      </w:r>
    </w:p>
    <w:p w14:paraId="496E0ACD" w14:textId="7877E517" w:rsidR="00385AE6" w:rsidRDefault="00385AE6" w:rsidP="002A5497">
      <w:pPr>
        <w:pStyle w:val="SCCNormalDoubleSpacing"/>
        <w:spacing w:after="480"/>
      </w:pPr>
      <w:r>
        <w:tab/>
        <w:t>In the instant case,</w:t>
      </w:r>
      <w:r w:rsidRPr="00482F2F">
        <w:t xml:space="preserve"> the Association did not meet the threshold necessary to compel </w:t>
      </w:r>
      <w:r w:rsidRPr="00C30D08">
        <w:t xml:space="preserve">production of the Cabinet document for judicial inspection. The Association </w:t>
      </w:r>
      <w:r w:rsidRPr="00C30D08">
        <w:lastRenderedPageBreak/>
        <w:t xml:space="preserve">failed to provide any evidence or point to any circumstances that suggest that the Cabinet submission may indicate that the government did not meet the standard required by </w:t>
      </w:r>
      <w:r w:rsidRPr="00C30D08">
        <w:rPr>
          <w:i/>
        </w:rPr>
        <w:t>Bodner</w:t>
      </w:r>
      <w:r w:rsidRPr="00C30D08">
        <w:t xml:space="preserve">. </w:t>
      </w:r>
      <w:r>
        <w:t>There is nothing</w:t>
      </w:r>
      <w:r w:rsidRPr="00121CA4">
        <w:t xml:space="preserve"> on the face of the record that indicates the Cabinet submission may contain some evidence which tends to show that the government failed to meet a constitutional requirement.</w:t>
      </w:r>
      <w:r>
        <w:t xml:space="preserve"> Furthermore, it is not sufficient to point to prior litigation in which the government relied on an inappropriate consideration</w:t>
      </w:r>
      <w:r w:rsidR="00745F78">
        <w:t xml:space="preserve"> </w:t>
      </w:r>
      <w:r>
        <w:t xml:space="preserve">— as revealed in a past Cabinet submission produced as part of the record — in order to make the Cabinet submission in the present case relevant. </w:t>
      </w:r>
      <w:r w:rsidRPr="00C954DD">
        <w:t xml:space="preserve">Something more would be required for there to be reason to believe that the submission may contain evidence that would tend to show that the government failed to meet a requirement described in </w:t>
      </w:r>
      <w:r w:rsidRPr="00C954DD">
        <w:rPr>
          <w:i/>
        </w:rPr>
        <w:t>Bodner</w:t>
      </w:r>
      <w:r w:rsidRPr="00C954DD">
        <w:t>.</w:t>
      </w:r>
    </w:p>
    <w:p w14:paraId="4AB2F285" w14:textId="400BFDEA" w:rsidR="008322BD" w:rsidRPr="00583EDE" w:rsidRDefault="00385AE6" w:rsidP="002A5497">
      <w:pPr>
        <w:pStyle w:val="SCCNormalDoubleSpacing"/>
        <w:spacing w:after="480"/>
      </w:pPr>
      <w:r>
        <w:tab/>
        <w:t>Since t</w:t>
      </w:r>
      <w:r w:rsidRPr="00C954DD">
        <w:t xml:space="preserve">he Association has failed to make </w:t>
      </w:r>
      <w:r>
        <w:t xml:space="preserve">the requisite threshold showing, the </w:t>
      </w:r>
      <w:r w:rsidRPr="00F71ED9">
        <w:t xml:space="preserve">Attorney General </w:t>
      </w:r>
      <w:r>
        <w:t>need not</w:t>
      </w:r>
      <w:r w:rsidRPr="00F71ED9">
        <w:t xml:space="preserve"> produce the document for examination</w:t>
      </w:r>
      <w:r>
        <w:t xml:space="preserve"> by </w:t>
      </w:r>
      <w:r w:rsidRPr="009466E7">
        <w:t>the Court</w:t>
      </w:r>
      <w:r w:rsidRPr="00F71ED9">
        <w:t>.</w:t>
      </w:r>
      <w:r>
        <w:t xml:space="preserve"> It is unnecessary to determine whether </w:t>
      </w:r>
      <w:r w:rsidRPr="00121CA4">
        <w:t xml:space="preserve">any </w:t>
      </w:r>
      <w:r>
        <w:t xml:space="preserve">other </w:t>
      </w:r>
      <w:r w:rsidRPr="00121CA4">
        <w:t>rule of evidence</w:t>
      </w:r>
      <w:r>
        <w:t>, such as public interest immunity, would apply so as to permit the Attorney General to refuse to produce the Cabinet submission.</w:t>
      </w:r>
    </w:p>
    <w:p w14:paraId="3E6EDF67" w14:textId="77777777" w:rsidR="007E1C47" w:rsidRDefault="002E6705" w:rsidP="002A5497">
      <w:pPr>
        <w:pStyle w:val="SCCNormalDoubleSpacing"/>
        <w:spacing w:after="720" w:line="240" w:lineRule="auto"/>
        <w:rPr>
          <w:b/>
        </w:rPr>
      </w:pPr>
      <w:r w:rsidRPr="00314E01">
        <w:rPr>
          <w:b/>
        </w:rPr>
        <w:t>Cases Cited</w:t>
      </w:r>
    </w:p>
    <w:p w14:paraId="74F5A453" w14:textId="77BDB2D0" w:rsidR="00A149DF" w:rsidRDefault="002E6705" w:rsidP="002A5497">
      <w:pPr>
        <w:pStyle w:val="SCCNormalDoubleSpacing"/>
        <w:spacing w:after="480"/>
        <w:rPr>
          <w:lang w:val="en-US"/>
        </w:rPr>
      </w:pPr>
      <w:r>
        <w:tab/>
      </w:r>
      <w:r w:rsidR="0074547C" w:rsidRPr="0074547C">
        <w:rPr>
          <w:b/>
        </w:rPr>
        <w:t>Explained:</w:t>
      </w:r>
      <w:r w:rsidR="0074547C">
        <w:rPr>
          <w:b/>
        </w:rPr>
        <w:t xml:space="preserve"> </w:t>
      </w:r>
      <w:r w:rsidR="0074547C" w:rsidRPr="00A0779E">
        <w:rPr>
          <w:i/>
        </w:rPr>
        <w:t>Provincial Court Judges’ Assn. of New Brunswick v. New Brunswick (Minister of Justice)</w:t>
      </w:r>
      <w:r w:rsidR="0074547C">
        <w:t>;</w:t>
      </w:r>
      <w:r w:rsidR="0074547C" w:rsidRPr="00A0779E">
        <w:t xml:space="preserve"> </w:t>
      </w:r>
      <w:r w:rsidR="0074547C" w:rsidRPr="00A0779E">
        <w:rPr>
          <w:i/>
        </w:rPr>
        <w:t>Ontario Judges’ Assn. v. Ontario (Management Board); Bodner v. Alberta; Conférence des juges du Québec v. Quebec (Attorney General); Minc v. Quebec (Attorney General)</w:t>
      </w:r>
      <w:r w:rsidR="0074547C" w:rsidRPr="00A0779E">
        <w:t xml:space="preserve">, 2005 SCC 44, [2005] 2 S.C.R. 286; </w:t>
      </w:r>
      <w:r w:rsidR="0074547C" w:rsidRPr="00A0779E">
        <w:rPr>
          <w:i/>
        </w:rPr>
        <w:lastRenderedPageBreak/>
        <w:t>Reference re Remuneration of Judges of the Provincial Court of Prince Edward Island</w:t>
      </w:r>
      <w:r w:rsidR="0074547C" w:rsidRPr="00A0779E">
        <w:t xml:space="preserve">, [1997] 3 S.C.R. 3; </w:t>
      </w:r>
      <w:r w:rsidR="0074547C" w:rsidRPr="00A0779E">
        <w:rPr>
          <w:i/>
        </w:rPr>
        <w:t>Carey v. Ontario</w:t>
      </w:r>
      <w:r w:rsidR="0074547C" w:rsidRPr="00A0779E">
        <w:t xml:space="preserve">, [1986] 2 S.C.R. 637; </w:t>
      </w:r>
      <w:r w:rsidR="0074547C" w:rsidRPr="0074547C">
        <w:rPr>
          <w:b/>
        </w:rPr>
        <w:t>r</w:t>
      </w:r>
      <w:r w:rsidRPr="00314E01">
        <w:rPr>
          <w:b/>
        </w:rPr>
        <w:t>eferred to:</w:t>
      </w:r>
      <w:r w:rsidR="00BD0E9E" w:rsidRPr="00BD0E9E">
        <w:t xml:space="preserve"> </w:t>
      </w:r>
      <w:r w:rsidR="004C6007" w:rsidRPr="00A0779E">
        <w:rPr>
          <w:i/>
        </w:rPr>
        <w:t xml:space="preserve">Nova Scotia (Attorney General) v. </w:t>
      </w:r>
      <w:r w:rsidR="006152FC" w:rsidRPr="00A0779E">
        <w:rPr>
          <w:i/>
        </w:rPr>
        <w:t>Judges of the Provincial Court and Family Court of Nova Scotia</w:t>
      </w:r>
      <w:r w:rsidR="004C6007" w:rsidRPr="00A0779E">
        <w:t xml:space="preserve">, 2020 SCC </w:t>
      </w:r>
      <w:r w:rsidR="00FF1A1F" w:rsidRPr="00A0779E">
        <w:t>21</w:t>
      </w:r>
      <w:r w:rsidR="005A5028">
        <w:t>, [2020</w:t>
      </w:r>
      <w:r w:rsidR="005A5028" w:rsidRPr="00A0779E">
        <w:t>]</w:t>
      </w:r>
      <w:r w:rsidR="005A5028">
        <w:t xml:space="preserve"> </w:t>
      </w:r>
      <w:r w:rsidR="002F1D65">
        <w:t>2</w:t>
      </w:r>
      <w:r w:rsidR="005A5028">
        <w:t xml:space="preserve"> S.C.R. </w:t>
      </w:r>
      <w:r w:rsidR="001D0477">
        <w:t>556</w:t>
      </w:r>
      <w:r w:rsidR="00904D8D" w:rsidRPr="00A0779E">
        <w:t>;</w:t>
      </w:r>
      <w:r w:rsidR="004C6007" w:rsidRPr="00A0779E">
        <w:t xml:space="preserve"> </w:t>
      </w:r>
      <w:r w:rsidR="00A64DC7" w:rsidRPr="00A0779E">
        <w:rPr>
          <w:i/>
        </w:rPr>
        <w:t>Stonechild, Re</w:t>
      </w:r>
      <w:r w:rsidR="007826A8" w:rsidRPr="00A0779E">
        <w:t>, 2007 SKCA 74</w:t>
      </w:r>
      <w:r w:rsidR="00476B00" w:rsidRPr="00A0779E">
        <w:t xml:space="preserve">, </w:t>
      </w:r>
      <w:r w:rsidR="00476B00" w:rsidRPr="00A0779E">
        <w:rPr>
          <w:lang w:val="en-US"/>
        </w:rPr>
        <w:t>304 Sask</w:t>
      </w:r>
      <w:r w:rsidR="008424C0">
        <w:rPr>
          <w:lang w:val="en-US"/>
        </w:rPr>
        <w:t>.</w:t>
      </w:r>
      <w:r w:rsidR="00476B00" w:rsidRPr="00A0779E">
        <w:rPr>
          <w:lang w:val="en-US"/>
        </w:rPr>
        <w:t xml:space="preserve"> R. 1</w:t>
      </w:r>
      <w:r w:rsidR="007826A8" w:rsidRPr="00A0779E">
        <w:t xml:space="preserve">; </w:t>
      </w:r>
      <w:r w:rsidR="00AF3BA2" w:rsidRPr="00A0779E">
        <w:rPr>
          <w:i/>
        </w:rPr>
        <w:t>Beauregard v. Canada</w:t>
      </w:r>
      <w:r w:rsidR="00AF3BA2" w:rsidRPr="00A0779E">
        <w:t xml:space="preserve">, [1986] 2 S.C.R. 56; </w:t>
      </w:r>
      <w:r w:rsidR="00AF3BA2" w:rsidRPr="00A0779E">
        <w:rPr>
          <w:i/>
        </w:rPr>
        <w:t xml:space="preserve">Reference re Supreme Court Act, </w:t>
      </w:r>
      <w:r w:rsidR="002A5497">
        <w:rPr>
          <w:i/>
        </w:rPr>
        <w:t>ss. </w:t>
      </w:r>
      <w:r w:rsidR="00AF3BA2" w:rsidRPr="00A0779E">
        <w:rPr>
          <w:i/>
        </w:rPr>
        <w:t>5 and 6</w:t>
      </w:r>
      <w:r w:rsidR="00AF3BA2" w:rsidRPr="00A0779E">
        <w:t xml:space="preserve">, 2014 SCC 21, [2014] 1 S.C.R. 433; </w:t>
      </w:r>
      <w:r w:rsidR="00AF3BA2" w:rsidRPr="00A0779E">
        <w:rPr>
          <w:i/>
          <w:lang w:val="en-US"/>
        </w:rPr>
        <w:t>Conférence des juges de paix magistrats du Québec v. Quebec (Attorney General)</w:t>
      </w:r>
      <w:r w:rsidR="00AF3BA2" w:rsidRPr="00A0779E">
        <w:rPr>
          <w:lang w:val="en-US"/>
        </w:rPr>
        <w:t xml:space="preserve">, 2016 SCC 39, [2016] 2 S.C.R. 116; </w:t>
      </w:r>
      <w:r w:rsidR="00AF3BA2" w:rsidRPr="00A0779E">
        <w:rPr>
          <w:i/>
          <w:lang w:val="en-US"/>
        </w:rPr>
        <w:t>Ell v. Alberta</w:t>
      </w:r>
      <w:r w:rsidR="00AF3BA2" w:rsidRPr="00A0779E">
        <w:rPr>
          <w:lang w:val="en-US"/>
        </w:rPr>
        <w:t>, 2003 SCC 35, [2003] 1 S.C.R. 857;</w:t>
      </w:r>
      <w:r w:rsidR="00814577" w:rsidRPr="00A0779E">
        <w:rPr>
          <w:lang w:val="en-US"/>
        </w:rPr>
        <w:t xml:space="preserve"> </w:t>
      </w:r>
      <w:r w:rsidR="00814577" w:rsidRPr="00A0779E">
        <w:rPr>
          <w:i/>
        </w:rPr>
        <w:t xml:space="preserve">Mackin v. New </w:t>
      </w:r>
      <w:r w:rsidR="00E45F75" w:rsidRPr="00A0779E">
        <w:rPr>
          <w:i/>
        </w:rPr>
        <w:t>Brunswick (Minister of Finance)</w:t>
      </w:r>
      <w:r w:rsidR="00814577" w:rsidRPr="00A0779E">
        <w:t xml:space="preserve">, 2002 SCC 13, </w:t>
      </w:r>
      <w:r w:rsidR="00814577" w:rsidRPr="00A0779E">
        <w:rPr>
          <w:lang w:val="en-US"/>
        </w:rPr>
        <w:t xml:space="preserve">[2002] 1 S.C.R. 405; </w:t>
      </w:r>
      <w:r w:rsidR="001A64FC" w:rsidRPr="00A0779E">
        <w:rPr>
          <w:i/>
        </w:rPr>
        <w:t>Reference re Canada Assistance Plan (B.C.)</w:t>
      </w:r>
      <w:r w:rsidR="001A64FC" w:rsidRPr="00A0779E">
        <w:t xml:space="preserve">, [1991] 2 S.C.R. 525; </w:t>
      </w:r>
      <w:r w:rsidR="001A64FC" w:rsidRPr="00A0779E">
        <w:rPr>
          <w:i/>
        </w:rPr>
        <w:t>Wells v. Newfoundland</w:t>
      </w:r>
      <w:r w:rsidR="001A64FC" w:rsidRPr="00A0779E">
        <w:t xml:space="preserve">, [1999] 3 S.C.R. 199; </w:t>
      </w:r>
      <w:r w:rsidR="002D6F96" w:rsidRPr="00A0779E">
        <w:rPr>
          <w:i/>
          <w:lang w:val="en-US"/>
        </w:rPr>
        <w:t>Delios v. Canada (Attorney General)</w:t>
      </w:r>
      <w:r w:rsidR="002D6F96" w:rsidRPr="00A0779E">
        <w:rPr>
          <w:lang w:val="en-US"/>
        </w:rPr>
        <w:t xml:space="preserve">, 2015 FCA 117, </w:t>
      </w:r>
      <w:r w:rsidR="00106990" w:rsidRPr="00A0779E">
        <w:rPr>
          <w:lang w:val="en-US"/>
        </w:rPr>
        <w:t xml:space="preserve">100 </w:t>
      </w:r>
      <w:r w:rsidR="006046D5">
        <w:rPr>
          <w:lang w:val="en-US"/>
        </w:rPr>
        <w:t>Admin. L.R.</w:t>
      </w:r>
      <w:r w:rsidR="00106990" w:rsidRPr="00A0779E">
        <w:rPr>
          <w:lang w:val="en-US"/>
        </w:rPr>
        <w:t xml:space="preserve"> (5th) 301</w:t>
      </w:r>
      <w:r w:rsidR="002D6F96" w:rsidRPr="00A0779E">
        <w:rPr>
          <w:lang w:val="en-US"/>
        </w:rPr>
        <w:t xml:space="preserve">; </w:t>
      </w:r>
      <w:r w:rsidR="002D6F96" w:rsidRPr="00A0779E">
        <w:rPr>
          <w:i/>
          <w:lang w:val="en-US"/>
        </w:rPr>
        <w:t>Sobeys West Inc. v. College of Pharmacists of British Columbia</w:t>
      </w:r>
      <w:r w:rsidR="002D6F96" w:rsidRPr="00A0779E">
        <w:rPr>
          <w:lang w:val="en-US"/>
        </w:rPr>
        <w:t>, 2016 BCCA 41, 80 B.C.L.R. (5th) 243;</w:t>
      </w:r>
      <w:r w:rsidR="001B55F1" w:rsidRPr="00A0779E">
        <w:rPr>
          <w:lang w:val="en-US"/>
        </w:rPr>
        <w:t xml:space="preserve"> </w:t>
      </w:r>
      <w:r w:rsidR="00A64DC7" w:rsidRPr="00A0779E">
        <w:rPr>
          <w:i/>
        </w:rPr>
        <w:t>R. v. White</w:t>
      </w:r>
      <w:r w:rsidR="00A64DC7" w:rsidRPr="00A0779E">
        <w:t xml:space="preserve">, 2011 SCC 13, [2011] 1 S.C.R. 433; </w:t>
      </w:r>
      <w:r w:rsidR="00AE4BCC" w:rsidRPr="00A0779E">
        <w:rPr>
          <w:i/>
        </w:rPr>
        <w:t>Lax Kw’alaams Indian Band v. Canada (Attorney General)</w:t>
      </w:r>
      <w:r w:rsidR="00AE4BCC" w:rsidRPr="00A0779E">
        <w:t xml:space="preserve">, 2011 SCC 56, [2011] 3 S.C.R. 535; </w:t>
      </w:r>
      <w:r w:rsidR="001B55F1" w:rsidRPr="00A0779E">
        <w:rPr>
          <w:i/>
        </w:rPr>
        <w:t>Prov</w:t>
      </w:r>
      <w:r w:rsidR="00CC7869">
        <w:rPr>
          <w:i/>
        </w:rPr>
        <w:t>incial Court Judges’ Assn</w:t>
      </w:r>
      <w:r w:rsidR="005A5028">
        <w:rPr>
          <w:i/>
        </w:rPr>
        <w:t>.</w:t>
      </w:r>
      <w:r w:rsidR="001B55F1" w:rsidRPr="00A0779E">
        <w:rPr>
          <w:i/>
        </w:rPr>
        <w:t xml:space="preserve"> of British Columbia v. British Columbia (Attorney General)</w:t>
      </w:r>
      <w:r w:rsidR="001B55F1" w:rsidRPr="00A0779E">
        <w:t>, 2012 BCSC 1022</w:t>
      </w:r>
      <w:r w:rsidR="00CC7869">
        <w:t xml:space="preserve">, 39 </w:t>
      </w:r>
      <w:r w:rsidR="006046D5">
        <w:t>Admin. L.R.</w:t>
      </w:r>
      <w:r w:rsidR="00CC7869">
        <w:t xml:space="preserve"> (5</w:t>
      </w:r>
      <w:r w:rsidR="00CC7869" w:rsidRPr="00CC7869">
        <w:t>th</w:t>
      </w:r>
      <w:r w:rsidR="00CC7869">
        <w:t>) 130</w:t>
      </w:r>
      <w:r w:rsidR="001B55F1" w:rsidRPr="00A0779E">
        <w:t xml:space="preserve">; </w:t>
      </w:r>
      <w:r w:rsidR="001B55F1" w:rsidRPr="00A0779E">
        <w:rPr>
          <w:i/>
        </w:rPr>
        <w:t>Canada (Auditor General) v. Canada (Minister of Energy, Mines and Resources)</w:t>
      </w:r>
      <w:r w:rsidR="001B55F1" w:rsidRPr="00A0779E">
        <w:t xml:space="preserve">, [1989] 2 S.C.R. 49; </w:t>
      </w:r>
      <w:r w:rsidR="001B55F1" w:rsidRPr="00A0779E">
        <w:rPr>
          <w:i/>
        </w:rPr>
        <w:t>Fraser v. Public Service Staff Relations Board</w:t>
      </w:r>
      <w:r w:rsidR="001B55F1" w:rsidRPr="00A0779E">
        <w:t xml:space="preserve">, [1985] 2 S.C.R. 455; </w:t>
      </w:r>
      <w:r w:rsidR="001A5A6B" w:rsidRPr="00A0779E">
        <w:rPr>
          <w:i/>
        </w:rPr>
        <w:t>New Brunswick Broadcasting Co. v. Nova Scotia (Speaker of the House of Assembly)</w:t>
      </w:r>
      <w:r w:rsidR="001A5A6B" w:rsidRPr="00A0779E">
        <w:t xml:space="preserve">, [1993] 1 S.C.R. 319; </w:t>
      </w:r>
      <w:r w:rsidR="001A5A6B" w:rsidRPr="00A0779E">
        <w:rPr>
          <w:i/>
        </w:rPr>
        <w:t>Doucet</w:t>
      </w:r>
      <w:r w:rsidR="002A5497">
        <w:rPr>
          <w:i/>
        </w:rPr>
        <w:noBreakHyphen/>
      </w:r>
      <w:r w:rsidR="001A5A6B" w:rsidRPr="00A0779E">
        <w:rPr>
          <w:i/>
        </w:rPr>
        <w:t>Boudreau v. Nova Scotia (Minister of Education)</w:t>
      </w:r>
      <w:r w:rsidR="001A5A6B" w:rsidRPr="00A0779E">
        <w:t xml:space="preserve">, 2003 SCC 62, [2003] 3 S.C.R. 3; </w:t>
      </w:r>
      <w:r w:rsidR="001A5A6B" w:rsidRPr="00A0779E">
        <w:rPr>
          <w:i/>
        </w:rPr>
        <w:t>Ontario v. Criminal Lawyers’ Association of Ontario</w:t>
      </w:r>
      <w:r w:rsidR="001A5A6B" w:rsidRPr="00A0779E">
        <w:t>, 2013 SCC 43, [2013] 3 S.C.R. 3;</w:t>
      </w:r>
      <w:r w:rsidR="00EA2958" w:rsidRPr="00A0779E">
        <w:t xml:space="preserve"> </w:t>
      </w:r>
      <w:r w:rsidR="00EA2958" w:rsidRPr="00A0779E">
        <w:rPr>
          <w:i/>
        </w:rPr>
        <w:t>MacKeigan v. Hickman</w:t>
      </w:r>
      <w:r w:rsidR="00EA2958" w:rsidRPr="00A0779E">
        <w:t xml:space="preserve">, [1989] 2 S.C.R. 796; </w:t>
      </w:r>
      <w:r w:rsidR="00EA2958" w:rsidRPr="00A0779E">
        <w:rPr>
          <w:i/>
        </w:rPr>
        <w:t>Canada (House of Commons) v. Vaid</w:t>
      </w:r>
      <w:r w:rsidR="00EA2958" w:rsidRPr="00A0779E">
        <w:t xml:space="preserve">, 2005 SCC 30, [2005] 1 S.C.R. 667; </w:t>
      </w:r>
      <w:r w:rsidR="00682898" w:rsidRPr="00A0779E">
        <w:rPr>
          <w:i/>
        </w:rPr>
        <w:t xml:space="preserve">Chagnon v. Syndicat de la fonction publique et parapublique du </w:t>
      </w:r>
      <w:r w:rsidR="00682898" w:rsidRPr="00A0779E">
        <w:rPr>
          <w:i/>
        </w:rPr>
        <w:lastRenderedPageBreak/>
        <w:t>Québec</w:t>
      </w:r>
      <w:r w:rsidR="00682898" w:rsidRPr="00A0779E">
        <w:t xml:space="preserve">, </w:t>
      </w:r>
      <w:r w:rsidR="00682898" w:rsidRPr="00A0779E">
        <w:rPr>
          <w:lang w:val="en-US"/>
        </w:rPr>
        <w:t xml:space="preserve">2018 SCC 39, [2018] 2 S.C.R. 687; </w:t>
      </w:r>
      <w:r w:rsidR="00682898" w:rsidRPr="00A0779E">
        <w:rPr>
          <w:i/>
        </w:rPr>
        <w:t>Reference re Resolution to Amend the Constitution</w:t>
      </w:r>
      <w:r w:rsidR="00682898" w:rsidRPr="00A0779E">
        <w:t xml:space="preserve">, [1981] 1 S.C.R. 753; </w:t>
      </w:r>
      <w:r w:rsidR="00682898" w:rsidRPr="00A0779E">
        <w:rPr>
          <w:i/>
        </w:rPr>
        <w:t>Reference re Secession of Quebec</w:t>
      </w:r>
      <w:r w:rsidR="00682898" w:rsidRPr="00A0779E">
        <w:t xml:space="preserve">, [1998] 2 S.C.R. 217; </w:t>
      </w:r>
      <w:r w:rsidR="00682898" w:rsidRPr="00A0779E">
        <w:rPr>
          <w:i/>
        </w:rPr>
        <w:t>Babcock v. Canada (Attorney General)</w:t>
      </w:r>
      <w:r w:rsidR="00682898" w:rsidRPr="00A0779E">
        <w:t>, 2002 SCC 57, [2002] 3 S.C.R. 3;</w:t>
      </w:r>
      <w:r w:rsidR="00FB055A" w:rsidRPr="00A0779E">
        <w:t xml:space="preserve"> </w:t>
      </w:r>
      <w:r w:rsidR="00836B65" w:rsidRPr="00A0779E">
        <w:rPr>
          <w:i/>
        </w:rPr>
        <w:t>Reference re Remuneration of Judges of the Provincial Court of Prince Edward Island</w:t>
      </w:r>
      <w:r w:rsidR="00836B65" w:rsidRPr="00A0779E">
        <w:t xml:space="preserve">, [1998] 1 S.C.R. 3; </w:t>
      </w:r>
      <w:r w:rsidR="00FB055A" w:rsidRPr="00A0779E">
        <w:rPr>
          <w:i/>
        </w:rPr>
        <w:t xml:space="preserve">Quebec (Commission des droits de la personne) v. </w:t>
      </w:r>
      <w:r w:rsidR="00A64DC7" w:rsidRPr="00A0779E">
        <w:rPr>
          <w:i/>
        </w:rPr>
        <w:t>Attorney General of Canada</w:t>
      </w:r>
      <w:r w:rsidR="00FB055A" w:rsidRPr="00A0779E">
        <w:t>, [1982] 1 S.C.R. 215;</w:t>
      </w:r>
      <w:r w:rsidR="00BB0ADC" w:rsidRPr="00A0779E">
        <w:t xml:space="preserve"> </w:t>
      </w:r>
      <w:r w:rsidR="00BB0ADC" w:rsidRPr="00A0779E">
        <w:rPr>
          <w:i/>
        </w:rPr>
        <w:t>R. v. D.L.W.</w:t>
      </w:r>
      <w:r w:rsidR="00BB0ADC" w:rsidRPr="00A0779E">
        <w:t>, 2016 SCC 22, [2016] 1 S.C.R. 402;</w:t>
      </w:r>
      <w:r w:rsidR="00FB055A" w:rsidRPr="00A0779E">
        <w:t xml:space="preserve"> </w:t>
      </w:r>
      <w:r w:rsidR="00FB055A" w:rsidRPr="00A0779E">
        <w:rPr>
          <w:i/>
        </w:rPr>
        <w:t>R. v. Ahmad</w:t>
      </w:r>
      <w:r w:rsidR="00FB055A" w:rsidRPr="00A0779E">
        <w:t>, 2011 SCC 6, [2011] 1 S.C.R. 110;</w:t>
      </w:r>
      <w:r w:rsidR="00287C73" w:rsidRPr="00A0779E">
        <w:t xml:space="preserve"> </w:t>
      </w:r>
      <w:r w:rsidR="00287C73" w:rsidRPr="00A0779E">
        <w:rPr>
          <w:i/>
        </w:rPr>
        <w:t>Smallwood v. Sparling</w:t>
      </w:r>
      <w:r w:rsidR="00287C73" w:rsidRPr="00A0779E">
        <w:t xml:space="preserve">, [1982] 2 S.C.R. 686; </w:t>
      </w:r>
      <w:r w:rsidR="00287C73" w:rsidRPr="00A0779E">
        <w:rPr>
          <w:i/>
          <w:lang w:val="en-US"/>
        </w:rPr>
        <w:t>Bisaillon v. Keable</w:t>
      </w:r>
      <w:r w:rsidR="00287C73" w:rsidRPr="00A0779E">
        <w:rPr>
          <w:lang w:val="en-US"/>
        </w:rPr>
        <w:t xml:space="preserve">, [1983] 2 S.C.R. 60; </w:t>
      </w:r>
      <w:r w:rsidR="00287C73" w:rsidRPr="00A0779E">
        <w:rPr>
          <w:i/>
          <w:szCs w:val="24"/>
          <w:lang w:val="en-US"/>
        </w:rPr>
        <w:t>Ainsworth Lumber Co. v. Canada (Attorney General)</w:t>
      </w:r>
      <w:r w:rsidR="00287C73" w:rsidRPr="00A0779E">
        <w:rPr>
          <w:szCs w:val="24"/>
          <w:lang w:val="en-US"/>
        </w:rPr>
        <w:t xml:space="preserve">, 2003 BCCA 239, 14 B.C.L.R. (4th) 302; </w:t>
      </w:r>
      <w:r w:rsidR="00287C73" w:rsidRPr="00A0779E">
        <w:rPr>
          <w:i/>
          <w:szCs w:val="24"/>
          <w:lang w:val="en-US"/>
        </w:rPr>
        <w:t>Telezone Inc. v. Canada (Attorney General)</w:t>
      </w:r>
      <w:r w:rsidR="00287C73" w:rsidRPr="00A0779E">
        <w:rPr>
          <w:szCs w:val="24"/>
          <w:lang w:val="en-US"/>
        </w:rPr>
        <w:t xml:space="preserve"> (2004), 69 O.R. (3d) 161; </w:t>
      </w:r>
      <w:r w:rsidR="00287C73" w:rsidRPr="00A0779E">
        <w:rPr>
          <w:i/>
        </w:rPr>
        <w:t>Michaud v. Quebec (Attorney General)</w:t>
      </w:r>
      <w:r w:rsidR="00287C73" w:rsidRPr="00A0779E">
        <w:t xml:space="preserve">, [1996] 3 S.C.R. 3; </w:t>
      </w:r>
      <w:r w:rsidR="00844602" w:rsidRPr="00A0779E">
        <w:rPr>
          <w:i/>
        </w:rPr>
        <w:t>R. v. Barros</w:t>
      </w:r>
      <w:r w:rsidR="00844602" w:rsidRPr="00A0779E">
        <w:t xml:space="preserve">, 2011 SCC 51, [2011] 3 S.C.R. 368; </w:t>
      </w:r>
      <w:r w:rsidR="00844602" w:rsidRPr="00A0779E">
        <w:rPr>
          <w:i/>
          <w:lang w:val="en-US"/>
        </w:rPr>
        <w:t>Somerville v. Scottish Ministers</w:t>
      </w:r>
      <w:r w:rsidR="00844602" w:rsidRPr="00A0779E">
        <w:rPr>
          <w:lang w:val="en-US"/>
        </w:rPr>
        <w:t xml:space="preserve">, [2007] UKHL 44, [2007] 1 W.L.R. 2734; </w:t>
      </w:r>
      <w:r w:rsidR="00844602" w:rsidRPr="00A0779E">
        <w:rPr>
          <w:i/>
          <w:lang w:val="en-US"/>
        </w:rPr>
        <w:t>Al Rawi v. Security Service</w:t>
      </w:r>
      <w:r w:rsidR="00844602" w:rsidRPr="00A0779E">
        <w:rPr>
          <w:lang w:val="en-US"/>
        </w:rPr>
        <w:t xml:space="preserve">, [2011] UKSC 34, [2012] 1 A.C. 531; </w:t>
      </w:r>
      <w:r w:rsidR="00844602" w:rsidRPr="00A0779E">
        <w:rPr>
          <w:i/>
        </w:rPr>
        <w:t>Conway v. Rimmer</w:t>
      </w:r>
      <w:r w:rsidR="00844602" w:rsidRPr="00A0779E">
        <w:t>, [1968] A.C. 910;</w:t>
      </w:r>
      <w:r w:rsidR="00E25276" w:rsidRPr="00A0779E">
        <w:t xml:space="preserve"> </w:t>
      </w:r>
      <w:r w:rsidR="00E25276" w:rsidRPr="00A0779E">
        <w:rPr>
          <w:i/>
        </w:rPr>
        <w:t xml:space="preserve">Nova Scotia Provincial Judges’ </w:t>
      </w:r>
      <w:r w:rsidR="00587C57" w:rsidRPr="00A0779E">
        <w:rPr>
          <w:i/>
        </w:rPr>
        <w:t>Association</w:t>
      </w:r>
      <w:r w:rsidR="00E25276" w:rsidRPr="00A0779E">
        <w:rPr>
          <w:i/>
        </w:rPr>
        <w:t xml:space="preserve"> v. Nova Scotia (Attorney General)</w:t>
      </w:r>
      <w:r w:rsidR="00E25276" w:rsidRPr="00A0779E">
        <w:t xml:space="preserve">, 2018 NSSC 13, </w:t>
      </w:r>
      <w:r w:rsidR="00B367E8" w:rsidRPr="00A0779E">
        <w:t>409 C.R.R. (2d) 117</w:t>
      </w:r>
      <w:r w:rsidR="00E25276" w:rsidRPr="00A0779E">
        <w:t xml:space="preserve">; </w:t>
      </w:r>
      <w:r w:rsidR="00E25276" w:rsidRPr="00A0779E">
        <w:rPr>
          <w:i/>
        </w:rPr>
        <w:t>Nova Scotia (Attorney General) v. Judges of the Provincial Court and Family Court of Nova Scotia</w:t>
      </w:r>
      <w:r w:rsidR="00454853" w:rsidRPr="00A0779E">
        <w:t>,</w:t>
      </w:r>
      <w:r w:rsidR="00E25276" w:rsidRPr="00A0779E">
        <w:t xml:space="preserve"> 2018 NSCA 83, 429 D.L.R. (4th) 359; </w:t>
      </w:r>
      <w:r w:rsidR="00B22768" w:rsidRPr="00A0779E">
        <w:rPr>
          <w:i/>
        </w:rPr>
        <w:t>Newfoundland (Treasury Board) v. N.A.P.E.</w:t>
      </w:r>
      <w:r w:rsidR="00B22768" w:rsidRPr="00A0779E">
        <w:t>, 2004 SCC 66, [2004] 3 S.C.R. 381;</w:t>
      </w:r>
      <w:r w:rsidR="00E30248" w:rsidRPr="00A0779E">
        <w:t xml:space="preserve"> </w:t>
      </w:r>
      <w:r w:rsidR="00D47B93" w:rsidRPr="00A0779E">
        <w:rPr>
          <w:i/>
        </w:rPr>
        <w:t>Commonwealth v. Northern Land Council</w:t>
      </w:r>
      <w:r w:rsidR="00EA5579">
        <w:t xml:space="preserve"> (1993)</w:t>
      </w:r>
      <w:r w:rsidR="00D47B93" w:rsidRPr="00A0779E">
        <w:rPr>
          <w:lang w:val="en-US"/>
        </w:rPr>
        <w:t xml:space="preserve">, 176 C.L.R. 604; </w:t>
      </w:r>
      <w:r w:rsidR="008915C0" w:rsidRPr="00A0779E">
        <w:rPr>
          <w:i/>
        </w:rPr>
        <w:t>Air Canada v. Secretary of State for Trade</w:t>
      </w:r>
      <w:r w:rsidR="008915C0" w:rsidRPr="00A0779E">
        <w:t xml:space="preserve">, </w:t>
      </w:r>
      <w:r w:rsidR="008915C0" w:rsidRPr="00A0779E">
        <w:rPr>
          <w:lang w:val="en-US"/>
        </w:rPr>
        <w:t>[1983] 2 A.C. 394</w:t>
      </w:r>
      <w:r w:rsidR="000E09B2" w:rsidRPr="00A0779E">
        <w:rPr>
          <w:lang w:val="en-US"/>
        </w:rPr>
        <w:t>.</w:t>
      </w:r>
    </w:p>
    <w:p w14:paraId="411B7492" w14:textId="77777777" w:rsidR="003B215F" w:rsidRPr="00A0779E" w:rsidRDefault="002E6705" w:rsidP="002A5497">
      <w:pPr>
        <w:pStyle w:val="SCCNormalDoubleSpacing"/>
        <w:spacing w:after="720" w:line="240" w:lineRule="auto"/>
      </w:pPr>
      <w:r w:rsidRPr="00A0779E">
        <w:rPr>
          <w:b/>
        </w:rPr>
        <w:t>Statutes and Regulations Cite</w:t>
      </w:r>
      <w:r w:rsidR="00A41805" w:rsidRPr="00A0779E">
        <w:rPr>
          <w:b/>
        </w:rPr>
        <w:t>d</w:t>
      </w:r>
    </w:p>
    <w:p w14:paraId="259EBB7A" w14:textId="25D23C8F" w:rsidR="00FC021D" w:rsidRPr="00A0779E" w:rsidRDefault="00FC021D" w:rsidP="002A5497">
      <w:pPr>
        <w:pStyle w:val="SCCNormalDoubleSpacing"/>
        <w:spacing w:after="240" w:line="240" w:lineRule="auto"/>
        <w:ind w:left="540" w:hanging="540"/>
        <w:rPr>
          <w:i/>
        </w:rPr>
      </w:pPr>
      <w:r w:rsidRPr="00A0779E">
        <w:rPr>
          <w:i/>
          <w:lang w:val="en-US"/>
        </w:rPr>
        <w:t>Attorney General Act</w:t>
      </w:r>
      <w:r w:rsidR="00A52A9A">
        <w:rPr>
          <w:lang w:val="en-US"/>
        </w:rPr>
        <w:t>, R.S.B.C. 1996, c. 22, s. </w:t>
      </w:r>
      <w:r w:rsidRPr="00A0779E">
        <w:rPr>
          <w:lang w:val="en-US"/>
        </w:rPr>
        <w:t>2(j).</w:t>
      </w:r>
    </w:p>
    <w:p w14:paraId="0FED34A5" w14:textId="34617949" w:rsidR="000A247D" w:rsidRPr="00A0779E" w:rsidRDefault="00F87A96" w:rsidP="002A5497">
      <w:pPr>
        <w:pStyle w:val="SCCNormalDoubleSpacing"/>
        <w:spacing w:after="240" w:line="240" w:lineRule="auto"/>
        <w:ind w:left="540" w:hanging="540"/>
      </w:pPr>
      <w:r w:rsidRPr="00A0779E">
        <w:rPr>
          <w:i/>
        </w:rPr>
        <w:t>Canada Evidence Act</w:t>
      </w:r>
      <w:r w:rsidR="00A52A9A">
        <w:t>, R.S.C. 1985, c. </w:t>
      </w:r>
      <w:r w:rsidR="00DB5E35" w:rsidRPr="00A0779E">
        <w:t>C</w:t>
      </w:r>
      <w:r w:rsidR="002A5497">
        <w:noBreakHyphen/>
      </w:r>
      <w:r w:rsidR="00DB5E35" w:rsidRPr="00A0779E">
        <w:t xml:space="preserve">5, </w:t>
      </w:r>
      <w:r w:rsidR="002A5497">
        <w:t>ss. </w:t>
      </w:r>
      <w:r w:rsidR="00DB5E35" w:rsidRPr="00A0779E">
        <w:t xml:space="preserve">37 to </w:t>
      </w:r>
      <w:r w:rsidRPr="00A0779E">
        <w:t>39.</w:t>
      </w:r>
    </w:p>
    <w:p w14:paraId="711837F7" w14:textId="59ABF1AD" w:rsidR="000A247D" w:rsidRPr="00A0779E" w:rsidRDefault="000A247D" w:rsidP="002A5497">
      <w:pPr>
        <w:pStyle w:val="SCCNormalDoubleSpacing"/>
        <w:spacing w:after="240" w:line="240" w:lineRule="auto"/>
        <w:ind w:left="540" w:hanging="540"/>
      </w:pPr>
      <w:r w:rsidRPr="00A0779E">
        <w:rPr>
          <w:i/>
        </w:rPr>
        <w:lastRenderedPageBreak/>
        <w:t>Canadian Charter of Rights and Freedoms</w:t>
      </w:r>
      <w:r w:rsidR="00A52A9A">
        <w:t>, s. </w:t>
      </w:r>
      <w:r w:rsidRPr="00A0779E">
        <w:t>11(</w:t>
      </w:r>
      <w:r w:rsidRPr="00A0779E">
        <w:rPr>
          <w:i/>
        </w:rPr>
        <w:t>d</w:t>
      </w:r>
      <w:r w:rsidRPr="00A0779E">
        <w:t>).</w:t>
      </w:r>
    </w:p>
    <w:p w14:paraId="214509C2" w14:textId="6570EBDC" w:rsidR="00F8537A" w:rsidRPr="00A0779E" w:rsidRDefault="00F8537A" w:rsidP="002A5497">
      <w:pPr>
        <w:pStyle w:val="SCCNormalDoubleSpacing"/>
        <w:spacing w:after="240" w:line="240" w:lineRule="auto"/>
        <w:ind w:left="540" w:hanging="540"/>
      </w:pPr>
      <w:r w:rsidRPr="00A0779E">
        <w:rPr>
          <w:i/>
        </w:rPr>
        <w:t>Code of Civil Procedure</w:t>
      </w:r>
      <w:r w:rsidR="00A52A9A">
        <w:t>, CQLR, c. </w:t>
      </w:r>
      <w:r w:rsidRPr="00A0779E">
        <w:t>C</w:t>
      </w:r>
      <w:r w:rsidR="002A5497">
        <w:noBreakHyphen/>
      </w:r>
      <w:r w:rsidRPr="00A0779E">
        <w:t xml:space="preserve">25.01, </w:t>
      </w:r>
      <w:r w:rsidR="002A5497">
        <w:t>art. </w:t>
      </w:r>
      <w:r w:rsidRPr="00A0779E">
        <w:t>283.</w:t>
      </w:r>
    </w:p>
    <w:p w14:paraId="0245592E" w14:textId="3A9C1C92" w:rsidR="00FC021D" w:rsidRPr="00A0779E" w:rsidRDefault="00FC021D" w:rsidP="002A5497">
      <w:pPr>
        <w:pStyle w:val="SCCNormalDoubleSpacing"/>
        <w:spacing w:after="240" w:line="240" w:lineRule="auto"/>
        <w:ind w:left="540" w:hanging="540"/>
        <w:rPr>
          <w:szCs w:val="24"/>
        </w:rPr>
      </w:pPr>
      <w:r w:rsidRPr="002A5497">
        <w:rPr>
          <w:i/>
        </w:rPr>
        <w:t>Constitution</w:t>
      </w:r>
      <w:r w:rsidRPr="00A0779E">
        <w:rPr>
          <w:i/>
          <w:szCs w:val="24"/>
          <w:lang w:val="en-US"/>
        </w:rPr>
        <w:t xml:space="preserve"> Act</w:t>
      </w:r>
      <w:r w:rsidR="00A52A9A">
        <w:rPr>
          <w:szCs w:val="24"/>
          <w:lang w:val="en-US"/>
        </w:rPr>
        <w:t>, R.S.B.C. 1996, c. 66, s. </w:t>
      </w:r>
      <w:r w:rsidRPr="00A0779E">
        <w:rPr>
          <w:szCs w:val="24"/>
          <w:lang w:val="en-US"/>
        </w:rPr>
        <w:t>10(3).</w:t>
      </w:r>
    </w:p>
    <w:p w14:paraId="1C4CA117" w14:textId="650AD2B1" w:rsidR="000A247D" w:rsidRPr="00A0779E" w:rsidRDefault="000A247D" w:rsidP="002A5497">
      <w:pPr>
        <w:pStyle w:val="SCCNormalDoubleSpacing"/>
        <w:spacing w:after="240" w:line="240" w:lineRule="auto"/>
        <w:ind w:left="540" w:hanging="540"/>
      </w:pPr>
      <w:r w:rsidRPr="00A0779E">
        <w:rPr>
          <w:i/>
        </w:rPr>
        <w:t>Constitution Act, 1867</w:t>
      </w:r>
      <w:r w:rsidRPr="00A0779E">
        <w:t xml:space="preserve">, </w:t>
      </w:r>
      <w:r w:rsidR="003B6537" w:rsidRPr="00A0779E">
        <w:t>p</w:t>
      </w:r>
      <w:r w:rsidRPr="00A0779E">
        <w:t xml:space="preserve">reamble, </w:t>
      </w:r>
      <w:r w:rsidR="002A5497">
        <w:t>ss. </w:t>
      </w:r>
      <w:r w:rsidRPr="00A0779E">
        <w:t>11, 18, 54, 90 to 92, 96 to 10</w:t>
      </w:r>
      <w:r w:rsidR="00FC021D" w:rsidRPr="00A0779E">
        <w:t>1</w:t>
      </w:r>
      <w:r w:rsidRPr="00A0779E">
        <w:t xml:space="preserve">, </w:t>
      </w:r>
      <w:r w:rsidR="00FC021D" w:rsidRPr="00A0779E">
        <w:t xml:space="preserve">100 to 102, </w:t>
      </w:r>
      <w:r w:rsidRPr="00A0779E">
        <w:t>106, 126.</w:t>
      </w:r>
    </w:p>
    <w:p w14:paraId="05CEC5B1" w14:textId="4819123D" w:rsidR="000A247D" w:rsidRPr="00A0779E" w:rsidRDefault="000A247D" w:rsidP="002A5497">
      <w:pPr>
        <w:pStyle w:val="SCCNormalDoubleSpacing"/>
        <w:spacing w:after="240" w:line="240" w:lineRule="auto"/>
        <w:ind w:left="540" w:hanging="540"/>
      </w:pPr>
      <w:r w:rsidRPr="00A0779E">
        <w:rPr>
          <w:i/>
        </w:rPr>
        <w:t>Constitution Act, 1982</w:t>
      </w:r>
      <w:r w:rsidR="00A52A9A">
        <w:t>, s. </w:t>
      </w:r>
      <w:r w:rsidRPr="00A0779E">
        <w:t>42(1)(</w:t>
      </w:r>
      <w:r w:rsidRPr="00A0779E">
        <w:rPr>
          <w:i/>
        </w:rPr>
        <w:t>d</w:t>
      </w:r>
      <w:r w:rsidRPr="00A0779E">
        <w:t>).</w:t>
      </w:r>
    </w:p>
    <w:p w14:paraId="7BFAADDA" w14:textId="0FA76391" w:rsidR="00FA33F0" w:rsidRPr="00A0779E" w:rsidRDefault="00FA33F0" w:rsidP="002A5497">
      <w:pPr>
        <w:pStyle w:val="SCCNormalDoubleSpacing"/>
        <w:spacing w:after="240" w:line="240" w:lineRule="auto"/>
        <w:ind w:left="540" w:hanging="540"/>
      </w:pPr>
      <w:r w:rsidRPr="00A0779E">
        <w:rPr>
          <w:i/>
        </w:rPr>
        <w:t>Crown Liability and Proceedings Act, 2019</w:t>
      </w:r>
      <w:r w:rsidR="00A52A9A">
        <w:t>, S.O. 2019, c. </w:t>
      </w:r>
      <w:r w:rsidR="006D75E4" w:rsidRPr="00A0779E">
        <w:t>7, S</w:t>
      </w:r>
      <w:r w:rsidR="002A5497">
        <w:t>ch. </w:t>
      </w:r>
      <w:r w:rsidR="006D75E4" w:rsidRPr="00A0779E">
        <w:t>1</w:t>
      </w:r>
      <w:r w:rsidRPr="00A0779E">
        <w:t>7,</w:t>
      </w:r>
      <w:r w:rsidR="00A52A9A">
        <w:t xml:space="preserve"> s. </w:t>
      </w:r>
      <w:r w:rsidR="00F87A96" w:rsidRPr="00A0779E">
        <w:t>13(2).</w:t>
      </w:r>
    </w:p>
    <w:p w14:paraId="3BFC8D1E" w14:textId="49679B8E" w:rsidR="00F87A96" w:rsidRPr="00A0779E" w:rsidRDefault="00F87A96" w:rsidP="002A5497">
      <w:pPr>
        <w:pStyle w:val="SCCNormalDoubleSpacing"/>
        <w:spacing w:after="240" w:line="240" w:lineRule="auto"/>
        <w:ind w:left="540" w:hanging="540"/>
      </w:pPr>
      <w:r w:rsidRPr="00A0779E">
        <w:rPr>
          <w:i/>
        </w:rPr>
        <w:t>Crown Proceeding Act</w:t>
      </w:r>
      <w:r w:rsidR="00A52A9A">
        <w:t>, R.S.B.C. 1996, c. 89, s. </w:t>
      </w:r>
      <w:r w:rsidRPr="00A0779E">
        <w:t>9.</w:t>
      </w:r>
    </w:p>
    <w:p w14:paraId="453FE1F1" w14:textId="4D61898F" w:rsidR="00A149DF" w:rsidRPr="00A0779E" w:rsidRDefault="004C6007" w:rsidP="002A5497">
      <w:pPr>
        <w:pStyle w:val="SCCNormalDoubleSpacing"/>
        <w:spacing w:after="240" w:line="240" w:lineRule="auto"/>
        <w:ind w:left="540" w:hanging="540"/>
      </w:pPr>
      <w:r w:rsidRPr="00A0779E">
        <w:rPr>
          <w:i/>
        </w:rPr>
        <w:t>Judicial Compensation Act</w:t>
      </w:r>
      <w:r w:rsidR="00A52A9A">
        <w:t>, S.B.C. 2003, c. </w:t>
      </w:r>
      <w:r w:rsidRPr="00A0779E">
        <w:t xml:space="preserve">59, </w:t>
      </w:r>
      <w:r w:rsidR="002A5497">
        <w:t>ss. </w:t>
      </w:r>
      <w:r w:rsidRPr="00A0779E">
        <w:t xml:space="preserve">2, 5(1), (3), (5), (5.1), (5.2), 6(1), </w:t>
      </w:r>
      <w:r w:rsidR="00336128" w:rsidRPr="00A0779E">
        <w:t xml:space="preserve">(2), </w:t>
      </w:r>
      <w:r w:rsidRPr="00A0779E">
        <w:t xml:space="preserve">(3), (4), </w:t>
      </w:r>
      <w:r w:rsidR="00336128" w:rsidRPr="00A0779E">
        <w:t xml:space="preserve">7.1, </w:t>
      </w:r>
      <w:r w:rsidRPr="00A0779E">
        <w:t>8(1).</w:t>
      </w:r>
    </w:p>
    <w:p w14:paraId="6BE347CE" w14:textId="25ED3807" w:rsidR="00FC021D" w:rsidRPr="00A0779E" w:rsidRDefault="00FC021D" w:rsidP="002A5497">
      <w:pPr>
        <w:pStyle w:val="SCCNormalDoubleSpacing"/>
        <w:spacing w:after="240" w:line="240" w:lineRule="auto"/>
        <w:ind w:left="540" w:hanging="540"/>
      </w:pPr>
      <w:r w:rsidRPr="00A0779E">
        <w:rPr>
          <w:lang w:val="en-US"/>
        </w:rPr>
        <w:t>O.C. 213/2017.</w:t>
      </w:r>
    </w:p>
    <w:p w14:paraId="2902046C" w14:textId="4BFCC9FF" w:rsidR="00F87A96" w:rsidRPr="00A0779E" w:rsidRDefault="00A53AE8" w:rsidP="002A5497">
      <w:pPr>
        <w:pStyle w:val="SCCNormalDoubleSpacing"/>
        <w:spacing w:after="240" w:line="240" w:lineRule="auto"/>
        <w:ind w:left="540" w:hanging="540"/>
      </w:pPr>
      <w:r w:rsidRPr="00A0779E">
        <w:rPr>
          <w:i/>
        </w:rPr>
        <w:t>Proceedings a</w:t>
      </w:r>
      <w:r w:rsidR="00F87A96" w:rsidRPr="00A0779E">
        <w:rPr>
          <w:i/>
        </w:rPr>
        <w:t>gainst the Crown Act</w:t>
      </w:r>
      <w:r w:rsidR="00A52A9A">
        <w:t>, R.S.N.S. 1989, c. 360, s. </w:t>
      </w:r>
      <w:r w:rsidR="00F87A96" w:rsidRPr="00A0779E">
        <w:t>11.</w:t>
      </w:r>
    </w:p>
    <w:p w14:paraId="6DCEC6D7" w14:textId="53FBA332" w:rsidR="00336128" w:rsidRDefault="00336128" w:rsidP="002A5497">
      <w:pPr>
        <w:pStyle w:val="SCCNormalDoubleSpacing"/>
        <w:spacing w:after="720" w:line="240" w:lineRule="auto"/>
        <w:ind w:left="540" w:hanging="540"/>
      </w:pPr>
      <w:r w:rsidRPr="00A0779E">
        <w:rPr>
          <w:i/>
        </w:rPr>
        <w:t>Supreme Court Civil Rules</w:t>
      </w:r>
      <w:r w:rsidR="00A52A9A">
        <w:t>, B.C. Reg. 168/2009, r. </w:t>
      </w:r>
      <w:r w:rsidRPr="00A0779E">
        <w:t>22</w:t>
      </w:r>
      <w:r w:rsidR="002A5497">
        <w:noBreakHyphen/>
      </w:r>
      <w:r w:rsidRPr="00A0779E">
        <w:t>1(4)(c).</w:t>
      </w:r>
    </w:p>
    <w:p w14:paraId="33BFB63B" w14:textId="77777777" w:rsidR="002E6705" w:rsidRDefault="002E6705" w:rsidP="002A5497">
      <w:pPr>
        <w:pStyle w:val="SCCNormalDoubleSpacing"/>
        <w:spacing w:after="720" w:line="240" w:lineRule="auto"/>
        <w:rPr>
          <w:b/>
        </w:rPr>
      </w:pPr>
      <w:r w:rsidRPr="00314E01">
        <w:rPr>
          <w:b/>
        </w:rPr>
        <w:t>Authors Cited</w:t>
      </w:r>
    </w:p>
    <w:p w14:paraId="1D39D817" w14:textId="6A20E1B0" w:rsidR="0070582E" w:rsidRPr="00A0779E" w:rsidRDefault="0066752F" w:rsidP="002A5497">
      <w:pPr>
        <w:pStyle w:val="SCCNormalDoubleSpacing"/>
        <w:spacing w:after="240" w:line="240" w:lineRule="auto"/>
        <w:ind w:left="540" w:hanging="540"/>
      </w:pPr>
      <w:r>
        <w:t>d’</w:t>
      </w:r>
      <w:r w:rsidR="0070582E" w:rsidRPr="00A0779E">
        <w:t>Ombrain, Nicholas.</w:t>
      </w:r>
      <w:r w:rsidR="00EA5579">
        <w:t xml:space="preserve"> “Cabinet secrecy” (2004), 47</w:t>
      </w:r>
      <w:r w:rsidR="0070582E" w:rsidRPr="00A0779E">
        <w:t xml:space="preserve"> </w:t>
      </w:r>
      <w:r w:rsidR="0070582E" w:rsidRPr="00A0779E">
        <w:rPr>
          <w:i/>
        </w:rPr>
        <w:t>Canadian Public Administration</w:t>
      </w:r>
      <w:r w:rsidR="0070582E" w:rsidRPr="00A0779E">
        <w:t xml:space="preserve"> 332. </w:t>
      </w:r>
    </w:p>
    <w:p w14:paraId="25DAB580" w14:textId="77777777" w:rsidR="0070582E" w:rsidRPr="00A0779E" w:rsidRDefault="0070582E" w:rsidP="002A5497">
      <w:pPr>
        <w:pStyle w:val="SCCNormalDoubleSpacing"/>
        <w:spacing w:after="240" w:line="240" w:lineRule="auto"/>
        <w:ind w:left="540" w:hanging="540"/>
      </w:pPr>
      <w:r w:rsidRPr="00A0779E">
        <w:t>Forcese</w:t>
      </w:r>
      <w:r w:rsidR="000E09B2" w:rsidRPr="00A0779E">
        <w:t>,</w:t>
      </w:r>
      <w:r w:rsidRPr="00A0779E">
        <w:t xml:space="preserve"> Craig, and Aaron Freeman. </w:t>
      </w:r>
      <w:r w:rsidRPr="00A0779E">
        <w:rPr>
          <w:i/>
        </w:rPr>
        <w:t>The Laws of Government: The Legal Foundations of Canadian Democracy</w:t>
      </w:r>
      <w:r w:rsidR="000E325D" w:rsidRPr="00A0779E">
        <w:t xml:space="preserve">, </w:t>
      </w:r>
      <w:r w:rsidRPr="00A0779E">
        <w:t>2nd ed.</w:t>
      </w:r>
      <w:r w:rsidR="000E325D" w:rsidRPr="00A0779E">
        <w:t xml:space="preserve"> Toronto: Irwin Law, 2011.</w:t>
      </w:r>
    </w:p>
    <w:p w14:paraId="6DE4D2B6" w14:textId="77777777" w:rsidR="000E325D" w:rsidRPr="00A0779E" w:rsidRDefault="000E325D" w:rsidP="002A5497">
      <w:pPr>
        <w:pStyle w:val="SCCNormalDoubleSpacing"/>
        <w:spacing w:after="240" w:line="240" w:lineRule="auto"/>
        <w:ind w:left="540" w:hanging="540"/>
        <w:rPr>
          <w:lang w:val="fr-CA"/>
        </w:rPr>
      </w:pPr>
      <w:r w:rsidRPr="00A0779E">
        <w:t xml:space="preserve">Heard, Andrew. </w:t>
      </w:r>
      <w:r w:rsidRPr="00A0779E">
        <w:rPr>
          <w:i/>
        </w:rPr>
        <w:t>Canadian Constitutional Conventions: The Marriage of Law &amp; Politics</w:t>
      </w:r>
      <w:r w:rsidRPr="00A0779E">
        <w:t xml:space="preserve">, 2nd ed. </w:t>
      </w:r>
      <w:r w:rsidRPr="00A0779E">
        <w:rPr>
          <w:lang w:val="fr-CA"/>
        </w:rPr>
        <w:t>Oxford: Oxford University Press, 2014.</w:t>
      </w:r>
    </w:p>
    <w:p w14:paraId="5824F34B" w14:textId="1FE794CA" w:rsidR="0070582E" w:rsidRPr="0070582E" w:rsidRDefault="001B55F1" w:rsidP="002A5497">
      <w:pPr>
        <w:pStyle w:val="SCCNormalDoubleSpacing"/>
        <w:spacing w:after="720" w:line="240" w:lineRule="auto"/>
        <w:ind w:left="540" w:hanging="540"/>
      </w:pPr>
      <w:r w:rsidRPr="0066752F">
        <w:rPr>
          <w:lang w:val="fr-CA"/>
        </w:rPr>
        <w:t>Royer, Jean</w:t>
      </w:r>
      <w:r w:rsidR="002A5497">
        <w:rPr>
          <w:lang w:val="fr-CA"/>
        </w:rPr>
        <w:noBreakHyphen/>
      </w:r>
      <w:r w:rsidRPr="0066752F">
        <w:rPr>
          <w:lang w:val="fr-CA"/>
        </w:rPr>
        <w:t>Claude</w:t>
      </w:r>
      <w:r w:rsidR="000E09B2" w:rsidRPr="0066752F">
        <w:rPr>
          <w:lang w:val="fr-CA"/>
        </w:rPr>
        <w:t>,</w:t>
      </w:r>
      <w:r w:rsidRPr="0066752F">
        <w:rPr>
          <w:lang w:val="fr-CA"/>
        </w:rPr>
        <w:t xml:space="preserve"> </w:t>
      </w:r>
      <w:r w:rsidRPr="00A0779E">
        <w:rPr>
          <w:lang w:val="fr-CA"/>
        </w:rPr>
        <w:t xml:space="preserve">et </w:t>
      </w:r>
      <w:r w:rsidR="0070582E" w:rsidRPr="0066752F">
        <w:rPr>
          <w:lang w:val="fr-CA"/>
        </w:rPr>
        <w:t>Catherine Piché.</w:t>
      </w:r>
      <w:r w:rsidR="002D6F96" w:rsidRPr="0066752F">
        <w:rPr>
          <w:lang w:val="fr-CA"/>
        </w:rPr>
        <w:t xml:space="preserve"> </w:t>
      </w:r>
      <w:r w:rsidR="002D6F96" w:rsidRPr="00A0779E">
        <w:rPr>
          <w:i/>
          <w:lang w:val="fr-CA"/>
        </w:rPr>
        <w:t>La preuve civile</w:t>
      </w:r>
      <w:r w:rsidR="002D6F96" w:rsidRPr="00A0779E">
        <w:rPr>
          <w:lang w:val="fr-CA"/>
        </w:rPr>
        <w:t>, 5</w:t>
      </w:r>
      <w:r w:rsidR="002D6F96" w:rsidRPr="00A0779E">
        <w:rPr>
          <w:vertAlign w:val="superscript"/>
          <w:lang w:val="fr-CA"/>
        </w:rPr>
        <w:t>e</w:t>
      </w:r>
      <w:r w:rsidR="002D6F96" w:rsidRPr="00A0779E">
        <w:rPr>
          <w:lang w:val="fr-CA"/>
        </w:rPr>
        <w:t xml:space="preserve"> éd. </w:t>
      </w:r>
      <w:r w:rsidRPr="00A0779E">
        <w:t>Montréal: Yvon Blais, 2016.</w:t>
      </w:r>
    </w:p>
    <w:p w14:paraId="0AAF5F9A" w14:textId="667AF80D" w:rsidR="00656313" w:rsidRDefault="00BA7C42" w:rsidP="002A5497">
      <w:pPr>
        <w:pStyle w:val="SCCNormalDoubleSpacing"/>
        <w:spacing w:after="480"/>
      </w:pPr>
      <w:r w:rsidRPr="0070582E">
        <w:tab/>
      </w:r>
      <w:r w:rsidR="009B57B3" w:rsidRPr="001426A9">
        <w:t xml:space="preserve">APPEAL from a judgment of the </w:t>
      </w:r>
      <w:r w:rsidR="000E7A69">
        <w:t xml:space="preserve">British Columbia </w:t>
      </w:r>
      <w:r w:rsidR="009B57B3">
        <w:t>Court of Appeal (</w:t>
      </w:r>
      <w:r w:rsidR="00B53241">
        <w:t xml:space="preserve">Bauman C.J.B.C. and </w:t>
      </w:r>
      <w:r w:rsidR="005F6F8F">
        <w:t xml:space="preserve">Harris and Dickson JJ.A.), 2018 BCCA 394, 19 B.C.L.R. (6th) 188, 430 D.L.R. (4th) 660, 48 </w:t>
      </w:r>
      <w:r w:rsidR="006046D5">
        <w:t>Admin. L.R.</w:t>
      </w:r>
      <w:r w:rsidR="005F6F8F">
        <w:t xml:space="preserve"> (6th) 279, [2018] B.C.J. </w:t>
      </w:r>
      <w:r w:rsidR="002A5497">
        <w:t>No. </w:t>
      </w:r>
      <w:r w:rsidR="005F6F8F">
        <w:t xml:space="preserve">3445 (QL), </w:t>
      </w:r>
      <w:r w:rsidR="005F6F8F">
        <w:lastRenderedPageBreak/>
        <w:t xml:space="preserve">2018 CarswellBC 2776 (WL Can.), affirming a decision of Hinkson </w:t>
      </w:r>
      <w:r w:rsidR="00B53241">
        <w:t>C.J.S.C</w:t>
      </w:r>
      <w:r w:rsidR="005F6F8F">
        <w:t xml:space="preserve">., 2018 BCSC 1390, 19 B.C.L.R. (6th) 168, [2018] B.C.J. </w:t>
      </w:r>
      <w:r w:rsidR="002A5497">
        <w:t>No. </w:t>
      </w:r>
      <w:r w:rsidR="005F6F8F">
        <w:t xml:space="preserve">2995 (QL), 2018 CarswellBC 2158 (WL Can.), affirming </w:t>
      </w:r>
      <w:r w:rsidR="00E56722">
        <w:t xml:space="preserve">an order </w:t>
      </w:r>
      <w:r w:rsidR="005F6F8F">
        <w:t xml:space="preserve">of </w:t>
      </w:r>
      <w:r w:rsidR="004E4F60">
        <w:t>Master Muir</w:t>
      </w:r>
      <w:r w:rsidR="005F6F8F">
        <w:t xml:space="preserve">, 2018 BCSC 1193, [2018] B.C.J. </w:t>
      </w:r>
      <w:r w:rsidR="002A5497">
        <w:t>No. </w:t>
      </w:r>
      <w:r w:rsidR="005F6F8F">
        <w:t>1410 (QL), 2018 CarswellBC 1891 (WL Can</w:t>
      </w:r>
      <w:r w:rsidR="00E56722">
        <w:t>.)</w:t>
      </w:r>
      <w:r w:rsidR="005F6F8F">
        <w:t>. Appeal</w:t>
      </w:r>
      <w:r w:rsidR="009D17A1">
        <w:t xml:space="preserve"> </w:t>
      </w:r>
      <w:r w:rsidR="009D17A1" w:rsidRPr="0066752F">
        <w:t>allowed.</w:t>
      </w:r>
    </w:p>
    <w:p w14:paraId="28D7CDCF" w14:textId="2819DEC2" w:rsidR="00F218B2" w:rsidRPr="00602FCF" w:rsidRDefault="005F6F8F" w:rsidP="002A5497">
      <w:pPr>
        <w:pStyle w:val="SCCNormalDoubleSpacing"/>
        <w:spacing w:after="480"/>
        <w:rPr>
          <w:highlight w:val="yellow"/>
        </w:rPr>
      </w:pPr>
      <w:r>
        <w:rPr>
          <w:rStyle w:val="SCCCounselNameChar"/>
        </w:rPr>
        <w:tab/>
      </w:r>
      <w:r w:rsidR="00A52A9A">
        <w:rPr>
          <w:rStyle w:val="SCCCounselNameChar"/>
        </w:rPr>
        <w:t>Stein </w:t>
      </w:r>
      <w:r w:rsidRPr="00602FCF">
        <w:rPr>
          <w:rStyle w:val="SCCCounselNameChar"/>
        </w:rPr>
        <w:t>K. Gudmundseth</w:t>
      </w:r>
      <w:r w:rsidRPr="00803185">
        <w:rPr>
          <w:rStyle w:val="SCCCounselNameChar"/>
          <w:i w:val="0"/>
        </w:rPr>
        <w:t>,</w:t>
      </w:r>
      <w:r w:rsidRPr="00602FCF">
        <w:rPr>
          <w:rStyle w:val="SCCCounselNameChar"/>
        </w:rPr>
        <w:t xml:space="preserve"> Q.C.</w:t>
      </w:r>
      <w:r w:rsidRPr="00602FCF">
        <w:rPr>
          <w:rStyle w:val="SCCCounselSeparatorChar"/>
        </w:rPr>
        <w:t xml:space="preserve">, </w:t>
      </w:r>
      <w:r w:rsidR="00A52A9A">
        <w:rPr>
          <w:rStyle w:val="SCCCounselNameChar"/>
        </w:rPr>
        <w:t>Andrew </w:t>
      </w:r>
      <w:r w:rsidRPr="00602FCF">
        <w:rPr>
          <w:rStyle w:val="SCCCounselNameChar"/>
        </w:rPr>
        <w:t>D. Gay</w:t>
      </w:r>
      <w:r w:rsidRPr="00803185">
        <w:rPr>
          <w:rStyle w:val="SCCCounselNameChar"/>
          <w:i w:val="0"/>
        </w:rPr>
        <w:t>,</w:t>
      </w:r>
      <w:r w:rsidRPr="00602FCF">
        <w:rPr>
          <w:rStyle w:val="SCCCounselNameChar"/>
        </w:rPr>
        <w:t xml:space="preserve"> Q.C.</w:t>
      </w:r>
      <w:r w:rsidR="000E7A69">
        <w:rPr>
          <w:rStyle w:val="SCCCounselNameChar"/>
          <w:i w:val="0"/>
        </w:rPr>
        <w:t>,</w:t>
      </w:r>
      <w:r w:rsidRPr="00602FCF">
        <w:rPr>
          <w:rStyle w:val="SCCCounselSeparatorChar"/>
        </w:rPr>
        <w:t xml:space="preserve"> and </w:t>
      </w:r>
      <w:r w:rsidR="00A52A9A">
        <w:rPr>
          <w:rStyle w:val="SCCCounselNameChar"/>
        </w:rPr>
        <w:t>Clayton </w:t>
      </w:r>
      <w:r w:rsidRPr="00602FCF">
        <w:rPr>
          <w:rStyle w:val="SCCCounselNameChar"/>
        </w:rPr>
        <w:t>J. Gallant</w:t>
      </w:r>
      <w:r w:rsidRPr="00602FCF">
        <w:rPr>
          <w:rStyle w:val="SCCCounselPartyRoleChar"/>
        </w:rPr>
        <w:t>, for the appellant.</w:t>
      </w:r>
    </w:p>
    <w:p w14:paraId="51A839EA" w14:textId="038378FE" w:rsidR="00602FCF" w:rsidRDefault="00A65ECE" w:rsidP="002A5497">
      <w:pPr>
        <w:pStyle w:val="SCCNormalDoubleSpacing"/>
        <w:spacing w:after="480"/>
      </w:pPr>
      <w:r>
        <w:rPr>
          <w:rStyle w:val="SCCCounselNameChar"/>
        </w:rPr>
        <w:tab/>
      </w:r>
      <w:r w:rsidR="00A52A9A">
        <w:rPr>
          <w:rStyle w:val="SCCCounselNameChar"/>
        </w:rPr>
        <w:t>Joseph </w:t>
      </w:r>
      <w:r w:rsidRPr="002502F4">
        <w:rPr>
          <w:rStyle w:val="SCCCounselNameChar"/>
        </w:rPr>
        <w:t>J. Arvay</w:t>
      </w:r>
      <w:r w:rsidRPr="00803185">
        <w:rPr>
          <w:rStyle w:val="SCCCounselNameChar"/>
          <w:i w:val="0"/>
        </w:rPr>
        <w:t>,</w:t>
      </w:r>
      <w:r w:rsidRPr="002502F4">
        <w:rPr>
          <w:rStyle w:val="SCCCounselNameChar"/>
        </w:rPr>
        <w:t xml:space="preserve"> Q.C.</w:t>
      </w:r>
      <w:r w:rsidR="000E7A69">
        <w:rPr>
          <w:rStyle w:val="SCCCounselNameChar"/>
          <w:i w:val="0"/>
        </w:rPr>
        <w:t>,</w:t>
      </w:r>
      <w:r w:rsidRPr="002502F4">
        <w:rPr>
          <w:rStyle w:val="SCCCounselSeparatorChar"/>
        </w:rPr>
        <w:t xml:space="preserve"> and </w:t>
      </w:r>
      <w:r w:rsidRPr="002502F4">
        <w:rPr>
          <w:rStyle w:val="SCCCounselNameChar"/>
        </w:rPr>
        <w:t>Alison</w:t>
      </w:r>
      <w:r w:rsidR="00A52A9A">
        <w:rPr>
          <w:rStyle w:val="SCCCounselNameChar"/>
        </w:rPr>
        <w:t> </w:t>
      </w:r>
      <w:r>
        <w:rPr>
          <w:rStyle w:val="SCCCounselNameChar"/>
        </w:rPr>
        <w:t xml:space="preserve">M. </w:t>
      </w:r>
      <w:r w:rsidRPr="002502F4">
        <w:rPr>
          <w:rStyle w:val="SCCCounselNameChar"/>
        </w:rPr>
        <w:t>Latimer</w:t>
      </w:r>
      <w:r w:rsidRPr="002502F4">
        <w:rPr>
          <w:rStyle w:val="SCCCounselPartyRoleChar"/>
        </w:rPr>
        <w:t>, for the respondent</w:t>
      </w:r>
      <w:r w:rsidR="0066752F">
        <w:rPr>
          <w:rStyle w:val="SCCCounselPartyRoleChar"/>
        </w:rPr>
        <w:t>.</w:t>
      </w:r>
    </w:p>
    <w:p w14:paraId="6E9D97F3" w14:textId="1E40318A" w:rsidR="00602FCF" w:rsidRPr="002502F4" w:rsidRDefault="00A52A9A" w:rsidP="002A5497">
      <w:pPr>
        <w:pStyle w:val="SCCNormalDoubleSpacing"/>
        <w:spacing w:after="480"/>
      </w:pPr>
      <w:r>
        <w:rPr>
          <w:rStyle w:val="SCCCounselNameChar"/>
        </w:rPr>
        <w:tab/>
        <w:t>Michael </w:t>
      </w:r>
      <w:r w:rsidR="00602FCF" w:rsidRPr="002502F4">
        <w:rPr>
          <w:rStyle w:val="SCCCounselNameChar"/>
        </w:rPr>
        <w:t>H. Morris</w:t>
      </w:r>
      <w:r w:rsidR="00602FCF" w:rsidRPr="002502F4">
        <w:rPr>
          <w:rStyle w:val="SCCCounselSeparatorChar"/>
        </w:rPr>
        <w:t xml:space="preserve"> and </w:t>
      </w:r>
      <w:r w:rsidR="002502F4" w:rsidRPr="002502F4">
        <w:rPr>
          <w:rStyle w:val="SCCCounselNameChar"/>
        </w:rPr>
        <w:t>Marilyn Venney</w:t>
      </w:r>
      <w:r w:rsidR="00602FCF" w:rsidRPr="002502F4">
        <w:rPr>
          <w:rStyle w:val="SCCCounselPartyRoleChar"/>
        </w:rPr>
        <w:t xml:space="preserve">, for the intervener </w:t>
      </w:r>
      <w:r w:rsidR="002502F4" w:rsidRPr="002502F4">
        <w:rPr>
          <w:rStyle w:val="SCCCounselPartyRoleChar"/>
        </w:rPr>
        <w:t xml:space="preserve">the </w:t>
      </w:r>
      <w:r w:rsidR="00602FCF" w:rsidRPr="002502F4">
        <w:rPr>
          <w:rStyle w:val="SCCCounselPartyRoleChar"/>
        </w:rPr>
        <w:t>Attorney General of Canada.</w:t>
      </w:r>
    </w:p>
    <w:p w14:paraId="2B4AA559" w14:textId="77777777" w:rsidR="00602FCF" w:rsidRPr="002502F4" w:rsidRDefault="00602FCF" w:rsidP="002A5497">
      <w:pPr>
        <w:pStyle w:val="SCCNormalDoubleSpacing"/>
        <w:spacing w:after="480"/>
      </w:pPr>
      <w:r w:rsidRPr="002502F4">
        <w:rPr>
          <w:rStyle w:val="SCCCounselNameChar"/>
        </w:rPr>
        <w:tab/>
        <w:t>Sarah Kraicer</w:t>
      </w:r>
      <w:r w:rsidRPr="002502F4">
        <w:rPr>
          <w:rStyle w:val="SCCCounselSeparatorChar"/>
        </w:rPr>
        <w:t xml:space="preserve"> and </w:t>
      </w:r>
      <w:r w:rsidRPr="002502F4">
        <w:rPr>
          <w:rStyle w:val="SCCCounselNameChar"/>
        </w:rPr>
        <w:t>Andrea Bolieiro</w:t>
      </w:r>
      <w:r w:rsidRPr="002502F4">
        <w:rPr>
          <w:rStyle w:val="SCCCounselPartyRoleChar"/>
        </w:rPr>
        <w:t>, for the intervener</w:t>
      </w:r>
      <w:r w:rsidR="002502F4" w:rsidRPr="002502F4">
        <w:rPr>
          <w:rStyle w:val="SCCCounselPartyRoleChar"/>
        </w:rPr>
        <w:t xml:space="preserve"> the</w:t>
      </w:r>
      <w:r w:rsidRPr="002502F4">
        <w:rPr>
          <w:rStyle w:val="SCCCounselPartyRoleChar"/>
        </w:rPr>
        <w:t xml:space="preserve"> Attorney General of Ontario.</w:t>
      </w:r>
    </w:p>
    <w:p w14:paraId="097CD9AC" w14:textId="77777777" w:rsidR="00602FCF" w:rsidRPr="002502F4" w:rsidRDefault="00602FCF" w:rsidP="002A5497">
      <w:pPr>
        <w:pStyle w:val="SCCNormalDoubleSpacing"/>
        <w:spacing w:after="480"/>
      </w:pPr>
      <w:r w:rsidRPr="002502F4">
        <w:rPr>
          <w:rStyle w:val="SCCCounselNameChar"/>
        </w:rPr>
        <w:tab/>
      </w:r>
      <w:r w:rsidR="002502F4" w:rsidRPr="002502F4">
        <w:rPr>
          <w:rStyle w:val="SCCCounselNameChar"/>
        </w:rPr>
        <w:t xml:space="preserve">Brigitte Bussières </w:t>
      </w:r>
      <w:r w:rsidRPr="002502F4">
        <w:rPr>
          <w:rStyle w:val="SCCCounselSeparatorChar"/>
        </w:rPr>
        <w:t>and</w:t>
      </w:r>
      <w:r w:rsidR="002502F4" w:rsidRPr="002502F4">
        <w:rPr>
          <w:rStyle w:val="SCCCounselSeparatorChar"/>
        </w:rPr>
        <w:t xml:space="preserve"> </w:t>
      </w:r>
      <w:r w:rsidR="002502F4" w:rsidRPr="002502F4">
        <w:rPr>
          <w:rStyle w:val="SCCCounselNameChar"/>
        </w:rPr>
        <w:t>Robert Desroches</w:t>
      </w:r>
      <w:r w:rsidRPr="002502F4">
        <w:rPr>
          <w:rStyle w:val="SCCCounselPartyRoleChar"/>
        </w:rPr>
        <w:t>, for the intervener</w:t>
      </w:r>
      <w:r w:rsidR="002502F4" w:rsidRPr="002502F4">
        <w:rPr>
          <w:rStyle w:val="SCCCounselPartyRoleChar"/>
        </w:rPr>
        <w:t xml:space="preserve"> the</w:t>
      </w:r>
      <w:r w:rsidRPr="002502F4">
        <w:rPr>
          <w:rStyle w:val="SCCCounselPartyRoleChar"/>
        </w:rPr>
        <w:t xml:space="preserve"> Attorney General of Quebec.</w:t>
      </w:r>
    </w:p>
    <w:p w14:paraId="331833A7" w14:textId="77777777" w:rsidR="00602FCF" w:rsidRPr="002502F4" w:rsidRDefault="00602FCF" w:rsidP="002A5497">
      <w:pPr>
        <w:pStyle w:val="SCCNormalDoubleSpacing"/>
        <w:spacing w:after="480"/>
      </w:pPr>
      <w:r w:rsidRPr="002502F4">
        <w:rPr>
          <w:rStyle w:val="SCCCounselNameChar"/>
        </w:rPr>
        <w:tab/>
        <w:t>Thomson Irvine</w:t>
      </w:r>
      <w:r w:rsidRPr="00803185">
        <w:rPr>
          <w:rStyle w:val="SCCCounselNameChar"/>
          <w:i w:val="0"/>
        </w:rPr>
        <w:t>,</w:t>
      </w:r>
      <w:r w:rsidRPr="002502F4">
        <w:rPr>
          <w:rStyle w:val="SCCCounselNameChar"/>
        </w:rPr>
        <w:t xml:space="preserve"> Q.C.</w:t>
      </w:r>
      <w:r w:rsidRPr="002502F4">
        <w:rPr>
          <w:rStyle w:val="SCCCounselPartyRoleChar"/>
        </w:rPr>
        <w:t>, for the intervener</w:t>
      </w:r>
      <w:r w:rsidR="002502F4" w:rsidRPr="002502F4">
        <w:rPr>
          <w:rStyle w:val="SCCCounselPartyRoleChar"/>
        </w:rPr>
        <w:t xml:space="preserve"> the</w:t>
      </w:r>
      <w:r w:rsidRPr="002502F4">
        <w:rPr>
          <w:rStyle w:val="SCCCounselPartyRoleChar"/>
        </w:rPr>
        <w:t xml:space="preserve"> Attorney General </w:t>
      </w:r>
      <w:r w:rsidR="00867B31">
        <w:rPr>
          <w:rStyle w:val="SCCCounselPartyRoleChar"/>
        </w:rPr>
        <w:t>of</w:t>
      </w:r>
      <w:r w:rsidRPr="002502F4">
        <w:rPr>
          <w:rStyle w:val="SCCCounselPartyRoleChar"/>
        </w:rPr>
        <w:t xml:space="preserve"> Saskatchewan.</w:t>
      </w:r>
    </w:p>
    <w:p w14:paraId="20848F7F" w14:textId="1E38289B" w:rsidR="00602FCF" w:rsidRPr="002502F4" w:rsidRDefault="00602FCF" w:rsidP="002A5497">
      <w:pPr>
        <w:pStyle w:val="SCCNormalDoubleSpacing"/>
        <w:spacing w:after="480"/>
      </w:pPr>
      <w:r w:rsidRPr="002502F4">
        <w:rPr>
          <w:rStyle w:val="SCCCounselNameChar"/>
        </w:rPr>
        <w:tab/>
      </w:r>
      <w:r w:rsidR="00A52A9A">
        <w:rPr>
          <w:rStyle w:val="SCCCounselNameChar"/>
        </w:rPr>
        <w:t>Doreen </w:t>
      </w:r>
      <w:r w:rsidR="00491602" w:rsidRPr="00363B48">
        <w:rPr>
          <w:rStyle w:val="SCCCounselNameChar"/>
        </w:rPr>
        <w:t>C.</w:t>
      </w:r>
      <w:r w:rsidR="00491602">
        <w:rPr>
          <w:rStyle w:val="SCCCounselNameChar"/>
        </w:rPr>
        <w:t xml:space="preserve"> </w:t>
      </w:r>
      <w:r w:rsidRPr="002502F4">
        <w:rPr>
          <w:rStyle w:val="SCCCounselNameChar"/>
        </w:rPr>
        <w:t>Mueller</w:t>
      </w:r>
      <w:r w:rsidRPr="002502F4">
        <w:rPr>
          <w:rStyle w:val="SCCCounselPartyRoleChar"/>
        </w:rPr>
        <w:t xml:space="preserve">, for the intervener </w:t>
      </w:r>
      <w:r w:rsidR="002502F4" w:rsidRPr="002502F4">
        <w:rPr>
          <w:rStyle w:val="SCCCounselPartyRoleChar"/>
        </w:rPr>
        <w:t xml:space="preserve">the </w:t>
      </w:r>
      <w:r w:rsidRPr="002502F4">
        <w:rPr>
          <w:rStyle w:val="SCCCounselPartyRoleChar"/>
        </w:rPr>
        <w:t>Attorney General of Alberta.</w:t>
      </w:r>
    </w:p>
    <w:p w14:paraId="421D2E52" w14:textId="2DE2F49B" w:rsidR="00F218B2" w:rsidRPr="00602FCF" w:rsidRDefault="005F6F8F" w:rsidP="002A5497">
      <w:pPr>
        <w:pStyle w:val="SCCNormalDoubleSpacing"/>
        <w:spacing w:after="480"/>
      </w:pPr>
      <w:r w:rsidRPr="00602FCF">
        <w:rPr>
          <w:rStyle w:val="SCCCounselNameChar"/>
        </w:rPr>
        <w:lastRenderedPageBreak/>
        <w:tab/>
        <w:t>Pierre Bienvenu</w:t>
      </w:r>
      <w:r w:rsidRPr="00602FCF">
        <w:rPr>
          <w:rStyle w:val="SCCCounselSeparatorChar"/>
        </w:rPr>
        <w:t xml:space="preserve">, </w:t>
      </w:r>
      <w:r w:rsidRPr="00602FCF">
        <w:rPr>
          <w:rStyle w:val="SCCCounselNameChar"/>
        </w:rPr>
        <w:t xml:space="preserve">Azim Hussain </w:t>
      </w:r>
      <w:r w:rsidRPr="00602FCF">
        <w:rPr>
          <w:rStyle w:val="SCCCounselSeparatorChar"/>
        </w:rPr>
        <w:t xml:space="preserve">and </w:t>
      </w:r>
      <w:r w:rsidRPr="00602FCF">
        <w:rPr>
          <w:rStyle w:val="SCCCounselNameChar"/>
        </w:rPr>
        <w:t>Jean</w:t>
      </w:r>
      <w:r w:rsidR="002A5497">
        <w:rPr>
          <w:rStyle w:val="SCCCounselNameChar"/>
        </w:rPr>
        <w:noBreakHyphen/>
      </w:r>
      <w:r w:rsidRPr="00602FCF">
        <w:rPr>
          <w:rStyle w:val="SCCCounselNameChar"/>
        </w:rPr>
        <w:t>Simon Schoenholz</w:t>
      </w:r>
      <w:r w:rsidRPr="00602FCF">
        <w:rPr>
          <w:rStyle w:val="SCCCounselPartyRoleChar"/>
        </w:rPr>
        <w:t>, for the intervener</w:t>
      </w:r>
      <w:r w:rsidR="00602FCF" w:rsidRPr="00602FCF">
        <w:rPr>
          <w:rStyle w:val="SCCCounselPartyRoleChar"/>
        </w:rPr>
        <w:t xml:space="preserve"> the</w:t>
      </w:r>
      <w:r w:rsidRPr="00602FCF">
        <w:rPr>
          <w:rStyle w:val="SCCCounselPartyRoleChar"/>
        </w:rPr>
        <w:t xml:space="preserve"> Canadian Superior Courts Judges Association.</w:t>
      </w:r>
    </w:p>
    <w:p w14:paraId="726C3D46" w14:textId="3C827178" w:rsidR="00F218B2" w:rsidRPr="00602FCF" w:rsidRDefault="00A52A9A" w:rsidP="00A52A9A">
      <w:pPr>
        <w:pStyle w:val="SCCNormalDoubleSpacing"/>
        <w:spacing w:after="480"/>
      </w:pPr>
      <w:r>
        <w:rPr>
          <w:rStyle w:val="SCCCounselNameChar"/>
        </w:rPr>
        <w:tab/>
        <w:t>Guy </w:t>
      </w:r>
      <w:r w:rsidR="005F6F8F" w:rsidRPr="00602FCF">
        <w:rPr>
          <w:rStyle w:val="SCCCounselNameChar"/>
        </w:rPr>
        <w:t>J. Pratte</w:t>
      </w:r>
      <w:r w:rsidR="005F6F8F" w:rsidRPr="00602FCF">
        <w:rPr>
          <w:rStyle w:val="SCCCounselSeparatorChar"/>
        </w:rPr>
        <w:t xml:space="preserve">, </w:t>
      </w:r>
      <w:r w:rsidR="005F6F8F" w:rsidRPr="00602FCF">
        <w:rPr>
          <w:rStyle w:val="SCCCounselNameChar"/>
        </w:rPr>
        <w:t>Ewa Krajewska</w:t>
      </w:r>
      <w:r w:rsidR="005F6F8F" w:rsidRPr="00602FCF">
        <w:rPr>
          <w:rStyle w:val="SCCCounselSeparatorChar"/>
        </w:rPr>
        <w:t xml:space="preserve"> and </w:t>
      </w:r>
      <w:r w:rsidR="005F6F8F" w:rsidRPr="00602FCF">
        <w:rPr>
          <w:rStyle w:val="SCCCounselNameChar"/>
        </w:rPr>
        <w:t>Neil Abraham</w:t>
      </w:r>
      <w:r w:rsidR="005F6F8F" w:rsidRPr="00602FCF">
        <w:rPr>
          <w:rStyle w:val="SCCCounselPartyRoleChar"/>
        </w:rPr>
        <w:t xml:space="preserve">, for the intervener </w:t>
      </w:r>
      <w:r w:rsidR="00602FCF" w:rsidRPr="00602FCF">
        <w:rPr>
          <w:rStyle w:val="SCCCounselPartyRoleChar"/>
        </w:rPr>
        <w:t xml:space="preserve">the </w:t>
      </w:r>
      <w:r w:rsidR="005F6F8F" w:rsidRPr="00602FCF">
        <w:rPr>
          <w:rStyle w:val="SCCCounselPartyRoleChar"/>
        </w:rPr>
        <w:t>Canadian Bar Association.</w:t>
      </w:r>
    </w:p>
    <w:p w14:paraId="2E919105" w14:textId="2836A8F4" w:rsidR="00F218B2" w:rsidRPr="00602FCF" w:rsidRDefault="00A52A9A" w:rsidP="002A5497">
      <w:pPr>
        <w:pStyle w:val="SCCNormalDoubleSpacing"/>
        <w:spacing w:after="480"/>
      </w:pPr>
      <w:r>
        <w:rPr>
          <w:rStyle w:val="SCCCounselNameChar"/>
        </w:rPr>
        <w:tab/>
        <w:t>Steven </w:t>
      </w:r>
      <w:r w:rsidR="005F6F8F" w:rsidRPr="00602FCF">
        <w:rPr>
          <w:rStyle w:val="SCCCounselNameChar"/>
        </w:rPr>
        <w:t>M. Barrett</w:t>
      </w:r>
      <w:r w:rsidR="005F6F8F" w:rsidRPr="00602FCF">
        <w:rPr>
          <w:rStyle w:val="SCCCounselSeparatorChar"/>
        </w:rPr>
        <w:t xml:space="preserve"> and </w:t>
      </w:r>
      <w:r w:rsidR="005F6F8F" w:rsidRPr="00602FCF">
        <w:rPr>
          <w:rStyle w:val="SCCCounselNameChar"/>
        </w:rPr>
        <w:t>Colleen Bauman</w:t>
      </w:r>
      <w:r w:rsidR="005F6F8F" w:rsidRPr="00602FCF">
        <w:rPr>
          <w:rStyle w:val="SCCCounselPartyRoleChar"/>
        </w:rPr>
        <w:t>, for the intervener</w:t>
      </w:r>
      <w:r w:rsidR="00602FCF" w:rsidRPr="00602FCF">
        <w:rPr>
          <w:rStyle w:val="SCCCounselPartyRoleChar"/>
        </w:rPr>
        <w:t xml:space="preserve"> the</w:t>
      </w:r>
      <w:r w:rsidR="005F6F8F" w:rsidRPr="00602FCF">
        <w:rPr>
          <w:rStyle w:val="SCCCounselPartyRoleChar"/>
        </w:rPr>
        <w:t xml:space="preserve"> Canadian Association of Provincial Court Judges.</w:t>
      </w:r>
    </w:p>
    <w:p w14:paraId="27B7B426" w14:textId="77777777" w:rsidR="00F218B2" w:rsidRPr="00030822" w:rsidRDefault="005F6F8F" w:rsidP="002A5497">
      <w:pPr>
        <w:pStyle w:val="SCCNormalDoubleSpacing"/>
        <w:spacing w:after="480"/>
      </w:pPr>
      <w:r w:rsidRPr="00030822">
        <w:rPr>
          <w:rStyle w:val="SCCCounselNameChar"/>
        </w:rPr>
        <w:tab/>
        <w:t>Adam Goldenberg</w:t>
      </w:r>
      <w:r w:rsidRPr="00030822">
        <w:rPr>
          <w:rStyle w:val="SCCCounselSeparatorChar"/>
        </w:rPr>
        <w:t xml:space="preserve"> and </w:t>
      </w:r>
      <w:r w:rsidR="00030822" w:rsidRPr="00030822">
        <w:rPr>
          <w:rStyle w:val="SCCCounselNameChar"/>
        </w:rPr>
        <w:t>Stephanie Willsey</w:t>
      </w:r>
      <w:r w:rsidRPr="00030822">
        <w:rPr>
          <w:rStyle w:val="SCCCounselPartyRoleChar"/>
        </w:rPr>
        <w:t xml:space="preserve">, for the intervener </w:t>
      </w:r>
      <w:r w:rsidR="00030822" w:rsidRPr="00030822">
        <w:rPr>
          <w:rStyle w:val="SCCCounselPartyRoleChar"/>
        </w:rPr>
        <w:t xml:space="preserve">the </w:t>
      </w:r>
      <w:r w:rsidRPr="00030822">
        <w:rPr>
          <w:rStyle w:val="SCCCounselPartyRoleChar"/>
        </w:rPr>
        <w:t>Canadian Taxpayers Federation.</w:t>
      </w:r>
    </w:p>
    <w:p w14:paraId="632C0812" w14:textId="4E708516" w:rsidR="00E24573" w:rsidRPr="00803185" w:rsidRDefault="00A52A9A" w:rsidP="00803185">
      <w:pPr>
        <w:pStyle w:val="SCCNormalDoubleSpacing"/>
        <w:spacing w:after="480"/>
      </w:pPr>
      <w:r>
        <w:rPr>
          <w:rStyle w:val="SCCCounselNameChar"/>
        </w:rPr>
        <w:tab/>
        <w:t>Andrew </w:t>
      </w:r>
      <w:r w:rsidR="005F6F8F" w:rsidRPr="00030822">
        <w:rPr>
          <w:rStyle w:val="SCCCounselNameChar"/>
        </w:rPr>
        <w:t>K. Lokan</w:t>
      </w:r>
      <w:r w:rsidR="00030822" w:rsidRPr="00030822">
        <w:rPr>
          <w:rStyle w:val="SCCCounselPartyRoleChar"/>
        </w:rPr>
        <w:t xml:space="preserve"> and </w:t>
      </w:r>
      <w:r w:rsidR="00030822" w:rsidRPr="00030822">
        <w:rPr>
          <w:rStyle w:val="SCCCounselPartyRoleChar"/>
          <w:i/>
        </w:rPr>
        <w:t>Lauren Pearce</w:t>
      </w:r>
      <w:r w:rsidR="00030822" w:rsidRPr="00030822">
        <w:rPr>
          <w:rStyle w:val="SCCCounselPartyRoleChar"/>
        </w:rPr>
        <w:t>,</w:t>
      </w:r>
      <w:r w:rsidR="005F6F8F" w:rsidRPr="00030822">
        <w:rPr>
          <w:rStyle w:val="SCCCounselPartyRoleChar"/>
        </w:rPr>
        <w:t xml:space="preserve"> for the intervener</w:t>
      </w:r>
      <w:r w:rsidR="00030822" w:rsidRPr="00030822">
        <w:rPr>
          <w:rStyle w:val="SCCCounselPartyRoleChar"/>
        </w:rPr>
        <w:t xml:space="preserve"> the</w:t>
      </w:r>
      <w:r w:rsidR="005F6F8F" w:rsidRPr="00030822">
        <w:rPr>
          <w:rStyle w:val="SCCCounselPartyRoleChar"/>
        </w:rPr>
        <w:t xml:space="preserve"> Canadian Civil Liberties Association.</w:t>
      </w:r>
    </w:p>
    <w:p w14:paraId="6E9F5FF8" w14:textId="28202417" w:rsidR="0080188D" w:rsidRPr="00803185" w:rsidRDefault="0080188D" w:rsidP="00803185">
      <w:pPr>
        <w:spacing w:after="480"/>
        <w:ind w:left="1170"/>
        <w:rPr>
          <w:szCs w:val="24"/>
        </w:rPr>
      </w:pPr>
      <w:r w:rsidRPr="0006010D">
        <w:rPr>
          <w:szCs w:val="24"/>
        </w:rPr>
        <w:t>The judgment of the Court was delivered by</w:t>
      </w:r>
    </w:p>
    <w:p w14:paraId="733193BE" w14:textId="4B590591" w:rsidR="0080188D" w:rsidRPr="00FF39DD" w:rsidRDefault="00803185" w:rsidP="0080188D">
      <w:pPr>
        <w:pStyle w:val="ParaNoNdepar-AltN"/>
        <w:rPr>
          <w:rFonts w:cs="Times New Roman"/>
        </w:rPr>
      </w:pPr>
      <w:r w:rsidRPr="00803185">
        <w:rPr>
          <w:smallCaps/>
        </w:rPr>
        <w:t>Karakatsanis J</w:t>
      </w:r>
      <w:r w:rsidRPr="00FF39DD">
        <w:t xml:space="preserve">. — </w:t>
      </w:r>
      <w:r w:rsidR="0080188D" w:rsidRPr="00FF39DD">
        <w:rPr>
          <w:rFonts w:cs="Times New Roman"/>
        </w:rPr>
        <w:t>This appeal arises in litigation that implicates the relationship between two branches of the state. It requires this Court to balance several constitutional imperatives relating to the administration of justice and the separation of powers between the executive, legislative and judicial branches of the state: the financial dimension of judicial independence; the shared responsibility of the executive and legislature to make decisions about public money; and the public interest in ensuring the executive can conduct its i</w:t>
      </w:r>
      <w:r w:rsidR="00172561">
        <w:rPr>
          <w:rFonts w:cs="Times New Roman"/>
        </w:rPr>
        <w:t>nternal business in confidence.</w:t>
      </w:r>
    </w:p>
    <w:p w14:paraId="4FFDDA88" w14:textId="13B65529" w:rsidR="0080188D" w:rsidRPr="00FF39DD" w:rsidRDefault="0080188D" w:rsidP="0080188D">
      <w:pPr>
        <w:pStyle w:val="ParaNoNdepar-AltN"/>
        <w:rPr>
          <w:rFonts w:cs="Times New Roman"/>
        </w:rPr>
      </w:pPr>
      <w:r w:rsidRPr="00FF39DD">
        <w:rPr>
          <w:rFonts w:cs="Times New Roman"/>
        </w:rPr>
        <w:lastRenderedPageBreak/>
        <w:t xml:space="preserve">This appeal, along with its companion appeal, </w:t>
      </w:r>
      <w:r w:rsidRPr="00FF39DD">
        <w:rPr>
          <w:rFonts w:cs="Times New Roman"/>
          <w:i/>
        </w:rPr>
        <w:t>Nova Scotia (Attorney General) v. Judges of the Provincial Court and Family Court of Nova Scotia</w:t>
      </w:r>
      <w:r w:rsidRPr="00FF39DD">
        <w:rPr>
          <w:rFonts w:cs="Times New Roman"/>
        </w:rPr>
        <w:t>, 2020 SCC 21,</w:t>
      </w:r>
      <w:r w:rsidR="00803185">
        <w:rPr>
          <w:rFonts w:cs="Times New Roman"/>
        </w:rPr>
        <w:t xml:space="preserve"> </w:t>
      </w:r>
      <w:r w:rsidR="00803185">
        <w:t>[2020</w:t>
      </w:r>
      <w:r w:rsidR="00803185" w:rsidRPr="00A0779E">
        <w:t xml:space="preserve">] </w:t>
      </w:r>
      <w:r w:rsidR="002F1D65">
        <w:t>2</w:t>
      </w:r>
      <w:r w:rsidR="00803185">
        <w:t xml:space="preserve"> S.C.R. </w:t>
      </w:r>
      <w:r w:rsidR="001D0477">
        <w:t>556</w:t>
      </w:r>
      <w:r w:rsidR="00803185">
        <w:t>,</w:t>
      </w:r>
      <w:r w:rsidRPr="00FF39DD">
        <w:rPr>
          <w:rFonts w:cs="Times New Roman"/>
        </w:rPr>
        <w:t xml:space="preserve"> asks whether a Cabinet submission concerning a government’s response to a judicial compensation commission’s recommendations is properly part of the record on a judicial review of the government’s response. If so, the further issue arises whether the Attorney General of British Columbia should nevertheless be permitted to refuse to produce the submission on grounds of public interest immunity.</w:t>
      </w:r>
    </w:p>
    <w:p w14:paraId="58B56CA5" w14:textId="77777777" w:rsidR="0080188D" w:rsidRPr="00FF39DD" w:rsidRDefault="0080188D" w:rsidP="0080188D">
      <w:pPr>
        <w:pStyle w:val="ParaNoNdepar-AltN"/>
        <w:rPr>
          <w:rFonts w:cs="Times New Roman"/>
        </w:rPr>
      </w:pPr>
      <w:r w:rsidRPr="00FF39DD">
        <w:rPr>
          <w:rFonts w:cs="Times New Roman"/>
        </w:rPr>
        <w:t>The British Columbia courts found that the confidential Cabinet document requested by the Provincial Court Judges’ Association of British Columbia was relevant and not protected by public interest immunity, and ordered that the Attorney General produce it.</w:t>
      </w:r>
    </w:p>
    <w:p w14:paraId="4315DC98" w14:textId="77777777" w:rsidR="0080188D" w:rsidRPr="00FF39DD" w:rsidRDefault="0080188D" w:rsidP="0080188D">
      <w:pPr>
        <w:pStyle w:val="ParaNoNdepar-AltN"/>
        <w:rPr>
          <w:rFonts w:cs="Times New Roman"/>
        </w:rPr>
      </w:pPr>
      <w:r w:rsidRPr="00FF39DD">
        <w:rPr>
          <w:rFonts w:cs="Times New Roman"/>
        </w:rPr>
        <w:t>In my view, they were wrong to do so.</w:t>
      </w:r>
    </w:p>
    <w:p w14:paraId="38BC8737" w14:textId="5EAB1DC0" w:rsidR="0080188D" w:rsidRPr="00FF39DD" w:rsidRDefault="0080188D" w:rsidP="0080188D">
      <w:pPr>
        <w:pStyle w:val="ParaNoNdepar-AltN"/>
        <w:rPr>
          <w:rFonts w:cs="Times New Roman"/>
        </w:rPr>
      </w:pPr>
      <w:r w:rsidRPr="00FF39DD">
        <w:rPr>
          <w:rFonts w:cs="Times New Roman"/>
        </w:rPr>
        <w:t xml:space="preserve">In its judicial independence case law, this Court has consistently sought to strike a balance between several competing constitutional considerations by establishing a unique process for setting judicial remuneration, backed up by a focused, yet robust form of judicial review described in </w:t>
      </w:r>
      <w:r w:rsidRPr="00FF39DD">
        <w:rPr>
          <w:rFonts w:cs="Times New Roman"/>
          <w:i/>
        </w:rPr>
        <w:t>Bodner v. Alberta</w:t>
      </w:r>
      <w:r w:rsidRPr="00FF39DD">
        <w:rPr>
          <w:rFonts w:cs="Times New Roman"/>
        </w:rPr>
        <w:t xml:space="preserve">, 2005 SCC 44, </w:t>
      </w:r>
      <w:r w:rsidRPr="00FF39DD">
        <w:rPr>
          <w:rFonts w:cs="Times New Roman"/>
          <w:lang w:val="en-US"/>
        </w:rPr>
        <w:t>[2005] 2 S.C.R. 286</w:t>
      </w:r>
      <w:r w:rsidRPr="00FF39DD">
        <w:rPr>
          <w:rFonts w:cs="Times New Roman"/>
        </w:rPr>
        <w:t>.</w:t>
      </w:r>
      <w:r w:rsidRPr="00172561">
        <w:rPr>
          <w:rStyle w:val="Hyperlink"/>
          <w:color w:val="auto"/>
          <w:u w:val="none"/>
          <w:vertAlign w:val="superscript"/>
        </w:rPr>
        <w:footnoteReference w:id="1"/>
      </w:r>
      <w:r w:rsidRPr="00FF39DD">
        <w:rPr>
          <w:rFonts w:cs="Times New Roman"/>
        </w:rPr>
        <w:t xml:space="preserve"> In resolving this appeal, the rules of evidence and production must be </w:t>
      </w:r>
      <w:r w:rsidRPr="00FF39DD">
        <w:rPr>
          <w:rFonts w:cs="Times New Roman"/>
        </w:rPr>
        <w:lastRenderedPageBreak/>
        <w:t xml:space="preserve">applied in a manner that reflects the unique features of the limited review described in </w:t>
      </w:r>
      <w:r w:rsidRPr="00FF39DD">
        <w:rPr>
          <w:rFonts w:cs="Times New Roman"/>
          <w:i/>
        </w:rPr>
        <w:t>Bodner</w:t>
      </w:r>
      <w:r w:rsidRPr="00FF39DD">
        <w:rPr>
          <w:rFonts w:cs="Times New Roman"/>
        </w:rPr>
        <w:t>,</w:t>
      </w:r>
      <w:r w:rsidRPr="00FF39DD">
        <w:rPr>
          <w:rFonts w:cs="Times New Roman"/>
          <w:i/>
        </w:rPr>
        <w:t xml:space="preserve"> </w:t>
      </w:r>
      <w:r w:rsidRPr="00FF39DD">
        <w:rPr>
          <w:rFonts w:cs="Times New Roman"/>
        </w:rPr>
        <w:t>and respects both judicial independence and the confidential</w:t>
      </w:r>
      <w:r w:rsidR="00172561">
        <w:rPr>
          <w:rFonts w:cs="Times New Roman"/>
        </w:rPr>
        <w:t>ity of Cabinet decision making.</w:t>
      </w:r>
    </w:p>
    <w:p w14:paraId="339C1436" w14:textId="77777777" w:rsidR="0080188D" w:rsidRPr="00FF39DD" w:rsidRDefault="0080188D" w:rsidP="0080188D">
      <w:pPr>
        <w:pStyle w:val="ParaNoNdepar-AltN"/>
        <w:rPr>
          <w:rFonts w:cs="Times New Roman"/>
        </w:rPr>
      </w:pPr>
      <w:r w:rsidRPr="00FF39DD">
        <w:rPr>
          <w:rFonts w:cs="Times New Roman"/>
        </w:rPr>
        <w:t xml:space="preserve">For the reasons that follow, where a party seeking </w:t>
      </w:r>
      <w:r w:rsidRPr="00FF39DD">
        <w:rPr>
          <w:rFonts w:cs="Times New Roman"/>
          <w:i/>
        </w:rPr>
        <w:t xml:space="preserve">Bodner </w:t>
      </w:r>
      <w:r w:rsidRPr="00FF39DD">
        <w:rPr>
          <w:rFonts w:cs="Times New Roman"/>
        </w:rPr>
        <w:t xml:space="preserve">review requests that the government produce a document relating to Cabinet deliberations, it must first establish that there is some basis to believe that the document may contain evidence which tends to show that the government failed to meet one of the requirements described in </w:t>
      </w:r>
      <w:r w:rsidRPr="00FF39DD">
        <w:rPr>
          <w:rFonts w:cs="Times New Roman"/>
          <w:i/>
        </w:rPr>
        <w:t>Bodner</w:t>
      </w:r>
      <w:r w:rsidRPr="00FF39DD">
        <w:rPr>
          <w:rFonts w:cs="Times New Roman"/>
        </w:rPr>
        <w:t xml:space="preserve">. Only then would the government be required to produce the document for judicial inspection. If the document does in fact provide some evidence which tends to show that the government’s response does not comply with the constitutional requirements, the court can then determine whether its production is barred by public interest immunity or another rule of evidence invoked by the government. </w:t>
      </w:r>
    </w:p>
    <w:p w14:paraId="05C01D2F" w14:textId="0CA4E9D4" w:rsidR="0080188D" w:rsidRPr="00FF39DD" w:rsidRDefault="0080188D" w:rsidP="0080188D">
      <w:pPr>
        <w:pStyle w:val="ParaNoNdepar-AltN"/>
        <w:rPr>
          <w:rFonts w:cs="Times New Roman"/>
        </w:rPr>
      </w:pPr>
      <w:r w:rsidRPr="00FF39DD">
        <w:rPr>
          <w:rFonts w:cs="Times New Roman"/>
        </w:rPr>
        <w:t xml:space="preserve">Public interest immunity requires a careful balancing between the competing public interests in confidentiality and disclosure. Since there will be a strong public interest in keeping a document concerning Cabinet deliberations confidential, it must be outweighed by a still stronger public interest to warrant the document’s disclosure. In the </w:t>
      </w:r>
      <w:r w:rsidRPr="00FF39DD">
        <w:rPr>
          <w:rFonts w:cs="Times New Roman"/>
          <w:i/>
        </w:rPr>
        <w:t>Bodner</w:t>
      </w:r>
      <w:r w:rsidRPr="00FF39DD">
        <w:rPr>
          <w:rFonts w:cs="Times New Roman"/>
        </w:rPr>
        <w:t xml:space="preserve"> context, the strength of the public interest in disclosure will often depend on the importance of the document to determining the issues before the court in the </w:t>
      </w:r>
      <w:r w:rsidRPr="00FF39DD">
        <w:rPr>
          <w:rFonts w:cs="Times New Roman"/>
          <w:i/>
        </w:rPr>
        <w:t>Bodner</w:t>
      </w:r>
      <w:r w:rsidR="00E66F3C">
        <w:rPr>
          <w:rFonts w:cs="Times New Roman"/>
        </w:rPr>
        <w:t xml:space="preserve"> review.</w:t>
      </w:r>
    </w:p>
    <w:p w14:paraId="362C4514" w14:textId="77777777" w:rsidR="0080188D" w:rsidRPr="00FF39DD" w:rsidRDefault="0080188D" w:rsidP="0080188D">
      <w:pPr>
        <w:pStyle w:val="ParaNoNdepar-AltN"/>
        <w:rPr>
          <w:rFonts w:cs="Times New Roman"/>
        </w:rPr>
      </w:pPr>
      <w:r w:rsidRPr="00FF39DD">
        <w:rPr>
          <w:rFonts w:cs="Times New Roman"/>
        </w:rPr>
        <w:lastRenderedPageBreak/>
        <w:t>Here, the Provincial Court Judges’ Association did not meet the threshold necessary to compel production of a confidential Cabinet document for judicial inspection. While this is not a high bar, it is not met simply by showing that the government considered the Cabinet document before making its response. I would allow the appeal and quash the order for production of the Cabinet submission.</w:t>
      </w:r>
    </w:p>
    <w:p w14:paraId="5B62E229" w14:textId="77777777" w:rsidR="0080188D" w:rsidRPr="00FF39DD" w:rsidRDefault="0080188D" w:rsidP="0080188D">
      <w:pPr>
        <w:pStyle w:val="Title1LevelTitre1Niveau-AltL"/>
        <w:ind w:left="578" w:hanging="578"/>
        <w:outlineLvl w:val="1"/>
        <w:rPr>
          <w:rFonts w:cs="Times New Roman"/>
        </w:rPr>
      </w:pPr>
      <w:r w:rsidRPr="00FF39DD">
        <w:rPr>
          <w:rFonts w:cs="Times New Roman"/>
        </w:rPr>
        <w:t>Background</w:t>
      </w:r>
    </w:p>
    <w:p w14:paraId="7B8B2D30" w14:textId="77777777" w:rsidR="0080188D" w:rsidRPr="00FF39DD" w:rsidRDefault="0080188D" w:rsidP="0080188D">
      <w:pPr>
        <w:pStyle w:val="Title2LevelTitre2Niveau"/>
        <w:ind w:left="578" w:hanging="578"/>
        <w:rPr>
          <w:rFonts w:cs="Times New Roman"/>
        </w:rPr>
      </w:pPr>
      <w:r w:rsidRPr="00FF39DD">
        <w:rPr>
          <w:rFonts w:cs="Times New Roman"/>
        </w:rPr>
        <w:t>Judicial Compensation Act, S.B.C. 2003, c. 59</w:t>
      </w:r>
    </w:p>
    <w:p w14:paraId="255172AA" w14:textId="77777777" w:rsidR="0080188D" w:rsidRPr="00FF39DD" w:rsidRDefault="0080188D" w:rsidP="0080188D">
      <w:pPr>
        <w:pStyle w:val="ParaNoNdepar-AltN"/>
        <w:rPr>
          <w:rFonts w:cs="Times New Roman"/>
        </w:rPr>
      </w:pPr>
      <w:r w:rsidRPr="00FF39DD">
        <w:rPr>
          <w:rFonts w:cs="Times New Roman"/>
        </w:rPr>
        <w:t xml:space="preserve">In the </w:t>
      </w:r>
      <w:r w:rsidRPr="00FF39DD">
        <w:rPr>
          <w:rFonts w:cs="Times New Roman"/>
          <w:i/>
        </w:rPr>
        <w:t>Reference re Remuneration of Judges of the Provincial Court of Prince Edward Island</w:t>
      </w:r>
      <w:r w:rsidRPr="00FF39DD">
        <w:rPr>
          <w:rFonts w:cs="Times New Roman"/>
        </w:rPr>
        <w:t>, [1997] 3 S.C.R. 3 (</w:t>
      </w:r>
      <w:r w:rsidRPr="00FF39DD">
        <w:rPr>
          <w:rFonts w:cs="Times New Roman"/>
          <w:i/>
        </w:rPr>
        <w:t>Provincial Judges Reference</w:t>
      </w:r>
      <w:r w:rsidRPr="00FF39DD">
        <w:rPr>
          <w:rFonts w:cs="Times New Roman"/>
        </w:rPr>
        <w:t xml:space="preserve">), this Court set out the constitutional baseline for making changes to judicial remuneration. The </w:t>
      </w:r>
      <w:r w:rsidRPr="00FF39DD">
        <w:rPr>
          <w:rFonts w:cs="Times New Roman"/>
          <w:i/>
        </w:rPr>
        <w:t>Judicial Compensation Act</w:t>
      </w:r>
      <w:r w:rsidRPr="00FF39DD">
        <w:rPr>
          <w:rFonts w:cs="Times New Roman"/>
        </w:rPr>
        <w:t xml:space="preserve"> implements that baseline in British Columbia.</w:t>
      </w:r>
    </w:p>
    <w:p w14:paraId="40A8B0B6" w14:textId="2DAB2104" w:rsidR="0080188D" w:rsidRPr="00FF39DD" w:rsidRDefault="0080188D" w:rsidP="0080188D">
      <w:pPr>
        <w:pStyle w:val="ParaNoNdepar-AltN"/>
        <w:rPr>
          <w:rFonts w:cs="Times New Roman"/>
        </w:rPr>
      </w:pPr>
      <w:r w:rsidRPr="00FF39DD">
        <w:rPr>
          <w:rFonts w:cs="Times New Roman"/>
        </w:rPr>
        <w:t xml:space="preserve">The </w:t>
      </w:r>
      <w:r w:rsidRPr="00FF39DD">
        <w:rPr>
          <w:rFonts w:cs="Times New Roman"/>
          <w:i/>
        </w:rPr>
        <w:t>Judicial Compensation Act</w:t>
      </w:r>
      <w:r w:rsidRPr="00FF39DD">
        <w:rPr>
          <w:rFonts w:cs="Times New Roman"/>
        </w:rPr>
        <w:t xml:space="preserve"> provides for the appointment of a triennial judicial compensation commission to make recommendations about the remuneration, allowances and benefits of provincial judges and judicial justices: ss. 2 and 5(1). The commission must consider a prescribed set of factors and may consider other factors, provided it justifies their relevance: s. 5(5), (5.1) and (5.2). The commission communicates its recommendations in a final report to the Attorney General: s. 5(3).</w:t>
      </w:r>
      <w:r w:rsidRPr="00E66F3C">
        <w:rPr>
          <w:rStyle w:val="Hyperlink"/>
          <w:color w:val="auto"/>
          <w:u w:val="none"/>
          <w:vertAlign w:val="superscript"/>
        </w:rPr>
        <w:footnoteReference w:id="2"/>
      </w:r>
    </w:p>
    <w:p w14:paraId="228FFE80" w14:textId="191E565F" w:rsidR="0080188D" w:rsidRPr="00FF39DD" w:rsidRDefault="0080188D" w:rsidP="0080188D">
      <w:pPr>
        <w:pStyle w:val="ParaNoNdepar-AltN"/>
        <w:rPr>
          <w:rFonts w:cs="Times New Roman"/>
        </w:rPr>
      </w:pPr>
      <w:r w:rsidRPr="00FF39DD">
        <w:rPr>
          <w:rFonts w:cs="Times New Roman"/>
        </w:rPr>
        <w:lastRenderedPageBreak/>
        <w:t>Upon receipt of the commission’s report, the Attorney General must then lay the report before the Legislative Assembly of British Columbia within a statutory timeline: s. 6(1). The Attorney General must also advise the Assembly that if it does not reject the commission’s recommendations within a statutory timeline, the recommendations will go into effect: s. 6(1) and (3). The Assembly can then pass a resolution rejecting one or more recommendations and set judicial remuneration, allowances and benefits: s. 6(2). The resolution has binding legal effect: ss. 6(4) and 8(1).</w:t>
      </w:r>
    </w:p>
    <w:p w14:paraId="092339D0" w14:textId="77777777" w:rsidR="0080188D" w:rsidRPr="00FF39DD" w:rsidRDefault="0080188D" w:rsidP="0080188D">
      <w:pPr>
        <w:pStyle w:val="Title2LevelTitre2Niveau"/>
        <w:ind w:left="578" w:hanging="578"/>
        <w:rPr>
          <w:rFonts w:cs="Times New Roman"/>
        </w:rPr>
      </w:pPr>
      <w:r w:rsidRPr="00FF39DD">
        <w:rPr>
          <w:rFonts w:cs="Times New Roman"/>
        </w:rPr>
        <w:t>Judicial Compensation Commission’s Recommendations and Government’s Response</w:t>
      </w:r>
    </w:p>
    <w:p w14:paraId="276D94B7" w14:textId="77777777" w:rsidR="0080188D" w:rsidRPr="00FF39DD" w:rsidRDefault="0080188D" w:rsidP="0080188D">
      <w:pPr>
        <w:pStyle w:val="ParaNoNdepar-AltN"/>
        <w:rPr>
          <w:rFonts w:cs="Times New Roman"/>
        </w:rPr>
      </w:pPr>
      <w:r w:rsidRPr="00FF39DD">
        <w:rPr>
          <w:rFonts w:cs="Times New Roman"/>
        </w:rPr>
        <w:t>In October 2016, the Judicial Compensation Commission submitted its final report to the Attorney General and made recommendations for the 2017</w:t>
      </w:r>
      <w:r w:rsidRPr="00FF39DD">
        <w:rPr>
          <w:rFonts w:cs="Times New Roman"/>
        </w:rPr>
        <w:noBreakHyphen/>
        <w:t>20 period. The commission recommended an 8.2 percent increase in the salary of provincial judges in 2017</w:t>
      </w:r>
      <w:r w:rsidRPr="00FF39DD">
        <w:rPr>
          <w:rFonts w:cs="Times New Roman"/>
        </w:rPr>
        <w:noBreakHyphen/>
        <w:t>18 and a 1.5 percent increase in both 2018</w:t>
      </w:r>
      <w:r w:rsidRPr="00FF39DD">
        <w:rPr>
          <w:rFonts w:cs="Times New Roman"/>
        </w:rPr>
        <w:noBreakHyphen/>
        <w:t>19 and 2019</w:t>
      </w:r>
      <w:r w:rsidRPr="00FF39DD">
        <w:rPr>
          <w:rFonts w:cs="Times New Roman"/>
        </w:rPr>
        <w:noBreakHyphen/>
        <w:t>20.</w:t>
      </w:r>
      <w:r w:rsidRPr="00E66F3C">
        <w:rPr>
          <w:rStyle w:val="Hyperlink"/>
          <w:color w:val="auto"/>
          <w:u w:val="none"/>
          <w:vertAlign w:val="superscript"/>
        </w:rPr>
        <w:footnoteReference w:id="3"/>
      </w:r>
      <w:r w:rsidRPr="00FF39DD">
        <w:rPr>
          <w:rFonts w:cs="Times New Roman"/>
        </w:rPr>
        <w:t xml:space="preserve"> The commission also recommended that the Provincial Court Judges’ Association be reimbursed for the entirety of its costs of participating in the commission process.</w:t>
      </w:r>
    </w:p>
    <w:p w14:paraId="31EEF424" w14:textId="77777777" w:rsidR="0080188D" w:rsidRPr="00FF39DD" w:rsidRDefault="0080188D" w:rsidP="0080188D">
      <w:pPr>
        <w:pStyle w:val="ParaNoNdepar-AltN"/>
        <w:rPr>
          <w:rFonts w:cs="Times New Roman"/>
        </w:rPr>
      </w:pPr>
      <w:r w:rsidRPr="00FF39DD">
        <w:rPr>
          <w:rFonts w:cs="Times New Roman"/>
        </w:rPr>
        <w:t xml:space="preserve">At some point after the commission submitted its report, the Attorney General made a submission to Cabinet concerning the commission’s recommendations </w:t>
      </w:r>
      <w:r w:rsidRPr="00FF39DD">
        <w:rPr>
          <w:rFonts w:cs="Times New Roman"/>
        </w:rPr>
        <w:lastRenderedPageBreak/>
        <w:t>and the government’s response. The Cabinet submission is not in the record before this Court and was not put before the courts below. Moreover, there is no evidence in the record about what the submission might contain.</w:t>
      </w:r>
    </w:p>
    <w:p w14:paraId="3718E3BE" w14:textId="77777777" w:rsidR="0080188D" w:rsidRPr="00FF39DD" w:rsidRDefault="0080188D" w:rsidP="0080188D">
      <w:pPr>
        <w:pStyle w:val="ParaNoNdepar-AltN"/>
        <w:rPr>
          <w:rFonts w:cs="Times New Roman"/>
        </w:rPr>
      </w:pPr>
      <w:r w:rsidRPr="00FF39DD">
        <w:rPr>
          <w:rFonts w:cs="Times New Roman"/>
        </w:rPr>
        <w:t>Having laid the commission’s report before the Legislative Assembly in September 2017, the Attorney General tabled the government’s proposed response to the commission’s report in October 2017. The Attorney General did not table the Cabinet submission and there is no indication in the record that any member of the Legislative Assembly other than those serving in Cabinet was aware of the contents of the submission.</w:t>
      </w:r>
    </w:p>
    <w:p w14:paraId="50E5C19F" w14:textId="77777777" w:rsidR="0080188D" w:rsidRPr="00FF39DD" w:rsidRDefault="0080188D" w:rsidP="0080188D">
      <w:pPr>
        <w:pStyle w:val="ParaNoNdepar-AltN"/>
        <w:rPr>
          <w:rFonts w:cs="Times New Roman"/>
        </w:rPr>
      </w:pPr>
      <w:r w:rsidRPr="00FF39DD">
        <w:rPr>
          <w:rFonts w:cs="Times New Roman"/>
        </w:rPr>
        <w:t>The Attorney General moved to pass a resolution rejecting the commission’s recommended increase in the salary of provincial judges and adopting a 3.8 percent increase in 2017</w:t>
      </w:r>
      <w:r w:rsidRPr="00FF39DD">
        <w:rPr>
          <w:rFonts w:cs="Times New Roman"/>
        </w:rPr>
        <w:noBreakHyphen/>
        <w:t>18 and a 1.5 percent increase in both 2018</w:t>
      </w:r>
      <w:r w:rsidRPr="00FF39DD">
        <w:rPr>
          <w:rFonts w:cs="Times New Roman"/>
        </w:rPr>
        <w:noBreakHyphen/>
        <w:t>19 and 2019</w:t>
      </w:r>
      <w:r w:rsidRPr="00FF39DD">
        <w:rPr>
          <w:rFonts w:cs="Times New Roman"/>
        </w:rPr>
        <w:noBreakHyphen/>
        <w:t>20.</w:t>
      </w:r>
      <w:r w:rsidRPr="005017A0">
        <w:rPr>
          <w:rStyle w:val="Hyperlink"/>
          <w:color w:val="auto"/>
          <w:u w:val="none"/>
          <w:vertAlign w:val="superscript"/>
        </w:rPr>
        <w:footnoteReference w:id="4"/>
      </w:r>
      <w:r w:rsidRPr="00FF39DD">
        <w:rPr>
          <w:rFonts w:cs="Times New Roman"/>
        </w:rPr>
        <w:t xml:space="preserve"> The Attorney General also proposed reducing the recommended reimbursement for the Provincial Court Judges’ Association’s costs of participating in the commission process from approximately $93,000 to about $66,000 in accordance with the formula established by s. 7.1 of the </w:t>
      </w:r>
      <w:r w:rsidRPr="00FF39DD">
        <w:rPr>
          <w:rFonts w:cs="Times New Roman"/>
          <w:i/>
        </w:rPr>
        <w:t>Judicial Compensation Act</w:t>
      </w:r>
      <w:r w:rsidRPr="00FF39DD">
        <w:rPr>
          <w:rFonts w:cs="Times New Roman"/>
        </w:rPr>
        <w:t>. With the support of government and opposition members, the Legislative Assembly passed the resolution.</w:t>
      </w:r>
    </w:p>
    <w:p w14:paraId="1941C32F" w14:textId="77777777" w:rsidR="0080188D" w:rsidRPr="00FF39DD" w:rsidRDefault="0080188D" w:rsidP="0080188D">
      <w:pPr>
        <w:pStyle w:val="ParaNoNdepar-AltN"/>
        <w:rPr>
          <w:rFonts w:cs="Times New Roman"/>
        </w:rPr>
      </w:pPr>
      <w:r w:rsidRPr="00FF39DD">
        <w:rPr>
          <w:rFonts w:cs="Times New Roman"/>
        </w:rPr>
        <w:lastRenderedPageBreak/>
        <w:t xml:space="preserve">The Provincial Court Judges’ Association petitioned for judicial review of the Legislative Assembly’s resolution. Among other things, the Provincial Court Judges’ Association asked to have the resolution quashed and sought a declaration that the government’s response and the resolution were inconsistent with the </w:t>
      </w:r>
      <w:r w:rsidRPr="00FF39DD">
        <w:rPr>
          <w:rFonts w:cs="Times New Roman"/>
          <w:i/>
        </w:rPr>
        <w:t>Judicial Compensation Act</w:t>
      </w:r>
      <w:r w:rsidRPr="00FF39DD">
        <w:rPr>
          <w:rFonts w:cs="Times New Roman"/>
        </w:rPr>
        <w:t xml:space="preserve"> and with the constitutional principle of judicial independence.</w:t>
      </w:r>
    </w:p>
    <w:p w14:paraId="0AE9B46D" w14:textId="77777777" w:rsidR="0080188D" w:rsidRPr="00FF39DD" w:rsidRDefault="0080188D" w:rsidP="0080188D">
      <w:pPr>
        <w:pStyle w:val="ParaNoNdepar-AltN"/>
        <w:rPr>
          <w:rFonts w:cs="Times New Roman"/>
        </w:rPr>
      </w:pPr>
      <w:r w:rsidRPr="00FF39DD">
        <w:rPr>
          <w:rFonts w:cs="Times New Roman"/>
        </w:rPr>
        <w:t xml:space="preserve">In anticipation of the hearing of their petition on the merits, the Provincial Court Judges’ Association asked the Attorney General to produce the Cabinet submission relied on in preparing the government’s response. The Attorney General refused, so the Association sought an order to require the Attorney General to produce the submission: see </w:t>
      </w:r>
      <w:r w:rsidRPr="00FF39DD">
        <w:rPr>
          <w:rFonts w:cs="Times New Roman"/>
          <w:i/>
        </w:rPr>
        <w:t>Supreme Court Civil Rules</w:t>
      </w:r>
      <w:r w:rsidRPr="00FF39DD">
        <w:rPr>
          <w:rFonts w:cs="Times New Roman"/>
        </w:rPr>
        <w:t>, B.C. Reg. 168/2009, r. 22</w:t>
      </w:r>
      <w:r w:rsidRPr="00FF39DD">
        <w:rPr>
          <w:rFonts w:cs="Times New Roman"/>
        </w:rPr>
        <w:noBreakHyphen/>
        <w:t>1(4)(c).</w:t>
      </w:r>
    </w:p>
    <w:p w14:paraId="42BB5E9D" w14:textId="77777777" w:rsidR="0080188D" w:rsidRPr="00FF39DD" w:rsidRDefault="0080188D" w:rsidP="0080188D">
      <w:pPr>
        <w:pStyle w:val="Title1LevelTitre1Niveau-AltL"/>
        <w:ind w:left="578" w:hanging="578"/>
        <w:rPr>
          <w:rFonts w:cs="Times New Roman"/>
        </w:rPr>
      </w:pPr>
      <w:r w:rsidRPr="00FF39DD">
        <w:rPr>
          <w:rFonts w:cs="Times New Roman"/>
        </w:rPr>
        <w:t>Procedural History</w:t>
      </w:r>
    </w:p>
    <w:p w14:paraId="29297C89" w14:textId="77777777" w:rsidR="0080188D" w:rsidRPr="00FF39DD" w:rsidRDefault="0080188D" w:rsidP="0080188D">
      <w:pPr>
        <w:pStyle w:val="Title2LevelTitre2Niveau"/>
        <w:ind w:left="578" w:hanging="578"/>
        <w:rPr>
          <w:rFonts w:cs="Times New Roman"/>
        </w:rPr>
      </w:pPr>
      <w:r w:rsidRPr="00FF39DD">
        <w:rPr>
          <w:rFonts w:cs="Times New Roman"/>
        </w:rPr>
        <w:t>Supreme Court of British Columbia, 2018 BCSC 1193 (Master Muir)</w:t>
      </w:r>
    </w:p>
    <w:p w14:paraId="379B62E5" w14:textId="70974FE7" w:rsidR="0080188D" w:rsidRPr="00FF39DD" w:rsidRDefault="0080188D" w:rsidP="0080188D">
      <w:pPr>
        <w:pStyle w:val="ParaNoNdepar-AltN"/>
        <w:rPr>
          <w:rFonts w:cs="Times New Roman"/>
        </w:rPr>
      </w:pPr>
      <w:r w:rsidRPr="00FF39DD">
        <w:rPr>
          <w:rFonts w:cs="Times New Roman"/>
        </w:rPr>
        <w:t>The Provincial Court Judges’ Association’s motion was initially heard by a Supreme Court of British Columbia master. The master noted that the Attorney General did not contest that the government’s response was informed by a detailed submissio</w:t>
      </w:r>
      <w:r w:rsidR="00DA50B7">
        <w:rPr>
          <w:rFonts w:cs="Times New Roman"/>
        </w:rPr>
        <w:t>n to Cabinet: para. 9 (CanLII).</w:t>
      </w:r>
    </w:p>
    <w:p w14:paraId="5F2DBDD6" w14:textId="17BE7D5C" w:rsidR="0080188D" w:rsidRPr="00FF39DD" w:rsidRDefault="0080188D" w:rsidP="0080188D">
      <w:pPr>
        <w:pStyle w:val="ParaNoNdepar-AltN"/>
        <w:rPr>
          <w:rFonts w:cs="Times New Roman"/>
        </w:rPr>
      </w:pPr>
      <w:r w:rsidRPr="00FF39DD">
        <w:rPr>
          <w:rFonts w:cs="Times New Roman"/>
        </w:rPr>
        <w:t xml:space="preserve">Turning to relevance, while acknowledging that the government had not referred to or relied on the submission to Cabinet in making its decision, the master concluded that the submission was relevant to the </w:t>
      </w:r>
      <w:r w:rsidRPr="00FF39DD">
        <w:rPr>
          <w:rFonts w:cs="Times New Roman"/>
          <w:i/>
        </w:rPr>
        <w:t>Bodner</w:t>
      </w:r>
      <w:r w:rsidRPr="00FF39DD">
        <w:rPr>
          <w:rFonts w:cs="Times New Roman"/>
        </w:rPr>
        <w:t xml:space="preserve"> review and specifically to </w:t>
      </w:r>
      <w:r w:rsidRPr="00FF39DD">
        <w:rPr>
          <w:rFonts w:cs="Times New Roman"/>
        </w:rPr>
        <w:lastRenderedPageBreak/>
        <w:t>whether the government relied on a reasonable factual foundation in developing its response to the commission’s recommendation, and whether its response demonstrates meaningful engagement with the commissi</w:t>
      </w:r>
      <w:r w:rsidR="00DA50B7">
        <w:rPr>
          <w:rFonts w:cs="Times New Roman"/>
        </w:rPr>
        <w:t>on process: paras. 9 and 18</w:t>
      </w:r>
      <w:r w:rsidR="00DA50B7">
        <w:rPr>
          <w:rFonts w:cs="Times New Roman"/>
        </w:rPr>
        <w:noBreakHyphen/>
        <w:t>21.</w:t>
      </w:r>
    </w:p>
    <w:p w14:paraId="78D8A1FD" w14:textId="6D5CEB39" w:rsidR="0080188D" w:rsidRPr="00FF39DD" w:rsidRDefault="0080188D" w:rsidP="0080188D">
      <w:pPr>
        <w:pStyle w:val="ParaNoNdepar-AltN"/>
        <w:rPr>
          <w:rFonts w:cs="Times New Roman"/>
        </w:rPr>
      </w:pPr>
      <w:r w:rsidRPr="00FF39DD">
        <w:rPr>
          <w:rFonts w:cs="Times New Roman"/>
        </w:rPr>
        <w:t>Regarding public interest immunity, the master explained that the Attorney General did not provide any specific evidence of harm that would result from the production of the Cabinet submission: para. 23. The importance of review of the government’s response and the need for transparency outweighed the public interest in its remaining confidential: paras. 23 and 27. The master ordered the Attorney General to produce th</w:t>
      </w:r>
      <w:r w:rsidR="00DA50B7">
        <w:rPr>
          <w:rFonts w:cs="Times New Roman"/>
        </w:rPr>
        <w:t>e Cabinet submission: para. 28.</w:t>
      </w:r>
    </w:p>
    <w:p w14:paraId="29CB72A7" w14:textId="77777777" w:rsidR="0080188D" w:rsidRPr="00FF39DD" w:rsidRDefault="0080188D" w:rsidP="0080188D">
      <w:pPr>
        <w:pStyle w:val="Title2LevelTitre2Niveau"/>
        <w:ind w:left="578" w:hanging="578"/>
        <w:rPr>
          <w:rFonts w:cs="Times New Roman"/>
        </w:rPr>
      </w:pPr>
      <w:r w:rsidRPr="00FF39DD">
        <w:rPr>
          <w:rFonts w:cs="Times New Roman"/>
        </w:rPr>
        <w:t>Supreme Court of British Columbia, 2018 BCSC 1390, 19 B.C.L.R. (6th) 168 (Hinkson C.J.S.C.)</w:t>
      </w:r>
    </w:p>
    <w:p w14:paraId="7CFA415D" w14:textId="77777777" w:rsidR="0080188D" w:rsidRPr="00FF39DD" w:rsidRDefault="0080188D" w:rsidP="0080188D">
      <w:pPr>
        <w:pStyle w:val="ParaNoNdepar-AltN"/>
        <w:rPr>
          <w:rFonts w:cs="Times New Roman"/>
        </w:rPr>
      </w:pPr>
      <w:r w:rsidRPr="00FF39DD">
        <w:rPr>
          <w:rFonts w:cs="Times New Roman"/>
        </w:rPr>
        <w:t>The Supreme Court of British Columbia dismissed the appeal from the master’s decision. Like the master, the court did not examine the Cabinet submission: para. 45.</w:t>
      </w:r>
    </w:p>
    <w:p w14:paraId="27AA7EAE" w14:textId="77777777" w:rsidR="0080188D" w:rsidRPr="00FF39DD" w:rsidRDefault="0080188D" w:rsidP="0080188D">
      <w:pPr>
        <w:pStyle w:val="ParaNoNdepar-AltN"/>
        <w:rPr>
          <w:rFonts w:cs="Times New Roman"/>
        </w:rPr>
      </w:pPr>
      <w:r w:rsidRPr="00FF39DD">
        <w:rPr>
          <w:rFonts w:cs="Times New Roman"/>
        </w:rPr>
        <w:t>Hinkson C.J.S.C. found no error in the master’s conclusion that the Cabinet submission was relevant, agreeing that the submission was relevant to the issue whether the government respected the commission process such that the overall objectives of the process were achieved: paras. 34</w:t>
      </w:r>
      <w:r w:rsidRPr="00FF39DD">
        <w:rPr>
          <w:rFonts w:cs="Times New Roman"/>
        </w:rPr>
        <w:noBreakHyphen/>
        <w:t>35.</w:t>
      </w:r>
    </w:p>
    <w:p w14:paraId="52CA9048" w14:textId="77777777" w:rsidR="0080188D" w:rsidRPr="00FF39DD" w:rsidRDefault="0080188D" w:rsidP="0080188D">
      <w:pPr>
        <w:pStyle w:val="ParaNoNdepar-AltN"/>
        <w:rPr>
          <w:rFonts w:cs="Times New Roman"/>
        </w:rPr>
      </w:pPr>
      <w:r w:rsidRPr="00FF39DD">
        <w:rPr>
          <w:rFonts w:cs="Times New Roman"/>
        </w:rPr>
        <w:lastRenderedPageBreak/>
        <w:t xml:space="preserve">The court found no error in the master’s conclusion that public interest immunity did not apply based on the factors identified in </w:t>
      </w:r>
      <w:r w:rsidRPr="00FF39DD">
        <w:rPr>
          <w:rFonts w:cs="Times New Roman"/>
          <w:i/>
        </w:rPr>
        <w:t>Carey v. Ontario</w:t>
      </w:r>
      <w:r w:rsidRPr="00FF39DD">
        <w:rPr>
          <w:rFonts w:cs="Times New Roman"/>
        </w:rPr>
        <w:t>, [1986] 2 S.C.R. 637. The court emphasized that the submission related to the subject matter of the litigation and that the Attorney General did not offer in any evidence that any particular harm would flow from disclosure: para. 46.</w:t>
      </w:r>
    </w:p>
    <w:p w14:paraId="400E0767" w14:textId="77777777" w:rsidR="0080188D" w:rsidRPr="00FF39DD" w:rsidRDefault="0080188D" w:rsidP="0080188D">
      <w:pPr>
        <w:pStyle w:val="Title2LevelTitre2Niveau"/>
        <w:ind w:left="578" w:hanging="578"/>
        <w:rPr>
          <w:rFonts w:cs="Times New Roman"/>
        </w:rPr>
      </w:pPr>
      <w:r w:rsidRPr="00FF39DD">
        <w:rPr>
          <w:rFonts w:cs="Times New Roman"/>
        </w:rPr>
        <w:t>Court of Appeal for British Columbia, 2018 BCCA 394, 19 B.C.L.R. (6th) 188 (Bauman C.J.B.C., Harris and Dickson JJ.A.)</w:t>
      </w:r>
    </w:p>
    <w:p w14:paraId="753ECDCF" w14:textId="77777777" w:rsidR="0080188D" w:rsidRPr="00FF39DD" w:rsidRDefault="0080188D" w:rsidP="0080188D">
      <w:pPr>
        <w:pStyle w:val="ParaNoNdepar-AltN"/>
        <w:rPr>
          <w:rFonts w:cs="Times New Roman"/>
        </w:rPr>
      </w:pPr>
      <w:r w:rsidRPr="00FF39DD">
        <w:rPr>
          <w:rFonts w:cs="Times New Roman"/>
        </w:rPr>
        <w:t>The Court of Appeal for British Columbia dismissed the Attorney General’s further appeal from the Supreme Court’s decision. Writing for the Court of Appeal, Bauman C.J.B.C. explained that although the Legislative Assembly is the decision</w:t>
      </w:r>
      <w:r w:rsidRPr="00FF39DD">
        <w:rPr>
          <w:rFonts w:cs="Times New Roman"/>
        </w:rPr>
        <w:noBreakHyphen/>
        <w:t xml:space="preserve">maker under the </w:t>
      </w:r>
      <w:r w:rsidRPr="00FF39DD">
        <w:rPr>
          <w:rFonts w:cs="Times New Roman"/>
          <w:i/>
        </w:rPr>
        <w:t>Judicial Compensation Act</w:t>
      </w:r>
      <w:r w:rsidRPr="00FF39DD">
        <w:rPr>
          <w:rFonts w:cs="Times New Roman"/>
        </w:rPr>
        <w:t>, the Attorney General prepares the government’s draft response for approval by Cabinet before presenting it to the Legislative Assembly: para. 9. Cabinet is thus directly involved in the decision</w:t>
      </w:r>
      <w:r w:rsidRPr="00FF39DD">
        <w:rPr>
          <w:rFonts w:cs="Times New Roman"/>
        </w:rPr>
        <w:noBreakHyphen/>
        <w:t>making process.</w:t>
      </w:r>
    </w:p>
    <w:p w14:paraId="056A84C6" w14:textId="7E5584FF" w:rsidR="0080188D" w:rsidRPr="00FF39DD" w:rsidRDefault="0080188D" w:rsidP="0080188D">
      <w:pPr>
        <w:pStyle w:val="ParaNoNdepar-AltN"/>
        <w:rPr>
          <w:rFonts w:cs="Times New Roman"/>
        </w:rPr>
      </w:pPr>
      <w:r w:rsidRPr="00FF39DD">
        <w:rPr>
          <w:rFonts w:cs="Times New Roman"/>
        </w:rPr>
        <w:t>The Court of Appeal concluded that the Cabinet submission was necessarily relevant given that it informed the government’s response to the commission’s recommendations: paras. 9 and 16. Since Cabinet was “a primary actor in the impugned ‘government response</w:t>
      </w:r>
      <w:r w:rsidR="006046D5">
        <w:rPr>
          <w:rFonts w:cs="Times New Roman"/>
        </w:rPr>
        <w:t xml:space="preserve">’ . . ., </w:t>
      </w:r>
      <w:r w:rsidRPr="00FF39DD">
        <w:rPr>
          <w:rFonts w:cs="Times New Roman"/>
        </w:rPr>
        <w:t>the Cabinet submission is clearly ‘evidence which was before the administrative decision</w:t>
      </w:r>
      <w:r w:rsidRPr="00FF39DD">
        <w:rPr>
          <w:rFonts w:cs="Times New Roman"/>
        </w:rPr>
        <w:noBreakHyphen/>
        <w:t>maker</w:t>
      </w:r>
      <w:r w:rsidRPr="00FF39DD">
        <w:rPr>
          <w:rFonts w:cs="Times New Roman"/>
          <w:lang w:val="en-US"/>
        </w:rPr>
        <w:t>’</w:t>
      </w:r>
      <w:r w:rsidRPr="00FF39DD">
        <w:rPr>
          <w:rFonts w:cs="Times New Roman"/>
        </w:rPr>
        <w:t xml:space="preserve">” and should be included in the record on judicial review: para. 19, quoting </w:t>
      </w:r>
      <w:r w:rsidRPr="00FF39DD">
        <w:rPr>
          <w:rFonts w:cs="Times New Roman"/>
          <w:i/>
        </w:rPr>
        <w:t>Stonechild, Re</w:t>
      </w:r>
      <w:r w:rsidRPr="00FF39DD">
        <w:rPr>
          <w:rFonts w:cs="Times New Roman"/>
        </w:rPr>
        <w:t>,</w:t>
      </w:r>
      <w:r w:rsidRPr="00FF39DD">
        <w:rPr>
          <w:rFonts w:cs="Times New Roman"/>
          <w:i/>
        </w:rPr>
        <w:t xml:space="preserve"> </w:t>
      </w:r>
      <w:r w:rsidRPr="00FF39DD">
        <w:rPr>
          <w:rFonts w:cs="Times New Roman"/>
        </w:rPr>
        <w:t xml:space="preserve">2007 SKCA 74, 304 Sask. R. 1, cited as </w:t>
      </w:r>
      <w:r w:rsidRPr="00FF39DD">
        <w:rPr>
          <w:rFonts w:cs="Times New Roman"/>
          <w:i/>
        </w:rPr>
        <w:t>Hartwig v. Saskatchewan (Commission of Inquiry)</w:t>
      </w:r>
      <w:r w:rsidRPr="00FF39DD">
        <w:rPr>
          <w:rFonts w:cs="Times New Roman"/>
        </w:rPr>
        <w:t xml:space="preserve">, at para. 33. The </w:t>
      </w:r>
      <w:r w:rsidRPr="00FF39DD">
        <w:rPr>
          <w:rFonts w:cs="Times New Roman"/>
        </w:rPr>
        <w:lastRenderedPageBreak/>
        <w:t>Court of Appeal also affirmed Hinkson C.J.S.C.’s analysis on public interest immunity: para. 22.</w:t>
      </w:r>
    </w:p>
    <w:p w14:paraId="62745C18" w14:textId="77777777" w:rsidR="0080188D" w:rsidRPr="00FF39DD" w:rsidRDefault="0080188D" w:rsidP="0080188D">
      <w:pPr>
        <w:pStyle w:val="Title1LevelTitre1Niveau-AltL"/>
        <w:ind w:left="578" w:hanging="578"/>
        <w:rPr>
          <w:rFonts w:cs="Times New Roman"/>
        </w:rPr>
      </w:pPr>
      <w:r w:rsidRPr="00FF39DD">
        <w:rPr>
          <w:rFonts w:cs="Times New Roman"/>
        </w:rPr>
        <w:t>Issues</w:t>
      </w:r>
    </w:p>
    <w:p w14:paraId="24FDFF74" w14:textId="77777777" w:rsidR="0080188D" w:rsidRPr="00FF39DD" w:rsidRDefault="0080188D" w:rsidP="0080188D">
      <w:pPr>
        <w:pStyle w:val="ParaNoNdepar-AltN"/>
        <w:rPr>
          <w:rFonts w:cs="Times New Roman"/>
        </w:rPr>
      </w:pPr>
      <w:r w:rsidRPr="00FF39DD">
        <w:rPr>
          <w:rFonts w:cs="Times New Roman"/>
        </w:rPr>
        <w:t xml:space="preserve">This appeal raises two issues: (a) whether the Cabinet submission in this case should form part of the record on </w:t>
      </w:r>
      <w:r w:rsidRPr="00FF39DD">
        <w:rPr>
          <w:rFonts w:cs="Times New Roman"/>
          <w:i/>
        </w:rPr>
        <w:t>Bodner</w:t>
      </w:r>
      <w:r w:rsidRPr="00FF39DD">
        <w:rPr>
          <w:rFonts w:cs="Times New Roman"/>
        </w:rPr>
        <w:t xml:space="preserve"> review and (b) whether the Cabinet submission is protected by public interest immunity.</w:t>
      </w:r>
    </w:p>
    <w:p w14:paraId="3F3DCCD9" w14:textId="77777777" w:rsidR="0080188D" w:rsidRPr="00FF39DD" w:rsidRDefault="0080188D" w:rsidP="0080188D">
      <w:pPr>
        <w:pStyle w:val="Title1LevelTitre1Niveau-AltL"/>
        <w:ind w:left="578" w:hanging="578"/>
        <w:rPr>
          <w:rFonts w:cs="Times New Roman"/>
        </w:rPr>
      </w:pPr>
      <w:r w:rsidRPr="00FF39DD">
        <w:rPr>
          <w:rFonts w:cs="Times New Roman"/>
        </w:rPr>
        <w:t>Analysis</w:t>
      </w:r>
    </w:p>
    <w:p w14:paraId="40E87427" w14:textId="77777777" w:rsidR="0080188D" w:rsidRPr="00FF39DD" w:rsidRDefault="0080188D" w:rsidP="0080188D">
      <w:pPr>
        <w:pStyle w:val="Title2LevelTitre2Niveau"/>
        <w:ind w:left="578" w:hanging="578"/>
        <w:rPr>
          <w:rFonts w:cs="Times New Roman"/>
        </w:rPr>
      </w:pPr>
      <w:r w:rsidRPr="00FF39DD">
        <w:rPr>
          <w:rFonts w:cs="Times New Roman"/>
        </w:rPr>
        <w:t>Judicial Independence and the Nature of Bodner Review</w:t>
      </w:r>
    </w:p>
    <w:p w14:paraId="30BCD569" w14:textId="6E3AD79D" w:rsidR="0080188D" w:rsidRPr="00FF39DD" w:rsidRDefault="0080188D" w:rsidP="0080188D">
      <w:pPr>
        <w:pStyle w:val="ParaNoNdepar-AltN"/>
        <w:rPr>
          <w:rFonts w:cs="Times New Roman"/>
          <w:lang w:val="en-US"/>
        </w:rPr>
      </w:pPr>
      <w:r w:rsidRPr="00FF39DD">
        <w:rPr>
          <w:rFonts w:cs="Times New Roman"/>
        </w:rPr>
        <w:t>This appeal arises in the context of review of a government’s response to a judicial compensation commission’s recommendations. Such review aims to s</w:t>
      </w:r>
      <w:r w:rsidR="00DA50B7">
        <w:rPr>
          <w:rFonts w:cs="Times New Roman"/>
        </w:rPr>
        <w:t>afeguard judicial independence.</w:t>
      </w:r>
    </w:p>
    <w:p w14:paraId="5753DD6F" w14:textId="47E000AA" w:rsidR="0080188D" w:rsidRPr="00FF39DD" w:rsidRDefault="0080188D" w:rsidP="0080188D">
      <w:pPr>
        <w:pStyle w:val="ParaNoNdepar-AltN"/>
        <w:rPr>
          <w:rFonts w:cs="Times New Roman"/>
          <w:lang w:val="en-US"/>
        </w:rPr>
      </w:pPr>
      <w:r w:rsidRPr="00FF39DD">
        <w:rPr>
          <w:rFonts w:cs="Times New Roman"/>
        </w:rPr>
        <w:t xml:space="preserve">The constitutional principle of judicial independence flows from the recital in the preamble to the </w:t>
      </w:r>
      <w:r w:rsidRPr="00FF39DD">
        <w:rPr>
          <w:rFonts w:cs="Times New Roman"/>
          <w:i/>
        </w:rPr>
        <w:t>Constitution Act, 1867</w:t>
      </w:r>
      <w:r w:rsidRPr="00FF39DD">
        <w:rPr>
          <w:rFonts w:cs="Times New Roman"/>
        </w:rPr>
        <w:t xml:space="preserve"> that our country is to have a “Constitution similar in Principle to that of the United Kingdom”, ss. 96 to 101 of the </w:t>
      </w:r>
      <w:r w:rsidRPr="00FF39DD">
        <w:rPr>
          <w:rFonts w:cs="Times New Roman"/>
          <w:i/>
        </w:rPr>
        <w:t>Constitution Act, 1867</w:t>
      </w:r>
      <w:r w:rsidRPr="00FF39DD">
        <w:rPr>
          <w:rFonts w:cs="Times New Roman"/>
        </w:rPr>
        <w:t>,</w:t>
      </w:r>
      <w:r w:rsidRPr="00FF39DD">
        <w:rPr>
          <w:rFonts w:cs="Times New Roman"/>
          <w:i/>
        </w:rPr>
        <w:t xml:space="preserve"> </w:t>
      </w:r>
      <w:r w:rsidRPr="00FF39DD">
        <w:rPr>
          <w:rFonts w:cs="Times New Roman"/>
        </w:rPr>
        <w:t>s. 11(</w:t>
      </w:r>
      <w:r w:rsidRPr="00FF39DD">
        <w:rPr>
          <w:rFonts w:cs="Times New Roman"/>
          <w:i/>
        </w:rPr>
        <w:t>d</w:t>
      </w:r>
      <w:r w:rsidRPr="00FF39DD">
        <w:rPr>
          <w:rFonts w:cs="Times New Roman"/>
        </w:rPr>
        <w:t xml:space="preserve">) of the </w:t>
      </w:r>
      <w:r w:rsidRPr="00FF39DD">
        <w:rPr>
          <w:rFonts w:cs="Times New Roman"/>
          <w:i/>
        </w:rPr>
        <w:t xml:space="preserve">Canadian Charter of Rights and Freedoms </w:t>
      </w:r>
      <w:r w:rsidRPr="00FF39DD">
        <w:rPr>
          <w:rFonts w:cs="Times New Roman"/>
        </w:rPr>
        <w:t>and s. 42(1)(</w:t>
      </w:r>
      <w:r w:rsidRPr="00FF39DD">
        <w:rPr>
          <w:rFonts w:cs="Times New Roman"/>
          <w:i/>
        </w:rPr>
        <w:t>d</w:t>
      </w:r>
      <w:r w:rsidRPr="00FF39DD">
        <w:rPr>
          <w:rFonts w:cs="Times New Roman"/>
        </w:rPr>
        <w:t xml:space="preserve">) of the </w:t>
      </w:r>
      <w:r w:rsidRPr="00FF39DD">
        <w:rPr>
          <w:rFonts w:cs="Times New Roman"/>
          <w:i/>
        </w:rPr>
        <w:t>Constitution Act, 1982</w:t>
      </w:r>
      <w:r w:rsidRPr="00FF39DD">
        <w:rPr>
          <w:rFonts w:cs="Times New Roman"/>
        </w:rPr>
        <w:t xml:space="preserve">: </w:t>
      </w:r>
      <w:r w:rsidRPr="00FF39DD">
        <w:rPr>
          <w:rFonts w:cs="Times New Roman"/>
          <w:i/>
        </w:rPr>
        <w:t>Beauregard v. Canada</w:t>
      </w:r>
      <w:r w:rsidRPr="00FF39DD">
        <w:rPr>
          <w:rFonts w:cs="Times New Roman"/>
        </w:rPr>
        <w:t>, [1986] 2 S.C.R. 56, at pp. 72</w:t>
      </w:r>
      <w:r w:rsidRPr="00FF39DD">
        <w:rPr>
          <w:rFonts w:cs="Times New Roman"/>
        </w:rPr>
        <w:noBreakHyphen/>
        <w:t xml:space="preserve">73; </w:t>
      </w:r>
      <w:r w:rsidRPr="00FF39DD">
        <w:rPr>
          <w:rFonts w:cs="Times New Roman"/>
          <w:i/>
        </w:rPr>
        <w:t>Provincial Judges Reference</w:t>
      </w:r>
      <w:r w:rsidRPr="00FF39DD">
        <w:rPr>
          <w:rFonts w:cs="Times New Roman"/>
        </w:rPr>
        <w:t>, at paras. 84 and 105</w:t>
      </w:r>
      <w:r w:rsidRPr="00FF39DD">
        <w:rPr>
          <w:rFonts w:cs="Times New Roman"/>
        </w:rPr>
        <w:noBreakHyphen/>
        <w:t xml:space="preserve">9; </w:t>
      </w:r>
      <w:r w:rsidRPr="00FF39DD">
        <w:rPr>
          <w:rFonts w:cs="Times New Roman"/>
          <w:i/>
        </w:rPr>
        <w:t>Reference re Supreme Court Act, ss. 5 and 6</w:t>
      </w:r>
      <w:r w:rsidRPr="00FF39DD">
        <w:rPr>
          <w:rFonts w:cs="Times New Roman"/>
        </w:rPr>
        <w:t>, 2014 SCC 21, [2014] 1 S.C.R. 433, at para. </w:t>
      </w:r>
      <w:r w:rsidRPr="00FF39DD">
        <w:rPr>
          <w:rFonts w:cs="Times New Roman"/>
          <w:lang w:val="fr-CA"/>
        </w:rPr>
        <w:t xml:space="preserve">94; </w:t>
      </w:r>
      <w:r w:rsidRPr="00FF39DD">
        <w:rPr>
          <w:rFonts w:cs="Times New Roman"/>
          <w:i/>
          <w:lang w:val="fr-CA"/>
        </w:rPr>
        <w:t xml:space="preserve">Conférence des juges de </w:t>
      </w:r>
      <w:r w:rsidRPr="00FF39DD">
        <w:rPr>
          <w:rFonts w:cs="Times New Roman"/>
          <w:i/>
          <w:lang w:val="fr-CA"/>
        </w:rPr>
        <w:lastRenderedPageBreak/>
        <w:t>paix magistrats du Québec v. Quebec (Attorney General)</w:t>
      </w:r>
      <w:r w:rsidRPr="00FF39DD">
        <w:rPr>
          <w:rFonts w:cs="Times New Roman"/>
          <w:lang w:val="fr-CA"/>
        </w:rPr>
        <w:t>, 2016 SCC 39, [2016] 2 S.C.R. 116, at para. </w:t>
      </w:r>
      <w:r w:rsidR="00DA50B7">
        <w:rPr>
          <w:rFonts w:cs="Times New Roman"/>
          <w:lang w:val="en-US"/>
        </w:rPr>
        <w:t>31.</w:t>
      </w:r>
    </w:p>
    <w:p w14:paraId="4762BF52" w14:textId="7875786A" w:rsidR="0080188D" w:rsidRPr="00FF39DD" w:rsidRDefault="0080188D" w:rsidP="0080188D">
      <w:pPr>
        <w:pStyle w:val="ParaNoNdepar-AltN"/>
        <w:rPr>
          <w:rFonts w:cs="Times New Roman"/>
          <w:lang w:val="en-US"/>
        </w:rPr>
      </w:pPr>
      <w:r w:rsidRPr="00FF39DD">
        <w:rPr>
          <w:rFonts w:cs="Times New Roman"/>
          <w:lang w:val="en-US"/>
        </w:rPr>
        <w:t>These provisions and the broader principle of judicial independence serve not only to protect the separation of powers between the branches of the state and thus, the integrity of our constitutional structure, but also to promote public confidence in the administration of justice:</w:t>
      </w:r>
      <w:r w:rsidRPr="00FF39DD">
        <w:rPr>
          <w:rFonts w:cs="Times New Roman"/>
          <w:i/>
          <w:lang w:val="en-US"/>
        </w:rPr>
        <w:t xml:space="preserve"> Ell v. Alberta</w:t>
      </w:r>
      <w:r w:rsidRPr="00FF39DD">
        <w:rPr>
          <w:rFonts w:cs="Times New Roman"/>
          <w:lang w:val="en-US"/>
        </w:rPr>
        <w:t>, 2003 SCC 35, [2003] 1 S.C.R. 857, at paras. 21</w:t>
      </w:r>
      <w:r w:rsidRPr="00FF39DD">
        <w:rPr>
          <w:rFonts w:cs="Times New Roman"/>
          <w:lang w:val="en-US"/>
        </w:rPr>
        <w:noBreakHyphen/>
        <w:t xml:space="preserve">23; </w:t>
      </w:r>
      <w:r w:rsidRPr="00FF39DD">
        <w:rPr>
          <w:rFonts w:cs="Times New Roman"/>
          <w:i/>
          <w:lang w:val="en-US"/>
        </w:rPr>
        <w:t>Conférence des juges de paix magistrats</w:t>
      </w:r>
      <w:r w:rsidRPr="00FF39DD">
        <w:rPr>
          <w:rFonts w:cs="Times New Roman"/>
          <w:lang w:val="en-US"/>
        </w:rPr>
        <w:t xml:space="preserve">, at para. 31. They are fundamental to the rule of </w:t>
      </w:r>
      <w:r w:rsidR="00DA50B7">
        <w:rPr>
          <w:rFonts w:cs="Times New Roman"/>
          <w:lang w:val="en-US"/>
        </w:rPr>
        <w:t>law and to democracy in Canada.</w:t>
      </w:r>
    </w:p>
    <w:p w14:paraId="32527805" w14:textId="111FCB3C" w:rsidR="0080188D" w:rsidRPr="00FF39DD" w:rsidRDefault="0080188D" w:rsidP="0080188D">
      <w:pPr>
        <w:pStyle w:val="ParaNoNdepar-AltN"/>
        <w:rPr>
          <w:rFonts w:cs="Times New Roman"/>
        </w:rPr>
      </w:pPr>
      <w:r w:rsidRPr="00FF39DD">
        <w:rPr>
          <w:rFonts w:cs="Times New Roman"/>
        </w:rPr>
        <w:t xml:space="preserve">The overarching principle of judicial independence applies to all courts, whether of civil or criminal jurisdiction and whether their judges are appointed by federal, provincial or territorial authorities: </w:t>
      </w:r>
      <w:r w:rsidRPr="00FF39DD">
        <w:rPr>
          <w:rFonts w:cs="Times New Roman"/>
          <w:i/>
        </w:rPr>
        <w:t>Provincial Judges Reference</w:t>
      </w:r>
      <w:r w:rsidRPr="00FF39DD">
        <w:rPr>
          <w:rFonts w:cs="Times New Roman"/>
        </w:rPr>
        <w:t>, at para. </w:t>
      </w:r>
      <w:r w:rsidRPr="00FF39DD">
        <w:rPr>
          <w:rFonts w:cs="Times New Roman"/>
          <w:lang w:val="fr-CA"/>
        </w:rPr>
        <w:t xml:space="preserve">106; </w:t>
      </w:r>
      <w:r w:rsidRPr="00FF39DD">
        <w:rPr>
          <w:rFonts w:cs="Times New Roman"/>
          <w:i/>
          <w:lang w:val="fr-CA"/>
        </w:rPr>
        <w:t>Ell</w:t>
      </w:r>
      <w:r w:rsidRPr="00FF39DD">
        <w:rPr>
          <w:rFonts w:cs="Times New Roman"/>
          <w:lang w:val="fr-CA"/>
        </w:rPr>
        <w:t>, at paras. 21</w:t>
      </w:r>
      <w:r w:rsidRPr="00FF39DD">
        <w:rPr>
          <w:rFonts w:cs="Times New Roman"/>
          <w:lang w:val="fr-CA"/>
        </w:rPr>
        <w:noBreakHyphen/>
        <w:t xml:space="preserve">24; </w:t>
      </w:r>
      <w:r w:rsidRPr="00FF39DD">
        <w:rPr>
          <w:rFonts w:cs="Times New Roman"/>
          <w:i/>
          <w:lang w:val="fr-CA"/>
        </w:rPr>
        <w:t>Conférence des juges de paix magistrats</w:t>
      </w:r>
      <w:r w:rsidRPr="00FF39DD">
        <w:rPr>
          <w:rFonts w:cs="Times New Roman"/>
          <w:lang w:val="fr-CA"/>
        </w:rPr>
        <w:t>, at para. </w:t>
      </w:r>
      <w:r w:rsidRPr="00FF39DD">
        <w:rPr>
          <w:rFonts w:cs="Times New Roman"/>
          <w:lang w:val="en-US"/>
        </w:rPr>
        <w:t>32</w:t>
      </w:r>
      <w:r w:rsidR="00DA50B7">
        <w:rPr>
          <w:rFonts w:cs="Times New Roman"/>
        </w:rPr>
        <w:t>.</w:t>
      </w:r>
    </w:p>
    <w:p w14:paraId="20D31962" w14:textId="69BFEE32" w:rsidR="0080188D" w:rsidRPr="00FF39DD" w:rsidRDefault="0080188D" w:rsidP="0080188D">
      <w:pPr>
        <w:pStyle w:val="ParaNoNdepar-AltN"/>
        <w:rPr>
          <w:rFonts w:cs="Times New Roman"/>
        </w:rPr>
      </w:pPr>
      <w:r w:rsidRPr="00FF39DD">
        <w:rPr>
          <w:rFonts w:cs="Times New Roman"/>
        </w:rPr>
        <w:t xml:space="preserve">The three core characteristics of judicial independence are security of tenure, financial security and administrative independence: </w:t>
      </w:r>
      <w:r w:rsidRPr="00FF39DD">
        <w:rPr>
          <w:rFonts w:cs="Times New Roman"/>
          <w:i/>
        </w:rPr>
        <w:t>Provincial Judges Reference</w:t>
      </w:r>
      <w:r w:rsidRPr="00FF39DD">
        <w:rPr>
          <w:rFonts w:cs="Times New Roman"/>
        </w:rPr>
        <w:t xml:space="preserve">, at para. 118. The characteristic at issue in this appeal — financial security — in turn has three components, “which all flow from the constitutional imperative that . . . the relationship between the judiciary and the other branches of government be </w:t>
      </w:r>
      <w:r w:rsidRPr="00FF39DD">
        <w:rPr>
          <w:rFonts w:cs="Times New Roman"/>
          <w:u w:val="single"/>
        </w:rPr>
        <w:t>depoliticized</w:t>
      </w:r>
      <w:r w:rsidRPr="00FF39DD">
        <w:rPr>
          <w:rFonts w:cs="Times New Roman"/>
        </w:rPr>
        <w:t xml:space="preserve">”: para. 131 (emphasis in original). First, absent a “dire and exceptional financial emergency precipitated by unusual circumstances”, a government cannot change judicial remuneration parameters without first seeking the recommendations of an independent body, a “commission”: paras. 133 and 137. (Government can, </w:t>
      </w:r>
      <w:r w:rsidRPr="00FF39DD">
        <w:rPr>
          <w:rFonts w:cs="Times New Roman"/>
        </w:rPr>
        <w:lastRenderedPageBreak/>
        <w:t>depending on the context, mean the executive, legislature or legislative assembly.) Second, judges cannot engage in negotiations with the government over remuneration: para. 134. Finally, judicial remuneration cannot fall below the basic minimum level require</w:t>
      </w:r>
      <w:r w:rsidR="005920CF">
        <w:rPr>
          <w:rFonts w:cs="Times New Roman"/>
        </w:rPr>
        <w:t xml:space="preserve">d for the office of a judge: </w:t>
      </w:r>
      <w:r w:rsidRPr="00FF39DD">
        <w:rPr>
          <w:rFonts w:cs="Times New Roman"/>
        </w:rPr>
        <w:t>para. 135.</w:t>
      </w:r>
    </w:p>
    <w:p w14:paraId="5D81759A" w14:textId="6AADE254" w:rsidR="0080188D" w:rsidRPr="00FF39DD" w:rsidRDefault="0080188D" w:rsidP="0080188D">
      <w:pPr>
        <w:pStyle w:val="ParaNoNdepar-AltN"/>
        <w:rPr>
          <w:rFonts w:cs="Times New Roman"/>
        </w:rPr>
      </w:pPr>
      <w:r w:rsidRPr="00FF39DD">
        <w:rPr>
          <w:rFonts w:cs="Times New Roman"/>
        </w:rPr>
        <w:t xml:space="preserve">More specifically, this appeal concerns the first component of financial security: the convening of a judicial compensation commission to make recommendations concerning judicial remuneration. The commission charged with making such recommendations must be independent, effective and objective: </w:t>
      </w:r>
      <w:r w:rsidRPr="00FF39DD">
        <w:rPr>
          <w:rFonts w:cs="Times New Roman"/>
          <w:i/>
        </w:rPr>
        <w:t>Provincial Judges Reference</w:t>
      </w:r>
      <w:r w:rsidR="00F317D5">
        <w:rPr>
          <w:rFonts w:cs="Times New Roman"/>
        </w:rPr>
        <w:t>, at para. 133.</w:t>
      </w:r>
    </w:p>
    <w:p w14:paraId="4A898D34" w14:textId="77777777" w:rsidR="0080188D" w:rsidRPr="00FF39DD" w:rsidRDefault="0080188D" w:rsidP="0080188D">
      <w:pPr>
        <w:pStyle w:val="ParaNoNdepar-AltN"/>
        <w:rPr>
          <w:rFonts w:cs="Times New Roman"/>
        </w:rPr>
      </w:pPr>
      <w:r w:rsidRPr="00FF39DD">
        <w:rPr>
          <w:rFonts w:cs="Times New Roman"/>
        </w:rPr>
        <w:t xml:space="preserve">The effectiveness requirement means that the commission must be regularly convened, that no changes can be made to remuneration until the commission submits its report and that “the reports of the commission must have a meaningful effect on the determination of judicial salaries”: </w:t>
      </w:r>
      <w:r w:rsidRPr="00FF39DD">
        <w:rPr>
          <w:rFonts w:cs="Times New Roman"/>
          <w:i/>
        </w:rPr>
        <w:t>Provincial Judges Reference</w:t>
      </w:r>
      <w:r w:rsidRPr="00FF39DD">
        <w:rPr>
          <w:rFonts w:cs="Times New Roman"/>
        </w:rPr>
        <w:t>, at paras. 174</w:t>
      </w:r>
      <w:r w:rsidRPr="00FF39DD">
        <w:rPr>
          <w:rFonts w:cs="Times New Roman"/>
        </w:rPr>
        <w:noBreakHyphen/>
        <w:t xml:space="preserve">75 and 179; see also </w:t>
      </w:r>
      <w:r w:rsidRPr="00FF39DD">
        <w:rPr>
          <w:rFonts w:cs="Times New Roman"/>
          <w:i/>
        </w:rPr>
        <w:t>Bodner</w:t>
      </w:r>
      <w:r w:rsidRPr="00FF39DD">
        <w:rPr>
          <w:rFonts w:cs="Times New Roman"/>
        </w:rPr>
        <w:t>, at para. 29.</w:t>
      </w:r>
    </w:p>
    <w:p w14:paraId="19FAF230" w14:textId="77777777" w:rsidR="0080188D" w:rsidRPr="00FF39DD" w:rsidRDefault="0080188D" w:rsidP="0080188D">
      <w:pPr>
        <w:pStyle w:val="ParaNoNdepar-AltN"/>
        <w:rPr>
          <w:rFonts w:cs="Times New Roman"/>
        </w:rPr>
      </w:pPr>
      <w:r w:rsidRPr="00FF39DD">
        <w:rPr>
          <w:rFonts w:cs="Times New Roman"/>
        </w:rPr>
        <w:t xml:space="preserve">To ensure that the commission’s recommendations have a meaningful effect, the government must formally respond to the commission’s report: </w:t>
      </w:r>
      <w:r w:rsidRPr="00FF39DD">
        <w:rPr>
          <w:rFonts w:cs="Times New Roman"/>
          <w:i/>
        </w:rPr>
        <w:t>Provincial Judges Reference</w:t>
      </w:r>
      <w:r w:rsidRPr="00FF39DD">
        <w:rPr>
          <w:rFonts w:cs="Times New Roman"/>
        </w:rPr>
        <w:t xml:space="preserve">, at para. 179; </w:t>
      </w:r>
      <w:r w:rsidRPr="00FF39DD">
        <w:rPr>
          <w:rFonts w:cs="Times New Roman"/>
          <w:i/>
        </w:rPr>
        <w:t>Bodner</w:t>
      </w:r>
      <w:r w:rsidRPr="00FF39DD">
        <w:rPr>
          <w:rFonts w:cs="Times New Roman"/>
        </w:rPr>
        <w:t>, at para. 22. Because of the executive and legislature’s shared constitutional responsibility to make decisions about the expenditure of public money,</w:t>
      </w:r>
      <w:r w:rsidRPr="00F317D5">
        <w:rPr>
          <w:rStyle w:val="Hyperlink"/>
          <w:color w:val="auto"/>
          <w:u w:val="none"/>
          <w:vertAlign w:val="superscript"/>
        </w:rPr>
        <w:footnoteReference w:id="5"/>
      </w:r>
      <w:r w:rsidRPr="00FF39DD">
        <w:rPr>
          <w:rFonts w:cs="Times New Roman"/>
        </w:rPr>
        <w:t xml:space="preserve"> the commission’s recommendations are not binding </w:t>
      </w:r>
      <w:r w:rsidRPr="00FF39DD">
        <w:rPr>
          <w:rFonts w:cs="Times New Roman"/>
        </w:rPr>
        <w:lastRenderedPageBreak/>
        <w:t xml:space="preserve">(unless the legislature so provides). The government must, however, give specific reasons justifying any departure from the recommendations: </w:t>
      </w:r>
      <w:r w:rsidRPr="00FF39DD">
        <w:rPr>
          <w:rFonts w:cs="Times New Roman"/>
          <w:i/>
        </w:rPr>
        <w:t>Provincial Judges Reference</w:t>
      </w:r>
      <w:r w:rsidRPr="00FF39DD">
        <w:rPr>
          <w:rFonts w:cs="Times New Roman"/>
        </w:rPr>
        <w:t>, at para. </w:t>
      </w:r>
      <w:r w:rsidRPr="00FF39DD">
        <w:rPr>
          <w:rFonts w:cs="Times New Roman"/>
          <w:lang w:val="fr-CA"/>
        </w:rPr>
        <w:t xml:space="preserve">180; </w:t>
      </w:r>
      <w:r w:rsidRPr="00FF39DD">
        <w:rPr>
          <w:rFonts w:cs="Times New Roman"/>
          <w:i/>
          <w:lang w:val="fr-CA"/>
        </w:rPr>
        <w:t>Bodner</w:t>
      </w:r>
      <w:r w:rsidRPr="00FF39DD">
        <w:rPr>
          <w:rFonts w:cs="Times New Roman"/>
          <w:lang w:val="fr-CA"/>
        </w:rPr>
        <w:t>, at paras. 18 and 20</w:t>
      </w:r>
      <w:r w:rsidRPr="00FF39DD">
        <w:rPr>
          <w:rFonts w:cs="Times New Roman"/>
          <w:lang w:val="fr-CA"/>
        </w:rPr>
        <w:noBreakHyphen/>
        <w:t xml:space="preserve">21; </w:t>
      </w:r>
      <w:r w:rsidRPr="00FF39DD">
        <w:rPr>
          <w:rFonts w:cs="Times New Roman"/>
          <w:i/>
          <w:lang w:val="fr-CA"/>
        </w:rPr>
        <w:t>Conférence des juges de paix magistrats</w:t>
      </w:r>
      <w:r w:rsidRPr="00FF39DD">
        <w:rPr>
          <w:rFonts w:cs="Times New Roman"/>
          <w:lang w:val="fr-CA"/>
        </w:rPr>
        <w:t>, at para. </w:t>
      </w:r>
      <w:r w:rsidRPr="00FF39DD">
        <w:rPr>
          <w:rFonts w:cs="Times New Roman"/>
        </w:rPr>
        <w:t>35.</w:t>
      </w:r>
    </w:p>
    <w:p w14:paraId="4B29DD4D" w14:textId="77777777" w:rsidR="0080188D" w:rsidRPr="00FF39DD" w:rsidRDefault="0080188D" w:rsidP="0080188D">
      <w:pPr>
        <w:pStyle w:val="ParaNoNdepar-AltN"/>
        <w:rPr>
          <w:rFonts w:cs="Times New Roman"/>
        </w:rPr>
      </w:pPr>
      <w:r w:rsidRPr="00FF39DD">
        <w:rPr>
          <w:rFonts w:cs="Times New Roman"/>
        </w:rPr>
        <w:t xml:space="preserve">To hold a government to its constitutional obligations in jurisdictions where a commission’s recommendations are not binding, the government’s response to the commission’s recommendations is subject to what this Court described in </w:t>
      </w:r>
      <w:r w:rsidRPr="00FF39DD">
        <w:rPr>
          <w:rFonts w:cs="Times New Roman"/>
          <w:i/>
        </w:rPr>
        <w:t>Bodner</w:t>
      </w:r>
      <w:r w:rsidRPr="00FF39DD">
        <w:rPr>
          <w:rFonts w:cs="Times New Roman"/>
        </w:rPr>
        <w:t xml:space="preserve"> as a “limited form of judicial review”: paras. 29 and 42. The standard of justification to uphold the government’s response is that of “rationality”: </w:t>
      </w:r>
      <w:r w:rsidRPr="00FF39DD">
        <w:rPr>
          <w:rFonts w:cs="Times New Roman"/>
          <w:i/>
        </w:rPr>
        <w:t>Provincial Judges Reference</w:t>
      </w:r>
      <w:r w:rsidRPr="00FF39DD">
        <w:rPr>
          <w:rFonts w:cs="Times New Roman"/>
        </w:rPr>
        <w:t>, at paras. 183</w:t>
      </w:r>
      <w:r w:rsidRPr="00FF39DD">
        <w:rPr>
          <w:rFonts w:cs="Times New Roman"/>
        </w:rPr>
        <w:noBreakHyphen/>
        <w:t xml:space="preserve">84; </w:t>
      </w:r>
      <w:r w:rsidRPr="00FF39DD">
        <w:rPr>
          <w:rFonts w:cs="Times New Roman"/>
          <w:i/>
        </w:rPr>
        <w:t>Mackin v. New Brunswick (Minister of Finance)</w:t>
      </w:r>
      <w:r w:rsidRPr="00FF39DD">
        <w:rPr>
          <w:rFonts w:cs="Times New Roman"/>
        </w:rPr>
        <w:t xml:space="preserve">, 2002 SCC 13, </w:t>
      </w:r>
      <w:r w:rsidRPr="00FF39DD">
        <w:rPr>
          <w:rFonts w:cs="Times New Roman"/>
          <w:lang w:val="en-US"/>
        </w:rPr>
        <w:t>[2002] 1 S.C.R. 405, at para. 57;</w:t>
      </w:r>
      <w:r w:rsidRPr="00FF39DD">
        <w:rPr>
          <w:rFonts w:cs="Times New Roman"/>
        </w:rPr>
        <w:t xml:space="preserve"> </w:t>
      </w:r>
      <w:r w:rsidRPr="00FF39DD">
        <w:rPr>
          <w:rFonts w:cs="Times New Roman"/>
          <w:i/>
        </w:rPr>
        <w:t>Bodner</w:t>
      </w:r>
      <w:r w:rsidRPr="00FF39DD">
        <w:rPr>
          <w:rFonts w:cs="Times New Roman"/>
        </w:rPr>
        <w:t xml:space="preserve">, at para. 29. Both the standard of justification and the test used to measure the government’s response against that standard are “deferential”: </w:t>
      </w:r>
      <w:r w:rsidRPr="00FF39DD">
        <w:rPr>
          <w:rFonts w:cs="Times New Roman"/>
          <w:i/>
        </w:rPr>
        <w:t>Bodner</w:t>
      </w:r>
      <w:r w:rsidRPr="00FF39DD">
        <w:rPr>
          <w:rFonts w:cs="Times New Roman"/>
        </w:rPr>
        <w:t xml:space="preserve">, at paras. 30, 40 and 43. Both the fact that the government remains ultimately responsible for setting judicial compensation and the fact that the nature of a </w:t>
      </w:r>
      <w:r w:rsidRPr="00FF39DD">
        <w:rPr>
          <w:rFonts w:cs="Times New Roman"/>
          <w:i/>
        </w:rPr>
        <w:t>Bodner</w:t>
      </w:r>
      <w:r w:rsidRPr="00FF39DD">
        <w:rPr>
          <w:rFonts w:cs="Times New Roman"/>
        </w:rPr>
        <w:t xml:space="preserve"> review is limited serve to balance the constitutional interests at stake.</w:t>
      </w:r>
    </w:p>
    <w:p w14:paraId="201B9FDA" w14:textId="77777777" w:rsidR="0080188D" w:rsidRPr="00FF39DD" w:rsidRDefault="0080188D" w:rsidP="0080188D">
      <w:pPr>
        <w:pStyle w:val="ParaNoNdepar-AltN"/>
        <w:rPr>
          <w:rFonts w:cs="Times New Roman"/>
        </w:rPr>
      </w:pPr>
      <w:r w:rsidRPr="00FF39DD">
        <w:rPr>
          <w:rFonts w:cs="Times New Roman"/>
        </w:rPr>
        <w:t xml:space="preserve">Building on the approach established by the </w:t>
      </w:r>
      <w:r w:rsidRPr="00FF39DD">
        <w:rPr>
          <w:rFonts w:cs="Times New Roman"/>
          <w:i/>
        </w:rPr>
        <w:t>Provincial Judges Reference</w:t>
      </w:r>
      <w:r w:rsidRPr="00FF39DD">
        <w:rPr>
          <w:rFonts w:cs="Times New Roman"/>
        </w:rPr>
        <w:t xml:space="preserve">, in </w:t>
      </w:r>
      <w:r w:rsidRPr="00FF39DD">
        <w:rPr>
          <w:rFonts w:cs="Times New Roman"/>
          <w:i/>
        </w:rPr>
        <w:t>Bodner</w:t>
      </w:r>
      <w:r w:rsidRPr="00FF39DD">
        <w:rPr>
          <w:rFonts w:cs="Times New Roman"/>
        </w:rPr>
        <w:t>, at para. 31, this Court set out a three</w:t>
      </w:r>
      <w:r w:rsidRPr="00FF39DD">
        <w:rPr>
          <w:rFonts w:cs="Times New Roman"/>
        </w:rPr>
        <w:noBreakHyphen/>
        <w:t>part test for determining whether a government’s decision to depart from a commission’s recommendation meets the rationality standard:</w:t>
      </w:r>
    </w:p>
    <w:p w14:paraId="5ED02F9B" w14:textId="77777777" w:rsidR="0080188D" w:rsidRPr="00FF39DD" w:rsidRDefault="0080188D" w:rsidP="00A804CE">
      <w:pPr>
        <w:pStyle w:val="ParaNoNdepar-AltN"/>
        <w:numPr>
          <w:ilvl w:val="3"/>
          <w:numId w:val="6"/>
        </w:numPr>
        <w:tabs>
          <w:tab w:val="left" w:pos="720"/>
        </w:tabs>
        <w:spacing w:before="0" w:line="240" w:lineRule="auto"/>
        <w:ind w:left="720" w:hanging="720"/>
        <w:rPr>
          <w:rFonts w:cs="Times New Roman"/>
        </w:rPr>
      </w:pPr>
      <w:r w:rsidRPr="00FF39DD">
        <w:rPr>
          <w:rFonts w:cs="Times New Roman"/>
        </w:rPr>
        <w:lastRenderedPageBreak/>
        <w:t>Has the government articulated a legitimate reason for departing from the commission’s recommendations?</w:t>
      </w:r>
    </w:p>
    <w:p w14:paraId="73BF3D19" w14:textId="77777777" w:rsidR="0080188D" w:rsidRPr="00FF39DD" w:rsidRDefault="0080188D" w:rsidP="00A804CE">
      <w:pPr>
        <w:pStyle w:val="ParaNoNdepar-AltN"/>
        <w:numPr>
          <w:ilvl w:val="3"/>
          <w:numId w:val="6"/>
        </w:numPr>
        <w:tabs>
          <w:tab w:val="left" w:pos="720"/>
        </w:tabs>
        <w:spacing w:before="0" w:line="240" w:lineRule="auto"/>
        <w:ind w:left="720" w:hanging="720"/>
        <w:rPr>
          <w:rFonts w:cs="Times New Roman"/>
        </w:rPr>
      </w:pPr>
      <w:r w:rsidRPr="00FF39DD">
        <w:rPr>
          <w:rFonts w:cs="Times New Roman"/>
        </w:rPr>
        <w:t>Do the government’s reasons rely upon a reasonable factual foundation? and</w:t>
      </w:r>
    </w:p>
    <w:p w14:paraId="0A97E896" w14:textId="77777777" w:rsidR="0080188D" w:rsidRPr="00FF39DD" w:rsidRDefault="0080188D" w:rsidP="00A804CE">
      <w:pPr>
        <w:pStyle w:val="ParaNoNdepar-AltN"/>
        <w:numPr>
          <w:ilvl w:val="3"/>
          <w:numId w:val="6"/>
        </w:numPr>
        <w:tabs>
          <w:tab w:val="left" w:pos="720"/>
        </w:tabs>
        <w:spacing w:before="0" w:line="240" w:lineRule="auto"/>
        <w:ind w:left="720" w:hanging="720"/>
        <w:rPr>
          <w:rFonts w:cs="Times New Roman"/>
        </w:rPr>
      </w:pPr>
      <w:r w:rsidRPr="00FF39DD">
        <w:rPr>
          <w:rFonts w:cs="Times New Roman"/>
        </w:rPr>
        <w:t>Viewed globally, has the commission process been respected and have the purposes of the commission — preserving judicial independence and depoliticizing the setting of judicial remuneration — been achieved?</w:t>
      </w:r>
    </w:p>
    <w:p w14:paraId="00C289C1" w14:textId="2EE23AB6" w:rsidR="0080188D" w:rsidRPr="00FF39DD" w:rsidRDefault="0080188D" w:rsidP="0080188D">
      <w:pPr>
        <w:pStyle w:val="ParaNoNdepar-AltN"/>
        <w:rPr>
          <w:rFonts w:cs="Times New Roman"/>
        </w:rPr>
      </w:pPr>
      <w:r w:rsidRPr="00FF39DD">
        <w:rPr>
          <w:rFonts w:cs="Times New Roman"/>
        </w:rPr>
        <w:t xml:space="preserve">Under the first two parts of the test, the focus is on the reasons given by government for departing from the commission’s recommendations: </w:t>
      </w:r>
      <w:r w:rsidRPr="00FF39DD">
        <w:rPr>
          <w:rFonts w:cs="Times New Roman"/>
          <w:i/>
        </w:rPr>
        <w:t>Bodner</w:t>
      </w:r>
      <w:r w:rsidRPr="00FF39DD">
        <w:rPr>
          <w:rFonts w:cs="Times New Roman"/>
        </w:rPr>
        <w:t>, at paras. 32</w:t>
      </w:r>
      <w:r w:rsidRPr="00FF39DD">
        <w:rPr>
          <w:rFonts w:cs="Times New Roman"/>
        </w:rPr>
        <w:noBreakHyphen/>
        <w:t xml:space="preserve">33 and 36. The government “must respond to the </w:t>
      </w:r>
      <w:r w:rsidRPr="00FF39DD">
        <w:rPr>
          <w:rFonts w:cs="Times New Roman"/>
          <w:lang w:val="en-US"/>
        </w:rPr>
        <w:t>[commission’s] recommendations” by “giv[ing] legitimate reasons for departing f</w:t>
      </w:r>
      <w:r w:rsidR="00D2516B">
        <w:rPr>
          <w:rFonts w:cs="Times New Roman"/>
          <w:lang w:val="en-US"/>
        </w:rPr>
        <w:t>rom or varying them”: paras. 23</w:t>
      </w:r>
      <w:r w:rsidR="00D2516B" w:rsidRPr="00FF39DD">
        <w:rPr>
          <w:rFonts w:cs="Times New Roman"/>
        </w:rPr>
        <w:noBreakHyphen/>
      </w:r>
      <w:r w:rsidRPr="00FF39DD">
        <w:rPr>
          <w:rFonts w:cs="Times New Roman"/>
          <w:lang w:val="en-US"/>
        </w:rPr>
        <w:t xml:space="preserve">24. The reasons must “show that the commission’s recommendations have been taken into account and must be based on [a reasonable factual foundation] </w:t>
      </w:r>
      <w:r w:rsidR="00D2516B">
        <w:rPr>
          <w:rFonts w:cs="Times New Roman"/>
          <w:lang w:val="en-US"/>
        </w:rPr>
        <w:t>and sound reasoning”: paras. 25</w:t>
      </w:r>
      <w:r w:rsidR="00D2516B" w:rsidRPr="00FF39DD">
        <w:rPr>
          <w:rFonts w:cs="Times New Roman"/>
        </w:rPr>
        <w:noBreakHyphen/>
      </w:r>
      <w:r w:rsidRPr="00FF39DD">
        <w:rPr>
          <w:rFonts w:cs="Times New Roman"/>
          <w:lang w:val="en-US"/>
        </w:rPr>
        <w:t>26. The reasons must also “articulat[e] the grounds for rejection or variation”, “reveal a consideration of the judicial office and an intention to deal with it appropriately”, “preclude any suggestion of attempting to manipulate the judiciary” and “reflect the underlying public interest in having a commission process, being the depoliticization of the remuneration process and the need to preserve judicial independence”: para. 25.</w:t>
      </w:r>
    </w:p>
    <w:p w14:paraId="422B5AA0" w14:textId="282928BE" w:rsidR="0080188D" w:rsidRPr="00FF39DD" w:rsidRDefault="0080188D" w:rsidP="0080188D">
      <w:pPr>
        <w:pStyle w:val="ParaNoNdepar-AltN"/>
        <w:rPr>
          <w:rFonts w:cs="Times New Roman"/>
        </w:rPr>
      </w:pPr>
      <w:r w:rsidRPr="00FF39DD">
        <w:rPr>
          <w:rFonts w:cs="Times New Roman"/>
        </w:rPr>
        <w:t xml:space="preserve">The third part of the </w:t>
      </w:r>
      <w:r w:rsidRPr="00FF39DD">
        <w:rPr>
          <w:rFonts w:cs="Times New Roman"/>
          <w:i/>
        </w:rPr>
        <w:t>Bodner</w:t>
      </w:r>
      <w:r w:rsidRPr="00FF39DD">
        <w:rPr>
          <w:rFonts w:cs="Times New Roman"/>
        </w:rPr>
        <w:t xml:space="preserve"> test looks to whether the government has respected the commission process and, more broadly, whether the purposes of that process have been achieved: paras. 30</w:t>
      </w:r>
      <w:r w:rsidRPr="00FF39DD">
        <w:rPr>
          <w:rFonts w:cs="Times New Roman"/>
        </w:rPr>
        <w:noBreakHyphen/>
        <w:t xml:space="preserve">31, 38 and 43. This new part of the test was added by this Court in an effort to achieve the “unfulfilled” hopes this Court had in the </w:t>
      </w:r>
      <w:r w:rsidRPr="00FF39DD">
        <w:rPr>
          <w:rFonts w:cs="Times New Roman"/>
          <w:i/>
        </w:rPr>
        <w:t xml:space="preserve">Provincial Judges Reference </w:t>
      </w:r>
      <w:r w:rsidRPr="00FF39DD">
        <w:rPr>
          <w:rFonts w:cs="Times New Roman"/>
        </w:rPr>
        <w:t xml:space="preserve">of depoliticizing the process of setting judicial </w:t>
      </w:r>
      <w:r w:rsidRPr="00FF39DD">
        <w:rPr>
          <w:rFonts w:cs="Times New Roman"/>
        </w:rPr>
        <w:lastRenderedPageBreak/>
        <w:t>remuneration and thereby preserving judicial independence: paras. 10</w:t>
      </w:r>
      <w:r w:rsidRPr="00FF39DD">
        <w:rPr>
          <w:rFonts w:cs="Times New Roman"/>
        </w:rPr>
        <w:noBreakHyphen/>
        <w:t xml:space="preserve">12 and 31. The third step in the </w:t>
      </w:r>
      <w:r w:rsidRPr="00FF39DD">
        <w:rPr>
          <w:rFonts w:cs="Times New Roman"/>
          <w:i/>
        </w:rPr>
        <w:t>Bodner</w:t>
      </w:r>
      <w:r w:rsidRPr="00FF39DD">
        <w:rPr>
          <w:rFonts w:cs="Times New Roman"/>
        </w:rPr>
        <w:t xml:space="preserve"> test requires the court to take a global perspective and ask whether the government demonstrated respect for the judicial office by engaging meaningfully with the commission pro</w:t>
      </w:r>
      <w:r w:rsidR="00AD3C0F">
        <w:rPr>
          <w:rFonts w:cs="Times New Roman"/>
        </w:rPr>
        <w:t>cess: see paras. 25, 31 and 38.</w:t>
      </w:r>
    </w:p>
    <w:p w14:paraId="144077BB" w14:textId="77777777" w:rsidR="0080188D" w:rsidRPr="00FF39DD" w:rsidRDefault="0080188D" w:rsidP="0080188D">
      <w:pPr>
        <w:pStyle w:val="ParaNoNdepar-AltN"/>
        <w:rPr>
          <w:rFonts w:cs="Times New Roman"/>
        </w:rPr>
      </w:pPr>
      <w:r w:rsidRPr="00FF39DD">
        <w:rPr>
          <w:rFonts w:cs="Times New Roman"/>
        </w:rPr>
        <w:t>However,</w:t>
      </w:r>
      <w:r w:rsidRPr="00FF39DD">
        <w:rPr>
          <w:rFonts w:cs="Times New Roman"/>
          <w:b/>
        </w:rPr>
        <w:t xml:space="preserve"> </w:t>
      </w:r>
      <w:r w:rsidRPr="00FF39DD">
        <w:rPr>
          <w:rFonts w:cs="Times New Roman"/>
        </w:rPr>
        <w:t xml:space="preserve">this addition in </w:t>
      </w:r>
      <w:r w:rsidRPr="00FF39DD">
        <w:rPr>
          <w:rFonts w:cs="Times New Roman"/>
          <w:i/>
        </w:rPr>
        <w:t>Bodner</w:t>
      </w:r>
      <w:r w:rsidRPr="00FF39DD">
        <w:rPr>
          <w:rFonts w:cs="Times New Roman"/>
        </w:rPr>
        <w:t xml:space="preserve"> was not intended to transform the analysis into a probing review of the process through which the government developed its response, whether it took place within the executive, the legislature or both. As a result, I cannot agree with the Provincial Court Judges’ Association that references to the “totality” or “whole of the process” in </w:t>
      </w:r>
      <w:r w:rsidRPr="00FF39DD">
        <w:rPr>
          <w:rFonts w:cs="Times New Roman"/>
          <w:i/>
        </w:rPr>
        <w:t>Bodner</w:t>
      </w:r>
      <w:r w:rsidRPr="00FF39DD">
        <w:rPr>
          <w:rFonts w:cs="Times New Roman"/>
        </w:rPr>
        <w:t>, at para. 38, were meant to expand the scope of review such that the Cabinet decision</w:t>
      </w:r>
      <w:r w:rsidRPr="00FF39DD">
        <w:rPr>
          <w:rFonts w:cs="Times New Roman"/>
        </w:rPr>
        <w:noBreakHyphen/>
        <w:t>making process must necessarily be scrutinized in every case.</w:t>
      </w:r>
    </w:p>
    <w:p w14:paraId="083E0A71" w14:textId="77777777" w:rsidR="0080188D" w:rsidRPr="00FF39DD" w:rsidRDefault="0080188D" w:rsidP="0080188D">
      <w:pPr>
        <w:pStyle w:val="ParaNoNdepar-AltN"/>
        <w:rPr>
          <w:rFonts w:cs="Times New Roman"/>
        </w:rPr>
      </w:pPr>
      <w:r w:rsidRPr="00FF39DD">
        <w:rPr>
          <w:rFonts w:cs="Times New Roman"/>
        </w:rPr>
        <w:t xml:space="preserve">There is no doubt that the </w:t>
      </w:r>
      <w:r w:rsidRPr="00FF39DD">
        <w:rPr>
          <w:rFonts w:cs="Times New Roman"/>
          <w:i/>
        </w:rPr>
        <w:t>Provincial Judges Reference</w:t>
      </w:r>
      <w:r w:rsidRPr="00FF39DD">
        <w:rPr>
          <w:rFonts w:cs="Times New Roman"/>
        </w:rPr>
        <w:t xml:space="preserve"> and </w:t>
      </w:r>
      <w:r w:rsidRPr="00FF39DD">
        <w:rPr>
          <w:rFonts w:cs="Times New Roman"/>
          <w:i/>
        </w:rPr>
        <w:t>Bodner</w:t>
      </w:r>
      <w:r w:rsidRPr="00FF39DD">
        <w:rPr>
          <w:rFonts w:cs="Times New Roman"/>
        </w:rPr>
        <w:t xml:space="preserve"> require that the reviewing court focus on the government’s response. In </w:t>
      </w:r>
      <w:r w:rsidRPr="00FF39DD">
        <w:rPr>
          <w:rFonts w:cs="Times New Roman"/>
          <w:i/>
        </w:rPr>
        <w:t xml:space="preserve">Bodner </w:t>
      </w:r>
      <w:r w:rsidRPr="00FF39DD">
        <w:rPr>
          <w:rFonts w:cs="Times New Roman"/>
        </w:rPr>
        <w:t xml:space="preserve">itself, this Court looked at the Alberta, New Brunswick and Ontario governments’ responses to commission recommendations to determine whether the third part of the </w:t>
      </w:r>
      <w:r w:rsidRPr="00FF39DD">
        <w:rPr>
          <w:rFonts w:cs="Times New Roman"/>
          <w:i/>
        </w:rPr>
        <w:t xml:space="preserve">Bodner </w:t>
      </w:r>
      <w:r w:rsidRPr="00FF39DD">
        <w:rPr>
          <w:rFonts w:cs="Times New Roman"/>
        </w:rPr>
        <w:t>test</w:t>
      </w:r>
      <w:r w:rsidRPr="00FF39DD">
        <w:rPr>
          <w:rFonts w:cs="Times New Roman"/>
          <w:i/>
        </w:rPr>
        <w:t xml:space="preserve"> </w:t>
      </w:r>
      <w:r w:rsidRPr="00FF39DD">
        <w:rPr>
          <w:rFonts w:cs="Times New Roman"/>
        </w:rPr>
        <w:t>had been met: paras. 83, 100 and 130</w:t>
      </w:r>
      <w:r w:rsidRPr="00FF39DD">
        <w:rPr>
          <w:rFonts w:cs="Times New Roman"/>
        </w:rPr>
        <w:noBreakHyphen/>
        <w:t xml:space="preserve">31. That said, the third part of the </w:t>
      </w:r>
      <w:r w:rsidRPr="00FF39DD">
        <w:rPr>
          <w:rFonts w:cs="Times New Roman"/>
          <w:i/>
        </w:rPr>
        <w:t>Bodner</w:t>
      </w:r>
      <w:r w:rsidRPr="00FF39DD">
        <w:rPr>
          <w:rFonts w:cs="Times New Roman"/>
        </w:rPr>
        <w:t xml:space="preserve"> test is not necessarily limited to consideration of the government’s public reasons.</w:t>
      </w:r>
    </w:p>
    <w:p w14:paraId="4F234BCB" w14:textId="5B926841" w:rsidR="0080188D" w:rsidRPr="00FF39DD" w:rsidRDefault="0080188D" w:rsidP="0080188D">
      <w:pPr>
        <w:pStyle w:val="ParaNoNdepar-AltN"/>
        <w:rPr>
          <w:rFonts w:cs="Times New Roman"/>
        </w:rPr>
      </w:pPr>
      <w:r w:rsidRPr="00FF39DD">
        <w:rPr>
          <w:rFonts w:cs="Times New Roman"/>
        </w:rPr>
        <w:t xml:space="preserve">Moreover, this does not mean that the government can hide behind reasons that conceal an improper or colourable purpose. The </w:t>
      </w:r>
      <w:r w:rsidRPr="00FF39DD">
        <w:rPr>
          <w:rFonts w:cs="Times New Roman"/>
          <w:i/>
        </w:rPr>
        <w:t xml:space="preserve">Provincial Judges Reference </w:t>
      </w:r>
      <w:r w:rsidRPr="00FF39DD">
        <w:rPr>
          <w:rFonts w:cs="Times New Roman"/>
        </w:rPr>
        <w:t>and</w:t>
      </w:r>
      <w:r w:rsidRPr="00FF39DD">
        <w:rPr>
          <w:rFonts w:cs="Times New Roman"/>
          <w:i/>
        </w:rPr>
        <w:t xml:space="preserve"> Bodner</w:t>
      </w:r>
      <w:r w:rsidRPr="00FF39DD">
        <w:rPr>
          <w:rFonts w:cs="Times New Roman"/>
        </w:rPr>
        <w:t xml:space="preserve"> cannot be interpreted to mean that as long as the government’s public reasons are facially legitimate and appear grounded in a reasonable factual foundation, the </w:t>
      </w:r>
      <w:r w:rsidRPr="00FF39DD">
        <w:rPr>
          <w:rFonts w:cs="Times New Roman"/>
        </w:rPr>
        <w:lastRenderedPageBreak/>
        <w:t xml:space="preserve">government could provide reasons that were not given in good faith. </w:t>
      </w:r>
      <w:r w:rsidRPr="00FF39DD">
        <w:rPr>
          <w:rFonts w:cs="Times New Roman"/>
          <w:szCs w:val="24"/>
        </w:rPr>
        <w:t xml:space="preserve">Indeed, it is implicit in the third part of the </w:t>
      </w:r>
      <w:r w:rsidRPr="00FF39DD">
        <w:rPr>
          <w:rFonts w:cs="Times New Roman"/>
          <w:i/>
          <w:iCs/>
          <w:szCs w:val="24"/>
        </w:rPr>
        <w:t>Bodner</w:t>
      </w:r>
      <w:r w:rsidRPr="00FF39DD">
        <w:rPr>
          <w:rFonts w:cs="Times New Roman"/>
          <w:szCs w:val="24"/>
        </w:rPr>
        <w:t xml:space="preserve"> test itself that, </w:t>
      </w:r>
      <w:r w:rsidRPr="00FF39DD">
        <w:rPr>
          <w:rFonts w:cs="Times New Roman"/>
        </w:rPr>
        <w:t>presented with evidence that the government’s response is rooted in an improper or colourable purpose and has accordingly fallen short of the constitutional benchmark set in this Court’s jurisprudence, the reviewing court cannot simply accept the government’s formal re</w:t>
      </w:r>
      <w:r w:rsidR="00AD3C0F">
        <w:rPr>
          <w:rFonts w:cs="Times New Roman"/>
        </w:rPr>
        <w:t>sponse without further inquiry.</w:t>
      </w:r>
    </w:p>
    <w:p w14:paraId="181F942C" w14:textId="129C6C48" w:rsidR="0080188D" w:rsidRPr="00FF39DD" w:rsidRDefault="0080188D" w:rsidP="0080188D">
      <w:pPr>
        <w:pStyle w:val="ParaNoNdepar-AltN"/>
        <w:rPr>
          <w:rFonts w:cs="Times New Roman"/>
        </w:rPr>
      </w:pPr>
      <w:r w:rsidRPr="00FF39DD">
        <w:rPr>
          <w:rFonts w:cs="Times New Roman"/>
        </w:rPr>
        <w:t xml:space="preserve">This is nothing new. In </w:t>
      </w:r>
      <w:r w:rsidRPr="00FF39DD">
        <w:rPr>
          <w:rFonts w:cs="Times New Roman"/>
          <w:i/>
        </w:rPr>
        <w:t>Beauregard</w:t>
      </w:r>
      <w:r w:rsidRPr="00FF39DD">
        <w:rPr>
          <w:rFonts w:cs="Times New Roman"/>
        </w:rPr>
        <w:t xml:space="preserve">, at p. 77, this Court made clear that “[i]f there were any hint that a federal law dealing with [the fixing of salaries and pensions of superior court judges] was enacted for an </w:t>
      </w:r>
      <w:r w:rsidRPr="00FF39DD">
        <w:rPr>
          <w:rFonts w:cs="Times New Roman"/>
          <w:u w:val="single"/>
        </w:rPr>
        <w:t>improper or colourable purpose</w:t>
      </w:r>
      <w:r w:rsidRPr="00FF39DD">
        <w:rPr>
          <w:rFonts w:cs="Times New Roman"/>
        </w:rPr>
        <w:t xml:space="preserve">, or if there was discriminatory treatment of judges </w:t>
      </w:r>
      <w:r w:rsidRPr="00FF39DD">
        <w:rPr>
          <w:rFonts w:cs="Times New Roman"/>
          <w:i/>
        </w:rPr>
        <w:t>vis</w:t>
      </w:r>
      <w:r w:rsidRPr="00FF39DD">
        <w:rPr>
          <w:rFonts w:cs="Times New Roman"/>
          <w:i/>
        </w:rPr>
        <w:noBreakHyphen/>
        <w:t>à</w:t>
      </w:r>
      <w:r w:rsidRPr="00FF39DD">
        <w:rPr>
          <w:rFonts w:cs="Times New Roman"/>
          <w:i/>
        </w:rPr>
        <w:noBreakHyphen/>
        <w:t>vis</w:t>
      </w:r>
      <w:r w:rsidRPr="00FF39DD">
        <w:rPr>
          <w:rFonts w:cs="Times New Roman"/>
        </w:rPr>
        <w:t xml:space="preserve"> other citizens, then serious issues relating to judicial independence would arise and the law might well be held </w:t>
      </w:r>
      <w:r w:rsidR="00AD3C0F">
        <w:rPr>
          <w:rFonts w:cs="Times New Roman"/>
        </w:rPr>
        <w:t xml:space="preserve">to be </w:t>
      </w:r>
      <w:r w:rsidRPr="00FF39DD">
        <w:rPr>
          <w:rFonts w:cs="Times New Roman"/>
          <w:i/>
        </w:rPr>
        <w:t>ultra vires</w:t>
      </w:r>
      <w:r w:rsidRPr="00FF39DD">
        <w:rPr>
          <w:rFonts w:cs="Times New Roman"/>
        </w:rPr>
        <w:t xml:space="preserve"> s. 100 of the </w:t>
      </w:r>
      <w:r w:rsidRPr="00FF39DD">
        <w:rPr>
          <w:rFonts w:cs="Times New Roman"/>
          <w:i/>
        </w:rPr>
        <w:t>Constitution Act, 1867</w:t>
      </w:r>
      <w:r w:rsidRPr="00FF39DD">
        <w:rPr>
          <w:rFonts w:cs="Times New Roman"/>
        </w:rPr>
        <w:t xml:space="preserve">” (emphasis added). This is true of all judges to whom the constitutional principle of judicial independence applies: see </w:t>
      </w:r>
      <w:r w:rsidRPr="00FF39DD">
        <w:rPr>
          <w:rFonts w:cs="Times New Roman"/>
          <w:i/>
        </w:rPr>
        <w:t>Provincial Judges Reference</w:t>
      </w:r>
      <w:r w:rsidRPr="00FF39DD">
        <w:rPr>
          <w:rFonts w:cs="Times New Roman"/>
        </w:rPr>
        <w:t>, at paras. 145 and 165.</w:t>
      </w:r>
    </w:p>
    <w:p w14:paraId="0E842545" w14:textId="47A2D2BB" w:rsidR="0080188D" w:rsidRPr="00FF39DD" w:rsidRDefault="0080188D" w:rsidP="0080188D">
      <w:pPr>
        <w:pStyle w:val="ParaNoNdepar-AltN"/>
        <w:rPr>
          <w:rFonts w:cs="Times New Roman"/>
        </w:rPr>
      </w:pPr>
      <w:r w:rsidRPr="00FF39DD">
        <w:rPr>
          <w:rFonts w:cs="Times New Roman"/>
        </w:rPr>
        <w:t xml:space="preserve">Considerations of legitimacy and respect for the process — and conversely, considerations of impropriety or colourability — permeate the entire </w:t>
      </w:r>
      <w:r w:rsidRPr="00FF39DD">
        <w:rPr>
          <w:rFonts w:cs="Times New Roman"/>
          <w:i/>
        </w:rPr>
        <w:t xml:space="preserve">Bodner </w:t>
      </w:r>
      <w:r w:rsidRPr="00FF39DD">
        <w:rPr>
          <w:rFonts w:cs="Times New Roman"/>
        </w:rPr>
        <w:t xml:space="preserve">analysis. Indeed, in </w:t>
      </w:r>
      <w:r w:rsidRPr="00FF39DD">
        <w:rPr>
          <w:rFonts w:cs="Times New Roman"/>
          <w:i/>
        </w:rPr>
        <w:t>Bodner</w:t>
      </w:r>
      <w:r w:rsidRPr="00FF39DD">
        <w:rPr>
          <w:rFonts w:cs="Times New Roman"/>
        </w:rPr>
        <w:t>, which concerned the remuneration of provincially</w:t>
      </w:r>
      <w:r w:rsidRPr="00FF39DD">
        <w:rPr>
          <w:rFonts w:cs="Times New Roman"/>
        </w:rPr>
        <w:noBreakHyphen/>
        <w:t xml:space="preserve">appointed judges, this Court considered whether the reasons given by the Alberta, New Brunswick, Ontario and Quebec governments were “based on purely political considerations”, “reveal political or discriminatory motivations” or “evidence any </w:t>
      </w:r>
      <w:r w:rsidRPr="00FF39DD">
        <w:rPr>
          <w:rFonts w:cs="Times New Roman"/>
        </w:rPr>
        <w:lastRenderedPageBreak/>
        <w:t xml:space="preserve">improper </w:t>
      </w:r>
      <w:r w:rsidR="003F7649">
        <w:rPr>
          <w:rFonts w:cs="Times New Roman"/>
        </w:rPr>
        <w:t xml:space="preserve">political </w:t>
      </w:r>
      <w:r w:rsidRPr="00FF39DD">
        <w:rPr>
          <w:rFonts w:cs="Times New Roman"/>
        </w:rPr>
        <w:t>purpose or intent to manipulate or influence the judiciary”: paras. 66, 96 and 159; see also paras. 68 and</w:t>
      </w:r>
      <w:r w:rsidR="00AD3C0F">
        <w:rPr>
          <w:rFonts w:cs="Times New Roman"/>
        </w:rPr>
        <w:t xml:space="preserve"> 123.</w:t>
      </w:r>
    </w:p>
    <w:p w14:paraId="7E966DE7" w14:textId="76EE4FE5" w:rsidR="0080188D" w:rsidRPr="00FF39DD" w:rsidRDefault="0080188D" w:rsidP="0080188D">
      <w:pPr>
        <w:pStyle w:val="ParaNoNdepar-AltN"/>
        <w:rPr>
          <w:rFonts w:cs="Times New Roman"/>
        </w:rPr>
      </w:pPr>
      <w:r w:rsidRPr="00FF39DD">
        <w:rPr>
          <w:rFonts w:cs="Times New Roman"/>
        </w:rPr>
        <w:t xml:space="preserve">Reasons that reveal an improper or colourable purpose would fail the first step of the </w:t>
      </w:r>
      <w:r w:rsidRPr="00FF39DD">
        <w:rPr>
          <w:rFonts w:cs="Times New Roman"/>
          <w:i/>
        </w:rPr>
        <w:t>Bodner</w:t>
      </w:r>
      <w:r w:rsidRPr="00FF39DD">
        <w:rPr>
          <w:rFonts w:cs="Times New Roman"/>
        </w:rPr>
        <w:t xml:space="preserve"> test which requires that a government articulate a legitimate reason for departing from a commission’s recommendations. Similarly, in reviewing whether a government had relied on a reasonable factual foundation, this Court acknowledged the possibility that the government might also rely on “affidavits containing evidence of good faith and commitment to the process, such as information relating to the government’s study </w:t>
      </w:r>
      <w:r w:rsidR="003F7649">
        <w:rPr>
          <w:rFonts w:cs="Times New Roman"/>
        </w:rPr>
        <w:t xml:space="preserve">of the impact </w:t>
      </w:r>
      <w:r w:rsidRPr="00FF39DD">
        <w:rPr>
          <w:rFonts w:cs="Times New Roman"/>
        </w:rPr>
        <w:t xml:space="preserve">of the commission’s recommendations”: </w:t>
      </w:r>
      <w:r w:rsidRPr="00FF39DD">
        <w:rPr>
          <w:rFonts w:cs="Times New Roman"/>
          <w:i/>
        </w:rPr>
        <w:t>Bodner</w:t>
      </w:r>
      <w:r w:rsidRPr="00FF39DD">
        <w:rPr>
          <w:rFonts w:cs="Times New Roman"/>
        </w:rPr>
        <w:t xml:space="preserve">, at para. 36. Finally, a government’s conduct and the adequacy of its response are also directly engaged in the third part of the </w:t>
      </w:r>
      <w:r w:rsidRPr="00FF39DD">
        <w:rPr>
          <w:rFonts w:cs="Times New Roman"/>
          <w:i/>
        </w:rPr>
        <w:t>Bodner</w:t>
      </w:r>
      <w:r w:rsidRPr="00FF39DD">
        <w:rPr>
          <w:rFonts w:cs="Times New Roman"/>
        </w:rPr>
        <w:t xml:space="preserve"> test, which looks to whether the government has respected the commission process and, more broadly, whether the purposes of that process have been achieved.</w:t>
      </w:r>
    </w:p>
    <w:p w14:paraId="6C032CB4" w14:textId="34769C66" w:rsidR="0080188D" w:rsidRPr="00FF39DD" w:rsidRDefault="0080188D" w:rsidP="0080188D">
      <w:pPr>
        <w:pStyle w:val="ParaNoNdepar-AltN"/>
        <w:rPr>
          <w:rFonts w:cs="Times New Roman"/>
        </w:rPr>
      </w:pPr>
      <w:r w:rsidRPr="00FF39DD">
        <w:rPr>
          <w:rFonts w:cs="Times New Roman"/>
        </w:rPr>
        <w:t xml:space="preserve">Thus, even if a government’s public reasons appear to satisfy the requirements of </w:t>
      </w:r>
      <w:r w:rsidRPr="00FF39DD">
        <w:rPr>
          <w:rFonts w:cs="Times New Roman"/>
          <w:i/>
        </w:rPr>
        <w:t>Bodner</w:t>
      </w:r>
      <w:r w:rsidRPr="00FF39DD">
        <w:rPr>
          <w:rFonts w:cs="Times New Roman"/>
        </w:rPr>
        <w:t xml:space="preserve">, the government’s response remains subject to challenge on the basis that it is grounded in an </w:t>
      </w:r>
      <w:r w:rsidR="00A47B68">
        <w:rPr>
          <w:rFonts w:cs="Times New Roman"/>
        </w:rPr>
        <w:t>improper or colourable purpose.</w:t>
      </w:r>
    </w:p>
    <w:p w14:paraId="50D6E3E9" w14:textId="77777777" w:rsidR="0080188D" w:rsidRPr="00FF39DD" w:rsidRDefault="0080188D" w:rsidP="0080188D">
      <w:pPr>
        <w:pStyle w:val="ParaNoNdepar-AltN"/>
        <w:rPr>
          <w:rFonts w:cs="Times New Roman"/>
        </w:rPr>
      </w:pPr>
      <w:r w:rsidRPr="00FF39DD">
        <w:rPr>
          <w:rFonts w:cs="Times New Roman"/>
        </w:rPr>
        <w:t xml:space="preserve">In </w:t>
      </w:r>
      <w:r w:rsidRPr="00FF39DD">
        <w:rPr>
          <w:rFonts w:cs="Times New Roman"/>
          <w:i/>
        </w:rPr>
        <w:t>Bodner</w:t>
      </w:r>
      <w:r w:rsidRPr="00FF39DD">
        <w:rPr>
          <w:rFonts w:cs="Times New Roman"/>
        </w:rPr>
        <w:t xml:space="preserve">, this Court underscored that “[t]he limited nature of judicial review [of the government’s response] dictates the choice of remedies. The remedies must be consistent with the role of the reviewing court and the purpose of the commission process”: para. 42. In my view, the limited nature of </w:t>
      </w:r>
      <w:r w:rsidRPr="00FF39DD">
        <w:rPr>
          <w:rFonts w:cs="Times New Roman"/>
          <w:i/>
        </w:rPr>
        <w:t>Bodner</w:t>
      </w:r>
      <w:r w:rsidRPr="00FF39DD">
        <w:rPr>
          <w:rFonts w:cs="Times New Roman"/>
        </w:rPr>
        <w:t xml:space="preserve"> review, the </w:t>
      </w:r>
      <w:r w:rsidRPr="00FF39DD">
        <w:rPr>
          <w:rFonts w:cs="Times New Roman"/>
        </w:rPr>
        <w:lastRenderedPageBreak/>
        <w:t>role of the reviewing court and the purpose of the process also have implications for the evidence considered by the reviewing court.</w:t>
      </w:r>
    </w:p>
    <w:p w14:paraId="5EF2387C" w14:textId="77777777" w:rsidR="0080188D" w:rsidRPr="00FF39DD" w:rsidRDefault="0080188D" w:rsidP="0080188D">
      <w:pPr>
        <w:pStyle w:val="Title2LevelTitre2Niveau"/>
        <w:ind w:left="578" w:hanging="578"/>
        <w:rPr>
          <w:rFonts w:cs="Times New Roman"/>
        </w:rPr>
      </w:pPr>
      <w:r w:rsidRPr="00FF39DD">
        <w:rPr>
          <w:rFonts w:cs="Times New Roman"/>
        </w:rPr>
        <w:t>Evidence on Bodner Review</w:t>
      </w:r>
    </w:p>
    <w:p w14:paraId="0D6DDAE5" w14:textId="77777777" w:rsidR="0080188D" w:rsidRPr="00FF39DD" w:rsidRDefault="0080188D" w:rsidP="0080188D">
      <w:pPr>
        <w:pStyle w:val="ParaNoNdepar-AltN"/>
        <w:rPr>
          <w:rFonts w:cs="Times New Roman"/>
        </w:rPr>
      </w:pPr>
      <w:r w:rsidRPr="00FF39DD">
        <w:rPr>
          <w:rFonts w:cs="Times New Roman"/>
        </w:rPr>
        <w:t xml:space="preserve">The limited nature of </w:t>
      </w:r>
      <w:r w:rsidRPr="00FF39DD">
        <w:rPr>
          <w:rFonts w:cs="Times New Roman"/>
          <w:i/>
        </w:rPr>
        <w:t xml:space="preserve">Bodner </w:t>
      </w:r>
      <w:r w:rsidRPr="00FF39DD">
        <w:rPr>
          <w:rFonts w:cs="Times New Roman"/>
        </w:rPr>
        <w:t xml:space="preserve">review implies that the record for this type of review is narrower than it would be on ordinary judicial review. It also means that relevance must be assessed in relation to the specific issues that are the focus of the court’s inquiry on </w:t>
      </w:r>
      <w:r w:rsidRPr="00FF39DD">
        <w:rPr>
          <w:rFonts w:cs="Times New Roman"/>
          <w:i/>
        </w:rPr>
        <w:t xml:space="preserve">Bodner </w:t>
      </w:r>
      <w:r w:rsidRPr="00FF39DD">
        <w:rPr>
          <w:rFonts w:cs="Times New Roman"/>
        </w:rPr>
        <w:t xml:space="preserve">review: the legitimacy of the reasons given by government, the reasonableness of the factual foundation relied on by government, and the respect for the commission process by government such that the objectives of the process have been achieved. Further, since </w:t>
      </w:r>
      <w:r w:rsidRPr="00FF39DD">
        <w:rPr>
          <w:rFonts w:cs="Times New Roman"/>
          <w:i/>
        </w:rPr>
        <w:t>Bodner</w:t>
      </w:r>
      <w:r w:rsidRPr="00FF39DD">
        <w:rPr>
          <w:rFonts w:cs="Times New Roman"/>
        </w:rPr>
        <w:t xml:space="preserve"> review tends to oppose two branches of the state, special considerations arise where the party seeking </w:t>
      </w:r>
      <w:r w:rsidRPr="00FF39DD">
        <w:rPr>
          <w:rFonts w:cs="Times New Roman"/>
          <w:i/>
        </w:rPr>
        <w:t>Bodner</w:t>
      </w:r>
      <w:r w:rsidRPr="00FF39DD">
        <w:rPr>
          <w:rFonts w:cs="Times New Roman"/>
        </w:rPr>
        <w:t xml:space="preserve"> review requests the production of a confidential Cabinet document. As I detail below, those considerations require that the party seeking production establish that there is some basis to believe that the document may contain evidence which tends to show that the government failed to meet a requirement described in this Court’s jurisprudence, including </w:t>
      </w:r>
      <w:r w:rsidRPr="00FF39DD">
        <w:rPr>
          <w:rFonts w:cs="Times New Roman"/>
          <w:i/>
        </w:rPr>
        <w:t>Bodner</w:t>
      </w:r>
      <w:r w:rsidRPr="00FF39DD">
        <w:rPr>
          <w:rFonts w:cs="Times New Roman"/>
        </w:rPr>
        <w:t>. Only then will the reviewing court examine the document to determine whether it should be produced.</w:t>
      </w:r>
    </w:p>
    <w:p w14:paraId="4A73419B" w14:textId="77777777" w:rsidR="0080188D" w:rsidRPr="00FF39DD" w:rsidRDefault="0080188D" w:rsidP="0080188D">
      <w:pPr>
        <w:pStyle w:val="Title3LevelTitre3Niveau"/>
        <w:rPr>
          <w:rFonts w:cs="Times New Roman"/>
        </w:rPr>
      </w:pPr>
      <w:r w:rsidRPr="00FF39DD">
        <w:rPr>
          <w:rFonts w:cs="Times New Roman"/>
        </w:rPr>
        <w:t xml:space="preserve">Scope of the Record on </w:t>
      </w:r>
      <w:r w:rsidRPr="00FF39DD">
        <w:rPr>
          <w:rFonts w:cs="Times New Roman"/>
          <w:i/>
        </w:rPr>
        <w:t xml:space="preserve">Bodner </w:t>
      </w:r>
      <w:r w:rsidRPr="00FF39DD">
        <w:rPr>
          <w:rFonts w:cs="Times New Roman"/>
        </w:rPr>
        <w:t>Review</w:t>
      </w:r>
    </w:p>
    <w:p w14:paraId="42A8BCE9" w14:textId="77777777" w:rsidR="0080188D" w:rsidRPr="00FF39DD" w:rsidRDefault="0080188D" w:rsidP="0080188D">
      <w:pPr>
        <w:pStyle w:val="ParaNoNdepar-AltN"/>
        <w:rPr>
          <w:rFonts w:cs="Times New Roman"/>
        </w:rPr>
      </w:pPr>
      <w:r w:rsidRPr="00FF39DD">
        <w:rPr>
          <w:rFonts w:cs="Times New Roman"/>
        </w:rPr>
        <w:t xml:space="preserve">Like the Court of Appeal, the Provincial Court Judges’ Association invokes the rule that the record on judicial review generally includes any evidence that was </w:t>
      </w:r>
      <w:r w:rsidRPr="00FF39DD">
        <w:rPr>
          <w:rFonts w:cs="Times New Roman"/>
        </w:rPr>
        <w:lastRenderedPageBreak/>
        <w:t>before the decision</w:t>
      </w:r>
      <w:r w:rsidRPr="00FF39DD">
        <w:rPr>
          <w:rFonts w:cs="Times New Roman"/>
        </w:rPr>
        <w:noBreakHyphen/>
        <w:t>maker, subject to limited exceptions that either add to or subtract from the record. According to the Provincial Court Judges’ Association, since the submission was put before Cabinet and since Cabinet approved the resolution introduced by the Attorney General and ultimately passed by the Legislative Assembly, the Cabinet submission was part of the evidence before the decision</w:t>
      </w:r>
      <w:r w:rsidRPr="00FF39DD">
        <w:rPr>
          <w:rFonts w:cs="Times New Roman"/>
        </w:rPr>
        <w:noBreakHyphen/>
        <w:t>maker and is thus relevant to the judicial review. The Provincial Court Judges’ Association argues that the submission must therefore be included in the record on judicial review.</w:t>
      </w:r>
    </w:p>
    <w:p w14:paraId="5E641C2C" w14:textId="4869913C" w:rsidR="0080188D" w:rsidRPr="00FF39DD" w:rsidRDefault="0080188D" w:rsidP="0080188D">
      <w:pPr>
        <w:pStyle w:val="ParaNoNdepar-AltN"/>
        <w:rPr>
          <w:rFonts w:cs="Times New Roman"/>
        </w:rPr>
      </w:pPr>
      <w:r w:rsidRPr="00FF39DD">
        <w:rPr>
          <w:rFonts w:cs="Times New Roman"/>
        </w:rPr>
        <w:t>The Attorney General argues that the decision</w:t>
      </w:r>
      <w:r w:rsidRPr="00FF39DD">
        <w:rPr>
          <w:rFonts w:cs="Times New Roman"/>
        </w:rPr>
        <w:noBreakHyphen/>
        <w:t>maker was the Legislative Assembly, not Cabinet, so the Cabinet submission was not before the decision</w:t>
      </w:r>
      <w:r w:rsidRPr="00FF39DD">
        <w:rPr>
          <w:rFonts w:cs="Times New Roman"/>
        </w:rPr>
        <w:noBreakHyphen/>
        <w:t xml:space="preserve">maker and therefore should not be included in the record. More fundamentally, the Attorney General rejects the suggestion that the administrative law notion of the record on judicial </w:t>
      </w:r>
      <w:r w:rsidR="00A47B68">
        <w:rPr>
          <w:rFonts w:cs="Times New Roman"/>
        </w:rPr>
        <w:t>review applies in this context.</w:t>
      </w:r>
    </w:p>
    <w:p w14:paraId="4199A28B" w14:textId="77777777" w:rsidR="0080188D" w:rsidRPr="00FF39DD" w:rsidRDefault="0080188D" w:rsidP="0080188D">
      <w:pPr>
        <w:pStyle w:val="ParaNoNdepar-AltN"/>
        <w:rPr>
          <w:rFonts w:cs="Times New Roman"/>
        </w:rPr>
      </w:pPr>
      <w:r w:rsidRPr="00FF39DD">
        <w:rPr>
          <w:rFonts w:cs="Times New Roman"/>
        </w:rPr>
        <w:t>With respect to the identification of the formal decision</w:t>
      </w:r>
      <w:r w:rsidRPr="00FF39DD">
        <w:rPr>
          <w:rFonts w:cs="Times New Roman"/>
        </w:rPr>
        <w:noBreakHyphen/>
        <w:t xml:space="preserve">maker, neither the </w:t>
      </w:r>
      <w:r w:rsidRPr="00FF39DD">
        <w:rPr>
          <w:rFonts w:cs="Times New Roman"/>
          <w:i/>
        </w:rPr>
        <w:t xml:space="preserve">Provincial Judges Reference </w:t>
      </w:r>
      <w:r w:rsidRPr="00FF39DD">
        <w:rPr>
          <w:rFonts w:cs="Times New Roman"/>
        </w:rPr>
        <w:t xml:space="preserve">nor </w:t>
      </w:r>
      <w:r w:rsidRPr="00FF39DD">
        <w:rPr>
          <w:rFonts w:cs="Times New Roman"/>
          <w:i/>
        </w:rPr>
        <w:t>Bodner</w:t>
      </w:r>
      <w:r w:rsidRPr="00FF39DD">
        <w:rPr>
          <w:rFonts w:cs="Times New Roman"/>
        </w:rPr>
        <w:t xml:space="preserve"> prescribes that a particular institution must make the decision to respond to a commission’s recommendations. In some cases, it may be clear that only a single institution is involved, but in a jurisdiction like British Columbia where both the executive and Legislative Assembly play a substantive role, it would be artificial to focus solely on the Legislative Assembly’s part and ignore the executive’s involvement. Indeed, in this case the executive’s proposed reasons for departing from the commission’s recommendations were incorporated by reference into the resolution passed by the Legislative Assembly.</w:t>
      </w:r>
    </w:p>
    <w:p w14:paraId="3DFD912D" w14:textId="77777777" w:rsidR="0080188D" w:rsidRPr="00FF39DD" w:rsidRDefault="0080188D" w:rsidP="0080188D">
      <w:pPr>
        <w:pStyle w:val="ParaNoNdepar-AltN"/>
        <w:rPr>
          <w:rFonts w:cs="Times New Roman"/>
          <w:lang w:val="en-US"/>
        </w:rPr>
      </w:pPr>
      <w:r w:rsidRPr="00FF39DD">
        <w:rPr>
          <w:rFonts w:cs="Times New Roman"/>
        </w:rPr>
        <w:lastRenderedPageBreak/>
        <w:t xml:space="preserve">More importantly, in my view, the </w:t>
      </w:r>
      <w:r w:rsidRPr="00FF39DD">
        <w:rPr>
          <w:rFonts w:cs="Times New Roman"/>
          <w:i/>
        </w:rPr>
        <w:t xml:space="preserve">Provincial Judges Reference </w:t>
      </w:r>
      <w:r w:rsidRPr="00FF39DD">
        <w:rPr>
          <w:rFonts w:cs="Times New Roman"/>
        </w:rPr>
        <w:t xml:space="preserve">and </w:t>
      </w:r>
      <w:r w:rsidRPr="00FF39DD">
        <w:rPr>
          <w:rFonts w:cs="Times New Roman"/>
          <w:i/>
        </w:rPr>
        <w:t xml:space="preserve">Bodner </w:t>
      </w:r>
      <w:r w:rsidRPr="00FF39DD">
        <w:rPr>
          <w:rFonts w:cs="Times New Roman"/>
        </w:rPr>
        <w:t xml:space="preserve">describe a unique form of review distinct from judicial review in the ordinary administrative law sense. In contrast to judicial review, </w:t>
      </w:r>
      <w:r w:rsidRPr="00FF39DD">
        <w:rPr>
          <w:rFonts w:cs="Times New Roman"/>
          <w:i/>
        </w:rPr>
        <w:t xml:space="preserve">Bodner </w:t>
      </w:r>
      <w:r w:rsidRPr="00FF39DD">
        <w:rPr>
          <w:rFonts w:cs="Times New Roman"/>
        </w:rPr>
        <w:t>review is available even when the decision</w:t>
      </w:r>
      <w:r w:rsidRPr="00FF39DD">
        <w:rPr>
          <w:rFonts w:cs="Times New Roman"/>
        </w:rPr>
        <w:noBreakHyphen/>
        <w:t xml:space="preserve">maker is the legislature (or any part of the legislature): see </w:t>
      </w:r>
      <w:r w:rsidRPr="00FF39DD">
        <w:rPr>
          <w:rFonts w:cs="Times New Roman"/>
          <w:i/>
        </w:rPr>
        <w:t>Reference re Canada Assistance Plan (B.C.)</w:t>
      </w:r>
      <w:r w:rsidRPr="00FF39DD">
        <w:rPr>
          <w:rFonts w:cs="Times New Roman"/>
        </w:rPr>
        <w:t xml:space="preserve">, [1991] 2 S.C.R. 525, at p. 558; </w:t>
      </w:r>
      <w:r w:rsidRPr="00FF39DD">
        <w:rPr>
          <w:rFonts w:cs="Times New Roman"/>
          <w:i/>
        </w:rPr>
        <w:t>Wells v. Newfoundland</w:t>
      </w:r>
      <w:r w:rsidRPr="00FF39DD">
        <w:rPr>
          <w:rFonts w:cs="Times New Roman"/>
        </w:rPr>
        <w:t>, [1999] 3 S.C.R. 199, at para. 59. Further, the grounds for a</w:t>
      </w:r>
      <w:r w:rsidRPr="00FF39DD">
        <w:rPr>
          <w:rFonts w:cs="Times New Roman"/>
          <w:i/>
        </w:rPr>
        <w:t xml:space="preserve"> Bodner </w:t>
      </w:r>
      <w:r w:rsidRPr="00FF39DD">
        <w:rPr>
          <w:rFonts w:cs="Times New Roman"/>
        </w:rPr>
        <w:t xml:space="preserve">review are narrower than those for a usual judicial review. The </w:t>
      </w:r>
      <w:r w:rsidRPr="00FF39DD">
        <w:rPr>
          <w:rFonts w:cs="Times New Roman"/>
          <w:i/>
        </w:rPr>
        <w:t xml:space="preserve">Bodner </w:t>
      </w:r>
      <w:r w:rsidRPr="00FF39DD">
        <w:rPr>
          <w:rFonts w:cs="Times New Roman"/>
        </w:rPr>
        <w:t>grounds centre on the legitimacy and sufficiency of a government’s reasons for departing from a commission’s recommendations, whether the government has respected the commission process more generally and whether the objectives of the process have been achieved.</w:t>
      </w:r>
    </w:p>
    <w:p w14:paraId="43B74DA7" w14:textId="73443825" w:rsidR="0080188D" w:rsidRPr="00FF39DD" w:rsidRDefault="0080188D" w:rsidP="0080188D">
      <w:pPr>
        <w:pStyle w:val="ParaNoNdepar-AltN"/>
        <w:rPr>
          <w:rFonts w:cs="Times New Roman"/>
          <w:lang w:val="en-US"/>
        </w:rPr>
      </w:pPr>
      <w:r w:rsidRPr="00FF39DD">
        <w:rPr>
          <w:rFonts w:cs="Times New Roman"/>
        </w:rPr>
        <w:t>In the usual context of judicial review, the record generally consists of the evidence that was before the decision</w:t>
      </w:r>
      <w:r w:rsidRPr="00FF39DD">
        <w:rPr>
          <w:rFonts w:cs="Times New Roman"/>
        </w:rPr>
        <w:noBreakHyphen/>
        <w:t xml:space="preserve">maker: see </w:t>
      </w:r>
      <w:r w:rsidRPr="00FF39DD">
        <w:rPr>
          <w:rFonts w:cs="Times New Roman"/>
          <w:i/>
          <w:lang w:val="en-US"/>
        </w:rPr>
        <w:t>Delios v. Canada (Attorney General)</w:t>
      </w:r>
      <w:r w:rsidRPr="00FF39DD">
        <w:rPr>
          <w:rFonts w:cs="Times New Roman"/>
          <w:lang w:val="en-US"/>
        </w:rPr>
        <w:t xml:space="preserve">, 2015 FCA 117, 100 </w:t>
      </w:r>
      <w:r w:rsidR="006046D5">
        <w:rPr>
          <w:rFonts w:cs="Times New Roman"/>
          <w:lang w:val="en-US"/>
        </w:rPr>
        <w:t>Admin. L.R.</w:t>
      </w:r>
      <w:r w:rsidRPr="00FF39DD">
        <w:rPr>
          <w:rFonts w:cs="Times New Roman"/>
          <w:lang w:val="en-US"/>
        </w:rPr>
        <w:t xml:space="preserve"> (5th) 301, at para. 42; </w:t>
      </w:r>
      <w:r w:rsidRPr="00FF39DD">
        <w:rPr>
          <w:rFonts w:cs="Times New Roman"/>
          <w:i/>
          <w:lang w:val="en-US"/>
        </w:rPr>
        <w:t>Sobeys West Inc. v. College of Pharmacists of British Columbia</w:t>
      </w:r>
      <w:r w:rsidRPr="00FF39DD">
        <w:rPr>
          <w:rFonts w:cs="Times New Roman"/>
          <w:lang w:val="en-US"/>
        </w:rPr>
        <w:t>, 2016 BCCA 41, 80 B.C.L.R. (5th) 243, at para. 52</w:t>
      </w:r>
      <w:r w:rsidRPr="00FF39DD">
        <w:rPr>
          <w:rFonts w:cs="Times New Roman"/>
        </w:rPr>
        <w:t>. However, the rule that the record generally consists of the evidence that was before the decision</w:t>
      </w:r>
      <w:r w:rsidRPr="00FF39DD">
        <w:rPr>
          <w:rFonts w:cs="Times New Roman"/>
        </w:rPr>
        <w:noBreakHyphen/>
        <w:t xml:space="preserve">maker cannot be automatically transposed into the limited context of </w:t>
      </w:r>
      <w:r w:rsidRPr="00FF39DD">
        <w:rPr>
          <w:rFonts w:cs="Times New Roman"/>
          <w:i/>
        </w:rPr>
        <w:t>Bodner</w:t>
      </w:r>
      <w:r w:rsidR="00A47B68">
        <w:rPr>
          <w:rFonts w:cs="Times New Roman"/>
        </w:rPr>
        <w:t xml:space="preserve"> review.</w:t>
      </w:r>
    </w:p>
    <w:p w14:paraId="6A2AE57E" w14:textId="77777777" w:rsidR="0080188D" w:rsidRPr="00FF39DD" w:rsidRDefault="0080188D" w:rsidP="0080188D">
      <w:pPr>
        <w:pStyle w:val="ParaNoNdepar-AltN"/>
        <w:rPr>
          <w:rFonts w:cs="Times New Roman"/>
        </w:rPr>
      </w:pPr>
      <w:r w:rsidRPr="00FF39DD">
        <w:rPr>
          <w:rFonts w:cs="Times New Roman"/>
        </w:rPr>
        <w:t xml:space="preserve">The record on </w:t>
      </w:r>
      <w:r w:rsidRPr="00FF39DD">
        <w:rPr>
          <w:rFonts w:cs="Times New Roman"/>
          <w:i/>
        </w:rPr>
        <w:t>Bodner</w:t>
      </w:r>
      <w:r w:rsidRPr="00FF39DD">
        <w:rPr>
          <w:rFonts w:cs="Times New Roman"/>
        </w:rPr>
        <w:t xml:space="preserve"> review necessarily includes any submissions made to the commission by the government, judges and others; the commission’s report, including its recommendations; and the government’s response to the </w:t>
      </w:r>
      <w:r w:rsidRPr="00FF39DD">
        <w:rPr>
          <w:rFonts w:cs="Times New Roman"/>
        </w:rPr>
        <w:lastRenderedPageBreak/>
        <w:t xml:space="preserve">recommendations, which, as the </w:t>
      </w:r>
      <w:r w:rsidRPr="00FF39DD">
        <w:rPr>
          <w:rFonts w:cs="Times New Roman"/>
          <w:i/>
        </w:rPr>
        <w:t>Provincial Judges Reference</w:t>
      </w:r>
      <w:r w:rsidRPr="00FF39DD">
        <w:rPr>
          <w:rFonts w:cs="Times New Roman"/>
        </w:rPr>
        <w:t xml:space="preserve"> recognized, at para. 180, may take different forms depending on which institution is charged with responding.</w:t>
      </w:r>
    </w:p>
    <w:p w14:paraId="0AB30D36" w14:textId="468C72B1" w:rsidR="0080188D" w:rsidRPr="00FF39DD" w:rsidRDefault="0080188D" w:rsidP="0080188D">
      <w:pPr>
        <w:pStyle w:val="ParaNoNdepar-AltN"/>
        <w:rPr>
          <w:rFonts w:cs="Times New Roman"/>
        </w:rPr>
      </w:pPr>
      <w:r w:rsidRPr="00FF39DD">
        <w:rPr>
          <w:rFonts w:cs="Times New Roman"/>
        </w:rPr>
        <w:t xml:space="preserve">As </w:t>
      </w:r>
      <w:r w:rsidRPr="00FF39DD">
        <w:rPr>
          <w:rFonts w:cs="Times New Roman"/>
          <w:i/>
        </w:rPr>
        <w:t>Bodner</w:t>
      </w:r>
      <w:r w:rsidRPr="00FF39DD">
        <w:rPr>
          <w:rFonts w:cs="Times New Roman"/>
        </w:rPr>
        <w:t xml:space="preserve"> itself acknowledged, the record may also include certain forms of additional evidence put in by the government: paras. 27 and 36. The government may be permitted to “provid</w:t>
      </w:r>
      <w:r w:rsidR="00A47B68" w:rsidRPr="00FF39DD">
        <w:rPr>
          <w:rFonts w:cs="Times New Roman"/>
        </w:rPr>
        <w:t>[</w:t>
      </w:r>
      <w:r w:rsidRPr="00FF39DD">
        <w:rPr>
          <w:rFonts w:cs="Times New Roman"/>
        </w:rPr>
        <w:t>e</w:t>
      </w:r>
      <w:r w:rsidR="00A47B68" w:rsidRPr="00FF39DD">
        <w:rPr>
          <w:rFonts w:cs="Times New Roman"/>
        </w:rPr>
        <w:t>]</w:t>
      </w:r>
      <w:r w:rsidRPr="00FF39DD">
        <w:rPr>
          <w:rFonts w:cs="Times New Roman"/>
        </w:rPr>
        <w:t xml:space="preserve"> details [concerning the factual foundation of its response], in the form of affidavits, relating to economic and actuarial data and calculations” and “affidavits containing evidence of good faith and commitment to the process, such as information relating to the government’s study of the impact of the commission’s recommendations”: para. 36; see also paras. 63</w:t>
      </w:r>
      <w:r w:rsidRPr="00FF39DD">
        <w:rPr>
          <w:rFonts w:cs="Times New Roman"/>
        </w:rPr>
        <w:noBreakHyphen/>
        <w:t>64 and 103. But the government cannot use the additional evidence to “advance reasons other than those mentioned in its response” or to cure defects in the factual foundation it relied on in its response: paras. 27 and 36.</w:t>
      </w:r>
    </w:p>
    <w:p w14:paraId="120E7C74" w14:textId="77777777" w:rsidR="0080188D" w:rsidRPr="00FF39DD" w:rsidRDefault="0080188D" w:rsidP="0080188D">
      <w:pPr>
        <w:pStyle w:val="ParaNoNdepar-AltN"/>
        <w:rPr>
          <w:rFonts w:cs="Times New Roman"/>
        </w:rPr>
      </w:pPr>
      <w:r w:rsidRPr="00FF39DD">
        <w:rPr>
          <w:rFonts w:cs="Times New Roman"/>
        </w:rPr>
        <w:t xml:space="preserve">Although the point was not made explicitly in </w:t>
      </w:r>
      <w:r w:rsidRPr="00FF39DD">
        <w:rPr>
          <w:rFonts w:cs="Times New Roman"/>
          <w:i/>
        </w:rPr>
        <w:t>Bodner</w:t>
      </w:r>
      <w:r w:rsidRPr="00FF39DD">
        <w:rPr>
          <w:rFonts w:cs="Times New Roman"/>
        </w:rPr>
        <w:t xml:space="preserve">, the party seeking </w:t>
      </w:r>
      <w:r w:rsidRPr="00FF39DD">
        <w:rPr>
          <w:rFonts w:cs="Times New Roman"/>
          <w:i/>
        </w:rPr>
        <w:t>Bodner</w:t>
      </w:r>
      <w:r w:rsidRPr="00FF39DD">
        <w:rPr>
          <w:rFonts w:cs="Times New Roman"/>
        </w:rPr>
        <w:t xml:space="preserve"> review, which will usually be the judges whose remuneration is at stake, can also put in certain forms of additional evidence relevant to the issues the reviewing court must decide. The party seeking review can, for example, seek to introduce evidence to counter relevant evidence put in by a government. It may put in evidence aimed at calling into question the reasonableness of the factual foundation relied on by the government, the government’s lack of meaningful engagement with or respect for the commission process or whether the government’s response was grounded in an improper or colourable purpose. To those ends, the party seeking review can ask that </w:t>
      </w:r>
      <w:r w:rsidRPr="00FF39DD">
        <w:rPr>
          <w:rFonts w:cs="Times New Roman"/>
        </w:rPr>
        <w:lastRenderedPageBreak/>
        <w:t>the government produce evidence in its possession. For the government’s part, provided it respects the rule against supplementing its reasons and bolstering their factual foundation, it can respond with additional evidence of its own to refute the allegations made by the party seeking review.</w:t>
      </w:r>
    </w:p>
    <w:p w14:paraId="50C92B95" w14:textId="77777777" w:rsidR="0080188D" w:rsidRPr="00FF39DD" w:rsidRDefault="0080188D" w:rsidP="0080188D">
      <w:pPr>
        <w:pStyle w:val="Title3LevelTitre3Niveau"/>
        <w:rPr>
          <w:rFonts w:cs="Times New Roman"/>
        </w:rPr>
      </w:pPr>
      <w:r w:rsidRPr="00FF39DD">
        <w:rPr>
          <w:rFonts w:cs="Times New Roman"/>
        </w:rPr>
        <w:t xml:space="preserve">Relevance of Evidence to a </w:t>
      </w:r>
      <w:r w:rsidRPr="00FF39DD">
        <w:rPr>
          <w:rFonts w:cs="Times New Roman"/>
          <w:i/>
        </w:rPr>
        <w:t>Bodner</w:t>
      </w:r>
      <w:r w:rsidRPr="00FF39DD">
        <w:rPr>
          <w:rFonts w:cs="Times New Roman"/>
        </w:rPr>
        <w:t xml:space="preserve"> Review</w:t>
      </w:r>
    </w:p>
    <w:p w14:paraId="5099CADF" w14:textId="77777777" w:rsidR="0080188D" w:rsidRPr="00FF39DD" w:rsidRDefault="0080188D" w:rsidP="0080188D">
      <w:pPr>
        <w:pStyle w:val="ParaNoNdepar-AltN"/>
        <w:rPr>
          <w:rFonts w:cs="Times New Roman"/>
        </w:rPr>
      </w:pPr>
      <w:r w:rsidRPr="00FF39DD">
        <w:rPr>
          <w:rFonts w:cs="Times New Roman"/>
        </w:rPr>
        <w:t xml:space="preserve">The Attorney General contends that the British Columbia courts were wrong to conclude that the Cabinet submission is relevant to the </w:t>
      </w:r>
      <w:r w:rsidRPr="00FF39DD">
        <w:rPr>
          <w:rFonts w:cs="Times New Roman"/>
          <w:i/>
        </w:rPr>
        <w:t>Bodner</w:t>
      </w:r>
      <w:r w:rsidRPr="00FF39DD">
        <w:rPr>
          <w:rFonts w:cs="Times New Roman"/>
        </w:rPr>
        <w:t xml:space="preserve"> review sought by the Provincial Court Judges’ Association. The attorneys general of Canada and of several provinces intervened to make similar submissions.</w:t>
      </w:r>
    </w:p>
    <w:p w14:paraId="37089B63" w14:textId="24E87C6E" w:rsidR="0080188D" w:rsidRPr="00FF39DD" w:rsidRDefault="0080188D" w:rsidP="0080188D">
      <w:pPr>
        <w:pStyle w:val="ParaNoNdepar-AltN"/>
        <w:rPr>
          <w:rFonts w:cs="Times New Roman"/>
          <w:lang w:val="en-US"/>
        </w:rPr>
      </w:pPr>
      <w:r w:rsidRPr="00FF39DD">
        <w:rPr>
          <w:rFonts w:cs="Times New Roman"/>
        </w:rPr>
        <w:t xml:space="preserve">Evidence is relevant when it has “some tendency as a matter of logic and human experience to make the proposition for which it </w:t>
      </w:r>
      <w:r w:rsidR="00FC347B">
        <w:rPr>
          <w:rFonts w:cs="Times New Roman"/>
        </w:rPr>
        <w:t>is advanced more likely than that</w:t>
      </w:r>
      <w:r w:rsidRPr="00FF39DD">
        <w:rPr>
          <w:rFonts w:cs="Times New Roman"/>
        </w:rPr>
        <w:t xml:space="preserve"> proposition would be in the absence of that evidence”: </w:t>
      </w:r>
      <w:r w:rsidRPr="00FF39DD">
        <w:rPr>
          <w:rFonts w:cs="Times New Roman"/>
          <w:i/>
        </w:rPr>
        <w:t>R. v. White</w:t>
      </w:r>
      <w:r w:rsidRPr="00FF39DD">
        <w:rPr>
          <w:rFonts w:cs="Times New Roman"/>
        </w:rPr>
        <w:t xml:space="preserve">, 2011 SCC 13, [2011] 1 S.C.R. 433, at para. 36, quoting D. M. Paciocco and L. Stuesser, </w:t>
      </w:r>
      <w:r w:rsidRPr="00FF39DD">
        <w:rPr>
          <w:rFonts w:cs="Times New Roman"/>
          <w:i/>
        </w:rPr>
        <w:t>The Law of Evidence</w:t>
      </w:r>
      <w:r w:rsidRPr="00FF39DD">
        <w:rPr>
          <w:rFonts w:cs="Times New Roman"/>
        </w:rPr>
        <w:t xml:space="preserve"> (5th ed. 2008),</w:t>
      </w:r>
      <w:r w:rsidRPr="00FF39DD">
        <w:rPr>
          <w:rFonts w:cs="Times New Roman"/>
          <w:lang w:val="en-US"/>
        </w:rPr>
        <w:t xml:space="preserve"> at p. 31. Put another way, [</w:t>
      </w:r>
      <w:r w:rsidRPr="00FF39DD">
        <w:rPr>
          <w:rFonts w:cs="Times New Roman"/>
          <w:smallCaps/>
          <w:lang w:val="en-US"/>
        </w:rPr>
        <w:t>translation</w:t>
      </w:r>
      <w:r w:rsidRPr="00FF39DD">
        <w:rPr>
          <w:rFonts w:cs="Times New Roman"/>
          <w:lang w:val="en-US"/>
        </w:rPr>
        <w:t>] “a fact is relevant, in particular, if it is a fact in issue, if it contributes to rationally proving a fact in issue or if its purpose is to help the court assess the probative value of testimony”: J.</w:t>
      </w:r>
      <w:r w:rsidR="004C3F21">
        <w:rPr>
          <w:rFonts w:cs="Times New Roman"/>
          <w:lang w:val="en-US"/>
        </w:rPr>
        <w:t>-</w:t>
      </w:r>
      <w:r w:rsidRPr="00FF39DD">
        <w:rPr>
          <w:rFonts w:cs="Times New Roman"/>
          <w:lang w:val="en-US"/>
        </w:rPr>
        <w:t xml:space="preserve">C. Royer and C. Piché, </w:t>
      </w:r>
      <w:r w:rsidRPr="00FF39DD">
        <w:rPr>
          <w:rFonts w:cs="Times New Roman"/>
          <w:i/>
          <w:lang w:val="en-US"/>
        </w:rPr>
        <w:t>La preuve civile</w:t>
      </w:r>
      <w:r w:rsidRPr="00FF39DD">
        <w:rPr>
          <w:rFonts w:cs="Times New Roman"/>
          <w:lang w:val="en-US"/>
        </w:rPr>
        <w:t xml:space="preserve"> (5th ed. 2016), at para. 215.</w:t>
      </w:r>
    </w:p>
    <w:p w14:paraId="603DFEA7" w14:textId="2D28F2F2" w:rsidR="0080188D" w:rsidRPr="00FF39DD" w:rsidRDefault="0080188D" w:rsidP="0080188D">
      <w:pPr>
        <w:pStyle w:val="ParaNoNdepar-AltN"/>
        <w:rPr>
          <w:rFonts w:cs="Times New Roman"/>
        </w:rPr>
      </w:pPr>
      <w:r w:rsidRPr="00FF39DD">
        <w:rPr>
          <w:rFonts w:cs="Times New Roman"/>
        </w:rPr>
        <w:t xml:space="preserve">Evidence is thus relevant to a proceeding when it relates to a fact that is in issue in the proceeding. The pleadings, which must be read generously and in light of </w:t>
      </w:r>
      <w:r w:rsidRPr="00FF39DD">
        <w:rPr>
          <w:rFonts w:cs="Times New Roman"/>
        </w:rPr>
        <w:lastRenderedPageBreak/>
        <w:t xml:space="preserve">the governing law, define what is in issue: see </w:t>
      </w:r>
      <w:r w:rsidRPr="00FF39DD">
        <w:rPr>
          <w:rFonts w:cs="Times New Roman"/>
          <w:i/>
        </w:rPr>
        <w:t>Lax Kw’alaams Indian Band v. Canada (Attorney General)</w:t>
      </w:r>
      <w:r w:rsidRPr="00FF39DD">
        <w:rPr>
          <w:rFonts w:cs="Times New Roman"/>
        </w:rPr>
        <w:t>, 2011 SCC 56, [2011] 3 S.C.R. 535, at para. 41.</w:t>
      </w:r>
    </w:p>
    <w:p w14:paraId="455F36C4" w14:textId="77777777" w:rsidR="0080188D" w:rsidRPr="00FF39DD" w:rsidRDefault="0080188D" w:rsidP="0080188D">
      <w:pPr>
        <w:pStyle w:val="ParaNoNdepar-AltN"/>
        <w:rPr>
          <w:rFonts w:cs="Times New Roman"/>
        </w:rPr>
      </w:pPr>
      <w:r w:rsidRPr="00FF39DD">
        <w:rPr>
          <w:rFonts w:cs="Times New Roman"/>
        </w:rPr>
        <w:t xml:space="preserve">Generally, what is in issue in a </w:t>
      </w:r>
      <w:r w:rsidRPr="00FF39DD">
        <w:rPr>
          <w:rFonts w:cs="Times New Roman"/>
          <w:i/>
        </w:rPr>
        <w:t xml:space="preserve">Bodner </w:t>
      </w:r>
      <w:r w:rsidRPr="00FF39DD">
        <w:rPr>
          <w:rFonts w:cs="Times New Roman"/>
        </w:rPr>
        <w:t xml:space="preserve">review is whether a government failed to meet its constitutional obligations flowing from the principle of judicial independence in its response to a commission’s recommendations. The relevance of any proposed additional evidence must therefore be tested in relation to the issues that the court must determine on </w:t>
      </w:r>
      <w:r w:rsidRPr="00FF39DD">
        <w:rPr>
          <w:rFonts w:cs="Times New Roman"/>
          <w:i/>
        </w:rPr>
        <w:t>Bodner</w:t>
      </w:r>
      <w:r w:rsidRPr="00FF39DD">
        <w:rPr>
          <w:rFonts w:cs="Times New Roman"/>
        </w:rPr>
        <w:t xml:space="preserve"> review.</w:t>
      </w:r>
    </w:p>
    <w:p w14:paraId="70C4DED5" w14:textId="53D70BDE" w:rsidR="0080188D" w:rsidRPr="00FF39DD" w:rsidRDefault="0080188D" w:rsidP="0080188D">
      <w:pPr>
        <w:pStyle w:val="ParaNoNdepar-AltN"/>
        <w:rPr>
          <w:rFonts w:cs="Times New Roman"/>
        </w:rPr>
      </w:pPr>
      <w:r w:rsidRPr="00FF39DD">
        <w:rPr>
          <w:rFonts w:cs="Times New Roman"/>
        </w:rPr>
        <w:t xml:space="preserve">To be relevant, the proposed evidence must contain something that tends to establish a fact concerning one of the steps of the test established in </w:t>
      </w:r>
      <w:r w:rsidRPr="00FF39DD">
        <w:rPr>
          <w:rFonts w:cs="Times New Roman"/>
          <w:i/>
        </w:rPr>
        <w:t>Bodner</w:t>
      </w:r>
      <w:r w:rsidRPr="00FF39DD">
        <w:rPr>
          <w:rFonts w:cs="Times New Roman"/>
        </w:rPr>
        <w:t xml:space="preserve">. For instance, if the party seeking </w:t>
      </w:r>
      <w:r w:rsidRPr="00FF39DD">
        <w:rPr>
          <w:rFonts w:cs="Times New Roman"/>
          <w:i/>
        </w:rPr>
        <w:t>Bodner</w:t>
      </w:r>
      <w:r w:rsidRPr="00FF39DD">
        <w:rPr>
          <w:rFonts w:cs="Times New Roman"/>
        </w:rPr>
        <w:t xml:space="preserve"> review contests the reasonableness of the factual foundation relied on by a government, the proposed evidence must either tend to support or undermine the reasonableness of that foundation. Likewise, if the party seeking </w:t>
      </w:r>
      <w:r w:rsidRPr="00FF39DD">
        <w:rPr>
          <w:rFonts w:cs="Times New Roman"/>
          <w:i/>
        </w:rPr>
        <w:t xml:space="preserve">Bodner </w:t>
      </w:r>
      <w:r w:rsidRPr="00FF39DD">
        <w:rPr>
          <w:rFonts w:cs="Times New Roman"/>
        </w:rPr>
        <w:t xml:space="preserve">review alleges disrespect for the commission process or that the government’s response is grounded in an improper or colourable purpose, the proposed evidence must either tend to establish the legitimacy of the government’s response or its illegitimacy. Finally, if the government introduces evidence of its good faith and commitment to the process, the applicant’s proposed evidence may be tendered to undermine that evidence: see, e.g., </w:t>
      </w:r>
      <w:r w:rsidRPr="00FF39DD">
        <w:rPr>
          <w:rFonts w:cs="Times New Roman"/>
          <w:i/>
        </w:rPr>
        <w:t>Pro</w:t>
      </w:r>
      <w:r w:rsidR="0012654C">
        <w:rPr>
          <w:rFonts w:cs="Times New Roman"/>
          <w:i/>
        </w:rPr>
        <w:t>vincial Court Judges’ Ass</w:t>
      </w:r>
      <w:r w:rsidRPr="00FF39DD">
        <w:rPr>
          <w:rFonts w:cs="Times New Roman"/>
          <w:i/>
        </w:rPr>
        <w:t>n</w:t>
      </w:r>
      <w:r w:rsidR="0012654C">
        <w:rPr>
          <w:rFonts w:cs="Times New Roman"/>
          <w:i/>
        </w:rPr>
        <w:t>.</w:t>
      </w:r>
      <w:r w:rsidRPr="00FF39DD">
        <w:rPr>
          <w:rFonts w:cs="Times New Roman"/>
          <w:i/>
        </w:rPr>
        <w:t xml:space="preserve"> of British Columbia v. British Columbia (Attorney General)</w:t>
      </w:r>
      <w:r w:rsidRPr="00FF39DD">
        <w:rPr>
          <w:rFonts w:cs="Times New Roman"/>
        </w:rPr>
        <w:t>, 2012 BCSC 1022</w:t>
      </w:r>
      <w:r w:rsidR="00B37664">
        <w:rPr>
          <w:rFonts w:cs="Times New Roman"/>
        </w:rPr>
        <w:t xml:space="preserve">, </w:t>
      </w:r>
      <w:r w:rsidR="00B37664">
        <w:t xml:space="preserve">39 </w:t>
      </w:r>
      <w:r w:rsidR="006046D5">
        <w:t>Admin. L.R.</w:t>
      </w:r>
      <w:r w:rsidR="00B37664">
        <w:t xml:space="preserve"> (5</w:t>
      </w:r>
      <w:r w:rsidR="00B37664" w:rsidRPr="00CC7869">
        <w:t>th</w:t>
      </w:r>
      <w:r w:rsidR="00B37664">
        <w:t>) 130</w:t>
      </w:r>
      <w:r w:rsidRPr="00FF39DD">
        <w:rPr>
          <w:rFonts w:cs="Times New Roman"/>
        </w:rPr>
        <w:t>.</w:t>
      </w:r>
    </w:p>
    <w:p w14:paraId="4BA58538" w14:textId="6A4FEDBB" w:rsidR="0080188D" w:rsidRPr="00FF39DD" w:rsidRDefault="0080188D" w:rsidP="0080188D">
      <w:pPr>
        <w:pStyle w:val="ParaNoNdepar-AltN"/>
        <w:rPr>
          <w:rFonts w:cs="Times New Roman"/>
        </w:rPr>
      </w:pPr>
      <w:r w:rsidRPr="00FF39DD">
        <w:rPr>
          <w:rFonts w:cs="Times New Roman"/>
        </w:rPr>
        <w:t xml:space="preserve">However, as I will explain, the requirement of relevance alone — even as it pertains to the limited set of issues properly considered on a </w:t>
      </w:r>
      <w:r w:rsidRPr="00FF39DD">
        <w:rPr>
          <w:rFonts w:cs="Times New Roman"/>
          <w:i/>
        </w:rPr>
        <w:t>Bodner</w:t>
      </w:r>
      <w:r w:rsidRPr="00FF39DD">
        <w:rPr>
          <w:rFonts w:cs="Times New Roman"/>
        </w:rPr>
        <w:t xml:space="preserve"> review — fails </w:t>
      </w:r>
      <w:r w:rsidRPr="00FF39DD">
        <w:rPr>
          <w:rFonts w:cs="Times New Roman"/>
        </w:rPr>
        <w:lastRenderedPageBreak/>
        <w:t xml:space="preserve">to adequately protect the competing constitutional imperatives that arise when a party seeking </w:t>
      </w:r>
      <w:r w:rsidRPr="00FF39DD">
        <w:rPr>
          <w:rFonts w:cs="Times New Roman"/>
          <w:i/>
        </w:rPr>
        <w:t>Bodner</w:t>
      </w:r>
      <w:r w:rsidRPr="00FF39DD">
        <w:rPr>
          <w:rFonts w:cs="Times New Roman"/>
        </w:rPr>
        <w:t xml:space="preserve"> review requests production of a confidential Cabinet docum</w:t>
      </w:r>
      <w:r w:rsidR="00DE5748">
        <w:rPr>
          <w:rFonts w:cs="Times New Roman"/>
        </w:rPr>
        <w:t>ent.</w:t>
      </w:r>
    </w:p>
    <w:p w14:paraId="27F4884B" w14:textId="77777777" w:rsidR="0080188D" w:rsidRPr="00FF39DD" w:rsidRDefault="0080188D" w:rsidP="0080188D">
      <w:pPr>
        <w:pStyle w:val="Title3LevelTitre3Niveau"/>
        <w:rPr>
          <w:rFonts w:cs="Times New Roman"/>
        </w:rPr>
      </w:pPr>
      <w:r w:rsidRPr="00FF39DD">
        <w:rPr>
          <w:rFonts w:cs="Times New Roman"/>
        </w:rPr>
        <w:t xml:space="preserve">Confidential Cabinet Documents in the </w:t>
      </w:r>
      <w:r w:rsidRPr="00FF39DD">
        <w:rPr>
          <w:rFonts w:cs="Times New Roman"/>
          <w:i/>
        </w:rPr>
        <w:t>Bodner</w:t>
      </w:r>
      <w:r w:rsidRPr="00FF39DD">
        <w:rPr>
          <w:rFonts w:cs="Times New Roman"/>
        </w:rPr>
        <w:t xml:space="preserve"> Context</w:t>
      </w:r>
    </w:p>
    <w:p w14:paraId="6B1D5BA4" w14:textId="77777777" w:rsidR="0080188D" w:rsidRPr="00FF39DD" w:rsidRDefault="0080188D" w:rsidP="0080188D">
      <w:pPr>
        <w:pStyle w:val="ParaNoNdepar-AltN"/>
        <w:rPr>
          <w:rFonts w:cs="Times New Roman"/>
        </w:rPr>
      </w:pPr>
      <w:r w:rsidRPr="00FF39DD">
        <w:rPr>
          <w:rFonts w:cs="Times New Roman"/>
        </w:rPr>
        <w:t xml:space="preserve">Since a </w:t>
      </w:r>
      <w:r w:rsidRPr="00FF39DD">
        <w:rPr>
          <w:rFonts w:cs="Times New Roman"/>
          <w:i/>
        </w:rPr>
        <w:t xml:space="preserve">Bodner </w:t>
      </w:r>
      <w:r w:rsidRPr="00FF39DD">
        <w:rPr>
          <w:rFonts w:cs="Times New Roman"/>
        </w:rPr>
        <w:t xml:space="preserve">review often concerns decisions in which Cabinet plays a part, a party seeking review may request the production of a confidential Cabinet document as additional evidence to show that the government’s response does not meet the applicable constitutional requirements. Although the normal course would be for the judge to consider a description of the proposed evidence or examine it to determine whether it is relevant to the </w:t>
      </w:r>
      <w:r w:rsidRPr="00FF39DD">
        <w:rPr>
          <w:rFonts w:cs="Times New Roman"/>
          <w:i/>
        </w:rPr>
        <w:t>Bodner</w:t>
      </w:r>
      <w:r w:rsidRPr="00FF39DD">
        <w:rPr>
          <w:rFonts w:cs="Times New Roman"/>
        </w:rPr>
        <w:t xml:space="preserve"> review, special considerations arise when the party seeking </w:t>
      </w:r>
      <w:r w:rsidRPr="00FF39DD">
        <w:rPr>
          <w:rFonts w:cs="Times New Roman"/>
          <w:i/>
        </w:rPr>
        <w:t xml:space="preserve">Bodner </w:t>
      </w:r>
      <w:r w:rsidRPr="00FF39DD">
        <w:rPr>
          <w:rFonts w:cs="Times New Roman"/>
        </w:rPr>
        <w:t>review asks the government to produce a document related to Cabinet deliberation and decision making.</w:t>
      </w:r>
    </w:p>
    <w:p w14:paraId="60519DD5" w14:textId="26400786" w:rsidR="0080188D" w:rsidRPr="00FF39DD" w:rsidRDefault="0080188D" w:rsidP="0080188D">
      <w:pPr>
        <w:pStyle w:val="ParaNoNdepar-AltN"/>
        <w:rPr>
          <w:rFonts w:cs="Times New Roman"/>
        </w:rPr>
      </w:pPr>
      <w:r w:rsidRPr="00FF39DD">
        <w:rPr>
          <w:rFonts w:cs="Times New Roman"/>
        </w:rPr>
        <w:t>Unlike an action or an</w:t>
      </w:r>
      <w:r w:rsidRPr="00FF39DD">
        <w:rPr>
          <w:rFonts w:cs="Times New Roman"/>
          <w:b/>
        </w:rPr>
        <w:t xml:space="preserve"> </w:t>
      </w:r>
      <w:r w:rsidRPr="00FF39DD">
        <w:rPr>
          <w:rFonts w:cs="Times New Roman"/>
        </w:rPr>
        <w:t xml:space="preserve">application for judicial review brought against the government by a private party, a </w:t>
      </w:r>
      <w:r w:rsidRPr="00FF39DD">
        <w:rPr>
          <w:rFonts w:cs="Times New Roman"/>
          <w:i/>
        </w:rPr>
        <w:t>Bodner</w:t>
      </w:r>
      <w:r w:rsidRPr="00FF39DD">
        <w:rPr>
          <w:rFonts w:cs="Times New Roman"/>
        </w:rPr>
        <w:t xml:space="preserve"> review usually opposes two different branches of the state — the judiciary and the executive —</w:t>
      </w:r>
      <w:r w:rsidRPr="00FF39DD" w:rsidDel="00BB62D5">
        <w:rPr>
          <w:rFonts w:cs="Times New Roman"/>
        </w:rPr>
        <w:t xml:space="preserve"> </w:t>
      </w:r>
      <w:r w:rsidRPr="00FF39DD">
        <w:rPr>
          <w:rFonts w:cs="Times New Roman"/>
        </w:rPr>
        <w:t xml:space="preserve">as parties in the application. In the </w:t>
      </w:r>
      <w:r w:rsidRPr="00FF39DD">
        <w:rPr>
          <w:rFonts w:cs="Times New Roman"/>
          <w:i/>
        </w:rPr>
        <w:t>Provincial Judges Reference</w:t>
      </w:r>
      <w:r w:rsidRPr="00FF39DD">
        <w:rPr>
          <w:rFonts w:cs="Times New Roman"/>
        </w:rPr>
        <w:t xml:space="preserve">, at para. 7, Lamer C.J. underscored that while litigation is always “a very serious business”, “it is even more serious </w:t>
      </w:r>
      <w:r w:rsidR="00DE5748" w:rsidRPr="00FF39DD">
        <w:rPr>
          <w:rFonts w:cs="Times New Roman"/>
        </w:rPr>
        <w:t>[</w:t>
      </w:r>
      <w:r w:rsidRPr="00FF39DD">
        <w:rPr>
          <w:rFonts w:cs="Times New Roman"/>
        </w:rPr>
        <w:t xml:space="preserve">where it ensues] between two primary organs of our constitutional system — the executive and the judiciary — which both serve important and interdependent roles in the administration of justice”. Such litigation may prove necessary to hold the government to its constitutional obligations in jurisdictions where the commission’s recommendations have not been made binding. </w:t>
      </w:r>
      <w:r w:rsidRPr="00FF39DD">
        <w:rPr>
          <w:rFonts w:cs="Times New Roman"/>
          <w:i/>
        </w:rPr>
        <w:t xml:space="preserve">Bodner </w:t>
      </w:r>
      <w:r w:rsidRPr="00FF39DD">
        <w:rPr>
          <w:rFonts w:cs="Times New Roman"/>
        </w:rPr>
        <w:t xml:space="preserve">review is the mechanism for ensuring that the government </w:t>
      </w:r>
      <w:r w:rsidRPr="00FF39DD">
        <w:rPr>
          <w:rFonts w:cs="Times New Roman"/>
        </w:rPr>
        <w:lastRenderedPageBreak/>
        <w:t>respects the commission process and for safeguarding the public confidence in the administration of justice that process serves to protect.</w:t>
      </w:r>
    </w:p>
    <w:p w14:paraId="3620ECF0" w14:textId="0943F361" w:rsidR="0080188D" w:rsidRPr="00FF39DD" w:rsidRDefault="0080188D" w:rsidP="0080188D">
      <w:pPr>
        <w:pStyle w:val="ParaNoNdepar-AltN"/>
        <w:rPr>
          <w:rFonts w:cs="Times New Roman"/>
        </w:rPr>
      </w:pPr>
      <w:r w:rsidRPr="00FF39DD">
        <w:rPr>
          <w:rFonts w:cs="Times New Roman"/>
        </w:rPr>
        <w:t xml:space="preserve">But as this Court warned in </w:t>
      </w:r>
      <w:r w:rsidRPr="00FF39DD">
        <w:rPr>
          <w:rFonts w:cs="Times New Roman"/>
          <w:i/>
        </w:rPr>
        <w:t>Canada (Auditor General) v. Canada (Minister of Energy, Mines and Resources)</w:t>
      </w:r>
      <w:r w:rsidRPr="00FF39DD">
        <w:rPr>
          <w:rFonts w:cs="Times New Roman"/>
        </w:rPr>
        <w:t>, [1989] 2 S.C.R. 49, at pp. 89, 97</w:t>
      </w:r>
      <w:r w:rsidRPr="00FF39DD">
        <w:rPr>
          <w:rFonts w:cs="Times New Roman"/>
        </w:rPr>
        <w:noBreakHyphen/>
        <w:t>98, 103 and 109, the outcome of an action brought by one branch of the state against another can effectively alter the separation of powers. Such proceedings call for special prudence to keep courts from overstepping the bounds of the judicial rol</w:t>
      </w:r>
      <w:r w:rsidR="00667916">
        <w:rPr>
          <w:rFonts w:cs="Times New Roman"/>
        </w:rPr>
        <w:t>e.</w:t>
      </w:r>
    </w:p>
    <w:p w14:paraId="282E96FE" w14:textId="77777777" w:rsidR="0080188D" w:rsidRPr="00FF39DD" w:rsidRDefault="0080188D" w:rsidP="0080188D">
      <w:pPr>
        <w:pStyle w:val="ParaNoNdepar-AltN"/>
        <w:rPr>
          <w:rFonts w:cs="Times New Roman"/>
        </w:rPr>
      </w:pPr>
      <w:r w:rsidRPr="00FF39DD">
        <w:rPr>
          <w:rFonts w:cs="Times New Roman"/>
        </w:rPr>
        <w:t xml:space="preserve">Canadian constitutional law has long recognized that sovereign power in this country is divided not only between Parliament and the provincial legislatures, but also among the executive, legislative and judicial branches of the state: </w:t>
      </w:r>
      <w:r w:rsidRPr="00FF39DD">
        <w:rPr>
          <w:rFonts w:cs="Times New Roman"/>
          <w:i/>
        </w:rPr>
        <w:t>Fraser v. Public Service Staff Relations Board</w:t>
      </w:r>
      <w:r w:rsidRPr="00FF39DD">
        <w:rPr>
          <w:rFonts w:cs="Times New Roman"/>
        </w:rPr>
        <w:t>, [1985] 2 S.C.R. 455, at pp. 469</w:t>
      </w:r>
      <w:r w:rsidRPr="00FF39DD">
        <w:rPr>
          <w:rFonts w:cs="Times New Roman"/>
        </w:rPr>
        <w:noBreakHyphen/>
        <w:t xml:space="preserve">70; </w:t>
      </w:r>
      <w:r w:rsidRPr="00FF39DD">
        <w:rPr>
          <w:rFonts w:cs="Times New Roman"/>
          <w:i/>
        </w:rPr>
        <w:t>New Brunswick Broadcasting Co. v. Nova Scotia (Speaker of the House of Assembly)</w:t>
      </w:r>
      <w:r w:rsidRPr="00FF39DD">
        <w:rPr>
          <w:rFonts w:cs="Times New Roman"/>
        </w:rPr>
        <w:t xml:space="preserve">, [1993] 1 S.C.R. 319, at p. 389; </w:t>
      </w:r>
      <w:r w:rsidRPr="00FF39DD">
        <w:rPr>
          <w:rFonts w:cs="Times New Roman"/>
          <w:i/>
        </w:rPr>
        <w:t>Doucet</w:t>
      </w:r>
      <w:r w:rsidRPr="00FF39DD">
        <w:rPr>
          <w:rFonts w:cs="Times New Roman"/>
          <w:i/>
        </w:rPr>
        <w:noBreakHyphen/>
        <w:t>Boudreau v. Nova Scotia (Minister of Education)</w:t>
      </w:r>
      <w:r w:rsidRPr="00FF39DD">
        <w:rPr>
          <w:rFonts w:cs="Times New Roman"/>
        </w:rPr>
        <w:t xml:space="preserve">, 2003 SCC 62, [2003] 3 S.C.R. 3, at para. 33. Although there are limited areas of overlap, the branches play fundamentally distinct roles and have accordingly developed different core competencies: </w:t>
      </w:r>
      <w:r w:rsidRPr="00FF39DD">
        <w:rPr>
          <w:rFonts w:cs="Times New Roman"/>
          <w:i/>
        </w:rPr>
        <w:t>Provincial Judges Reference</w:t>
      </w:r>
      <w:r w:rsidRPr="00FF39DD">
        <w:rPr>
          <w:rFonts w:cs="Times New Roman"/>
        </w:rPr>
        <w:t xml:space="preserve">, at para. 139; </w:t>
      </w:r>
      <w:r w:rsidRPr="00FF39DD">
        <w:rPr>
          <w:rFonts w:cs="Times New Roman"/>
          <w:i/>
        </w:rPr>
        <w:t>Ontario v. Criminal Lawyers’ Association of Ontario</w:t>
      </w:r>
      <w:r w:rsidRPr="00FF39DD">
        <w:rPr>
          <w:rFonts w:cs="Times New Roman"/>
        </w:rPr>
        <w:t>, 2013 SCC 43, [2013] 3 S.C.R. 3, at para. 29.</w:t>
      </w:r>
    </w:p>
    <w:p w14:paraId="1E636604" w14:textId="77777777" w:rsidR="0080188D" w:rsidRPr="00FF39DD" w:rsidRDefault="0080188D" w:rsidP="0080188D">
      <w:pPr>
        <w:pStyle w:val="ParaNoNdepar-AltN"/>
        <w:rPr>
          <w:rFonts w:cs="Times New Roman"/>
        </w:rPr>
      </w:pPr>
      <w:r w:rsidRPr="00FF39DD">
        <w:rPr>
          <w:rFonts w:cs="Times New Roman"/>
        </w:rPr>
        <w:t xml:space="preserve">As this Court underscored in </w:t>
      </w:r>
      <w:r w:rsidRPr="00FF39DD">
        <w:rPr>
          <w:rFonts w:cs="Times New Roman"/>
          <w:i/>
        </w:rPr>
        <w:t>Criminal Lawyers’ Association</w:t>
      </w:r>
      <w:r w:rsidRPr="00FF39DD">
        <w:rPr>
          <w:rFonts w:cs="Times New Roman"/>
        </w:rPr>
        <w:t>, at para. 29, “each branch will be unable to fulfill its role if it is unduly interfered with by the others”. Several doctrines work to prevent undue interference, including the secrecy afforded judicial deliberations (</w:t>
      </w:r>
      <w:r w:rsidRPr="00FF39DD">
        <w:rPr>
          <w:rFonts w:cs="Times New Roman"/>
          <w:i/>
        </w:rPr>
        <w:t>MacKeigan v. Hickman</w:t>
      </w:r>
      <w:r w:rsidRPr="00FF39DD">
        <w:rPr>
          <w:rFonts w:cs="Times New Roman"/>
        </w:rPr>
        <w:t xml:space="preserve">, [1989] 2 S.C.R. 796), and the </w:t>
      </w:r>
      <w:r w:rsidRPr="00FF39DD">
        <w:rPr>
          <w:rFonts w:cs="Times New Roman"/>
        </w:rPr>
        <w:lastRenderedPageBreak/>
        <w:t xml:space="preserve">recognition of the privileges, powers and immunities enjoyed by the Senate, the House of Commons and the legislative assemblies: </w:t>
      </w:r>
      <w:r w:rsidRPr="00FF39DD">
        <w:rPr>
          <w:rFonts w:cs="Times New Roman"/>
          <w:i/>
        </w:rPr>
        <w:t>Constitution Act, 1867</w:t>
      </w:r>
      <w:r w:rsidRPr="00FF39DD">
        <w:rPr>
          <w:rFonts w:cs="Times New Roman"/>
        </w:rPr>
        <w:t xml:space="preserve">, preamble and s. 18; </w:t>
      </w:r>
      <w:r w:rsidRPr="00FF39DD">
        <w:rPr>
          <w:rFonts w:cs="Times New Roman"/>
          <w:i/>
        </w:rPr>
        <w:t>New Brunswick Broadcasting Co.</w:t>
      </w:r>
      <w:r w:rsidRPr="00FF39DD">
        <w:rPr>
          <w:rFonts w:cs="Times New Roman"/>
        </w:rPr>
        <w:t xml:space="preserve">; </w:t>
      </w:r>
      <w:r w:rsidRPr="00FF39DD">
        <w:rPr>
          <w:rFonts w:cs="Times New Roman"/>
          <w:i/>
        </w:rPr>
        <w:t>Canada (House of Commons) v. Vaid</w:t>
      </w:r>
      <w:r w:rsidRPr="00FF39DD">
        <w:rPr>
          <w:rFonts w:cs="Times New Roman"/>
        </w:rPr>
        <w:t xml:space="preserve">, 2005 SCC 30, [2005] 1 S.C.R. 667; </w:t>
      </w:r>
      <w:r w:rsidRPr="00FF39DD">
        <w:rPr>
          <w:rFonts w:cs="Times New Roman"/>
          <w:i/>
        </w:rPr>
        <w:t>Chagnon v. Syndicat de la fonction publique et parapublique du Québec</w:t>
      </w:r>
      <w:r w:rsidRPr="00FF39DD">
        <w:rPr>
          <w:rFonts w:cs="Times New Roman"/>
        </w:rPr>
        <w:t xml:space="preserve">, </w:t>
      </w:r>
      <w:r w:rsidRPr="00FF39DD">
        <w:rPr>
          <w:rFonts w:cs="Times New Roman"/>
          <w:lang w:val="en-US"/>
        </w:rPr>
        <w:t>2018 SCC 39, [2018] 2 S.C.R. 687</w:t>
      </w:r>
      <w:r w:rsidRPr="00FF39DD">
        <w:rPr>
          <w:rFonts w:cs="Times New Roman"/>
        </w:rPr>
        <w:t>. These doctrines are a corollary to the separation of powers because they help to protect each branch’s ability to perform its constitutionally</w:t>
      </w:r>
      <w:r w:rsidRPr="00FF39DD">
        <w:rPr>
          <w:rFonts w:cs="Times New Roman"/>
        </w:rPr>
        <w:noBreakHyphen/>
        <w:t>assigned functions.</w:t>
      </w:r>
    </w:p>
    <w:p w14:paraId="664D75D3" w14:textId="3B76C382" w:rsidR="0080188D" w:rsidRPr="00FF39DD" w:rsidRDefault="0080188D" w:rsidP="0080188D">
      <w:pPr>
        <w:pStyle w:val="ParaNoNdepar-AltN"/>
        <w:rPr>
          <w:rFonts w:cs="Times New Roman"/>
        </w:rPr>
      </w:pPr>
      <w:r w:rsidRPr="00FF39DD">
        <w:rPr>
          <w:rFonts w:cs="Times New Roman"/>
        </w:rPr>
        <w:t xml:space="preserve">The executive, too, benefits from a degree of protection against undue interference. Deliberations among ministers of the Crown are protected by the constitutional convention of Cabinet confidentiality. Constitutional conventions do not have direct legal effect: </w:t>
      </w:r>
      <w:r w:rsidRPr="00FF39DD">
        <w:rPr>
          <w:rFonts w:cs="Times New Roman"/>
          <w:i/>
        </w:rPr>
        <w:t>Reference re Resolution to Amend the Constitution</w:t>
      </w:r>
      <w:r w:rsidRPr="00FF39DD">
        <w:rPr>
          <w:rFonts w:cs="Times New Roman"/>
        </w:rPr>
        <w:t>, [1981] 1 S.C.R. 753, at pp. 880</w:t>
      </w:r>
      <w:r w:rsidRPr="00FF39DD">
        <w:rPr>
          <w:rFonts w:cs="Times New Roman"/>
        </w:rPr>
        <w:noBreakHyphen/>
        <w:t xml:space="preserve">83; </w:t>
      </w:r>
      <w:r w:rsidRPr="00FF39DD">
        <w:rPr>
          <w:rFonts w:cs="Times New Roman"/>
          <w:i/>
        </w:rPr>
        <w:t>Reference re Secession of Quebec</w:t>
      </w:r>
      <w:r w:rsidRPr="00FF39DD">
        <w:rPr>
          <w:rFonts w:cs="Times New Roman"/>
        </w:rPr>
        <w:t xml:space="preserve">, [1998] 2 S.C.R. 217, at para. 98. However, as I will explain in greater detail, the common law respects the confidentiality convention and affords the executive public interest immunity over deliberations among ministers of the Crown: see </w:t>
      </w:r>
      <w:r w:rsidRPr="00FF39DD">
        <w:rPr>
          <w:rFonts w:cs="Times New Roman"/>
          <w:i/>
        </w:rPr>
        <w:t>Carey</w:t>
      </w:r>
      <w:r w:rsidRPr="00FF39DD">
        <w:rPr>
          <w:rFonts w:cs="Times New Roman"/>
        </w:rPr>
        <w:t xml:space="preserve">; </w:t>
      </w:r>
      <w:r w:rsidRPr="00FF39DD">
        <w:rPr>
          <w:rFonts w:cs="Times New Roman"/>
          <w:i/>
        </w:rPr>
        <w:t>Babcock v. Canada (Attorney General)</w:t>
      </w:r>
      <w:r w:rsidRPr="00FF39DD">
        <w:rPr>
          <w:rFonts w:cs="Times New Roman"/>
        </w:rPr>
        <w:t>, 2002 SCC 57, [2002] 3 S.</w:t>
      </w:r>
      <w:r w:rsidR="00667916">
        <w:rPr>
          <w:rFonts w:cs="Times New Roman"/>
        </w:rPr>
        <w:t>C.R. 3, at paras. 18</w:t>
      </w:r>
      <w:r w:rsidR="00667916">
        <w:rPr>
          <w:rFonts w:cs="Times New Roman"/>
        </w:rPr>
        <w:noBreakHyphen/>
        <w:t>19 and 60.</w:t>
      </w:r>
    </w:p>
    <w:p w14:paraId="44AE1FB4" w14:textId="1D20FFAB" w:rsidR="0080188D" w:rsidRPr="00FF39DD" w:rsidRDefault="0080188D" w:rsidP="0080188D">
      <w:pPr>
        <w:pStyle w:val="ParaNoNdepar-AltN"/>
        <w:rPr>
          <w:rFonts w:cs="Times New Roman"/>
        </w:rPr>
      </w:pPr>
      <w:r w:rsidRPr="00FF39DD">
        <w:rPr>
          <w:rFonts w:cs="Times New Roman"/>
        </w:rPr>
        <w:t>Where the executive plays a role in formulating a government’s response to a judicial compensation commission’s recommendations, Cabinet will generally determine the position taken by the executive. Ministers’ deliberations concerning their appreciation of the recommendations and how the government should respond will usually be protec</w:t>
      </w:r>
      <w:r w:rsidR="00667916">
        <w:rPr>
          <w:rFonts w:cs="Times New Roman"/>
        </w:rPr>
        <w:t>ted by Cabinet confidentiality.</w:t>
      </w:r>
    </w:p>
    <w:p w14:paraId="6703267D" w14:textId="294746CF" w:rsidR="0080188D" w:rsidRPr="00FF39DD" w:rsidRDefault="0080188D" w:rsidP="0080188D">
      <w:pPr>
        <w:pStyle w:val="ParaNoNdepar-AltN"/>
        <w:rPr>
          <w:rFonts w:cs="Times New Roman"/>
        </w:rPr>
      </w:pPr>
      <w:r w:rsidRPr="00FF39DD">
        <w:rPr>
          <w:rFonts w:cs="Times New Roman"/>
        </w:rPr>
        <w:lastRenderedPageBreak/>
        <w:t xml:space="preserve">A document reflecting on Cabinet deliberations concerning a government’s response may well be relevant, even if only to negate the claim that the government failed to meet its constitutional obligations. If the government sought to have the document admitted in support of an affidavit speaking to its good faith and its commitment to the process of the sort described in </w:t>
      </w:r>
      <w:r w:rsidRPr="00FF39DD">
        <w:rPr>
          <w:rFonts w:cs="Times New Roman"/>
          <w:i/>
        </w:rPr>
        <w:t>Bodner</w:t>
      </w:r>
      <w:r w:rsidRPr="00FF39DD">
        <w:rPr>
          <w:rFonts w:cs="Times New Roman"/>
        </w:rPr>
        <w:t xml:space="preserve">, at para. 36, the document would undoubtedly be considered relevant. It is difficult, then, to see why the same should not also be true where the party seeking </w:t>
      </w:r>
      <w:r w:rsidRPr="00FF39DD">
        <w:rPr>
          <w:rFonts w:cs="Times New Roman"/>
          <w:i/>
        </w:rPr>
        <w:t>Bodner</w:t>
      </w:r>
      <w:r w:rsidRPr="00FF39DD">
        <w:rPr>
          <w:rFonts w:cs="Times New Roman"/>
        </w:rPr>
        <w:t xml:space="preserve"> review looks to have the document admitted to challenge the government’s claims of good faith and commitment to the process or to raise the question whether the government acted for legitimate reasons or with an improper or colourable purpo</w:t>
      </w:r>
      <w:r w:rsidR="00667916">
        <w:rPr>
          <w:rFonts w:cs="Times New Roman"/>
        </w:rPr>
        <w:t>se.</w:t>
      </w:r>
    </w:p>
    <w:p w14:paraId="7EE86B0A" w14:textId="3D6079F4" w:rsidR="0080188D" w:rsidRPr="00FF39DD" w:rsidRDefault="0080188D" w:rsidP="0080188D">
      <w:pPr>
        <w:pStyle w:val="ParaNoNdepar-AltN"/>
        <w:rPr>
          <w:rFonts w:cs="Times New Roman"/>
        </w:rPr>
      </w:pPr>
      <w:r w:rsidRPr="00FF39DD">
        <w:rPr>
          <w:rFonts w:cs="Times New Roman"/>
        </w:rPr>
        <w:t xml:space="preserve">Thus, if relevance were the sole consideration, confidential Cabinet documents would routinely be part of the record in every </w:t>
      </w:r>
      <w:r w:rsidRPr="00FF39DD">
        <w:rPr>
          <w:rFonts w:cs="Times New Roman"/>
          <w:i/>
        </w:rPr>
        <w:t>Bodner</w:t>
      </w:r>
      <w:r w:rsidRPr="00FF39DD">
        <w:rPr>
          <w:rFonts w:cs="Times New Roman"/>
        </w:rPr>
        <w:t xml:space="preserve"> review. For example, the Cabinet document would either tend to lend credence to the contention that a government’s response failed to meet its constitutional requirements — or tend to refute that contention. In my view, something more than relevance is needed to strike the appropriate balance between respecting Cabinet confidentiality and maintaining the overall integrity of </w:t>
      </w:r>
      <w:r w:rsidRPr="00FF39DD">
        <w:rPr>
          <w:rFonts w:cs="Times New Roman"/>
          <w:i/>
        </w:rPr>
        <w:t>Bodner</w:t>
      </w:r>
      <w:r w:rsidR="00667916">
        <w:rPr>
          <w:rFonts w:cs="Times New Roman"/>
        </w:rPr>
        <w:t xml:space="preserve"> review.</w:t>
      </w:r>
    </w:p>
    <w:p w14:paraId="355F5279" w14:textId="77777777" w:rsidR="0080188D" w:rsidRPr="00FF39DD" w:rsidRDefault="0080188D" w:rsidP="0080188D">
      <w:pPr>
        <w:pStyle w:val="ParaNoNdepar-AltN"/>
        <w:rPr>
          <w:rFonts w:cs="Times New Roman"/>
        </w:rPr>
      </w:pPr>
      <w:r w:rsidRPr="00FF39DD">
        <w:rPr>
          <w:rFonts w:cs="Times New Roman"/>
        </w:rPr>
        <w:t xml:space="preserve">As I have said, </w:t>
      </w:r>
      <w:r w:rsidRPr="00FF39DD">
        <w:rPr>
          <w:rFonts w:cs="Times New Roman"/>
          <w:i/>
        </w:rPr>
        <w:t xml:space="preserve">Bodner </w:t>
      </w:r>
      <w:r w:rsidRPr="00FF39DD">
        <w:rPr>
          <w:rFonts w:cs="Times New Roman"/>
        </w:rPr>
        <w:t xml:space="preserve">review generally opposes two branches of the state: the members of the judiciary challenging the government’s response and the attorney general defending it. Where the response is the product of the legislature or a collaboration between the executive and legislature, the interests of the three branches </w:t>
      </w:r>
      <w:r w:rsidRPr="00FF39DD">
        <w:rPr>
          <w:rFonts w:cs="Times New Roman"/>
        </w:rPr>
        <w:lastRenderedPageBreak/>
        <w:t xml:space="preserve">may, whether directly or indirectly, be at stake. Yet, given our constitutional structure, a member of the judiciary will also necessarily be charged with hearing and determining the application for </w:t>
      </w:r>
      <w:r w:rsidRPr="00FF39DD">
        <w:rPr>
          <w:rFonts w:cs="Times New Roman"/>
          <w:i/>
        </w:rPr>
        <w:t>Bodner</w:t>
      </w:r>
      <w:r w:rsidRPr="00FF39DD">
        <w:rPr>
          <w:rFonts w:cs="Times New Roman"/>
        </w:rPr>
        <w:t xml:space="preserve"> review: see </w:t>
      </w:r>
      <w:r w:rsidRPr="00FF39DD">
        <w:rPr>
          <w:rFonts w:cs="Times New Roman"/>
          <w:i/>
        </w:rPr>
        <w:t>Provincial Judges Reference</w:t>
      </w:r>
      <w:r w:rsidRPr="00FF39DD">
        <w:rPr>
          <w:rFonts w:cs="Times New Roman"/>
        </w:rPr>
        <w:t xml:space="preserve">, at para. 180; </w:t>
      </w:r>
      <w:r w:rsidRPr="00FF39DD">
        <w:rPr>
          <w:rFonts w:cs="Times New Roman"/>
          <w:i/>
        </w:rPr>
        <w:t>Bodner</w:t>
      </w:r>
      <w:r w:rsidRPr="00FF39DD">
        <w:rPr>
          <w:rFonts w:cs="Times New Roman"/>
        </w:rPr>
        <w:t xml:space="preserve">, at para. 29. Owing to the doctrine of necessity, this is so even if the judge charged with hearing the application is directly affected by the commission’s recommendations and the government’s response: see </w:t>
      </w:r>
      <w:r w:rsidRPr="00FF39DD">
        <w:rPr>
          <w:rFonts w:cs="Times New Roman"/>
          <w:i/>
        </w:rPr>
        <w:t>Reference re Remuneration of Judges of the Provincial Court of Prince Edward Island</w:t>
      </w:r>
      <w:r w:rsidRPr="00FF39DD">
        <w:rPr>
          <w:rFonts w:cs="Times New Roman"/>
        </w:rPr>
        <w:t>, [1998] 1 S.C.R. 3, at para. 5.</w:t>
      </w:r>
    </w:p>
    <w:p w14:paraId="24EBBEE8" w14:textId="77777777" w:rsidR="0080188D" w:rsidRPr="00FF39DD" w:rsidRDefault="0080188D" w:rsidP="0080188D">
      <w:pPr>
        <w:pStyle w:val="ParaNoNdepar-AltN"/>
        <w:rPr>
          <w:rFonts w:cs="Times New Roman"/>
        </w:rPr>
      </w:pPr>
      <w:r w:rsidRPr="00FF39DD">
        <w:rPr>
          <w:rFonts w:cs="Times New Roman"/>
        </w:rPr>
        <w:t xml:space="preserve">Routine judicial inspection of a confidential Cabinet document would reveal to a member of the judiciary the content of Cabinet deliberations. Although any inspection of a confidential Cabinet document undermines Cabinet confidentiality to some extent, judicial inspection of a document that concerns Cabinet deliberations about the judiciary would undermine it more significantly. That is especially so where the judge is directly affected by the response resulting from those deliberations. As with adjudication of the </w:t>
      </w:r>
      <w:r w:rsidRPr="00FF39DD">
        <w:rPr>
          <w:rFonts w:cs="Times New Roman"/>
          <w:i/>
        </w:rPr>
        <w:t xml:space="preserve">Bodner </w:t>
      </w:r>
      <w:r w:rsidRPr="00FF39DD">
        <w:rPr>
          <w:rFonts w:cs="Times New Roman"/>
        </w:rPr>
        <w:t>review itself, judicial inspection is appropriate in this context only where it is strictly necessary.</w:t>
      </w:r>
    </w:p>
    <w:p w14:paraId="030780AF" w14:textId="02CEA444" w:rsidR="0080188D" w:rsidRPr="00FF39DD" w:rsidRDefault="0080188D" w:rsidP="0080188D">
      <w:pPr>
        <w:pStyle w:val="ParaNoNdepar-AltN"/>
        <w:rPr>
          <w:rFonts w:cs="Times New Roman"/>
        </w:rPr>
      </w:pPr>
      <w:r w:rsidRPr="00FF39DD">
        <w:rPr>
          <w:rFonts w:cs="Times New Roman"/>
        </w:rPr>
        <w:t>In my view, these special considerations should be accom</w:t>
      </w:r>
      <w:r w:rsidR="00667916">
        <w:rPr>
          <w:rFonts w:cs="Times New Roman"/>
        </w:rPr>
        <w:t>modated at two distinct stages.</w:t>
      </w:r>
    </w:p>
    <w:p w14:paraId="51E0681B" w14:textId="7610FF95" w:rsidR="0080188D" w:rsidRPr="00FF39DD" w:rsidRDefault="0080188D" w:rsidP="0080188D">
      <w:pPr>
        <w:pStyle w:val="ParaNoNdepar-AltN"/>
        <w:rPr>
          <w:rFonts w:cs="Times New Roman"/>
        </w:rPr>
      </w:pPr>
      <w:r w:rsidRPr="00FF39DD">
        <w:rPr>
          <w:rFonts w:cs="Times New Roman"/>
        </w:rPr>
        <w:t>First, a</w:t>
      </w:r>
      <w:r w:rsidR="00667916">
        <w:rPr>
          <w:rFonts w:cs="Times New Roman"/>
        </w:rPr>
        <w:t xml:space="preserve"> threshold showing is required.</w:t>
      </w:r>
    </w:p>
    <w:p w14:paraId="2906A5EF" w14:textId="77777777" w:rsidR="0080188D" w:rsidRPr="00FF39DD" w:rsidRDefault="0080188D" w:rsidP="0080188D">
      <w:pPr>
        <w:pStyle w:val="ParaNoNdepar-AltN"/>
        <w:rPr>
          <w:rFonts w:cs="Times New Roman"/>
        </w:rPr>
      </w:pPr>
      <w:r w:rsidRPr="00FF39DD">
        <w:rPr>
          <w:rFonts w:cs="Times New Roman"/>
        </w:rPr>
        <w:t xml:space="preserve">Before the reviewing court can examine the document, the party seeking </w:t>
      </w:r>
      <w:r w:rsidRPr="00FF39DD">
        <w:rPr>
          <w:rFonts w:cs="Times New Roman"/>
          <w:i/>
        </w:rPr>
        <w:t>Bodner</w:t>
      </w:r>
      <w:r w:rsidRPr="00FF39DD">
        <w:rPr>
          <w:rFonts w:cs="Times New Roman"/>
        </w:rPr>
        <w:t xml:space="preserve"> review must first establish that there is some basis to believe that the Cabinet </w:t>
      </w:r>
      <w:r w:rsidRPr="00FF39DD">
        <w:rPr>
          <w:rFonts w:cs="Times New Roman"/>
        </w:rPr>
        <w:lastRenderedPageBreak/>
        <w:t xml:space="preserve">document in question may contain evidence which tends to show that the government failed to meet a requirement described in </w:t>
      </w:r>
      <w:r w:rsidRPr="00FF39DD">
        <w:rPr>
          <w:rFonts w:cs="Times New Roman"/>
          <w:i/>
        </w:rPr>
        <w:t>Bodner</w:t>
      </w:r>
      <w:r w:rsidRPr="00FF39DD">
        <w:rPr>
          <w:rFonts w:cs="Times New Roman"/>
        </w:rPr>
        <w:t>.</w:t>
      </w:r>
    </w:p>
    <w:p w14:paraId="7F188F4C" w14:textId="354A51E7" w:rsidR="0080188D" w:rsidRPr="00FF39DD" w:rsidRDefault="0080188D" w:rsidP="0080188D">
      <w:pPr>
        <w:pStyle w:val="ParaNoNdepar-AltN"/>
        <w:rPr>
          <w:rFonts w:cs="Times New Roman"/>
        </w:rPr>
      </w:pPr>
      <w:r w:rsidRPr="00FF39DD">
        <w:rPr>
          <w:rFonts w:cs="Times New Roman"/>
        </w:rPr>
        <w:t xml:space="preserve">This threshold is met if the party seeking review can show that there is reason to believe that the Cabinet document may contain something that would undermine the validity of the government response. This requires the party seeking review to point to something in the record, including otherwise admissible evidence, that supports its view that the document may tend to show that the government response failed to meet one or more parts of the test established in </w:t>
      </w:r>
      <w:r w:rsidRPr="00FF39DD">
        <w:rPr>
          <w:rFonts w:cs="Times New Roman"/>
          <w:i/>
        </w:rPr>
        <w:t>Bodner</w:t>
      </w:r>
      <w:r w:rsidR="00667916">
        <w:rPr>
          <w:rFonts w:cs="Times New Roman"/>
        </w:rPr>
        <w:t>.</w:t>
      </w:r>
    </w:p>
    <w:p w14:paraId="6C3E4FC4" w14:textId="77777777" w:rsidR="0080188D" w:rsidRPr="00FF39DD" w:rsidRDefault="0080188D" w:rsidP="0080188D">
      <w:pPr>
        <w:pStyle w:val="ParaNoNdepar-AltN"/>
        <w:rPr>
          <w:rFonts w:cs="Times New Roman"/>
        </w:rPr>
      </w:pPr>
      <w:r w:rsidRPr="00FF39DD">
        <w:rPr>
          <w:rFonts w:cs="Times New Roman"/>
        </w:rPr>
        <w:t xml:space="preserve">Meeting this threshold does not require the party to have knowledge or information about the content of the Cabinet submission. Nor does it require that the party point to something in the record that explicitly refers to the Cabinet submission or its contents. It would be unfair to require the party to establish the contents of a confidential document: see, in the public interest immunity context, </w:t>
      </w:r>
      <w:r w:rsidRPr="00FF39DD">
        <w:rPr>
          <w:rFonts w:cs="Times New Roman"/>
          <w:i/>
        </w:rPr>
        <w:t>Carey</w:t>
      </w:r>
      <w:r w:rsidRPr="00FF39DD">
        <w:rPr>
          <w:rFonts w:cs="Times New Roman"/>
        </w:rPr>
        <w:t>, at p. 678.</w:t>
      </w:r>
    </w:p>
    <w:p w14:paraId="2D870778" w14:textId="77777777" w:rsidR="0080188D" w:rsidRPr="00FF39DD" w:rsidRDefault="0080188D" w:rsidP="0080188D">
      <w:pPr>
        <w:pStyle w:val="ParaNoNdepar-AltN"/>
        <w:rPr>
          <w:rFonts w:cs="Times New Roman"/>
        </w:rPr>
      </w:pPr>
      <w:r w:rsidRPr="00FF39DD">
        <w:rPr>
          <w:rFonts w:cs="Times New Roman"/>
        </w:rPr>
        <w:t xml:space="preserve">The party can, however, rely on additional evidence and the rest of the record, including submissions to the commission, to support its contention that the threshold is met. For instance, the party might point to statements made by ministers or others that suggest that the government’s response may have been grounded in reasons other than those formally expressed, that the government may have relied on a flawed or incomplete factual foundation or that the government may have shown disrespect for the commission process. The party may also be able to rely on additional evidence introduced by the government that suggests that a document concerning </w:t>
      </w:r>
      <w:r w:rsidRPr="00FF39DD">
        <w:rPr>
          <w:rFonts w:cs="Times New Roman"/>
        </w:rPr>
        <w:lastRenderedPageBreak/>
        <w:t>Cabinet deliberations may disclose reliance on improper purpose. But it is not enough to simply say that the document was before the executive in its capacity as decision</w:t>
      </w:r>
      <w:r w:rsidRPr="00FF39DD">
        <w:rPr>
          <w:rFonts w:cs="Times New Roman"/>
        </w:rPr>
        <w:noBreakHyphen/>
        <w:t>maker or that it would provide additional background or context for the reviewing court.</w:t>
      </w:r>
    </w:p>
    <w:p w14:paraId="30364469" w14:textId="2B7AD52D" w:rsidR="0080188D" w:rsidRPr="00FF39DD" w:rsidRDefault="0080188D" w:rsidP="0080188D">
      <w:pPr>
        <w:pStyle w:val="ParaNoNdepar-AltN"/>
        <w:rPr>
          <w:rFonts w:cs="Times New Roman"/>
        </w:rPr>
      </w:pPr>
      <w:r w:rsidRPr="00FF39DD">
        <w:rPr>
          <w:rFonts w:cs="Times New Roman"/>
        </w:rPr>
        <w:t xml:space="preserve">If the party seeking review makes the requisite showing — that there is some basis to believe that the document may contain evidence which tends to show that the government failed to meet one of the requirements described in </w:t>
      </w:r>
      <w:r w:rsidRPr="00FF39DD">
        <w:rPr>
          <w:rFonts w:cs="Times New Roman"/>
          <w:i/>
        </w:rPr>
        <w:t>Bodner</w:t>
      </w:r>
      <w:r w:rsidRPr="00FF39DD">
        <w:rPr>
          <w:rFonts w:cs="Times New Roman"/>
        </w:rPr>
        <w:t xml:space="preserve"> — the government must produce </w:t>
      </w:r>
      <w:r w:rsidR="00667916">
        <w:rPr>
          <w:rFonts w:cs="Times New Roman"/>
        </w:rPr>
        <w:t>it for the court’s examination.</w:t>
      </w:r>
    </w:p>
    <w:p w14:paraId="2CEB445E" w14:textId="77777777" w:rsidR="0080188D" w:rsidRPr="00FF39DD" w:rsidRDefault="0080188D" w:rsidP="0080188D">
      <w:pPr>
        <w:pStyle w:val="ParaNoNdepar-AltN"/>
        <w:rPr>
          <w:rFonts w:cs="Times New Roman"/>
        </w:rPr>
      </w:pPr>
      <w:r w:rsidRPr="00FF39DD">
        <w:rPr>
          <w:rFonts w:cs="Times New Roman"/>
        </w:rPr>
        <w:t xml:space="preserve">Second, the reviewing court must then examine the document in private to determine whether it, in fact, provides some evidence which tends to show that the government failed to meet one of the parts of the test mandated in </w:t>
      </w:r>
      <w:r w:rsidRPr="00FF39DD">
        <w:rPr>
          <w:rFonts w:cs="Times New Roman"/>
          <w:i/>
        </w:rPr>
        <w:t>Bodner</w:t>
      </w:r>
      <w:r w:rsidRPr="00FF39DD">
        <w:rPr>
          <w:rFonts w:cs="Times New Roman"/>
        </w:rPr>
        <w:t>. In other words, the document must, taken with the record as a whole and in light of the applicant’s theory of the case, be of assistance in challenging the legitimacy of the government’s reasons, the reasonableness of the factual foundation it relied on, the respect the government has shown the commission process or whether the objectives of the process have been achieved. It may suggest that the government response was based upon an improper or colourable purpose. To be clear, the cogency of the evidence need not be considered at this stage of the analysis.</w:t>
      </w:r>
    </w:p>
    <w:p w14:paraId="58AA83EB" w14:textId="77777777" w:rsidR="0080188D" w:rsidRPr="00FF39DD" w:rsidRDefault="0080188D" w:rsidP="0080188D">
      <w:pPr>
        <w:pStyle w:val="ParaNoNdepar-AltN"/>
        <w:rPr>
          <w:rFonts w:cs="Times New Roman"/>
        </w:rPr>
      </w:pPr>
      <w:r w:rsidRPr="00FF39DD">
        <w:rPr>
          <w:rFonts w:cs="Times New Roman"/>
        </w:rPr>
        <w:t>Even if the document meets this test, production of the document remains subject to any other rule of evidence that bars its disclosure, such as solicitor</w:t>
      </w:r>
      <w:r w:rsidRPr="00FF39DD">
        <w:rPr>
          <w:rFonts w:cs="Times New Roman"/>
        </w:rPr>
        <w:noBreakHyphen/>
        <w:t xml:space="preserve">client </w:t>
      </w:r>
      <w:r w:rsidRPr="00FF39DD">
        <w:rPr>
          <w:rFonts w:cs="Times New Roman"/>
        </w:rPr>
        <w:lastRenderedPageBreak/>
        <w:t>privilege (which was raised in the courts below in the companion appeal) or public interest immunity (which was raised in this Court in both appeals).</w:t>
      </w:r>
    </w:p>
    <w:p w14:paraId="2093A9F0" w14:textId="77777777" w:rsidR="0080188D" w:rsidRPr="00FF39DD" w:rsidRDefault="0080188D" w:rsidP="0080188D">
      <w:pPr>
        <w:pStyle w:val="ParaNoNdepar-AltN"/>
        <w:rPr>
          <w:rFonts w:cs="Times New Roman"/>
        </w:rPr>
      </w:pPr>
      <w:r w:rsidRPr="00FF39DD">
        <w:rPr>
          <w:rFonts w:cs="Times New Roman"/>
        </w:rPr>
        <w:t xml:space="preserve">The Provincial Court Judges’ Association submits that </w:t>
      </w:r>
      <w:r w:rsidRPr="00FF39DD">
        <w:rPr>
          <w:rFonts w:cs="Times New Roman"/>
          <w:i/>
        </w:rPr>
        <w:t>Bodner</w:t>
      </w:r>
      <w:r w:rsidRPr="00FF39DD">
        <w:rPr>
          <w:rFonts w:cs="Times New Roman"/>
        </w:rPr>
        <w:t xml:space="preserve"> review is meaningless without the production of confidential Cabinet documents to illuminate the true reasons for the government’s response, which may differ from its publicly</w:t>
      </w:r>
      <w:r w:rsidRPr="00FF39DD">
        <w:rPr>
          <w:rFonts w:cs="Times New Roman"/>
        </w:rPr>
        <w:noBreakHyphen/>
        <w:t>articulated reasons. The Provincial Court Judges’ Association says that without an understanding of the actual basis on which the decision rests, the reviewing court will be unable to determine whether the government’s response satisfies constitutional requirements.</w:t>
      </w:r>
    </w:p>
    <w:p w14:paraId="5BEB0E50" w14:textId="2250E6C2" w:rsidR="0080188D" w:rsidRPr="00FF39DD" w:rsidRDefault="0080188D" w:rsidP="0080188D">
      <w:pPr>
        <w:pStyle w:val="ParaNoNdepar-AltN"/>
        <w:rPr>
          <w:rFonts w:cs="Times New Roman"/>
        </w:rPr>
      </w:pPr>
      <w:r w:rsidRPr="00FF39DD">
        <w:rPr>
          <w:rFonts w:cs="Times New Roman"/>
        </w:rPr>
        <w:t xml:space="preserve">I do not agree that </w:t>
      </w:r>
      <w:r w:rsidRPr="00FF39DD">
        <w:rPr>
          <w:rFonts w:cs="Times New Roman"/>
          <w:i/>
        </w:rPr>
        <w:t>Bodner</w:t>
      </w:r>
      <w:r w:rsidRPr="00FF39DD">
        <w:rPr>
          <w:rFonts w:cs="Times New Roman"/>
        </w:rPr>
        <w:t xml:space="preserve"> review is ineffective without any relevant Cabinet submission being included in the record. Though necessarily limited in scope, </w:t>
      </w:r>
      <w:r w:rsidRPr="00FF39DD">
        <w:rPr>
          <w:rFonts w:cs="Times New Roman"/>
          <w:i/>
        </w:rPr>
        <w:t>Bodner</w:t>
      </w:r>
      <w:r w:rsidRPr="00FF39DD">
        <w:rPr>
          <w:rFonts w:cs="Times New Roman"/>
        </w:rPr>
        <w:t xml:space="preserve"> review is a robust form of review. The test requires that the government justify a </w:t>
      </w:r>
      <w:r w:rsidRPr="00FF39DD">
        <w:rPr>
          <w:rFonts w:cs="Times New Roman"/>
          <w:i/>
        </w:rPr>
        <w:t xml:space="preserve">departure </w:t>
      </w:r>
      <w:r w:rsidRPr="00FF39DD">
        <w:rPr>
          <w:rFonts w:cs="Times New Roman"/>
        </w:rPr>
        <w:t>from the commission’s recommendations. The government must give legitimate and rational reasons for doing so and sound reasoning must be supported by a reasonable factual foundation. The government’s response must demonstrate respect for the judicial office, for judicial independence, and for the commission process; as well, the broader objectives of the process must be achieved.</w:t>
      </w:r>
    </w:p>
    <w:p w14:paraId="639100C1" w14:textId="3BAA87A8" w:rsidR="0080188D" w:rsidRPr="00FF39DD" w:rsidRDefault="0080188D" w:rsidP="0080188D">
      <w:pPr>
        <w:pStyle w:val="ParaNoNdepar-AltN"/>
        <w:rPr>
          <w:rFonts w:cs="Times New Roman"/>
        </w:rPr>
      </w:pPr>
      <w:r w:rsidRPr="00FF39DD">
        <w:rPr>
          <w:rFonts w:cs="Times New Roman"/>
        </w:rPr>
        <w:t xml:space="preserve">Thus, the party seeking </w:t>
      </w:r>
      <w:r w:rsidRPr="00FF39DD">
        <w:rPr>
          <w:rFonts w:cs="Times New Roman"/>
          <w:i/>
        </w:rPr>
        <w:t>Bodner</w:t>
      </w:r>
      <w:r w:rsidRPr="00FF39DD">
        <w:rPr>
          <w:rFonts w:cs="Times New Roman"/>
        </w:rPr>
        <w:t xml:space="preserve"> review may well be able to make a strong case for overturning a government’s response based on the public reasons given by the government. The party seeking </w:t>
      </w:r>
      <w:r w:rsidRPr="00FF39DD">
        <w:rPr>
          <w:rFonts w:cs="Times New Roman"/>
          <w:i/>
        </w:rPr>
        <w:t>Bodner</w:t>
      </w:r>
      <w:r w:rsidRPr="00FF39DD">
        <w:rPr>
          <w:rFonts w:cs="Times New Roman"/>
        </w:rPr>
        <w:t xml:space="preserve"> review may also rely on additional admissible evidence to make their case, such as statements made by ministers or others, including </w:t>
      </w:r>
      <w:r w:rsidRPr="00FF39DD">
        <w:rPr>
          <w:rFonts w:cs="Times New Roman"/>
        </w:rPr>
        <w:lastRenderedPageBreak/>
        <w:t xml:space="preserve">more general statements made outside the commission process, about judges or their remuneration, and historical patterns, including the government’s responses to past commission recommendations. Those forms of evidence might well support the contention that the government relied on an illegitimate reason for departing from the commission’s recommendations or that its response does not </w:t>
      </w:r>
      <w:r w:rsidRPr="00FF39DD">
        <w:rPr>
          <w:rFonts w:cs="Times New Roman"/>
          <w:lang w:val="en-US"/>
        </w:rPr>
        <w:t>“reveal a consideration of the judicial office and an intention</w:t>
      </w:r>
      <w:r w:rsidR="00667916">
        <w:rPr>
          <w:rFonts w:cs="Times New Roman"/>
          <w:lang w:val="en-US"/>
        </w:rPr>
        <w:t xml:space="preserve"> to deal with it appropriately”</w:t>
      </w:r>
      <w:r w:rsidRPr="00FF39DD">
        <w:rPr>
          <w:rFonts w:cs="Times New Roman"/>
        </w:rPr>
        <w:t>. They might also support the contention that the government did not show appropriate respect for the underlying public interest in judicial independence and in having an effective commission process. </w:t>
      </w:r>
    </w:p>
    <w:p w14:paraId="4CD6E951" w14:textId="684289F9" w:rsidR="0080188D" w:rsidRPr="00FF39DD" w:rsidRDefault="0080188D" w:rsidP="0080188D">
      <w:pPr>
        <w:pStyle w:val="ParaNoNdepar-AltN"/>
        <w:rPr>
          <w:rFonts w:cs="Times New Roman"/>
        </w:rPr>
      </w:pPr>
      <w:r w:rsidRPr="00FF39DD">
        <w:rPr>
          <w:rFonts w:cs="Times New Roman"/>
        </w:rPr>
        <w:t xml:space="preserve">I underscore that it is never enough for the government to simply repeat the submissions it made to the commission: </w:t>
      </w:r>
      <w:r w:rsidRPr="00FF39DD">
        <w:rPr>
          <w:rFonts w:cs="Times New Roman"/>
          <w:i/>
        </w:rPr>
        <w:t>Bodner</w:t>
      </w:r>
      <w:r w:rsidRPr="00FF39DD">
        <w:rPr>
          <w:rFonts w:cs="Times New Roman"/>
        </w:rPr>
        <w:t>, at para. 23. That does not justify a departure from the commission’s recommendations. Similarly, a government that consistently rejects a commission’s recommendations will put in question whether it is respecting the commission process and, as a result, whether the process is achieving its objectives. Although across</w:t>
      </w:r>
      <w:r w:rsidRPr="00FF39DD">
        <w:rPr>
          <w:rFonts w:cs="Times New Roman"/>
        </w:rPr>
        <w:noBreakHyphen/>
        <w:t>the</w:t>
      </w:r>
      <w:r w:rsidRPr="00FF39DD">
        <w:rPr>
          <w:rFonts w:cs="Times New Roman"/>
        </w:rPr>
        <w:noBreakHyphen/>
        <w:t xml:space="preserve">board salary increases or reductions that affect judges have been found to meet the rationality standard, a government that does not take into account the distinctive nature of judicial office and treats judges simply as a class of civil servant will fail to engage with the principle of judicial independence: </w:t>
      </w:r>
      <w:r w:rsidRPr="00FF39DD">
        <w:rPr>
          <w:rFonts w:cs="Times New Roman"/>
          <w:i/>
        </w:rPr>
        <w:t>Provincial Judges Reference</w:t>
      </w:r>
      <w:r w:rsidRPr="00FF39DD">
        <w:rPr>
          <w:rFonts w:cs="Times New Roman"/>
        </w:rPr>
        <w:t xml:space="preserve">, at paras. 143, 157 and 184; </w:t>
      </w:r>
      <w:r w:rsidRPr="00FF39DD">
        <w:rPr>
          <w:rFonts w:cs="Times New Roman"/>
          <w:i/>
        </w:rPr>
        <w:t>Bodner</w:t>
      </w:r>
      <w:r w:rsidRPr="00FF39DD">
        <w:rPr>
          <w:rFonts w:cs="Times New Roman"/>
        </w:rPr>
        <w:t xml:space="preserve">, at para. 25. More rarely, the level of remuneration itself may call the government’s response into question: see </w:t>
      </w:r>
      <w:r w:rsidRPr="00FF39DD">
        <w:rPr>
          <w:rFonts w:cs="Times New Roman"/>
          <w:i/>
        </w:rPr>
        <w:t>Provincial Judges Reference</w:t>
      </w:r>
      <w:r w:rsidR="00BE5502">
        <w:rPr>
          <w:rFonts w:cs="Times New Roman"/>
        </w:rPr>
        <w:t>, at para. 135.</w:t>
      </w:r>
    </w:p>
    <w:p w14:paraId="6BC1B645" w14:textId="77777777" w:rsidR="0080188D" w:rsidRPr="00FF39DD" w:rsidRDefault="0080188D" w:rsidP="0080188D">
      <w:pPr>
        <w:pStyle w:val="ParaNoNdepar-AltN"/>
        <w:rPr>
          <w:rFonts w:cs="Times New Roman"/>
        </w:rPr>
      </w:pPr>
      <w:r w:rsidRPr="00FF39DD">
        <w:rPr>
          <w:rFonts w:cs="Times New Roman"/>
        </w:rPr>
        <w:lastRenderedPageBreak/>
        <w:t xml:space="preserve">A government response that does not </w:t>
      </w:r>
      <w:r w:rsidRPr="00FF39DD">
        <w:rPr>
          <w:rFonts w:cs="Times New Roman"/>
          <w:i/>
        </w:rPr>
        <w:t>meaningfully</w:t>
      </w:r>
      <w:r w:rsidRPr="00FF39DD">
        <w:rPr>
          <w:rFonts w:cs="Times New Roman"/>
        </w:rPr>
        <w:t xml:space="preserve"> engage with the commission process and its recommendations risks failing the </w:t>
      </w:r>
      <w:r w:rsidRPr="00FF39DD">
        <w:rPr>
          <w:rFonts w:cs="Times New Roman"/>
          <w:i/>
        </w:rPr>
        <w:t xml:space="preserve">Bodner </w:t>
      </w:r>
      <w:r w:rsidRPr="00FF39DD">
        <w:rPr>
          <w:rFonts w:cs="Times New Roman"/>
        </w:rPr>
        <w:t xml:space="preserve">test. As </w:t>
      </w:r>
      <w:r w:rsidRPr="00FF39DD">
        <w:rPr>
          <w:rFonts w:cs="Times New Roman"/>
          <w:i/>
        </w:rPr>
        <w:t>Bodner</w:t>
      </w:r>
      <w:r w:rsidRPr="00FF39DD">
        <w:rPr>
          <w:rFonts w:cs="Times New Roman"/>
        </w:rPr>
        <w:t>, at para. 31, makes clear, the reviewing court must ultimately be satisfied that the objectives of the commission process — namely, depoliticizing decisions about judicial remuneration and preserving judicial independence — have been met.</w:t>
      </w:r>
    </w:p>
    <w:p w14:paraId="017A59D9" w14:textId="77777777" w:rsidR="0080188D" w:rsidRPr="00FF39DD" w:rsidRDefault="0080188D" w:rsidP="0080188D">
      <w:pPr>
        <w:pStyle w:val="ParaNoNdepar-AltN"/>
        <w:rPr>
          <w:rFonts w:cs="Times New Roman"/>
        </w:rPr>
      </w:pPr>
      <w:r w:rsidRPr="00FF39DD">
        <w:rPr>
          <w:rFonts w:cs="Times New Roman"/>
        </w:rPr>
        <w:t xml:space="preserve">To summarize, the object of </w:t>
      </w:r>
      <w:r w:rsidRPr="00FF39DD">
        <w:rPr>
          <w:rFonts w:cs="Times New Roman"/>
          <w:i/>
        </w:rPr>
        <w:t>Bodner</w:t>
      </w:r>
      <w:r w:rsidRPr="00FF39DD">
        <w:rPr>
          <w:rFonts w:cs="Times New Roman"/>
        </w:rPr>
        <w:t xml:space="preserve"> review is the government’s response to the commission’s recommendations, which will generally consist of the government’s decision to depart from the commission’s recommendations and the reasons given for that decision. The submissions to the commission, the commission’s recommendations, and the government’s response accordingly form the core of the record on </w:t>
      </w:r>
      <w:r w:rsidRPr="00FF39DD">
        <w:rPr>
          <w:rFonts w:cs="Times New Roman"/>
          <w:i/>
        </w:rPr>
        <w:t xml:space="preserve">Bodner </w:t>
      </w:r>
      <w:r w:rsidRPr="00FF39DD">
        <w:rPr>
          <w:rFonts w:cs="Times New Roman"/>
        </w:rPr>
        <w:t xml:space="preserve">review. Certain forms of additional evidence are admissible if they are relevant to determining whether any part of the </w:t>
      </w:r>
      <w:r w:rsidRPr="00FF39DD">
        <w:rPr>
          <w:rFonts w:cs="Times New Roman"/>
          <w:i/>
        </w:rPr>
        <w:t>Bodner</w:t>
      </w:r>
      <w:r w:rsidRPr="00FF39DD">
        <w:rPr>
          <w:rFonts w:cs="Times New Roman"/>
        </w:rPr>
        <w:t xml:space="preserve"> test has been met, including whether the government’s response is grounded in an improper or colourable purpose. However, where a party seeking </w:t>
      </w:r>
      <w:r w:rsidRPr="00FF39DD">
        <w:rPr>
          <w:rFonts w:cs="Times New Roman"/>
          <w:i/>
        </w:rPr>
        <w:t>Bodner</w:t>
      </w:r>
      <w:r w:rsidRPr="00FF39DD">
        <w:rPr>
          <w:rFonts w:cs="Times New Roman"/>
        </w:rPr>
        <w:t xml:space="preserve"> review requests the production of a confidential Cabinet document, the party must first establish there is some basis to believe that the document may contain evidence which tends to show that the government failed to meet a requirement described in </w:t>
      </w:r>
      <w:r w:rsidRPr="00FF39DD">
        <w:rPr>
          <w:rFonts w:cs="Times New Roman"/>
          <w:i/>
        </w:rPr>
        <w:t>Bodner</w:t>
      </w:r>
      <w:r w:rsidRPr="00FF39DD">
        <w:rPr>
          <w:rFonts w:cs="Times New Roman"/>
        </w:rPr>
        <w:t>. Only then will the reviewing court examine the document in private to determine whether it, in fact, provides some evidence which tends to show that the government failed to meet its constitutional obligations. If the document does provide such evidence, the court must then determine whether any other rule of evidence, such as public interest immunity, bars its production.</w:t>
      </w:r>
    </w:p>
    <w:p w14:paraId="4DD59925" w14:textId="77777777" w:rsidR="0080188D" w:rsidRPr="00FF39DD" w:rsidRDefault="0080188D" w:rsidP="0080188D">
      <w:pPr>
        <w:pStyle w:val="Title3LevelTitre3Niveau"/>
        <w:spacing w:line="480" w:lineRule="auto"/>
        <w:rPr>
          <w:rFonts w:cs="Times New Roman"/>
        </w:rPr>
      </w:pPr>
      <w:r w:rsidRPr="00FF39DD">
        <w:rPr>
          <w:rFonts w:cs="Times New Roman"/>
        </w:rPr>
        <w:lastRenderedPageBreak/>
        <w:t>Application</w:t>
      </w:r>
    </w:p>
    <w:p w14:paraId="16610CF1" w14:textId="77777777" w:rsidR="0080188D" w:rsidRPr="00FF39DD" w:rsidRDefault="0080188D" w:rsidP="0080188D">
      <w:pPr>
        <w:pStyle w:val="ParaNoNdepar-AltN"/>
        <w:rPr>
          <w:rFonts w:cs="Times New Roman"/>
        </w:rPr>
      </w:pPr>
      <w:r w:rsidRPr="00FF39DD">
        <w:rPr>
          <w:rFonts w:cs="Times New Roman"/>
        </w:rPr>
        <w:t>Since the Provincial Court Judges’ Association seeks production of a confidential Cabinet submission, the first issue is whether it has made the requisite threshold showing.</w:t>
      </w:r>
    </w:p>
    <w:p w14:paraId="243A3918" w14:textId="31DC3541" w:rsidR="0080188D" w:rsidRPr="00FF39DD" w:rsidRDefault="0080188D" w:rsidP="0080188D">
      <w:pPr>
        <w:pStyle w:val="ParaNoNdepar-AltN"/>
        <w:rPr>
          <w:rFonts w:cs="Times New Roman"/>
        </w:rPr>
      </w:pPr>
      <w:r w:rsidRPr="00FF39DD">
        <w:rPr>
          <w:rFonts w:cs="Times New Roman"/>
        </w:rPr>
        <w:t xml:space="preserve">The Provincial Court Judges’ Association points to prior litigation involving judicial remuneration in which the Attorney General produced a Cabinet submission concerning the government’s response to a commission’s recommendations: see </w:t>
      </w:r>
      <w:r w:rsidRPr="00FF39DD">
        <w:rPr>
          <w:rFonts w:cs="Times New Roman"/>
          <w:i/>
        </w:rPr>
        <w:t>Provincial Court Judges’ Association of British Columbia v. British Columbia (Attorney General)</w:t>
      </w:r>
      <w:r w:rsidRPr="00FF39DD">
        <w:rPr>
          <w:rFonts w:cs="Times New Roman"/>
        </w:rPr>
        <w:t>. The Supreme Court of British Columbia in that case found that the submission revealed an “inappropriate emphasis” on the need to maintain a link between judicial salaries and public sector salaries: para. 81. The Provincial Court Judges’ Association argues that this history makes the Cabinet submission in the present case relevant to resolve the issue of whether the government engaged with and showed respect for the commission process.</w:t>
      </w:r>
    </w:p>
    <w:p w14:paraId="68AD0264" w14:textId="77777777" w:rsidR="0080188D" w:rsidRPr="00FF39DD" w:rsidRDefault="0080188D" w:rsidP="0080188D">
      <w:pPr>
        <w:pStyle w:val="ParaNoNdepar-AltN"/>
        <w:rPr>
          <w:rFonts w:cs="Times New Roman"/>
        </w:rPr>
      </w:pPr>
      <w:r w:rsidRPr="00FF39DD">
        <w:rPr>
          <w:rFonts w:cs="Times New Roman"/>
        </w:rPr>
        <w:t xml:space="preserve">I am not persuaded. The case relied on by the Provincial Court Judges’ Association was decided nearly a decade ago. It does not follow that because a Cabinet submission revealed that the government relied on an inappropriate consideration 10 years ago, it may have relied on a like consideration in the present case. Indeed, the government would be expected to learn from its past mistakes. Something more would be required for there to be reason to believe that the submission may contain evidence </w:t>
      </w:r>
      <w:r w:rsidRPr="00FF39DD">
        <w:rPr>
          <w:rFonts w:cs="Times New Roman"/>
        </w:rPr>
        <w:lastRenderedPageBreak/>
        <w:t xml:space="preserve">that would tend to show that the government failed to meet a requirement described in </w:t>
      </w:r>
      <w:r w:rsidRPr="00FF39DD">
        <w:rPr>
          <w:rFonts w:cs="Times New Roman"/>
          <w:i/>
        </w:rPr>
        <w:t>Bodner</w:t>
      </w:r>
      <w:r w:rsidRPr="00FF39DD">
        <w:rPr>
          <w:rFonts w:cs="Times New Roman"/>
        </w:rPr>
        <w:t>.</w:t>
      </w:r>
    </w:p>
    <w:p w14:paraId="5041AAC4" w14:textId="77777777" w:rsidR="0080188D" w:rsidRPr="00FF39DD" w:rsidRDefault="0080188D" w:rsidP="0080188D">
      <w:pPr>
        <w:pStyle w:val="ParaNoNdepar-AltN"/>
        <w:rPr>
          <w:rFonts w:cs="Times New Roman"/>
        </w:rPr>
      </w:pPr>
      <w:r w:rsidRPr="00FF39DD">
        <w:rPr>
          <w:rFonts w:cs="Times New Roman"/>
        </w:rPr>
        <w:t>Although it is not determinative, I note that neither the executive nor the Legislative Assembly put the Cabinet submission in issue. Neither the government’s response nor the Legislative Assembly’s resolution refers to the Cabinet submission. Nor, in contrast with the affidavit filed in a past round of litigation opposing the Attorney General and Provincial Court Judges’ Association, is there any reference to the Cabinet submission in the affidavit filed in support of the Attorney General’s response to the petition for review. Nor is there anything on the face of the record that indicates the Cabinet submission may contain some evidence which tends to show that the government failed to meet a constitutional requirement.</w:t>
      </w:r>
    </w:p>
    <w:p w14:paraId="02410563" w14:textId="77777777" w:rsidR="0080188D" w:rsidRPr="00FF39DD" w:rsidRDefault="0080188D" w:rsidP="0080188D">
      <w:pPr>
        <w:pStyle w:val="ParaNoNdepar-AltN"/>
        <w:rPr>
          <w:rFonts w:cs="Times New Roman"/>
        </w:rPr>
      </w:pPr>
      <w:r w:rsidRPr="00FF39DD">
        <w:rPr>
          <w:rFonts w:cs="Times New Roman"/>
        </w:rPr>
        <w:t xml:space="preserve">In my view, the Provincial Court Judges’ Association has failed to make the requisite showing. It has not provided any evidence or pointed to any circumstances that suggest that the Cabinet submission may indicate that the government did not meet the standard required by </w:t>
      </w:r>
      <w:r w:rsidRPr="00FF39DD">
        <w:rPr>
          <w:rFonts w:cs="Times New Roman"/>
          <w:i/>
        </w:rPr>
        <w:t>Bodner</w:t>
      </w:r>
      <w:r w:rsidRPr="00FF39DD">
        <w:rPr>
          <w:rFonts w:cs="Times New Roman"/>
        </w:rPr>
        <w:t>. It was therefore not necessary for the Attorney General to produce the document for examination by this Court.</w:t>
      </w:r>
    </w:p>
    <w:p w14:paraId="137854D3" w14:textId="24B5DCD4" w:rsidR="0080188D" w:rsidRPr="00FF39DD" w:rsidRDefault="0080188D" w:rsidP="0080188D">
      <w:pPr>
        <w:pStyle w:val="ParaNoNdepar-AltN"/>
        <w:rPr>
          <w:rFonts w:cs="Times New Roman"/>
        </w:rPr>
      </w:pPr>
      <w:r w:rsidRPr="00FF39DD">
        <w:rPr>
          <w:rFonts w:cs="Times New Roman"/>
        </w:rPr>
        <w:t>This would effe</w:t>
      </w:r>
      <w:r w:rsidR="00BE5502">
        <w:rPr>
          <w:rFonts w:cs="Times New Roman"/>
        </w:rPr>
        <w:t>ctively dispose of this appeal.</w:t>
      </w:r>
    </w:p>
    <w:p w14:paraId="0A5ADC6E" w14:textId="77777777" w:rsidR="0080188D" w:rsidRPr="00FF39DD" w:rsidRDefault="0080188D" w:rsidP="0080188D">
      <w:pPr>
        <w:pStyle w:val="ParaNoNdepar-AltN"/>
        <w:rPr>
          <w:rFonts w:cs="Times New Roman"/>
        </w:rPr>
      </w:pPr>
      <w:r w:rsidRPr="00FF39DD">
        <w:rPr>
          <w:rFonts w:cs="Times New Roman"/>
        </w:rPr>
        <w:t xml:space="preserve">It is therefore unnecessary in this case to determine whether public interest immunity would otherwise apply so as to permit the Attorney General to refuse to produce the Cabinet submission. However, since the parties and interveners in both </w:t>
      </w:r>
      <w:r w:rsidRPr="00FF39DD">
        <w:rPr>
          <w:rFonts w:cs="Times New Roman"/>
        </w:rPr>
        <w:lastRenderedPageBreak/>
        <w:t xml:space="preserve">appeals have made extensive submissions about the law of public interest immunity, I will examine how public interest immunity applies to confidential Cabinet documents sought in a </w:t>
      </w:r>
      <w:r w:rsidRPr="00FF39DD">
        <w:rPr>
          <w:rFonts w:cs="Times New Roman"/>
          <w:i/>
        </w:rPr>
        <w:t>Bodner</w:t>
      </w:r>
      <w:r w:rsidRPr="00FF39DD">
        <w:rPr>
          <w:rFonts w:cs="Times New Roman"/>
        </w:rPr>
        <w:t xml:space="preserve"> review and why, in my view, it is not necessary to revisit this Court’s public interest immunity doctrine as it applies in this context.</w:t>
      </w:r>
    </w:p>
    <w:p w14:paraId="5AC70DCC" w14:textId="77777777" w:rsidR="0080188D" w:rsidRPr="00FF39DD" w:rsidRDefault="0080188D" w:rsidP="0080188D">
      <w:pPr>
        <w:pStyle w:val="Title2LevelTitre2Niveau"/>
        <w:ind w:left="578" w:hanging="578"/>
        <w:rPr>
          <w:rFonts w:cs="Times New Roman"/>
        </w:rPr>
      </w:pPr>
      <w:r w:rsidRPr="00FF39DD">
        <w:rPr>
          <w:rFonts w:cs="Times New Roman"/>
        </w:rPr>
        <w:t>Public Interest Immunity</w:t>
      </w:r>
    </w:p>
    <w:p w14:paraId="216940E6" w14:textId="08CFAC87" w:rsidR="0080188D" w:rsidRPr="00FF39DD" w:rsidRDefault="0080188D" w:rsidP="0080188D">
      <w:pPr>
        <w:pStyle w:val="ParaNoNdepar-AltN"/>
        <w:rPr>
          <w:rFonts w:cs="Times New Roman"/>
        </w:rPr>
      </w:pPr>
      <w:r w:rsidRPr="00FF39DD">
        <w:rPr>
          <w:rFonts w:cs="Times New Roman"/>
        </w:rPr>
        <w:t xml:space="preserve">There is a strong public interest in maintaining the confidentiality of deliberations among ministers of the Crown: </w:t>
      </w:r>
      <w:r w:rsidRPr="00FF39DD">
        <w:rPr>
          <w:rFonts w:cs="Times New Roman"/>
          <w:i/>
        </w:rPr>
        <w:t>Carey</w:t>
      </w:r>
      <w:r w:rsidRPr="00FF39DD">
        <w:rPr>
          <w:rFonts w:cs="Times New Roman"/>
        </w:rPr>
        <w:t>, at pp. 647 and 656</w:t>
      </w:r>
      <w:r w:rsidRPr="00FF39DD">
        <w:rPr>
          <w:rFonts w:cs="Times New Roman"/>
        </w:rPr>
        <w:noBreakHyphen/>
        <w:t xml:space="preserve">59; </w:t>
      </w:r>
      <w:r w:rsidRPr="00FF39DD">
        <w:rPr>
          <w:rFonts w:cs="Times New Roman"/>
          <w:i/>
        </w:rPr>
        <w:t>Babcock</w:t>
      </w:r>
      <w:r w:rsidRPr="00FF39DD">
        <w:rPr>
          <w:rFonts w:cs="Times New Roman"/>
        </w:rPr>
        <w:t>, at paras. 18</w:t>
      </w:r>
      <w:r w:rsidRPr="00FF39DD">
        <w:rPr>
          <w:rFonts w:cs="Times New Roman"/>
        </w:rPr>
        <w:noBreakHyphen/>
        <w:t>19. As a matter of constitutional convention, Cabinet deliberations are confidential: N. d’Ombrain,</w:t>
      </w:r>
      <w:r w:rsidR="00BE5502">
        <w:rPr>
          <w:rFonts w:cs="Times New Roman"/>
        </w:rPr>
        <w:t xml:space="preserve"> “Cabinet secrecy” (2004), 47</w:t>
      </w:r>
      <w:r w:rsidRPr="00FF39DD">
        <w:rPr>
          <w:rFonts w:cs="Times New Roman"/>
        </w:rPr>
        <w:t xml:space="preserve"> C</w:t>
      </w:r>
      <w:r w:rsidRPr="00FF39DD">
        <w:rPr>
          <w:rFonts w:cs="Times New Roman"/>
          <w:i/>
        </w:rPr>
        <w:t>anadian Public Administration</w:t>
      </w:r>
      <w:r w:rsidRPr="00FF39DD">
        <w:rPr>
          <w:rFonts w:cs="Times New Roman"/>
        </w:rPr>
        <w:t xml:space="preserve"> 332, at pp. 334</w:t>
      </w:r>
      <w:r w:rsidRPr="00FF39DD">
        <w:rPr>
          <w:rFonts w:cs="Times New Roman"/>
        </w:rPr>
        <w:noBreakHyphen/>
        <w:t xml:space="preserve">35. Federal ministers swear an oath as Privy Counsellors to “honestly and truly declare [their] mind and [their] opinion” and to “keep secret all matters . . . secretly treated of” in Cabinet: see C. Forcese and A. Freeman, </w:t>
      </w:r>
      <w:r w:rsidRPr="00FF39DD">
        <w:rPr>
          <w:rFonts w:cs="Times New Roman"/>
          <w:i/>
        </w:rPr>
        <w:t>The Laws of Government: The Legal Foundations of Canadian Democracy</w:t>
      </w:r>
      <w:r w:rsidRPr="00FF39DD">
        <w:rPr>
          <w:rFonts w:cs="Times New Roman"/>
        </w:rPr>
        <w:t xml:space="preserve"> (2nd ed. 2011), at p. 352. Provincial and territorial ministers swear a similar</w:t>
      </w:r>
      <w:r w:rsidR="008A3D1D">
        <w:rPr>
          <w:rFonts w:cs="Times New Roman"/>
        </w:rPr>
        <w:t xml:space="preserve"> oath as executive counsellors.</w:t>
      </w:r>
    </w:p>
    <w:p w14:paraId="5DEB7FB6" w14:textId="69F107EF" w:rsidR="0080188D" w:rsidRPr="00FF39DD" w:rsidRDefault="0080188D" w:rsidP="0080188D">
      <w:pPr>
        <w:pStyle w:val="ParaNoNdepar-AltN"/>
        <w:rPr>
          <w:rFonts w:cs="Times New Roman"/>
        </w:rPr>
      </w:pPr>
      <w:r w:rsidRPr="00FF39DD">
        <w:rPr>
          <w:rFonts w:cs="Times New Roman"/>
        </w:rPr>
        <w:t xml:space="preserve">Ministers enjoy freedom to express their views in Cabinet deliberations, but are expected to publicly defend Cabinet’s decision, even where it differs from their views: see A. Heard, </w:t>
      </w:r>
      <w:r w:rsidRPr="00FF39DD">
        <w:rPr>
          <w:rFonts w:cs="Times New Roman"/>
          <w:i/>
        </w:rPr>
        <w:t>Canadian Constitutional Conventions: The Marriage of Law &amp; Politics</w:t>
      </w:r>
      <w:r w:rsidRPr="00FF39DD">
        <w:rPr>
          <w:rFonts w:cs="Times New Roman"/>
        </w:rPr>
        <w:t xml:space="preserve"> (2nd</w:t>
      </w:r>
      <w:r w:rsidRPr="00FF39DD">
        <w:rPr>
          <w:rFonts w:cs="Times New Roman"/>
          <w:vertAlign w:val="superscript"/>
        </w:rPr>
        <w:t xml:space="preserve"> </w:t>
      </w:r>
      <w:r w:rsidRPr="00FF39DD">
        <w:rPr>
          <w:rFonts w:cs="Times New Roman"/>
        </w:rPr>
        <w:t>ed. 2014), at pp. 106</w:t>
      </w:r>
      <w:r w:rsidRPr="00FF39DD">
        <w:rPr>
          <w:rFonts w:cs="Times New Roman"/>
        </w:rPr>
        <w:noBreakHyphen/>
        <w:t>7; d’Ombrain, at p. 335. The confidentiality of Cabinet deliberations helps ensure that they are candid and frank and that what are often difficult decisions and hard</w:t>
      </w:r>
      <w:r w:rsidRPr="00FF39DD">
        <w:rPr>
          <w:rFonts w:cs="Times New Roman"/>
        </w:rPr>
        <w:noBreakHyphen/>
        <w:t xml:space="preserve">won compromises can be reached without undue </w:t>
      </w:r>
      <w:r w:rsidRPr="00FF39DD">
        <w:rPr>
          <w:rFonts w:cs="Times New Roman"/>
        </w:rPr>
        <w:lastRenderedPageBreak/>
        <w:t>external interference: see Forcese and Freeman, at p. 352; d’Ombrain, at p. 335. If Cabinet deliberations were made public, ministers could be criticized for publicly defending a policy inconsistent with their private views, which would risk distracting ministers and undermining p</w:t>
      </w:r>
      <w:r w:rsidR="008A3D1D">
        <w:rPr>
          <w:rFonts w:cs="Times New Roman"/>
        </w:rPr>
        <w:t>ublic confidence in government.</w:t>
      </w:r>
    </w:p>
    <w:p w14:paraId="2E8F3FE3" w14:textId="77777777" w:rsidR="0080188D" w:rsidRPr="00FF39DD" w:rsidRDefault="0080188D" w:rsidP="0080188D">
      <w:pPr>
        <w:pStyle w:val="ParaNoNdepar-AltN"/>
        <w:rPr>
          <w:rFonts w:cs="Times New Roman"/>
        </w:rPr>
      </w:pPr>
      <w:r w:rsidRPr="00FF39DD">
        <w:rPr>
          <w:rFonts w:cs="Times New Roman"/>
        </w:rPr>
        <w:t>Grounded in constitutional convention as much as in practical considerations, this confidentiality applies whether those deliberations take place in formal meetings of the Queen’s Privy Council for Canada,</w:t>
      </w:r>
      <w:r w:rsidRPr="008A3D1D">
        <w:rPr>
          <w:rStyle w:val="Hyperlink"/>
          <w:color w:val="auto"/>
          <w:u w:val="none"/>
          <w:vertAlign w:val="superscript"/>
        </w:rPr>
        <w:footnoteReference w:id="6"/>
      </w:r>
      <w:r w:rsidRPr="008A3D1D">
        <w:rPr>
          <w:rFonts w:cs="Times New Roman"/>
        </w:rPr>
        <w:t xml:space="preserve"> </w:t>
      </w:r>
      <w:r w:rsidRPr="00FF39DD">
        <w:rPr>
          <w:rFonts w:cs="Times New Roman"/>
        </w:rPr>
        <w:t xml:space="preserve">or a province or territory’s Executive Council, or in meetings of Cabinet or of committees composed of ministers, such as Treasury Board. The confidentiality extends not only to records of Cabinet deliberations, but also to documents that reflect on the content of those deliberations: </w:t>
      </w:r>
      <w:r w:rsidRPr="00FF39DD">
        <w:rPr>
          <w:rFonts w:cs="Times New Roman"/>
          <w:i/>
        </w:rPr>
        <w:t>Babcock</w:t>
      </w:r>
      <w:r w:rsidRPr="00FF39DD">
        <w:rPr>
          <w:rFonts w:cs="Times New Roman"/>
        </w:rPr>
        <w:t>, at para. 18.</w:t>
      </w:r>
    </w:p>
    <w:p w14:paraId="4892A7FA" w14:textId="4C429B8D" w:rsidR="0080188D" w:rsidRPr="00FF39DD" w:rsidRDefault="0080188D" w:rsidP="0080188D">
      <w:pPr>
        <w:pStyle w:val="ParaNoNdepar-AltN"/>
        <w:rPr>
          <w:rFonts w:cs="Times New Roman"/>
        </w:rPr>
      </w:pPr>
      <w:r w:rsidRPr="00FF39DD">
        <w:rPr>
          <w:rFonts w:cs="Times New Roman"/>
        </w:rPr>
        <w:t xml:space="preserve">The common law protects the confidentiality of Cabinet deliberations through the doctrine of public interest immunity: </w:t>
      </w:r>
      <w:r w:rsidRPr="00FF39DD">
        <w:rPr>
          <w:rFonts w:cs="Times New Roman"/>
          <w:i/>
        </w:rPr>
        <w:t>Babcock</w:t>
      </w:r>
      <w:r w:rsidRPr="00FF39DD">
        <w:rPr>
          <w:rFonts w:cs="Times New Roman"/>
        </w:rPr>
        <w:t xml:space="preserve">, at para. 60. Public interest immunity forms part of federal common law and the common law of each province and territory: see </w:t>
      </w:r>
      <w:r w:rsidRPr="00FF39DD">
        <w:rPr>
          <w:rFonts w:cs="Times New Roman"/>
          <w:i/>
        </w:rPr>
        <w:t>Babcock</w:t>
      </w:r>
      <w:r w:rsidRPr="00FF39DD">
        <w:rPr>
          <w:rFonts w:cs="Times New Roman"/>
        </w:rPr>
        <w:t xml:space="preserve">, at paras. 19, 23 and 26. As with any common law rule, Parliament or a legislature may limit or do away with public interest immunity, provided it clearly expresses its intention to do so: </w:t>
      </w:r>
      <w:r w:rsidRPr="00FF39DD">
        <w:rPr>
          <w:rFonts w:cs="Times New Roman"/>
          <w:i/>
        </w:rPr>
        <w:t>Commission des</w:t>
      </w:r>
      <w:r w:rsidR="009947E4">
        <w:rPr>
          <w:rFonts w:cs="Times New Roman"/>
          <w:i/>
        </w:rPr>
        <w:t xml:space="preserve"> droits de la personne</w:t>
      </w:r>
      <w:r w:rsidRPr="00FF39DD">
        <w:rPr>
          <w:rFonts w:cs="Times New Roman"/>
          <w:i/>
        </w:rPr>
        <w:t xml:space="preserve"> v. Attorney General of Canada</w:t>
      </w:r>
      <w:r w:rsidRPr="00FF39DD">
        <w:rPr>
          <w:rFonts w:cs="Times New Roman"/>
        </w:rPr>
        <w:t xml:space="preserve">, [1982] 1 S.C.R. 215, at p. 228; </w:t>
      </w:r>
      <w:r w:rsidRPr="00FF39DD">
        <w:rPr>
          <w:rFonts w:cs="Times New Roman"/>
          <w:i/>
        </w:rPr>
        <w:t>Babcock</w:t>
      </w:r>
      <w:r w:rsidRPr="00FF39DD">
        <w:rPr>
          <w:rFonts w:cs="Times New Roman"/>
        </w:rPr>
        <w:t xml:space="preserve">, at </w:t>
      </w:r>
      <w:r w:rsidRPr="00FF39DD">
        <w:rPr>
          <w:rFonts w:cs="Times New Roman"/>
        </w:rPr>
        <w:lastRenderedPageBreak/>
        <w:t xml:space="preserve">para. 20; see, more generally, </w:t>
      </w:r>
      <w:r w:rsidRPr="00FF39DD">
        <w:rPr>
          <w:rFonts w:cs="Times New Roman"/>
          <w:i/>
        </w:rPr>
        <w:t>R. v. D.L.W.</w:t>
      </w:r>
      <w:r w:rsidRPr="00FF39DD">
        <w:rPr>
          <w:rFonts w:cs="Times New Roman"/>
        </w:rPr>
        <w:t>, 2016 SCC 22, [2016] 1 S.C.R. 402, at para. 21.</w:t>
      </w:r>
      <w:r w:rsidRPr="00906570">
        <w:rPr>
          <w:rStyle w:val="Hyperlink"/>
          <w:color w:val="auto"/>
          <w:u w:val="none"/>
          <w:vertAlign w:val="superscript"/>
        </w:rPr>
        <w:footnoteReference w:id="7"/>
      </w:r>
    </w:p>
    <w:p w14:paraId="3D430AB8" w14:textId="72AA1EB4" w:rsidR="0080188D" w:rsidRPr="00FF39DD" w:rsidRDefault="0080188D" w:rsidP="0080188D">
      <w:pPr>
        <w:pStyle w:val="ParaNoNdepar-AltN"/>
        <w:rPr>
          <w:rFonts w:cs="Times New Roman"/>
        </w:rPr>
      </w:pPr>
      <w:r w:rsidRPr="00FF39DD">
        <w:rPr>
          <w:rFonts w:cs="Times New Roman"/>
        </w:rPr>
        <w:t>I</w:t>
      </w:r>
      <w:r w:rsidRPr="00FF39DD">
        <w:rPr>
          <w:rFonts w:cs="Times New Roman"/>
          <w:lang w:val="en-US"/>
        </w:rPr>
        <w:t>n</w:t>
      </w:r>
      <w:r w:rsidRPr="00FF39DD">
        <w:rPr>
          <w:rFonts w:cs="Times New Roman"/>
        </w:rPr>
        <w:t xml:space="preserve"> </w:t>
      </w:r>
      <w:r w:rsidRPr="00FF39DD">
        <w:rPr>
          <w:rFonts w:cs="Times New Roman"/>
          <w:i/>
        </w:rPr>
        <w:t>Smallwood v. Sparling</w:t>
      </w:r>
      <w:r w:rsidRPr="00FF39DD">
        <w:rPr>
          <w:rFonts w:cs="Times New Roman"/>
        </w:rPr>
        <w:t xml:space="preserve">, [1982] 2 S.C.R. 686, and in </w:t>
      </w:r>
      <w:r w:rsidRPr="00FF39DD">
        <w:rPr>
          <w:rFonts w:cs="Times New Roman"/>
          <w:i/>
        </w:rPr>
        <w:t>Carey</w:t>
      </w:r>
      <w:r w:rsidRPr="00FF39DD">
        <w:rPr>
          <w:rFonts w:cs="Times New Roman"/>
        </w:rPr>
        <w:t xml:space="preserve">, this Court rejected absolute Crown privilege and instead recognized a qualified public interest immunity. Public interest immunity prevents the disclosure of a document where the court is satisfied that the public interest in keeping the document confidential outweighs the public interest in its disclosure: see </w:t>
      </w:r>
      <w:r w:rsidRPr="00FF39DD">
        <w:rPr>
          <w:rFonts w:cs="Times New Roman"/>
          <w:i/>
        </w:rPr>
        <w:t>Carey</w:t>
      </w:r>
      <w:r w:rsidRPr="00FF39DD">
        <w:rPr>
          <w:rFonts w:cs="Times New Roman"/>
        </w:rPr>
        <w:t>, at pp. 653</w:t>
      </w:r>
      <w:r w:rsidRPr="00FF39DD">
        <w:rPr>
          <w:rFonts w:cs="Times New Roman"/>
        </w:rPr>
        <w:noBreakHyphen/>
        <w:t xml:space="preserve">54 and 670; </w:t>
      </w:r>
      <w:r w:rsidRPr="00FF39DD">
        <w:rPr>
          <w:rFonts w:cs="Times New Roman"/>
          <w:i/>
        </w:rPr>
        <w:t>Babcock</w:t>
      </w:r>
      <w:r w:rsidRPr="00FF39DD">
        <w:rPr>
          <w:rFonts w:cs="Times New Roman"/>
        </w:rPr>
        <w:t xml:space="preserve">, at para. 19; see also </w:t>
      </w:r>
      <w:r w:rsidRPr="00FF39DD">
        <w:rPr>
          <w:rFonts w:cs="Times New Roman"/>
          <w:i/>
          <w:lang w:val="en-US"/>
        </w:rPr>
        <w:t>Bisaillon v. Keable</w:t>
      </w:r>
      <w:r w:rsidRPr="00FF39DD">
        <w:rPr>
          <w:rFonts w:cs="Times New Roman"/>
          <w:lang w:val="en-US"/>
        </w:rPr>
        <w:t>, [1983] 2 S.C.R. 60, at p. 97.</w:t>
      </w:r>
      <w:r w:rsidRPr="00D81522">
        <w:rPr>
          <w:rStyle w:val="Hyperlink"/>
          <w:color w:val="auto"/>
          <w:u w:val="none"/>
          <w:vertAlign w:val="superscript"/>
        </w:rPr>
        <w:footnoteReference w:id="8"/>
      </w:r>
    </w:p>
    <w:p w14:paraId="4FFF1A12" w14:textId="77777777" w:rsidR="0080188D" w:rsidRPr="00FF39DD" w:rsidRDefault="0080188D" w:rsidP="0080188D">
      <w:pPr>
        <w:pStyle w:val="ParaNoNdepar-AltN"/>
        <w:rPr>
          <w:rFonts w:cs="Times New Roman"/>
        </w:rPr>
      </w:pPr>
      <w:r w:rsidRPr="00FF39DD">
        <w:rPr>
          <w:rFonts w:cs="Times New Roman"/>
        </w:rPr>
        <w:t xml:space="preserve">Although this Court rejected claims of absolute Crown privilege in </w:t>
      </w:r>
      <w:r w:rsidRPr="00FF39DD">
        <w:rPr>
          <w:rFonts w:cs="Times New Roman"/>
          <w:i/>
        </w:rPr>
        <w:t xml:space="preserve">Smallwood </w:t>
      </w:r>
      <w:r w:rsidRPr="00FF39DD">
        <w:rPr>
          <w:rFonts w:cs="Times New Roman"/>
        </w:rPr>
        <w:t xml:space="preserve">and </w:t>
      </w:r>
      <w:r w:rsidRPr="00FF39DD">
        <w:rPr>
          <w:rFonts w:cs="Times New Roman"/>
          <w:i/>
        </w:rPr>
        <w:t>Carey</w:t>
      </w:r>
      <w:r w:rsidRPr="00FF39DD">
        <w:rPr>
          <w:rFonts w:cs="Times New Roman"/>
        </w:rPr>
        <w:t xml:space="preserve">, it did not “accord the individual an automatic right to discovery of sensitive and confidential documents held by the state”: </w:t>
      </w:r>
      <w:r w:rsidRPr="00FF39DD">
        <w:rPr>
          <w:rFonts w:cs="Times New Roman"/>
          <w:i/>
        </w:rPr>
        <w:t>Michaud v. Quebec (Attorney General)</w:t>
      </w:r>
      <w:r w:rsidRPr="00FF39DD">
        <w:rPr>
          <w:rFonts w:cs="Times New Roman"/>
        </w:rPr>
        <w:t xml:space="preserve">, [1996] 3 S.C.R. 3, at para. 54. </w:t>
      </w:r>
      <w:r w:rsidRPr="00FF39DD">
        <w:rPr>
          <w:rFonts w:cs="Times New Roman"/>
          <w:i/>
        </w:rPr>
        <w:t xml:space="preserve">Smallwood </w:t>
      </w:r>
      <w:r w:rsidRPr="00FF39DD">
        <w:rPr>
          <w:rFonts w:cs="Times New Roman"/>
        </w:rPr>
        <w:t xml:space="preserve">and </w:t>
      </w:r>
      <w:r w:rsidRPr="00FF39DD">
        <w:rPr>
          <w:rFonts w:cs="Times New Roman"/>
          <w:i/>
        </w:rPr>
        <w:t>Carey</w:t>
      </w:r>
      <w:r w:rsidRPr="00FF39DD">
        <w:rPr>
          <w:rFonts w:cs="Times New Roman"/>
        </w:rPr>
        <w:t xml:space="preserve"> thus require a careful balancing of the competing public interests in confidentiality and disclosure: see </w:t>
      </w:r>
      <w:r w:rsidRPr="00FF39DD">
        <w:rPr>
          <w:rFonts w:cs="Times New Roman"/>
          <w:i/>
        </w:rPr>
        <w:t>Babcock</w:t>
      </w:r>
      <w:r w:rsidRPr="00FF39DD">
        <w:rPr>
          <w:rFonts w:cs="Times New Roman"/>
        </w:rPr>
        <w:t xml:space="preserve">, at para. 19; </w:t>
      </w:r>
      <w:r w:rsidRPr="00FF39DD">
        <w:rPr>
          <w:rFonts w:cs="Times New Roman"/>
          <w:i/>
        </w:rPr>
        <w:t>R. v. Barros</w:t>
      </w:r>
      <w:r w:rsidRPr="00FF39DD">
        <w:rPr>
          <w:rFonts w:cs="Times New Roman"/>
        </w:rPr>
        <w:t xml:space="preserve">, 2011 SCC 51, [2011] 3 S.C.R. 368, at para. 35. </w:t>
      </w:r>
      <w:r w:rsidRPr="00FF39DD">
        <w:rPr>
          <w:rFonts w:cs="Times New Roman"/>
        </w:rPr>
        <w:lastRenderedPageBreak/>
        <w:t>These competing public interests must be weighed with reference to a specific document in the context of a particular proceeding.</w:t>
      </w:r>
    </w:p>
    <w:p w14:paraId="08980D98" w14:textId="6936FD50" w:rsidR="0080188D" w:rsidRPr="00FF39DD" w:rsidRDefault="0080188D" w:rsidP="0080188D">
      <w:pPr>
        <w:pStyle w:val="ParaNoNdepar-AltN"/>
        <w:rPr>
          <w:rFonts w:cs="Times New Roman"/>
        </w:rPr>
      </w:pPr>
      <w:r w:rsidRPr="00FF39DD">
        <w:rPr>
          <w:rFonts w:cs="Times New Roman"/>
        </w:rPr>
        <w:t xml:space="preserve">In </w:t>
      </w:r>
      <w:r w:rsidRPr="00FF39DD">
        <w:rPr>
          <w:rFonts w:cs="Times New Roman"/>
          <w:i/>
        </w:rPr>
        <w:t>Carey</w:t>
      </w:r>
      <w:r w:rsidRPr="00FF39DD">
        <w:rPr>
          <w:rFonts w:cs="Times New Roman"/>
        </w:rPr>
        <w:t>, at pp. 670</w:t>
      </w:r>
      <w:r w:rsidRPr="00FF39DD">
        <w:rPr>
          <w:rFonts w:cs="Times New Roman"/>
        </w:rPr>
        <w:noBreakHyphen/>
        <w:t xml:space="preserve">73, this Court described the main factors relevant to balancing the public interests in confidentiality and disclosure of documents concerning public decision making, </w:t>
      </w:r>
      <w:r w:rsidR="00D81522">
        <w:rPr>
          <w:rFonts w:cs="Times New Roman"/>
        </w:rPr>
        <w:t>including at the Cabinet level:</w:t>
      </w:r>
    </w:p>
    <w:p w14:paraId="4C4E26A8" w14:textId="77777777" w:rsidR="0080188D" w:rsidRPr="00FF39DD" w:rsidRDefault="0080188D" w:rsidP="0005778C">
      <w:pPr>
        <w:pStyle w:val="ParaNoNdepar-AltN"/>
        <w:numPr>
          <w:ilvl w:val="3"/>
          <w:numId w:val="6"/>
        </w:numPr>
        <w:spacing w:before="0" w:line="240" w:lineRule="auto"/>
        <w:ind w:left="540" w:hanging="540"/>
        <w:rPr>
          <w:rFonts w:cs="Times New Roman"/>
        </w:rPr>
      </w:pPr>
      <w:r w:rsidRPr="00FF39DD">
        <w:rPr>
          <w:rFonts w:cs="Times New Roman"/>
        </w:rPr>
        <w:t>the level of the “decision</w:t>
      </w:r>
      <w:r w:rsidRPr="00FF39DD">
        <w:rPr>
          <w:rFonts w:cs="Times New Roman"/>
        </w:rPr>
        <w:noBreakHyphen/>
        <w:t>making process”;</w:t>
      </w:r>
    </w:p>
    <w:p w14:paraId="6D2DDBD6" w14:textId="77777777" w:rsidR="0080188D" w:rsidRPr="00FF39DD" w:rsidRDefault="0080188D" w:rsidP="0005778C">
      <w:pPr>
        <w:pStyle w:val="ParaNoNdepar-AltN"/>
        <w:numPr>
          <w:ilvl w:val="3"/>
          <w:numId w:val="6"/>
        </w:numPr>
        <w:tabs>
          <w:tab w:val="left" w:pos="1166"/>
        </w:tabs>
        <w:spacing w:before="0" w:line="240" w:lineRule="auto"/>
        <w:ind w:left="540" w:hanging="540"/>
        <w:rPr>
          <w:rFonts w:cs="Times New Roman"/>
        </w:rPr>
      </w:pPr>
      <w:r w:rsidRPr="00FF39DD">
        <w:rPr>
          <w:rFonts w:cs="Times New Roman"/>
        </w:rPr>
        <w:t>the “nature of the policy concerned”;</w:t>
      </w:r>
    </w:p>
    <w:p w14:paraId="135794A9" w14:textId="77777777" w:rsidR="0080188D" w:rsidRPr="00FF39DD" w:rsidRDefault="0080188D" w:rsidP="0005778C">
      <w:pPr>
        <w:pStyle w:val="ParaNoNdepar-AltN"/>
        <w:numPr>
          <w:ilvl w:val="3"/>
          <w:numId w:val="6"/>
        </w:numPr>
        <w:spacing w:before="0" w:line="240" w:lineRule="auto"/>
        <w:ind w:left="540" w:hanging="540"/>
        <w:rPr>
          <w:rFonts w:cs="Times New Roman"/>
        </w:rPr>
      </w:pPr>
      <w:r w:rsidRPr="00FF39DD">
        <w:rPr>
          <w:rFonts w:cs="Times New Roman"/>
        </w:rPr>
        <w:t>the “particular contents of the documents”;</w:t>
      </w:r>
    </w:p>
    <w:p w14:paraId="21EECADF" w14:textId="77777777" w:rsidR="0080188D" w:rsidRPr="00FF39DD" w:rsidRDefault="0080188D" w:rsidP="00E44099">
      <w:pPr>
        <w:pStyle w:val="ParaNoNdepar-AltN"/>
        <w:numPr>
          <w:ilvl w:val="3"/>
          <w:numId w:val="6"/>
        </w:numPr>
        <w:spacing w:before="0" w:line="240" w:lineRule="auto"/>
        <w:ind w:left="540" w:hanging="540"/>
        <w:rPr>
          <w:rFonts w:cs="Times New Roman"/>
        </w:rPr>
      </w:pPr>
      <w:r w:rsidRPr="00FF39DD">
        <w:rPr>
          <w:rFonts w:cs="Times New Roman"/>
        </w:rPr>
        <w:t>the timing of disclosure;</w:t>
      </w:r>
    </w:p>
    <w:p w14:paraId="60E99EAF" w14:textId="77777777" w:rsidR="0080188D" w:rsidRPr="00FF39DD" w:rsidRDefault="0080188D" w:rsidP="00E44099">
      <w:pPr>
        <w:pStyle w:val="ParaNoNdepar-AltN"/>
        <w:numPr>
          <w:ilvl w:val="3"/>
          <w:numId w:val="6"/>
        </w:numPr>
        <w:spacing w:before="0" w:line="240" w:lineRule="auto"/>
        <w:ind w:left="540" w:hanging="540"/>
        <w:rPr>
          <w:rFonts w:cs="Times New Roman"/>
        </w:rPr>
      </w:pPr>
      <w:r w:rsidRPr="00FF39DD">
        <w:rPr>
          <w:rFonts w:cs="Times New Roman"/>
        </w:rPr>
        <w:t>the “importance of producing the documents in the interests of the administration of justice”; and</w:t>
      </w:r>
    </w:p>
    <w:p w14:paraId="7D7978F6" w14:textId="77777777" w:rsidR="0080188D" w:rsidRPr="00FF39DD" w:rsidRDefault="0080188D" w:rsidP="0012698F">
      <w:pPr>
        <w:pStyle w:val="ParaNoNdepar-AltN"/>
        <w:numPr>
          <w:ilvl w:val="3"/>
          <w:numId w:val="6"/>
        </w:numPr>
        <w:spacing w:before="0" w:after="720" w:line="240" w:lineRule="auto"/>
        <w:ind w:left="540" w:hanging="540"/>
        <w:rPr>
          <w:rFonts w:cs="Times New Roman"/>
        </w:rPr>
      </w:pPr>
      <w:r w:rsidRPr="00FF39DD">
        <w:rPr>
          <w:rFonts w:cs="Times New Roman"/>
        </w:rPr>
        <w:t>whether the party seeking the production of the documents “alleges unconscionable behaviour on the part of the government”.</w:t>
      </w:r>
    </w:p>
    <w:p w14:paraId="382269F5" w14:textId="1C01AAF3" w:rsidR="0080188D" w:rsidRPr="00FF39DD" w:rsidRDefault="0080188D" w:rsidP="0080188D">
      <w:pPr>
        <w:pStyle w:val="ParaNoNdepar-AltN"/>
        <w:rPr>
          <w:rFonts w:cs="Times New Roman"/>
        </w:rPr>
      </w:pPr>
      <w:r w:rsidRPr="00FF39DD">
        <w:rPr>
          <w:rFonts w:cs="Times New Roman"/>
        </w:rPr>
        <w:t xml:space="preserve">Although public interest immunity may be raised by any party or by the reviewing court itself, the government has the burden of establishing that a document should not be disclosed because of public interest immunity: </w:t>
      </w:r>
      <w:r w:rsidRPr="00FF39DD">
        <w:rPr>
          <w:rFonts w:cs="Times New Roman"/>
          <w:i/>
        </w:rPr>
        <w:t>Carey</w:t>
      </w:r>
      <w:r w:rsidRPr="00FF39DD">
        <w:rPr>
          <w:rFonts w:cs="Times New Roman"/>
        </w:rPr>
        <w:t>, at pp. 653 and 678. The government should put in a detailed affidavit to support its claim of public</w:t>
      </w:r>
      <w:r w:rsidR="00B613D0">
        <w:rPr>
          <w:rFonts w:cs="Times New Roman"/>
        </w:rPr>
        <w:t xml:space="preserve"> interest immunity: pp. 653</w:t>
      </w:r>
      <w:r w:rsidR="00B613D0">
        <w:rPr>
          <w:rFonts w:cs="Times New Roman"/>
        </w:rPr>
        <w:noBreakHyphen/>
        <w:t>54.</w:t>
      </w:r>
    </w:p>
    <w:p w14:paraId="1B47A7C2" w14:textId="77777777" w:rsidR="0080188D" w:rsidRPr="00FF39DD" w:rsidRDefault="0080188D" w:rsidP="0080188D">
      <w:pPr>
        <w:pStyle w:val="ParaNoNdepar-AltN"/>
        <w:rPr>
          <w:rFonts w:cs="Times New Roman"/>
        </w:rPr>
      </w:pPr>
      <w:r w:rsidRPr="00FF39DD">
        <w:rPr>
          <w:rFonts w:cs="Times New Roman"/>
        </w:rPr>
        <w:lastRenderedPageBreak/>
        <w:t xml:space="preserve">As a general rule, when it is clear to the reviewing court, based on a government’s submissions, that public interest immunity applies to a document, it need not inspect the document: </w:t>
      </w:r>
      <w:r w:rsidRPr="00FF39DD">
        <w:rPr>
          <w:rFonts w:cs="Times New Roman"/>
          <w:i/>
        </w:rPr>
        <w:t>Carey</w:t>
      </w:r>
      <w:r w:rsidRPr="00FF39DD">
        <w:rPr>
          <w:rFonts w:cs="Times New Roman"/>
        </w:rPr>
        <w:t>, at pp. 671 and 681. If, however, the court has doubts about whether public interest immunity applies, the court should inspect the document in private to resolve its doubts: pp. 674 and 681</w:t>
      </w:r>
      <w:r w:rsidRPr="00FF39DD">
        <w:rPr>
          <w:rFonts w:cs="Times New Roman"/>
          <w:lang w:val="en-US"/>
        </w:rPr>
        <w:t xml:space="preserve">; see also </w:t>
      </w:r>
      <w:r w:rsidRPr="00FF39DD">
        <w:rPr>
          <w:rFonts w:cs="Times New Roman"/>
          <w:i/>
          <w:lang w:val="en-US"/>
        </w:rPr>
        <w:t>Somerville v. Scottish Ministers</w:t>
      </w:r>
      <w:r w:rsidRPr="00FF39DD">
        <w:rPr>
          <w:rFonts w:cs="Times New Roman"/>
          <w:lang w:val="en-US"/>
        </w:rPr>
        <w:t xml:space="preserve">, [2007] UKHL 44, [2007] 1 W.L.R. 2734, at paras. 156 and 204; </w:t>
      </w:r>
      <w:r w:rsidRPr="00FF39DD">
        <w:rPr>
          <w:rFonts w:cs="Times New Roman"/>
          <w:i/>
          <w:lang w:val="en-US"/>
        </w:rPr>
        <w:t>Al Rawi v. Security Service</w:t>
      </w:r>
      <w:r w:rsidRPr="00FF39DD">
        <w:rPr>
          <w:rFonts w:cs="Times New Roman"/>
          <w:lang w:val="en-US"/>
        </w:rPr>
        <w:t>, [2011] UKSC 34, [2012] 1 A.C. 531, at para. 145</w:t>
      </w:r>
      <w:r w:rsidRPr="00FF39DD">
        <w:rPr>
          <w:rFonts w:cs="Times New Roman"/>
        </w:rPr>
        <w:t xml:space="preserve">. Indeed, even if the court is persuaded that public interest immunity does not apply, the court should nevertheless inspect the document in private to ensure that it does not inadvertently order the disclosure of a document which should in fact remain confidential: see </w:t>
      </w:r>
      <w:r w:rsidRPr="00FF39DD">
        <w:rPr>
          <w:rFonts w:cs="Times New Roman"/>
          <w:i/>
        </w:rPr>
        <w:t>Conway v. Rimmer</w:t>
      </w:r>
      <w:r w:rsidRPr="00FF39DD">
        <w:rPr>
          <w:rFonts w:cs="Times New Roman"/>
        </w:rPr>
        <w:t>, [1968] A.C. 910 (H.L.), at p. 971. If, having inspected the document, the court concludes that the contents, or any part of the contents, are not protected by public interest immunity, the court can order production accordingly.</w:t>
      </w:r>
    </w:p>
    <w:p w14:paraId="26FB8975" w14:textId="551135EC" w:rsidR="0080188D" w:rsidRPr="00FF39DD" w:rsidRDefault="0080188D" w:rsidP="0080188D">
      <w:pPr>
        <w:pStyle w:val="Title3LevelTitre3Niveau"/>
        <w:rPr>
          <w:rFonts w:cs="Times New Roman"/>
        </w:rPr>
      </w:pPr>
      <w:r w:rsidRPr="00FF39DD">
        <w:rPr>
          <w:rFonts w:cs="Times New Roman"/>
        </w:rPr>
        <w:t xml:space="preserve">Public Interest Immunity in the Context of </w:t>
      </w:r>
      <w:r w:rsidRPr="00FF39DD">
        <w:rPr>
          <w:rFonts w:cs="Times New Roman"/>
          <w:i/>
        </w:rPr>
        <w:t xml:space="preserve">Bodner </w:t>
      </w:r>
      <w:r w:rsidR="00B613D0">
        <w:rPr>
          <w:rFonts w:cs="Times New Roman"/>
        </w:rPr>
        <w:t>Review</w:t>
      </w:r>
    </w:p>
    <w:p w14:paraId="1AD50807" w14:textId="2D40B367" w:rsidR="0080188D" w:rsidRPr="00FF39DD" w:rsidRDefault="0080188D" w:rsidP="0080188D">
      <w:pPr>
        <w:pStyle w:val="ParaNoNdepar-AltN"/>
        <w:rPr>
          <w:rFonts w:cs="Times New Roman"/>
        </w:rPr>
      </w:pPr>
      <w:r w:rsidRPr="00FF39DD">
        <w:rPr>
          <w:rFonts w:cs="Times New Roman"/>
        </w:rPr>
        <w:t xml:space="preserve">As noted in </w:t>
      </w:r>
      <w:r w:rsidRPr="00FF39DD">
        <w:rPr>
          <w:rFonts w:cs="Times New Roman"/>
          <w:i/>
        </w:rPr>
        <w:t>Carey</w:t>
      </w:r>
      <w:r w:rsidRPr="00FF39DD">
        <w:rPr>
          <w:rFonts w:cs="Times New Roman"/>
        </w:rPr>
        <w:t xml:space="preserve">, the determination of public interest immunity often requires the reviewing court to examine the document in question. Since in the </w:t>
      </w:r>
      <w:r w:rsidRPr="00FF39DD">
        <w:rPr>
          <w:rFonts w:cs="Times New Roman"/>
          <w:i/>
        </w:rPr>
        <w:t>Bodner</w:t>
      </w:r>
      <w:r w:rsidRPr="00FF39DD">
        <w:rPr>
          <w:rFonts w:cs="Times New Roman"/>
        </w:rPr>
        <w:t xml:space="preserve"> context the court will generally have examined the document to determine whether it should otherwise be part of the record, the document will usual</w:t>
      </w:r>
      <w:r w:rsidR="00B613D0">
        <w:rPr>
          <w:rFonts w:cs="Times New Roman"/>
        </w:rPr>
        <w:t>ly already be before the court.</w:t>
      </w:r>
    </w:p>
    <w:p w14:paraId="79A1A2B2" w14:textId="7FB3CAD1" w:rsidR="0080188D" w:rsidRPr="00FF39DD" w:rsidRDefault="0080188D" w:rsidP="0080188D">
      <w:pPr>
        <w:pStyle w:val="ParaNoNdepar-AltN"/>
        <w:rPr>
          <w:rFonts w:cs="Times New Roman"/>
        </w:rPr>
      </w:pPr>
      <w:r w:rsidRPr="00FF39DD">
        <w:rPr>
          <w:rFonts w:cs="Times New Roman"/>
        </w:rPr>
        <w:t xml:space="preserve">Accordingly, the court must, looking to the factors identified in </w:t>
      </w:r>
      <w:r w:rsidRPr="00FF39DD">
        <w:rPr>
          <w:rFonts w:cs="Times New Roman"/>
          <w:i/>
        </w:rPr>
        <w:t>Carey</w:t>
      </w:r>
      <w:r w:rsidRPr="00FF39DD">
        <w:rPr>
          <w:rFonts w:cs="Times New Roman"/>
        </w:rPr>
        <w:t xml:space="preserve"> and any other pertinent factors, determine whether the public interest in the Cabinet </w:t>
      </w:r>
      <w:r w:rsidRPr="00FF39DD">
        <w:rPr>
          <w:rFonts w:cs="Times New Roman"/>
        </w:rPr>
        <w:lastRenderedPageBreak/>
        <w:t xml:space="preserve">document’s disclosure outweighs the public interest in its remaining confidential. In such a context, at least three </w:t>
      </w:r>
      <w:r w:rsidRPr="00FF39DD">
        <w:rPr>
          <w:rFonts w:cs="Times New Roman"/>
          <w:i/>
        </w:rPr>
        <w:t xml:space="preserve">Carey </w:t>
      </w:r>
      <w:r w:rsidRPr="00FF39DD">
        <w:rPr>
          <w:rFonts w:cs="Times New Roman"/>
        </w:rPr>
        <w:t>factors — the level of decision</w:t>
      </w:r>
      <w:r w:rsidRPr="00FF39DD">
        <w:rPr>
          <w:rFonts w:cs="Times New Roman"/>
        </w:rPr>
        <w:noBreakHyphen/>
        <w:t>making process to which the document relates, the nature of the policy on which the document bears and the contents of the document — will often weigh in favour of kee</w:t>
      </w:r>
      <w:r w:rsidR="00B613D0">
        <w:rPr>
          <w:rFonts w:cs="Times New Roman"/>
        </w:rPr>
        <w:t>ping the document confidential.</w:t>
      </w:r>
    </w:p>
    <w:p w14:paraId="48EB82AC" w14:textId="4646D4DA" w:rsidR="0080188D" w:rsidRPr="00FF39DD" w:rsidRDefault="0080188D" w:rsidP="0080188D">
      <w:pPr>
        <w:pStyle w:val="ParaNoNdepar-AltN"/>
        <w:rPr>
          <w:rFonts w:cs="Times New Roman"/>
        </w:rPr>
      </w:pPr>
      <w:r w:rsidRPr="00FF39DD">
        <w:rPr>
          <w:rFonts w:cs="Times New Roman"/>
        </w:rPr>
        <w:t>Aside from decisions made by the Queen or her representatives, the Cabinet decision</w:t>
      </w:r>
      <w:r w:rsidRPr="00FF39DD">
        <w:rPr>
          <w:rFonts w:cs="Times New Roman"/>
        </w:rPr>
        <w:noBreakHyphen/>
        <w:t xml:space="preserve">making process is the highest level of decision making within the executive: see </w:t>
      </w:r>
      <w:r w:rsidRPr="00FF39DD">
        <w:rPr>
          <w:rFonts w:cs="Times New Roman"/>
          <w:i/>
        </w:rPr>
        <w:t>Carey</w:t>
      </w:r>
      <w:r w:rsidRPr="00FF39DD">
        <w:rPr>
          <w:rFonts w:cs="Times New Roman"/>
        </w:rPr>
        <w:t xml:space="preserve">, at p. 670; </w:t>
      </w:r>
      <w:r w:rsidRPr="00FF39DD">
        <w:rPr>
          <w:rFonts w:cs="Times New Roman"/>
          <w:i/>
        </w:rPr>
        <w:t>Reference re Canada Assistance Plan (B.C.)</w:t>
      </w:r>
      <w:r w:rsidRPr="00FF39DD">
        <w:rPr>
          <w:rFonts w:cs="Times New Roman"/>
          <w:lang w:val="en-US"/>
        </w:rPr>
        <w:t>, at pp. 546</w:t>
      </w:r>
      <w:r w:rsidRPr="00FF39DD">
        <w:rPr>
          <w:rFonts w:cs="Times New Roman"/>
          <w:lang w:val="en-US"/>
        </w:rPr>
        <w:noBreakHyphen/>
        <w:t>47</w:t>
      </w:r>
      <w:r w:rsidR="00B613D0">
        <w:rPr>
          <w:rFonts w:cs="Times New Roman"/>
        </w:rPr>
        <w:t>.</w:t>
      </w:r>
    </w:p>
    <w:p w14:paraId="0E00CBA4" w14:textId="2DACCF56" w:rsidR="0080188D" w:rsidRPr="00FF39DD" w:rsidRDefault="0080188D" w:rsidP="0080188D">
      <w:pPr>
        <w:pStyle w:val="ParaNoNdepar-AltN"/>
        <w:rPr>
          <w:rFonts w:cs="Times New Roman"/>
        </w:rPr>
      </w:pPr>
      <w:r w:rsidRPr="00FF39DD">
        <w:rPr>
          <w:rFonts w:cs="Times New Roman"/>
        </w:rPr>
        <w:t>As the British Columbia courts acknowledged in the present case, judicial remuneration is an important and sensitive area of public policy, implicating not only the use of public money, but also the administration of justice and ultimately, judicial independence. The British Columbia courts did not find this to be a factor weighing in favour of continued confidentiality: B</w:t>
      </w:r>
      <w:r w:rsidR="00B613D0">
        <w:rPr>
          <w:rFonts w:cs="Times New Roman"/>
        </w:rPr>
        <w:t>.</w:t>
      </w:r>
      <w:r w:rsidRPr="00FF39DD">
        <w:rPr>
          <w:rFonts w:cs="Times New Roman"/>
        </w:rPr>
        <w:t>C</w:t>
      </w:r>
      <w:r w:rsidR="00B613D0">
        <w:rPr>
          <w:rFonts w:cs="Times New Roman"/>
        </w:rPr>
        <w:t>.</w:t>
      </w:r>
      <w:r w:rsidRPr="00FF39DD">
        <w:rPr>
          <w:rFonts w:cs="Times New Roman"/>
        </w:rPr>
        <w:t>S</w:t>
      </w:r>
      <w:r w:rsidR="00B613D0">
        <w:rPr>
          <w:rFonts w:cs="Times New Roman"/>
        </w:rPr>
        <w:t>.</w:t>
      </w:r>
      <w:r w:rsidRPr="00FF39DD">
        <w:rPr>
          <w:rFonts w:cs="Times New Roman"/>
        </w:rPr>
        <w:t>C</w:t>
      </w:r>
      <w:r w:rsidR="00B613D0">
        <w:rPr>
          <w:rFonts w:cs="Times New Roman"/>
        </w:rPr>
        <w:t>.</w:t>
      </w:r>
      <w:r w:rsidRPr="00FF39DD">
        <w:rPr>
          <w:rFonts w:cs="Times New Roman"/>
        </w:rPr>
        <w:t xml:space="preserve"> </w:t>
      </w:r>
      <w:r w:rsidR="006046D5">
        <w:rPr>
          <w:rFonts w:cs="Times New Roman"/>
        </w:rPr>
        <w:t>r</w:t>
      </w:r>
      <w:r w:rsidRPr="00FF39DD">
        <w:rPr>
          <w:rFonts w:cs="Times New Roman"/>
        </w:rPr>
        <w:t>easons, at para. 42; C.A.</w:t>
      </w:r>
      <w:r w:rsidR="006046D5">
        <w:rPr>
          <w:rFonts w:cs="Times New Roman"/>
        </w:rPr>
        <w:t xml:space="preserve"> r</w:t>
      </w:r>
      <w:r w:rsidRPr="00FF39DD">
        <w:rPr>
          <w:rFonts w:cs="Times New Roman"/>
        </w:rPr>
        <w:t xml:space="preserve">easons, at para. 22; for similar statements by the Nova Scotia courts in the proceedings that gave rise to the companion appeal, see also </w:t>
      </w:r>
      <w:r w:rsidRPr="00FF39DD">
        <w:rPr>
          <w:rFonts w:cs="Times New Roman"/>
          <w:i/>
        </w:rPr>
        <w:t>Nova Scotia Provincial Judges’ Association v. Nova Scotia (Attorney General)</w:t>
      </w:r>
      <w:r w:rsidRPr="00FF39DD">
        <w:rPr>
          <w:rFonts w:cs="Times New Roman"/>
        </w:rPr>
        <w:t xml:space="preserve">, 2018 NSSC 13, 409 C.R.R. (2d) 117, at para. 144; </w:t>
      </w:r>
      <w:r w:rsidRPr="00FF39DD">
        <w:rPr>
          <w:rFonts w:cs="Times New Roman"/>
          <w:i/>
        </w:rPr>
        <w:t>Nova Scotia (Attorney General) v. Judges of the Provincial Court and Family Court of Nova Scotia</w:t>
      </w:r>
      <w:r w:rsidRPr="00FF39DD">
        <w:rPr>
          <w:rFonts w:cs="Times New Roman"/>
        </w:rPr>
        <w:t>, 2018 NSCA 83, 429 D.L.R. (4th) 359, at paras. 44</w:t>
      </w:r>
      <w:r w:rsidRPr="00FF39DD">
        <w:rPr>
          <w:rFonts w:cs="Times New Roman"/>
        </w:rPr>
        <w:noBreakHyphen/>
        <w:t xml:space="preserve">46. I cannot agree with such an approach. As this Court explained in </w:t>
      </w:r>
      <w:r w:rsidRPr="00FF39DD">
        <w:rPr>
          <w:rFonts w:cs="Times New Roman"/>
          <w:i/>
        </w:rPr>
        <w:t>Carey</w:t>
      </w:r>
      <w:r w:rsidRPr="00FF39DD">
        <w:rPr>
          <w:rFonts w:cs="Times New Roman"/>
        </w:rPr>
        <w:t>, at pp. 671</w:t>
      </w:r>
      <w:r w:rsidRPr="00FF39DD">
        <w:rPr>
          <w:rFonts w:cs="Times New Roman"/>
        </w:rPr>
        <w:noBreakHyphen/>
        <w:t xml:space="preserve">72, the nature of the policy on which the document bears may weigh in favour of continued confidentiality </w:t>
      </w:r>
      <w:r w:rsidRPr="00FF39DD">
        <w:rPr>
          <w:rFonts w:cs="Times New Roman"/>
        </w:rPr>
        <w:lastRenderedPageBreak/>
        <w:t xml:space="preserve">to varying degrees depending on its sensitivity and significance. A government’s decision about how to respond to a judicial compensation commission’s recommendations concerns not merely a matter of implementation, but involves the “formulation of policy on a broad basis”: see </w:t>
      </w:r>
      <w:r w:rsidRPr="00FF39DD">
        <w:rPr>
          <w:rFonts w:cs="Times New Roman"/>
          <w:i/>
        </w:rPr>
        <w:t>Carey</w:t>
      </w:r>
      <w:r w:rsidRPr="00FF39DD">
        <w:rPr>
          <w:rFonts w:cs="Times New Roman"/>
        </w:rPr>
        <w:t>, at p. 672; see also</w:t>
      </w:r>
      <w:r w:rsidRPr="00FF39DD">
        <w:rPr>
          <w:rFonts w:cs="Times New Roman"/>
          <w:i/>
        </w:rPr>
        <w:t xml:space="preserve"> Newfoundland (Treasury Board) v. N.A.P.E.</w:t>
      </w:r>
      <w:r w:rsidRPr="00FF39DD">
        <w:rPr>
          <w:rFonts w:cs="Times New Roman"/>
        </w:rPr>
        <w:t xml:space="preserve">, 2004 SCC 66, [2004] 3 S.C.R. 381, at para. 58. That said, as I explain below, when the policy concerns a constitutional requirement relating to the justice system, and, thus, the administration of justice, as is the case in the </w:t>
      </w:r>
      <w:r w:rsidRPr="00FF39DD">
        <w:rPr>
          <w:rFonts w:cs="Times New Roman"/>
          <w:i/>
        </w:rPr>
        <w:t xml:space="preserve">Bodner </w:t>
      </w:r>
      <w:r w:rsidRPr="00FF39DD">
        <w:rPr>
          <w:rFonts w:cs="Times New Roman"/>
        </w:rPr>
        <w:t xml:space="preserve">context, this may </w:t>
      </w:r>
      <w:r w:rsidRPr="00FF39DD">
        <w:rPr>
          <w:rFonts w:cs="Times New Roman"/>
          <w:i/>
        </w:rPr>
        <w:t>also</w:t>
      </w:r>
      <w:r w:rsidRPr="00FF39DD">
        <w:rPr>
          <w:rFonts w:cs="Times New Roman"/>
        </w:rPr>
        <w:t xml:space="preserve"> weigh in favour of disclosure.</w:t>
      </w:r>
    </w:p>
    <w:p w14:paraId="4F910D2C" w14:textId="21F2820B" w:rsidR="0080188D" w:rsidRPr="00FF39DD" w:rsidRDefault="0080188D" w:rsidP="0080188D">
      <w:pPr>
        <w:pStyle w:val="ParaNoNdepar-AltN"/>
        <w:rPr>
          <w:rFonts w:cs="Times New Roman"/>
        </w:rPr>
      </w:pPr>
      <w:r w:rsidRPr="00FF39DD">
        <w:rPr>
          <w:rFonts w:cs="Times New Roman"/>
        </w:rPr>
        <w:t xml:space="preserve">The contents of a document concerning Cabinet deliberations may well reflect the views of individual ministers of the Crown and reveal disagreement among ministers. Cabinet documents may also reveal considerations that were put before Cabinet. As a result, their contents will frequently be highly sensitive: see </w:t>
      </w:r>
      <w:r w:rsidRPr="00FF39DD">
        <w:rPr>
          <w:rFonts w:cs="Times New Roman"/>
          <w:i/>
        </w:rPr>
        <w:t>Babcock</w:t>
      </w:r>
      <w:r w:rsidR="00B613D0">
        <w:rPr>
          <w:rFonts w:cs="Times New Roman"/>
        </w:rPr>
        <w:t>, at para. 18.</w:t>
      </w:r>
    </w:p>
    <w:p w14:paraId="0AB32C7A" w14:textId="41E463FF" w:rsidR="0080188D" w:rsidRPr="00FF39DD" w:rsidRDefault="0080188D" w:rsidP="0080188D">
      <w:pPr>
        <w:pStyle w:val="ParaNoNdepar-AltN"/>
        <w:rPr>
          <w:rFonts w:cs="Times New Roman"/>
        </w:rPr>
      </w:pPr>
      <w:r w:rsidRPr="00FF39DD">
        <w:rPr>
          <w:rFonts w:cs="Times New Roman"/>
        </w:rPr>
        <w:t xml:space="preserve">Depending on the contents of the document, the timing may also weigh in favour of keeping the document confidential. A document that simply reveals that Cabinet made a decision to reject a recommendation made by a judicial compensation commission will bear little confidentiality once that decision is publicly announced. By contrast, ministers can rightly expect that a document that weighs several different possible responses to the commission’s recommendations and proposes a particular response will remain confidential for some prolonged time even after the </w:t>
      </w:r>
      <w:r w:rsidR="00B613D0">
        <w:rPr>
          <w:rFonts w:cs="Times New Roman"/>
        </w:rPr>
        <w:t>decision is publicly announced.</w:t>
      </w:r>
    </w:p>
    <w:p w14:paraId="16BDEF7B" w14:textId="0EAD6202" w:rsidR="0080188D" w:rsidRPr="00FF39DD" w:rsidRDefault="0080188D" w:rsidP="0080188D">
      <w:pPr>
        <w:pStyle w:val="ParaNoNdepar-AltN"/>
        <w:rPr>
          <w:rFonts w:cs="Times New Roman"/>
        </w:rPr>
      </w:pPr>
      <w:r w:rsidRPr="00FF39DD">
        <w:rPr>
          <w:rFonts w:cs="Times New Roman"/>
        </w:rPr>
        <w:lastRenderedPageBreak/>
        <w:t xml:space="preserve">In this case, the British Columbia courts appear to have treated the government’s failure to assert a specific harm that would result from the Cabinet submission’s disclosure as being conclusive of the need for disclosure: see </w:t>
      </w:r>
      <w:r w:rsidR="006046D5" w:rsidRPr="00FF39DD">
        <w:rPr>
          <w:rFonts w:cs="Times New Roman"/>
        </w:rPr>
        <w:t>master reasons</w:t>
      </w:r>
      <w:r w:rsidRPr="00FF39DD">
        <w:rPr>
          <w:rFonts w:cs="Times New Roman"/>
        </w:rPr>
        <w:t>, at para. 23; B</w:t>
      </w:r>
      <w:r w:rsidR="00B613D0">
        <w:rPr>
          <w:rFonts w:cs="Times New Roman"/>
        </w:rPr>
        <w:t>.</w:t>
      </w:r>
      <w:r w:rsidRPr="00FF39DD">
        <w:rPr>
          <w:rFonts w:cs="Times New Roman"/>
        </w:rPr>
        <w:t>C</w:t>
      </w:r>
      <w:r w:rsidR="00B613D0">
        <w:rPr>
          <w:rFonts w:cs="Times New Roman"/>
        </w:rPr>
        <w:t>.</w:t>
      </w:r>
      <w:r w:rsidRPr="00FF39DD">
        <w:rPr>
          <w:rFonts w:cs="Times New Roman"/>
        </w:rPr>
        <w:t>S</w:t>
      </w:r>
      <w:r w:rsidR="00B613D0">
        <w:rPr>
          <w:rFonts w:cs="Times New Roman"/>
        </w:rPr>
        <w:t>.</w:t>
      </w:r>
      <w:r w:rsidRPr="00FF39DD">
        <w:rPr>
          <w:rFonts w:cs="Times New Roman"/>
        </w:rPr>
        <w:t>C</w:t>
      </w:r>
      <w:r w:rsidR="00B613D0">
        <w:rPr>
          <w:rFonts w:cs="Times New Roman"/>
        </w:rPr>
        <w:t>.</w:t>
      </w:r>
      <w:r w:rsidRPr="00FF39DD">
        <w:rPr>
          <w:rFonts w:cs="Times New Roman"/>
        </w:rPr>
        <w:t xml:space="preserve"> </w:t>
      </w:r>
      <w:r w:rsidR="006046D5">
        <w:rPr>
          <w:rFonts w:cs="Times New Roman"/>
        </w:rPr>
        <w:t>r</w:t>
      </w:r>
      <w:r w:rsidRPr="00FF39DD">
        <w:rPr>
          <w:rFonts w:cs="Times New Roman"/>
        </w:rPr>
        <w:t>easons, at para.</w:t>
      </w:r>
      <w:r w:rsidR="00B613D0">
        <w:rPr>
          <w:rFonts w:cs="Times New Roman"/>
        </w:rPr>
        <w:t xml:space="preserve"> 46; C.A. </w:t>
      </w:r>
      <w:r w:rsidR="006046D5">
        <w:rPr>
          <w:rFonts w:cs="Times New Roman"/>
        </w:rPr>
        <w:t>r</w:t>
      </w:r>
      <w:r w:rsidR="00B613D0">
        <w:rPr>
          <w:rFonts w:cs="Times New Roman"/>
        </w:rPr>
        <w:t>easons, at para. 22.</w:t>
      </w:r>
    </w:p>
    <w:p w14:paraId="0F990D24" w14:textId="77777777" w:rsidR="0080188D" w:rsidRPr="00FF39DD" w:rsidRDefault="0080188D" w:rsidP="0080188D">
      <w:pPr>
        <w:pStyle w:val="ParaNoNdepar-AltN"/>
        <w:rPr>
          <w:rFonts w:cs="Times New Roman"/>
        </w:rPr>
      </w:pPr>
      <w:r w:rsidRPr="00FF39DD">
        <w:rPr>
          <w:rFonts w:cs="Times New Roman"/>
        </w:rPr>
        <w:t xml:space="preserve">Because of the strong public interest in Cabinet confidentiality, the disclosure of a Cabinet document undermines that confidentiality and is, at least to some degree, harmful. As </w:t>
      </w:r>
      <w:r w:rsidRPr="00FF39DD">
        <w:rPr>
          <w:rFonts w:cs="Times New Roman"/>
          <w:i/>
        </w:rPr>
        <w:t>Carey</w:t>
      </w:r>
      <w:r w:rsidRPr="00FF39DD">
        <w:rPr>
          <w:rFonts w:cs="Times New Roman"/>
        </w:rPr>
        <w:t xml:space="preserve"> recognized, certain Cabinet documents may, owing to their contents, raise additional concerns, as might be the case where they relate to defence or national security or refer to specific points of disagreement among ministers. It will often be helpful to the court for the government to be as specific as possible in raising the potential for such harm: pp. 653</w:t>
      </w:r>
      <w:r w:rsidRPr="00FF39DD">
        <w:rPr>
          <w:rFonts w:cs="Times New Roman"/>
        </w:rPr>
        <w:noBreakHyphen/>
        <w:t xml:space="preserve">54 and 671. But the government’s failure to identify some specific harm resulting from a confidential Cabinet document’s disclosure does not </w:t>
      </w:r>
      <w:r w:rsidRPr="00FF39DD">
        <w:rPr>
          <w:rFonts w:cs="Times New Roman"/>
          <w:i/>
        </w:rPr>
        <w:t>automatically</w:t>
      </w:r>
      <w:r w:rsidRPr="00FF39DD">
        <w:rPr>
          <w:rFonts w:cs="Times New Roman"/>
        </w:rPr>
        <w:t xml:space="preserve"> mean the document must be disclosed. The focus must remain on whether the public interest in the document’s disclosure outweighs the public interest in its remaining confidential.</w:t>
      </w:r>
    </w:p>
    <w:p w14:paraId="7D99CE2E" w14:textId="6960A2E0" w:rsidR="0080188D" w:rsidRPr="00FF39DD" w:rsidRDefault="0080188D" w:rsidP="0080188D">
      <w:pPr>
        <w:pStyle w:val="ParaNoNdepar-AltN"/>
        <w:rPr>
          <w:rFonts w:cs="Times New Roman"/>
        </w:rPr>
      </w:pPr>
      <w:r w:rsidRPr="00FF39DD">
        <w:rPr>
          <w:rFonts w:cs="Times New Roman"/>
        </w:rPr>
        <w:t xml:space="preserve">Given the strong public interest in keeping documents concerning Cabinet deliberations confidential, a strong countervailing public interest will usually be necessary to justify their disclosure. The strength of the public interest in disclosure will often turn on the interests of the administration of justice, a factor identified in </w:t>
      </w:r>
      <w:r w:rsidRPr="00FF39DD">
        <w:rPr>
          <w:rFonts w:cs="Times New Roman"/>
          <w:i/>
        </w:rPr>
        <w:t>Carey</w:t>
      </w:r>
      <w:r w:rsidR="00B613D0">
        <w:rPr>
          <w:rFonts w:cs="Times New Roman"/>
        </w:rPr>
        <w:t>.</w:t>
      </w:r>
    </w:p>
    <w:p w14:paraId="1087AC15" w14:textId="1DD1D5B3" w:rsidR="0080188D" w:rsidRPr="00FF39DD" w:rsidRDefault="0080188D" w:rsidP="0080188D">
      <w:pPr>
        <w:pStyle w:val="ParaNoNdepar-AltN"/>
        <w:rPr>
          <w:rFonts w:cs="Times New Roman"/>
        </w:rPr>
      </w:pPr>
      <w:r w:rsidRPr="00FF39DD">
        <w:rPr>
          <w:rFonts w:cs="Times New Roman"/>
        </w:rPr>
        <w:lastRenderedPageBreak/>
        <w:t xml:space="preserve">The notion of the “interests of the administration of justice” undoubtedly encompasses a broad set of considerations: see </w:t>
      </w:r>
      <w:r w:rsidRPr="00FF39DD">
        <w:rPr>
          <w:rFonts w:cs="Times New Roman"/>
          <w:i/>
        </w:rPr>
        <w:t>Carey</w:t>
      </w:r>
      <w:r w:rsidRPr="00FF39DD">
        <w:rPr>
          <w:rFonts w:cs="Times New Roman"/>
        </w:rPr>
        <w:t>, at pp. 647</w:t>
      </w:r>
      <w:r w:rsidRPr="00FF39DD">
        <w:rPr>
          <w:rFonts w:cs="Times New Roman"/>
        </w:rPr>
        <w:noBreakHyphen/>
        <w:t xml:space="preserve">48 and 671. Two stand out in the </w:t>
      </w:r>
      <w:r w:rsidRPr="00FF39DD">
        <w:rPr>
          <w:rFonts w:cs="Times New Roman"/>
          <w:i/>
        </w:rPr>
        <w:t>Bodner</w:t>
      </w:r>
      <w:r w:rsidRPr="00FF39DD">
        <w:rPr>
          <w:rFonts w:cs="Times New Roman"/>
        </w:rPr>
        <w:t xml:space="preserve"> context: “</w:t>
      </w:r>
      <w:r w:rsidR="006046D5">
        <w:rPr>
          <w:rFonts w:cs="Times New Roman"/>
        </w:rPr>
        <w:t>. . . </w:t>
      </w:r>
      <w:r w:rsidRPr="00FF39DD">
        <w:rPr>
          <w:rFonts w:cs="Times New Roman"/>
        </w:rPr>
        <w:t>the importance of the case and the need or desirability of producing the documents to ensure that [the case] . . . can be a</w:t>
      </w:r>
      <w:r w:rsidR="006046D5">
        <w:rPr>
          <w:rFonts w:cs="Times New Roman"/>
        </w:rPr>
        <w:t>dequately and fairly presented” (</w:t>
      </w:r>
      <w:r w:rsidRPr="00FF39DD">
        <w:rPr>
          <w:rFonts w:cs="Times New Roman"/>
          <w:i/>
        </w:rPr>
        <w:t>Carey</w:t>
      </w:r>
      <w:r w:rsidR="006046D5">
        <w:rPr>
          <w:rFonts w:cs="Times New Roman"/>
        </w:rPr>
        <w:t>, at p. 671).</w:t>
      </w:r>
    </w:p>
    <w:p w14:paraId="3FE14E5D" w14:textId="555DB1D6" w:rsidR="0080188D" w:rsidRPr="00FF39DD" w:rsidRDefault="0080188D" w:rsidP="0080188D">
      <w:pPr>
        <w:pStyle w:val="ParaNoNdepar-AltN"/>
        <w:rPr>
          <w:rFonts w:cs="Times New Roman"/>
        </w:rPr>
      </w:pPr>
      <w:r w:rsidRPr="00FF39DD">
        <w:rPr>
          <w:rFonts w:cs="Times New Roman"/>
        </w:rPr>
        <w:t>In the companion case, the Nova Scotia Court of Appeal concluded that disclosure of the report is in the public interest because the government knew its response to the commission’s recommendations would be subject to review and because the review would focus on matters vital to the administration of justice and to the relationship between two branch</w:t>
      </w:r>
      <w:r w:rsidR="00B613D0">
        <w:rPr>
          <w:rFonts w:cs="Times New Roman"/>
        </w:rPr>
        <w:t>es of government: paras. 44</w:t>
      </w:r>
      <w:r w:rsidR="00B613D0">
        <w:rPr>
          <w:rFonts w:cs="Times New Roman"/>
        </w:rPr>
        <w:noBreakHyphen/>
        <w:t>46.</w:t>
      </w:r>
    </w:p>
    <w:p w14:paraId="41880A1F" w14:textId="77777777" w:rsidR="0080188D" w:rsidRPr="00FF39DD" w:rsidRDefault="0080188D" w:rsidP="0080188D">
      <w:pPr>
        <w:pStyle w:val="ParaNoNdepar-AltN"/>
        <w:rPr>
          <w:rFonts w:cs="Times New Roman"/>
        </w:rPr>
      </w:pPr>
      <w:r w:rsidRPr="00FF39DD">
        <w:rPr>
          <w:rFonts w:cs="Times New Roman"/>
        </w:rPr>
        <w:t xml:space="preserve">These considerations cut both ways. Although there is no doubt that </w:t>
      </w:r>
      <w:r w:rsidRPr="00FF39DD">
        <w:rPr>
          <w:rFonts w:cs="Times New Roman"/>
          <w:i/>
        </w:rPr>
        <w:t>Bodner</w:t>
      </w:r>
      <w:r w:rsidRPr="00FF39DD">
        <w:rPr>
          <w:rFonts w:cs="Times New Roman"/>
        </w:rPr>
        <w:t xml:space="preserve"> reviews are of great importance, the fact that a party seeks production of a relevant confidential Cabinet document in the context of a </w:t>
      </w:r>
      <w:r w:rsidRPr="00FF39DD">
        <w:rPr>
          <w:rFonts w:cs="Times New Roman"/>
          <w:i/>
        </w:rPr>
        <w:t>Bodner</w:t>
      </w:r>
      <w:r w:rsidRPr="00FF39DD">
        <w:rPr>
          <w:rFonts w:cs="Times New Roman"/>
        </w:rPr>
        <w:t xml:space="preserve"> review is not itself a general basis for disclosure. Such an approach would effectively trump the public interest in the confidentiality of Cabinet deliberations in every </w:t>
      </w:r>
      <w:r w:rsidRPr="00FF39DD">
        <w:rPr>
          <w:rFonts w:cs="Times New Roman"/>
          <w:i/>
        </w:rPr>
        <w:t>Bodner</w:t>
      </w:r>
      <w:r w:rsidRPr="00FF39DD">
        <w:rPr>
          <w:rFonts w:cs="Times New Roman"/>
        </w:rPr>
        <w:t xml:space="preserve"> review. It would also conflate the importance of the </w:t>
      </w:r>
      <w:r w:rsidRPr="00FF39DD">
        <w:rPr>
          <w:rFonts w:cs="Times New Roman"/>
          <w:i/>
        </w:rPr>
        <w:t>issues</w:t>
      </w:r>
      <w:r w:rsidRPr="00FF39DD">
        <w:rPr>
          <w:rFonts w:cs="Times New Roman"/>
        </w:rPr>
        <w:t xml:space="preserve"> canvassed on such a review with the importance of the </w:t>
      </w:r>
      <w:r w:rsidRPr="00FF39DD">
        <w:rPr>
          <w:rFonts w:cs="Times New Roman"/>
          <w:i/>
        </w:rPr>
        <w:t>evidence</w:t>
      </w:r>
      <w:r w:rsidRPr="00FF39DD">
        <w:rPr>
          <w:rFonts w:cs="Times New Roman"/>
        </w:rPr>
        <w:t xml:space="preserve"> provided by the Cabinet document to the disposition of those issues.</w:t>
      </w:r>
    </w:p>
    <w:p w14:paraId="1AF913EA" w14:textId="77777777" w:rsidR="0080188D" w:rsidRPr="00FF39DD" w:rsidRDefault="0080188D" w:rsidP="0080188D">
      <w:pPr>
        <w:pStyle w:val="ParaNoNdepar-AltN"/>
        <w:rPr>
          <w:rFonts w:cs="Times New Roman"/>
        </w:rPr>
      </w:pPr>
      <w:r w:rsidRPr="00FF39DD">
        <w:rPr>
          <w:rFonts w:cs="Times New Roman"/>
        </w:rPr>
        <w:t xml:space="preserve">In the </w:t>
      </w:r>
      <w:r w:rsidRPr="00FF39DD">
        <w:rPr>
          <w:rFonts w:cs="Times New Roman"/>
          <w:i/>
        </w:rPr>
        <w:t xml:space="preserve">Bodner </w:t>
      </w:r>
      <w:r w:rsidRPr="00FF39DD">
        <w:rPr>
          <w:rFonts w:cs="Times New Roman"/>
        </w:rPr>
        <w:t xml:space="preserve">context, the reviewing court’s analysis of the factors bearing on the public interest in disclosure must necessarily be informed by its conclusion on the nature and probative value of the evidence. A document may provide some evidence that the government failed to meet one of the parts of the </w:t>
      </w:r>
      <w:r w:rsidRPr="00FF39DD">
        <w:rPr>
          <w:rFonts w:cs="Times New Roman"/>
          <w:i/>
        </w:rPr>
        <w:t>Bodner</w:t>
      </w:r>
      <w:r w:rsidRPr="00FF39DD">
        <w:rPr>
          <w:rFonts w:cs="Times New Roman"/>
        </w:rPr>
        <w:t xml:space="preserve"> test, but the </w:t>
      </w:r>
      <w:r w:rsidRPr="00FF39DD">
        <w:rPr>
          <w:rFonts w:cs="Times New Roman"/>
        </w:rPr>
        <w:lastRenderedPageBreak/>
        <w:t>importance of the evidence may vary widely. When considering the interests of the administration of justice, the focus must therefore remain on the degree to which the document bears on what is at issue in the litigation.</w:t>
      </w:r>
    </w:p>
    <w:p w14:paraId="607DCAE0" w14:textId="408B80BA" w:rsidR="0080188D" w:rsidRPr="00FF39DD" w:rsidRDefault="0080188D" w:rsidP="0080188D">
      <w:pPr>
        <w:pStyle w:val="ParaNoNdepar-AltN"/>
        <w:rPr>
          <w:rFonts w:cs="Times New Roman"/>
        </w:rPr>
      </w:pPr>
      <w:r w:rsidRPr="00FF39DD">
        <w:rPr>
          <w:rFonts w:cs="Times New Roman"/>
        </w:rPr>
        <w:t xml:space="preserve">A document may contain information not otherwise available such that its exclusion from evidence would undermine the court’s ability to adjudicate the issues on their merits: see </w:t>
      </w:r>
      <w:r w:rsidRPr="00FF39DD">
        <w:rPr>
          <w:rFonts w:cs="Times New Roman"/>
          <w:i/>
        </w:rPr>
        <w:t>Carey</w:t>
      </w:r>
      <w:r w:rsidRPr="00FF39DD">
        <w:rPr>
          <w:rFonts w:cs="Times New Roman"/>
        </w:rPr>
        <w:t xml:space="preserve">, at pp. 654 and 673; </w:t>
      </w:r>
      <w:r w:rsidRPr="00FF39DD">
        <w:rPr>
          <w:rFonts w:cs="Times New Roman"/>
          <w:i/>
        </w:rPr>
        <w:t>Commonwealth v. Northern Land Council</w:t>
      </w:r>
      <w:r w:rsidR="00B613D0">
        <w:rPr>
          <w:rFonts w:cs="Times New Roman"/>
        </w:rPr>
        <w:t xml:space="preserve"> (1993),</w:t>
      </w:r>
      <w:r w:rsidRPr="00FF39DD">
        <w:rPr>
          <w:rFonts w:cs="Times New Roman"/>
          <w:lang w:val="en-US"/>
        </w:rPr>
        <w:t xml:space="preserve"> 176 C.L.R. 604</w:t>
      </w:r>
      <w:r w:rsidR="006046D5">
        <w:rPr>
          <w:rFonts w:cs="Times New Roman"/>
          <w:lang w:val="en-US"/>
        </w:rPr>
        <w:t xml:space="preserve"> (H.C.A.)</w:t>
      </w:r>
      <w:r w:rsidRPr="00FF39DD">
        <w:rPr>
          <w:rFonts w:cs="Times New Roman"/>
          <w:lang w:val="en-US"/>
        </w:rPr>
        <w:t>, at p. 619</w:t>
      </w:r>
      <w:r w:rsidRPr="00FF39DD">
        <w:rPr>
          <w:rFonts w:cs="Times New Roman"/>
        </w:rPr>
        <w:t xml:space="preserve">. A document that tends to establish that the government set out to provide misleading public reasons for its response to the commission’s recommendations; that the government relied on a fundamentally flawed factual foundation; that the government acted with an improper or colourable purpose; or that the government was indifferent or disrespectful towards the commission process will be highly probative. Such a document bears so directly — and so determinately — on the issues that the reviewing court needs to resolve on </w:t>
      </w:r>
      <w:r w:rsidRPr="00FF39DD">
        <w:rPr>
          <w:rFonts w:cs="Times New Roman"/>
          <w:i/>
        </w:rPr>
        <w:t>Bodner</w:t>
      </w:r>
      <w:r w:rsidRPr="00FF39DD">
        <w:rPr>
          <w:rFonts w:cs="Times New Roman"/>
        </w:rPr>
        <w:t xml:space="preserve"> review that to exclude the document would be contrary to the interests of the administration of justice: see </w:t>
      </w:r>
      <w:r w:rsidRPr="00FF39DD">
        <w:rPr>
          <w:rFonts w:cs="Times New Roman"/>
          <w:i/>
        </w:rPr>
        <w:t>Air Canada v. Secretary of State for Trade</w:t>
      </w:r>
      <w:r w:rsidRPr="00FF39DD">
        <w:rPr>
          <w:rFonts w:cs="Times New Roman"/>
        </w:rPr>
        <w:t xml:space="preserve">, </w:t>
      </w:r>
      <w:r w:rsidRPr="00FF39DD">
        <w:rPr>
          <w:rFonts w:cs="Times New Roman"/>
          <w:lang w:val="en-US"/>
        </w:rPr>
        <w:t>[1983] 2 A.C. 394 (H.L.), at p. 435</w:t>
      </w:r>
      <w:r w:rsidRPr="00FF39DD">
        <w:rPr>
          <w:rFonts w:cs="Times New Roman"/>
        </w:rPr>
        <w:t>. Given the important constitutional interests at stake, the public interest in disclosure would almost certainly outweigh the public interest in the document’s remaining confidential. Excluding such a document from evidence would keep the court from fulfilling its judicial role, jeopardize public confidence in the administration of justice,</w:t>
      </w:r>
      <w:r w:rsidRPr="00FF39DD" w:rsidDel="005026D3">
        <w:rPr>
          <w:rFonts w:cs="Times New Roman"/>
        </w:rPr>
        <w:t xml:space="preserve"> </w:t>
      </w:r>
      <w:r w:rsidRPr="00FF39DD">
        <w:rPr>
          <w:rFonts w:cs="Times New Roman"/>
        </w:rPr>
        <w:t>and ultimately threaten the rule of law. In such cases, where the probative value of the document is high, the public interest immunity analysis will lead to the same result as the production analysis set out above.</w:t>
      </w:r>
    </w:p>
    <w:p w14:paraId="54DCEF88" w14:textId="77777777" w:rsidR="0080188D" w:rsidRPr="00FF39DD" w:rsidRDefault="0080188D" w:rsidP="0080188D">
      <w:pPr>
        <w:pStyle w:val="ParaNoNdepar-AltN"/>
        <w:rPr>
          <w:rFonts w:cs="Times New Roman"/>
        </w:rPr>
      </w:pPr>
      <w:r w:rsidRPr="00FF39DD">
        <w:rPr>
          <w:rFonts w:cs="Times New Roman"/>
        </w:rPr>
        <w:lastRenderedPageBreak/>
        <w:t xml:space="preserve">By contrast, the public interest immunity analysis may lead to a different result for a Cabinet document that supports the contention that the government failed to meet one of its constitutional requirements, but whose impact on the </w:t>
      </w:r>
      <w:r w:rsidRPr="00FF39DD">
        <w:rPr>
          <w:rFonts w:cs="Times New Roman"/>
          <w:i/>
        </w:rPr>
        <w:t>Bodner</w:t>
      </w:r>
      <w:r w:rsidRPr="00FF39DD">
        <w:rPr>
          <w:rFonts w:cs="Times New Roman"/>
        </w:rPr>
        <w:t xml:space="preserve"> review would be limited. The probative value of such evidence might not weigh heavily enough to warrant disclosure, especially if there were strong public interest in its remaining confidential. But such a document’s exclusion from the record could hardly keep the reviewing court from adjudicating the issues on their merits. The public interest in disclosure of such a Cabinet document would thus not outweigh the public interest in its remaining confidential.</w:t>
      </w:r>
    </w:p>
    <w:p w14:paraId="3ADE0D6C" w14:textId="1B5DD4A1" w:rsidR="0080188D" w:rsidRPr="00FF39DD" w:rsidRDefault="0080188D" w:rsidP="0080188D">
      <w:pPr>
        <w:pStyle w:val="ParaNoNdepar-AltN"/>
        <w:rPr>
          <w:rFonts w:cs="Times New Roman"/>
        </w:rPr>
      </w:pPr>
      <w:r w:rsidRPr="00FF39DD">
        <w:rPr>
          <w:rFonts w:cs="Times New Roman"/>
        </w:rPr>
        <w:t xml:space="preserve">As a general matter, the notion of “unconscionable behaviour” referred to in </w:t>
      </w:r>
      <w:r w:rsidRPr="00FF39DD">
        <w:rPr>
          <w:rFonts w:cs="Times New Roman"/>
          <w:i/>
        </w:rPr>
        <w:t>Carey</w:t>
      </w:r>
      <w:r w:rsidRPr="00FF39DD">
        <w:rPr>
          <w:rFonts w:cs="Times New Roman"/>
        </w:rPr>
        <w:t xml:space="preserve">, at p. 673, will only be pertinent in a limited set of cases. This factor is superadded to more general considerations involving the administration of justice. The conduct in question must be “harsh” or “improper”; though it need not be criminal, it must nevertheless be of a similar degree of seriousness: p. 673. In the </w:t>
      </w:r>
      <w:r w:rsidRPr="00FF39DD">
        <w:rPr>
          <w:rFonts w:cs="Times New Roman"/>
          <w:i/>
        </w:rPr>
        <w:t>Bodner</w:t>
      </w:r>
      <w:r w:rsidRPr="00FF39DD">
        <w:rPr>
          <w:rFonts w:cs="Times New Roman"/>
        </w:rPr>
        <w:t xml:space="preserve"> context, this factor does little work independent from the factor relating to the interests of the administration of justice. The harshness or impropriety of the government’s conduct would be canvassed in assessing whether the government acted with an improper or colourable purpose. A document that demonstrates unconscionable behaviour on the government’s part would tend to establish its failure to meet its constitutional requirements in a highly probative manner and, for that reason, the public interest in its disclosure would almost certainly outweigh the public interest</w:t>
      </w:r>
      <w:r w:rsidR="00B9593F">
        <w:rPr>
          <w:rFonts w:cs="Times New Roman"/>
        </w:rPr>
        <w:t xml:space="preserve"> in its remaining confidential.</w:t>
      </w:r>
    </w:p>
    <w:p w14:paraId="73B5B9FA" w14:textId="77777777" w:rsidR="0080188D" w:rsidRPr="00FF39DD" w:rsidRDefault="0080188D" w:rsidP="0080188D">
      <w:pPr>
        <w:pStyle w:val="ParaNoNdepar-AltN"/>
        <w:rPr>
          <w:rFonts w:cs="Times New Roman"/>
        </w:rPr>
      </w:pPr>
      <w:r w:rsidRPr="00FF39DD">
        <w:rPr>
          <w:rFonts w:cs="Times New Roman"/>
        </w:rPr>
        <w:lastRenderedPageBreak/>
        <w:t xml:space="preserve">Accordingly, I disagree with the suggestion of the Attorney General of British Columbia and other attorneys general that this Court’s public interest immunity case law results in routine, almost inevitable, disclosure of confidential Cabinet documents, and should thus be revisited. Properly applied in the </w:t>
      </w:r>
      <w:r w:rsidRPr="00FF39DD">
        <w:rPr>
          <w:rFonts w:cs="Times New Roman"/>
          <w:i/>
        </w:rPr>
        <w:t>Bodner</w:t>
      </w:r>
      <w:r w:rsidRPr="00FF39DD">
        <w:rPr>
          <w:rFonts w:cs="Times New Roman"/>
        </w:rPr>
        <w:t xml:space="preserve"> context, public interest immunity requires a careful balancing of the public interests in confidentiality and disclosure. Since the public interest in the confidentiality of documents concerning Cabinet deliberations is often particularly strong, the public interest in their disclosure will usually need to be stronger still to warrant their disclosure.</w:t>
      </w:r>
    </w:p>
    <w:p w14:paraId="1DACB28B" w14:textId="77777777" w:rsidR="0080188D" w:rsidRPr="00FF39DD" w:rsidRDefault="0080188D" w:rsidP="0080188D">
      <w:pPr>
        <w:pStyle w:val="Title1LevelTitre1Niveau-AltL"/>
        <w:rPr>
          <w:rFonts w:cs="Times New Roman"/>
        </w:rPr>
      </w:pPr>
      <w:r w:rsidRPr="00FF39DD">
        <w:rPr>
          <w:rFonts w:cs="Times New Roman"/>
        </w:rPr>
        <w:t>Disposition</w:t>
      </w:r>
    </w:p>
    <w:p w14:paraId="50F4C06B" w14:textId="0FC2A9C1" w:rsidR="0080188D" w:rsidRPr="00C80E6D" w:rsidRDefault="0080188D" w:rsidP="0080188D">
      <w:pPr>
        <w:pStyle w:val="ParaNoNdepar-AltN"/>
        <w:rPr>
          <w:rFonts w:cs="Times New Roman"/>
        </w:rPr>
      </w:pPr>
      <w:r w:rsidRPr="00FF39DD">
        <w:rPr>
          <w:rFonts w:cs="Times New Roman"/>
        </w:rPr>
        <w:t>I would allow the appeal without costs and quash the master’s order for production of the Cabinet submission. The Provincial Court Judges’ Association’s petition can now be adjudicated on its merits without considera</w:t>
      </w:r>
      <w:r w:rsidR="00B9593F">
        <w:rPr>
          <w:rFonts w:cs="Times New Roman"/>
        </w:rPr>
        <w:t>tion of the Cabinet submission.</w:t>
      </w:r>
    </w:p>
    <w:p w14:paraId="2B3E7F8B" w14:textId="77777777" w:rsidR="009B57B3" w:rsidRPr="00602FCF" w:rsidRDefault="009D17A1" w:rsidP="002A5497">
      <w:pPr>
        <w:pStyle w:val="SCCNormalDoubleSpacing"/>
        <w:spacing w:after="480"/>
        <w:rPr>
          <w:highlight w:val="yellow"/>
        </w:rPr>
      </w:pPr>
      <w:r w:rsidRPr="0066752F">
        <w:tab/>
      </w:r>
      <w:r w:rsidR="00656313" w:rsidRPr="0066752F">
        <w:rPr>
          <w:i/>
        </w:rPr>
        <w:t>Appeal</w:t>
      </w:r>
      <w:r w:rsidRPr="0066752F">
        <w:t xml:space="preserve"> </w:t>
      </w:r>
      <w:r w:rsidRPr="0066752F">
        <w:rPr>
          <w:i/>
        </w:rPr>
        <w:t>allowed without costs.</w:t>
      </w:r>
    </w:p>
    <w:p w14:paraId="4E242BBE" w14:textId="6415FF97" w:rsidR="00F218B2" w:rsidRPr="00E273A3" w:rsidRDefault="005F6F8F" w:rsidP="002A5497">
      <w:pPr>
        <w:pStyle w:val="SCCLawFirm"/>
        <w:spacing w:after="480"/>
      </w:pPr>
      <w:r w:rsidRPr="00E273A3">
        <w:tab/>
        <w:t>S</w:t>
      </w:r>
      <w:r w:rsidR="00E273A3" w:rsidRPr="00E273A3">
        <w:t>olicitors for the appellant</w:t>
      </w:r>
      <w:r w:rsidR="002A5497">
        <w:t>: </w:t>
      </w:r>
      <w:r w:rsidR="00A76B8A">
        <w:t>Gudmundseth Mick</w:t>
      </w:r>
      <w:r w:rsidR="00E273A3" w:rsidRPr="00E273A3">
        <w:t>elson</w:t>
      </w:r>
      <w:r w:rsidRPr="00E273A3">
        <w:t>, Vancouver.</w:t>
      </w:r>
    </w:p>
    <w:p w14:paraId="3F61B2DF" w14:textId="5246B761" w:rsidR="00602FCF" w:rsidRPr="00A65ECE" w:rsidRDefault="005F6F8F" w:rsidP="002A5497">
      <w:pPr>
        <w:pStyle w:val="SCCLawFirm"/>
        <w:spacing w:after="480"/>
      </w:pPr>
      <w:r w:rsidRPr="00275127">
        <w:tab/>
        <w:t>So</w:t>
      </w:r>
      <w:r w:rsidR="00275127" w:rsidRPr="00275127">
        <w:t>licitors</w:t>
      </w:r>
      <w:r w:rsidR="00E273A3" w:rsidRPr="00275127">
        <w:t xml:space="preserve"> for the respondent</w:t>
      </w:r>
      <w:r w:rsidR="002A5497">
        <w:t>: </w:t>
      </w:r>
      <w:r w:rsidR="00E273A3" w:rsidRPr="00275127">
        <w:t>Arvay Finlay</w:t>
      </w:r>
      <w:r w:rsidRPr="00275127">
        <w:t>, Vancouver.</w:t>
      </w:r>
    </w:p>
    <w:p w14:paraId="08F40CBC" w14:textId="5E15E2C3" w:rsidR="00E273A3" w:rsidRPr="00275127" w:rsidRDefault="00E273A3" w:rsidP="002A5497">
      <w:pPr>
        <w:pStyle w:val="SCCLawFirm"/>
        <w:spacing w:after="480"/>
      </w:pPr>
      <w:r w:rsidRPr="00275127">
        <w:tab/>
        <w:t xml:space="preserve">Solicitor for the intervener </w:t>
      </w:r>
      <w:r w:rsidR="00275127" w:rsidRPr="00275127">
        <w:t>the Attorney General of Canada</w:t>
      </w:r>
      <w:r w:rsidR="002A5497">
        <w:t>: </w:t>
      </w:r>
      <w:r w:rsidRPr="00275127">
        <w:t>Attorney General of Canada, Toronto.</w:t>
      </w:r>
    </w:p>
    <w:p w14:paraId="354E8D4E" w14:textId="5E7CD15D" w:rsidR="00E273A3" w:rsidRPr="00275127" w:rsidRDefault="00E273A3" w:rsidP="002A5497">
      <w:pPr>
        <w:pStyle w:val="SCCLawFirm"/>
        <w:spacing w:after="480"/>
      </w:pPr>
      <w:r w:rsidRPr="00275127">
        <w:lastRenderedPageBreak/>
        <w:tab/>
        <w:t>Solicitor</w:t>
      </w:r>
      <w:r w:rsidR="00275127" w:rsidRPr="00275127">
        <w:t xml:space="preserve"> </w:t>
      </w:r>
      <w:r w:rsidRPr="00275127">
        <w:t xml:space="preserve">for the intervener </w:t>
      </w:r>
      <w:r w:rsidR="00275127" w:rsidRPr="00275127">
        <w:t>the Attorney General of Ontario</w:t>
      </w:r>
      <w:r w:rsidR="002A5497">
        <w:t>: </w:t>
      </w:r>
      <w:r w:rsidRPr="00275127">
        <w:t>Attorney General of Ontario, Toronto.</w:t>
      </w:r>
    </w:p>
    <w:p w14:paraId="2333E78A" w14:textId="3392A355" w:rsidR="00275127" w:rsidRPr="00275127" w:rsidRDefault="00275127" w:rsidP="002A5497">
      <w:pPr>
        <w:pStyle w:val="SCCLawFirm"/>
        <w:spacing w:after="480"/>
      </w:pPr>
      <w:r w:rsidRPr="00275127">
        <w:tab/>
        <w:t>Solicitor for the intervener the Attorney General of Quebec</w:t>
      </w:r>
      <w:r w:rsidR="002A5497">
        <w:t>: </w:t>
      </w:r>
      <w:r w:rsidRPr="00275127">
        <w:t>Attorney General of Quebec, Québec.</w:t>
      </w:r>
    </w:p>
    <w:p w14:paraId="3B5CF2AB" w14:textId="1AFD76DE" w:rsidR="00275127" w:rsidRPr="00275127" w:rsidRDefault="00275127" w:rsidP="002A5497">
      <w:pPr>
        <w:pStyle w:val="SCCLawFirm"/>
        <w:spacing w:after="480"/>
      </w:pPr>
      <w:r w:rsidRPr="00275127">
        <w:tab/>
        <w:t xml:space="preserve">Solicitor for the intervener the Attorney General </w:t>
      </w:r>
      <w:r w:rsidR="00867B31">
        <w:t>of</w:t>
      </w:r>
      <w:r w:rsidRPr="00275127">
        <w:t xml:space="preserve"> Saskatchewan</w:t>
      </w:r>
      <w:r w:rsidR="002A5497">
        <w:t>: </w:t>
      </w:r>
      <w:r w:rsidRPr="00275127">
        <w:t xml:space="preserve">Attorney General </w:t>
      </w:r>
      <w:r w:rsidR="005D678B">
        <w:t>of</w:t>
      </w:r>
      <w:r w:rsidRPr="00275127">
        <w:t xml:space="preserve"> Saskatchewan, Regina.</w:t>
      </w:r>
    </w:p>
    <w:p w14:paraId="76C5A609" w14:textId="28F39874" w:rsidR="00E273A3" w:rsidRPr="00275127" w:rsidRDefault="00275127" w:rsidP="002A5497">
      <w:pPr>
        <w:pStyle w:val="SCCLawFirm"/>
        <w:spacing w:after="480"/>
      </w:pPr>
      <w:r w:rsidRPr="00275127">
        <w:tab/>
        <w:t>Solicitor</w:t>
      </w:r>
      <w:r w:rsidR="00E273A3" w:rsidRPr="00275127">
        <w:t xml:space="preserve"> for the intervener </w:t>
      </w:r>
      <w:r w:rsidRPr="00275127">
        <w:t>the Attorney General of Alberta</w:t>
      </w:r>
      <w:r w:rsidR="002A5497">
        <w:t>: </w:t>
      </w:r>
      <w:r w:rsidR="00E273A3" w:rsidRPr="00275127">
        <w:t>Attorney General of Alberta, Edmonton.</w:t>
      </w:r>
    </w:p>
    <w:p w14:paraId="173D1F39" w14:textId="56424EAF" w:rsidR="00F218B2" w:rsidRPr="00275127" w:rsidRDefault="00275127" w:rsidP="002A5497">
      <w:pPr>
        <w:pStyle w:val="SCCLawFirm"/>
        <w:spacing w:after="480"/>
      </w:pPr>
      <w:r w:rsidRPr="00275127">
        <w:tab/>
        <w:t>Solicitors</w:t>
      </w:r>
      <w:r w:rsidR="005F6F8F" w:rsidRPr="00275127">
        <w:t xml:space="preserve"> for the intervener</w:t>
      </w:r>
      <w:r w:rsidRPr="00275127">
        <w:t xml:space="preserve"> the</w:t>
      </w:r>
      <w:r w:rsidR="005F6F8F" w:rsidRPr="00275127">
        <w:t xml:space="preserve"> Canadian Super</w:t>
      </w:r>
      <w:r>
        <w:t>ior Courts Judges Association</w:t>
      </w:r>
      <w:r w:rsidR="002A5497">
        <w:t>: </w:t>
      </w:r>
      <w:r w:rsidR="005F6F8F" w:rsidRPr="00275127">
        <w:t>Norton Rose Fulbright Canada, Montréal.</w:t>
      </w:r>
    </w:p>
    <w:p w14:paraId="1C52320C" w14:textId="284C7093" w:rsidR="00F218B2" w:rsidRPr="00275127" w:rsidRDefault="00275127" w:rsidP="002A5497">
      <w:pPr>
        <w:pStyle w:val="SCCLawFirm"/>
        <w:spacing w:after="480"/>
      </w:pPr>
      <w:r w:rsidRPr="00275127">
        <w:tab/>
        <w:t>Solicitors</w:t>
      </w:r>
      <w:r w:rsidR="005F6F8F" w:rsidRPr="00275127">
        <w:t xml:space="preserve"> for the intervener</w:t>
      </w:r>
      <w:r w:rsidRPr="00275127">
        <w:t xml:space="preserve"> the Canadian Bar Association</w:t>
      </w:r>
      <w:r w:rsidR="002A5497">
        <w:t>: </w:t>
      </w:r>
      <w:r w:rsidRPr="00275127">
        <w:t>Borden Ladner Gervais</w:t>
      </w:r>
      <w:r w:rsidR="005F6F8F" w:rsidRPr="00275127">
        <w:t>, Toronto.</w:t>
      </w:r>
    </w:p>
    <w:p w14:paraId="4FCCA7C4" w14:textId="42977A57" w:rsidR="00F218B2" w:rsidRPr="00275127" w:rsidRDefault="00275127" w:rsidP="002A5497">
      <w:pPr>
        <w:pStyle w:val="SCCLawFirm"/>
        <w:spacing w:after="480"/>
      </w:pPr>
      <w:r w:rsidRPr="00275127">
        <w:tab/>
        <w:t>Solicitors</w:t>
      </w:r>
      <w:r w:rsidR="005F6F8F" w:rsidRPr="00275127">
        <w:t xml:space="preserve"> for the intervener </w:t>
      </w:r>
      <w:r w:rsidRPr="00275127">
        <w:t xml:space="preserve">the </w:t>
      </w:r>
      <w:r w:rsidR="005F6F8F" w:rsidRPr="00275127">
        <w:t>Canadian Association of Provincial Court Jud</w:t>
      </w:r>
      <w:r w:rsidRPr="00275127">
        <w:t>ges</w:t>
      </w:r>
      <w:r w:rsidR="002A5497">
        <w:t>: </w:t>
      </w:r>
      <w:r w:rsidRPr="00275127">
        <w:t>Goldblatt Partners</w:t>
      </w:r>
      <w:r w:rsidR="005F6F8F" w:rsidRPr="00275127">
        <w:t>, Toronto.</w:t>
      </w:r>
    </w:p>
    <w:p w14:paraId="186D4DCC" w14:textId="6E1E74C2" w:rsidR="00F218B2" w:rsidRPr="00275127" w:rsidRDefault="005F6F8F" w:rsidP="002A5497">
      <w:pPr>
        <w:pStyle w:val="SCCLawFirm"/>
        <w:spacing w:after="480"/>
      </w:pPr>
      <w:r w:rsidRPr="00275127">
        <w:tab/>
        <w:t>Solicitor</w:t>
      </w:r>
      <w:r w:rsidR="00275127" w:rsidRPr="00275127">
        <w:t xml:space="preserve">s </w:t>
      </w:r>
      <w:r w:rsidRPr="00275127">
        <w:t xml:space="preserve">for the intervener </w:t>
      </w:r>
      <w:r w:rsidR="00275127" w:rsidRPr="00275127">
        <w:t>the Canadian Taxpayers Federation</w:t>
      </w:r>
      <w:r w:rsidR="002A5497">
        <w:t>: </w:t>
      </w:r>
      <w:r w:rsidRPr="00275127">
        <w:t>McCarthy Tétrault, Toronto.</w:t>
      </w:r>
    </w:p>
    <w:p w14:paraId="39C68687" w14:textId="32DFA308" w:rsidR="00F218B2" w:rsidRDefault="005F6F8F">
      <w:pPr>
        <w:pStyle w:val="SCCLawFirm"/>
      </w:pPr>
      <w:r w:rsidRPr="00275127">
        <w:lastRenderedPageBreak/>
        <w:tab/>
        <w:t>Solicitor</w:t>
      </w:r>
      <w:r w:rsidR="00275127" w:rsidRPr="00275127">
        <w:t>s</w:t>
      </w:r>
      <w:r w:rsidRPr="00275127">
        <w:t xml:space="preserve"> for the intervener </w:t>
      </w:r>
      <w:r w:rsidR="00275127" w:rsidRPr="00275127">
        <w:t xml:space="preserve">the </w:t>
      </w:r>
      <w:r w:rsidRPr="00275127">
        <w:t>Canadi</w:t>
      </w:r>
      <w:r w:rsidR="00275127" w:rsidRPr="00275127">
        <w:t>an Civil Liberties Association</w:t>
      </w:r>
      <w:r w:rsidR="002A5497">
        <w:t>: </w:t>
      </w:r>
      <w:r w:rsidR="00491602">
        <w:t>Paliare Roland Rosenberg</w:t>
      </w:r>
      <w:r w:rsidRPr="00275127">
        <w:t xml:space="preserve"> Rothstein, Toronto.</w:t>
      </w:r>
    </w:p>
    <w:sectPr w:rsidR="00F218B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58315" w14:textId="77777777" w:rsidR="00627C2C" w:rsidRDefault="00627C2C">
      <w:r>
        <w:separator/>
      </w:r>
    </w:p>
  </w:endnote>
  <w:endnote w:type="continuationSeparator" w:id="0">
    <w:p w14:paraId="59754D55" w14:textId="77777777" w:rsidR="00627C2C" w:rsidRDefault="0062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7D10" w14:textId="77777777" w:rsidR="0056250A" w:rsidRDefault="00562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6D47" w14:textId="77777777" w:rsidR="0056250A" w:rsidRDefault="00562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98F7" w14:textId="77777777" w:rsidR="0056250A" w:rsidRDefault="00562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9A10F" w14:textId="77777777" w:rsidR="00627C2C" w:rsidRDefault="00627C2C">
      <w:r>
        <w:separator/>
      </w:r>
    </w:p>
  </w:footnote>
  <w:footnote w:type="continuationSeparator" w:id="0">
    <w:p w14:paraId="545D0A3F" w14:textId="77777777" w:rsidR="00627C2C" w:rsidRDefault="00627C2C">
      <w:r>
        <w:continuationSeparator/>
      </w:r>
    </w:p>
  </w:footnote>
  <w:footnote w:id="1">
    <w:p w14:paraId="0DD5C7D1" w14:textId="77777777" w:rsidR="0080188D" w:rsidRPr="006A0ACA" w:rsidRDefault="0080188D" w:rsidP="00172561">
      <w:pPr>
        <w:pStyle w:val="FootnoteText"/>
        <w:ind w:left="130" w:hanging="130"/>
      </w:pPr>
      <w:r w:rsidRPr="006A0ACA">
        <w:rPr>
          <w:rStyle w:val="FootnoteReference"/>
        </w:rPr>
        <w:footnoteRef/>
      </w:r>
      <w:r w:rsidRPr="006A0ACA">
        <w:t xml:space="preserve"> </w:t>
      </w:r>
      <w:r w:rsidRPr="006A0ACA">
        <w:rPr>
          <w:i/>
        </w:rPr>
        <w:t>Provincial Court Judges’ Assn. of New Brunswick v. New Brunswick (Minister of Justice); Ontario Judges’ Assn. v. Ontario (Management Board); Bodner v. Alberta; Conférence des juges du Québec v. Quebec (Attorney General); Minc v. Quebec (Attorney General)</w:t>
      </w:r>
      <w:r w:rsidRPr="006A0ACA">
        <w:t>, 2005 SCC 44, [2005] 2 S.C.R. 286 (</w:t>
      </w:r>
      <w:r w:rsidRPr="006A0ACA">
        <w:rPr>
          <w:i/>
        </w:rPr>
        <w:t>Bodner</w:t>
      </w:r>
      <w:r w:rsidRPr="006A0ACA">
        <w:t>).</w:t>
      </w:r>
    </w:p>
  </w:footnote>
  <w:footnote w:id="2">
    <w:p w14:paraId="5D5F5D23" w14:textId="77777777" w:rsidR="0080188D" w:rsidRPr="006A0ACA" w:rsidRDefault="0080188D" w:rsidP="00E66F3C">
      <w:pPr>
        <w:pStyle w:val="FootnoteText"/>
        <w:ind w:left="115" w:hanging="115"/>
      </w:pPr>
      <w:r w:rsidRPr="006A0ACA">
        <w:rPr>
          <w:rStyle w:val="FootnoteReference"/>
        </w:rPr>
        <w:footnoteRef/>
      </w:r>
      <w:r w:rsidRPr="006A0ACA">
        <w:rPr>
          <w:lang w:val="en-US"/>
        </w:rPr>
        <w:t xml:space="preserve"> The Attorney General is the minister responsible for the </w:t>
      </w:r>
      <w:r w:rsidRPr="006A0ACA">
        <w:rPr>
          <w:i/>
          <w:lang w:val="en-US"/>
        </w:rPr>
        <w:t>Judicial Compensation Act</w:t>
      </w:r>
      <w:r w:rsidRPr="006A0ACA">
        <w:rPr>
          <w:lang w:val="en-US"/>
        </w:rPr>
        <w:t xml:space="preserve"> designated by O.C. 213/2017, Appendix B; see also </w:t>
      </w:r>
      <w:r w:rsidRPr="006A0ACA">
        <w:rPr>
          <w:i/>
          <w:lang w:val="en-US"/>
        </w:rPr>
        <w:t>Attorney General Act</w:t>
      </w:r>
      <w:r w:rsidRPr="006A0ACA">
        <w:rPr>
          <w:lang w:val="en-US"/>
        </w:rPr>
        <w:t xml:space="preserve">, R.S.B.C. 1996, c. 22, s. 2(j); </w:t>
      </w:r>
      <w:r w:rsidRPr="006A0ACA">
        <w:rPr>
          <w:i/>
          <w:lang w:val="en-US"/>
        </w:rPr>
        <w:t>Constitution Act</w:t>
      </w:r>
      <w:r w:rsidRPr="006A0ACA">
        <w:rPr>
          <w:lang w:val="en-US"/>
        </w:rPr>
        <w:t>, R.S.B.C. 1996, c. 66, s. 10(3).</w:t>
      </w:r>
    </w:p>
  </w:footnote>
  <w:footnote w:id="3">
    <w:p w14:paraId="2E84FB1B" w14:textId="77777777" w:rsidR="0080188D" w:rsidRPr="006A0ACA" w:rsidRDefault="0080188D" w:rsidP="00E66F3C">
      <w:pPr>
        <w:ind w:left="115" w:hanging="115"/>
        <w:jc w:val="both"/>
        <w:rPr>
          <w:sz w:val="20"/>
        </w:rPr>
      </w:pPr>
      <w:r w:rsidRPr="006A0ACA">
        <w:rPr>
          <w:rStyle w:val="FootnoteReference"/>
          <w:sz w:val="20"/>
        </w:rPr>
        <w:footnoteRef/>
      </w:r>
      <w:r w:rsidRPr="006A0ACA">
        <w:rPr>
          <w:sz w:val="20"/>
        </w:rPr>
        <w:t xml:space="preserve"> The baseline salary used by the commission in making its recommendations was $244,112 for the 2016-17 fiscal year, but the Legislative Assembly later retrospectively increased the salary for 2016-17 by 3.4 percent to $252,290, thereby reducing the effect of the increase recommended by the commission for the 2017-20 period.</w:t>
      </w:r>
    </w:p>
  </w:footnote>
  <w:footnote w:id="4">
    <w:p w14:paraId="3EA20A28" w14:textId="77777777" w:rsidR="0080188D" w:rsidRPr="006A0ACA" w:rsidRDefault="0080188D" w:rsidP="005017A0">
      <w:pPr>
        <w:ind w:left="130" w:hanging="130"/>
        <w:jc w:val="both"/>
        <w:rPr>
          <w:sz w:val="20"/>
        </w:rPr>
      </w:pPr>
      <w:r w:rsidRPr="006A0ACA">
        <w:rPr>
          <w:rStyle w:val="FootnoteReference"/>
          <w:sz w:val="20"/>
        </w:rPr>
        <w:footnoteRef/>
      </w:r>
      <w:r w:rsidRPr="006A0ACA">
        <w:rPr>
          <w:sz w:val="20"/>
        </w:rPr>
        <w:t xml:space="preserve"> The retrospective salary increase for 2016-17 similarly reduces the effect of the increase adopted by the Legislative Assembly for the 2017-20 period.</w:t>
      </w:r>
    </w:p>
  </w:footnote>
  <w:footnote w:id="5">
    <w:p w14:paraId="696C8814" w14:textId="77777777" w:rsidR="0080188D" w:rsidRPr="006A0ACA" w:rsidRDefault="0080188D" w:rsidP="0080188D">
      <w:pPr>
        <w:pStyle w:val="FootnoteText"/>
      </w:pPr>
      <w:r w:rsidRPr="006A0ACA">
        <w:rPr>
          <w:rStyle w:val="FootnoteReference"/>
        </w:rPr>
        <w:footnoteRef/>
      </w:r>
      <w:r w:rsidRPr="006A0ACA">
        <w:t xml:space="preserve"> See </w:t>
      </w:r>
      <w:r w:rsidRPr="006A0ACA">
        <w:rPr>
          <w:i/>
        </w:rPr>
        <w:t>Constitution Act, 1867</w:t>
      </w:r>
      <w:r w:rsidRPr="006A0ACA">
        <w:t>, ss. 54, 90 to 92, 100 to 102, 106 and 126.</w:t>
      </w:r>
    </w:p>
  </w:footnote>
  <w:footnote w:id="6">
    <w:p w14:paraId="03AD6885" w14:textId="77777777" w:rsidR="0080188D" w:rsidRPr="006A0ACA" w:rsidRDefault="0080188D" w:rsidP="008A3D1D">
      <w:pPr>
        <w:ind w:left="130" w:hanging="130"/>
        <w:jc w:val="both"/>
        <w:rPr>
          <w:sz w:val="20"/>
        </w:rPr>
      </w:pPr>
      <w:r w:rsidRPr="006A0ACA">
        <w:rPr>
          <w:rStyle w:val="FootnoteReference"/>
          <w:sz w:val="20"/>
        </w:rPr>
        <w:footnoteRef/>
      </w:r>
      <w:r w:rsidRPr="006A0ACA">
        <w:rPr>
          <w:sz w:val="20"/>
        </w:rPr>
        <w:t xml:space="preserve"> Although the Queen’s Privy Council for Canada established by s. 11 of the </w:t>
      </w:r>
      <w:r w:rsidRPr="006A0ACA">
        <w:rPr>
          <w:i/>
          <w:sz w:val="20"/>
        </w:rPr>
        <w:t>Constitution Act, 1867</w:t>
      </w:r>
      <w:r>
        <w:rPr>
          <w:sz w:val="20"/>
        </w:rPr>
        <w:t>,</w:t>
      </w:r>
      <w:r w:rsidRPr="006A0ACA">
        <w:rPr>
          <w:sz w:val="20"/>
        </w:rPr>
        <w:t xml:space="preserve"> includes members who are not ministers of the Crown, confidentiality also extends to its proceedings.</w:t>
      </w:r>
    </w:p>
  </w:footnote>
  <w:footnote w:id="7">
    <w:p w14:paraId="2E8F7675" w14:textId="77777777" w:rsidR="0080188D" w:rsidRPr="006A0ACA" w:rsidRDefault="0080188D" w:rsidP="00906570">
      <w:pPr>
        <w:ind w:left="144" w:hanging="144"/>
        <w:jc w:val="both"/>
      </w:pPr>
      <w:r w:rsidRPr="006A0ACA">
        <w:rPr>
          <w:rStyle w:val="FootnoteReference"/>
          <w:sz w:val="20"/>
        </w:rPr>
        <w:footnoteRef/>
      </w:r>
      <w:r w:rsidRPr="006A0ACA">
        <w:rPr>
          <w:sz w:val="20"/>
        </w:rPr>
        <w:t xml:space="preserve"> Provincial legislatures have generally preserved public interest immunity: see, e.g., </w:t>
      </w:r>
      <w:r w:rsidRPr="006A0ACA">
        <w:rPr>
          <w:i/>
          <w:sz w:val="20"/>
        </w:rPr>
        <w:t>Code of Civil Procedure</w:t>
      </w:r>
      <w:r w:rsidRPr="006A0ACA">
        <w:rPr>
          <w:sz w:val="20"/>
        </w:rPr>
        <w:t>, CQL</w:t>
      </w:r>
      <w:r>
        <w:rPr>
          <w:sz w:val="20"/>
        </w:rPr>
        <w:t>R</w:t>
      </w:r>
      <w:r w:rsidRPr="006A0ACA">
        <w:rPr>
          <w:sz w:val="20"/>
        </w:rPr>
        <w:t xml:space="preserve">, c. C-25.01, art. 283; </w:t>
      </w:r>
      <w:r w:rsidRPr="006A0ACA">
        <w:rPr>
          <w:i/>
          <w:sz w:val="20"/>
        </w:rPr>
        <w:t>Crown Liability and Proceedings Act, 2019</w:t>
      </w:r>
      <w:r w:rsidRPr="006A0ACA">
        <w:rPr>
          <w:sz w:val="20"/>
        </w:rPr>
        <w:t xml:space="preserve">, S.O. 2019, c. 7, Sch. 17, s. 13(2); </w:t>
      </w:r>
      <w:r w:rsidRPr="006A0ACA">
        <w:rPr>
          <w:i/>
          <w:sz w:val="20"/>
        </w:rPr>
        <w:t>Crown Proceeding Act</w:t>
      </w:r>
      <w:r w:rsidRPr="006A0ACA">
        <w:rPr>
          <w:sz w:val="20"/>
        </w:rPr>
        <w:t xml:space="preserve">, R.S.B.C. 1996, c. 89, s. 9; </w:t>
      </w:r>
      <w:r w:rsidRPr="006A0ACA">
        <w:rPr>
          <w:i/>
          <w:sz w:val="20"/>
        </w:rPr>
        <w:t>Proceedings against the Crown Act</w:t>
      </w:r>
      <w:r w:rsidRPr="006A0ACA">
        <w:rPr>
          <w:sz w:val="20"/>
        </w:rPr>
        <w:t xml:space="preserve">, R.S.N.S. 1989, c. 360, s. 11. By contrast, Parliament has partially displaced public interest immunity in ss. 37 to 39 of the </w:t>
      </w:r>
      <w:r w:rsidRPr="006A0ACA">
        <w:rPr>
          <w:i/>
          <w:sz w:val="20"/>
        </w:rPr>
        <w:t>Canada Evidence Act</w:t>
      </w:r>
      <w:r w:rsidRPr="006A0ACA">
        <w:rPr>
          <w:sz w:val="20"/>
        </w:rPr>
        <w:t xml:space="preserve">, R.S.C. 1985, c. C-5: see </w:t>
      </w:r>
      <w:r w:rsidRPr="006A0ACA">
        <w:rPr>
          <w:i/>
          <w:sz w:val="20"/>
        </w:rPr>
        <w:t>Babcock</w:t>
      </w:r>
      <w:r w:rsidRPr="006A0ACA">
        <w:rPr>
          <w:sz w:val="20"/>
        </w:rPr>
        <w:t xml:space="preserve">, at paras. 21 et seq.; </w:t>
      </w:r>
      <w:r w:rsidRPr="006A0ACA">
        <w:rPr>
          <w:i/>
          <w:sz w:val="20"/>
        </w:rPr>
        <w:t>R. v. Ahmad</w:t>
      </w:r>
      <w:r w:rsidRPr="006A0ACA">
        <w:rPr>
          <w:sz w:val="20"/>
        </w:rPr>
        <w:t xml:space="preserve">, 2011 SCC 6, </w:t>
      </w:r>
      <w:r w:rsidRPr="006A0ACA">
        <w:rPr>
          <w:sz w:val="20"/>
          <w:lang w:val="en-US"/>
        </w:rPr>
        <w:t>[2011] 1 S.C.R. 110</w:t>
      </w:r>
      <w:r w:rsidRPr="006A0ACA">
        <w:rPr>
          <w:sz w:val="20"/>
        </w:rPr>
        <w:t>.</w:t>
      </w:r>
    </w:p>
  </w:footnote>
  <w:footnote w:id="8">
    <w:p w14:paraId="50C02C90" w14:textId="77777777" w:rsidR="0080188D" w:rsidRPr="006A0ACA" w:rsidRDefault="0080188D" w:rsidP="0047151A">
      <w:pPr>
        <w:ind w:left="158" w:hanging="158"/>
        <w:jc w:val="both"/>
        <w:rPr>
          <w:sz w:val="20"/>
          <w:lang w:val="en-US"/>
        </w:rPr>
      </w:pPr>
      <w:r w:rsidRPr="006A0ACA">
        <w:rPr>
          <w:rStyle w:val="FootnoteReference"/>
          <w:sz w:val="20"/>
        </w:rPr>
        <w:footnoteRef/>
      </w:r>
      <w:r w:rsidRPr="006A0ACA">
        <w:rPr>
          <w:sz w:val="20"/>
        </w:rPr>
        <w:t xml:space="preserve"> </w:t>
      </w:r>
      <w:r w:rsidRPr="006A0ACA">
        <w:rPr>
          <w:sz w:val="20"/>
          <w:lang w:val="en-US"/>
        </w:rPr>
        <w:t xml:space="preserve">The same considerations generally apply to testimony. However, ministers and former ministers serving as members of the Senate, House of Commons or a legislative assembly benefit from a limited form of testimonial immunity as a matter of parliamentary privilege: see </w:t>
      </w:r>
      <w:r w:rsidRPr="006A0ACA">
        <w:rPr>
          <w:i/>
          <w:sz w:val="20"/>
          <w:lang w:val="en-US"/>
        </w:rPr>
        <w:t xml:space="preserve">Vaid </w:t>
      </w:r>
      <w:r w:rsidRPr="006A0ACA">
        <w:rPr>
          <w:sz w:val="20"/>
          <w:lang w:val="en-US"/>
        </w:rPr>
        <w:t xml:space="preserve">at para. 29; </w:t>
      </w:r>
      <w:r w:rsidRPr="006A0ACA">
        <w:rPr>
          <w:i/>
          <w:sz w:val="20"/>
          <w:lang w:val="en-US"/>
        </w:rPr>
        <w:t>Ainsworth Lumber Co. v. Canada (Attorney General)</w:t>
      </w:r>
      <w:r w:rsidRPr="006A0ACA">
        <w:rPr>
          <w:sz w:val="20"/>
          <w:lang w:val="en-US"/>
        </w:rPr>
        <w:t xml:space="preserve">, 2003 BCCA 239, 14 B.C.L.R. (4th) 302; </w:t>
      </w:r>
      <w:r w:rsidRPr="006A0ACA">
        <w:rPr>
          <w:i/>
          <w:sz w:val="20"/>
          <w:lang w:val="en-US"/>
        </w:rPr>
        <w:t>Telezone Inc. v. Canada (Attorney General)</w:t>
      </w:r>
      <w:r w:rsidRPr="006A0ACA">
        <w:rPr>
          <w:sz w:val="20"/>
          <w:lang w:val="en-US"/>
        </w:rPr>
        <w:t xml:space="preserve"> (2004), 69 O.R. (3d) 161 (C.A.).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864D" w14:textId="77777777" w:rsidR="0056250A" w:rsidRDefault="00562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5E12" w14:textId="77777777" w:rsidR="00F12330" w:rsidRPr="004733FF" w:rsidRDefault="00F12330" w:rsidP="00473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AA96" w14:textId="77777777" w:rsidR="0056250A" w:rsidRDefault="00562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135CC3"/>
    <w:multiLevelType w:val="hybridMultilevel"/>
    <w:tmpl w:val="C9C41056"/>
    <w:lvl w:ilvl="0" w:tplc="916657C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AE7C3822"/>
    <w:lvl w:ilvl="0">
      <w:start w:val="1"/>
      <w:numFmt w:val="upperRoman"/>
      <w:pStyle w:val="Title1LevelTitre1Niveau-AltL"/>
      <w:lvlText w:val="%1."/>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6"/>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0822"/>
    <w:rsid w:val="0005778C"/>
    <w:rsid w:val="000578A3"/>
    <w:rsid w:val="000648CC"/>
    <w:rsid w:val="000971B0"/>
    <w:rsid w:val="000A247D"/>
    <w:rsid w:val="000C59B8"/>
    <w:rsid w:val="000C6AF0"/>
    <w:rsid w:val="000E09B2"/>
    <w:rsid w:val="000E325D"/>
    <w:rsid w:val="000E7A69"/>
    <w:rsid w:val="000F197A"/>
    <w:rsid w:val="00104F33"/>
    <w:rsid w:val="00106990"/>
    <w:rsid w:val="00111DE2"/>
    <w:rsid w:val="00116B38"/>
    <w:rsid w:val="0012654C"/>
    <w:rsid w:val="0012698F"/>
    <w:rsid w:val="00135406"/>
    <w:rsid w:val="00135972"/>
    <w:rsid w:val="001426A9"/>
    <w:rsid w:val="00154D7C"/>
    <w:rsid w:val="001555BB"/>
    <w:rsid w:val="001570B0"/>
    <w:rsid w:val="0015752C"/>
    <w:rsid w:val="00157737"/>
    <w:rsid w:val="00165277"/>
    <w:rsid w:val="00170592"/>
    <w:rsid w:val="00172561"/>
    <w:rsid w:val="00182DEA"/>
    <w:rsid w:val="00186351"/>
    <w:rsid w:val="00195D83"/>
    <w:rsid w:val="001A00C1"/>
    <w:rsid w:val="001A5A6B"/>
    <w:rsid w:val="001A64FC"/>
    <w:rsid w:val="001B33E0"/>
    <w:rsid w:val="001B4573"/>
    <w:rsid w:val="001B55F1"/>
    <w:rsid w:val="001B635D"/>
    <w:rsid w:val="001B6F88"/>
    <w:rsid w:val="001C779F"/>
    <w:rsid w:val="001D0477"/>
    <w:rsid w:val="001D2AC1"/>
    <w:rsid w:val="001D4E88"/>
    <w:rsid w:val="00220FC2"/>
    <w:rsid w:val="002222F4"/>
    <w:rsid w:val="00224FC0"/>
    <w:rsid w:val="00225EA4"/>
    <w:rsid w:val="00226EAF"/>
    <w:rsid w:val="00231F3A"/>
    <w:rsid w:val="00234199"/>
    <w:rsid w:val="002406EE"/>
    <w:rsid w:val="00243EC8"/>
    <w:rsid w:val="002502F4"/>
    <w:rsid w:val="00270D93"/>
    <w:rsid w:val="002745CC"/>
    <w:rsid w:val="00275127"/>
    <w:rsid w:val="00287C73"/>
    <w:rsid w:val="002A5497"/>
    <w:rsid w:val="002B7924"/>
    <w:rsid w:val="002D0FAC"/>
    <w:rsid w:val="002D28C3"/>
    <w:rsid w:val="002D39A4"/>
    <w:rsid w:val="002D6F96"/>
    <w:rsid w:val="002E6705"/>
    <w:rsid w:val="002F1D65"/>
    <w:rsid w:val="002F6582"/>
    <w:rsid w:val="00301D08"/>
    <w:rsid w:val="0030329A"/>
    <w:rsid w:val="0031086F"/>
    <w:rsid w:val="0031414C"/>
    <w:rsid w:val="00314E01"/>
    <w:rsid w:val="0032089D"/>
    <w:rsid w:val="003310DE"/>
    <w:rsid w:val="003323B0"/>
    <w:rsid w:val="00336128"/>
    <w:rsid w:val="0035169A"/>
    <w:rsid w:val="0035259D"/>
    <w:rsid w:val="00363B48"/>
    <w:rsid w:val="00364B18"/>
    <w:rsid w:val="003812F3"/>
    <w:rsid w:val="00382715"/>
    <w:rsid w:val="00385AE6"/>
    <w:rsid w:val="0039487B"/>
    <w:rsid w:val="003A125D"/>
    <w:rsid w:val="003A4C70"/>
    <w:rsid w:val="003B215F"/>
    <w:rsid w:val="003B6537"/>
    <w:rsid w:val="003C799C"/>
    <w:rsid w:val="003D0399"/>
    <w:rsid w:val="003E1C71"/>
    <w:rsid w:val="003E6E3F"/>
    <w:rsid w:val="003F327B"/>
    <w:rsid w:val="003F7649"/>
    <w:rsid w:val="00406166"/>
    <w:rsid w:val="0040704B"/>
    <w:rsid w:val="00410A55"/>
    <w:rsid w:val="00411300"/>
    <w:rsid w:val="00415417"/>
    <w:rsid w:val="0041602A"/>
    <w:rsid w:val="00426659"/>
    <w:rsid w:val="00450352"/>
    <w:rsid w:val="00454853"/>
    <w:rsid w:val="00454BDB"/>
    <w:rsid w:val="00464800"/>
    <w:rsid w:val="00465132"/>
    <w:rsid w:val="0047151A"/>
    <w:rsid w:val="004733FF"/>
    <w:rsid w:val="00476B00"/>
    <w:rsid w:val="00480C90"/>
    <w:rsid w:val="0048396F"/>
    <w:rsid w:val="00491602"/>
    <w:rsid w:val="00493C18"/>
    <w:rsid w:val="004A600C"/>
    <w:rsid w:val="004A6118"/>
    <w:rsid w:val="004C3F21"/>
    <w:rsid w:val="004C478D"/>
    <w:rsid w:val="004C6007"/>
    <w:rsid w:val="004E2C26"/>
    <w:rsid w:val="004E4F60"/>
    <w:rsid w:val="004F36FF"/>
    <w:rsid w:val="005017A0"/>
    <w:rsid w:val="005125A8"/>
    <w:rsid w:val="00521AE8"/>
    <w:rsid w:val="00527180"/>
    <w:rsid w:val="0054201E"/>
    <w:rsid w:val="005476BF"/>
    <w:rsid w:val="00547B80"/>
    <w:rsid w:val="00555291"/>
    <w:rsid w:val="0056250A"/>
    <w:rsid w:val="00566AD1"/>
    <w:rsid w:val="0057703D"/>
    <w:rsid w:val="00583EDE"/>
    <w:rsid w:val="00587C57"/>
    <w:rsid w:val="005920CF"/>
    <w:rsid w:val="005953CD"/>
    <w:rsid w:val="005971B0"/>
    <w:rsid w:val="005A5028"/>
    <w:rsid w:val="005A6079"/>
    <w:rsid w:val="005D678B"/>
    <w:rsid w:val="005E381B"/>
    <w:rsid w:val="005E4698"/>
    <w:rsid w:val="005F6F8F"/>
    <w:rsid w:val="005F7CCA"/>
    <w:rsid w:val="00602FCF"/>
    <w:rsid w:val="006046D5"/>
    <w:rsid w:val="00610539"/>
    <w:rsid w:val="00613969"/>
    <w:rsid w:val="006152FC"/>
    <w:rsid w:val="0062210C"/>
    <w:rsid w:val="00625C35"/>
    <w:rsid w:val="00625E85"/>
    <w:rsid w:val="00627C2C"/>
    <w:rsid w:val="00656313"/>
    <w:rsid w:val="006565F4"/>
    <w:rsid w:val="0066752F"/>
    <w:rsid w:val="00667916"/>
    <w:rsid w:val="0067082D"/>
    <w:rsid w:val="00682898"/>
    <w:rsid w:val="00684EEA"/>
    <w:rsid w:val="006951D6"/>
    <w:rsid w:val="0069689B"/>
    <w:rsid w:val="006A1551"/>
    <w:rsid w:val="006A7242"/>
    <w:rsid w:val="006B5FF5"/>
    <w:rsid w:val="006D0A98"/>
    <w:rsid w:val="006D75E4"/>
    <w:rsid w:val="006F11F2"/>
    <w:rsid w:val="006F30AF"/>
    <w:rsid w:val="00701759"/>
    <w:rsid w:val="0070582E"/>
    <w:rsid w:val="00705C15"/>
    <w:rsid w:val="0071600E"/>
    <w:rsid w:val="007208D1"/>
    <w:rsid w:val="0074547C"/>
    <w:rsid w:val="00745F78"/>
    <w:rsid w:val="00747288"/>
    <w:rsid w:val="00747DD3"/>
    <w:rsid w:val="007549C8"/>
    <w:rsid w:val="00754A0B"/>
    <w:rsid w:val="00756F9B"/>
    <w:rsid w:val="007625F3"/>
    <w:rsid w:val="00766D14"/>
    <w:rsid w:val="00767A0F"/>
    <w:rsid w:val="007703F9"/>
    <w:rsid w:val="007826A8"/>
    <w:rsid w:val="007A05F6"/>
    <w:rsid w:val="007B51BF"/>
    <w:rsid w:val="007B6F4A"/>
    <w:rsid w:val="007E1C47"/>
    <w:rsid w:val="007E337A"/>
    <w:rsid w:val="007E5C70"/>
    <w:rsid w:val="007F2FF5"/>
    <w:rsid w:val="007F3F08"/>
    <w:rsid w:val="0080188D"/>
    <w:rsid w:val="00803185"/>
    <w:rsid w:val="00804CC6"/>
    <w:rsid w:val="00810177"/>
    <w:rsid w:val="00814577"/>
    <w:rsid w:val="00817190"/>
    <w:rsid w:val="00820EE5"/>
    <w:rsid w:val="008260E2"/>
    <w:rsid w:val="008322BD"/>
    <w:rsid w:val="00833E0A"/>
    <w:rsid w:val="00834F73"/>
    <w:rsid w:val="00836B65"/>
    <w:rsid w:val="008405DF"/>
    <w:rsid w:val="008424C0"/>
    <w:rsid w:val="00844602"/>
    <w:rsid w:val="00864CF8"/>
    <w:rsid w:val="00867B31"/>
    <w:rsid w:val="00872819"/>
    <w:rsid w:val="00874914"/>
    <w:rsid w:val="00877B6B"/>
    <w:rsid w:val="00891422"/>
    <w:rsid w:val="008915C0"/>
    <w:rsid w:val="00892E1A"/>
    <w:rsid w:val="008A3D1D"/>
    <w:rsid w:val="008A3F29"/>
    <w:rsid w:val="008B660A"/>
    <w:rsid w:val="008C01DA"/>
    <w:rsid w:val="008D3AA9"/>
    <w:rsid w:val="008D45CD"/>
    <w:rsid w:val="008F78E9"/>
    <w:rsid w:val="00904D8D"/>
    <w:rsid w:val="00906570"/>
    <w:rsid w:val="00911989"/>
    <w:rsid w:val="009179F9"/>
    <w:rsid w:val="00933E5E"/>
    <w:rsid w:val="00935218"/>
    <w:rsid w:val="009403F3"/>
    <w:rsid w:val="00942979"/>
    <w:rsid w:val="009555B7"/>
    <w:rsid w:val="009567AA"/>
    <w:rsid w:val="0096387F"/>
    <w:rsid w:val="00967374"/>
    <w:rsid w:val="009947E4"/>
    <w:rsid w:val="009A343A"/>
    <w:rsid w:val="009B2F23"/>
    <w:rsid w:val="009B565D"/>
    <w:rsid w:val="009B57B3"/>
    <w:rsid w:val="009C5B92"/>
    <w:rsid w:val="009C6FEE"/>
    <w:rsid w:val="009D17A1"/>
    <w:rsid w:val="009D2920"/>
    <w:rsid w:val="009D5AEB"/>
    <w:rsid w:val="009F0E33"/>
    <w:rsid w:val="00A030CE"/>
    <w:rsid w:val="00A0779E"/>
    <w:rsid w:val="00A149DF"/>
    <w:rsid w:val="00A1755C"/>
    <w:rsid w:val="00A21B90"/>
    <w:rsid w:val="00A376F5"/>
    <w:rsid w:val="00A41805"/>
    <w:rsid w:val="00A42DCD"/>
    <w:rsid w:val="00A47B68"/>
    <w:rsid w:val="00A52A9A"/>
    <w:rsid w:val="00A52AFB"/>
    <w:rsid w:val="00A53AE8"/>
    <w:rsid w:val="00A548CB"/>
    <w:rsid w:val="00A5521C"/>
    <w:rsid w:val="00A61364"/>
    <w:rsid w:val="00A643E7"/>
    <w:rsid w:val="00A64DC7"/>
    <w:rsid w:val="00A65ECE"/>
    <w:rsid w:val="00A73C38"/>
    <w:rsid w:val="00A76B8A"/>
    <w:rsid w:val="00A804CE"/>
    <w:rsid w:val="00A82546"/>
    <w:rsid w:val="00AB670D"/>
    <w:rsid w:val="00AB6DEE"/>
    <w:rsid w:val="00AD3C0F"/>
    <w:rsid w:val="00AE4535"/>
    <w:rsid w:val="00AE4BCC"/>
    <w:rsid w:val="00AF03C5"/>
    <w:rsid w:val="00AF3BA2"/>
    <w:rsid w:val="00AF6751"/>
    <w:rsid w:val="00B000D8"/>
    <w:rsid w:val="00B00F75"/>
    <w:rsid w:val="00B145B6"/>
    <w:rsid w:val="00B22768"/>
    <w:rsid w:val="00B279EB"/>
    <w:rsid w:val="00B367E8"/>
    <w:rsid w:val="00B37664"/>
    <w:rsid w:val="00B50C81"/>
    <w:rsid w:val="00B53241"/>
    <w:rsid w:val="00B557F8"/>
    <w:rsid w:val="00B613D0"/>
    <w:rsid w:val="00B67317"/>
    <w:rsid w:val="00B7121E"/>
    <w:rsid w:val="00B815FC"/>
    <w:rsid w:val="00B93FBC"/>
    <w:rsid w:val="00B9593F"/>
    <w:rsid w:val="00BA7C42"/>
    <w:rsid w:val="00BA7DA0"/>
    <w:rsid w:val="00BB0ADC"/>
    <w:rsid w:val="00BB2EE4"/>
    <w:rsid w:val="00BC2108"/>
    <w:rsid w:val="00BD0E9E"/>
    <w:rsid w:val="00BD1BEC"/>
    <w:rsid w:val="00BD32FF"/>
    <w:rsid w:val="00BE5502"/>
    <w:rsid w:val="00BF4699"/>
    <w:rsid w:val="00C02092"/>
    <w:rsid w:val="00C04DD2"/>
    <w:rsid w:val="00C21916"/>
    <w:rsid w:val="00C24D91"/>
    <w:rsid w:val="00C34666"/>
    <w:rsid w:val="00C53F14"/>
    <w:rsid w:val="00C600CF"/>
    <w:rsid w:val="00C6084F"/>
    <w:rsid w:val="00C62A66"/>
    <w:rsid w:val="00C71458"/>
    <w:rsid w:val="00C7308C"/>
    <w:rsid w:val="00C77613"/>
    <w:rsid w:val="00C80E6D"/>
    <w:rsid w:val="00C828E7"/>
    <w:rsid w:val="00C86719"/>
    <w:rsid w:val="00C921DD"/>
    <w:rsid w:val="00CA6391"/>
    <w:rsid w:val="00CC286E"/>
    <w:rsid w:val="00CC34BD"/>
    <w:rsid w:val="00CC41D0"/>
    <w:rsid w:val="00CC7869"/>
    <w:rsid w:val="00CE161A"/>
    <w:rsid w:val="00CE3171"/>
    <w:rsid w:val="00CE52B9"/>
    <w:rsid w:val="00CF1601"/>
    <w:rsid w:val="00D0172F"/>
    <w:rsid w:val="00D068A7"/>
    <w:rsid w:val="00D17476"/>
    <w:rsid w:val="00D2516B"/>
    <w:rsid w:val="00D32086"/>
    <w:rsid w:val="00D37A3F"/>
    <w:rsid w:val="00D4431D"/>
    <w:rsid w:val="00D4667A"/>
    <w:rsid w:val="00D47B93"/>
    <w:rsid w:val="00D63A1C"/>
    <w:rsid w:val="00D7516F"/>
    <w:rsid w:val="00D81522"/>
    <w:rsid w:val="00D8579F"/>
    <w:rsid w:val="00D936BC"/>
    <w:rsid w:val="00D95F8E"/>
    <w:rsid w:val="00DA0590"/>
    <w:rsid w:val="00DA50B7"/>
    <w:rsid w:val="00DB5E35"/>
    <w:rsid w:val="00DB7BEA"/>
    <w:rsid w:val="00DC1739"/>
    <w:rsid w:val="00DC1788"/>
    <w:rsid w:val="00DD5784"/>
    <w:rsid w:val="00DE319C"/>
    <w:rsid w:val="00DE5748"/>
    <w:rsid w:val="00DF0CA8"/>
    <w:rsid w:val="00DF2B48"/>
    <w:rsid w:val="00DF49A7"/>
    <w:rsid w:val="00E07EE2"/>
    <w:rsid w:val="00E07FD1"/>
    <w:rsid w:val="00E176D8"/>
    <w:rsid w:val="00E24573"/>
    <w:rsid w:val="00E25276"/>
    <w:rsid w:val="00E25E1E"/>
    <w:rsid w:val="00E273A3"/>
    <w:rsid w:val="00E27EE7"/>
    <w:rsid w:val="00E30248"/>
    <w:rsid w:val="00E35404"/>
    <w:rsid w:val="00E44099"/>
    <w:rsid w:val="00E45109"/>
    <w:rsid w:val="00E45F75"/>
    <w:rsid w:val="00E47B7A"/>
    <w:rsid w:val="00E529AE"/>
    <w:rsid w:val="00E56722"/>
    <w:rsid w:val="00E56A44"/>
    <w:rsid w:val="00E60269"/>
    <w:rsid w:val="00E66F3C"/>
    <w:rsid w:val="00E77932"/>
    <w:rsid w:val="00E97830"/>
    <w:rsid w:val="00EA2958"/>
    <w:rsid w:val="00EA5579"/>
    <w:rsid w:val="00EA762B"/>
    <w:rsid w:val="00EE643C"/>
    <w:rsid w:val="00EF0683"/>
    <w:rsid w:val="00EF69D2"/>
    <w:rsid w:val="00EF766E"/>
    <w:rsid w:val="00EF7FEC"/>
    <w:rsid w:val="00F0070C"/>
    <w:rsid w:val="00F00EB7"/>
    <w:rsid w:val="00F12330"/>
    <w:rsid w:val="00F218B2"/>
    <w:rsid w:val="00F317D5"/>
    <w:rsid w:val="00F36AB6"/>
    <w:rsid w:val="00F37A09"/>
    <w:rsid w:val="00F409CE"/>
    <w:rsid w:val="00F4379D"/>
    <w:rsid w:val="00F4512E"/>
    <w:rsid w:val="00F50D2D"/>
    <w:rsid w:val="00F56C8B"/>
    <w:rsid w:val="00F66810"/>
    <w:rsid w:val="00F846D9"/>
    <w:rsid w:val="00F84DF4"/>
    <w:rsid w:val="00F8537A"/>
    <w:rsid w:val="00F85C97"/>
    <w:rsid w:val="00F87A96"/>
    <w:rsid w:val="00FA33F0"/>
    <w:rsid w:val="00FB055A"/>
    <w:rsid w:val="00FB37D2"/>
    <w:rsid w:val="00FC021D"/>
    <w:rsid w:val="00FC347B"/>
    <w:rsid w:val="00FC4EFB"/>
    <w:rsid w:val="00FD068D"/>
    <w:rsid w:val="00FD4F28"/>
    <w:rsid w:val="00FD7D43"/>
    <w:rsid w:val="00FE6784"/>
    <w:rsid w:val="00FF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5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F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1B55F1"/>
    <w:rPr>
      <w:sz w:val="16"/>
      <w:szCs w:val="16"/>
    </w:rPr>
  </w:style>
  <w:style w:type="paragraph" w:styleId="CommentText">
    <w:name w:val="annotation text"/>
    <w:basedOn w:val="Normal"/>
    <w:link w:val="CommentTextChar"/>
    <w:uiPriority w:val="99"/>
    <w:unhideWhenUsed/>
    <w:rsid w:val="001B55F1"/>
    <w:rPr>
      <w:sz w:val="20"/>
    </w:rPr>
  </w:style>
  <w:style w:type="character" w:customStyle="1" w:styleId="CommentTextChar">
    <w:name w:val="Comment Text Char"/>
    <w:basedOn w:val="DefaultParagraphFont"/>
    <w:link w:val="CommentText"/>
    <w:uiPriority w:val="99"/>
    <w:rsid w:val="001B55F1"/>
  </w:style>
  <w:style w:type="paragraph" w:styleId="CommentSubject">
    <w:name w:val="annotation subject"/>
    <w:basedOn w:val="CommentText"/>
    <w:next w:val="CommentText"/>
    <w:link w:val="CommentSubjectChar"/>
    <w:uiPriority w:val="99"/>
    <w:semiHidden/>
    <w:unhideWhenUsed/>
    <w:rsid w:val="001B55F1"/>
    <w:rPr>
      <w:b/>
      <w:bCs/>
    </w:rPr>
  </w:style>
  <w:style w:type="character" w:customStyle="1" w:styleId="CommentSubjectChar">
    <w:name w:val="Comment Subject Char"/>
    <w:basedOn w:val="CommentTextChar"/>
    <w:link w:val="CommentSubject"/>
    <w:uiPriority w:val="99"/>
    <w:semiHidden/>
    <w:rsid w:val="001B55F1"/>
    <w:rPr>
      <w:b/>
      <w:bCs/>
    </w:rPr>
  </w:style>
  <w:style w:type="paragraph" w:styleId="FootnoteText">
    <w:name w:val="footnote text"/>
    <w:basedOn w:val="Normal"/>
    <w:link w:val="FootnoteTextChar"/>
    <w:uiPriority w:val="99"/>
    <w:unhideWhenUsed/>
    <w:rsid w:val="00FC021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C021D"/>
  </w:style>
  <w:style w:type="paragraph" w:customStyle="1" w:styleId="SCCLsocOtherPartyRoleSeparator">
    <w:name w:val="SCC.Lsoc.OtherPartyRoleSeparator"/>
    <w:basedOn w:val="Normal"/>
    <w:next w:val="Normal"/>
    <w:link w:val="SCCLsocOtherPartyRoleSeparatorChar"/>
    <w:rsid w:val="0080188D"/>
    <w:pPr>
      <w:spacing w:after="480"/>
    </w:pPr>
    <w:rPr>
      <w:rFonts w:eastAsiaTheme="minorHAnsi" w:cstheme="minorBidi"/>
      <w:szCs w:val="22"/>
      <w:lang w:eastAsia="en-US"/>
    </w:rPr>
  </w:style>
  <w:style w:type="paragraph" w:customStyle="1" w:styleId="SCCCoram">
    <w:name w:val="SCC.Coram"/>
    <w:basedOn w:val="Normal"/>
    <w:next w:val="Normal"/>
    <w:link w:val="SCCCoramChar"/>
    <w:rsid w:val="0080188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0188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0188D"/>
    <w:rPr>
      <w:rFonts w:eastAsiaTheme="minorHAnsi" w:cstheme="minorBidi"/>
      <w:sz w:val="24"/>
      <w:szCs w:val="22"/>
      <w:lang w:eastAsia="en-US"/>
    </w:rPr>
  </w:style>
  <w:style w:type="character" w:customStyle="1" w:styleId="SCCBanSummaryChar">
    <w:name w:val="SCC.BanSummary Char"/>
    <w:basedOn w:val="DefaultParagraphFont"/>
    <w:link w:val="SCCBanSummary"/>
    <w:rsid w:val="0080188D"/>
    <w:rPr>
      <w:b/>
      <w:sz w:val="24"/>
    </w:rPr>
  </w:style>
  <w:style w:type="table" w:styleId="TableGrid">
    <w:name w:val="Table Grid"/>
    <w:basedOn w:val="TableNormal"/>
    <w:uiPriority w:val="59"/>
    <w:rsid w:val="0080188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0188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0188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0188D"/>
    <w:pPr>
      <w:tabs>
        <w:tab w:val="left" w:pos="1166"/>
      </w:tabs>
      <w:spacing w:after="480" w:line="480" w:lineRule="auto"/>
    </w:pPr>
    <w:rPr>
      <w:smallCaps/>
      <w:sz w:val="24"/>
      <w:szCs w:val="24"/>
    </w:rPr>
  </w:style>
  <w:style w:type="paragraph" w:customStyle="1" w:styleId="ParaNoNdepar-AltN">
    <w:name w:val="Para. No. / Nº de par. - Alt N"/>
    <w:qFormat/>
    <w:rsid w:val="0080188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0188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0188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0188D"/>
    <w:pPr>
      <w:numPr>
        <w:ilvl w:val="2"/>
      </w:numPr>
      <w:outlineLvl w:val="2"/>
    </w:pPr>
  </w:style>
  <w:style w:type="paragraph" w:customStyle="1" w:styleId="Title4LevelTitre4Niveau">
    <w:name w:val="Title 4 Level / Titre 4 Niveau"/>
    <w:basedOn w:val="Title3LevelTitre3Niveau"/>
    <w:next w:val="ParaNoNdepar-AltN"/>
    <w:uiPriority w:val="4"/>
    <w:qFormat/>
    <w:rsid w:val="0080188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0188D"/>
    <w:pPr>
      <w:numPr>
        <w:ilvl w:val="4"/>
      </w:numPr>
      <w:outlineLvl w:val="4"/>
    </w:pPr>
  </w:style>
  <w:style w:type="paragraph" w:styleId="TOC1">
    <w:name w:val="toc 1"/>
    <w:basedOn w:val="Normal"/>
    <w:next w:val="Normal"/>
    <w:autoRedefine/>
    <w:uiPriority w:val="39"/>
    <w:unhideWhenUsed/>
    <w:rsid w:val="0080188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0188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0188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0188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0188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0188D"/>
    <w:pPr>
      <w:tabs>
        <w:tab w:val="left" w:pos="2160"/>
        <w:tab w:val="right" w:leader="dot" w:pos="8270"/>
      </w:tabs>
      <w:spacing w:after="100"/>
      <w:ind w:left="1800"/>
    </w:pPr>
    <w:rPr>
      <w:noProof/>
    </w:rPr>
  </w:style>
  <w:style w:type="table" w:customStyle="1" w:styleId="TableGrid1">
    <w:name w:val="Table Grid1"/>
    <w:basedOn w:val="TableNormal"/>
    <w:uiPriority w:val="59"/>
    <w:rsid w:val="0080188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0188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0188D"/>
    <w:pPr>
      <w:numPr>
        <w:ilvl w:val="5"/>
      </w:numPr>
      <w:outlineLvl w:val="5"/>
    </w:pPr>
    <w:rPr>
      <w:i/>
      <w:u w:val="none"/>
    </w:rPr>
  </w:style>
  <w:style w:type="character" w:styleId="FootnoteReference">
    <w:name w:val="footnote reference"/>
    <w:basedOn w:val="DefaultParagraphFont"/>
    <w:uiPriority w:val="99"/>
    <w:semiHidden/>
    <w:unhideWhenUsed/>
    <w:rsid w:val="0080188D"/>
    <w:rPr>
      <w:vertAlign w:val="superscript"/>
    </w:rPr>
  </w:style>
  <w:style w:type="paragraph" w:styleId="Revision">
    <w:name w:val="Revision"/>
    <w:hidden/>
    <w:uiPriority w:val="99"/>
    <w:semiHidden/>
    <w:rsid w:val="0080188D"/>
    <w:rPr>
      <w:sz w:val="24"/>
      <w:szCs w:val="24"/>
    </w:rPr>
  </w:style>
  <w:style w:type="table" w:customStyle="1" w:styleId="TableGrid2">
    <w:name w:val="Table Grid2"/>
    <w:basedOn w:val="TableNormal"/>
    <w:next w:val="TableGrid"/>
    <w:uiPriority w:val="59"/>
    <w:rsid w:val="0080188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F4B6-C290-4DFB-A90C-AEC51A25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13954</Words>
  <Characters>76747</Characters>
  <Application>Microsoft Office Word</Application>
  <DocSecurity>0</DocSecurity>
  <Lines>639</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2021-05-18T18:23:00Z</dcterms:created>
  <dcterms:modified xsi:type="dcterms:W3CDTF">2023-03-14T18:47:00Z</dcterms:modified>
</cp:coreProperties>
</file>