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946"/>
        <w:gridCol w:w="1973"/>
        <w:gridCol w:w="3420"/>
        <w:gridCol w:w="21"/>
      </w:tblGrid>
      <w:tr w:rsidR="007F663E" w:rsidTr="007F663E">
        <w:trPr>
          <w:trHeight w:val="1784"/>
        </w:trPr>
        <w:tc>
          <w:tcPr>
            <w:tcW w:w="5000" w:type="pct"/>
            <w:gridSpan w:val="4"/>
            <w:hideMark/>
          </w:tcPr>
          <w:p w:rsidR="007F663E" w:rsidRDefault="007F663E">
            <w:pPr>
              <w:jc w:val="center"/>
            </w:pPr>
            <w:r>
              <w:rPr>
                <w:rFonts w:eastAsia="Calibri"/>
              </w:rPr>
              <w:object w:dxaOrig="1236"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1.8pt;height:64.2pt" o:ole="">
                  <v:imagedata r:id="rId7" o:title=""/>
                </v:shape>
                <o:OLEObject Type="Embed" ProgID="Presentations.Drawing.15" ShapeID="_x0000_i1031" DrawAspect="Content" ObjectID="_1760191690" r:id="rId8"/>
              </w:object>
            </w:r>
          </w:p>
          <w:p w:rsidR="007F663E" w:rsidRDefault="007F663E">
            <w:pPr>
              <w:spacing w:before="120" w:after="100" w:afterAutospacing="1"/>
              <w:jc w:val="center"/>
              <w:rPr>
                <w:rFonts w:eastAsia="Calibri"/>
              </w:rPr>
            </w:pPr>
            <w:r>
              <w:rPr>
                <w:rFonts w:eastAsia="Calibri"/>
                <w:b/>
              </w:rPr>
              <w:t>SUPREME COURT OF CANADA</w:t>
            </w:r>
          </w:p>
        </w:tc>
      </w:tr>
      <w:tr w:rsidR="007F663E" w:rsidTr="007F663E">
        <w:trPr>
          <w:gridAfter w:val="1"/>
          <w:wAfter w:w="11" w:type="pct"/>
        </w:trPr>
        <w:tc>
          <w:tcPr>
            <w:tcW w:w="2108" w:type="pct"/>
            <w:tcMar>
              <w:top w:w="284" w:type="dxa"/>
              <w:left w:w="57" w:type="dxa"/>
              <w:bottom w:w="57" w:type="dxa"/>
              <w:right w:w="57" w:type="dxa"/>
            </w:tcMar>
            <w:hideMark/>
          </w:tcPr>
          <w:p w:rsidR="007F663E" w:rsidRDefault="007F663E">
            <w:pPr>
              <w:spacing w:before="100" w:beforeAutospacing="1"/>
              <w:rPr>
                <w:rFonts w:eastAsia="Calibri"/>
                <w:lang w:val="en-US"/>
              </w:rPr>
            </w:pPr>
            <w:r>
              <w:rPr>
                <w:b/>
                <w:smallCaps/>
                <w:lang w:val="en-US"/>
              </w:rPr>
              <w:t>Citation:</w:t>
            </w:r>
            <w:r>
              <w:rPr>
                <w:lang w:val="en-US"/>
              </w:rPr>
              <w:t xml:space="preserve"> </w:t>
            </w:r>
            <w:r>
              <w:rPr>
                <w:bCs/>
                <w:color w:val="000000"/>
                <w:shd w:val="clear" w:color="auto" w:fill="FFFFFF"/>
              </w:rPr>
              <w:t xml:space="preserve">R. </w:t>
            </w:r>
            <w:r>
              <w:rPr>
                <w:bCs/>
                <w:i/>
                <w:color w:val="000000"/>
                <w:shd w:val="clear" w:color="auto" w:fill="FFFFFF"/>
              </w:rPr>
              <w:t>v.</w:t>
            </w:r>
            <w:r>
              <w:rPr>
                <w:bCs/>
                <w:color w:val="000000"/>
                <w:shd w:val="clear" w:color="auto" w:fill="FFFFFF"/>
              </w:rPr>
              <w:t xml:space="preserve"> Kishayinew,</w:t>
            </w:r>
            <w:r>
              <w:t xml:space="preserve"> 2020 SCC 34</w:t>
            </w:r>
            <w:r>
              <w:t>, [2020] 3 S.C.R. 502</w:t>
            </w:r>
            <w:bookmarkStart w:id="0" w:name="_GoBack"/>
            <w:bookmarkEnd w:id="0"/>
          </w:p>
        </w:tc>
        <w:tc>
          <w:tcPr>
            <w:tcW w:w="1054" w:type="pct"/>
          </w:tcPr>
          <w:p w:rsidR="007F663E" w:rsidRDefault="007F663E">
            <w:pPr>
              <w:rPr>
                <w:b/>
                <w:smallCaps/>
                <w:lang w:val="en-US"/>
              </w:rPr>
            </w:pPr>
          </w:p>
        </w:tc>
        <w:tc>
          <w:tcPr>
            <w:tcW w:w="1827" w:type="pct"/>
            <w:tcMar>
              <w:top w:w="284" w:type="dxa"/>
              <w:left w:w="57" w:type="dxa"/>
              <w:bottom w:w="57" w:type="dxa"/>
              <w:right w:w="57" w:type="dxa"/>
            </w:tcMar>
            <w:hideMark/>
          </w:tcPr>
          <w:p w:rsidR="007F663E" w:rsidRDefault="007F663E">
            <w:r>
              <w:rPr>
                <w:b/>
                <w:smallCaps/>
              </w:rPr>
              <w:t>Appeal Heard:</w:t>
            </w:r>
            <w:r>
              <w:t xml:space="preserve"> November 5, 2020 </w:t>
            </w:r>
          </w:p>
          <w:p w:rsidR="007F663E" w:rsidRDefault="007F663E">
            <w:r>
              <w:rPr>
                <w:b/>
                <w:smallCaps/>
              </w:rPr>
              <w:t xml:space="preserve">Judgment Rendered: </w:t>
            </w:r>
            <w:r>
              <w:t>November 5, 2020</w:t>
            </w:r>
          </w:p>
          <w:p w:rsidR="007F663E" w:rsidRDefault="007F663E">
            <w:r>
              <w:rPr>
                <w:b/>
                <w:smallCaps/>
              </w:rPr>
              <w:t>Docket:</w:t>
            </w:r>
            <w:r>
              <w:t xml:space="preserve"> 38962</w:t>
            </w:r>
          </w:p>
        </w:tc>
      </w:tr>
      <w:tr w:rsidR="007F663E" w:rsidTr="007F663E">
        <w:tc>
          <w:tcPr>
            <w:tcW w:w="5000" w:type="pct"/>
            <w:gridSpan w:val="4"/>
          </w:tcPr>
          <w:p w:rsidR="007F663E" w:rsidRDefault="007F663E">
            <w:pPr>
              <w:rPr>
                <w:b/>
              </w:rPr>
            </w:pPr>
          </w:p>
          <w:p w:rsidR="007F663E" w:rsidRDefault="007F663E">
            <w:pPr>
              <w:rPr>
                <w:b/>
                <w:smallCaps/>
              </w:rPr>
            </w:pPr>
            <w:r>
              <w:rPr>
                <w:b/>
                <w:smallCaps/>
              </w:rPr>
              <w:t>Between:</w:t>
            </w:r>
          </w:p>
          <w:p w:rsidR="007F663E" w:rsidRDefault="007F663E"/>
          <w:p w:rsidR="007F663E" w:rsidRDefault="007F663E">
            <w:pPr>
              <w:pStyle w:val="SCCLsocParty"/>
            </w:pPr>
            <w:r>
              <w:t>Her Majesty The Queen</w:t>
            </w:r>
          </w:p>
          <w:p w:rsidR="007F663E" w:rsidRDefault="007F663E">
            <w:pPr>
              <w:pStyle w:val="SCCLsocPartyRole"/>
            </w:pPr>
            <w:r>
              <w:t>Appellant</w:t>
            </w:r>
          </w:p>
          <w:p w:rsidR="007F663E" w:rsidRDefault="007F663E"/>
          <w:p w:rsidR="007F663E" w:rsidRDefault="007F663E">
            <w:pPr>
              <w:pStyle w:val="SCCLsocVersus"/>
            </w:pPr>
            <w:r>
              <w:t>and</w:t>
            </w:r>
          </w:p>
          <w:p w:rsidR="007F663E" w:rsidRDefault="007F663E"/>
          <w:p w:rsidR="007F663E" w:rsidRDefault="007F663E">
            <w:pPr>
              <w:pStyle w:val="SCCLsocParty"/>
            </w:pPr>
            <w:r>
              <w:t>Monty Shane Kishayinew</w:t>
            </w:r>
          </w:p>
          <w:p w:rsidR="007F663E" w:rsidRDefault="007F663E">
            <w:pPr>
              <w:pStyle w:val="SCCLsocPartyRole"/>
            </w:pPr>
            <w:r>
              <w:t>Respondent</w:t>
            </w:r>
          </w:p>
          <w:p w:rsidR="007F663E" w:rsidRDefault="007F663E">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2269"/>
        <w:gridCol w:w="7091"/>
      </w:tblGrid>
      <w:tr w:rsidR="007F663E" w:rsidRPr="007F663E" w:rsidTr="007F663E">
        <w:trPr>
          <w:cantSplit/>
          <w:trHeight w:val="508"/>
        </w:trPr>
        <w:tc>
          <w:tcPr>
            <w:tcW w:w="5000" w:type="pct"/>
            <w:gridSpan w:val="2"/>
            <w:tcMar>
              <w:top w:w="284" w:type="dxa"/>
              <w:left w:w="58" w:type="dxa"/>
              <w:bottom w:w="57" w:type="dxa"/>
              <w:right w:w="58" w:type="dxa"/>
            </w:tcMar>
            <w:vAlign w:val="center"/>
          </w:tcPr>
          <w:p w:rsidR="007F663E" w:rsidRDefault="007F663E">
            <w:r>
              <w:rPr>
                <w:b/>
                <w:smallCaps/>
              </w:rPr>
              <w:t>Coram:</w:t>
            </w:r>
            <w:r>
              <w:t xml:space="preserve"> Moldaver, Côté, Rowe, Martin and Kasirer</w:t>
            </w:r>
            <w:r>
              <w:rPr>
                <w:rFonts w:eastAsiaTheme="minorHAnsi" w:cstheme="minorBidi"/>
              </w:rPr>
              <w:t> JJ.</w:t>
            </w:r>
          </w:p>
          <w:p w:rsidR="007F663E" w:rsidRDefault="007F663E"/>
        </w:tc>
      </w:tr>
      <w:tr w:rsidR="007F663E" w:rsidTr="007F663E">
        <w:trPr>
          <w:cantSplit/>
          <w:trHeight w:val="508"/>
        </w:trPr>
        <w:tc>
          <w:tcPr>
            <w:tcW w:w="1212" w:type="pct"/>
            <w:tcMar>
              <w:top w:w="28" w:type="dxa"/>
              <w:left w:w="57" w:type="dxa"/>
              <w:bottom w:w="57" w:type="dxa"/>
              <w:right w:w="57" w:type="dxa"/>
            </w:tcMar>
            <w:vAlign w:val="center"/>
            <w:hideMark/>
          </w:tcPr>
          <w:p w:rsidR="007F663E" w:rsidRDefault="007F663E">
            <w:pPr>
              <w:spacing w:before="120"/>
              <w:rPr>
                <w:smallCaps/>
              </w:rPr>
            </w:pPr>
            <w:r>
              <w:rPr>
                <w:b/>
                <w:smallCaps/>
              </w:rPr>
              <w:t>Judgment Read By:</w:t>
            </w:r>
          </w:p>
          <w:p w:rsidR="007F663E" w:rsidRDefault="007F663E">
            <w:pPr>
              <w:rPr>
                <w:b/>
                <w:smallCaps/>
              </w:rPr>
            </w:pPr>
            <w:r>
              <w:t>(paras. 1 to 3)</w:t>
            </w:r>
          </w:p>
        </w:tc>
        <w:tc>
          <w:tcPr>
            <w:tcW w:w="3788" w:type="pct"/>
            <w:tcMar>
              <w:top w:w="28" w:type="dxa"/>
              <w:left w:w="57" w:type="dxa"/>
              <w:bottom w:w="57" w:type="dxa"/>
              <w:right w:w="57" w:type="dxa"/>
            </w:tcMar>
            <w:vAlign w:val="center"/>
            <w:hideMark/>
          </w:tcPr>
          <w:p w:rsidR="007F663E" w:rsidRDefault="007F663E">
            <w:pPr>
              <w:spacing w:before="120"/>
            </w:pPr>
            <w:r>
              <w:rPr>
                <w:lang w:val="en-US"/>
              </w:rPr>
              <w:t xml:space="preserve">Moldaver </w:t>
            </w:r>
            <w:r>
              <w:t>J.</w:t>
            </w:r>
          </w:p>
        </w:tc>
      </w:tr>
      <w:tr w:rsidR="007F663E" w:rsidRPr="007F663E" w:rsidTr="007F663E">
        <w:trPr>
          <w:cantSplit/>
          <w:trHeight w:val="508"/>
        </w:trPr>
        <w:tc>
          <w:tcPr>
            <w:tcW w:w="1212" w:type="pct"/>
            <w:tcMar>
              <w:top w:w="28" w:type="dxa"/>
              <w:left w:w="57" w:type="dxa"/>
              <w:bottom w:w="57" w:type="dxa"/>
              <w:right w:w="57" w:type="dxa"/>
            </w:tcMar>
            <w:vAlign w:val="center"/>
            <w:hideMark/>
          </w:tcPr>
          <w:p w:rsidR="007F663E" w:rsidRDefault="007F663E">
            <w:pPr>
              <w:spacing w:before="120"/>
              <w:rPr>
                <w:b/>
                <w:smallCaps/>
              </w:rPr>
            </w:pPr>
            <w:r>
              <w:rPr>
                <w:b/>
                <w:smallCaps/>
              </w:rPr>
              <w:t>Majority:</w:t>
            </w:r>
          </w:p>
        </w:tc>
        <w:tc>
          <w:tcPr>
            <w:tcW w:w="3788" w:type="pct"/>
            <w:tcMar>
              <w:top w:w="28" w:type="dxa"/>
              <w:left w:w="57" w:type="dxa"/>
              <w:bottom w:w="57" w:type="dxa"/>
              <w:right w:w="57" w:type="dxa"/>
            </w:tcMar>
            <w:vAlign w:val="center"/>
            <w:hideMark/>
          </w:tcPr>
          <w:p w:rsidR="007F663E" w:rsidRDefault="007F663E">
            <w:pPr>
              <w:rPr>
                <w:lang w:val="en-US"/>
              </w:rPr>
            </w:pPr>
            <w:r>
              <w:t>Moldaver, Rowe, Martin and Kasirer </w:t>
            </w:r>
            <w:r>
              <w:rPr>
                <w:lang w:val="en-US"/>
              </w:rPr>
              <w:t xml:space="preserve">JJ. </w:t>
            </w:r>
          </w:p>
        </w:tc>
      </w:tr>
      <w:tr w:rsidR="007F663E" w:rsidTr="007F663E">
        <w:trPr>
          <w:cantSplit/>
          <w:trHeight w:val="508"/>
        </w:trPr>
        <w:tc>
          <w:tcPr>
            <w:tcW w:w="1212" w:type="pct"/>
            <w:tcMar>
              <w:top w:w="28" w:type="dxa"/>
              <w:left w:w="57" w:type="dxa"/>
              <w:bottom w:w="57" w:type="dxa"/>
              <w:right w:w="57" w:type="dxa"/>
            </w:tcMar>
            <w:vAlign w:val="center"/>
            <w:hideMark/>
          </w:tcPr>
          <w:p w:rsidR="007F663E" w:rsidRDefault="007F663E">
            <w:pPr>
              <w:spacing w:before="120"/>
              <w:rPr>
                <w:b/>
                <w:smallCaps/>
              </w:rPr>
            </w:pPr>
            <w:r>
              <w:rPr>
                <w:b/>
                <w:smallCaps/>
              </w:rPr>
              <w:t>Dissent:</w:t>
            </w:r>
          </w:p>
        </w:tc>
        <w:tc>
          <w:tcPr>
            <w:tcW w:w="3788" w:type="pct"/>
            <w:tcMar>
              <w:top w:w="28" w:type="dxa"/>
              <w:left w:w="57" w:type="dxa"/>
              <w:bottom w:w="57" w:type="dxa"/>
              <w:right w:w="57" w:type="dxa"/>
            </w:tcMar>
            <w:vAlign w:val="center"/>
            <w:hideMark/>
          </w:tcPr>
          <w:p w:rsidR="007F663E" w:rsidRDefault="007F663E">
            <w:pPr>
              <w:spacing w:before="120"/>
            </w:pPr>
            <w:r>
              <w:rPr>
                <w:rFonts w:eastAsia="Times New Roman"/>
                <w:szCs w:val="20"/>
                <w:lang w:eastAsia="en-CA"/>
              </w:rPr>
              <w:t xml:space="preserve">Côté </w:t>
            </w:r>
            <w:r>
              <w:t>J.</w:t>
            </w:r>
          </w:p>
        </w:tc>
      </w:tr>
    </w:tbl>
    <w:p w:rsidR="007F663E" w:rsidRDefault="007F663E" w:rsidP="007F663E"/>
    <w:p w:rsidR="007F663E" w:rsidRDefault="007F663E" w:rsidP="007F663E"/>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7F663E" w:rsidRPr="007F663E" w:rsidTr="007F663E">
        <w:tc>
          <w:tcPr>
            <w:tcW w:w="1500" w:type="pct"/>
            <w:tcMar>
              <w:top w:w="284" w:type="dxa"/>
              <w:left w:w="108" w:type="dxa"/>
              <w:bottom w:w="0" w:type="dxa"/>
              <w:right w:w="108" w:type="dxa"/>
            </w:tcMar>
          </w:tcPr>
          <w:p w:rsidR="007F663E" w:rsidRDefault="007F663E">
            <w:pPr>
              <w:rPr>
                <w:rFonts w:eastAsia="Calibri"/>
                <w:lang w:val="en-US"/>
              </w:rPr>
            </w:pPr>
          </w:p>
        </w:tc>
        <w:tc>
          <w:tcPr>
            <w:tcW w:w="2000" w:type="pct"/>
            <w:tcBorders>
              <w:top w:val="nil"/>
              <w:left w:val="nil"/>
              <w:bottom w:val="single" w:sz="4" w:space="0" w:color="auto"/>
              <w:right w:val="nil"/>
            </w:tcBorders>
            <w:tcMar>
              <w:top w:w="284" w:type="dxa"/>
              <w:left w:w="108" w:type="dxa"/>
              <w:bottom w:w="0" w:type="dxa"/>
              <w:right w:w="108" w:type="dxa"/>
            </w:tcMar>
          </w:tcPr>
          <w:p w:rsidR="007F663E" w:rsidRDefault="007F663E">
            <w:pPr>
              <w:rPr>
                <w:rFonts w:eastAsia="Calibri"/>
                <w:lang w:val="en-US"/>
              </w:rPr>
            </w:pPr>
          </w:p>
        </w:tc>
        <w:tc>
          <w:tcPr>
            <w:tcW w:w="1500" w:type="pct"/>
            <w:tcMar>
              <w:top w:w="284" w:type="dxa"/>
              <w:left w:w="108" w:type="dxa"/>
              <w:bottom w:w="0" w:type="dxa"/>
              <w:right w:w="108" w:type="dxa"/>
            </w:tcMar>
          </w:tcPr>
          <w:p w:rsidR="007F663E" w:rsidRDefault="007F663E">
            <w:pPr>
              <w:rPr>
                <w:rFonts w:eastAsia="Calibri"/>
                <w:lang w:val="en-US"/>
              </w:rPr>
            </w:pPr>
          </w:p>
        </w:tc>
      </w:tr>
    </w:tbl>
    <w:p w:rsidR="007F663E" w:rsidRDefault="007F663E" w:rsidP="00D54340">
      <w:pPr>
        <w:tabs>
          <w:tab w:val="right" w:pos="8222"/>
        </w:tabs>
        <w:spacing w:after="720"/>
        <w:rPr>
          <w:rFonts w:eastAsia="Times New Roman" w:cs="Times New Roman"/>
          <w:szCs w:val="20"/>
          <w:lang w:val="en-US" w:eastAsia="en-CA"/>
        </w:rPr>
      </w:pPr>
    </w:p>
    <w:p w:rsidR="00D54340" w:rsidRPr="00D54340" w:rsidRDefault="00D54340" w:rsidP="00D54340">
      <w:pPr>
        <w:tabs>
          <w:tab w:val="right" w:pos="8222"/>
        </w:tabs>
        <w:spacing w:after="720"/>
        <w:rPr>
          <w:rFonts w:eastAsia="Times New Roman" w:cs="Times New Roman"/>
          <w:b/>
          <w:szCs w:val="20"/>
          <w:lang w:val="en-US" w:eastAsia="en-CA"/>
        </w:rPr>
      </w:pPr>
      <w:r w:rsidRPr="00D54340">
        <w:rPr>
          <w:rFonts w:eastAsia="Times New Roman" w:cs="Times New Roman"/>
          <w:b/>
          <w:szCs w:val="20"/>
          <w:lang w:val="en-US" w:eastAsia="en-CA"/>
        </w:rPr>
        <w:t>Her Majesty The Queen</w:t>
      </w:r>
      <w:r w:rsidRPr="00D54340">
        <w:rPr>
          <w:rFonts w:eastAsia="Times New Roman" w:cs="Times New Roman"/>
          <w:i/>
          <w:szCs w:val="20"/>
          <w:lang w:val="en-US" w:eastAsia="en-CA"/>
        </w:rPr>
        <w:tab/>
        <w:t>Appellant</w:t>
      </w:r>
    </w:p>
    <w:p w:rsidR="00D54340" w:rsidRPr="00D54340" w:rsidRDefault="00D54340" w:rsidP="00D54340">
      <w:pPr>
        <w:spacing w:after="720"/>
        <w:rPr>
          <w:rFonts w:eastAsia="Times New Roman" w:cs="Times New Roman"/>
          <w:i/>
          <w:szCs w:val="20"/>
          <w:lang w:eastAsia="en-CA"/>
        </w:rPr>
      </w:pPr>
      <w:r w:rsidRPr="00D54340">
        <w:rPr>
          <w:rFonts w:eastAsia="Times New Roman" w:cs="Times New Roman"/>
          <w:i/>
          <w:szCs w:val="20"/>
          <w:lang w:eastAsia="en-CA"/>
        </w:rPr>
        <w:t>v.</w:t>
      </w:r>
    </w:p>
    <w:p w:rsidR="00D54340" w:rsidRPr="00D54340" w:rsidRDefault="00D54340" w:rsidP="00D54340">
      <w:pPr>
        <w:tabs>
          <w:tab w:val="right" w:pos="8222"/>
        </w:tabs>
        <w:spacing w:after="720"/>
        <w:rPr>
          <w:rFonts w:eastAsia="Times New Roman" w:cs="Times New Roman"/>
          <w:b/>
          <w:szCs w:val="20"/>
          <w:lang w:eastAsia="en-CA"/>
        </w:rPr>
      </w:pPr>
      <w:r w:rsidRPr="00D54340">
        <w:rPr>
          <w:rFonts w:eastAsia="Times New Roman" w:cs="Times New Roman"/>
          <w:b/>
          <w:bCs/>
          <w:color w:val="000000"/>
          <w:szCs w:val="20"/>
          <w:lang w:eastAsia="en-CA"/>
        </w:rPr>
        <w:t>Monty Shane Kishayinew</w:t>
      </w:r>
      <w:r w:rsidRPr="00D54340">
        <w:rPr>
          <w:rFonts w:eastAsia="Times New Roman" w:cs="Times New Roman"/>
          <w:i/>
          <w:szCs w:val="20"/>
          <w:lang w:eastAsia="en-CA"/>
        </w:rPr>
        <w:tab/>
        <w:t>Respondent</w:t>
      </w:r>
    </w:p>
    <w:p w:rsidR="00D54340" w:rsidRPr="00D54340" w:rsidRDefault="00D54340" w:rsidP="00D54340">
      <w:pPr>
        <w:spacing w:after="720"/>
        <w:jc w:val="both"/>
        <w:rPr>
          <w:rFonts w:eastAsia="Times New Roman" w:cs="Times New Roman"/>
          <w:b/>
          <w:szCs w:val="20"/>
          <w:lang w:eastAsia="en-CA"/>
        </w:rPr>
      </w:pPr>
    </w:p>
    <w:p w:rsidR="00D54340" w:rsidRPr="00D54340" w:rsidRDefault="00D54340" w:rsidP="00D54340">
      <w:pPr>
        <w:spacing w:after="720"/>
        <w:jc w:val="both"/>
        <w:rPr>
          <w:rFonts w:eastAsia="Times New Roman" w:cs="Times New Roman"/>
          <w:b/>
          <w:szCs w:val="20"/>
          <w:lang w:eastAsia="en-CA"/>
        </w:rPr>
      </w:pPr>
      <w:r w:rsidRPr="00D54340">
        <w:rPr>
          <w:rFonts w:eastAsia="Times New Roman" w:cs="Times New Roman"/>
          <w:b/>
          <w:szCs w:val="20"/>
          <w:lang w:eastAsia="en-CA"/>
        </w:rPr>
        <w:t xml:space="preserve">Indexed as: R. </w:t>
      </w:r>
      <w:r w:rsidRPr="00D54340">
        <w:rPr>
          <w:rFonts w:eastAsia="Times New Roman" w:cs="Times New Roman"/>
          <w:b/>
          <w:i/>
          <w:szCs w:val="20"/>
          <w:lang w:eastAsia="en-CA"/>
        </w:rPr>
        <w:t>v.</w:t>
      </w:r>
      <w:r w:rsidRPr="00D54340">
        <w:rPr>
          <w:rFonts w:eastAsia="Times New Roman" w:cs="Times New Roman"/>
          <w:b/>
          <w:szCs w:val="20"/>
          <w:lang w:eastAsia="en-CA"/>
        </w:rPr>
        <w:t xml:space="preserve"> Kishayinew</w:t>
      </w:r>
    </w:p>
    <w:p w:rsidR="00D54340" w:rsidRPr="00D54340" w:rsidRDefault="00D54340" w:rsidP="00D54340">
      <w:pPr>
        <w:spacing w:after="720"/>
        <w:jc w:val="both"/>
        <w:rPr>
          <w:rFonts w:eastAsia="Times New Roman" w:cs="Times New Roman"/>
          <w:b/>
          <w:szCs w:val="20"/>
          <w:lang w:val="en-US" w:eastAsia="en-CA"/>
        </w:rPr>
      </w:pPr>
      <w:r w:rsidRPr="00D54340">
        <w:rPr>
          <w:rFonts w:eastAsia="Times New Roman" w:cs="Times New Roman"/>
          <w:b/>
          <w:szCs w:val="20"/>
          <w:lang w:val="en-US" w:eastAsia="en-CA"/>
        </w:rPr>
        <w:t>2020 SCC 34</w:t>
      </w:r>
    </w:p>
    <w:p w:rsidR="00D54340" w:rsidRPr="00D54340" w:rsidRDefault="00D54340" w:rsidP="00D54340">
      <w:pPr>
        <w:spacing w:after="720"/>
        <w:jc w:val="both"/>
        <w:rPr>
          <w:rFonts w:eastAsia="Times New Roman" w:cs="Times New Roman"/>
          <w:szCs w:val="20"/>
          <w:lang w:val="en-US" w:eastAsia="en-CA"/>
        </w:rPr>
      </w:pPr>
      <w:r w:rsidRPr="00D54340">
        <w:rPr>
          <w:rFonts w:eastAsia="Times New Roman" w:cs="Times New Roman"/>
          <w:szCs w:val="20"/>
          <w:lang w:val="en-US" w:eastAsia="en-CA"/>
        </w:rPr>
        <w:t xml:space="preserve">File No.: </w:t>
      </w:r>
      <w:r w:rsidRPr="00D54340">
        <w:rPr>
          <w:rFonts w:eastAsia="Times New Roman" w:cs="Times New Roman"/>
          <w:color w:val="000000"/>
          <w:szCs w:val="20"/>
          <w:lang w:eastAsia="en-CA"/>
        </w:rPr>
        <w:t>38962</w:t>
      </w:r>
      <w:r w:rsidRPr="00D54340">
        <w:rPr>
          <w:rFonts w:eastAsia="Times New Roman" w:cs="Times New Roman"/>
          <w:szCs w:val="20"/>
          <w:lang w:val="en-US" w:eastAsia="en-CA"/>
        </w:rPr>
        <w:t>.</w:t>
      </w:r>
    </w:p>
    <w:p w:rsidR="00D54340" w:rsidRPr="00D54340" w:rsidRDefault="00D54340" w:rsidP="00D54340">
      <w:pPr>
        <w:spacing w:after="720"/>
        <w:jc w:val="both"/>
        <w:rPr>
          <w:rFonts w:eastAsia="Times New Roman" w:cs="Times New Roman"/>
          <w:szCs w:val="20"/>
          <w:lang w:eastAsia="en-CA"/>
        </w:rPr>
      </w:pPr>
      <w:r w:rsidRPr="00D54340">
        <w:rPr>
          <w:rFonts w:eastAsia="Times New Roman" w:cs="Times New Roman"/>
          <w:szCs w:val="20"/>
          <w:lang w:eastAsia="en-CA"/>
        </w:rPr>
        <w:t xml:space="preserve">2020: </w:t>
      </w:r>
      <w:r w:rsidRPr="00D54340">
        <w:rPr>
          <w:rFonts w:eastAsia="Times New Roman" w:cs="Times New Roman"/>
          <w:color w:val="000000"/>
          <w:szCs w:val="20"/>
          <w:lang w:eastAsia="en-CA"/>
        </w:rPr>
        <w:t>November 5</w:t>
      </w:r>
      <w:r w:rsidRPr="00D54340">
        <w:rPr>
          <w:rFonts w:eastAsia="Times New Roman" w:cs="Times New Roman"/>
          <w:szCs w:val="20"/>
          <w:lang w:eastAsia="en-CA"/>
        </w:rPr>
        <w:t>.</w:t>
      </w:r>
    </w:p>
    <w:p w:rsidR="00D54340" w:rsidRPr="00D54340" w:rsidRDefault="00D54340" w:rsidP="00D54340">
      <w:pPr>
        <w:spacing w:after="720"/>
        <w:jc w:val="both"/>
        <w:rPr>
          <w:rFonts w:eastAsia="Times New Roman" w:cs="Times New Roman"/>
          <w:szCs w:val="20"/>
          <w:lang w:eastAsia="en-CA"/>
        </w:rPr>
      </w:pPr>
      <w:r w:rsidRPr="00D54340">
        <w:rPr>
          <w:rFonts w:eastAsia="Times New Roman" w:cs="Times New Roman"/>
          <w:szCs w:val="20"/>
          <w:lang w:eastAsia="en-CA"/>
        </w:rPr>
        <w:t>Present: Moldaver, Côté, Rowe, Martin and Kasirer JJ.</w:t>
      </w:r>
    </w:p>
    <w:p w:rsidR="00D54340" w:rsidRPr="00D54340" w:rsidRDefault="00D54340" w:rsidP="00D54340">
      <w:pPr>
        <w:tabs>
          <w:tab w:val="left" w:pos="1168"/>
        </w:tabs>
        <w:spacing w:after="720"/>
        <w:jc w:val="both"/>
        <w:rPr>
          <w:rFonts w:eastAsia="Times New Roman" w:cs="Times New Roman"/>
          <w:smallCaps/>
          <w:szCs w:val="20"/>
          <w:lang w:eastAsia="en-CA"/>
        </w:rPr>
      </w:pPr>
      <w:r w:rsidRPr="00D54340">
        <w:rPr>
          <w:rFonts w:eastAsia="Times New Roman" w:cs="Times New Roman"/>
          <w:smallCaps/>
          <w:szCs w:val="20"/>
          <w:lang w:eastAsia="en-CA"/>
        </w:rPr>
        <w:t>on appeal from the court of appeal for saskatchewan</w:t>
      </w:r>
    </w:p>
    <w:p w:rsidR="00D54340" w:rsidRPr="00D54340" w:rsidRDefault="00D54340" w:rsidP="00D54340">
      <w:pPr>
        <w:tabs>
          <w:tab w:val="left" w:pos="1168"/>
        </w:tabs>
        <w:spacing w:line="480" w:lineRule="auto"/>
        <w:jc w:val="both"/>
        <w:rPr>
          <w:rFonts w:eastAsia="Times New Roman" w:cs="Times New Roman"/>
          <w:i/>
          <w:szCs w:val="20"/>
          <w:lang w:eastAsia="en-CA"/>
        </w:rPr>
      </w:pPr>
      <w:r w:rsidRPr="00D54340">
        <w:rPr>
          <w:rFonts w:eastAsia="Times New Roman" w:cs="Times New Roman"/>
          <w:szCs w:val="20"/>
          <w:lang w:eastAsia="en-CA"/>
        </w:rPr>
        <w:tab/>
      </w:r>
      <w:r w:rsidRPr="00D54340">
        <w:rPr>
          <w:rFonts w:eastAsia="Times New Roman" w:cs="Times New Roman"/>
          <w:i/>
          <w:szCs w:val="20"/>
          <w:lang w:eastAsia="en-CA"/>
        </w:rPr>
        <w:t xml:space="preserve">Criminal law — Sexual assault — Unreasonable verdict — Evidence — Assessment — Reliability — Capacity to consent — Accused convicted of sexual assault </w:t>
      </w:r>
      <w:r w:rsidRPr="00D54340">
        <w:rPr>
          <w:rFonts w:eastAsia="Times New Roman" w:cs="Times New Roman"/>
          <w:szCs w:val="20"/>
          <w:lang w:eastAsia="en-CA"/>
        </w:rPr>
        <w:t xml:space="preserve">— </w:t>
      </w:r>
      <w:r w:rsidRPr="00D54340">
        <w:rPr>
          <w:rFonts w:eastAsia="Times New Roman" w:cs="Times New Roman"/>
          <w:i/>
          <w:szCs w:val="20"/>
          <w:lang w:eastAsia="en-CA"/>
        </w:rPr>
        <w:t xml:space="preserve">Majority of Court of Appeal holding that </w:t>
      </w:r>
      <w:r w:rsidRPr="00D54340">
        <w:rPr>
          <w:rFonts w:eastAsia="Times New Roman" w:cs="Times New Roman"/>
          <w:i/>
          <w:color w:val="000000"/>
          <w:szCs w:val="20"/>
          <w:lang w:eastAsia="en-CA"/>
        </w:rPr>
        <w:t xml:space="preserve">trial judge erred by making findings of fact essential to verdict as to </w:t>
      </w:r>
      <w:r w:rsidRPr="00D54340">
        <w:rPr>
          <w:rFonts w:eastAsia="Times New Roman" w:cs="Times New Roman"/>
          <w:i/>
          <w:szCs w:val="20"/>
          <w:lang w:val="en" w:eastAsia="en-CA"/>
        </w:rPr>
        <w:t>complainant’s reliability and capacity to consent</w:t>
      </w:r>
      <w:r w:rsidRPr="00D54340">
        <w:rPr>
          <w:rFonts w:eastAsia="Times New Roman" w:cs="Times New Roman"/>
          <w:i/>
          <w:color w:val="000000"/>
          <w:szCs w:val="20"/>
          <w:lang w:eastAsia="en-CA"/>
        </w:rPr>
        <w:t xml:space="preserve"> that were incompatible with evidence that was </w:t>
      </w:r>
      <w:r w:rsidRPr="00D54340">
        <w:rPr>
          <w:rFonts w:eastAsia="Times New Roman" w:cs="Times New Roman"/>
          <w:i/>
          <w:color w:val="000000"/>
          <w:szCs w:val="20"/>
          <w:lang w:eastAsia="en-CA"/>
        </w:rPr>
        <w:lastRenderedPageBreak/>
        <w:t>not otherwise contradicted or rejected</w:t>
      </w:r>
      <w:r w:rsidRPr="00D54340">
        <w:rPr>
          <w:rFonts w:eastAsia="Times New Roman" w:cs="Times New Roman"/>
          <w:i/>
          <w:szCs w:val="20"/>
          <w:lang w:eastAsia="en-CA"/>
        </w:rPr>
        <w:t xml:space="preserve"> — Majority setting aside conviction — Dissenting judge finding verdict was reasonable as trial judge</w:t>
      </w:r>
      <w:r w:rsidRPr="00D54340">
        <w:rPr>
          <w:rFonts w:eastAsia="Times New Roman" w:cs="Times New Roman"/>
          <w:color w:val="000000"/>
          <w:szCs w:val="20"/>
          <w:lang w:eastAsia="en-CA"/>
        </w:rPr>
        <w:t xml:space="preserve"> </w:t>
      </w:r>
      <w:r w:rsidRPr="00D54340">
        <w:rPr>
          <w:rFonts w:eastAsia="Times New Roman" w:cs="Times New Roman"/>
          <w:i/>
          <w:color w:val="000000"/>
          <w:szCs w:val="20"/>
          <w:lang w:eastAsia="en-CA"/>
        </w:rPr>
        <w:t>reached conclusion on</w:t>
      </w:r>
      <w:r w:rsidRPr="00D54340">
        <w:rPr>
          <w:rFonts w:eastAsia="Times New Roman" w:cs="Times New Roman"/>
          <w:color w:val="000000"/>
          <w:szCs w:val="20"/>
          <w:lang w:eastAsia="en-CA"/>
        </w:rPr>
        <w:t xml:space="preserve"> </w:t>
      </w:r>
      <w:r w:rsidRPr="00D54340">
        <w:rPr>
          <w:rFonts w:eastAsia="Times New Roman" w:cs="Times New Roman"/>
          <w:i/>
          <w:color w:val="000000"/>
          <w:szCs w:val="20"/>
          <w:lang w:eastAsia="en-CA"/>
        </w:rPr>
        <w:t>reliability that was reasonably available on evidence</w:t>
      </w:r>
      <w:r w:rsidRPr="00D54340">
        <w:rPr>
          <w:rFonts w:eastAsia="Times New Roman" w:cs="Times New Roman"/>
          <w:color w:val="000000"/>
          <w:szCs w:val="20"/>
          <w:lang w:eastAsia="en-CA"/>
        </w:rPr>
        <w:t xml:space="preserve"> </w:t>
      </w:r>
      <w:r w:rsidRPr="00D54340">
        <w:rPr>
          <w:rFonts w:eastAsia="Times New Roman" w:cs="Times New Roman"/>
          <w:i/>
          <w:color w:val="000000"/>
          <w:szCs w:val="20"/>
          <w:lang w:eastAsia="en-CA"/>
        </w:rPr>
        <w:t>and</w:t>
      </w:r>
      <w:r w:rsidRPr="00D54340">
        <w:rPr>
          <w:rFonts w:eastAsia="Times New Roman" w:cs="Times New Roman"/>
          <w:i/>
          <w:szCs w:val="20"/>
          <w:lang w:eastAsia="en-CA"/>
        </w:rPr>
        <w:t xml:space="preserve"> did not make inconsistent findings of fact in relation to consent </w:t>
      </w:r>
      <w:r w:rsidRPr="00D54340">
        <w:rPr>
          <w:rFonts w:eastAsia="Times New Roman" w:cs="Times New Roman"/>
          <w:szCs w:val="20"/>
          <w:lang w:eastAsia="en-CA"/>
        </w:rPr>
        <w:t xml:space="preserve">— </w:t>
      </w:r>
      <w:r w:rsidRPr="00D54340">
        <w:rPr>
          <w:rFonts w:eastAsia="Times New Roman" w:cs="Times New Roman"/>
          <w:i/>
          <w:szCs w:val="20"/>
          <w:lang w:eastAsia="en-CA"/>
        </w:rPr>
        <w:t xml:space="preserve">Conviction restored. </w:t>
      </w:r>
    </w:p>
    <w:p w:rsidR="00D54340" w:rsidRPr="00D54340" w:rsidRDefault="00D54340" w:rsidP="00D54340">
      <w:pPr>
        <w:tabs>
          <w:tab w:val="left" w:pos="1168"/>
        </w:tabs>
        <w:spacing w:line="480" w:lineRule="auto"/>
        <w:jc w:val="both"/>
        <w:rPr>
          <w:rFonts w:eastAsia="Times New Roman" w:cs="Times New Roman"/>
          <w:i/>
          <w:szCs w:val="20"/>
          <w:lang w:eastAsia="en-CA"/>
        </w:rPr>
      </w:pPr>
    </w:p>
    <w:p w:rsidR="00D54340" w:rsidRPr="00D54340" w:rsidRDefault="00D54340" w:rsidP="00D54340">
      <w:pPr>
        <w:tabs>
          <w:tab w:val="left" w:pos="1168"/>
        </w:tabs>
        <w:spacing w:line="480" w:lineRule="auto"/>
        <w:jc w:val="both"/>
        <w:rPr>
          <w:rFonts w:eastAsia="Times New Roman" w:cs="Times New Roman"/>
          <w:szCs w:val="20"/>
          <w:lang w:val="en-US" w:eastAsia="en-CA"/>
        </w:rPr>
      </w:pPr>
      <w:r w:rsidRPr="00D54340">
        <w:rPr>
          <w:rFonts w:eastAsia="Times New Roman" w:cs="Times New Roman"/>
          <w:szCs w:val="20"/>
          <w:lang w:eastAsia="en-CA"/>
        </w:rPr>
        <w:tab/>
        <w:t xml:space="preserve">APPEAL from a judgment of the Saskatchewan Court of Appeal (Jackson, Barrington-Foote and Tholl JJ.A.), </w:t>
      </w:r>
      <w:r w:rsidRPr="00D54340">
        <w:rPr>
          <w:rFonts w:eastAsia="Times New Roman" w:cs="Times New Roman"/>
          <w:color w:val="000000"/>
          <w:szCs w:val="20"/>
          <w:lang w:eastAsia="en-CA"/>
        </w:rPr>
        <w:t xml:space="preserve">2019 SKCA 127, 382 C.C.C. (3d) 560, 60 C.R. (7th) 51, [2019] S.J. No. 472 (QL), 2019 CarswellSask 613 (WL Can.), </w:t>
      </w:r>
      <w:r w:rsidRPr="00D54340">
        <w:rPr>
          <w:rFonts w:eastAsia="Times New Roman" w:cs="Times New Roman"/>
          <w:szCs w:val="20"/>
          <w:lang w:eastAsia="en-CA"/>
        </w:rPr>
        <w:t>setting aside the conviction for sexual assault entered by Turcotte J., 2017 SKQB 177, [2017] S.J. No. 287 (QL), 2017 CarswellSask 339 (WL Can.), and ordering a new trial. Appeal allowed, C</w:t>
      </w:r>
      <w:r w:rsidRPr="00D54340">
        <w:rPr>
          <w:rFonts w:eastAsia="Times New Roman" w:cs="Times New Roman"/>
          <w:szCs w:val="20"/>
          <w:lang w:val="en-US" w:eastAsia="en-CA"/>
        </w:rPr>
        <w:t>ôté J. dissenting.</w:t>
      </w:r>
    </w:p>
    <w:p w:rsidR="00D54340" w:rsidRPr="00D54340" w:rsidRDefault="00D54340" w:rsidP="00D54340">
      <w:pPr>
        <w:tabs>
          <w:tab w:val="left" w:pos="1168"/>
        </w:tabs>
        <w:spacing w:line="480" w:lineRule="auto"/>
        <w:jc w:val="both"/>
        <w:rPr>
          <w:rFonts w:eastAsia="Times New Roman" w:cs="Times New Roman"/>
          <w:szCs w:val="20"/>
          <w:lang w:eastAsia="en-CA"/>
        </w:rPr>
      </w:pPr>
    </w:p>
    <w:p w:rsidR="00D54340" w:rsidRPr="00D54340" w:rsidRDefault="00D54340" w:rsidP="00D54340">
      <w:pPr>
        <w:tabs>
          <w:tab w:val="left" w:pos="1168"/>
        </w:tabs>
        <w:spacing w:line="480" w:lineRule="auto"/>
        <w:jc w:val="both"/>
        <w:rPr>
          <w:rFonts w:eastAsia="Times New Roman" w:cs="Times New Roman"/>
          <w:szCs w:val="20"/>
          <w:lang w:val="en-US" w:eastAsia="en-CA"/>
        </w:rPr>
      </w:pPr>
      <w:r w:rsidRPr="00D54340">
        <w:rPr>
          <w:rFonts w:eastAsia="Times New Roman" w:cs="Times New Roman"/>
          <w:szCs w:val="20"/>
          <w:lang w:eastAsia="en-CA"/>
        </w:rPr>
        <w:tab/>
      </w:r>
      <w:r w:rsidRPr="00D54340">
        <w:rPr>
          <w:rFonts w:eastAsia="Times New Roman" w:cs="Times New Roman"/>
          <w:i/>
          <w:iCs/>
          <w:color w:val="000000"/>
          <w:szCs w:val="20"/>
          <w:lang w:eastAsia="en-CA"/>
        </w:rPr>
        <w:t>W. Dean Sinclair</w:t>
      </w:r>
      <w:r w:rsidRPr="00D54340">
        <w:rPr>
          <w:rFonts w:eastAsia="Times New Roman" w:cs="Times New Roman"/>
          <w:color w:val="000000"/>
          <w:szCs w:val="20"/>
          <w:lang w:eastAsia="en-CA"/>
        </w:rPr>
        <w:t>,</w:t>
      </w:r>
      <w:r w:rsidRPr="00D54340">
        <w:rPr>
          <w:rFonts w:eastAsia="Times New Roman" w:cs="Times New Roman"/>
          <w:i/>
          <w:iCs/>
          <w:color w:val="000000"/>
          <w:szCs w:val="20"/>
          <w:lang w:eastAsia="en-CA"/>
        </w:rPr>
        <w:t> Q.C.</w:t>
      </w:r>
      <w:r w:rsidRPr="00D54340">
        <w:rPr>
          <w:rFonts w:eastAsia="Times New Roman" w:cs="Times New Roman"/>
          <w:szCs w:val="20"/>
          <w:lang w:val="en-US" w:eastAsia="en-CA"/>
        </w:rPr>
        <w:t>, for the appellant.</w:t>
      </w:r>
    </w:p>
    <w:p w:rsidR="00D54340" w:rsidRPr="00D54340" w:rsidRDefault="00D54340" w:rsidP="00D54340">
      <w:pPr>
        <w:tabs>
          <w:tab w:val="left" w:pos="1168"/>
        </w:tabs>
        <w:spacing w:line="480" w:lineRule="auto"/>
        <w:jc w:val="both"/>
        <w:rPr>
          <w:rFonts w:eastAsia="Times New Roman" w:cs="Times New Roman"/>
          <w:szCs w:val="20"/>
          <w:lang w:eastAsia="en-CA"/>
        </w:rPr>
      </w:pPr>
    </w:p>
    <w:p w:rsidR="00D54340" w:rsidRPr="00D54340" w:rsidRDefault="00D54340" w:rsidP="00D54340">
      <w:pPr>
        <w:tabs>
          <w:tab w:val="left" w:pos="1168"/>
        </w:tabs>
        <w:spacing w:line="480" w:lineRule="auto"/>
        <w:jc w:val="both"/>
        <w:rPr>
          <w:rFonts w:eastAsia="Times New Roman" w:cs="Times New Roman"/>
          <w:szCs w:val="20"/>
          <w:lang w:eastAsia="en-CA"/>
        </w:rPr>
      </w:pPr>
      <w:r w:rsidRPr="00D54340">
        <w:rPr>
          <w:rFonts w:eastAsia="Times New Roman" w:cs="Times New Roman"/>
          <w:i/>
          <w:szCs w:val="20"/>
          <w:lang w:eastAsia="en-CA"/>
        </w:rPr>
        <w:tab/>
      </w:r>
      <w:r w:rsidRPr="00D54340">
        <w:rPr>
          <w:rFonts w:eastAsia="Times New Roman" w:cs="Times New Roman"/>
          <w:i/>
          <w:iCs/>
          <w:color w:val="000000"/>
          <w:szCs w:val="20"/>
          <w:lang w:eastAsia="en-CA"/>
        </w:rPr>
        <w:t>Brian Pfefferle </w:t>
      </w:r>
      <w:r w:rsidRPr="00D54340">
        <w:rPr>
          <w:rFonts w:eastAsia="Times New Roman" w:cs="Times New Roman"/>
          <w:color w:val="000000"/>
          <w:szCs w:val="20"/>
          <w:lang w:eastAsia="en-CA"/>
        </w:rPr>
        <w:t>and </w:t>
      </w:r>
      <w:r w:rsidRPr="00D54340">
        <w:rPr>
          <w:rFonts w:eastAsia="Times New Roman" w:cs="Times New Roman"/>
          <w:i/>
          <w:iCs/>
          <w:color w:val="000000"/>
          <w:szCs w:val="20"/>
          <w:lang w:eastAsia="en-CA"/>
        </w:rPr>
        <w:t>Aleida Oberholzer</w:t>
      </w:r>
      <w:r w:rsidRPr="00D54340">
        <w:rPr>
          <w:rFonts w:eastAsia="Times New Roman" w:cs="Times New Roman"/>
          <w:szCs w:val="20"/>
          <w:lang w:eastAsia="en-CA"/>
        </w:rPr>
        <w:t>, for the respondent.</w:t>
      </w:r>
    </w:p>
    <w:p w:rsidR="00D54340" w:rsidRPr="00D54340" w:rsidRDefault="00D54340" w:rsidP="00D54340">
      <w:pPr>
        <w:tabs>
          <w:tab w:val="left" w:pos="1168"/>
        </w:tabs>
        <w:spacing w:line="480" w:lineRule="auto"/>
        <w:jc w:val="both"/>
        <w:rPr>
          <w:rFonts w:eastAsia="Times New Roman" w:cs="Times New Roman"/>
          <w:szCs w:val="20"/>
          <w:lang w:eastAsia="en-CA"/>
        </w:rPr>
      </w:pPr>
    </w:p>
    <w:p w:rsidR="00D54340" w:rsidRPr="00D54340" w:rsidRDefault="00D54340" w:rsidP="00D54340">
      <w:pPr>
        <w:tabs>
          <w:tab w:val="left" w:pos="1168"/>
        </w:tabs>
        <w:spacing w:line="480" w:lineRule="auto"/>
        <w:jc w:val="both"/>
        <w:rPr>
          <w:rFonts w:eastAsia="Times New Roman" w:cs="Times New Roman"/>
          <w:szCs w:val="20"/>
          <w:lang w:val="fr-CA" w:eastAsia="en-CA"/>
        </w:rPr>
      </w:pPr>
      <w:r w:rsidRPr="00D54340">
        <w:rPr>
          <w:rFonts w:eastAsia="Times New Roman" w:cs="Times New Roman"/>
          <w:szCs w:val="20"/>
          <w:lang w:eastAsia="en-CA"/>
        </w:rPr>
        <w:tab/>
      </w:r>
      <w:r w:rsidRPr="00D54340">
        <w:rPr>
          <w:rFonts w:eastAsia="Times New Roman" w:cs="Times New Roman"/>
          <w:i/>
          <w:iCs/>
          <w:color w:val="000000"/>
          <w:szCs w:val="20"/>
          <w:lang w:val="fr-CA" w:eastAsia="en-CA"/>
        </w:rPr>
        <w:t>Louis Belleau</w:t>
      </w:r>
      <w:r w:rsidRPr="00D54340">
        <w:rPr>
          <w:rFonts w:eastAsia="Times New Roman" w:cs="Times New Roman"/>
          <w:color w:val="000000"/>
          <w:szCs w:val="20"/>
          <w:lang w:val="fr-CA" w:eastAsia="en-CA"/>
        </w:rPr>
        <w:t>, as </w:t>
      </w:r>
      <w:r w:rsidRPr="00D54340">
        <w:rPr>
          <w:rFonts w:eastAsia="Times New Roman" w:cs="Times New Roman"/>
          <w:i/>
          <w:iCs/>
          <w:color w:val="000000"/>
          <w:szCs w:val="20"/>
          <w:lang w:val="fr-CA" w:eastAsia="en-CA"/>
        </w:rPr>
        <w:t>amicus curiae</w:t>
      </w:r>
      <w:r w:rsidRPr="00D54340">
        <w:rPr>
          <w:rFonts w:eastAsia="Times New Roman" w:cs="Times New Roman"/>
          <w:color w:val="000000"/>
          <w:szCs w:val="20"/>
          <w:lang w:val="fr-CA" w:eastAsia="en-CA"/>
        </w:rPr>
        <w:t>.</w:t>
      </w:r>
    </w:p>
    <w:p w:rsidR="00D54340" w:rsidRPr="00D54340" w:rsidRDefault="00D54340" w:rsidP="00D54340">
      <w:pPr>
        <w:tabs>
          <w:tab w:val="left" w:pos="1168"/>
        </w:tabs>
        <w:spacing w:line="480" w:lineRule="auto"/>
        <w:jc w:val="both"/>
        <w:rPr>
          <w:rFonts w:eastAsia="Times New Roman" w:cs="Times New Roman"/>
          <w:szCs w:val="20"/>
          <w:lang w:val="fr-CA" w:eastAsia="en-CA"/>
        </w:rPr>
      </w:pPr>
    </w:p>
    <w:p w:rsidR="00D54340" w:rsidRPr="00D54340" w:rsidRDefault="00D54340" w:rsidP="00D54340">
      <w:pPr>
        <w:tabs>
          <w:tab w:val="left" w:pos="1168"/>
        </w:tabs>
        <w:spacing w:line="480" w:lineRule="auto"/>
        <w:jc w:val="both"/>
        <w:rPr>
          <w:rFonts w:eastAsia="Times New Roman" w:cs="Times New Roman"/>
          <w:szCs w:val="20"/>
          <w:lang w:eastAsia="en-CA"/>
        </w:rPr>
      </w:pPr>
      <w:r w:rsidRPr="00D54340">
        <w:rPr>
          <w:rFonts w:eastAsia="Times New Roman" w:cs="Times New Roman"/>
          <w:szCs w:val="20"/>
          <w:lang w:val="fr-CA" w:eastAsia="en-CA"/>
        </w:rPr>
        <w:tab/>
      </w:r>
      <w:r w:rsidRPr="00D54340">
        <w:rPr>
          <w:rFonts w:eastAsia="Times New Roman" w:cs="Times New Roman"/>
          <w:szCs w:val="20"/>
          <w:lang w:eastAsia="en-CA"/>
        </w:rPr>
        <w:t>The judgment of the Court was delivered orally by</w:t>
      </w:r>
    </w:p>
    <w:p w:rsidR="00D54340" w:rsidRPr="00D54340" w:rsidRDefault="00D54340" w:rsidP="00D54340">
      <w:pPr>
        <w:tabs>
          <w:tab w:val="left" w:pos="1168"/>
        </w:tabs>
        <w:spacing w:line="480" w:lineRule="auto"/>
        <w:jc w:val="both"/>
        <w:rPr>
          <w:rFonts w:eastAsia="Times New Roman" w:cs="Times New Roman"/>
          <w:szCs w:val="20"/>
          <w:lang w:eastAsia="en-CA"/>
        </w:rPr>
      </w:pPr>
    </w:p>
    <w:p w:rsidR="00D54340" w:rsidRPr="00D54340" w:rsidRDefault="00D54340" w:rsidP="00D54340">
      <w:pPr>
        <w:spacing w:line="480" w:lineRule="auto"/>
        <w:jc w:val="both"/>
        <w:rPr>
          <w:rFonts w:eastAsia="Times New Roman" w:cs="Times New Roman"/>
          <w:color w:val="000000"/>
          <w:szCs w:val="27"/>
          <w:lang w:val="en-US"/>
        </w:rPr>
      </w:pPr>
      <w:r w:rsidRPr="00D54340">
        <w:rPr>
          <w:rFonts w:eastAsia="Times New Roman" w:cs="Times New Roman"/>
          <w:smallCaps/>
          <w:color w:val="000000"/>
          <w:szCs w:val="27"/>
          <w:lang w:val="en-US"/>
        </w:rPr>
        <w:t>[1]</w:t>
      </w:r>
      <w:r w:rsidRPr="00D54340">
        <w:rPr>
          <w:rFonts w:eastAsia="Times New Roman" w:cs="Times New Roman"/>
          <w:smallCaps/>
          <w:color w:val="000000"/>
          <w:szCs w:val="27"/>
          <w:lang w:val="en-US"/>
        </w:rPr>
        <w:tab/>
        <w:t>Moldaver J.</w:t>
      </w:r>
      <w:r w:rsidRPr="00D54340">
        <w:rPr>
          <w:rFonts w:eastAsia="Times New Roman" w:cs="Times New Roman"/>
          <w:color w:val="000000"/>
          <w:szCs w:val="27"/>
          <w:lang w:val="en-US"/>
        </w:rPr>
        <w:t> — A majority of the Court is of the view that, when read in context, the trial judge’s reasons make it clear that he was satisfied, beyond a reasonable doubt, that the complainant did not subjectively consent to any sexual activity with Mr. Kishayinew. On this point, we are in agreement with the reasons of Justice Tholl in dissent, at paras. 52-78 of his judgment. The trial judge correctly recognized that, as a result of the complainant’s memory blackouts, the only evidence available on the issue of subjective consent was the circumstantial evidence — that the complainant was crying and disoriented, that she did not want to go with Mr. Kishayinew, that she did not consent to his attempts to kiss or touch her, that she attempted to leave the house several times, and that, upon recovering from her blackout, she felt frightened, “weird down below”, and wanted to escape. In our view, as the trial judge’s reasons at paras. 94, 96 and 97 (2017 SKQB 177 (CanLII)) make apparent, this evidence reasonably permits only one inference: that the complainant did not consent to any touching from Mr. Kishayinew. This finding is sufficient to support the conviction for sexual assault.</w:t>
      </w:r>
    </w:p>
    <w:p w:rsidR="00D54340" w:rsidRPr="00D54340" w:rsidRDefault="00D54340" w:rsidP="00D54340">
      <w:pPr>
        <w:spacing w:line="480" w:lineRule="auto"/>
        <w:jc w:val="both"/>
        <w:rPr>
          <w:rFonts w:eastAsia="Times New Roman" w:cs="Times New Roman"/>
          <w:color w:val="000000"/>
          <w:szCs w:val="27"/>
          <w:lang w:val="en-US"/>
        </w:rPr>
      </w:pPr>
    </w:p>
    <w:p w:rsidR="00D54340" w:rsidRPr="00D54340" w:rsidRDefault="00D54340" w:rsidP="00D54340">
      <w:pPr>
        <w:spacing w:line="480" w:lineRule="auto"/>
        <w:jc w:val="both"/>
        <w:rPr>
          <w:rFonts w:eastAsia="Times New Roman" w:cs="Times New Roman"/>
          <w:color w:val="000000"/>
          <w:szCs w:val="27"/>
          <w:lang w:val="en-US"/>
        </w:rPr>
      </w:pPr>
      <w:r w:rsidRPr="00D54340">
        <w:rPr>
          <w:rFonts w:eastAsia="Times New Roman" w:cs="Times New Roman"/>
          <w:color w:val="000000"/>
          <w:szCs w:val="27"/>
          <w:lang w:val="en-US"/>
        </w:rPr>
        <w:t>[2]</w:t>
      </w:r>
      <w:r w:rsidRPr="00D54340">
        <w:rPr>
          <w:rFonts w:eastAsia="Times New Roman" w:cs="Times New Roman"/>
          <w:color w:val="000000"/>
          <w:szCs w:val="27"/>
          <w:lang w:val="en-US"/>
        </w:rPr>
        <w:tab/>
        <w:t>Justice Côté, dissenting, would have dismissed the appeal, substantially for the reasons of the majority of the Saskatchewan Court of Appeal.</w:t>
      </w:r>
    </w:p>
    <w:p w:rsidR="00D54340" w:rsidRPr="00D54340" w:rsidRDefault="00D54340" w:rsidP="00D54340">
      <w:pPr>
        <w:spacing w:line="480" w:lineRule="auto"/>
        <w:jc w:val="both"/>
        <w:rPr>
          <w:rFonts w:eastAsia="Times New Roman" w:cs="Times New Roman"/>
          <w:color w:val="000000"/>
          <w:szCs w:val="27"/>
          <w:lang w:val="en-US"/>
        </w:rPr>
      </w:pPr>
    </w:p>
    <w:p w:rsidR="00D54340" w:rsidRPr="00D54340" w:rsidRDefault="00D54340" w:rsidP="00D54340">
      <w:pPr>
        <w:spacing w:line="480" w:lineRule="auto"/>
        <w:jc w:val="both"/>
        <w:rPr>
          <w:rFonts w:eastAsia="Times New Roman" w:cs="Times New Roman"/>
          <w:color w:val="000000"/>
          <w:szCs w:val="27"/>
          <w:lang w:val="en-US"/>
        </w:rPr>
      </w:pPr>
      <w:r w:rsidRPr="00D54340">
        <w:rPr>
          <w:rFonts w:eastAsia="Times New Roman" w:cs="Times New Roman"/>
          <w:color w:val="000000"/>
          <w:szCs w:val="27"/>
          <w:lang w:val="en-US"/>
        </w:rPr>
        <w:t>[3]</w:t>
      </w:r>
      <w:r w:rsidRPr="00D54340">
        <w:rPr>
          <w:rFonts w:eastAsia="Times New Roman" w:cs="Times New Roman"/>
          <w:color w:val="000000"/>
          <w:szCs w:val="27"/>
          <w:lang w:val="en-US"/>
        </w:rPr>
        <w:tab/>
        <w:t>Accordingly, in the result, we would allow the appeal, restore the conviction for sexual assault, and remand the sentence appeal back to the Court of Appeal. </w:t>
      </w:r>
    </w:p>
    <w:p w:rsidR="00D54340" w:rsidRPr="00D54340" w:rsidRDefault="00D54340" w:rsidP="00D54340">
      <w:pPr>
        <w:tabs>
          <w:tab w:val="left" w:pos="1168"/>
        </w:tabs>
        <w:spacing w:line="480" w:lineRule="auto"/>
        <w:jc w:val="both"/>
        <w:rPr>
          <w:rFonts w:eastAsia="Times New Roman" w:cs="Times New Roman"/>
          <w:szCs w:val="20"/>
          <w:lang w:val="en-US" w:eastAsia="en-CA"/>
        </w:rPr>
      </w:pPr>
    </w:p>
    <w:p w:rsidR="00D54340" w:rsidRPr="00D54340" w:rsidRDefault="00D54340" w:rsidP="00D54340">
      <w:pPr>
        <w:tabs>
          <w:tab w:val="left" w:pos="1168"/>
        </w:tabs>
        <w:spacing w:line="480" w:lineRule="auto"/>
        <w:jc w:val="both"/>
        <w:rPr>
          <w:rFonts w:eastAsia="Times New Roman" w:cs="Times New Roman"/>
          <w:szCs w:val="20"/>
          <w:lang w:eastAsia="en-CA"/>
        </w:rPr>
      </w:pPr>
      <w:r w:rsidRPr="00D54340">
        <w:rPr>
          <w:rFonts w:eastAsia="Times New Roman" w:cs="Times New Roman"/>
          <w:szCs w:val="20"/>
          <w:lang w:eastAsia="en-CA"/>
        </w:rPr>
        <w:tab/>
      </w:r>
      <w:r w:rsidRPr="00D54340">
        <w:rPr>
          <w:rFonts w:eastAsia="Times New Roman" w:cs="Times New Roman"/>
          <w:i/>
          <w:szCs w:val="20"/>
          <w:lang w:eastAsia="en-CA"/>
        </w:rPr>
        <w:t>Judgment accordingly.</w:t>
      </w:r>
    </w:p>
    <w:p w:rsidR="00D54340" w:rsidRPr="00D54340" w:rsidRDefault="00D54340" w:rsidP="00D54340">
      <w:pPr>
        <w:tabs>
          <w:tab w:val="left" w:pos="1168"/>
        </w:tabs>
        <w:spacing w:line="480" w:lineRule="auto"/>
        <w:jc w:val="both"/>
        <w:rPr>
          <w:rFonts w:eastAsia="Times New Roman" w:cs="Times New Roman"/>
          <w:szCs w:val="20"/>
          <w:lang w:eastAsia="en-CA"/>
        </w:rPr>
      </w:pPr>
    </w:p>
    <w:p w:rsidR="00D54340" w:rsidRPr="00D54340" w:rsidRDefault="00D54340" w:rsidP="00D54340">
      <w:pPr>
        <w:tabs>
          <w:tab w:val="left" w:pos="1168"/>
        </w:tabs>
        <w:spacing w:line="480" w:lineRule="auto"/>
        <w:jc w:val="both"/>
        <w:rPr>
          <w:rFonts w:eastAsia="Times New Roman" w:cs="Times New Roman"/>
          <w:i/>
          <w:szCs w:val="20"/>
          <w:lang w:eastAsia="en-CA"/>
        </w:rPr>
      </w:pPr>
      <w:r w:rsidRPr="00D54340">
        <w:rPr>
          <w:rFonts w:eastAsia="Times New Roman" w:cs="Times New Roman"/>
          <w:szCs w:val="20"/>
          <w:lang w:eastAsia="en-CA"/>
        </w:rPr>
        <w:tab/>
      </w:r>
      <w:r w:rsidRPr="00D54340">
        <w:rPr>
          <w:rFonts w:eastAsia="Times New Roman" w:cs="Times New Roman"/>
          <w:i/>
          <w:szCs w:val="20"/>
          <w:lang w:eastAsia="en-CA"/>
        </w:rPr>
        <w:t>Solicitor for the appellant: Attorney General of Saskatchewan, Regina.</w:t>
      </w:r>
    </w:p>
    <w:p w:rsidR="00D54340" w:rsidRPr="00D54340" w:rsidRDefault="00D54340" w:rsidP="00D54340">
      <w:pPr>
        <w:tabs>
          <w:tab w:val="left" w:pos="1168"/>
        </w:tabs>
        <w:spacing w:line="480" w:lineRule="auto"/>
        <w:jc w:val="both"/>
        <w:rPr>
          <w:rFonts w:eastAsia="Times New Roman" w:cs="Times New Roman"/>
          <w:i/>
          <w:szCs w:val="20"/>
          <w:lang w:eastAsia="en-CA"/>
        </w:rPr>
      </w:pPr>
    </w:p>
    <w:p w:rsidR="00D54340" w:rsidRPr="00D54340" w:rsidRDefault="00D54340" w:rsidP="00D54340">
      <w:pPr>
        <w:tabs>
          <w:tab w:val="left" w:pos="1168"/>
        </w:tabs>
        <w:spacing w:line="480" w:lineRule="auto"/>
        <w:jc w:val="both"/>
        <w:rPr>
          <w:rFonts w:eastAsia="Times New Roman" w:cs="Times New Roman"/>
          <w:i/>
          <w:szCs w:val="20"/>
          <w:lang w:eastAsia="en-CA"/>
        </w:rPr>
      </w:pPr>
      <w:r w:rsidRPr="00D54340">
        <w:rPr>
          <w:rFonts w:eastAsia="Times New Roman" w:cs="Times New Roman"/>
          <w:i/>
          <w:szCs w:val="20"/>
          <w:lang w:eastAsia="en-CA"/>
        </w:rPr>
        <w:tab/>
        <w:t>Solicitors for the respondent: Pfefferle Law Office, Saskatoon.</w:t>
      </w:r>
    </w:p>
    <w:sectPr w:rsidR="00D54340" w:rsidRPr="00D54340" w:rsidSect="00F72014">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D03" w:rsidRDefault="00A54D03" w:rsidP="00F72014">
      <w:r>
        <w:separator/>
      </w:r>
    </w:p>
  </w:endnote>
  <w:endnote w:type="continuationSeparator" w:id="0">
    <w:p w:rsidR="00A54D03" w:rsidRDefault="00A54D03"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D03" w:rsidRDefault="00A54D03" w:rsidP="00F72014">
      <w:r>
        <w:separator/>
      </w:r>
    </w:p>
  </w:footnote>
  <w:footnote w:type="continuationSeparator" w:id="0">
    <w:p w:rsidR="00A54D03" w:rsidRDefault="00A54D03"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32935"/>
    <w:rsid w:val="000C2064"/>
    <w:rsid w:val="000D6417"/>
    <w:rsid w:val="001311DA"/>
    <w:rsid w:val="00136A25"/>
    <w:rsid w:val="001412E4"/>
    <w:rsid w:val="001648D4"/>
    <w:rsid w:val="00194694"/>
    <w:rsid w:val="001B0985"/>
    <w:rsid w:val="001D6B8C"/>
    <w:rsid w:val="001F1F83"/>
    <w:rsid w:val="00205C5C"/>
    <w:rsid w:val="00205C5D"/>
    <w:rsid w:val="00252460"/>
    <w:rsid w:val="00273D07"/>
    <w:rsid w:val="0028675F"/>
    <w:rsid w:val="002B3DD9"/>
    <w:rsid w:val="002C5A33"/>
    <w:rsid w:val="002D4FC9"/>
    <w:rsid w:val="002D6C3B"/>
    <w:rsid w:val="00355967"/>
    <w:rsid w:val="00373B64"/>
    <w:rsid w:val="00384384"/>
    <w:rsid w:val="003B2BE1"/>
    <w:rsid w:val="003B3C63"/>
    <w:rsid w:val="00460AFC"/>
    <w:rsid w:val="00464BA0"/>
    <w:rsid w:val="004E69EC"/>
    <w:rsid w:val="004F090E"/>
    <w:rsid w:val="00540106"/>
    <w:rsid w:val="00553C88"/>
    <w:rsid w:val="00582136"/>
    <w:rsid w:val="005D4801"/>
    <w:rsid w:val="00611C4F"/>
    <w:rsid w:val="006436BA"/>
    <w:rsid w:val="0066397D"/>
    <w:rsid w:val="006A2AF4"/>
    <w:rsid w:val="006B210C"/>
    <w:rsid w:val="00701ABD"/>
    <w:rsid w:val="00772C99"/>
    <w:rsid w:val="007740CA"/>
    <w:rsid w:val="007B2B92"/>
    <w:rsid w:val="007F663E"/>
    <w:rsid w:val="00815561"/>
    <w:rsid w:val="00842677"/>
    <w:rsid w:val="00852D4E"/>
    <w:rsid w:val="00880B14"/>
    <w:rsid w:val="008A590F"/>
    <w:rsid w:val="00904937"/>
    <w:rsid w:val="0093524C"/>
    <w:rsid w:val="009466ED"/>
    <w:rsid w:val="00996510"/>
    <w:rsid w:val="0099776C"/>
    <w:rsid w:val="009E1B85"/>
    <w:rsid w:val="009F1F8F"/>
    <w:rsid w:val="00A15427"/>
    <w:rsid w:val="00A51D10"/>
    <w:rsid w:val="00A54D03"/>
    <w:rsid w:val="00AB2201"/>
    <w:rsid w:val="00BD4217"/>
    <w:rsid w:val="00C003E6"/>
    <w:rsid w:val="00CE17A0"/>
    <w:rsid w:val="00D030DA"/>
    <w:rsid w:val="00D54340"/>
    <w:rsid w:val="00D76BDF"/>
    <w:rsid w:val="00DD055C"/>
    <w:rsid w:val="00DF15D7"/>
    <w:rsid w:val="00E22DBA"/>
    <w:rsid w:val="00E356C7"/>
    <w:rsid w:val="00E5364D"/>
    <w:rsid w:val="00E64FA7"/>
    <w:rsid w:val="00E674EE"/>
    <w:rsid w:val="00E770CB"/>
    <w:rsid w:val="00E9294F"/>
    <w:rsid w:val="00EC7D52"/>
    <w:rsid w:val="00EF0E44"/>
    <w:rsid w:val="00F14BFD"/>
    <w:rsid w:val="00F33B91"/>
    <w:rsid w:val="00F36AF0"/>
    <w:rsid w:val="00F66165"/>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A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semiHidden/>
    <w:unhideWhenUsed/>
    <w:rsid w:val="00F72014"/>
    <w:pPr>
      <w:tabs>
        <w:tab w:val="center" w:pos="4680"/>
        <w:tab w:val="right" w:pos="9360"/>
      </w:tabs>
    </w:pPr>
  </w:style>
  <w:style w:type="character" w:customStyle="1" w:styleId="HeaderChar">
    <w:name w:val="Header Char"/>
    <w:basedOn w:val="DefaultParagraphFont"/>
    <w:link w:val="Header"/>
    <w:uiPriority w:val="99"/>
    <w:semiHidden/>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table" w:customStyle="1" w:styleId="TableGrid2">
    <w:name w:val="Table Grid2"/>
    <w:basedOn w:val="TableNormal"/>
    <w:next w:val="TableGrid"/>
    <w:uiPriority w:val="59"/>
    <w:rsid w:val="00D54340"/>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1259">
      <w:bodyDiv w:val="1"/>
      <w:marLeft w:val="0"/>
      <w:marRight w:val="0"/>
      <w:marTop w:val="0"/>
      <w:marBottom w:val="0"/>
      <w:divBdr>
        <w:top w:val="none" w:sz="0" w:space="0" w:color="auto"/>
        <w:left w:val="none" w:sz="0" w:space="0" w:color="auto"/>
        <w:bottom w:val="none" w:sz="0" w:space="0" w:color="auto"/>
        <w:right w:val="none" w:sz="0" w:space="0" w:color="auto"/>
      </w:divBdr>
    </w:div>
    <w:div w:id="21007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C5587-2B7A-4BD3-A7E8-E2BD5733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2022-06-27T19:41:00Z</dcterms:created>
  <dcterms:modified xsi:type="dcterms:W3CDTF">2023-10-30T21:21:00Z</dcterms:modified>
</cp:coreProperties>
</file>