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946"/>
        <w:gridCol w:w="1842"/>
        <w:gridCol w:w="3553"/>
        <w:gridCol w:w="19"/>
      </w:tblGrid>
      <w:tr w:rsidR="00ED06A7" w14:paraId="18F77E12" w14:textId="77777777" w:rsidTr="00ED06A7">
        <w:trPr>
          <w:trHeight w:val="1784"/>
        </w:trPr>
        <w:tc>
          <w:tcPr>
            <w:tcW w:w="5000" w:type="pct"/>
            <w:gridSpan w:val="4"/>
            <w:hideMark/>
          </w:tcPr>
          <w:p w14:paraId="2FAB48FC" w14:textId="77777777" w:rsidR="00ED06A7" w:rsidRDefault="00ED06A7">
            <w:pPr>
              <w:jc w:val="center"/>
            </w:pPr>
            <w:r>
              <w:rPr>
                <w:rFonts w:eastAsia="Calibri"/>
                <w:szCs w:val="24"/>
                <w:lang w:eastAsia="en-US"/>
              </w:rPr>
              <w:object w:dxaOrig="1236" w:dyaOrig="1296" w14:anchorId="64125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5" ShapeID="_x0000_i1025" DrawAspect="Content" ObjectID="_1760194449" r:id="rId8"/>
              </w:object>
            </w:r>
          </w:p>
          <w:p w14:paraId="591BC23D" w14:textId="77777777" w:rsidR="00ED06A7" w:rsidRDefault="00ED06A7">
            <w:pPr>
              <w:spacing w:before="120" w:after="100" w:afterAutospacing="1"/>
              <w:jc w:val="center"/>
              <w:rPr>
                <w:rFonts w:eastAsia="Calibri"/>
              </w:rPr>
            </w:pPr>
            <w:r>
              <w:rPr>
                <w:rFonts w:eastAsia="Calibri"/>
                <w:b/>
                <w:szCs w:val="24"/>
                <w:lang w:eastAsia="en-US"/>
              </w:rPr>
              <w:t>SUPREME COURT OF CANADA</w:t>
            </w:r>
          </w:p>
        </w:tc>
      </w:tr>
      <w:tr w:rsidR="00ED06A7" w14:paraId="770E8CC1" w14:textId="77777777" w:rsidTr="00ED06A7">
        <w:trPr>
          <w:gridAfter w:val="1"/>
          <w:wAfter w:w="10" w:type="pct"/>
        </w:trPr>
        <w:tc>
          <w:tcPr>
            <w:tcW w:w="2108" w:type="pct"/>
            <w:tcMar>
              <w:top w:w="284" w:type="dxa"/>
              <w:left w:w="57" w:type="dxa"/>
              <w:bottom w:w="57" w:type="dxa"/>
              <w:right w:w="57" w:type="dxa"/>
            </w:tcMar>
            <w:hideMark/>
          </w:tcPr>
          <w:p w14:paraId="69AC3F32" w14:textId="349DA3E0" w:rsidR="00ED06A7" w:rsidRDefault="00ED06A7">
            <w:pPr>
              <w:spacing w:before="100" w:beforeAutospacing="1"/>
              <w:rPr>
                <w:rFonts w:eastAsia="Calibri"/>
                <w:lang w:val="fr-CA"/>
              </w:rPr>
            </w:pPr>
            <w:r>
              <w:rPr>
                <w:b/>
                <w:smallCaps/>
                <w:lang w:val="fr-CA"/>
              </w:rPr>
              <w:t>Citation:</w:t>
            </w:r>
            <w:r>
              <w:rPr>
                <w:lang w:val="fr-CA"/>
              </w:rPr>
              <w:t xml:space="preserve"> R. </w:t>
            </w:r>
            <w:r>
              <w:rPr>
                <w:i/>
                <w:lang w:val="fr-CA"/>
              </w:rPr>
              <w:t>v.</w:t>
            </w:r>
            <w:r>
              <w:rPr>
                <w:lang w:val="fr-CA"/>
              </w:rPr>
              <w:t xml:space="preserve"> Delmas, 2020 SCC 39</w:t>
            </w:r>
            <w:r>
              <w:rPr>
                <w:lang w:val="fr-CA"/>
              </w:rPr>
              <w:t>, [2020] 3 S.C.R. 780</w:t>
            </w:r>
            <w:bookmarkStart w:id="0" w:name="_GoBack"/>
            <w:bookmarkEnd w:id="0"/>
          </w:p>
        </w:tc>
        <w:tc>
          <w:tcPr>
            <w:tcW w:w="984" w:type="pct"/>
          </w:tcPr>
          <w:p w14:paraId="10014605" w14:textId="77777777" w:rsidR="00ED06A7" w:rsidRDefault="00ED06A7">
            <w:pPr>
              <w:rPr>
                <w:b/>
                <w:smallCaps/>
                <w:lang w:val="fr-CA"/>
              </w:rPr>
            </w:pPr>
          </w:p>
        </w:tc>
        <w:tc>
          <w:tcPr>
            <w:tcW w:w="1898" w:type="pct"/>
            <w:tcMar>
              <w:top w:w="284" w:type="dxa"/>
              <w:left w:w="57" w:type="dxa"/>
              <w:bottom w:w="57" w:type="dxa"/>
              <w:right w:w="57" w:type="dxa"/>
            </w:tcMar>
            <w:hideMark/>
          </w:tcPr>
          <w:p w14:paraId="1BE7F407" w14:textId="77777777" w:rsidR="00ED06A7" w:rsidRDefault="00ED06A7">
            <w:r>
              <w:rPr>
                <w:b/>
                <w:smallCaps/>
              </w:rPr>
              <w:t>Appeal Heard:</w:t>
            </w:r>
            <w:r>
              <w:t xml:space="preserve"> December 2, 2020</w:t>
            </w:r>
          </w:p>
          <w:p w14:paraId="2C896B97" w14:textId="77777777" w:rsidR="00ED06A7" w:rsidRDefault="00ED06A7">
            <w:r>
              <w:rPr>
                <w:b/>
                <w:smallCaps/>
              </w:rPr>
              <w:t>Judgment Rendered:</w:t>
            </w:r>
            <w:r>
              <w:t xml:space="preserve"> December 2, 2020</w:t>
            </w:r>
          </w:p>
          <w:p w14:paraId="2EF1386D" w14:textId="77777777" w:rsidR="00ED06A7" w:rsidRDefault="00ED06A7">
            <w:r>
              <w:rPr>
                <w:b/>
                <w:smallCaps/>
              </w:rPr>
              <w:t>Docket:</w:t>
            </w:r>
            <w:r>
              <w:t xml:space="preserve"> 39163</w:t>
            </w:r>
          </w:p>
        </w:tc>
      </w:tr>
      <w:tr w:rsidR="00ED06A7" w14:paraId="758B075A" w14:textId="77777777" w:rsidTr="00ED06A7">
        <w:tc>
          <w:tcPr>
            <w:tcW w:w="5000" w:type="pct"/>
            <w:gridSpan w:val="4"/>
          </w:tcPr>
          <w:p w14:paraId="043ABC2E" w14:textId="77777777" w:rsidR="00ED06A7" w:rsidRDefault="00ED06A7">
            <w:pPr>
              <w:rPr>
                <w:rFonts w:eastAsiaTheme="minorHAnsi" w:cstheme="minorBidi"/>
                <w:b/>
                <w:szCs w:val="24"/>
                <w:lang w:eastAsia="en-US"/>
              </w:rPr>
            </w:pPr>
          </w:p>
          <w:p w14:paraId="5C51F21F" w14:textId="77777777" w:rsidR="00ED06A7" w:rsidRDefault="00ED06A7">
            <w:pPr>
              <w:rPr>
                <w:b/>
                <w:smallCaps/>
              </w:rPr>
            </w:pPr>
            <w:r>
              <w:rPr>
                <w:b/>
                <w:smallCaps/>
              </w:rPr>
              <w:t xml:space="preserve">Between: </w:t>
            </w:r>
          </w:p>
          <w:p w14:paraId="4EC27F0E" w14:textId="77777777" w:rsidR="00ED06A7" w:rsidRDefault="00ED06A7">
            <w:pPr>
              <w:rPr>
                <w:rFonts w:eastAsiaTheme="minorHAnsi" w:cstheme="minorBidi"/>
                <w:b/>
                <w:szCs w:val="24"/>
                <w:lang w:eastAsia="en-US"/>
              </w:rPr>
            </w:pPr>
          </w:p>
          <w:p w14:paraId="1691163A" w14:textId="77777777" w:rsidR="00ED06A7" w:rsidRDefault="00ED06A7">
            <w:pPr>
              <w:jc w:val="center"/>
              <w:rPr>
                <w:rFonts w:eastAsiaTheme="minorHAnsi" w:cstheme="minorBidi"/>
                <w:b/>
                <w:szCs w:val="24"/>
                <w:lang w:eastAsia="en-US"/>
              </w:rPr>
            </w:pPr>
            <w:r>
              <w:rPr>
                <w:rFonts w:eastAsiaTheme="minorHAnsi" w:cstheme="minorBidi"/>
                <w:b/>
                <w:szCs w:val="24"/>
                <w:lang w:eastAsia="en-US"/>
              </w:rPr>
              <w:t>Michael Christopher Delmas</w:t>
            </w:r>
          </w:p>
          <w:p w14:paraId="570E7640" w14:textId="77777777" w:rsidR="00ED06A7" w:rsidRDefault="00ED06A7">
            <w:pPr>
              <w:jc w:val="center"/>
              <w:rPr>
                <w:rFonts w:eastAsiaTheme="minorHAnsi" w:cstheme="minorBidi"/>
                <w:szCs w:val="24"/>
                <w:lang w:eastAsia="en-US"/>
              </w:rPr>
            </w:pPr>
            <w:r>
              <w:rPr>
                <w:rFonts w:eastAsiaTheme="minorHAnsi" w:cstheme="minorBidi"/>
                <w:szCs w:val="24"/>
                <w:lang w:eastAsia="en-US"/>
              </w:rPr>
              <w:t>Appellant</w:t>
            </w:r>
          </w:p>
          <w:p w14:paraId="60DB6484" w14:textId="77777777" w:rsidR="00ED06A7" w:rsidRDefault="00ED06A7">
            <w:pPr>
              <w:jc w:val="center"/>
              <w:rPr>
                <w:rFonts w:eastAsiaTheme="minorHAnsi" w:cstheme="minorBidi"/>
                <w:szCs w:val="24"/>
                <w:lang w:eastAsia="en-US"/>
              </w:rPr>
            </w:pPr>
          </w:p>
          <w:p w14:paraId="5BAC120A" w14:textId="77777777" w:rsidR="00ED06A7" w:rsidRDefault="00ED06A7">
            <w:pPr>
              <w:jc w:val="center"/>
              <w:rPr>
                <w:rFonts w:eastAsiaTheme="minorHAnsi" w:cstheme="minorBidi"/>
                <w:szCs w:val="24"/>
                <w:lang w:eastAsia="en-US"/>
              </w:rPr>
            </w:pPr>
            <w:r>
              <w:rPr>
                <w:rFonts w:eastAsiaTheme="minorHAnsi" w:cstheme="minorBidi"/>
                <w:szCs w:val="24"/>
                <w:lang w:eastAsia="en-US"/>
              </w:rPr>
              <w:t>and</w:t>
            </w:r>
          </w:p>
          <w:p w14:paraId="733CEDA9" w14:textId="77777777" w:rsidR="00ED06A7" w:rsidRDefault="00ED06A7">
            <w:pPr>
              <w:jc w:val="center"/>
              <w:rPr>
                <w:rFonts w:eastAsiaTheme="minorHAnsi" w:cstheme="minorBidi"/>
                <w:szCs w:val="24"/>
                <w:lang w:eastAsia="en-US"/>
              </w:rPr>
            </w:pPr>
          </w:p>
          <w:p w14:paraId="0376590B" w14:textId="77777777" w:rsidR="00ED06A7" w:rsidRDefault="00ED06A7">
            <w:pPr>
              <w:jc w:val="center"/>
              <w:rPr>
                <w:rFonts w:eastAsiaTheme="minorHAnsi" w:cstheme="minorBidi"/>
                <w:b/>
                <w:szCs w:val="24"/>
                <w:lang w:eastAsia="en-US"/>
              </w:rPr>
            </w:pPr>
            <w:r>
              <w:rPr>
                <w:rFonts w:eastAsiaTheme="minorHAnsi" w:cstheme="minorBidi"/>
                <w:b/>
                <w:szCs w:val="24"/>
                <w:lang w:eastAsia="en-US"/>
              </w:rPr>
              <w:t>Her Majesty The Queen</w:t>
            </w:r>
          </w:p>
          <w:p w14:paraId="6E42BD28" w14:textId="77777777" w:rsidR="00ED06A7" w:rsidRDefault="00ED06A7">
            <w:pPr>
              <w:jc w:val="center"/>
              <w:rPr>
                <w:rFonts w:eastAsiaTheme="minorHAnsi" w:cstheme="minorBidi"/>
                <w:szCs w:val="24"/>
                <w:lang w:eastAsia="en-US"/>
              </w:rPr>
            </w:pPr>
            <w:r>
              <w:rPr>
                <w:rFonts w:eastAsiaTheme="minorHAnsi" w:cstheme="minorBidi"/>
                <w:szCs w:val="24"/>
                <w:lang w:eastAsia="en-US"/>
              </w:rPr>
              <w:t>Respondent</w:t>
            </w:r>
          </w:p>
          <w:p w14:paraId="115F9049" w14:textId="77777777" w:rsidR="00ED06A7" w:rsidRDefault="00ED06A7">
            <w:pPr>
              <w:jc w:val="center"/>
              <w:rPr>
                <w:rFonts w:eastAsiaTheme="minorHAnsi" w:cstheme="minorBidi"/>
                <w:szCs w:val="24"/>
                <w:lang w:eastAsia="en-US"/>
              </w:rPr>
            </w:pPr>
          </w:p>
          <w:p w14:paraId="1A2EF19A" w14:textId="77777777" w:rsidR="00ED06A7" w:rsidRDefault="00ED06A7">
            <w:pPr>
              <w:jc w:val="center"/>
            </w:pPr>
            <w:r>
              <w:t>- and -</w:t>
            </w:r>
          </w:p>
          <w:p w14:paraId="15F75373" w14:textId="77777777" w:rsidR="00ED06A7" w:rsidRDefault="00ED06A7">
            <w:pPr>
              <w:jc w:val="center"/>
              <w:rPr>
                <w:rFonts w:eastAsiaTheme="minorHAnsi" w:cstheme="minorBidi"/>
                <w:szCs w:val="24"/>
                <w:lang w:eastAsia="en-US"/>
              </w:rPr>
            </w:pPr>
          </w:p>
          <w:p w14:paraId="4C492696" w14:textId="77777777" w:rsidR="00ED06A7" w:rsidRDefault="00ED06A7">
            <w:pPr>
              <w:jc w:val="center"/>
              <w:rPr>
                <w:rFonts w:eastAsiaTheme="minorHAnsi" w:cstheme="minorBidi"/>
                <w:b/>
                <w:szCs w:val="24"/>
                <w:lang w:eastAsia="en-US"/>
              </w:rPr>
            </w:pPr>
            <w:r>
              <w:rPr>
                <w:rFonts w:eastAsiaTheme="minorHAnsi" w:cstheme="minorBidi"/>
                <w:b/>
                <w:szCs w:val="24"/>
                <w:lang w:eastAsia="en-US"/>
              </w:rPr>
              <w:t>Attorney General of Ontario</w:t>
            </w:r>
          </w:p>
          <w:p w14:paraId="2D5A3118" w14:textId="77777777" w:rsidR="00ED06A7" w:rsidRDefault="00ED06A7">
            <w:pPr>
              <w:jc w:val="center"/>
              <w:rPr>
                <w:rFonts w:eastAsiaTheme="minorHAnsi" w:cstheme="minorBidi"/>
                <w:szCs w:val="24"/>
                <w:lang w:eastAsia="en-US"/>
              </w:rPr>
            </w:pPr>
            <w:r>
              <w:rPr>
                <w:rFonts w:eastAsiaTheme="minorHAnsi" w:cstheme="minorBidi"/>
                <w:szCs w:val="24"/>
                <w:lang w:eastAsia="en-US"/>
              </w:rPr>
              <w:t>Intervener</w:t>
            </w:r>
          </w:p>
          <w:p w14:paraId="781A2F12" w14:textId="77777777" w:rsidR="00ED06A7" w:rsidRDefault="00ED06A7">
            <w:pPr>
              <w:rPr>
                <w:rFonts w:eastAsiaTheme="minorHAnsi" w:cstheme="minorBidi"/>
                <w:b/>
                <w:szCs w:val="24"/>
                <w:lang w:eastAsia="en-US"/>
              </w:rPr>
            </w:pPr>
          </w:p>
          <w:p w14:paraId="1F8CBF13" w14:textId="77777777" w:rsidR="00ED06A7" w:rsidRDefault="00ED06A7">
            <w:pPr>
              <w:rPr>
                <w:b/>
                <w:smallCap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1578"/>
        <w:gridCol w:w="7761"/>
        <w:gridCol w:w="21"/>
      </w:tblGrid>
      <w:tr w:rsidR="00ED06A7" w:rsidRPr="00ED06A7" w14:paraId="09087A33" w14:textId="77777777" w:rsidTr="00ED06A7">
        <w:trPr>
          <w:cantSplit/>
          <w:trHeight w:val="508"/>
        </w:trPr>
        <w:tc>
          <w:tcPr>
            <w:tcW w:w="5000" w:type="pct"/>
            <w:gridSpan w:val="3"/>
            <w:tcMar>
              <w:top w:w="284" w:type="dxa"/>
              <w:left w:w="58" w:type="dxa"/>
              <w:bottom w:w="57" w:type="dxa"/>
              <w:right w:w="58" w:type="dxa"/>
            </w:tcMar>
            <w:vAlign w:val="center"/>
            <w:hideMark/>
          </w:tcPr>
          <w:p w14:paraId="71A60486" w14:textId="77777777" w:rsidR="00ED06A7" w:rsidRDefault="00ED06A7">
            <w:r>
              <w:rPr>
                <w:b/>
                <w:smallCaps/>
              </w:rPr>
              <w:t>Coram:</w:t>
            </w:r>
            <w:r>
              <w:t xml:space="preserve"> Abella, Moldaver, Karakatsanis, Côté, Brown, Martin and Kasirer JJ.</w:t>
            </w:r>
          </w:p>
        </w:tc>
      </w:tr>
      <w:tr w:rsidR="00ED06A7" w14:paraId="02BA43F1" w14:textId="77777777" w:rsidTr="00ED06A7">
        <w:trPr>
          <w:gridAfter w:val="1"/>
          <w:wAfter w:w="11" w:type="pct"/>
          <w:cantSplit/>
          <w:trHeight w:val="1005"/>
        </w:trPr>
        <w:tc>
          <w:tcPr>
            <w:tcW w:w="843" w:type="pct"/>
            <w:tcMar>
              <w:top w:w="28" w:type="dxa"/>
              <w:left w:w="57" w:type="dxa"/>
              <w:bottom w:w="57" w:type="dxa"/>
              <w:right w:w="57" w:type="dxa"/>
            </w:tcMar>
            <w:vAlign w:val="center"/>
            <w:hideMark/>
          </w:tcPr>
          <w:p w14:paraId="2544B133" w14:textId="77777777" w:rsidR="00ED06A7" w:rsidRDefault="00ED06A7">
            <w:pPr>
              <w:rPr>
                <w:smallCaps/>
              </w:rPr>
            </w:pPr>
            <w:r>
              <w:rPr>
                <w:b/>
                <w:smallCaps/>
              </w:rPr>
              <w:t>Judgment Read By:</w:t>
            </w:r>
          </w:p>
          <w:p w14:paraId="574EAD9E" w14:textId="77777777" w:rsidR="00ED06A7" w:rsidRDefault="00ED06A7">
            <w:pPr>
              <w:rPr>
                <w:b/>
                <w:smallCaps/>
                <w:lang w:val="en-CA"/>
              </w:rPr>
            </w:pPr>
            <w:r>
              <w:t>(paras. 1 to 2)</w:t>
            </w:r>
          </w:p>
        </w:tc>
        <w:tc>
          <w:tcPr>
            <w:tcW w:w="4146" w:type="pct"/>
            <w:tcMar>
              <w:top w:w="0" w:type="dxa"/>
              <w:left w:w="57" w:type="dxa"/>
              <w:bottom w:w="0" w:type="dxa"/>
              <w:right w:w="57" w:type="dxa"/>
            </w:tcMar>
            <w:vAlign w:val="center"/>
          </w:tcPr>
          <w:p w14:paraId="00677A2B" w14:textId="77777777" w:rsidR="00ED06A7" w:rsidRDefault="00ED06A7">
            <w:pPr>
              <w:spacing w:before="60"/>
            </w:pPr>
            <w:r>
              <w:t>Moldaver J.</w:t>
            </w:r>
          </w:p>
          <w:p w14:paraId="1CC66916" w14:textId="77777777" w:rsidR="00ED06A7" w:rsidRDefault="00ED06A7">
            <w:pPr>
              <w:spacing w:before="120"/>
            </w:pPr>
          </w:p>
        </w:tc>
      </w:tr>
      <w:tr w:rsidR="00ED06A7" w:rsidRPr="00ED06A7" w14:paraId="1D38C91E" w14:textId="77777777" w:rsidTr="00ED06A7">
        <w:trPr>
          <w:gridAfter w:val="1"/>
          <w:wAfter w:w="11" w:type="pct"/>
          <w:cantSplit/>
          <w:trHeight w:val="508"/>
        </w:trPr>
        <w:tc>
          <w:tcPr>
            <w:tcW w:w="843" w:type="pct"/>
            <w:tcMar>
              <w:top w:w="28" w:type="dxa"/>
              <w:left w:w="57" w:type="dxa"/>
              <w:bottom w:w="57" w:type="dxa"/>
              <w:right w:w="57" w:type="dxa"/>
            </w:tcMar>
            <w:vAlign w:val="center"/>
            <w:hideMark/>
          </w:tcPr>
          <w:p w14:paraId="3ECD3956" w14:textId="77777777" w:rsidR="00ED06A7" w:rsidRDefault="00ED06A7">
            <w:pPr>
              <w:spacing w:before="120"/>
              <w:rPr>
                <w:b/>
                <w:smallCaps/>
              </w:rPr>
            </w:pPr>
            <w:r>
              <w:rPr>
                <w:b/>
                <w:smallCaps/>
              </w:rPr>
              <w:t>Majority:</w:t>
            </w:r>
          </w:p>
        </w:tc>
        <w:tc>
          <w:tcPr>
            <w:tcW w:w="4146" w:type="pct"/>
            <w:tcMar>
              <w:top w:w="28" w:type="dxa"/>
              <w:left w:w="57" w:type="dxa"/>
              <w:bottom w:w="57" w:type="dxa"/>
              <w:right w:w="57" w:type="dxa"/>
            </w:tcMar>
            <w:vAlign w:val="center"/>
            <w:hideMark/>
          </w:tcPr>
          <w:p w14:paraId="621D6857" w14:textId="77777777" w:rsidR="00ED06A7" w:rsidRDefault="00ED06A7">
            <w:pPr>
              <w:spacing w:before="120"/>
              <w:rPr>
                <w:smallCaps/>
              </w:rPr>
            </w:pPr>
            <w:r>
              <w:t>Abella, Moldaver, Karakatsanis, Brown, Martin and Kasirer JJ.</w:t>
            </w:r>
          </w:p>
        </w:tc>
      </w:tr>
      <w:tr w:rsidR="00ED06A7" w14:paraId="6F3BB51F" w14:textId="77777777" w:rsidTr="00ED06A7">
        <w:trPr>
          <w:gridAfter w:val="1"/>
          <w:wAfter w:w="11" w:type="pct"/>
          <w:cantSplit/>
          <w:trHeight w:val="508"/>
        </w:trPr>
        <w:tc>
          <w:tcPr>
            <w:tcW w:w="843" w:type="pct"/>
            <w:tcMar>
              <w:top w:w="28" w:type="dxa"/>
              <w:left w:w="57" w:type="dxa"/>
              <w:bottom w:w="57" w:type="dxa"/>
              <w:right w:w="57" w:type="dxa"/>
            </w:tcMar>
            <w:vAlign w:val="center"/>
            <w:hideMark/>
          </w:tcPr>
          <w:p w14:paraId="268852E0" w14:textId="77777777" w:rsidR="00ED06A7" w:rsidRDefault="00ED06A7">
            <w:pPr>
              <w:spacing w:before="120"/>
              <w:rPr>
                <w:b/>
                <w:smallCaps/>
              </w:rPr>
            </w:pPr>
            <w:r>
              <w:rPr>
                <w:b/>
                <w:smallCaps/>
              </w:rPr>
              <w:t>Dissent:</w:t>
            </w:r>
          </w:p>
        </w:tc>
        <w:tc>
          <w:tcPr>
            <w:tcW w:w="4146" w:type="pct"/>
            <w:tcMar>
              <w:top w:w="28" w:type="dxa"/>
              <w:left w:w="57" w:type="dxa"/>
              <w:bottom w:w="57" w:type="dxa"/>
              <w:right w:w="57" w:type="dxa"/>
            </w:tcMar>
            <w:vAlign w:val="center"/>
            <w:hideMark/>
          </w:tcPr>
          <w:p w14:paraId="56E02015" w14:textId="77777777" w:rsidR="00ED06A7" w:rsidRDefault="00ED06A7">
            <w:pPr>
              <w:spacing w:before="120"/>
              <w:rPr>
                <w:smallCaps/>
              </w:rPr>
            </w:pPr>
            <w:r>
              <w:t>Côté J.</w:t>
            </w:r>
          </w:p>
        </w:tc>
      </w:tr>
    </w:tbl>
    <w:p w14:paraId="60A04AE4" w14:textId="77777777" w:rsidR="00ED06A7" w:rsidRDefault="00ED06A7" w:rsidP="00ED06A7">
      <w:pPr>
        <w:rPr>
          <w:rFonts w:eastAsia="Calibri"/>
          <w:smallCaps/>
          <w:szCs w:val="24"/>
          <w:lang w:eastAsia="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ED06A7" w:rsidRPr="00ED06A7" w14:paraId="6EC4C623" w14:textId="77777777" w:rsidTr="00ED06A7">
        <w:tc>
          <w:tcPr>
            <w:tcW w:w="1500" w:type="pct"/>
            <w:tcMar>
              <w:top w:w="284" w:type="dxa"/>
              <w:left w:w="108" w:type="dxa"/>
              <w:bottom w:w="0" w:type="dxa"/>
              <w:right w:w="108" w:type="dxa"/>
            </w:tcMar>
          </w:tcPr>
          <w:p w14:paraId="5FFE836A" w14:textId="77777777" w:rsidR="00ED06A7" w:rsidRDefault="00ED06A7">
            <w:pPr>
              <w:rPr>
                <w:rFonts w:eastAsia="Calibri"/>
                <w:szCs w:val="24"/>
                <w:lang w:eastAsia="en-US"/>
              </w:rPr>
            </w:pPr>
          </w:p>
        </w:tc>
        <w:tc>
          <w:tcPr>
            <w:tcW w:w="2000" w:type="pct"/>
            <w:tcBorders>
              <w:top w:val="nil"/>
              <w:left w:val="nil"/>
              <w:bottom w:val="single" w:sz="4" w:space="0" w:color="auto"/>
              <w:right w:val="nil"/>
            </w:tcBorders>
            <w:tcMar>
              <w:top w:w="284" w:type="dxa"/>
              <w:left w:w="108" w:type="dxa"/>
              <w:bottom w:w="0" w:type="dxa"/>
              <w:right w:w="108" w:type="dxa"/>
            </w:tcMar>
          </w:tcPr>
          <w:p w14:paraId="42045333" w14:textId="77777777" w:rsidR="00ED06A7" w:rsidRDefault="00ED06A7">
            <w:pPr>
              <w:rPr>
                <w:rFonts w:eastAsia="Calibri"/>
                <w:szCs w:val="24"/>
                <w:lang w:eastAsia="en-US"/>
              </w:rPr>
            </w:pPr>
          </w:p>
        </w:tc>
        <w:tc>
          <w:tcPr>
            <w:tcW w:w="1500" w:type="pct"/>
            <w:tcMar>
              <w:top w:w="284" w:type="dxa"/>
              <w:left w:w="108" w:type="dxa"/>
              <w:bottom w:w="0" w:type="dxa"/>
              <w:right w:w="108" w:type="dxa"/>
            </w:tcMar>
          </w:tcPr>
          <w:p w14:paraId="3AF89DA6" w14:textId="77777777" w:rsidR="00ED06A7" w:rsidRDefault="00ED06A7">
            <w:pPr>
              <w:rPr>
                <w:rFonts w:eastAsia="Calibri"/>
                <w:szCs w:val="24"/>
                <w:lang w:eastAsia="en-US"/>
              </w:rPr>
            </w:pPr>
          </w:p>
        </w:tc>
      </w:tr>
    </w:tbl>
    <w:p w14:paraId="365DA9F6" w14:textId="7CE1D700" w:rsidR="008322BD" w:rsidRPr="001D46CD" w:rsidRDefault="008322BD" w:rsidP="00095C7E">
      <w:pPr>
        <w:spacing w:after="720"/>
        <w:jc w:val="both"/>
        <w:rPr>
          <w:smallCaps/>
          <w:lang w:val="en-US"/>
        </w:rPr>
      </w:pPr>
    </w:p>
    <w:p w14:paraId="424E1311" w14:textId="380B777A" w:rsidR="00760794" w:rsidRPr="001D46CD" w:rsidRDefault="00245E76" w:rsidP="00095C7E">
      <w:pPr>
        <w:pStyle w:val="SCCLsocLastPartyInRole"/>
        <w:rPr>
          <w:lang w:val="en-US"/>
        </w:rPr>
      </w:pPr>
      <w:r>
        <w:rPr>
          <w:bCs/>
          <w:color w:val="000000"/>
        </w:rPr>
        <w:t>Michael Christopher Delmas</w:t>
      </w:r>
      <w:r w:rsidR="00760794" w:rsidRPr="001D46CD">
        <w:rPr>
          <w:rStyle w:val="SCCLsocPartyRole"/>
          <w:lang w:val="en-US"/>
        </w:rPr>
        <w:tab/>
        <w:t>Appellant</w:t>
      </w:r>
    </w:p>
    <w:p w14:paraId="483E3EB4" w14:textId="77777777" w:rsidR="00760794" w:rsidRDefault="00760794" w:rsidP="00095C7E">
      <w:pPr>
        <w:pStyle w:val="SCCLsocVersus"/>
      </w:pPr>
      <w:r>
        <w:lastRenderedPageBreak/>
        <w:t>v.</w:t>
      </w:r>
    </w:p>
    <w:p w14:paraId="16F85CD4" w14:textId="77777777" w:rsidR="00760794" w:rsidRPr="00760794" w:rsidRDefault="007A4258" w:rsidP="00095C7E">
      <w:pPr>
        <w:pStyle w:val="SCCLsocLastPartyInRole"/>
      </w:pPr>
      <w:r w:rsidRPr="007A4258">
        <w:rPr>
          <w:bCs/>
          <w:color w:val="000000"/>
        </w:rPr>
        <w:t>Her Majesty The Queen</w:t>
      </w:r>
      <w:r w:rsidR="00760794">
        <w:rPr>
          <w:rStyle w:val="SCCLsocPartyRole"/>
        </w:rPr>
        <w:tab/>
        <w:t>Responden</w:t>
      </w:r>
      <w:r w:rsidR="00A03569">
        <w:rPr>
          <w:rStyle w:val="SCCLsocPartyRole"/>
        </w:rPr>
        <w:t>t</w:t>
      </w:r>
    </w:p>
    <w:p w14:paraId="510DF7E6" w14:textId="77777777" w:rsidR="00760794" w:rsidRPr="005A7F6D" w:rsidRDefault="00760794" w:rsidP="00095C7E">
      <w:pPr>
        <w:pStyle w:val="SCCLsocVersus"/>
        <w:rPr>
          <w:i w:val="0"/>
          <w:lang w:val="en-US"/>
        </w:rPr>
      </w:pPr>
      <w:r w:rsidRPr="005A7F6D">
        <w:rPr>
          <w:i w:val="0"/>
          <w:lang w:val="en-US"/>
        </w:rPr>
        <w:t>and</w:t>
      </w:r>
    </w:p>
    <w:p w14:paraId="1FEC05F4" w14:textId="77777777" w:rsidR="009E047E" w:rsidRPr="004E0C56" w:rsidRDefault="007A4258" w:rsidP="00095C7E">
      <w:pPr>
        <w:pStyle w:val="SCCLsocLastPartyInRole"/>
        <w:rPr>
          <w:lang w:val="en-US"/>
        </w:rPr>
      </w:pPr>
      <w:r w:rsidRPr="007A4258">
        <w:rPr>
          <w:bCs/>
          <w:color w:val="000000"/>
        </w:rPr>
        <w:t>Attorney General of Ontario</w:t>
      </w:r>
      <w:r w:rsidR="004F7750" w:rsidRPr="004E0C56">
        <w:rPr>
          <w:rStyle w:val="SCCLsocPartyRole"/>
          <w:lang w:val="en-US"/>
        </w:rPr>
        <w:tab/>
      </w:r>
      <w:r w:rsidR="008C456E">
        <w:rPr>
          <w:rStyle w:val="SCCLsocPartyRole"/>
          <w:lang w:val="en-US"/>
        </w:rPr>
        <w:t>Intervener</w:t>
      </w:r>
    </w:p>
    <w:p w14:paraId="3CAD1B7C" w14:textId="77777777" w:rsidR="00426659" w:rsidRPr="00426659" w:rsidRDefault="00426659" w:rsidP="00095C7E">
      <w:pPr>
        <w:spacing w:after="720"/>
        <w:jc w:val="both"/>
        <w:rPr>
          <w:b/>
        </w:rPr>
      </w:pPr>
      <w:r w:rsidRPr="00426659">
        <w:rPr>
          <w:b/>
        </w:rPr>
        <w:t>Indexed as:</w:t>
      </w:r>
      <w:r>
        <w:rPr>
          <w:b/>
        </w:rPr>
        <w:t xml:space="preserve"> </w:t>
      </w:r>
      <w:r w:rsidR="007A4258" w:rsidRPr="007A4258">
        <w:rPr>
          <w:b/>
          <w:color w:val="000000"/>
        </w:rPr>
        <w:t>R. </w:t>
      </w:r>
      <w:r w:rsidR="007A4258" w:rsidRPr="007A4258">
        <w:rPr>
          <w:b/>
          <w:i/>
          <w:iCs/>
          <w:color w:val="000000"/>
        </w:rPr>
        <w:t>v.</w:t>
      </w:r>
      <w:r w:rsidR="007A4258" w:rsidRPr="007A4258">
        <w:rPr>
          <w:b/>
          <w:color w:val="000000"/>
        </w:rPr>
        <w:t> Delmas</w:t>
      </w:r>
    </w:p>
    <w:p w14:paraId="58044694" w14:textId="77777777" w:rsidR="00A149DF" w:rsidRPr="00D7142F" w:rsidRDefault="00AE4535" w:rsidP="00095C7E">
      <w:pPr>
        <w:pStyle w:val="SCCSystemYear"/>
        <w:spacing w:after="720"/>
        <w:jc w:val="both"/>
        <w:rPr>
          <w:lang w:val="en-US"/>
        </w:rPr>
      </w:pPr>
      <w:r w:rsidRPr="00D7142F">
        <w:rPr>
          <w:lang w:val="en-US"/>
        </w:rPr>
        <w:t>20</w:t>
      </w:r>
      <w:r w:rsidR="008C456E" w:rsidRPr="00D7142F">
        <w:rPr>
          <w:lang w:val="en-US"/>
        </w:rPr>
        <w:t>20</w:t>
      </w:r>
      <w:r w:rsidR="003D0399" w:rsidRPr="00D7142F">
        <w:rPr>
          <w:lang w:val="en-US"/>
        </w:rPr>
        <w:t xml:space="preserve"> </w:t>
      </w:r>
      <w:r w:rsidR="00426659" w:rsidRPr="00D7142F">
        <w:rPr>
          <w:lang w:val="en-US"/>
        </w:rPr>
        <w:t>SCC </w:t>
      </w:r>
      <w:r w:rsidR="007A4258">
        <w:rPr>
          <w:lang w:val="en-US"/>
        </w:rPr>
        <w:t>39</w:t>
      </w:r>
    </w:p>
    <w:p w14:paraId="37147023" w14:textId="77777777" w:rsidR="00A149DF" w:rsidRPr="00D7142F" w:rsidRDefault="009B57B3" w:rsidP="00095C7E">
      <w:pPr>
        <w:spacing w:after="720"/>
        <w:jc w:val="both"/>
        <w:rPr>
          <w:lang w:val="en-US"/>
        </w:rPr>
      </w:pPr>
      <w:r w:rsidRPr="00D7142F">
        <w:rPr>
          <w:lang w:val="en-US"/>
        </w:rPr>
        <w:t xml:space="preserve">File No.: </w:t>
      </w:r>
      <w:r w:rsidR="007A4258">
        <w:rPr>
          <w:color w:val="000000"/>
        </w:rPr>
        <w:t>39163</w:t>
      </w:r>
      <w:r w:rsidRPr="00D7142F">
        <w:rPr>
          <w:lang w:val="en-US"/>
        </w:rPr>
        <w:t>.</w:t>
      </w:r>
    </w:p>
    <w:p w14:paraId="261EB66C" w14:textId="77777777" w:rsidR="00A149DF" w:rsidRDefault="008C456E" w:rsidP="00095C7E">
      <w:pPr>
        <w:spacing w:after="720"/>
        <w:jc w:val="both"/>
      </w:pPr>
      <w:r>
        <w:t>2020</w:t>
      </w:r>
      <w:r w:rsidR="00122FE6">
        <w:t xml:space="preserve">: </w:t>
      </w:r>
      <w:r w:rsidR="007A4258">
        <w:t>December 2</w:t>
      </w:r>
      <w:r w:rsidR="009D51F3">
        <w:t>.</w:t>
      </w:r>
    </w:p>
    <w:p w14:paraId="0349208F" w14:textId="77777777" w:rsidR="009E047E" w:rsidRDefault="00122FE6" w:rsidP="00095C7E">
      <w:pPr>
        <w:spacing w:after="720"/>
        <w:jc w:val="both"/>
      </w:pPr>
      <w:r>
        <w:t xml:space="preserve">Present: </w:t>
      </w:r>
      <w:r w:rsidR="009B57B3" w:rsidRPr="007A4258">
        <w:t xml:space="preserve">Abella, Moldaver, Karakatsanis, Côté, </w:t>
      </w:r>
      <w:r w:rsidR="007A4258" w:rsidRPr="007A4258">
        <w:t>Brown</w:t>
      </w:r>
      <w:r w:rsidR="008C456E" w:rsidRPr="007A4258">
        <w:t>, Martin</w:t>
      </w:r>
      <w:r w:rsidR="009B57B3" w:rsidRPr="007A4258">
        <w:t xml:space="preserve"> and Kasirer JJ.</w:t>
      </w:r>
    </w:p>
    <w:p w14:paraId="2772C0D4" w14:textId="77777777" w:rsidR="003A4C70" w:rsidRPr="001426A9" w:rsidRDefault="00656313" w:rsidP="00095C7E">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D51F3">
        <w:t xml:space="preserve">court of appeal </w:t>
      </w:r>
      <w:r w:rsidR="00760794">
        <w:t>for</w:t>
      </w:r>
      <w:r w:rsidR="009D51F3">
        <w:t xml:space="preserve"> </w:t>
      </w:r>
      <w:r w:rsidR="007A4258">
        <w:t>alberta</w:t>
      </w:r>
    </w:p>
    <w:p w14:paraId="212E1F63" w14:textId="0A081EC3" w:rsidR="003E695C" w:rsidRDefault="009B57B3" w:rsidP="00095C7E">
      <w:pPr>
        <w:pStyle w:val="SCCNormalDoubleSpacing"/>
        <w:rPr>
          <w:i/>
        </w:rPr>
      </w:pPr>
      <w:r w:rsidRPr="00583EDE">
        <w:tab/>
      </w:r>
      <w:r w:rsidR="00872D13" w:rsidRPr="0091273C">
        <w:rPr>
          <w:i/>
        </w:rPr>
        <w:t>Crim</w:t>
      </w:r>
      <w:r w:rsidR="00E44278">
        <w:rPr>
          <w:i/>
        </w:rPr>
        <w:t xml:space="preserve">inal law — Evidence — </w:t>
      </w:r>
      <w:r w:rsidR="00192DD3">
        <w:rPr>
          <w:i/>
        </w:rPr>
        <w:t xml:space="preserve">Assessment — </w:t>
      </w:r>
      <w:r w:rsidR="00192DD3" w:rsidRPr="0091273C">
        <w:rPr>
          <w:i/>
        </w:rPr>
        <w:t>Generalizations and stereotypes</w:t>
      </w:r>
      <w:r w:rsidR="00192DD3">
        <w:rPr>
          <w:i/>
        </w:rPr>
        <w:t xml:space="preserve"> </w:t>
      </w:r>
      <w:r w:rsidR="00192DD3" w:rsidRPr="00872D13">
        <w:rPr>
          <w:i/>
        </w:rPr>
        <w:t xml:space="preserve">— </w:t>
      </w:r>
      <w:r w:rsidR="00E44278">
        <w:rPr>
          <w:i/>
        </w:rPr>
        <w:t>Admissibility</w:t>
      </w:r>
      <w:r w:rsidR="00872D13" w:rsidRPr="0091273C">
        <w:rPr>
          <w:i/>
        </w:rPr>
        <w:t xml:space="preserve"> —</w:t>
      </w:r>
      <w:r w:rsidR="00FF43F0">
        <w:rPr>
          <w:i/>
        </w:rPr>
        <w:t xml:space="preserve"> </w:t>
      </w:r>
      <w:r w:rsidR="00685CE6">
        <w:rPr>
          <w:i/>
        </w:rPr>
        <w:t xml:space="preserve">Complainant’s </w:t>
      </w:r>
      <w:r w:rsidR="00885334">
        <w:rPr>
          <w:i/>
        </w:rPr>
        <w:t xml:space="preserve">sexual </w:t>
      </w:r>
      <w:r w:rsidR="00685CE6">
        <w:rPr>
          <w:i/>
        </w:rPr>
        <w:t>activity</w:t>
      </w:r>
      <w:r w:rsidR="00885334">
        <w:rPr>
          <w:i/>
        </w:rPr>
        <w:t xml:space="preserve"> — </w:t>
      </w:r>
      <w:r w:rsidR="00872D13">
        <w:rPr>
          <w:i/>
        </w:rPr>
        <w:t xml:space="preserve">Accused </w:t>
      </w:r>
      <w:r w:rsidR="00685CE6">
        <w:rPr>
          <w:i/>
        </w:rPr>
        <w:t xml:space="preserve">convicted of sexual assault </w:t>
      </w:r>
      <w:r w:rsidR="001239B0">
        <w:rPr>
          <w:i/>
        </w:rPr>
        <w:t xml:space="preserve">at </w:t>
      </w:r>
      <w:r w:rsidR="0091273C">
        <w:rPr>
          <w:i/>
        </w:rPr>
        <w:t>trial</w:t>
      </w:r>
      <w:r w:rsidR="001239B0">
        <w:rPr>
          <w:i/>
        </w:rPr>
        <w:t xml:space="preserve"> </w:t>
      </w:r>
      <w:r w:rsidR="00302155">
        <w:rPr>
          <w:i/>
        </w:rPr>
        <w:t>—</w:t>
      </w:r>
      <w:r w:rsidR="002F2A80">
        <w:rPr>
          <w:i/>
          <w:lang w:val="en-US"/>
        </w:rPr>
        <w:t xml:space="preserve"> </w:t>
      </w:r>
      <w:r w:rsidR="00192DD3">
        <w:rPr>
          <w:i/>
          <w:lang w:val="en-US"/>
        </w:rPr>
        <w:t xml:space="preserve">Trial judge did not rely on stereotypes in assessment of accused’s evidence — Trial judge’s error in not </w:t>
      </w:r>
      <w:r w:rsidR="00192DD3" w:rsidRPr="00192DD3">
        <w:rPr>
          <w:i/>
          <w:lang w:val="en-US"/>
        </w:rPr>
        <w:t>conduct</w:t>
      </w:r>
      <w:r w:rsidR="00192DD3">
        <w:rPr>
          <w:i/>
          <w:lang w:val="en-US"/>
        </w:rPr>
        <w:t>ing</w:t>
      </w:r>
      <w:r w:rsidR="00192DD3" w:rsidRPr="00192DD3">
        <w:rPr>
          <w:i/>
          <w:lang w:val="en-US"/>
        </w:rPr>
        <w:t xml:space="preserve"> voir dire regarding complainant’s evidence of past sexual relationship with </w:t>
      </w:r>
      <w:r w:rsidR="00192DD3">
        <w:rPr>
          <w:i/>
          <w:lang w:val="en-US"/>
        </w:rPr>
        <w:t>accused</w:t>
      </w:r>
      <w:r w:rsidR="00192DD3" w:rsidRPr="00192DD3">
        <w:rPr>
          <w:i/>
          <w:lang w:val="en-US"/>
        </w:rPr>
        <w:t xml:space="preserve"> </w:t>
      </w:r>
      <w:r w:rsidR="00192DD3">
        <w:rPr>
          <w:i/>
          <w:lang w:val="en-US"/>
        </w:rPr>
        <w:t>did not give</w:t>
      </w:r>
      <w:r w:rsidR="00192DD3" w:rsidRPr="00192DD3">
        <w:rPr>
          <w:i/>
          <w:lang w:val="en-US"/>
        </w:rPr>
        <w:t xml:space="preserve"> rise to substantial wrong or miscarriage of justice</w:t>
      </w:r>
      <w:r w:rsidR="00192DD3">
        <w:rPr>
          <w:i/>
          <w:lang w:val="en-US"/>
        </w:rPr>
        <w:t xml:space="preserve"> — </w:t>
      </w:r>
      <w:r w:rsidR="002F2A80" w:rsidRPr="002F2A80">
        <w:rPr>
          <w:i/>
        </w:rPr>
        <w:t>Conviction upheld.</w:t>
      </w:r>
    </w:p>
    <w:p w14:paraId="213ED074" w14:textId="77777777" w:rsidR="00907670" w:rsidRPr="00A012BE" w:rsidRDefault="00907670" w:rsidP="00095C7E">
      <w:pPr>
        <w:pStyle w:val="SCCNormalDoubleSpacing"/>
      </w:pPr>
    </w:p>
    <w:p w14:paraId="1F5C7A7D" w14:textId="0153EF79" w:rsidR="008C456E" w:rsidRDefault="008C456E" w:rsidP="00095C7E">
      <w:pPr>
        <w:pStyle w:val="SCCNormalDoubleSpacing"/>
      </w:pPr>
      <w:r w:rsidRPr="00314E01">
        <w:rPr>
          <w:b/>
        </w:rPr>
        <w:t>Statutes and Regulations Cite</w:t>
      </w:r>
      <w:r>
        <w:rPr>
          <w:b/>
        </w:rPr>
        <w:t>d</w:t>
      </w:r>
    </w:p>
    <w:p w14:paraId="39D3E36E" w14:textId="77777777" w:rsidR="008C456E" w:rsidRDefault="008C456E" w:rsidP="00095C7E">
      <w:pPr>
        <w:pStyle w:val="SCCNormalDoubleSpacing"/>
        <w:spacing w:line="240" w:lineRule="auto"/>
        <w:ind w:left="540" w:hanging="540"/>
      </w:pPr>
    </w:p>
    <w:p w14:paraId="10C8BA85" w14:textId="77777777" w:rsidR="008C456E" w:rsidRPr="0091273C" w:rsidRDefault="007A4258" w:rsidP="00095C7E">
      <w:pPr>
        <w:pStyle w:val="SCCNormalDoubleSpacing"/>
        <w:spacing w:line="240" w:lineRule="auto"/>
        <w:ind w:left="540" w:hanging="540"/>
        <w:rPr>
          <w:lang w:val="en-US"/>
        </w:rPr>
      </w:pPr>
      <w:r w:rsidRPr="0091273C">
        <w:rPr>
          <w:i/>
          <w:lang w:val="en-US"/>
        </w:rPr>
        <w:t>Criminal Code</w:t>
      </w:r>
      <w:r w:rsidRPr="0091273C">
        <w:rPr>
          <w:lang w:val="en-US"/>
        </w:rPr>
        <w:t>, R.S.C. 1985, c. C-46, s. 276.</w:t>
      </w:r>
    </w:p>
    <w:p w14:paraId="7FA845B2" w14:textId="77777777" w:rsidR="008C456E" w:rsidRPr="0091273C" w:rsidRDefault="008C456E" w:rsidP="00095C7E">
      <w:pPr>
        <w:pStyle w:val="SCCNormalDoubleSpacing"/>
        <w:spacing w:line="240" w:lineRule="auto"/>
        <w:ind w:left="540" w:hanging="540"/>
        <w:rPr>
          <w:lang w:val="en-US"/>
        </w:rPr>
      </w:pPr>
    </w:p>
    <w:p w14:paraId="057F96FA" w14:textId="77777777" w:rsidR="00605CDA" w:rsidRPr="0091273C" w:rsidRDefault="00605CDA" w:rsidP="00095C7E">
      <w:pPr>
        <w:pStyle w:val="SCCNormalDoubleSpacing"/>
        <w:rPr>
          <w:lang w:val="en-US"/>
        </w:rPr>
      </w:pPr>
    </w:p>
    <w:p w14:paraId="0ACF9F62" w14:textId="7CD3D8BA" w:rsidR="00DE4766" w:rsidRPr="00DE4766" w:rsidRDefault="00760794" w:rsidP="00095C7E">
      <w:pPr>
        <w:pStyle w:val="SCCNormalDoubleSpacing"/>
        <w:rPr>
          <w:lang w:val="en-US"/>
        </w:rPr>
      </w:pPr>
      <w:r w:rsidRPr="0091273C">
        <w:rPr>
          <w:lang w:val="en-US"/>
        </w:rPr>
        <w:tab/>
      </w:r>
      <w:r w:rsidR="009B57B3" w:rsidRPr="00392747">
        <w:t xml:space="preserve">APPEAL from a judgment of the </w:t>
      </w:r>
      <w:r w:rsidR="00392747" w:rsidRPr="00392747">
        <w:t>Alberta</w:t>
      </w:r>
      <w:r w:rsidR="009B57B3" w:rsidRPr="00392747">
        <w:t xml:space="preserve"> </w:t>
      </w:r>
      <w:r w:rsidRPr="00392747">
        <w:t xml:space="preserve">Court of </w:t>
      </w:r>
      <w:r w:rsidR="00AC22E6" w:rsidRPr="00392747">
        <w:t>Appeal</w:t>
      </w:r>
      <w:r w:rsidR="00392747">
        <w:t xml:space="preserve"> (</w:t>
      </w:r>
      <w:r w:rsidR="00267585">
        <w:t xml:space="preserve">O’Ferrall, Hughes and Feehan JJ.A.), </w:t>
      </w:r>
      <w:r w:rsidR="00267585">
        <w:rPr>
          <w:color w:val="000000"/>
        </w:rPr>
        <w:t xml:space="preserve">2020 ABCA 152, </w:t>
      </w:r>
      <w:r w:rsidR="00267585" w:rsidRPr="00267585">
        <w:rPr>
          <w:color w:val="000000"/>
        </w:rPr>
        <w:t>64 C.R. (7th) 71</w:t>
      </w:r>
      <w:r w:rsidR="00267585">
        <w:rPr>
          <w:color w:val="000000"/>
        </w:rPr>
        <w:t xml:space="preserve">, [2020] A.J. No. 471 (QL), 2020 CarswellAlta 737 (WL Can.), </w:t>
      </w:r>
      <w:r w:rsidR="00C77C20" w:rsidRPr="00671AB8">
        <w:rPr>
          <w:color w:val="000000"/>
        </w:rPr>
        <w:t>aff</w:t>
      </w:r>
      <w:r w:rsidR="00671AB8">
        <w:rPr>
          <w:color w:val="000000"/>
        </w:rPr>
        <w:t>irming the conviction of the accused for sexual assault.</w:t>
      </w:r>
      <w:r w:rsidR="00C77C20" w:rsidRPr="00671AB8">
        <w:rPr>
          <w:color w:val="000000"/>
        </w:rPr>
        <w:t xml:space="preserve"> Appeal </w:t>
      </w:r>
      <w:r w:rsidR="00671AB8">
        <w:rPr>
          <w:color w:val="000000"/>
        </w:rPr>
        <w:t>dismissed, Côté J. dissenting</w:t>
      </w:r>
      <w:r w:rsidR="00C77C20" w:rsidRPr="00671AB8">
        <w:rPr>
          <w:color w:val="000000"/>
        </w:rPr>
        <w:t>.</w:t>
      </w:r>
    </w:p>
    <w:p w14:paraId="5A222CAB" w14:textId="77777777" w:rsidR="00656313" w:rsidRDefault="00656313" w:rsidP="00095C7E">
      <w:pPr>
        <w:pStyle w:val="SCCNormalDoubleSpacing"/>
      </w:pPr>
    </w:p>
    <w:p w14:paraId="6C18938E" w14:textId="77777777" w:rsidR="001A1069" w:rsidRPr="001A1069" w:rsidRDefault="001A1069" w:rsidP="00095C7E">
      <w:pPr>
        <w:pStyle w:val="SCCNormalDoubleSpacing"/>
        <w:rPr>
          <w:lang w:val="en-US"/>
        </w:rPr>
      </w:pPr>
      <w:r>
        <w:tab/>
      </w:r>
      <w:r w:rsidR="00EC41D2">
        <w:rPr>
          <w:i/>
          <w:iCs/>
          <w:color w:val="000000"/>
        </w:rPr>
        <w:t xml:space="preserve">Andrea </w:t>
      </w:r>
      <w:r w:rsidR="00EC41D2" w:rsidRPr="001D46CD">
        <w:rPr>
          <w:i/>
          <w:iCs/>
          <w:color w:val="000000"/>
        </w:rPr>
        <w:t>L.</w:t>
      </w:r>
      <w:r w:rsidR="00EC41D2">
        <w:rPr>
          <w:i/>
          <w:iCs/>
          <w:color w:val="000000"/>
        </w:rPr>
        <w:t xml:space="preserve"> Serink</w:t>
      </w:r>
      <w:r w:rsidR="00EC41D2">
        <w:rPr>
          <w:color w:val="000000"/>
        </w:rPr>
        <w:t> and </w:t>
      </w:r>
      <w:r w:rsidR="00EC41D2">
        <w:rPr>
          <w:i/>
          <w:iCs/>
          <w:color w:val="000000"/>
        </w:rPr>
        <w:t>Alias A. Sanders</w:t>
      </w:r>
      <w:r w:rsidRPr="001A1069">
        <w:rPr>
          <w:lang w:val="en-US"/>
        </w:rPr>
        <w:t>, for the appellant</w:t>
      </w:r>
      <w:r>
        <w:rPr>
          <w:lang w:val="en-US"/>
        </w:rPr>
        <w:t>.</w:t>
      </w:r>
    </w:p>
    <w:p w14:paraId="05E19CF6" w14:textId="77777777" w:rsidR="009E047E" w:rsidRDefault="009E047E" w:rsidP="00095C7E">
      <w:pPr>
        <w:pStyle w:val="SCCNormalDoubleSpacing"/>
      </w:pPr>
    </w:p>
    <w:p w14:paraId="3B4F2BE9" w14:textId="77777777" w:rsidR="005437B2" w:rsidRDefault="004F7750" w:rsidP="00095C7E">
      <w:pPr>
        <w:pStyle w:val="SCCNormalDoubleSpacing"/>
        <w:rPr>
          <w:rStyle w:val="SCCCounselPartyRoleChar"/>
        </w:rPr>
      </w:pPr>
      <w:r>
        <w:rPr>
          <w:rStyle w:val="SCCCounselNameChar"/>
        </w:rPr>
        <w:tab/>
      </w:r>
      <w:r w:rsidR="00EC41D2">
        <w:rPr>
          <w:i/>
          <w:iCs/>
          <w:color w:val="000000"/>
        </w:rPr>
        <w:t>Sarah Clive</w:t>
      </w:r>
      <w:r w:rsidR="001A1069">
        <w:rPr>
          <w:rStyle w:val="SCCCounselPartyRoleChar"/>
        </w:rPr>
        <w:t xml:space="preserve">, </w:t>
      </w:r>
      <w:r>
        <w:rPr>
          <w:rStyle w:val="SCCCounselPartyRoleChar"/>
        </w:rPr>
        <w:t xml:space="preserve">for the </w:t>
      </w:r>
      <w:r w:rsidRPr="00AC22E6">
        <w:rPr>
          <w:rStyle w:val="SCCCounselPartyRoleChar"/>
        </w:rPr>
        <w:t>respondent</w:t>
      </w:r>
      <w:r>
        <w:rPr>
          <w:rStyle w:val="SCCCounselPartyRoleChar"/>
        </w:rPr>
        <w:t>.</w:t>
      </w:r>
    </w:p>
    <w:p w14:paraId="6754595E" w14:textId="77777777" w:rsidR="00AB1AA6" w:rsidRDefault="00AB1AA6" w:rsidP="00095C7E">
      <w:pPr>
        <w:pStyle w:val="SCCNormalDoubleSpacing"/>
        <w:rPr>
          <w:rStyle w:val="SCCCounselPartyRoleChar"/>
        </w:rPr>
      </w:pPr>
    </w:p>
    <w:p w14:paraId="29F54F2E" w14:textId="77777777" w:rsidR="00AC22E6" w:rsidRDefault="00AC22E6" w:rsidP="00095C7E">
      <w:pPr>
        <w:pStyle w:val="SCCNormalDoubleSpacing"/>
        <w:rPr>
          <w:rStyle w:val="SCCCounselPartyRoleChar"/>
        </w:rPr>
      </w:pPr>
      <w:r>
        <w:rPr>
          <w:rStyle w:val="SCCCounselNameChar"/>
        </w:rPr>
        <w:tab/>
      </w:r>
      <w:r w:rsidR="00EC41D2">
        <w:rPr>
          <w:i/>
          <w:iCs/>
          <w:color w:val="000000"/>
        </w:rPr>
        <w:t>Mabel Lai</w:t>
      </w:r>
      <w:r>
        <w:rPr>
          <w:rStyle w:val="SCCCounselPartyRoleChar"/>
        </w:rPr>
        <w:t>, for the intervener.</w:t>
      </w:r>
    </w:p>
    <w:p w14:paraId="42EB5DFE" w14:textId="77777777" w:rsidR="00AC22E6" w:rsidRDefault="00AC22E6" w:rsidP="00095C7E">
      <w:pPr>
        <w:pStyle w:val="SCCNormalDoubleSpacing"/>
        <w:rPr>
          <w:rStyle w:val="SCCCounselPartyRoleChar"/>
        </w:rPr>
      </w:pPr>
    </w:p>
    <w:p w14:paraId="5A81C1A6" w14:textId="77777777" w:rsidR="00A21679" w:rsidRDefault="00AB1AA6" w:rsidP="00095C7E">
      <w:pPr>
        <w:pStyle w:val="SCCNormalDoubleSpacing"/>
      </w:pPr>
      <w:r>
        <w:tab/>
      </w:r>
      <w:r w:rsidRPr="0011741E">
        <w:t>The judgment of the Court w</w:t>
      </w:r>
      <w:r w:rsidR="00D01FE7" w:rsidRPr="0011741E">
        <w:t>as</w:t>
      </w:r>
      <w:r w:rsidRPr="0011741E">
        <w:t xml:space="preserve"> delivered orally by</w:t>
      </w:r>
    </w:p>
    <w:p w14:paraId="192B7387" w14:textId="77777777" w:rsidR="00AA2177" w:rsidRPr="004C6A4C" w:rsidRDefault="00AA2177" w:rsidP="00095C7E">
      <w:pPr>
        <w:pStyle w:val="SCCNormalDoubleSpacing"/>
      </w:pPr>
    </w:p>
    <w:p w14:paraId="51EDB1BD" w14:textId="361A74ED" w:rsidR="00BA2536" w:rsidRPr="00BA2536" w:rsidRDefault="00AA2177" w:rsidP="00095C7E">
      <w:pPr>
        <w:spacing w:line="480" w:lineRule="auto"/>
        <w:jc w:val="both"/>
        <w:rPr>
          <w:color w:val="000000"/>
          <w:szCs w:val="27"/>
          <w:lang w:val="en-US" w:eastAsia="en-US"/>
        </w:rPr>
      </w:pPr>
      <w:r>
        <w:rPr>
          <w:smallCaps/>
          <w:color w:val="000000"/>
          <w:szCs w:val="27"/>
          <w:lang w:val="en-US" w:eastAsia="en-US"/>
        </w:rPr>
        <w:t>[1]</w:t>
      </w:r>
      <w:r w:rsidRPr="00AA2177">
        <w:rPr>
          <w:smallCaps/>
          <w:color w:val="000000"/>
          <w:szCs w:val="27"/>
          <w:lang w:eastAsia="en-US"/>
        </w:rPr>
        <w:tab/>
      </w:r>
      <w:r w:rsidR="00BA2536" w:rsidRPr="00BA2536">
        <w:rPr>
          <w:smallCaps/>
          <w:color w:val="000000"/>
          <w:szCs w:val="27"/>
          <w:lang w:val="en-US" w:eastAsia="en-US"/>
        </w:rPr>
        <w:t>Moldaver</w:t>
      </w:r>
      <w:r w:rsidR="00BA2536" w:rsidRPr="00BA2536">
        <w:rPr>
          <w:color w:val="000000"/>
          <w:szCs w:val="27"/>
          <w:lang w:val="en-US" w:eastAsia="en-US"/>
        </w:rPr>
        <w:t> J. — A majority of the Court would dismiss the appeal. The trial judge did not engage in stereotypical reasoning in his assessment of the appellant’s evidence. To the extent he may have erred in drawing an illogical inference about the unlikelihood of the appellant having sex with the complainant while he was involved in a relationship with another woman, the error in the view of the majority was harmless having regard to the reasons as a whole, and it occasioned no wrong or miscarriage of justice. Likewise, while the failure to conduct a s. 276 </w:t>
      </w:r>
      <w:r w:rsidR="00BA2536" w:rsidRPr="00BA2536">
        <w:rPr>
          <w:i/>
          <w:iCs/>
          <w:color w:val="000000"/>
          <w:szCs w:val="27"/>
          <w:lang w:val="en-US" w:eastAsia="en-US"/>
        </w:rPr>
        <w:t>voir dire</w:t>
      </w:r>
      <w:r w:rsidR="00BA2536" w:rsidRPr="00BA2536">
        <w:rPr>
          <w:color w:val="000000"/>
          <w:szCs w:val="27"/>
          <w:lang w:val="en-US" w:eastAsia="en-US"/>
        </w:rPr>
        <w:t> (</w:t>
      </w:r>
      <w:r w:rsidR="00BA2536" w:rsidRPr="00BA2536">
        <w:rPr>
          <w:i/>
          <w:iCs/>
          <w:szCs w:val="27"/>
          <w:lang w:val="en-US" w:eastAsia="en-US"/>
        </w:rPr>
        <w:t>Criminal Code</w:t>
      </w:r>
      <w:r w:rsidR="00BA2536" w:rsidRPr="00BA2536">
        <w:rPr>
          <w:szCs w:val="27"/>
          <w:lang w:val="en-US" w:eastAsia="en-US"/>
        </w:rPr>
        <w:t>, R.S.C. 1985, c. C-46</w:t>
      </w:r>
      <w:r w:rsidR="00BA2536" w:rsidRPr="00BA2536">
        <w:rPr>
          <w:color w:val="000000"/>
          <w:szCs w:val="27"/>
          <w:lang w:val="en-US" w:eastAsia="en-US"/>
        </w:rPr>
        <w:t>) regarding the complainant’s evidence of a past sexual relationship with the appellant was an error, it gave rise to no substantial wrong or miscarriage of justice.</w:t>
      </w:r>
    </w:p>
    <w:p w14:paraId="26C877ED" w14:textId="77777777" w:rsidR="00BA2536" w:rsidRPr="00BA2536" w:rsidRDefault="00BA2536" w:rsidP="00095C7E">
      <w:pPr>
        <w:spacing w:line="480" w:lineRule="auto"/>
        <w:jc w:val="both"/>
        <w:rPr>
          <w:color w:val="000000"/>
          <w:szCs w:val="27"/>
          <w:lang w:val="en-US" w:eastAsia="en-US"/>
        </w:rPr>
      </w:pPr>
      <w:r w:rsidRPr="00BA2536">
        <w:rPr>
          <w:color w:val="000000"/>
          <w:szCs w:val="27"/>
          <w:lang w:val="en-US" w:eastAsia="en-US"/>
        </w:rPr>
        <w:t> </w:t>
      </w:r>
    </w:p>
    <w:p w14:paraId="3EEED81E" w14:textId="77F76D89" w:rsidR="00AB1AA6" w:rsidRPr="00EF6E1D" w:rsidRDefault="00EF6E1D" w:rsidP="00095C7E">
      <w:pPr>
        <w:spacing w:line="480" w:lineRule="auto"/>
        <w:jc w:val="both"/>
        <w:rPr>
          <w:color w:val="000000"/>
          <w:szCs w:val="27"/>
          <w:lang w:eastAsia="en-US"/>
        </w:rPr>
      </w:pPr>
      <w:r>
        <w:rPr>
          <w:color w:val="000000"/>
          <w:szCs w:val="27"/>
          <w:lang w:val="en-US" w:eastAsia="en-US"/>
        </w:rPr>
        <w:lastRenderedPageBreak/>
        <w:t>[2]</w:t>
      </w:r>
      <w:r w:rsidRPr="00EF6E1D">
        <w:rPr>
          <w:color w:val="000000"/>
          <w:szCs w:val="27"/>
          <w:lang w:eastAsia="en-US"/>
        </w:rPr>
        <w:tab/>
      </w:r>
      <w:r w:rsidR="00BA2536" w:rsidRPr="00BA2536">
        <w:rPr>
          <w:color w:val="000000"/>
          <w:szCs w:val="27"/>
          <w:lang w:val="en-US" w:eastAsia="en-US"/>
        </w:rPr>
        <w:t>Justice Côté, dissenting, would allow the appeal for substantially the reasons of O’Ferrall J.A. She would not apply the curative proviso since she is not persuaded that there was no substantial wrong or miscarriage of justice in this case.</w:t>
      </w:r>
    </w:p>
    <w:p w14:paraId="6BE5D66E" w14:textId="77777777" w:rsidR="00AC22E6" w:rsidRDefault="00AC22E6" w:rsidP="00095C7E">
      <w:pPr>
        <w:pStyle w:val="SCCNormalDoubleSpacing"/>
        <w:rPr>
          <w:smallCaps/>
        </w:rPr>
      </w:pPr>
    </w:p>
    <w:p w14:paraId="6B602A80" w14:textId="77777777" w:rsidR="009B57B3" w:rsidRDefault="009B57B3" w:rsidP="00095C7E">
      <w:pPr>
        <w:pStyle w:val="SCCNormalDoubleSpacing"/>
      </w:pPr>
      <w:r w:rsidRPr="001426A9">
        <w:tab/>
      </w:r>
      <w:r w:rsidR="00C57765" w:rsidRPr="00F45727">
        <w:rPr>
          <w:i/>
        </w:rPr>
        <w:t>Judgment</w:t>
      </w:r>
      <w:r w:rsidR="00492A14" w:rsidRPr="00F45727">
        <w:rPr>
          <w:i/>
        </w:rPr>
        <w:t xml:space="preserve"> accordingly</w:t>
      </w:r>
      <w:r w:rsidR="008542B1">
        <w:rPr>
          <w:i/>
        </w:rPr>
        <w:t>.</w:t>
      </w:r>
    </w:p>
    <w:p w14:paraId="634B6A1B" w14:textId="77777777" w:rsidR="00A149DF" w:rsidRDefault="00A149DF" w:rsidP="00095C7E">
      <w:pPr>
        <w:pStyle w:val="SCCNormalDoubleSpacing"/>
      </w:pPr>
    </w:p>
    <w:p w14:paraId="5F328684" w14:textId="29A50B7C" w:rsidR="005C7222" w:rsidRPr="00AC22E6" w:rsidRDefault="005C7222" w:rsidP="00095C7E">
      <w:pPr>
        <w:pStyle w:val="SCCNormalDoubleSpacing"/>
        <w:rPr>
          <w:i/>
        </w:rPr>
      </w:pPr>
      <w:r>
        <w:tab/>
      </w:r>
      <w:r w:rsidRPr="009F4009">
        <w:rPr>
          <w:i/>
        </w:rPr>
        <w:t xml:space="preserve">Solicitors for the appellant: </w:t>
      </w:r>
      <w:r w:rsidR="00EC41D2" w:rsidRPr="009F4009">
        <w:rPr>
          <w:i/>
        </w:rPr>
        <w:t>Serink Law Office</w:t>
      </w:r>
      <w:r w:rsidRPr="009F4009">
        <w:rPr>
          <w:i/>
        </w:rPr>
        <w:t xml:space="preserve">, </w:t>
      </w:r>
      <w:r w:rsidR="00EC41D2" w:rsidRPr="009F4009">
        <w:rPr>
          <w:i/>
        </w:rPr>
        <w:t>Calgary</w:t>
      </w:r>
      <w:r w:rsidR="00EF6E1D" w:rsidRPr="009F4009">
        <w:rPr>
          <w:i/>
        </w:rPr>
        <w:t>; Alias A. Sanders Barrister &amp; Solicitor</w:t>
      </w:r>
      <w:r w:rsidR="00EF6E1D">
        <w:rPr>
          <w:i/>
        </w:rPr>
        <w:t>, Calgary</w:t>
      </w:r>
      <w:r w:rsidRPr="005C7222">
        <w:rPr>
          <w:i/>
        </w:rPr>
        <w:t>.</w:t>
      </w:r>
    </w:p>
    <w:p w14:paraId="305F67B2" w14:textId="6A320685" w:rsidR="009E047E" w:rsidRDefault="009E047E" w:rsidP="00095C7E">
      <w:pPr>
        <w:pStyle w:val="SCCLawFirm"/>
      </w:pPr>
    </w:p>
    <w:p w14:paraId="5719E729" w14:textId="2918C101" w:rsidR="007B56C6" w:rsidRDefault="00492A14" w:rsidP="00095C7E">
      <w:pPr>
        <w:pStyle w:val="SCCLawFirm"/>
      </w:pPr>
      <w:r>
        <w:tab/>
        <w:t>Solicitor</w:t>
      </w:r>
      <w:r w:rsidR="00122FE6">
        <w:t xml:space="preserve"> for </w:t>
      </w:r>
      <w:r w:rsidR="00122FE6" w:rsidRPr="00572EBD">
        <w:t>the respondent</w:t>
      </w:r>
      <w:r w:rsidR="00122FE6" w:rsidRPr="00DF2D1D">
        <w:t xml:space="preserve">: </w:t>
      </w:r>
      <w:r w:rsidR="00F32DA5" w:rsidRPr="00DF2D1D">
        <w:t>Justice and Solicitor General</w:t>
      </w:r>
      <w:r w:rsidR="007B56C6" w:rsidRPr="00572EBD">
        <w:t>,</w:t>
      </w:r>
      <w:r w:rsidR="00DF2D1D" w:rsidRPr="00DF2D1D">
        <w:rPr>
          <w:i w:val="0"/>
          <w:color w:val="1F497D"/>
        </w:rPr>
        <w:t xml:space="preserve"> </w:t>
      </w:r>
      <w:r w:rsidR="00DF2D1D" w:rsidRPr="00DF2D1D">
        <w:t>Appeals, Education &amp; Prosecution Policy Branch</w:t>
      </w:r>
      <w:r w:rsidR="00DF2D1D">
        <w:t>,</w:t>
      </w:r>
      <w:r w:rsidR="007B56C6" w:rsidRPr="00572EBD">
        <w:t xml:space="preserve"> </w:t>
      </w:r>
      <w:r w:rsidR="00EC41D2">
        <w:t>Calgary</w:t>
      </w:r>
      <w:r w:rsidR="007B56C6">
        <w:t>.</w:t>
      </w:r>
    </w:p>
    <w:p w14:paraId="17C60563" w14:textId="77777777" w:rsidR="00AC22E6" w:rsidRDefault="00AC22E6" w:rsidP="00095C7E">
      <w:pPr>
        <w:pStyle w:val="SCCNormalDoubleSpacing"/>
      </w:pPr>
    </w:p>
    <w:p w14:paraId="208B7F24" w14:textId="03871B88" w:rsidR="00AC22E6" w:rsidRPr="00AC22E6" w:rsidRDefault="00AC22E6" w:rsidP="00095C7E">
      <w:pPr>
        <w:pStyle w:val="SCCLawFirm"/>
      </w:pPr>
      <w:r>
        <w:tab/>
        <w:t xml:space="preserve">Solicitor for </w:t>
      </w:r>
      <w:r w:rsidRPr="00572EBD">
        <w:t xml:space="preserve">the </w:t>
      </w:r>
      <w:r>
        <w:t>intervener</w:t>
      </w:r>
      <w:r w:rsidRPr="00572EBD">
        <w:t xml:space="preserve">: </w:t>
      </w:r>
      <w:r w:rsidR="002173F4">
        <w:t>Attorney General of Ontario</w:t>
      </w:r>
      <w:r w:rsidRPr="00572EBD">
        <w:t xml:space="preserve">, </w:t>
      </w:r>
      <w:r w:rsidR="002173F4">
        <w:t>Toronto</w:t>
      </w:r>
      <w:r>
        <w:t>.</w:t>
      </w:r>
    </w:p>
    <w:sectPr w:rsidR="00AC22E6" w:rsidRPr="00AC22E6" w:rsidSect="00095C7E">
      <w:pgSz w:w="12240" w:h="15840"/>
      <w:pgMar w:top="1267" w:right="108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5631E" w14:textId="77777777" w:rsidR="001A214E" w:rsidRDefault="001A214E">
      <w:r>
        <w:separator/>
      </w:r>
    </w:p>
  </w:endnote>
  <w:endnote w:type="continuationSeparator" w:id="0">
    <w:p w14:paraId="70E23D06" w14:textId="77777777" w:rsidR="001A214E" w:rsidRDefault="001A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0C8AA" w14:textId="77777777" w:rsidR="001A214E" w:rsidRDefault="001A214E">
      <w:r>
        <w:separator/>
      </w:r>
    </w:p>
  </w:footnote>
  <w:footnote w:type="continuationSeparator" w:id="0">
    <w:p w14:paraId="623DCC1C" w14:textId="77777777" w:rsidR="001A214E" w:rsidRDefault="001A2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5F0A"/>
    <w:multiLevelType w:val="hybridMultilevel"/>
    <w:tmpl w:val="87DC71A6"/>
    <w:lvl w:ilvl="0" w:tplc="BD56451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DCB"/>
    <w:rsid w:val="00025198"/>
    <w:rsid w:val="00025465"/>
    <w:rsid w:val="000578A3"/>
    <w:rsid w:val="000648CC"/>
    <w:rsid w:val="00073F27"/>
    <w:rsid w:val="00075172"/>
    <w:rsid w:val="00095C7E"/>
    <w:rsid w:val="000C59B8"/>
    <w:rsid w:val="000C6AF0"/>
    <w:rsid w:val="000D7AB8"/>
    <w:rsid w:val="000E3A57"/>
    <w:rsid w:val="00104F33"/>
    <w:rsid w:val="0011152E"/>
    <w:rsid w:val="00111DE2"/>
    <w:rsid w:val="00116B38"/>
    <w:rsid w:val="0011741E"/>
    <w:rsid w:val="00122FE6"/>
    <w:rsid w:val="001239B0"/>
    <w:rsid w:val="00133B7D"/>
    <w:rsid w:val="00135406"/>
    <w:rsid w:val="00135972"/>
    <w:rsid w:val="001426A9"/>
    <w:rsid w:val="00154D7C"/>
    <w:rsid w:val="001570B0"/>
    <w:rsid w:val="0015752C"/>
    <w:rsid w:val="00157737"/>
    <w:rsid w:val="00165277"/>
    <w:rsid w:val="00170592"/>
    <w:rsid w:val="001833C1"/>
    <w:rsid w:val="00186351"/>
    <w:rsid w:val="00192DD3"/>
    <w:rsid w:val="00195D83"/>
    <w:rsid w:val="00195E61"/>
    <w:rsid w:val="001A00C1"/>
    <w:rsid w:val="001A1069"/>
    <w:rsid w:val="001A214E"/>
    <w:rsid w:val="001B33E0"/>
    <w:rsid w:val="001B4573"/>
    <w:rsid w:val="001C779F"/>
    <w:rsid w:val="001D2AC1"/>
    <w:rsid w:val="001D46CD"/>
    <w:rsid w:val="001D4E88"/>
    <w:rsid w:val="001E4E02"/>
    <w:rsid w:val="002173F4"/>
    <w:rsid w:val="00220FC2"/>
    <w:rsid w:val="002222F4"/>
    <w:rsid w:val="00224FC0"/>
    <w:rsid w:val="00225EA4"/>
    <w:rsid w:val="00226EAF"/>
    <w:rsid w:val="00231F3A"/>
    <w:rsid w:val="00234199"/>
    <w:rsid w:val="00235700"/>
    <w:rsid w:val="00237348"/>
    <w:rsid w:val="002406EE"/>
    <w:rsid w:val="00243EC8"/>
    <w:rsid w:val="00245E76"/>
    <w:rsid w:val="002642CF"/>
    <w:rsid w:val="00267585"/>
    <w:rsid w:val="00270D93"/>
    <w:rsid w:val="002745CC"/>
    <w:rsid w:val="00287FCE"/>
    <w:rsid w:val="002A5021"/>
    <w:rsid w:val="002B2A63"/>
    <w:rsid w:val="002B7924"/>
    <w:rsid w:val="002D16A3"/>
    <w:rsid w:val="002D28C3"/>
    <w:rsid w:val="002D39A4"/>
    <w:rsid w:val="002E6705"/>
    <w:rsid w:val="002F2A80"/>
    <w:rsid w:val="00301D08"/>
    <w:rsid w:val="00302155"/>
    <w:rsid w:val="0030329A"/>
    <w:rsid w:val="0031086F"/>
    <w:rsid w:val="0031414C"/>
    <w:rsid w:val="00314E01"/>
    <w:rsid w:val="0032089D"/>
    <w:rsid w:val="003226B9"/>
    <w:rsid w:val="003310DE"/>
    <w:rsid w:val="003323B0"/>
    <w:rsid w:val="00342C25"/>
    <w:rsid w:val="0034635F"/>
    <w:rsid w:val="0035169A"/>
    <w:rsid w:val="0035259D"/>
    <w:rsid w:val="00364B18"/>
    <w:rsid w:val="00392747"/>
    <w:rsid w:val="003A125D"/>
    <w:rsid w:val="003A4C70"/>
    <w:rsid w:val="003A4F02"/>
    <w:rsid w:val="003B215F"/>
    <w:rsid w:val="003C799C"/>
    <w:rsid w:val="003D0399"/>
    <w:rsid w:val="003E1C71"/>
    <w:rsid w:val="003E6071"/>
    <w:rsid w:val="003E695C"/>
    <w:rsid w:val="003F327B"/>
    <w:rsid w:val="00406166"/>
    <w:rsid w:val="0040704B"/>
    <w:rsid w:val="00410A55"/>
    <w:rsid w:val="00411300"/>
    <w:rsid w:val="00415417"/>
    <w:rsid w:val="00426659"/>
    <w:rsid w:val="004358CA"/>
    <w:rsid w:val="00440BDD"/>
    <w:rsid w:val="00450352"/>
    <w:rsid w:val="00454BDB"/>
    <w:rsid w:val="00464800"/>
    <w:rsid w:val="00465132"/>
    <w:rsid w:val="004772C4"/>
    <w:rsid w:val="00480C90"/>
    <w:rsid w:val="004837F9"/>
    <w:rsid w:val="0048396F"/>
    <w:rsid w:val="00492A14"/>
    <w:rsid w:val="00493C18"/>
    <w:rsid w:val="004A600C"/>
    <w:rsid w:val="004A6118"/>
    <w:rsid w:val="004C2C93"/>
    <w:rsid w:val="004C478D"/>
    <w:rsid w:val="004E0C56"/>
    <w:rsid w:val="004E2C26"/>
    <w:rsid w:val="004F36FF"/>
    <w:rsid w:val="004F7750"/>
    <w:rsid w:val="005015CA"/>
    <w:rsid w:val="005125A8"/>
    <w:rsid w:val="00521AE8"/>
    <w:rsid w:val="00525312"/>
    <w:rsid w:val="00527180"/>
    <w:rsid w:val="0054201E"/>
    <w:rsid w:val="005437B2"/>
    <w:rsid w:val="0055140A"/>
    <w:rsid w:val="00555291"/>
    <w:rsid w:val="00566AD1"/>
    <w:rsid w:val="00572EBD"/>
    <w:rsid w:val="00583EDE"/>
    <w:rsid w:val="005A6079"/>
    <w:rsid w:val="005A7F6D"/>
    <w:rsid w:val="005C7222"/>
    <w:rsid w:val="005D5765"/>
    <w:rsid w:val="005E4698"/>
    <w:rsid w:val="005E6A9C"/>
    <w:rsid w:val="00605CDA"/>
    <w:rsid w:val="00610539"/>
    <w:rsid w:val="0061110B"/>
    <w:rsid w:val="00613969"/>
    <w:rsid w:val="00625C35"/>
    <w:rsid w:val="00656313"/>
    <w:rsid w:val="006565F4"/>
    <w:rsid w:val="00667B44"/>
    <w:rsid w:val="00671AB8"/>
    <w:rsid w:val="00684EEA"/>
    <w:rsid w:val="00685CE6"/>
    <w:rsid w:val="0069689B"/>
    <w:rsid w:val="006978A5"/>
    <w:rsid w:val="006A1551"/>
    <w:rsid w:val="006B5FF5"/>
    <w:rsid w:val="006C32E7"/>
    <w:rsid w:val="006F135A"/>
    <w:rsid w:val="006F30AF"/>
    <w:rsid w:val="00701759"/>
    <w:rsid w:val="00705C15"/>
    <w:rsid w:val="0071600E"/>
    <w:rsid w:val="007208D1"/>
    <w:rsid w:val="00747288"/>
    <w:rsid w:val="00747DD3"/>
    <w:rsid w:val="007549C8"/>
    <w:rsid w:val="00754A0B"/>
    <w:rsid w:val="00760794"/>
    <w:rsid w:val="00766D14"/>
    <w:rsid w:val="00767A0F"/>
    <w:rsid w:val="00770903"/>
    <w:rsid w:val="007A05F6"/>
    <w:rsid w:val="007A4258"/>
    <w:rsid w:val="007B56C6"/>
    <w:rsid w:val="007B6F4A"/>
    <w:rsid w:val="007E1C47"/>
    <w:rsid w:val="007E337A"/>
    <w:rsid w:val="007E5C70"/>
    <w:rsid w:val="007F2FF5"/>
    <w:rsid w:val="007F3F08"/>
    <w:rsid w:val="007F6F5A"/>
    <w:rsid w:val="00804CC6"/>
    <w:rsid w:val="00817190"/>
    <w:rsid w:val="00820EE5"/>
    <w:rsid w:val="008260E2"/>
    <w:rsid w:val="008322BD"/>
    <w:rsid w:val="00833E0A"/>
    <w:rsid w:val="00834F73"/>
    <w:rsid w:val="008542B1"/>
    <w:rsid w:val="00857E8D"/>
    <w:rsid w:val="00864CF8"/>
    <w:rsid w:val="00872819"/>
    <w:rsid w:val="00872D13"/>
    <w:rsid w:val="00874914"/>
    <w:rsid w:val="00885334"/>
    <w:rsid w:val="00891422"/>
    <w:rsid w:val="00892E1A"/>
    <w:rsid w:val="008A3F29"/>
    <w:rsid w:val="008B4EA7"/>
    <w:rsid w:val="008B6279"/>
    <w:rsid w:val="008B660A"/>
    <w:rsid w:val="008B7474"/>
    <w:rsid w:val="008C01DA"/>
    <w:rsid w:val="008C456E"/>
    <w:rsid w:val="008E154A"/>
    <w:rsid w:val="008F78E9"/>
    <w:rsid w:val="00907021"/>
    <w:rsid w:val="009074D8"/>
    <w:rsid w:val="00907670"/>
    <w:rsid w:val="00911989"/>
    <w:rsid w:val="0091273C"/>
    <w:rsid w:val="009179F9"/>
    <w:rsid w:val="00925D4E"/>
    <w:rsid w:val="00933E5E"/>
    <w:rsid w:val="00935218"/>
    <w:rsid w:val="009403F3"/>
    <w:rsid w:val="009555B7"/>
    <w:rsid w:val="009567AA"/>
    <w:rsid w:val="009572D2"/>
    <w:rsid w:val="00967374"/>
    <w:rsid w:val="0099206F"/>
    <w:rsid w:val="009A343A"/>
    <w:rsid w:val="009B2F23"/>
    <w:rsid w:val="009B57B3"/>
    <w:rsid w:val="009B70AB"/>
    <w:rsid w:val="009C5B92"/>
    <w:rsid w:val="009D2920"/>
    <w:rsid w:val="009D51F3"/>
    <w:rsid w:val="009D5AEB"/>
    <w:rsid w:val="009E047E"/>
    <w:rsid w:val="009F0E33"/>
    <w:rsid w:val="009F3159"/>
    <w:rsid w:val="009F4009"/>
    <w:rsid w:val="00A012BE"/>
    <w:rsid w:val="00A030CE"/>
    <w:rsid w:val="00A03569"/>
    <w:rsid w:val="00A040B9"/>
    <w:rsid w:val="00A149DF"/>
    <w:rsid w:val="00A1755C"/>
    <w:rsid w:val="00A21679"/>
    <w:rsid w:val="00A21B90"/>
    <w:rsid w:val="00A41805"/>
    <w:rsid w:val="00A42DCD"/>
    <w:rsid w:val="00A52AFB"/>
    <w:rsid w:val="00A548CB"/>
    <w:rsid w:val="00A5521C"/>
    <w:rsid w:val="00A643E7"/>
    <w:rsid w:val="00A73C38"/>
    <w:rsid w:val="00AA2177"/>
    <w:rsid w:val="00AA763E"/>
    <w:rsid w:val="00AB1AA6"/>
    <w:rsid w:val="00AB670D"/>
    <w:rsid w:val="00AC22E6"/>
    <w:rsid w:val="00AE2086"/>
    <w:rsid w:val="00AE4535"/>
    <w:rsid w:val="00AF03C5"/>
    <w:rsid w:val="00B000D8"/>
    <w:rsid w:val="00B00F75"/>
    <w:rsid w:val="00B145B6"/>
    <w:rsid w:val="00B2580F"/>
    <w:rsid w:val="00B279EB"/>
    <w:rsid w:val="00B50C81"/>
    <w:rsid w:val="00B53A67"/>
    <w:rsid w:val="00B557F8"/>
    <w:rsid w:val="00B66189"/>
    <w:rsid w:val="00B815FC"/>
    <w:rsid w:val="00B93FBC"/>
    <w:rsid w:val="00BA2536"/>
    <w:rsid w:val="00BA7DA0"/>
    <w:rsid w:val="00BB1E85"/>
    <w:rsid w:val="00BB2EE4"/>
    <w:rsid w:val="00BC2108"/>
    <w:rsid w:val="00BD0E9E"/>
    <w:rsid w:val="00BD1BEC"/>
    <w:rsid w:val="00BD32FF"/>
    <w:rsid w:val="00BE3AFE"/>
    <w:rsid w:val="00C02092"/>
    <w:rsid w:val="00C24D91"/>
    <w:rsid w:val="00C32704"/>
    <w:rsid w:val="00C53F14"/>
    <w:rsid w:val="00C57765"/>
    <w:rsid w:val="00C600CF"/>
    <w:rsid w:val="00C6084F"/>
    <w:rsid w:val="00C62A66"/>
    <w:rsid w:val="00C71458"/>
    <w:rsid w:val="00C71911"/>
    <w:rsid w:val="00C77613"/>
    <w:rsid w:val="00C77C20"/>
    <w:rsid w:val="00C828E7"/>
    <w:rsid w:val="00C86719"/>
    <w:rsid w:val="00C921DD"/>
    <w:rsid w:val="00CA6391"/>
    <w:rsid w:val="00CC34BD"/>
    <w:rsid w:val="00CE161A"/>
    <w:rsid w:val="00CE3171"/>
    <w:rsid w:val="00CF1601"/>
    <w:rsid w:val="00D003BA"/>
    <w:rsid w:val="00D0172F"/>
    <w:rsid w:val="00D01FE7"/>
    <w:rsid w:val="00D068A7"/>
    <w:rsid w:val="00D17476"/>
    <w:rsid w:val="00D32086"/>
    <w:rsid w:val="00D37A3F"/>
    <w:rsid w:val="00D4431D"/>
    <w:rsid w:val="00D4667A"/>
    <w:rsid w:val="00D63A1C"/>
    <w:rsid w:val="00D7142F"/>
    <w:rsid w:val="00D7516F"/>
    <w:rsid w:val="00D8579F"/>
    <w:rsid w:val="00D87A58"/>
    <w:rsid w:val="00D95F8E"/>
    <w:rsid w:val="00DA0590"/>
    <w:rsid w:val="00DB76FB"/>
    <w:rsid w:val="00DB7BEA"/>
    <w:rsid w:val="00DC1739"/>
    <w:rsid w:val="00DC1788"/>
    <w:rsid w:val="00DE319C"/>
    <w:rsid w:val="00DE4766"/>
    <w:rsid w:val="00DE58AA"/>
    <w:rsid w:val="00DF0CA8"/>
    <w:rsid w:val="00DF1C67"/>
    <w:rsid w:val="00DF2B48"/>
    <w:rsid w:val="00DF2D1D"/>
    <w:rsid w:val="00DF49A7"/>
    <w:rsid w:val="00E02144"/>
    <w:rsid w:val="00E07EE2"/>
    <w:rsid w:val="00E07FD1"/>
    <w:rsid w:val="00E11D46"/>
    <w:rsid w:val="00E176D8"/>
    <w:rsid w:val="00E24573"/>
    <w:rsid w:val="00E25E1E"/>
    <w:rsid w:val="00E27EE7"/>
    <w:rsid w:val="00E35404"/>
    <w:rsid w:val="00E44278"/>
    <w:rsid w:val="00E45109"/>
    <w:rsid w:val="00E47B7A"/>
    <w:rsid w:val="00E56A44"/>
    <w:rsid w:val="00E60269"/>
    <w:rsid w:val="00E6533B"/>
    <w:rsid w:val="00E77932"/>
    <w:rsid w:val="00E923E3"/>
    <w:rsid w:val="00E97830"/>
    <w:rsid w:val="00EC41D2"/>
    <w:rsid w:val="00ED06A7"/>
    <w:rsid w:val="00EE643C"/>
    <w:rsid w:val="00EF0683"/>
    <w:rsid w:val="00EF5AF3"/>
    <w:rsid w:val="00EF69D2"/>
    <w:rsid w:val="00EF6E1D"/>
    <w:rsid w:val="00EF766E"/>
    <w:rsid w:val="00F0070C"/>
    <w:rsid w:val="00F00EB7"/>
    <w:rsid w:val="00F127B5"/>
    <w:rsid w:val="00F32DA5"/>
    <w:rsid w:val="00F332D0"/>
    <w:rsid w:val="00F36AB6"/>
    <w:rsid w:val="00F37A09"/>
    <w:rsid w:val="00F409CE"/>
    <w:rsid w:val="00F4379D"/>
    <w:rsid w:val="00F45727"/>
    <w:rsid w:val="00F50D2D"/>
    <w:rsid w:val="00F56C8B"/>
    <w:rsid w:val="00F66810"/>
    <w:rsid w:val="00F73703"/>
    <w:rsid w:val="00F846D9"/>
    <w:rsid w:val="00F84DF4"/>
    <w:rsid w:val="00F85C97"/>
    <w:rsid w:val="00FA28B6"/>
    <w:rsid w:val="00FB37D2"/>
    <w:rsid w:val="00FC4EFB"/>
    <w:rsid w:val="00FD068D"/>
    <w:rsid w:val="00FD4F28"/>
    <w:rsid w:val="00FE6784"/>
    <w:rsid w:val="00FF43F0"/>
    <w:rsid w:val="00FF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6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ListParagraph">
    <w:name w:val="List Paragraph"/>
    <w:basedOn w:val="Normal"/>
    <w:uiPriority w:val="34"/>
    <w:qFormat/>
    <w:rsid w:val="00760794"/>
    <w:pPr>
      <w:ind w:left="720"/>
      <w:contextualSpacing/>
    </w:pPr>
  </w:style>
  <w:style w:type="character" w:styleId="CommentReference">
    <w:name w:val="annotation reference"/>
    <w:basedOn w:val="DefaultParagraphFont"/>
    <w:uiPriority w:val="99"/>
    <w:semiHidden/>
    <w:unhideWhenUsed/>
    <w:rsid w:val="00EC41D2"/>
    <w:rPr>
      <w:sz w:val="16"/>
      <w:szCs w:val="16"/>
    </w:rPr>
  </w:style>
  <w:style w:type="paragraph" w:styleId="CommentText">
    <w:name w:val="annotation text"/>
    <w:basedOn w:val="Normal"/>
    <w:link w:val="CommentTextChar"/>
    <w:uiPriority w:val="99"/>
    <w:semiHidden/>
    <w:unhideWhenUsed/>
    <w:rsid w:val="00EC41D2"/>
    <w:rPr>
      <w:sz w:val="20"/>
    </w:rPr>
  </w:style>
  <w:style w:type="character" w:customStyle="1" w:styleId="CommentTextChar">
    <w:name w:val="Comment Text Char"/>
    <w:basedOn w:val="DefaultParagraphFont"/>
    <w:link w:val="CommentText"/>
    <w:uiPriority w:val="99"/>
    <w:semiHidden/>
    <w:rsid w:val="00EC41D2"/>
  </w:style>
  <w:style w:type="paragraph" w:styleId="CommentSubject">
    <w:name w:val="annotation subject"/>
    <w:basedOn w:val="CommentText"/>
    <w:next w:val="CommentText"/>
    <w:link w:val="CommentSubjectChar"/>
    <w:uiPriority w:val="99"/>
    <w:semiHidden/>
    <w:unhideWhenUsed/>
    <w:rsid w:val="00EC41D2"/>
    <w:rPr>
      <w:b/>
      <w:bCs/>
    </w:rPr>
  </w:style>
  <w:style w:type="character" w:customStyle="1" w:styleId="CommentSubjectChar">
    <w:name w:val="Comment Subject Char"/>
    <w:basedOn w:val="CommentTextChar"/>
    <w:link w:val="CommentSubject"/>
    <w:uiPriority w:val="99"/>
    <w:semiHidden/>
    <w:rsid w:val="00EC41D2"/>
    <w:rPr>
      <w:b/>
      <w:bCs/>
    </w:rPr>
  </w:style>
  <w:style w:type="character" w:styleId="Hyperlink">
    <w:name w:val="Hyperlink"/>
    <w:basedOn w:val="DefaultParagraphFont"/>
    <w:uiPriority w:val="99"/>
    <w:unhideWhenUsed/>
    <w:rsid w:val="00BA2536"/>
    <w:rPr>
      <w:color w:val="0000FF"/>
      <w:u w:val="single"/>
    </w:rPr>
  </w:style>
  <w:style w:type="character" w:customStyle="1" w:styleId="decisia-reflex2-icon">
    <w:name w:val="decisia-reflex2-icon"/>
    <w:basedOn w:val="DefaultParagraphFont"/>
    <w:rsid w:val="00BA2536"/>
  </w:style>
  <w:style w:type="paragraph" w:customStyle="1" w:styleId="felskynumbering12">
    <w:name w:val="felskynumbering12"/>
    <w:basedOn w:val="Normal"/>
    <w:rsid w:val="00342C25"/>
    <w:pPr>
      <w:spacing w:before="100" w:beforeAutospacing="1" w:after="100" w:afterAutospacing="1"/>
    </w:pPr>
    <w:rPr>
      <w:szCs w:val="24"/>
      <w:lang w:val="en-US" w:eastAsia="en-US"/>
    </w:rPr>
  </w:style>
  <w:style w:type="paragraph" w:customStyle="1" w:styleId="quote1st">
    <w:name w:val="quote1st"/>
    <w:basedOn w:val="Normal"/>
    <w:rsid w:val="00342C25"/>
    <w:pPr>
      <w:spacing w:before="100" w:beforeAutospacing="1" w:after="100" w:afterAutospacing="1"/>
    </w:pPr>
    <w:rPr>
      <w:szCs w:val="24"/>
      <w:lang w:val="en-US" w:eastAsia="en-US"/>
    </w:rPr>
  </w:style>
  <w:style w:type="table" w:styleId="TableGrid">
    <w:name w:val="Table Grid"/>
    <w:basedOn w:val="TableNormal"/>
    <w:uiPriority w:val="59"/>
    <w:rsid w:val="00095C7E"/>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95C7E"/>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9281">
      <w:bodyDiv w:val="1"/>
      <w:marLeft w:val="0"/>
      <w:marRight w:val="0"/>
      <w:marTop w:val="0"/>
      <w:marBottom w:val="0"/>
      <w:divBdr>
        <w:top w:val="none" w:sz="0" w:space="0" w:color="auto"/>
        <w:left w:val="none" w:sz="0" w:space="0" w:color="auto"/>
        <w:bottom w:val="none" w:sz="0" w:space="0" w:color="auto"/>
        <w:right w:val="none" w:sz="0" w:space="0" w:color="auto"/>
      </w:divBdr>
    </w:div>
    <w:div w:id="295838019">
      <w:bodyDiv w:val="1"/>
      <w:marLeft w:val="0"/>
      <w:marRight w:val="0"/>
      <w:marTop w:val="0"/>
      <w:marBottom w:val="0"/>
      <w:divBdr>
        <w:top w:val="none" w:sz="0" w:space="0" w:color="auto"/>
        <w:left w:val="none" w:sz="0" w:space="0" w:color="auto"/>
        <w:bottom w:val="none" w:sz="0" w:space="0" w:color="auto"/>
        <w:right w:val="none" w:sz="0" w:space="0" w:color="auto"/>
      </w:divBdr>
      <w:divsChild>
        <w:div w:id="1832715027">
          <w:marLeft w:val="0"/>
          <w:marRight w:val="0"/>
          <w:marTop w:val="0"/>
          <w:marBottom w:val="0"/>
          <w:divBdr>
            <w:top w:val="none" w:sz="0" w:space="0" w:color="auto"/>
            <w:left w:val="none" w:sz="0" w:space="0" w:color="auto"/>
            <w:bottom w:val="none" w:sz="0" w:space="0" w:color="auto"/>
            <w:right w:val="none" w:sz="0" w:space="0" w:color="auto"/>
          </w:divBdr>
        </w:div>
        <w:div w:id="1924677010">
          <w:marLeft w:val="0"/>
          <w:marRight w:val="0"/>
          <w:marTop w:val="0"/>
          <w:marBottom w:val="0"/>
          <w:divBdr>
            <w:top w:val="none" w:sz="0" w:space="0" w:color="auto"/>
            <w:left w:val="none" w:sz="0" w:space="0" w:color="auto"/>
            <w:bottom w:val="none" w:sz="0" w:space="0" w:color="auto"/>
            <w:right w:val="none" w:sz="0" w:space="0" w:color="auto"/>
          </w:divBdr>
        </w:div>
      </w:divsChild>
    </w:div>
    <w:div w:id="416947465">
      <w:bodyDiv w:val="1"/>
      <w:marLeft w:val="0"/>
      <w:marRight w:val="0"/>
      <w:marTop w:val="0"/>
      <w:marBottom w:val="0"/>
      <w:divBdr>
        <w:top w:val="none" w:sz="0" w:space="0" w:color="auto"/>
        <w:left w:val="none" w:sz="0" w:space="0" w:color="auto"/>
        <w:bottom w:val="none" w:sz="0" w:space="0" w:color="auto"/>
        <w:right w:val="none" w:sz="0" w:space="0" w:color="auto"/>
      </w:divBdr>
    </w:div>
    <w:div w:id="976639650">
      <w:bodyDiv w:val="1"/>
      <w:marLeft w:val="0"/>
      <w:marRight w:val="0"/>
      <w:marTop w:val="0"/>
      <w:marBottom w:val="0"/>
      <w:divBdr>
        <w:top w:val="none" w:sz="0" w:space="0" w:color="auto"/>
        <w:left w:val="none" w:sz="0" w:space="0" w:color="auto"/>
        <w:bottom w:val="none" w:sz="0" w:space="0" w:color="auto"/>
        <w:right w:val="none" w:sz="0" w:space="0" w:color="auto"/>
      </w:divBdr>
      <w:divsChild>
        <w:div w:id="1787887657">
          <w:marLeft w:val="0"/>
          <w:marRight w:val="0"/>
          <w:marTop w:val="0"/>
          <w:marBottom w:val="0"/>
          <w:divBdr>
            <w:top w:val="none" w:sz="0" w:space="0" w:color="auto"/>
            <w:left w:val="none" w:sz="0" w:space="0" w:color="auto"/>
            <w:bottom w:val="none" w:sz="0" w:space="0" w:color="auto"/>
            <w:right w:val="none" w:sz="0" w:space="0" w:color="auto"/>
          </w:divBdr>
        </w:div>
      </w:divsChild>
    </w:div>
    <w:div w:id="1069234268">
      <w:bodyDiv w:val="1"/>
      <w:marLeft w:val="0"/>
      <w:marRight w:val="0"/>
      <w:marTop w:val="0"/>
      <w:marBottom w:val="0"/>
      <w:divBdr>
        <w:top w:val="none" w:sz="0" w:space="0" w:color="auto"/>
        <w:left w:val="none" w:sz="0" w:space="0" w:color="auto"/>
        <w:bottom w:val="none" w:sz="0" w:space="0" w:color="auto"/>
        <w:right w:val="none" w:sz="0" w:space="0" w:color="auto"/>
      </w:divBdr>
      <w:divsChild>
        <w:div w:id="1961914823">
          <w:marLeft w:val="0"/>
          <w:marRight w:val="0"/>
          <w:marTop w:val="0"/>
          <w:marBottom w:val="0"/>
          <w:divBdr>
            <w:top w:val="none" w:sz="0" w:space="0" w:color="auto"/>
            <w:left w:val="none" w:sz="0" w:space="0" w:color="auto"/>
            <w:bottom w:val="none" w:sz="0" w:space="0" w:color="auto"/>
            <w:right w:val="none" w:sz="0" w:space="0" w:color="auto"/>
          </w:divBdr>
        </w:div>
        <w:div w:id="2092115373">
          <w:marLeft w:val="0"/>
          <w:marRight w:val="0"/>
          <w:marTop w:val="0"/>
          <w:marBottom w:val="0"/>
          <w:divBdr>
            <w:top w:val="none" w:sz="0" w:space="0" w:color="auto"/>
            <w:left w:val="none" w:sz="0" w:space="0" w:color="auto"/>
            <w:bottom w:val="none" w:sz="0" w:space="0" w:color="auto"/>
            <w:right w:val="none" w:sz="0" w:space="0" w:color="auto"/>
          </w:divBdr>
        </w:div>
        <w:div w:id="1787893746">
          <w:marLeft w:val="0"/>
          <w:marRight w:val="0"/>
          <w:marTop w:val="0"/>
          <w:marBottom w:val="0"/>
          <w:divBdr>
            <w:top w:val="none" w:sz="0" w:space="0" w:color="auto"/>
            <w:left w:val="none" w:sz="0" w:space="0" w:color="auto"/>
            <w:bottom w:val="none" w:sz="0" w:space="0" w:color="auto"/>
            <w:right w:val="none" w:sz="0" w:space="0" w:color="auto"/>
          </w:divBdr>
        </w:div>
      </w:divsChild>
    </w:div>
    <w:div w:id="1218586536">
      <w:bodyDiv w:val="1"/>
      <w:marLeft w:val="0"/>
      <w:marRight w:val="0"/>
      <w:marTop w:val="0"/>
      <w:marBottom w:val="0"/>
      <w:divBdr>
        <w:top w:val="none" w:sz="0" w:space="0" w:color="auto"/>
        <w:left w:val="none" w:sz="0" w:space="0" w:color="auto"/>
        <w:bottom w:val="none" w:sz="0" w:space="0" w:color="auto"/>
        <w:right w:val="none" w:sz="0" w:space="0" w:color="auto"/>
      </w:divBdr>
      <w:divsChild>
        <w:div w:id="1359698331">
          <w:marLeft w:val="0"/>
          <w:marRight w:val="0"/>
          <w:marTop w:val="0"/>
          <w:marBottom w:val="0"/>
          <w:divBdr>
            <w:top w:val="none" w:sz="0" w:space="0" w:color="auto"/>
            <w:left w:val="none" w:sz="0" w:space="0" w:color="auto"/>
            <w:bottom w:val="none" w:sz="0" w:space="0" w:color="auto"/>
            <w:right w:val="none" w:sz="0" w:space="0" w:color="auto"/>
          </w:divBdr>
        </w:div>
        <w:div w:id="651107388">
          <w:marLeft w:val="0"/>
          <w:marRight w:val="0"/>
          <w:marTop w:val="0"/>
          <w:marBottom w:val="0"/>
          <w:divBdr>
            <w:top w:val="none" w:sz="0" w:space="0" w:color="auto"/>
            <w:left w:val="none" w:sz="0" w:space="0" w:color="auto"/>
            <w:bottom w:val="none" w:sz="0" w:space="0" w:color="auto"/>
            <w:right w:val="none" w:sz="0" w:space="0" w:color="auto"/>
          </w:divBdr>
        </w:div>
      </w:divsChild>
    </w:div>
    <w:div w:id="20203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2021-05-18T19:57:00Z</dcterms:created>
  <dcterms:modified xsi:type="dcterms:W3CDTF">2023-10-30T22:06:00Z</dcterms:modified>
</cp:coreProperties>
</file>