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944"/>
        <w:gridCol w:w="1842"/>
        <w:gridCol w:w="3553"/>
        <w:gridCol w:w="21"/>
      </w:tblGrid>
      <w:tr w:rsidR="002432B6" w:rsidTr="008E32ED">
        <w:trPr>
          <w:trHeight w:val="1784"/>
        </w:trPr>
        <w:tc>
          <w:tcPr>
            <w:tcW w:w="5000" w:type="pct"/>
            <w:gridSpan w:val="4"/>
          </w:tcPr>
          <w:p w:rsidR="002432B6" w:rsidRDefault="002432B6" w:rsidP="008E32E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65.1pt" o:ole="">
                  <v:imagedata r:id="rId8" o:title=""/>
                </v:shape>
                <o:OLEObject Type="Embed" ProgID="Presentations.Drawing.15" ShapeID="_x0000_i1025" DrawAspect="Content" ObjectID="_1766475838" r:id="rId9"/>
              </w:object>
            </w:r>
          </w:p>
          <w:p w:rsidR="002432B6" w:rsidRDefault="002432B6" w:rsidP="008E32ED">
            <w:pPr>
              <w:spacing w:before="120" w:after="100" w:afterAutospacing="1"/>
              <w:jc w:val="center"/>
              <w:rPr>
                <w:rFonts w:eastAsia="Calibri"/>
              </w:rPr>
            </w:pPr>
            <w:r w:rsidRPr="00C22905">
              <w:rPr>
                <w:rFonts w:eastAsia="Calibri"/>
                <w:b/>
                <w:szCs w:val="24"/>
                <w:lang w:eastAsia="en-US"/>
              </w:rPr>
              <w:t>SUPREME COURT OF CANADA</w:t>
            </w:r>
          </w:p>
        </w:tc>
      </w:tr>
      <w:tr w:rsidR="002432B6" w:rsidTr="008E32ED">
        <w:trPr>
          <w:gridAfter w:val="1"/>
          <w:wAfter w:w="11" w:type="pct"/>
        </w:trPr>
        <w:tc>
          <w:tcPr>
            <w:tcW w:w="2107" w:type="pct"/>
            <w:tcMar>
              <w:top w:w="284" w:type="dxa"/>
            </w:tcMar>
          </w:tcPr>
          <w:p w:rsidR="002432B6" w:rsidRPr="00923616" w:rsidRDefault="002432B6" w:rsidP="008E32ED">
            <w:pPr>
              <w:spacing w:before="100" w:beforeAutospacing="1"/>
              <w:rPr>
                <w:rFonts w:eastAsia="Calibri"/>
                <w:lang w:val="en-US"/>
              </w:rPr>
            </w:pPr>
            <w:r w:rsidRPr="00923616">
              <w:rPr>
                <w:b/>
                <w:smallCaps/>
                <w:lang w:val="en-US"/>
              </w:rPr>
              <w:t>Citation:</w:t>
            </w:r>
            <w:r>
              <w:rPr>
                <w:lang w:val="en-US"/>
              </w:rPr>
              <w:t xml:space="preserve"> CO-Operators General </w:t>
            </w:r>
            <w:r w:rsidRPr="00923616">
              <w:rPr>
                <w:lang w:val="en-US"/>
              </w:rPr>
              <w:t xml:space="preserve">Insurance </w:t>
            </w:r>
            <w:r>
              <w:rPr>
                <w:lang w:val="en-US"/>
              </w:rPr>
              <w:t>Co.</w:t>
            </w:r>
            <w:r w:rsidRPr="00923616">
              <w:rPr>
                <w:lang w:val="en-US"/>
              </w:rPr>
              <w:t xml:space="preserve"> </w:t>
            </w:r>
            <w:r w:rsidRPr="00923616">
              <w:rPr>
                <w:i/>
                <w:lang w:val="en-US"/>
              </w:rPr>
              <w:t>v.</w:t>
            </w:r>
            <w:r>
              <w:rPr>
                <w:lang w:val="en-US"/>
              </w:rPr>
              <w:t xml:space="preserve"> Sollio Groupe Coopératif</w:t>
            </w:r>
            <w:r w:rsidRPr="00923616">
              <w:rPr>
                <w:lang w:val="en-US"/>
              </w:rPr>
              <w:t>, 2020 SCC 41</w:t>
            </w:r>
            <w:bookmarkStart w:id="0" w:name="_GoBack"/>
            <w:r>
              <w:rPr>
                <w:lang w:val="en-US"/>
              </w:rPr>
              <w:t>, [2020] 3 S.C.R. 785</w:t>
            </w:r>
            <w:bookmarkEnd w:id="0"/>
          </w:p>
        </w:tc>
        <w:tc>
          <w:tcPr>
            <w:tcW w:w="984" w:type="pct"/>
          </w:tcPr>
          <w:p w:rsidR="002432B6" w:rsidRPr="00923616" w:rsidRDefault="002432B6" w:rsidP="008E32ED">
            <w:pPr>
              <w:rPr>
                <w:b/>
                <w:smallCaps/>
                <w:lang w:val="en-US"/>
              </w:rPr>
            </w:pPr>
          </w:p>
        </w:tc>
        <w:tc>
          <w:tcPr>
            <w:tcW w:w="1898" w:type="pct"/>
            <w:tcMar>
              <w:top w:w="284" w:type="dxa"/>
            </w:tcMar>
          </w:tcPr>
          <w:p w:rsidR="002432B6" w:rsidRPr="006B210C" w:rsidRDefault="002432B6" w:rsidP="008E32ED">
            <w:r>
              <w:rPr>
                <w:b/>
                <w:smallCaps/>
              </w:rPr>
              <w:t>Appeal Heard:</w:t>
            </w:r>
            <w:r w:rsidRPr="006B210C">
              <w:t xml:space="preserve"> </w:t>
            </w:r>
            <w:r>
              <w:t>December 7, 2020</w:t>
            </w:r>
          </w:p>
          <w:p w:rsidR="002432B6" w:rsidRDefault="002432B6" w:rsidP="008E32ED">
            <w:r>
              <w:rPr>
                <w:b/>
                <w:smallCaps/>
              </w:rPr>
              <w:t>Judgment Rendered:</w:t>
            </w:r>
            <w:r w:rsidRPr="006B210C">
              <w:t xml:space="preserve"> </w:t>
            </w:r>
            <w:r>
              <w:t>December 7, 2020</w:t>
            </w:r>
          </w:p>
          <w:p w:rsidR="002432B6" w:rsidRPr="006B210C" w:rsidRDefault="002432B6" w:rsidP="008E32ED">
            <w:r w:rsidRPr="00527E81">
              <w:rPr>
                <w:b/>
                <w:smallCaps/>
              </w:rPr>
              <w:t>Docket:</w:t>
            </w:r>
            <w:r>
              <w:t xml:space="preserve"> 38938</w:t>
            </w:r>
          </w:p>
        </w:tc>
      </w:tr>
      <w:tr w:rsidR="002432B6" w:rsidTr="008E32ED">
        <w:tc>
          <w:tcPr>
            <w:tcW w:w="5000" w:type="pct"/>
            <w:gridSpan w:val="4"/>
          </w:tcPr>
          <w:p w:rsidR="002432B6" w:rsidRPr="0084621D" w:rsidRDefault="002432B6" w:rsidP="008E32ED">
            <w:pPr>
              <w:rPr>
                <w:rFonts w:eastAsiaTheme="minorHAnsi" w:cstheme="minorBidi"/>
                <w:szCs w:val="24"/>
                <w:lang w:eastAsia="en-US"/>
              </w:rPr>
            </w:pPr>
          </w:p>
          <w:p w:rsidR="002432B6" w:rsidRPr="0084621D" w:rsidRDefault="002432B6" w:rsidP="008E32ED">
            <w:pPr>
              <w:rPr>
                <w:rFonts w:eastAsiaTheme="minorHAnsi" w:cstheme="minorBidi"/>
                <w:szCs w:val="24"/>
                <w:lang w:eastAsia="en-US"/>
              </w:rPr>
            </w:pPr>
          </w:p>
          <w:p w:rsidR="002432B6" w:rsidRPr="0008023F" w:rsidRDefault="002432B6" w:rsidP="008E32ED">
            <w:pPr>
              <w:rPr>
                <w:rFonts w:eastAsiaTheme="minorHAnsi" w:cstheme="minorBidi"/>
                <w:b/>
                <w:szCs w:val="24"/>
                <w:lang w:eastAsia="en-US"/>
              </w:rPr>
            </w:pPr>
            <w:r w:rsidRPr="0008023F">
              <w:rPr>
                <w:b/>
                <w:smallCaps/>
              </w:rPr>
              <w:t>Between</w:t>
            </w:r>
            <w:r>
              <w:rPr>
                <w:b/>
                <w:smallCaps/>
              </w:rPr>
              <w:t xml:space="preserve">: </w:t>
            </w:r>
          </w:p>
          <w:p w:rsidR="002432B6" w:rsidRDefault="002432B6" w:rsidP="008E32ED">
            <w:pPr>
              <w:jc w:val="center"/>
              <w:rPr>
                <w:rFonts w:eastAsiaTheme="minorHAnsi" w:cstheme="minorBidi"/>
                <w:b/>
                <w:szCs w:val="24"/>
                <w:lang w:eastAsia="en-US"/>
              </w:rPr>
            </w:pPr>
            <w:r>
              <w:rPr>
                <w:rFonts w:eastAsiaTheme="minorHAnsi" w:cstheme="minorBidi"/>
                <w:b/>
                <w:szCs w:val="24"/>
                <w:lang w:eastAsia="en-US"/>
              </w:rPr>
              <w:t>CO-O</w:t>
            </w:r>
            <w:r w:rsidRPr="00EB35B7">
              <w:rPr>
                <w:rFonts w:eastAsiaTheme="minorHAnsi" w:cstheme="minorBidi"/>
                <w:b/>
                <w:szCs w:val="24"/>
                <w:lang w:eastAsia="en-US"/>
              </w:rPr>
              <w:t>perators General Insurance Company</w:t>
            </w:r>
          </w:p>
          <w:p w:rsidR="002432B6" w:rsidRDefault="002432B6" w:rsidP="008E32ED">
            <w:pPr>
              <w:jc w:val="center"/>
              <w:rPr>
                <w:rFonts w:eastAsiaTheme="minorHAnsi" w:cstheme="minorBidi"/>
                <w:szCs w:val="24"/>
                <w:lang w:eastAsia="en-US"/>
              </w:rPr>
            </w:pPr>
            <w:r>
              <w:rPr>
                <w:rFonts w:eastAsiaTheme="minorHAnsi" w:cstheme="minorBidi"/>
                <w:szCs w:val="24"/>
                <w:lang w:eastAsia="en-US"/>
              </w:rPr>
              <w:t>Appellant</w:t>
            </w:r>
          </w:p>
          <w:p w:rsidR="002432B6" w:rsidRDefault="002432B6" w:rsidP="008E32ED">
            <w:pPr>
              <w:jc w:val="center"/>
              <w:rPr>
                <w:rFonts w:eastAsiaTheme="minorHAnsi" w:cstheme="minorBidi"/>
                <w:szCs w:val="24"/>
                <w:lang w:eastAsia="en-US"/>
              </w:rPr>
            </w:pPr>
          </w:p>
          <w:p w:rsidR="002432B6" w:rsidRDefault="002432B6" w:rsidP="008E32ED">
            <w:pPr>
              <w:jc w:val="center"/>
              <w:rPr>
                <w:rFonts w:eastAsiaTheme="minorHAnsi" w:cstheme="minorBidi"/>
                <w:szCs w:val="24"/>
                <w:lang w:eastAsia="en-US"/>
              </w:rPr>
            </w:pPr>
            <w:r>
              <w:rPr>
                <w:rFonts w:eastAsiaTheme="minorHAnsi" w:cstheme="minorBidi"/>
                <w:szCs w:val="24"/>
                <w:lang w:eastAsia="en-US"/>
              </w:rPr>
              <w:t>and</w:t>
            </w:r>
          </w:p>
          <w:p w:rsidR="002432B6" w:rsidRDefault="002432B6" w:rsidP="008E32ED">
            <w:pPr>
              <w:jc w:val="center"/>
              <w:rPr>
                <w:rFonts w:eastAsiaTheme="minorHAnsi" w:cstheme="minorBidi"/>
                <w:szCs w:val="24"/>
                <w:lang w:eastAsia="en-US"/>
              </w:rPr>
            </w:pPr>
          </w:p>
          <w:p w:rsidR="002432B6" w:rsidRDefault="002432B6" w:rsidP="008E32ED">
            <w:pPr>
              <w:jc w:val="center"/>
              <w:rPr>
                <w:rFonts w:eastAsiaTheme="minorHAnsi" w:cstheme="minorBidi"/>
                <w:b/>
                <w:szCs w:val="24"/>
                <w:lang w:eastAsia="en-US"/>
              </w:rPr>
            </w:pPr>
            <w:r>
              <w:rPr>
                <w:rFonts w:eastAsiaTheme="minorHAnsi" w:cstheme="minorBidi"/>
                <w:b/>
                <w:szCs w:val="24"/>
                <w:lang w:eastAsia="en-US"/>
              </w:rPr>
              <w:t>Sollio</w:t>
            </w:r>
            <w:r w:rsidRPr="00EB35B7">
              <w:rPr>
                <w:rFonts w:eastAsiaTheme="minorHAnsi" w:cstheme="minorBidi"/>
                <w:b/>
                <w:szCs w:val="24"/>
                <w:lang w:eastAsia="en-US"/>
              </w:rPr>
              <w:t xml:space="preserve"> Groupe Coopératif (for</w:t>
            </w:r>
            <w:r>
              <w:rPr>
                <w:rFonts w:eastAsiaTheme="minorHAnsi" w:cstheme="minorBidi"/>
                <w:b/>
                <w:szCs w:val="24"/>
                <w:lang w:eastAsia="en-US"/>
              </w:rPr>
              <w:t>merly known as La Coop Fédérée) and National Bank of Canada</w:t>
            </w:r>
          </w:p>
          <w:p w:rsidR="002432B6" w:rsidRDefault="002432B6" w:rsidP="008E32ED">
            <w:pPr>
              <w:jc w:val="center"/>
              <w:rPr>
                <w:rFonts w:eastAsiaTheme="minorHAnsi" w:cstheme="minorBidi"/>
                <w:szCs w:val="24"/>
                <w:lang w:eastAsia="en-US"/>
              </w:rPr>
            </w:pPr>
            <w:r>
              <w:rPr>
                <w:rFonts w:eastAsiaTheme="minorHAnsi" w:cstheme="minorBidi"/>
                <w:szCs w:val="24"/>
                <w:lang w:eastAsia="en-US"/>
              </w:rPr>
              <w:t>Respondents</w:t>
            </w:r>
          </w:p>
          <w:p w:rsidR="002432B6" w:rsidRDefault="002432B6" w:rsidP="008E32ED">
            <w:pPr>
              <w:jc w:val="center"/>
              <w:rPr>
                <w:rFonts w:eastAsiaTheme="minorHAnsi" w:cstheme="minorBidi"/>
                <w:szCs w:val="24"/>
                <w:lang w:eastAsia="en-US"/>
              </w:rPr>
            </w:pPr>
          </w:p>
          <w:p w:rsidR="002432B6" w:rsidRDefault="002432B6" w:rsidP="008E32ED">
            <w:pPr>
              <w:jc w:val="center"/>
            </w:pPr>
            <w:r>
              <w:t>- and -</w:t>
            </w:r>
          </w:p>
          <w:p w:rsidR="002432B6" w:rsidRDefault="002432B6" w:rsidP="008E32ED">
            <w:pPr>
              <w:jc w:val="center"/>
              <w:rPr>
                <w:rFonts w:eastAsiaTheme="minorHAnsi" w:cstheme="minorBidi"/>
                <w:szCs w:val="24"/>
                <w:lang w:eastAsia="en-US"/>
              </w:rPr>
            </w:pPr>
          </w:p>
          <w:p w:rsidR="002432B6" w:rsidRDefault="002432B6" w:rsidP="008E32ED">
            <w:pPr>
              <w:jc w:val="center"/>
              <w:rPr>
                <w:rFonts w:eastAsiaTheme="minorHAnsi" w:cstheme="minorBidi"/>
                <w:b/>
                <w:szCs w:val="24"/>
                <w:lang w:eastAsia="en-US"/>
              </w:rPr>
            </w:pPr>
            <w:r>
              <w:rPr>
                <w:rFonts w:eastAsiaTheme="minorHAnsi" w:cstheme="minorBidi"/>
                <w:b/>
                <w:szCs w:val="24"/>
                <w:lang w:eastAsia="en-US"/>
              </w:rPr>
              <w:t>Canadian Bankers’</w:t>
            </w:r>
            <w:r w:rsidRPr="00EB35B7">
              <w:rPr>
                <w:rFonts w:eastAsiaTheme="minorHAnsi" w:cstheme="minorBidi"/>
                <w:b/>
                <w:szCs w:val="24"/>
                <w:lang w:eastAsia="en-US"/>
              </w:rPr>
              <w:t xml:space="preserve"> Association</w:t>
            </w:r>
          </w:p>
          <w:p w:rsidR="002432B6" w:rsidRPr="00D9074A" w:rsidRDefault="002432B6" w:rsidP="008E32ED">
            <w:pPr>
              <w:jc w:val="center"/>
              <w:rPr>
                <w:rFonts w:eastAsiaTheme="minorHAnsi" w:cstheme="minorBidi"/>
                <w:szCs w:val="24"/>
                <w:lang w:eastAsia="en-US"/>
              </w:rPr>
            </w:pPr>
            <w:r>
              <w:rPr>
                <w:rFonts w:eastAsiaTheme="minorHAnsi" w:cstheme="minorBidi"/>
                <w:szCs w:val="24"/>
                <w:lang w:eastAsia="en-US"/>
              </w:rPr>
              <w:t>Intervener</w:t>
            </w:r>
          </w:p>
          <w:p w:rsidR="002432B6" w:rsidRPr="0084621D" w:rsidRDefault="002432B6" w:rsidP="008E32ED">
            <w:pPr>
              <w:rPr>
                <w:rFonts w:eastAsiaTheme="minorHAnsi" w:cstheme="minorBidi"/>
                <w:szCs w:val="24"/>
                <w:lang w:eastAsia="en-US"/>
              </w:rPr>
            </w:pPr>
          </w:p>
          <w:p w:rsidR="002432B6" w:rsidRPr="0084621D" w:rsidRDefault="002432B6" w:rsidP="008E32ED">
            <w:pPr>
              <w:rPr>
                <w:rFonts w:eastAsiaTheme="minorHAnsi" w:cstheme="minorBidi"/>
                <w:szCs w:val="24"/>
                <w:lang w:eastAsia="en-US"/>
              </w:rPr>
            </w:pPr>
          </w:p>
          <w:p w:rsidR="002432B6" w:rsidRPr="0084621D" w:rsidRDefault="002432B6" w:rsidP="008E32ED">
            <w:pPr>
              <w:rPr>
                <w:rFonts w:eastAsiaTheme="minorHAnsi" w:cstheme="minorBidi"/>
                <w:smallCaps/>
                <w:szCs w:val="24"/>
                <w:lang w:val="en-US" w:eastAsia="en-US"/>
              </w:rPr>
            </w:pPr>
          </w:p>
          <w:p w:rsidR="002432B6" w:rsidRPr="00C22905" w:rsidRDefault="002432B6" w:rsidP="008E32ED">
            <w:pPr>
              <w:jc w:val="center"/>
              <w:rPr>
                <w:b/>
                <w:smallCaps/>
              </w:rPr>
            </w:pPr>
            <w:r>
              <w:rPr>
                <w:rFonts w:eastAsiaTheme="minorHAnsi" w:cstheme="minorBidi"/>
                <w:b/>
                <w:smallCaps/>
                <w:szCs w:val="24"/>
                <w:lang w:val="en-US" w:eastAsia="en-US"/>
              </w:rPr>
              <w:t>Official English T</w:t>
            </w:r>
            <w:r w:rsidRPr="00F02615">
              <w:rPr>
                <w:rFonts w:eastAsiaTheme="minorHAnsi" w:cstheme="minorBidi"/>
                <w:b/>
                <w:smallCaps/>
                <w:szCs w:val="24"/>
                <w:lang w:val="en-US" w:eastAsia="en-US"/>
              </w:rPr>
              <w:t>ranslation</w:t>
            </w:r>
          </w:p>
        </w:tc>
      </w:tr>
    </w:tbl>
    <w:tbl>
      <w:tblPr>
        <w:tblStyle w:val="TableGrid2"/>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106"/>
        <w:gridCol w:w="7237"/>
        <w:gridCol w:w="15"/>
      </w:tblGrid>
      <w:tr w:rsidR="002432B6" w:rsidRPr="00C22905" w:rsidTr="008E32ED">
        <w:trPr>
          <w:cantSplit/>
          <w:trHeight w:val="508"/>
        </w:trPr>
        <w:tc>
          <w:tcPr>
            <w:tcW w:w="5000" w:type="pct"/>
            <w:gridSpan w:val="3"/>
            <w:tcMar>
              <w:top w:w="284" w:type="dxa"/>
              <w:bottom w:w="57" w:type="dxa"/>
            </w:tcMar>
            <w:vAlign w:val="center"/>
          </w:tcPr>
          <w:p w:rsidR="002432B6" w:rsidRPr="00C22905" w:rsidRDefault="002432B6" w:rsidP="008E32ED">
            <w:r w:rsidRPr="006B210C">
              <w:rPr>
                <w:b/>
                <w:smallCaps/>
              </w:rPr>
              <w:t>Coram</w:t>
            </w:r>
            <w:r>
              <w:rPr>
                <w:b/>
                <w:smallCaps/>
              </w:rPr>
              <w:t>:</w:t>
            </w:r>
            <w:r w:rsidRPr="006B210C">
              <w:t xml:space="preserve"> </w:t>
            </w:r>
            <w:r>
              <w:t>Wagner C.J. and Abella, Moldaver, Karakatsanis, Côté, Brown, Rowe, Martin and Kasirer JJ.</w:t>
            </w:r>
          </w:p>
        </w:tc>
      </w:tr>
      <w:tr w:rsidR="002432B6" w:rsidRPr="00C22905" w:rsidTr="008E32ED">
        <w:trPr>
          <w:gridAfter w:val="1"/>
          <w:wAfter w:w="9" w:type="pct"/>
          <w:cantSplit/>
          <w:trHeight w:val="1027"/>
        </w:trPr>
        <w:tc>
          <w:tcPr>
            <w:tcW w:w="1125" w:type="pct"/>
            <w:tcMar>
              <w:top w:w="57" w:type="dxa"/>
              <w:left w:w="57" w:type="dxa"/>
              <w:bottom w:w="57" w:type="dxa"/>
              <w:right w:w="57" w:type="dxa"/>
            </w:tcMar>
            <w:vAlign w:val="center"/>
          </w:tcPr>
          <w:p w:rsidR="002432B6" w:rsidRPr="0084621D" w:rsidRDefault="002432B6" w:rsidP="008E32ED">
            <w:pPr>
              <w:rPr>
                <w:smallCaps/>
              </w:rPr>
            </w:pPr>
            <w:r>
              <w:rPr>
                <w:b/>
                <w:smallCaps/>
              </w:rPr>
              <w:t xml:space="preserve">Unanimous </w:t>
            </w:r>
            <w:r w:rsidRPr="006B210C">
              <w:rPr>
                <w:b/>
                <w:smallCaps/>
              </w:rPr>
              <w:t>Judgment</w:t>
            </w:r>
            <w:r>
              <w:rPr>
                <w:b/>
                <w:smallCaps/>
              </w:rPr>
              <w:t xml:space="preserve"> Read By:</w:t>
            </w:r>
          </w:p>
          <w:p w:rsidR="002432B6" w:rsidRPr="00D76415" w:rsidRDefault="002432B6" w:rsidP="008E32ED">
            <w:pPr>
              <w:rPr>
                <w:b/>
                <w:smallCaps/>
                <w:lang w:val="en-CA"/>
              </w:rPr>
            </w:pPr>
            <w:r w:rsidRPr="00F767A1">
              <w:t>(paras. 1 to 2)</w:t>
            </w:r>
          </w:p>
        </w:tc>
        <w:tc>
          <w:tcPr>
            <w:tcW w:w="3867" w:type="pct"/>
            <w:tcMar>
              <w:top w:w="57" w:type="dxa"/>
              <w:left w:w="57" w:type="dxa"/>
              <w:bottom w:w="57" w:type="dxa"/>
              <w:right w:w="57" w:type="dxa"/>
            </w:tcMar>
            <w:vAlign w:val="center"/>
          </w:tcPr>
          <w:p w:rsidR="002432B6" w:rsidRDefault="002432B6" w:rsidP="008E32ED">
            <w:r>
              <w:t>Kasirer J.</w:t>
            </w:r>
          </w:p>
          <w:p w:rsidR="002432B6" w:rsidRPr="00553B18" w:rsidRDefault="002432B6" w:rsidP="008E32ED"/>
        </w:tc>
      </w:tr>
      <w:tr w:rsidR="002432B6" w:rsidRPr="00C22905" w:rsidTr="008E32ED">
        <w:trPr>
          <w:cantSplit/>
        </w:trPr>
        <w:tc>
          <w:tcPr>
            <w:tcW w:w="5000" w:type="pct"/>
            <w:gridSpan w:val="3"/>
            <w:tcMar>
              <w:top w:w="57" w:type="dxa"/>
              <w:bottom w:w="57" w:type="dxa"/>
            </w:tcMar>
            <w:vAlign w:val="center"/>
          </w:tcPr>
          <w:p w:rsidR="002432B6" w:rsidRPr="00C22905" w:rsidRDefault="002432B6" w:rsidP="008E32ED">
            <w:pPr>
              <w:jc w:val="both"/>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2432B6" w:rsidRPr="00B46DE6" w:rsidTr="008E32ED">
        <w:tc>
          <w:tcPr>
            <w:tcW w:w="1500" w:type="pct"/>
            <w:tcMar>
              <w:top w:w="284" w:type="dxa"/>
              <w:left w:w="108" w:type="dxa"/>
              <w:bottom w:w="0" w:type="dxa"/>
              <w:right w:w="108" w:type="dxa"/>
            </w:tcMar>
          </w:tcPr>
          <w:p w:rsidR="002432B6" w:rsidRPr="0047107A" w:rsidRDefault="002432B6" w:rsidP="008E32ED">
            <w:pPr>
              <w:rPr>
                <w:rFonts w:eastAsia="Calibri"/>
              </w:rPr>
            </w:pPr>
          </w:p>
        </w:tc>
        <w:tc>
          <w:tcPr>
            <w:tcW w:w="2000" w:type="pct"/>
            <w:tcBorders>
              <w:top w:val="nil"/>
              <w:left w:val="nil"/>
              <w:bottom w:val="single" w:sz="4" w:space="0" w:color="auto"/>
              <w:right w:val="nil"/>
            </w:tcBorders>
            <w:tcMar>
              <w:top w:w="284" w:type="dxa"/>
              <w:left w:w="108" w:type="dxa"/>
              <w:bottom w:w="0" w:type="dxa"/>
              <w:right w:w="108" w:type="dxa"/>
            </w:tcMar>
          </w:tcPr>
          <w:p w:rsidR="002432B6" w:rsidRPr="0047107A" w:rsidRDefault="002432B6" w:rsidP="008E32ED">
            <w:pPr>
              <w:rPr>
                <w:rFonts w:eastAsia="Calibri"/>
              </w:rPr>
            </w:pPr>
          </w:p>
        </w:tc>
        <w:tc>
          <w:tcPr>
            <w:tcW w:w="1500" w:type="pct"/>
            <w:tcMar>
              <w:top w:w="284" w:type="dxa"/>
              <w:left w:w="108" w:type="dxa"/>
              <w:bottom w:w="0" w:type="dxa"/>
              <w:right w:w="108" w:type="dxa"/>
            </w:tcMar>
          </w:tcPr>
          <w:p w:rsidR="002432B6" w:rsidRPr="0047107A" w:rsidRDefault="002432B6" w:rsidP="008E32ED">
            <w:pPr>
              <w:rPr>
                <w:rFonts w:eastAsia="Calibri"/>
              </w:rPr>
            </w:pPr>
          </w:p>
        </w:tc>
      </w:tr>
    </w:tbl>
    <w:p w:rsidR="002432B6" w:rsidRDefault="002432B6" w:rsidP="00DE46DF">
      <w:pPr>
        <w:spacing w:after="720"/>
        <w:jc w:val="both"/>
        <w:rPr>
          <w:smallCaps/>
          <w:color w:val="000000"/>
        </w:rPr>
        <w:sectPr w:rsidR="002432B6" w:rsidSect="00D71548">
          <w:headerReference w:type="first" r:id="rId10"/>
          <w:pgSz w:w="12240" w:h="15840"/>
          <w:pgMar w:top="1440" w:right="1440" w:bottom="1440" w:left="1440" w:header="1800" w:footer="720" w:gutter="0"/>
          <w:cols w:space="720"/>
          <w:formProt w:val="0"/>
          <w:docGrid w:linePitch="326"/>
        </w:sectPr>
      </w:pPr>
    </w:p>
    <w:p w:rsidR="00DE46DF" w:rsidRDefault="00DE46DF" w:rsidP="00DE46DF">
      <w:pPr>
        <w:spacing w:after="720"/>
        <w:jc w:val="both"/>
        <w:rPr>
          <w:smallCaps/>
          <w:lang w:val="en-US"/>
        </w:rPr>
      </w:pPr>
      <w:r>
        <w:rPr>
          <w:smallCaps/>
          <w:color w:val="000000"/>
        </w:rPr>
        <w:lastRenderedPageBreak/>
        <w:t>co</w:t>
      </w:r>
      <w:r>
        <w:rPr>
          <w:smallCaps/>
          <w:color w:val="000000"/>
        </w:rPr>
        <w:noBreakHyphen/>
        <w:t xml:space="preserve">operators </w:t>
      </w:r>
      <w:r>
        <w:rPr>
          <w:i/>
          <w:iCs/>
          <w:color w:val="000000"/>
        </w:rPr>
        <w:t>v.</w:t>
      </w:r>
      <w:r>
        <w:rPr>
          <w:smallCaps/>
          <w:color w:val="000000"/>
        </w:rPr>
        <w:t xml:space="preserve"> sollio </w:t>
      </w:r>
    </w:p>
    <w:p w:rsidR="00DE46DF" w:rsidRPr="00EF3DC0" w:rsidRDefault="00DE46DF" w:rsidP="00DE46DF">
      <w:pPr>
        <w:pStyle w:val="SCCLsocLastPartyInRole"/>
        <w:rPr>
          <w:lang w:val="en-US"/>
        </w:rPr>
      </w:pPr>
      <w:r>
        <w:rPr>
          <w:bCs/>
          <w:color w:val="000000"/>
        </w:rPr>
        <w:t>CO-Operators General Insurance Company</w:t>
      </w:r>
      <w:r>
        <w:rPr>
          <w:rStyle w:val="SCCLsocPartyRole"/>
          <w:b/>
        </w:rPr>
        <w:tab/>
      </w:r>
      <w:r w:rsidRPr="00EF3DC0">
        <w:rPr>
          <w:rStyle w:val="SCCLsocPartyRole"/>
        </w:rPr>
        <w:t>Appellant</w:t>
      </w:r>
    </w:p>
    <w:p w:rsidR="00DE46DF" w:rsidRDefault="00DE46DF" w:rsidP="00DE46DF">
      <w:pPr>
        <w:pStyle w:val="SCCLsocVersus"/>
        <w:rPr>
          <w:lang w:val="fr-CA"/>
        </w:rPr>
      </w:pPr>
      <w:r>
        <w:rPr>
          <w:lang w:val="fr-CA"/>
        </w:rPr>
        <w:t>v.</w:t>
      </w:r>
    </w:p>
    <w:p w:rsidR="00DE46DF" w:rsidRDefault="00DE46DF" w:rsidP="00DE46DF">
      <w:pPr>
        <w:pStyle w:val="SCCLsocLastPartyInRole"/>
        <w:spacing w:after="0"/>
        <w:rPr>
          <w:bCs/>
          <w:color w:val="000000"/>
          <w:lang w:val="fr-CA"/>
        </w:rPr>
      </w:pPr>
      <w:r>
        <w:rPr>
          <w:bCs/>
          <w:color w:val="000000"/>
          <w:lang w:val="fr-CA"/>
        </w:rPr>
        <w:t xml:space="preserve">Sollio Groupe Coopératif (formerly known as La Coop Fédérée) and </w:t>
      </w:r>
    </w:p>
    <w:p w:rsidR="00DE46DF" w:rsidRDefault="00DE46DF" w:rsidP="00DE46DF">
      <w:pPr>
        <w:pStyle w:val="SCCLsocLastPartyInRole"/>
      </w:pPr>
      <w:r>
        <w:rPr>
          <w:bCs/>
          <w:color w:val="000000"/>
        </w:rPr>
        <w:t>National Bank of Canada</w:t>
      </w:r>
      <w:r>
        <w:rPr>
          <w:rStyle w:val="SCCLsocPartyRole"/>
          <w:b/>
        </w:rPr>
        <w:tab/>
      </w:r>
      <w:r w:rsidRPr="00EF3DC0">
        <w:rPr>
          <w:rStyle w:val="SCCLsocPartyRole"/>
        </w:rPr>
        <w:t>Respondents</w:t>
      </w:r>
    </w:p>
    <w:p w:rsidR="00DE46DF" w:rsidRDefault="00DE46DF" w:rsidP="00DE46DF">
      <w:pPr>
        <w:pStyle w:val="SCCLsocVersus"/>
        <w:rPr>
          <w:i w:val="0"/>
          <w:lang w:val="en-US"/>
        </w:rPr>
      </w:pPr>
      <w:r>
        <w:rPr>
          <w:i w:val="0"/>
          <w:lang w:val="en-US"/>
        </w:rPr>
        <w:t>and</w:t>
      </w:r>
    </w:p>
    <w:p w:rsidR="00DE46DF" w:rsidRPr="00EF3DC0" w:rsidRDefault="00DE46DF" w:rsidP="00DE46DF">
      <w:pPr>
        <w:pStyle w:val="SCCLsocLastPartyInRole"/>
        <w:rPr>
          <w:lang w:val="en-US"/>
        </w:rPr>
      </w:pPr>
      <w:r>
        <w:rPr>
          <w:bCs/>
          <w:color w:val="000000"/>
        </w:rPr>
        <w:t>Canadian Bankers’ Association</w:t>
      </w:r>
      <w:r>
        <w:rPr>
          <w:rStyle w:val="SCCLsocPartyRole"/>
          <w:b/>
        </w:rPr>
        <w:tab/>
      </w:r>
      <w:r w:rsidRPr="00EF3DC0">
        <w:rPr>
          <w:rStyle w:val="SCCLsocPartyRole"/>
        </w:rPr>
        <w:t>Intervener</w:t>
      </w:r>
    </w:p>
    <w:p w:rsidR="00DE46DF" w:rsidRDefault="00DE46DF" w:rsidP="00DE46DF">
      <w:pPr>
        <w:spacing w:after="720"/>
        <w:jc w:val="both"/>
        <w:rPr>
          <w:b/>
        </w:rPr>
      </w:pPr>
      <w:r>
        <w:rPr>
          <w:b/>
        </w:rPr>
        <w:t xml:space="preserve">Indexed as: </w:t>
      </w:r>
      <w:r>
        <w:rPr>
          <w:b/>
          <w:color w:val="000000"/>
        </w:rPr>
        <w:t xml:space="preserve">CO-Operators General Insurance Co. </w:t>
      </w:r>
      <w:r>
        <w:rPr>
          <w:b/>
          <w:i/>
          <w:iCs/>
          <w:color w:val="000000"/>
        </w:rPr>
        <w:t>v.</w:t>
      </w:r>
      <w:r>
        <w:rPr>
          <w:b/>
          <w:color w:val="000000"/>
        </w:rPr>
        <w:t xml:space="preserve"> Sollio Groupe Coopératif</w:t>
      </w:r>
    </w:p>
    <w:p w:rsidR="00DE46DF" w:rsidRDefault="00DE46DF" w:rsidP="00DE46DF">
      <w:pPr>
        <w:pStyle w:val="SCCSystemYear"/>
        <w:spacing w:after="720"/>
        <w:jc w:val="both"/>
        <w:rPr>
          <w:lang w:val="en-US"/>
        </w:rPr>
      </w:pPr>
      <w:r>
        <w:rPr>
          <w:lang w:val="en-US"/>
        </w:rPr>
        <w:t>2020 SCC 41</w:t>
      </w:r>
    </w:p>
    <w:p w:rsidR="00DE46DF" w:rsidRDefault="00DE46DF" w:rsidP="00DE46DF">
      <w:pPr>
        <w:spacing w:after="720"/>
        <w:jc w:val="both"/>
        <w:rPr>
          <w:lang w:val="en-US"/>
        </w:rPr>
      </w:pPr>
      <w:r>
        <w:rPr>
          <w:lang w:val="en-US"/>
        </w:rPr>
        <w:t xml:space="preserve">File No.: </w:t>
      </w:r>
      <w:r>
        <w:rPr>
          <w:color w:val="000000"/>
        </w:rPr>
        <w:t>38938</w:t>
      </w:r>
      <w:r>
        <w:rPr>
          <w:lang w:val="en-US"/>
        </w:rPr>
        <w:t>.</w:t>
      </w:r>
    </w:p>
    <w:p w:rsidR="00DE46DF" w:rsidRDefault="00DE46DF" w:rsidP="00DE46DF">
      <w:pPr>
        <w:spacing w:after="720"/>
        <w:jc w:val="both"/>
      </w:pPr>
      <w:r>
        <w:t>2020: December 7.</w:t>
      </w:r>
    </w:p>
    <w:p w:rsidR="00DE46DF" w:rsidRDefault="00DE46DF" w:rsidP="00DE46DF">
      <w:pPr>
        <w:spacing w:after="720"/>
        <w:jc w:val="both"/>
      </w:pPr>
      <w:r>
        <w:t>Present: Wagner C.J. and Abella, Moldaver, Karakatsanis, Côté, Brown, Rowe, Martin and Kasirer JJ.</w:t>
      </w:r>
    </w:p>
    <w:p w:rsidR="00DE46DF" w:rsidRDefault="00DE46DF" w:rsidP="00DE46DF">
      <w:pPr>
        <w:pStyle w:val="SCCLowerCourtNameLowercase"/>
        <w:spacing w:after="720" w:line="240" w:lineRule="auto"/>
      </w:pPr>
      <w:r>
        <w:t>on appeal from the court of appeal for quebec</w:t>
      </w:r>
    </w:p>
    <w:p w:rsidR="00DE46DF" w:rsidRDefault="00DE46DF" w:rsidP="00DE46DF">
      <w:pPr>
        <w:pStyle w:val="SCCNormalDoubleSpacing"/>
        <w:spacing w:after="480"/>
        <w:rPr>
          <w:i/>
        </w:rPr>
      </w:pPr>
      <w:r>
        <w:lastRenderedPageBreak/>
        <w:tab/>
      </w:r>
      <w:r>
        <w:rPr>
          <w:i/>
        </w:rPr>
        <w:t xml:space="preserve">Financial institutions </w:t>
      </w:r>
      <w:r>
        <w:rPr>
          <w:i/>
          <w:iCs/>
          <w:color w:val="000000"/>
        </w:rPr>
        <w:t xml:space="preserve">— </w:t>
      </w:r>
      <w:r>
        <w:rPr>
          <w:i/>
        </w:rPr>
        <w:t xml:space="preserve">Banks </w:t>
      </w:r>
      <w:r>
        <w:rPr>
          <w:i/>
          <w:iCs/>
          <w:color w:val="000000"/>
        </w:rPr>
        <w:t>— Electronic funds transfers — Phishing — Insurance</w:t>
      </w:r>
      <w:r>
        <w:rPr>
          <w:i/>
        </w:rPr>
        <w:t xml:space="preserve"> </w:t>
      </w:r>
      <w:r>
        <w:rPr>
          <w:i/>
          <w:iCs/>
          <w:color w:val="000000"/>
        </w:rPr>
        <w:t>— Electronic funds transfer made by company that was victim of phishing scheme —</w:t>
      </w:r>
      <w:r>
        <w:rPr>
          <w:i/>
        </w:rPr>
        <w:t xml:space="preserve"> </w:t>
      </w:r>
      <w:r>
        <w:rPr>
          <w:i/>
          <w:iCs/>
          <w:color w:val="000000"/>
        </w:rPr>
        <w:t xml:space="preserve">Funds transferred from company’s bank account that included </w:t>
      </w:r>
      <w:r>
        <w:rPr>
          <w:i/>
        </w:rPr>
        <w:t xml:space="preserve">line of credit granted by bank </w:t>
      </w:r>
      <w:r>
        <w:rPr>
          <w:i/>
          <w:iCs/>
          <w:color w:val="000000"/>
        </w:rPr>
        <w:t>— Transferred funds coming entirely from line of credit</w:t>
      </w:r>
      <w:r>
        <w:rPr>
          <w:i/>
        </w:rPr>
        <w:t xml:space="preserve"> </w:t>
      </w:r>
      <w:r>
        <w:rPr>
          <w:i/>
          <w:iCs/>
          <w:color w:val="000000"/>
        </w:rPr>
        <w:t xml:space="preserve">— Company reporting loss </w:t>
      </w:r>
      <w:r>
        <w:rPr>
          <w:i/>
        </w:rPr>
        <w:t xml:space="preserve">to its insurer </w:t>
      </w:r>
      <w:r>
        <w:rPr>
          <w:i/>
          <w:iCs/>
          <w:color w:val="000000"/>
        </w:rPr>
        <w:t xml:space="preserve">— Insurer denying </w:t>
      </w:r>
      <w:r>
        <w:rPr>
          <w:i/>
        </w:rPr>
        <w:t xml:space="preserve">coverage on grounds that risk in question was not covered by company’s policy and that transferred funds belonged to bank and not to company given that funds came entirely from line of credit </w:t>
      </w:r>
      <w:r>
        <w:rPr>
          <w:i/>
          <w:iCs/>
          <w:color w:val="000000"/>
        </w:rPr>
        <w:t>— Court of Appeal concluding that loss was covered by insurance policy and had to be borne by insurer because company was owner of transferred fund</w:t>
      </w:r>
      <w:r>
        <w:rPr>
          <w:i/>
        </w:rPr>
        <w:t xml:space="preserve">s </w:t>
      </w:r>
      <w:r>
        <w:rPr>
          <w:i/>
          <w:iCs/>
          <w:color w:val="000000"/>
        </w:rPr>
        <w:t>—</w:t>
      </w:r>
      <w:r>
        <w:rPr>
          <w:i/>
        </w:rPr>
        <w:t xml:space="preserve"> Court of Appeal’s decision affirmed.</w:t>
      </w:r>
    </w:p>
    <w:p w:rsidR="00DE46DF" w:rsidRDefault="00DE46DF" w:rsidP="00DE46DF">
      <w:pPr>
        <w:pStyle w:val="SCCNormalDoubleSpacing"/>
        <w:spacing w:after="480"/>
        <w:rPr>
          <w:lang w:val="en-US"/>
        </w:rPr>
      </w:pPr>
      <w:r>
        <w:tab/>
        <w:t xml:space="preserve">APPEAL from a judgment of the Quebec Court of Appeal (Dufresne, Healy and Cotnam JJ.A.), 2019 QCCA 1678, [2019] Q.J. No. 8590 (QL), 2019 CarswellQue 18612 (WL Can.), </w:t>
      </w:r>
      <w:r>
        <w:rPr>
          <w:color w:val="000000"/>
        </w:rPr>
        <w:t>setting aside in part a decision of Déziel J., 2016 QCCS 6302, [2016] J.Q. n° 18816 (QL), 2016 CarswellQue 12703 (WL Can.). Appeal dismissed.</w:t>
      </w:r>
    </w:p>
    <w:p w:rsidR="00DE46DF" w:rsidRDefault="00DE46DF" w:rsidP="00DE46DF">
      <w:pPr>
        <w:pStyle w:val="SCCNormalDoubleSpacing"/>
        <w:spacing w:after="480"/>
      </w:pPr>
      <w:r>
        <w:tab/>
      </w:r>
      <w:r>
        <w:rPr>
          <w:i/>
          <w:iCs/>
          <w:color w:val="000000"/>
        </w:rPr>
        <w:t>Pierre Gourdeau</w:t>
      </w:r>
      <w:r>
        <w:rPr>
          <w:color w:val="000000"/>
        </w:rPr>
        <w:t xml:space="preserve"> and </w:t>
      </w:r>
      <w:r>
        <w:rPr>
          <w:i/>
          <w:iCs/>
          <w:color w:val="000000"/>
        </w:rPr>
        <w:t>Émilie Deschênes</w:t>
      </w:r>
      <w:r>
        <w:t>, for the appellant.</w:t>
      </w:r>
    </w:p>
    <w:p w:rsidR="00DE46DF" w:rsidRDefault="00DE46DF" w:rsidP="00DE46DF">
      <w:pPr>
        <w:pStyle w:val="SCCNormalDoubleSpacing"/>
        <w:spacing w:after="480"/>
        <w:rPr>
          <w:rStyle w:val="SCCCounselPartyRoleChar"/>
        </w:rPr>
      </w:pPr>
      <w:r>
        <w:rPr>
          <w:rStyle w:val="SCCCounselNameChar"/>
        </w:rPr>
        <w:tab/>
      </w:r>
      <w:r>
        <w:rPr>
          <w:i/>
          <w:iCs/>
          <w:color w:val="000000"/>
        </w:rPr>
        <w:t>Alain Létourneau</w:t>
      </w:r>
      <w:r>
        <w:rPr>
          <w:color w:val="000000"/>
        </w:rPr>
        <w:t xml:space="preserve"> and </w:t>
      </w:r>
      <w:r>
        <w:rPr>
          <w:i/>
          <w:iCs/>
          <w:color w:val="000000"/>
        </w:rPr>
        <w:t>Sylvie Grenier</w:t>
      </w:r>
      <w:r>
        <w:rPr>
          <w:rStyle w:val="SCCCounselPartyRoleChar"/>
        </w:rPr>
        <w:t xml:space="preserve">, for the respondent </w:t>
      </w:r>
      <w:r>
        <w:rPr>
          <w:color w:val="000000"/>
        </w:rPr>
        <w:t>Sollio Groupe Coopératif (formerly known as La Coop Fédérée)</w:t>
      </w:r>
      <w:r>
        <w:rPr>
          <w:rStyle w:val="SCCCounselPartyRoleChar"/>
        </w:rPr>
        <w:t>.</w:t>
      </w:r>
    </w:p>
    <w:p w:rsidR="00DE46DF" w:rsidRDefault="00DE46DF" w:rsidP="00DE46DF">
      <w:pPr>
        <w:pStyle w:val="SCCNormalDoubleSpacing"/>
        <w:spacing w:after="480"/>
        <w:rPr>
          <w:rStyle w:val="SCCCounselPartyRoleChar"/>
        </w:rPr>
      </w:pPr>
      <w:r>
        <w:rPr>
          <w:rStyle w:val="SCCCounselNameChar"/>
        </w:rPr>
        <w:tab/>
      </w:r>
      <w:r>
        <w:rPr>
          <w:i/>
          <w:iCs/>
          <w:color w:val="000000"/>
        </w:rPr>
        <w:t>Patrick Ouellet</w:t>
      </w:r>
      <w:r>
        <w:rPr>
          <w:color w:val="000000"/>
        </w:rPr>
        <w:t xml:space="preserve"> and </w:t>
      </w:r>
      <w:r>
        <w:rPr>
          <w:i/>
          <w:iCs/>
          <w:color w:val="000000"/>
        </w:rPr>
        <w:t>Laurence Ste</w:t>
      </w:r>
      <w:r>
        <w:rPr>
          <w:i/>
          <w:iCs/>
          <w:color w:val="000000"/>
        </w:rPr>
        <w:noBreakHyphen/>
        <w:t>Marie</w:t>
      </w:r>
      <w:r>
        <w:rPr>
          <w:rStyle w:val="SCCCounselPartyRoleChar"/>
        </w:rPr>
        <w:t xml:space="preserve">, for the respondent </w:t>
      </w:r>
      <w:r>
        <w:rPr>
          <w:color w:val="000000"/>
        </w:rPr>
        <w:t>National Bank of Canada</w:t>
      </w:r>
      <w:r>
        <w:rPr>
          <w:rStyle w:val="SCCCounselPartyRoleChar"/>
        </w:rPr>
        <w:t>.</w:t>
      </w:r>
    </w:p>
    <w:p w:rsidR="00DE46DF" w:rsidRDefault="00DE46DF" w:rsidP="00DE46DF">
      <w:pPr>
        <w:pStyle w:val="SCCNormalDoubleSpacing"/>
        <w:spacing w:after="480"/>
        <w:rPr>
          <w:rStyle w:val="SCCCounselPartyRoleChar"/>
        </w:rPr>
      </w:pPr>
      <w:r>
        <w:rPr>
          <w:rStyle w:val="SCCCounselNameChar"/>
        </w:rPr>
        <w:tab/>
      </w:r>
      <w:r>
        <w:rPr>
          <w:i/>
          <w:iCs/>
          <w:color w:val="000000"/>
        </w:rPr>
        <w:t>Mathieu Lévesque</w:t>
      </w:r>
      <w:r>
        <w:rPr>
          <w:rStyle w:val="SCCCounselPartyRoleChar"/>
        </w:rPr>
        <w:t>, for the intervener.</w:t>
      </w:r>
    </w:p>
    <w:p w:rsidR="00DE46DF" w:rsidRDefault="00DE46DF" w:rsidP="00DE46DF">
      <w:pPr>
        <w:pStyle w:val="SCCNormalDoubleSpacing"/>
        <w:spacing w:after="480"/>
      </w:pPr>
      <w:r>
        <w:lastRenderedPageBreak/>
        <w:tab/>
        <w:t>English version of the judgment of the Court delivered orally by</w:t>
      </w:r>
    </w:p>
    <w:p w:rsidR="00DE46DF" w:rsidRDefault="00DE46DF" w:rsidP="00DE46DF">
      <w:pPr>
        <w:pStyle w:val="SCCNormalDoubleSpacing"/>
        <w:spacing w:after="480"/>
        <w:rPr>
          <w:color w:val="000000"/>
          <w:szCs w:val="27"/>
          <w:lang w:val="en-US" w:eastAsia="en-US"/>
        </w:rPr>
      </w:pPr>
      <w:r>
        <w:rPr>
          <w:smallCaps/>
          <w:color w:val="000000"/>
          <w:szCs w:val="27"/>
          <w:lang w:val="en-US" w:eastAsia="en-US"/>
        </w:rPr>
        <w:t>[1]</w:t>
      </w:r>
      <w:r>
        <w:rPr>
          <w:smallCaps/>
          <w:color w:val="000000"/>
          <w:szCs w:val="27"/>
          <w:lang w:val="en-US" w:eastAsia="en-US"/>
        </w:rPr>
        <w:tab/>
        <w:t>Kasirer</w:t>
      </w:r>
      <w:r>
        <w:rPr>
          <w:color w:val="000000"/>
          <w:szCs w:val="27"/>
          <w:lang w:val="en-US" w:eastAsia="en-US"/>
        </w:rPr>
        <w:t xml:space="preserve"> J. —</w:t>
      </w:r>
      <w:r>
        <w:rPr>
          <w:smallCaps/>
          <w:color w:val="000000"/>
          <w:szCs w:val="27"/>
          <w:lang w:val="en-US" w:eastAsia="en-US"/>
        </w:rPr>
        <w:t xml:space="preserve"> </w:t>
      </w:r>
      <w:r>
        <w:rPr>
          <w:color w:val="000000"/>
          <w:szCs w:val="27"/>
          <w:lang w:val="en-US" w:eastAsia="en-US"/>
        </w:rPr>
        <w:t>We are all of the opinion that the appeal should be dismissed, essentially for the reasons given by the Court of Appeal, with costs to the respondents.</w:t>
      </w:r>
    </w:p>
    <w:p w:rsidR="00DE46DF" w:rsidRDefault="00DE46DF" w:rsidP="00DE46DF">
      <w:pPr>
        <w:pStyle w:val="SCCNormalDoubleSpacing"/>
        <w:spacing w:after="480"/>
        <w:rPr>
          <w:color w:val="000000"/>
          <w:szCs w:val="27"/>
          <w:lang w:val="en-US" w:eastAsia="en-US"/>
        </w:rPr>
      </w:pPr>
      <w:r>
        <w:rPr>
          <w:color w:val="000000"/>
          <w:szCs w:val="27"/>
          <w:lang w:val="en-US" w:eastAsia="en-US"/>
        </w:rPr>
        <w:t>[2]</w:t>
      </w:r>
      <w:r>
        <w:rPr>
          <w:color w:val="000000"/>
          <w:szCs w:val="27"/>
          <w:lang w:val="en-US" w:eastAsia="en-US"/>
        </w:rPr>
        <w:tab/>
        <w:t>It should be made clear, however, having regard to para. 110 of the Court of Appeal’s reasons, that the result would not have been different had the account of the respondent La Coop Fédérée been in positive balance.</w:t>
      </w:r>
    </w:p>
    <w:p w:rsidR="00DE46DF" w:rsidRDefault="00DE46DF" w:rsidP="00DE46DF">
      <w:pPr>
        <w:pStyle w:val="SCCNormalDoubleSpacing"/>
        <w:spacing w:after="480"/>
      </w:pPr>
      <w:r>
        <w:tab/>
      </w:r>
      <w:r>
        <w:rPr>
          <w:i/>
        </w:rPr>
        <w:t>Judgment accordingly.</w:t>
      </w:r>
    </w:p>
    <w:p w:rsidR="00DE46DF" w:rsidRDefault="00DE46DF" w:rsidP="00DE46DF">
      <w:pPr>
        <w:pStyle w:val="SCCNormalDoubleSpacing"/>
        <w:spacing w:after="480"/>
        <w:rPr>
          <w:i/>
        </w:rPr>
      </w:pPr>
      <w:r>
        <w:tab/>
      </w:r>
      <w:r>
        <w:rPr>
          <w:i/>
        </w:rPr>
        <w:t>Solicitors for the appellant: Carter Gourdeau, Québec.</w:t>
      </w:r>
    </w:p>
    <w:p w:rsidR="00DE46DF" w:rsidRDefault="00DE46DF" w:rsidP="00DE46DF">
      <w:pPr>
        <w:pStyle w:val="SCCNormalDoubleSpacing"/>
        <w:spacing w:after="480"/>
        <w:rPr>
          <w:i/>
        </w:rPr>
      </w:pPr>
      <w:r>
        <w:tab/>
      </w:r>
      <w:r>
        <w:rPr>
          <w:i/>
        </w:rPr>
        <w:t>Solicitors for the respondent</w:t>
      </w:r>
      <w:r>
        <w:rPr>
          <w:i/>
          <w:color w:val="000000"/>
        </w:rPr>
        <w:t xml:space="preserve"> Sollio Groupe Coopératif (formerly known as La Coop Fédérée)</w:t>
      </w:r>
      <w:r>
        <w:rPr>
          <w:i/>
        </w:rPr>
        <w:t>: Cain Lamarre, Montréal.</w:t>
      </w:r>
    </w:p>
    <w:p w:rsidR="00DE46DF" w:rsidRDefault="00DE46DF" w:rsidP="00DE46DF">
      <w:pPr>
        <w:pStyle w:val="SCCNormalDoubleSpacing"/>
        <w:spacing w:after="480"/>
        <w:rPr>
          <w:i/>
        </w:rPr>
      </w:pPr>
      <w:r>
        <w:rPr>
          <w:i/>
        </w:rPr>
        <w:tab/>
        <w:t>Solicitors for the respondent</w:t>
      </w:r>
      <w:r>
        <w:rPr>
          <w:i/>
          <w:color w:val="000000"/>
        </w:rPr>
        <w:t xml:space="preserve"> National Bank of Canada</w:t>
      </w:r>
      <w:r>
        <w:rPr>
          <w:i/>
        </w:rPr>
        <w:t>: Woods, Montréal.</w:t>
      </w:r>
    </w:p>
    <w:p w:rsidR="00DE46DF" w:rsidRDefault="00DE46DF" w:rsidP="00DE46DF">
      <w:pPr>
        <w:pStyle w:val="SCCNormalDoubleSpacing"/>
        <w:spacing w:after="480"/>
        <w:rPr>
          <w:i/>
        </w:rPr>
      </w:pPr>
      <w:r>
        <w:tab/>
      </w:r>
      <w:r>
        <w:rPr>
          <w:i/>
        </w:rPr>
        <w:t>Solicitors for the intervener: Borden Ladner Gervais, Montréal.</w:t>
      </w:r>
    </w:p>
    <w:sectPr w:rsidR="00DE46DF" w:rsidSect="00D71548">
      <w:pgSz w:w="12240" w:h="15840"/>
      <w:pgMar w:top="1440" w:right="1440" w:bottom="1440" w:left="1440" w:header="180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DF" w:rsidRDefault="00CB25DF">
      <w:r>
        <w:separator/>
      </w:r>
    </w:p>
  </w:endnote>
  <w:endnote w:type="continuationSeparator" w:id="0">
    <w:p w:rsidR="00CB25DF" w:rsidRDefault="00CB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DF" w:rsidRDefault="00CB25DF">
      <w:r>
        <w:separator/>
      </w:r>
    </w:p>
  </w:footnote>
  <w:footnote w:type="continuationSeparator" w:id="0">
    <w:p w:rsidR="00CB25DF" w:rsidRDefault="00CB2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F2" w:rsidRPr="00D71548" w:rsidRDefault="00CB25DF" w:rsidP="00D71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2007"/>
    <w:rsid w:val="00025198"/>
    <w:rsid w:val="00025763"/>
    <w:rsid w:val="00026467"/>
    <w:rsid w:val="00040D1B"/>
    <w:rsid w:val="00040F00"/>
    <w:rsid w:val="00041BDD"/>
    <w:rsid w:val="00051EBF"/>
    <w:rsid w:val="00052CCA"/>
    <w:rsid w:val="000578A3"/>
    <w:rsid w:val="000648CC"/>
    <w:rsid w:val="00076E46"/>
    <w:rsid w:val="0008023F"/>
    <w:rsid w:val="00094FED"/>
    <w:rsid w:val="000B5CFA"/>
    <w:rsid w:val="000B69B5"/>
    <w:rsid w:val="000C3FCE"/>
    <w:rsid w:val="000C59B8"/>
    <w:rsid w:val="000C6AF0"/>
    <w:rsid w:val="000C78C2"/>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066E"/>
    <w:rsid w:val="00186351"/>
    <w:rsid w:val="00195D83"/>
    <w:rsid w:val="001977DB"/>
    <w:rsid w:val="001A00C1"/>
    <w:rsid w:val="001A42A4"/>
    <w:rsid w:val="001B33E0"/>
    <w:rsid w:val="001B4573"/>
    <w:rsid w:val="001C779F"/>
    <w:rsid w:val="001D2AC1"/>
    <w:rsid w:val="001D4DDF"/>
    <w:rsid w:val="001D4E88"/>
    <w:rsid w:val="001D65FF"/>
    <w:rsid w:val="001D6E70"/>
    <w:rsid w:val="001D7957"/>
    <w:rsid w:val="001E477D"/>
    <w:rsid w:val="001E5A98"/>
    <w:rsid w:val="00220FC2"/>
    <w:rsid w:val="002222F4"/>
    <w:rsid w:val="00224FC0"/>
    <w:rsid w:val="00225EA4"/>
    <w:rsid w:val="00226EAF"/>
    <w:rsid w:val="00230FA7"/>
    <w:rsid w:val="002310A2"/>
    <w:rsid w:val="00231F3A"/>
    <w:rsid w:val="00234199"/>
    <w:rsid w:val="00236389"/>
    <w:rsid w:val="00237AFE"/>
    <w:rsid w:val="002406EE"/>
    <w:rsid w:val="002432B6"/>
    <w:rsid w:val="00243EC8"/>
    <w:rsid w:val="00264B77"/>
    <w:rsid w:val="00270D93"/>
    <w:rsid w:val="002745CC"/>
    <w:rsid w:val="0029178F"/>
    <w:rsid w:val="002B7924"/>
    <w:rsid w:val="002B7ABA"/>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129F"/>
    <w:rsid w:val="003323B0"/>
    <w:rsid w:val="00337C82"/>
    <w:rsid w:val="00342089"/>
    <w:rsid w:val="003424F3"/>
    <w:rsid w:val="00347BA4"/>
    <w:rsid w:val="0035169A"/>
    <w:rsid w:val="0035259D"/>
    <w:rsid w:val="00353B79"/>
    <w:rsid w:val="00355C66"/>
    <w:rsid w:val="00362ADA"/>
    <w:rsid w:val="00364B18"/>
    <w:rsid w:val="00396BF3"/>
    <w:rsid w:val="003A125D"/>
    <w:rsid w:val="003A4C70"/>
    <w:rsid w:val="003B215F"/>
    <w:rsid w:val="003C2CFF"/>
    <w:rsid w:val="003C799C"/>
    <w:rsid w:val="003D0399"/>
    <w:rsid w:val="003E1C71"/>
    <w:rsid w:val="003E2693"/>
    <w:rsid w:val="003E53AC"/>
    <w:rsid w:val="003F327B"/>
    <w:rsid w:val="003F7ACB"/>
    <w:rsid w:val="00400B24"/>
    <w:rsid w:val="00404D28"/>
    <w:rsid w:val="0040508D"/>
    <w:rsid w:val="00406166"/>
    <w:rsid w:val="0040704B"/>
    <w:rsid w:val="00407839"/>
    <w:rsid w:val="00410003"/>
    <w:rsid w:val="00410A55"/>
    <w:rsid w:val="00411300"/>
    <w:rsid w:val="00415417"/>
    <w:rsid w:val="0041747D"/>
    <w:rsid w:val="00424FE1"/>
    <w:rsid w:val="00426659"/>
    <w:rsid w:val="00426D16"/>
    <w:rsid w:val="00450352"/>
    <w:rsid w:val="00454BD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78D"/>
    <w:rsid w:val="004D4FEC"/>
    <w:rsid w:val="004E0D6A"/>
    <w:rsid w:val="004E172C"/>
    <w:rsid w:val="004E2C26"/>
    <w:rsid w:val="004E61A7"/>
    <w:rsid w:val="004E6AEF"/>
    <w:rsid w:val="004F36FF"/>
    <w:rsid w:val="004F7454"/>
    <w:rsid w:val="005125A8"/>
    <w:rsid w:val="00516DED"/>
    <w:rsid w:val="00521AE8"/>
    <w:rsid w:val="00523FF9"/>
    <w:rsid w:val="00524449"/>
    <w:rsid w:val="00527180"/>
    <w:rsid w:val="00533A2E"/>
    <w:rsid w:val="005341CE"/>
    <w:rsid w:val="00534AB2"/>
    <w:rsid w:val="00537987"/>
    <w:rsid w:val="0054201E"/>
    <w:rsid w:val="00553B18"/>
    <w:rsid w:val="005541DB"/>
    <w:rsid w:val="00555291"/>
    <w:rsid w:val="0056265A"/>
    <w:rsid w:val="00566AD1"/>
    <w:rsid w:val="0057257D"/>
    <w:rsid w:val="00583EDE"/>
    <w:rsid w:val="00586928"/>
    <w:rsid w:val="005A4F85"/>
    <w:rsid w:val="005A6079"/>
    <w:rsid w:val="005A7A66"/>
    <w:rsid w:val="005B18FA"/>
    <w:rsid w:val="005C7840"/>
    <w:rsid w:val="005D1C83"/>
    <w:rsid w:val="005E4698"/>
    <w:rsid w:val="005F014D"/>
    <w:rsid w:val="006003EE"/>
    <w:rsid w:val="00610539"/>
    <w:rsid w:val="00613969"/>
    <w:rsid w:val="0061523C"/>
    <w:rsid w:val="00617208"/>
    <w:rsid w:val="00622F98"/>
    <w:rsid w:val="006230B6"/>
    <w:rsid w:val="00625C35"/>
    <w:rsid w:val="00626A7D"/>
    <w:rsid w:val="0062787A"/>
    <w:rsid w:val="00635521"/>
    <w:rsid w:val="006468AB"/>
    <w:rsid w:val="00655F44"/>
    <w:rsid w:val="00656313"/>
    <w:rsid w:val="006565F4"/>
    <w:rsid w:val="0066108F"/>
    <w:rsid w:val="006763FD"/>
    <w:rsid w:val="00684EEA"/>
    <w:rsid w:val="006908E8"/>
    <w:rsid w:val="0069689B"/>
    <w:rsid w:val="00696B1C"/>
    <w:rsid w:val="006A01E4"/>
    <w:rsid w:val="006A1551"/>
    <w:rsid w:val="006A48DB"/>
    <w:rsid w:val="006A7D51"/>
    <w:rsid w:val="006B5FF5"/>
    <w:rsid w:val="006B7683"/>
    <w:rsid w:val="006B7B50"/>
    <w:rsid w:val="006D365F"/>
    <w:rsid w:val="006D4200"/>
    <w:rsid w:val="006F30AF"/>
    <w:rsid w:val="007009A0"/>
    <w:rsid w:val="00701759"/>
    <w:rsid w:val="00701CF2"/>
    <w:rsid w:val="00705C15"/>
    <w:rsid w:val="00712E55"/>
    <w:rsid w:val="00713025"/>
    <w:rsid w:val="007154A1"/>
    <w:rsid w:val="00715A65"/>
    <w:rsid w:val="0071600E"/>
    <w:rsid w:val="007179F7"/>
    <w:rsid w:val="00717FDC"/>
    <w:rsid w:val="007208D1"/>
    <w:rsid w:val="00722D27"/>
    <w:rsid w:val="0072428C"/>
    <w:rsid w:val="00730177"/>
    <w:rsid w:val="00742119"/>
    <w:rsid w:val="00747288"/>
    <w:rsid w:val="00747DD3"/>
    <w:rsid w:val="0075389D"/>
    <w:rsid w:val="007549C8"/>
    <w:rsid w:val="00754A0B"/>
    <w:rsid w:val="007612C3"/>
    <w:rsid w:val="00766D14"/>
    <w:rsid w:val="00767A0F"/>
    <w:rsid w:val="007A05F6"/>
    <w:rsid w:val="007B227E"/>
    <w:rsid w:val="007B6F4A"/>
    <w:rsid w:val="007D097E"/>
    <w:rsid w:val="007E1C47"/>
    <w:rsid w:val="007E337A"/>
    <w:rsid w:val="007E5C70"/>
    <w:rsid w:val="007F2FF5"/>
    <w:rsid w:val="007F3F08"/>
    <w:rsid w:val="00804CC6"/>
    <w:rsid w:val="0080542C"/>
    <w:rsid w:val="00813B48"/>
    <w:rsid w:val="00814467"/>
    <w:rsid w:val="0081470C"/>
    <w:rsid w:val="00817190"/>
    <w:rsid w:val="008201FB"/>
    <w:rsid w:val="00820EE5"/>
    <w:rsid w:val="00824204"/>
    <w:rsid w:val="008244E9"/>
    <w:rsid w:val="008260E2"/>
    <w:rsid w:val="008322BD"/>
    <w:rsid w:val="008323C4"/>
    <w:rsid w:val="00833E0A"/>
    <w:rsid w:val="00834F73"/>
    <w:rsid w:val="0084621D"/>
    <w:rsid w:val="00847F55"/>
    <w:rsid w:val="00850AE5"/>
    <w:rsid w:val="00851F3D"/>
    <w:rsid w:val="008544FA"/>
    <w:rsid w:val="00864CF8"/>
    <w:rsid w:val="00865332"/>
    <w:rsid w:val="00872819"/>
    <w:rsid w:val="00874914"/>
    <w:rsid w:val="00891422"/>
    <w:rsid w:val="00892E1A"/>
    <w:rsid w:val="008A3F29"/>
    <w:rsid w:val="008B660A"/>
    <w:rsid w:val="008B70F9"/>
    <w:rsid w:val="008C01DA"/>
    <w:rsid w:val="008C02C9"/>
    <w:rsid w:val="008C7263"/>
    <w:rsid w:val="008D2104"/>
    <w:rsid w:val="008F07F6"/>
    <w:rsid w:val="008F78E9"/>
    <w:rsid w:val="00903C32"/>
    <w:rsid w:val="00911989"/>
    <w:rsid w:val="009179F9"/>
    <w:rsid w:val="00923616"/>
    <w:rsid w:val="0093031F"/>
    <w:rsid w:val="00931C1C"/>
    <w:rsid w:val="00933E5E"/>
    <w:rsid w:val="00935218"/>
    <w:rsid w:val="009403F3"/>
    <w:rsid w:val="009555B7"/>
    <w:rsid w:val="009564C7"/>
    <w:rsid w:val="009567AA"/>
    <w:rsid w:val="0096473A"/>
    <w:rsid w:val="0096629C"/>
    <w:rsid w:val="00967374"/>
    <w:rsid w:val="00967980"/>
    <w:rsid w:val="00976EB5"/>
    <w:rsid w:val="00981B4D"/>
    <w:rsid w:val="009A2799"/>
    <w:rsid w:val="009A343A"/>
    <w:rsid w:val="009A4E51"/>
    <w:rsid w:val="009A520F"/>
    <w:rsid w:val="009B2F23"/>
    <w:rsid w:val="009B57B3"/>
    <w:rsid w:val="009B5D24"/>
    <w:rsid w:val="009B6FFE"/>
    <w:rsid w:val="009C040A"/>
    <w:rsid w:val="009C5B92"/>
    <w:rsid w:val="009D2920"/>
    <w:rsid w:val="009D5AEB"/>
    <w:rsid w:val="009F0E33"/>
    <w:rsid w:val="009F1E77"/>
    <w:rsid w:val="00A003F4"/>
    <w:rsid w:val="00A00492"/>
    <w:rsid w:val="00A030CE"/>
    <w:rsid w:val="00A12217"/>
    <w:rsid w:val="00A149DF"/>
    <w:rsid w:val="00A1755C"/>
    <w:rsid w:val="00A21B90"/>
    <w:rsid w:val="00A244B9"/>
    <w:rsid w:val="00A32183"/>
    <w:rsid w:val="00A41805"/>
    <w:rsid w:val="00A42DCD"/>
    <w:rsid w:val="00A44699"/>
    <w:rsid w:val="00A52AFB"/>
    <w:rsid w:val="00A548CB"/>
    <w:rsid w:val="00A5521C"/>
    <w:rsid w:val="00A557A1"/>
    <w:rsid w:val="00A55CEF"/>
    <w:rsid w:val="00A643E7"/>
    <w:rsid w:val="00A73C38"/>
    <w:rsid w:val="00AB305A"/>
    <w:rsid w:val="00AB4139"/>
    <w:rsid w:val="00AB670D"/>
    <w:rsid w:val="00AC44B9"/>
    <w:rsid w:val="00AC5BFC"/>
    <w:rsid w:val="00AC6FA4"/>
    <w:rsid w:val="00AD2826"/>
    <w:rsid w:val="00AD342F"/>
    <w:rsid w:val="00AD4C25"/>
    <w:rsid w:val="00AE25FE"/>
    <w:rsid w:val="00AE4535"/>
    <w:rsid w:val="00AF03C5"/>
    <w:rsid w:val="00AF0B26"/>
    <w:rsid w:val="00B000D8"/>
    <w:rsid w:val="00B00F75"/>
    <w:rsid w:val="00B11735"/>
    <w:rsid w:val="00B145B6"/>
    <w:rsid w:val="00B2215E"/>
    <w:rsid w:val="00B279EB"/>
    <w:rsid w:val="00B30E18"/>
    <w:rsid w:val="00B32357"/>
    <w:rsid w:val="00B3286B"/>
    <w:rsid w:val="00B43559"/>
    <w:rsid w:val="00B47852"/>
    <w:rsid w:val="00B50C81"/>
    <w:rsid w:val="00B557F8"/>
    <w:rsid w:val="00B56AAF"/>
    <w:rsid w:val="00B61D45"/>
    <w:rsid w:val="00B67199"/>
    <w:rsid w:val="00B76719"/>
    <w:rsid w:val="00B815FC"/>
    <w:rsid w:val="00B83D35"/>
    <w:rsid w:val="00B93FBC"/>
    <w:rsid w:val="00BA066D"/>
    <w:rsid w:val="00BA7DA0"/>
    <w:rsid w:val="00BB2366"/>
    <w:rsid w:val="00BB2640"/>
    <w:rsid w:val="00BB2EE4"/>
    <w:rsid w:val="00BB5AE6"/>
    <w:rsid w:val="00BC0FF8"/>
    <w:rsid w:val="00BC2108"/>
    <w:rsid w:val="00BC5642"/>
    <w:rsid w:val="00BC5CF7"/>
    <w:rsid w:val="00BC5EEE"/>
    <w:rsid w:val="00BD0E9E"/>
    <w:rsid w:val="00BD1BEC"/>
    <w:rsid w:val="00BD32FF"/>
    <w:rsid w:val="00BD67ED"/>
    <w:rsid w:val="00BE3650"/>
    <w:rsid w:val="00C02092"/>
    <w:rsid w:val="00C0384D"/>
    <w:rsid w:val="00C14AA0"/>
    <w:rsid w:val="00C15EE5"/>
    <w:rsid w:val="00C22905"/>
    <w:rsid w:val="00C229CD"/>
    <w:rsid w:val="00C24D91"/>
    <w:rsid w:val="00C51CF6"/>
    <w:rsid w:val="00C53F14"/>
    <w:rsid w:val="00C600CF"/>
    <w:rsid w:val="00C6084F"/>
    <w:rsid w:val="00C62A66"/>
    <w:rsid w:val="00C62FD6"/>
    <w:rsid w:val="00C71458"/>
    <w:rsid w:val="00C754FF"/>
    <w:rsid w:val="00C77613"/>
    <w:rsid w:val="00C80DC5"/>
    <w:rsid w:val="00C828E7"/>
    <w:rsid w:val="00C86719"/>
    <w:rsid w:val="00C874CE"/>
    <w:rsid w:val="00C921DD"/>
    <w:rsid w:val="00CA6391"/>
    <w:rsid w:val="00CA7B39"/>
    <w:rsid w:val="00CB25DF"/>
    <w:rsid w:val="00CC34BD"/>
    <w:rsid w:val="00CE08B9"/>
    <w:rsid w:val="00CE0BBB"/>
    <w:rsid w:val="00CE161A"/>
    <w:rsid w:val="00CE3171"/>
    <w:rsid w:val="00CE7262"/>
    <w:rsid w:val="00CF1601"/>
    <w:rsid w:val="00D0172F"/>
    <w:rsid w:val="00D068A7"/>
    <w:rsid w:val="00D11A5A"/>
    <w:rsid w:val="00D173CE"/>
    <w:rsid w:val="00D17476"/>
    <w:rsid w:val="00D26B67"/>
    <w:rsid w:val="00D32086"/>
    <w:rsid w:val="00D360E6"/>
    <w:rsid w:val="00D37A3F"/>
    <w:rsid w:val="00D4431D"/>
    <w:rsid w:val="00D4667A"/>
    <w:rsid w:val="00D469D5"/>
    <w:rsid w:val="00D47BFC"/>
    <w:rsid w:val="00D614A5"/>
    <w:rsid w:val="00D614E0"/>
    <w:rsid w:val="00D63A1C"/>
    <w:rsid w:val="00D66DC4"/>
    <w:rsid w:val="00D67CB1"/>
    <w:rsid w:val="00D71548"/>
    <w:rsid w:val="00D7516F"/>
    <w:rsid w:val="00D76415"/>
    <w:rsid w:val="00D83628"/>
    <w:rsid w:val="00D8579F"/>
    <w:rsid w:val="00D9074A"/>
    <w:rsid w:val="00D90B9E"/>
    <w:rsid w:val="00D91A89"/>
    <w:rsid w:val="00D95F8E"/>
    <w:rsid w:val="00DA0590"/>
    <w:rsid w:val="00DB7BEA"/>
    <w:rsid w:val="00DC1739"/>
    <w:rsid w:val="00DC1788"/>
    <w:rsid w:val="00DC294F"/>
    <w:rsid w:val="00DC2F37"/>
    <w:rsid w:val="00DD105B"/>
    <w:rsid w:val="00DE319C"/>
    <w:rsid w:val="00DE46DF"/>
    <w:rsid w:val="00DE54B0"/>
    <w:rsid w:val="00DF0CA8"/>
    <w:rsid w:val="00DF2B48"/>
    <w:rsid w:val="00DF49A7"/>
    <w:rsid w:val="00E00B66"/>
    <w:rsid w:val="00E030A1"/>
    <w:rsid w:val="00E07EE2"/>
    <w:rsid w:val="00E07FD1"/>
    <w:rsid w:val="00E176D8"/>
    <w:rsid w:val="00E24573"/>
    <w:rsid w:val="00E25E1E"/>
    <w:rsid w:val="00E27EE7"/>
    <w:rsid w:val="00E31D67"/>
    <w:rsid w:val="00E3214F"/>
    <w:rsid w:val="00E333F9"/>
    <w:rsid w:val="00E35404"/>
    <w:rsid w:val="00E45109"/>
    <w:rsid w:val="00E47B7A"/>
    <w:rsid w:val="00E50A79"/>
    <w:rsid w:val="00E56A44"/>
    <w:rsid w:val="00E60269"/>
    <w:rsid w:val="00E653D0"/>
    <w:rsid w:val="00E65A2E"/>
    <w:rsid w:val="00E71951"/>
    <w:rsid w:val="00E737FE"/>
    <w:rsid w:val="00E77932"/>
    <w:rsid w:val="00E83FDA"/>
    <w:rsid w:val="00E92347"/>
    <w:rsid w:val="00E97830"/>
    <w:rsid w:val="00EA1D3B"/>
    <w:rsid w:val="00EB0B7C"/>
    <w:rsid w:val="00EB35B7"/>
    <w:rsid w:val="00ED60AA"/>
    <w:rsid w:val="00ED681A"/>
    <w:rsid w:val="00EE5737"/>
    <w:rsid w:val="00EE643C"/>
    <w:rsid w:val="00EF0683"/>
    <w:rsid w:val="00EF3DC0"/>
    <w:rsid w:val="00EF69D2"/>
    <w:rsid w:val="00EF766E"/>
    <w:rsid w:val="00F0070C"/>
    <w:rsid w:val="00F00EB7"/>
    <w:rsid w:val="00F02615"/>
    <w:rsid w:val="00F36AB6"/>
    <w:rsid w:val="00F37A09"/>
    <w:rsid w:val="00F409CE"/>
    <w:rsid w:val="00F4379D"/>
    <w:rsid w:val="00F50635"/>
    <w:rsid w:val="00F50D2D"/>
    <w:rsid w:val="00F56C8B"/>
    <w:rsid w:val="00F64EE0"/>
    <w:rsid w:val="00F66810"/>
    <w:rsid w:val="00F75F4E"/>
    <w:rsid w:val="00F767A1"/>
    <w:rsid w:val="00F768C2"/>
    <w:rsid w:val="00F846D9"/>
    <w:rsid w:val="00F84DF4"/>
    <w:rsid w:val="00F85C97"/>
    <w:rsid w:val="00F94A57"/>
    <w:rsid w:val="00FA51A0"/>
    <w:rsid w:val="00FB37D2"/>
    <w:rsid w:val="00FB7D08"/>
    <w:rsid w:val="00FC3788"/>
    <w:rsid w:val="00FC4EFB"/>
    <w:rsid w:val="00FC7D45"/>
    <w:rsid w:val="00FD068D"/>
    <w:rsid w:val="00FD4F28"/>
    <w:rsid w:val="00FE0416"/>
    <w:rsid w:val="00FE0936"/>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C51CF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C51CF6"/>
    <w:rPr>
      <w:rFonts w:eastAsiaTheme="minorHAnsi" w:cstheme="minorBidi"/>
      <w:b/>
      <w:szCs w:val="22"/>
      <w:lang w:val="fr-CA" w:eastAsia="en-US"/>
    </w:rPr>
  </w:style>
  <w:style w:type="character" w:customStyle="1" w:styleId="SCCLsocPrefixChar">
    <w:name w:val="SCC.Lsoc.Prefix Char"/>
    <w:basedOn w:val="DefaultParagraphFont"/>
    <w:link w:val="SCCLsocPrefix"/>
    <w:rsid w:val="00C51CF6"/>
    <w:rPr>
      <w:rFonts w:eastAsiaTheme="minorHAnsi" w:cstheme="minorBidi"/>
      <w:b/>
      <w:sz w:val="24"/>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82664">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D5B9-B4F3-403C-A20E-AB49F7A3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2798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2022-06-27T19:56:00Z</dcterms:created>
  <dcterms:modified xsi:type="dcterms:W3CDTF">2024-01-11T15:57:00Z</dcterms:modified>
</cp:coreProperties>
</file>