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3946"/>
        <w:gridCol w:w="2263"/>
        <w:gridCol w:w="3132"/>
        <w:gridCol w:w="19"/>
      </w:tblGrid>
      <w:tr w:rsidR="00FF2537" w:rsidTr="008E32ED">
        <w:trPr>
          <w:trHeight w:val="1784"/>
        </w:trPr>
        <w:tc>
          <w:tcPr>
            <w:tcW w:w="5000" w:type="pct"/>
            <w:gridSpan w:val="4"/>
          </w:tcPr>
          <w:p w:rsidR="00FF2537" w:rsidRDefault="00FF2537" w:rsidP="008E32ED">
            <w:pPr>
              <w:jc w:val="center"/>
            </w:pPr>
            <w:r w:rsidRPr="00C22905">
              <w:rPr>
                <w:rFonts w:eastAsia="Calibr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35pt;height:65.1pt" o:ole="">
                  <v:imagedata r:id="rId8" o:title=""/>
                </v:shape>
                <o:OLEObject Type="Embed" ProgID="Presentations.Drawing.15" ShapeID="_x0000_i1025" DrawAspect="Content" ObjectID="_1766476030" r:id="rId9"/>
              </w:object>
            </w:r>
          </w:p>
          <w:p w:rsidR="00FF2537" w:rsidRDefault="00FF2537" w:rsidP="008E32ED">
            <w:pPr>
              <w:spacing w:before="120" w:after="100" w:afterAutospacing="1"/>
              <w:jc w:val="center"/>
              <w:rPr>
                <w:rFonts w:eastAsia="Calibri"/>
              </w:rPr>
            </w:pPr>
            <w:r w:rsidRPr="00C22905">
              <w:rPr>
                <w:rFonts w:eastAsia="Calibri"/>
                <w:b/>
                <w:szCs w:val="24"/>
                <w:lang w:eastAsia="en-US"/>
              </w:rPr>
              <w:t>SUPREME COURT OF CANADA</w:t>
            </w:r>
          </w:p>
        </w:tc>
      </w:tr>
      <w:tr w:rsidR="00FF2537" w:rsidTr="008E32ED">
        <w:trPr>
          <w:gridAfter w:val="1"/>
          <w:wAfter w:w="10" w:type="pct"/>
        </w:trPr>
        <w:tc>
          <w:tcPr>
            <w:tcW w:w="2108" w:type="pct"/>
            <w:tcMar>
              <w:top w:w="284" w:type="dxa"/>
            </w:tcMar>
          </w:tcPr>
          <w:p w:rsidR="00FF2537" w:rsidRDefault="00FF2537" w:rsidP="008E32ED">
            <w:pPr>
              <w:spacing w:before="100" w:beforeAutospacing="1"/>
              <w:rPr>
                <w:rFonts w:eastAsia="Calibri"/>
              </w:rPr>
            </w:pPr>
            <w:r w:rsidRPr="006B210C">
              <w:rPr>
                <w:b/>
                <w:smallCaps/>
              </w:rPr>
              <w:t>Citation</w:t>
            </w:r>
            <w:r>
              <w:rPr>
                <w:b/>
                <w:smallCaps/>
              </w:rPr>
              <w:t>:</w:t>
            </w:r>
            <w:r w:rsidRPr="006B210C">
              <w:t xml:space="preserve"> </w:t>
            </w:r>
            <w:r w:rsidRPr="007168BE">
              <w:rPr>
                <w:lang w:val="en-US"/>
              </w:rPr>
              <w:t xml:space="preserve">R. </w:t>
            </w:r>
            <w:r w:rsidRPr="007168BE">
              <w:rPr>
                <w:i/>
                <w:lang w:val="en-US"/>
              </w:rPr>
              <w:t>v</w:t>
            </w:r>
            <w:r w:rsidRPr="00003966">
              <w:rPr>
                <w:i/>
                <w:lang w:val="en-US"/>
              </w:rPr>
              <w:t>.</w:t>
            </w:r>
            <w:r w:rsidRPr="007168BE">
              <w:rPr>
                <w:lang w:val="en-US"/>
              </w:rPr>
              <w:t xml:space="preserve"> W.M., 2020 SCC </w:t>
            </w:r>
            <w:r w:rsidRPr="002B211B">
              <w:rPr>
                <w:lang w:val="en-US"/>
              </w:rPr>
              <w:t>42</w:t>
            </w:r>
            <w:r>
              <w:rPr>
                <w:lang w:val="en-US"/>
              </w:rPr>
              <w:t>, [2020] 3 S.C.R. 787</w:t>
            </w:r>
          </w:p>
        </w:tc>
        <w:tc>
          <w:tcPr>
            <w:tcW w:w="1209" w:type="pct"/>
          </w:tcPr>
          <w:p w:rsidR="00FF2537" w:rsidRDefault="00FF2537" w:rsidP="008E32ED">
            <w:pPr>
              <w:rPr>
                <w:b/>
                <w:smallCaps/>
              </w:rPr>
            </w:pPr>
          </w:p>
        </w:tc>
        <w:tc>
          <w:tcPr>
            <w:tcW w:w="1673" w:type="pct"/>
            <w:tcMar>
              <w:top w:w="284" w:type="dxa"/>
            </w:tcMar>
          </w:tcPr>
          <w:p w:rsidR="00FF2537" w:rsidRPr="006B210C" w:rsidRDefault="00FF2537" w:rsidP="008E32ED">
            <w:r>
              <w:rPr>
                <w:b/>
                <w:smallCaps/>
              </w:rPr>
              <w:t>Appeal Heard:</w:t>
            </w:r>
            <w:r w:rsidRPr="006B210C">
              <w:t xml:space="preserve"> </w:t>
            </w:r>
            <w:r>
              <w:t>December 10, 2020</w:t>
            </w:r>
          </w:p>
          <w:p w:rsidR="00FF2537" w:rsidRPr="006B210C" w:rsidRDefault="00FF2537" w:rsidP="008E32ED">
            <w:r>
              <w:rPr>
                <w:b/>
                <w:smallCaps/>
              </w:rPr>
              <w:t>Judgment Rendered:</w:t>
            </w:r>
            <w:r w:rsidRPr="006B210C">
              <w:t xml:space="preserve"> </w:t>
            </w:r>
            <w:r>
              <w:t>December 10, 2020</w:t>
            </w:r>
          </w:p>
          <w:p w:rsidR="00FF2537" w:rsidRPr="006B210C" w:rsidRDefault="00FF2537" w:rsidP="008E32ED">
            <w:r w:rsidRPr="00527E81">
              <w:rPr>
                <w:b/>
                <w:smallCaps/>
              </w:rPr>
              <w:t>Docket:</w:t>
            </w:r>
            <w:r>
              <w:t xml:space="preserve"> 39114</w:t>
            </w:r>
          </w:p>
        </w:tc>
      </w:tr>
      <w:tr w:rsidR="00FF2537" w:rsidTr="008E32ED">
        <w:tc>
          <w:tcPr>
            <w:tcW w:w="5000" w:type="pct"/>
            <w:gridSpan w:val="4"/>
          </w:tcPr>
          <w:p w:rsidR="00FF2537" w:rsidRDefault="00FF2537" w:rsidP="008E32ED">
            <w:pPr>
              <w:rPr>
                <w:rFonts w:eastAsiaTheme="minorHAnsi" w:cstheme="minorBidi"/>
                <w:b/>
                <w:szCs w:val="24"/>
                <w:lang w:eastAsia="en-US"/>
              </w:rPr>
            </w:pPr>
          </w:p>
          <w:p w:rsidR="00FF2537" w:rsidRPr="00003966" w:rsidRDefault="00FF2537" w:rsidP="008E32ED">
            <w:pPr>
              <w:rPr>
                <w:rFonts w:eastAsiaTheme="minorHAnsi" w:cstheme="minorBidi"/>
                <w:b/>
                <w:smallCaps/>
                <w:szCs w:val="24"/>
                <w:lang w:eastAsia="en-US"/>
              </w:rPr>
            </w:pPr>
            <w:r w:rsidRPr="00003966">
              <w:rPr>
                <w:rFonts w:eastAsiaTheme="minorHAnsi" w:cstheme="minorBidi"/>
                <w:b/>
                <w:smallCaps/>
                <w:szCs w:val="24"/>
                <w:lang w:eastAsia="en-US"/>
              </w:rPr>
              <w:t>Between:</w:t>
            </w:r>
          </w:p>
          <w:p w:rsidR="00FF2537" w:rsidRDefault="00FF2537" w:rsidP="008E32ED">
            <w:pPr>
              <w:rPr>
                <w:rFonts w:eastAsiaTheme="minorHAnsi" w:cstheme="minorBidi"/>
                <w:b/>
                <w:szCs w:val="24"/>
                <w:lang w:eastAsia="en-US"/>
              </w:rPr>
            </w:pPr>
          </w:p>
          <w:p w:rsidR="00FF2537" w:rsidRDefault="00FF2537" w:rsidP="008E32ED">
            <w:pPr>
              <w:jc w:val="center"/>
              <w:rPr>
                <w:rFonts w:eastAsiaTheme="minorHAnsi" w:cstheme="minorBidi"/>
                <w:b/>
                <w:szCs w:val="24"/>
                <w:lang w:eastAsia="en-US"/>
              </w:rPr>
            </w:pPr>
            <w:r>
              <w:rPr>
                <w:rFonts w:eastAsiaTheme="minorHAnsi" w:cstheme="minorBidi"/>
                <w:b/>
                <w:szCs w:val="24"/>
                <w:lang w:eastAsia="en-US"/>
              </w:rPr>
              <w:t>Her Majesty The Queen</w:t>
            </w:r>
          </w:p>
          <w:p w:rsidR="00FF2537" w:rsidRDefault="00FF2537" w:rsidP="008E32ED">
            <w:pPr>
              <w:jc w:val="center"/>
              <w:rPr>
                <w:rFonts w:eastAsiaTheme="minorHAnsi" w:cstheme="minorBidi"/>
                <w:szCs w:val="24"/>
                <w:lang w:eastAsia="en-US"/>
              </w:rPr>
            </w:pPr>
            <w:r>
              <w:rPr>
                <w:rFonts w:eastAsiaTheme="minorHAnsi" w:cstheme="minorBidi"/>
                <w:szCs w:val="24"/>
                <w:lang w:eastAsia="en-US"/>
              </w:rPr>
              <w:t>Appellant</w:t>
            </w:r>
          </w:p>
          <w:p w:rsidR="00FF2537" w:rsidRDefault="00FF2537" w:rsidP="008E32ED">
            <w:pPr>
              <w:jc w:val="center"/>
              <w:rPr>
                <w:rFonts w:eastAsiaTheme="minorHAnsi" w:cstheme="minorBidi"/>
                <w:szCs w:val="24"/>
                <w:lang w:eastAsia="en-US"/>
              </w:rPr>
            </w:pPr>
          </w:p>
          <w:p w:rsidR="00FF2537" w:rsidRDefault="00FF2537" w:rsidP="008E32ED">
            <w:pPr>
              <w:jc w:val="center"/>
              <w:rPr>
                <w:rFonts w:eastAsiaTheme="minorHAnsi" w:cstheme="minorBidi"/>
                <w:szCs w:val="24"/>
                <w:lang w:eastAsia="en-US"/>
              </w:rPr>
            </w:pPr>
            <w:r>
              <w:rPr>
                <w:rFonts w:eastAsiaTheme="minorHAnsi" w:cstheme="minorBidi"/>
                <w:szCs w:val="24"/>
                <w:lang w:eastAsia="en-US"/>
              </w:rPr>
              <w:t>and</w:t>
            </w:r>
          </w:p>
          <w:p w:rsidR="00FF2537" w:rsidRDefault="00FF2537" w:rsidP="008E32ED">
            <w:pPr>
              <w:jc w:val="center"/>
              <w:rPr>
                <w:rFonts w:eastAsiaTheme="minorHAnsi" w:cstheme="minorBidi"/>
                <w:szCs w:val="24"/>
                <w:lang w:eastAsia="en-US"/>
              </w:rPr>
            </w:pPr>
          </w:p>
          <w:p w:rsidR="00FF2537" w:rsidRDefault="00FF2537" w:rsidP="008E32ED">
            <w:pPr>
              <w:jc w:val="center"/>
              <w:rPr>
                <w:rFonts w:eastAsiaTheme="minorHAnsi" w:cstheme="minorBidi"/>
                <w:szCs w:val="24"/>
                <w:lang w:eastAsia="en-US"/>
              </w:rPr>
            </w:pPr>
            <w:r>
              <w:rPr>
                <w:rFonts w:eastAsiaTheme="minorHAnsi" w:cstheme="minorBidi"/>
                <w:b/>
                <w:szCs w:val="24"/>
                <w:lang w:eastAsia="en-US"/>
              </w:rPr>
              <w:t>W.M.</w:t>
            </w:r>
          </w:p>
          <w:p w:rsidR="00FF2537" w:rsidRDefault="00FF2537" w:rsidP="008E32ED">
            <w:pPr>
              <w:jc w:val="center"/>
              <w:rPr>
                <w:rFonts w:eastAsiaTheme="minorHAnsi" w:cstheme="minorBidi"/>
                <w:b/>
                <w:szCs w:val="24"/>
                <w:lang w:eastAsia="en-US"/>
              </w:rPr>
            </w:pPr>
            <w:r>
              <w:rPr>
                <w:rFonts w:eastAsiaTheme="minorHAnsi" w:cstheme="minorBidi"/>
                <w:szCs w:val="24"/>
                <w:lang w:eastAsia="en-US"/>
              </w:rPr>
              <w:t>Respondent</w:t>
            </w:r>
          </w:p>
          <w:p w:rsidR="00FF2537" w:rsidRPr="00A31DCF" w:rsidRDefault="00FF2537" w:rsidP="008E32ED">
            <w:pPr>
              <w:rPr>
                <w:rFonts w:eastAsiaTheme="minorHAnsi" w:cstheme="minorBidi"/>
                <w:szCs w:val="24"/>
                <w:lang w:eastAsia="en-US"/>
              </w:rPr>
            </w:pPr>
          </w:p>
          <w:p w:rsidR="00FF2537" w:rsidRPr="00C22905" w:rsidRDefault="00FF2537" w:rsidP="008E32ED">
            <w:pPr>
              <w:rPr>
                <w:b/>
                <w:smallCaps/>
              </w:rPr>
            </w:pPr>
          </w:p>
        </w:tc>
      </w:tr>
    </w:tbl>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2104"/>
        <w:gridCol w:w="7235"/>
        <w:gridCol w:w="21"/>
      </w:tblGrid>
      <w:tr w:rsidR="00FF2537" w:rsidRPr="00C22905" w:rsidTr="008E32ED">
        <w:trPr>
          <w:cantSplit/>
          <w:trHeight w:val="508"/>
        </w:trPr>
        <w:tc>
          <w:tcPr>
            <w:tcW w:w="5000" w:type="pct"/>
            <w:gridSpan w:val="3"/>
            <w:tcMar>
              <w:top w:w="284" w:type="dxa"/>
              <w:bottom w:w="57" w:type="dxa"/>
            </w:tcMar>
            <w:vAlign w:val="center"/>
          </w:tcPr>
          <w:p w:rsidR="00FF2537" w:rsidRDefault="00FF2537" w:rsidP="008E32ED">
            <w:r w:rsidRPr="006B210C">
              <w:rPr>
                <w:b/>
                <w:smallCaps/>
              </w:rPr>
              <w:t>Coram</w:t>
            </w:r>
            <w:r>
              <w:rPr>
                <w:b/>
                <w:smallCaps/>
              </w:rPr>
              <w:t>:</w:t>
            </w:r>
            <w:r w:rsidRPr="006B210C">
              <w:t xml:space="preserve"> </w:t>
            </w:r>
            <w:r>
              <w:t>Wagner C.J. and Abella, Moldaver, Côté and Rowe JJ.</w:t>
            </w:r>
          </w:p>
          <w:p w:rsidR="00FF2537" w:rsidRPr="00C22905" w:rsidRDefault="00FF2537" w:rsidP="008E32ED"/>
        </w:tc>
      </w:tr>
      <w:tr w:rsidR="00FF2537" w:rsidRPr="00C22905" w:rsidTr="008E32ED">
        <w:trPr>
          <w:gridAfter w:val="1"/>
          <w:wAfter w:w="11" w:type="pct"/>
          <w:cantSplit/>
          <w:trHeight w:val="1309"/>
        </w:trPr>
        <w:tc>
          <w:tcPr>
            <w:tcW w:w="1124" w:type="pct"/>
            <w:tcMar>
              <w:top w:w="28" w:type="dxa"/>
              <w:left w:w="57" w:type="dxa"/>
              <w:bottom w:w="57" w:type="dxa"/>
              <w:right w:w="57" w:type="dxa"/>
            </w:tcMar>
            <w:vAlign w:val="center"/>
          </w:tcPr>
          <w:p w:rsidR="00FF2537" w:rsidRPr="00CE08B9" w:rsidRDefault="00FF2537" w:rsidP="008E32ED">
            <w:pPr>
              <w:rPr>
                <w:smallCaps/>
              </w:rPr>
            </w:pPr>
            <w:r>
              <w:rPr>
                <w:b/>
                <w:smallCaps/>
              </w:rPr>
              <w:t xml:space="preserve">Unanimous </w:t>
            </w:r>
            <w:r w:rsidRPr="006B210C">
              <w:rPr>
                <w:b/>
                <w:smallCaps/>
              </w:rPr>
              <w:t>Judgment</w:t>
            </w:r>
            <w:r>
              <w:rPr>
                <w:b/>
                <w:smallCaps/>
              </w:rPr>
              <w:t xml:space="preserve"> Read By:</w:t>
            </w:r>
          </w:p>
          <w:p w:rsidR="00FF2537" w:rsidRDefault="00FF2537" w:rsidP="008E32ED">
            <w:pPr>
              <w:rPr>
                <w:b/>
                <w:smallCaps/>
              </w:rPr>
            </w:pPr>
            <w:r>
              <w:t>(paras. 1 to 3)</w:t>
            </w:r>
          </w:p>
        </w:tc>
        <w:tc>
          <w:tcPr>
            <w:tcW w:w="3865" w:type="pct"/>
            <w:tcMar>
              <w:top w:w="28" w:type="dxa"/>
              <w:left w:w="57" w:type="dxa"/>
              <w:bottom w:w="57" w:type="dxa"/>
              <w:right w:w="57" w:type="dxa"/>
            </w:tcMar>
            <w:vAlign w:val="center"/>
          </w:tcPr>
          <w:p w:rsidR="00FF2537" w:rsidRDefault="00FF2537" w:rsidP="008E32ED">
            <w:r>
              <w:t>Wagner C.J.</w:t>
            </w:r>
          </w:p>
          <w:p w:rsidR="00FF2537" w:rsidRDefault="00FF2537" w:rsidP="008E32ED">
            <w:pPr>
              <w:rPr>
                <w:b/>
                <w:smallCaps/>
              </w:rPr>
            </w:pPr>
          </w:p>
        </w:tc>
      </w:tr>
    </w:tbl>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3744"/>
        <w:gridCol w:w="2808"/>
      </w:tblGrid>
      <w:tr w:rsidR="00FF2537" w:rsidTr="008E32ED">
        <w:tc>
          <w:tcPr>
            <w:tcW w:w="1500" w:type="pct"/>
            <w:tcMar>
              <w:top w:w="284" w:type="dxa"/>
            </w:tcMar>
          </w:tcPr>
          <w:p w:rsidR="00FF2537" w:rsidRDefault="00FF2537" w:rsidP="008E32ED">
            <w:pPr>
              <w:rPr>
                <w:rFonts w:eastAsia="Calibri"/>
                <w:szCs w:val="24"/>
                <w:lang w:eastAsia="en-US"/>
              </w:rPr>
            </w:pPr>
          </w:p>
        </w:tc>
        <w:tc>
          <w:tcPr>
            <w:tcW w:w="2000" w:type="pct"/>
            <w:tcBorders>
              <w:bottom w:val="single" w:sz="4" w:space="0" w:color="auto"/>
            </w:tcBorders>
            <w:tcMar>
              <w:top w:w="284" w:type="dxa"/>
            </w:tcMar>
          </w:tcPr>
          <w:p w:rsidR="00FF2537" w:rsidRDefault="00FF2537" w:rsidP="008E32ED">
            <w:pPr>
              <w:rPr>
                <w:rFonts w:eastAsia="Calibri"/>
                <w:szCs w:val="24"/>
                <w:lang w:eastAsia="en-US"/>
              </w:rPr>
            </w:pPr>
          </w:p>
        </w:tc>
        <w:tc>
          <w:tcPr>
            <w:tcW w:w="1500" w:type="pct"/>
            <w:tcMar>
              <w:top w:w="284" w:type="dxa"/>
            </w:tcMar>
          </w:tcPr>
          <w:p w:rsidR="00FF2537" w:rsidRDefault="00FF2537" w:rsidP="008E32ED">
            <w:pPr>
              <w:rPr>
                <w:rFonts w:eastAsia="Calibri"/>
                <w:szCs w:val="24"/>
                <w:lang w:eastAsia="en-US"/>
              </w:rPr>
            </w:pPr>
          </w:p>
        </w:tc>
      </w:tr>
    </w:tbl>
    <w:p w:rsidR="00FF2537" w:rsidRDefault="00FF2537" w:rsidP="002D2473">
      <w:pPr>
        <w:spacing w:after="720"/>
        <w:jc w:val="both"/>
        <w:rPr>
          <w:smallCaps/>
          <w:lang w:val="en-US"/>
        </w:rPr>
        <w:sectPr w:rsidR="00FF2537" w:rsidSect="007A3635">
          <w:pgSz w:w="12240" w:h="15840"/>
          <w:pgMar w:top="1440" w:right="1440" w:bottom="1440" w:left="1440" w:header="1802" w:footer="720" w:gutter="0"/>
          <w:cols w:space="720"/>
          <w:docGrid w:linePitch="326"/>
        </w:sectPr>
      </w:pPr>
    </w:p>
    <w:p w:rsidR="002D2473" w:rsidRPr="0060580F" w:rsidRDefault="002D2473" w:rsidP="002D2473">
      <w:pPr>
        <w:spacing w:after="720"/>
        <w:jc w:val="both"/>
        <w:rPr>
          <w:smallCaps/>
          <w:lang w:val="en-US"/>
        </w:rPr>
      </w:pPr>
      <w:bookmarkStart w:id="0" w:name="_GoBack"/>
      <w:bookmarkEnd w:id="0"/>
      <w:r>
        <w:rPr>
          <w:smallCaps/>
          <w:lang w:val="en-US"/>
        </w:rPr>
        <w:lastRenderedPageBreak/>
        <w:t xml:space="preserve">r. </w:t>
      </w:r>
      <w:r>
        <w:rPr>
          <w:i/>
          <w:lang w:val="en-US"/>
        </w:rPr>
        <w:t>v.</w:t>
      </w:r>
      <w:r>
        <w:rPr>
          <w:lang w:val="en-US"/>
        </w:rPr>
        <w:t xml:space="preserve"> </w:t>
      </w:r>
      <w:r>
        <w:rPr>
          <w:smallCaps/>
          <w:lang w:val="en-US"/>
        </w:rPr>
        <w:t>w.m.</w:t>
      </w:r>
    </w:p>
    <w:p w:rsidR="002D2473" w:rsidRPr="004E0C56" w:rsidRDefault="002D2473" w:rsidP="002D2473">
      <w:pPr>
        <w:pStyle w:val="SCCLsocLastPartyInRole"/>
        <w:rPr>
          <w:lang w:val="en-US"/>
        </w:rPr>
      </w:pPr>
      <w:r w:rsidRPr="0060580F">
        <w:rPr>
          <w:bCs/>
          <w:color w:val="000000"/>
        </w:rPr>
        <w:t>Her Majesty The Queen</w:t>
      </w:r>
      <w:r w:rsidRPr="004E0C56">
        <w:rPr>
          <w:rStyle w:val="SCCLsocPartyRole"/>
        </w:rPr>
        <w:tab/>
        <w:t>Appellant</w:t>
      </w:r>
    </w:p>
    <w:p w:rsidR="002D2473" w:rsidRDefault="002D2473" w:rsidP="002D2473">
      <w:pPr>
        <w:pStyle w:val="SCCLsocVersus"/>
      </w:pPr>
      <w:r>
        <w:t>v.</w:t>
      </w:r>
    </w:p>
    <w:p w:rsidR="002D2473" w:rsidRPr="00760794" w:rsidRDefault="002D2473" w:rsidP="002D2473">
      <w:pPr>
        <w:pStyle w:val="SCCLsocLastPartyInRole"/>
      </w:pPr>
      <w:r w:rsidRPr="0060580F">
        <w:rPr>
          <w:bCs/>
          <w:color w:val="000000"/>
        </w:rPr>
        <w:t>W.M.</w:t>
      </w:r>
      <w:r>
        <w:rPr>
          <w:rStyle w:val="SCCLsocPartyRole"/>
        </w:rPr>
        <w:tab/>
        <w:t>Respondent</w:t>
      </w:r>
    </w:p>
    <w:p w:rsidR="002D2473" w:rsidRDefault="002D2473" w:rsidP="002D2473">
      <w:pPr>
        <w:spacing w:after="720"/>
        <w:jc w:val="both"/>
        <w:rPr>
          <w:b/>
        </w:rPr>
      </w:pPr>
    </w:p>
    <w:p w:rsidR="002D2473" w:rsidRPr="0060580F" w:rsidRDefault="002D2473" w:rsidP="002D2473">
      <w:pPr>
        <w:spacing w:after="720"/>
        <w:jc w:val="both"/>
        <w:rPr>
          <w:b/>
        </w:rPr>
      </w:pPr>
      <w:r w:rsidRPr="00426659">
        <w:rPr>
          <w:b/>
        </w:rPr>
        <w:t>Indexed as:</w:t>
      </w:r>
      <w:r>
        <w:rPr>
          <w:b/>
        </w:rPr>
        <w:t xml:space="preserve"> R. </w:t>
      </w:r>
      <w:r>
        <w:rPr>
          <w:b/>
          <w:i/>
        </w:rPr>
        <w:t>v.</w:t>
      </w:r>
      <w:r>
        <w:rPr>
          <w:b/>
        </w:rPr>
        <w:t xml:space="preserve"> W.M.</w:t>
      </w:r>
    </w:p>
    <w:p w:rsidR="002D2473" w:rsidRPr="00D7142F" w:rsidRDefault="002D2473" w:rsidP="002D2473">
      <w:pPr>
        <w:pStyle w:val="SCCSystemYear"/>
        <w:spacing w:after="720"/>
        <w:jc w:val="both"/>
        <w:rPr>
          <w:lang w:val="en-US"/>
        </w:rPr>
      </w:pPr>
      <w:r w:rsidRPr="00D7142F">
        <w:rPr>
          <w:lang w:val="en-US"/>
        </w:rPr>
        <w:t>2020 SCC </w:t>
      </w:r>
      <w:r>
        <w:rPr>
          <w:lang w:val="en-US"/>
        </w:rPr>
        <w:t>42</w:t>
      </w:r>
    </w:p>
    <w:p w:rsidR="002D2473" w:rsidRPr="00D7142F" w:rsidRDefault="002D2473" w:rsidP="002D2473">
      <w:pPr>
        <w:spacing w:after="720"/>
        <w:jc w:val="both"/>
        <w:rPr>
          <w:lang w:val="en-US"/>
        </w:rPr>
      </w:pPr>
      <w:r w:rsidRPr="00D7142F">
        <w:rPr>
          <w:lang w:val="en-US"/>
        </w:rPr>
        <w:t xml:space="preserve">File No.: </w:t>
      </w:r>
      <w:r>
        <w:rPr>
          <w:color w:val="000000"/>
        </w:rPr>
        <w:t>39114</w:t>
      </w:r>
      <w:r w:rsidRPr="00D7142F">
        <w:rPr>
          <w:lang w:val="en-US"/>
        </w:rPr>
        <w:t>.</w:t>
      </w:r>
    </w:p>
    <w:p w:rsidR="002D2473" w:rsidRDefault="002D2473" w:rsidP="002D2473">
      <w:pPr>
        <w:spacing w:after="720"/>
        <w:jc w:val="both"/>
      </w:pPr>
      <w:r>
        <w:t>2020: December 10.</w:t>
      </w:r>
    </w:p>
    <w:p w:rsidR="002D2473" w:rsidRDefault="002D2473" w:rsidP="002D2473">
      <w:pPr>
        <w:spacing w:after="720"/>
        <w:jc w:val="both"/>
      </w:pPr>
      <w:r>
        <w:t xml:space="preserve">Present: </w:t>
      </w:r>
      <w:r w:rsidRPr="00FF34C3">
        <w:t>Wagner C.J. and Abella, Moldaver, Côté and Rowe JJ.</w:t>
      </w:r>
    </w:p>
    <w:p w:rsidR="002D2473" w:rsidRPr="00950A96" w:rsidRDefault="002D2473" w:rsidP="002D2473">
      <w:pPr>
        <w:pStyle w:val="SCCLowerCourtNameLowercase"/>
        <w:spacing w:after="720" w:line="240" w:lineRule="auto"/>
        <w:rPr>
          <w:lang w:val="en-US"/>
        </w:rPr>
      </w:pPr>
      <w:r>
        <w:t>on appeal from the court of appeal for ontario</w:t>
      </w:r>
    </w:p>
    <w:p w:rsidR="002D2473" w:rsidRPr="009572D2" w:rsidRDefault="002D2473" w:rsidP="002D2473">
      <w:pPr>
        <w:pStyle w:val="SCCNormalDoubleSpacing"/>
        <w:rPr>
          <w:i/>
        </w:rPr>
      </w:pPr>
      <w:r w:rsidRPr="00583EDE">
        <w:tab/>
      </w:r>
      <w:r>
        <w:rPr>
          <w:i/>
        </w:rPr>
        <w:t xml:space="preserve">Criminal law — </w:t>
      </w:r>
      <w:r w:rsidR="0000118D">
        <w:rPr>
          <w:i/>
        </w:rPr>
        <w:t>Appe</w:t>
      </w:r>
      <w:r w:rsidR="000A2A4D">
        <w:rPr>
          <w:i/>
        </w:rPr>
        <w:t>a</w:t>
      </w:r>
      <w:r w:rsidR="0000118D">
        <w:rPr>
          <w:i/>
        </w:rPr>
        <w:t>ls</w:t>
      </w:r>
      <w:r>
        <w:rPr>
          <w:i/>
        </w:rPr>
        <w:t xml:space="preserve"> — Misapprehension of evidence — Miscarriage of justice — Accused convicted of sexual interference — Trial judge’s reasons stating that accused underwent sexual offender treatment in 2008 rather than correct date of 2000 — Majority of Court of Appeal ordering new trial on basis that trial judge’s misapprehension of evidence had impact on </w:t>
      </w:r>
      <w:r>
        <w:rPr>
          <w:i/>
        </w:rPr>
        <w:lastRenderedPageBreak/>
        <w:t>conviction and led to miscarriage of justice — Dissenting judge finding that trial judge’s misapprehension of evidence did not play essential role in reasoning process resulting in conviction — Conviction restored.</w:t>
      </w:r>
    </w:p>
    <w:p w:rsidR="002D2473" w:rsidRPr="00605CDA" w:rsidRDefault="002D2473" w:rsidP="002D2473">
      <w:pPr>
        <w:pStyle w:val="SCCNormalDoubleSpacing"/>
        <w:rPr>
          <w:lang w:val="en"/>
        </w:rPr>
      </w:pPr>
    </w:p>
    <w:p w:rsidR="002D2473" w:rsidRPr="00DE4766" w:rsidRDefault="002D2473" w:rsidP="002D2473">
      <w:pPr>
        <w:pStyle w:val="SCCNormalDoubleSpacing"/>
        <w:rPr>
          <w:lang w:val="en-US"/>
        </w:rPr>
      </w:pPr>
      <w:r>
        <w:tab/>
      </w:r>
      <w:r w:rsidRPr="00FF34C3">
        <w:t>APPEAL from a judgment of the Ontario Court of Appeal</w:t>
      </w:r>
      <w:r>
        <w:t xml:space="preserve"> (Strathy C.J.O. and Miller and Trotter JJ.A.), </w:t>
      </w:r>
      <w:r>
        <w:rPr>
          <w:color w:val="000000"/>
        </w:rPr>
        <w:t>2020 ONCA 236, 453 D.L.R. (4th) 370, [2020] O.J. No. 1278 (QL), 2020 CarswellOnt 4061 (WL Can</w:t>
      </w:r>
      <w:r w:rsidRPr="00441611">
        <w:rPr>
          <w:color w:val="000000"/>
        </w:rPr>
        <w:t xml:space="preserve">.), </w:t>
      </w:r>
      <w:r w:rsidRPr="00441611">
        <w:t xml:space="preserve">setting aside the </w:t>
      </w:r>
      <w:r>
        <w:t xml:space="preserve">conviction of the </w:t>
      </w:r>
      <w:r w:rsidRPr="00441611">
        <w:t>accused</w:t>
      </w:r>
      <w:r>
        <w:t xml:space="preserve"> for sexual interference</w:t>
      </w:r>
      <w:r w:rsidRPr="00441611">
        <w:t xml:space="preserve"> and ordering a new trial.</w:t>
      </w:r>
      <w:r>
        <w:t xml:space="preserve"> Appeal allowed.</w:t>
      </w:r>
    </w:p>
    <w:p w:rsidR="002D2473" w:rsidRDefault="002D2473" w:rsidP="002D2473">
      <w:pPr>
        <w:pStyle w:val="SCCNormalDoubleSpacing"/>
      </w:pPr>
    </w:p>
    <w:p w:rsidR="002D2473" w:rsidRPr="001A1069" w:rsidRDefault="002D2473" w:rsidP="002D2473">
      <w:pPr>
        <w:pStyle w:val="SCCNormalDoubleSpacing"/>
        <w:rPr>
          <w:lang w:val="en-US"/>
        </w:rPr>
      </w:pPr>
      <w:r>
        <w:tab/>
      </w:r>
      <w:r>
        <w:rPr>
          <w:i/>
          <w:iCs/>
          <w:color w:val="000000"/>
        </w:rPr>
        <w:t>Caitlin Sharawy</w:t>
      </w:r>
      <w:r w:rsidRPr="001A1069">
        <w:rPr>
          <w:lang w:val="en-US"/>
        </w:rPr>
        <w:t>, for the appellant</w:t>
      </w:r>
      <w:r>
        <w:rPr>
          <w:lang w:val="en-US"/>
        </w:rPr>
        <w:t>.</w:t>
      </w:r>
    </w:p>
    <w:p w:rsidR="002D2473" w:rsidRDefault="002D2473" w:rsidP="002D2473">
      <w:pPr>
        <w:pStyle w:val="SCCNormalDoubleSpacing"/>
      </w:pPr>
    </w:p>
    <w:p w:rsidR="002D2473" w:rsidRDefault="002D2473" w:rsidP="002D2473">
      <w:pPr>
        <w:pStyle w:val="SCCNormalDoubleSpacing"/>
        <w:rPr>
          <w:rStyle w:val="SCCCounselPartyRoleChar"/>
        </w:rPr>
      </w:pPr>
      <w:r>
        <w:rPr>
          <w:rStyle w:val="SCCCounselNameChar"/>
        </w:rPr>
        <w:tab/>
      </w:r>
      <w:r>
        <w:rPr>
          <w:i/>
          <w:iCs/>
          <w:color w:val="000000"/>
        </w:rPr>
        <w:t>W. John McCulligh</w:t>
      </w:r>
      <w:r>
        <w:rPr>
          <w:rStyle w:val="SCCCounselPartyRoleChar"/>
        </w:rPr>
        <w:t xml:space="preserve">, for the </w:t>
      </w:r>
      <w:r w:rsidRPr="00AC22E6">
        <w:rPr>
          <w:rStyle w:val="SCCCounselPartyRoleChar"/>
        </w:rPr>
        <w:t>respondent</w:t>
      </w:r>
      <w:r>
        <w:rPr>
          <w:rStyle w:val="SCCCounselPartyRoleChar"/>
        </w:rPr>
        <w:t>.</w:t>
      </w:r>
    </w:p>
    <w:p w:rsidR="002D2473" w:rsidRDefault="002D2473" w:rsidP="002D2473">
      <w:pPr>
        <w:pStyle w:val="SCCNormalDoubleSpacing"/>
        <w:rPr>
          <w:rStyle w:val="SCCCounselPartyRoleChar"/>
        </w:rPr>
      </w:pPr>
    </w:p>
    <w:p w:rsidR="002D2473" w:rsidRDefault="002D2473" w:rsidP="002D2473">
      <w:pPr>
        <w:pStyle w:val="SCCNormalDoubleSpacing"/>
      </w:pPr>
      <w:r>
        <w:tab/>
      </w:r>
      <w:r w:rsidRPr="00F55785">
        <w:t>The judgment of the Court was delivered orally by</w:t>
      </w:r>
    </w:p>
    <w:p w:rsidR="002D2473" w:rsidRPr="004C6A4C" w:rsidRDefault="002D2473" w:rsidP="002D2473">
      <w:pPr>
        <w:pStyle w:val="SCCNormalDoubleSpacing"/>
      </w:pPr>
    </w:p>
    <w:p w:rsidR="002D2473" w:rsidRPr="00562FEB" w:rsidRDefault="002D2473" w:rsidP="002D2473">
      <w:pPr>
        <w:spacing w:line="480" w:lineRule="auto"/>
        <w:jc w:val="both"/>
        <w:rPr>
          <w:color w:val="000000"/>
          <w:szCs w:val="27"/>
          <w:lang w:val="en-US" w:eastAsia="en-US"/>
        </w:rPr>
      </w:pPr>
      <w:r>
        <w:rPr>
          <w:smallCaps/>
          <w:color w:val="000000"/>
          <w:szCs w:val="27"/>
          <w:lang w:val="en-US" w:eastAsia="en-US"/>
        </w:rPr>
        <w:t>[1]</w:t>
      </w:r>
      <w:r>
        <w:rPr>
          <w:smallCaps/>
          <w:color w:val="000000"/>
          <w:szCs w:val="27"/>
          <w:lang w:val="en-US" w:eastAsia="en-US"/>
        </w:rPr>
        <w:tab/>
      </w:r>
      <w:r w:rsidRPr="00562FEB">
        <w:rPr>
          <w:smallCaps/>
          <w:color w:val="000000"/>
          <w:szCs w:val="27"/>
          <w:lang w:val="en-US" w:eastAsia="en-US"/>
        </w:rPr>
        <w:t>The Chief Justice</w:t>
      </w:r>
      <w:r w:rsidRPr="00562FEB">
        <w:rPr>
          <w:color w:val="000000"/>
          <w:szCs w:val="27"/>
          <w:lang w:val="en-US" w:eastAsia="en-US"/>
        </w:rPr>
        <w:t> — We are all of the view that the appeal must be allowed for the reasons of Justice Miller.</w:t>
      </w:r>
    </w:p>
    <w:p w:rsidR="002D2473" w:rsidRPr="00562FEB" w:rsidRDefault="002D2473" w:rsidP="002D2473">
      <w:pPr>
        <w:pStyle w:val="ParaNoNdepar-AltN"/>
        <w:numPr>
          <w:ilvl w:val="0"/>
          <w:numId w:val="0"/>
        </w:numPr>
        <w:rPr>
          <w:color w:val="000000"/>
          <w:szCs w:val="27"/>
          <w:lang w:val="en-US"/>
        </w:rPr>
      </w:pPr>
      <w:r w:rsidRPr="00562FEB">
        <w:rPr>
          <w:color w:val="000000"/>
          <w:szCs w:val="27"/>
          <w:lang w:val="en-US"/>
        </w:rPr>
        <w:t>[2]</w:t>
      </w:r>
      <w:r>
        <w:rPr>
          <w:color w:val="000000"/>
          <w:szCs w:val="27"/>
          <w:lang w:val="en-US"/>
        </w:rPr>
        <w:tab/>
      </w:r>
      <w:r w:rsidRPr="00562FEB">
        <w:rPr>
          <w:color w:val="000000"/>
          <w:szCs w:val="27"/>
          <w:lang w:val="en-US"/>
        </w:rPr>
        <w:t>The trial judge’s mistake regarding the specific year of the sex offender treatment did not have any material impact on his overall assessment of the similar fact evidence or the accused’s credibility when one considers the trial judge’s reasons as a whole. In the result, no miscarriage of justice occurred.</w:t>
      </w:r>
    </w:p>
    <w:p w:rsidR="002D2473" w:rsidRPr="00562FEB" w:rsidRDefault="002D2473" w:rsidP="002D2473">
      <w:pPr>
        <w:pStyle w:val="ParaNoNdepar-AltN"/>
        <w:numPr>
          <w:ilvl w:val="0"/>
          <w:numId w:val="0"/>
        </w:numPr>
        <w:rPr>
          <w:color w:val="000000"/>
          <w:szCs w:val="27"/>
          <w:lang w:val="en-US"/>
        </w:rPr>
      </w:pPr>
      <w:r w:rsidRPr="00562FEB">
        <w:rPr>
          <w:color w:val="000000"/>
          <w:szCs w:val="27"/>
          <w:lang w:val="en-US"/>
        </w:rPr>
        <w:t>[3]</w:t>
      </w:r>
      <w:r>
        <w:rPr>
          <w:color w:val="000000"/>
          <w:szCs w:val="27"/>
          <w:lang w:val="en-US"/>
        </w:rPr>
        <w:tab/>
      </w:r>
      <w:r w:rsidRPr="00562FEB">
        <w:rPr>
          <w:color w:val="000000"/>
          <w:szCs w:val="27"/>
          <w:lang w:val="en-US"/>
        </w:rPr>
        <w:t>The appeal is allowed and the conviction is restored.</w:t>
      </w:r>
    </w:p>
    <w:p w:rsidR="002D2473" w:rsidRDefault="002D2473" w:rsidP="002D2473">
      <w:pPr>
        <w:pStyle w:val="SCCNormalDoubleSpacing"/>
        <w:rPr>
          <w:smallCaps/>
        </w:rPr>
      </w:pPr>
    </w:p>
    <w:p w:rsidR="002D2473" w:rsidRDefault="002D2473" w:rsidP="002D2473">
      <w:pPr>
        <w:pStyle w:val="SCCNormalDoubleSpacing"/>
      </w:pPr>
      <w:r w:rsidRPr="001426A9">
        <w:tab/>
      </w:r>
      <w:r w:rsidRPr="00F45727">
        <w:rPr>
          <w:i/>
        </w:rPr>
        <w:t>Judgment accordingly</w:t>
      </w:r>
      <w:r>
        <w:rPr>
          <w:i/>
        </w:rPr>
        <w:t>.</w:t>
      </w:r>
    </w:p>
    <w:p w:rsidR="002D2473" w:rsidRDefault="002D2473" w:rsidP="002D2473">
      <w:pPr>
        <w:pStyle w:val="SCCNormalDoubleSpacing"/>
      </w:pPr>
    </w:p>
    <w:p w:rsidR="002D2473" w:rsidRPr="00AC22E6" w:rsidRDefault="002D2473" w:rsidP="002D2473">
      <w:pPr>
        <w:pStyle w:val="SCCNormalDoubleSpacing"/>
        <w:rPr>
          <w:i/>
        </w:rPr>
      </w:pPr>
      <w:r>
        <w:tab/>
      </w:r>
      <w:r w:rsidRPr="005C7222">
        <w:rPr>
          <w:i/>
        </w:rPr>
        <w:t xml:space="preserve">Solicitor for the appellant: </w:t>
      </w:r>
      <w:r>
        <w:rPr>
          <w:i/>
        </w:rPr>
        <w:t>Attorney General of Ontario</w:t>
      </w:r>
      <w:r w:rsidRPr="005C7222">
        <w:rPr>
          <w:i/>
        </w:rPr>
        <w:t xml:space="preserve">, </w:t>
      </w:r>
      <w:r>
        <w:rPr>
          <w:i/>
        </w:rPr>
        <w:t>Toronto</w:t>
      </w:r>
      <w:r w:rsidRPr="005C7222">
        <w:rPr>
          <w:i/>
        </w:rPr>
        <w:t>.</w:t>
      </w:r>
    </w:p>
    <w:p w:rsidR="002D2473" w:rsidRDefault="002D2473" w:rsidP="002D2473">
      <w:pPr>
        <w:pStyle w:val="SCCLawFirm"/>
      </w:pPr>
    </w:p>
    <w:p w:rsidR="002D2473" w:rsidRDefault="002D2473" w:rsidP="002D2473">
      <w:pPr>
        <w:pStyle w:val="SCCLawFirm"/>
      </w:pPr>
      <w:r>
        <w:tab/>
        <w:t xml:space="preserve">Solicitor for </w:t>
      </w:r>
      <w:r w:rsidRPr="00572EBD">
        <w:t xml:space="preserve">the respondent: </w:t>
      </w:r>
      <w:r>
        <w:t xml:space="preserve">W. John McCulligh </w:t>
      </w:r>
      <w:r w:rsidRPr="00D31209">
        <w:t>Professional Corporation, Bram</w:t>
      </w:r>
      <w:r>
        <w:t>pton.</w:t>
      </w:r>
    </w:p>
    <w:sectPr w:rsidR="002D2473" w:rsidSect="007A3635">
      <w:pgSz w:w="12240" w:h="15840"/>
      <w:pgMar w:top="1440" w:right="1440" w:bottom="1440" w:left="144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625D" w:rsidRDefault="00E2625D">
      <w:r>
        <w:separator/>
      </w:r>
    </w:p>
  </w:endnote>
  <w:endnote w:type="continuationSeparator" w:id="0">
    <w:p w:rsidR="00E2625D" w:rsidRDefault="00E26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625D" w:rsidRDefault="00E2625D">
      <w:r>
        <w:separator/>
      </w:r>
    </w:p>
  </w:footnote>
  <w:footnote w:type="continuationSeparator" w:id="0">
    <w:p w:rsidR="00E2625D" w:rsidRDefault="00E262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64F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8763FA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FC8503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9A47E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83837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63003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77208E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99661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F9058A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2A51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5B73F21"/>
    <w:multiLevelType w:val="hybridMultilevel"/>
    <w:tmpl w:val="1CA8AB4C"/>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D000BA4"/>
    <w:multiLevelType w:val="hybridMultilevel"/>
    <w:tmpl w:val="900CBD0E"/>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3C1B2609"/>
    <w:multiLevelType w:val="hybridMultilevel"/>
    <w:tmpl w:val="B62EB43A"/>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0F65EB2"/>
    <w:multiLevelType w:val="hybridMultilevel"/>
    <w:tmpl w:val="406E4396"/>
    <w:lvl w:ilvl="0" w:tplc="AF12D38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9A5EAD4C"/>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61380426"/>
    <w:lvl w:ilvl="0">
      <w:start w:val="1"/>
      <w:numFmt w:val="decimal"/>
      <w:pStyle w:val="ParaNoNdepar-AltN"/>
      <w:lvlText w:val="[%1]"/>
      <w:lvlJc w:val="left"/>
      <w:pPr>
        <w:tabs>
          <w:tab w:val="num" w:pos="1152"/>
        </w:tabs>
        <w:ind w:left="0" w:firstLine="0"/>
      </w:pPr>
      <w:rPr>
        <w:rFonts w:ascii="Times New Roman" w:hAnsi="Times New Roman" w:hint="default"/>
        <w:b w:val="0"/>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6662891"/>
    <w:multiLevelType w:val="hybridMultilevel"/>
    <w:tmpl w:val="FAECBADC"/>
    <w:lvl w:ilvl="0" w:tplc="AF12D38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666D1F9C"/>
    <w:multiLevelType w:val="hybridMultilevel"/>
    <w:tmpl w:val="A1BAD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A5550B"/>
    <w:multiLevelType w:val="hybridMultilevel"/>
    <w:tmpl w:val="D9EA6A54"/>
    <w:lvl w:ilvl="0" w:tplc="AF12D38C">
      <w:start w:val="1"/>
      <w:numFmt w:val="decimal"/>
      <w:lvlText w:val="(%1)"/>
      <w:lvlJc w:val="left"/>
      <w:pPr>
        <w:ind w:left="1080" w:hanging="360"/>
      </w:pPr>
      <w:rPr>
        <w:rFonts w:hint="default"/>
      </w:rPr>
    </w:lvl>
    <w:lvl w:ilvl="1" w:tplc="19B23C74">
      <w:start w:val="1"/>
      <w:numFmt w:val="lowerLetter"/>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7A957F3C"/>
    <w:multiLevelType w:val="hybridMultilevel"/>
    <w:tmpl w:val="A0A41CF8"/>
    <w:lvl w:ilvl="0" w:tplc="D7E6156A">
      <w:start w:val="1"/>
      <w:numFmt w:val="bullet"/>
      <w:lvlText w:val=""/>
      <w:lvlJc w:val="left"/>
      <w:pPr>
        <w:ind w:left="900" w:hanging="360"/>
      </w:pPr>
      <w:rPr>
        <w:rFonts w:ascii="Symbol" w:hAnsi="Symbol" w:hint="default"/>
        <w:color w:val="auto"/>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num w:numId="1">
    <w:abstractNumId w:val="22"/>
  </w:num>
  <w:num w:numId="2">
    <w:abstractNumId w:val="12"/>
  </w:num>
  <w:num w:numId="3">
    <w:abstractNumId w:val="10"/>
  </w:num>
  <w:num w:numId="4">
    <w:abstractNumId w:val="19"/>
  </w:num>
  <w:num w:numId="5">
    <w:abstractNumId w:val="20"/>
  </w:num>
  <w:num w:numId="6">
    <w:abstractNumId w:val="21"/>
  </w:num>
  <w:num w:numId="7">
    <w:abstractNumId w:val="17"/>
  </w:num>
  <w:num w:numId="8">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5"/>
  </w:num>
  <w:num w:numId="10">
    <w:abstractNumId w:val="15"/>
  </w:num>
  <w:num w:numId="11">
    <w:abstractNumId w:val="13"/>
  </w:num>
  <w:num w:numId="12">
    <w:abstractNumId w:val="11"/>
  </w:num>
  <w:num w:numId="13">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i w:val="0"/>
          <w:sz w:val="24"/>
        </w:rPr>
      </w:lvl>
    </w:lvlOverride>
    <w:lvlOverride w:ilvl="2">
      <w:lvl w:ilvl="2">
        <w:start w:val="1"/>
        <w:numFmt w:val="decimal"/>
        <w:pStyle w:val="Title3LevelTitre3Niveau"/>
        <w:lvlText w:val="(%3)"/>
        <w:lvlJc w:val="left"/>
        <w:pPr>
          <w:tabs>
            <w:tab w:val="num" w:pos="1152"/>
          </w:tabs>
          <w:ind w:left="1152"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lowerLetter"/>
        <w:pStyle w:val="Title4LevelTitre4Niveau"/>
        <w:lvlText w:val="(%4)"/>
        <w:lvlJc w:val="left"/>
        <w:pPr>
          <w:tabs>
            <w:tab w:val="num" w:pos="1152"/>
          </w:tabs>
          <w:ind w:left="1152" w:hanging="576"/>
        </w:pPr>
        <w:rPr>
          <w:rFonts w:hint="default"/>
          <w:b/>
          <w:i w:val="0"/>
        </w:rPr>
      </w:lvl>
    </w:lvlOverride>
    <w:lvlOverride w:ilvl="4">
      <w:lvl w:ilvl="4">
        <w:start w:val="1"/>
        <w:numFmt w:val="lowerRoman"/>
        <w:pStyle w:val="Title5LevelTitre5Niveau"/>
        <w:lvlText w:val="(%5)"/>
        <w:lvlJc w:val="left"/>
        <w:pPr>
          <w:tabs>
            <w:tab w:val="num" w:pos="1728"/>
          </w:tabs>
          <w:ind w:left="1728" w:hanging="576"/>
        </w:pPr>
        <w:rPr>
          <w:rFonts w:hint="default"/>
          <w:i w:val="0"/>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4">
    <w:abstractNumId w:val="18"/>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6"/>
  </w:num>
  <w:num w:numId="26">
    <w:abstractNumId w:val="23"/>
  </w:num>
  <w:num w:numId="27">
    <w:abstractNumId w:val="14"/>
  </w:num>
  <w:num w:numId="28">
    <w:abstractNumId w:val="26"/>
  </w:num>
  <w:num w:numId="29">
    <w:abstractNumId w:val="24"/>
  </w:num>
  <w:num w:numId="30">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118D"/>
    <w:rsid w:val="00013781"/>
    <w:rsid w:val="00017885"/>
    <w:rsid w:val="00025198"/>
    <w:rsid w:val="00025763"/>
    <w:rsid w:val="00026467"/>
    <w:rsid w:val="00040D1B"/>
    <w:rsid w:val="00040F00"/>
    <w:rsid w:val="00041BDD"/>
    <w:rsid w:val="000578A3"/>
    <w:rsid w:val="000648CC"/>
    <w:rsid w:val="00076E46"/>
    <w:rsid w:val="00094FED"/>
    <w:rsid w:val="000A2A4D"/>
    <w:rsid w:val="000B5CFA"/>
    <w:rsid w:val="000B69B5"/>
    <w:rsid w:val="000C3FCE"/>
    <w:rsid w:val="000C59B8"/>
    <w:rsid w:val="000C6AF0"/>
    <w:rsid w:val="000C78C2"/>
    <w:rsid w:val="000F0995"/>
    <w:rsid w:val="000F2039"/>
    <w:rsid w:val="000F2FF1"/>
    <w:rsid w:val="00104F33"/>
    <w:rsid w:val="00106D75"/>
    <w:rsid w:val="00111905"/>
    <w:rsid w:val="00111DE2"/>
    <w:rsid w:val="0011492A"/>
    <w:rsid w:val="001160DE"/>
    <w:rsid w:val="00116378"/>
    <w:rsid w:val="00116B38"/>
    <w:rsid w:val="00132CC2"/>
    <w:rsid w:val="00134F55"/>
    <w:rsid w:val="00135406"/>
    <w:rsid w:val="00135972"/>
    <w:rsid w:val="00136268"/>
    <w:rsid w:val="00137E61"/>
    <w:rsid w:val="001426A9"/>
    <w:rsid w:val="0014546A"/>
    <w:rsid w:val="00154563"/>
    <w:rsid w:val="00154D7C"/>
    <w:rsid w:val="001570B0"/>
    <w:rsid w:val="0015752C"/>
    <w:rsid w:val="00157737"/>
    <w:rsid w:val="00165277"/>
    <w:rsid w:val="001677C1"/>
    <w:rsid w:val="00170592"/>
    <w:rsid w:val="0018066E"/>
    <w:rsid w:val="00186351"/>
    <w:rsid w:val="00195D83"/>
    <w:rsid w:val="001977DB"/>
    <w:rsid w:val="001A00C1"/>
    <w:rsid w:val="001A42A4"/>
    <w:rsid w:val="001B33E0"/>
    <w:rsid w:val="001B4573"/>
    <w:rsid w:val="001C779F"/>
    <w:rsid w:val="001D2AC1"/>
    <w:rsid w:val="001D4DDF"/>
    <w:rsid w:val="001D4E88"/>
    <w:rsid w:val="001D65FF"/>
    <w:rsid w:val="001D6E70"/>
    <w:rsid w:val="001E477D"/>
    <w:rsid w:val="00220FC2"/>
    <w:rsid w:val="002222F4"/>
    <w:rsid w:val="00224FC0"/>
    <w:rsid w:val="00225EA4"/>
    <w:rsid w:val="00226EAF"/>
    <w:rsid w:val="002310A2"/>
    <w:rsid w:val="00231F3A"/>
    <w:rsid w:val="00234199"/>
    <w:rsid w:val="00236389"/>
    <w:rsid w:val="00237AFE"/>
    <w:rsid w:val="002406EE"/>
    <w:rsid w:val="00243EC8"/>
    <w:rsid w:val="00264B77"/>
    <w:rsid w:val="00270D93"/>
    <w:rsid w:val="002745CC"/>
    <w:rsid w:val="0029178F"/>
    <w:rsid w:val="002B7924"/>
    <w:rsid w:val="002B7ABA"/>
    <w:rsid w:val="002D2226"/>
    <w:rsid w:val="002D2473"/>
    <w:rsid w:val="002D28C3"/>
    <w:rsid w:val="002D294E"/>
    <w:rsid w:val="002D39A4"/>
    <w:rsid w:val="002E6189"/>
    <w:rsid w:val="002E6705"/>
    <w:rsid w:val="00301D08"/>
    <w:rsid w:val="0030329A"/>
    <w:rsid w:val="00303F14"/>
    <w:rsid w:val="00305526"/>
    <w:rsid w:val="0031086F"/>
    <w:rsid w:val="0031414C"/>
    <w:rsid w:val="00314E01"/>
    <w:rsid w:val="00317670"/>
    <w:rsid w:val="0032089D"/>
    <w:rsid w:val="00324AE2"/>
    <w:rsid w:val="003310DE"/>
    <w:rsid w:val="003323B0"/>
    <w:rsid w:val="00337C82"/>
    <w:rsid w:val="00342089"/>
    <w:rsid w:val="00347BA4"/>
    <w:rsid w:val="0035169A"/>
    <w:rsid w:val="0035259D"/>
    <w:rsid w:val="00353B79"/>
    <w:rsid w:val="00355C66"/>
    <w:rsid w:val="00362ADA"/>
    <w:rsid w:val="00364B18"/>
    <w:rsid w:val="00396BF3"/>
    <w:rsid w:val="003A125D"/>
    <w:rsid w:val="003A4C70"/>
    <w:rsid w:val="003B215F"/>
    <w:rsid w:val="003C2CFF"/>
    <w:rsid w:val="003C799C"/>
    <w:rsid w:val="003D0399"/>
    <w:rsid w:val="003E1C71"/>
    <w:rsid w:val="003E2693"/>
    <w:rsid w:val="003E31CF"/>
    <w:rsid w:val="003E53AC"/>
    <w:rsid w:val="003F327B"/>
    <w:rsid w:val="003F7ACB"/>
    <w:rsid w:val="00400B24"/>
    <w:rsid w:val="00404D28"/>
    <w:rsid w:val="0040508D"/>
    <w:rsid w:val="00406166"/>
    <w:rsid w:val="0040704B"/>
    <w:rsid w:val="00407839"/>
    <w:rsid w:val="00410003"/>
    <w:rsid w:val="00410A55"/>
    <w:rsid w:val="00411300"/>
    <w:rsid w:val="00415417"/>
    <w:rsid w:val="0041747D"/>
    <w:rsid w:val="00424FE1"/>
    <w:rsid w:val="00426659"/>
    <w:rsid w:val="00426D16"/>
    <w:rsid w:val="00450352"/>
    <w:rsid w:val="00454BDB"/>
    <w:rsid w:val="00463A7A"/>
    <w:rsid w:val="00464800"/>
    <w:rsid w:val="00464BF6"/>
    <w:rsid w:val="00465132"/>
    <w:rsid w:val="00465EF1"/>
    <w:rsid w:val="00470DB3"/>
    <w:rsid w:val="0047411A"/>
    <w:rsid w:val="00480C90"/>
    <w:rsid w:val="0048396F"/>
    <w:rsid w:val="00493C18"/>
    <w:rsid w:val="00495D96"/>
    <w:rsid w:val="004A600C"/>
    <w:rsid w:val="004A6118"/>
    <w:rsid w:val="004C2314"/>
    <w:rsid w:val="004C25EE"/>
    <w:rsid w:val="004C478D"/>
    <w:rsid w:val="004D4FEC"/>
    <w:rsid w:val="004E0D6A"/>
    <w:rsid w:val="004E2C26"/>
    <w:rsid w:val="004E61A7"/>
    <w:rsid w:val="004F36FF"/>
    <w:rsid w:val="004F7454"/>
    <w:rsid w:val="005125A8"/>
    <w:rsid w:val="00516DED"/>
    <w:rsid w:val="00521AE8"/>
    <w:rsid w:val="00524449"/>
    <w:rsid w:val="00527180"/>
    <w:rsid w:val="00533A2E"/>
    <w:rsid w:val="005341CE"/>
    <w:rsid w:val="00534AB2"/>
    <w:rsid w:val="0054201E"/>
    <w:rsid w:val="005541DB"/>
    <w:rsid w:val="00555291"/>
    <w:rsid w:val="0056265A"/>
    <w:rsid w:val="00566AD1"/>
    <w:rsid w:val="005673C0"/>
    <w:rsid w:val="0057257D"/>
    <w:rsid w:val="00583EDE"/>
    <w:rsid w:val="00586928"/>
    <w:rsid w:val="005A4F85"/>
    <w:rsid w:val="005A6079"/>
    <w:rsid w:val="005C7840"/>
    <w:rsid w:val="005E4698"/>
    <w:rsid w:val="006003EE"/>
    <w:rsid w:val="00610539"/>
    <w:rsid w:val="00613969"/>
    <w:rsid w:val="0061523C"/>
    <w:rsid w:val="00617208"/>
    <w:rsid w:val="006230B6"/>
    <w:rsid w:val="00625C35"/>
    <w:rsid w:val="00626A7D"/>
    <w:rsid w:val="0062787A"/>
    <w:rsid w:val="00635521"/>
    <w:rsid w:val="006468AB"/>
    <w:rsid w:val="00656313"/>
    <w:rsid w:val="006565F4"/>
    <w:rsid w:val="0066108F"/>
    <w:rsid w:val="006763FD"/>
    <w:rsid w:val="00684EEA"/>
    <w:rsid w:val="006908E8"/>
    <w:rsid w:val="0069689B"/>
    <w:rsid w:val="006A1551"/>
    <w:rsid w:val="006A48DB"/>
    <w:rsid w:val="006B5FF5"/>
    <w:rsid w:val="006B7683"/>
    <w:rsid w:val="006D4200"/>
    <w:rsid w:val="006F30AF"/>
    <w:rsid w:val="007009A0"/>
    <w:rsid w:val="00701759"/>
    <w:rsid w:val="00701CF2"/>
    <w:rsid w:val="00705C15"/>
    <w:rsid w:val="00712E55"/>
    <w:rsid w:val="00713025"/>
    <w:rsid w:val="007154A1"/>
    <w:rsid w:val="00715A65"/>
    <w:rsid w:val="0071600E"/>
    <w:rsid w:val="00717FDC"/>
    <w:rsid w:val="007208D1"/>
    <w:rsid w:val="0072428C"/>
    <w:rsid w:val="00724373"/>
    <w:rsid w:val="00730177"/>
    <w:rsid w:val="00742119"/>
    <w:rsid w:val="00747288"/>
    <w:rsid w:val="00747DD3"/>
    <w:rsid w:val="007549C8"/>
    <w:rsid w:val="00754A0B"/>
    <w:rsid w:val="00766D14"/>
    <w:rsid w:val="00767A0F"/>
    <w:rsid w:val="007A05F6"/>
    <w:rsid w:val="007A3635"/>
    <w:rsid w:val="007B6F4A"/>
    <w:rsid w:val="007D097E"/>
    <w:rsid w:val="007E1C47"/>
    <w:rsid w:val="007E337A"/>
    <w:rsid w:val="007E5C70"/>
    <w:rsid w:val="007E6891"/>
    <w:rsid w:val="007F2FF5"/>
    <w:rsid w:val="007F3F08"/>
    <w:rsid w:val="00804CC6"/>
    <w:rsid w:val="00813B48"/>
    <w:rsid w:val="0081470C"/>
    <w:rsid w:val="00817190"/>
    <w:rsid w:val="008201FB"/>
    <w:rsid w:val="00820EE5"/>
    <w:rsid w:val="008244E9"/>
    <w:rsid w:val="008260E2"/>
    <w:rsid w:val="008322BD"/>
    <w:rsid w:val="008323C4"/>
    <w:rsid w:val="00833E0A"/>
    <w:rsid w:val="00834F73"/>
    <w:rsid w:val="00847F55"/>
    <w:rsid w:val="00851F3D"/>
    <w:rsid w:val="008544FA"/>
    <w:rsid w:val="00864CF8"/>
    <w:rsid w:val="00872819"/>
    <w:rsid w:val="00874914"/>
    <w:rsid w:val="00891422"/>
    <w:rsid w:val="00892E1A"/>
    <w:rsid w:val="008A3F29"/>
    <w:rsid w:val="008B660A"/>
    <w:rsid w:val="008B70F9"/>
    <w:rsid w:val="008C01DA"/>
    <w:rsid w:val="008C02C9"/>
    <w:rsid w:val="008C7263"/>
    <w:rsid w:val="008D2104"/>
    <w:rsid w:val="008F78E9"/>
    <w:rsid w:val="00903C32"/>
    <w:rsid w:val="00911989"/>
    <w:rsid w:val="009179F9"/>
    <w:rsid w:val="0093031F"/>
    <w:rsid w:val="00931C1C"/>
    <w:rsid w:val="00933E5E"/>
    <w:rsid w:val="00935218"/>
    <w:rsid w:val="00937A86"/>
    <w:rsid w:val="009403F3"/>
    <w:rsid w:val="009555B7"/>
    <w:rsid w:val="009567AA"/>
    <w:rsid w:val="0096473A"/>
    <w:rsid w:val="00967374"/>
    <w:rsid w:val="00976EB5"/>
    <w:rsid w:val="00981B4D"/>
    <w:rsid w:val="009A343A"/>
    <w:rsid w:val="009A4E51"/>
    <w:rsid w:val="009A520F"/>
    <w:rsid w:val="009B2F23"/>
    <w:rsid w:val="009B57B3"/>
    <w:rsid w:val="009B6FFE"/>
    <w:rsid w:val="009C5B92"/>
    <w:rsid w:val="009D2920"/>
    <w:rsid w:val="009D5AEB"/>
    <w:rsid w:val="009F0E33"/>
    <w:rsid w:val="009F1E77"/>
    <w:rsid w:val="00A003F4"/>
    <w:rsid w:val="00A030CE"/>
    <w:rsid w:val="00A12217"/>
    <w:rsid w:val="00A149DF"/>
    <w:rsid w:val="00A1755C"/>
    <w:rsid w:val="00A21B90"/>
    <w:rsid w:val="00A244B9"/>
    <w:rsid w:val="00A31DCF"/>
    <w:rsid w:val="00A41805"/>
    <w:rsid w:val="00A42DCD"/>
    <w:rsid w:val="00A44699"/>
    <w:rsid w:val="00A52AFB"/>
    <w:rsid w:val="00A548CB"/>
    <w:rsid w:val="00A5521C"/>
    <w:rsid w:val="00A557A1"/>
    <w:rsid w:val="00A55CEF"/>
    <w:rsid w:val="00A643E7"/>
    <w:rsid w:val="00A73C38"/>
    <w:rsid w:val="00AB305A"/>
    <w:rsid w:val="00AB670D"/>
    <w:rsid w:val="00AC5BFC"/>
    <w:rsid w:val="00AC6FA4"/>
    <w:rsid w:val="00AD2826"/>
    <w:rsid w:val="00AD342F"/>
    <w:rsid w:val="00AD4C25"/>
    <w:rsid w:val="00AE25FE"/>
    <w:rsid w:val="00AE4535"/>
    <w:rsid w:val="00AF03C5"/>
    <w:rsid w:val="00AF0B26"/>
    <w:rsid w:val="00B000D8"/>
    <w:rsid w:val="00B00F75"/>
    <w:rsid w:val="00B11735"/>
    <w:rsid w:val="00B145B6"/>
    <w:rsid w:val="00B2215E"/>
    <w:rsid w:val="00B279EB"/>
    <w:rsid w:val="00B30E18"/>
    <w:rsid w:val="00B32357"/>
    <w:rsid w:val="00B43559"/>
    <w:rsid w:val="00B50C81"/>
    <w:rsid w:val="00B557F8"/>
    <w:rsid w:val="00B56AAF"/>
    <w:rsid w:val="00B67199"/>
    <w:rsid w:val="00B7748C"/>
    <w:rsid w:val="00B815FC"/>
    <w:rsid w:val="00B93FBC"/>
    <w:rsid w:val="00BA066D"/>
    <w:rsid w:val="00BA7DA0"/>
    <w:rsid w:val="00BB2366"/>
    <w:rsid w:val="00BB2640"/>
    <w:rsid w:val="00BB2EE4"/>
    <w:rsid w:val="00BB5AE6"/>
    <w:rsid w:val="00BC2108"/>
    <w:rsid w:val="00BC5642"/>
    <w:rsid w:val="00BD0E9E"/>
    <w:rsid w:val="00BD1BEC"/>
    <w:rsid w:val="00BD32FF"/>
    <w:rsid w:val="00BD67ED"/>
    <w:rsid w:val="00C02092"/>
    <w:rsid w:val="00C14AA0"/>
    <w:rsid w:val="00C22905"/>
    <w:rsid w:val="00C229CD"/>
    <w:rsid w:val="00C24D91"/>
    <w:rsid w:val="00C53F14"/>
    <w:rsid w:val="00C600CF"/>
    <w:rsid w:val="00C6084F"/>
    <w:rsid w:val="00C62A66"/>
    <w:rsid w:val="00C62FD6"/>
    <w:rsid w:val="00C71458"/>
    <w:rsid w:val="00C77613"/>
    <w:rsid w:val="00C828E7"/>
    <w:rsid w:val="00C86719"/>
    <w:rsid w:val="00C921DD"/>
    <w:rsid w:val="00CA6391"/>
    <w:rsid w:val="00CA7B39"/>
    <w:rsid w:val="00CA7BA2"/>
    <w:rsid w:val="00CC34BD"/>
    <w:rsid w:val="00CE08B9"/>
    <w:rsid w:val="00CE161A"/>
    <w:rsid w:val="00CE3171"/>
    <w:rsid w:val="00CE7262"/>
    <w:rsid w:val="00CF1601"/>
    <w:rsid w:val="00D0172F"/>
    <w:rsid w:val="00D068A7"/>
    <w:rsid w:val="00D173CE"/>
    <w:rsid w:val="00D17476"/>
    <w:rsid w:val="00D26B67"/>
    <w:rsid w:val="00D32086"/>
    <w:rsid w:val="00D360E6"/>
    <w:rsid w:val="00D37A3F"/>
    <w:rsid w:val="00D4431D"/>
    <w:rsid w:val="00D4667A"/>
    <w:rsid w:val="00D469D5"/>
    <w:rsid w:val="00D47BFC"/>
    <w:rsid w:val="00D614A5"/>
    <w:rsid w:val="00D614E0"/>
    <w:rsid w:val="00D63A1C"/>
    <w:rsid w:val="00D67CB1"/>
    <w:rsid w:val="00D720BB"/>
    <w:rsid w:val="00D7516F"/>
    <w:rsid w:val="00D83628"/>
    <w:rsid w:val="00D8579F"/>
    <w:rsid w:val="00D90B9E"/>
    <w:rsid w:val="00D91A89"/>
    <w:rsid w:val="00D95F8E"/>
    <w:rsid w:val="00DA0590"/>
    <w:rsid w:val="00DB7BEA"/>
    <w:rsid w:val="00DC1739"/>
    <w:rsid w:val="00DC1788"/>
    <w:rsid w:val="00DC2F37"/>
    <w:rsid w:val="00DD105B"/>
    <w:rsid w:val="00DE319C"/>
    <w:rsid w:val="00DE54B0"/>
    <w:rsid w:val="00DF0CA8"/>
    <w:rsid w:val="00DF2B48"/>
    <w:rsid w:val="00DF49A7"/>
    <w:rsid w:val="00E07EE2"/>
    <w:rsid w:val="00E07FD1"/>
    <w:rsid w:val="00E176D8"/>
    <w:rsid w:val="00E24573"/>
    <w:rsid w:val="00E25E1E"/>
    <w:rsid w:val="00E2625D"/>
    <w:rsid w:val="00E27EE7"/>
    <w:rsid w:val="00E31D67"/>
    <w:rsid w:val="00E3214F"/>
    <w:rsid w:val="00E333F9"/>
    <w:rsid w:val="00E35404"/>
    <w:rsid w:val="00E45109"/>
    <w:rsid w:val="00E47B7A"/>
    <w:rsid w:val="00E50A79"/>
    <w:rsid w:val="00E56A44"/>
    <w:rsid w:val="00E60269"/>
    <w:rsid w:val="00E653D0"/>
    <w:rsid w:val="00E65A2E"/>
    <w:rsid w:val="00E71951"/>
    <w:rsid w:val="00E77932"/>
    <w:rsid w:val="00E83FDA"/>
    <w:rsid w:val="00E92347"/>
    <w:rsid w:val="00E92A41"/>
    <w:rsid w:val="00E97830"/>
    <w:rsid w:val="00EA1D3B"/>
    <w:rsid w:val="00EB0B7C"/>
    <w:rsid w:val="00ED60AA"/>
    <w:rsid w:val="00ED681A"/>
    <w:rsid w:val="00EE5737"/>
    <w:rsid w:val="00EE643C"/>
    <w:rsid w:val="00EF0683"/>
    <w:rsid w:val="00EF69D2"/>
    <w:rsid w:val="00EF766E"/>
    <w:rsid w:val="00F0070C"/>
    <w:rsid w:val="00F00EB7"/>
    <w:rsid w:val="00F36AB6"/>
    <w:rsid w:val="00F37A09"/>
    <w:rsid w:val="00F409CE"/>
    <w:rsid w:val="00F413F0"/>
    <w:rsid w:val="00F4379D"/>
    <w:rsid w:val="00F50635"/>
    <w:rsid w:val="00F50D2D"/>
    <w:rsid w:val="00F56C8B"/>
    <w:rsid w:val="00F66810"/>
    <w:rsid w:val="00F75F4E"/>
    <w:rsid w:val="00F846D9"/>
    <w:rsid w:val="00F84DF4"/>
    <w:rsid w:val="00F85C97"/>
    <w:rsid w:val="00F94A57"/>
    <w:rsid w:val="00FA51A0"/>
    <w:rsid w:val="00FA53AF"/>
    <w:rsid w:val="00FB37D2"/>
    <w:rsid w:val="00FB738D"/>
    <w:rsid w:val="00FB7D08"/>
    <w:rsid w:val="00FC3788"/>
    <w:rsid w:val="00FC4EFB"/>
    <w:rsid w:val="00FD068D"/>
    <w:rsid w:val="00FD4F28"/>
    <w:rsid w:val="00FE0416"/>
    <w:rsid w:val="00FE6784"/>
    <w:rsid w:val="00FF18AC"/>
    <w:rsid w:val="00FF2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BA"/>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22905"/>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C22905"/>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C22905"/>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C22905"/>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C22905"/>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C22905"/>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C22905"/>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styleId="Hyperlink">
    <w:name w:val="Hyperlink"/>
    <w:basedOn w:val="DefaultParagraphFont"/>
    <w:uiPriority w:val="99"/>
    <w:unhideWhenUsed/>
    <w:rsid w:val="00E65A2E"/>
    <w:rPr>
      <w:color w:val="0000FF" w:themeColor="hyperlink"/>
      <w:u w:val="single"/>
    </w:rPr>
  </w:style>
  <w:style w:type="character" w:customStyle="1" w:styleId="solexhl">
    <w:name w:val="solexhl"/>
    <w:basedOn w:val="DefaultParagraphFont"/>
    <w:rsid w:val="000C78C2"/>
  </w:style>
  <w:style w:type="character" w:customStyle="1" w:styleId="Heading3Char">
    <w:name w:val="Heading 3 Char"/>
    <w:basedOn w:val="DefaultParagraphFont"/>
    <w:link w:val="Heading3"/>
    <w:uiPriority w:val="9"/>
    <w:semiHidden/>
    <w:rsid w:val="00C22905"/>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C22905"/>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C22905"/>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C22905"/>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C22905"/>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C22905"/>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C22905"/>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C22905"/>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C22905"/>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C22905"/>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C22905"/>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C22905"/>
    <w:rPr>
      <w:b/>
      <w:sz w:val="24"/>
    </w:rPr>
  </w:style>
  <w:style w:type="table" w:styleId="TableGrid">
    <w:name w:val="Table Grid"/>
    <w:basedOn w:val="TableNormal"/>
    <w:uiPriority w:val="59"/>
    <w:rsid w:val="00C22905"/>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C22905"/>
    <w:pPr>
      <w:spacing w:after="720"/>
      <w:ind w:left="1166"/>
      <w:contextualSpacing/>
      <w:jc w:val="both"/>
    </w:pPr>
    <w:rPr>
      <w:sz w:val="24"/>
    </w:rPr>
  </w:style>
  <w:style w:type="paragraph" w:customStyle="1" w:styleId="ContinueParaSuitedupar-AltP">
    <w:name w:val="Continue Para. / Suite du par. - Alt P"/>
    <w:next w:val="ParaNoNdepar-AltN"/>
    <w:uiPriority w:val="1"/>
    <w:qFormat/>
    <w:rsid w:val="00C22905"/>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C22905"/>
    <w:pPr>
      <w:tabs>
        <w:tab w:val="left" w:pos="1260"/>
      </w:tabs>
      <w:spacing w:after="480" w:line="480" w:lineRule="auto"/>
    </w:pPr>
    <w:rPr>
      <w:smallCaps/>
      <w:sz w:val="24"/>
    </w:rPr>
  </w:style>
  <w:style w:type="paragraph" w:customStyle="1" w:styleId="ParaNoNdepar-AltN">
    <w:name w:val="Para. No. / Nº de par. - Alt N"/>
    <w:link w:val="ParaNoNdepar-AltNChar"/>
    <w:qFormat/>
    <w:rsid w:val="00C22905"/>
    <w:pPr>
      <w:numPr>
        <w:numId w:val="6"/>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C22905"/>
    <w:pPr>
      <w:numPr>
        <w:numId w:val="7"/>
      </w:numPr>
      <w:tabs>
        <w:tab w:val="clear" w:pos="576"/>
      </w:tabs>
      <w:spacing w:before="480" w:after="720"/>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C22905"/>
    <w:pPr>
      <w:numPr>
        <w:ilvl w:val="1"/>
      </w:numPr>
      <w:tabs>
        <w:tab w:val="clear" w:pos="576"/>
      </w:tabs>
      <w:outlineLvl w:val="1"/>
    </w:pPr>
    <w:rPr>
      <w:i/>
      <w:u w:val="none"/>
    </w:rPr>
  </w:style>
  <w:style w:type="paragraph" w:customStyle="1" w:styleId="Title3LevelTitre3Niveau">
    <w:name w:val="Title 3 Level / Titre 3 Niveau"/>
    <w:basedOn w:val="Title1LevelTitre1Niveau-AltL"/>
    <w:next w:val="ParaNoNdepar-AltN"/>
    <w:uiPriority w:val="4"/>
    <w:qFormat/>
    <w:rsid w:val="00C22905"/>
    <w:pPr>
      <w:numPr>
        <w:ilvl w:val="2"/>
      </w:numPr>
      <w:tabs>
        <w:tab w:val="clear" w:pos="1152"/>
      </w:tabs>
      <w:outlineLvl w:val="2"/>
    </w:pPr>
  </w:style>
  <w:style w:type="paragraph" w:customStyle="1" w:styleId="Title4LevelTitre4Niveau">
    <w:name w:val="Title 4 Level / Titre 4 Niveau"/>
    <w:basedOn w:val="Title3LevelTitre3Niveau"/>
    <w:next w:val="ParaNoNdepar-AltN"/>
    <w:uiPriority w:val="4"/>
    <w:qFormat/>
    <w:rsid w:val="00C22905"/>
    <w:pPr>
      <w:numPr>
        <w:ilvl w:val="3"/>
      </w:numPr>
      <w:tabs>
        <w:tab w:val="clear" w:pos="1152"/>
      </w:tabs>
      <w:ind w:left="1156" w:hanging="578"/>
      <w:outlineLvl w:val="3"/>
    </w:pPr>
    <w:rPr>
      <w:i/>
      <w:u w:val="none"/>
    </w:rPr>
  </w:style>
  <w:style w:type="paragraph" w:customStyle="1" w:styleId="Title5LevelTitre5Niveau">
    <w:name w:val="Title 5 Level / Titre 5 Niveau"/>
    <w:basedOn w:val="Title1LevelTitre1Niveau-AltL"/>
    <w:next w:val="ParaNoNdepar-AltN"/>
    <w:uiPriority w:val="4"/>
    <w:qFormat/>
    <w:rsid w:val="00C22905"/>
    <w:pPr>
      <w:numPr>
        <w:ilvl w:val="4"/>
      </w:numPr>
      <w:tabs>
        <w:tab w:val="clear" w:pos="1728"/>
      </w:tabs>
      <w:ind w:left="1729" w:hanging="578"/>
      <w:outlineLvl w:val="4"/>
    </w:pPr>
  </w:style>
  <w:style w:type="paragraph" w:styleId="TOC1">
    <w:name w:val="toc 1"/>
    <w:basedOn w:val="Normal"/>
    <w:next w:val="Normal"/>
    <w:autoRedefine/>
    <w:uiPriority w:val="39"/>
    <w:unhideWhenUsed/>
    <w:rsid w:val="00C22905"/>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C22905"/>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C22905"/>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C22905"/>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C22905"/>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C22905"/>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C2290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C22905"/>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C22905"/>
    <w:pPr>
      <w:numPr>
        <w:ilvl w:val="5"/>
      </w:numPr>
      <w:jc w:val="both"/>
      <w:outlineLvl w:val="5"/>
    </w:pPr>
    <w:rPr>
      <w:i/>
      <w:u w:val="none"/>
    </w:rPr>
  </w:style>
  <w:style w:type="paragraph" w:styleId="FootnoteText">
    <w:name w:val="footnote text"/>
    <w:basedOn w:val="Normal"/>
    <w:link w:val="FootnoteTextChar"/>
    <w:uiPriority w:val="99"/>
    <w:unhideWhenUsed/>
    <w:rsid w:val="00C2290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C22905"/>
  </w:style>
  <w:style w:type="character" w:styleId="FootnoteReference">
    <w:name w:val="footnote reference"/>
    <w:basedOn w:val="DefaultParagraphFont"/>
    <w:uiPriority w:val="99"/>
    <w:semiHidden/>
    <w:unhideWhenUsed/>
    <w:rsid w:val="00C22905"/>
    <w:rPr>
      <w:vertAlign w:val="superscript"/>
    </w:rPr>
  </w:style>
  <w:style w:type="character" w:styleId="SubtleEmphasis">
    <w:name w:val="Subtle Emphasis"/>
    <w:basedOn w:val="DefaultParagraphFont"/>
    <w:uiPriority w:val="19"/>
    <w:rsid w:val="00C22905"/>
    <w:rPr>
      <w:i/>
      <w:iCs/>
      <w:color w:val="808080" w:themeColor="text1" w:themeTint="7F"/>
    </w:rPr>
  </w:style>
  <w:style w:type="character" w:customStyle="1" w:styleId="ParaNoNdepar-AltNChar">
    <w:name w:val="Para. No. / Nº de par. - Alt N Char"/>
    <w:basedOn w:val="DefaultParagraphFont"/>
    <w:link w:val="ParaNoNdepar-AltN"/>
    <w:locked/>
    <w:rsid w:val="00C22905"/>
    <w:rPr>
      <w:rFonts w:eastAsiaTheme="minorEastAsia" w:cstheme="minorBidi"/>
      <w:sz w:val="24"/>
      <w:szCs w:val="22"/>
      <w:lang w:eastAsia="en-US"/>
    </w:rPr>
  </w:style>
  <w:style w:type="character" w:styleId="CommentReference">
    <w:name w:val="annotation reference"/>
    <w:basedOn w:val="DefaultParagraphFont"/>
    <w:uiPriority w:val="99"/>
    <w:semiHidden/>
    <w:unhideWhenUsed/>
    <w:rsid w:val="00C22905"/>
    <w:rPr>
      <w:sz w:val="16"/>
      <w:szCs w:val="16"/>
    </w:rPr>
  </w:style>
  <w:style w:type="paragraph" w:styleId="CommentText">
    <w:name w:val="annotation text"/>
    <w:basedOn w:val="Normal"/>
    <w:link w:val="CommentTextChar"/>
    <w:uiPriority w:val="99"/>
    <w:semiHidden/>
    <w:unhideWhenUsed/>
    <w:rsid w:val="00C22905"/>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C22905"/>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C22905"/>
    <w:rPr>
      <w:b/>
      <w:bCs/>
    </w:rPr>
  </w:style>
  <w:style w:type="character" w:customStyle="1" w:styleId="CommentSubjectChar">
    <w:name w:val="Comment Subject Char"/>
    <w:basedOn w:val="CommentTextChar"/>
    <w:link w:val="CommentSubject"/>
    <w:uiPriority w:val="99"/>
    <w:semiHidden/>
    <w:rsid w:val="00C22905"/>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C22905"/>
    <w:rPr>
      <w:smallCaps/>
      <w:sz w:val="24"/>
    </w:rPr>
  </w:style>
  <w:style w:type="paragraph" w:styleId="NoSpacing">
    <w:name w:val="No Spacing"/>
    <w:uiPriority w:val="1"/>
    <w:rsid w:val="00C22905"/>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C22905"/>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C22905"/>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C2290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C22905"/>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C22905"/>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C22905"/>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C22905"/>
    <w:rPr>
      <w:i/>
      <w:iCs/>
    </w:rPr>
  </w:style>
  <w:style w:type="paragraph" w:styleId="ListParagraph">
    <w:name w:val="List Paragraph"/>
    <w:basedOn w:val="Normal"/>
    <w:uiPriority w:val="34"/>
    <w:rsid w:val="00C22905"/>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C22905"/>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C22905"/>
    <w:rPr>
      <w:rFonts w:eastAsiaTheme="minorHAnsi" w:cstheme="minorBidi"/>
      <w:b/>
      <w:bCs/>
      <w:i/>
      <w:iCs/>
      <w:color w:val="4F81BD" w:themeColor="accent1"/>
      <w:sz w:val="24"/>
      <w:szCs w:val="22"/>
      <w:lang w:val="en-US" w:eastAsia="en-US" w:bidi="en-US"/>
    </w:rPr>
  </w:style>
  <w:style w:type="character" w:styleId="IntenseEmphasis">
    <w:name w:val="Intense Emphasis"/>
    <w:basedOn w:val="DefaultParagraphFont"/>
    <w:uiPriority w:val="21"/>
    <w:rsid w:val="00C22905"/>
    <w:rPr>
      <w:b/>
      <w:bCs/>
      <w:i/>
      <w:iCs/>
      <w:color w:val="4F81BD" w:themeColor="accent1"/>
    </w:rPr>
  </w:style>
  <w:style w:type="character" w:styleId="SubtleReference">
    <w:name w:val="Subtle Reference"/>
    <w:basedOn w:val="DefaultParagraphFont"/>
    <w:uiPriority w:val="31"/>
    <w:rsid w:val="00C22905"/>
    <w:rPr>
      <w:smallCaps/>
      <w:color w:val="C0504D" w:themeColor="accent2"/>
      <w:u w:val="single"/>
    </w:rPr>
  </w:style>
  <w:style w:type="character" w:styleId="IntenseReference">
    <w:name w:val="Intense Reference"/>
    <w:basedOn w:val="DefaultParagraphFont"/>
    <w:uiPriority w:val="32"/>
    <w:rsid w:val="00C22905"/>
    <w:rPr>
      <w:b/>
      <w:bCs/>
      <w:smallCaps/>
      <w:color w:val="C0504D" w:themeColor="accent2"/>
      <w:spacing w:val="5"/>
      <w:u w:val="single"/>
    </w:rPr>
  </w:style>
  <w:style w:type="character" w:styleId="BookTitle">
    <w:name w:val="Book Title"/>
    <w:basedOn w:val="DefaultParagraphFont"/>
    <w:uiPriority w:val="33"/>
    <w:rsid w:val="00C22905"/>
    <w:rPr>
      <w:b/>
      <w:bCs/>
      <w:smallCaps/>
      <w:spacing w:val="5"/>
    </w:rPr>
  </w:style>
  <w:style w:type="paragraph" w:styleId="Revision">
    <w:name w:val="Revision"/>
    <w:hidden/>
    <w:uiPriority w:val="99"/>
    <w:semiHidden/>
    <w:rsid w:val="00C22905"/>
    <w:rPr>
      <w:rFonts w:eastAsiaTheme="minorHAnsi" w:cstheme="minorBidi"/>
      <w:sz w:val="24"/>
      <w:szCs w:val="22"/>
      <w:lang w:val="en-US" w:eastAsia="en-US" w:bidi="en-US"/>
    </w:rPr>
  </w:style>
  <w:style w:type="paragraph" w:styleId="EndnoteText">
    <w:name w:val="endnote text"/>
    <w:basedOn w:val="Normal"/>
    <w:link w:val="EndnoteTextChar"/>
    <w:uiPriority w:val="99"/>
    <w:semiHidden/>
    <w:unhideWhenUsed/>
    <w:rsid w:val="00C22905"/>
    <w:rPr>
      <w:rFonts w:eastAsiaTheme="minorHAnsi" w:cstheme="minorBidi"/>
      <w:sz w:val="20"/>
      <w:lang w:val="en-US" w:eastAsia="en-US" w:bidi="en-US"/>
    </w:rPr>
  </w:style>
  <w:style w:type="character" w:customStyle="1" w:styleId="EndnoteTextChar">
    <w:name w:val="Endnote Text Char"/>
    <w:basedOn w:val="DefaultParagraphFont"/>
    <w:link w:val="EndnoteText"/>
    <w:uiPriority w:val="99"/>
    <w:semiHidden/>
    <w:rsid w:val="00C22905"/>
    <w:rPr>
      <w:rFonts w:eastAsiaTheme="minorHAnsi" w:cstheme="minorBidi"/>
      <w:lang w:val="en-US" w:eastAsia="en-US" w:bidi="en-US"/>
    </w:rPr>
  </w:style>
  <w:style w:type="character" w:styleId="EndnoteReference">
    <w:name w:val="endnote reference"/>
    <w:basedOn w:val="DefaultParagraphFont"/>
    <w:uiPriority w:val="99"/>
    <w:semiHidden/>
    <w:unhideWhenUsed/>
    <w:rsid w:val="00C22905"/>
    <w:rPr>
      <w:vertAlign w:val="superscript"/>
    </w:rPr>
  </w:style>
  <w:style w:type="character" w:customStyle="1" w:styleId="reflex3-block">
    <w:name w:val="reflex3-block"/>
    <w:basedOn w:val="DefaultParagraphFont"/>
    <w:rsid w:val="00C22905"/>
  </w:style>
  <w:style w:type="character" w:customStyle="1" w:styleId="reflex3-alt">
    <w:name w:val="reflex3-alt"/>
    <w:basedOn w:val="DefaultParagraphFont"/>
    <w:rsid w:val="00C22905"/>
  </w:style>
  <w:style w:type="character" w:customStyle="1" w:styleId="lawlabel">
    <w:name w:val="lawlabel"/>
    <w:basedOn w:val="DefaultParagraphFont"/>
    <w:rsid w:val="00C22905"/>
  </w:style>
  <w:style w:type="table" w:customStyle="1" w:styleId="TableGrid2">
    <w:name w:val="Table Grid2"/>
    <w:basedOn w:val="TableNormal"/>
    <w:next w:val="TableGrid"/>
    <w:uiPriority w:val="59"/>
    <w:rsid w:val="00C22905"/>
    <w:rPr>
      <w:rFonts w:eastAsia="Calibri"/>
      <w:sz w:val="24"/>
      <w:szCs w:val="24"/>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CLsocPartyRoleChar">
    <w:name w:val="SCC.Lsoc.PartyRole Char"/>
    <w:basedOn w:val="DefaultParagraphFont"/>
    <w:rsid w:val="00CA7BA2"/>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CA7BA2"/>
    <w:rPr>
      <w:rFonts w:eastAsiaTheme="minorHAnsi" w:cstheme="minorBidi"/>
      <w:b/>
      <w:szCs w:val="22"/>
      <w:lang w:eastAsia="en-US"/>
    </w:rPr>
  </w:style>
  <w:style w:type="character" w:customStyle="1" w:styleId="SCCLsocPrefixChar">
    <w:name w:val="SCC.Lsoc.Prefix Char"/>
    <w:basedOn w:val="DefaultParagraphFont"/>
    <w:link w:val="SCCLsocPrefix"/>
    <w:rsid w:val="00CA7BA2"/>
    <w:rPr>
      <w:rFonts w:eastAsiaTheme="minorHAnsi" w:cstheme="minorBidi"/>
      <w:b/>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3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22768-CCB3-4796-9C4F-05546F1E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356</Words>
  <Characters>1964</Characters>
  <Application>Microsoft Office Word</Application>
  <DocSecurity>0</DocSecurity>
  <Lines>16</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2020-12-11T18:28:00Z</dcterms:created>
  <dcterms:modified xsi:type="dcterms:W3CDTF">2024-01-11T16:00:00Z</dcterms:modified>
</cp:coreProperties>
</file>