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948"/>
        <w:gridCol w:w="2235"/>
        <w:gridCol w:w="3158"/>
        <w:gridCol w:w="19"/>
      </w:tblGrid>
      <w:tr w:rsidR="00903206" w:rsidTr="008E32ED">
        <w:trPr>
          <w:trHeight w:val="1784"/>
        </w:trPr>
        <w:tc>
          <w:tcPr>
            <w:tcW w:w="5000" w:type="pct"/>
            <w:gridSpan w:val="4"/>
          </w:tcPr>
          <w:p w:rsidR="00903206" w:rsidRDefault="00903206" w:rsidP="008E32E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pt;height:64.8pt" o:ole="">
                  <v:imagedata r:id="rId8" o:title=""/>
                </v:shape>
                <o:OLEObject Type="Embed" ProgID="Presentations.Drawing.15" ShapeID="_x0000_i1025" DrawAspect="Content" ObjectID="_1766495610" r:id="rId9"/>
              </w:object>
            </w:r>
          </w:p>
          <w:p w:rsidR="00903206" w:rsidRDefault="00903206" w:rsidP="008E32ED">
            <w:pPr>
              <w:spacing w:before="120" w:after="100" w:afterAutospacing="1"/>
              <w:jc w:val="center"/>
              <w:rPr>
                <w:rFonts w:eastAsia="Calibri"/>
              </w:rPr>
            </w:pPr>
            <w:r w:rsidRPr="00C22905">
              <w:rPr>
                <w:rFonts w:eastAsia="Calibri"/>
                <w:b/>
                <w:szCs w:val="24"/>
                <w:lang w:eastAsia="en-US"/>
              </w:rPr>
              <w:t>SUPREME COURT OF CANADA</w:t>
            </w:r>
          </w:p>
        </w:tc>
      </w:tr>
      <w:tr w:rsidR="00903206" w:rsidTr="008E32ED">
        <w:trPr>
          <w:gridAfter w:val="1"/>
          <w:wAfter w:w="10" w:type="pct"/>
        </w:trPr>
        <w:tc>
          <w:tcPr>
            <w:tcW w:w="2109" w:type="pct"/>
            <w:tcMar>
              <w:top w:w="284" w:type="dxa"/>
            </w:tcMar>
          </w:tcPr>
          <w:p w:rsidR="00903206" w:rsidRPr="00B6792E" w:rsidRDefault="00903206" w:rsidP="008E32ED">
            <w:pPr>
              <w:spacing w:before="100" w:beforeAutospacing="1"/>
              <w:rPr>
                <w:rFonts w:eastAsia="Calibri"/>
                <w:lang w:val="fr-CA"/>
              </w:rPr>
            </w:pPr>
            <w:r w:rsidRPr="00B6792E">
              <w:rPr>
                <w:b/>
                <w:smallCaps/>
                <w:lang w:val="fr-CA"/>
              </w:rPr>
              <w:t>Citation:</w:t>
            </w:r>
            <w:r w:rsidRPr="00B6792E">
              <w:rPr>
                <w:lang w:val="fr-CA"/>
              </w:rPr>
              <w:t xml:space="preserve"> R. </w:t>
            </w:r>
            <w:r w:rsidRPr="00B6792E">
              <w:rPr>
                <w:i/>
                <w:lang w:val="fr-CA"/>
              </w:rPr>
              <w:t>v</w:t>
            </w:r>
            <w:r w:rsidRPr="00B6792E">
              <w:rPr>
                <w:lang w:val="fr-CA"/>
              </w:rPr>
              <w:t xml:space="preserve">. Yusuf, 2021 </w:t>
            </w:r>
            <w:r>
              <w:rPr>
                <w:lang w:val="fr-CA"/>
              </w:rPr>
              <w:t>S</w:t>
            </w:r>
            <w:r w:rsidRPr="00B6792E">
              <w:rPr>
                <w:lang w:val="fr-CA"/>
              </w:rPr>
              <w:t>CC 2</w:t>
            </w:r>
            <w:r>
              <w:rPr>
                <w:lang w:val="fr-CA"/>
              </w:rPr>
              <w:t>, [2021] 1 S.C.R. 5</w:t>
            </w:r>
          </w:p>
        </w:tc>
        <w:tc>
          <w:tcPr>
            <w:tcW w:w="1194" w:type="pct"/>
          </w:tcPr>
          <w:p w:rsidR="00903206" w:rsidRPr="00B6792E" w:rsidRDefault="00903206" w:rsidP="008E32ED">
            <w:pPr>
              <w:rPr>
                <w:b/>
                <w:smallCaps/>
                <w:lang w:val="fr-CA"/>
              </w:rPr>
            </w:pPr>
          </w:p>
        </w:tc>
        <w:tc>
          <w:tcPr>
            <w:tcW w:w="1687" w:type="pct"/>
            <w:tcMar>
              <w:top w:w="284" w:type="dxa"/>
            </w:tcMar>
          </w:tcPr>
          <w:p w:rsidR="00903206" w:rsidRPr="006B210C" w:rsidRDefault="00903206" w:rsidP="008E32ED">
            <w:r>
              <w:rPr>
                <w:b/>
                <w:smallCaps/>
              </w:rPr>
              <w:t>Appeal Heard:</w:t>
            </w:r>
            <w:r w:rsidRPr="006B210C">
              <w:t xml:space="preserve"> </w:t>
            </w:r>
            <w:r>
              <w:t>January 19, 2021</w:t>
            </w:r>
          </w:p>
          <w:p w:rsidR="00903206" w:rsidRDefault="00903206" w:rsidP="008E32ED">
            <w:r>
              <w:rPr>
                <w:b/>
                <w:smallCaps/>
              </w:rPr>
              <w:t>Judgment Rendered:</w:t>
            </w:r>
            <w:r w:rsidRPr="006B210C">
              <w:t xml:space="preserve"> </w:t>
            </w:r>
            <w:r>
              <w:t>January 19, 2021</w:t>
            </w:r>
          </w:p>
          <w:p w:rsidR="00903206" w:rsidRPr="006B210C" w:rsidRDefault="00903206" w:rsidP="008E32ED">
            <w:r w:rsidRPr="00527E81">
              <w:rPr>
                <w:b/>
                <w:smallCaps/>
              </w:rPr>
              <w:t>Docket:</w:t>
            </w:r>
            <w:r>
              <w:t xml:space="preserve"> 39110</w:t>
            </w:r>
          </w:p>
        </w:tc>
      </w:tr>
      <w:tr w:rsidR="00903206" w:rsidTr="008E32ED">
        <w:tc>
          <w:tcPr>
            <w:tcW w:w="5000" w:type="pct"/>
            <w:gridSpan w:val="4"/>
          </w:tcPr>
          <w:p w:rsidR="00903206" w:rsidRDefault="00903206" w:rsidP="008E32ED">
            <w:pPr>
              <w:rPr>
                <w:rFonts w:eastAsiaTheme="minorHAnsi" w:cstheme="minorBidi"/>
                <w:b/>
                <w:smallCaps/>
                <w:szCs w:val="24"/>
                <w:lang w:eastAsia="en-US"/>
              </w:rPr>
            </w:pPr>
            <w:r w:rsidRPr="005F184F">
              <w:rPr>
                <w:rFonts w:eastAsiaTheme="minorHAnsi" w:cstheme="minorBidi"/>
                <w:b/>
                <w:smallCaps/>
                <w:szCs w:val="24"/>
                <w:lang w:eastAsia="en-US"/>
              </w:rPr>
              <w:t>Between:</w:t>
            </w:r>
          </w:p>
          <w:p w:rsidR="00903206" w:rsidRPr="005F184F" w:rsidRDefault="00903206" w:rsidP="008E32ED">
            <w:pPr>
              <w:rPr>
                <w:rFonts w:eastAsiaTheme="minorHAnsi" w:cstheme="minorBidi"/>
                <w:b/>
                <w:smallCaps/>
                <w:szCs w:val="24"/>
                <w:lang w:eastAsia="en-US"/>
              </w:rPr>
            </w:pPr>
          </w:p>
          <w:p w:rsidR="00903206" w:rsidRPr="005F184F" w:rsidRDefault="00903206" w:rsidP="008E32ED">
            <w:pPr>
              <w:jc w:val="center"/>
              <w:rPr>
                <w:rFonts w:eastAsiaTheme="minorHAnsi" w:cstheme="minorBidi"/>
                <w:b/>
                <w:szCs w:val="24"/>
                <w:lang w:eastAsia="en-US"/>
              </w:rPr>
            </w:pPr>
            <w:proofErr w:type="spellStart"/>
            <w:r w:rsidRPr="005F184F">
              <w:rPr>
                <w:rFonts w:eastAsiaTheme="minorHAnsi" w:cstheme="minorBidi"/>
                <w:b/>
                <w:szCs w:val="24"/>
                <w:lang w:eastAsia="en-US"/>
              </w:rPr>
              <w:t>Jamis</w:t>
            </w:r>
            <w:proofErr w:type="spellEnd"/>
            <w:r w:rsidRPr="005F184F">
              <w:rPr>
                <w:rFonts w:eastAsiaTheme="minorHAnsi" w:cstheme="minorBidi"/>
                <w:b/>
                <w:szCs w:val="24"/>
                <w:lang w:eastAsia="en-US"/>
              </w:rPr>
              <w:t xml:space="preserve"> Yusuf</w:t>
            </w:r>
          </w:p>
          <w:p w:rsidR="00903206" w:rsidRDefault="00903206" w:rsidP="008E32ED">
            <w:pPr>
              <w:jc w:val="center"/>
              <w:rPr>
                <w:rFonts w:eastAsiaTheme="minorHAnsi" w:cstheme="minorBidi"/>
                <w:szCs w:val="24"/>
                <w:lang w:eastAsia="en-US"/>
              </w:rPr>
            </w:pPr>
            <w:r w:rsidRPr="005F184F">
              <w:rPr>
                <w:rFonts w:eastAsiaTheme="minorHAnsi" w:cstheme="minorBidi"/>
                <w:szCs w:val="24"/>
                <w:lang w:eastAsia="en-US"/>
              </w:rPr>
              <w:t>Appellant</w:t>
            </w:r>
          </w:p>
          <w:p w:rsidR="00903206" w:rsidRPr="005F184F" w:rsidRDefault="00903206" w:rsidP="008E32ED">
            <w:pPr>
              <w:jc w:val="center"/>
              <w:rPr>
                <w:rFonts w:eastAsiaTheme="minorHAnsi" w:cstheme="minorBidi"/>
                <w:szCs w:val="24"/>
                <w:lang w:eastAsia="en-US"/>
              </w:rPr>
            </w:pPr>
          </w:p>
          <w:p w:rsidR="00903206" w:rsidRDefault="00903206" w:rsidP="008E32ED">
            <w:pPr>
              <w:jc w:val="center"/>
              <w:rPr>
                <w:rFonts w:eastAsiaTheme="minorHAnsi" w:cstheme="minorBidi"/>
                <w:szCs w:val="24"/>
                <w:lang w:eastAsia="en-US"/>
              </w:rPr>
            </w:pPr>
            <w:r>
              <w:rPr>
                <w:rFonts w:eastAsiaTheme="minorHAnsi" w:cstheme="minorBidi"/>
                <w:szCs w:val="24"/>
                <w:lang w:eastAsia="en-US"/>
              </w:rPr>
              <w:t>and</w:t>
            </w:r>
          </w:p>
          <w:p w:rsidR="00903206" w:rsidRPr="005F184F" w:rsidRDefault="00903206" w:rsidP="008E32ED">
            <w:pPr>
              <w:jc w:val="center"/>
              <w:rPr>
                <w:rFonts w:eastAsiaTheme="minorHAnsi" w:cstheme="minorBidi"/>
                <w:szCs w:val="24"/>
                <w:lang w:eastAsia="en-US"/>
              </w:rPr>
            </w:pPr>
          </w:p>
          <w:p w:rsidR="00903206" w:rsidRPr="005F184F" w:rsidRDefault="00903206" w:rsidP="008E32ED">
            <w:pPr>
              <w:jc w:val="center"/>
              <w:rPr>
                <w:rFonts w:eastAsiaTheme="minorHAnsi" w:cstheme="minorBidi"/>
                <w:b/>
                <w:szCs w:val="24"/>
                <w:lang w:eastAsia="en-US"/>
              </w:rPr>
            </w:pPr>
            <w:r w:rsidRPr="005F184F">
              <w:rPr>
                <w:rFonts w:eastAsiaTheme="minorHAnsi" w:cstheme="minorBidi"/>
                <w:b/>
                <w:szCs w:val="24"/>
                <w:lang w:eastAsia="en-US"/>
              </w:rPr>
              <w:t xml:space="preserve">Her Majesty </w:t>
            </w:r>
            <w:r>
              <w:rPr>
                <w:rFonts w:eastAsiaTheme="minorHAnsi" w:cstheme="minorBidi"/>
                <w:b/>
                <w:szCs w:val="24"/>
                <w:lang w:eastAsia="en-US"/>
              </w:rPr>
              <w:t>T</w:t>
            </w:r>
            <w:r w:rsidRPr="005F184F">
              <w:rPr>
                <w:rFonts w:eastAsiaTheme="minorHAnsi" w:cstheme="minorBidi"/>
                <w:b/>
                <w:szCs w:val="24"/>
                <w:lang w:eastAsia="en-US"/>
              </w:rPr>
              <w:t>he Queen</w:t>
            </w:r>
          </w:p>
          <w:p w:rsidR="00903206" w:rsidRDefault="00903206" w:rsidP="008E32ED">
            <w:pPr>
              <w:jc w:val="center"/>
              <w:rPr>
                <w:rFonts w:eastAsiaTheme="minorHAnsi" w:cstheme="minorBidi"/>
                <w:szCs w:val="24"/>
                <w:lang w:eastAsia="en-US"/>
              </w:rPr>
            </w:pPr>
            <w:r w:rsidRPr="005F184F">
              <w:rPr>
                <w:rFonts w:eastAsiaTheme="minorHAnsi" w:cstheme="minorBidi"/>
                <w:szCs w:val="24"/>
                <w:lang w:eastAsia="en-US"/>
              </w:rPr>
              <w:t>Respondent</w:t>
            </w:r>
          </w:p>
          <w:p w:rsidR="00903206" w:rsidRPr="005F184F" w:rsidRDefault="00903206" w:rsidP="008E32ED">
            <w:pPr>
              <w:jc w:val="center"/>
              <w:rPr>
                <w:rFonts w:eastAsiaTheme="minorHAnsi" w:cstheme="minorBidi"/>
                <w:szCs w:val="24"/>
                <w:lang w:eastAsia="en-US"/>
              </w:rPr>
            </w:pPr>
          </w:p>
          <w:p w:rsidR="00903206" w:rsidRDefault="00903206" w:rsidP="008E32ED">
            <w:pPr>
              <w:rPr>
                <w:rFonts w:eastAsiaTheme="minorHAnsi" w:cstheme="minorBidi"/>
                <w:b/>
                <w:smallCaps/>
                <w:szCs w:val="24"/>
                <w:lang w:eastAsia="en-US"/>
              </w:rPr>
            </w:pPr>
            <w:r w:rsidRPr="005F184F">
              <w:rPr>
                <w:rFonts w:eastAsiaTheme="minorHAnsi" w:cstheme="minorBidi"/>
                <w:b/>
                <w:smallCaps/>
                <w:szCs w:val="24"/>
                <w:lang w:eastAsia="en-US"/>
              </w:rPr>
              <w:t>A</w:t>
            </w:r>
            <w:r>
              <w:rPr>
                <w:rFonts w:eastAsiaTheme="minorHAnsi" w:cstheme="minorBidi"/>
                <w:b/>
                <w:smallCaps/>
                <w:szCs w:val="24"/>
                <w:lang w:eastAsia="en-US"/>
              </w:rPr>
              <w:t>nd</w:t>
            </w:r>
            <w:r w:rsidRPr="005F184F">
              <w:rPr>
                <w:rFonts w:eastAsiaTheme="minorHAnsi" w:cstheme="minorBidi"/>
                <w:b/>
                <w:smallCaps/>
                <w:szCs w:val="24"/>
                <w:lang w:eastAsia="en-US"/>
              </w:rPr>
              <w:t xml:space="preserve"> B</w:t>
            </w:r>
            <w:r>
              <w:rPr>
                <w:rFonts w:eastAsiaTheme="minorHAnsi" w:cstheme="minorBidi"/>
                <w:b/>
                <w:smallCaps/>
                <w:szCs w:val="24"/>
                <w:lang w:eastAsia="en-US"/>
              </w:rPr>
              <w:t>etween</w:t>
            </w:r>
            <w:r w:rsidRPr="005F184F">
              <w:rPr>
                <w:rFonts w:eastAsiaTheme="minorHAnsi" w:cstheme="minorBidi"/>
                <w:b/>
                <w:smallCaps/>
                <w:szCs w:val="24"/>
                <w:lang w:eastAsia="en-US"/>
              </w:rPr>
              <w:t>:</w:t>
            </w:r>
          </w:p>
          <w:p w:rsidR="00903206" w:rsidRPr="005F184F" w:rsidRDefault="00903206" w:rsidP="008E32ED">
            <w:pPr>
              <w:rPr>
                <w:rFonts w:eastAsiaTheme="minorHAnsi" w:cstheme="minorBidi"/>
                <w:b/>
                <w:smallCaps/>
                <w:szCs w:val="24"/>
                <w:lang w:eastAsia="en-US"/>
              </w:rPr>
            </w:pPr>
          </w:p>
          <w:p w:rsidR="00903206" w:rsidRPr="005F184F" w:rsidRDefault="00903206" w:rsidP="008E32ED">
            <w:pPr>
              <w:jc w:val="center"/>
              <w:rPr>
                <w:rFonts w:eastAsiaTheme="minorHAnsi" w:cstheme="minorBidi"/>
                <w:b/>
                <w:szCs w:val="24"/>
                <w:lang w:eastAsia="en-US"/>
              </w:rPr>
            </w:pPr>
            <w:r w:rsidRPr="005F184F">
              <w:rPr>
                <w:rFonts w:eastAsiaTheme="minorHAnsi" w:cstheme="minorBidi"/>
                <w:b/>
                <w:szCs w:val="24"/>
                <w:lang w:eastAsia="en-US"/>
              </w:rPr>
              <w:t xml:space="preserve">Aziz </w:t>
            </w:r>
            <w:proofErr w:type="spellStart"/>
            <w:r w:rsidRPr="005F184F">
              <w:rPr>
                <w:rFonts w:eastAsiaTheme="minorHAnsi" w:cstheme="minorBidi"/>
                <w:b/>
                <w:szCs w:val="24"/>
                <w:lang w:eastAsia="en-US"/>
              </w:rPr>
              <w:t>Pauls</w:t>
            </w:r>
            <w:proofErr w:type="spellEnd"/>
          </w:p>
          <w:p w:rsidR="00903206" w:rsidRDefault="00903206" w:rsidP="008E32ED">
            <w:pPr>
              <w:jc w:val="center"/>
              <w:rPr>
                <w:rFonts w:eastAsiaTheme="minorHAnsi" w:cstheme="minorBidi"/>
                <w:szCs w:val="24"/>
                <w:lang w:eastAsia="en-US"/>
              </w:rPr>
            </w:pPr>
            <w:r w:rsidRPr="005F184F">
              <w:rPr>
                <w:rFonts w:eastAsiaTheme="minorHAnsi" w:cstheme="minorBidi"/>
                <w:szCs w:val="24"/>
                <w:lang w:eastAsia="en-US"/>
              </w:rPr>
              <w:t>Appellant</w:t>
            </w:r>
          </w:p>
          <w:p w:rsidR="00903206" w:rsidRPr="005F184F" w:rsidRDefault="00903206" w:rsidP="008E32ED">
            <w:pPr>
              <w:jc w:val="center"/>
              <w:rPr>
                <w:rFonts w:eastAsiaTheme="minorHAnsi" w:cstheme="minorBidi"/>
                <w:szCs w:val="24"/>
                <w:lang w:eastAsia="en-US"/>
              </w:rPr>
            </w:pPr>
          </w:p>
          <w:p w:rsidR="00903206" w:rsidRDefault="00903206" w:rsidP="008E32ED">
            <w:pPr>
              <w:jc w:val="center"/>
              <w:rPr>
                <w:rFonts w:eastAsiaTheme="minorHAnsi" w:cstheme="minorBidi"/>
                <w:szCs w:val="24"/>
                <w:lang w:eastAsia="en-US"/>
              </w:rPr>
            </w:pPr>
            <w:r>
              <w:rPr>
                <w:rFonts w:eastAsiaTheme="minorHAnsi" w:cstheme="minorBidi"/>
                <w:szCs w:val="24"/>
                <w:lang w:eastAsia="en-US"/>
              </w:rPr>
              <w:t>and</w:t>
            </w:r>
          </w:p>
          <w:p w:rsidR="00903206" w:rsidRPr="005F184F" w:rsidRDefault="00903206" w:rsidP="008E32ED">
            <w:pPr>
              <w:jc w:val="center"/>
              <w:rPr>
                <w:rFonts w:eastAsiaTheme="minorHAnsi" w:cstheme="minorBidi"/>
                <w:szCs w:val="24"/>
                <w:lang w:eastAsia="en-US"/>
              </w:rPr>
            </w:pPr>
          </w:p>
          <w:p w:rsidR="00903206" w:rsidRPr="005F184F" w:rsidRDefault="00903206" w:rsidP="008E32ED">
            <w:pPr>
              <w:jc w:val="center"/>
              <w:rPr>
                <w:rFonts w:eastAsiaTheme="minorHAnsi" w:cstheme="minorBidi"/>
                <w:b/>
                <w:szCs w:val="24"/>
                <w:lang w:eastAsia="en-US"/>
              </w:rPr>
            </w:pPr>
            <w:r>
              <w:rPr>
                <w:rFonts w:eastAsiaTheme="minorHAnsi" w:cstheme="minorBidi"/>
                <w:b/>
                <w:szCs w:val="24"/>
                <w:lang w:eastAsia="en-US"/>
              </w:rPr>
              <w:t>Her Majesty T</w:t>
            </w:r>
            <w:r w:rsidRPr="005F184F">
              <w:rPr>
                <w:rFonts w:eastAsiaTheme="minorHAnsi" w:cstheme="minorBidi"/>
                <w:b/>
                <w:szCs w:val="24"/>
                <w:lang w:eastAsia="en-US"/>
              </w:rPr>
              <w:t>he Queen</w:t>
            </w:r>
          </w:p>
          <w:p w:rsidR="00903206" w:rsidRDefault="00903206" w:rsidP="008E32ED">
            <w:pPr>
              <w:jc w:val="center"/>
              <w:rPr>
                <w:rFonts w:eastAsiaTheme="minorHAnsi" w:cstheme="minorBidi"/>
                <w:szCs w:val="24"/>
                <w:lang w:eastAsia="en-US"/>
              </w:rPr>
            </w:pPr>
            <w:r w:rsidRPr="005F184F">
              <w:rPr>
                <w:rFonts w:eastAsiaTheme="minorHAnsi" w:cstheme="minorBidi"/>
                <w:szCs w:val="24"/>
                <w:lang w:eastAsia="en-US"/>
              </w:rPr>
              <w:t>Respondent</w:t>
            </w:r>
          </w:p>
          <w:p w:rsidR="00903206" w:rsidRPr="005F184F" w:rsidRDefault="00903206" w:rsidP="008E32ED">
            <w:pPr>
              <w:jc w:val="center"/>
              <w:rPr>
                <w:rFonts w:eastAsiaTheme="minorHAnsi" w:cstheme="minorBidi"/>
                <w:szCs w:val="24"/>
                <w:lang w:eastAsia="en-US"/>
              </w:rPr>
            </w:pPr>
          </w:p>
          <w:p w:rsidR="00903206" w:rsidRDefault="00903206" w:rsidP="008E32ED">
            <w:pPr>
              <w:rPr>
                <w:rFonts w:eastAsiaTheme="minorHAnsi" w:cstheme="minorBidi"/>
                <w:b/>
                <w:smallCaps/>
                <w:szCs w:val="24"/>
                <w:lang w:eastAsia="en-US"/>
              </w:rPr>
            </w:pPr>
            <w:r w:rsidRPr="005F184F">
              <w:rPr>
                <w:rFonts w:eastAsiaTheme="minorHAnsi" w:cstheme="minorBidi"/>
                <w:b/>
                <w:smallCaps/>
                <w:szCs w:val="24"/>
                <w:lang w:eastAsia="en-US"/>
              </w:rPr>
              <w:t>A</w:t>
            </w:r>
            <w:r>
              <w:rPr>
                <w:rFonts w:eastAsiaTheme="minorHAnsi" w:cstheme="minorBidi"/>
                <w:b/>
                <w:smallCaps/>
                <w:szCs w:val="24"/>
                <w:lang w:eastAsia="en-US"/>
              </w:rPr>
              <w:t>nd Between</w:t>
            </w:r>
            <w:r w:rsidRPr="005F184F">
              <w:rPr>
                <w:rFonts w:eastAsiaTheme="minorHAnsi" w:cstheme="minorBidi"/>
                <w:b/>
                <w:smallCaps/>
                <w:szCs w:val="24"/>
                <w:lang w:eastAsia="en-US"/>
              </w:rPr>
              <w:t>:</w:t>
            </w:r>
          </w:p>
          <w:p w:rsidR="00903206" w:rsidRPr="005F184F" w:rsidRDefault="00903206" w:rsidP="008E32ED">
            <w:pPr>
              <w:rPr>
                <w:rFonts w:eastAsiaTheme="minorHAnsi" w:cstheme="minorBidi"/>
                <w:b/>
                <w:smallCaps/>
                <w:szCs w:val="24"/>
                <w:lang w:eastAsia="en-US"/>
              </w:rPr>
            </w:pPr>
          </w:p>
          <w:p w:rsidR="00903206" w:rsidRPr="005F184F" w:rsidRDefault="00903206" w:rsidP="008E32ED">
            <w:pPr>
              <w:jc w:val="center"/>
              <w:rPr>
                <w:rFonts w:eastAsiaTheme="minorHAnsi" w:cstheme="minorBidi"/>
                <w:b/>
                <w:szCs w:val="24"/>
                <w:lang w:eastAsia="en-US"/>
              </w:rPr>
            </w:pPr>
            <w:r w:rsidRPr="005F184F">
              <w:rPr>
                <w:rFonts w:eastAsiaTheme="minorHAnsi" w:cstheme="minorBidi"/>
                <w:b/>
                <w:szCs w:val="24"/>
                <w:lang w:eastAsia="en-US"/>
              </w:rPr>
              <w:t>Jamal Yusuf</w:t>
            </w:r>
          </w:p>
          <w:p w:rsidR="00903206" w:rsidRDefault="00903206" w:rsidP="008E32ED">
            <w:pPr>
              <w:jc w:val="center"/>
              <w:rPr>
                <w:rFonts w:eastAsiaTheme="minorHAnsi" w:cstheme="minorBidi"/>
                <w:szCs w:val="24"/>
                <w:lang w:eastAsia="en-US"/>
              </w:rPr>
            </w:pPr>
            <w:r w:rsidRPr="005F184F">
              <w:rPr>
                <w:rFonts w:eastAsiaTheme="minorHAnsi" w:cstheme="minorBidi"/>
                <w:szCs w:val="24"/>
                <w:lang w:eastAsia="en-US"/>
              </w:rPr>
              <w:t>Appellant</w:t>
            </w:r>
          </w:p>
          <w:p w:rsidR="00903206" w:rsidRPr="005F184F" w:rsidRDefault="00903206" w:rsidP="008E32ED">
            <w:pPr>
              <w:jc w:val="center"/>
              <w:rPr>
                <w:rFonts w:eastAsiaTheme="minorHAnsi" w:cstheme="minorBidi"/>
                <w:szCs w:val="24"/>
                <w:lang w:eastAsia="en-US"/>
              </w:rPr>
            </w:pPr>
          </w:p>
          <w:p w:rsidR="00903206" w:rsidRDefault="00903206" w:rsidP="008E32ED">
            <w:pPr>
              <w:jc w:val="center"/>
              <w:rPr>
                <w:rFonts w:eastAsiaTheme="minorHAnsi" w:cstheme="minorBidi"/>
                <w:szCs w:val="24"/>
                <w:lang w:eastAsia="en-US"/>
              </w:rPr>
            </w:pPr>
            <w:r>
              <w:rPr>
                <w:rFonts w:eastAsiaTheme="minorHAnsi" w:cstheme="minorBidi"/>
                <w:szCs w:val="24"/>
                <w:lang w:eastAsia="en-US"/>
              </w:rPr>
              <w:t>and</w:t>
            </w:r>
          </w:p>
          <w:p w:rsidR="00903206" w:rsidRPr="005F184F" w:rsidRDefault="00903206" w:rsidP="008E32ED">
            <w:pPr>
              <w:jc w:val="center"/>
              <w:rPr>
                <w:rFonts w:eastAsiaTheme="minorHAnsi" w:cstheme="minorBidi"/>
                <w:szCs w:val="24"/>
                <w:lang w:eastAsia="en-US"/>
              </w:rPr>
            </w:pPr>
          </w:p>
          <w:p w:rsidR="00903206" w:rsidRPr="005F184F" w:rsidRDefault="00903206" w:rsidP="008E32ED">
            <w:pPr>
              <w:jc w:val="center"/>
              <w:rPr>
                <w:rFonts w:eastAsiaTheme="minorHAnsi" w:cstheme="minorBidi"/>
                <w:b/>
                <w:szCs w:val="24"/>
                <w:lang w:eastAsia="en-US"/>
              </w:rPr>
            </w:pPr>
            <w:r>
              <w:rPr>
                <w:rFonts w:eastAsiaTheme="minorHAnsi" w:cstheme="minorBidi"/>
                <w:b/>
                <w:szCs w:val="24"/>
                <w:lang w:eastAsia="en-US"/>
              </w:rPr>
              <w:t>Her Majesty T</w:t>
            </w:r>
            <w:r w:rsidRPr="005F184F">
              <w:rPr>
                <w:rFonts w:eastAsiaTheme="minorHAnsi" w:cstheme="minorBidi"/>
                <w:b/>
                <w:szCs w:val="24"/>
                <w:lang w:eastAsia="en-US"/>
              </w:rPr>
              <w:t>he Queen</w:t>
            </w:r>
          </w:p>
          <w:p w:rsidR="00903206" w:rsidRDefault="00903206" w:rsidP="008E32ED">
            <w:pPr>
              <w:jc w:val="center"/>
              <w:rPr>
                <w:rFonts w:eastAsiaTheme="minorHAnsi" w:cstheme="minorBidi"/>
                <w:szCs w:val="24"/>
                <w:lang w:eastAsia="en-US"/>
              </w:rPr>
            </w:pPr>
            <w:r w:rsidRPr="005F184F">
              <w:rPr>
                <w:rFonts w:eastAsiaTheme="minorHAnsi" w:cstheme="minorBidi"/>
                <w:szCs w:val="24"/>
                <w:lang w:eastAsia="en-US"/>
              </w:rPr>
              <w:t>Respondent</w:t>
            </w:r>
          </w:p>
          <w:p w:rsidR="00903206" w:rsidRPr="005F184F" w:rsidRDefault="00903206" w:rsidP="008E32ED">
            <w:pPr>
              <w:jc w:val="center"/>
              <w:rPr>
                <w:rFonts w:eastAsiaTheme="minorHAnsi" w:cstheme="minorBidi"/>
                <w:szCs w:val="24"/>
                <w:lang w:eastAsia="en-US"/>
              </w:rPr>
            </w:pPr>
          </w:p>
          <w:p w:rsidR="00903206" w:rsidRPr="00C22905" w:rsidRDefault="00903206" w:rsidP="008E32ED">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104"/>
        <w:gridCol w:w="5749"/>
        <w:gridCol w:w="1507"/>
      </w:tblGrid>
      <w:tr w:rsidR="00903206" w:rsidRPr="00C22905" w:rsidTr="008E32ED">
        <w:trPr>
          <w:cantSplit/>
          <w:trHeight w:val="508"/>
        </w:trPr>
        <w:tc>
          <w:tcPr>
            <w:tcW w:w="5000" w:type="pct"/>
            <w:gridSpan w:val="3"/>
            <w:tcMar>
              <w:top w:w="284" w:type="dxa"/>
              <w:bottom w:w="57" w:type="dxa"/>
            </w:tcMar>
            <w:vAlign w:val="center"/>
          </w:tcPr>
          <w:p w:rsidR="00903206" w:rsidRDefault="00903206" w:rsidP="008E32ED">
            <w:r w:rsidRPr="006B210C">
              <w:rPr>
                <w:b/>
                <w:smallCaps/>
              </w:rPr>
              <w:lastRenderedPageBreak/>
              <w:t>Coram</w:t>
            </w:r>
            <w:r>
              <w:rPr>
                <w:b/>
                <w:smallCaps/>
              </w:rPr>
              <w:t>:</w:t>
            </w:r>
            <w:r w:rsidRPr="006B210C">
              <w:t xml:space="preserve"> </w:t>
            </w:r>
            <w:r>
              <w:t xml:space="preserve">Wagner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Côté</w:t>
            </w:r>
            <w:proofErr w:type="spellEnd"/>
            <w:r>
              <w:t xml:space="preserve">, Brown, Rowe, Martin and </w:t>
            </w:r>
            <w:proofErr w:type="spellStart"/>
            <w:r>
              <w:t>Kasirer</w:t>
            </w:r>
            <w:proofErr w:type="spellEnd"/>
            <w:r>
              <w:t> JJ.</w:t>
            </w:r>
          </w:p>
          <w:p w:rsidR="00903206" w:rsidRPr="00C22905" w:rsidRDefault="00903206" w:rsidP="008E32ED"/>
        </w:tc>
      </w:tr>
      <w:tr w:rsidR="00903206" w:rsidRPr="00C22905" w:rsidTr="008E32ED">
        <w:trPr>
          <w:gridAfter w:val="1"/>
          <w:wAfter w:w="805" w:type="pct"/>
          <w:cantSplit/>
          <w:trHeight w:val="508"/>
        </w:trPr>
        <w:tc>
          <w:tcPr>
            <w:tcW w:w="1124" w:type="pct"/>
            <w:tcMar>
              <w:top w:w="28" w:type="dxa"/>
              <w:left w:w="57" w:type="dxa"/>
              <w:bottom w:w="57" w:type="dxa"/>
              <w:right w:w="57" w:type="dxa"/>
            </w:tcMar>
            <w:vAlign w:val="center"/>
          </w:tcPr>
          <w:p w:rsidR="00903206" w:rsidRPr="00105733" w:rsidRDefault="00903206" w:rsidP="008E32ED">
            <w:pPr>
              <w:spacing w:before="120"/>
              <w:rPr>
                <w:smallCaps/>
              </w:rPr>
            </w:pPr>
            <w:r w:rsidRPr="00105733">
              <w:rPr>
                <w:b/>
                <w:smallCaps/>
              </w:rPr>
              <w:t>Unanimous Judgment Read By:</w:t>
            </w:r>
          </w:p>
          <w:p w:rsidR="00903206" w:rsidRDefault="00903206" w:rsidP="008E32ED">
            <w:pPr>
              <w:rPr>
                <w:b/>
                <w:smallCaps/>
              </w:rPr>
            </w:pPr>
            <w:r w:rsidRPr="00105733">
              <w:t>(paras. 1 to 5)</w:t>
            </w:r>
          </w:p>
        </w:tc>
        <w:tc>
          <w:tcPr>
            <w:tcW w:w="3071" w:type="pct"/>
            <w:tcMar>
              <w:top w:w="28" w:type="dxa"/>
              <w:left w:w="57" w:type="dxa"/>
              <w:bottom w:w="57" w:type="dxa"/>
              <w:right w:w="57" w:type="dxa"/>
            </w:tcMar>
            <w:vAlign w:val="center"/>
          </w:tcPr>
          <w:p w:rsidR="00903206" w:rsidRDefault="00903206" w:rsidP="008E32ED">
            <w:pPr>
              <w:spacing w:before="120"/>
              <w:rPr>
                <w:b/>
                <w:smallCaps/>
              </w:rPr>
            </w:pPr>
            <w:proofErr w:type="spellStart"/>
            <w:r w:rsidRPr="00105733">
              <w:t>Moldaver</w:t>
            </w:r>
            <w:proofErr w:type="spellEnd"/>
            <w:r w:rsidRPr="00105733">
              <w:t xml:space="preserve"> J.</w:t>
            </w:r>
            <w:r>
              <w:rPr>
                <w:b/>
                <w:smallCaps/>
              </w:rPr>
              <w:t xml:space="preserve"> </w:t>
            </w:r>
          </w:p>
          <w:p w:rsidR="00903206" w:rsidRDefault="00903206" w:rsidP="008E32ED">
            <w:pPr>
              <w:rPr>
                <w:b/>
                <w:smallCaps/>
              </w:rPr>
            </w:pPr>
          </w:p>
        </w:tc>
      </w:tr>
      <w:tr w:rsidR="00903206" w:rsidRPr="00C22905" w:rsidTr="008E32ED">
        <w:trPr>
          <w:cantSplit/>
        </w:trPr>
        <w:tc>
          <w:tcPr>
            <w:tcW w:w="5000" w:type="pct"/>
            <w:gridSpan w:val="3"/>
            <w:tcMar>
              <w:top w:w="284" w:type="dxa"/>
              <w:bottom w:w="57" w:type="dxa"/>
            </w:tcMar>
            <w:vAlign w:val="center"/>
          </w:tcPr>
          <w:p w:rsidR="00903206" w:rsidRPr="00C22905" w:rsidRDefault="00903206" w:rsidP="008E32ED"/>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903206" w:rsidTr="008E32ED">
        <w:tc>
          <w:tcPr>
            <w:tcW w:w="1500" w:type="pct"/>
            <w:tcMar>
              <w:top w:w="284" w:type="dxa"/>
            </w:tcMar>
          </w:tcPr>
          <w:p w:rsidR="00903206" w:rsidRDefault="00903206" w:rsidP="008E32ED">
            <w:pPr>
              <w:rPr>
                <w:rFonts w:eastAsia="Calibri"/>
                <w:szCs w:val="24"/>
                <w:lang w:eastAsia="en-US"/>
              </w:rPr>
            </w:pPr>
          </w:p>
        </w:tc>
        <w:tc>
          <w:tcPr>
            <w:tcW w:w="2000" w:type="pct"/>
            <w:tcBorders>
              <w:bottom w:val="single" w:sz="4" w:space="0" w:color="auto"/>
            </w:tcBorders>
            <w:tcMar>
              <w:top w:w="284" w:type="dxa"/>
            </w:tcMar>
          </w:tcPr>
          <w:p w:rsidR="00903206" w:rsidRDefault="00903206" w:rsidP="008E32ED">
            <w:pPr>
              <w:rPr>
                <w:rFonts w:eastAsia="Calibri"/>
                <w:szCs w:val="24"/>
                <w:lang w:eastAsia="en-US"/>
              </w:rPr>
            </w:pPr>
          </w:p>
        </w:tc>
        <w:tc>
          <w:tcPr>
            <w:tcW w:w="1500" w:type="pct"/>
            <w:tcMar>
              <w:top w:w="284" w:type="dxa"/>
            </w:tcMar>
          </w:tcPr>
          <w:p w:rsidR="00903206" w:rsidRDefault="00903206" w:rsidP="008E32ED">
            <w:pPr>
              <w:rPr>
                <w:rFonts w:eastAsia="Calibri"/>
                <w:szCs w:val="24"/>
                <w:lang w:eastAsia="en-US"/>
              </w:rPr>
            </w:pPr>
          </w:p>
        </w:tc>
      </w:tr>
    </w:tbl>
    <w:p w:rsidR="00903206" w:rsidRDefault="00903206" w:rsidP="00B47A41">
      <w:pPr>
        <w:spacing w:after="720"/>
        <w:jc w:val="both"/>
        <w:rPr>
          <w:smallCaps/>
          <w:color w:val="000000"/>
          <w:lang w:val="fr-CA"/>
        </w:rPr>
        <w:sectPr w:rsidR="00903206" w:rsidSect="00B47A41">
          <w:headerReference w:type="default" r:id="rId10"/>
          <w:headerReference w:type="first" r:id="rId11"/>
          <w:pgSz w:w="12240" w:h="15840"/>
          <w:pgMar w:top="1440" w:right="1440" w:bottom="1440" w:left="1440" w:header="1800" w:footer="720" w:gutter="0"/>
          <w:cols w:space="720"/>
          <w:formProt w:val="0"/>
          <w:docGrid w:linePitch="326"/>
        </w:sectPr>
      </w:pPr>
    </w:p>
    <w:p w:rsidR="00B47A41" w:rsidRPr="00FC6D16" w:rsidRDefault="00B47A41" w:rsidP="00B47A41">
      <w:pPr>
        <w:spacing w:after="720"/>
        <w:jc w:val="both"/>
        <w:rPr>
          <w:lang w:val="fr-CA"/>
        </w:rPr>
      </w:pPr>
      <w:bookmarkStart w:id="0" w:name="_GoBack"/>
      <w:bookmarkEnd w:id="0"/>
      <w:r w:rsidRPr="00D84EE1">
        <w:rPr>
          <w:smallCaps/>
          <w:color w:val="000000"/>
          <w:lang w:val="fr-CA"/>
        </w:rPr>
        <w:lastRenderedPageBreak/>
        <w:t>r.</w:t>
      </w:r>
      <w:r>
        <w:rPr>
          <w:color w:val="000000"/>
          <w:lang w:val="fr-CA"/>
        </w:rPr>
        <w:t xml:space="preserve"> </w:t>
      </w:r>
      <w:r w:rsidRPr="00D84EE1">
        <w:rPr>
          <w:i/>
          <w:iCs/>
          <w:color w:val="000000"/>
          <w:lang w:val="fr-CA"/>
        </w:rPr>
        <w:t>v</w:t>
      </w:r>
      <w:r w:rsidRPr="00D84EE1">
        <w:rPr>
          <w:color w:val="000000"/>
          <w:lang w:val="fr-CA"/>
        </w:rPr>
        <w:t xml:space="preserve">. </w:t>
      </w:r>
      <w:proofErr w:type="spellStart"/>
      <w:r w:rsidRPr="00D84EE1">
        <w:rPr>
          <w:smallCaps/>
          <w:color w:val="000000"/>
          <w:lang w:val="fr-CA"/>
        </w:rPr>
        <w:t>yusuf</w:t>
      </w:r>
      <w:proofErr w:type="spellEnd"/>
    </w:p>
    <w:p w:rsidR="00B47A41" w:rsidRPr="00FC6D16" w:rsidRDefault="00B47A41" w:rsidP="00B47A41">
      <w:pPr>
        <w:pStyle w:val="SCCLsocLastPartyInRole"/>
        <w:rPr>
          <w:lang w:val="fr-CA"/>
        </w:rPr>
      </w:pPr>
      <w:proofErr w:type="spellStart"/>
      <w:r w:rsidRPr="00D84EE1">
        <w:rPr>
          <w:lang w:val="fr-CA"/>
        </w:rPr>
        <w:t>Jamis</w:t>
      </w:r>
      <w:proofErr w:type="spellEnd"/>
      <w:r w:rsidRPr="00D84EE1">
        <w:rPr>
          <w:lang w:val="fr-CA"/>
        </w:rPr>
        <w:t xml:space="preserve"> Yusuf</w:t>
      </w:r>
      <w:r w:rsidRPr="00FC6D16">
        <w:rPr>
          <w:rStyle w:val="SCCLsocPartyRole"/>
          <w:lang w:val="fr-CA"/>
        </w:rPr>
        <w:tab/>
      </w:r>
      <w:proofErr w:type="spellStart"/>
      <w:r w:rsidRPr="00FC6D16">
        <w:rPr>
          <w:rStyle w:val="SCCLsocPartyRole"/>
          <w:lang w:val="fr-CA"/>
        </w:rPr>
        <w:t>Appellant</w:t>
      </w:r>
      <w:proofErr w:type="spellEnd"/>
    </w:p>
    <w:p w:rsidR="00B47A41" w:rsidRDefault="00B47A41" w:rsidP="00B47A41">
      <w:pPr>
        <w:pStyle w:val="SCCLsocVersus"/>
      </w:pPr>
      <w:proofErr w:type="gramStart"/>
      <w:r>
        <w:t>v</w:t>
      </w:r>
      <w:proofErr w:type="gramEnd"/>
      <w:r>
        <w:t>.</w:t>
      </w:r>
    </w:p>
    <w:p w:rsidR="00B47A41" w:rsidRDefault="00B47A41" w:rsidP="00B47A41">
      <w:pPr>
        <w:pStyle w:val="SCCLsocLastPartyInRole"/>
      </w:pPr>
      <w:r>
        <w:t xml:space="preserve">Her Majesty </w:t>
      </w:r>
      <w:proofErr w:type="gramStart"/>
      <w:r>
        <w:t>The</w:t>
      </w:r>
      <w:proofErr w:type="gramEnd"/>
      <w:r>
        <w:t xml:space="preserve"> Queen</w:t>
      </w:r>
      <w:r>
        <w:rPr>
          <w:rStyle w:val="SCCLsocPartyRole"/>
        </w:rPr>
        <w:tab/>
        <w:t>Respondent</w:t>
      </w:r>
    </w:p>
    <w:p w:rsidR="00B47A41" w:rsidRPr="009E03A4" w:rsidRDefault="00B47A41" w:rsidP="00B47A41">
      <w:pPr>
        <w:pStyle w:val="SCCLsocSubfileSeparator"/>
        <w:rPr>
          <w:lang w:val="fr-CA"/>
        </w:rPr>
      </w:pPr>
      <w:r>
        <w:rPr>
          <w:lang w:val="fr-CA"/>
        </w:rPr>
        <w:noBreakHyphen/>
        <w:t xml:space="preserve"> </w:t>
      </w:r>
      <w:proofErr w:type="gramStart"/>
      <w:r>
        <w:rPr>
          <w:lang w:val="fr-CA"/>
        </w:rPr>
        <w:t>and</w:t>
      </w:r>
      <w:proofErr w:type="gramEnd"/>
      <w:r>
        <w:rPr>
          <w:lang w:val="fr-CA"/>
        </w:rPr>
        <w:t xml:space="preserve"> </w:t>
      </w:r>
      <w:r>
        <w:rPr>
          <w:lang w:val="fr-CA"/>
        </w:rPr>
        <w:noBreakHyphen/>
      </w:r>
    </w:p>
    <w:p w:rsidR="00B47A41" w:rsidRPr="00D84EE1" w:rsidRDefault="00B47A41" w:rsidP="00B47A41">
      <w:pPr>
        <w:pStyle w:val="SCCLsocLastPartyInRole"/>
        <w:rPr>
          <w:lang w:val="fr-CA"/>
        </w:rPr>
      </w:pPr>
      <w:r w:rsidRPr="00D84EE1">
        <w:rPr>
          <w:lang w:val="fr-CA"/>
        </w:rPr>
        <w:t xml:space="preserve">Aziz </w:t>
      </w:r>
      <w:proofErr w:type="spellStart"/>
      <w:r w:rsidRPr="00D84EE1">
        <w:rPr>
          <w:lang w:val="fr-CA"/>
        </w:rPr>
        <w:t>Pauls</w:t>
      </w:r>
      <w:proofErr w:type="spellEnd"/>
      <w:r w:rsidRPr="00D84EE1">
        <w:rPr>
          <w:rStyle w:val="SCCLsocPartyRole"/>
          <w:lang w:val="fr-CA"/>
        </w:rPr>
        <w:tab/>
      </w:r>
      <w:proofErr w:type="spellStart"/>
      <w:r w:rsidRPr="00D84EE1">
        <w:rPr>
          <w:rStyle w:val="SCCLsocPartyRole"/>
          <w:lang w:val="fr-CA"/>
        </w:rPr>
        <w:t>Appellant</w:t>
      </w:r>
      <w:proofErr w:type="spellEnd"/>
    </w:p>
    <w:p w:rsidR="00B47A41" w:rsidRPr="00D84EE1" w:rsidRDefault="00B47A41" w:rsidP="00B47A41">
      <w:pPr>
        <w:pStyle w:val="SCCLsocVersus"/>
        <w:rPr>
          <w:lang w:val="fr-CA"/>
        </w:rPr>
      </w:pPr>
      <w:r w:rsidRPr="00D84EE1">
        <w:rPr>
          <w:lang w:val="fr-CA"/>
        </w:rPr>
        <w:t>v.</w:t>
      </w:r>
    </w:p>
    <w:p w:rsidR="00B47A41" w:rsidRDefault="00B47A41" w:rsidP="00B47A41">
      <w:pPr>
        <w:pStyle w:val="SCCLsocLastPartyInRole"/>
      </w:pPr>
      <w:r>
        <w:t xml:space="preserve">Her Majesty </w:t>
      </w:r>
      <w:proofErr w:type="gramStart"/>
      <w:r>
        <w:t>The</w:t>
      </w:r>
      <w:proofErr w:type="gramEnd"/>
      <w:r>
        <w:t xml:space="preserve"> Queen</w:t>
      </w:r>
      <w:r>
        <w:rPr>
          <w:rStyle w:val="SCCLsocPartyRole"/>
        </w:rPr>
        <w:tab/>
        <w:t>Respondent</w:t>
      </w:r>
    </w:p>
    <w:p w:rsidR="00B47A41" w:rsidRDefault="00B47A41" w:rsidP="00B47A41">
      <w:pPr>
        <w:pStyle w:val="SCCLsocSubfileSeparator"/>
      </w:pPr>
      <w:r>
        <w:noBreakHyphen/>
        <w:t xml:space="preserve"> </w:t>
      </w:r>
      <w:proofErr w:type="gramStart"/>
      <w:r>
        <w:t>and</w:t>
      </w:r>
      <w:proofErr w:type="gramEnd"/>
      <w:r>
        <w:t xml:space="preserve"> </w:t>
      </w:r>
      <w:r>
        <w:noBreakHyphen/>
      </w:r>
    </w:p>
    <w:p w:rsidR="00B47A41" w:rsidRPr="00D84EE1" w:rsidRDefault="00B47A41" w:rsidP="00B47A41">
      <w:pPr>
        <w:pStyle w:val="SCCLsocLastPartyInRole"/>
        <w:rPr>
          <w:lang w:val="en-US"/>
        </w:rPr>
      </w:pPr>
      <w:r w:rsidRPr="00D84EE1">
        <w:rPr>
          <w:lang w:val="en-US"/>
        </w:rPr>
        <w:t>Jamal Yusuf</w:t>
      </w:r>
      <w:r w:rsidRPr="00D84EE1">
        <w:rPr>
          <w:rStyle w:val="SCCLsocPartyRole"/>
          <w:lang w:val="en-US"/>
        </w:rPr>
        <w:tab/>
        <w:t>Appellant</w:t>
      </w:r>
    </w:p>
    <w:p w:rsidR="00B47A41" w:rsidRPr="00D84EE1" w:rsidRDefault="00B47A41" w:rsidP="00B47A41">
      <w:pPr>
        <w:pStyle w:val="SCCLsocVersus"/>
        <w:rPr>
          <w:lang w:val="en-US"/>
        </w:rPr>
      </w:pPr>
      <w:proofErr w:type="gramStart"/>
      <w:r w:rsidRPr="00D84EE1">
        <w:rPr>
          <w:lang w:val="en-US"/>
        </w:rPr>
        <w:t>v</w:t>
      </w:r>
      <w:proofErr w:type="gramEnd"/>
      <w:r w:rsidRPr="00D84EE1">
        <w:rPr>
          <w:lang w:val="en-US"/>
        </w:rPr>
        <w:t>.</w:t>
      </w:r>
    </w:p>
    <w:p w:rsidR="00B47A41" w:rsidRDefault="00B47A41" w:rsidP="00B47A41">
      <w:pPr>
        <w:pStyle w:val="SCCLsocLastPartyInRole"/>
      </w:pPr>
      <w:r>
        <w:t xml:space="preserve">Her Majesty </w:t>
      </w:r>
      <w:proofErr w:type="gramStart"/>
      <w:r>
        <w:t>The</w:t>
      </w:r>
      <w:proofErr w:type="gramEnd"/>
      <w:r>
        <w:t xml:space="preserve"> Queen</w:t>
      </w:r>
      <w:r>
        <w:rPr>
          <w:rStyle w:val="SCCLsocPartyRole"/>
        </w:rPr>
        <w:tab/>
        <w:t>Respondent</w:t>
      </w:r>
    </w:p>
    <w:p w:rsidR="00B47A41" w:rsidRPr="00426659" w:rsidRDefault="00B47A41" w:rsidP="00B47A41">
      <w:pPr>
        <w:spacing w:after="720"/>
        <w:jc w:val="both"/>
        <w:rPr>
          <w:b/>
        </w:rPr>
      </w:pPr>
      <w:r w:rsidRPr="00426659">
        <w:rPr>
          <w:b/>
        </w:rPr>
        <w:t>Indexed as:</w:t>
      </w:r>
      <w:r>
        <w:rPr>
          <w:b/>
        </w:rPr>
        <w:t xml:space="preserve"> R. </w:t>
      </w:r>
      <w:r w:rsidRPr="00D84EE1">
        <w:rPr>
          <w:b/>
          <w:i/>
          <w:iCs/>
        </w:rPr>
        <w:t>v</w:t>
      </w:r>
      <w:r w:rsidRPr="00D84EE1">
        <w:rPr>
          <w:b/>
        </w:rPr>
        <w:t>. Yusuf</w:t>
      </w:r>
    </w:p>
    <w:p w:rsidR="00B47A41" w:rsidRPr="00C02092" w:rsidRDefault="00B47A41" w:rsidP="00B47A41">
      <w:pPr>
        <w:pStyle w:val="SCCSystemYear"/>
        <w:spacing w:after="720"/>
        <w:jc w:val="both"/>
      </w:pPr>
      <w:r>
        <w:lastRenderedPageBreak/>
        <w:t>2021 SCC 2</w:t>
      </w:r>
    </w:p>
    <w:p w:rsidR="00B47A41" w:rsidRDefault="00B47A41" w:rsidP="00B47A41">
      <w:pPr>
        <w:spacing w:after="720"/>
        <w:jc w:val="both"/>
      </w:pPr>
      <w:r>
        <w:t xml:space="preserve">File No.: </w:t>
      </w:r>
      <w:r>
        <w:rPr>
          <w:color w:val="000000"/>
        </w:rPr>
        <w:t>39110</w:t>
      </w:r>
      <w:r w:rsidRPr="001426A9">
        <w:t>.</w:t>
      </w:r>
    </w:p>
    <w:p w:rsidR="00B47A41" w:rsidRDefault="00B47A41" w:rsidP="00B47A41">
      <w:pPr>
        <w:spacing w:after="720"/>
        <w:jc w:val="both"/>
      </w:pPr>
      <w:r>
        <w:t xml:space="preserve">2021: </w:t>
      </w:r>
      <w:r>
        <w:rPr>
          <w:color w:val="000000"/>
        </w:rPr>
        <w:t>January 19</w:t>
      </w:r>
      <w:r w:rsidRPr="001426A9">
        <w:t>.</w:t>
      </w:r>
    </w:p>
    <w:p w:rsidR="00B47A41" w:rsidRDefault="00B47A41" w:rsidP="00B47A41">
      <w:pPr>
        <w:spacing w:after="720"/>
        <w:jc w:val="both"/>
      </w:pPr>
      <w:r w:rsidRPr="001426A9">
        <w:t xml:space="preserve">Present: </w:t>
      </w:r>
      <w:r>
        <w:rPr>
          <w:color w:val="000000"/>
        </w:rPr>
        <w:t xml:space="preserve">Wagner C.J. and </w:t>
      </w:r>
      <w:proofErr w:type="spellStart"/>
      <w:r>
        <w:rPr>
          <w:color w:val="000000"/>
        </w:rPr>
        <w:t>Abella</w:t>
      </w:r>
      <w:proofErr w:type="spellEnd"/>
      <w:r>
        <w:rPr>
          <w:color w:val="000000"/>
        </w:rPr>
        <w:t xml:space="preserve">, </w:t>
      </w:r>
      <w:proofErr w:type="spellStart"/>
      <w:r>
        <w:rPr>
          <w:color w:val="000000"/>
        </w:rPr>
        <w:t>Moldaver</w:t>
      </w:r>
      <w:proofErr w:type="spellEnd"/>
      <w:r>
        <w:rPr>
          <w:color w:val="000000"/>
        </w:rPr>
        <w:t xml:space="preserve">, </w:t>
      </w:r>
      <w:proofErr w:type="spellStart"/>
      <w:r>
        <w:rPr>
          <w:color w:val="000000"/>
        </w:rPr>
        <w:t>Karakatsanis</w:t>
      </w:r>
      <w:proofErr w:type="spellEnd"/>
      <w:r>
        <w:rPr>
          <w:color w:val="000000"/>
        </w:rPr>
        <w:t xml:space="preserve">, </w:t>
      </w:r>
      <w:proofErr w:type="spellStart"/>
      <w:r>
        <w:rPr>
          <w:color w:val="000000"/>
        </w:rPr>
        <w:t>Côté</w:t>
      </w:r>
      <w:proofErr w:type="spellEnd"/>
      <w:r>
        <w:rPr>
          <w:color w:val="000000"/>
        </w:rPr>
        <w:t xml:space="preserve">, Brown, Rowe, Martin and </w:t>
      </w:r>
      <w:proofErr w:type="spellStart"/>
      <w:r>
        <w:rPr>
          <w:color w:val="000000"/>
        </w:rPr>
        <w:t>Kasirer</w:t>
      </w:r>
      <w:proofErr w:type="spellEnd"/>
      <w:r>
        <w:rPr>
          <w:color w:val="000000"/>
        </w:rPr>
        <w:t> JJ.</w:t>
      </w:r>
    </w:p>
    <w:p w:rsidR="00B47A41" w:rsidRPr="001C779F" w:rsidRDefault="00B47A41" w:rsidP="00B47A41">
      <w:pPr>
        <w:pStyle w:val="SCCLowerCourtNameLowercase"/>
        <w:spacing w:after="720" w:line="240" w:lineRule="auto"/>
      </w:pPr>
      <w:r>
        <w:t xml:space="preserve">on appeal from the court of appeal for </w:t>
      </w:r>
      <w:proofErr w:type="spellStart"/>
      <w:r>
        <w:t>ontario</w:t>
      </w:r>
      <w:proofErr w:type="spellEnd"/>
    </w:p>
    <w:p w:rsidR="00B47A41" w:rsidRPr="00C471DC" w:rsidRDefault="00B47A41" w:rsidP="00B47A41">
      <w:pPr>
        <w:pStyle w:val="SCCNormalDoubleSpacing"/>
        <w:spacing w:after="480"/>
        <w:rPr>
          <w:i/>
        </w:rPr>
      </w:pPr>
      <w:r>
        <w:tab/>
      </w:r>
      <w:r>
        <w:rPr>
          <w:i/>
        </w:rPr>
        <w:t xml:space="preserve">Constitutional law — Charter of Rights — Right to be tried within reasonable time — Accused convicted of assault causing bodily harm and forcible confinement — </w:t>
      </w:r>
      <w:r w:rsidRPr="00E55B33">
        <w:rPr>
          <w:i/>
        </w:rPr>
        <w:t xml:space="preserve">Accused moving for stay of proceedings on basis that their right to be tried within </w:t>
      </w:r>
      <w:r>
        <w:rPr>
          <w:i/>
        </w:rPr>
        <w:t>reasonable time under s. </w:t>
      </w:r>
      <w:r w:rsidRPr="00E55B33">
        <w:rPr>
          <w:i/>
        </w:rPr>
        <w:t>11(b) of Canadian Charter of Rights and Freedoms was infringed</w:t>
      </w:r>
      <w:r>
        <w:t xml:space="preserve"> </w:t>
      </w:r>
      <w:r>
        <w:rPr>
          <w:i/>
        </w:rPr>
        <w:t>— Trial judge holding that delay exceeded presumptive ceiling set out in Jordan and staying proceedings — Court of Appeal concluding that net delay was below Jordan ceiling and setting aside stay of proceedings — Court of Appeal’s decision affirmed.</w:t>
      </w:r>
    </w:p>
    <w:p w:rsidR="00B47A41" w:rsidRDefault="00B47A41" w:rsidP="00B47A41">
      <w:pPr>
        <w:pStyle w:val="SCCNormalDoubleSpacing"/>
        <w:widowControl w:val="0"/>
        <w:spacing w:after="720" w:line="240" w:lineRule="auto"/>
        <w:rPr>
          <w:b/>
        </w:rPr>
      </w:pPr>
      <w:r w:rsidRPr="00314E01">
        <w:rPr>
          <w:b/>
        </w:rPr>
        <w:t>Cases Cited</w:t>
      </w:r>
    </w:p>
    <w:p w:rsidR="00B47A41" w:rsidRPr="007E1C47" w:rsidRDefault="00B47A41" w:rsidP="00B47A41">
      <w:pPr>
        <w:pStyle w:val="SCCNormalDoubleSpacing"/>
        <w:widowControl w:val="0"/>
        <w:spacing w:after="480"/>
      </w:pPr>
      <w:r>
        <w:tab/>
      </w:r>
      <w:r w:rsidRPr="00314E01">
        <w:rPr>
          <w:b/>
        </w:rPr>
        <w:t>Referred to:</w:t>
      </w:r>
      <w:r w:rsidRPr="00BD0E9E">
        <w:t xml:space="preserve"> </w:t>
      </w:r>
      <w:r>
        <w:rPr>
          <w:i/>
          <w:iCs/>
          <w:color w:val="000000"/>
        </w:rPr>
        <w:t>R. v. Jordan</w:t>
      </w:r>
      <w:r>
        <w:rPr>
          <w:color w:val="000000"/>
        </w:rPr>
        <w:t xml:space="preserve">, 2016 SCC 27, [2016] 1 S.C.R. 631; </w:t>
      </w:r>
      <w:r>
        <w:rPr>
          <w:i/>
          <w:iCs/>
          <w:color w:val="000000"/>
        </w:rPr>
        <w:t>R. v. Cody</w:t>
      </w:r>
      <w:r>
        <w:rPr>
          <w:color w:val="000000"/>
        </w:rPr>
        <w:t>, 2017 SCC 31, [2017] 1 S.C.R. 659.</w:t>
      </w:r>
    </w:p>
    <w:p w:rsidR="00B47A41" w:rsidRDefault="00B47A41" w:rsidP="00B47A41">
      <w:pPr>
        <w:pStyle w:val="SCCNormalDoubleSpacing"/>
        <w:spacing w:after="720" w:line="240" w:lineRule="auto"/>
      </w:pPr>
      <w:r w:rsidRPr="00314E01">
        <w:rPr>
          <w:b/>
        </w:rPr>
        <w:lastRenderedPageBreak/>
        <w:t>Statutes and Regulations Cite</w:t>
      </w:r>
      <w:r>
        <w:rPr>
          <w:b/>
        </w:rPr>
        <w:t>d</w:t>
      </w:r>
    </w:p>
    <w:p w:rsidR="00B47A41" w:rsidRPr="007E1C47" w:rsidRDefault="00B47A41" w:rsidP="00B47A41">
      <w:pPr>
        <w:pStyle w:val="SCCNormalDoubleSpacing"/>
        <w:widowControl w:val="0"/>
        <w:spacing w:after="720" w:line="240" w:lineRule="auto"/>
      </w:pPr>
      <w:r w:rsidRPr="00A63FB1">
        <w:rPr>
          <w:i/>
        </w:rPr>
        <w:t>Canadian Charter of Rights and Freedoms</w:t>
      </w:r>
      <w:r>
        <w:t>, s. 11(</w:t>
      </w:r>
      <w:r>
        <w:rPr>
          <w:i/>
        </w:rPr>
        <w:t>b</w:t>
      </w:r>
      <w:r>
        <w:t>).</w:t>
      </w:r>
    </w:p>
    <w:p w:rsidR="00B47A41" w:rsidRDefault="00B47A41" w:rsidP="00B47A41">
      <w:pPr>
        <w:pStyle w:val="SCCNormalDoubleSpacing"/>
        <w:spacing w:after="480"/>
      </w:pPr>
      <w:r w:rsidRPr="001426A9">
        <w:tab/>
        <w:t xml:space="preserve">APPEAL from a judgment of the </w:t>
      </w:r>
      <w:r>
        <w:t>Ontario Court of Appeal (</w:t>
      </w:r>
      <w:r w:rsidRPr="00A63FB1">
        <w:t>Simmons</w:t>
      </w:r>
      <w:r>
        <w:t xml:space="preserve">, </w:t>
      </w:r>
      <w:r w:rsidRPr="00A63FB1">
        <w:t>Watt</w:t>
      </w:r>
      <w:r>
        <w:t xml:space="preserve"> and </w:t>
      </w:r>
      <w:r w:rsidRPr="00A63FB1">
        <w:t>Miller JJ.A.</w:t>
      </w:r>
      <w:r>
        <w:t xml:space="preserve">), </w:t>
      </w:r>
      <w:r>
        <w:rPr>
          <w:color w:val="000000"/>
        </w:rPr>
        <w:t xml:space="preserve">2020 ONCA 220 </w:t>
      </w:r>
      <w:r>
        <w:t>(</w:t>
      </w:r>
      <w:r w:rsidRPr="00B174F6">
        <w:rPr>
          <w:i/>
        </w:rPr>
        <w:t xml:space="preserve">sub nom. R. v. </w:t>
      </w:r>
      <w:proofErr w:type="spellStart"/>
      <w:r w:rsidRPr="00B174F6">
        <w:rPr>
          <w:i/>
        </w:rPr>
        <w:t>Pauls</w:t>
      </w:r>
      <w:proofErr w:type="spellEnd"/>
      <w:r>
        <w:t>)</w:t>
      </w:r>
      <w:r>
        <w:rPr>
          <w:color w:val="000000"/>
        </w:rPr>
        <w:t xml:space="preserve">, </w:t>
      </w:r>
      <w:r w:rsidRPr="00A63FB1">
        <w:rPr>
          <w:color w:val="000000"/>
        </w:rPr>
        <w:t>149 O.R. (3d) 609</w:t>
      </w:r>
      <w:r>
        <w:rPr>
          <w:color w:val="000000"/>
        </w:rPr>
        <w:t xml:space="preserve">, </w:t>
      </w:r>
      <w:r w:rsidRPr="00A63FB1">
        <w:rPr>
          <w:color w:val="000000"/>
        </w:rPr>
        <w:t>453 D.L.R. (4th) 193, 454 C.R.R. (2d) 138</w:t>
      </w:r>
      <w:r>
        <w:rPr>
          <w:color w:val="000000"/>
        </w:rPr>
        <w:t>, [2020] O.J. No. </w:t>
      </w:r>
      <w:r w:rsidRPr="00A63FB1">
        <w:rPr>
          <w:color w:val="000000"/>
        </w:rPr>
        <w:t>1186</w:t>
      </w:r>
      <w:r>
        <w:rPr>
          <w:color w:val="000000"/>
        </w:rPr>
        <w:t xml:space="preserve"> (QL), </w:t>
      </w:r>
      <w:r w:rsidRPr="00A63FB1">
        <w:rPr>
          <w:color w:val="000000"/>
        </w:rPr>
        <w:t xml:space="preserve">2020 </w:t>
      </w:r>
      <w:proofErr w:type="spellStart"/>
      <w:r w:rsidRPr="00A63FB1">
        <w:rPr>
          <w:color w:val="000000"/>
        </w:rPr>
        <w:t>CarswellOnt</w:t>
      </w:r>
      <w:proofErr w:type="spellEnd"/>
      <w:r w:rsidRPr="00A63FB1">
        <w:rPr>
          <w:color w:val="000000"/>
        </w:rPr>
        <w:t xml:space="preserve"> 3744</w:t>
      </w:r>
      <w:r>
        <w:rPr>
          <w:color w:val="000000"/>
        </w:rPr>
        <w:t xml:space="preserve"> (WL Can.), </w:t>
      </w:r>
      <w:r w:rsidRPr="00173A02">
        <w:t>setting aside a</w:t>
      </w:r>
      <w:r>
        <w:t xml:space="preserve"> stay of proceedings ordered by the trial judge and remitting the matter for sentencing. Appeal </w:t>
      </w:r>
      <w:r w:rsidRPr="00D04568">
        <w:t>dismiss</w:t>
      </w:r>
      <w:r>
        <w:t>ed.</w:t>
      </w:r>
    </w:p>
    <w:p w:rsidR="00B47A41" w:rsidRDefault="00B47A41" w:rsidP="00B47A41">
      <w:pPr>
        <w:pStyle w:val="SCCNormalDoubleSpacing"/>
        <w:spacing w:after="480"/>
      </w:pPr>
      <w:r>
        <w:tab/>
      </w:r>
      <w:r w:rsidRPr="00D04568">
        <w:rPr>
          <w:i/>
          <w:iCs/>
          <w:lang w:val="en-US"/>
        </w:rPr>
        <w:t xml:space="preserve">Adam </w:t>
      </w:r>
      <w:proofErr w:type="gramStart"/>
      <w:r w:rsidRPr="00D04568">
        <w:rPr>
          <w:i/>
          <w:iCs/>
          <w:lang w:val="en-US"/>
        </w:rPr>
        <w:t>Little</w:t>
      </w:r>
      <w:proofErr w:type="gramEnd"/>
      <w:r w:rsidRPr="00D04568">
        <w:rPr>
          <w:lang w:val="en-US"/>
        </w:rPr>
        <w:t xml:space="preserve">, for the appellant </w:t>
      </w:r>
      <w:proofErr w:type="spellStart"/>
      <w:r w:rsidRPr="00D04568">
        <w:rPr>
          <w:lang w:val="en-US"/>
        </w:rPr>
        <w:t>Jamis</w:t>
      </w:r>
      <w:proofErr w:type="spellEnd"/>
      <w:r w:rsidRPr="00D04568">
        <w:rPr>
          <w:lang w:val="en-US"/>
        </w:rPr>
        <w:t xml:space="preserve"> Yusuf.</w:t>
      </w:r>
    </w:p>
    <w:p w:rsidR="00B47A41" w:rsidRDefault="00B47A41" w:rsidP="00B47A41">
      <w:pPr>
        <w:pStyle w:val="SCCNormalDoubleSpacing"/>
        <w:spacing w:after="480"/>
      </w:pPr>
      <w:r>
        <w:tab/>
      </w:r>
      <w:r w:rsidRPr="00D04568">
        <w:rPr>
          <w:i/>
          <w:iCs/>
          <w:lang w:val="en-US"/>
        </w:rPr>
        <w:t>Michael W. Lacy</w:t>
      </w:r>
      <w:r>
        <w:rPr>
          <w:lang w:val="en-US"/>
        </w:rPr>
        <w:t xml:space="preserve"> and </w:t>
      </w:r>
      <w:r w:rsidRPr="00D04568">
        <w:rPr>
          <w:i/>
          <w:iCs/>
          <w:lang w:val="en-US"/>
        </w:rPr>
        <w:t xml:space="preserve">Bryan </w:t>
      </w:r>
      <w:proofErr w:type="spellStart"/>
      <w:r w:rsidRPr="00D04568">
        <w:rPr>
          <w:i/>
          <w:iCs/>
          <w:lang w:val="en-US"/>
        </w:rPr>
        <w:t>Badali</w:t>
      </w:r>
      <w:proofErr w:type="spellEnd"/>
      <w:r w:rsidRPr="00D04568">
        <w:rPr>
          <w:lang w:val="en-US"/>
        </w:rPr>
        <w:t xml:space="preserve">, for the appellant Aziz </w:t>
      </w:r>
      <w:proofErr w:type="spellStart"/>
      <w:r w:rsidRPr="00D04568">
        <w:rPr>
          <w:lang w:val="en-US"/>
        </w:rPr>
        <w:t>Pauls</w:t>
      </w:r>
      <w:proofErr w:type="spellEnd"/>
      <w:r w:rsidRPr="00D04568">
        <w:rPr>
          <w:lang w:val="en-US"/>
        </w:rPr>
        <w:t>.</w:t>
      </w:r>
    </w:p>
    <w:p w:rsidR="00B47A41" w:rsidRDefault="00B47A41" w:rsidP="00B47A41">
      <w:pPr>
        <w:pStyle w:val="SCCNormalDoubleSpacing"/>
        <w:spacing w:after="480"/>
        <w:rPr>
          <w:lang w:val="en-US"/>
        </w:rPr>
      </w:pPr>
      <w:r>
        <w:tab/>
      </w:r>
      <w:r w:rsidRPr="00D04568">
        <w:rPr>
          <w:i/>
          <w:iCs/>
          <w:lang w:val="en-US"/>
        </w:rPr>
        <w:t xml:space="preserve">Boris </w:t>
      </w:r>
      <w:proofErr w:type="spellStart"/>
      <w:r w:rsidRPr="00D04568">
        <w:rPr>
          <w:i/>
          <w:iCs/>
          <w:lang w:val="en-US"/>
        </w:rPr>
        <w:t>Bytensky</w:t>
      </w:r>
      <w:proofErr w:type="spellEnd"/>
      <w:r>
        <w:rPr>
          <w:lang w:val="en-US"/>
        </w:rPr>
        <w:t xml:space="preserve"> and </w:t>
      </w:r>
      <w:r w:rsidRPr="00D04568">
        <w:rPr>
          <w:i/>
          <w:iCs/>
          <w:lang w:val="en-US"/>
        </w:rPr>
        <w:t>Brittany Smith</w:t>
      </w:r>
      <w:r w:rsidRPr="00D04568">
        <w:rPr>
          <w:lang w:val="en-US"/>
        </w:rPr>
        <w:t>, for the appellant Jamal Yusuf.</w:t>
      </w:r>
    </w:p>
    <w:p w:rsidR="00B47A41" w:rsidRPr="00D04568" w:rsidRDefault="00B47A41" w:rsidP="00B47A41">
      <w:pPr>
        <w:pStyle w:val="SCCNormalDoubleSpacing"/>
        <w:spacing w:after="480"/>
      </w:pPr>
      <w:r>
        <w:rPr>
          <w:lang w:val="en-US"/>
        </w:rPr>
        <w:tab/>
      </w:r>
      <w:r w:rsidRPr="00D04568">
        <w:rPr>
          <w:i/>
          <w:iCs/>
          <w:lang w:val="en-US"/>
        </w:rPr>
        <w:t xml:space="preserve">Philippe G. </w:t>
      </w:r>
      <w:proofErr w:type="spellStart"/>
      <w:r w:rsidRPr="00D04568">
        <w:rPr>
          <w:i/>
          <w:iCs/>
          <w:lang w:val="en-US"/>
        </w:rPr>
        <w:t>Cowle</w:t>
      </w:r>
      <w:proofErr w:type="spellEnd"/>
      <w:r w:rsidRPr="00D04568">
        <w:rPr>
          <w:lang w:val="en-US"/>
        </w:rPr>
        <w:t>, for the respondent.</w:t>
      </w:r>
    </w:p>
    <w:p w:rsidR="00B47A41" w:rsidRDefault="00B47A41" w:rsidP="00B47A41">
      <w:pPr>
        <w:pStyle w:val="SCCNormalDoubleSpacing"/>
        <w:spacing w:after="480"/>
      </w:pPr>
      <w:r>
        <w:tab/>
      </w:r>
      <w:r w:rsidRPr="00D04568">
        <w:t>The judgment of the Court was delivered orally by</w:t>
      </w:r>
    </w:p>
    <w:p w:rsidR="00B47A41" w:rsidRDefault="00B47A41" w:rsidP="00B47A41">
      <w:pPr>
        <w:pStyle w:val="SCCNormalDoubleSpacing"/>
        <w:spacing w:after="480"/>
      </w:pPr>
      <w:r>
        <w:t>[1]</w:t>
      </w:r>
      <w:r>
        <w:tab/>
      </w:r>
      <w:proofErr w:type="spellStart"/>
      <w:r w:rsidRPr="006E40D1">
        <w:rPr>
          <w:smallCaps/>
        </w:rPr>
        <w:t>Moldaver</w:t>
      </w:r>
      <w:proofErr w:type="spellEnd"/>
      <w:r w:rsidRPr="006E40D1">
        <w:rPr>
          <w:smallCaps/>
        </w:rPr>
        <w:t xml:space="preserve"> J.</w:t>
      </w:r>
      <w:r w:rsidRPr="006E40D1">
        <w:t xml:space="preserve"> — </w:t>
      </w:r>
      <w:proofErr w:type="gramStart"/>
      <w:r w:rsidRPr="006E40D1">
        <w:t>This</w:t>
      </w:r>
      <w:proofErr w:type="gramEnd"/>
      <w:r w:rsidRPr="006E40D1">
        <w:t xml:space="preserve"> appeal comes to us as of right. The three appellants were convicted at trial on charges of assault causing bodily harm. Two of the appellants, Messrs. </w:t>
      </w:r>
      <w:proofErr w:type="spellStart"/>
      <w:r w:rsidRPr="006E40D1">
        <w:t>Jamis</w:t>
      </w:r>
      <w:proofErr w:type="spellEnd"/>
      <w:r w:rsidRPr="006E40D1">
        <w:t xml:space="preserve"> Yusuf and Jamal Yusuf, were also convicted of unlawful confinement.</w:t>
      </w:r>
    </w:p>
    <w:p w:rsidR="00B47A41" w:rsidRDefault="00B47A41" w:rsidP="00B47A41">
      <w:pPr>
        <w:pStyle w:val="SCCNormalDoubleSpacing"/>
        <w:spacing w:after="480"/>
      </w:pPr>
      <w:r>
        <w:lastRenderedPageBreak/>
        <w:t>[2]</w:t>
      </w:r>
      <w:r>
        <w:tab/>
      </w:r>
      <w:r w:rsidRPr="006E40D1">
        <w:t>Following the release of the trial judge</w:t>
      </w:r>
      <w:r>
        <w:t>’</w:t>
      </w:r>
      <w:r w:rsidRPr="006E40D1">
        <w:t xml:space="preserve">s reasons for judgment, the appellants moved for a stay of proceedings on the basis that their right to be tried within </w:t>
      </w:r>
      <w:r>
        <w:t>a reasonable time under s. </w:t>
      </w:r>
      <w:r w:rsidRPr="00802E99">
        <w:t>11(</w:t>
      </w:r>
      <w:r w:rsidRPr="00802E99">
        <w:rPr>
          <w:i/>
        </w:rPr>
        <w:t>b</w:t>
      </w:r>
      <w:r w:rsidRPr="00802E99">
        <w:t xml:space="preserve">) of the </w:t>
      </w:r>
      <w:r w:rsidRPr="00802E99">
        <w:rPr>
          <w:i/>
        </w:rPr>
        <w:t xml:space="preserve">Canadian Charter of Rights and Freedoms </w:t>
      </w:r>
      <w:r w:rsidRPr="00802E99">
        <w:t>was infringed. The trial judge agreed and</w:t>
      </w:r>
      <w:r w:rsidRPr="006E40D1">
        <w:t xml:space="preserve"> stayed the proceedings against them. The Crown appealed from that order and in a unanimous decision, the Court of Appeal for Ontario, applying the appropriate standard of review, allowed the appeal and restored the convictions.</w:t>
      </w:r>
    </w:p>
    <w:p w:rsidR="00B47A41" w:rsidRPr="006E40D1" w:rsidRDefault="00B47A41" w:rsidP="00B47A41">
      <w:pPr>
        <w:pStyle w:val="SCCNormalDoubleSpacing"/>
        <w:spacing w:after="480"/>
      </w:pPr>
      <w:r>
        <w:t>[3]</w:t>
      </w:r>
      <w:r>
        <w:tab/>
      </w:r>
      <w:r w:rsidRPr="006E40D1">
        <w:t xml:space="preserve">We agree with the Court of Appeal in the result and would </w:t>
      </w:r>
      <w:r>
        <w:t>accordingly dismiss the appeal.</w:t>
      </w:r>
    </w:p>
    <w:p w:rsidR="00B47A41" w:rsidRDefault="00B47A41" w:rsidP="00B47A41">
      <w:pPr>
        <w:pStyle w:val="SCCNormalDoubleSpacing"/>
        <w:spacing w:after="480"/>
      </w:pPr>
      <w:r>
        <w:t>[4]</w:t>
      </w:r>
      <w:r>
        <w:tab/>
      </w:r>
      <w:r w:rsidRPr="006E40D1">
        <w:t xml:space="preserve">In doing so, we have chosen to leave for another day various legal issues that arise </w:t>
      </w:r>
      <w:r w:rsidRPr="00802E99">
        <w:t>from this Court</w:t>
      </w:r>
      <w:r>
        <w:t>’</w:t>
      </w:r>
      <w:r w:rsidRPr="00802E99">
        <w:t xml:space="preserve">s decisions in </w:t>
      </w:r>
      <w:r w:rsidRPr="00802E99">
        <w:rPr>
          <w:i/>
        </w:rPr>
        <w:t>R. v. Jordan</w:t>
      </w:r>
      <w:r w:rsidRPr="00802E99">
        <w:t xml:space="preserve">, 2016 SCC 27, [2016] 1 S.C.R. 631, and </w:t>
      </w:r>
      <w:r w:rsidRPr="00802E99">
        <w:rPr>
          <w:i/>
        </w:rPr>
        <w:t>R. v. Cody</w:t>
      </w:r>
      <w:r w:rsidRPr="00802E99">
        <w:t>, 2017 SCC 31, [2017] 1 S.C.R. 659, including</w:t>
      </w:r>
      <w:r w:rsidRPr="006E40D1">
        <w:t xml:space="preserve"> whether and in what circumstances multiple accused should be treated communally as opposed to individually when a</w:t>
      </w:r>
      <w:r w:rsidR="00256E29">
        <w:t>ssessing defence delay under s. </w:t>
      </w:r>
      <w:r w:rsidRPr="006E40D1">
        <w:t>11(</w:t>
      </w:r>
      <w:r w:rsidRPr="006E40D1">
        <w:rPr>
          <w:i/>
        </w:rPr>
        <w:t>b</w:t>
      </w:r>
      <w:r w:rsidRPr="006E40D1">
        <w:t xml:space="preserve">); whether discrete events as defined </w:t>
      </w:r>
      <w:r w:rsidRPr="00802E99">
        <w:t xml:space="preserve">in </w:t>
      </w:r>
      <w:r w:rsidRPr="00802E99">
        <w:rPr>
          <w:i/>
        </w:rPr>
        <w:t>Jordan</w:t>
      </w:r>
      <w:r w:rsidRPr="006E40D1">
        <w:t xml:space="preserve"> attributable to a particular accused should be deducted only from the accused responsible for those events or be </w:t>
      </w:r>
      <w:r w:rsidR="00256E29">
        <w:t>deducted communally from the co</w:t>
      </w:r>
      <w:r w:rsidR="00256E29">
        <w:noBreakHyphen/>
      </w:r>
      <w:r w:rsidRPr="006E40D1">
        <w:t>accused as well; and whether a s.</w:t>
      </w:r>
      <w:r>
        <w:t> </w:t>
      </w:r>
      <w:r w:rsidRPr="006E40D1">
        <w:t>11(</w:t>
      </w:r>
      <w:r w:rsidRPr="006E40D1">
        <w:rPr>
          <w:i/>
        </w:rPr>
        <w:t>b</w:t>
      </w:r>
      <w:r w:rsidRPr="006E40D1">
        <w:t>) application can be brought post</w:t>
      </w:r>
      <w:r>
        <w:noBreakHyphen/>
      </w:r>
      <w:r w:rsidRPr="006E40D1">
        <w:t>conviction and if so, whether a remedy other than a sta</w:t>
      </w:r>
      <w:r>
        <w:t>y of proceedings is available.</w:t>
      </w:r>
    </w:p>
    <w:p w:rsidR="00B47A41" w:rsidRPr="00D04568" w:rsidRDefault="00B47A41" w:rsidP="00B47A41">
      <w:pPr>
        <w:pStyle w:val="SCCNormalDoubleSpacing"/>
        <w:spacing w:after="480"/>
      </w:pPr>
      <w:r>
        <w:t>[5]</w:t>
      </w:r>
      <w:r>
        <w:tab/>
      </w:r>
      <w:r w:rsidRPr="00D04568">
        <w:t xml:space="preserve">In this case, we are of the view that none of these legal issues, taken alone or together, would have affected the resolution of this appeal. Our decision to leave these legal issues to another day is influenced by several matters, including the absence of interveners who could shed light on them; the fact that this is </w:t>
      </w:r>
      <w:r w:rsidR="008F235F">
        <w:t>a transitional case in which 70 percent</w:t>
      </w:r>
      <w:r w:rsidRPr="00D04568">
        <w:t xml:space="preserve"> of the trial was completed before </w:t>
      </w:r>
      <w:r w:rsidRPr="00D04568">
        <w:lastRenderedPageBreak/>
        <w:t xml:space="preserve">the release of </w:t>
      </w:r>
      <w:r w:rsidRPr="00D04568">
        <w:rPr>
          <w:i/>
        </w:rPr>
        <w:t>Jordan</w:t>
      </w:r>
      <w:r w:rsidRPr="00D04568">
        <w:t xml:space="preserve">; and the lack of meaningful efforts on the part of the three accused to move the trial process ahead in cooperation with the Crown and the trial court. As the Court of Appeal observed, correctly in our view, this trial was by any measure uncomplicated. Based on the foregoing, no proper application of </w:t>
      </w:r>
      <w:r w:rsidRPr="00D04568">
        <w:rPr>
          <w:i/>
        </w:rPr>
        <w:t>Jordan</w:t>
      </w:r>
      <w:r w:rsidRPr="00D04568">
        <w:t xml:space="preserve"> woul</w:t>
      </w:r>
      <w:r w:rsidR="00256E29">
        <w:t>d have resulted in a stay here.</w:t>
      </w:r>
    </w:p>
    <w:p w:rsidR="00B47A41" w:rsidRDefault="00B47A41" w:rsidP="00B47A41">
      <w:pPr>
        <w:pStyle w:val="SCCNormalDoubleSpacing"/>
        <w:spacing w:after="480"/>
      </w:pPr>
      <w:r w:rsidRPr="001426A9">
        <w:tab/>
      </w:r>
      <w:r>
        <w:rPr>
          <w:i/>
          <w:iCs/>
          <w:color w:val="000000"/>
        </w:rPr>
        <w:t>Judgment accordingly.</w:t>
      </w:r>
    </w:p>
    <w:p w:rsidR="00B47A41" w:rsidRPr="00936060" w:rsidRDefault="00B47A41" w:rsidP="00B47A41">
      <w:pPr>
        <w:pStyle w:val="SCCNormalDoubleSpacing"/>
        <w:spacing w:after="480"/>
        <w:rPr>
          <w:i/>
          <w:iCs/>
          <w:color w:val="000000"/>
        </w:rPr>
      </w:pPr>
      <w:r>
        <w:tab/>
      </w:r>
      <w:r w:rsidRPr="00936060">
        <w:rPr>
          <w:i/>
        </w:rPr>
        <w:t>Solicitors for</w:t>
      </w:r>
      <w:r w:rsidRPr="00936060">
        <w:rPr>
          <w:i/>
          <w:iCs/>
          <w:color w:val="000000"/>
        </w:rPr>
        <w:t xml:space="preserve"> the appellant </w:t>
      </w:r>
      <w:proofErr w:type="spellStart"/>
      <w:r w:rsidRPr="00936060">
        <w:rPr>
          <w:i/>
          <w:iCs/>
          <w:color w:val="000000"/>
        </w:rPr>
        <w:t>Jamis</w:t>
      </w:r>
      <w:proofErr w:type="spellEnd"/>
      <w:r w:rsidRPr="00936060">
        <w:rPr>
          <w:i/>
          <w:iCs/>
          <w:color w:val="000000"/>
        </w:rPr>
        <w:t xml:space="preserve"> Yusuf: </w:t>
      </w:r>
      <w:proofErr w:type="spellStart"/>
      <w:r w:rsidRPr="00936060">
        <w:rPr>
          <w:i/>
          <w:iCs/>
          <w:color w:val="000000"/>
        </w:rPr>
        <w:t>Fedorsen</w:t>
      </w:r>
      <w:proofErr w:type="spellEnd"/>
      <w:r w:rsidRPr="00936060">
        <w:rPr>
          <w:i/>
          <w:iCs/>
          <w:color w:val="000000"/>
        </w:rPr>
        <w:t xml:space="preserve"> Law, Toronto.</w:t>
      </w:r>
    </w:p>
    <w:p w:rsidR="00B47A41" w:rsidRPr="00936060" w:rsidRDefault="00B47A41" w:rsidP="00B47A41">
      <w:pPr>
        <w:pStyle w:val="SCCNormalDoubleSpacing"/>
        <w:spacing w:after="480"/>
        <w:rPr>
          <w:i/>
          <w:iCs/>
          <w:color w:val="000000"/>
        </w:rPr>
      </w:pPr>
      <w:r w:rsidRPr="00936060">
        <w:rPr>
          <w:i/>
          <w:iCs/>
          <w:color w:val="000000"/>
        </w:rPr>
        <w:tab/>
        <w:t xml:space="preserve">Solicitors for the appellant Aziz </w:t>
      </w:r>
      <w:proofErr w:type="spellStart"/>
      <w:r w:rsidRPr="00936060">
        <w:rPr>
          <w:i/>
          <w:iCs/>
          <w:color w:val="000000"/>
        </w:rPr>
        <w:t>Pauls</w:t>
      </w:r>
      <w:proofErr w:type="spellEnd"/>
      <w:r w:rsidRPr="00936060">
        <w:rPr>
          <w:i/>
          <w:iCs/>
          <w:color w:val="000000"/>
        </w:rPr>
        <w:t xml:space="preserve">: </w:t>
      </w:r>
      <w:proofErr w:type="spellStart"/>
      <w:r w:rsidRPr="00936060">
        <w:rPr>
          <w:i/>
          <w:iCs/>
          <w:color w:val="000000"/>
        </w:rPr>
        <w:t>Brauti</w:t>
      </w:r>
      <w:proofErr w:type="spellEnd"/>
      <w:r w:rsidRPr="00936060">
        <w:rPr>
          <w:i/>
          <w:iCs/>
          <w:color w:val="000000"/>
        </w:rPr>
        <w:t xml:space="preserve"> </w:t>
      </w:r>
      <w:proofErr w:type="spellStart"/>
      <w:r w:rsidRPr="00936060">
        <w:rPr>
          <w:i/>
          <w:iCs/>
          <w:color w:val="000000"/>
        </w:rPr>
        <w:t>Thorning</w:t>
      </w:r>
      <w:proofErr w:type="spellEnd"/>
      <w:r w:rsidRPr="00936060">
        <w:rPr>
          <w:i/>
          <w:iCs/>
          <w:color w:val="000000"/>
        </w:rPr>
        <w:t>, Toronto.</w:t>
      </w:r>
    </w:p>
    <w:p w:rsidR="00B47A41" w:rsidRPr="00936060" w:rsidRDefault="00B47A41" w:rsidP="00B47A41">
      <w:pPr>
        <w:pStyle w:val="SCCNormalDoubleSpacing"/>
        <w:spacing w:after="480"/>
        <w:rPr>
          <w:i/>
          <w:iCs/>
          <w:color w:val="000000"/>
        </w:rPr>
      </w:pPr>
      <w:r w:rsidRPr="00936060">
        <w:rPr>
          <w:i/>
          <w:iCs/>
          <w:color w:val="000000"/>
        </w:rPr>
        <w:tab/>
        <w:t xml:space="preserve">Solicitors for the appellant Jamal Yusuf: </w:t>
      </w:r>
      <w:proofErr w:type="spellStart"/>
      <w:r w:rsidRPr="00936060">
        <w:rPr>
          <w:i/>
          <w:iCs/>
          <w:color w:val="000000"/>
        </w:rPr>
        <w:t>Bytensky</w:t>
      </w:r>
      <w:proofErr w:type="spellEnd"/>
      <w:r w:rsidRPr="00936060">
        <w:rPr>
          <w:i/>
          <w:iCs/>
          <w:color w:val="000000"/>
        </w:rPr>
        <w:t xml:space="preserve"> </w:t>
      </w:r>
      <w:proofErr w:type="spellStart"/>
      <w:r w:rsidRPr="00936060">
        <w:rPr>
          <w:i/>
          <w:iCs/>
          <w:color w:val="000000"/>
        </w:rPr>
        <w:t>Shikhman</w:t>
      </w:r>
      <w:proofErr w:type="spellEnd"/>
      <w:r w:rsidRPr="00936060">
        <w:rPr>
          <w:i/>
          <w:iCs/>
          <w:color w:val="000000"/>
        </w:rPr>
        <w:t>, Toronto.</w:t>
      </w:r>
    </w:p>
    <w:p w:rsidR="00F7773C" w:rsidRDefault="00B47A41" w:rsidP="00256E29">
      <w:pPr>
        <w:pStyle w:val="SCCNormalDoubleSpacing"/>
        <w:spacing w:after="480"/>
        <w:rPr>
          <w:i/>
        </w:rPr>
      </w:pPr>
      <w:r w:rsidRPr="00936060">
        <w:rPr>
          <w:i/>
          <w:iCs/>
          <w:color w:val="000000"/>
        </w:rPr>
        <w:tab/>
        <w:t>Solicitor for the respondent</w:t>
      </w:r>
      <w:r>
        <w:t xml:space="preserve">: </w:t>
      </w:r>
      <w:r w:rsidRPr="002C64CB">
        <w:rPr>
          <w:i/>
        </w:rPr>
        <w:t>Attorney General of Ontario, Toront</w:t>
      </w:r>
      <w:r w:rsidR="003835CE">
        <w:rPr>
          <w:i/>
        </w:rPr>
        <w:t>o.</w:t>
      </w:r>
    </w:p>
    <w:p w:rsidR="003835CE" w:rsidRPr="00B47A41" w:rsidRDefault="003835CE" w:rsidP="00256E29">
      <w:pPr>
        <w:pStyle w:val="SCCNormalDoubleSpacing"/>
        <w:spacing w:after="480"/>
        <w:rPr>
          <w:lang w:val="en-US"/>
        </w:rPr>
      </w:pPr>
    </w:p>
    <w:sectPr w:rsidR="003835CE" w:rsidRPr="00B47A41" w:rsidSect="00B47A41">
      <w:pgSz w:w="12240" w:h="15840"/>
      <w:pgMar w:top="1440" w:right="1440" w:bottom="1440" w:left="1440" w:header="180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4D" w:rsidRDefault="00E70F4D">
      <w:r>
        <w:separator/>
      </w:r>
    </w:p>
  </w:endnote>
  <w:endnote w:type="continuationSeparator" w:id="0">
    <w:p w:rsidR="00E70F4D" w:rsidRDefault="00E7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4D" w:rsidRDefault="00E70F4D">
      <w:r>
        <w:separator/>
      </w:r>
    </w:p>
  </w:footnote>
  <w:footnote w:type="continuationSeparator" w:id="0">
    <w:p w:rsidR="00E70F4D" w:rsidRDefault="00E7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DA" w:rsidRPr="00B47A41" w:rsidRDefault="00E70F4D" w:rsidP="00B47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55" w:rsidRPr="00B47A41" w:rsidRDefault="00E70F4D" w:rsidP="00B47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5763"/>
    <w:rsid w:val="00026467"/>
    <w:rsid w:val="00040D1B"/>
    <w:rsid w:val="00040F00"/>
    <w:rsid w:val="00041BDD"/>
    <w:rsid w:val="000578A3"/>
    <w:rsid w:val="000648CC"/>
    <w:rsid w:val="00076E46"/>
    <w:rsid w:val="00094FED"/>
    <w:rsid w:val="000A7F61"/>
    <w:rsid w:val="000B5CFA"/>
    <w:rsid w:val="000B69B5"/>
    <w:rsid w:val="000C3FCE"/>
    <w:rsid w:val="000C59B8"/>
    <w:rsid w:val="000C6AF0"/>
    <w:rsid w:val="000C78C2"/>
    <w:rsid w:val="000F0995"/>
    <w:rsid w:val="000F2039"/>
    <w:rsid w:val="000F2FF1"/>
    <w:rsid w:val="00104F33"/>
    <w:rsid w:val="001057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066E"/>
    <w:rsid w:val="00186351"/>
    <w:rsid w:val="00195D83"/>
    <w:rsid w:val="001977DB"/>
    <w:rsid w:val="001A00C1"/>
    <w:rsid w:val="001A42A4"/>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56E29"/>
    <w:rsid w:val="00264B77"/>
    <w:rsid w:val="00270D93"/>
    <w:rsid w:val="002745CC"/>
    <w:rsid w:val="0029178F"/>
    <w:rsid w:val="002B7924"/>
    <w:rsid w:val="002B7ABA"/>
    <w:rsid w:val="002D2226"/>
    <w:rsid w:val="002D28C3"/>
    <w:rsid w:val="002D294E"/>
    <w:rsid w:val="002D39A4"/>
    <w:rsid w:val="002D6EC0"/>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45B4"/>
    <w:rsid w:val="00337C82"/>
    <w:rsid w:val="00342089"/>
    <w:rsid w:val="00347BA4"/>
    <w:rsid w:val="0035169A"/>
    <w:rsid w:val="0035259D"/>
    <w:rsid w:val="00353B79"/>
    <w:rsid w:val="00355C66"/>
    <w:rsid w:val="00362ADA"/>
    <w:rsid w:val="00364B18"/>
    <w:rsid w:val="003835CE"/>
    <w:rsid w:val="00396BF3"/>
    <w:rsid w:val="003A125D"/>
    <w:rsid w:val="003A4C70"/>
    <w:rsid w:val="003B215F"/>
    <w:rsid w:val="003C2CFF"/>
    <w:rsid w:val="003C799C"/>
    <w:rsid w:val="003D0399"/>
    <w:rsid w:val="003E0AD6"/>
    <w:rsid w:val="003E1C71"/>
    <w:rsid w:val="003E2693"/>
    <w:rsid w:val="003E53AC"/>
    <w:rsid w:val="003F327B"/>
    <w:rsid w:val="003F7ACB"/>
    <w:rsid w:val="00400B24"/>
    <w:rsid w:val="00404D28"/>
    <w:rsid w:val="0040508D"/>
    <w:rsid w:val="00406166"/>
    <w:rsid w:val="0040704B"/>
    <w:rsid w:val="00407839"/>
    <w:rsid w:val="00410003"/>
    <w:rsid w:val="00410A55"/>
    <w:rsid w:val="00411300"/>
    <w:rsid w:val="00415417"/>
    <w:rsid w:val="0041747D"/>
    <w:rsid w:val="00424FE1"/>
    <w:rsid w:val="00426659"/>
    <w:rsid w:val="00426D16"/>
    <w:rsid w:val="00450352"/>
    <w:rsid w:val="00454BD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83EDE"/>
    <w:rsid w:val="00586928"/>
    <w:rsid w:val="005A4F85"/>
    <w:rsid w:val="005A6079"/>
    <w:rsid w:val="005C7840"/>
    <w:rsid w:val="005E4698"/>
    <w:rsid w:val="005F184F"/>
    <w:rsid w:val="006003EE"/>
    <w:rsid w:val="00610539"/>
    <w:rsid w:val="00613969"/>
    <w:rsid w:val="0061523C"/>
    <w:rsid w:val="00617208"/>
    <w:rsid w:val="006230B6"/>
    <w:rsid w:val="00625C35"/>
    <w:rsid w:val="00626A7D"/>
    <w:rsid w:val="0062787A"/>
    <w:rsid w:val="00635521"/>
    <w:rsid w:val="006468AB"/>
    <w:rsid w:val="00656313"/>
    <w:rsid w:val="006565F4"/>
    <w:rsid w:val="0066108F"/>
    <w:rsid w:val="00672801"/>
    <w:rsid w:val="006763FD"/>
    <w:rsid w:val="00684EEA"/>
    <w:rsid w:val="006908E8"/>
    <w:rsid w:val="0069689B"/>
    <w:rsid w:val="006A1551"/>
    <w:rsid w:val="006A48DB"/>
    <w:rsid w:val="006B5FF5"/>
    <w:rsid w:val="006B7683"/>
    <w:rsid w:val="006D4200"/>
    <w:rsid w:val="006F30AF"/>
    <w:rsid w:val="007009A0"/>
    <w:rsid w:val="00701759"/>
    <w:rsid w:val="00701CF2"/>
    <w:rsid w:val="00705C15"/>
    <w:rsid w:val="00712E55"/>
    <w:rsid w:val="00713025"/>
    <w:rsid w:val="007154A1"/>
    <w:rsid w:val="00715A65"/>
    <w:rsid w:val="0071600E"/>
    <w:rsid w:val="00717FDC"/>
    <w:rsid w:val="007208D1"/>
    <w:rsid w:val="0072428C"/>
    <w:rsid w:val="00724F81"/>
    <w:rsid w:val="00730177"/>
    <w:rsid w:val="0073578C"/>
    <w:rsid w:val="00742119"/>
    <w:rsid w:val="00747288"/>
    <w:rsid w:val="00747DD3"/>
    <w:rsid w:val="007549C8"/>
    <w:rsid w:val="00754A0B"/>
    <w:rsid w:val="00766D14"/>
    <w:rsid w:val="00767A0F"/>
    <w:rsid w:val="007A05F6"/>
    <w:rsid w:val="007B6F4A"/>
    <w:rsid w:val="007D097E"/>
    <w:rsid w:val="007E1C47"/>
    <w:rsid w:val="007E337A"/>
    <w:rsid w:val="007E5C70"/>
    <w:rsid w:val="007F2FF5"/>
    <w:rsid w:val="007F3F08"/>
    <w:rsid w:val="00804CC6"/>
    <w:rsid w:val="00813B48"/>
    <w:rsid w:val="0081470C"/>
    <w:rsid w:val="00817190"/>
    <w:rsid w:val="008201FB"/>
    <w:rsid w:val="00820EE5"/>
    <w:rsid w:val="008244E9"/>
    <w:rsid w:val="008260E2"/>
    <w:rsid w:val="008322BD"/>
    <w:rsid w:val="008323C4"/>
    <w:rsid w:val="00833E0A"/>
    <w:rsid w:val="00834F73"/>
    <w:rsid w:val="00847F55"/>
    <w:rsid w:val="00851F3D"/>
    <w:rsid w:val="008544FA"/>
    <w:rsid w:val="00864CF8"/>
    <w:rsid w:val="00872819"/>
    <w:rsid w:val="00874914"/>
    <w:rsid w:val="00891422"/>
    <w:rsid w:val="00892E1A"/>
    <w:rsid w:val="008A3F29"/>
    <w:rsid w:val="008B660A"/>
    <w:rsid w:val="008B70F9"/>
    <w:rsid w:val="008C01DA"/>
    <w:rsid w:val="008C02C9"/>
    <w:rsid w:val="008C7263"/>
    <w:rsid w:val="008D2104"/>
    <w:rsid w:val="008F235F"/>
    <w:rsid w:val="008F78E9"/>
    <w:rsid w:val="00903206"/>
    <w:rsid w:val="00903C32"/>
    <w:rsid w:val="00911989"/>
    <w:rsid w:val="009179F9"/>
    <w:rsid w:val="0093031F"/>
    <w:rsid w:val="00931C1C"/>
    <w:rsid w:val="00933E5E"/>
    <w:rsid w:val="00935218"/>
    <w:rsid w:val="009403F3"/>
    <w:rsid w:val="009555B7"/>
    <w:rsid w:val="009567AA"/>
    <w:rsid w:val="0096473A"/>
    <w:rsid w:val="00967374"/>
    <w:rsid w:val="00976EB5"/>
    <w:rsid w:val="00981B4D"/>
    <w:rsid w:val="009A343A"/>
    <w:rsid w:val="009A4E51"/>
    <w:rsid w:val="009A520F"/>
    <w:rsid w:val="009B2F23"/>
    <w:rsid w:val="009B57B3"/>
    <w:rsid w:val="009B6FFE"/>
    <w:rsid w:val="009C5B92"/>
    <w:rsid w:val="009D2920"/>
    <w:rsid w:val="009D5AEB"/>
    <w:rsid w:val="009F0E33"/>
    <w:rsid w:val="009F1E77"/>
    <w:rsid w:val="00A003F4"/>
    <w:rsid w:val="00A030CE"/>
    <w:rsid w:val="00A12217"/>
    <w:rsid w:val="00A149DF"/>
    <w:rsid w:val="00A1755C"/>
    <w:rsid w:val="00A21B90"/>
    <w:rsid w:val="00A244B9"/>
    <w:rsid w:val="00A41805"/>
    <w:rsid w:val="00A42DCD"/>
    <w:rsid w:val="00A44699"/>
    <w:rsid w:val="00A52AFB"/>
    <w:rsid w:val="00A548CB"/>
    <w:rsid w:val="00A5521C"/>
    <w:rsid w:val="00A557A1"/>
    <w:rsid w:val="00A55CEF"/>
    <w:rsid w:val="00A643E7"/>
    <w:rsid w:val="00A73C38"/>
    <w:rsid w:val="00AB305A"/>
    <w:rsid w:val="00AB670D"/>
    <w:rsid w:val="00AC5BFC"/>
    <w:rsid w:val="00AC6FA4"/>
    <w:rsid w:val="00AD2826"/>
    <w:rsid w:val="00AD342F"/>
    <w:rsid w:val="00AD4C25"/>
    <w:rsid w:val="00AE25FE"/>
    <w:rsid w:val="00AE4535"/>
    <w:rsid w:val="00AF03C5"/>
    <w:rsid w:val="00AF0B26"/>
    <w:rsid w:val="00B000D8"/>
    <w:rsid w:val="00B00F75"/>
    <w:rsid w:val="00B11735"/>
    <w:rsid w:val="00B145B6"/>
    <w:rsid w:val="00B2215E"/>
    <w:rsid w:val="00B279EB"/>
    <w:rsid w:val="00B30E18"/>
    <w:rsid w:val="00B32357"/>
    <w:rsid w:val="00B43559"/>
    <w:rsid w:val="00B47A41"/>
    <w:rsid w:val="00B50C81"/>
    <w:rsid w:val="00B557F8"/>
    <w:rsid w:val="00B56AAF"/>
    <w:rsid w:val="00B67199"/>
    <w:rsid w:val="00B6792E"/>
    <w:rsid w:val="00B815FC"/>
    <w:rsid w:val="00B93FBC"/>
    <w:rsid w:val="00BA066D"/>
    <w:rsid w:val="00BA7DA0"/>
    <w:rsid w:val="00BB2366"/>
    <w:rsid w:val="00BB2640"/>
    <w:rsid w:val="00BB2EE4"/>
    <w:rsid w:val="00BB5AE6"/>
    <w:rsid w:val="00BC2108"/>
    <w:rsid w:val="00BC5642"/>
    <w:rsid w:val="00BD0E9E"/>
    <w:rsid w:val="00BD1BEC"/>
    <w:rsid w:val="00BD32FF"/>
    <w:rsid w:val="00BD67ED"/>
    <w:rsid w:val="00C02092"/>
    <w:rsid w:val="00C14AA0"/>
    <w:rsid w:val="00C22905"/>
    <w:rsid w:val="00C229CD"/>
    <w:rsid w:val="00C24D91"/>
    <w:rsid w:val="00C53F14"/>
    <w:rsid w:val="00C600CF"/>
    <w:rsid w:val="00C6084F"/>
    <w:rsid w:val="00C62A66"/>
    <w:rsid w:val="00C62FD6"/>
    <w:rsid w:val="00C71458"/>
    <w:rsid w:val="00C77613"/>
    <w:rsid w:val="00C828E7"/>
    <w:rsid w:val="00C86719"/>
    <w:rsid w:val="00C921DD"/>
    <w:rsid w:val="00CA6391"/>
    <w:rsid w:val="00CA7B39"/>
    <w:rsid w:val="00CC34BD"/>
    <w:rsid w:val="00CE08B9"/>
    <w:rsid w:val="00CE161A"/>
    <w:rsid w:val="00CE2EA2"/>
    <w:rsid w:val="00CE3171"/>
    <w:rsid w:val="00CE7262"/>
    <w:rsid w:val="00CF0703"/>
    <w:rsid w:val="00CF1601"/>
    <w:rsid w:val="00D0172F"/>
    <w:rsid w:val="00D068A7"/>
    <w:rsid w:val="00D173CE"/>
    <w:rsid w:val="00D17476"/>
    <w:rsid w:val="00D26B67"/>
    <w:rsid w:val="00D32086"/>
    <w:rsid w:val="00D360E6"/>
    <w:rsid w:val="00D37A3F"/>
    <w:rsid w:val="00D4431D"/>
    <w:rsid w:val="00D4667A"/>
    <w:rsid w:val="00D469D5"/>
    <w:rsid w:val="00D47BFC"/>
    <w:rsid w:val="00D614A5"/>
    <w:rsid w:val="00D614E0"/>
    <w:rsid w:val="00D63A1C"/>
    <w:rsid w:val="00D67CB1"/>
    <w:rsid w:val="00D7516F"/>
    <w:rsid w:val="00D83628"/>
    <w:rsid w:val="00D8579F"/>
    <w:rsid w:val="00D90B9E"/>
    <w:rsid w:val="00D91A89"/>
    <w:rsid w:val="00D95F8E"/>
    <w:rsid w:val="00DA0590"/>
    <w:rsid w:val="00DB7BEA"/>
    <w:rsid w:val="00DC1739"/>
    <w:rsid w:val="00DC1788"/>
    <w:rsid w:val="00DC2F37"/>
    <w:rsid w:val="00DD105B"/>
    <w:rsid w:val="00DE319C"/>
    <w:rsid w:val="00DE54B0"/>
    <w:rsid w:val="00DF0CA8"/>
    <w:rsid w:val="00DF2B48"/>
    <w:rsid w:val="00DF49A7"/>
    <w:rsid w:val="00E07EE2"/>
    <w:rsid w:val="00E07FD1"/>
    <w:rsid w:val="00E176D8"/>
    <w:rsid w:val="00E24573"/>
    <w:rsid w:val="00E25E1E"/>
    <w:rsid w:val="00E27EE7"/>
    <w:rsid w:val="00E31D67"/>
    <w:rsid w:val="00E3214F"/>
    <w:rsid w:val="00E333F9"/>
    <w:rsid w:val="00E35404"/>
    <w:rsid w:val="00E45109"/>
    <w:rsid w:val="00E47B7A"/>
    <w:rsid w:val="00E50A79"/>
    <w:rsid w:val="00E56A44"/>
    <w:rsid w:val="00E60269"/>
    <w:rsid w:val="00E653D0"/>
    <w:rsid w:val="00E65A2E"/>
    <w:rsid w:val="00E70F4D"/>
    <w:rsid w:val="00E71951"/>
    <w:rsid w:val="00E77932"/>
    <w:rsid w:val="00E83FDA"/>
    <w:rsid w:val="00E92347"/>
    <w:rsid w:val="00E97830"/>
    <w:rsid w:val="00EA1D3B"/>
    <w:rsid w:val="00EB0B7C"/>
    <w:rsid w:val="00ED60AA"/>
    <w:rsid w:val="00ED681A"/>
    <w:rsid w:val="00EE5737"/>
    <w:rsid w:val="00EE643C"/>
    <w:rsid w:val="00EF0683"/>
    <w:rsid w:val="00EF69D2"/>
    <w:rsid w:val="00EF766E"/>
    <w:rsid w:val="00F0070C"/>
    <w:rsid w:val="00F00EB7"/>
    <w:rsid w:val="00F36AB6"/>
    <w:rsid w:val="00F37A09"/>
    <w:rsid w:val="00F409CE"/>
    <w:rsid w:val="00F4379D"/>
    <w:rsid w:val="00F50635"/>
    <w:rsid w:val="00F50D2D"/>
    <w:rsid w:val="00F56C8B"/>
    <w:rsid w:val="00F66810"/>
    <w:rsid w:val="00F75F4E"/>
    <w:rsid w:val="00F7773C"/>
    <w:rsid w:val="00F846D9"/>
    <w:rsid w:val="00F84DF4"/>
    <w:rsid w:val="00F85C97"/>
    <w:rsid w:val="00F94A57"/>
    <w:rsid w:val="00FA51A0"/>
    <w:rsid w:val="00FB37D2"/>
    <w:rsid w:val="00FB7D08"/>
    <w:rsid w:val="00FC3788"/>
    <w:rsid w:val="00FC4EFB"/>
    <w:rsid w:val="00FD068D"/>
    <w:rsid w:val="00FD4F28"/>
    <w:rsid w:val="00FE0416"/>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F7773C"/>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F7773C"/>
    <w:rPr>
      <w:rFonts w:eastAsiaTheme="minorHAnsi" w:cstheme="minorBidi"/>
      <w:b/>
      <w:szCs w:val="22"/>
      <w:lang w:eastAsia="en-US"/>
    </w:rPr>
  </w:style>
  <w:style w:type="character" w:customStyle="1" w:styleId="SCCLsocPrefixChar">
    <w:name w:val="SCC.Lsoc.Prefix Char"/>
    <w:basedOn w:val="DefaultParagraphFont"/>
    <w:link w:val="SCCLsocPrefix"/>
    <w:rsid w:val="00F7773C"/>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1C8A-D79E-4820-ABC0-D2FD4C1D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4297</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2021-01-25T19:04:00Z</dcterms:created>
  <dcterms:modified xsi:type="dcterms:W3CDTF">2024-01-11T21:26:00Z</dcterms:modified>
</cp:coreProperties>
</file>