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6"/>
        <w:gridCol w:w="1971"/>
        <w:gridCol w:w="3422"/>
        <w:gridCol w:w="21"/>
      </w:tblGrid>
      <w:tr w:rsidR="00232733" w:rsidTr="008E32ED">
        <w:trPr>
          <w:trHeight w:val="1784"/>
        </w:trPr>
        <w:tc>
          <w:tcPr>
            <w:tcW w:w="5000" w:type="pct"/>
            <w:gridSpan w:val="4"/>
          </w:tcPr>
          <w:p w:rsidR="00232733" w:rsidRDefault="00232733"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5" ShapeID="_x0000_i1025" DrawAspect="Content" ObjectID="_1766495976" r:id="rId9"/>
              </w:object>
            </w:r>
          </w:p>
          <w:p w:rsidR="00232733" w:rsidRDefault="00232733" w:rsidP="008E32ED">
            <w:pPr>
              <w:spacing w:before="120" w:after="100" w:afterAutospacing="1"/>
              <w:jc w:val="center"/>
              <w:rPr>
                <w:rFonts w:eastAsia="Calibri"/>
              </w:rPr>
            </w:pPr>
            <w:r w:rsidRPr="00C22905">
              <w:rPr>
                <w:rFonts w:eastAsia="Calibri"/>
                <w:b/>
                <w:szCs w:val="24"/>
                <w:lang w:eastAsia="en-US"/>
              </w:rPr>
              <w:t>SUPREME COURT OF CANADA</w:t>
            </w:r>
          </w:p>
        </w:tc>
      </w:tr>
      <w:tr w:rsidR="00232733" w:rsidTr="008E32ED">
        <w:trPr>
          <w:gridAfter w:val="1"/>
          <w:wAfter w:w="11" w:type="pct"/>
        </w:trPr>
        <w:tc>
          <w:tcPr>
            <w:tcW w:w="2108" w:type="pct"/>
            <w:tcMar>
              <w:top w:w="284" w:type="dxa"/>
            </w:tcMar>
          </w:tcPr>
          <w:p w:rsidR="00232733" w:rsidRPr="008E477A" w:rsidRDefault="00232733" w:rsidP="008E32ED">
            <w:pPr>
              <w:spacing w:before="100" w:beforeAutospacing="1"/>
              <w:rPr>
                <w:rFonts w:eastAsia="Calibri"/>
                <w:lang w:val="fr-CA"/>
              </w:rPr>
            </w:pPr>
            <w:r w:rsidRPr="008E477A">
              <w:rPr>
                <w:b/>
                <w:smallCaps/>
                <w:lang w:val="fr-CA"/>
              </w:rPr>
              <w:t>Citation:</w:t>
            </w:r>
            <w:r w:rsidRPr="008E477A">
              <w:rPr>
                <w:lang w:val="fr-CA"/>
              </w:rPr>
              <w:t xml:space="preserve"> R. </w:t>
            </w:r>
            <w:r w:rsidRPr="008E477A">
              <w:rPr>
                <w:i/>
                <w:lang w:val="fr-CA"/>
              </w:rPr>
              <w:t>v.</w:t>
            </w:r>
            <w:r w:rsidRPr="008E477A">
              <w:rPr>
                <w:lang w:val="fr-CA"/>
              </w:rPr>
              <w:t xml:space="preserve"> Murtaza, 2021 SCC</w:t>
            </w:r>
            <w:r>
              <w:rPr>
                <w:lang w:val="fr-CA"/>
              </w:rPr>
              <w:t xml:space="preserve"> 4, [2021] 1 S.C.R. 12</w:t>
            </w:r>
            <w:bookmarkStart w:id="0" w:name="_GoBack"/>
            <w:bookmarkEnd w:id="0"/>
          </w:p>
        </w:tc>
        <w:tc>
          <w:tcPr>
            <w:tcW w:w="1053" w:type="pct"/>
          </w:tcPr>
          <w:p w:rsidR="00232733" w:rsidRPr="008E477A" w:rsidRDefault="00232733" w:rsidP="008E32ED">
            <w:pPr>
              <w:rPr>
                <w:b/>
                <w:smallCaps/>
                <w:lang w:val="fr-CA"/>
              </w:rPr>
            </w:pPr>
          </w:p>
        </w:tc>
        <w:tc>
          <w:tcPr>
            <w:tcW w:w="1828" w:type="pct"/>
            <w:tcMar>
              <w:top w:w="284" w:type="dxa"/>
            </w:tcMar>
          </w:tcPr>
          <w:p w:rsidR="00232733" w:rsidRPr="006B210C" w:rsidRDefault="00232733" w:rsidP="008E32ED">
            <w:r>
              <w:rPr>
                <w:b/>
                <w:smallCaps/>
              </w:rPr>
              <w:t>Appeal Heard:</w:t>
            </w:r>
            <w:r w:rsidRPr="006B210C">
              <w:t xml:space="preserve"> </w:t>
            </w:r>
            <w:r>
              <w:t>January 21, 2021</w:t>
            </w:r>
          </w:p>
          <w:p w:rsidR="00232733" w:rsidRDefault="00232733" w:rsidP="008E32ED">
            <w:r>
              <w:rPr>
                <w:b/>
                <w:smallCaps/>
              </w:rPr>
              <w:t>Judgment Rendered:</w:t>
            </w:r>
            <w:r w:rsidRPr="006B210C">
              <w:t xml:space="preserve"> </w:t>
            </w:r>
            <w:r>
              <w:t>January 21, 2021</w:t>
            </w:r>
          </w:p>
          <w:p w:rsidR="00232733" w:rsidRPr="006B210C" w:rsidRDefault="00232733" w:rsidP="008E32ED">
            <w:r w:rsidRPr="00527E81">
              <w:rPr>
                <w:b/>
                <w:smallCaps/>
              </w:rPr>
              <w:t>Docket:</w:t>
            </w:r>
            <w:r>
              <w:t xml:space="preserve"> 39134</w:t>
            </w:r>
          </w:p>
        </w:tc>
      </w:tr>
      <w:tr w:rsidR="00232733" w:rsidTr="008E32ED">
        <w:tc>
          <w:tcPr>
            <w:tcW w:w="5000" w:type="pct"/>
            <w:gridSpan w:val="4"/>
          </w:tcPr>
          <w:p w:rsidR="00232733" w:rsidRDefault="00232733" w:rsidP="008E32ED">
            <w:pPr>
              <w:rPr>
                <w:rFonts w:eastAsiaTheme="minorHAnsi" w:cstheme="minorBidi"/>
                <w:b/>
                <w:szCs w:val="24"/>
                <w:lang w:eastAsia="en-US"/>
              </w:rPr>
            </w:pPr>
          </w:p>
          <w:p w:rsidR="00232733" w:rsidRPr="008E477A" w:rsidRDefault="00232733" w:rsidP="008E32ED">
            <w:pPr>
              <w:rPr>
                <w:rFonts w:eastAsiaTheme="minorHAnsi" w:cstheme="minorBidi"/>
                <w:b/>
                <w:smallCaps/>
                <w:szCs w:val="24"/>
                <w:lang w:eastAsia="en-US"/>
              </w:rPr>
            </w:pPr>
            <w:r w:rsidRPr="008E477A">
              <w:rPr>
                <w:rFonts w:eastAsiaTheme="minorHAnsi" w:cstheme="minorBidi"/>
                <w:b/>
                <w:smallCaps/>
                <w:szCs w:val="24"/>
                <w:lang w:eastAsia="en-US"/>
              </w:rPr>
              <w:t>Between:</w:t>
            </w:r>
          </w:p>
          <w:p w:rsidR="00232733" w:rsidRPr="008E477A" w:rsidRDefault="00232733" w:rsidP="008E32ED">
            <w:pPr>
              <w:jc w:val="center"/>
              <w:rPr>
                <w:rFonts w:eastAsiaTheme="minorHAnsi" w:cstheme="minorBidi"/>
                <w:b/>
                <w:szCs w:val="24"/>
                <w:lang w:eastAsia="en-US"/>
              </w:rPr>
            </w:pPr>
            <w:r w:rsidRPr="008E477A">
              <w:rPr>
                <w:rFonts w:eastAsiaTheme="minorHAnsi" w:cstheme="minorBidi"/>
                <w:b/>
                <w:szCs w:val="24"/>
                <w:lang w:eastAsia="en-US"/>
              </w:rPr>
              <w:t>Muneeb Murtaza</w:t>
            </w:r>
          </w:p>
          <w:p w:rsidR="00232733" w:rsidRDefault="00232733" w:rsidP="008E32ED">
            <w:pPr>
              <w:jc w:val="center"/>
              <w:rPr>
                <w:rFonts w:eastAsiaTheme="minorHAnsi" w:cstheme="minorBidi"/>
                <w:szCs w:val="24"/>
                <w:lang w:eastAsia="en-US"/>
              </w:rPr>
            </w:pPr>
            <w:r w:rsidRPr="008E477A">
              <w:rPr>
                <w:rFonts w:eastAsiaTheme="minorHAnsi" w:cstheme="minorBidi"/>
                <w:szCs w:val="24"/>
                <w:lang w:eastAsia="en-US"/>
              </w:rPr>
              <w:t>Appellant</w:t>
            </w:r>
          </w:p>
          <w:p w:rsidR="00232733" w:rsidRPr="008E477A" w:rsidRDefault="00232733" w:rsidP="008E32ED">
            <w:pPr>
              <w:jc w:val="center"/>
              <w:rPr>
                <w:rFonts w:eastAsiaTheme="minorHAnsi" w:cstheme="minorBidi"/>
                <w:szCs w:val="24"/>
                <w:lang w:eastAsia="en-US"/>
              </w:rPr>
            </w:pPr>
          </w:p>
          <w:p w:rsidR="00232733" w:rsidRDefault="00232733" w:rsidP="008E32ED">
            <w:pPr>
              <w:jc w:val="center"/>
              <w:rPr>
                <w:rFonts w:eastAsiaTheme="minorHAnsi" w:cstheme="minorBidi"/>
                <w:szCs w:val="24"/>
                <w:lang w:eastAsia="en-US"/>
              </w:rPr>
            </w:pPr>
            <w:r>
              <w:rPr>
                <w:rFonts w:eastAsiaTheme="minorHAnsi" w:cstheme="minorBidi"/>
                <w:szCs w:val="24"/>
                <w:lang w:eastAsia="en-US"/>
              </w:rPr>
              <w:t>and</w:t>
            </w:r>
          </w:p>
          <w:p w:rsidR="00232733" w:rsidRPr="008E477A" w:rsidRDefault="00232733" w:rsidP="008E32ED">
            <w:pPr>
              <w:jc w:val="center"/>
              <w:rPr>
                <w:rFonts w:eastAsiaTheme="minorHAnsi" w:cstheme="minorBidi"/>
                <w:szCs w:val="24"/>
                <w:lang w:eastAsia="en-US"/>
              </w:rPr>
            </w:pPr>
          </w:p>
          <w:p w:rsidR="00232733" w:rsidRPr="008E477A" w:rsidRDefault="00232733" w:rsidP="008E32ED">
            <w:pPr>
              <w:jc w:val="center"/>
              <w:rPr>
                <w:rFonts w:eastAsiaTheme="minorHAnsi" w:cstheme="minorBidi"/>
                <w:b/>
                <w:szCs w:val="24"/>
                <w:lang w:eastAsia="en-US"/>
              </w:rPr>
            </w:pPr>
            <w:r>
              <w:rPr>
                <w:rFonts w:eastAsiaTheme="minorHAnsi" w:cstheme="minorBidi"/>
                <w:b/>
                <w:szCs w:val="24"/>
                <w:lang w:eastAsia="en-US"/>
              </w:rPr>
              <w:t>Her Majesty T</w:t>
            </w:r>
            <w:r w:rsidRPr="008E477A">
              <w:rPr>
                <w:rFonts w:eastAsiaTheme="minorHAnsi" w:cstheme="minorBidi"/>
                <w:b/>
                <w:szCs w:val="24"/>
                <w:lang w:eastAsia="en-US"/>
              </w:rPr>
              <w:t>he Queen</w:t>
            </w:r>
          </w:p>
          <w:p w:rsidR="00232733" w:rsidRPr="008E477A" w:rsidRDefault="00232733" w:rsidP="008E32ED">
            <w:pPr>
              <w:jc w:val="center"/>
              <w:rPr>
                <w:rFonts w:eastAsiaTheme="minorHAnsi" w:cstheme="minorBidi"/>
                <w:szCs w:val="24"/>
                <w:lang w:eastAsia="en-US"/>
              </w:rPr>
            </w:pPr>
            <w:r w:rsidRPr="008E477A">
              <w:rPr>
                <w:rFonts w:eastAsiaTheme="minorHAnsi" w:cstheme="minorBidi"/>
                <w:szCs w:val="24"/>
                <w:lang w:eastAsia="en-US"/>
              </w:rPr>
              <w:t>Respondent</w:t>
            </w:r>
          </w:p>
          <w:p w:rsidR="00232733" w:rsidRPr="00C22905" w:rsidRDefault="00232733" w:rsidP="008E32E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47"/>
        <w:gridCol w:w="7892"/>
        <w:gridCol w:w="21"/>
      </w:tblGrid>
      <w:tr w:rsidR="00232733" w:rsidRPr="00C22905" w:rsidTr="008E32ED">
        <w:trPr>
          <w:cantSplit/>
          <w:trHeight w:val="508"/>
        </w:trPr>
        <w:tc>
          <w:tcPr>
            <w:tcW w:w="5000" w:type="pct"/>
            <w:gridSpan w:val="3"/>
            <w:tcMar>
              <w:top w:w="284" w:type="dxa"/>
              <w:bottom w:w="57" w:type="dxa"/>
            </w:tcMar>
            <w:vAlign w:val="center"/>
          </w:tcPr>
          <w:p w:rsidR="00232733" w:rsidRDefault="00232733" w:rsidP="008E32ED">
            <w:r w:rsidRPr="006B210C">
              <w:rPr>
                <w:b/>
                <w:smallCaps/>
              </w:rPr>
              <w:t>Coram</w:t>
            </w:r>
            <w:r>
              <w:rPr>
                <w:b/>
                <w:smallCaps/>
              </w:rPr>
              <w:t>:</w:t>
            </w:r>
            <w:r w:rsidRPr="006B210C">
              <w:t xml:space="preserve"> </w:t>
            </w:r>
            <w:r>
              <w:t>Wagner C.J. and Abella, Moldaver, Karakatsanis, Côté, Brown and Kasirer JJ.</w:t>
            </w:r>
          </w:p>
          <w:p w:rsidR="00232733" w:rsidRPr="00C22905" w:rsidRDefault="00232733" w:rsidP="008E32ED"/>
        </w:tc>
      </w:tr>
      <w:tr w:rsidR="00232733" w:rsidRPr="00C22905" w:rsidTr="008E32ED">
        <w:trPr>
          <w:gridAfter w:val="1"/>
          <w:wAfter w:w="11" w:type="pct"/>
          <w:cantSplit/>
          <w:trHeight w:val="508"/>
        </w:trPr>
        <w:tc>
          <w:tcPr>
            <w:tcW w:w="773" w:type="pct"/>
            <w:tcMar>
              <w:top w:w="28" w:type="dxa"/>
              <w:left w:w="57" w:type="dxa"/>
              <w:bottom w:w="57" w:type="dxa"/>
              <w:right w:w="57" w:type="dxa"/>
            </w:tcMar>
            <w:vAlign w:val="center"/>
          </w:tcPr>
          <w:p w:rsidR="00232733" w:rsidRPr="00CE08B9" w:rsidRDefault="00232733" w:rsidP="008E32ED">
            <w:pPr>
              <w:spacing w:before="120"/>
              <w:rPr>
                <w:smallCaps/>
              </w:rPr>
            </w:pPr>
            <w:r w:rsidRPr="006B210C">
              <w:rPr>
                <w:b/>
                <w:smallCaps/>
              </w:rPr>
              <w:t>Judgment</w:t>
            </w:r>
            <w:r>
              <w:rPr>
                <w:b/>
                <w:smallCaps/>
              </w:rPr>
              <w:t xml:space="preserve"> Read By:</w:t>
            </w:r>
          </w:p>
          <w:p w:rsidR="00232733" w:rsidRDefault="00232733" w:rsidP="008E32ED">
            <w:pPr>
              <w:rPr>
                <w:b/>
                <w:smallCaps/>
              </w:rPr>
            </w:pPr>
            <w:r>
              <w:t>(paras. 1 to 2)</w:t>
            </w:r>
          </w:p>
        </w:tc>
        <w:tc>
          <w:tcPr>
            <w:tcW w:w="4216" w:type="pct"/>
            <w:tcMar>
              <w:top w:w="28" w:type="dxa"/>
              <w:left w:w="57" w:type="dxa"/>
              <w:bottom w:w="57" w:type="dxa"/>
              <w:right w:w="57" w:type="dxa"/>
            </w:tcMar>
            <w:vAlign w:val="center"/>
          </w:tcPr>
          <w:p w:rsidR="00232733" w:rsidRDefault="00232733" w:rsidP="008E32ED">
            <w:pPr>
              <w:spacing w:before="240"/>
            </w:pPr>
            <w:r>
              <w:t>Wagner C.J.</w:t>
            </w:r>
          </w:p>
          <w:p w:rsidR="00232733" w:rsidRDefault="00232733" w:rsidP="008E32ED">
            <w:pPr>
              <w:spacing w:before="120"/>
              <w:rPr>
                <w:b/>
                <w:smallCaps/>
              </w:rPr>
            </w:pPr>
          </w:p>
        </w:tc>
      </w:tr>
      <w:tr w:rsidR="00232733" w:rsidRPr="00C22905" w:rsidTr="008E32ED">
        <w:trPr>
          <w:gridAfter w:val="1"/>
          <w:wAfter w:w="11" w:type="pct"/>
          <w:cantSplit/>
          <w:trHeight w:val="508"/>
        </w:trPr>
        <w:tc>
          <w:tcPr>
            <w:tcW w:w="773" w:type="pct"/>
            <w:tcMar>
              <w:top w:w="28" w:type="dxa"/>
              <w:left w:w="57" w:type="dxa"/>
              <w:bottom w:w="57" w:type="dxa"/>
              <w:right w:w="57" w:type="dxa"/>
            </w:tcMar>
            <w:vAlign w:val="center"/>
          </w:tcPr>
          <w:p w:rsidR="00232733" w:rsidRPr="006B210C" w:rsidRDefault="00232733" w:rsidP="008E32ED">
            <w:pPr>
              <w:spacing w:before="120"/>
              <w:rPr>
                <w:b/>
                <w:smallCaps/>
              </w:rPr>
            </w:pPr>
            <w:r>
              <w:rPr>
                <w:b/>
                <w:smallCaps/>
              </w:rPr>
              <w:t>Majority:</w:t>
            </w:r>
          </w:p>
        </w:tc>
        <w:tc>
          <w:tcPr>
            <w:tcW w:w="4216" w:type="pct"/>
            <w:tcMar>
              <w:top w:w="28" w:type="dxa"/>
              <w:left w:w="57" w:type="dxa"/>
              <w:bottom w:w="57" w:type="dxa"/>
              <w:right w:w="57" w:type="dxa"/>
            </w:tcMar>
            <w:vAlign w:val="center"/>
          </w:tcPr>
          <w:p w:rsidR="00232733" w:rsidRDefault="00232733" w:rsidP="008E32ED">
            <w:pPr>
              <w:spacing w:before="120"/>
            </w:pPr>
            <w:r>
              <w:t>Wagner C.J. and Abella, Moldaver, Karakatsanis, Côté and Kasirer JJ.</w:t>
            </w:r>
          </w:p>
        </w:tc>
      </w:tr>
      <w:tr w:rsidR="00232733" w:rsidRPr="00C22905" w:rsidTr="008E32ED">
        <w:trPr>
          <w:gridAfter w:val="1"/>
          <w:wAfter w:w="11" w:type="pct"/>
          <w:cantSplit/>
          <w:trHeight w:val="508"/>
        </w:trPr>
        <w:tc>
          <w:tcPr>
            <w:tcW w:w="773" w:type="pct"/>
            <w:tcMar>
              <w:top w:w="28" w:type="dxa"/>
              <w:left w:w="57" w:type="dxa"/>
              <w:bottom w:w="57" w:type="dxa"/>
              <w:right w:w="57" w:type="dxa"/>
            </w:tcMar>
            <w:vAlign w:val="center"/>
          </w:tcPr>
          <w:p w:rsidR="00232733" w:rsidRDefault="00232733" w:rsidP="008E32ED">
            <w:pPr>
              <w:spacing w:before="120"/>
              <w:rPr>
                <w:b/>
                <w:smallCaps/>
              </w:rPr>
            </w:pPr>
            <w:r>
              <w:rPr>
                <w:b/>
                <w:smallCaps/>
              </w:rPr>
              <w:t>Dissent:</w:t>
            </w:r>
          </w:p>
        </w:tc>
        <w:tc>
          <w:tcPr>
            <w:tcW w:w="4216" w:type="pct"/>
            <w:tcMar>
              <w:top w:w="28" w:type="dxa"/>
              <w:left w:w="57" w:type="dxa"/>
              <w:bottom w:w="57" w:type="dxa"/>
              <w:right w:w="57" w:type="dxa"/>
            </w:tcMar>
            <w:vAlign w:val="center"/>
          </w:tcPr>
          <w:p w:rsidR="00232733" w:rsidRDefault="00232733" w:rsidP="008E32ED">
            <w:pPr>
              <w:spacing w:before="120"/>
            </w:pPr>
            <w:r>
              <w:t>Brown J.</w:t>
            </w:r>
          </w:p>
        </w:tc>
      </w:tr>
      <w:tr w:rsidR="00232733" w:rsidRPr="00C22905" w:rsidTr="008E32ED">
        <w:trPr>
          <w:cantSplit/>
        </w:trPr>
        <w:tc>
          <w:tcPr>
            <w:tcW w:w="5000" w:type="pct"/>
            <w:gridSpan w:val="3"/>
            <w:tcMar>
              <w:top w:w="284" w:type="dxa"/>
              <w:bottom w:w="57" w:type="dxa"/>
            </w:tcMar>
            <w:vAlign w:val="center"/>
          </w:tcPr>
          <w:p w:rsidR="00232733" w:rsidRPr="00043AC7" w:rsidRDefault="00232733" w:rsidP="008E32ED"/>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232733" w:rsidTr="008E32ED">
        <w:tc>
          <w:tcPr>
            <w:tcW w:w="1500" w:type="pct"/>
            <w:tcMar>
              <w:top w:w="284" w:type="dxa"/>
            </w:tcMar>
          </w:tcPr>
          <w:p w:rsidR="00232733" w:rsidRDefault="00232733" w:rsidP="008E32ED">
            <w:pPr>
              <w:rPr>
                <w:rFonts w:eastAsia="Calibri"/>
                <w:szCs w:val="24"/>
                <w:lang w:eastAsia="en-US"/>
              </w:rPr>
            </w:pPr>
          </w:p>
        </w:tc>
        <w:tc>
          <w:tcPr>
            <w:tcW w:w="2000" w:type="pct"/>
            <w:tcBorders>
              <w:bottom w:val="single" w:sz="4" w:space="0" w:color="auto"/>
            </w:tcBorders>
            <w:tcMar>
              <w:top w:w="284" w:type="dxa"/>
            </w:tcMar>
          </w:tcPr>
          <w:p w:rsidR="00232733" w:rsidRDefault="00232733" w:rsidP="008E32ED">
            <w:pPr>
              <w:rPr>
                <w:rFonts w:eastAsia="Calibri"/>
                <w:szCs w:val="24"/>
                <w:lang w:eastAsia="en-US"/>
              </w:rPr>
            </w:pPr>
          </w:p>
        </w:tc>
        <w:tc>
          <w:tcPr>
            <w:tcW w:w="1500" w:type="pct"/>
            <w:tcMar>
              <w:top w:w="284" w:type="dxa"/>
            </w:tcMar>
          </w:tcPr>
          <w:p w:rsidR="00232733" w:rsidRDefault="00232733" w:rsidP="008E32ED">
            <w:pPr>
              <w:rPr>
                <w:rFonts w:eastAsia="Calibri"/>
                <w:szCs w:val="24"/>
                <w:lang w:eastAsia="en-US"/>
              </w:rPr>
            </w:pPr>
          </w:p>
        </w:tc>
      </w:tr>
    </w:tbl>
    <w:p w:rsidR="00232733" w:rsidRDefault="00232733" w:rsidP="007E0BD0">
      <w:pPr>
        <w:spacing w:after="720"/>
        <w:jc w:val="both"/>
        <w:rPr>
          <w:smallCaps/>
          <w:lang w:val="fr-CA"/>
        </w:rPr>
        <w:sectPr w:rsidR="00232733" w:rsidSect="005B6DB8">
          <w:pgSz w:w="12240" w:h="15840"/>
          <w:pgMar w:top="1440" w:right="1440" w:bottom="1440" w:left="1440" w:header="1440" w:footer="720" w:gutter="0"/>
          <w:cols w:space="720"/>
          <w:formProt w:val="0"/>
          <w:titlePg/>
          <w:docGrid w:linePitch="326"/>
        </w:sectPr>
      </w:pPr>
    </w:p>
    <w:p w:rsidR="007E0BD0" w:rsidRDefault="007E0BD0" w:rsidP="007E0BD0">
      <w:pPr>
        <w:spacing w:after="720"/>
        <w:jc w:val="both"/>
        <w:rPr>
          <w:lang w:val="fr-CA"/>
        </w:rPr>
      </w:pPr>
      <w:r>
        <w:rPr>
          <w:smallCaps/>
          <w:lang w:val="fr-CA"/>
        </w:rPr>
        <w:lastRenderedPageBreak/>
        <w:t>r.</w:t>
      </w:r>
      <w:r>
        <w:rPr>
          <w:lang w:val="fr-CA"/>
        </w:rPr>
        <w:t xml:space="preserve"> </w:t>
      </w:r>
      <w:r>
        <w:rPr>
          <w:i/>
          <w:lang w:val="fr-CA"/>
        </w:rPr>
        <w:t>v.</w:t>
      </w:r>
      <w:r>
        <w:rPr>
          <w:lang w:val="fr-CA"/>
        </w:rPr>
        <w:t xml:space="preserve"> </w:t>
      </w:r>
      <w:r>
        <w:rPr>
          <w:smallCaps/>
          <w:lang w:val="fr-CA"/>
        </w:rPr>
        <w:t>murtaza</w:t>
      </w:r>
    </w:p>
    <w:p w:rsidR="007E0BD0" w:rsidRDefault="007E0BD0" w:rsidP="007E0BD0">
      <w:pPr>
        <w:pStyle w:val="SCCLsocLastPartyInRole"/>
        <w:rPr>
          <w:lang w:val="fr-CA"/>
        </w:rPr>
      </w:pPr>
      <w:r>
        <w:rPr>
          <w:bCs/>
          <w:lang w:val="fr-CA"/>
        </w:rPr>
        <w:t>Muneeb Murtaza</w:t>
      </w:r>
      <w:r w:rsidRPr="007B0424">
        <w:rPr>
          <w:rStyle w:val="SCCLsocPartyRole"/>
          <w:lang w:val="fr-CA"/>
        </w:rPr>
        <w:tab/>
        <w:t>Appellant</w:t>
      </w:r>
    </w:p>
    <w:p w:rsidR="007E0BD0" w:rsidRDefault="007E0BD0" w:rsidP="007E0BD0">
      <w:pPr>
        <w:pStyle w:val="SCCLsocVersus"/>
      </w:pPr>
      <w:r>
        <w:t>v.</w:t>
      </w:r>
    </w:p>
    <w:p w:rsidR="007E0BD0" w:rsidRDefault="007E0BD0" w:rsidP="007E0BD0">
      <w:pPr>
        <w:pStyle w:val="SCCLsocLastPartyInRole"/>
      </w:pPr>
      <w:r>
        <w:rPr>
          <w:bCs/>
        </w:rPr>
        <w:t>Her Majesty The Queen</w:t>
      </w:r>
      <w:r w:rsidRPr="007B0424">
        <w:rPr>
          <w:rStyle w:val="SCCLsocPartyRole"/>
        </w:rPr>
        <w:tab/>
        <w:t>Respondent</w:t>
      </w:r>
      <w:r w:rsidRPr="007B0424">
        <w:t xml:space="preserve"> </w:t>
      </w:r>
    </w:p>
    <w:p w:rsidR="007E0BD0" w:rsidRDefault="007E0BD0" w:rsidP="007E0BD0">
      <w:pPr>
        <w:spacing w:after="720"/>
        <w:jc w:val="both"/>
        <w:rPr>
          <w:b/>
        </w:rPr>
      </w:pPr>
      <w:r>
        <w:rPr>
          <w:b/>
        </w:rPr>
        <w:t xml:space="preserve">Indexed as: </w:t>
      </w:r>
      <w:r>
        <w:rPr>
          <w:b/>
          <w:lang w:val="en-US"/>
        </w:rPr>
        <w:t xml:space="preserve">R. </w:t>
      </w:r>
      <w:r>
        <w:rPr>
          <w:b/>
          <w:i/>
          <w:lang w:val="en-US"/>
        </w:rPr>
        <w:t>v.</w:t>
      </w:r>
      <w:r>
        <w:rPr>
          <w:b/>
          <w:lang w:val="en-US"/>
        </w:rPr>
        <w:t xml:space="preserve"> Murtaza</w:t>
      </w:r>
    </w:p>
    <w:p w:rsidR="007E0BD0" w:rsidRDefault="007E0BD0" w:rsidP="007E0BD0">
      <w:pPr>
        <w:pStyle w:val="SCCSystemYear"/>
        <w:spacing w:after="720"/>
        <w:jc w:val="both"/>
      </w:pPr>
      <w:r>
        <w:t>2021 SCC 4</w:t>
      </w:r>
    </w:p>
    <w:p w:rsidR="007E0BD0" w:rsidRDefault="007E0BD0" w:rsidP="007E0BD0">
      <w:pPr>
        <w:spacing w:after="720"/>
        <w:jc w:val="both"/>
      </w:pPr>
      <w:r>
        <w:t xml:space="preserve">File No.: </w:t>
      </w:r>
      <w:r>
        <w:rPr>
          <w:color w:val="000000"/>
        </w:rPr>
        <w:t>39134</w:t>
      </w:r>
      <w:r>
        <w:t>.</w:t>
      </w:r>
    </w:p>
    <w:p w:rsidR="007E0BD0" w:rsidRDefault="007E0BD0" w:rsidP="007E0BD0">
      <w:pPr>
        <w:spacing w:after="720"/>
        <w:jc w:val="both"/>
      </w:pPr>
      <w:r>
        <w:rPr>
          <w:color w:val="000000"/>
        </w:rPr>
        <w:t>2021</w:t>
      </w:r>
      <w:r>
        <w:t xml:space="preserve">: </w:t>
      </w:r>
      <w:r>
        <w:rPr>
          <w:color w:val="000000"/>
        </w:rPr>
        <w:t>January 21</w:t>
      </w:r>
      <w:r>
        <w:t>.</w:t>
      </w:r>
    </w:p>
    <w:p w:rsidR="007E0BD0" w:rsidRDefault="007E0BD0" w:rsidP="007E0BD0">
      <w:pPr>
        <w:spacing w:after="720"/>
        <w:jc w:val="both"/>
      </w:pPr>
      <w:r>
        <w:t xml:space="preserve">Present: </w:t>
      </w:r>
      <w:r>
        <w:rPr>
          <w:color w:val="000000"/>
        </w:rPr>
        <w:t>Wagner C.J. and Abella, Moldaver, Karakatsanis, Côté, Brown and Kasirer JJ.</w:t>
      </w:r>
    </w:p>
    <w:p w:rsidR="007E0BD0" w:rsidRDefault="007E0BD0" w:rsidP="007E0BD0">
      <w:pPr>
        <w:pStyle w:val="SCCLowerCourtNameLowercase"/>
        <w:spacing w:after="720" w:line="240" w:lineRule="auto"/>
      </w:pPr>
      <w:r>
        <w:t xml:space="preserve">on appeal from the court of appeal of </w:t>
      </w:r>
      <w:r>
        <w:rPr>
          <w:color w:val="000000"/>
        </w:rPr>
        <w:t>alberta</w:t>
      </w:r>
    </w:p>
    <w:p w:rsidR="007E0BD0" w:rsidRDefault="007E0BD0" w:rsidP="007E0BD0">
      <w:pPr>
        <w:pStyle w:val="SCCNormalDoubleSpacing"/>
        <w:spacing w:after="480"/>
        <w:rPr>
          <w:i/>
        </w:rPr>
      </w:pPr>
      <w:r>
        <w:tab/>
      </w:r>
      <w:r>
        <w:rPr>
          <w:i/>
        </w:rPr>
        <w:t xml:space="preserve">Criminal law — Evidence — Admissibility — Identification — Accused charged with trafficking in cocaine and possession of proceeds of crime — Undercover police officer testifying at trial that accused was person who sold him cocaine three years before trial — Undercover officer’s identification evidence based on recollection revived by review of video of drug transaction and still photo made from video showing drug dealer’s face — Surveillance officer </w:t>
      </w:r>
      <w:r>
        <w:rPr>
          <w:i/>
        </w:rPr>
        <w:lastRenderedPageBreak/>
        <w:t>also testifying that person who was arrested was same individual as drug dealer he observed during operation — Trial judge convicting accused — Majority of Court of Appeal affirming conviction — Dissenting judge would have ordered new trial on basis that trial judge should have conducted voir dire to determine admissibility of identification evidence and should have reviewed video and photo herself — Conviction upheld.</w:t>
      </w:r>
    </w:p>
    <w:p w:rsidR="007E0BD0" w:rsidRDefault="007E0BD0" w:rsidP="007E0BD0">
      <w:pPr>
        <w:pStyle w:val="SCCNormalDoubleSpacing"/>
        <w:spacing w:after="480"/>
      </w:pPr>
      <w:r>
        <w:tab/>
        <w:t xml:space="preserve">APPEAL from a judgment of the Alberta Court of Appeal (Rowbotham, Veldhuis and Wakeling JJ.A.), </w:t>
      </w:r>
      <w:r>
        <w:rPr>
          <w:color w:val="000000"/>
        </w:rPr>
        <w:t xml:space="preserve">2020 ABCA 158, 8 Alta. L.R. (7th) 20, 453 D.L.R. (4th) 550, [2020] A.J. No. 480 (QL), 2020 CarswellAlta 749 (WL Can.), </w:t>
      </w:r>
      <w:r>
        <w:t>affirming the conviction of the accused for trafficking in cocaine and possession of proceeds of crime</w:t>
      </w:r>
      <w:r>
        <w:rPr>
          <w:bCs/>
        </w:rPr>
        <w:t>. Appeal dismissed, Brown J. dissenting.</w:t>
      </w:r>
    </w:p>
    <w:p w:rsidR="007E0BD0" w:rsidRDefault="007E0BD0" w:rsidP="007E0BD0">
      <w:pPr>
        <w:pStyle w:val="SCCNormalDoubleSpacing"/>
        <w:spacing w:after="480"/>
        <w:rPr>
          <w:lang w:val="en-US"/>
        </w:rPr>
      </w:pPr>
      <w:r>
        <w:rPr>
          <w:iCs/>
          <w:lang w:val="en-US"/>
        </w:rPr>
        <w:tab/>
      </w:r>
      <w:r>
        <w:rPr>
          <w:i/>
          <w:iCs/>
        </w:rPr>
        <w:t>Dale Wm. Fedorchuk</w:t>
      </w:r>
      <w:r w:rsidRPr="003E7A31">
        <w:rPr>
          <w:iCs/>
        </w:rPr>
        <w:t>,</w:t>
      </w:r>
      <w:r>
        <w:rPr>
          <w:i/>
          <w:iCs/>
        </w:rPr>
        <w:t xml:space="preserve"> Q.C</w:t>
      </w:r>
      <w:r>
        <w:rPr>
          <w:iCs/>
        </w:rPr>
        <w:t>.</w:t>
      </w:r>
      <w:r>
        <w:rPr>
          <w:i/>
          <w:iCs/>
        </w:rPr>
        <w:t xml:space="preserve">, </w:t>
      </w:r>
      <w:r>
        <w:rPr>
          <w:iCs/>
        </w:rPr>
        <w:t>and</w:t>
      </w:r>
      <w:r>
        <w:rPr>
          <w:i/>
          <w:iCs/>
        </w:rPr>
        <w:t xml:space="preserve"> Ramai L. Alvarez</w:t>
      </w:r>
      <w:r>
        <w:rPr>
          <w:lang w:val="en-US"/>
        </w:rPr>
        <w:t>, for the appellant.</w:t>
      </w:r>
    </w:p>
    <w:p w:rsidR="007E0BD0" w:rsidRDefault="007E0BD0" w:rsidP="007E0BD0">
      <w:pPr>
        <w:pStyle w:val="SCCNormalDoubleSpacing"/>
        <w:spacing w:after="480"/>
        <w:rPr>
          <w:lang w:val="en-US"/>
        </w:rPr>
      </w:pPr>
      <w:r>
        <w:rPr>
          <w:iCs/>
          <w:lang w:val="en-US"/>
        </w:rPr>
        <w:tab/>
      </w:r>
      <w:r>
        <w:rPr>
          <w:i/>
          <w:iCs/>
        </w:rPr>
        <w:t>Janna Hyman</w:t>
      </w:r>
      <w:r>
        <w:rPr>
          <w:iCs/>
        </w:rPr>
        <w:t xml:space="preserve"> and </w:t>
      </w:r>
      <w:r>
        <w:rPr>
          <w:i/>
          <w:iCs/>
        </w:rPr>
        <w:t>Barbara A. Mercier</w:t>
      </w:r>
      <w:r>
        <w:rPr>
          <w:lang w:val="en-US"/>
        </w:rPr>
        <w:t>, for the respondent.</w:t>
      </w:r>
    </w:p>
    <w:p w:rsidR="007E0BD0" w:rsidRDefault="007E0BD0" w:rsidP="007E0BD0">
      <w:pPr>
        <w:pStyle w:val="SCCNormalDoubleSpacing"/>
        <w:spacing w:after="480"/>
        <w:rPr>
          <w:lang w:val="en-US"/>
        </w:rPr>
      </w:pPr>
      <w:r>
        <w:rPr>
          <w:lang w:val="en-US"/>
        </w:rPr>
        <w:tab/>
      </w:r>
      <w:r>
        <w:rPr>
          <w:color w:val="000000"/>
        </w:rPr>
        <w:t>The judgment of the Court was delivered orally by</w:t>
      </w:r>
    </w:p>
    <w:p w:rsidR="007E0BD0" w:rsidRDefault="007E0BD0" w:rsidP="007E0BD0">
      <w:pPr>
        <w:pStyle w:val="SCCNormalDoubleSpacing"/>
        <w:spacing w:after="480"/>
      </w:pPr>
      <w:r>
        <w:rPr>
          <w:smallCaps/>
        </w:rPr>
        <w:t>[1]</w:t>
      </w:r>
      <w:r>
        <w:rPr>
          <w:smallCaps/>
        </w:rPr>
        <w:tab/>
        <w:t>The Chief Justice</w:t>
      </w:r>
      <w:r>
        <w:t xml:space="preserve"> — </w:t>
      </w:r>
      <w:r>
        <w:rPr>
          <w:color w:val="000000"/>
        </w:rPr>
        <w:t>A majority of the Court would dismiss the appeal substantially for the reasons of Rowbotham J.A. They would simply add that when the evidence of the buy officer and the surveillance officer is considered in conjunction with the concession of defence counsel that the person arrested on July 27, 2015, was the appellant, there was sufficient admissible evidence supporting the trial judge’s conclusion that the appellant and the suspect were one and the same.</w:t>
      </w:r>
    </w:p>
    <w:p w:rsidR="007E0BD0" w:rsidRDefault="007E0BD0" w:rsidP="007E0BD0">
      <w:pPr>
        <w:pStyle w:val="SCCNormalDoubleSpacing"/>
        <w:spacing w:after="480"/>
      </w:pPr>
      <w:r>
        <w:lastRenderedPageBreak/>
        <w:t>[2]</w:t>
      </w:r>
      <w:r>
        <w:tab/>
      </w:r>
      <w:r>
        <w:rPr>
          <w:color w:val="000000"/>
        </w:rPr>
        <w:t>Justice Brown would have allowed the appeal substantially for the reasons of Veldhuis J.A. and would have ordered a new trial.</w:t>
      </w:r>
    </w:p>
    <w:p w:rsidR="007E0BD0" w:rsidRDefault="007E0BD0" w:rsidP="007E0BD0">
      <w:pPr>
        <w:pStyle w:val="SCCNormalDoubleSpacing"/>
        <w:spacing w:after="480"/>
        <w:rPr>
          <w:i/>
          <w:iCs/>
          <w:color w:val="000000"/>
        </w:rPr>
      </w:pPr>
      <w:r>
        <w:rPr>
          <w:i/>
          <w:iCs/>
          <w:color w:val="000000"/>
        </w:rPr>
        <w:tab/>
        <w:t>Judgment accordingly.</w:t>
      </w:r>
    </w:p>
    <w:p w:rsidR="007E0BD0" w:rsidRDefault="007E0BD0" w:rsidP="007E0BD0">
      <w:pPr>
        <w:pStyle w:val="SCCNormalDoubleSpacing"/>
        <w:spacing w:after="480"/>
        <w:rPr>
          <w:i/>
          <w:iCs/>
          <w:color w:val="000000"/>
        </w:rPr>
      </w:pPr>
      <w:r>
        <w:rPr>
          <w:i/>
          <w:iCs/>
          <w:color w:val="000000"/>
        </w:rPr>
        <w:tab/>
        <w:t>Solicitors for the appellant: Kantor, Calgary.</w:t>
      </w:r>
    </w:p>
    <w:p w:rsidR="007E0BD0" w:rsidRDefault="007E0BD0" w:rsidP="007E0BD0">
      <w:pPr>
        <w:pStyle w:val="SCCNormalDoubleSpacing"/>
        <w:spacing w:after="480"/>
        <w:rPr>
          <w:i/>
          <w:iCs/>
          <w:color w:val="000000"/>
        </w:rPr>
      </w:pPr>
      <w:r>
        <w:rPr>
          <w:i/>
          <w:iCs/>
          <w:color w:val="000000"/>
        </w:rPr>
        <w:tab/>
        <w:t>Solicitor for the respondent: Public Prosecution Service of Canada, Calgary.</w:t>
      </w:r>
    </w:p>
    <w:p w:rsidR="000F0995" w:rsidRPr="007E0BD0" w:rsidRDefault="000F0995" w:rsidP="007E0BD0"/>
    <w:sectPr w:rsidR="000F0995" w:rsidRPr="007E0BD0" w:rsidSect="005B6DB8">
      <w:pgSz w:w="12240" w:h="15840"/>
      <w:pgMar w:top="144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BC" w:rsidRDefault="004D72BC">
      <w:r>
        <w:separator/>
      </w:r>
    </w:p>
  </w:endnote>
  <w:endnote w:type="continuationSeparator" w:id="0">
    <w:p w:rsidR="004D72BC" w:rsidRDefault="004D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BC" w:rsidRDefault="004D72BC">
      <w:r>
        <w:separator/>
      </w:r>
    </w:p>
  </w:footnote>
  <w:footnote w:type="continuationSeparator" w:id="0">
    <w:p w:rsidR="004D72BC" w:rsidRDefault="004D7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788"/>
    <w:rsid w:val="00013781"/>
    <w:rsid w:val="00017885"/>
    <w:rsid w:val="00025198"/>
    <w:rsid w:val="00025763"/>
    <w:rsid w:val="00026467"/>
    <w:rsid w:val="00040D1B"/>
    <w:rsid w:val="00040F00"/>
    <w:rsid w:val="00041BDD"/>
    <w:rsid w:val="00043AC7"/>
    <w:rsid w:val="00051131"/>
    <w:rsid w:val="000578A3"/>
    <w:rsid w:val="000648CC"/>
    <w:rsid w:val="00076E46"/>
    <w:rsid w:val="00094FE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1E66BB"/>
    <w:rsid w:val="00220FC2"/>
    <w:rsid w:val="002222F4"/>
    <w:rsid w:val="00224FC0"/>
    <w:rsid w:val="00225EA4"/>
    <w:rsid w:val="00226EAF"/>
    <w:rsid w:val="002310A2"/>
    <w:rsid w:val="00231F3A"/>
    <w:rsid w:val="00232733"/>
    <w:rsid w:val="00234199"/>
    <w:rsid w:val="00236389"/>
    <w:rsid w:val="00237AFE"/>
    <w:rsid w:val="002406EE"/>
    <w:rsid w:val="00243EC8"/>
    <w:rsid w:val="00264B77"/>
    <w:rsid w:val="0027092B"/>
    <w:rsid w:val="00270D93"/>
    <w:rsid w:val="002745CC"/>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E1C71"/>
    <w:rsid w:val="003E2693"/>
    <w:rsid w:val="003E53AC"/>
    <w:rsid w:val="003E7A31"/>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0AD2"/>
    <w:rsid w:val="004C2314"/>
    <w:rsid w:val="004C25EE"/>
    <w:rsid w:val="004C478D"/>
    <w:rsid w:val="004D4FEC"/>
    <w:rsid w:val="004D72B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83EDE"/>
    <w:rsid w:val="00586928"/>
    <w:rsid w:val="00592FCD"/>
    <w:rsid w:val="005A4F85"/>
    <w:rsid w:val="005A6079"/>
    <w:rsid w:val="005B6DB8"/>
    <w:rsid w:val="005C7840"/>
    <w:rsid w:val="005E4698"/>
    <w:rsid w:val="006003EE"/>
    <w:rsid w:val="00600B1B"/>
    <w:rsid w:val="00610539"/>
    <w:rsid w:val="00613969"/>
    <w:rsid w:val="0061523C"/>
    <w:rsid w:val="00617208"/>
    <w:rsid w:val="006230B6"/>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5FF5"/>
    <w:rsid w:val="006B7683"/>
    <w:rsid w:val="006D4200"/>
    <w:rsid w:val="006F019F"/>
    <w:rsid w:val="006F30AF"/>
    <w:rsid w:val="007009A0"/>
    <w:rsid w:val="00701759"/>
    <w:rsid w:val="00701CF2"/>
    <w:rsid w:val="00705C15"/>
    <w:rsid w:val="00712E55"/>
    <w:rsid w:val="00713025"/>
    <w:rsid w:val="007154A1"/>
    <w:rsid w:val="00715A65"/>
    <w:rsid w:val="0071600E"/>
    <w:rsid w:val="00717FDC"/>
    <w:rsid w:val="007208D1"/>
    <w:rsid w:val="0072428C"/>
    <w:rsid w:val="00730177"/>
    <w:rsid w:val="00734CAB"/>
    <w:rsid w:val="00742119"/>
    <w:rsid w:val="00747288"/>
    <w:rsid w:val="00747DD3"/>
    <w:rsid w:val="007549C8"/>
    <w:rsid w:val="00754A0B"/>
    <w:rsid w:val="00766D14"/>
    <w:rsid w:val="00767A0F"/>
    <w:rsid w:val="007A05F6"/>
    <w:rsid w:val="007B0424"/>
    <w:rsid w:val="007B52B3"/>
    <w:rsid w:val="007B6F4A"/>
    <w:rsid w:val="007D097E"/>
    <w:rsid w:val="007E0BD0"/>
    <w:rsid w:val="007E1C47"/>
    <w:rsid w:val="007E337A"/>
    <w:rsid w:val="007E5C70"/>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A3F29"/>
    <w:rsid w:val="008B660A"/>
    <w:rsid w:val="008B70F9"/>
    <w:rsid w:val="008C01DA"/>
    <w:rsid w:val="008C02C9"/>
    <w:rsid w:val="008C7263"/>
    <w:rsid w:val="008D2104"/>
    <w:rsid w:val="008E477A"/>
    <w:rsid w:val="008F78E9"/>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2217"/>
    <w:rsid w:val="00A149DF"/>
    <w:rsid w:val="00A1755C"/>
    <w:rsid w:val="00A21B90"/>
    <w:rsid w:val="00A244B9"/>
    <w:rsid w:val="00A41805"/>
    <w:rsid w:val="00A42DCD"/>
    <w:rsid w:val="00A44699"/>
    <w:rsid w:val="00A52AFB"/>
    <w:rsid w:val="00A548CB"/>
    <w:rsid w:val="00A5521C"/>
    <w:rsid w:val="00A557A1"/>
    <w:rsid w:val="00A55CEF"/>
    <w:rsid w:val="00A63E16"/>
    <w:rsid w:val="00A643E7"/>
    <w:rsid w:val="00A73C38"/>
    <w:rsid w:val="00AB305A"/>
    <w:rsid w:val="00AB670D"/>
    <w:rsid w:val="00AB6F0A"/>
    <w:rsid w:val="00AC5BFC"/>
    <w:rsid w:val="00AC6FA4"/>
    <w:rsid w:val="00AD2826"/>
    <w:rsid w:val="00AD342F"/>
    <w:rsid w:val="00AD4C25"/>
    <w:rsid w:val="00AD6101"/>
    <w:rsid w:val="00AE25FE"/>
    <w:rsid w:val="00AE4535"/>
    <w:rsid w:val="00AF03C5"/>
    <w:rsid w:val="00AF0B26"/>
    <w:rsid w:val="00B000D8"/>
    <w:rsid w:val="00B00F75"/>
    <w:rsid w:val="00B041F6"/>
    <w:rsid w:val="00B11735"/>
    <w:rsid w:val="00B145B6"/>
    <w:rsid w:val="00B2215E"/>
    <w:rsid w:val="00B279EB"/>
    <w:rsid w:val="00B30E18"/>
    <w:rsid w:val="00B32357"/>
    <w:rsid w:val="00B43559"/>
    <w:rsid w:val="00B50C81"/>
    <w:rsid w:val="00B557F8"/>
    <w:rsid w:val="00B56AAF"/>
    <w:rsid w:val="00B67199"/>
    <w:rsid w:val="00B815FC"/>
    <w:rsid w:val="00B93FBC"/>
    <w:rsid w:val="00BA066D"/>
    <w:rsid w:val="00BA7DA0"/>
    <w:rsid w:val="00BB2366"/>
    <w:rsid w:val="00BB2640"/>
    <w:rsid w:val="00BB2EE4"/>
    <w:rsid w:val="00BB5AE6"/>
    <w:rsid w:val="00BC2108"/>
    <w:rsid w:val="00BC5642"/>
    <w:rsid w:val="00BD0E9E"/>
    <w:rsid w:val="00BD1BEC"/>
    <w:rsid w:val="00BD32FF"/>
    <w:rsid w:val="00BD67ED"/>
    <w:rsid w:val="00C02092"/>
    <w:rsid w:val="00C02266"/>
    <w:rsid w:val="00C14AA0"/>
    <w:rsid w:val="00C22905"/>
    <w:rsid w:val="00C229CD"/>
    <w:rsid w:val="00C24D91"/>
    <w:rsid w:val="00C53F14"/>
    <w:rsid w:val="00C600CF"/>
    <w:rsid w:val="00C6084F"/>
    <w:rsid w:val="00C62A66"/>
    <w:rsid w:val="00C62FD6"/>
    <w:rsid w:val="00C71458"/>
    <w:rsid w:val="00C77613"/>
    <w:rsid w:val="00C828E7"/>
    <w:rsid w:val="00C86719"/>
    <w:rsid w:val="00C921DD"/>
    <w:rsid w:val="00CA6391"/>
    <w:rsid w:val="00CA7B39"/>
    <w:rsid w:val="00CC34BD"/>
    <w:rsid w:val="00CD324D"/>
    <w:rsid w:val="00CE08B9"/>
    <w:rsid w:val="00CE161A"/>
    <w:rsid w:val="00CE3171"/>
    <w:rsid w:val="00CE7262"/>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7CB1"/>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0A79"/>
    <w:rsid w:val="00E56A44"/>
    <w:rsid w:val="00E60269"/>
    <w:rsid w:val="00E653D0"/>
    <w:rsid w:val="00E65A2E"/>
    <w:rsid w:val="00E70692"/>
    <w:rsid w:val="00E71951"/>
    <w:rsid w:val="00E77932"/>
    <w:rsid w:val="00E83FDA"/>
    <w:rsid w:val="00E92347"/>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379D"/>
    <w:rsid w:val="00F50635"/>
    <w:rsid w:val="00F50D2D"/>
    <w:rsid w:val="00F56C8B"/>
    <w:rsid w:val="00F66810"/>
    <w:rsid w:val="00F75F4E"/>
    <w:rsid w:val="00F846D9"/>
    <w:rsid w:val="00F84DF4"/>
    <w:rsid w:val="00F85C97"/>
    <w:rsid w:val="00F94A57"/>
    <w:rsid w:val="00FA51A0"/>
    <w:rsid w:val="00FB37D2"/>
    <w:rsid w:val="00FB7D08"/>
    <w:rsid w:val="00FC3788"/>
    <w:rsid w:val="00FC4EFB"/>
    <w:rsid w:val="00FD068D"/>
    <w:rsid w:val="00FD4F28"/>
    <w:rsid w:val="00FE041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5B6DB8"/>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5B6DB8"/>
    <w:rPr>
      <w:rFonts w:eastAsiaTheme="minorHAnsi" w:cstheme="minorBidi"/>
      <w:b/>
      <w:szCs w:val="22"/>
      <w:lang w:eastAsia="en-US"/>
    </w:rPr>
  </w:style>
  <w:style w:type="character" w:customStyle="1" w:styleId="SCCLsocPrefixChar">
    <w:name w:val="SCC.Lsoc.Prefix Char"/>
    <w:basedOn w:val="DefaultParagraphFont"/>
    <w:link w:val="SCCLsocPrefix"/>
    <w:rsid w:val="005B6DB8"/>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8382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8F40-33D3-4441-B736-F7308EB3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2021-01-27T21:28:00Z</dcterms:created>
  <dcterms:modified xsi:type="dcterms:W3CDTF">2024-01-11T21:32:00Z</dcterms:modified>
</cp:coreProperties>
</file>