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54"/>
        <w:gridCol w:w="2584"/>
        <w:gridCol w:w="3226"/>
        <w:gridCol w:w="22"/>
      </w:tblGrid>
      <w:tr w:rsidR="00DF7BAE" w:rsidRPr="00DF7BAE" w:rsidTr="00DF7BAE">
        <w:trPr>
          <w:trHeight w:val="1786"/>
        </w:trPr>
        <w:tc>
          <w:tcPr>
            <w:tcW w:w="5000" w:type="pct"/>
            <w:gridSpan w:val="4"/>
            <w:hideMark/>
          </w:tcPr>
          <w:p w:rsidR="00DF7BAE" w:rsidRPr="00DF7BAE" w:rsidRDefault="00DF7BAE" w:rsidP="00DF7BAE">
            <w:pPr>
              <w:jc w:val="center"/>
            </w:pPr>
            <w:r w:rsidRPr="00DF7BAE">
              <w:rPr>
                <w:noProof/>
                <w:lang w:val="fr-CA" w:eastAsia="fr-CA"/>
              </w:rPr>
              <w:drawing>
                <wp:inline distT="0" distB="0" distL="0" distR="0" wp14:anchorId="060DC57C" wp14:editId="21941AC7">
                  <wp:extent cx="1188720" cy="1638300"/>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DF7BAE" w:rsidRPr="00DF7BAE" w:rsidRDefault="00DF7BAE" w:rsidP="00DF7BAE">
            <w:pPr>
              <w:spacing w:before="120" w:after="100" w:afterAutospacing="1"/>
              <w:jc w:val="center"/>
              <w:rPr>
                <w:rFonts w:eastAsia="Calibri"/>
              </w:rPr>
            </w:pPr>
            <w:r w:rsidRPr="00DF7BAE">
              <w:rPr>
                <w:rFonts w:eastAsia="Calibri"/>
                <w:b/>
                <w:szCs w:val="24"/>
                <w:lang w:eastAsia="en-US"/>
              </w:rPr>
              <w:t>SUPREME COURT OF CANADA</w:t>
            </w:r>
          </w:p>
        </w:tc>
      </w:tr>
      <w:tr w:rsidR="00DF7BAE" w:rsidRPr="00DF7BAE" w:rsidTr="00DF7BAE">
        <w:trPr>
          <w:gridAfter w:val="1"/>
          <w:wAfter w:w="10" w:type="pct"/>
        </w:trPr>
        <w:tc>
          <w:tcPr>
            <w:tcW w:w="2109" w:type="pct"/>
            <w:tcMar>
              <w:top w:w="284" w:type="dxa"/>
              <w:left w:w="57" w:type="dxa"/>
              <w:bottom w:w="57" w:type="dxa"/>
              <w:right w:w="57" w:type="dxa"/>
            </w:tcMar>
            <w:hideMark/>
          </w:tcPr>
          <w:p w:rsidR="00DF7BAE" w:rsidRPr="00DF7BAE" w:rsidRDefault="00DF7BAE" w:rsidP="00DF7BAE">
            <w:pPr>
              <w:spacing w:before="100" w:beforeAutospacing="1"/>
              <w:rPr>
                <w:rFonts w:eastAsia="Calibri"/>
                <w:lang w:val="en-US"/>
              </w:rPr>
            </w:pPr>
            <w:r w:rsidRPr="00DF7BAE">
              <w:rPr>
                <w:b/>
                <w:smallCaps/>
              </w:rPr>
              <w:t>Citation:</w:t>
            </w:r>
            <w:r w:rsidRPr="00DF7BAE">
              <w:t xml:space="preserve"> R. </w:t>
            </w:r>
            <w:r w:rsidRPr="00DF7BAE">
              <w:rPr>
                <w:i/>
              </w:rPr>
              <w:t>v.</w:t>
            </w:r>
            <w:r w:rsidRPr="00DF7BAE">
              <w:t xml:space="preserve"> Sheikh, 2021 SCC 13</w:t>
            </w:r>
            <w:r>
              <w:t xml:space="preserve">, [2021] 1 </w:t>
            </w:r>
            <w:proofErr w:type="spellStart"/>
            <w:r>
              <w:t>S.C.R</w:t>
            </w:r>
            <w:proofErr w:type="spellEnd"/>
            <w:r>
              <w:t>. 523</w:t>
            </w:r>
            <w:bookmarkStart w:id="0" w:name="_GoBack"/>
            <w:bookmarkEnd w:id="0"/>
          </w:p>
        </w:tc>
        <w:tc>
          <w:tcPr>
            <w:tcW w:w="1281" w:type="pct"/>
          </w:tcPr>
          <w:p w:rsidR="00DF7BAE" w:rsidRPr="00DF7BAE" w:rsidRDefault="00DF7BAE" w:rsidP="00DF7BAE">
            <w:pPr>
              <w:rPr>
                <w:b/>
                <w:smallCaps/>
                <w:lang w:val="en-US"/>
              </w:rPr>
            </w:pPr>
          </w:p>
        </w:tc>
        <w:tc>
          <w:tcPr>
            <w:tcW w:w="1599" w:type="pct"/>
            <w:tcMar>
              <w:top w:w="284" w:type="dxa"/>
              <w:left w:w="57" w:type="dxa"/>
              <w:bottom w:w="57" w:type="dxa"/>
              <w:right w:w="57" w:type="dxa"/>
            </w:tcMar>
            <w:hideMark/>
          </w:tcPr>
          <w:p w:rsidR="00DF7BAE" w:rsidRPr="00DF7BAE" w:rsidRDefault="00DF7BAE" w:rsidP="00DF7BAE">
            <w:r w:rsidRPr="00DF7BAE">
              <w:rPr>
                <w:b/>
                <w:smallCaps/>
              </w:rPr>
              <w:t>Appeal Heard:</w:t>
            </w:r>
            <w:r w:rsidRPr="00DF7BAE">
              <w:t xml:space="preserve"> April 16, 2021</w:t>
            </w:r>
          </w:p>
          <w:p w:rsidR="00DF7BAE" w:rsidRPr="00DF7BAE" w:rsidRDefault="00DF7BAE" w:rsidP="00DF7BAE">
            <w:r w:rsidRPr="00DF7BAE">
              <w:rPr>
                <w:b/>
                <w:smallCaps/>
              </w:rPr>
              <w:t>Judgment Rendered:</w:t>
            </w:r>
            <w:r w:rsidRPr="00DF7BAE">
              <w:t xml:space="preserve"> April 16, 2021</w:t>
            </w:r>
          </w:p>
          <w:p w:rsidR="00DF7BAE" w:rsidRPr="00DF7BAE" w:rsidRDefault="00DF7BAE" w:rsidP="00DF7BAE">
            <w:pPr>
              <w:rPr>
                <w:rFonts w:eastAsia="Calibri"/>
                <w:lang w:val="fr-CA"/>
              </w:rPr>
            </w:pPr>
            <w:r w:rsidRPr="00DF7BAE">
              <w:rPr>
                <w:b/>
                <w:smallCaps/>
              </w:rPr>
              <w:t>Docket:</w:t>
            </w:r>
            <w:r w:rsidRPr="00DF7BAE">
              <w:t xml:space="preserve"> 39372</w:t>
            </w:r>
          </w:p>
        </w:tc>
      </w:tr>
      <w:tr w:rsidR="00DF7BAE" w:rsidRPr="00DF7BAE" w:rsidTr="00DF7BAE">
        <w:tc>
          <w:tcPr>
            <w:tcW w:w="5000" w:type="pct"/>
            <w:gridSpan w:val="4"/>
          </w:tcPr>
          <w:p w:rsidR="00DF7BAE" w:rsidRPr="00DF7BAE" w:rsidRDefault="00DF7BAE" w:rsidP="00DF7BAE">
            <w:pPr>
              <w:rPr>
                <w:rFonts w:ascii="Calibri" w:eastAsia="Calibri" w:hAnsi="Calibri"/>
                <w:b/>
                <w:smallCaps/>
                <w:szCs w:val="24"/>
                <w:lang w:val="en-US" w:eastAsia="en-US"/>
              </w:rPr>
            </w:pPr>
          </w:p>
          <w:p w:rsidR="00DF7BAE" w:rsidRPr="00DF7BAE" w:rsidRDefault="00DF7BAE" w:rsidP="00DF7BAE">
            <w:pPr>
              <w:rPr>
                <w:rFonts w:eastAsia="Calibri"/>
                <w:b/>
                <w:smallCaps/>
                <w:szCs w:val="24"/>
                <w:lang w:val="en-US" w:eastAsia="en-US"/>
              </w:rPr>
            </w:pPr>
            <w:r w:rsidRPr="00DF7BAE">
              <w:rPr>
                <w:rFonts w:eastAsia="Calibri"/>
                <w:b/>
                <w:smallCaps/>
                <w:szCs w:val="24"/>
                <w:lang w:val="en-US" w:eastAsia="en-US"/>
              </w:rPr>
              <w:t>Between:</w:t>
            </w:r>
          </w:p>
          <w:p w:rsidR="00DF7BAE" w:rsidRPr="00DF7BAE" w:rsidRDefault="00DF7BAE" w:rsidP="00DF7BAE">
            <w:pPr>
              <w:tabs>
                <w:tab w:val="right" w:pos="8222"/>
              </w:tabs>
              <w:jc w:val="center"/>
              <w:rPr>
                <w:b/>
              </w:rPr>
            </w:pPr>
            <w:r w:rsidRPr="00DF7BAE">
              <w:rPr>
                <w:b/>
              </w:rPr>
              <w:t>Her Majesty The Queen</w:t>
            </w:r>
          </w:p>
          <w:p w:rsidR="00DF7BAE" w:rsidRPr="00DF7BAE" w:rsidRDefault="00DF7BAE" w:rsidP="00DF7BAE">
            <w:pPr>
              <w:jc w:val="center"/>
              <w:rPr>
                <w:lang w:val="en-US"/>
              </w:rPr>
            </w:pPr>
            <w:r w:rsidRPr="00DF7BAE">
              <w:t>Appellant</w:t>
            </w:r>
          </w:p>
          <w:p w:rsidR="00DF7BAE" w:rsidRPr="00DF7BAE" w:rsidRDefault="00DF7BAE" w:rsidP="00DF7BAE">
            <w:pPr>
              <w:jc w:val="center"/>
              <w:rPr>
                <w:lang w:val="en-US"/>
              </w:rPr>
            </w:pPr>
          </w:p>
          <w:p w:rsidR="00DF7BAE" w:rsidRPr="00DF7BAE" w:rsidRDefault="00DF7BAE" w:rsidP="00DF7BAE">
            <w:pPr>
              <w:jc w:val="center"/>
              <w:rPr>
                <w:i/>
                <w:lang w:val="en-US"/>
              </w:rPr>
            </w:pPr>
            <w:r w:rsidRPr="00DF7BAE">
              <w:rPr>
                <w:lang w:val="en-US"/>
              </w:rPr>
              <w:t>and</w:t>
            </w:r>
          </w:p>
          <w:p w:rsidR="00DF7BAE" w:rsidRPr="00DF7BAE" w:rsidRDefault="00DF7BAE" w:rsidP="00DF7BAE">
            <w:pPr>
              <w:tabs>
                <w:tab w:val="right" w:pos="8222"/>
              </w:tabs>
              <w:jc w:val="center"/>
              <w:rPr>
                <w:b/>
                <w:lang w:val="en-US"/>
              </w:rPr>
            </w:pPr>
          </w:p>
          <w:p w:rsidR="00DF7BAE" w:rsidRPr="00DF7BAE" w:rsidRDefault="00DF7BAE" w:rsidP="00DF7BAE">
            <w:pPr>
              <w:tabs>
                <w:tab w:val="right" w:pos="8222"/>
              </w:tabs>
              <w:jc w:val="center"/>
              <w:rPr>
                <w:b/>
                <w:lang w:val="fr-CA"/>
              </w:rPr>
            </w:pPr>
            <w:r w:rsidRPr="00DF7BAE">
              <w:rPr>
                <w:b/>
                <w:lang w:val="fr-CA"/>
              </w:rPr>
              <w:t>Abbas Sheikh</w:t>
            </w:r>
          </w:p>
          <w:p w:rsidR="00DF7BAE" w:rsidRPr="00DF7BAE" w:rsidRDefault="00DF7BAE" w:rsidP="00DF7BAE">
            <w:pPr>
              <w:jc w:val="center"/>
              <w:rPr>
                <w:lang w:val="fr-CA"/>
              </w:rPr>
            </w:pPr>
            <w:r w:rsidRPr="00DF7BAE">
              <w:t>Respondent</w:t>
            </w:r>
          </w:p>
          <w:p w:rsidR="00DF7BAE" w:rsidRPr="00DF7BAE" w:rsidRDefault="00DF7BAE" w:rsidP="00DF7BAE">
            <w:pPr>
              <w:rPr>
                <w:rFonts w:eastAsia="Calibri"/>
                <w:b/>
                <w:smallCaps/>
                <w:szCs w:val="24"/>
                <w:lang w:val="fr-CA" w:eastAsia="en-U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1985"/>
        <w:gridCol w:w="8079"/>
        <w:gridCol w:w="22"/>
      </w:tblGrid>
      <w:tr w:rsidR="00DF7BAE" w:rsidRPr="00DF7BAE" w:rsidTr="00DF7BAE">
        <w:trPr>
          <w:cantSplit/>
          <w:trHeight w:val="508"/>
        </w:trPr>
        <w:tc>
          <w:tcPr>
            <w:tcW w:w="5000" w:type="pct"/>
            <w:gridSpan w:val="3"/>
            <w:tcMar>
              <w:top w:w="284" w:type="dxa"/>
              <w:left w:w="58" w:type="dxa"/>
              <w:bottom w:w="57" w:type="dxa"/>
              <w:right w:w="58" w:type="dxa"/>
            </w:tcMar>
            <w:vAlign w:val="center"/>
          </w:tcPr>
          <w:p w:rsidR="00DF7BAE" w:rsidRPr="00DF7BAE" w:rsidRDefault="00DF7BAE" w:rsidP="00DF7BAE">
            <w:r w:rsidRPr="00DF7BAE">
              <w:rPr>
                <w:b/>
                <w:smallCaps/>
              </w:rPr>
              <w:t>Coram:</w:t>
            </w:r>
            <w:r w:rsidRPr="00DF7BAE">
              <w:t xml:space="preserve"> Wagner </w:t>
            </w:r>
            <w:proofErr w:type="spellStart"/>
            <w:r w:rsidRPr="00DF7BAE">
              <w:t>C.J</w:t>
            </w:r>
            <w:proofErr w:type="spellEnd"/>
            <w:r w:rsidRPr="00DF7BAE">
              <w:t xml:space="preserve">. and </w:t>
            </w:r>
            <w:proofErr w:type="spellStart"/>
            <w:r w:rsidRPr="00DF7BAE">
              <w:t>Moldaver</w:t>
            </w:r>
            <w:proofErr w:type="spellEnd"/>
            <w:r w:rsidRPr="00DF7BAE">
              <w:t xml:space="preserve">, Côté, Rowe and </w:t>
            </w:r>
            <w:proofErr w:type="spellStart"/>
            <w:r w:rsidRPr="00DF7BAE">
              <w:t>Kasirer</w:t>
            </w:r>
            <w:proofErr w:type="spellEnd"/>
            <w:r w:rsidRPr="00DF7BAE">
              <w:t> </w:t>
            </w:r>
            <w:proofErr w:type="spellStart"/>
            <w:r w:rsidRPr="00DF7BAE">
              <w:t>JJ</w:t>
            </w:r>
            <w:proofErr w:type="spellEnd"/>
            <w:r w:rsidRPr="00DF7BAE">
              <w:t>.</w:t>
            </w:r>
          </w:p>
          <w:p w:rsidR="00DF7BAE" w:rsidRPr="00DF7BAE" w:rsidRDefault="00DF7BAE" w:rsidP="00DF7BAE"/>
        </w:tc>
      </w:tr>
      <w:tr w:rsidR="00DF7BAE" w:rsidRPr="00DF7BAE" w:rsidTr="00DF7BAE">
        <w:trPr>
          <w:gridAfter w:val="1"/>
          <w:wAfter w:w="11" w:type="pct"/>
          <w:cantSplit/>
        </w:trPr>
        <w:tc>
          <w:tcPr>
            <w:tcW w:w="984" w:type="pct"/>
            <w:tcMar>
              <w:top w:w="284" w:type="dxa"/>
              <w:left w:w="58" w:type="dxa"/>
              <w:bottom w:w="57" w:type="dxa"/>
              <w:right w:w="58" w:type="dxa"/>
            </w:tcMar>
            <w:vAlign w:val="center"/>
            <w:hideMark/>
          </w:tcPr>
          <w:p w:rsidR="00DF7BAE" w:rsidRPr="00DF7BAE" w:rsidRDefault="00DF7BAE" w:rsidP="00DF7BAE">
            <w:pPr>
              <w:spacing w:before="120"/>
              <w:rPr>
                <w:smallCaps/>
              </w:rPr>
            </w:pPr>
            <w:r w:rsidRPr="00DF7BAE">
              <w:rPr>
                <w:b/>
                <w:smallCaps/>
              </w:rPr>
              <w:t>Judgment Read By:</w:t>
            </w:r>
          </w:p>
          <w:p w:rsidR="00DF7BAE" w:rsidRPr="00DF7BAE" w:rsidRDefault="00DF7BAE" w:rsidP="00DF7BAE">
            <w:pPr>
              <w:rPr>
                <w:b/>
                <w:smallCaps/>
              </w:rPr>
            </w:pPr>
            <w:r w:rsidRPr="00DF7BAE">
              <w:t>(paras. 1 to 5)</w:t>
            </w:r>
          </w:p>
        </w:tc>
        <w:tc>
          <w:tcPr>
            <w:tcW w:w="4005" w:type="pct"/>
            <w:tcMar>
              <w:top w:w="284" w:type="dxa"/>
              <w:left w:w="58" w:type="dxa"/>
              <w:bottom w:w="58" w:type="dxa"/>
              <w:right w:w="58" w:type="dxa"/>
            </w:tcMar>
            <w:vAlign w:val="center"/>
            <w:hideMark/>
          </w:tcPr>
          <w:p w:rsidR="00DF7BAE" w:rsidRPr="00DF7BAE" w:rsidRDefault="00DF7BAE" w:rsidP="00DF7BAE">
            <w:pPr>
              <w:rPr>
                <w:b/>
                <w:smallCaps/>
                <w:lang w:val="fr-CA"/>
              </w:rPr>
            </w:pPr>
            <w:r w:rsidRPr="00DF7BAE">
              <w:t xml:space="preserve">Wagner </w:t>
            </w:r>
            <w:proofErr w:type="spellStart"/>
            <w:r w:rsidRPr="00DF7BAE">
              <w:t>C.J</w:t>
            </w:r>
            <w:proofErr w:type="spellEnd"/>
            <w:r w:rsidRPr="00DF7BAE">
              <w:t>.</w:t>
            </w:r>
          </w:p>
        </w:tc>
      </w:tr>
      <w:tr w:rsidR="00DF7BAE" w:rsidRPr="00DF7BAE" w:rsidTr="00DF7BAE">
        <w:trPr>
          <w:gridAfter w:val="1"/>
          <w:wAfter w:w="11" w:type="pct"/>
          <w:cantSplit/>
        </w:trPr>
        <w:tc>
          <w:tcPr>
            <w:tcW w:w="984" w:type="pct"/>
            <w:tcMar>
              <w:top w:w="284" w:type="dxa"/>
              <w:left w:w="58" w:type="dxa"/>
              <w:bottom w:w="57" w:type="dxa"/>
              <w:right w:w="58" w:type="dxa"/>
            </w:tcMar>
            <w:vAlign w:val="center"/>
            <w:hideMark/>
          </w:tcPr>
          <w:p w:rsidR="00DF7BAE" w:rsidRPr="00DF7BAE" w:rsidRDefault="00DF7BAE" w:rsidP="00DF7BAE">
            <w:pPr>
              <w:rPr>
                <w:b/>
                <w:smallCaps/>
                <w:lang w:val="fr-CA"/>
              </w:rPr>
            </w:pPr>
            <w:r w:rsidRPr="00DF7BAE">
              <w:rPr>
                <w:b/>
                <w:bCs/>
                <w:smallCaps/>
                <w:color w:val="000000"/>
              </w:rPr>
              <w:t>Majority:</w:t>
            </w:r>
          </w:p>
        </w:tc>
        <w:tc>
          <w:tcPr>
            <w:tcW w:w="4005" w:type="pct"/>
            <w:tcMar>
              <w:top w:w="284" w:type="dxa"/>
              <w:left w:w="58" w:type="dxa"/>
              <w:bottom w:w="58" w:type="dxa"/>
              <w:right w:w="58" w:type="dxa"/>
            </w:tcMar>
            <w:vAlign w:val="center"/>
            <w:hideMark/>
          </w:tcPr>
          <w:p w:rsidR="00DF7BAE" w:rsidRPr="00DF7BAE" w:rsidRDefault="00DF7BAE" w:rsidP="00DF7BAE">
            <w:r w:rsidRPr="00DF7BAE">
              <w:rPr>
                <w:color w:val="000000"/>
              </w:rPr>
              <w:t xml:space="preserve">Wagner </w:t>
            </w:r>
            <w:proofErr w:type="spellStart"/>
            <w:r w:rsidRPr="00DF7BAE">
              <w:rPr>
                <w:color w:val="000000"/>
              </w:rPr>
              <w:t>C.J</w:t>
            </w:r>
            <w:proofErr w:type="spellEnd"/>
            <w:r w:rsidRPr="00DF7BAE">
              <w:rPr>
                <w:color w:val="000000"/>
              </w:rPr>
              <w:t xml:space="preserve">. and </w:t>
            </w:r>
            <w:proofErr w:type="spellStart"/>
            <w:r w:rsidRPr="00DF7BAE">
              <w:rPr>
                <w:color w:val="000000"/>
              </w:rPr>
              <w:t>Moldaver</w:t>
            </w:r>
            <w:proofErr w:type="spellEnd"/>
            <w:r w:rsidRPr="00DF7BAE">
              <w:rPr>
                <w:color w:val="000000"/>
              </w:rPr>
              <w:t xml:space="preserve">, Côté and Rowe </w:t>
            </w:r>
            <w:proofErr w:type="spellStart"/>
            <w:r w:rsidRPr="00DF7BAE">
              <w:rPr>
                <w:color w:val="000000"/>
              </w:rPr>
              <w:t>JJ</w:t>
            </w:r>
            <w:proofErr w:type="spellEnd"/>
            <w:r w:rsidRPr="00DF7BAE">
              <w:rPr>
                <w:color w:val="000000"/>
              </w:rPr>
              <w:t>.</w:t>
            </w:r>
          </w:p>
        </w:tc>
      </w:tr>
      <w:tr w:rsidR="00DF7BAE" w:rsidRPr="00DF7BAE" w:rsidTr="00DF7BAE">
        <w:trPr>
          <w:gridAfter w:val="1"/>
          <w:wAfter w:w="11" w:type="pct"/>
          <w:cantSplit/>
        </w:trPr>
        <w:tc>
          <w:tcPr>
            <w:tcW w:w="984" w:type="pct"/>
            <w:tcMar>
              <w:top w:w="284" w:type="dxa"/>
              <w:left w:w="58" w:type="dxa"/>
              <w:bottom w:w="57" w:type="dxa"/>
              <w:right w:w="58" w:type="dxa"/>
            </w:tcMar>
            <w:vAlign w:val="center"/>
            <w:hideMark/>
          </w:tcPr>
          <w:p w:rsidR="00DF7BAE" w:rsidRPr="00DF7BAE" w:rsidRDefault="00DF7BAE" w:rsidP="00DF7BAE">
            <w:pPr>
              <w:rPr>
                <w:b/>
                <w:smallCaps/>
                <w:lang w:val="fr-CA"/>
              </w:rPr>
            </w:pPr>
            <w:r w:rsidRPr="00DF7BAE">
              <w:rPr>
                <w:b/>
                <w:bCs/>
                <w:smallCaps/>
                <w:color w:val="000000"/>
              </w:rPr>
              <w:t>Dissent:</w:t>
            </w:r>
          </w:p>
        </w:tc>
        <w:tc>
          <w:tcPr>
            <w:tcW w:w="4005" w:type="pct"/>
            <w:tcMar>
              <w:top w:w="284" w:type="dxa"/>
              <w:left w:w="58" w:type="dxa"/>
              <w:bottom w:w="58" w:type="dxa"/>
              <w:right w:w="58" w:type="dxa"/>
            </w:tcMar>
            <w:vAlign w:val="center"/>
            <w:hideMark/>
          </w:tcPr>
          <w:p w:rsidR="00DF7BAE" w:rsidRPr="00DF7BAE" w:rsidRDefault="00DF7BAE" w:rsidP="00DF7BAE">
            <w:pPr>
              <w:rPr>
                <w:lang w:val="fr-CA"/>
              </w:rPr>
            </w:pPr>
            <w:proofErr w:type="spellStart"/>
            <w:r w:rsidRPr="00DF7BAE">
              <w:t>Kasirer</w:t>
            </w:r>
            <w:proofErr w:type="spellEnd"/>
            <w:r w:rsidRPr="00DF7BAE">
              <w:t xml:space="preserve"> J.</w:t>
            </w: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DF7BAE" w:rsidRPr="00DF7BAE" w:rsidTr="00DF7BAE">
        <w:trPr>
          <w:gridAfter w:val="1"/>
          <w:wAfter w:w="6" w:type="dxa"/>
        </w:trPr>
        <w:tc>
          <w:tcPr>
            <w:tcW w:w="10080" w:type="dxa"/>
            <w:gridSpan w:val="3"/>
          </w:tcPr>
          <w:p w:rsidR="00DF7BAE" w:rsidRPr="00DF7BAE" w:rsidRDefault="00DF7BAE" w:rsidP="00DF7BAE">
            <w:pPr>
              <w:jc w:val="both"/>
              <w:rPr>
                <w:lang w:val="en-US"/>
              </w:rPr>
            </w:pPr>
          </w:p>
        </w:tc>
      </w:tr>
      <w:tr w:rsidR="00DF7BAE" w:rsidRPr="00DF7BAE" w:rsidTr="00DF7BAE">
        <w:tblPrEx>
          <w:tblCellMar>
            <w:top w:w="0" w:type="dxa"/>
            <w:left w:w="108" w:type="dxa"/>
            <w:bottom w:w="0" w:type="dxa"/>
            <w:right w:w="108" w:type="dxa"/>
          </w:tblCellMar>
        </w:tblPrEx>
        <w:tc>
          <w:tcPr>
            <w:tcW w:w="3026" w:type="dxa"/>
            <w:tcMar>
              <w:top w:w="284" w:type="dxa"/>
              <w:left w:w="108" w:type="dxa"/>
              <w:bottom w:w="0" w:type="dxa"/>
              <w:right w:w="108" w:type="dxa"/>
            </w:tcMar>
          </w:tcPr>
          <w:p w:rsidR="00DF7BAE" w:rsidRPr="00DF7BAE" w:rsidRDefault="00DF7BAE" w:rsidP="00DF7BAE">
            <w:pPr>
              <w:rPr>
                <w:rFonts w:eastAsia="Calibri"/>
                <w:szCs w:val="24"/>
                <w:lang w:val="en-US" w:eastAsia="en-US"/>
              </w:rPr>
            </w:pPr>
          </w:p>
        </w:tc>
        <w:tc>
          <w:tcPr>
            <w:tcW w:w="4034" w:type="dxa"/>
            <w:tcBorders>
              <w:top w:val="nil"/>
              <w:left w:val="nil"/>
              <w:bottom w:val="single" w:sz="4" w:space="0" w:color="auto"/>
              <w:right w:val="nil"/>
            </w:tcBorders>
            <w:tcMar>
              <w:top w:w="284" w:type="dxa"/>
              <w:left w:w="108" w:type="dxa"/>
              <w:bottom w:w="0" w:type="dxa"/>
              <w:right w:w="108" w:type="dxa"/>
            </w:tcMar>
          </w:tcPr>
          <w:p w:rsidR="00DF7BAE" w:rsidRPr="00DF7BAE" w:rsidRDefault="00DF7BAE" w:rsidP="00DF7BAE">
            <w:pPr>
              <w:rPr>
                <w:rFonts w:eastAsia="Calibri"/>
                <w:szCs w:val="24"/>
                <w:lang w:val="en-US" w:eastAsia="en-US"/>
              </w:rPr>
            </w:pPr>
          </w:p>
        </w:tc>
        <w:tc>
          <w:tcPr>
            <w:tcW w:w="3026" w:type="dxa"/>
            <w:gridSpan w:val="2"/>
            <w:tcMar>
              <w:top w:w="284" w:type="dxa"/>
              <w:left w:w="108" w:type="dxa"/>
              <w:bottom w:w="0" w:type="dxa"/>
              <w:right w:w="108" w:type="dxa"/>
            </w:tcMar>
          </w:tcPr>
          <w:p w:rsidR="00DF7BAE" w:rsidRPr="00DF7BAE" w:rsidRDefault="00DF7BAE" w:rsidP="00DF7BAE">
            <w:pPr>
              <w:rPr>
                <w:rFonts w:eastAsia="Calibri"/>
                <w:szCs w:val="24"/>
                <w:lang w:val="en-US" w:eastAsia="en-US"/>
              </w:rPr>
            </w:pPr>
          </w:p>
        </w:tc>
      </w:tr>
    </w:tbl>
    <w:p w:rsidR="00DF7BAE" w:rsidRDefault="00DF7BAE" w:rsidP="00BD116D">
      <w:pPr>
        <w:pStyle w:val="SCCLsocLastPartyInRole"/>
        <w:rPr>
          <w:bCs/>
        </w:rPr>
      </w:pPr>
    </w:p>
    <w:p w:rsidR="00BD116D" w:rsidRDefault="00BD116D" w:rsidP="00BD116D">
      <w:pPr>
        <w:pStyle w:val="SCCLsocLastPartyInRole"/>
        <w:rPr>
          <w:lang w:val="en-US"/>
        </w:rPr>
      </w:pPr>
      <w:r>
        <w:rPr>
          <w:bCs/>
        </w:rPr>
        <w:lastRenderedPageBreak/>
        <w:t xml:space="preserve">Her Majesty </w:t>
      </w:r>
      <w:proofErr w:type="gramStart"/>
      <w:r>
        <w:rPr>
          <w:bCs/>
        </w:rPr>
        <w:t>The</w:t>
      </w:r>
      <w:proofErr w:type="gramEnd"/>
      <w:r>
        <w:rPr>
          <w:bCs/>
        </w:rPr>
        <w:t xml:space="preserve"> Queen</w:t>
      </w:r>
      <w:r>
        <w:rPr>
          <w:rStyle w:val="SCCLsocPartyRole"/>
          <w:b/>
        </w:rPr>
        <w:tab/>
      </w:r>
      <w:r w:rsidRPr="00BD116D">
        <w:rPr>
          <w:rStyle w:val="SCCLsocPartyRole"/>
        </w:rPr>
        <w:t>Appellant</w:t>
      </w:r>
    </w:p>
    <w:p w:rsidR="00BD116D" w:rsidRDefault="00BD116D" w:rsidP="00BD116D">
      <w:pPr>
        <w:pStyle w:val="SCCLsocVersus"/>
      </w:pPr>
      <w:proofErr w:type="gramStart"/>
      <w:r>
        <w:t>v</w:t>
      </w:r>
      <w:proofErr w:type="gramEnd"/>
      <w:r>
        <w:t>.</w:t>
      </w:r>
    </w:p>
    <w:p w:rsidR="00BD116D" w:rsidRDefault="00BD116D" w:rsidP="00BD116D">
      <w:pPr>
        <w:pStyle w:val="SCCLsocLastPartyInRole"/>
      </w:pPr>
      <w:r>
        <w:rPr>
          <w:bCs/>
        </w:rPr>
        <w:t>Abbas Sheikh</w:t>
      </w:r>
      <w:r>
        <w:rPr>
          <w:rStyle w:val="SCCLsocPartyRole"/>
          <w:b/>
        </w:rPr>
        <w:tab/>
      </w:r>
      <w:r w:rsidRPr="00BD116D">
        <w:rPr>
          <w:rStyle w:val="SCCLsocPartyRole"/>
        </w:rPr>
        <w:t>Respondent</w:t>
      </w:r>
      <w:r>
        <w:t xml:space="preserve"> </w:t>
      </w:r>
    </w:p>
    <w:p w:rsidR="00BD116D" w:rsidRDefault="00BD116D" w:rsidP="00BD116D">
      <w:pPr>
        <w:spacing w:after="720"/>
        <w:jc w:val="both"/>
        <w:rPr>
          <w:b/>
        </w:rPr>
      </w:pPr>
      <w:r>
        <w:rPr>
          <w:b/>
        </w:rPr>
        <w:t xml:space="preserve">Indexed as: </w:t>
      </w:r>
      <w:r>
        <w:rPr>
          <w:b/>
          <w:lang w:val="en-US"/>
        </w:rPr>
        <w:t xml:space="preserve">R. </w:t>
      </w:r>
      <w:r>
        <w:rPr>
          <w:b/>
          <w:i/>
          <w:lang w:val="en-US"/>
        </w:rPr>
        <w:t>v.</w:t>
      </w:r>
      <w:r>
        <w:rPr>
          <w:b/>
          <w:lang w:val="en-US"/>
        </w:rPr>
        <w:t xml:space="preserve"> Sheikh</w:t>
      </w:r>
    </w:p>
    <w:p w:rsidR="00BD116D" w:rsidRDefault="00BD116D" w:rsidP="00BD116D">
      <w:pPr>
        <w:pStyle w:val="SCCSystemYear"/>
        <w:spacing w:after="720"/>
        <w:jc w:val="both"/>
      </w:pPr>
      <w:r>
        <w:t>2021 SCC 13</w:t>
      </w:r>
    </w:p>
    <w:p w:rsidR="00BD116D" w:rsidRDefault="00BD116D" w:rsidP="00BD116D">
      <w:pPr>
        <w:spacing w:after="720"/>
        <w:jc w:val="both"/>
      </w:pPr>
      <w:r>
        <w:t xml:space="preserve">File No.: </w:t>
      </w:r>
      <w:r>
        <w:rPr>
          <w:color w:val="000000"/>
        </w:rPr>
        <w:t>39372</w:t>
      </w:r>
      <w:r>
        <w:t>.</w:t>
      </w:r>
    </w:p>
    <w:p w:rsidR="00BD116D" w:rsidRDefault="00BD116D" w:rsidP="00BD116D">
      <w:pPr>
        <w:spacing w:after="720"/>
        <w:jc w:val="both"/>
      </w:pPr>
      <w:r>
        <w:rPr>
          <w:color w:val="000000"/>
        </w:rPr>
        <w:t>2021</w:t>
      </w:r>
      <w:r>
        <w:t xml:space="preserve">: </w:t>
      </w:r>
      <w:r>
        <w:rPr>
          <w:color w:val="000000"/>
        </w:rPr>
        <w:t>April 16</w:t>
      </w:r>
      <w:r>
        <w:t>.</w:t>
      </w:r>
    </w:p>
    <w:p w:rsidR="00BD116D" w:rsidRDefault="00BD116D" w:rsidP="00BD116D">
      <w:pPr>
        <w:spacing w:after="720"/>
        <w:jc w:val="both"/>
      </w:pPr>
      <w:r>
        <w:t xml:space="preserve">Present: </w:t>
      </w:r>
      <w:r>
        <w:rPr>
          <w:color w:val="000000"/>
        </w:rPr>
        <w:t xml:space="preserve">Wagner C.J. and </w:t>
      </w:r>
      <w:proofErr w:type="spellStart"/>
      <w:r>
        <w:rPr>
          <w:color w:val="000000"/>
        </w:rPr>
        <w:t>Moldaver</w:t>
      </w:r>
      <w:proofErr w:type="spellEnd"/>
      <w:r>
        <w:rPr>
          <w:color w:val="000000"/>
        </w:rPr>
        <w:t xml:space="preserve">, Côté, Rowe and </w:t>
      </w:r>
      <w:proofErr w:type="spellStart"/>
      <w:r>
        <w:rPr>
          <w:color w:val="000000"/>
        </w:rPr>
        <w:t>Kasirer</w:t>
      </w:r>
      <w:proofErr w:type="spellEnd"/>
      <w:r>
        <w:rPr>
          <w:color w:val="000000"/>
        </w:rPr>
        <w:t xml:space="preserve"> </w:t>
      </w:r>
      <w:proofErr w:type="spellStart"/>
      <w:r>
        <w:rPr>
          <w:color w:val="000000"/>
        </w:rPr>
        <w:t>JJ</w:t>
      </w:r>
      <w:proofErr w:type="spellEnd"/>
      <w:r>
        <w:rPr>
          <w:color w:val="000000"/>
        </w:rPr>
        <w:t>.</w:t>
      </w:r>
    </w:p>
    <w:p w:rsidR="00BD116D" w:rsidRDefault="00BD116D" w:rsidP="00BD116D">
      <w:pPr>
        <w:pStyle w:val="SCCLowerCourtNameLowercase"/>
        <w:spacing w:after="720" w:line="240" w:lineRule="auto"/>
      </w:pPr>
      <w:r>
        <w:t xml:space="preserve">on appeal from the court of appeal for </w:t>
      </w:r>
      <w:proofErr w:type="spellStart"/>
      <w:r>
        <w:rPr>
          <w:color w:val="000000"/>
        </w:rPr>
        <w:t>quebec</w:t>
      </w:r>
      <w:proofErr w:type="spellEnd"/>
    </w:p>
    <w:p w:rsidR="00BD116D" w:rsidRDefault="00BD116D" w:rsidP="00BD116D">
      <w:pPr>
        <w:pStyle w:val="SCCNormalDoubleSpacing"/>
        <w:spacing w:after="480"/>
        <w:rPr>
          <w:i/>
        </w:rPr>
      </w:pPr>
      <w:r>
        <w:rPr>
          <w:lang w:val="en-US"/>
        </w:rPr>
        <w:tab/>
      </w:r>
      <w:r>
        <w:rPr>
          <w:i/>
        </w:rPr>
        <w:t>Criminal law — Appeals — Unreasonable verdict — Evidence — Assessment — Adverse witness — Accused convicted of one count of fraud over $5,000 — Accused appealing on ground that verdict was unreasonable because it was based on insufficient circumstantial evidence, and on ground that fairness of trial was breached because his accomplice’s testimony as Crown witness constituted propensity evidence — Majority of Court of Appeal holding that evidence did not establish commission of fraud beyond reasonable doubt and that Crown could not cross</w:t>
      </w:r>
      <w:r>
        <w:rPr>
          <w:i/>
        </w:rPr>
        <w:noBreakHyphen/>
        <w:t xml:space="preserve">examine accused’s accomplice without seeking leave from trial judge to have recourse to s. 9 of Canada Evidence Act — Dissenting judge finding </w:t>
      </w:r>
      <w:r>
        <w:rPr>
          <w:i/>
        </w:rPr>
        <w:lastRenderedPageBreak/>
        <w:t>that verdict was not unreasonable and that accomplice’s testimony was highly relevant and was not propensity evidence — Conviction restored — Canada Evidence Act, R.S.C. 1985, c. C</w:t>
      </w:r>
      <w:r>
        <w:rPr>
          <w:i/>
        </w:rPr>
        <w:noBreakHyphen/>
        <w:t>5, s. 9.</w:t>
      </w:r>
    </w:p>
    <w:p w:rsidR="00BD116D" w:rsidRDefault="00BD116D" w:rsidP="00BD116D">
      <w:pPr>
        <w:pStyle w:val="SCCNormalDoubleSpacing"/>
        <w:widowControl w:val="0"/>
        <w:spacing w:after="720" w:line="240" w:lineRule="auto"/>
        <w:rPr>
          <w:b/>
        </w:rPr>
      </w:pPr>
      <w:r>
        <w:rPr>
          <w:b/>
          <w:bCs/>
          <w:color w:val="000000"/>
        </w:rPr>
        <w:t>Statutes and Regulations Cited</w:t>
      </w:r>
    </w:p>
    <w:p w:rsidR="00BD116D" w:rsidRDefault="00BD116D" w:rsidP="00BD116D">
      <w:pPr>
        <w:pStyle w:val="SCCNormalDoubleSpacing"/>
        <w:widowControl w:val="0"/>
        <w:spacing w:after="720" w:line="240" w:lineRule="auto"/>
      </w:pPr>
      <w:r>
        <w:rPr>
          <w:i/>
          <w:color w:val="000000"/>
        </w:rPr>
        <w:t>Canada Evidence Act</w:t>
      </w:r>
      <w:r>
        <w:rPr>
          <w:color w:val="000000"/>
        </w:rPr>
        <w:t>, R.S.C. 1985, c. C</w:t>
      </w:r>
      <w:r>
        <w:rPr>
          <w:color w:val="000000"/>
        </w:rPr>
        <w:noBreakHyphen/>
        <w:t>5, s. 9.</w:t>
      </w:r>
    </w:p>
    <w:p w:rsidR="00BD116D" w:rsidRDefault="00BD116D" w:rsidP="00BD116D">
      <w:pPr>
        <w:pStyle w:val="SCCNormalDoubleSpacing"/>
        <w:spacing w:after="480"/>
      </w:pPr>
      <w:r>
        <w:tab/>
        <w:t>APPEAL from a judgment of the Quebec Court of Appeal (</w:t>
      </w:r>
      <w:proofErr w:type="spellStart"/>
      <w:r>
        <w:t>Bich</w:t>
      </w:r>
      <w:proofErr w:type="spellEnd"/>
      <w:r>
        <w:t xml:space="preserve">, </w:t>
      </w:r>
      <w:proofErr w:type="spellStart"/>
      <w:r>
        <w:t>Vauclair</w:t>
      </w:r>
      <w:proofErr w:type="spellEnd"/>
      <w:r>
        <w:t xml:space="preserve"> and Schrager JJ.A.), </w:t>
      </w:r>
      <w:r>
        <w:rPr>
          <w:color w:val="000000"/>
        </w:rPr>
        <w:t>2020 QCCA 1266, 462 D.L.R. (4th) 675, [2020] AZ</w:t>
      </w:r>
      <w:r>
        <w:rPr>
          <w:color w:val="000000"/>
        </w:rPr>
        <w:noBreakHyphen/>
        <w:t>51712402, [2020] J.Q. n</w:t>
      </w:r>
      <w:r>
        <w:rPr>
          <w:color w:val="000000"/>
          <w:vertAlign w:val="superscript"/>
        </w:rPr>
        <w:t>o</w:t>
      </w:r>
      <w:r>
        <w:rPr>
          <w:color w:val="000000"/>
        </w:rPr>
        <w:t> 6801 (</w:t>
      </w:r>
      <w:proofErr w:type="spellStart"/>
      <w:r>
        <w:rPr>
          <w:color w:val="000000"/>
        </w:rPr>
        <w:t>QL</w:t>
      </w:r>
      <w:proofErr w:type="spellEnd"/>
      <w:r>
        <w:rPr>
          <w:color w:val="000000"/>
        </w:rPr>
        <w:t xml:space="preserve">), 2020 </w:t>
      </w:r>
      <w:proofErr w:type="spellStart"/>
      <w:r>
        <w:rPr>
          <w:color w:val="000000"/>
        </w:rPr>
        <w:t>CarswellQue</w:t>
      </w:r>
      <w:proofErr w:type="spellEnd"/>
      <w:r>
        <w:rPr>
          <w:color w:val="000000"/>
        </w:rPr>
        <w:t xml:space="preserve"> 17104 (WL Can.), </w:t>
      </w:r>
      <w:r>
        <w:t xml:space="preserve">setting aside </w:t>
      </w:r>
      <w:r>
        <w:rPr>
          <w:color w:val="000000"/>
        </w:rPr>
        <w:t xml:space="preserve">the conviction entered by </w:t>
      </w:r>
      <w:proofErr w:type="spellStart"/>
      <w:r>
        <w:t>Beauchemin</w:t>
      </w:r>
      <w:proofErr w:type="spellEnd"/>
      <w:r>
        <w:t xml:space="preserve"> J., 2017 QCCQ 20841, </w:t>
      </w:r>
      <w:r>
        <w:rPr>
          <w:bCs/>
        </w:rPr>
        <w:t>[2017] AZ</w:t>
      </w:r>
      <w:r>
        <w:rPr>
          <w:bCs/>
        </w:rPr>
        <w:noBreakHyphen/>
        <w:t>51591017,</w:t>
      </w:r>
      <w:r>
        <w:t xml:space="preserve"> </w:t>
      </w:r>
      <w:r>
        <w:rPr>
          <w:bCs/>
        </w:rPr>
        <w:t>[2017] J.Q. n</w:t>
      </w:r>
      <w:r>
        <w:rPr>
          <w:bCs/>
          <w:vertAlign w:val="superscript"/>
        </w:rPr>
        <w:t>o</w:t>
      </w:r>
      <w:r>
        <w:rPr>
          <w:bCs/>
        </w:rPr>
        <w:t> 24190 (</w:t>
      </w:r>
      <w:proofErr w:type="spellStart"/>
      <w:r>
        <w:rPr>
          <w:bCs/>
        </w:rPr>
        <w:t>QL</w:t>
      </w:r>
      <w:proofErr w:type="spellEnd"/>
      <w:r>
        <w:rPr>
          <w:bCs/>
        </w:rPr>
        <w:t xml:space="preserve">), 2017 </w:t>
      </w:r>
      <w:proofErr w:type="spellStart"/>
      <w:r>
        <w:rPr>
          <w:bCs/>
        </w:rPr>
        <w:t>CarswellQue</w:t>
      </w:r>
      <w:proofErr w:type="spellEnd"/>
      <w:r>
        <w:rPr>
          <w:bCs/>
        </w:rPr>
        <w:t xml:space="preserve"> 13438 (WL Can.) and entering an acquittal. Appeal allowed, </w:t>
      </w:r>
      <w:proofErr w:type="spellStart"/>
      <w:r>
        <w:rPr>
          <w:color w:val="000000"/>
        </w:rPr>
        <w:t>Kasirer</w:t>
      </w:r>
      <w:proofErr w:type="spellEnd"/>
      <w:r>
        <w:rPr>
          <w:color w:val="000000"/>
        </w:rPr>
        <w:t xml:space="preserve"> J. dissenting</w:t>
      </w:r>
      <w:r>
        <w:rPr>
          <w:bCs/>
        </w:rPr>
        <w:t>.</w:t>
      </w:r>
    </w:p>
    <w:p w:rsidR="00BD116D" w:rsidRDefault="00BD116D" w:rsidP="00BD116D">
      <w:pPr>
        <w:pStyle w:val="SCCNormalDoubleSpacing"/>
        <w:spacing w:after="480"/>
        <w:rPr>
          <w:lang w:val="en-US"/>
        </w:rPr>
      </w:pPr>
      <w:r>
        <w:rPr>
          <w:iCs/>
          <w:lang w:val="en-US"/>
        </w:rPr>
        <w:tab/>
      </w:r>
      <w:r>
        <w:rPr>
          <w:i/>
          <w:iCs/>
        </w:rPr>
        <w:t>Simon Lacoste</w:t>
      </w:r>
      <w:r>
        <w:rPr>
          <w:lang w:val="en-US"/>
        </w:rPr>
        <w:t>, for the appellant.</w:t>
      </w:r>
    </w:p>
    <w:p w:rsidR="00BD116D" w:rsidRDefault="00BD116D" w:rsidP="00BD116D">
      <w:pPr>
        <w:pStyle w:val="SCCNormalDoubleSpacing"/>
        <w:spacing w:after="480"/>
        <w:rPr>
          <w:lang w:val="en-US"/>
        </w:rPr>
      </w:pPr>
      <w:r>
        <w:rPr>
          <w:iCs/>
          <w:lang w:val="en-US"/>
        </w:rPr>
        <w:tab/>
      </w:r>
      <w:r>
        <w:rPr>
          <w:i/>
          <w:iCs/>
        </w:rPr>
        <w:t>Alexandre Tardif</w:t>
      </w:r>
      <w:r>
        <w:rPr>
          <w:lang w:val="en-US"/>
        </w:rPr>
        <w:t>, for the respondent.</w:t>
      </w:r>
    </w:p>
    <w:p w:rsidR="00BD116D" w:rsidRDefault="00BD116D" w:rsidP="00BD116D">
      <w:pPr>
        <w:pStyle w:val="SCCNormalDoubleSpacing"/>
        <w:spacing w:after="480"/>
        <w:rPr>
          <w:lang w:val="en-US"/>
        </w:rPr>
      </w:pPr>
      <w:r>
        <w:rPr>
          <w:lang w:val="en-US"/>
        </w:rPr>
        <w:tab/>
      </w:r>
      <w:r>
        <w:t>English version of the judgment of the Court delivered orally by</w:t>
      </w:r>
    </w:p>
    <w:p w:rsidR="00BD116D" w:rsidRDefault="00BD116D" w:rsidP="00BD116D">
      <w:pPr>
        <w:pStyle w:val="SCCNormalDoubleSpacing"/>
        <w:spacing w:after="480"/>
      </w:pPr>
      <w:r>
        <w:rPr>
          <w:smallCaps/>
        </w:rPr>
        <w:t>[1]</w:t>
      </w:r>
      <w:r>
        <w:rPr>
          <w:smallCaps/>
        </w:rPr>
        <w:tab/>
        <w:t>The Chief Justice</w:t>
      </w:r>
      <w:r>
        <w:t xml:space="preserve"> — </w:t>
      </w:r>
      <w:proofErr w:type="gramStart"/>
      <w:r>
        <w:rPr>
          <w:color w:val="000000"/>
        </w:rPr>
        <w:t>The</w:t>
      </w:r>
      <w:proofErr w:type="gramEnd"/>
      <w:r>
        <w:rPr>
          <w:color w:val="000000"/>
        </w:rPr>
        <w:t xml:space="preserve"> Crown appeals as of right from a decision in which a majority of the judges of the Quebec Court of Appeal acquitted the respondent on charges of fraud against him.</w:t>
      </w:r>
    </w:p>
    <w:p w:rsidR="00BD116D" w:rsidRDefault="00BD116D" w:rsidP="00BD116D">
      <w:pPr>
        <w:pStyle w:val="SCCNormalDoubleSpacing"/>
        <w:spacing w:after="480"/>
        <w:rPr>
          <w:color w:val="000000"/>
        </w:rPr>
      </w:pPr>
      <w:r>
        <w:t>[2]</w:t>
      </w:r>
      <w:r>
        <w:tab/>
      </w:r>
      <w:r>
        <w:rPr>
          <w:color w:val="000000"/>
        </w:rPr>
        <w:t xml:space="preserve">The Crown submits that the Court of Appeal erred in concluding that the verdict of guilty was unreasonable and that the trial was unfair because, in particular, of the Crown’s failure to have recourse </w:t>
      </w:r>
      <w:r>
        <w:rPr>
          <w:color w:val="000000"/>
        </w:rPr>
        <w:lastRenderedPageBreak/>
        <w:t xml:space="preserve">to s. 9 of the </w:t>
      </w:r>
      <w:r>
        <w:rPr>
          <w:i/>
          <w:color w:val="000000"/>
        </w:rPr>
        <w:t>Canada Evidence Act</w:t>
      </w:r>
      <w:r>
        <w:rPr>
          <w:color w:val="000000"/>
        </w:rPr>
        <w:t>, R.S.C. 1985, c. C</w:t>
      </w:r>
      <w:r>
        <w:rPr>
          <w:color w:val="000000"/>
        </w:rPr>
        <w:noBreakHyphen/>
        <w:t xml:space="preserve">5, during the testimony of witness </w:t>
      </w:r>
      <w:proofErr w:type="spellStart"/>
      <w:r>
        <w:rPr>
          <w:color w:val="000000"/>
        </w:rPr>
        <w:t>Vallières</w:t>
      </w:r>
      <w:proofErr w:type="spellEnd"/>
      <w:r>
        <w:rPr>
          <w:color w:val="000000"/>
        </w:rPr>
        <w:t>, and of an inadequate assessment of the circumstantial evidence.</w:t>
      </w:r>
    </w:p>
    <w:p w:rsidR="00BD116D" w:rsidRDefault="00BD116D" w:rsidP="00BD116D">
      <w:pPr>
        <w:pStyle w:val="SCCNormalDoubleSpacing"/>
        <w:spacing w:after="480"/>
      </w:pPr>
      <w:r>
        <w:t>[3]</w:t>
      </w:r>
      <w:r>
        <w:tab/>
      </w:r>
      <w:r>
        <w:rPr>
          <w:color w:val="000000"/>
        </w:rPr>
        <w:t xml:space="preserve">Essentially for the reasons of Schrager J.A., a majority of judges of this Court are not convinced that the Crown’s failure to have recourse to </w:t>
      </w:r>
      <w:r>
        <w:rPr>
          <w:rFonts w:eastAsiaTheme="majorEastAsia"/>
        </w:rPr>
        <w:t>s. 9</w:t>
      </w:r>
      <w:r>
        <w:rPr>
          <w:color w:val="000000"/>
        </w:rPr>
        <w:t xml:space="preserve"> of the </w:t>
      </w:r>
      <w:r>
        <w:rPr>
          <w:rFonts w:eastAsiaTheme="majorEastAsia"/>
          <w:i/>
          <w:iCs/>
          <w:color w:val="000000"/>
        </w:rPr>
        <w:t>Canada Evidence Act</w:t>
      </w:r>
      <w:r>
        <w:rPr>
          <w:color w:val="000000"/>
        </w:rPr>
        <w:t xml:space="preserve"> made the trial unfair, and they agree with Schrager J.A. that the verdict was not unreasonable.</w:t>
      </w:r>
    </w:p>
    <w:p w:rsidR="00BD116D" w:rsidRDefault="00BD116D" w:rsidP="00BD116D">
      <w:pPr>
        <w:pStyle w:val="SCCNormalDoubleSpacing"/>
        <w:spacing w:after="480"/>
      </w:pPr>
      <w:r>
        <w:t>[4]</w:t>
      </w:r>
      <w:r>
        <w:tab/>
      </w:r>
      <w:proofErr w:type="spellStart"/>
      <w:r>
        <w:rPr>
          <w:color w:val="000000"/>
        </w:rPr>
        <w:t>Kasirer</w:t>
      </w:r>
      <w:proofErr w:type="spellEnd"/>
      <w:r>
        <w:rPr>
          <w:color w:val="000000"/>
        </w:rPr>
        <w:t xml:space="preserve"> J., essentially for the reasons of the majority of the Court of Appeal, would have dismissed the appeal.</w:t>
      </w:r>
    </w:p>
    <w:p w:rsidR="00BD116D" w:rsidRDefault="00BD116D" w:rsidP="00BD116D">
      <w:pPr>
        <w:pStyle w:val="SCCNormalDoubleSpacing"/>
        <w:spacing w:after="480"/>
      </w:pPr>
      <w:r>
        <w:t>[5]</w:t>
      </w:r>
      <w:r>
        <w:tab/>
      </w:r>
      <w:r>
        <w:rPr>
          <w:color w:val="000000"/>
        </w:rPr>
        <w:t>For these reasons, the appeal is allowed and the verdict of guilty restored.</w:t>
      </w:r>
    </w:p>
    <w:p w:rsidR="00BD116D" w:rsidRDefault="00BD116D" w:rsidP="00BD116D">
      <w:pPr>
        <w:pStyle w:val="SCCNormalDoubleSpacing"/>
        <w:spacing w:after="480"/>
        <w:rPr>
          <w:i/>
          <w:iCs/>
          <w:color w:val="000000"/>
        </w:rPr>
      </w:pPr>
      <w:r>
        <w:rPr>
          <w:i/>
          <w:iCs/>
          <w:color w:val="000000"/>
        </w:rPr>
        <w:tab/>
        <w:t>Judgment accordingly.</w:t>
      </w:r>
    </w:p>
    <w:p w:rsidR="00BD116D" w:rsidRDefault="00BD116D" w:rsidP="00BD116D">
      <w:pPr>
        <w:pStyle w:val="SCCNormalDoubleSpacing"/>
        <w:spacing w:after="480"/>
        <w:rPr>
          <w:i/>
          <w:lang w:val="en-US"/>
        </w:rPr>
      </w:pPr>
      <w:r>
        <w:tab/>
      </w:r>
      <w:r>
        <w:rPr>
          <w:i/>
          <w:lang w:val="en-US"/>
        </w:rPr>
        <w:t>Solicitor for the appellant:</w:t>
      </w:r>
      <w:r>
        <w:rPr>
          <w:bCs/>
          <w:i/>
          <w:szCs w:val="24"/>
          <w:lang w:val="en-US" w:eastAsia="en-US"/>
        </w:rPr>
        <w:t xml:space="preserve"> </w:t>
      </w:r>
      <w:r>
        <w:rPr>
          <w:bCs/>
          <w:i/>
          <w:lang w:val="en-US"/>
        </w:rPr>
        <w:t>Director of Criminal and Penal Prosecutions</w:t>
      </w:r>
      <w:r>
        <w:rPr>
          <w:i/>
          <w:lang w:val="en-US"/>
        </w:rPr>
        <w:t xml:space="preserve">, </w:t>
      </w:r>
      <w:proofErr w:type="spellStart"/>
      <w:r>
        <w:rPr>
          <w:i/>
          <w:lang w:val="en-US"/>
        </w:rPr>
        <w:t>Longueuil</w:t>
      </w:r>
      <w:proofErr w:type="spellEnd"/>
      <w:r>
        <w:rPr>
          <w:i/>
          <w:lang w:val="en-US"/>
        </w:rPr>
        <w:t>.</w:t>
      </w:r>
    </w:p>
    <w:p w:rsidR="00BD116D" w:rsidRDefault="00BD116D" w:rsidP="00BD116D">
      <w:pPr>
        <w:pStyle w:val="SCCNormalDoubleSpacing"/>
        <w:spacing w:after="480"/>
        <w:rPr>
          <w:i/>
          <w:lang w:val="fr-CA"/>
        </w:rPr>
      </w:pPr>
      <w:r>
        <w:rPr>
          <w:lang w:val="en-US"/>
        </w:rPr>
        <w:tab/>
      </w:r>
      <w:r>
        <w:rPr>
          <w:i/>
          <w:lang w:val="fr-CA"/>
        </w:rPr>
        <w:t xml:space="preserve">Solicitors for the </w:t>
      </w:r>
      <w:proofErr w:type="spellStart"/>
      <w:r>
        <w:rPr>
          <w:i/>
          <w:lang w:val="fr-CA"/>
        </w:rPr>
        <w:t>respondent</w:t>
      </w:r>
      <w:proofErr w:type="spellEnd"/>
      <w:r>
        <w:rPr>
          <w:i/>
          <w:lang w:val="fr-CA"/>
        </w:rPr>
        <w:t xml:space="preserve">: Tardif et associés, </w:t>
      </w:r>
      <w:proofErr w:type="spellStart"/>
      <w:r>
        <w:rPr>
          <w:i/>
        </w:rPr>
        <w:t>Sherbrooke</w:t>
      </w:r>
      <w:proofErr w:type="spellEnd"/>
      <w:r>
        <w:rPr>
          <w:i/>
          <w:lang w:val="fr-CA"/>
        </w:rPr>
        <w:t>.</w:t>
      </w:r>
    </w:p>
    <w:sectPr w:rsidR="00BD116D" w:rsidSect="00F03D8E">
      <w:headerReference w:type="default" r:id="rId10"/>
      <w:pgSz w:w="12240" w:h="15840"/>
      <w:pgMar w:top="1134" w:right="1077" w:bottom="1134" w:left="1077"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EB" w:rsidRDefault="00BC3AEB">
      <w:r>
        <w:separator/>
      </w:r>
    </w:p>
  </w:endnote>
  <w:endnote w:type="continuationSeparator" w:id="0">
    <w:p w:rsidR="00BC3AEB" w:rsidRDefault="00BC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EB" w:rsidRDefault="00BC3AEB">
      <w:r>
        <w:separator/>
      </w:r>
    </w:p>
  </w:footnote>
  <w:footnote w:type="continuationSeparator" w:id="0">
    <w:p w:rsidR="00BC3AEB" w:rsidRDefault="00BC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A6" w:rsidRDefault="009335A6" w:rsidP="001F0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578A3"/>
    <w:rsid w:val="00063D6F"/>
    <w:rsid w:val="000648CC"/>
    <w:rsid w:val="00076E46"/>
    <w:rsid w:val="00094FED"/>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6351"/>
    <w:rsid w:val="00195D83"/>
    <w:rsid w:val="001977DB"/>
    <w:rsid w:val="001A00C1"/>
    <w:rsid w:val="001A42A4"/>
    <w:rsid w:val="001A5032"/>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12B"/>
    <w:rsid w:val="00264B77"/>
    <w:rsid w:val="00270D93"/>
    <w:rsid w:val="002745CC"/>
    <w:rsid w:val="002909F6"/>
    <w:rsid w:val="0029178F"/>
    <w:rsid w:val="002B7924"/>
    <w:rsid w:val="002B7ABA"/>
    <w:rsid w:val="002D2226"/>
    <w:rsid w:val="002D28C3"/>
    <w:rsid w:val="002D294E"/>
    <w:rsid w:val="002D39A4"/>
    <w:rsid w:val="002E6189"/>
    <w:rsid w:val="002E6705"/>
    <w:rsid w:val="00301D08"/>
    <w:rsid w:val="0030329A"/>
    <w:rsid w:val="00303F14"/>
    <w:rsid w:val="0030532D"/>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5C66"/>
    <w:rsid w:val="00362ADA"/>
    <w:rsid w:val="00364B18"/>
    <w:rsid w:val="00396BF3"/>
    <w:rsid w:val="003A125D"/>
    <w:rsid w:val="003A4C70"/>
    <w:rsid w:val="003B215F"/>
    <w:rsid w:val="003C2CFF"/>
    <w:rsid w:val="003C73C6"/>
    <w:rsid w:val="003C799C"/>
    <w:rsid w:val="003D0399"/>
    <w:rsid w:val="003E1C71"/>
    <w:rsid w:val="003E2693"/>
    <w:rsid w:val="003E53AC"/>
    <w:rsid w:val="003F2337"/>
    <w:rsid w:val="003F327B"/>
    <w:rsid w:val="003F7ACB"/>
    <w:rsid w:val="00400B24"/>
    <w:rsid w:val="00404D28"/>
    <w:rsid w:val="00406166"/>
    <w:rsid w:val="0040704B"/>
    <w:rsid w:val="00407839"/>
    <w:rsid w:val="00410003"/>
    <w:rsid w:val="00410A55"/>
    <w:rsid w:val="00411300"/>
    <w:rsid w:val="00415417"/>
    <w:rsid w:val="00424FE1"/>
    <w:rsid w:val="00426659"/>
    <w:rsid w:val="00426D16"/>
    <w:rsid w:val="00450352"/>
    <w:rsid w:val="00454BDB"/>
    <w:rsid w:val="00463A7A"/>
    <w:rsid w:val="00464800"/>
    <w:rsid w:val="00464BF6"/>
    <w:rsid w:val="00465132"/>
    <w:rsid w:val="00465EF1"/>
    <w:rsid w:val="004707F9"/>
    <w:rsid w:val="00470DB3"/>
    <w:rsid w:val="0047411A"/>
    <w:rsid w:val="00480C90"/>
    <w:rsid w:val="0048396F"/>
    <w:rsid w:val="00493C18"/>
    <w:rsid w:val="00495D96"/>
    <w:rsid w:val="004A600C"/>
    <w:rsid w:val="004A6118"/>
    <w:rsid w:val="004C0D37"/>
    <w:rsid w:val="004C2314"/>
    <w:rsid w:val="004C25EE"/>
    <w:rsid w:val="004C478D"/>
    <w:rsid w:val="004D4FEC"/>
    <w:rsid w:val="004E0D6A"/>
    <w:rsid w:val="004E2C26"/>
    <w:rsid w:val="004E61A7"/>
    <w:rsid w:val="004F36FF"/>
    <w:rsid w:val="005125A8"/>
    <w:rsid w:val="00516DED"/>
    <w:rsid w:val="00521AE8"/>
    <w:rsid w:val="00524449"/>
    <w:rsid w:val="00527180"/>
    <w:rsid w:val="005341CE"/>
    <w:rsid w:val="00534AB2"/>
    <w:rsid w:val="0054201E"/>
    <w:rsid w:val="005514AF"/>
    <w:rsid w:val="005541DB"/>
    <w:rsid w:val="00555291"/>
    <w:rsid w:val="0056265A"/>
    <w:rsid w:val="00566AD1"/>
    <w:rsid w:val="0057257D"/>
    <w:rsid w:val="00583EDE"/>
    <w:rsid w:val="00586928"/>
    <w:rsid w:val="005966EF"/>
    <w:rsid w:val="005A4F85"/>
    <w:rsid w:val="005A6079"/>
    <w:rsid w:val="005C7840"/>
    <w:rsid w:val="005E4698"/>
    <w:rsid w:val="006003EE"/>
    <w:rsid w:val="00610539"/>
    <w:rsid w:val="00613969"/>
    <w:rsid w:val="0061523C"/>
    <w:rsid w:val="00617208"/>
    <w:rsid w:val="00625C35"/>
    <w:rsid w:val="00626A7D"/>
    <w:rsid w:val="0062787A"/>
    <w:rsid w:val="00635521"/>
    <w:rsid w:val="006468AB"/>
    <w:rsid w:val="00656313"/>
    <w:rsid w:val="006565F4"/>
    <w:rsid w:val="0066108F"/>
    <w:rsid w:val="00672D8B"/>
    <w:rsid w:val="006763FD"/>
    <w:rsid w:val="00684EEA"/>
    <w:rsid w:val="006908E8"/>
    <w:rsid w:val="00693A32"/>
    <w:rsid w:val="0069689B"/>
    <w:rsid w:val="006A1551"/>
    <w:rsid w:val="006A48DB"/>
    <w:rsid w:val="006B5FF5"/>
    <w:rsid w:val="006B7683"/>
    <w:rsid w:val="006D4200"/>
    <w:rsid w:val="006F30AF"/>
    <w:rsid w:val="007009A0"/>
    <w:rsid w:val="00701759"/>
    <w:rsid w:val="00701CF2"/>
    <w:rsid w:val="00705C15"/>
    <w:rsid w:val="00712E55"/>
    <w:rsid w:val="00713025"/>
    <w:rsid w:val="007154A1"/>
    <w:rsid w:val="0071600E"/>
    <w:rsid w:val="007162FD"/>
    <w:rsid w:val="00717FDC"/>
    <w:rsid w:val="007208D1"/>
    <w:rsid w:val="0072428C"/>
    <w:rsid w:val="00730177"/>
    <w:rsid w:val="00742119"/>
    <w:rsid w:val="00747288"/>
    <w:rsid w:val="00747DD3"/>
    <w:rsid w:val="007549C8"/>
    <w:rsid w:val="00754A0B"/>
    <w:rsid w:val="00766D14"/>
    <w:rsid w:val="00767A0F"/>
    <w:rsid w:val="00791999"/>
    <w:rsid w:val="00796207"/>
    <w:rsid w:val="007A05F6"/>
    <w:rsid w:val="007A5CD3"/>
    <w:rsid w:val="007B3D74"/>
    <w:rsid w:val="007B6F4A"/>
    <w:rsid w:val="007D097E"/>
    <w:rsid w:val="007E1C47"/>
    <w:rsid w:val="007E337A"/>
    <w:rsid w:val="007E5C70"/>
    <w:rsid w:val="007F2FF5"/>
    <w:rsid w:val="007F3F08"/>
    <w:rsid w:val="00804CC6"/>
    <w:rsid w:val="00813B48"/>
    <w:rsid w:val="00817190"/>
    <w:rsid w:val="00820223"/>
    <w:rsid w:val="00820EE5"/>
    <w:rsid w:val="008244E9"/>
    <w:rsid w:val="008260E2"/>
    <w:rsid w:val="008322BD"/>
    <w:rsid w:val="008323C4"/>
    <w:rsid w:val="00833E0A"/>
    <w:rsid w:val="00834F73"/>
    <w:rsid w:val="00847F55"/>
    <w:rsid w:val="008544FA"/>
    <w:rsid w:val="00864CF8"/>
    <w:rsid w:val="00872819"/>
    <w:rsid w:val="00874914"/>
    <w:rsid w:val="00891422"/>
    <w:rsid w:val="00892E1A"/>
    <w:rsid w:val="008A3F29"/>
    <w:rsid w:val="008B660A"/>
    <w:rsid w:val="008B70F9"/>
    <w:rsid w:val="008C01DA"/>
    <w:rsid w:val="008C02C9"/>
    <w:rsid w:val="008C7263"/>
    <w:rsid w:val="008D136D"/>
    <w:rsid w:val="008D2104"/>
    <w:rsid w:val="008E0CAD"/>
    <w:rsid w:val="008F42C6"/>
    <w:rsid w:val="008F78E9"/>
    <w:rsid w:val="00903C32"/>
    <w:rsid w:val="00911989"/>
    <w:rsid w:val="009179F9"/>
    <w:rsid w:val="0093031F"/>
    <w:rsid w:val="00931C1C"/>
    <w:rsid w:val="009335A6"/>
    <w:rsid w:val="00933E5E"/>
    <w:rsid w:val="00935218"/>
    <w:rsid w:val="009403F3"/>
    <w:rsid w:val="009555B7"/>
    <w:rsid w:val="009567AA"/>
    <w:rsid w:val="00960D18"/>
    <w:rsid w:val="0096473A"/>
    <w:rsid w:val="00967374"/>
    <w:rsid w:val="00976EB5"/>
    <w:rsid w:val="00981B4D"/>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52AFB"/>
    <w:rsid w:val="00A548CB"/>
    <w:rsid w:val="00A5521C"/>
    <w:rsid w:val="00A557A1"/>
    <w:rsid w:val="00A55CEF"/>
    <w:rsid w:val="00A643E7"/>
    <w:rsid w:val="00A73C38"/>
    <w:rsid w:val="00A9085B"/>
    <w:rsid w:val="00AB59C4"/>
    <w:rsid w:val="00AB670D"/>
    <w:rsid w:val="00AC6FA4"/>
    <w:rsid w:val="00AD2826"/>
    <w:rsid w:val="00AD342F"/>
    <w:rsid w:val="00AE25FE"/>
    <w:rsid w:val="00AE4535"/>
    <w:rsid w:val="00AF03C5"/>
    <w:rsid w:val="00AF0B26"/>
    <w:rsid w:val="00B000D8"/>
    <w:rsid w:val="00B00F75"/>
    <w:rsid w:val="00B11735"/>
    <w:rsid w:val="00B1431F"/>
    <w:rsid w:val="00B145B6"/>
    <w:rsid w:val="00B2215E"/>
    <w:rsid w:val="00B279EB"/>
    <w:rsid w:val="00B30E18"/>
    <w:rsid w:val="00B32357"/>
    <w:rsid w:val="00B43559"/>
    <w:rsid w:val="00B50C81"/>
    <w:rsid w:val="00B557F8"/>
    <w:rsid w:val="00B56AAF"/>
    <w:rsid w:val="00B67199"/>
    <w:rsid w:val="00B815FC"/>
    <w:rsid w:val="00B93FBC"/>
    <w:rsid w:val="00BA066D"/>
    <w:rsid w:val="00BA7DA0"/>
    <w:rsid w:val="00BB2366"/>
    <w:rsid w:val="00BB2EE4"/>
    <w:rsid w:val="00BB5AE6"/>
    <w:rsid w:val="00BC2108"/>
    <w:rsid w:val="00BC3AEB"/>
    <w:rsid w:val="00BC5642"/>
    <w:rsid w:val="00BD0E9E"/>
    <w:rsid w:val="00BD116D"/>
    <w:rsid w:val="00BD1BEC"/>
    <w:rsid w:val="00BD32FF"/>
    <w:rsid w:val="00BD67ED"/>
    <w:rsid w:val="00BE0632"/>
    <w:rsid w:val="00C02092"/>
    <w:rsid w:val="00C22905"/>
    <w:rsid w:val="00C229CD"/>
    <w:rsid w:val="00C24D91"/>
    <w:rsid w:val="00C31D39"/>
    <w:rsid w:val="00C53F14"/>
    <w:rsid w:val="00C600CF"/>
    <w:rsid w:val="00C6084F"/>
    <w:rsid w:val="00C62A66"/>
    <w:rsid w:val="00C62FD6"/>
    <w:rsid w:val="00C71458"/>
    <w:rsid w:val="00C77613"/>
    <w:rsid w:val="00C828E7"/>
    <w:rsid w:val="00C86719"/>
    <w:rsid w:val="00C921DD"/>
    <w:rsid w:val="00CA6391"/>
    <w:rsid w:val="00CA7B39"/>
    <w:rsid w:val="00CB5B04"/>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90B9E"/>
    <w:rsid w:val="00D91A89"/>
    <w:rsid w:val="00D95F8E"/>
    <w:rsid w:val="00DA0590"/>
    <w:rsid w:val="00DB342C"/>
    <w:rsid w:val="00DB7BEA"/>
    <w:rsid w:val="00DC1739"/>
    <w:rsid w:val="00DC1788"/>
    <w:rsid w:val="00DC2F37"/>
    <w:rsid w:val="00DD105B"/>
    <w:rsid w:val="00DE319C"/>
    <w:rsid w:val="00DE54B0"/>
    <w:rsid w:val="00DF0CA8"/>
    <w:rsid w:val="00DF2B48"/>
    <w:rsid w:val="00DF49A7"/>
    <w:rsid w:val="00DF7BAE"/>
    <w:rsid w:val="00E07EE2"/>
    <w:rsid w:val="00E07FD1"/>
    <w:rsid w:val="00E176D8"/>
    <w:rsid w:val="00E24573"/>
    <w:rsid w:val="00E25E1E"/>
    <w:rsid w:val="00E27EE7"/>
    <w:rsid w:val="00E31D67"/>
    <w:rsid w:val="00E3214F"/>
    <w:rsid w:val="00E333F9"/>
    <w:rsid w:val="00E35404"/>
    <w:rsid w:val="00E45109"/>
    <w:rsid w:val="00E47B7A"/>
    <w:rsid w:val="00E56A44"/>
    <w:rsid w:val="00E60269"/>
    <w:rsid w:val="00E653D0"/>
    <w:rsid w:val="00E65A2E"/>
    <w:rsid w:val="00E71951"/>
    <w:rsid w:val="00E77932"/>
    <w:rsid w:val="00E83FDA"/>
    <w:rsid w:val="00E92347"/>
    <w:rsid w:val="00E97830"/>
    <w:rsid w:val="00EA1D3B"/>
    <w:rsid w:val="00ED681A"/>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6810"/>
    <w:rsid w:val="00F846D9"/>
    <w:rsid w:val="00F84DF4"/>
    <w:rsid w:val="00F85C97"/>
    <w:rsid w:val="00F94A57"/>
    <w:rsid w:val="00FA51A0"/>
    <w:rsid w:val="00FB37D2"/>
    <w:rsid w:val="00FB7D08"/>
    <w:rsid w:val="00FC3788"/>
    <w:rsid w:val="00FC4EFB"/>
    <w:rsid w:val="00FD068D"/>
    <w:rsid w:val="00FD2612"/>
    <w:rsid w:val="00FD4F28"/>
    <w:rsid w:val="00FE0416"/>
    <w:rsid w:val="00FE6784"/>
    <w:rsid w:val="00FF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8D136D"/>
    <w:rPr>
      <w:lang w:val="fr-CA"/>
    </w:rPr>
  </w:style>
  <w:style w:type="paragraph" w:customStyle="1" w:styleId="SCCLsocPrefix">
    <w:name w:val="SCC.Lsoc.Prefix"/>
    <w:basedOn w:val="Normal"/>
    <w:next w:val="Normal"/>
    <w:link w:val="SCCLsocPrefixChar"/>
    <w:rsid w:val="008D136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D136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7536">
      <w:bodyDiv w:val="1"/>
      <w:marLeft w:val="0"/>
      <w:marRight w:val="0"/>
      <w:marTop w:val="0"/>
      <w:marBottom w:val="0"/>
      <w:divBdr>
        <w:top w:val="none" w:sz="0" w:space="0" w:color="auto"/>
        <w:left w:val="none" w:sz="0" w:space="0" w:color="auto"/>
        <w:bottom w:val="none" w:sz="0" w:space="0" w:color="auto"/>
        <w:right w:val="none" w:sz="0" w:space="0" w:color="auto"/>
      </w:divBdr>
    </w:div>
    <w:div w:id="672805687">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5451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B6E6-01B3-4848-BCFF-72E871F2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2021-04-21T23:50:00Z</dcterms:created>
  <dcterms:modified xsi:type="dcterms:W3CDTF">2024-02-18T15:28:00Z</dcterms:modified>
</cp:coreProperties>
</file>