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2239"/>
        <w:gridCol w:w="3156"/>
        <w:gridCol w:w="19"/>
      </w:tblGrid>
      <w:tr w:rsidR="008A63D9" w:rsidTr="008A63D9">
        <w:trPr>
          <w:trHeight w:val="2103"/>
        </w:trPr>
        <w:tc>
          <w:tcPr>
            <w:tcW w:w="5000" w:type="pct"/>
            <w:gridSpan w:val="4"/>
            <w:hideMark/>
          </w:tcPr>
          <w:p w:rsidR="008A63D9" w:rsidRDefault="008A63D9">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8A63D9" w:rsidRDefault="008A63D9">
            <w:pPr>
              <w:spacing w:before="120" w:after="100" w:afterAutospacing="1"/>
              <w:jc w:val="center"/>
              <w:rPr>
                <w:rFonts w:eastAsia="Calibri"/>
              </w:rPr>
            </w:pPr>
            <w:r>
              <w:rPr>
                <w:rFonts w:eastAsia="Calibri"/>
                <w:b/>
                <w:szCs w:val="24"/>
                <w:lang w:eastAsia="en-US"/>
              </w:rPr>
              <w:t>SUPREME COURT OF CANADA</w:t>
            </w:r>
          </w:p>
        </w:tc>
      </w:tr>
      <w:tr w:rsidR="008A63D9" w:rsidTr="008A63D9">
        <w:trPr>
          <w:gridAfter w:val="1"/>
          <w:wAfter w:w="10" w:type="pct"/>
        </w:trPr>
        <w:tc>
          <w:tcPr>
            <w:tcW w:w="2108" w:type="pct"/>
            <w:tcMar>
              <w:top w:w="284" w:type="dxa"/>
              <w:left w:w="57" w:type="dxa"/>
              <w:bottom w:w="57" w:type="dxa"/>
              <w:right w:w="57" w:type="dxa"/>
            </w:tcMar>
            <w:hideMark/>
          </w:tcPr>
          <w:p w:rsidR="008A63D9" w:rsidRDefault="008A63D9" w:rsidP="002641C5">
            <w:pPr>
              <w:spacing w:before="100" w:beforeAutospacing="1"/>
              <w:rPr>
                <w:rFonts w:eastAsia="Calibri"/>
                <w:lang w:val="en-US"/>
              </w:rPr>
            </w:pPr>
            <w:r>
              <w:rPr>
                <w:b/>
                <w:smallCaps/>
                <w:lang w:val="en-US"/>
              </w:rPr>
              <w:t>Citation:</w:t>
            </w:r>
            <w:r>
              <w:rPr>
                <w:lang w:val="en-US"/>
              </w:rPr>
              <w:t xml:space="preserve"> R. </w:t>
            </w:r>
            <w:r>
              <w:rPr>
                <w:i/>
                <w:lang w:val="en-US"/>
              </w:rPr>
              <w:t>v.</w:t>
            </w:r>
            <w:r>
              <w:rPr>
                <w:lang w:val="en-US"/>
              </w:rPr>
              <w:t xml:space="preserve"> Morrow, 2021 SCC 21, [202</w:t>
            </w:r>
            <w:r w:rsidR="002641C5">
              <w:rPr>
                <w:lang w:val="en-US"/>
              </w:rPr>
              <w:t>1</w:t>
            </w:r>
            <w:bookmarkStart w:id="0" w:name="_GoBack"/>
            <w:bookmarkEnd w:id="0"/>
            <w:r>
              <w:rPr>
                <w:lang w:val="en-US"/>
              </w:rPr>
              <w:t xml:space="preserve">] 1 </w:t>
            </w:r>
            <w:proofErr w:type="spellStart"/>
            <w:r>
              <w:rPr>
                <w:lang w:val="en-US"/>
              </w:rPr>
              <w:t>S.C.R</w:t>
            </w:r>
            <w:proofErr w:type="spellEnd"/>
            <w:r>
              <w:rPr>
                <w:lang w:val="en-US"/>
              </w:rPr>
              <w:t>. 864</w:t>
            </w:r>
          </w:p>
        </w:tc>
        <w:tc>
          <w:tcPr>
            <w:tcW w:w="1196" w:type="pct"/>
          </w:tcPr>
          <w:p w:rsidR="008A63D9" w:rsidRDefault="008A63D9">
            <w:pPr>
              <w:rPr>
                <w:b/>
                <w:smallCaps/>
                <w:lang w:val="en-US"/>
              </w:rPr>
            </w:pPr>
          </w:p>
        </w:tc>
        <w:tc>
          <w:tcPr>
            <w:tcW w:w="1686" w:type="pct"/>
            <w:tcMar>
              <w:top w:w="284" w:type="dxa"/>
              <w:left w:w="57" w:type="dxa"/>
              <w:bottom w:w="57" w:type="dxa"/>
              <w:right w:w="57" w:type="dxa"/>
            </w:tcMar>
            <w:hideMark/>
          </w:tcPr>
          <w:p w:rsidR="008A63D9" w:rsidRDefault="008A63D9">
            <w:r>
              <w:rPr>
                <w:b/>
                <w:smallCaps/>
              </w:rPr>
              <w:t xml:space="preserve">Appeal Heard: </w:t>
            </w:r>
            <w:r>
              <w:t>May 19, 2021</w:t>
            </w:r>
          </w:p>
          <w:p w:rsidR="008A63D9" w:rsidRDefault="008A63D9">
            <w:r>
              <w:rPr>
                <w:b/>
                <w:smallCaps/>
              </w:rPr>
              <w:t xml:space="preserve">Judgment Rendered: </w:t>
            </w:r>
            <w:r>
              <w:t>May 19, 2021</w:t>
            </w:r>
          </w:p>
          <w:p w:rsidR="008A63D9" w:rsidRDefault="008A63D9">
            <w:r>
              <w:rPr>
                <w:b/>
                <w:smallCaps/>
              </w:rPr>
              <w:t>Docket:</w:t>
            </w:r>
            <w:r>
              <w:t xml:space="preserve"> 39456</w:t>
            </w:r>
          </w:p>
        </w:tc>
      </w:tr>
      <w:tr w:rsidR="008A63D9" w:rsidTr="008A63D9">
        <w:tc>
          <w:tcPr>
            <w:tcW w:w="5000" w:type="pct"/>
            <w:gridSpan w:val="4"/>
          </w:tcPr>
          <w:p w:rsidR="008A63D9" w:rsidRDefault="008A63D9">
            <w:pPr>
              <w:rPr>
                <w:rFonts w:eastAsiaTheme="minorHAnsi" w:cstheme="minorBidi"/>
                <w:b/>
                <w:szCs w:val="24"/>
                <w:lang w:eastAsia="en-US"/>
              </w:rPr>
            </w:pPr>
          </w:p>
          <w:p w:rsidR="008A63D9" w:rsidRDefault="008A63D9">
            <w:pPr>
              <w:rPr>
                <w:rFonts w:eastAsiaTheme="minorHAnsi" w:cstheme="minorBidi"/>
                <w:b/>
                <w:smallCaps/>
                <w:szCs w:val="24"/>
                <w:lang w:eastAsia="en-US"/>
              </w:rPr>
            </w:pPr>
            <w:r>
              <w:rPr>
                <w:rFonts w:eastAsiaTheme="minorHAnsi" w:cstheme="minorBidi"/>
                <w:b/>
                <w:smallCaps/>
                <w:szCs w:val="24"/>
                <w:lang w:eastAsia="en-US"/>
              </w:rPr>
              <w:t>Between:</w:t>
            </w:r>
          </w:p>
          <w:p w:rsidR="008A63D9" w:rsidRDefault="008A63D9">
            <w:pPr>
              <w:rPr>
                <w:rFonts w:eastAsiaTheme="minorHAnsi" w:cstheme="minorBidi"/>
                <w:b/>
                <w:smallCaps/>
                <w:szCs w:val="24"/>
                <w:lang w:eastAsia="en-US"/>
              </w:rPr>
            </w:pPr>
          </w:p>
          <w:p w:rsidR="008A63D9" w:rsidRDefault="008A63D9">
            <w:pPr>
              <w:jc w:val="center"/>
              <w:rPr>
                <w:rFonts w:eastAsiaTheme="minorHAnsi" w:cstheme="minorBidi"/>
                <w:b/>
                <w:szCs w:val="24"/>
                <w:lang w:eastAsia="en-US"/>
              </w:rPr>
            </w:pPr>
            <w:r>
              <w:rPr>
                <w:rFonts w:eastAsiaTheme="minorHAnsi" w:cstheme="minorBidi"/>
                <w:b/>
                <w:szCs w:val="24"/>
                <w:lang w:eastAsia="en-US"/>
              </w:rPr>
              <w:t>Tanner Jay Morrow</w:t>
            </w:r>
          </w:p>
          <w:p w:rsidR="008A63D9" w:rsidRDefault="008A63D9">
            <w:pPr>
              <w:jc w:val="center"/>
              <w:rPr>
                <w:rFonts w:eastAsiaTheme="minorHAnsi" w:cstheme="minorBidi"/>
                <w:szCs w:val="24"/>
                <w:lang w:eastAsia="en-US"/>
              </w:rPr>
            </w:pPr>
            <w:r>
              <w:rPr>
                <w:rFonts w:eastAsiaTheme="minorHAnsi" w:cstheme="minorBidi"/>
                <w:szCs w:val="24"/>
                <w:lang w:eastAsia="en-US"/>
              </w:rPr>
              <w:t>Appellant</w:t>
            </w:r>
          </w:p>
          <w:p w:rsidR="008A63D9" w:rsidRDefault="008A63D9">
            <w:pPr>
              <w:jc w:val="center"/>
              <w:rPr>
                <w:rFonts w:eastAsiaTheme="minorHAnsi" w:cstheme="minorBidi"/>
                <w:szCs w:val="24"/>
                <w:lang w:eastAsia="en-US"/>
              </w:rPr>
            </w:pPr>
          </w:p>
          <w:p w:rsidR="008A63D9" w:rsidRDefault="008A63D9">
            <w:pPr>
              <w:jc w:val="center"/>
              <w:rPr>
                <w:rFonts w:eastAsiaTheme="minorHAnsi" w:cstheme="minorBidi"/>
                <w:szCs w:val="24"/>
                <w:lang w:eastAsia="en-US"/>
              </w:rPr>
            </w:pPr>
            <w:r>
              <w:rPr>
                <w:rFonts w:eastAsiaTheme="minorHAnsi" w:cstheme="minorBidi"/>
                <w:szCs w:val="24"/>
                <w:lang w:eastAsia="en-US"/>
              </w:rPr>
              <w:t>and</w:t>
            </w:r>
          </w:p>
          <w:p w:rsidR="008A63D9" w:rsidRDefault="008A63D9">
            <w:pPr>
              <w:jc w:val="center"/>
              <w:rPr>
                <w:rFonts w:eastAsiaTheme="minorHAnsi" w:cstheme="minorBidi"/>
                <w:szCs w:val="24"/>
                <w:lang w:eastAsia="en-US"/>
              </w:rPr>
            </w:pPr>
          </w:p>
          <w:p w:rsidR="008A63D9" w:rsidRDefault="008A63D9">
            <w:pPr>
              <w:jc w:val="center"/>
              <w:rPr>
                <w:rFonts w:eastAsiaTheme="minorHAnsi" w:cstheme="minorBidi"/>
                <w:b/>
                <w:szCs w:val="24"/>
                <w:lang w:eastAsia="en-US"/>
              </w:rPr>
            </w:pPr>
            <w:r>
              <w:rPr>
                <w:rFonts w:eastAsiaTheme="minorHAnsi" w:cstheme="minorBidi"/>
                <w:b/>
                <w:szCs w:val="24"/>
                <w:lang w:eastAsia="en-US"/>
              </w:rPr>
              <w:t>Her Majesty The Queen</w:t>
            </w:r>
          </w:p>
          <w:p w:rsidR="008A63D9" w:rsidRDefault="008A63D9">
            <w:pPr>
              <w:jc w:val="center"/>
              <w:rPr>
                <w:rFonts w:eastAsiaTheme="minorHAnsi" w:cstheme="minorBidi"/>
                <w:szCs w:val="24"/>
                <w:lang w:eastAsia="en-US"/>
              </w:rPr>
            </w:pPr>
            <w:r>
              <w:rPr>
                <w:rFonts w:eastAsiaTheme="minorHAnsi" w:cstheme="minorBidi"/>
                <w:szCs w:val="24"/>
                <w:lang w:eastAsia="en-US"/>
              </w:rPr>
              <w:t>Respondent</w:t>
            </w:r>
          </w:p>
          <w:p w:rsidR="008A63D9" w:rsidRDefault="008A63D9">
            <w:pPr>
              <w:jc w:val="center"/>
              <w:rPr>
                <w:rFonts w:eastAsiaTheme="minorHAnsi" w:cstheme="minorBidi"/>
                <w:szCs w:val="24"/>
                <w:lang w:eastAsia="en-U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04"/>
        <w:gridCol w:w="7235"/>
        <w:gridCol w:w="21"/>
      </w:tblGrid>
      <w:tr w:rsidR="008A63D9" w:rsidRPr="008A63D9" w:rsidTr="008A63D9">
        <w:trPr>
          <w:cantSplit/>
          <w:trHeight w:val="508"/>
        </w:trPr>
        <w:tc>
          <w:tcPr>
            <w:tcW w:w="5000" w:type="pct"/>
            <w:gridSpan w:val="3"/>
            <w:tcMar>
              <w:top w:w="284" w:type="dxa"/>
              <w:left w:w="58" w:type="dxa"/>
              <w:bottom w:w="57" w:type="dxa"/>
              <w:right w:w="58" w:type="dxa"/>
            </w:tcMar>
            <w:vAlign w:val="center"/>
          </w:tcPr>
          <w:p w:rsidR="008A63D9" w:rsidRDefault="008A63D9">
            <w:r>
              <w:rPr>
                <w:b/>
                <w:smallCaps/>
              </w:rPr>
              <w:t>Coram:</w:t>
            </w:r>
            <w:r>
              <w:t xml:space="preserve"> </w:t>
            </w:r>
            <w:proofErr w:type="spellStart"/>
            <w:r>
              <w:t>Moldaver</w:t>
            </w:r>
            <w:proofErr w:type="spellEnd"/>
            <w:r>
              <w:t xml:space="preserve">, </w:t>
            </w:r>
            <w:proofErr w:type="spellStart"/>
            <w:r>
              <w:t>Karakatsanis</w:t>
            </w:r>
            <w:proofErr w:type="spellEnd"/>
            <w:r>
              <w:t xml:space="preserve">, Côté, Rowe and </w:t>
            </w:r>
            <w:proofErr w:type="spellStart"/>
            <w:r>
              <w:t>Kasirer</w:t>
            </w:r>
            <w:proofErr w:type="spellEnd"/>
            <w:r>
              <w:t> </w:t>
            </w:r>
            <w:proofErr w:type="spellStart"/>
            <w:r>
              <w:t>JJ</w:t>
            </w:r>
            <w:proofErr w:type="spellEnd"/>
            <w:r>
              <w:t>.</w:t>
            </w:r>
          </w:p>
          <w:p w:rsidR="008A63D9" w:rsidRDefault="008A63D9"/>
        </w:tc>
      </w:tr>
      <w:tr w:rsidR="008A63D9" w:rsidTr="008A63D9">
        <w:trPr>
          <w:gridAfter w:val="1"/>
          <w:wAfter w:w="10" w:type="pct"/>
          <w:cantSplit/>
          <w:trHeight w:val="508"/>
        </w:trPr>
        <w:tc>
          <w:tcPr>
            <w:tcW w:w="1124" w:type="pct"/>
            <w:tcMar>
              <w:top w:w="28" w:type="dxa"/>
              <w:left w:w="57" w:type="dxa"/>
              <w:bottom w:w="57" w:type="dxa"/>
              <w:right w:w="57" w:type="dxa"/>
            </w:tcMar>
            <w:vAlign w:val="center"/>
            <w:hideMark/>
          </w:tcPr>
          <w:p w:rsidR="008A63D9" w:rsidRDefault="008A63D9">
            <w:pPr>
              <w:spacing w:before="120"/>
              <w:rPr>
                <w:smallCaps/>
              </w:rPr>
            </w:pPr>
            <w:r>
              <w:rPr>
                <w:b/>
                <w:smallCaps/>
              </w:rPr>
              <w:t>Judgment Read By:</w:t>
            </w:r>
          </w:p>
          <w:p w:rsidR="008A63D9" w:rsidRDefault="008A63D9">
            <w:pPr>
              <w:rPr>
                <w:b/>
                <w:smallCaps/>
              </w:rPr>
            </w:pPr>
            <w:r>
              <w:t>(paras. 1 to 3)</w:t>
            </w:r>
          </w:p>
        </w:tc>
        <w:tc>
          <w:tcPr>
            <w:tcW w:w="3865" w:type="pct"/>
            <w:tcMar>
              <w:top w:w="28" w:type="dxa"/>
              <w:left w:w="57" w:type="dxa"/>
              <w:bottom w:w="57" w:type="dxa"/>
              <w:right w:w="57" w:type="dxa"/>
            </w:tcMar>
            <w:vAlign w:val="center"/>
            <w:hideMark/>
          </w:tcPr>
          <w:p w:rsidR="008A63D9" w:rsidRDefault="008A63D9">
            <w:pPr>
              <w:spacing w:before="120"/>
            </w:pPr>
            <w:proofErr w:type="spellStart"/>
            <w:r>
              <w:t>Moldaver</w:t>
            </w:r>
            <w:proofErr w:type="spellEnd"/>
            <w:r>
              <w:t> J.</w:t>
            </w:r>
          </w:p>
        </w:tc>
      </w:tr>
      <w:tr w:rsidR="008A63D9" w:rsidTr="008A63D9">
        <w:trPr>
          <w:gridAfter w:val="1"/>
          <w:wAfter w:w="10" w:type="pct"/>
          <w:cantSplit/>
          <w:trHeight w:val="508"/>
        </w:trPr>
        <w:tc>
          <w:tcPr>
            <w:tcW w:w="1124" w:type="pct"/>
            <w:tcMar>
              <w:top w:w="28" w:type="dxa"/>
              <w:left w:w="57" w:type="dxa"/>
              <w:bottom w:w="57" w:type="dxa"/>
              <w:right w:w="57" w:type="dxa"/>
            </w:tcMar>
            <w:vAlign w:val="center"/>
            <w:hideMark/>
          </w:tcPr>
          <w:p w:rsidR="008A63D9" w:rsidRDefault="008A63D9">
            <w:pPr>
              <w:spacing w:before="120"/>
              <w:rPr>
                <w:b/>
                <w:smallCaps/>
              </w:rPr>
            </w:pPr>
            <w:r>
              <w:rPr>
                <w:b/>
                <w:smallCaps/>
              </w:rPr>
              <w:t>Dissent Read By:</w:t>
            </w:r>
          </w:p>
          <w:p w:rsidR="008A63D9" w:rsidRDefault="008A63D9">
            <w:pPr>
              <w:rPr>
                <w:b/>
                <w:smallCaps/>
              </w:rPr>
            </w:pPr>
            <w:r>
              <w:t>(para. 4)</w:t>
            </w:r>
          </w:p>
        </w:tc>
        <w:tc>
          <w:tcPr>
            <w:tcW w:w="3865" w:type="pct"/>
            <w:tcMar>
              <w:top w:w="28" w:type="dxa"/>
              <w:left w:w="57" w:type="dxa"/>
              <w:bottom w:w="57" w:type="dxa"/>
              <w:right w:w="57" w:type="dxa"/>
            </w:tcMar>
            <w:vAlign w:val="center"/>
            <w:hideMark/>
          </w:tcPr>
          <w:p w:rsidR="008A63D9" w:rsidRDefault="008A63D9">
            <w:pPr>
              <w:spacing w:before="120"/>
            </w:pPr>
            <w:r>
              <w:t>Côté J.</w:t>
            </w:r>
          </w:p>
        </w:tc>
      </w:tr>
      <w:tr w:rsidR="008A63D9" w:rsidRPr="008A63D9" w:rsidTr="008A63D9">
        <w:trPr>
          <w:gridAfter w:val="1"/>
          <w:wAfter w:w="10" w:type="pct"/>
          <w:cantSplit/>
          <w:trHeight w:val="508"/>
        </w:trPr>
        <w:tc>
          <w:tcPr>
            <w:tcW w:w="1124" w:type="pct"/>
            <w:tcMar>
              <w:top w:w="28" w:type="dxa"/>
              <w:left w:w="57" w:type="dxa"/>
              <w:bottom w:w="57" w:type="dxa"/>
              <w:right w:w="57" w:type="dxa"/>
            </w:tcMar>
            <w:vAlign w:val="center"/>
            <w:hideMark/>
          </w:tcPr>
          <w:p w:rsidR="008A63D9" w:rsidRDefault="008A63D9">
            <w:pPr>
              <w:spacing w:before="120"/>
              <w:rPr>
                <w:b/>
                <w:smallCaps/>
              </w:rPr>
            </w:pPr>
            <w:r>
              <w:rPr>
                <w:b/>
                <w:smallCaps/>
              </w:rPr>
              <w:t>Majority:</w:t>
            </w:r>
          </w:p>
        </w:tc>
        <w:tc>
          <w:tcPr>
            <w:tcW w:w="3865" w:type="pct"/>
            <w:tcMar>
              <w:top w:w="28" w:type="dxa"/>
              <w:left w:w="57" w:type="dxa"/>
              <w:bottom w:w="57" w:type="dxa"/>
              <w:right w:w="57" w:type="dxa"/>
            </w:tcMar>
            <w:vAlign w:val="center"/>
            <w:hideMark/>
          </w:tcPr>
          <w:p w:rsidR="008A63D9" w:rsidRDefault="008A63D9">
            <w:pPr>
              <w:spacing w:before="120"/>
            </w:pPr>
            <w:proofErr w:type="spellStart"/>
            <w:r>
              <w:t>Moldaver</w:t>
            </w:r>
            <w:proofErr w:type="spellEnd"/>
            <w:r>
              <w:t xml:space="preserve">, </w:t>
            </w:r>
            <w:proofErr w:type="spellStart"/>
            <w:r>
              <w:t>Karakatsanis</w:t>
            </w:r>
            <w:proofErr w:type="spellEnd"/>
            <w:r>
              <w:t xml:space="preserve">, Rowe and </w:t>
            </w:r>
            <w:proofErr w:type="spellStart"/>
            <w:r>
              <w:t>Kasirer</w:t>
            </w:r>
            <w:proofErr w:type="spellEnd"/>
            <w:r>
              <w:t> </w:t>
            </w:r>
            <w:proofErr w:type="spellStart"/>
            <w:r>
              <w:t>JJ</w:t>
            </w:r>
            <w:proofErr w:type="spellEnd"/>
            <w:r>
              <w:t>.</w:t>
            </w:r>
          </w:p>
        </w:tc>
      </w:tr>
      <w:tr w:rsidR="008A63D9" w:rsidTr="008A63D9">
        <w:trPr>
          <w:gridAfter w:val="1"/>
          <w:wAfter w:w="10" w:type="pct"/>
          <w:cantSplit/>
          <w:trHeight w:val="508"/>
        </w:trPr>
        <w:tc>
          <w:tcPr>
            <w:tcW w:w="1124" w:type="pct"/>
            <w:tcMar>
              <w:top w:w="28" w:type="dxa"/>
              <w:left w:w="57" w:type="dxa"/>
              <w:bottom w:w="57" w:type="dxa"/>
              <w:right w:w="57" w:type="dxa"/>
            </w:tcMar>
            <w:vAlign w:val="center"/>
            <w:hideMark/>
          </w:tcPr>
          <w:p w:rsidR="008A63D9" w:rsidRDefault="008A63D9">
            <w:pPr>
              <w:spacing w:before="120"/>
              <w:rPr>
                <w:b/>
                <w:smallCaps/>
              </w:rPr>
            </w:pPr>
            <w:r>
              <w:rPr>
                <w:b/>
                <w:smallCaps/>
              </w:rPr>
              <w:t>Dissent:</w:t>
            </w:r>
          </w:p>
        </w:tc>
        <w:tc>
          <w:tcPr>
            <w:tcW w:w="3865" w:type="pct"/>
            <w:tcMar>
              <w:top w:w="28" w:type="dxa"/>
              <w:left w:w="57" w:type="dxa"/>
              <w:bottom w:w="57" w:type="dxa"/>
              <w:right w:w="57" w:type="dxa"/>
            </w:tcMar>
            <w:vAlign w:val="center"/>
            <w:hideMark/>
          </w:tcPr>
          <w:p w:rsidR="008A63D9" w:rsidRDefault="008A63D9">
            <w:pPr>
              <w:spacing w:before="120"/>
            </w:pPr>
            <w:r>
              <w:t>Côté J.</w:t>
            </w:r>
          </w:p>
        </w:tc>
      </w:tr>
      <w:tr w:rsidR="008A63D9" w:rsidTr="008A63D9">
        <w:trPr>
          <w:cantSplit/>
        </w:trPr>
        <w:tc>
          <w:tcPr>
            <w:tcW w:w="5000" w:type="pct"/>
            <w:gridSpan w:val="3"/>
            <w:tcMar>
              <w:top w:w="284" w:type="dxa"/>
              <w:left w:w="58" w:type="dxa"/>
              <w:bottom w:w="57" w:type="dxa"/>
              <w:right w:w="58" w:type="dxa"/>
            </w:tcMar>
            <w:vAlign w:val="center"/>
          </w:tcPr>
          <w:p w:rsidR="008A63D9" w:rsidRDefault="008A63D9"/>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8A63D9" w:rsidRPr="008A63D9" w:rsidTr="008A63D9">
        <w:tc>
          <w:tcPr>
            <w:tcW w:w="1500" w:type="pct"/>
            <w:tcMar>
              <w:top w:w="284" w:type="dxa"/>
              <w:left w:w="108" w:type="dxa"/>
              <w:bottom w:w="0" w:type="dxa"/>
              <w:right w:w="108" w:type="dxa"/>
            </w:tcMar>
          </w:tcPr>
          <w:p w:rsidR="008A63D9" w:rsidRDefault="008A63D9">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rsidR="008A63D9" w:rsidRDefault="008A63D9">
            <w:pPr>
              <w:rPr>
                <w:rFonts w:eastAsia="Calibri"/>
                <w:szCs w:val="24"/>
                <w:lang w:eastAsia="en-US"/>
              </w:rPr>
            </w:pPr>
          </w:p>
        </w:tc>
        <w:tc>
          <w:tcPr>
            <w:tcW w:w="1500" w:type="pct"/>
            <w:tcMar>
              <w:top w:w="284" w:type="dxa"/>
              <w:left w:w="108" w:type="dxa"/>
              <w:bottom w:w="0" w:type="dxa"/>
              <w:right w:w="108" w:type="dxa"/>
            </w:tcMar>
          </w:tcPr>
          <w:p w:rsidR="008A63D9" w:rsidRDefault="008A63D9">
            <w:pPr>
              <w:rPr>
                <w:rFonts w:eastAsia="Calibri"/>
                <w:szCs w:val="24"/>
                <w:lang w:eastAsia="en-US"/>
              </w:rPr>
            </w:pPr>
          </w:p>
        </w:tc>
      </w:tr>
    </w:tbl>
    <w:p w:rsidR="00EE0196" w:rsidRPr="003B2AC5" w:rsidRDefault="00EE0196" w:rsidP="00EE0196">
      <w:pPr>
        <w:spacing w:after="720"/>
        <w:jc w:val="both"/>
        <w:rPr>
          <w:lang w:val="en-US"/>
        </w:rPr>
      </w:pPr>
    </w:p>
    <w:p w:rsidR="00EE0196" w:rsidRPr="003B2AC5" w:rsidRDefault="00EE0196" w:rsidP="00EE0196">
      <w:pPr>
        <w:pStyle w:val="SCCLsocLastPartyInRole"/>
        <w:rPr>
          <w:lang w:val="en-US"/>
        </w:rPr>
      </w:pPr>
      <w:r w:rsidRPr="00243299">
        <w:rPr>
          <w:bCs/>
        </w:rPr>
        <w:t>Tanner Jay Morrow</w:t>
      </w:r>
      <w:r w:rsidRPr="003B2AC5">
        <w:rPr>
          <w:rStyle w:val="SCCLsocPartyRole"/>
          <w:lang w:val="en-US"/>
        </w:rPr>
        <w:tab/>
        <w:t>Appellant</w:t>
      </w:r>
    </w:p>
    <w:p w:rsidR="00EE0196" w:rsidRDefault="00EE0196" w:rsidP="00EE0196">
      <w:pPr>
        <w:pStyle w:val="SCCLsocVersus"/>
      </w:pPr>
      <w:proofErr w:type="gramStart"/>
      <w:r>
        <w:t>v</w:t>
      </w:r>
      <w:proofErr w:type="gramEnd"/>
      <w:r>
        <w:t>.</w:t>
      </w:r>
    </w:p>
    <w:p w:rsidR="00EE0196" w:rsidRPr="00775F17" w:rsidRDefault="00EE0196" w:rsidP="00EE0196">
      <w:pPr>
        <w:pStyle w:val="SCCLsocLastPartyInRole"/>
      </w:pPr>
      <w:r w:rsidRPr="00243299">
        <w:rPr>
          <w:bCs/>
        </w:rPr>
        <w:t xml:space="preserve">Her Majesty </w:t>
      </w:r>
      <w:proofErr w:type="gramStart"/>
      <w:r w:rsidRPr="00243299">
        <w:rPr>
          <w:bCs/>
        </w:rPr>
        <w:t>The</w:t>
      </w:r>
      <w:proofErr w:type="gramEnd"/>
      <w:r w:rsidRPr="00243299">
        <w:rPr>
          <w:bCs/>
        </w:rPr>
        <w:t xml:space="preserve"> Queen</w:t>
      </w:r>
      <w:r>
        <w:rPr>
          <w:rStyle w:val="SCCLsocPartyRole"/>
        </w:rPr>
        <w:tab/>
        <w:t>Respondent</w:t>
      </w:r>
    </w:p>
    <w:p w:rsidR="00EE0196" w:rsidRPr="00426659" w:rsidRDefault="00EE0196" w:rsidP="00EE0196">
      <w:pPr>
        <w:spacing w:after="720"/>
        <w:jc w:val="both"/>
        <w:rPr>
          <w:b/>
        </w:rPr>
      </w:pPr>
      <w:r w:rsidRPr="00426659">
        <w:rPr>
          <w:b/>
        </w:rPr>
        <w:t>Indexed as:</w:t>
      </w:r>
      <w:r>
        <w:rPr>
          <w:b/>
        </w:rPr>
        <w:t xml:space="preserve"> </w:t>
      </w:r>
      <w:r w:rsidRPr="000973B5">
        <w:rPr>
          <w:b/>
          <w:lang w:val="en-US"/>
        </w:rPr>
        <w:t xml:space="preserve">R. </w:t>
      </w:r>
      <w:r w:rsidRPr="000973B5">
        <w:rPr>
          <w:b/>
          <w:i/>
          <w:lang w:val="en-US"/>
        </w:rPr>
        <w:t>v.</w:t>
      </w:r>
      <w:r w:rsidRPr="000973B5">
        <w:rPr>
          <w:b/>
          <w:lang w:val="en-US"/>
        </w:rPr>
        <w:t xml:space="preserve"> </w:t>
      </w:r>
      <w:r w:rsidRPr="00243299">
        <w:rPr>
          <w:b/>
        </w:rPr>
        <w:t>Morrow</w:t>
      </w:r>
    </w:p>
    <w:p w:rsidR="00EE0196" w:rsidRPr="00C02092" w:rsidRDefault="00EE0196" w:rsidP="00EE0196">
      <w:pPr>
        <w:pStyle w:val="SCCSystemYear"/>
        <w:spacing w:after="720"/>
        <w:jc w:val="both"/>
      </w:pPr>
      <w:r>
        <w:t xml:space="preserve">2021 SCC </w:t>
      </w:r>
      <w:r w:rsidRPr="00243299">
        <w:t>21</w:t>
      </w:r>
    </w:p>
    <w:p w:rsidR="00EE0196" w:rsidRDefault="00EE0196" w:rsidP="00EE0196">
      <w:pPr>
        <w:spacing w:after="720"/>
        <w:jc w:val="both"/>
      </w:pPr>
      <w:r>
        <w:t xml:space="preserve">File No.: </w:t>
      </w:r>
      <w:r>
        <w:rPr>
          <w:color w:val="000000"/>
        </w:rPr>
        <w:t>39456</w:t>
      </w:r>
      <w:r w:rsidRPr="001426A9">
        <w:t>.</w:t>
      </w:r>
    </w:p>
    <w:p w:rsidR="00EE0196" w:rsidRDefault="00EE0196" w:rsidP="00EE0196">
      <w:pPr>
        <w:spacing w:after="720"/>
        <w:jc w:val="both"/>
      </w:pPr>
      <w:r>
        <w:rPr>
          <w:color w:val="000000"/>
        </w:rPr>
        <w:t>2021</w:t>
      </w:r>
      <w:r>
        <w:t xml:space="preserve">: </w:t>
      </w:r>
      <w:r>
        <w:rPr>
          <w:color w:val="000000"/>
        </w:rPr>
        <w:t>May 19</w:t>
      </w:r>
      <w:r w:rsidRPr="001426A9">
        <w:t>.</w:t>
      </w:r>
    </w:p>
    <w:p w:rsidR="00EE0196" w:rsidRDefault="00EE0196" w:rsidP="00EE0196">
      <w:pPr>
        <w:spacing w:after="720"/>
        <w:jc w:val="both"/>
      </w:pPr>
      <w:r w:rsidRPr="001426A9">
        <w:t xml:space="preserve">Present: </w:t>
      </w:r>
      <w:proofErr w:type="spellStart"/>
      <w:r>
        <w:rPr>
          <w:color w:val="000000"/>
        </w:rPr>
        <w:t>Moldaver</w:t>
      </w:r>
      <w:proofErr w:type="spellEnd"/>
      <w:r>
        <w:rPr>
          <w:color w:val="000000"/>
        </w:rPr>
        <w:t xml:space="preserve">, </w:t>
      </w:r>
      <w:proofErr w:type="spellStart"/>
      <w:r>
        <w:rPr>
          <w:color w:val="000000"/>
        </w:rPr>
        <w:t>Karakatsanis</w:t>
      </w:r>
      <w:proofErr w:type="spellEnd"/>
      <w:r>
        <w:rPr>
          <w:color w:val="000000"/>
        </w:rPr>
        <w:t xml:space="preserve">, Côté, Rowe and </w:t>
      </w:r>
      <w:proofErr w:type="spellStart"/>
      <w:r>
        <w:rPr>
          <w:color w:val="000000"/>
        </w:rPr>
        <w:t>Kasirer</w:t>
      </w:r>
      <w:proofErr w:type="spellEnd"/>
      <w:r w:rsidRPr="00BE77F5">
        <w:rPr>
          <w:color w:val="000000"/>
        </w:rPr>
        <w:t> </w:t>
      </w:r>
      <w:proofErr w:type="spellStart"/>
      <w:r w:rsidRPr="00BE77F5">
        <w:rPr>
          <w:color w:val="000000"/>
        </w:rPr>
        <w:t>JJ</w:t>
      </w:r>
      <w:proofErr w:type="spellEnd"/>
      <w:r>
        <w:rPr>
          <w:color w:val="000000"/>
        </w:rPr>
        <w:t>.</w:t>
      </w:r>
    </w:p>
    <w:p w:rsidR="00EE0196" w:rsidRPr="001C779F" w:rsidRDefault="00EE0196" w:rsidP="00EE0196">
      <w:pPr>
        <w:pStyle w:val="SCCLowerCourtNameLowercase"/>
        <w:spacing w:after="720" w:line="240" w:lineRule="auto"/>
      </w:pPr>
      <w:r>
        <w:t xml:space="preserve">on appeal from the court of appeal for </w:t>
      </w:r>
      <w:proofErr w:type="spellStart"/>
      <w:r>
        <w:t>a</w:t>
      </w:r>
      <w:r>
        <w:rPr>
          <w:color w:val="000000"/>
        </w:rPr>
        <w:t>lberta</w:t>
      </w:r>
      <w:proofErr w:type="spellEnd"/>
    </w:p>
    <w:p w:rsidR="00EE0196" w:rsidRPr="00A943E9" w:rsidRDefault="00EE0196" w:rsidP="00EE0196">
      <w:pPr>
        <w:pStyle w:val="SCCNormalDoubleSpacing"/>
        <w:spacing w:after="480"/>
        <w:rPr>
          <w:i/>
        </w:rPr>
      </w:pPr>
      <w:r>
        <w:tab/>
      </w:r>
      <w:r>
        <w:rPr>
          <w:i/>
        </w:rPr>
        <w:t>Criminal law — Obstructing justice — Elements of offence — Dissuading or attempting to dissuade person by threats, bribes or other corrupt means from giving evidence — Accused convicted of obstructing justice after going</w:t>
      </w:r>
      <w:r w:rsidRPr="00C07821">
        <w:rPr>
          <w:i/>
        </w:rPr>
        <w:t xml:space="preserve"> to </w:t>
      </w:r>
      <w:r>
        <w:rPr>
          <w:i/>
        </w:rPr>
        <w:t>complainant’s</w:t>
      </w:r>
      <w:r w:rsidRPr="00C07821">
        <w:rPr>
          <w:i/>
        </w:rPr>
        <w:t xml:space="preserve"> home</w:t>
      </w:r>
      <w:r>
        <w:rPr>
          <w:i/>
        </w:rPr>
        <w:t xml:space="preserve"> </w:t>
      </w:r>
      <w:r w:rsidRPr="00C07821">
        <w:rPr>
          <w:i/>
        </w:rPr>
        <w:t xml:space="preserve">to </w:t>
      </w:r>
      <w:r>
        <w:rPr>
          <w:i/>
        </w:rPr>
        <w:t xml:space="preserve">provide her with information as to how she could withdraw charges recently laid against him for criminal </w:t>
      </w:r>
      <w:r>
        <w:rPr>
          <w:i/>
        </w:rPr>
        <w:lastRenderedPageBreak/>
        <w:t>harassment — Trial judge holding that accused’s actions were wilful and done in attempt to dissuade</w:t>
      </w:r>
      <w:r w:rsidRPr="00C07821">
        <w:rPr>
          <w:i/>
        </w:rPr>
        <w:t xml:space="preserve"> complainant from </w:t>
      </w:r>
      <w:r>
        <w:rPr>
          <w:i/>
        </w:rPr>
        <w:t xml:space="preserve">giving evidence — Majority of Court of Appeal concluding that </w:t>
      </w:r>
      <w:r w:rsidRPr="00C07821">
        <w:rPr>
          <w:i/>
        </w:rPr>
        <w:t xml:space="preserve">inference that </w:t>
      </w:r>
      <w:r>
        <w:rPr>
          <w:i/>
        </w:rPr>
        <w:t>accused</w:t>
      </w:r>
      <w:r w:rsidRPr="00C07821">
        <w:rPr>
          <w:i/>
        </w:rPr>
        <w:t xml:space="preserve"> applied pressure on complainant for improper purpose was available on </w:t>
      </w:r>
      <w:r>
        <w:rPr>
          <w:i/>
        </w:rPr>
        <w:t xml:space="preserve">record and affirming conviction — </w:t>
      </w:r>
      <w:r w:rsidRPr="00C07821">
        <w:rPr>
          <w:i/>
        </w:rPr>
        <w:t>Dissenting judge would have set aside conviction on basis that accused’s communication of infor</w:t>
      </w:r>
      <w:r>
        <w:rPr>
          <w:i/>
        </w:rPr>
        <w:t>mation about withdrawing charges</w:t>
      </w:r>
      <w:r w:rsidRPr="00C07821">
        <w:rPr>
          <w:i/>
        </w:rPr>
        <w:t xml:space="preserve"> was not illicit and did not constitute threats, bribes or other corrupt means</w:t>
      </w:r>
      <w:r>
        <w:rPr>
          <w:i/>
        </w:rPr>
        <w:t xml:space="preserve"> — Conviction upheld — Criminal Code, R.S.C. 1985, c. C</w:t>
      </w:r>
      <w:r>
        <w:rPr>
          <w:i/>
        </w:rPr>
        <w:noBreakHyphen/>
        <w:t>46, s. 139(3).</w:t>
      </w:r>
    </w:p>
    <w:p w:rsidR="00EE0196" w:rsidRDefault="00EE0196" w:rsidP="00EE0196">
      <w:pPr>
        <w:pStyle w:val="SCCNormalDoubleSpacing"/>
        <w:widowControl w:val="0"/>
        <w:spacing w:after="720" w:line="240" w:lineRule="auto"/>
        <w:rPr>
          <w:b/>
        </w:rPr>
      </w:pPr>
      <w:r w:rsidRPr="00314E01">
        <w:rPr>
          <w:b/>
        </w:rPr>
        <w:t>Cases Cited</w:t>
      </w:r>
    </w:p>
    <w:p w:rsidR="00EE0196" w:rsidRPr="00613969" w:rsidRDefault="00EE0196" w:rsidP="00EE0196">
      <w:pPr>
        <w:pStyle w:val="SCCNormalDoubleSpacing"/>
        <w:widowControl w:val="0"/>
        <w:spacing w:after="720" w:line="240" w:lineRule="auto"/>
      </w:pPr>
      <w:r>
        <w:t>By Côté J. (dissenting)</w:t>
      </w:r>
    </w:p>
    <w:p w:rsidR="00EE0196" w:rsidRDefault="00EE0196" w:rsidP="00EE0196">
      <w:pPr>
        <w:pStyle w:val="SCCNormalDoubleSpacing"/>
        <w:widowControl w:val="0"/>
        <w:spacing w:after="720" w:line="240" w:lineRule="auto"/>
        <w:rPr>
          <w:color w:val="000000"/>
        </w:rPr>
      </w:pPr>
      <w:r>
        <w:tab/>
      </w:r>
      <w:r>
        <w:rPr>
          <w:i/>
          <w:iCs/>
          <w:color w:val="000000"/>
        </w:rPr>
        <w:t xml:space="preserve">R. v. </w:t>
      </w:r>
      <w:proofErr w:type="spellStart"/>
      <w:r>
        <w:rPr>
          <w:i/>
          <w:iCs/>
          <w:color w:val="000000"/>
        </w:rPr>
        <w:t>Crazyboy</w:t>
      </w:r>
      <w:proofErr w:type="spellEnd"/>
      <w:r>
        <w:rPr>
          <w:color w:val="000000"/>
        </w:rPr>
        <w:t xml:space="preserve">, 2011 </w:t>
      </w:r>
      <w:proofErr w:type="spellStart"/>
      <w:r>
        <w:rPr>
          <w:color w:val="000000"/>
        </w:rPr>
        <w:t>ABPC</w:t>
      </w:r>
      <w:proofErr w:type="spellEnd"/>
      <w:r>
        <w:rPr>
          <w:color w:val="000000"/>
        </w:rPr>
        <w:t xml:space="preserve"> 369.</w:t>
      </w:r>
    </w:p>
    <w:p w:rsidR="00EE0196" w:rsidRDefault="00EE0196" w:rsidP="00EE0196">
      <w:pPr>
        <w:pStyle w:val="SCCNormalDoubleSpacing"/>
        <w:widowControl w:val="0"/>
        <w:spacing w:after="720" w:line="240" w:lineRule="auto"/>
        <w:rPr>
          <w:b/>
        </w:rPr>
      </w:pPr>
      <w:r>
        <w:rPr>
          <w:b/>
          <w:bCs/>
          <w:color w:val="000000"/>
        </w:rPr>
        <w:t>Statutes and Regulations Cited</w:t>
      </w:r>
    </w:p>
    <w:p w:rsidR="00EE0196" w:rsidRPr="00471093" w:rsidRDefault="00EE0196" w:rsidP="00EE0196">
      <w:pPr>
        <w:pStyle w:val="SCCNormalDoubleSpacing"/>
        <w:spacing w:after="720" w:line="240" w:lineRule="auto"/>
        <w:rPr>
          <w:lang w:val="fr-CA"/>
        </w:rPr>
      </w:pPr>
      <w:proofErr w:type="spellStart"/>
      <w:r w:rsidRPr="00471093">
        <w:rPr>
          <w:rFonts w:eastAsiaTheme="majorEastAsia"/>
          <w:i/>
          <w:iCs/>
          <w:lang w:val="fr-CA"/>
        </w:rPr>
        <w:t>Criminal</w:t>
      </w:r>
      <w:proofErr w:type="spellEnd"/>
      <w:r w:rsidRPr="00471093">
        <w:rPr>
          <w:rFonts w:eastAsiaTheme="majorEastAsia"/>
          <w:i/>
          <w:iCs/>
          <w:lang w:val="fr-CA"/>
        </w:rPr>
        <w:t xml:space="preserve"> Code</w:t>
      </w:r>
      <w:r w:rsidRPr="00471093">
        <w:rPr>
          <w:rFonts w:eastAsiaTheme="majorEastAsia"/>
          <w:lang w:val="fr-CA"/>
        </w:rPr>
        <w:t xml:space="preserve">, </w:t>
      </w:r>
      <w:proofErr w:type="spellStart"/>
      <w:r w:rsidRPr="00471093">
        <w:rPr>
          <w:rFonts w:eastAsiaTheme="majorEastAsia"/>
          <w:lang w:val="fr-CA"/>
        </w:rPr>
        <w:t>R.S.C</w:t>
      </w:r>
      <w:proofErr w:type="spellEnd"/>
      <w:r w:rsidRPr="00471093">
        <w:rPr>
          <w:rFonts w:eastAsiaTheme="majorEastAsia"/>
          <w:lang w:val="fr-CA"/>
        </w:rPr>
        <w:t>. 1985, c. C</w:t>
      </w:r>
      <w:r w:rsidRPr="00471093">
        <w:rPr>
          <w:rFonts w:eastAsiaTheme="majorEastAsia"/>
          <w:lang w:val="fr-CA"/>
        </w:rPr>
        <w:noBreakHyphen/>
        <w:t>46</w:t>
      </w:r>
      <w:r w:rsidRPr="00471093">
        <w:rPr>
          <w:color w:val="000000"/>
          <w:lang w:val="fr-CA"/>
        </w:rPr>
        <w:t>, s. 139(3).</w:t>
      </w:r>
    </w:p>
    <w:p w:rsidR="00EE0196" w:rsidRPr="001851E9" w:rsidRDefault="00EE0196" w:rsidP="00EE0196">
      <w:pPr>
        <w:pStyle w:val="SCCNormalDoubleSpacing"/>
        <w:spacing w:after="480"/>
      </w:pPr>
      <w:r w:rsidRPr="00471093">
        <w:rPr>
          <w:lang w:val="fr-CA"/>
        </w:rPr>
        <w:tab/>
      </w:r>
      <w:r w:rsidRPr="001426A9">
        <w:t xml:space="preserve">APPEAL from a judgment of the </w:t>
      </w:r>
      <w:r>
        <w:rPr>
          <w:color w:val="000000"/>
        </w:rPr>
        <w:t>Alberta</w:t>
      </w:r>
      <w:r>
        <w:t xml:space="preserve"> Court of Appeal (</w:t>
      </w:r>
      <w:proofErr w:type="spellStart"/>
      <w:r w:rsidRPr="00243299">
        <w:t>Paperny</w:t>
      </w:r>
      <w:proofErr w:type="spellEnd"/>
      <w:r w:rsidRPr="004B16D4">
        <w:t xml:space="preserve">, </w:t>
      </w:r>
      <w:proofErr w:type="spellStart"/>
      <w:r w:rsidRPr="00243299">
        <w:t>Slatter</w:t>
      </w:r>
      <w:proofErr w:type="spellEnd"/>
      <w:r>
        <w:t xml:space="preserve"> and</w:t>
      </w:r>
      <w:r w:rsidRPr="004A4E8F">
        <w:t xml:space="preserve"> </w:t>
      </w:r>
      <w:r w:rsidRPr="00243299">
        <w:t>Antonio</w:t>
      </w:r>
      <w:r>
        <w:t> </w:t>
      </w:r>
      <w:proofErr w:type="spellStart"/>
      <w:r w:rsidRPr="004735FC">
        <w:t>JJ.A</w:t>
      </w:r>
      <w:proofErr w:type="spellEnd"/>
      <w:r w:rsidRPr="004735FC">
        <w:t>.</w:t>
      </w:r>
      <w:r>
        <w:t xml:space="preserve">), </w:t>
      </w:r>
      <w:r>
        <w:rPr>
          <w:color w:val="000000"/>
        </w:rPr>
        <w:t xml:space="preserve">2020 ABCA 407, </w:t>
      </w:r>
      <w:r w:rsidRPr="003309FE">
        <w:rPr>
          <w:color w:val="000000"/>
        </w:rPr>
        <w:t>458 D.L.R. (4th) 5</w:t>
      </w:r>
      <w:r>
        <w:rPr>
          <w:color w:val="000000"/>
        </w:rPr>
        <w:t>, [2020] A.J. No. </w:t>
      </w:r>
      <w:r w:rsidRPr="003309FE">
        <w:rPr>
          <w:color w:val="000000"/>
        </w:rPr>
        <w:t>1243</w:t>
      </w:r>
      <w:r>
        <w:rPr>
          <w:color w:val="000000"/>
        </w:rPr>
        <w:t xml:space="preserve"> (</w:t>
      </w:r>
      <w:proofErr w:type="spellStart"/>
      <w:r>
        <w:rPr>
          <w:color w:val="000000"/>
        </w:rPr>
        <w:t>QL</w:t>
      </w:r>
      <w:proofErr w:type="spellEnd"/>
      <w:r>
        <w:rPr>
          <w:color w:val="000000"/>
        </w:rPr>
        <w:t xml:space="preserve">), </w:t>
      </w:r>
      <w:r w:rsidRPr="003309FE">
        <w:rPr>
          <w:color w:val="000000"/>
        </w:rPr>
        <w:t xml:space="preserve">2020 </w:t>
      </w:r>
      <w:proofErr w:type="spellStart"/>
      <w:r w:rsidRPr="003309FE">
        <w:rPr>
          <w:color w:val="000000"/>
        </w:rPr>
        <w:t>CarswellAlta</w:t>
      </w:r>
      <w:proofErr w:type="spellEnd"/>
      <w:r w:rsidRPr="003309FE">
        <w:rPr>
          <w:color w:val="000000"/>
        </w:rPr>
        <w:t xml:space="preserve"> 2169</w:t>
      </w:r>
      <w:r>
        <w:rPr>
          <w:color w:val="000000"/>
        </w:rPr>
        <w:t xml:space="preserve"> (WL Can.), </w:t>
      </w:r>
      <w:r w:rsidRPr="001851E9">
        <w:t>affirming the conviction</w:t>
      </w:r>
      <w:r>
        <w:t xml:space="preserve"> of the accused for</w:t>
      </w:r>
      <w:r w:rsidRPr="001851E9">
        <w:t xml:space="preserve"> obstructing justice</w:t>
      </w:r>
      <w:r w:rsidRPr="001851E9">
        <w:rPr>
          <w:bCs/>
        </w:rPr>
        <w:t>.</w:t>
      </w:r>
      <w:r>
        <w:rPr>
          <w:bCs/>
        </w:rPr>
        <w:t xml:space="preserve"> </w:t>
      </w:r>
      <w:r w:rsidRPr="001851E9">
        <w:rPr>
          <w:bCs/>
        </w:rPr>
        <w:t xml:space="preserve">Appeal dismissed, </w:t>
      </w:r>
      <w:r w:rsidRPr="001851E9">
        <w:rPr>
          <w:color w:val="000000"/>
        </w:rPr>
        <w:t>Côté J. dissenting</w:t>
      </w:r>
      <w:r w:rsidRPr="001851E9">
        <w:rPr>
          <w:bCs/>
        </w:rPr>
        <w:t>.</w:t>
      </w:r>
    </w:p>
    <w:p w:rsidR="00EE0196" w:rsidRDefault="00EE0196" w:rsidP="00EE0196">
      <w:pPr>
        <w:pStyle w:val="SCCNormalDoubleSpacing"/>
        <w:spacing w:after="480"/>
        <w:rPr>
          <w:lang w:val="en-US"/>
        </w:rPr>
      </w:pPr>
      <w:r w:rsidRPr="001851E9">
        <w:rPr>
          <w:iCs/>
        </w:rPr>
        <w:tab/>
      </w:r>
      <w:r w:rsidRPr="00EE0196">
        <w:rPr>
          <w:i/>
          <w:iCs/>
        </w:rPr>
        <w:t>H. Markham Silver</w:t>
      </w:r>
      <w:r w:rsidRPr="00471093">
        <w:rPr>
          <w:iCs/>
        </w:rPr>
        <w:t>,</w:t>
      </w:r>
      <w:r w:rsidRPr="00EE0196">
        <w:rPr>
          <w:i/>
          <w:iCs/>
        </w:rPr>
        <w:t xml:space="preserve"> Q.C</w:t>
      </w:r>
      <w:r w:rsidRPr="00EE0196">
        <w:rPr>
          <w:iCs/>
        </w:rPr>
        <w:t>., and</w:t>
      </w:r>
      <w:r>
        <w:rPr>
          <w:i/>
          <w:iCs/>
        </w:rPr>
        <w:t xml:space="preserve"> </w:t>
      </w:r>
      <w:r w:rsidRPr="00EE0196">
        <w:rPr>
          <w:i/>
          <w:iCs/>
        </w:rPr>
        <w:t xml:space="preserve">Andrea L. </w:t>
      </w:r>
      <w:proofErr w:type="spellStart"/>
      <w:r w:rsidRPr="00EE0196">
        <w:rPr>
          <w:i/>
          <w:iCs/>
        </w:rPr>
        <w:t>Serink</w:t>
      </w:r>
      <w:proofErr w:type="spellEnd"/>
      <w:r w:rsidRPr="00906F2E">
        <w:rPr>
          <w:lang w:val="en-US"/>
        </w:rPr>
        <w:t>, for the appellant.</w:t>
      </w:r>
    </w:p>
    <w:p w:rsidR="00EE0196" w:rsidRDefault="00EE0196" w:rsidP="00EE0196">
      <w:pPr>
        <w:pStyle w:val="SCCNormalDoubleSpacing"/>
        <w:spacing w:after="480"/>
        <w:rPr>
          <w:lang w:val="en-US"/>
        </w:rPr>
      </w:pPr>
      <w:r>
        <w:rPr>
          <w:iCs/>
          <w:lang w:val="en-US"/>
        </w:rPr>
        <w:lastRenderedPageBreak/>
        <w:tab/>
      </w:r>
      <w:r w:rsidRPr="00EE0196">
        <w:rPr>
          <w:i/>
          <w:iCs/>
        </w:rPr>
        <w:t xml:space="preserve">Andrew </w:t>
      </w:r>
      <w:proofErr w:type="spellStart"/>
      <w:r w:rsidRPr="00EE0196">
        <w:rPr>
          <w:i/>
          <w:iCs/>
        </w:rPr>
        <w:t>Barg</w:t>
      </w:r>
      <w:proofErr w:type="spellEnd"/>
      <w:r w:rsidRPr="00906F2E">
        <w:rPr>
          <w:lang w:val="en-US"/>
        </w:rPr>
        <w:t>, for the respondent.</w:t>
      </w:r>
    </w:p>
    <w:p w:rsidR="00EE0196" w:rsidRPr="00906F2E" w:rsidRDefault="00EE0196" w:rsidP="00EE0196">
      <w:pPr>
        <w:pStyle w:val="SCCNormalDoubleSpacing"/>
        <w:spacing w:after="480"/>
        <w:rPr>
          <w:lang w:val="en-US"/>
        </w:rPr>
      </w:pPr>
      <w:r>
        <w:rPr>
          <w:lang w:val="en-US"/>
        </w:rPr>
        <w:tab/>
      </w:r>
      <w:r w:rsidRPr="00CD4C10">
        <w:rPr>
          <w:color w:val="000000"/>
        </w:rPr>
        <w:t xml:space="preserve">The judgment of </w:t>
      </w:r>
      <w:proofErr w:type="spellStart"/>
      <w:r w:rsidRPr="00CD4C10">
        <w:rPr>
          <w:color w:val="000000"/>
        </w:rPr>
        <w:t>Moldaver</w:t>
      </w:r>
      <w:proofErr w:type="spellEnd"/>
      <w:r w:rsidRPr="00CD4C10">
        <w:rPr>
          <w:color w:val="000000"/>
        </w:rPr>
        <w:t xml:space="preserve">, </w:t>
      </w:r>
      <w:proofErr w:type="spellStart"/>
      <w:r w:rsidRPr="00CD4C10">
        <w:rPr>
          <w:color w:val="000000"/>
        </w:rPr>
        <w:t>Karakatsanis</w:t>
      </w:r>
      <w:proofErr w:type="spellEnd"/>
      <w:r w:rsidRPr="00CD4C10">
        <w:rPr>
          <w:color w:val="000000"/>
        </w:rPr>
        <w:t xml:space="preserve">, Rowe and </w:t>
      </w:r>
      <w:proofErr w:type="spellStart"/>
      <w:r w:rsidRPr="00CD4C10">
        <w:rPr>
          <w:color w:val="000000"/>
        </w:rPr>
        <w:t>Kasirer</w:t>
      </w:r>
      <w:proofErr w:type="spellEnd"/>
      <w:r w:rsidRPr="00CD4C10">
        <w:rPr>
          <w:color w:val="000000"/>
        </w:rPr>
        <w:t> </w:t>
      </w:r>
      <w:proofErr w:type="spellStart"/>
      <w:r w:rsidRPr="00CD4C10">
        <w:rPr>
          <w:color w:val="000000"/>
        </w:rPr>
        <w:t>JJ</w:t>
      </w:r>
      <w:proofErr w:type="spellEnd"/>
      <w:r w:rsidRPr="00CD4C10">
        <w:rPr>
          <w:color w:val="000000"/>
        </w:rPr>
        <w:t xml:space="preserve">. </w:t>
      </w:r>
      <w:proofErr w:type="gramStart"/>
      <w:r w:rsidRPr="00CD4C10">
        <w:rPr>
          <w:color w:val="000000"/>
        </w:rPr>
        <w:t>was</w:t>
      </w:r>
      <w:proofErr w:type="gramEnd"/>
      <w:r w:rsidRPr="00CD4C10">
        <w:rPr>
          <w:color w:val="000000"/>
        </w:rPr>
        <w:t xml:space="preserve"> delivered orally by</w:t>
      </w:r>
    </w:p>
    <w:p w:rsidR="00EE0196" w:rsidRDefault="00EE0196" w:rsidP="00EE0196">
      <w:pPr>
        <w:pStyle w:val="SCCNormalDoubleSpacing"/>
        <w:spacing w:after="480"/>
        <w:rPr>
          <w:color w:val="000000"/>
        </w:rPr>
      </w:pPr>
      <w:r>
        <w:rPr>
          <w:smallCaps/>
        </w:rPr>
        <w:t>[1]</w:t>
      </w:r>
      <w:r>
        <w:rPr>
          <w:smallCaps/>
        </w:rPr>
        <w:tab/>
      </w:r>
      <w:proofErr w:type="spellStart"/>
      <w:r>
        <w:rPr>
          <w:smallCaps/>
          <w:color w:val="000000"/>
        </w:rPr>
        <w:t>Moldaver</w:t>
      </w:r>
      <w:proofErr w:type="spellEnd"/>
      <w:r>
        <w:rPr>
          <w:color w:val="000000"/>
        </w:rPr>
        <w:t xml:space="preserve"> J. </w:t>
      </w:r>
      <w:r w:rsidRPr="00F73CBB">
        <w:t xml:space="preserve">— </w:t>
      </w:r>
      <w:proofErr w:type="gramStart"/>
      <w:r>
        <w:rPr>
          <w:color w:val="000000"/>
        </w:rPr>
        <w:t>A</w:t>
      </w:r>
      <w:proofErr w:type="gramEnd"/>
      <w:r>
        <w:rPr>
          <w:color w:val="000000"/>
        </w:rPr>
        <w:t xml:space="preserve"> majority of the Court is of the view that the appeal should be dismissed, substantially for the reasons of the majority of the Court of Appeal at paras. 16 and 17 of its judgment. As the majority observed, the record clearly supports the inference drawn by the trial judge that Mr. Morrow’s conduct represented an attempt to dissuade the complainant, by corrupt means, from giving evidence. Mr. Morrow knew he had recently been charged with criminal harassment and that he was bound not to contact the complainant. Despite this, he attended her home uninvited and engaged her in a prolonged and distressing discussion about the process for withdrawing the charges and her reasons for bringing them. The complainant testified that the exchange made her feel “[p]</w:t>
      </w:r>
      <w:proofErr w:type="spellStart"/>
      <w:r>
        <w:rPr>
          <w:color w:val="000000"/>
        </w:rPr>
        <w:t>ressured</w:t>
      </w:r>
      <w:proofErr w:type="spellEnd"/>
      <w:r>
        <w:rPr>
          <w:color w:val="000000"/>
        </w:rPr>
        <w:t xml:space="preserve"> to please” Mr. Morrow and to get him out of the house (A.R., vol. II, at p. 30). Shortly thereafter, Mr. Morrow sexually assaulted her, which served to exacerbate her concerns. On the basis of this evidence, it was open for the trial judge to find that Mr. Morrow’s intention was to apply pressure on the complainant and ultimately to manipulate her into dropping the charges against him. The fact that Mr. Morrow may have also been motivated by a desire to rekindle his relationship with the complainant did not undermine the availability of this finding.</w:t>
      </w:r>
    </w:p>
    <w:p w:rsidR="00EE0196" w:rsidRDefault="00EE0196" w:rsidP="00EE0196">
      <w:pPr>
        <w:pStyle w:val="SCCNormalDoubleSpacing"/>
        <w:spacing w:after="480"/>
        <w:rPr>
          <w:color w:val="000000"/>
        </w:rPr>
      </w:pPr>
      <w:r>
        <w:rPr>
          <w:color w:val="000000"/>
        </w:rPr>
        <w:lastRenderedPageBreak/>
        <w:t>[2]</w:t>
      </w:r>
      <w:r>
        <w:rPr>
          <w:color w:val="000000"/>
        </w:rPr>
        <w:tab/>
        <w:t>There was also evidence that contradicted Mr. Morrow’s position that he was simply responding to a request for information. The complainant made no such request to Mr. Morrow and she did not expect, nor was she interested in, the information he provided.</w:t>
      </w:r>
    </w:p>
    <w:p w:rsidR="00EE0196" w:rsidRDefault="00EE0196" w:rsidP="00EE0196">
      <w:pPr>
        <w:pStyle w:val="SCCNormalDoubleSpacing"/>
        <w:spacing w:after="480"/>
        <w:rPr>
          <w:color w:val="000000"/>
        </w:rPr>
      </w:pPr>
      <w:r>
        <w:rPr>
          <w:color w:val="000000"/>
        </w:rPr>
        <w:t>[3]</w:t>
      </w:r>
      <w:r>
        <w:rPr>
          <w:color w:val="000000"/>
        </w:rPr>
        <w:tab/>
        <w:t>In these circumstances, and having regard to the fact that survivors of domestic abuse are particularly vulnerable to acts of intimidation and manipulation, the trial judge’s verdict was reasonable. There is no basis for appellate intervention.</w:t>
      </w:r>
    </w:p>
    <w:p w:rsidR="00EE0196" w:rsidRDefault="00EE0196" w:rsidP="00EE0196">
      <w:pPr>
        <w:pStyle w:val="SCCNormalDoubleSpacing"/>
        <w:spacing w:after="480"/>
        <w:rPr>
          <w:color w:val="000000"/>
        </w:rPr>
      </w:pPr>
      <w:r>
        <w:rPr>
          <w:color w:val="000000"/>
        </w:rPr>
        <w:tab/>
      </w:r>
      <w:r w:rsidRPr="00CD4C10">
        <w:t xml:space="preserve">The following are the reasons delivered </w:t>
      </w:r>
      <w:r w:rsidRPr="00CD4C10">
        <w:rPr>
          <w:color w:val="000000"/>
        </w:rPr>
        <w:t xml:space="preserve">orally </w:t>
      </w:r>
      <w:r w:rsidRPr="00CD4C10">
        <w:t>by</w:t>
      </w:r>
    </w:p>
    <w:p w:rsidR="00EE0196" w:rsidRPr="00B77682" w:rsidRDefault="00EE0196" w:rsidP="00EE0196">
      <w:pPr>
        <w:pStyle w:val="SCCNormalDoubleSpacing"/>
        <w:spacing w:after="480"/>
        <w:rPr>
          <w:color w:val="000000"/>
        </w:rPr>
      </w:pPr>
      <w:r>
        <w:rPr>
          <w:color w:val="000000"/>
        </w:rPr>
        <w:t>[4]</w:t>
      </w:r>
      <w:r>
        <w:rPr>
          <w:color w:val="000000"/>
        </w:rPr>
        <w:tab/>
      </w:r>
      <w:r>
        <w:rPr>
          <w:smallCaps/>
          <w:color w:val="000000"/>
        </w:rPr>
        <w:t>Côté </w:t>
      </w:r>
      <w:r>
        <w:rPr>
          <w:color w:val="000000"/>
        </w:rPr>
        <w:t>J.</w:t>
      </w:r>
      <w:r w:rsidR="002D653F">
        <w:rPr>
          <w:color w:val="000000"/>
        </w:rPr>
        <w:t xml:space="preserve"> (dissenting)</w:t>
      </w:r>
      <w:r>
        <w:rPr>
          <w:color w:val="000000"/>
        </w:rPr>
        <w:t xml:space="preserve"> — </w:t>
      </w:r>
      <w:proofErr w:type="gramStart"/>
      <w:r>
        <w:rPr>
          <w:color w:val="000000"/>
        </w:rPr>
        <w:t>The</w:t>
      </w:r>
      <w:proofErr w:type="gramEnd"/>
      <w:r>
        <w:rPr>
          <w:color w:val="000000"/>
        </w:rPr>
        <w:t xml:space="preserve"> wording of the charge required evidence that the appellant attempted to dissuade the complainant “by threats, bribes or other corrupt means from giving evidence” (A.R., vol. I, at p. 2). There is no such evidence here. The appellant’s behaviour cannot, in this case, be characterized as a “corrupt means” within the meaning of </w:t>
      </w:r>
      <w:r w:rsidRPr="00AC134E">
        <w:rPr>
          <w:rFonts w:eastAsiaTheme="majorEastAsia"/>
        </w:rPr>
        <w:t>s. 139(3)</w:t>
      </w:r>
      <w:r>
        <w:rPr>
          <w:color w:val="000000"/>
        </w:rPr>
        <w:t xml:space="preserve"> of the </w:t>
      </w:r>
      <w:r w:rsidRPr="00AC134E">
        <w:rPr>
          <w:rFonts w:eastAsiaTheme="majorEastAsia"/>
          <w:i/>
          <w:iCs/>
        </w:rPr>
        <w:t>Criminal Code</w:t>
      </w:r>
      <w:r>
        <w:rPr>
          <w:rFonts w:eastAsiaTheme="majorEastAsia"/>
        </w:rPr>
        <w:t>, R.S.C. 1985, c. C</w:t>
      </w:r>
      <w:r>
        <w:rPr>
          <w:rFonts w:eastAsiaTheme="majorEastAsia"/>
        </w:rPr>
        <w:noBreakHyphen/>
      </w:r>
      <w:r w:rsidRPr="00AC134E">
        <w:rPr>
          <w:rFonts w:eastAsiaTheme="majorEastAsia"/>
        </w:rPr>
        <w:t>46</w:t>
      </w:r>
      <w:r>
        <w:rPr>
          <w:color w:val="000000"/>
        </w:rPr>
        <w:t xml:space="preserve">. Appealing to or preying on affection are means of persuasion just like appealing to or preying on reason. Nothing in the circumstances of this case makes these means of persuasion “corrupt”. The trial judge erred in finding otherwise. His reliance on </w:t>
      </w:r>
      <w:r>
        <w:rPr>
          <w:i/>
          <w:iCs/>
          <w:color w:val="000000"/>
        </w:rPr>
        <w:t xml:space="preserve">R. v. </w:t>
      </w:r>
      <w:proofErr w:type="spellStart"/>
      <w:r>
        <w:rPr>
          <w:i/>
          <w:iCs/>
          <w:color w:val="000000"/>
        </w:rPr>
        <w:t>Crazyboy</w:t>
      </w:r>
      <w:proofErr w:type="spellEnd"/>
      <w:r>
        <w:rPr>
          <w:color w:val="000000"/>
        </w:rPr>
        <w:t xml:space="preserve">, 2011 </w:t>
      </w:r>
      <w:proofErr w:type="spellStart"/>
      <w:r>
        <w:rPr>
          <w:color w:val="000000"/>
        </w:rPr>
        <w:t>ABPC</w:t>
      </w:r>
      <w:proofErr w:type="spellEnd"/>
      <w:r>
        <w:rPr>
          <w:color w:val="000000"/>
        </w:rPr>
        <w:t xml:space="preserve"> 369, was inapposite for two reasons. First, no finding of “corrupt means” was made in that case, as the wording of the charge did not require any. Second, Mr. </w:t>
      </w:r>
      <w:proofErr w:type="spellStart"/>
      <w:r>
        <w:rPr>
          <w:color w:val="000000"/>
        </w:rPr>
        <w:t>Crazyboy</w:t>
      </w:r>
      <w:proofErr w:type="spellEnd"/>
      <w:r>
        <w:rPr>
          <w:color w:val="000000"/>
        </w:rPr>
        <w:t xml:space="preserve"> attempted to manipulate the complainant and incited her to adopt an illegal behaviour by fleeing from her home so that she would not be brought before the court to give evidence. Here, the appellant merely provided information as to the process for withdrawing charges. Like </w:t>
      </w:r>
      <w:proofErr w:type="spellStart"/>
      <w:r>
        <w:rPr>
          <w:color w:val="000000"/>
        </w:rPr>
        <w:t>Slatter</w:t>
      </w:r>
      <w:proofErr w:type="spellEnd"/>
      <w:r>
        <w:rPr>
          <w:color w:val="000000"/>
        </w:rPr>
        <w:t xml:space="preserve"> J.A., I am of the view </w:t>
      </w:r>
      <w:r>
        <w:rPr>
          <w:color w:val="000000"/>
        </w:rPr>
        <w:lastRenderedPageBreak/>
        <w:t>that the conviction for attempting to obstruct justice is not made out on this record, and that the conviction is unreasonable. I would therefore allow the appeal and enter a verdict of acquittal.</w:t>
      </w:r>
    </w:p>
    <w:p w:rsidR="00EE0196" w:rsidRDefault="00EE0196" w:rsidP="00EE0196">
      <w:pPr>
        <w:pStyle w:val="SCCNormalDoubleSpacing"/>
        <w:spacing w:after="480"/>
        <w:rPr>
          <w:i/>
          <w:iCs/>
          <w:color w:val="000000"/>
        </w:rPr>
      </w:pPr>
      <w:r>
        <w:rPr>
          <w:i/>
          <w:iCs/>
          <w:color w:val="000000"/>
        </w:rPr>
        <w:tab/>
        <w:t>Judgment accordingly.</w:t>
      </w:r>
    </w:p>
    <w:p w:rsidR="00EE0196" w:rsidRDefault="00EE0196" w:rsidP="00EE0196">
      <w:pPr>
        <w:pStyle w:val="SCCNormalDoubleSpacing"/>
        <w:spacing w:after="480"/>
        <w:rPr>
          <w:i/>
          <w:lang w:val="en-US"/>
        </w:rPr>
      </w:pPr>
      <w:r>
        <w:rPr>
          <w:i/>
          <w:lang w:val="en-US"/>
        </w:rPr>
        <w:tab/>
      </w:r>
      <w:r w:rsidRPr="000B2D7D">
        <w:rPr>
          <w:i/>
          <w:lang w:val="en-US"/>
        </w:rPr>
        <w:t>Solicitors for the appellant:</w:t>
      </w:r>
      <w:r w:rsidRPr="000B2D7D">
        <w:rPr>
          <w:bCs/>
          <w:i/>
          <w:szCs w:val="24"/>
          <w:lang w:val="en-US" w:eastAsia="en-US"/>
        </w:rPr>
        <w:t xml:space="preserve"> </w:t>
      </w:r>
      <w:r>
        <w:rPr>
          <w:bCs/>
          <w:i/>
          <w:szCs w:val="24"/>
          <w:lang w:val="en-US" w:eastAsia="en-US"/>
        </w:rPr>
        <w:t xml:space="preserve">H. Markham Silver, Calgary; </w:t>
      </w:r>
      <w:proofErr w:type="spellStart"/>
      <w:r w:rsidRPr="00401987">
        <w:rPr>
          <w:bCs/>
          <w:i/>
        </w:rPr>
        <w:t>Serink</w:t>
      </w:r>
      <w:proofErr w:type="spellEnd"/>
      <w:r w:rsidRPr="00401987">
        <w:rPr>
          <w:bCs/>
          <w:i/>
        </w:rPr>
        <w:t xml:space="preserve"> Law Office</w:t>
      </w:r>
      <w:r w:rsidRPr="000B2D7D">
        <w:rPr>
          <w:i/>
          <w:iCs/>
          <w:lang w:val="en-US"/>
        </w:rPr>
        <w:t xml:space="preserve">, </w:t>
      </w:r>
      <w:r>
        <w:rPr>
          <w:i/>
          <w:iCs/>
          <w:lang w:val="en-US"/>
        </w:rPr>
        <w:t>Calgary</w:t>
      </w:r>
      <w:r w:rsidRPr="000B2D7D">
        <w:rPr>
          <w:i/>
          <w:lang w:val="en-US"/>
        </w:rPr>
        <w:t>.</w:t>
      </w:r>
    </w:p>
    <w:p w:rsidR="000F0995" w:rsidRPr="00E653D0" w:rsidRDefault="00EE0196" w:rsidP="00EE0196">
      <w:pPr>
        <w:pStyle w:val="SCCNormalDoubleSpacing"/>
        <w:spacing w:after="480"/>
      </w:pPr>
      <w:r>
        <w:rPr>
          <w:i/>
          <w:lang w:val="en-US"/>
        </w:rPr>
        <w:tab/>
      </w:r>
      <w:r w:rsidRPr="000B2D7D">
        <w:rPr>
          <w:i/>
          <w:lang w:val="en-US"/>
        </w:rPr>
        <w:t xml:space="preserve">Solicitor for the respondent: </w:t>
      </w:r>
      <w:r w:rsidRPr="00401987">
        <w:rPr>
          <w:bCs/>
          <w:i/>
        </w:rPr>
        <w:t>Attorney General of Alberta</w:t>
      </w:r>
      <w:r w:rsidRPr="000B2D7D">
        <w:rPr>
          <w:i/>
          <w:lang w:val="en-US"/>
        </w:rPr>
        <w:t xml:space="preserve">, </w:t>
      </w:r>
      <w:r>
        <w:rPr>
          <w:i/>
          <w:iCs/>
          <w:lang w:val="en-US"/>
        </w:rPr>
        <w:t>Calgary</w:t>
      </w:r>
      <w:r w:rsidRPr="000B2D7D">
        <w:rPr>
          <w:i/>
          <w:lang w:val="en-US"/>
        </w:rPr>
        <w:t>.</w:t>
      </w:r>
    </w:p>
    <w:sectPr w:rsidR="000F0995" w:rsidRPr="00E653D0" w:rsidSect="00322854">
      <w:headerReference w:type="default" r:id="rId10"/>
      <w:headerReference w:type="first" r:id="rId11"/>
      <w:pgSz w:w="12240" w:h="15840"/>
      <w:pgMar w:top="144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68" w:rsidRDefault="001F2568">
      <w:r>
        <w:separator/>
      </w:r>
    </w:p>
  </w:endnote>
  <w:endnote w:type="continuationSeparator" w:id="0">
    <w:p w:rsidR="001F2568" w:rsidRDefault="001F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68" w:rsidRDefault="001F2568">
      <w:r>
        <w:separator/>
      </w:r>
    </w:p>
  </w:footnote>
  <w:footnote w:type="continuationSeparator" w:id="0">
    <w:p w:rsidR="001F2568" w:rsidRDefault="001F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1F2568"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55" w:rsidRPr="00EE0196" w:rsidRDefault="001F2568" w:rsidP="00EE0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3781"/>
    <w:rsid w:val="00017885"/>
    <w:rsid w:val="0002326D"/>
    <w:rsid w:val="00025198"/>
    <w:rsid w:val="00025763"/>
    <w:rsid w:val="00026467"/>
    <w:rsid w:val="00040D1B"/>
    <w:rsid w:val="00040F00"/>
    <w:rsid w:val="00041BDD"/>
    <w:rsid w:val="000578A3"/>
    <w:rsid w:val="000648CC"/>
    <w:rsid w:val="00076E46"/>
    <w:rsid w:val="00094FED"/>
    <w:rsid w:val="00096F6F"/>
    <w:rsid w:val="000B5CFA"/>
    <w:rsid w:val="000B69B5"/>
    <w:rsid w:val="000C3FCE"/>
    <w:rsid w:val="000C433D"/>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0FB"/>
    <w:rsid w:val="001677C1"/>
    <w:rsid w:val="00170592"/>
    <w:rsid w:val="0018066E"/>
    <w:rsid w:val="00186351"/>
    <w:rsid w:val="00195D83"/>
    <w:rsid w:val="001977DB"/>
    <w:rsid w:val="001A00C1"/>
    <w:rsid w:val="001A2C6B"/>
    <w:rsid w:val="001A42A4"/>
    <w:rsid w:val="001B33E0"/>
    <w:rsid w:val="001B4573"/>
    <w:rsid w:val="001C779F"/>
    <w:rsid w:val="001D2AC1"/>
    <w:rsid w:val="001D4DDF"/>
    <w:rsid w:val="001D4E88"/>
    <w:rsid w:val="001D65FF"/>
    <w:rsid w:val="001D6E70"/>
    <w:rsid w:val="001E46C8"/>
    <w:rsid w:val="001E477D"/>
    <w:rsid w:val="001F2568"/>
    <w:rsid w:val="002065B0"/>
    <w:rsid w:val="00220FC2"/>
    <w:rsid w:val="002222F4"/>
    <w:rsid w:val="00224FC0"/>
    <w:rsid w:val="00225EA4"/>
    <w:rsid w:val="00226EAF"/>
    <w:rsid w:val="002310A2"/>
    <w:rsid w:val="00231F3A"/>
    <w:rsid w:val="00234199"/>
    <w:rsid w:val="00236389"/>
    <w:rsid w:val="00237AFE"/>
    <w:rsid w:val="002406EE"/>
    <w:rsid w:val="00243EC8"/>
    <w:rsid w:val="0026406A"/>
    <w:rsid w:val="002641C5"/>
    <w:rsid w:val="00264B77"/>
    <w:rsid w:val="00270D93"/>
    <w:rsid w:val="002745CC"/>
    <w:rsid w:val="002824FD"/>
    <w:rsid w:val="0029178F"/>
    <w:rsid w:val="002B787F"/>
    <w:rsid w:val="002B7924"/>
    <w:rsid w:val="002B7ABA"/>
    <w:rsid w:val="002D2226"/>
    <w:rsid w:val="002D28C3"/>
    <w:rsid w:val="002D294E"/>
    <w:rsid w:val="002D39A4"/>
    <w:rsid w:val="002D653F"/>
    <w:rsid w:val="002E6189"/>
    <w:rsid w:val="002E6705"/>
    <w:rsid w:val="00301D08"/>
    <w:rsid w:val="0030329A"/>
    <w:rsid w:val="00303F14"/>
    <w:rsid w:val="00305526"/>
    <w:rsid w:val="0031086F"/>
    <w:rsid w:val="0031414C"/>
    <w:rsid w:val="00314E01"/>
    <w:rsid w:val="00317670"/>
    <w:rsid w:val="0032089D"/>
    <w:rsid w:val="00322854"/>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109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9"/>
    <w:rsid w:val="005C7840"/>
    <w:rsid w:val="005E4698"/>
    <w:rsid w:val="006003EE"/>
    <w:rsid w:val="00610539"/>
    <w:rsid w:val="00613969"/>
    <w:rsid w:val="0061523C"/>
    <w:rsid w:val="00617208"/>
    <w:rsid w:val="006230B6"/>
    <w:rsid w:val="00625C35"/>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A55D7"/>
    <w:rsid w:val="006B5FF5"/>
    <w:rsid w:val="006B7683"/>
    <w:rsid w:val="006D4200"/>
    <w:rsid w:val="006F30AF"/>
    <w:rsid w:val="007009A0"/>
    <w:rsid w:val="00701759"/>
    <w:rsid w:val="00701CF2"/>
    <w:rsid w:val="00705C15"/>
    <w:rsid w:val="00712E55"/>
    <w:rsid w:val="00713025"/>
    <w:rsid w:val="007154A1"/>
    <w:rsid w:val="00715A65"/>
    <w:rsid w:val="0071600E"/>
    <w:rsid w:val="00717FDC"/>
    <w:rsid w:val="007208D1"/>
    <w:rsid w:val="0072428C"/>
    <w:rsid w:val="00730177"/>
    <w:rsid w:val="00742119"/>
    <w:rsid w:val="00747288"/>
    <w:rsid w:val="00747DD3"/>
    <w:rsid w:val="007549C8"/>
    <w:rsid w:val="00754A0B"/>
    <w:rsid w:val="00766D14"/>
    <w:rsid w:val="00767A0F"/>
    <w:rsid w:val="00780E64"/>
    <w:rsid w:val="00790722"/>
    <w:rsid w:val="007A05F6"/>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95EB7"/>
    <w:rsid w:val="008A3F29"/>
    <w:rsid w:val="008A63D9"/>
    <w:rsid w:val="008A68E7"/>
    <w:rsid w:val="008B660A"/>
    <w:rsid w:val="008B70F9"/>
    <w:rsid w:val="008C01DA"/>
    <w:rsid w:val="008C02C9"/>
    <w:rsid w:val="008C1723"/>
    <w:rsid w:val="008C7263"/>
    <w:rsid w:val="008D2104"/>
    <w:rsid w:val="008E5ECA"/>
    <w:rsid w:val="008F78E9"/>
    <w:rsid w:val="00903C32"/>
    <w:rsid w:val="00911011"/>
    <w:rsid w:val="00911989"/>
    <w:rsid w:val="009179F9"/>
    <w:rsid w:val="0093031F"/>
    <w:rsid w:val="00931C1C"/>
    <w:rsid w:val="00933E5E"/>
    <w:rsid w:val="00935218"/>
    <w:rsid w:val="009403F3"/>
    <w:rsid w:val="009555B7"/>
    <w:rsid w:val="009567AA"/>
    <w:rsid w:val="0096120B"/>
    <w:rsid w:val="0096473A"/>
    <w:rsid w:val="00967374"/>
    <w:rsid w:val="0097155E"/>
    <w:rsid w:val="00976EB5"/>
    <w:rsid w:val="00981B4D"/>
    <w:rsid w:val="00983A19"/>
    <w:rsid w:val="009A343A"/>
    <w:rsid w:val="009A4E51"/>
    <w:rsid w:val="009A520F"/>
    <w:rsid w:val="009B2F23"/>
    <w:rsid w:val="009B57B3"/>
    <w:rsid w:val="009B6FFE"/>
    <w:rsid w:val="009B7BE6"/>
    <w:rsid w:val="009C0FDA"/>
    <w:rsid w:val="009C5B92"/>
    <w:rsid w:val="009D2920"/>
    <w:rsid w:val="009D5AEB"/>
    <w:rsid w:val="009D79D6"/>
    <w:rsid w:val="009F0E33"/>
    <w:rsid w:val="009F1E77"/>
    <w:rsid w:val="00A003F4"/>
    <w:rsid w:val="00A030CE"/>
    <w:rsid w:val="00A12217"/>
    <w:rsid w:val="00A149DF"/>
    <w:rsid w:val="00A16D60"/>
    <w:rsid w:val="00A1755C"/>
    <w:rsid w:val="00A21B90"/>
    <w:rsid w:val="00A244B9"/>
    <w:rsid w:val="00A41805"/>
    <w:rsid w:val="00A41992"/>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57F8"/>
    <w:rsid w:val="00B56AAF"/>
    <w:rsid w:val="00B652DB"/>
    <w:rsid w:val="00B67199"/>
    <w:rsid w:val="00B815FC"/>
    <w:rsid w:val="00B91A56"/>
    <w:rsid w:val="00B93FBC"/>
    <w:rsid w:val="00BA066D"/>
    <w:rsid w:val="00BA7DA0"/>
    <w:rsid w:val="00BB2366"/>
    <w:rsid w:val="00BB2640"/>
    <w:rsid w:val="00BB2EE4"/>
    <w:rsid w:val="00BB5AE6"/>
    <w:rsid w:val="00BB68A8"/>
    <w:rsid w:val="00BC2108"/>
    <w:rsid w:val="00BC5642"/>
    <w:rsid w:val="00BD0E9E"/>
    <w:rsid w:val="00BD1BEC"/>
    <w:rsid w:val="00BD32FF"/>
    <w:rsid w:val="00BD67ED"/>
    <w:rsid w:val="00C02092"/>
    <w:rsid w:val="00C14AA0"/>
    <w:rsid w:val="00C22905"/>
    <w:rsid w:val="00C229CD"/>
    <w:rsid w:val="00C248ED"/>
    <w:rsid w:val="00C24D91"/>
    <w:rsid w:val="00C53F14"/>
    <w:rsid w:val="00C600CF"/>
    <w:rsid w:val="00C6084F"/>
    <w:rsid w:val="00C62A66"/>
    <w:rsid w:val="00C62FD6"/>
    <w:rsid w:val="00C71458"/>
    <w:rsid w:val="00C77613"/>
    <w:rsid w:val="00C828E7"/>
    <w:rsid w:val="00C8650B"/>
    <w:rsid w:val="00C86719"/>
    <w:rsid w:val="00C921DD"/>
    <w:rsid w:val="00CA6391"/>
    <w:rsid w:val="00CA7B39"/>
    <w:rsid w:val="00CC34BD"/>
    <w:rsid w:val="00CD6453"/>
    <w:rsid w:val="00CE08B9"/>
    <w:rsid w:val="00CE161A"/>
    <w:rsid w:val="00CE3171"/>
    <w:rsid w:val="00CE570E"/>
    <w:rsid w:val="00CE7262"/>
    <w:rsid w:val="00CF09E5"/>
    <w:rsid w:val="00CF1601"/>
    <w:rsid w:val="00D0172F"/>
    <w:rsid w:val="00D068A7"/>
    <w:rsid w:val="00D173CE"/>
    <w:rsid w:val="00D17476"/>
    <w:rsid w:val="00D2527D"/>
    <w:rsid w:val="00D26B67"/>
    <w:rsid w:val="00D32086"/>
    <w:rsid w:val="00D360E6"/>
    <w:rsid w:val="00D37A3F"/>
    <w:rsid w:val="00D4431D"/>
    <w:rsid w:val="00D4667A"/>
    <w:rsid w:val="00D469D5"/>
    <w:rsid w:val="00D47BFC"/>
    <w:rsid w:val="00D57CCA"/>
    <w:rsid w:val="00D614A5"/>
    <w:rsid w:val="00D614E0"/>
    <w:rsid w:val="00D63A1C"/>
    <w:rsid w:val="00D67CB1"/>
    <w:rsid w:val="00D7516F"/>
    <w:rsid w:val="00D83628"/>
    <w:rsid w:val="00D8579F"/>
    <w:rsid w:val="00D90B9E"/>
    <w:rsid w:val="00D91A89"/>
    <w:rsid w:val="00D95F8E"/>
    <w:rsid w:val="00DA0590"/>
    <w:rsid w:val="00DA09F8"/>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B7A"/>
    <w:rsid w:val="00E50A79"/>
    <w:rsid w:val="00E56A44"/>
    <w:rsid w:val="00E60269"/>
    <w:rsid w:val="00E653D0"/>
    <w:rsid w:val="00E65A2E"/>
    <w:rsid w:val="00E71951"/>
    <w:rsid w:val="00E77932"/>
    <w:rsid w:val="00E83FDA"/>
    <w:rsid w:val="00E92347"/>
    <w:rsid w:val="00E96695"/>
    <w:rsid w:val="00E97830"/>
    <w:rsid w:val="00EA07C1"/>
    <w:rsid w:val="00EA13F9"/>
    <w:rsid w:val="00EA1D3B"/>
    <w:rsid w:val="00EB0B7C"/>
    <w:rsid w:val="00ED60AA"/>
    <w:rsid w:val="00ED681A"/>
    <w:rsid w:val="00EE0196"/>
    <w:rsid w:val="00EE5737"/>
    <w:rsid w:val="00EE643C"/>
    <w:rsid w:val="00EF0683"/>
    <w:rsid w:val="00EF69D2"/>
    <w:rsid w:val="00EF766E"/>
    <w:rsid w:val="00F0070C"/>
    <w:rsid w:val="00F00EB7"/>
    <w:rsid w:val="00F32475"/>
    <w:rsid w:val="00F36AB6"/>
    <w:rsid w:val="00F37A09"/>
    <w:rsid w:val="00F409CE"/>
    <w:rsid w:val="00F4379D"/>
    <w:rsid w:val="00F50635"/>
    <w:rsid w:val="00F50D2D"/>
    <w:rsid w:val="00F56C8B"/>
    <w:rsid w:val="00F66810"/>
    <w:rsid w:val="00F70A7A"/>
    <w:rsid w:val="00F75F4E"/>
    <w:rsid w:val="00F846D9"/>
    <w:rsid w:val="00F84DF4"/>
    <w:rsid w:val="00F85C97"/>
    <w:rsid w:val="00F94A57"/>
    <w:rsid w:val="00FA51A0"/>
    <w:rsid w:val="00FB37D2"/>
    <w:rsid w:val="00FB7D08"/>
    <w:rsid w:val="00FC3788"/>
    <w:rsid w:val="00FC4EFB"/>
    <w:rsid w:val="00FD068D"/>
    <w:rsid w:val="00FD4F28"/>
    <w:rsid w:val="00FE0416"/>
    <w:rsid w:val="00FE22A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322854"/>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322854"/>
    <w:rPr>
      <w:rFonts w:eastAsiaTheme="minorHAnsi" w:cstheme="minorBidi"/>
      <w:b/>
      <w:szCs w:val="22"/>
      <w:lang w:eastAsia="en-US"/>
    </w:rPr>
  </w:style>
  <w:style w:type="character" w:customStyle="1" w:styleId="SCCLsocPrefixChar">
    <w:name w:val="SCC.Lsoc.Prefix Char"/>
    <w:basedOn w:val="DefaultParagraphFont"/>
    <w:link w:val="SCCLsocPrefix"/>
    <w:rsid w:val="00322854"/>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9870">
      <w:bodyDiv w:val="1"/>
      <w:marLeft w:val="0"/>
      <w:marRight w:val="0"/>
      <w:marTop w:val="0"/>
      <w:marBottom w:val="0"/>
      <w:divBdr>
        <w:top w:val="none" w:sz="0" w:space="0" w:color="auto"/>
        <w:left w:val="none" w:sz="0" w:space="0" w:color="auto"/>
        <w:bottom w:val="none" w:sz="0" w:space="0" w:color="auto"/>
        <w:right w:val="none" w:sz="0" w:space="0" w:color="auto"/>
      </w:divBdr>
    </w:div>
    <w:div w:id="805465628">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3FC7-239C-45F7-884E-21B931A9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2021-05-27T14:56:00Z</dcterms:created>
  <dcterms:modified xsi:type="dcterms:W3CDTF">2024-02-19T21:30:00Z</dcterms:modified>
</cp:coreProperties>
</file>