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96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83"/>
        <w:gridCol w:w="1572"/>
        <w:gridCol w:w="3188"/>
        <w:gridCol w:w="74"/>
      </w:tblGrid>
      <w:tr w:rsidR="007A59F1" w:rsidRPr="007A59F1" w:rsidTr="007A59F1">
        <w:trPr>
          <w:gridAfter w:val="1"/>
          <w:wAfter w:w="45" w:type="pct"/>
          <w:trHeight w:val="2103"/>
        </w:trPr>
        <w:tc>
          <w:tcPr>
            <w:tcW w:w="4955" w:type="pct"/>
            <w:gridSpan w:val="4"/>
          </w:tcPr>
          <w:p w:rsidR="007A59F1" w:rsidRPr="007A59F1" w:rsidRDefault="007A59F1" w:rsidP="007A59F1">
            <w:pPr>
              <w:jc w:val="center"/>
              <w:rPr>
                <w:b/>
              </w:rPr>
            </w:pPr>
            <w:r w:rsidRPr="007A59F1">
              <w:rPr>
                <w:b/>
                <w:noProof/>
              </w:rPr>
              <w:drawing>
                <wp:inline distT="0" distB="0" distL="0" distR="0" wp14:anchorId="68A9DDE2" wp14:editId="57B21AF1">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rsidR="007A59F1" w:rsidRPr="007A59F1" w:rsidRDefault="007A59F1" w:rsidP="007A59F1">
            <w:pPr>
              <w:spacing w:before="120" w:after="100" w:afterAutospacing="1"/>
              <w:jc w:val="center"/>
            </w:pPr>
            <w:r w:rsidRPr="007A59F1">
              <w:rPr>
                <w:b/>
              </w:rPr>
              <w:t>SUPREME COURT OF CANADA</w:t>
            </w:r>
          </w:p>
        </w:tc>
      </w:tr>
      <w:tr w:rsidR="007A59F1" w:rsidRPr="007A59F1" w:rsidTr="007A59F1">
        <w:tblPrEx>
          <w:tblCellMar>
            <w:top w:w="58" w:type="dxa"/>
            <w:left w:w="58" w:type="dxa"/>
            <w:bottom w:w="58" w:type="dxa"/>
            <w:right w:w="58" w:type="dxa"/>
          </w:tblCellMar>
        </w:tblPrEx>
        <w:trPr>
          <w:cantSplit/>
        </w:trPr>
        <w:tc>
          <w:tcPr>
            <w:tcW w:w="2061" w:type="pct"/>
            <w:gridSpan w:val="2"/>
          </w:tcPr>
          <w:p w:rsidR="007A59F1" w:rsidRPr="007A59F1" w:rsidRDefault="007A59F1" w:rsidP="007A59F1">
            <w:pPr>
              <w:rPr>
                <w:b/>
                <w:smallCaps/>
              </w:rPr>
            </w:pPr>
          </w:p>
          <w:p w:rsidR="007A59F1" w:rsidRPr="007A59F1" w:rsidRDefault="007A59F1" w:rsidP="007A59F1">
            <w:pPr>
              <w:rPr>
                <w:b/>
                <w:smallCaps/>
              </w:rPr>
            </w:pPr>
            <w:r w:rsidRPr="007A59F1">
              <w:rPr>
                <w:b/>
                <w:smallCaps/>
              </w:rPr>
              <w:t>Citation:</w:t>
            </w:r>
            <w:r w:rsidRPr="007A59F1">
              <w:t xml:space="preserve"> Canada </w:t>
            </w:r>
            <w:r w:rsidRPr="007A59F1">
              <w:rPr>
                <w:i/>
              </w:rPr>
              <w:t>v.</w:t>
            </w:r>
            <w:r w:rsidRPr="007A59F1">
              <w:t xml:space="preserve"> Loblaw Financial Holdings Inc., 2021 SCC 51</w:t>
            </w:r>
          </w:p>
        </w:tc>
        <w:tc>
          <w:tcPr>
            <w:tcW w:w="956" w:type="pct"/>
          </w:tcPr>
          <w:p w:rsidR="007A59F1" w:rsidRPr="007A59F1" w:rsidRDefault="007A59F1" w:rsidP="007A59F1"/>
        </w:tc>
        <w:tc>
          <w:tcPr>
            <w:tcW w:w="1983" w:type="pct"/>
            <w:gridSpan w:val="2"/>
          </w:tcPr>
          <w:p w:rsidR="007A59F1" w:rsidRPr="007A59F1" w:rsidRDefault="007A59F1" w:rsidP="007A59F1">
            <w:pPr>
              <w:rPr>
                <w:b/>
                <w:smallCaps/>
              </w:rPr>
            </w:pPr>
          </w:p>
          <w:p w:rsidR="007A59F1" w:rsidRPr="007A59F1" w:rsidRDefault="007A59F1" w:rsidP="007A59F1">
            <w:pPr>
              <w:jc w:val="both"/>
            </w:pPr>
            <w:r w:rsidRPr="007A59F1">
              <w:rPr>
                <w:b/>
                <w:smallCaps/>
              </w:rPr>
              <w:t>Appeal Heard:</w:t>
            </w:r>
            <w:r w:rsidRPr="007A59F1">
              <w:t xml:space="preserve"> May 13, 2021</w:t>
            </w:r>
          </w:p>
          <w:p w:rsidR="007A59F1" w:rsidRPr="007A59F1" w:rsidRDefault="007A59F1" w:rsidP="007A59F1">
            <w:r w:rsidRPr="007A59F1">
              <w:rPr>
                <w:b/>
                <w:smallCaps/>
              </w:rPr>
              <w:t>Judgment Rendered:</w:t>
            </w:r>
            <w:r w:rsidRPr="007A59F1">
              <w:t xml:space="preserve"> December 3, 2021</w:t>
            </w:r>
          </w:p>
          <w:p w:rsidR="007A59F1" w:rsidRPr="007A59F1" w:rsidRDefault="007A59F1" w:rsidP="007A59F1">
            <w:r w:rsidRPr="007A59F1">
              <w:rPr>
                <w:b/>
                <w:smallCaps/>
              </w:rPr>
              <w:t>Docket:</w:t>
            </w:r>
            <w:r w:rsidRPr="007A59F1">
              <w:t xml:space="preserve"> 39220</w:t>
            </w:r>
          </w:p>
        </w:tc>
      </w:tr>
      <w:tr w:rsidR="007A59F1" w:rsidRPr="007A59F1" w:rsidTr="007A59F1">
        <w:tblPrEx>
          <w:tblCellMar>
            <w:top w:w="58" w:type="dxa"/>
            <w:left w:w="58" w:type="dxa"/>
            <w:bottom w:w="58" w:type="dxa"/>
            <w:right w:w="58" w:type="dxa"/>
          </w:tblCellMar>
        </w:tblPrEx>
        <w:trPr>
          <w:gridAfter w:val="1"/>
          <w:wAfter w:w="45" w:type="pct"/>
          <w:cantSplit/>
        </w:trPr>
        <w:tc>
          <w:tcPr>
            <w:tcW w:w="4955" w:type="pct"/>
            <w:gridSpan w:val="4"/>
          </w:tcPr>
          <w:p w:rsidR="007A59F1" w:rsidRPr="007A59F1" w:rsidRDefault="007A59F1" w:rsidP="007A59F1"/>
          <w:p w:rsidR="007A59F1" w:rsidRPr="007A59F1" w:rsidRDefault="007A59F1" w:rsidP="007A59F1">
            <w:pPr>
              <w:rPr>
                <w:b/>
                <w:smallCaps/>
              </w:rPr>
            </w:pPr>
            <w:r w:rsidRPr="007A59F1">
              <w:rPr>
                <w:b/>
                <w:smallCaps/>
              </w:rPr>
              <w:t>Between:</w:t>
            </w:r>
          </w:p>
          <w:p w:rsidR="007A59F1" w:rsidRPr="007A59F1" w:rsidRDefault="007A59F1" w:rsidP="007A59F1">
            <w:pPr>
              <w:jc w:val="center"/>
              <w:rPr>
                <w:b/>
              </w:rPr>
            </w:pPr>
          </w:p>
          <w:p w:rsidR="007A59F1" w:rsidRPr="007A59F1" w:rsidRDefault="007A59F1" w:rsidP="007A59F1">
            <w:pPr>
              <w:jc w:val="center"/>
              <w:rPr>
                <w:b/>
              </w:rPr>
            </w:pPr>
            <w:r w:rsidRPr="007A59F1">
              <w:rPr>
                <w:b/>
              </w:rPr>
              <w:t>Her Majesty The Queen</w:t>
            </w:r>
          </w:p>
          <w:p w:rsidR="007A59F1" w:rsidRPr="007A59F1" w:rsidRDefault="007A59F1" w:rsidP="007A59F1">
            <w:pPr>
              <w:jc w:val="center"/>
            </w:pPr>
            <w:r w:rsidRPr="007A59F1">
              <w:t>Appellant</w:t>
            </w:r>
          </w:p>
          <w:p w:rsidR="007A59F1" w:rsidRPr="007A59F1" w:rsidRDefault="007A59F1" w:rsidP="007A59F1"/>
          <w:p w:rsidR="007A59F1" w:rsidRPr="007A59F1" w:rsidRDefault="007A59F1" w:rsidP="007A59F1">
            <w:pPr>
              <w:jc w:val="center"/>
            </w:pPr>
            <w:r w:rsidRPr="007A59F1">
              <w:t>and</w:t>
            </w:r>
          </w:p>
          <w:p w:rsidR="007A59F1" w:rsidRPr="007A59F1" w:rsidRDefault="007A59F1" w:rsidP="007A59F1">
            <w:pPr>
              <w:rPr>
                <w:b/>
              </w:rPr>
            </w:pPr>
          </w:p>
          <w:p w:rsidR="007A59F1" w:rsidRPr="007A59F1" w:rsidRDefault="007A59F1" w:rsidP="007A59F1">
            <w:pPr>
              <w:jc w:val="center"/>
              <w:rPr>
                <w:b/>
              </w:rPr>
            </w:pPr>
            <w:r w:rsidRPr="007A59F1">
              <w:rPr>
                <w:b/>
              </w:rPr>
              <w:t>Loblaw Financial Holdings Inc.</w:t>
            </w:r>
          </w:p>
          <w:p w:rsidR="007A59F1" w:rsidRPr="007A59F1" w:rsidRDefault="007A59F1" w:rsidP="007A59F1">
            <w:pPr>
              <w:jc w:val="center"/>
            </w:pPr>
            <w:r w:rsidRPr="007A59F1">
              <w:t>Respondent</w:t>
            </w:r>
          </w:p>
          <w:p w:rsidR="007A59F1" w:rsidRPr="007A59F1" w:rsidRDefault="007A59F1" w:rsidP="007A59F1"/>
          <w:p w:rsidR="007A59F1" w:rsidRPr="007A59F1" w:rsidRDefault="007A59F1" w:rsidP="007A59F1">
            <w:pPr>
              <w:jc w:val="center"/>
            </w:pPr>
            <w:r w:rsidRPr="007A59F1">
              <w:t>- and -</w:t>
            </w:r>
          </w:p>
          <w:p w:rsidR="007A59F1" w:rsidRPr="007A59F1" w:rsidRDefault="007A59F1" w:rsidP="007A59F1"/>
          <w:p w:rsidR="007A59F1" w:rsidRPr="007A59F1" w:rsidRDefault="007A59F1" w:rsidP="007A59F1">
            <w:pPr>
              <w:jc w:val="center"/>
              <w:rPr>
                <w:b/>
              </w:rPr>
            </w:pPr>
            <w:r w:rsidRPr="007A59F1">
              <w:rPr>
                <w:b/>
              </w:rPr>
              <w:t>Attorney General of Ontario and Canadian Bankers’ Association</w:t>
            </w:r>
          </w:p>
          <w:p w:rsidR="007A59F1" w:rsidRPr="007A59F1" w:rsidRDefault="007A59F1" w:rsidP="007A59F1">
            <w:pPr>
              <w:jc w:val="center"/>
            </w:pPr>
            <w:r w:rsidRPr="007A59F1">
              <w:t>Interveners</w:t>
            </w:r>
          </w:p>
          <w:p w:rsidR="007A59F1" w:rsidRPr="007A59F1" w:rsidRDefault="007A59F1" w:rsidP="007A59F1"/>
          <w:p w:rsidR="007A59F1" w:rsidRPr="007A59F1" w:rsidRDefault="007A59F1" w:rsidP="007A59F1">
            <w:pPr>
              <w:jc w:val="center"/>
              <w:rPr>
                <w:b/>
                <w:smallCaps/>
              </w:rPr>
            </w:pPr>
          </w:p>
          <w:p w:rsidR="007A59F1" w:rsidRPr="007A59F1" w:rsidRDefault="007A59F1" w:rsidP="007A59F1"/>
          <w:p w:rsidR="007A59F1" w:rsidRPr="007A59F1" w:rsidRDefault="007A59F1" w:rsidP="007A59F1">
            <w:r w:rsidRPr="007A59F1">
              <w:rPr>
                <w:b/>
                <w:smallCaps/>
              </w:rPr>
              <w:t>Coram:</w:t>
            </w:r>
            <w:r w:rsidRPr="007A59F1">
              <w:t xml:space="preserve"> Wagner C.J. and Moldaver, Karakatsanis, Côté, Brown, Martin and Kasirer JJ.</w:t>
            </w:r>
          </w:p>
          <w:p w:rsidR="007A59F1" w:rsidRPr="007A59F1" w:rsidRDefault="007A59F1" w:rsidP="007A59F1">
            <w:pPr>
              <w:rPr>
                <w:b/>
                <w:smallCaps/>
              </w:rPr>
            </w:pPr>
          </w:p>
        </w:tc>
      </w:tr>
      <w:tr w:rsidR="007A59F1" w:rsidRPr="007A59F1" w:rsidTr="007A59F1">
        <w:tblPrEx>
          <w:tblCellMar>
            <w:top w:w="58" w:type="dxa"/>
            <w:left w:w="58" w:type="dxa"/>
            <w:bottom w:w="58" w:type="dxa"/>
            <w:right w:w="58" w:type="dxa"/>
          </w:tblCellMar>
        </w:tblPrEx>
        <w:trPr>
          <w:gridAfter w:val="1"/>
          <w:wAfter w:w="45" w:type="pct"/>
          <w:cantSplit/>
        </w:trPr>
        <w:tc>
          <w:tcPr>
            <w:tcW w:w="1220" w:type="pct"/>
          </w:tcPr>
          <w:p w:rsidR="007A59F1" w:rsidRPr="007A59F1" w:rsidRDefault="007A59F1" w:rsidP="007A59F1">
            <w:r w:rsidRPr="007A59F1">
              <w:rPr>
                <w:b/>
                <w:smallCaps/>
              </w:rPr>
              <w:t>Reasons for Judgment</w:t>
            </w:r>
            <w:r w:rsidRPr="007A59F1">
              <w:rPr>
                <w:b/>
              </w:rPr>
              <w:t>:</w:t>
            </w:r>
            <w:r w:rsidRPr="007A59F1">
              <w:t xml:space="preserve"> </w:t>
            </w:r>
          </w:p>
          <w:p w:rsidR="007A59F1" w:rsidRPr="007A59F1" w:rsidRDefault="007A59F1" w:rsidP="007A59F1">
            <w:r w:rsidRPr="007A59F1">
              <w:t>(paras. 1 to 75)</w:t>
            </w:r>
          </w:p>
        </w:tc>
        <w:tc>
          <w:tcPr>
            <w:tcW w:w="3735" w:type="pct"/>
            <w:gridSpan w:val="3"/>
          </w:tcPr>
          <w:p w:rsidR="007A59F1" w:rsidRPr="007A59F1" w:rsidRDefault="007A59F1" w:rsidP="007A59F1">
            <w:r w:rsidRPr="007A59F1">
              <w:t>Côté J. (Wagner C.J. and Moldaver, Karakatsanis, Brown, Martin and Kasirer JJ. concurring)</w:t>
            </w:r>
          </w:p>
        </w:tc>
      </w:tr>
    </w:tbl>
    <w:p w:rsidR="007A59F1" w:rsidRPr="007A59F1" w:rsidRDefault="007A59F1" w:rsidP="007A59F1">
      <w:pPr>
        <w:rPr>
          <w:rFonts w:eastAsiaTheme="minorHAnsi" w:cstheme="minorBidi"/>
          <w:szCs w:val="24"/>
          <w:lang w:eastAsia="en-US"/>
        </w:rPr>
      </w:pPr>
    </w:p>
    <w:p w:rsidR="007A59F1" w:rsidRPr="007A59F1" w:rsidRDefault="007A59F1" w:rsidP="007A59F1">
      <w:pPr>
        <w:rPr>
          <w:rFonts w:eastAsiaTheme="minorHAnsi" w:cstheme="minorBidi"/>
          <w:szCs w:val="24"/>
          <w:lang w:eastAsia="en-US"/>
        </w:rPr>
      </w:pPr>
    </w:p>
    <w:p w:rsidR="007A59F1" w:rsidRPr="007A59F1" w:rsidRDefault="007A59F1" w:rsidP="007A59F1">
      <w:pPr>
        <w:rPr>
          <w:rFonts w:eastAsiaTheme="minorHAnsi" w:cstheme="minorBidi"/>
          <w:szCs w:val="24"/>
          <w:lang w:eastAsia="en-US"/>
        </w:rPr>
      </w:pPr>
    </w:p>
    <w:p w:rsidR="007A59F1" w:rsidRPr="007A59F1" w:rsidRDefault="007A59F1" w:rsidP="007A59F1">
      <w:pPr>
        <w:rPr>
          <w:rFonts w:eastAsiaTheme="minorHAnsi" w:cstheme="minorBidi"/>
          <w:szCs w:val="24"/>
          <w:lang w:eastAsia="en-US"/>
        </w:rPr>
      </w:pPr>
    </w:p>
    <w:p w:rsidR="007A59F1" w:rsidRPr="007A59F1" w:rsidRDefault="007A59F1" w:rsidP="007A59F1">
      <w:pPr>
        <w:rPr>
          <w:rFonts w:eastAsiaTheme="minorHAnsi" w:cstheme="minorBidi"/>
          <w:szCs w:val="24"/>
          <w:lang w:eastAsia="en-US"/>
        </w:rPr>
      </w:pPr>
    </w:p>
    <w:p w:rsidR="007A59F1" w:rsidRPr="007A59F1" w:rsidRDefault="007A59F1" w:rsidP="007A59F1">
      <w:pPr>
        <w:rPr>
          <w:rFonts w:eastAsiaTheme="minorHAnsi" w:cstheme="minorBidi"/>
          <w:szCs w:val="24"/>
          <w:lang w:eastAsia="en-US"/>
        </w:rPr>
      </w:pPr>
      <w:r w:rsidRPr="007A59F1">
        <w:rPr>
          <w:rFonts w:eastAsiaTheme="minorHAnsi" w:cstheme="minorBidi"/>
          <w:b/>
          <w:smallCaps/>
          <w:szCs w:val="24"/>
          <w:lang w:eastAsia="en-US"/>
        </w:rPr>
        <w:t>Note:</w:t>
      </w:r>
      <w:r w:rsidRPr="007A59F1">
        <w:rPr>
          <w:rFonts w:eastAsiaTheme="minorHAnsi" w:cstheme="minorBidi"/>
          <w:b/>
          <w:szCs w:val="24"/>
          <w:lang w:eastAsia="en-US"/>
        </w:rPr>
        <w:t xml:space="preserve"> </w:t>
      </w:r>
      <w:r w:rsidRPr="007A59F1">
        <w:rPr>
          <w:rFonts w:eastAsiaTheme="minorHAnsi" w:cstheme="minorBidi"/>
          <w:szCs w:val="24"/>
          <w:lang w:eastAsia="en-US"/>
        </w:rPr>
        <w:t xml:space="preserve">This document is subject to editorial revision before its reproduction in final form in the </w:t>
      </w:r>
      <w:r w:rsidRPr="007A59F1">
        <w:rPr>
          <w:rFonts w:eastAsiaTheme="minorHAnsi" w:cstheme="minorBidi"/>
          <w:i/>
          <w:szCs w:val="24"/>
          <w:lang w:eastAsia="en-US"/>
        </w:rPr>
        <w:t>Canada Supreme Court Reports</w:t>
      </w:r>
      <w:r w:rsidRPr="007A59F1">
        <w:rPr>
          <w:rFonts w:eastAsiaTheme="minorHAnsi" w:cstheme="minorBidi"/>
          <w:szCs w:val="24"/>
          <w:lang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7A59F1" w:rsidRPr="007A59F1" w:rsidTr="007C35C1">
        <w:tc>
          <w:tcPr>
            <w:tcW w:w="1500" w:type="pct"/>
            <w:tcMar>
              <w:top w:w="284" w:type="dxa"/>
            </w:tcMar>
          </w:tcPr>
          <w:p w:rsidR="007A59F1" w:rsidRPr="007A59F1" w:rsidRDefault="007A59F1" w:rsidP="007A59F1"/>
        </w:tc>
        <w:tc>
          <w:tcPr>
            <w:tcW w:w="2000" w:type="pct"/>
            <w:tcBorders>
              <w:bottom w:val="single" w:sz="4" w:space="0" w:color="auto"/>
            </w:tcBorders>
            <w:tcMar>
              <w:top w:w="284" w:type="dxa"/>
            </w:tcMar>
          </w:tcPr>
          <w:p w:rsidR="007A59F1" w:rsidRPr="007A59F1" w:rsidRDefault="007A59F1" w:rsidP="007A59F1"/>
        </w:tc>
        <w:tc>
          <w:tcPr>
            <w:tcW w:w="1500" w:type="pct"/>
            <w:tcMar>
              <w:top w:w="284" w:type="dxa"/>
            </w:tcMar>
          </w:tcPr>
          <w:p w:rsidR="007A59F1" w:rsidRPr="007A59F1" w:rsidRDefault="007A59F1" w:rsidP="007A59F1"/>
        </w:tc>
      </w:tr>
    </w:tbl>
    <w:p w:rsidR="007A59F1" w:rsidRPr="007A59F1" w:rsidRDefault="007A59F1" w:rsidP="007A59F1">
      <w:pPr>
        <w:rPr>
          <w:rFonts w:eastAsiaTheme="minorHAnsi" w:cstheme="minorBidi"/>
          <w:szCs w:val="24"/>
          <w:lang w:eastAsia="en-US"/>
        </w:rPr>
      </w:pPr>
    </w:p>
    <w:p w:rsidR="007A59F1" w:rsidRDefault="007A59F1">
      <w:pPr>
        <w:rPr>
          <w:b/>
        </w:rPr>
      </w:pPr>
      <w:r>
        <w:br w:type="page"/>
      </w:r>
    </w:p>
    <w:p w:rsidR="00127B49" w:rsidRDefault="00B802E9">
      <w:pPr>
        <w:pStyle w:val="SCCLsocLastPartyInRole"/>
      </w:pPr>
      <w:r>
        <w:lastRenderedPageBreak/>
        <w:t>Her Majesty T</w:t>
      </w:r>
      <w:r w:rsidR="00EA085F">
        <w:t>he Queen</w:t>
      </w:r>
      <w:r w:rsidR="00EA085F">
        <w:rPr>
          <w:rStyle w:val="SCCLsocPartyRole"/>
        </w:rPr>
        <w:tab/>
        <w:t>Appellant</w:t>
      </w:r>
    </w:p>
    <w:p w:rsidR="00127B49" w:rsidRDefault="00EA085F">
      <w:pPr>
        <w:pStyle w:val="SCCLsocVersus"/>
      </w:pPr>
      <w:r>
        <w:t>v.</w:t>
      </w:r>
    </w:p>
    <w:p w:rsidR="00127B49" w:rsidRDefault="00EA085F">
      <w:pPr>
        <w:pStyle w:val="SCCLsocLastPartyInRole"/>
      </w:pPr>
      <w:r>
        <w:t>Loblaw Financial Holdings Inc.</w:t>
      </w:r>
      <w:r>
        <w:rPr>
          <w:rStyle w:val="SCCLsocPartyRole"/>
        </w:rPr>
        <w:tab/>
        <w:t>Respondent</w:t>
      </w:r>
    </w:p>
    <w:p w:rsidR="00127B49" w:rsidRDefault="00EA085F">
      <w:pPr>
        <w:pStyle w:val="SCCLsocOtherPartySeparator"/>
      </w:pPr>
      <w:r>
        <w:t>and</w:t>
      </w:r>
    </w:p>
    <w:p w:rsidR="00127B49" w:rsidRDefault="00EA085F">
      <w:pPr>
        <w:pStyle w:val="SCCLsocParty"/>
      </w:pPr>
      <w:r>
        <w:t>Attorney General of Ontario</w:t>
      </w:r>
      <w:r w:rsidR="00B802E9">
        <w:t xml:space="preserve"> and</w:t>
      </w:r>
    </w:p>
    <w:p w:rsidR="00127B49" w:rsidRDefault="00EA085F" w:rsidP="00B31B20">
      <w:pPr>
        <w:pStyle w:val="SCCLsocLastPartyInRole"/>
      </w:pPr>
      <w:r>
        <w:t>Canadian Bankers</w:t>
      </w:r>
      <w:r w:rsidR="006C3533">
        <w:t>’</w:t>
      </w:r>
      <w:r>
        <w:t xml:space="preserve"> Association</w:t>
      </w:r>
      <w:r>
        <w:rPr>
          <w:rStyle w:val="SCCLsocPartyRole"/>
        </w:rPr>
        <w:tab/>
        <w:t>Interveners</w:t>
      </w:r>
    </w:p>
    <w:p w:rsidR="00426659" w:rsidRPr="00426659" w:rsidRDefault="00426659" w:rsidP="00B31B20">
      <w:pPr>
        <w:spacing w:after="720"/>
        <w:jc w:val="both"/>
        <w:rPr>
          <w:b/>
        </w:rPr>
      </w:pPr>
      <w:r w:rsidRPr="00426659">
        <w:rPr>
          <w:b/>
        </w:rPr>
        <w:t>Indexed as</w:t>
      </w:r>
      <w:r w:rsidRPr="00C30F1F">
        <w:rPr>
          <w:b/>
        </w:rPr>
        <w:t xml:space="preserve">: </w:t>
      </w:r>
      <w:r w:rsidR="00252506" w:rsidRPr="00C30F1F">
        <w:rPr>
          <w:rStyle w:val="SCCAppellantForIndexChar"/>
        </w:rPr>
        <w:t>Canada</w:t>
      </w:r>
      <w:r w:rsidRPr="00C30F1F">
        <w:rPr>
          <w:b/>
        </w:rPr>
        <w:t xml:space="preserve"> </w:t>
      </w:r>
      <w:r w:rsidRPr="00C30F1F">
        <w:rPr>
          <w:b/>
          <w:i/>
        </w:rPr>
        <w:t>v.</w:t>
      </w:r>
      <w:r w:rsidRPr="00C30F1F">
        <w:rPr>
          <w:b/>
        </w:rPr>
        <w:t xml:space="preserve"> </w:t>
      </w:r>
      <w:r w:rsidRPr="00C30F1F">
        <w:rPr>
          <w:rStyle w:val="SCCRespondentForIndexChar"/>
        </w:rPr>
        <w:t>Loblaw Financial Holdings Inc.</w:t>
      </w:r>
    </w:p>
    <w:p w:rsidR="00426659" w:rsidRPr="00C02092" w:rsidRDefault="00AE4535" w:rsidP="00B31B20">
      <w:pPr>
        <w:pStyle w:val="SCCSystemYear"/>
        <w:spacing w:after="720"/>
        <w:jc w:val="both"/>
      </w:pPr>
      <w:r>
        <w:t>2021</w:t>
      </w:r>
      <w:r w:rsidR="003D0399">
        <w:t xml:space="preserve"> </w:t>
      </w:r>
      <w:r w:rsidR="00B31B20">
        <w:t xml:space="preserve">SCC </w:t>
      </w:r>
      <w:r w:rsidR="00806B54">
        <w:t>51</w:t>
      </w:r>
    </w:p>
    <w:p w:rsidR="008322BD" w:rsidRDefault="00B802E9" w:rsidP="00B31B20">
      <w:pPr>
        <w:spacing w:after="720"/>
        <w:jc w:val="both"/>
      </w:pPr>
      <w:r>
        <w:t xml:space="preserve">File No.: </w:t>
      </w:r>
      <w:r w:rsidR="009B57B3">
        <w:t>39220</w:t>
      </w:r>
      <w:r w:rsidR="009B57B3" w:rsidRPr="001426A9">
        <w:t>.</w:t>
      </w:r>
    </w:p>
    <w:p w:rsidR="008322BD" w:rsidRDefault="00AE4535" w:rsidP="00B31B20">
      <w:pPr>
        <w:spacing w:after="720"/>
        <w:jc w:val="both"/>
      </w:pPr>
      <w:r>
        <w:t>2021: May 13</w:t>
      </w:r>
      <w:r w:rsidR="009B57B3" w:rsidRPr="001426A9">
        <w:t xml:space="preserve">; </w:t>
      </w:r>
      <w:r w:rsidR="00252506">
        <w:t>2021: December 3</w:t>
      </w:r>
      <w:r w:rsidR="009B57B3" w:rsidRPr="001426A9">
        <w:t>.</w:t>
      </w:r>
    </w:p>
    <w:p w:rsidR="008322BD" w:rsidRDefault="00B31B20" w:rsidP="00B31B20">
      <w:pPr>
        <w:spacing w:after="720"/>
        <w:jc w:val="both"/>
      </w:pPr>
      <w:r>
        <w:t xml:space="preserve">Present: Wagner </w:t>
      </w:r>
      <w:r w:rsidR="009B57B3">
        <w:t xml:space="preserve">C.J. and Moldaver, Karakatsanis, </w:t>
      </w:r>
      <w:r>
        <w:t xml:space="preserve">Côté, Brown, Martin and Kasirer </w:t>
      </w:r>
      <w:r w:rsidR="009B57B3">
        <w:t>JJ.</w:t>
      </w:r>
    </w:p>
    <w:p w:rsidR="008322BD" w:rsidRPr="001C779F" w:rsidRDefault="00656313" w:rsidP="00B31B20">
      <w:pPr>
        <w:pStyle w:val="SCCLowerCourtNameLowercase"/>
        <w:spacing w:after="720" w:line="240" w:lineRule="auto"/>
      </w:pPr>
      <w:r>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9B57B3">
        <w:t>federal court of appeal</w:t>
      </w:r>
    </w:p>
    <w:p w:rsidR="00204828" w:rsidRPr="00204828" w:rsidRDefault="009B57B3" w:rsidP="00AD47C8">
      <w:pPr>
        <w:pStyle w:val="SCCNormalDoubleSpacing"/>
        <w:spacing w:after="480"/>
        <w:rPr>
          <w:i/>
        </w:rPr>
      </w:pPr>
      <w:r w:rsidRPr="00583EDE">
        <w:tab/>
      </w:r>
      <w:r w:rsidR="00204828" w:rsidRPr="00204828">
        <w:rPr>
          <w:i/>
        </w:rPr>
        <w:t xml:space="preserve">Taxation — Income tax — Assessment — Foreign accrual property income — Financial institution exception — Arm’s length requirement — Conducting business — Canadian corporate taxpayer not including income earned by foreign subsidiary in </w:t>
      </w:r>
      <w:r w:rsidR="00204828" w:rsidRPr="00204828">
        <w:rPr>
          <w:i/>
        </w:rPr>
        <w:lastRenderedPageBreak/>
        <w:t>Canadian tax return for several taxation years — Taxpayer claiming foreign subsidiary’s activities covered by financial institution exception to rules for foreign accrual property income — Tax Court holding that exception does not apply because foreign subsidiary dealing princ</w:t>
      </w:r>
      <w:r w:rsidR="00AD47C8">
        <w:rPr>
          <w:i/>
        </w:rPr>
        <w:t>ipally with non</w:t>
      </w:r>
      <w:r w:rsidR="00AD47C8">
        <w:rPr>
          <w:i/>
        </w:rPr>
        <w:noBreakHyphen/>
      </w:r>
      <w:r w:rsidR="00204828" w:rsidRPr="00204828">
        <w:rPr>
          <w:i/>
        </w:rPr>
        <w:t xml:space="preserve">arm’s length persons — Whether foreign subsidiary’s business conducted principally with persons with whom it deals at arm’s length — Whether parent corporation’s injection of capital or corporate oversight relevant to arm’s length test — Income </w:t>
      </w:r>
      <w:r w:rsidR="00796EAA">
        <w:rPr>
          <w:i/>
        </w:rPr>
        <w:t xml:space="preserve">Tax Act, R.S.C. 1985, c. 1 (5th </w:t>
      </w:r>
      <w:r w:rsidR="00204828" w:rsidRPr="00204828">
        <w:rPr>
          <w:i/>
        </w:rPr>
        <w:t>Supp.), s. 95(1) “investment business”.</w:t>
      </w:r>
    </w:p>
    <w:p w:rsidR="00204828" w:rsidRPr="00204828" w:rsidRDefault="00204828" w:rsidP="00AD47C8">
      <w:pPr>
        <w:pStyle w:val="SCCNormalDoubleSpacing"/>
        <w:spacing w:after="480"/>
      </w:pPr>
      <w:r w:rsidRPr="00204828">
        <w:tab/>
        <w:t>In 1992, Loblaw Financial Holdings Inc. (“Loblaw Financial”), a Canadian corporation, incorporated a subsidiary in Barbados.</w:t>
      </w:r>
      <w:r w:rsidR="00796EAA">
        <w:t xml:space="preserve"> </w:t>
      </w:r>
      <w:r w:rsidRPr="00204828">
        <w:t>The Central Bank of Barbados issued a licence for the subsidiary to operate as an offshore bank named Glenhuron Bank Ltd. (“Glenhuron”).</w:t>
      </w:r>
      <w:r w:rsidR="00092523">
        <w:t xml:space="preserve"> </w:t>
      </w:r>
      <w:r w:rsidRPr="00204828">
        <w:t>Between 1992 and 2000, important capital investments in Glenhuron were made by</w:t>
      </w:r>
      <w:r w:rsidR="00092523">
        <w:t xml:space="preserve"> </w:t>
      </w:r>
      <w:r w:rsidRPr="00204828">
        <w:t>Loblaw Financial and affiliated companies (“Loblaw Group”).</w:t>
      </w:r>
      <w:r w:rsidR="00796EAA">
        <w:t xml:space="preserve"> </w:t>
      </w:r>
      <w:r w:rsidRPr="00204828">
        <w:t>In 2013, Glenhuron was dissolved, and its assets were liquidated.</w:t>
      </w:r>
    </w:p>
    <w:p w:rsidR="00204828" w:rsidRPr="00204828" w:rsidRDefault="00204828" w:rsidP="00AD47C8">
      <w:pPr>
        <w:pStyle w:val="SCCNormalDoubleSpacing"/>
        <w:spacing w:after="480"/>
      </w:pPr>
      <w:r w:rsidRPr="00204828">
        <w:tab/>
        <w:t>For the 2001, 2002, 2003, 2004, 2005, 2008 and 2010 taxation years,</w:t>
      </w:r>
      <w:r w:rsidR="00092523">
        <w:t xml:space="preserve"> </w:t>
      </w:r>
      <w:r w:rsidRPr="00204828">
        <w:t>Loblaw Financial did not include income earned by Glenhuron in its Canadian tax returns as foreign accrual proper</w:t>
      </w:r>
      <w:r w:rsidR="00796EAA">
        <w:t xml:space="preserve">ty income (“FAPI”). </w:t>
      </w:r>
      <w:r w:rsidRPr="00204828">
        <w:t>Under the</w:t>
      </w:r>
      <w:r w:rsidR="00092523">
        <w:t xml:space="preserve"> </w:t>
      </w:r>
      <w:r w:rsidRPr="00204828">
        <w:t xml:space="preserve">FAPI regime in the </w:t>
      </w:r>
      <w:r w:rsidRPr="00204828">
        <w:rPr>
          <w:i/>
        </w:rPr>
        <w:t xml:space="preserve">Income Tax Act </w:t>
      </w:r>
      <w:r w:rsidRPr="00204828">
        <w:t>(“</w:t>
      </w:r>
      <w:r w:rsidRPr="00204828">
        <w:rPr>
          <w:i/>
        </w:rPr>
        <w:t>ITA</w:t>
      </w:r>
      <w:r w:rsidRPr="00204828">
        <w:t>”), Canadian taxpayers must include income earned by their controlled foreign affiliates (“CFAs”) in their Canadian annual tax returns on an accrual basis if this income qualifies as FAPI.</w:t>
      </w:r>
      <w:r w:rsidR="00092523">
        <w:t xml:space="preserve"> </w:t>
      </w:r>
      <w:r w:rsidRPr="00204828">
        <w:t>However, financial institutions that meet specific requirements benefit from an exception to the FAPI rules</w:t>
      </w:r>
      <w:r w:rsidR="00092523">
        <w:t xml:space="preserve"> </w:t>
      </w:r>
      <w:r w:rsidRPr="00204828">
        <w:t>found in the definition</w:t>
      </w:r>
      <w:r w:rsidR="00AD47C8">
        <w:t xml:space="preserve"> of </w:t>
      </w:r>
      <w:r w:rsidR="00AD47C8">
        <w:lastRenderedPageBreak/>
        <w:t>“investment business” at s. </w:t>
      </w:r>
      <w:r w:rsidRPr="00204828">
        <w:t xml:space="preserve">95(1) of the </w:t>
      </w:r>
      <w:r w:rsidRPr="00204828">
        <w:rPr>
          <w:i/>
        </w:rPr>
        <w:t>ITA</w:t>
      </w:r>
      <w:r w:rsidR="00AD47C8">
        <w:t>.</w:t>
      </w:r>
      <w:r w:rsidR="00092523">
        <w:t xml:space="preserve"> </w:t>
      </w:r>
      <w:r w:rsidRPr="00204828">
        <w:rPr>
          <w:rFonts w:eastAsiaTheme="minorEastAsia"/>
          <w:smallCaps/>
          <w:szCs w:val="22"/>
          <w:lang w:val="en-US" w:eastAsia="en-US" w:bidi="en-US"/>
        </w:rPr>
        <w:t>T</w:t>
      </w:r>
      <w:r w:rsidRPr="00204828">
        <w:rPr>
          <w:lang w:val="en-US" w:bidi="en-US"/>
        </w:rPr>
        <w:t xml:space="preserve">he financial institution exception is available where the following requirements are met: </w:t>
      </w:r>
      <w:r w:rsidRPr="00204828">
        <w:t>(1) the CFA must be a foreign bank or another financial institution listed in the exception provision; (2) its activities must be regulated under foreign law; (3) the CFA must employ more than five full</w:t>
      </w:r>
      <w:r w:rsidRPr="00204828">
        <w:noBreakHyphen/>
        <w:t>time employees in the active conduct of its business; and (4) its business must be conducted principally with persons with whom it deals at arm’s length.</w:t>
      </w:r>
    </w:p>
    <w:p w:rsidR="00204828" w:rsidRPr="00204828" w:rsidRDefault="00204828" w:rsidP="00AD47C8">
      <w:pPr>
        <w:pStyle w:val="SCCNormalDoubleSpacing"/>
        <w:spacing w:after="480"/>
      </w:pPr>
      <w:r w:rsidRPr="00204828">
        <w:tab/>
        <w:t>Loblaw Financial claimed that Glenhuron’s activities were covered by the financial institution exception to the FAPI rules.</w:t>
      </w:r>
      <w:r w:rsidR="00092523">
        <w:t xml:space="preserve"> </w:t>
      </w:r>
      <w:r w:rsidRPr="00204828">
        <w:t>The Minister disagreed with Loblaw Financial and</w:t>
      </w:r>
      <w:r w:rsidR="00092523">
        <w:t xml:space="preserve"> </w:t>
      </w:r>
      <w:r w:rsidRPr="00204828">
        <w:t>reassessed it on the basis that the income earned by Glenhuron during the years in issue was FAPI.</w:t>
      </w:r>
      <w:r w:rsidR="00796EAA">
        <w:t xml:space="preserve"> </w:t>
      </w:r>
      <w:r w:rsidRPr="00204828">
        <w:t>Loblaw Financial objected and appealed the reassessments.</w:t>
      </w:r>
      <w:r w:rsidR="00796EAA">
        <w:t xml:space="preserve"> </w:t>
      </w:r>
      <w:r w:rsidRPr="00204828">
        <w:t>The Tax Court held that the financial institution exception did not apply,</w:t>
      </w:r>
      <w:r w:rsidR="00092523">
        <w:t xml:space="preserve"> </w:t>
      </w:r>
      <w:r w:rsidRPr="00204828">
        <w:t>as</w:t>
      </w:r>
      <w:r w:rsidR="00092523">
        <w:t xml:space="preserve"> </w:t>
      </w:r>
      <w:r w:rsidRPr="00204828">
        <w:t>Glenhuron’s business was</w:t>
      </w:r>
      <w:r w:rsidR="00AD47C8">
        <w:t xml:space="preserve"> conducted principally with non</w:t>
      </w:r>
      <w:r w:rsidR="00AD47C8">
        <w:noBreakHyphen/>
      </w:r>
      <w:r w:rsidRPr="00204828">
        <w:t>arm’s length persons.</w:t>
      </w:r>
      <w:r w:rsidR="00092523">
        <w:t xml:space="preserve"> </w:t>
      </w:r>
      <w:r w:rsidRPr="00204828">
        <w:t>In reaching its decision, the court considered the scope of Glenhuron’s relevant business, looking at its receipt of funds and use of funds.</w:t>
      </w:r>
      <w:r w:rsidR="00092523">
        <w:t xml:space="preserve"> </w:t>
      </w:r>
      <w:r w:rsidRPr="00204828">
        <w:t>It</w:t>
      </w:r>
      <w:r w:rsidR="00092523">
        <w:t xml:space="preserve"> </w:t>
      </w:r>
      <w:r w:rsidRPr="00204828">
        <w:t>included in</w:t>
      </w:r>
      <w:r w:rsidR="00092523">
        <w:t xml:space="preserve"> </w:t>
      </w:r>
      <w:r w:rsidRPr="00204828">
        <w:t>its analysis all receipts of funds indiscriminately, treating capital injections by shareholders and lenders like any other receipt of funds.</w:t>
      </w:r>
      <w:r w:rsidR="00796EAA">
        <w:t xml:space="preserve"> </w:t>
      </w:r>
      <w:r w:rsidRPr="00204828">
        <w:t>The Tax Court also</w:t>
      </w:r>
      <w:r w:rsidR="00092523">
        <w:t xml:space="preserve"> </w:t>
      </w:r>
      <w:r w:rsidRPr="00204828">
        <w:t>viewed Glenhuron’s use of funds as the management of an investment portfolio on the Loblaw Group’s behalf</w:t>
      </w:r>
      <w:r w:rsidR="00092523">
        <w:t xml:space="preserve"> </w:t>
      </w:r>
      <w:r w:rsidRPr="00204828">
        <w:t>and</w:t>
      </w:r>
      <w:r w:rsidR="00092523">
        <w:t xml:space="preserve"> </w:t>
      </w:r>
      <w:r w:rsidRPr="00204828">
        <w:t>regarded the influence of the Loblaw Group’s central management as pervading the conduct of business because of the Loblaw Group’s close oversight of Glenhuron’s investment activities.</w:t>
      </w:r>
    </w:p>
    <w:p w:rsidR="00204828" w:rsidRPr="00204828" w:rsidRDefault="00204828" w:rsidP="00AD47C8">
      <w:pPr>
        <w:pStyle w:val="SCCNormalDoubleSpacing"/>
        <w:spacing w:after="480"/>
      </w:pPr>
      <w:r w:rsidRPr="00204828">
        <w:lastRenderedPageBreak/>
        <w:tab/>
        <w:t>The Federal Court of Appeal disagreed with the Tax Court’s interpretation of the arm’s length requirement and with its analysis based on receipt and use of funds. It hel</w:t>
      </w:r>
      <w:r w:rsidR="00AD47C8">
        <w:t>d that only Glenhuron’s income</w:t>
      </w:r>
      <w:r w:rsidR="00AD47C8">
        <w:noBreakHyphen/>
      </w:r>
      <w:r w:rsidRPr="00204828">
        <w:t>earning activities had to be considered.</w:t>
      </w:r>
      <w:r w:rsidR="00092523">
        <w:t xml:space="preserve"> </w:t>
      </w:r>
      <w:r w:rsidRPr="00204828">
        <w:t>It also found that direction, support, and oversight by the Loblaw Group should not have been considered, because th</w:t>
      </w:r>
      <w:r w:rsidR="00AD47C8">
        <w:t>ese interactions are not income</w:t>
      </w:r>
      <w:r w:rsidR="00AD47C8">
        <w:noBreakHyphen/>
      </w:r>
      <w:r w:rsidRPr="00204828">
        <w:t>earning activities and thus do not amount to conducting business with the CFA. It concluded that Glenhuron was dealing principally with arm’s length persons, and that Loblaw Financial was entitled to the benefit of the financial institution exception and did not need to include Glenhuron’s income as FAPI.</w:t>
      </w:r>
      <w:r w:rsidR="00796EAA">
        <w:t xml:space="preserve"> </w:t>
      </w:r>
      <w:r w:rsidRPr="00204828">
        <w:t>It referred the reassessments back to the Minister for reconsideration.</w:t>
      </w:r>
    </w:p>
    <w:p w:rsidR="00204828" w:rsidRPr="00204828" w:rsidRDefault="00204828" w:rsidP="00AD47C8">
      <w:pPr>
        <w:pStyle w:val="SCCNormalDoubleSpacing"/>
        <w:spacing w:after="480"/>
      </w:pPr>
      <w:r w:rsidRPr="00204828">
        <w:tab/>
      </w:r>
      <w:r w:rsidRPr="00204828">
        <w:rPr>
          <w:i/>
          <w:iCs/>
          <w:color w:val="000000" w:themeColor="text1"/>
        </w:rPr>
        <w:t>Held</w:t>
      </w:r>
      <w:r w:rsidRPr="001D4589">
        <w:rPr>
          <w:iCs/>
          <w:color w:val="000000" w:themeColor="text1"/>
        </w:rPr>
        <w:t>:</w:t>
      </w:r>
      <w:r w:rsidR="00AD47C8">
        <w:t xml:space="preserve"> </w:t>
      </w:r>
      <w:r w:rsidRPr="00204828">
        <w:t>Th</w:t>
      </w:r>
      <w:r w:rsidR="00AD47C8">
        <w:t>e appeal should be dismissed.</w:t>
      </w:r>
    </w:p>
    <w:p w:rsidR="00204828" w:rsidRPr="00204828" w:rsidRDefault="00AD47C8" w:rsidP="001A2897">
      <w:pPr>
        <w:pStyle w:val="SCCNormalDoubleSpacing"/>
        <w:spacing w:after="480"/>
      </w:pPr>
      <w:r>
        <w:tab/>
      </w:r>
      <w:r w:rsidR="00204828" w:rsidRPr="00204828">
        <w:t>Loblaw Financial was entitled to rely on the financial insti</w:t>
      </w:r>
      <w:r>
        <w:t>tution exception set out in s. </w:t>
      </w:r>
      <w:r w:rsidR="00204828" w:rsidRPr="00204828">
        <w:t xml:space="preserve">95(1) of the </w:t>
      </w:r>
      <w:r w:rsidR="00204828" w:rsidRPr="00204828">
        <w:rPr>
          <w:i/>
        </w:rPr>
        <w:t>ITA</w:t>
      </w:r>
      <w:r w:rsidR="00796EAA">
        <w:t xml:space="preserve">. </w:t>
      </w:r>
      <w:r w:rsidR="00204828" w:rsidRPr="00204828">
        <w:t>When</w:t>
      </w:r>
      <w:r w:rsidR="00092523">
        <w:t xml:space="preserve"> </w:t>
      </w:r>
      <w:r w:rsidR="00204828" w:rsidRPr="00204828">
        <w:t xml:space="preserve">the precise words of the arm’s length requirement </w:t>
      </w:r>
      <w:r w:rsidR="00204828" w:rsidRPr="00204828">
        <w:rPr>
          <w:i/>
        </w:rPr>
        <w:t>—</w:t>
      </w:r>
      <w:r w:rsidR="00204828" w:rsidRPr="00204828">
        <w:t xml:space="preserve"> “the business (other than any business conducted principally with persons with whom the affiliate does not deal at arm’s length)” </w:t>
      </w:r>
      <w:r w:rsidR="00204828" w:rsidRPr="00204828">
        <w:rPr>
          <w:i/>
        </w:rPr>
        <w:t>—</w:t>
      </w:r>
      <w:r w:rsidR="00204828" w:rsidRPr="00204828">
        <w:t xml:space="preserve"> are interpreted in accordance with the ordinary rules of statutory interpretation, it is clear that they do not encompass an assessment of capital contributions or corporate oversight.</w:t>
      </w:r>
      <w:r w:rsidR="00092523">
        <w:t xml:space="preserve"> </w:t>
      </w:r>
      <w:r w:rsidR="00204828" w:rsidRPr="00204828">
        <w:rPr>
          <w:szCs w:val="24"/>
        </w:rPr>
        <w:t>I</w:t>
      </w:r>
      <w:r w:rsidR="00204828" w:rsidRPr="00204828">
        <w:t>f capital and corporate oversight ar</w:t>
      </w:r>
      <w:r w:rsidR="009F57BA">
        <w:t xml:space="preserve">e excluded from consideration, </w:t>
      </w:r>
      <w:r w:rsidR="00204828" w:rsidRPr="00204828">
        <w:t>Glenhuron’s investment business activities were conducted princip</w:t>
      </w:r>
      <w:r w:rsidR="001A2897">
        <w:t>ally with arm’s length persons.</w:t>
      </w:r>
    </w:p>
    <w:p w:rsidR="00204828" w:rsidRPr="00204828" w:rsidRDefault="00204828" w:rsidP="001A2897">
      <w:pPr>
        <w:pStyle w:val="SCCNormalDoubleSpacing"/>
        <w:spacing w:after="480"/>
      </w:pPr>
      <w:r w:rsidRPr="00204828">
        <w:tab/>
        <w:t>A parent corporation does not conduct business with its CFA when it provides capital and exercises corporate oversight. An ordinary and grammatical reading of the words “business conducted” conveys a different meaning tha</w:t>
      </w:r>
      <w:r w:rsidR="005155CF">
        <w:t>n</w:t>
      </w:r>
      <w:r w:rsidRPr="00204828">
        <w:t xml:space="preserve"> the word </w:t>
      </w:r>
      <w:r w:rsidRPr="00204828">
        <w:lastRenderedPageBreak/>
        <w:t>“business” alone.</w:t>
      </w:r>
      <w:r w:rsidR="00796EAA">
        <w:t xml:space="preserve"> </w:t>
      </w:r>
      <w:r w:rsidRPr="00204828">
        <w:t>The addition of the verb “conducted” emphasizes Parliament’s intent to focus on the active carrying out of business rather than on the establishment of prerequisite conditions that enable a foreign</w:t>
      </w:r>
      <w:r w:rsidR="00796EAA">
        <w:t xml:space="preserve"> affiliate to conduct business.</w:t>
      </w:r>
      <w:r w:rsidR="00092523">
        <w:t xml:space="preserve"> </w:t>
      </w:r>
      <w:r w:rsidRPr="00204828">
        <w:t>Raising capital is a necessary part of any business, and capital enables business to be conducted; but one would not generally speak of capitalization itself as the conduct of the business. The</w:t>
      </w:r>
      <w:r w:rsidR="00092523">
        <w:t xml:space="preserve"> </w:t>
      </w:r>
      <w:r w:rsidRPr="00204828">
        <w:t>Court has repeatedly affirmed that there is a distinction between capitalization and the conduct of a business.</w:t>
      </w:r>
      <w:r w:rsidR="00796EAA">
        <w:t xml:space="preserve"> </w:t>
      </w:r>
      <w:r w:rsidRPr="00204828">
        <w:t>The banking co</w:t>
      </w:r>
      <w:r w:rsidR="00092523">
        <w:t>n</w:t>
      </w:r>
      <w:r w:rsidR="00796EAA">
        <w:t xml:space="preserve">text does not change anything. </w:t>
      </w:r>
      <w:r w:rsidRPr="00204828">
        <w:t xml:space="preserve">There is undoubtedly a distinction between receiving funds from depositors and receiving funds from shareholders </w:t>
      </w:r>
      <w:r w:rsidRPr="00204828">
        <w:rPr>
          <w:i/>
        </w:rPr>
        <w:t>—</w:t>
      </w:r>
      <w:r w:rsidRPr="00204828">
        <w:t xml:space="preserve"> depositors are clients of the bank, for whom the bank provides the services associated with holding their funds; shareholders are not.</w:t>
      </w:r>
    </w:p>
    <w:p w:rsidR="00204828" w:rsidRPr="00204828" w:rsidRDefault="00204828" w:rsidP="001A2897">
      <w:pPr>
        <w:pStyle w:val="SCCNormalDoubleSpacing"/>
        <w:spacing w:after="480"/>
      </w:pPr>
      <w:r w:rsidRPr="00204828">
        <w:tab/>
        <w:t xml:space="preserve">The context of the FAPI regime </w:t>
      </w:r>
      <w:r w:rsidR="00092523">
        <w:t xml:space="preserve">confirms this </w:t>
      </w:r>
      <w:r w:rsidRPr="00204828">
        <w:t>reading.</w:t>
      </w:r>
      <w:r w:rsidR="00092523">
        <w:t xml:space="preserve"> </w:t>
      </w:r>
      <w:r w:rsidRPr="00204828">
        <w:t>The entire function of the regime is to classif</w:t>
      </w:r>
      <w:r w:rsidR="00796EAA">
        <w:t>y a foreign affiliate’s income.</w:t>
      </w:r>
      <w:r w:rsidR="00092523">
        <w:t xml:space="preserve"> </w:t>
      </w:r>
      <w:r w:rsidRPr="00204828">
        <w:t>The financial institution exception to the definition of “investment business” and its arm’s length requirement are tied to this same function: identifyin</w:t>
      </w:r>
      <w:r w:rsidR="00092523">
        <w:t>g</w:t>
      </w:r>
      <w:r w:rsidR="00796EAA">
        <w:t xml:space="preserve"> income for inclusion in FAPI. </w:t>
      </w:r>
      <w:r w:rsidRPr="00204828">
        <w:t>It thus makes considerable sense that Parliament intended these determinations to focus on activities more directly related to income generation than to capitalization, the distinction between income and capital bein</w:t>
      </w:r>
      <w:r w:rsidR="00796EAA">
        <w:t>g well established in tax law.</w:t>
      </w:r>
      <w:r w:rsidR="00092523">
        <w:t xml:space="preserve"> </w:t>
      </w:r>
      <w:r w:rsidRPr="00204828">
        <w:t>The FAPI regime also shows why considering capitalization as part of conducting business for the purposes of the financial institution exception would create practical problems.</w:t>
      </w:r>
      <w:r w:rsidR="00092523">
        <w:t xml:space="preserve"> </w:t>
      </w:r>
      <w:r w:rsidRPr="00204828">
        <w:t>The FAPI regime does not provide a method for assigning capital to the different businesses within a single corporation.</w:t>
      </w:r>
      <w:r w:rsidR="00796EAA">
        <w:t xml:space="preserve"> </w:t>
      </w:r>
      <w:r w:rsidRPr="00204828">
        <w:rPr>
          <w:szCs w:val="24"/>
        </w:rPr>
        <w:t>I</w:t>
      </w:r>
      <w:r w:rsidRPr="00204828">
        <w:t xml:space="preserve">nterpreting “business conducted” to include the capitalization of the business would make it necessary to somehow divide the debt and equity from </w:t>
      </w:r>
      <w:r w:rsidRPr="00204828">
        <w:lastRenderedPageBreak/>
        <w:t>various sources (some arm’s length and some not) and then assign the ensuing quotient to the various businesses conducted by a foreign affiliate.</w:t>
      </w:r>
      <w:r w:rsidR="00092523">
        <w:t xml:space="preserve"> </w:t>
      </w:r>
      <w:r w:rsidRPr="00204828">
        <w:t>Parliament’s failure to provide a method for distributing capital suggests that it did not have capital in mind.</w:t>
      </w:r>
      <w:r w:rsidR="00092523">
        <w:t xml:space="preserve"> </w:t>
      </w:r>
      <w:r w:rsidRPr="00204828">
        <w:t xml:space="preserve">A further practical difficulty arises when considering the receipt of corporate capital in relation to newly </w:t>
      </w:r>
      <w:r w:rsidR="00796EAA">
        <w:t xml:space="preserve">formed CFAs. </w:t>
      </w:r>
      <w:r w:rsidRPr="00204828">
        <w:t>Since the Canadian parent will have provided some capital to set up the CFA, in most cases, this means that the CFA will fail the test in its early years when it is trying to build a customer base, because the ratio of corporate capital to other business receipts will likely be high.</w:t>
      </w:r>
      <w:r w:rsidR="00796EAA">
        <w:t xml:space="preserve"> </w:t>
      </w:r>
      <w:r w:rsidRPr="00204828">
        <w:t>If taxpayers are to act with any degree of certainty, then full effect should be given to Parliament’s precise and unequivocal words.</w:t>
      </w:r>
      <w:r w:rsidR="00092523">
        <w:t xml:space="preserve"> </w:t>
      </w:r>
      <w:r w:rsidRPr="00204828">
        <w:t>The grammatical and ordinary meaning of the words “business conducted”, read in the context and light of the purpose of the FAPI regime, clearly shows that Parliament did not intend capital</w:t>
      </w:r>
      <w:r w:rsidR="001A2897">
        <w:t xml:space="preserve"> injections to be considered.</w:t>
      </w:r>
    </w:p>
    <w:p w:rsidR="00204828" w:rsidRPr="00204828" w:rsidRDefault="00204828" w:rsidP="001A2897">
      <w:pPr>
        <w:pStyle w:val="SCCNormalDoubleSpacing"/>
        <w:spacing w:after="480"/>
      </w:pPr>
      <w:r w:rsidRPr="00204828">
        <w:tab/>
        <w:t>Furthermore, there is no basis in the text, context or purpose of the arm’s length requirement to support the Tax Court’s consideration of corporate oversight as part of conducting business.</w:t>
      </w:r>
      <w:r w:rsidR="00092523">
        <w:t xml:space="preserve"> </w:t>
      </w:r>
      <w:r w:rsidRPr="00204828">
        <w:t>Fundamentally, a corporation is separate from its shareholders.</w:t>
      </w:r>
      <w:r w:rsidR="00796EAA">
        <w:t xml:space="preserve"> </w:t>
      </w:r>
      <w:r w:rsidRPr="00204828">
        <w:t>Its business may be conducted using money provided by shareholders or in accordance with policies adopted by the board of directors on behalf of the shareholders, but this does not change the fact that the corporation remains the party conducting business.</w:t>
      </w:r>
      <w:r w:rsidR="00796EAA">
        <w:t xml:space="preserve"> </w:t>
      </w:r>
      <w:r w:rsidRPr="00204828">
        <w:t>Treating oversight by a parent corporation as shifting the responsibility for conducting business is also incompatible with the rest of the FAPI regime.</w:t>
      </w:r>
      <w:r w:rsidR="00796EAA">
        <w:t xml:space="preserve"> </w:t>
      </w:r>
      <w:r w:rsidRPr="00204828">
        <w:t xml:space="preserve">The regime applies only where there is a </w:t>
      </w:r>
      <w:r w:rsidRPr="00204828">
        <w:rPr>
          <w:i/>
        </w:rPr>
        <w:t>controlled</w:t>
      </w:r>
      <w:r w:rsidR="00252B5D">
        <w:t xml:space="preserve"> foreign affiliate. </w:t>
      </w:r>
      <w:r w:rsidRPr="00204828">
        <w:t xml:space="preserve">If there is </w:t>
      </w:r>
      <w:r w:rsidRPr="00204828">
        <w:lastRenderedPageBreak/>
        <w:t>a CFA, there is necessarily corporate oversight by its parent.</w:t>
      </w:r>
      <w:r w:rsidR="0067781D">
        <w:t xml:space="preserve"> </w:t>
      </w:r>
      <w:r w:rsidRPr="00204828">
        <w:t>Parliament does not speak in vain; it would not have added an arm’s length requireme</w:t>
      </w:r>
      <w:r w:rsidR="001A2897">
        <w:t>nt if it could never be met.</w:t>
      </w:r>
    </w:p>
    <w:p w:rsidR="00204828" w:rsidRPr="00204828" w:rsidRDefault="00204828" w:rsidP="001A2897">
      <w:pPr>
        <w:pStyle w:val="SCCNormalDoubleSpacing"/>
        <w:spacing w:after="480"/>
      </w:pPr>
      <w:r w:rsidRPr="00204828">
        <w:tab/>
        <w:t>Once corporate oversight and the capital investments received by Glenhuron are excluded, only Glenhuron’s investment activities remain part of the business that is relevant for the application of the arm’s length requir</w:t>
      </w:r>
      <w:r w:rsidR="00796EAA">
        <w:t>ement.</w:t>
      </w:r>
      <w:r w:rsidR="0067781D">
        <w:t xml:space="preserve"> </w:t>
      </w:r>
      <w:r w:rsidRPr="00204828">
        <w:t>The most lucrative of those activities undertaken by Glenhuron were conducted at arm’s length, amounting to at least 86 percent of its inc</w:t>
      </w:r>
      <w:r w:rsidR="001A2897">
        <w:t>ome during the years in issue.</w:t>
      </w:r>
      <w:r w:rsidR="00796EAA">
        <w:t xml:space="preserve"> </w:t>
      </w:r>
      <w:r w:rsidR="001A2897">
        <w:t>On the non</w:t>
      </w:r>
      <w:r w:rsidR="001A2897">
        <w:noBreakHyphen/>
      </w:r>
      <w:r w:rsidRPr="00204828">
        <w:t>arm’s length,</w:t>
      </w:r>
      <w:r w:rsidR="009F57BA">
        <w:t xml:space="preserve"> </w:t>
      </w:r>
      <w:r w:rsidRPr="00204828">
        <w:t>Glenhuron’s combined activities</w:t>
      </w:r>
      <w:r w:rsidR="0067781D">
        <w:t xml:space="preserve"> </w:t>
      </w:r>
      <w:r w:rsidRPr="00204828">
        <w:t>do not reac</w:t>
      </w:r>
      <w:r w:rsidR="001A2897">
        <w:t>h the “principally” threshold.</w:t>
      </w:r>
      <w:r w:rsidR="00796EAA">
        <w:t xml:space="preserve"> </w:t>
      </w:r>
      <w:r w:rsidRPr="00204828">
        <w:t xml:space="preserve">The arm’s length requirement was therefore </w:t>
      </w:r>
      <w:r w:rsidR="001A2897">
        <w:t>met during the years in issue.</w:t>
      </w:r>
    </w:p>
    <w:p w:rsidR="007E1C47" w:rsidRDefault="002E6705" w:rsidP="00204828">
      <w:pPr>
        <w:pStyle w:val="SCCNormalDoubleSpacing"/>
        <w:spacing w:after="720" w:line="240" w:lineRule="auto"/>
        <w:rPr>
          <w:b/>
        </w:rPr>
      </w:pPr>
      <w:r w:rsidRPr="00314E01">
        <w:rPr>
          <w:b/>
        </w:rPr>
        <w:t>Cases Cited</w:t>
      </w:r>
    </w:p>
    <w:p w:rsidR="004E2C26" w:rsidRPr="007E1C47" w:rsidRDefault="002E6705" w:rsidP="00B31B20">
      <w:pPr>
        <w:pStyle w:val="SCCNormalDoubleSpacing"/>
        <w:widowControl w:val="0"/>
        <w:spacing w:after="480"/>
      </w:pPr>
      <w:r>
        <w:tab/>
      </w:r>
      <w:r w:rsidRPr="00314E01">
        <w:rPr>
          <w:b/>
        </w:rPr>
        <w:t>Referred to:</w:t>
      </w:r>
      <w:r w:rsidR="00BD0E9E" w:rsidRPr="00BD0E9E">
        <w:t xml:space="preserve"> </w:t>
      </w:r>
      <w:r w:rsidR="00652469" w:rsidRPr="00DF70FB">
        <w:rPr>
          <w:i/>
          <w:lang w:eastAsia="fr-CA"/>
        </w:rPr>
        <w:t>Inland Revenue</w:t>
      </w:r>
      <w:r w:rsidR="00652469" w:rsidRPr="00ED0E12">
        <w:rPr>
          <w:i/>
          <w:lang w:eastAsia="fr-CA"/>
        </w:rPr>
        <w:t xml:space="preserve"> </w:t>
      </w:r>
      <w:r w:rsidR="00652469" w:rsidRPr="00DF70FB">
        <w:rPr>
          <w:i/>
          <w:lang w:eastAsia="fr-CA"/>
        </w:rPr>
        <w:t>Commissioners v. Westminster</w:t>
      </w:r>
      <w:r w:rsidR="00652469">
        <w:rPr>
          <w:i/>
          <w:lang w:eastAsia="fr-CA"/>
        </w:rPr>
        <w:t xml:space="preserve"> (</w:t>
      </w:r>
      <w:r w:rsidR="00652469" w:rsidRPr="00DF70FB">
        <w:rPr>
          <w:i/>
          <w:lang w:eastAsia="fr-CA"/>
        </w:rPr>
        <w:t>Duke of</w:t>
      </w:r>
      <w:r w:rsidR="00652469">
        <w:rPr>
          <w:i/>
          <w:lang w:eastAsia="fr-CA"/>
        </w:rPr>
        <w:t>)</w:t>
      </w:r>
      <w:r w:rsidR="00652469" w:rsidRPr="00DF70FB">
        <w:rPr>
          <w:lang w:eastAsia="fr-CA"/>
        </w:rPr>
        <w:t>, [1936] A.C. 1</w:t>
      </w:r>
      <w:r w:rsidR="00652469">
        <w:rPr>
          <w:lang w:eastAsia="fr-CA"/>
        </w:rPr>
        <w:t xml:space="preserve">; </w:t>
      </w:r>
      <w:r w:rsidR="00CC6DEE" w:rsidRPr="00DF70FB">
        <w:rPr>
          <w:bCs/>
          <w:i/>
        </w:rPr>
        <w:t>Canadian Pioneer Management Ltd. v. Labour Relations Board of Saskatchewan</w:t>
      </w:r>
      <w:r w:rsidR="00CC6DEE" w:rsidRPr="00DF70FB">
        <w:rPr>
          <w:bCs/>
        </w:rPr>
        <w:t>, [1980] 1 S.C.R. 433</w:t>
      </w:r>
      <w:r w:rsidR="00CC6DEE">
        <w:rPr>
          <w:bCs/>
        </w:rPr>
        <w:t xml:space="preserve">; </w:t>
      </w:r>
      <w:r w:rsidR="00CC6DEE" w:rsidRPr="00DF70FB">
        <w:rPr>
          <w:i/>
        </w:rPr>
        <w:t xml:space="preserve">Smith v. Anderson </w:t>
      </w:r>
      <w:r w:rsidR="00CC6DEE" w:rsidRPr="00DF70FB">
        <w:t>(1880), 15 Ch. D. 247</w:t>
      </w:r>
      <w:r w:rsidR="00CC6DEE">
        <w:t>;</w:t>
      </w:r>
      <w:r w:rsidR="00CC6DEE">
        <w:rPr>
          <w:bCs/>
        </w:rPr>
        <w:t xml:space="preserve"> </w:t>
      </w:r>
      <w:r w:rsidR="00217EB7" w:rsidRPr="00DF70FB">
        <w:rPr>
          <w:i/>
          <w:iCs/>
        </w:rPr>
        <w:t>Bennett &amp; White</w:t>
      </w:r>
      <w:r w:rsidR="00B31B20">
        <w:t xml:space="preserve"> </w:t>
      </w:r>
      <w:r w:rsidR="00217EB7" w:rsidRPr="00DF70FB">
        <w:rPr>
          <w:i/>
          <w:iCs/>
        </w:rPr>
        <w:t>Construction Co. v. Minister of National Revenue</w:t>
      </w:r>
      <w:r w:rsidR="00217EB7" w:rsidRPr="00DF70FB">
        <w:t>, [1949] S.C.R. 287</w:t>
      </w:r>
      <w:r w:rsidR="00D75497">
        <w:t xml:space="preserve">; </w:t>
      </w:r>
      <w:r w:rsidR="00AE3195">
        <w:rPr>
          <w:i/>
        </w:rPr>
        <w:t xml:space="preserve">CIT </w:t>
      </w:r>
      <w:r w:rsidR="00692759" w:rsidRPr="00DF70FB">
        <w:rPr>
          <w:i/>
        </w:rPr>
        <w:t>Group Securities (Canada) Inc. v. The Queen</w:t>
      </w:r>
      <w:r w:rsidR="00692759" w:rsidRPr="00DF70FB">
        <w:t xml:space="preserve">, 2016 TCC 163, </w:t>
      </w:r>
      <w:r w:rsidR="00692759">
        <w:t xml:space="preserve">[2016] 6 C.T.C. 2013; </w:t>
      </w:r>
      <w:r w:rsidR="007D26FE" w:rsidRPr="00DF70FB">
        <w:rPr>
          <w:i/>
          <w:lang w:bidi="en-US"/>
        </w:rPr>
        <w:t>Housen v. Nikolaisen</w:t>
      </w:r>
      <w:r w:rsidR="007D26FE" w:rsidRPr="00DF70FB">
        <w:rPr>
          <w:lang w:bidi="en-US"/>
        </w:rPr>
        <w:t>, 2002 SCC 33</w:t>
      </w:r>
      <w:r w:rsidR="007D26FE">
        <w:rPr>
          <w:lang w:bidi="en-US"/>
        </w:rPr>
        <w:t xml:space="preserve">, [2002] 2 S.C.R. 235; </w:t>
      </w:r>
      <w:r w:rsidR="007D26FE" w:rsidRPr="00DF70FB">
        <w:rPr>
          <w:i/>
          <w:iCs/>
        </w:rPr>
        <w:t>Michel v. Graydon</w:t>
      </w:r>
      <w:r w:rsidR="007D26FE" w:rsidRPr="00DF70FB">
        <w:t>, 2020 SCC 24</w:t>
      </w:r>
      <w:r w:rsidR="007D26FE">
        <w:t xml:space="preserve">; </w:t>
      </w:r>
      <w:r w:rsidR="00D6670D" w:rsidRPr="00DF70FB">
        <w:rPr>
          <w:i/>
          <w:iCs/>
        </w:rPr>
        <w:t>Canada Trustco Mortgage Co. v. Canada</w:t>
      </w:r>
      <w:r w:rsidR="00D6670D" w:rsidRPr="00DF70FB">
        <w:t xml:space="preserve">, 2005 SCC 54, </w:t>
      </w:r>
      <w:r w:rsidR="00D6670D">
        <w:t xml:space="preserve">[2005] 2 S.C.R. 601; </w:t>
      </w:r>
      <w:r w:rsidR="005D315E" w:rsidRPr="00DF70FB">
        <w:rPr>
          <w:i/>
        </w:rPr>
        <w:t>Placer Dome Canada</w:t>
      </w:r>
      <w:r w:rsidR="005D315E">
        <w:rPr>
          <w:i/>
        </w:rPr>
        <w:t xml:space="preserve"> Ltd.</w:t>
      </w:r>
      <w:r w:rsidR="005D315E" w:rsidRPr="00DF70FB">
        <w:rPr>
          <w:i/>
        </w:rPr>
        <w:t xml:space="preserve"> v. Ontario</w:t>
      </w:r>
      <w:r w:rsidR="005D315E">
        <w:rPr>
          <w:i/>
        </w:rPr>
        <w:t xml:space="preserve"> (Minister of Finance)</w:t>
      </w:r>
      <w:r w:rsidR="005D315E" w:rsidRPr="00DF70FB">
        <w:t>, 2006 SCC 20,</w:t>
      </w:r>
      <w:r w:rsidR="005D315E">
        <w:t xml:space="preserve"> [2006] 1 S.C.R. 715; </w:t>
      </w:r>
      <w:r w:rsidR="005728BE" w:rsidRPr="00DF70FB">
        <w:rPr>
          <w:bCs/>
          <w:i/>
          <w:szCs w:val="24"/>
          <w:lang w:bidi="en-US"/>
        </w:rPr>
        <w:t>Tip Top Tailors</w:t>
      </w:r>
      <w:r w:rsidR="00642022">
        <w:rPr>
          <w:bCs/>
          <w:i/>
          <w:szCs w:val="24"/>
          <w:lang w:bidi="en-US"/>
        </w:rPr>
        <w:t xml:space="preserve"> Ltd.</w:t>
      </w:r>
      <w:r w:rsidR="005728BE" w:rsidRPr="00DF70FB">
        <w:rPr>
          <w:bCs/>
          <w:i/>
          <w:szCs w:val="24"/>
          <w:lang w:bidi="en-US"/>
        </w:rPr>
        <w:t xml:space="preserve"> v. Minister of National Revenue</w:t>
      </w:r>
      <w:r w:rsidR="005728BE" w:rsidRPr="00DF70FB">
        <w:rPr>
          <w:bCs/>
          <w:szCs w:val="24"/>
          <w:lang w:bidi="en-US"/>
        </w:rPr>
        <w:t>, [1957] S.C.R. 703</w:t>
      </w:r>
      <w:r w:rsidR="005728BE">
        <w:rPr>
          <w:bCs/>
          <w:szCs w:val="24"/>
          <w:lang w:bidi="en-US"/>
        </w:rPr>
        <w:t xml:space="preserve">; </w:t>
      </w:r>
      <w:r w:rsidR="00E76B65" w:rsidRPr="00DF70FB">
        <w:rPr>
          <w:i/>
          <w:iCs/>
        </w:rPr>
        <w:t>Montreal Coke and M</w:t>
      </w:r>
      <w:r w:rsidR="00E76B65">
        <w:rPr>
          <w:i/>
          <w:iCs/>
        </w:rPr>
        <w:t>anufacturing Co.</w:t>
      </w:r>
      <w:r w:rsidR="00E76B65" w:rsidRPr="00DF70FB">
        <w:rPr>
          <w:i/>
          <w:iCs/>
        </w:rPr>
        <w:t xml:space="preserve"> </w:t>
      </w:r>
      <w:r w:rsidR="00E76B65" w:rsidRPr="001C47D8">
        <w:rPr>
          <w:i/>
        </w:rPr>
        <w:t>v.</w:t>
      </w:r>
      <w:r w:rsidR="00E76B65" w:rsidRPr="00DF70FB">
        <w:t xml:space="preserve"> </w:t>
      </w:r>
      <w:r w:rsidR="00E76B65" w:rsidRPr="00DF70FB">
        <w:rPr>
          <w:i/>
          <w:iCs/>
        </w:rPr>
        <w:t>Minister of National Revenue</w:t>
      </w:r>
      <w:r w:rsidR="00E76B65" w:rsidRPr="00DF70FB">
        <w:rPr>
          <w:iCs/>
        </w:rPr>
        <w:t xml:space="preserve">, </w:t>
      </w:r>
      <w:r w:rsidR="00C15C98">
        <w:rPr>
          <w:iCs/>
        </w:rPr>
        <w:t>[1944] A.C.</w:t>
      </w:r>
      <w:r w:rsidR="00E76B65">
        <w:rPr>
          <w:iCs/>
        </w:rPr>
        <w:t xml:space="preserve"> 126; </w:t>
      </w:r>
      <w:r w:rsidR="00C82A7F" w:rsidRPr="00DF70FB">
        <w:rPr>
          <w:i/>
        </w:rPr>
        <w:t>R. v. Ulybel Enterprises Ltd.</w:t>
      </w:r>
      <w:r w:rsidR="00C82A7F" w:rsidRPr="00DF70FB">
        <w:t>, 2001 SCC 56, [2001] 2 S.C.R. 867</w:t>
      </w:r>
      <w:r w:rsidR="00C82A7F">
        <w:t xml:space="preserve">; </w:t>
      </w:r>
      <w:r w:rsidR="00E15B56" w:rsidRPr="00DF70FB">
        <w:rPr>
          <w:i/>
        </w:rPr>
        <w:t>R. v. Cole</w:t>
      </w:r>
      <w:r w:rsidR="00E15B56" w:rsidRPr="00DF70FB">
        <w:t xml:space="preserve">, 2012 </w:t>
      </w:r>
      <w:r w:rsidR="00E15B56" w:rsidRPr="00DF70FB">
        <w:lastRenderedPageBreak/>
        <w:t>SCC 53,</w:t>
      </w:r>
      <w:r w:rsidR="00E15B56">
        <w:t xml:space="preserve"> [2012] 3 S.C.R. 34</w:t>
      </w:r>
      <w:r w:rsidR="00E15B56" w:rsidRPr="00DF70FB">
        <w:t xml:space="preserve">; </w:t>
      </w:r>
      <w:r w:rsidR="00E15B56" w:rsidRPr="00DF70FB">
        <w:rPr>
          <w:i/>
        </w:rPr>
        <w:t>R. v. Vu</w:t>
      </w:r>
      <w:r w:rsidR="00E15B56" w:rsidRPr="00DF70FB">
        <w:t xml:space="preserve">, 2013 SCC 60, </w:t>
      </w:r>
      <w:r w:rsidR="00E15B56">
        <w:t>[2013] 3 S.C.R. 657</w:t>
      </w:r>
      <w:r w:rsidR="00E15B56" w:rsidRPr="00DF70FB">
        <w:t xml:space="preserve">; </w:t>
      </w:r>
      <w:r w:rsidR="00E15B56" w:rsidRPr="00DF70FB">
        <w:rPr>
          <w:i/>
        </w:rPr>
        <w:t>R. v. Friesen</w:t>
      </w:r>
      <w:r w:rsidR="00E15B56" w:rsidRPr="00DF70FB">
        <w:t>, 2020 SCC 9</w:t>
      </w:r>
      <w:r w:rsidR="00ED31D8">
        <w:t>.</w:t>
      </w:r>
    </w:p>
    <w:p w:rsidR="003B215F" w:rsidRDefault="002E6705" w:rsidP="00B31B20">
      <w:pPr>
        <w:pStyle w:val="SCCNormalDoubleSpacing"/>
        <w:spacing w:after="720" w:line="240" w:lineRule="auto"/>
      </w:pPr>
      <w:r w:rsidRPr="00314E01">
        <w:rPr>
          <w:b/>
        </w:rPr>
        <w:t>Statutes and Regulations Cite</w:t>
      </w:r>
      <w:r w:rsidR="00A41805">
        <w:rPr>
          <w:b/>
        </w:rPr>
        <w:t>d</w:t>
      </w:r>
    </w:p>
    <w:p w:rsidR="00A149DF" w:rsidRDefault="00A61048" w:rsidP="00B31B20">
      <w:pPr>
        <w:pStyle w:val="SCCNormalDoubleSpacing"/>
        <w:spacing w:after="240" w:line="240" w:lineRule="auto"/>
        <w:ind w:left="547" w:hanging="547"/>
      </w:pPr>
      <w:r w:rsidRPr="00A61048">
        <w:rPr>
          <w:i/>
        </w:rPr>
        <w:t>Income Tax Act</w:t>
      </w:r>
      <w:r>
        <w:t>, R.S.C. 1985, c. 1 (5th Supp.</w:t>
      </w:r>
      <w:r w:rsidRPr="00A61048">
        <w:t>)</w:t>
      </w:r>
      <w:r>
        <w:t>, ss. </w:t>
      </w:r>
      <w:r w:rsidR="002046EB">
        <w:t xml:space="preserve">91(1), (4), (5), </w:t>
      </w:r>
      <w:r w:rsidR="00ED1FF1">
        <w:t xml:space="preserve">95(1) </w:t>
      </w:r>
      <w:r w:rsidR="001166A9">
        <w:t>“</w:t>
      </w:r>
      <w:r w:rsidR="001166A9" w:rsidRPr="001461A8">
        <w:t>controlled foreign affiliate</w:t>
      </w:r>
      <w:r w:rsidR="001166A9">
        <w:t>”,</w:t>
      </w:r>
      <w:r w:rsidR="001166A9" w:rsidRPr="00DF70FB">
        <w:t xml:space="preserve"> </w:t>
      </w:r>
      <w:r w:rsidR="006001B6" w:rsidRPr="00DF70FB">
        <w:t>“</w:t>
      </w:r>
      <w:r w:rsidR="006001B6" w:rsidRPr="001461A8">
        <w:t>foreign accrual property income</w:t>
      </w:r>
      <w:r w:rsidR="006001B6" w:rsidRPr="00DF70FB">
        <w:t>”</w:t>
      </w:r>
      <w:r w:rsidR="006001B6">
        <w:t xml:space="preserve">, </w:t>
      </w:r>
      <w:r w:rsidR="001166A9">
        <w:t>“</w:t>
      </w:r>
      <w:r w:rsidR="001166A9" w:rsidRPr="001461A8">
        <w:t>foreign affiliate</w:t>
      </w:r>
      <w:r w:rsidR="001166A9">
        <w:t>”,</w:t>
      </w:r>
      <w:r w:rsidR="001166A9" w:rsidRPr="00DF70FB">
        <w:t xml:space="preserve"> </w:t>
      </w:r>
      <w:r w:rsidR="00381032" w:rsidRPr="00DF70FB">
        <w:t>“</w:t>
      </w:r>
      <w:r w:rsidR="00381032" w:rsidRPr="001461A8">
        <w:t>income from an active business</w:t>
      </w:r>
      <w:r w:rsidR="00381032" w:rsidRPr="00DF70FB">
        <w:t>”</w:t>
      </w:r>
      <w:r w:rsidR="00381032">
        <w:t>,</w:t>
      </w:r>
      <w:r w:rsidR="00381032" w:rsidRPr="00DF70FB">
        <w:t xml:space="preserve"> </w:t>
      </w:r>
      <w:r w:rsidR="00507274" w:rsidRPr="00DF70FB">
        <w:t>“</w:t>
      </w:r>
      <w:r w:rsidR="00507274" w:rsidRPr="001461A8">
        <w:t>income from property</w:t>
      </w:r>
      <w:r w:rsidR="00507274" w:rsidRPr="00DF70FB">
        <w:t>”</w:t>
      </w:r>
      <w:r w:rsidR="00507274">
        <w:t>,</w:t>
      </w:r>
      <w:r w:rsidR="00507274" w:rsidRPr="00DF70FB">
        <w:t xml:space="preserve"> </w:t>
      </w:r>
      <w:r w:rsidR="00ED1FF1" w:rsidRPr="00DF70FB">
        <w:t>“</w:t>
      </w:r>
      <w:r w:rsidR="00ED1FF1" w:rsidRPr="00AD382C">
        <w:t>investment business</w:t>
      </w:r>
      <w:r w:rsidR="00ED1FF1" w:rsidRPr="00DF70FB">
        <w:t>”</w:t>
      </w:r>
      <w:r w:rsidR="00ED1FF1">
        <w:t>,</w:t>
      </w:r>
      <w:r w:rsidR="009322C4">
        <w:t xml:space="preserve"> </w:t>
      </w:r>
      <w:r w:rsidR="00C018C7">
        <w:t>(2),</w:t>
      </w:r>
      <w:r w:rsidR="00ED1FF1">
        <w:t xml:space="preserve"> </w:t>
      </w:r>
      <w:r w:rsidR="00706C0C">
        <w:t xml:space="preserve">(2.11), </w:t>
      </w:r>
      <w:r w:rsidR="00CB34C1">
        <w:t xml:space="preserve">(2.4)(b), </w:t>
      </w:r>
      <w:r w:rsidR="00706C0C">
        <w:t xml:space="preserve">(3), </w:t>
      </w:r>
      <w:r w:rsidR="00AD382C" w:rsidRPr="00DF70FB">
        <w:t>248(1) “</w:t>
      </w:r>
      <w:r w:rsidR="00AD382C" w:rsidRPr="001461A8">
        <w:t>business</w:t>
      </w:r>
      <w:r w:rsidR="00AD382C" w:rsidRPr="00DF70FB">
        <w:t>”</w:t>
      </w:r>
      <w:r w:rsidR="006D3686">
        <w:t>.</w:t>
      </w:r>
    </w:p>
    <w:p w:rsidR="008F18B1" w:rsidRDefault="008F18B1" w:rsidP="00B31B20">
      <w:pPr>
        <w:pStyle w:val="SCCNormalDoubleSpacing"/>
        <w:spacing w:after="240" w:line="240" w:lineRule="auto"/>
        <w:ind w:left="547" w:hanging="547"/>
      </w:pPr>
      <w:r w:rsidRPr="00DF70FB">
        <w:rPr>
          <w:i/>
        </w:rPr>
        <w:t>International Financial Services Act</w:t>
      </w:r>
      <w:r w:rsidRPr="00DF70FB">
        <w:t xml:space="preserve">, </w:t>
      </w:r>
      <w:r>
        <w:t>L.R.O. 2007, c.</w:t>
      </w:r>
      <w:r w:rsidRPr="00DF70FB">
        <w:t> 325</w:t>
      </w:r>
      <w:r w:rsidR="006D3686">
        <w:t>, s. 4(2)</w:t>
      </w:r>
      <w:r w:rsidR="00CB34C1">
        <w:t xml:space="preserve"> “international banking business”</w:t>
      </w:r>
      <w:r w:rsidR="006D3686">
        <w:t>.</w:t>
      </w:r>
    </w:p>
    <w:p w:rsidR="008F18B1" w:rsidRDefault="00B31B20" w:rsidP="00B31B20">
      <w:pPr>
        <w:pStyle w:val="SCCNormalDoubleSpacing"/>
        <w:spacing w:after="720" w:line="240" w:lineRule="auto"/>
        <w:ind w:left="547" w:hanging="547"/>
      </w:pPr>
      <w:r>
        <w:rPr>
          <w:i/>
        </w:rPr>
        <w:t>Off</w:t>
      </w:r>
      <w:r>
        <w:rPr>
          <w:i/>
        </w:rPr>
        <w:noBreakHyphen/>
      </w:r>
      <w:r w:rsidR="008F18B1" w:rsidRPr="00DF70FB">
        <w:rPr>
          <w:i/>
        </w:rPr>
        <w:t>shore Banking Act</w:t>
      </w:r>
      <w:r w:rsidR="008F18B1" w:rsidRPr="00DF70FB">
        <w:t xml:space="preserve">, </w:t>
      </w:r>
      <w:r w:rsidR="008F18B1">
        <w:t>L.R.O. 1985, c. </w:t>
      </w:r>
      <w:r w:rsidR="008F18B1" w:rsidRPr="00DF70FB">
        <w:t>325</w:t>
      </w:r>
      <w:r w:rsidR="003D7B44">
        <w:t>, s. 4</w:t>
      </w:r>
      <w:r w:rsidR="006D3686">
        <w:t>.</w:t>
      </w:r>
    </w:p>
    <w:p w:rsidR="002E6705" w:rsidRDefault="002E6705" w:rsidP="00B31B20">
      <w:pPr>
        <w:pStyle w:val="SCCNormalDoubleSpacing"/>
        <w:spacing w:after="720" w:line="240" w:lineRule="auto"/>
        <w:rPr>
          <w:b/>
        </w:rPr>
      </w:pPr>
      <w:r w:rsidRPr="00314E01">
        <w:rPr>
          <w:b/>
        </w:rPr>
        <w:t>Authors Cited</w:t>
      </w:r>
    </w:p>
    <w:p w:rsidR="00467964" w:rsidRPr="00AA5361" w:rsidRDefault="00AA5361" w:rsidP="00B31B20">
      <w:pPr>
        <w:pStyle w:val="SCCNormalDoubleSpacing"/>
        <w:spacing w:after="240" w:line="240" w:lineRule="auto"/>
        <w:ind w:left="540" w:hanging="540"/>
      </w:pPr>
      <w:r>
        <w:t>Benson, E. </w:t>
      </w:r>
      <w:r w:rsidRPr="00AA5361">
        <w:t>J. </w:t>
      </w:r>
      <w:r w:rsidR="00247EF3">
        <w:rPr>
          <w:i/>
          <w:iCs/>
        </w:rPr>
        <w:t>Proposals for Tax</w:t>
      </w:r>
      <w:r w:rsidRPr="00AA5361">
        <w:rPr>
          <w:i/>
          <w:iCs/>
        </w:rPr>
        <w:t xml:space="preserve"> Reform</w:t>
      </w:r>
      <w:r w:rsidRPr="00AA5361">
        <w:t>. Ottawa: Queen</w:t>
      </w:r>
      <w:r w:rsidR="006C3533">
        <w:t>’</w:t>
      </w:r>
      <w:r w:rsidRPr="00AA5361">
        <w:t>s Printer, 1969.</w:t>
      </w:r>
    </w:p>
    <w:p w:rsidR="009372C7" w:rsidRPr="009372C7" w:rsidRDefault="009372C7" w:rsidP="00B31B20">
      <w:pPr>
        <w:pStyle w:val="SCCNormalDoubleSpacing"/>
        <w:spacing w:after="240" w:line="240" w:lineRule="auto"/>
        <w:ind w:left="540" w:hanging="540"/>
      </w:pPr>
      <w:r w:rsidRPr="00724ED4">
        <w:t>Canada. Department of Finance.</w:t>
      </w:r>
      <w:r>
        <w:t xml:space="preserve"> </w:t>
      </w:r>
      <w:r w:rsidR="002177A3">
        <w:rPr>
          <w:i/>
        </w:rPr>
        <w:t>Special Report —</w:t>
      </w:r>
      <w:r>
        <w:rPr>
          <w:i/>
        </w:rPr>
        <w:t xml:space="preserve"> </w:t>
      </w:r>
      <w:r w:rsidRPr="00DF70FB">
        <w:rPr>
          <w:i/>
        </w:rPr>
        <w:t>Revised Draft Legislation and Technical Notes: Foreign Affiliates</w:t>
      </w:r>
      <w:r>
        <w:t>. North York, Ont.: CCH Canadian, 1995.</w:t>
      </w:r>
    </w:p>
    <w:p w:rsidR="00575A7F" w:rsidRDefault="00575A7F" w:rsidP="00B31B20">
      <w:pPr>
        <w:pStyle w:val="SCCNormalDoubleSpacing"/>
        <w:spacing w:after="240" w:line="240" w:lineRule="auto"/>
        <w:ind w:left="540" w:hanging="540"/>
      </w:pPr>
      <w:r w:rsidRPr="00724ED4">
        <w:t xml:space="preserve">Canada. Department of Finance. </w:t>
      </w:r>
      <w:r w:rsidRPr="00CB34C1">
        <w:rPr>
          <w:i/>
        </w:rPr>
        <w:t>Tax Measures: Supplementary Information</w:t>
      </w:r>
      <w:r w:rsidRPr="00724ED4">
        <w:t>. Ottawa, 1994.</w:t>
      </w:r>
    </w:p>
    <w:p w:rsidR="00575A7F" w:rsidRPr="00B31B20" w:rsidRDefault="00575A7F" w:rsidP="00B31B20">
      <w:pPr>
        <w:pStyle w:val="SCCNormalDoubleSpacing"/>
        <w:spacing w:after="240" w:line="240" w:lineRule="auto"/>
        <w:ind w:left="540" w:hanging="540"/>
        <w:rPr>
          <w:lang w:val="en-US"/>
        </w:rPr>
      </w:pPr>
      <w:r>
        <w:t xml:space="preserve">Canada. </w:t>
      </w:r>
      <w:r w:rsidR="00DA10FA" w:rsidRPr="003E45DF">
        <w:t>Office of the Auditor General</w:t>
      </w:r>
      <w:r w:rsidR="00DA10FA">
        <w:t xml:space="preserve">. </w:t>
      </w:r>
      <w:r w:rsidRPr="00DF70FB">
        <w:rPr>
          <w:i/>
          <w:lang w:val="x-none"/>
        </w:rPr>
        <w:t xml:space="preserve">Report of the Auditor General </w:t>
      </w:r>
      <w:r w:rsidRPr="00B31B20">
        <w:rPr>
          <w:i/>
          <w:lang w:val="en-US"/>
        </w:rPr>
        <w:t xml:space="preserve">of Canada </w:t>
      </w:r>
      <w:r w:rsidRPr="00DF70FB">
        <w:rPr>
          <w:i/>
          <w:lang w:val="x-none"/>
        </w:rPr>
        <w:t>to the House of Commons, 1992</w:t>
      </w:r>
      <w:r w:rsidR="00B172CA" w:rsidRPr="00B31B20">
        <w:rPr>
          <w:lang w:val="en-US"/>
        </w:rPr>
        <w:t>. Ottawa,</w:t>
      </w:r>
      <w:r w:rsidRPr="00B31B20">
        <w:rPr>
          <w:i/>
          <w:lang w:val="en-US"/>
        </w:rPr>
        <w:t xml:space="preserve"> </w:t>
      </w:r>
      <w:r w:rsidRPr="00B31B20">
        <w:rPr>
          <w:lang w:val="en-US"/>
        </w:rPr>
        <w:t>1992.</w:t>
      </w:r>
    </w:p>
    <w:p w:rsidR="00467964" w:rsidRPr="00575A7F" w:rsidRDefault="00467964" w:rsidP="00B31B20">
      <w:pPr>
        <w:pStyle w:val="SCCNormalDoubleSpacing"/>
        <w:spacing w:after="240" w:line="240" w:lineRule="auto"/>
        <w:ind w:left="540" w:hanging="540"/>
      </w:pPr>
      <w:r w:rsidRPr="00575A7F">
        <w:t xml:space="preserve">Canada Revenue Agency. </w:t>
      </w:r>
      <w:r w:rsidRPr="00575A7F">
        <w:rPr>
          <w:i/>
        </w:rPr>
        <w:t xml:space="preserve">Foreign </w:t>
      </w:r>
      <w:r w:rsidR="00B31B20">
        <w:rPr>
          <w:i/>
        </w:rPr>
        <w:t xml:space="preserve">affiliates — </w:t>
      </w:r>
      <w:r w:rsidRPr="00575A7F">
        <w:rPr>
          <w:i/>
        </w:rPr>
        <w:t>Investment Business</w:t>
      </w:r>
      <w:r w:rsidR="00B31B20">
        <w:t xml:space="preserve">. Ruling </w:t>
      </w:r>
      <w:r w:rsidR="00AA5361" w:rsidRPr="00575A7F">
        <w:rPr>
          <w:lang w:val="en-US"/>
        </w:rPr>
        <w:t>N</w:t>
      </w:r>
      <w:r w:rsidRPr="00575A7F">
        <w:rPr>
          <w:lang w:val="en-US"/>
        </w:rPr>
        <w:t>o.</w:t>
      </w:r>
      <w:r w:rsidRPr="00575A7F">
        <w:t> 9509775, July 14, 1995.</w:t>
      </w:r>
    </w:p>
    <w:p w:rsidR="004D74C2" w:rsidRDefault="004D74C2" w:rsidP="00B31B20">
      <w:pPr>
        <w:pStyle w:val="SCCNormalDoubleSpacing"/>
        <w:spacing w:after="240" w:line="240" w:lineRule="auto"/>
        <w:ind w:left="540" w:hanging="540"/>
        <w:rPr>
          <w:highlight w:val="green"/>
        </w:rPr>
      </w:pPr>
      <w:r w:rsidRPr="00575A7F">
        <w:t xml:space="preserve">Canada Revenue Agency. </w:t>
      </w:r>
      <w:r w:rsidR="00B31B20">
        <w:rPr>
          <w:i/>
        </w:rPr>
        <w:t xml:space="preserve">Foreign affiliates — </w:t>
      </w:r>
      <w:r w:rsidRPr="00575A7F">
        <w:rPr>
          <w:i/>
        </w:rPr>
        <w:t>Investment Business</w:t>
      </w:r>
      <w:r w:rsidRPr="00575A7F">
        <w:t xml:space="preserve">. </w:t>
      </w:r>
      <w:r w:rsidR="00467964" w:rsidRPr="00575A7F">
        <w:t>Ruling</w:t>
      </w:r>
      <w:r w:rsidR="00B31B20">
        <w:t xml:space="preserve"> </w:t>
      </w:r>
      <w:r w:rsidR="00AA5361" w:rsidRPr="00575A7F">
        <w:t>No. </w:t>
      </w:r>
      <w:r w:rsidR="00B31B20">
        <w:t>2000</w:t>
      </w:r>
      <w:r w:rsidR="00B31B20">
        <w:noBreakHyphen/>
      </w:r>
      <w:r w:rsidRPr="00575A7F">
        <w:t>0006565, Ottawa, June</w:t>
      </w:r>
      <w:r w:rsidR="00B31B20">
        <w:t xml:space="preserve"> </w:t>
      </w:r>
      <w:r>
        <w:t>22, 2000.</w:t>
      </w:r>
    </w:p>
    <w:p w:rsidR="0010651F" w:rsidRDefault="0010651F" w:rsidP="00B31B20">
      <w:pPr>
        <w:pStyle w:val="SCCNormalDoubleSpacing"/>
        <w:spacing w:after="240" w:line="240" w:lineRule="auto"/>
        <w:ind w:left="540" w:hanging="540"/>
      </w:pPr>
      <w:r w:rsidRPr="002042BE">
        <w:rPr>
          <w:i/>
        </w:rPr>
        <w:t>Halsbury’s Laws of Canada: Income Tax (International)</w:t>
      </w:r>
      <w:r w:rsidRPr="002042BE">
        <w:t>, 2019</w:t>
      </w:r>
      <w:r>
        <w:t xml:space="preserve"> Reissue, contributed by </w:t>
      </w:r>
      <w:r w:rsidR="002042BE" w:rsidRPr="0027586E">
        <w:t>Vern Krishna</w:t>
      </w:r>
      <w:r>
        <w:t>. Toronto: LexisNexis, 2019.</w:t>
      </w:r>
    </w:p>
    <w:p w:rsidR="00AD323D" w:rsidRDefault="00AD323D" w:rsidP="00B31B20">
      <w:pPr>
        <w:pStyle w:val="SCCNormalDoubleSpacing"/>
        <w:spacing w:after="240" w:line="240" w:lineRule="auto"/>
        <w:ind w:left="540" w:hanging="540"/>
      </w:pPr>
      <w:r>
        <w:t xml:space="preserve">Holmes, Bill, and Ian Gamble. </w:t>
      </w:r>
      <w:r w:rsidRPr="00DF70FB">
        <w:rPr>
          <w:i/>
        </w:rPr>
        <w:t>The Foreign Affiliate Rules</w:t>
      </w:r>
      <w:r w:rsidR="00402502">
        <w:t>. Toronto: Wolt</w:t>
      </w:r>
      <w:r w:rsidR="00CB34C1">
        <w:t>ers Kluwer</w:t>
      </w:r>
      <w:r>
        <w:t>, 2020.</w:t>
      </w:r>
    </w:p>
    <w:p w:rsidR="00DC2B7D" w:rsidRDefault="00DC200E" w:rsidP="00B31B20">
      <w:pPr>
        <w:pStyle w:val="SCCNormalDoubleSpacing"/>
        <w:spacing w:after="240" w:line="240" w:lineRule="auto"/>
        <w:ind w:left="540" w:hanging="540"/>
      </w:pPr>
      <w:r w:rsidRPr="00DF70FB">
        <w:rPr>
          <w:szCs w:val="24"/>
        </w:rPr>
        <w:lastRenderedPageBreak/>
        <w:t>Krishna, Vern</w:t>
      </w:r>
      <w:r>
        <w:rPr>
          <w:szCs w:val="24"/>
        </w:rPr>
        <w:t>.</w:t>
      </w:r>
      <w:r w:rsidRPr="00DF70FB">
        <w:rPr>
          <w:szCs w:val="24"/>
        </w:rPr>
        <w:t xml:space="preserve"> </w:t>
      </w:r>
      <w:r w:rsidRPr="00DF70FB">
        <w:rPr>
          <w:i/>
          <w:szCs w:val="24"/>
        </w:rPr>
        <w:t>Income Tax Law</w:t>
      </w:r>
      <w:r w:rsidR="00252B5D">
        <w:rPr>
          <w:szCs w:val="24"/>
        </w:rPr>
        <w:t xml:space="preserve">, 2nd </w:t>
      </w:r>
      <w:r>
        <w:rPr>
          <w:szCs w:val="24"/>
        </w:rPr>
        <w:t>ed. Toronto: Irwin Law, 2012.</w:t>
      </w:r>
    </w:p>
    <w:p w:rsidR="00810793" w:rsidRDefault="00810793" w:rsidP="00B31B20">
      <w:pPr>
        <w:pStyle w:val="SCCNormalDoubleSpacing"/>
        <w:spacing w:after="240" w:line="240" w:lineRule="auto"/>
        <w:ind w:left="540" w:hanging="540"/>
      </w:pPr>
      <w:r>
        <w:t>Panteleo, Nick, and Michael Smart. “International Considerations”, in Heather Kerr, Ken McKenzie and Jack Mintz, eds.</w:t>
      </w:r>
      <w:r w:rsidR="002042BE">
        <w:t>,</w:t>
      </w:r>
      <w:r>
        <w:t xml:space="preserve"> </w:t>
      </w:r>
      <w:r>
        <w:rPr>
          <w:i/>
        </w:rPr>
        <w:t>Tax Policy in Canada</w:t>
      </w:r>
      <w:r w:rsidR="006606A2">
        <w:t>.</w:t>
      </w:r>
      <w:r>
        <w:t xml:space="preserve"> Toronto: Canadian Tax Foundation, 2012</w:t>
      </w:r>
      <w:r w:rsidR="00B83D69">
        <w:t>, 12:1</w:t>
      </w:r>
      <w:r>
        <w:t>.</w:t>
      </w:r>
    </w:p>
    <w:p w:rsidR="003559F2" w:rsidRPr="00810793" w:rsidRDefault="003559F2" w:rsidP="00B31B20">
      <w:pPr>
        <w:pStyle w:val="SCCNormalDoubleSpacing"/>
        <w:spacing w:after="720" w:line="240" w:lineRule="auto"/>
        <w:ind w:left="547" w:hanging="547"/>
      </w:pPr>
      <w:r w:rsidRPr="00DF70FB">
        <w:t>Yeung,</w:t>
      </w:r>
      <w:r>
        <w:t xml:space="preserve"> Jayme.</w:t>
      </w:r>
      <w:r w:rsidRPr="00DF70FB">
        <w:t xml:space="preserve"> “Trading or Dealing in Indebtedness Offshore: Paragraph 95(2)(l) Revisited” (2011)</w:t>
      </w:r>
      <w:r>
        <w:t>,</w:t>
      </w:r>
      <w:r w:rsidRPr="00DF70FB">
        <w:t xml:space="preserve"> 59 </w:t>
      </w:r>
      <w:r w:rsidRPr="00DF70FB">
        <w:rPr>
          <w:i/>
        </w:rPr>
        <w:t>Can. Tax J.</w:t>
      </w:r>
      <w:r w:rsidRPr="00DF70FB">
        <w:t xml:space="preserve"> 85</w:t>
      </w:r>
      <w:r>
        <w:t>.</w:t>
      </w:r>
    </w:p>
    <w:p w:rsidR="00656313" w:rsidRDefault="009B57B3" w:rsidP="00B31B20">
      <w:pPr>
        <w:pStyle w:val="SCCNormalDoubleSpacing"/>
        <w:spacing w:after="480"/>
      </w:pPr>
      <w:r w:rsidRPr="001426A9">
        <w:tab/>
        <w:t xml:space="preserve">APPEAL from a judgment of the </w:t>
      </w:r>
      <w:r>
        <w:t>Federal Court of Appeal</w:t>
      </w:r>
      <w:r w:rsidR="00B31B20">
        <w:t xml:space="preserve"> (Woods, Laskin and Mactavish </w:t>
      </w:r>
      <w:r w:rsidR="000A5CE6">
        <w:t xml:space="preserve">JJ.A), </w:t>
      </w:r>
      <w:r w:rsidR="001012F5" w:rsidRPr="00A872B1">
        <w:t>2020 F</w:t>
      </w:r>
      <w:r w:rsidR="000A5CE6" w:rsidRPr="00A872B1">
        <w:t>C</w:t>
      </w:r>
      <w:r w:rsidR="001012F5" w:rsidRPr="00A872B1">
        <w:t>A</w:t>
      </w:r>
      <w:r w:rsidR="000A5CE6" w:rsidRPr="00A872B1">
        <w:t xml:space="preserve"> 79,</w:t>
      </w:r>
      <w:r w:rsidR="008149DB" w:rsidRPr="00A872B1">
        <w:t xml:space="preserve"> [</w:t>
      </w:r>
      <w:r w:rsidR="008149DB">
        <w:t>2020]</w:t>
      </w:r>
      <w:r w:rsidR="00B60963">
        <w:t xml:space="preserve"> 3 F.C.R. 481</w:t>
      </w:r>
      <w:r w:rsidR="008149DB">
        <w:t xml:space="preserve">, </w:t>
      </w:r>
      <w:r w:rsidR="0001617A" w:rsidRPr="00A872B1">
        <w:t>[</w:t>
      </w:r>
      <w:r w:rsidR="0001617A">
        <w:t xml:space="preserve">2020] 4 C.T.C. 1, </w:t>
      </w:r>
      <w:r w:rsidR="00AD0620">
        <w:t>2020 D.T.C. 5040, [2020] F.C.J. No. 511 (QL), 2020 CarswellNat</w:t>
      </w:r>
      <w:r w:rsidR="000A6E52">
        <w:t xml:space="preserve"> 1300</w:t>
      </w:r>
      <w:r w:rsidR="00AD0620">
        <w:t xml:space="preserve"> (WL Can</w:t>
      </w:r>
      <w:r w:rsidR="00AD0620" w:rsidRPr="00A8689A">
        <w:t xml:space="preserve">.), </w:t>
      </w:r>
      <w:r w:rsidR="00C43C46" w:rsidRPr="00A8689A">
        <w:t>set</w:t>
      </w:r>
      <w:r w:rsidR="00ED31D8" w:rsidRPr="00A8689A">
        <w:t xml:space="preserve">ting aside a decision of </w:t>
      </w:r>
      <w:r w:rsidR="00B31B20" w:rsidRPr="00A8689A">
        <w:t xml:space="preserve">Miller </w:t>
      </w:r>
      <w:r w:rsidR="00C43C46" w:rsidRPr="00A8689A">
        <w:t xml:space="preserve">J., 2018 TCC 182, [2019] 2 C.T.C. 2001, 2018 D.T.C. 1128, [2018] T.C.J. No. 136 (QL), 2018 CarswellNat 5099 (WL Can.). </w:t>
      </w:r>
      <w:r w:rsidR="0001617A" w:rsidRPr="00A8689A">
        <w:t>Appeal dismissed.</w:t>
      </w:r>
    </w:p>
    <w:p w:rsidR="00127B49" w:rsidRDefault="00B31B20" w:rsidP="00B31B20">
      <w:pPr>
        <w:pStyle w:val="SCCNormalDoubleSpacing"/>
        <w:spacing w:after="480"/>
      </w:pPr>
      <w:r>
        <w:rPr>
          <w:rStyle w:val="SCCCounselNameChar"/>
        </w:rPr>
        <w:tab/>
        <w:t xml:space="preserve">Eric </w:t>
      </w:r>
      <w:r w:rsidR="008F4304">
        <w:rPr>
          <w:rStyle w:val="SCCCounselNameChar"/>
        </w:rPr>
        <w:t>A. Noble</w:t>
      </w:r>
      <w:r w:rsidR="00EA085F">
        <w:rPr>
          <w:rStyle w:val="SCCCounselNameChar"/>
        </w:rPr>
        <w:t xml:space="preserve"> </w:t>
      </w:r>
      <w:r w:rsidR="00EA085F">
        <w:rPr>
          <w:rStyle w:val="SCCCounselSeparatorChar"/>
        </w:rPr>
        <w:t xml:space="preserve">and </w:t>
      </w:r>
      <w:r w:rsidR="00EA085F">
        <w:rPr>
          <w:rStyle w:val="SCCCounselNameChar"/>
        </w:rPr>
        <w:t>Elizabeth Chasson</w:t>
      </w:r>
      <w:r w:rsidR="00EA085F">
        <w:rPr>
          <w:rStyle w:val="SCCCounselPartyRoleChar"/>
        </w:rPr>
        <w:t>, for the appellant.</w:t>
      </w:r>
    </w:p>
    <w:p w:rsidR="00127B49" w:rsidRDefault="004B20C7" w:rsidP="00B31B20">
      <w:pPr>
        <w:pStyle w:val="SCCNormalDoubleSpacing"/>
        <w:spacing w:after="480"/>
      </w:pPr>
      <w:r>
        <w:rPr>
          <w:rStyle w:val="SCCCounselNameChar"/>
        </w:rPr>
        <w:tab/>
        <w:t>Al Meghji</w:t>
      </w:r>
      <w:r w:rsidR="00EA085F">
        <w:rPr>
          <w:rStyle w:val="SCCCounselNameChar"/>
        </w:rPr>
        <w:t xml:space="preserve"> </w:t>
      </w:r>
      <w:r w:rsidRPr="00B22257">
        <w:rPr>
          <w:rStyle w:val="SCCCounselNameChar"/>
          <w:i w:val="0"/>
        </w:rPr>
        <w:t>and</w:t>
      </w:r>
      <w:r>
        <w:rPr>
          <w:rStyle w:val="SCCCounselNameChar"/>
        </w:rPr>
        <w:t xml:space="preserve"> Pooja Mihailovich</w:t>
      </w:r>
      <w:r w:rsidR="00EA085F">
        <w:rPr>
          <w:rStyle w:val="SCCCounselPartyRoleChar"/>
        </w:rPr>
        <w:t>, for the respondent.</w:t>
      </w:r>
    </w:p>
    <w:p w:rsidR="00127B49" w:rsidRDefault="00B31B20" w:rsidP="00B31B20">
      <w:pPr>
        <w:pStyle w:val="SCCNormalDoubleSpacing"/>
        <w:spacing w:after="480"/>
        <w:rPr>
          <w:rStyle w:val="SCCCounselPartyRoleChar"/>
        </w:rPr>
      </w:pPr>
      <w:r>
        <w:rPr>
          <w:rStyle w:val="SCCCounselNameChar"/>
        </w:rPr>
        <w:tab/>
      </w:r>
      <w:r w:rsidR="00EA085F">
        <w:rPr>
          <w:rStyle w:val="SCCCounselNameChar"/>
        </w:rPr>
        <w:t>Baaba Forson</w:t>
      </w:r>
      <w:r w:rsidR="00EA085F">
        <w:rPr>
          <w:rStyle w:val="SCCCounselPartyRoleChar"/>
        </w:rPr>
        <w:t xml:space="preserve">, for the intervener </w:t>
      </w:r>
      <w:r w:rsidR="00F9768F">
        <w:rPr>
          <w:rStyle w:val="SCCCounselPartyRoleChar"/>
        </w:rPr>
        <w:t xml:space="preserve">the </w:t>
      </w:r>
      <w:r w:rsidR="00EA085F">
        <w:rPr>
          <w:rStyle w:val="SCCCounselPartyRoleChar"/>
        </w:rPr>
        <w:t>Attorney General of Ontario.</w:t>
      </w:r>
    </w:p>
    <w:p w:rsidR="009E31D4" w:rsidRDefault="00796EAA" w:rsidP="009E31D4">
      <w:pPr>
        <w:pStyle w:val="SCCNormalDoubleSpacing"/>
        <w:spacing w:after="480"/>
        <w:rPr>
          <w:rStyle w:val="SCCCounselPartyRoleChar"/>
        </w:rPr>
      </w:pPr>
      <w:r>
        <w:rPr>
          <w:rStyle w:val="SCCCounselNameChar"/>
        </w:rPr>
        <w:tab/>
        <w:t xml:space="preserve">Matthew </w:t>
      </w:r>
      <w:r w:rsidR="009F57BA">
        <w:rPr>
          <w:rStyle w:val="SCCCounselNameChar"/>
        </w:rPr>
        <w:t xml:space="preserve">G. </w:t>
      </w:r>
      <w:r w:rsidR="009E31D4">
        <w:rPr>
          <w:rStyle w:val="SCCCounselNameChar"/>
        </w:rPr>
        <w:t>Williams</w:t>
      </w:r>
      <w:r w:rsidR="009E31D4">
        <w:rPr>
          <w:rStyle w:val="SCCCounselPartyRoleChar"/>
        </w:rPr>
        <w:t>, for the intervener the Canadian Bankers’ Association.</w:t>
      </w:r>
    </w:p>
    <w:p w:rsidR="007A59F1" w:rsidRDefault="007A59F1" w:rsidP="009E31D4">
      <w:pPr>
        <w:pStyle w:val="SCCNormalDoubleSpacing"/>
        <w:spacing w:after="480"/>
        <w:rPr>
          <w:rStyle w:val="SCCCounselPartyRoleChar"/>
        </w:rPr>
      </w:pPr>
    </w:p>
    <w:p w:rsidR="007A59F1" w:rsidRDefault="007A59F1" w:rsidP="007A59F1">
      <w:pPr>
        <w:rPr>
          <w:color w:val="000000"/>
          <w:szCs w:val="24"/>
          <w:lang w:val="en-US" w:eastAsia="fr-CA"/>
        </w:rPr>
      </w:pPr>
      <w:r w:rsidRPr="001E2097">
        <w:rPr>
          <w:color w:val="000000"/>
          <w:szCs w:val="24"/>
          <w:lang w:val="en-US" w:eastAsia="fr-CA"/>
        </w:rPr>
        <w:t>The judgment of the Court was delivered by</w:t>
      </w:r>
    </w:p>
    <w:p w:rsidR="007A59F1" w:rsidRPr="001E2097" w:rsidRDefault="007A59F1" w:rsidP="007A59F1">
      <w:pPr>
        <w:rPr>
          <w:szCs w:val="24"/>
          <w:lang w:val="en-US" w:eastAsia="fr-CA"/>
        </w:rPr>
      </w:pPr>
    </w:p>
    <w:p w:rsidR="007A59F1" w:rsidRPr="00DF70FB" w:rsidRDefault="007A59F1" w:rsidP="007A59F1">
      <w:pPr>
        <w:pStyle w:val="JudgeJuge"/>
        <w:rPr>
          <w:lang w:val="fr-CA"/>
        </w:rPr>
      </w:pPr>
      <w:r w:rsidRPr="00DF70FB">
        <w:tab/>
      </w:r>
      <w:r w:rsidRPr="00DF70FB">
        <w:rPr>
          <w:lang w:val="fr-CA"/>
        </w:rPr>
        <w:t xml:space="preserve">Côté J. — </w:t>
      </w:r>
    </w:p>
    <w:tbl>
      <w:tblPr>
        <w:tblStyle w:val="TableGrid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851"/>
      </w:tblGrid>
      <w:tr w:rsidR="007A59F1" w:rsidRPr="00276910" w:rsidTr="007C35C1">
        <w:trPr>
          <w:trHeight w:val="432"/>
        </w:trPr>
        <w:tc>
          <w:tcPr>
            <w:tcW w:w="9356" w:type="dxa"/>
            <w:gridSpan w:val="2"/>
          </w:tcPr>
          <w:p w:rsidR="007A59F1" w:rsidRPr="00276910" w:rsidRDefault="007A59F1" w:rsidP="007C35C1">
            <w:pPr>
              <w:tabs>
                <w:tab w:val="center" w:pos="4050"/>
              </w:tabs>
              <w:rPr>
                <w:b/>
                <w:szCs w:val="24"/>
              </w:rPr>
            </w:pPr>
            <w:r w:rsidRPr="00276910">
              <w:rPr>
                <w:b/>
                <w:szCs w:val="24"/>
              </w:rPr>
              <w:lastRenderedPageBreak/>
              <w:tab/>
              <w:t>TABLE OF CONTENTS</w:t>
            </w:r>
          </w:p>
          <w:p w:rsidR="007A59F1" w:rsidRPr="00276910" w:rsidRDefault="007A59F1" w:rsidP="007C35C1">
            <w:pPr>
              <w:tabs>
                <w:tab w:val="center" w:pos="4050"/>
              </w:tabs>
              <w:rPr>
                <w:b/>
                <w:szCs w:val="24"/>
              </w:rPr>
            </w:pPr>
          </w:p>
        </w:tc>
      </w:tr>
      <w:tr w:rsidR="007A59F1" w:rsidRPr="00276910" w:rsidTr="007C35C1">
        <w:trPr>
          <w:trHeight w:val="432"/>
        </w:trPr>
        <w:tc>
          <w:tcPr>
            <w:tcW w:w="9356" w:type="dxa"/>
            <w:gridSpan w:val="2"/>
          </w:tcPr>
          <w:p w:rsidR="007A59F1" w:rsidRPr="00276910" w:rsidRDefault="007A59F1" w:rsidP="007C35C1">
            <w:pPr>
              <w:tabs>
                <w:tab w:val="center" w:pos="4050"/>
              </w:tabs>
              <w:jc w:val="right"/>
              <w:rPr>
                <w:szCs w:val="24"/>
              </w:rPr>
            </w:pPr>
            <w:r w:rsidRPr="00276910">
              <w:rPr>
                <w:szCs w:val="24"/>
              </w:rPr>
              <w:t>Paragraph</w:t>
            </w:r>
          </w:p>
        </w:tc>
      </w:tr>
      <w:tr w:rsidR="007A59F1" w:rsidRPr="00276910" w:rsidTr="007C35C1">
        <w:trPr>
          <w:trHeight w:val="432"/>
        </w:trPr>
        <w:tc>
          <w:tcPr>
            <w:tcW w:w="8505" w:type="dxa"/>
          </w:tcPr>
          <w:p w:rsidR="007A59F1" w:rsidRPr="00276910" w:rsidRDefault="007A59F1" w:rsidP="007C35C1">
            <w:pPr>
              <w:tabs>
                <w:tab w:val="left" w:pos="480"/>
                <w:tab w:val="right" w:leader="dot" w:pos="8270"/>
              </w:tabs>
              <w:spacing w:after="100"/>
              <w:rPr>
                <w:noProof/>
                <w:szCs w:val="24"/>
                <w:u w:val="single"/>
              </w:rPr>
            </w:pPr>
            <w:r w:rsidRPr="00276910">
              <w:rPr>
                <w:noProof/>
                <w:szCs w:val="24"/>
                <w:lang w:bidi="en-US"/>
              </w:rPr>
              <w:t>I.</w:t>
            </w:r>
            <w:r w:rsidRPr="00276910">
              <w:rPr>
                <w:noProof/>
                <w:szCs w:val="24"/>
              </w:rPr>
              <w:tab/>
            </w:r>
            <w:r w:rsidRPr="00276910">
              <w:rPr>
                <w:noProof/>
                <w:szCs w:val="24"/>
                <w:u w:val="single"/>
              </w:rPr>
              <w:t>Introduction</w:t>
            </w:r>
          </w:p>
        </w:tc>
        <w:tc>
          <w:tcPr>
            <w:tcW w:w="851" w:type="dxa"/>
          </w:tcPr>
          <w:p w:rsidR="007A59F1" w:rsidRPr="00276910" w:rsidRDefault="007A59F1" w:rsidP="007C35C1">
            <w:pPr>
              <w:tabs>
                <w:tab w:val="left" w:pos="480"/>
                <w:tab w:val="right" w:leader="dot" w:pos="8270"/>
              </w:tabs>
              <w:spacing w:after="100"/>
              <w:rPr>
                <w:szCs w:val="24"/>
                <w:lang w:bidi="en-US"/>
              </w:rPr>
            </w:pPr>
            <w:r w:rsidRPr="00276910">
              <w:rPr>
                <w:szCs w:val="24"/>
                <w:lang w:bidi="en-US"/>
              </w:rPr>
              <w:t>1</w:t>
            </w:r>
          </w:p>
        </w:tc>
      </w:tr>
      <w:tr w:rsidR="007A59F1" w:rsidRPr="00276910" w:rsidTr="007C35C1">
        <w:trPr>
          <w:trHeight w:val="432"/>
        </w:trPr>
        <w:tc>
          <w:tcPr>
            <w:tcW w:w="8505" w:type="dxa"/>
          </w:tcPr>
          <w:p w:rsidR="007A59F1" w:rsidRPr="00276910" w:rsidRDefault="007A59F1" w:rsidP="007C35C1">
            <w:pPr>
              <w:tabs>
                <w:tab w:val="left" w:pos="480"/>
                <w:tab w:val="right" w:leader="dot" w:pos="8270"/>
              </w:tabs>
              <w:spacing w:after="100"/>
              <w:rPr>
                <w:noProof/>
                <w:szCs w:val="24"/>
                <w:u w:val="single"/>
              </w:rPr>
            </w:pPr>
            <w:r w:rsidRPr="00276910">
              <w:rPr>
                <w:noProof/>
                <w:szCs w:val="24"/>
                <w:lang w:bidi="en-US"/>
              </w:rPr>
              <w:t>II.</w:t>
            </w:r>
            <w:r w:rsidRPr="00276910">
              <w:rPr>
                <w:noProof/>
                <w:szCs w:val="24"/>
              </w:rPr>
              <w:tab/>
            </w:r>
            <w:r>
              <w:rPr>
                <w:noProof/>
                <w:szCs w:val="24"/>
                <w:u w:val="single"/>
              </w:rPr>
              <w:t>Background</w:t>
            </w:r>
          </w:p>
        </w:tc>
        <w:tc>
          <w:tcPr>
            <w:tcW w:w="851" w:type="dxa"/>
          </w:tcPr>
          <w:p w:rsidR="007A59F1" w:rsidRPr="00276910" w:rsidRDefault="007A59F1" w:rsidP="007C35C1">
            <w:pPr>
              <w:tabs>
                <w:tab w:val="left" w:pos="480"/>
                <w:tab w:val="right" w:leader="dot" w:pos="8270"/>
              </w:tabs>
              <w:spacing w:after="100"/>
              <w:rPr>
                <w:szCs w:val="24"/>
                <w:lang w:bidi="en-US"/>
              </w:rPr>
            </w:pPr>
            <w:r w:rsidRPr="00276910">
              <w:rPr>
                <w:szCs w:val="24"/>
                <w:lang w:bidi="en-US"/>
              </w:rPr>
              <w:t>5</w:t>
            </w:r>
          </w:p>
        </w:tc>
      </w:tr>
      <w:tr w:rsidR="007A59F1" w:rsidRPr="00276910" w:rsidTr="007C35C1">
        <w:trPr>
          <w:trHeight w:val="432"/>
        </w:trPr>
        <w:tc>
          <w:tcPr>
            <w:tcW w:w="8505" w:type="dxa"/>
          </w:tcPr>
          <w:p w:rsidR="007A59F1" w:rsidRPr="00276910" w:rsidRDefault="007A59F1" w:rsidP="007C35C1">
            <w:pPr>
              <w:tabs>
                <w:tab w:val="left" w:pos="480"/>
                <w:tab w:val="right" w:leader="dot" w:pos="8270"/>
              </w:tabs>
              <w:spacing w:after="100"/>
              <w:rPr>
                <w:noProof/>
                <w:szCs w:val="24"/>
                <w:u w:val="single"/>
              </w:rPr>
            </w:pPr>
            <w:r w:rsidRPr="00276910">
              <w:rPr>
                <w:noProof/>
                <w:szCs w:val="24"/>
                <w:lang w:bidi="en-US"/>
              </w:rPr>
              <w:t>III.</w:t>
            </w:r>
            <w:r w:rsidRPr="00276910">
              <w:rPr>
                <w:noProof/>
                <w:szCs w:val="24"/>
              </w:rPr>
              <w:tab/>
            </w:r>
            <w:r w:rsidRPr="00276910">
              <w:rPr>
                <w:noProof/>
                <w:szCs w:val="24"/>
                <w:u w:val="single"/>
              </w:rPr>
              <w:t>Decisions Below</w:t>
            </w:r>
          </w:p>
        </w:tc>
        <w:tc>
          <w:tcPr>
            <w:tcW w:w="851" w:type="dxa"/>
          </w:tcPr>
          <w:p w:rsidR="007A59F1" w:rsidRPr="00276910" w:rsidRDefault="007A59F1" w:rsidP="007C35C1">
            <w:pPr>
              <w:tabs>
                <w:tab w:val="left" w:pos="480"/>
                <w:tab w:val="right" w:leader="dot" w:pos="8270"/>
              </w:tabs>
              <w:spacing w:after="100"/>
              <w:rPr>
                <w:szCs w:val="24"/>
                <w:lang w:bidi="en-US"/>
              </w:rPr>
            </w:pPr>
            <w:r w:rsidRPr="00276910">
              <w:rPr>
                <w:szCs w:val="24"/>
                <w:lang w:bidi="en-US"/>
              </w:rPr>
              <w:t>14</w:t>
            </w:r>
          </w:p>
        </w:tc>
      </w:tr>
      <w:tr w:rsidR="007A59F1" w:rsidRPr="00276910" w:rsidTr="007C35C1">
        <w:trPr>
          <w:trHeight w:val="432"/>
        </w:trPr>
        <w:tc>
          <w:tcPr>
            <w:tcW w:w="8505" w:type="dxa"/>
          </w:tcPr>
          <w:p w:rsidR="007A59F1" w:rsidRPr="00276910" w:rsidRDefault="007A59F1" w:rsidP="007C35C1">
            <w:pPr>
              <w:tabs>
                <w:tab w:val="left" w:pos="480"/>
                <w:tab w:val="right" w:leader="dot" w:pos="8270"/>
              </w:tabs>
              <w:spacing w:after="100"/>
              <w:ind w:left="450" w:hanging="450"/>
              <w:rPr>
                <w:i/>
                <w:noProof/>
                <w:szCs w:val="24"/>
              </w:rPr>
            </w:pPr>
            <w:r w:rsidRPr="00276910">
              <w:rPr>
                <w:noProof/>
                <w:szCs w:val="24"/>
                <w:lang w:bidi="en-US"/>
              </w:rPr>
              <w:t>A.</w:t>
            </w:r>
            <w:r w:rsidRPr="00276910">
              <w:rPr>
                <w:noProof/>
                <w:szCs w:val="24"/>
              </w:rPr>
              <w:tab/>
            </w:r>
            <w:r w:rsidRPr="00276910">
              <w:rPr>
                <w:i/>
              </w:rPr>
              <w:t>Tax Court of Canada, 2018 TCC 182, [2019] 2 C.T.C. 2001 (Miller</w:t>
            </w:r>
            <w:r>
              <w:rPr>
                <w:i/>
              </w:rPr>
              <w:t> </w:t>
            </w:r>
            <w:r w:rsidRPr="00276910">
              <w:rPr>
                <w:i/>
              </w:rPr>
              <w:t>J.)</w:t>
            </w:r>
          </w:p>
        </w:tc>
        <w:tc>
          <w:tcPr>
            <w:tcW w:w="851" w:type="dxa"/>
          </w:tcPr>
          <w:p w:rsidR="007A59F1" w:rsidRPr="00276910" w:rsidRDefault="007A59F1" w:rsidP="007C35C1">
            <w:pPr>
              <w:tabs>
                <w:tab w:val="left" w:pos="480"/>
                <w:tab w:val="right" w:leader="dot" w:pos="8270"/>
              </w:tabs>
              <w:spacing w:after="100"/>
              <w:rPr>
                <w:szCs w:val="24"/>
                <w:lang w:bidi="en-US"/>
              </w:rPr>
            </w:pPr>
            <w:r w:rsidRPr="00276910">
              <w:rPr>
                <w:szCs w:val="24"/>
                <w:lang w:bidi="en-US"/>
              </w:rPr>
              <w:t>14</w:t>
            </w:r>
          </w:p>
        </w:tc>
      </w:tr>
      <w:tr w:rsidR="007A59F1" w:rsidRPr="00276910" w:rsidTr="007C35C1">
        <w:trPr>
          <w:trHeight w:val="432"/>
        </w:trPr>
        <w:tc>
          <w:tcPr>
            <w:tcW w:w="8505" w:type="dxa"/>
          </w:tcPr>
          <w:p w:rsidR="007A59F1" w:rsidRPr="00276910" w:rsidRDefault="007A59F1" w:rsidP="007C35C1">
            <w:pPr>
              <w:tabs>
                <w:tab w:val="left" w:pos="480"/>
                <w:tab w:val="right" w:leader="dot" w:pos="8270"/>
              </w:tabs>
              <w:spacing w:after="100"/>
              <w:ind w:left="450" w:hanging="450"/>
              <w:rPr>
                <w:noProof/>
                <w:szCs w:val="24"/>
                <w:u w:val="single"/>
                <w:lang w:bidi="en-US"/>
              </w:rPr>
            </w:pPr>
            <w:r w:rsidRPr="00276910">
              <w:rPr>
                <w:noProof/>
                <w:szCs w:val="24"/>
              </w:rPr>
              <w:t>B.</w:t>
            </w:r>
            <w:r w:rsidRPr="00276910">
              <w:rPr>
                <w:noProof/>
                <w:szCs w:val="24"/>
              </w:rPr>
              <w:tab/>
            </w:r>
            <w:r w:rsidRPr="00276910">
              <w:rPr>
                <w:i/>
              </w:rPr>
              <w:t xml:space="preserve">Federal Court of Appeal, 2020 FCA 79, </w:t>
            </w:r>
            <w:r w:rsidRPr="00276910">
              <w:rPr>
                <w:rFonts w:cstheme="minorHAnsi"/>
                <w:i/>
              </w:rPr>
              <w:t>[</w:t>
            </w:r>
            <w:r w:rsidRPr="00276910">
              <w:rPr>
                <w:i/>
              </w:rPr>
              <w:t>2020</w:t>
            </w:r>
            <w:r w:rsidRPr="00276910">
              <w:rPr>
                <w:rFonts w:cstheme="minorHAnsi"/>
                <w:i/>
              </w:rPr>
              <w:t>]</w:t>
            </w:r>
            <w:r w:rsidRPr="00276910">
              <w:rPr>
                <w:i/>
              </w:rPr>
              <w:t xml:space="preserve"> 3 F.C.R. 481 (Woods, Laskin and Mactavish JJ.A.)</w:t>
            </w:r>
          </w:p>
        </w:tc>
        <w:tc>
          <w:tcPr>
            <w:tcW w:w="851" w:type="dxa"/>
            <w:vAlign w:val="bottom"/>
          </w:tcPr>
          <w:p w:rsidR="007A59F1" w:rsidRPr="00276910" w:rsidRDefault="007A59F1" w:rsidP="007C35C1">
            <w:pPr>
              <w:tabs>
                <w:tab w:val="left" w:pos="480"/>
                <w:tab w:val="right" w:leader="dot" w:pos="8270"/>
              </w:tabs>
              <w:spacing w:after="100"/>
              <w:rPr>
                <w:szCs w:val="24"/>
                <w:lang w:bidi="en-US"/>
              </w:rPr>
            </w:pPr>
            <w:r w:rsidRPr="00276910">
              <w:rPr>
                <w:szCs w:val="24"/>
                <w:lang w:bidi="en-US"/>
              </w:rPr>
              <w:t>21</w:t>
            </w:r>
          </w:p>
        </w:tc>
      </w:tr>
      <w:tr w:rsidR="007A59F1" w:rsidRPr="00276910" w:rsidTr="007C35C1">
        <w:trPr>
          <w:trHeight w:val="432"/>
        </w:trPr>
        <w:tc>
          <w:tcPr>
            <w:tcW w:w="8505" w:type="dxa"/>
          </w:tcPr>
          <w:p w:rsidR="007A59F1" w:rsidRPr="00276910" w:rsidRDefault="007A59F1" w:rsidP="007C35C1">
            <w:pPr>
              <w:tabs>
                <w:tab w:val="left" w:pos="480"/>
                <w:tab w:val="right" w:leader="dot" w:pos="8270"/>
              </w:tabs>
              <w:spacing w:after="100"/>
              <w:rPr>
                <w:i/>
                <w:noProof/>
                <w:szCs w:val="24"/>
              </w:rPr>
            </w:pPr>
            <w:r w:rsidRPr="00276910">
              <w:rPr>
                <w:noProof/>
                <w:szCs w:val="24"/>
                <w:lang w:bidi="en-US"/>
              </w:rPr>
              <w:t>IV.</w:t>
            </w:r>
            <w:r w:rsidRPr="00276910">
              <w:rPr>
                <w:noProof/>
                <w:szCs w:val="24"/>
              </w:rPr>
              <w:tab/>
            </w:r>
            <w:r>
              <w:rPr>
                <w:noProof/>
                <w:szCs w:val="24"/>
                <w:u w:val="single"/>
              </w:rPr>
              <w:t>Issue</w:t>
            </w:r>
          </w:p>
        </w:tc>
        <w:tc>
          <w:tcPr>
            <w:tcW w:w="851" w:type="dxa"/>
          </w:tcPr>
          <w:p w:rsidR="007A59F1" w:rsidRPr="00276910" w:rsidRDefault="007A59F1" w:rsidP="007C35C1">
            <w:pPr>
              <w:tabs>
                <w:tab w:val="left" w:pos="480"/>
                <w:tab w:val="right" w:leader="dot" w:pos="8270"/>
              </w:tabs>
              <w:spacing w:after="100"/>
              <w:rPr>
                <w:szCs w:val="24"/>
                <w:lang w:bidi="en-US"/>
              </w:rPr>
            </w:pPr>
            <w:r w:rsidRPr="00276910">
              <w:rPr>
                <w:szCs w:val="24"/>
                <w:lang w:bidi="en-US"/>
              </w:rPr>
              <w:t>27</w:t>
            </w:r>
          </w:p>
        </w:tc>
      </w:tr>
      <w:tr w:rsidR="007A59F1" w:rsidRPr="00276910" w:rsidTr="007C35C1">
        <w:trPr>
          <w:trHeight w:val="432"/>
        </w:trPr>
        <w:tc>
          <w:tcPr>
            <w:tcW w:w="8505" w:type="dxa"/>
          </w:tcPr>
          <w:p w:rsidR="007A59F1" w:rsidRPr="00276910" w:rsidRDefault="007A59F1" w:rsidP="007C35C1">
            <w:pPr>
              <w:tabs>
                <w:tab w:val="left" w:pos="480"/>
                <w:tab w:val="right" w:leader="dot" w:pos="8270"/>
              </w:tabs>
              <w:spacing w:after="100"/>
              <w:rPr>
                <w:i/>
                <w:noProof/>
                <w:szCs w:val="24"/>
              </w:rPr>
            </w:pPr>
            <w:r w:rsidRPr="00276910">
              <w:rPr>
                <w:noProof/>
                <w:szCs w:val="24"/>
                <w:lang w:bidi="en-US"/>
              </w:rPr>
              <w:t>V.</w:t>
            </w:r>
            <w:r w:rsidRPr="00276910">
              <w:rPr>
                <w:noProof/>
                <w:szCs w:val="24"/>
              </w:rPr>
              <w:tab/>
            </w:r>
            <w:r w:rsidRPr="00276910">
              <w:rPr>
                <w:u w:val="single"/>
              </w:rPr>
              <w:t>Analysis</w:t>
            </w:r>
          </w:p>
        </w:tc>
        <w:tc>
          <w:tcPr>
            <w:tcW w:w="851" w:type="dxa"/>
          </w:tcPr>
          <w:p w:rsidR="007A59F1" w:rsidRPr="00276910" w:rsidRDefault="007A59F1" w:rsidP="007C35C1">
            <w:pPr>
              <w:tabs>
                <w:tab w:val="left" w:pos="480"/>
                <w:tab w:val="right" w:leader="dot" w:pos="8270"/>
              </w:tabs>
              <w:spacing w:after="100"/>
              <w:rPr>
                <w:szCs w:val="24"/>
                <w:lang w:bidi="en-US"/>
              </w:rPr>
            </w:pPr>
            <w:r w:rsidRPr="00276910">
              <w:rPr>
                <w:szCs w:val="24"/>
                <w:lang w:bidi="en-US"/>
              </w:rPr>
              <w:t>28</w:t>
            </w:r>
          </w:p>
        </w:tc>
      </w:tr>
      <w:tr w:rsidR="007A59F1" w:rsidRPr="00276910" w:rsidTr="007C35C1">
        <w:trPr>
          <w:trHeight w:val="432"/>
        </w:trPr>
        <w:tc>
          <w:tcPr>
            <w:tcW w:w="8505" w:type="dxa"/>
          </w:tcPr>
          <w:p w:rsidR="007A59F1" w:rsidRPr="00276910" w:rsidRDefault="007A59F1" w:rsidP="007C35C1">
            <w:pPr>
              <w:tabs>
                <w:tab w:val="left" w:pos="480"/>
                <w:tab w:val="right" w:leader="dot" w:pos="8270"/>
              </w:tabs>
              <w:spacing w:after="100"/>
              <w:rPr>
                <w:i/>
                <w:noProof/>
                <w:szCs w:val="24"/>
              </w:rPr>
            </w:pPr>
            <w:r w:rsidRPr="00276910">
              <w:rPr>
                <w:noProof/>
                <w:szCs w:val="24"/>
                <w:lang w:bidi="en-US"/>
              </w:rPr>
              <w:t>A.</w:t>
            </w:r>
            <w:r w:rsidRPr="00276910">
              <w:rPr>
                <w:noProof/>
                <w:szCs w:val="24"/>
              </w:rPr>
              <w:tab/>
            </w:r>
            <w:r w:rsidRPr="00276910">
              <w:rPr>
                <w:i/>
              </w:rPr>
              <w:t>FAPI Regime</w:t>
            </w:r>
          </w:p>
        </w:tc>
        <w:tc>
          <w:tcPr>
            <w:tcW w:w="851" w:type="dxa"/>
          </w:tcPr>
          <w:p w:rsidR="007A59F1" w:rsidRPr="00276910" w:rsidRDefault="007A59F1" w:rsidP="007C35C1">
            <w:pPr>
              <w:tabs>
                <w:tab w:val="left" w:pos="480"/>
                <w:tab w:val="right" w:leader="dot" w:pos="8270"/>
              </w:tabs>
              <w:spacing w:after="100"/>
              <w:rPr>
                <w:szCs w:val="24"/>
                <w:lang w:bidi="en-US"/>
              </w:rPr>
            </w:pPr>
            <w:r w:rsidRPr="00276910">
              <w:rPr>
                <w:szCs w:val="24"/>
                <w:lang w:bidi="en-US"/>
              </w:rPr>
              <w:t>28</w:t>
            </w:r>
          </w:p>
        </w:tc>
      </w:tr>
      <w:tr w:rsidR="007A59F1" w:rsidRPr="00276910" w:rsidTr="007C35C1">
        <w:trPr>
          <w:trHeight w:val="432"/>
        </w:trPr>
        <w:tc>
          <w:tcPr>
            <w:tcW w:w="8505" w:type="dxa"/>
          </w:tcPr>
          <w:p w:rsidR="007A59F1" w:rsidRPr="00276910" w:rsidRDefault="007A59F1" w:rsidP="007C35C1">
            <w:pPr>
              <w:tabs>
                <w:tab w:val="left" w:pos="480"/>
                <w:tab w:val="right" w:leader="dot" w:pos="8270"/>
              </w:tabs>
              <w:spacing w:after="100"/>
              <w:rPr>
                <w:i/>
                <w:noProof/>
                <w:szCs w:val="24"/>
              </w:rPr>
            </w:pPr>
            <w:r w:rsidRPr="00276910">
              <w:rPr>
                <w:noProof/>
                <w:szCs w:val="24"/>
                <w:lang w:bidi="en-US"/>
              </w:rPr>
              <w:t>B.</w:t>
            </w:r>
            <w:r w:rsidRPr="00276910">
              <w:rPr>
                <w:noProof/>
                <w:szCs w:val="24"/>
              </w:rPr>
              <w:tab/>
            </w:r>
            <w:r w:rsidRPr="00276910">
              <w:rPr>
                <w:i/>
              </w:rPr>
              <w:t>Arm’s Length Requirement</w:t>
            </w:r>
          </w:p>
        </w:tc>
        <w:tc>
          <w:tcPr>
            <w:tcW w:w="851" w:type="dxa"/>
          </w:tcPr>
          <w:p w:rsidR="007A59F1" w:rsidRPr="00276910" w:rsidRDefault="007A59F1" w:rsidP="007C35C1">
            <w:pPr>
              <w:tabs>
                <w:tab w:val="left" w:pos="480"/>
                <w:tab w:val="right" w:leader="dot" w:pos="8270"/>
              </w:tabs>
              <w:spacing w:after="100"/>
              <w:rPr>
                <w:szCs w:val="24"/>
                <w:lang w:bidi="en-US"/>
              </w:rPr>
            </w:pPr>
            <w:r w:rsidRPr="00276910">
              <w:rPr>
                <w:szCs w:val="24"/>
                <w:lang w:bidi="en-US"/>
              </w:rPr>
              <w:t>40</w:t>
            </w:r>
          </w:p>
        </w:tc>
      </w:tr>
      <w:tr w:rsidR="007A59F1" w:rsidRPr="00276910" w:rsidTr="007C35C1">
        <w:trPr>
          <w:trHeight w:val="432"/>
        </w:trPr>
        <w:tc>
          <w:tcPr>
            <w:tcW w:w="8505" w:type="dxa"/>
          </w:tcPr>
          <w:p w:rsidR="007A59F1" w:rsidRPr="00276910" w:rsidRDefault="007A59F1" w:rsidP="007C35C1">
            <w:pPr>
              <w:tabs>
                <w:tab w:val="left" w:pos="1100"/>
                <w:tab w:val="right" w:leader="dot" w:pos="8270"/>
              </w:tabs>
              <w:spacing w:after="100"/>
              <w:ind w:left="480"/>
              <w:rPr>
                <w:noProof/>
                <w:szCs w:val="24"/>
                <w:u w:val="single"/>
                <w:lang w:bidi="en-US"/>
              </w:rPr>
            </w:pPr>
            <w:r w:rsidRPr="00276910">
              <w:rPr>
                <w:noProof/>
                <w:szCs w:val="24"/>
                <w:lang w:bidi="en-US"/>
                <w14:scene3d>
                  <w14:camera w14:prst="orthographicFront"/>
                  <w14:lightRig w14:rig="threePt" w14:dir="t">
                    <w14:rot w14:lat="0" w14:lon="0" w14:rev="0"/>
                  </w14:lightRig>
                </w14:scene3d>
              </w:rPr>
              <w:t>(1)</w:t>
            </w:r>
            <w:r w:rsidRPr="00276910">
              <w:rPr>
                <w:noProof/>
                <w:szCs w:val="24"/>
              </w:rPr>
              <w:tab/>
            </w:r>
            <w:r w:rsidRPr="00276910">
              <w:rPr>
                <w:noProof/>
                <w:szCs w:val="24"/>
                <w:u w:val="single"/>
              </w:rPr>
              <w:t>Introduction</w:t>
            </w:r>
          </w:p>
        </w:tc>
        <w:tc>
          <w:tcPr>
            <w:tcW w:w="851" w:type="dxa"/>
          </w:tcPr>
          <w:p w:rsidR="007A59F1" w:rsidRPr="00276910" w:rsidRDefault="007A59F1" w:rsidP="007C35C1">
            <w:pPr>
              <w:tabs>
                <w:tab w:val="left" w:pos="480"/>
                <w:tab w:val="right" w:leader="dot" w:pos="8270"/>
              </w:tabs>
              <w:spacing w:after="100"/>
              <w:rPr>
                <w:szCs w:val="24"/>
                <w:lang w:bidi="en-US"/>
              </w:rPr>
            </w:pPr>
            <w:r w:rsidRPr="00276910">
              <w:rPr>
                <w:szCs w:val="24"/>
                <w:lang w:bidi="en-US"/>
              </w:rPr>
              <w:t>40</w:t>
            </w:r>
          </w:p>
        </w:tc>
      </w:tr>
      <w:tr w:rsidR="007A59F1" w:rsidRPr="00276910" w:rsidTr="007C35C1">
        <w:trPr>
          <w:trHeight w:val="432"/>
        </w:trPr>
        <w:tc>
          <w:tcPr>
            <w:tcW w:w="8505" w:type="dxa"/>
          </w:tcPr>
          <w:p w:rsidR="007A59F1" w:rsidRPr="00276910" w:rsidRDefault="007A59F1" w:rsidP="007C35C1">
            <w:pPr>
              <w:tabs>
                <w:tab w:val="left" w:pos="1100"/>
                <w:tab w:val="right" w:leader="dot" w:pos="8270"/>
              </w:tabs>
              <w:spacing w:after="100"/>
              <w:ind w:left="480"/>
              <w:rPr>
                <w:noProof/>
                <w:szCs w:val="24"/>
                <w:lang w:bidi="en-US"/>
                <w14:scene3d>
                  <w14:camera w14:prst="orthographicFront"/>
                  <w14:lightRig w14:rig="threePt" w14:dir="t">
                    <w14:rot w14:lat="0" w14:lon="0" w14:rev="0"/>
                  </w14:lightRig>
                </w14:scene3d>
              </w:rPr>
            </w:pPr>
            <w:r w:rsidRPr="00276910">
              <w:rPr>
                <w:noProof/>
                <w:szCs w:val="24"/>
                <w:lang w:bidi="en-US"/>
                <w14:scene3d>
                  <w14:camera w14:prst="orthographicFront"/>
                  <w14:lightRig w14:rig="threePt" w14:dir="t">
                    <w14:rot w14:lat="0" w14:lon="0" w14:rev="0"/>
                  </w14:lightRig>
                </w14:scene3d>
              </w:rPr>
              <w:t>(2)</w:t>
            </w:r>
            <w:r w:rsidRPr="00276910">
              <w:rPr>
                <w:noProof/>
                <w:szCs w:val="24"/>
              </w:rPr>
              <w:tab/>
            </w:r>
            <w:r w:rsidRPr="00276910">
              <w:rPr>
                <w:u w:val="single"/>
              </w:rPr>
              <w:t>Receipt of Equity and Debt Capital</w:t>
            </w:r>
          </w:p>
        </w:tc>
        <w:tc>
          <w:tcPr>
            <w:tcW w:w="851" w:type="dxa"/>
          </w:tcPr>
          <w:p w:rsidR="007A59F1" w:rsidRPr="00276910" w:rsidRDefault="007A59F1" w:rsidP="007C35C1">
            <w:pPr>
              <w:tabs>
                <w:tab w:val="left" w:pos="480"/>
                <w:tab w:val="right" w:leader="dot" w:pos="8270"/>
              </w:tabs>
              <w:spacing w:after="100"/>
              <w:rPr>
                <w:szCs w:val="24"/>
                <w:lang w:bidi="en-US"/>
              </w:rPr>
            </w:pPr>
            <w:r w:rsidRPr="00276910">
              <w:rPr>
                <w:szCs w:val="24"/>
                <w:lang w:bidi="en-US"/>
              </w:rPr>
              <w:t>44</w:t>
            </w:r>
          </w:p>
        </w:tc>
      </w:tr>
      <w:tr w:rsidR="007A59F1" w:rsidRPr="00276910" w:rsidTr="007C35C1">
        <w:trPr>
          <w:trHeight w:val="432"/>
        </w:trPr>
        <w:tc>
          <w:tcPr>
            <w:tcW w:w="8505" w:type="dxa"/>
          </w:tcPr>
          <w:p w:rsidR="007A59F1" w:rsidRPr="00276910" w:rsidRDefault="007A59F1" w:rsidP="007C35C1">
            <w:pPr>
              <w:tabs>
                <w:tab w:val="left" w:pos="1100"/>
                <w:tab w:val="right" w:leader="dot" w:pos="8270"/>
              </w:tabs>
              <w:spacing w:after="100"/>
              <w:ind w:left="480"/>
              <w:rPr>
                <w:noProof/>
                <w:szCs w:val="24"/>
                <w:lang w:bidi="en-US"/>
                <w14:scene3d>
                  <w14:camera w14:prst="orthographicFront"/>
                  <w14:lightRig w14:rig="threePt" w14:dir="t">
                    <w14:rot w14:lat="0" w14:lon="0" w14:rev="0"/>
                  </w14:lightRig>
                </w14:scene3d>
              </w:rPr>
            </w:pPr>
            <w:r w:rsidRPr="00276910">
              <w:rPr>
                <w:noProof/>
                <w:szCs w:val="24"/>
                <w:lang w:bidi="en-US"/>
                <w14:scene3d>
                  <w14:camera w14:prst="orthographicFront"/>
                  <w14:lightRig w14:rig="threePt" w14:dir="t">
                    <w14:rot w14:lat="0" w14:lon="0" w14:rev="0"/>
                  </w14:lightRig>
                </w14:scene3d>
              </w:rPr>
              <w:t>(3)</w:t>
            </w:r>
            <w:r w:rsidRPr="00276910">
              <w:rPr>
                <w:noProof/>
                <w:szCs w:val="24"/>
              </w:rPr>
              <w:tab/>
            </w:r>
            <w:r w:rsidRPr="00276910">
              <w:rPr>
                <w:u w:val="single"/>
              </w:rPr>
              <w:t>Corporate Oversight by a Parent</w:t>
            </w:r>
          </w:p>
        </w:tc>
        <w:tc>
          <w:tcPr>
            <w:tcW w:w="851" w:type="dxa"/>
          </w:tcPr>
          <w:p w:rsidR="007A59F1" w:rsidRPr="00276910" w:rsidRDefault="007A59F1" w:rsidP="007C35C1">
            <w:pPr>
              <w:tabs>
                <w:tab w:val="left" w:pos="480"/>
                <w:tab w:val="right" w:leader="dot" w:pos="8270"/>
              </w:tabs>
              <w:spacing w:after="100"/>
              <w:rPr>
                <w:szCs w:val="24"/>
                <w:lang w:bidi="en-US"/>
              </w:rPr>
            </w:pPr>
            <w:r w:rsidRPr="00276910">
              <w:rPr>
                <w:szCs w:val="24"/>
                <w:lang w:bidi="en-US"/>
              </w:rPr>
              <w:t>63</w:t>
            </w:r>
          </w:p>
        </w:tc>
      </w:tr>
      <w:tr w:rsidR="007A59F1" w:rsidRPr="00276910" w:rsidTr="007C35C1">
        <w:trPr>
          <w:trHeight w:val="432"/>
        </w:trPr>
        <w:tc>
          <w:tcPr>
            <w:tcW w:w="8505" w:type="dxa"/>
          </w:tcPr>
          <w:p w:rsidR="007A59F1" w:rsidRPr="00276910" w:rsidRDefault="007A59F1" w:rsidP="007C35C1">
            <w:pPr>
              <w:tabs>
                <w:tab w:val="left" w:pos="480"/>
                <w:tab w:val="right" w:leader="dot" w:pos="8270"/>
              </w:tabs>
              <w:spacing w:after="100"/>
              <w:rPr>
                <w:i/>
                <w:noProof/>
                <w:szCs w:val="24"/>
              </w:rPr>
            </w:pPr>
            <w:r w:rsidRPr="00276910">
              <w:rPr>
                <w:noProof/>
                <w:szCs w:val="24"/>
                <w:lang w:bidi="en-US"/>
              </w:rPr>
              <w:t>C.</w:t>
            </w:r>
            <w:r w:rsidRPr="00276910">
              <w:rPr>
                <w:noProof/>
                <w:szCs w:val="24"/>
              </w:rPr>
              <w:tab/>
            </w:r>
            <w:r w:rsidRPr="00276910">
              <w:rPr>
                <w:i/>
                <w:noProof/>
                <w:szCs w:val="24"/>
              </w:rPr>
              <w:t>Application</w:t>
            </w:r>
          </w:p>
        </w:tc>
        <w:tc>
          <w:tcPr>
            <w:tcW w:w="851" w:type="dxa"/>
          </w:tcPr>
          <w:p w:rsidR="007A59F1" w:rsidRPr="00276910" w:rsidRDefault="007A59F1" w:rsidP="007C35C1">
            <w:pPr>
              <w:tabs>
                <w:tab w:val="left" w:pos="480"/>
                <w:tab w:val="right" w:leader="dot" w:pos="8270"/>
              </w:tabs>
              <w:spacing w:after="100"/>
              <w:rPr>
                <w:szCs w:val="24"/>
                <w:lang w:bidi="en-US"/>
              </w:rPr>
            </w:pPr>
            <w:r w:rsidRPr="00276910">
              <w:rPr>
                <w:szCs w:val="24"/>
                <w:lang w:bidi="en-US"/>
              </w:rPr>
              <w:t>65</w:t>
            </w:r>
          </w:p>
        </w:tc>
      </w:tr>
      <w:tr w:rsidR="007A59F1" w:rsidRPr="00276910" w:rsidTr="007C35C1">
        <w:trPr>
          <w:trHeight w:val="432"/>
        </w:trPr>
        <w:tc>
          <w:tcPr>
            <w:tcW w:w="8505" w:type="dxa"/>
          </w:tcPr>
          <w:p w:rsidR="007A59F1" w:rsidRPr="00276910" w:rsidRDefault="007A59F1" w:rsidP="007C35C1">
            <w:pPr>
              <w:tabs>
                <w:tab w:val="left" w:pos="480"/>
                <w:tab w:val="right" w:leader="dot" w:pos="8270"/>
              </w:tabs>
              <w:spacing w:after="100"/>
              <w:rPr>
                <w:i/>
                <w:noProof/>
                <w:szCs w:val="24"/>
                <w:u w:val="single"/>
              </w:rPr>
            </w:pPr>
            <w:r w:rsidRPr="00276910">
              <w:rPr>
                <w:noProof/>
                <w:szCs w:val="24"/>
                <w:lang w:bidi="en-US"/>
              </w:rPr>
              <w:t>V</w:t>
            </w:r>
            <w:r>
              <w:rPr>
                <w:noProof/>
                <w:szCs w:val="24"/>
                <w:lang w:bidi="en-US"/>
              </w:rPr>
              <w:t>I</w:t>
            </w:r>
            <w:r w:rsidRPr="00276910">
              <w:rPr>
                <w:noProof/>
                <w:szCs w:val="24"/>
                <w:lang w:bidi="en-US"/>
              </w:rPr>
              <w:t>.</w:t>
            </w:r>
            <w:r w:rsidRPr="00276910">
              <w:rPr>
                <w:noProof/>
                <w:szCs w:val="24"/>
              </w:rPr>
              <w:tab/>
            </w:r>
            <w:r w:rsidRPr="00276910">
              <w:rPr>
                <w:noProof/>
                <w:szCs w:val="24"/>
                <w:u w:val="single"/>
              </w:rPr>
              <w:t>Conclusion</w:t>
            </w:r>
          </w:p>
        </w:tc>
        <w:tc>
          <w:tcPr>
            <w:tcW w:w="851" w:type="dxa"/>
          </w:tcPr>
          <w:p w:rsidR="007A59F1" w:rsidRPr="00276910" w:rsidRDefault="007A59F1" w:rsidP="007C35C1">
            <w:pPr>
              <w:tabs>
                <w:tab w:val="left" w:pos="480"/>
                <w:tab w:val="right" w:leader="dot" w:pos="8270"/>
              </w:tabs>
              <w:spacing w:after="100"/>
              <w:rPr>
                <w:szCs w:val="24"/>
                <w:lang w:bidi="en-US"/>
              </w:rPr>
            </w:pPr>
            <w:r w:rsidRPr="00276910">
              <w:rPr>
                <w:szCs w:val="24"/>
                <w:lang w:bidi="en-US"/>
              </w:rPr>
              <w:t>75</w:t>
            </w:r>
          </w:p>
        </w:tc>
      </w:tr>
      <w:tr w:rsidR="007A59F1" w:rsidRPr="00276910" w:rsidTr="007C35C1">
        <w:trPr>
          <w:trHeight w:val="432"/>
        </w:trPr>
        <w:tc>
          <w:tcPr>
            <w:tcW w:w="8505" w:type="dxa"/>
          </w:tcPr>
          <w:p w:rsidR="007A59F1" w:rsidRPr="00276910" w:rsidRDefault="007A59F1" w:rsidP="007C35C1">
            <w:pPr>
              <w:tabs>
                <w:tab w:val="left" w:pos="480"/>
                <w:tab w:val="right" w:leader="dot" w:pos="8270"/>
              </w:tabs>
              <w:spacing w:after="100"/>
              <w:rPr>
                <w:noProof/>
                <w:szCs w:val="24"/>
                <w:u w:val="single"/>
                <w:lang w:bidi="en-US"/>
              </w:rPr>
            </w:pPr>
            <w:r w:rsidRPr="00276910">
              <w:rPr>
                <w:noProof/>
                <w:szCs w:val="24"/>
                <w:u w:val="single"/>
                <w:lang w:bidi="en-US"/>
              </w:rPr>
              <w:t>Appendix</w:t>
            </w:r>
          </w:p>
        </w:tc>
        <w:tc>
          <w:tcPr>
            <w:tcW w:w="851" w:type="dxa"/>
          </w:tcPr>
          <w:p w:rsidR="007A59F1" w:rsidRPr="00276910" w:rsidRDefault="007A59F1" w:rsidP="007C35C1">
            <w:pPr>
              <w:tabs>
                <w:tab w:val="left" w:pos="480"/>
                <w:tab w:val="right" w:leader="dot" w:pos="8270"/>
              </w:tabs>
              <w:spacing w:after="100"/>
              <w:rPr>
                <w:szCs w:val="24"/>
                <w:lang w:bidi="en-US"/>
              </w:rPr>
            </w:pPr>
          </w:p>
        </w:tc>
      </w:tr>
    </w:tbl>
    <w:p w:rsidR="007A59F1" w:rsidRPr="00DF70FB" w:rsidRDefault="007A59F1" w:rsidP="007A59F1">
      <w:pPr>
        <w:pStyle w:val="Title1LevelTitre1Niveau-AltL"/>
      </w:pPr>
      <w:bookmarkStart w:id="0" w:name="_Toc78546486"/>
      <w:bookmarkStart w:id="1" w:name="_Toc86943866"/>
      <w:r w:rsidRPr="00DF70FB">
        <w:t>Introduction</w:t>
      </w:r>
      <w:bookmarkEnd w:id="0"/>
      <w:bookmarkEnd w:id="1"/>
    </w:p>
    <w:p w:rsidR="007A59F1" w:rsidRPr="00DF70FB" w:rsidRDefault="007A59F1" w:rsidP="007A59F1">
      <w:pPr>
        <w:pStyle w:val="ParaNoNdepar-AltN"/>
        <w:rPr>
          <w:rFonts w:cs="Times New Roman"/>
        </w:rPr>
      </w:pPr>
      <w:r w:rsidRPr="00DF70FB">
        <w:rPr>
          <w:rFonts w:cs="Times New Roman"/>
        </w:rPr>
        <w:t xml:space="preserve">This case concerns the </w:t>
      </w:r>
      <w:r>
        <w:rPr>
          <w:rFonts w:cs="Times New Roman"/>
        </w:rPr>
        <w:t>f</w:t>
      </w:r>
      <w:r w:rsidRPr="00DF70FB">
        <w:rPr>
          <w:rFonts w:cs="Times New Roman"/>
        </w:rPr>
        <w:t xml:space="preserve">oreign </w:t>
      </w:r>
      <w:r>
        <w:rPr>
          <w:rFonts w:cs="Times New Roman"/>
        </w:rPr>
        <w:t>a</w:t>
      </w:r>
      <w:r w:rsidRPr="00DF70FB">
        <w:rPr>
          <w:rFonts w:cs="Times New Roman"/>
        </w:rPr>
        <w:t xml:space="preserve">ccrual </w:t>
      </w:r>
      <w:r>
        <w:rPr>
          <w:rFonts w:cs="Times New Roman"/>
        </w:rPr>
        <w:t>property i</w:t>
      </w:r>
      <w:r w:rsidRPr="00DF70FB">
        <w:rPr>
          <w:rFonts w:cs="Times New Roman"/>
        </w:rPr>
        <w:t>ncome (</w:t>
      </w:r>
      <w:r>
        <w:rPr>
          <w:rFonts w:cs="Times New Roman"/>
        </w:rPr>
        <w:t>“</w:t>
      </w:r>
      <w:r w:rsidRPr="00DF70FB">
        <w:rPr>
          <w:rFonts w:cs="Times New Roman"/>
        </w:rPr>
        <w:t>FAPI</w:t>
      </w:r>
      <w:r>
        <w:rPr>
          <w:rFonts w:cs="Times New Roman"/>
        </w:rPr>
        <w:t>”</w:t>
      </w:r>
      <w:r w:rsidRPr="00DF70FB">
        <w:rPr>
          <w:rFonts w:cs="Times New Roman"/>
        </w:rPr>
        <w:t>) regime</w:t>
      </w:r>
      <w:r>
        <w:rPr>
          <w:rFonts w:cs="Times New Roman"/>
        </w:rPr>
        <w:t xml:space="preserve"> under the </w:t>
      </w:r>
      <w:r w:rsidRPr="00071CEC">
        <w:rPr>
          <w:rFonts w:cs="Times New Roman"/>
          <w:i/>
        </w:rPr>
        <w:t>Income Tax Act</w:t>
      </w:r>
      <w:r>
        <w:rPr>
          <w:rFonts w:cs="Times New Roman"/>
        </w:rPr>
        <w:t>, R.S.C. 1985, c. 1 (5</w:t>
      </w:r>
      <w:r w:rsidRPr="00071CEC">
        <w:rPr>
          <w:rFonts w:cs="Times New Roman"/>
        </w:rPr>
        <w:t>th</w:t>
      </w:r>
      <w:r>
        <w:rPr>
          <w:rFonts w:cs="Times New Roman"/>
        </w:rPr>
        <w:t> Supp.) (“</w:t>
      </w:r>
      <w:r w:rsidRPr="00071CEC">
        <w:rPr>
          <w:rFonts w:cs="Times New Roman"/>
          <w:i/>
        </w:rPr>
        <w:t>ITA</w:t>
      </w:r>
      <w:r>
        <w:rPr>
          <w:rFonts w:cs="Times New Roman"/>
        </w:rPr>
        <w:t>”)</w:t>
      </w:r>
      <w:r w:rsidRPr="00DF70FB">
        <w:rPr>
          <w:rFonts w:cs="Times New Roman"/>
        </w:rPr>
        <w:t>.</w:t>
      </w:r>
      <w:r w:rsidRPr="00531406">
        <w:rPr>
          <w:rStyle w:val="Hyperlink"/>
          <w:vertAlign w:val="superscript"/>
        </w:rPr>
        <w:footnoteReference w:id="1"/>
      </w:r>
      <w:r w:rsidRPr="00DF70FB">
        <w:rPr>
          <w:rFonts w:cs="Times New Roman"/>
        </w:rPr>
        <w:t xml:space="preserve"> In essence, this regime provides that Canadian taxpayers, like the respondent Loblaw Financial Holdings Inc. (“Loblaw Financial”), must include income earned by their controlled foreign affiliates (“CFA</w:t>
      </w:r>
      <w:r>
        <w:rPr>
          <w:rFonts w:cs="Times New Roman"/>
        </w:rPr>
        <w:t>s</w:t>
      </w:r>
      <w:r w:rsidRPr="00DF70FB">
        <w:rPr>
          <w:rFonts w:cs="Times New Roman"/>
        </w:rPr>
        <w:t xml:space="preserve">”) in their Canadian annual tax returns on an accrual basis if </w:t>
      </w:r>
      <w:r w:rsidRPr="00DF70FB">
        <w:rPr>
          <w:rFonts w:cs="Times New Roman"/>
        </w:rPr>
        <w:lastRenderedPageBreak/>
        <w:t xml:space="preserve">this income qualifies as FAPI. However, financial institutions that meet specific requirements benefit from an exception </w:t>
      </w:r>
      <w:r>
        <w:rPr>
          <w:rFonts w:cs="Times New Roman"/>
        </w:rPr>
        <w:t xml:space="preserve">found in the definition of “investment business” at </w:t>
      </w:r>
      <w:r w:rsidRPr="00DF70FB">
        <w:rPr>
          <w:rFonts w:cs="Times New Roman"/>
        </w:rPr>
        <w:t xml:space="preserve">s. 95(1) of the </w:t>
      </w:r>
      <w:r w:rsidRPr="00DF70FB">
        <w:rPr>
          <w:rFonts w:cs="Times New Roman"/>
          <w:i/>
        </w:rPr>
        <w:t>ITA</w:t>
      </w:r>
      <w:r w:rsidRPr="00DF70FB">
        <w:rPr>
          <w:rFonts w:cs="Times New Roman"/>
        </w:rPr>
        <w:t xml:space="preserve">. One of these requirements is that the CFA </w:t>
      </w:r>
      <w:r>
        <w:rPr>
          <w:rFonts w:cs="Times New Roman"/>
        </w:rPr>
        <w:t xml:space="preserve">must </w:t>
      </w:r>
      <w:r w:rsidRPr="00DF70FB">
        <w:rPr>
          <w:rFonts w:cs="Times New Roman"/>
        </w:rPr>
        <w:t xml:space="preserve">conduct its business principally with persons </w:t>
      </w:r>
      <w:r>
        <w:rPr>
          <w:rFonts w:cs="Times New Roman"/>
        </w:rPr>
        <w:t xml:space="preserve">with whom it deals </w:t>
      </w:r>
      <w:r w:rsidRPr="00DF70FB">
        <w:rPr>
          <w:rFonts w:cs="Times New Roman"/>
        </w:rPr>
        <w:t xml:space="preserve">at arm’s length, also called the “arm’s length requirement”. Only this requirement is </w:t>
      </w:r>
      <w:r>
        <w:rPr>
          <w:rFonts w:cs="Times New Roman"/>
        </w:rPr>
        <w:t xml:space="preserve">at issue </w:t>
      </w:r>
      <w:r w:rsidRPr="00DF70FB">
        <w:rPr>
          <w:rFonts w:cs="Times New Roman"/>
        </w:rPr>
        <w:t>in this appeal.</w:t>
      </w:r>
    </w:p>
    <w:p w:rsidR="007A59F1" w:rsidRPr="00DF70FB" w:rsidRDefault="007A59F1" w:rsidP="007A59F1">
      <w:pPr>
        <w:pStyle w:val="ParaNoNdepar-AltN"/>
        <w:rPr>
          <w:rFonts w:cs="Times New Roman"/>
        </w:rPr>
      </w:pPr>
      <w:r w:rsidRPr="00DF70FB">
        <w:rPr>
          <w:rFonts w:cs="Times New Roman"/>
        </w:rPr>
        <w:t xml:space="preserve">The FAPI regime is one of the most complicated statutory regimes in Canadian law. </w:t>
      </w:r>
      <w:r>
        <w:rPr>
          <w:rFonts w:cs="Times New Roman"/>
        </w:rPr>
        <w:t>Although</w:t>
      </w:r>
      <w:r w:rsidRPr="00DF70FB">
        <w:rPr>
          <w:rFonts w:cs="Times New Roman"/>
        </w:rPr>
        <w:t xml:space="preserve"> it </w:t>
      </w:r>
      <w:r>
        <w:rPr>
          <w:rFonts w:cs="Times New Roman"/>
        </w:rPr>
        <w:t xml:space="preserve">has </w:t>
      </w:r>
      <w:r w:rsidRPr="00DF70FB">
        <w:rPr>
          <w:rFonts w:cs="Times New Roman"/>
        </w:rPr>
        <w:t>come</w:t>
      </w:r>
      <w:r>
        <w:rPr>
          <w:rFonts w:cs="Times New Roman"/>
        </w:rPr>
        <w:t xml:space="preserve"> before</w:t>
      </w:r>
      <w:r w:rsidRPr="00DF70FB">
        <w:rPr>
          <w:rFonts w:cs="Times New Roman"/>
        </w:rPr>
        <w:t xml:space="preserve"> us after several years of diligent work by sophisticated auditors and legal counsel, the question </w:t>
      </w:r>
      <w:r>
        <w:rPr>
          <w:rFonts w:cs="Times New Roman"/>
        </w:rPr>
        <w:t>in this appeal</w:t>
      </w:r>
      <w:r w:rsidRPr="00DF70FB">
        <w:rPr>
          <w:rFonts w:cs="Times New Roman"/>
        </w:rPr>
        <w:t xml:space="preserve"> is remarkably straightforward. Does a </w:t>
      </w:r>
      <w:r>
        <w:rPr>
          <w:rFonts w:cs="Times New Roman"/>
        </w:rPr>
        <w:t>parent corporation conduct business with its CFA</w:t>
      </w:r>
      <w:r w:rsidRPr="00DF70FB">
        <w:rPr>
          <w:rFonts w:cs="Times New Roman"/>
        </w:rPr>
        <w:t xml:space="preserve"> when </w:t>
      </w:r>
      <w:r>
        <w:rPr>
          <w:rFonts w:cs="Times New Roman"/>
        </w:rPr>
        <w:t>it</w:t>
      </w:r>
      <w:r w:rsidRPr="00DF70FB">
        <w:rPr>
          <w:rFonts w:cs="Times New Roman"/>
        </w:rPr>
        <w:t xml:space="preserve"> provides capital and exercises corporate oversight? In my respectful view, the answer is an equally straightforward no.</w:t>
      </w:r>
    </w:p>
    <w:p w:rsidR="007A59F1" w:rsidRPr="00DF70FB" w:rsidRDefault="007A59F1" w:rsidP="007A59F1">
      <w:pPr>
        <w:pStyle w:val="ParaNoNdepar-AltN"/>
        <w:rPr>
          <w:rFonts w:cs="Times New Roman"/>
        </w:rPr>
      </w:pPr>
      <w:r w:rsidRPr="00DF70FB">
        <w:rPr>
          <w:rFonts w:cs="Times New Roman"/>
        </w:rPr>
        <w:t xml:space="preserve">I wish to emphasize from the start that while the tenor of the Crown’s submissions </w:t>
      </w:r>
      <w:r>
        <w:rPr>
          <w:rFonts w:cs="Times New Roman"/>
        </w:rPr>
        <w:t>is</w:t>
      </w:r>
      <w:r w:rsidRPr="00DF70FB">
        <w:rPr>
          <w:rFonts w:cs="Times New Roman"/>
        </w:rPr>
        <w:t xml:space="preserve"> that Loblaw Financial has engaged in tax avoidance, the Crown did not raise any argument based on the </w:t>
      </w:r>
      <w:r>
        <w:rPr>
          <w:rFonts w:cs="Times New Roman"/>
        </w:rPr>
        <w:t>general anti-avoidance r</w:t>
      </w:r>
      <w:r w:rsidRPr="00DF70FB">
        <w:rPr>
          <w:rFonts w:cs="Times New Roman"/>
        </w:rPr>
        <w:t>ule (“GAAR”)</w:t>
      </w:r>
      <w:r>
        <w:rPr>
          <w:rFonts w:cs="Times New Roman"/>
        </w:rPr>
        <w:t xml:space="preserve"> before this Court</w:t>
      </w:r>
      <w:r w:rsidRPr="00DF70FB">
        <w:rPr>
          <w:rFonts w:cs="Times New Roman"/>
        </w:rPr>
        <w:t xml:space="preserve">. We are tasked only with interpreting the precise words of the arm’s length requirement — “the business </w:t>
      </w:r>
      <w:r>
        <w:rPr>
          <w:rFonts w:cs="Times New Roman"/>
        </w:rPr>
        <w:t>(</w:t>
      </w:r>
      <w:r w:rsidRPr="00DF70FB">
        <w:rPr>
          <w:rFonts w:cs="Times New Roman"/>
        </w:rPr>
        <w:t>other than any business conducted principally with persons with whom the affiliate does not deal at arm’s length</w:t>
      </w:r>
      <w:r>
        <w:rPr>
          <w:rFonts w:cs="Times New Roman"/>
        </w:rPr>
        <w:t>)</w:t>
      </w:r>
      <w:r w:rsidRPr="00DF70FB">
        <w:rPr>
          <w:rFonts w:cs="Times New Roman"/>
        </w:rPr>
        <w:t xml:space="preserve">” — found in the financial institution exception, </w:t>
      </w:r>
      <w:r>
        <w:rPr>
          <w:rFonts w:cs="Times New Roman"/>
        </w:rPr>
        <w:t xml:space="preserve">in </w:t>
      </w:r>
      <w:r w:rsidRPr="00DF70FB">
        <w:rPr>
          <w:rFonts w:cs="Times New Roman"/>
        </w:rPr>
        <w:t>accord</w:t>
      </w:r>
      <w:r>
        <w:rPr>
          <w:rFonts w:cs="Times New Roman"/>
        </w:rPr>
        <w:t>ance</w:t>
      </w:r>
      <w:r w:rsidRPr="00DF70FB">
        <w:rPr>
          <w:rFonts w:cs="Times New Roman"/>
        </w:rPr>
        <w:t xml:space="preserve"> </w:t>
      </w:r>
      <w:r>
        <w:rPr>
          <w:rFonts w:cs="Times New Roman"/>
        </w:rPr>
        <w:t>with</w:t>
      </w:r>
      <w:r w:rsidRPr="00DF70FB">
        <w:rPr>
          <w:rFonts w:cs="Times New Roman"/>
        </w:rPr>
        <w:t xml:space="preserve"> the ordinary rules of statutory interpretation. When these words are read in their grammatical and ordinary sense, in harmony with </w:t>
      </w:r>
      <w:r>
        <w:rPr>
          <w:rFonts w:cs="Times New Roman"/>
        </w:rPr>
        <w:t xml:space="preserve">their context and </w:t>
      </w:r>
      <w:r w:rsidRPr="00DF70FB">
        <w:rPr>
          <w:rFonts w:cs="Times New Roman"/>
        </w:rPr>
        <w:t xml:space="preserve">the </w:t>
      </w:r>
      <w:r w:rsidRPr="00DF70FB">
        <w:rPr>
          <w:rFonts w:cs="Times New Roman"/>
          <w:i/>
        </w:rPr>
        <w:t>ITA</w:t>
      </w:r>
      <w:r w:rsidRPr="00DF70FB">
        <w:rPr>
          <w:rFonts w:cs="Times New Roman"/>
        </w:rPr>
        <w:t xml:space="preserve">’s objects, it becomes clear that they do not encompass </w:t>
      </w:r>
      <w:r>
        <w:rPr>
          <w:rFonts w:cs="Times New Roman"/>
        </w:rPr>
        <w:t xml:space="preserve">an assessment of </w:t>
      </w:r>
      <w:r w:rsidRPr="00DF70FB">
        <w:rPr>
          <w:rFonts w:cs="Times New Roman"/>
        </w:rPr>
        <w:t>capital contri</w:t>
      </w:r>
      <w:r>
        <w:rPr>
          <w:rFonts w:cs="Times New Roman"/>
        </w:rPr>
        <w:t>butions or corporate oversight.</w:t>
      </w:r>
    </w:p>
    <w:p w:rsidR="007A59F1" w:rsidRPr="00DF70FB" w:rsidRDefault="007A59F1" w:rsidP="007A59F1">
      <w:pPr>
        <w:pStyle w:val="ParaNoNdepar-AltN"/>
        <w:rPr>
          <w:rFonts w:cs="Times New Roman"/>
        </w:rPr>
      </w:pPr>
      <w:r w:rsidRPr="00DF70FB">
        <w:rPr>
          <w:rFonts w:cs="Times New Roman"/>
        </w:rPr>
        <w:lastRenderedPageBreak/>
        <w:t xml:space="preserve">If capital and corporate oversight </w:t>
      </w:r>
      <w:r>
        <w:rPr>
          <w:rFonts w:cs="Times New Roman"/>
        </w:rPr>
        <w:t xml:space="preserve">are excluded </w:t>
      </w:r>
      <w:r w:rsidRPr="00DF70FB">
        <w:rPr>
          <w:rFonts w:cs="Times New Roman"/>
        </w:rPr>
        <w:t xml:space="preserve">from consideration, the vast majority of business </w:t>
      </w:r>
      <w:r>
        <w:rPr>
          <w:rFonts w:cs="Times New Roman"/>
        </w:rPr>
        <w:t xml:space="preserve">was </w:t>
      </w:r>
      <w:r w:rsidRPr="00DF70FB">
        <w:rPr>
          <w:rFonts w:cs="Times New Roman"/>
        </w:rPr>
        <w:t>conduct</w:t>
      </w:r>
      <w:r>
        <w:rPr>
          <w:rFonts w:cs="Times New Roman"/>
        </w:rPr>
        <w:t>ed</w:t>
      </w:r>
      <w:r w:rsidRPr="00DF70FB">
        <w:rPr>
          <w:rFonts w:cs="Times New Roman"/>
        </w:rPr>
        <w:t xml:space="preserve"> between Loblaw Financial’s foreign affiliate and persons </w:t>
      </w:r>
      <w:r>
        <w:rPr>
          <w:rFonts w:cs="Times New Roman"/>
        </w:rPr>
        <w:t xml:space="preserve">with whom it was </w:t>
      </w:r>
      <w:r w:rsidRPr="00DF70FB">
        <w:rPr>
          <w:rFonts w:cs="Times New Roman"/>
        </w:rPr>
        <w:t xml:space="preserve">dealing at arm’s length. Therefore, Loblaw Financial can </w:t>
      </w:r>
      <w:r>
        <w:rPr>
          <w:rFonts w:cs="Times New Roman"/>
        </w:rPr>
        <w:t>avail itself of the financial institution</w:t>
      </w:r>
      <w:r w:rsidRPr="00DF70FB">
        <w:rPr>
          <w:rFonts w:cs="Times New Roman"/>
        </w:rPr>
        <w:t xml:space="preserve"> exception. Given the text, context and purpose of the provision at issue, there is no reason for a court to deny Loblaw Financial the ability to arrange its affairs so as to minimize its tax payable. As Lord Tomlin famously said:</w:t>
      </w:r>
    </w:p>
    <w:p w:rsidR="007A59F1" w:rsidRDefault="007A59F1" w:rsidP="007A59F1">
      <w:pPr>
        <w:pStyle w:val="Citation-AltC"/>
      </w:pPr>
      <w:r>
        <w:t>Every man is entitled, if he can,</w:t>
      </w:r>
      <w:r w:rsidRPr="00DF70FB">
        <w:t xml:space="preserve"> to order his affairs so </w:t>
      </w:r>
      <w:r>
        <w:t xml:space="preserve">as </w:t>
      </w:r>
      <w:r w:rsidRPr="00DF70FB">
        <w:t>that the tax attaching under the appropriate Acts is less than it otherwise would be. If he succeeds in ordering them so as to secure this result, then, however unappreciative the Commissioners of I</w:t>
      </w:r>
      <w:r>
        <w:t>nland Revenue or his fellow tax</w:t>
      </w:r>
      <w:r w:rsidRPr="00DF70FB">
        <w:t>payers may be of his ingenuity, he cannot be compelled to pay an increased tax.</w:t>
      </w:r>
    </w:p>
    <w:p w:rsidR="007A59F1" w:rsidRDefault="007A59F1" w:rsidP="007A59F1">
      <w:pPr>
        <w:pStyle w:val="Citation-AltC"/>
      </w:pPr>
    </w:p>
    <w:p w:rsidR="007A59F1" w:rsidRPr="00DF70FB" w:rsidRDefault="007A59F1" w:rsidP="007A59F1">
      <w:pPr>
        <w:pStyle w:val="Citation-AltC"/>
        <w:rPr>
          <w:lang w:eastAsia="fr-CA"/>
        </w:rPr>
      </w:pPr>
      <w:r>
        <w:rPr>
          <w:lang w:eastAsia="fr-CA"/>
        </w:rPr>
        <w:t>(</w:t>
      </w:r>
      <w:r w:rsidRPr="00DF70FB">
        <w:rPr>
          <w:i/>
          <w:lang w:eastAsia="fr-CA"/>
        </w:rPr>
        <w:t xml:space="preserve">Inland Revenue </w:t>
      </w:r>
      <w:r>
        <w:rPr>
          <w:i/>
          <w:lang w:eastAsia="fr-CA"/>
        </w:rPr>
        <w:t xml:space="preserve">Commissioners </w:t>
      </w:r>
      <w:r w:rsidRPr="00DF70FB">
        <w:rPr>
          <w:i/>
          <w:lang w:eastAsia="fr-CA"/>
        </w:rPr>
        <w:t>v. Westminster</w:t>
      </w:r>
      <w:r>
        <w:rPr>
          <w:i/>
          <w:lang w:eastAsia="fr-CA"/>
        </w:rPr>
        <w:t xml:space="preserve"> (Duke of)</w:t>
      </w:r>
      <w:r w:rsidRPr="00DF70FB">
        <w:rPr>
          <w:lang w:eastAsia="fr-CA"/>
        </w:rPr>
        <w:t>, [1936] A.C. 1 (H.L.)</w:t>
      </w:r>
      <w:r>
        <w:rPr>
          <w:lang w:eastAsia="fr-CA"/>
        </w:rPr>
        <w:t xml:space="preserve">, </w:t>
      </w:r>
      <w:r w:rsidRPr="00DF70FB">
        <w:rPr>
          <w:lang w:eastAsia="fr-CA"/>
        </w:rPr>
        <w:t xml:space="preserve">at </w:t>
      </w:r>
      <w:r>
        <w:rPr>
          <w:lang w:eastAsia="fr-CA"/>
        </w:rPr>
        <w:t>pp. </w:t>
      </w:r>
      <w:r w:rsidRPr="00DF70FB">
        <w:rPr>
          <w:lang w:eastAsia="fr-CA"/>
        </w:rPr>
        <w:t>19</w:t>
      </w:r>
      <w:r>
        <w:rPr>
          <w:lang w:eastAsia="fr-CA"/>
        </w:rPr>
        <w:noBreakHyphen/>
        <w:t>20)</w:t>
      </w:r>
      <w:r w:rsidRPr="00DF70FB">
        <w:rPr>
          <w:lang w:eastAsia="fr-CA"/>
        </w:rPr>
        <w:t>.</w:t>
      </w:r>
    </w:p>
    <w:p w:rsidR="007A59F1" w:rsidRPr="00DF70FB" w:rsidRDefault="007A59F1" w:rsidP="007A59F1">
      <w:pPr>
        <w:pStyle w:val="Title1LevelTitre1Niveau-AltL"/>
        <w:rPr>
          <w:rFonts w:cs="Times New Roman"/>
        </w:rPr>
      </w:pPr>
      <w:r>
        <w:rPr>
          <w:rFonts w:cs="Times New Roman"/>
        </w:rPr>
        <w:t>Background</w:t>
      </w:r>
    </w:p>
    <w:p w:rsidR="007A59F1" w:rsidRPr="00DF70FB" w:rsidRDefault="007A59F1" w:rsidP="007A59F1">
      <w:pPr>
        <w:pStyle w:val="ParaNoNdepar-AltN"/>
        <w:rPr>
          <w:rFonts w:cs="Times New Roman"/>
        </w:rPr>
      </w:pPr>
      <w:r w:rsidRPr="00DF70FB">
        <w:rPr>
          <w:rFonts w:cs="Times New Roman"/>
        </w:rPr>
        <w:t>Loblaw Financial is a Canadian corporation and an indirect wholly</w:t>
      </w:r>
      <w:r>
        <w:rPr>
          <w:rFonts w:cs="Times New Roman"/>
        </w:rPr>
        <w:noBreakHyphen/>
      </w:r>
      <w:r w:rsidRPr="00DF70FB">
        <w:rPr>
          <w:rFonts w:cs="Times New Roman"/>
        </w:rPr>
        <w:t>owned subsidiary of Loblaw Companies Ltd.</w:t>
      </w:r>
      <w:r>
        <w:rPr>
          <w:rFonts w:cs="Times New Roman"/>
        </w:rPr>
        <w:t>,</w:t>
      </w:r>
      <w:r w:rsidRPr="00DF70FB">
        <w:rPr>
          <w:rFonts w:cs="Times New Roman"/>
        </w:rPr>
        <w:t xml:space="preserve"> a Canadian public corporation controlled by </w:t>
      </w:r>
      <w:r>
        <w:rPr>
          <w:rFonts w:cs="Times New Roman"/>
        </w:rPr>
        <w:t xml:space="preserve">George Weston Ltd. </w:t>
      </w:r>
      <w:r w:rsidRPr="00DF70FB">
        <w:rPr>
          <w:rFonts w:cs="Times New Roman"/>
        </w:rPr>
        <w:t>Loblaw Companies Ltd</w:t>
      </w:r>
      <w:r>
        <w:rPr>
          <w:rFonts w:cs="Times New Roman"/>
        </w:rPr>
        <w:t xml:space="preserve">., George </w:t>
      </w:r>
      <w:r w:rsidRPr="00DF70FB">
        <w:rPr>
          <w:rFonts w:cs="Times New Roman"/>
        </w:rPr>
        <w:t>Weston</w:t>
      </w:r>
      <w:r>
        <w:rPr>
          <w:rFonts w:cs="Times New Roman"/>
        </w:rPr>
        <w:t xml:space="preserve"> </w:t>
      </w:r>
      <w:r w:rsidRPr="00DF70FB">
        <w:rPr>
          <w:rFonts w:cs="Times New Roman"/>
        </w:rPr>
        <w:t>Ltd., and their subsidiaries (“Loblaw Group”) deal with</w:t>
      </w:r>
      <w:r>
        <w:rPr>
          <w:rFonts w:cs="Times New Roman"/>
        </w:rPr>
        <w:t xml:space="preserve"> one another on a non</w:t>
      </w:r>
      <w:r>
        <w:rPr>
          <w:rFonts w:cs="Times New Roman"/>
        </w:rPr>
        <w:noBreakHyphen/>
      </w:r>
      <w:r w:rsidRPr="00DF70FB">
        <w:rPr>
          <w:rFonts w:cs="Times New Roman"/>
        </w:rPr>
        <w:t>arm’s length basis.</w:t>
      </w:r>
    </w:p>
    <w:p w:rsidR="007A59F1" w:rsidRPr="00DF70FB" w:rsidRDefault="007A59F1" w:rsidP="007A59F1">
      <w:pPr>
        <w:pStyle w:val="ParaNoNdepar-AltN"/>
        <w:rPr>
          <w:rFonts w:cs="Times New Roman"/>
        </w:rPr>
      </w:pPr>
      <w:r w:rsidRPr="00DF70FB">
        <w:rPr>
          <w:rFonts w:cs="Times New Roman"/>
        </w:rPr>
        <w:t xml:space="preserve">In 1992, Loblaw Financial incorporated a subsidiary in Barbados, Loblaw Inc. The Central Bank of Barbados issued a licence to Loblaw Inc. to operate as an offshore bank under </w:t>
      </w:r>
      <w:r>
        <w:rPr>
          <w:rFonts w:cs="Times New Roman"/>
        </w:rPr>
        <w:t>Barbados’</w:t>
      </w:r>
      <w:r w:rsidRPr="00DF70FB">
        <w:rPr>
          <w:rFonts w:cs="Times New Roman"/>
        </w:rPr>
        <w:t xml:space="preserve"> </w:t>
      </w:r>
      <w:r>
        <w:rPr>
          <w:rFonts w:cs="Times New Roman"/>
          <w:i/>
        </w:rPr>
        <w:t>Off</w:t>
      </w:r>
      <w:r>
        <w:rPr>
          <w:rFonts w:cs="Times New Roman"/>
          <w:i/>
        </w:rPr>
        <w:noBreakHyphen/>
      </w:r>
      <w:r w:rsidRPr="00DF70FB">
        <w:rPr>
          <w:rFonts w:cs="Times New Roman"/>
          <w:i/>
        </w:rPr>
        <w:t>shore Banking Act</w:t>
      </w:r>
      <w:r w:rsidRPr="00DF70FB">
        <w:rPr>
          <w:rFonts w:cs="Times New Roman"/>
        </w:rPr>
        <w:t xml:space="preserve">, </w:t>
      </w:r>
      <w:r>
        <w:rPr>
          <w:rFonts w:cs="Times New Roman"/>
        </w:rPr>
        <w:t>L.R.O. 1985, c. </w:t>
      </w:r>
      <w:r w:rsidRPr="00DF70FB">
        <w:rPr>
          <w:rFonts w:cs="Times New Roman"/>
        </w:rPr>
        <w:t>325 (“</w:t>
      </w:r>
      <w:r w:rsidRPr="00DF70FB">
        <w:rPr>
          <w:rFonts w:cs="Times New Roman"/>
          <w:i/>
        </w:rPr>
        <w:t>Barbados</w:t>
      </w:r>
      <w:r w:rsidRPr="00DF70FB">
        <w:rPr>
          <w:rFonts w:cs="Times New Roman"/>
        </w:rPr>
        <w:t xml:space="preserve"> </w:t>
      </w:r>
      <w:r w:rsidRPr="00DF70FB">
        <w:rPr>
          <w:rFonts w:cs="Times New Roman"/>
          <w:i/>
        </w:rPr>
        <w:t>OSBA</w:t>
      </w:r>
      <w:r w:rsidRPr="00DF70FB">
        <w:rPr>
          <w:rFonts w:cs="Times New Roman"/>
        </w:rPr>
        <w:t xml:space="preserve">”), later replaced by the </w:t>
      </w:r>
      <w:r w:rsidRPr="00DF70FB">
        <w:rPr>
          <w:rFonts w:cs="Times New Roman"/>
          <w:i/>
        </w:rPr>
        <w:t>International Financial Services Act</w:t>
      </w:r>
      <w:r w:rsidRPr="00DF70FB">
        <w:rPr>
          <w:rFonts w:cs="Times New Roman"/>
        </w:rPr>
        <w:t xml:space="preserve">, </w:t>
      </w:r>
      <w:r>
        <w:rPr>
          <w:rFonts w:cs="Times New Roman"/>
        </w:rPr>
        <w:t xml:space="preserve">L.R.O. </w:t>
      </w:r>
      <w:r>
        <w:rPr>
          <w:rFonts w:cs="Times New Roman"/>
        </w:rPr>
        <w:lastRenderedPageBreak/>
        <w:t>2007, c</w:t>
      </w:r>
      <w:r w:rsidRPr="00DF70FB">
        <w:rPr>
          <w:rFonts w:cs="Times New Roman"/>
        </w:rPr>
        <w:t>. 325 (“</w:t>
      </w:r>
      <w:r w:rsidRPr="00DF70FB">
        <w:rPr>
          <w:rFonts w:cs="Times New Roman"/>
          <w:i/>
        </w:rPr>
        <w:t>Barbados</w:t>
      </w:r>
      <w:r w:rsidRPr="00DF70FB">
        <w:rPr>
          <w:rFonts w:cs="Times New Roman"/>
        </w:rPr>
        <w:t xml:space="preserve"> </w:t>
      </w:r>
      <w:r w:rsidRPr="00DF70FB">
        <w:rPr>
          <w:rFonts w:cs="Times New Roman"/>
          <w:i/>
        </w:rPr>
        <w:t>IFSA</w:t>
      </w:r>
      <w:r w:rsidRPr="00DF70FB">
        <w:rPr>
          <w:rFonts w:cs="Times New Roman"/>
        </w:rPr>
        <w:t>”). Loblaw Inc. was then renamed Glenhuron Bank L</w:t>
      </w:r>
      <w:r>
        <w:rPr>
          <w:rFonts w:cs="Times New Roman"/>
        </w:rPr>
        <w:t>imited</w:t>
      </w:r>
      <w:r w:rsidRPr="00DF70FB">
        <w:rPr>
          <w:rFonts w:cs="Times New Roman"/>
        </w:rPr>
        <w:t xml:space="preserve"> (“Glenhuron”) and was regulated by the Central Bank of Barbados. Glenhuron’s activities were required to be limited to </w:t>
      </w:r>
      <w:r>
        <w:rPr>
          <w:rFonts w:cs="Times New Roman"/>
        </w:rPr>
        <w:t>those</w:t>
      </w:r>
      <w:r w:rsidRPr="00DF70FB">
        <w:rPr>
          <w:rFonts w:cs="Times New Roman"/>
        </w:rPr>
        <w:t xml:space="preserve"> falling within the definition of “international banking business” </w:t>
      </w:r>
      <w:r>
        <w:rPr>
          <w:rFonts w:cs="Times New Roman"/>
        </w:rPr>
        <w:t>in</w:t>
      </w:r>
      <w:r w:rsidRPr="00DF70FB">
        <w:rPr>
          <w:rFonts w:cs="Times New Roman"/>
        </w:rPr>
        <w:t xml:space="preserve"> s. 4(2) of the </w:t>
      </w:r>
      <w:r w:rsidRPr="00DF70FB">
        <w:rPr>
          <w:rFonts w:cs="Times New Roman"/>
          <w:i/>
        </w:rPr>
        <w:t>Barbados</w:t>
      </w:r>
      <w:r w:rsidRPr="00DF70FB">
        <w:rPr>
          <w:rFonts w:cs="Times New Roman"/>
        </w:rPr>
        <w:t xml:space="preserve"> </w:t>
      </w:r>
      <w:r w:rsidRPr="00DF70FB">
        <w:rPr>
          <w:rFonts w:cs="Times New Roman"/>
          <w:i/>
        </w:rPr>
        <w:t>IFSA</w:t>
      </w:r>
      <w:r w:rsidRPr="00DF70FB">
        <w:rPr>
          <w:rFonts w:cs="Times New Roman"/>
        </w:rPr>
        <w:t>.</w:t>
      </w:r>
    </w:p>
    <w:p w:rsidR="007A59F1" w:rsidRPr="00DF70FB" w:rsidRDefault="007A59F1" w:rsidP="007A59F1">
      <w:pPr>
        <w:pStyle w:val="ParaNoNdepar-AltN"/>
        <w:rPr>
          <w:rFonts w:cs="Times New Roman"/>
        </w:rPr>
      </w:pPr>
      <w:r w:rsidRPr="00DF70FB">
        <w:rPr>
          <w:rFonts w:cs="Times New Roman"/>
        </w:rPr>
        <w:t>Between 1992 and 2000, the Loblaw Group made important capital investments in Glenhuron. Loblaw Financial injected</w:t>
      </w:r>
      <w:r>
        <w:rPr>
          <w:rFonts w:cs="Times New Roman"/>
        </w:rPr>
        <w:t xml:space="preserve"> nearly</w:t>
      </w:r>
      <w:r w:rsidRPr="00DF70FB">
        <w:rPr>
          <w:rFonts w:cs="Times New Roman"/>
        </w:rPr>
        <w:t xml:space="preserve"> $</w:t>
      </w:r>
      <w:r>
        <w:rPr>
          <w:rFonts w:cs="Times New Roman"/>
        </w:rPr>
        <w:t>500</w:t>
      </w:r>
      <w:r w:rsidRPr="00DF70FB">
        <w:rPr>
          <w:rFonts w:cs="Times New Roman"/>
        </w:rPr>
        <w:t xml:space="preserve"> million by subscribing </w:t>
      </w:r>
      <w:r>
        <w:rPr>
          <w:rFonts w:cs="Times New Roman"/>
        </w:rPr>
        <w:t>to</w:t>
      </w:r>
      <w:r w:rsidRPr="00DF70FB">
        <w:rPr>
          <w:rFonts w:cs="Times New Roman"/>
        </w:rPr>
        <w:t xml:space="preserve"> shares, and a Dutch subsidiary invested $1</w:t>
      </w:r>
      <w:r>
        <w:rPr>
          <w:rFonts w:cs="Times New Roman"/>
        </w:rPr>
        <w:t>42</w:t>
      </w:r>
      <w:r w:rsidRPr="00DF70FB">
        <w:rPr>
          <w:rFonts w:cs="Times New Roman"/>
        </w:rPr>
        <w:t xml:space="preserve"> million by subscribing </w:t>
      </w:r>
      <w:r>
        <w:rPr>
          <w:rFonts w:cs="Times New Roman"/>
        </w:rPr>
        <w:t>to</w:t>
      </w:r>
      <w:r w:rsidRPr="00DF70FB">
        <w:rPr>
          <w:rFonts w:cs="Times New Roman"/>
        </w:rPr>
        <w:t xml:space="preserve"> shares and $133 million by</w:t>
      </w:r>
      <w:r>
        <w:rPr>
          <w:rFonts w:cs="Times New Roman"/>
        </w:rPr>
        <w:t xml:space="preserve"> providing interest-free loans.</w:t>
      </w:r>
    </w:p>
    <w:p w:rsidR="007A59F1" w:rsidRPr="00DF70FB" w:rsidRDefault="007A59F1" w:rsidP="007A59F1">
      <w:pPr>
        <w:pStyle w:val="ParaNoNdepar-AltN"/>
        <w:rPr>
          <w:rFonts w:cs="Times New Roman"/>
        </w:rPr>
      </w:pPr>
      <w:r w:rsidRPr="00DF70FB">
        <w:rPr>
          <w:rFonts w:cs="Times New Roman"/>
        </w:rPr>
        <w:t>Glenhuron’s activities can be broken down into the following lines of</w:t>
      </w:r>
      <w:r>
        <w:rPr>
          <w:rFonts w:cs="Times New Roman"/>
        </w:rPr>
        <w:t xml:space="preserve"> business: (1) </w:t>
      </w:r>
      <w:r w:rsidRPr="00DF70FB">
        <w:rPr>
          <w:rFonts w:cs="Times New Roman"/>
        </w:rPr>
        <w:t>short-</w:t>
      </w:r>
      <w:r>
        <w:rPr>
          <w:rFonts w:cs="Times New Roman"/>
        </w:rPr>
        <w:t>term debt securities; (2) </w:t>
      </w:r>
      <w:r w:rsidRPr="00DF70FB">
        <w:rPr>
          <w:rFonts w:cs="Times New Roman"/>
        </w:rPr>
        <w:t xml:space="preserve">asset </w:t>
      </w:r>
      <w:r>
        <w:rPr>
          <w:rFonts w:cs="Times New Roman"/>
        </w:rPr>
        <w:t>management for a fee; (3) </w:t>
      </w:r>
      <w:r w:rsidRPr="00DF70FB">
        <w:rPr>
          <w:rFonts w:cs="Times New Roman"/>
        </w:rPr>
        <w:t>intercorporate loans; (4)</w:t>
      </w:r>
      <w:r>
        <w:rPr>
          <w:rFonts w:cs="Times New Roman"/>
        </w:rPr>
        <w:t> </w:t>
      </w:r>
      <w:r w:rsidRPr="00DF70FB">
        <w:rPr>
          <w:rFonts w:cs="Times New Roman"/>
        </w:rPr>
        <w:t>independent operator loans; (5)</w:t>
      </w:r>
      <w:r>
        <w:rPr>
          <w:rFonts w:cs="Times New Roman"/>
        </w:rPr>
        <w:t> </w:t>
      </w:r>
      <w:r w:rsidRPr="00DF70FB">
        <w:rPr>
          <w:rFonts w:cs="Times New Roman"/>
        </w:rPr>
        <w:t xml:space="preserve">interest rate </w:t>
      </w:r>
      <w:r>
        <w:rPr>
          <w:rFonts w:cs="Times New Roman"/>
        </w:rPr>
        <w:t>and cross</w:t>
      </w:r>
      <w:r>
        <w:rPr>
          <w:rFonts w:cs="Times New Roman"/>
        </w:rPr>
        <w:noBreakHyphen/>
      </w:r>
      <w:r w:rsidRPr="00DF70FB">
        <w:rPr>
          <w:rFonts w:cs="Times New Roman"/>
        </w:rPr>
        <w:t>currency swaps; and (6</w:t>
      </w:r>
      <w:r>
        <w:rPr>
          <w:rFonts w:cs="Times New Roman"/>
        </w:rPr>
        <w:t>) </w:t>
      </w:r>
      <w:r w:rsidRPr="00DF70FB">
        <w:rPr>
          <w:rFonts w:cs="Times New Roman"/>
        </w:rPr>
        <w:t>equity forwards. Every party with assets under management by Glenhuron was related to it, except Waterman Insurance Inc. Nonetheless, many of Glenhuron’s lines of business involved investments with third parties. For example, Glenhuron bought most of its short-term debt securities from Salomon Brothers, Merrill Lynch, and Citibank. It entered into swaps agreements with other financial institutions as well (</w:t>
      </w:r>
      <w:r w:rsidRPr="001F2BDB">
        <w:rPr>
          <w:rFonts w:cs="Times New Roman"/>
        </w:rPr>
        <w:t>e.g.</w:t>
      </w:r>
      <w:r>
        <w:rPr>
          <w:rFonts w:cs="Times New Roman"/>
        </w:rPr>
        <w:t>,</w:t>
      </w:r>
      <w:r w:rsidRPr="00DF70FB">
        <w:rPr>
          <w:rFonts w:cs="Times New Roman"/>
          <w:i/>
        </w:rPr>
        <w:t xml:space="preserve"> </w:t>
      </w:r>
      <w:r w:rsidRPr="00DF70FB">
        <w:rPr>
          <w:rFonts w:cs="Times New Roman"/>
        </w:rPr>
        <w:t xml:space="preserve">UBS, JP Morgan, Gen Re, and ABN AMRO). Moreover, these investments in short-term debt securities and these swaps agreements involving third parties were the most lucrative </w:t>
      </w:r>
      <w:r>
        <w:rPr>
          <w:rFonts w:cs="Times New Roman"/>
        </w:rPr>
        <w:t xml:space="preserve">of its activities </w:t>
      </w:r>
      <w:r w:rsidRPr="00DF70FB">
        <w:rPr>
          <w:rFonts w:cs="Times New Roman"/>
        </w:rPr>
        <w:t xml:space="preserve">by far — representing </w:t>
      </w:r>
      <w:r>
        <w:rPr>
          <w:rFonts w:cs="Times New Roman"/>
        </w:rPr>
        <w:t xml:space="preserve">at least </w:t>
      </w:r>
      <w:r w:rsidRPr="00DF70FB">
        <w:rPr>
          <w:rFonts w:cs="Times New Roman"/>
        </w:rPr>
        <w:t>86</w:t>
      </w:r>
      <w:r>
        <w:rPr>
          <w:rFonts w:cs="Times New Roman"/>
        </w:rPr>
        <w:t> percent</w:t>
      </w:r>
      <w:r w:rsidRPr="00DF70FB">
        <w:rPr>
          <w:rFonts w:cs="Times New Roman"/>
        </w:rPr>
        <w:t xml:space="preserve"> of </w:t>
      </w:r>
      <w:r>
        <w:rPr>
          <w:rFonts w:cs="Times New Roman"/>
        </w:rPr>
        <w:t>it</w:t>
      </w:r>
      <w:r w:rsidRPr="00DF70FB">
        <w:rPr>
          <w:rFonts w:cs="Times New Roman"/>
        </w:rPr>
        <w:t>s total income</w:t>
      </w:r>
      <w:r>
        <w:rPr>
          <w:rFonts w:cs="Times New Roman"/>
        </w:rPr>
        <w:t xml:space="preserve"> during the years in issue</w:t>
      </w:r>
      <w:r w:rsidRPr="00DF70FB">
        <w:rPr>
          <w:rFonts w:cs="Times New Roman"/>
        </w:rPr>
        <w:t xml:space="preserve"> — and mobilized the largest proportion of </w:t>
      </w:r>
      <w:r>
        <w:rPr>
          <w:rFonts w:cs="Times New Roman"/>
        </w:rPr>
        <w:t>its assets.</w:t>
      </w:r>
    </w:p>
    <w:p w:rsidR="007A59F1" w:rsidRPr="00DF70FB" w:rsidRDefault="007A59F1" w:rsidP="007A59F1">
      <w:pPr>
        <w:pStyle w:val="ParaNoNdepar-AltN"/>
        <w:rPr>
          <w:rFonts w:cs="Times New Roman"/>
        </w:rPr>
      </w:pPr>
      <w:r w:rsidRPr="00DF70FB">
        <w:rPr>
          <w:rFonts w:cs="Times New Roman"/>
        </w:rPr>
        <w:lastRenderedPageBreak/>
        <w:t>Due to the success of its financial activities, Glenhuron was able to grow its asset base, primarily through an increase in its retained earnings from approximately $100 million at the end of the 2000 taxation year to approximately $700 million at the end of the 2010 taxation year. Its share capital remained stable during th</w:t>
      </w:r>
      <w:r>
        <w:rPr>
          <w:rFonts w:cs="Times New Roman"/>
        </w:rPr>
        <w:t>at</w:t>
      </w:r>
      <w:r w:rsidRPr="00DF70FB">
        <w:rPr>
          <w:rFonts w:cs="Times New Roman"/>
        </w:rPr>
        <w:t xml:space="preserve"> period, decreasing from $476 million to $443 million following capital distributions and further injections.</w:t>
      </w:r>
    </w:p>
    <w:p w:rsidR="007A59F1" w:rsidRPr="00DF70FB" w:rsidRDefault="007A59F1" w:rsidP="007A59F1">
      <w:pPr>
        <w:pStyle w:val="ParaNoNdepar-AltN"/>
        <w:rPr>
          <w:rFonts w:cs="Times New Roman"/>
        </w:rPr>
      </w:pPr>
      <w:r w:rsidRPr="00DF70FB">
        <w:rPr>
          <w:rFonts w:cs="Times New Roman"/>
        </w:rPr>
        <w:t>In 2013, Glenhuron was dissolved, and its assets were liquidated to provide Loblaw Companies Ltd. with funds for a major acquisition.</w:t>
      </w:r>
    </w:p>
    <w:p w:rsidR="007A59F1" w:rsidRPr="00DF70FB" w:rsidRDefault="007A59F1" w:rsidP="007A59F1">
      <w:pPr>
        <w:pStyle w:val="ParaNoNdepar-AltN"/>
        <w:rPr>
          <w:rFonts w:cs="Times New Roman"/>
        </w:rPr>
      </w:pPr>
      <w:r w:rsidRPr="00DF70FB">
        <w:rPr>
          <w:rFonts w:cs="Times New Roman"/>
        </w:rPr>
        <w:t xml:space="preserve">The dispute between Loblaw Financial and the Crown concerns the application of the FAPI regime to the income earned by Loblaw Financial’s foreign subsidiary Glenhuron. During the years in issue, Loblaw Financial did not include income earned by Glenhuron in its Canadian tax returns as FAPI. It claimed that Glenhuron’s activities were covered by the financial institution exception to the FAPI </w:t>
      </w:r>
      <w:r>
        <w:rPr>
          <w:rFonts w:cs="Times New Roman"/>
        </w:rPr>
        <w:t xml:space="preserve">rules, found in the definition of “investment business” at s. 95(1) of the </w:t>
      </w:r>
      <w:r w:rsidRPr="00090765">
        <w:rPr>
          <w:rFonts w:cs="Times New Roman"/>
          <w:i/>
        </w:rPr>
        <w:t>ITA</w:t>
      </w:r>
      <w:r>
        <w:rPr>
          <w:rFonts w:cs="Times New Roman"/>
        </w:rPr>
        <w:t>,</w:t>
      </w:r>
      <w:r w:rsidRPr="00DF70FB">
        <w:rPr>
          <w:rFonts w:cs="Times New Roman"/>
        </w:rPr>
        <w:t xml:space="preserve"> so that Glenhuron’s income could not be characterized as FAPI. As I will explain in further detail below, four requirements must be met f</w:t>
      </w:r>
      <w:r>
        <w:rPr>
          <w:rFonts w:cs="Times New Roman"/>
        </w:rPr>
        <w:t>or this exception to apply: (1) </w:t>
      </w:r>
      <w:r w:rsidRPr="00DF70FB">
        <w:rPr>
          <w:rFonts w:cs="Times New Roman"/>
        </w:rPr>
        <w:t xml:space="preserve">the CFA </w:t>
      </w:r>
      <w:r>
        <w:rPr>
          <w:rFonts w:cs="Times New Roman"/>
        </w:rPr>
        <w:t>must be</w:t>
      </w:r>
      <w:r w:rsidRPr="00DF70FB">
        <w:rPr>
          <w:rFonts w:cs="Times New Roman"/>
        </w:rPr>
        <w:t xml:space="preserve"> a foreign bank or another financial institution listed in the exception provision</w:t>
      </w:r>
      <w:r>
        <w:rPr>
          <w:rFonts w:cs="Times New Roman"/>
        </w:rPr>
        <w:t>; (2) </w:t>
      </w:r>
      <w:r w:rsidRPr="00DF70FB">
        <w:rPr>
          <w:rFonts w:cs="Times New Roman"/>
        </w:rPr>
        <w:t xml:space="preserve">its activities </w:t>
      </w:r>
      <w:r>
        <w:rPr>
          <w:rFonts w:cs="Times New Roman"/>
        </w:rPr>
        <w:t>must be</w:t>
      </w:r>
      <w:r w:rsidRPr="00DF70FB">
        <w:rPr>
          <w:rFonts w:cs="Times New Roman"/>
        </w:rPr>
        <w:t xml:space="preserve"> r</w:t>
      </w:r>
      <w:r>
        <w:rPr>
          <w:rFonts w:cs="Times New Roman"/>
        </w:rPr>
        <w:t>egulated under foreign law; (3) </w:t>
      </w:r>
      <w:r w:rsidRPr="00DF70FB">
        <w:rPr>
          <w:rFonts w:cs="Times New Roman"/>
        </w:rPr>
        <w:t xml:space="preserve">the CFA </w:t>
      </w:r>
      <w:r>
        <w:rPr>
          <w:rFonts w:cs="Times New Roman"/>
        </w:rPr>
        <w:t xml:space="preserve">must </w:t>
      </w:r>
      <w:r w:rsidRPr="00DF70FB">
        <w:rPr>
          <w:rFonts w:cs="Times New Roman"/>
        </w:rPr>
        <w:t>employ more than five full</w:t>
      </w:r>
      <w:r>
        <w:rPr>
          <w:rFonts w:cs="Times New Roman"/>
        </w:rPr>
        <w:noBreakHyphen/>
      </w:r>
      <w:r w:rsidRPr="00DF70FB">
        <w:rPr>
          <w:rFonts w:cs="Times New Roman"/>
        </w:rPr>
        <w:t>time employees in the active c</w:t>
      </w:r>
      <w:r>
        <w:rPr>
          <w:rFonts w:cs="Times New Roman"/>
        </w:rPr>
        <w:t>onduct of its business; and (4) </w:t>
      </w:r>
      <w:r w:rsidRPr="00DF70FB">
        <w:rPr>
          <w:rFonts w:cs="Times New Roman"/>
        </w:rPr>
        <w:t xml:space="preserve">its business </w:t>
      </w:r>
      <w:r>
        <w:rPr>
          <w:rFonts w:cs="Times New Roman"/>
        </w:rPr>
        <w:t>must be</w:t>
      </w:r>
      <w:r w:rsidRPr="00DF70FB">
        <w:rPr>
          <w:rFonts w:cs="Times New Roman"/>
        </w:rPr>
        <w:t xml:space="preserve"> conducted principally with persons </w:t>
      </w:r>
      <w:r>
        <w:rPr>
          <w:rFonts w:cs="Times New Roman"/>
        </w:rPr>
        <w:t>with whom it deals at arm’s length.</w:t>
      </w:r>
    </w:p>
    <w:p w:rsidR="007A59F1" w:rsidRPr="00DF70FB" w:rsidRDefault="007A59F1" w:rsidP="007A59F1">
      <w:pPr>
        <w:pStyle w:val="ParaNoNdepar-AltN"/>
        <w:rPr>
          <w:rFonts w:cs="Times New Roman"/>
        </w:rPr>
      </w:pPr>
      <w:r w:rsidRPr="00DF70FB">
        <w:rPr>
          <w:rFonts w:cs="Times New Roman"/>
        </w:rPr>
        <w:lastRenderedPageBreak/>
        <w:t xml:space="preserve">The Minister of National Revenue disagreed with Loblaw Financial. In 2015, the Minister thus reassessed Loblaw Financial for the 2001, 2002, 2003, 2004, 2005, 2008, and 2010 </w:t>
      </w:r>
      <w:r>
        <w:rPr>
          <w:rFonts w:cs="Times New Roman"/>
        </w:rPr>
        <w:t xml:space="preserve">taxation years </w:t>
      </w:r>
      <w:r w:rsidRPr="00DF70FB">
        <w:rPr>
          <w:rFonts w:cs="Times New Roman"/>
        </w:rPr>
        <w:t>on the basis that the income earned by Glenhuron was FAPI. The following amounts were added as income realized by Loblaw Financial from its shares in Glenhuron:</w:t>
      </w:r>
    </w:p>
    <w:tbl>
      <w:tblPr>
        <w:tblW w:w="7088"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544"/>
      </w:tblGrid>
      <w:tr w:rsidR="007A59F1" w:rsidRPr="00DF70FB" w:rsidTr="007C35C1">
        <w:tc>
          <w:tcPr>
            <w:tcW w:w="3544" w:type="dxa"/>
            <w:tcBorders>
              <w:top w:val="single" w:sz="4" w:space="0" w:color="auto"/>
              <w:left w:val="single" w:sz="4" w:space="0" w:color="auto"/>
              <w:bottom w:val="single" w:sz="4" w:space="0" w:color="auto"/>
              <w:right w:val="single" w:sz="4" w:space="0" w:color="auto"/>
            </w:tcBorders>
            <w:hideMark/>
          </w:tcPr>
          <w:p w:rsidR="007A59F1" w:rsidRPr="00DF70FB" w:rsidRDefault="007A59F1" w:rsidP="007C35C1">
            <w:pPr>
              <w:ind w:left="1304" w:hanging="1270"/>
              <w:jc w:val="both"/>
            </w:pPr>
            <w:r>
              <w:t>Loblaw Financial Taxation Year</w:t>
            </w:r>
          </w:p>
        </w:tc>
        <w:tc>
          <w:tcPr>
            <w:tcW w:w="3544" w:type="dxa"/>
            <w:tcBorders>
              <w:top w:val="single" w:sz="4" w:space="0" w:color="auto"/>
              <w:left w:val="single" w:sz="4" w:space="0" w:color="auto"/>
              <w:bottom w:val="single" w:sz="4" w:space="0" w:color="auto"/>
              <w:right w:val="single" w:sz="4" w:space="0" w:color="auto"/>
            </w:tcBorders>
            <w:hideMark/>
          </w:tcPr>
          <w:p w:rsidR="007A59F1" w:rsidRPr="00DF70FB" w:rsidRDefault="007A59F1" w:rsidP="007C35C1">
            <w:pPr>
              <w:ind w:left="1304" w:hanging="1254"/>
            </w:pPr>
            <w:r w:rsidRPr="00DF70FB">
              <w:t>FAPI Reassessed (C</w:t>
            </w:r>
            <w:r>
              <w:t>AN</w:t>
            </w:r>
            <w:r w:rsidRPr="00DF70FB">
              <w:t xml:space="preserve"> Dollars) </w:t>
            </w:r>
          </w:p>
        </w:tc>
      </w:tr>
      <w:tr w:rsidR="007A59F1" w:rsidRPr="00DF70FB" w:rsidTr="007C35C1">
        <w:tc>
          <w:tcPr>
            <w:tcW w:w="3544" w:type="dxa"/>
            <w:tcBorders>
              <w:top w:val="single" w:sz="4" w:space="0" w:color="auto"/>
              <w:left w:val="single" w:sz="4" w:space="0" w:color="auto"/>
              <w:bottom w:val="single" w:sz="4" w:space="0" w:color="auto"/>
              <w:right w:val="single" w:sz="4" w:space="0" w:color="auto"/>
            </w:tcBorders>
            <w:hideMark/>
          </w:tcPr>
          <w:p w:rsidR="007A59F1" w:rsidRPr="00DF70FB" w:rsidRDefault="007A59F1" w:rsidP="007C35C1">
            <w:pPr>
              <w:ind w:left="1304" w:hanging="1270"/>
            </w:pPr>
            <w:r>
              <w:t>2001</w:t>
            </w:r>
          </w:p>
        </w:tc>
        <w:tc>
          <w:tcPr>
            <w:tcW w:w="3544" w:type="dxa"/>
            <w:tcBorders>
              <w:top w:val="single" w:sz="4" w:space="0" w:color="auto"/>
              <w:left w:val="single" w:sz="4" w:space="0" w:color="auto"/>
              <w:bottom w:val="single" w:sz="4" w:space="0" w:color="auto"/>
              <w:right w:val="single" w:sz="4" w:space="0" w:color="auto"/>
            </w:tcBorders>
            <w:hideMark/>
          </w:tcPr>
          <w:p w:rsidR="007A59F1" w:rsidRPr="00DF70FB" w:rsidRDefault="007A59F1" w:rsidP="007C35C1">
            <w:pPr>
              <w:ind w:left="1304" w:hanging="1254"/>
            </w:pPr>
            <w:r>
              <w:t>$84,145,457</w:t>
            </w:r>
          </w:p>
        </w:tc>
      </w:tr>
      <w:tr w:rsidR="007A59F1" w:rsidRPr="00DF70FB" w:rsidTr="007C35C1">
        <w:tc>
          <w:tcPr>
            <w:tcW w:w="3544" w:type="dxa"/>
            <w:tcBorders>
              <w:top w:val="single" w:sz="4" w:space="0" w:color="auto"/>
              <w:left w:val="single" w:sz="4" w:space="0" w:color="auto"/>
              <w:bottom w:val="single" w:sz="4" w:space="0" w:color="auto"/>
              <w:right w:val="single" w:sz="4" w:space="0" w:color="auto"/>
            </w:tcBorders>
            <w:hideMark/>
          </w:tcPr>
          <w:p w:rsidR="007A59F1" w:rsidRPr="00DF70FB" w:rsidRDefault="007A59F1" w:rsidP="007C35C1">
            <w:pPr>
              <w:ind w:left="1304" w:hanging="1270"/>
            </w:pPr>
            <w:r>
              <w:t>2002</w:t>
            </w:r>
          </w:p>
        </w:tc>
        <w:tc>
          <w:tcPr>
            <w:tcW w:w="3544" w:type="dxa"/>
            <w:tcBorders>
              <w:top w:val="single" w:sz="4" w:space="0" w:color="auto"/>
              <w:left w:val="single" w:sz="4" w:space="0" w:color="auto"/>
              <w:bottom w:val="single" w:sz="4" w:space="0" w:color="auto"/>
              <w:right w:val="single" w:sz="4" w:space="0" w:color="auto"/>
            </w:tcBorders>
            <w:hideMark/>
          </w:tcPr>
          <w:p w:rsidR="007A59F1" w:rsidRPr="00DF70FB" w:rsidRDefault="007A59F1" w:rsidP="007C35C1">
            <w:pPr>
              <w:ind w:left="1304" w:hanging="1254"/>
            </w:pPr>
            <w:r>
              <w:t>$95,522,133</w:t>
            </w:r>
          </w:p>
        </w:tc>
      </w:tr>
      <w:tr w:rsidR="007A59F1" w:rsidRPr="00DF70FB" w:rsidTr="007C35C1">
        <w:tc>
          <w:tcPr>
            <w:tcW w:w="3544" w:type="dxa"/>
            <w:tcBorders>
              <w:top w:val="single" w:sz="4" w:space="0" w:color="auto"/>
              <w:left w:val="single" w:sz="4" w:space="0" w:color="auto"/>
              <w:bottom w:val="single" w:sz="4" w:space="0" w:color="auto"/>
              <w:right w:val="single" w:sz="4" w:space="0" w:color="auto"/>
            </w:tcBorders>
            <w:hideMark/>
          </w:tcPr>
          <w:p w:rsidR="007A59F1" w:rsidRPr="00DF70FB" w:rsidRDefault="007A59F1" w:rsidP="007C35C1">
            <w:pPr>
              <w:ind w:left="1304" w:hanging="1270"/>
            </w:pPr>
            <w:r>
              <w:t>2003</w:t>
            </w:r>
          </w:p>
        </w:tc>
        <w:tc>
          <w:tcPr>
            <w:tcW w:w="3544" w:type="dxa"/>
            <w:tcBorders>
              <w:top w:val="single" w:sz="4" w:space="0" w:color="auto"/>
              <w:left w:val="single" w:sz="4" w:space="0" w:color="auto"/>
              <w:bottom w:val="single" w:sz="4" w:space="0" w:color="auto"/>
              <w:right w:val="single" w:sz="4" w:space="0" w:color="auto"/>
            </w:tcBorders>
            <w:hideMark/>
          </w:tcPr>
          <w:p w:rsidR="007A59F1" w:rsidRPr="00DF70FB" w:rsidRDefault="007A59F1" w:rsidP="007C35C1">
            <w:pPr>
              <w:ind w:left="1304" w:hanging="1254"/>
            </w:pPr>
            <w:r>
              <w:t>$63,898,088</w:t>
            </w:r>
          </w:p>
        </w:tc>
      </w:tr>
      <w:tr w:rsidR="007A59F1" w:rsidRPr="00DF70FB" w:rsidTr="007C35C1">
        <w:tc>
          <w:tcPr>
            <w:tcW w:w="3544" w:type="dxa"/>
            <w:tcBorders>
              <w:top w:val="single" w:sz="4" w:space="0" w:color="auto"/>
              <w:left w:val="single" w:sz="4" w:space="0" w:color="auto"/>
              <w:bottom w:val="single" w:sz="4" w:space="0" w:color="auto"/>
              <w:right w:val="single" w:sz="4" w:space="0" w:color="auto"/>
            </w:tcBorders>
            <w:hideMark/>
          </w:tcPr>
          <w:p w:rsidR="007A59F1" w:rsidRPr="00DF70FB" w:rsidRDefault="007A59F1" w:rsidP="007C35C1">
            <w:pPr>
              <w:ind w:left="1304" w:hanging="1270"/>
            </w:pPr>
            <w:r>
              <w:t>2004</w:t>
            </w:r>
          </w:p>
        </w:tc>
        <w:tc>
          <w:tcPr>
            <w:tcW w:w="3544" w:type="dxa"/>
            <w:tcBorders>
              <w:top w:val="single" w:sz="4" w:space="0" w:color="auto"/>
              <w:left w:val="single" w:sz="4" w:space="0" w:color="auto"/>
              <w:bottom w:val="single" w:sz="4" w:space="0" w:color="auto"/>
              <w:right w:val="single" w:sz="4" w:space="0" w:color="auto"/>
            </w:tcBorders>
            <w:hideMark/>
          </w:tcPr>
          <w:p w:rsidR="007A59F1" w:rsidRPr="00DF70FB" w:rsidRDefault="007A59F1" w:rsidP="007C35C1">
            <w:pPr>
              <w:ind w:left="1304" w:hanging="1254"/>
            </w:pPr>
            <w:r>
              <w:t>$43,602,018</w:t>
            </w:r>
          </w:p>
        </w:tc>
      </w:tr>
      <w:tr w:rsidR="007A59F1" w:rsidRPr="00DF70FB" w:rsidTr="007C35C1">
        <w:tc>
          <w:tcPr>
            <w:tcW w:w="3544" w:type="dxa"/>
            <w:tcBorders>
              <w:top w:val="single" w:sz="4" w:space="0" w:color="auto"/>
              <w:left w:val="single" w:sz="4" w:space="0" w:color="auto"/>
              <w:bottom w:val="single" w:sz="4" w:space="0" w:color="auto"/>
              <w:right w:val="single" w:sz="4" w:space="0" w:color="auto"/>
            </w:tcBorders>
            <w:hideMark/>
          </w:tcPr>
          <w:p w:rsidR="007A59F1" w:rsidRPr="00DF70FB" w:rsidRDefault="007A59F1" w:rsidP="007C35C1">
            <w:pPr>
              <w:ind w:left="1304" w:hanging="1270"/>
            </w:pPr>
            <w:r>
              <w:t>2005</w:t>
            </w:r>
          </w:p>
        </w:tc>
        <w:tc>
          <w:tcPr>
            <w:tcW w:w="3544" w:type="dxa"/>
            <w:tcBorders>
              <w:top w:val="single" w:sz="4" w:space="0" w:color="auto"/>
              <w:left w:val="single" w:sz="4" w:space="0" w:color="auto"/>
              <w:bottom w:val="single" w:sz="4" w:space="0" w:color="auto"/>
              <w:right w:val="single" w:sz="4" w:space="0" w:color="auto"/>
            </w:tcBorders>
            <w:hideMark/>
          </w:tcPr>
          <w:p w:rsidR="007A59F1" w:rsidRPr="00DF70FB" w:rsidRDefault="007A59F1" w:rsidP="007C35C1">
            <w:pPr>
              <w:ind w:left="1304" w:hanging="1254"/>
            </w:pPr>
            <w:r>
              <w:t>$43,468,016</w:t>
            </w:r>
          </w:p>
        </w:tc>
      </w:tr>
      <w:tr w:rsidR="007A59F1" w:rsidRPr="00DF70FB" w:rsidTr="007C35C1">
        <w:tc>
          <w:tcPr>
            <w:tcW w:w="3544" w:type="dxa"/>
            <w:tcBorders>
              <w:top w:val="single" w:sz="4" w:space="0" w:color="auto"/>
              <w:left w:val="single" w:sz="4" w:space="0" w:color="auto"/>
              <w:bottom w:val="single" w:sz="4" w:space="0" w:color="auto"/>
              <w:right w:val="single" w:sz="4" w:space="0" w:color="auto"/>
            </w:tcBorders>
            <w:hideMark/>
          </w:tcPr>
          <w:p w:rsidR="007A59F1" w:rsidRPr="00DF70FB" w:rsidRDefault="007A59F1" w:rsidP="007C35C1">
            <w:pPr>
              <w:ind w:left="1304" w:hanging="1270"/>
            </w:pPr>
            <w:r>
              <w:t>2008</w:t>
            </w:r>
          </w:p>
        </w:tc>
        <w:tc>
          <w:tcPr>
            <w:tcW w:w="3544" w:type="dxa"/>
            <w:tcBorders>
              <w:top w:val="single" w:sz="4" w:space="0" w:color="auto"/>
              <w:left w:val="single" w:sz="4" w:space="0" w:color="auto"/>
              <w:bottom w:val="single" w:sz="4" w:space="0" w:color="auto"/>
              <w:right w:val="single" w:sz="4" w:space="0" w:color="auto"/>
            </w:tcBorders>
            <w:hideMark/>
          </w:tcPr>
          <w:p w:rsidR="007A59F1" w:rsidRPr="00DF70FB" w:rsidRDefault="007A59F1" w:rsidP="007C35C1">
            <w:pPr>
              <w:ind w:left="1304" w:hanging="1254"/>
            </w:pPr>
            <w:r>
              <w:t>$128,948,511</w:t>
            </w:r>
          </w:p>
        </w:tc>
      </w:tr>
      <w:tr w:rsidR="007A59F1" w:rsidRPr="00DF70FB" w:rsidTr="007C35C1">
        <w:tc>
          <w:tcPr>
            <w:tcW w:w="3544" w:type="dxa"/>
            <w:tcBorders>
              <w:top w:val="single" w:sz="4" w:space="0" w:color="auto"/>
              <w:left w:val="single" w:sz="4" w:space="0" w:color="auto"/>
              <w:bottom w:val="single" w:sz="4" w:space="0" w:color="auto"/>
              <w:right w:val="single" w:sz="4" w:space="0" w:color="auto"/>
            </w:tcBorders>
            <w:hideMark/>
          </w:tcPr>
          <w:p w:rsidR="007A59F1" w:rsidRPr="00DF70FB" w:rsidRDefault="007A59F1" w:rsidP="007C35C1">
            <w:pPr>
              <w:ind w:left="1304" w:hanging="1270"/>
            </w:pPr>
            <w:r>
              <w:t>2010</w:t>
            </w:r>
          </w:p>
        </w:tc>
        <w:tc>
          <w:tcPr>
            <w:tcW w:w="3544" w:type="dxa"/>
            <w:tcBorders>
              <w:top w:val="single" w:sz="4" w:space="0" w:color="auto"/>
              <w:left w:val="single" w:sz="4" w:space="0" w:color="auto"/>
              <w:bottom w:val="single" w:sz="4" w:space="0" w:color="auto"/>
              <w:right w:val="single" w:sz="4" w:space="0" w:color="auto"/>
            </w:tcBorders>
            <w:hideMark/>
          </w:tcPr>
          <w:p w:rsidR="007A59F1" w:rsidRPr="00DF70FB" w:rsidRDefault="007A59F1" w:rsidP="007C35C1">
            <w:pPr>
              <w:ind w:left="1304" w:hanging="1254"/>
            </w:pPr>
            <w:r>
              <w:t>$13,838,390</w:t>
            </w:r>
          </w:p>
        </w:tc>
      </w:tr>
    </w:tbl>
    <w:p w:rsidR="007A59F1" w:rsidRDefault="007A59F1" w:rsidP="007A59F1">
      <w:pPr>
        <w:pStyle w:val="ContinueParaSuitedupar-AltP"/>
        <w:tabs>
          <w:tab w:val="left" w:pos="1701"/>
        </w:tabs>
        <w:ind w:firstLine="1134"/>
      </w:pPr>
      <w:r>
        <w:t>(2018 TCC 182, [2019] 2 C.T.C. 2001, at para. 145)</w:t>
      </w:r>
    </w:p>
    <w:p w:rsidR="007A59F1" w:rsidRPr="00DF70FB" w:rsidRDefault="007A59F1" w:rsidP="007A59F1">
      <w:pPr>
        <w:pStyle w:val="ParaNoNdepar-AltN"/>
        <w:rPr>
          <w:rFonts w:cs="Times New Roman"/>
        </w:rPr>
      </w:pPr>
      <w:r w:rsidRPr="00DF70FB">
        <w:rPr>
          <w:rFonts w:cs="Times New Roman"/>
        </w:rPr>
        <w:t xml:space="preserve">Shortly thereafter, Loblaw Financial filed a </w:t>
      </w:r>
      <w:r>
        <w:rPr>
          <w:rFonts w:cs="Times New Roman"/>
        </w:rPr>
        <w:t>n</w:t>
      </w:r>
      <w:r w:rsidRPr="00DF70FB">
        <w:rPr>
          <w:rFonts w:cs="Times New Roman"/>
        </w:rPr>
        <w:t xml:space="preserve">otice of </w:t>
      </w:r>
      <w:r>
        <w:rPr>
          <w:rFonts w:cs="Times New Roman"/>
        </w:rPr>
        <w:t>o</w:t>
      </w:r>
      <w:r w:rsidRPr="00DF70FB">
        <w:rPr>
          <w:rFonts w:cs="Times New Roman"/>
        </w:rPr>
        <w:t>bjection and then appealed the reassessme</w:t>
      </w:r>
      <w:r>
        <w:rPr>
          <w:rFonts w:cs="Times New Roman"/>
        </w:rPr>
        <w:t>nts to the Tax Court of Canada.</w:t>
      </w:r>
    </w:p>
    <w:p w:rsidR="007A59F1" w:rsidRPr="00DF70FB" w:rsidRDefault="007A59F1" w:rsidP="007A59F1">
      <w:pPr>
        <w:pStyle w:val="Title1LevelTitre1Niveau-AltL"/>
        <w:rPr>
          <w:rFonts w:cs="Times New Roman"/>
        </w:rPr>
      </w:pPr>
      <w:bookmarkStart w:id="2" w:name="_Toc78546488"/>
      <w:bookmarkStart w:id="3" w:name="_Toc86943868"/>
      <w:r w:rsidRPr="00DF70FB">
        <w:rPr>
          <w:rFonts w:cs="Times New Roman"/>
        </w:rPr>
        <w:t>Decisions Below</w:t>
      </w:r>
      <w:bookmarkEnd w:id="2"/>
      <w:bookmarkEnd w:id="3"/>
    </w:p>
    <w:p w:rsidR="007A59F1" w:rsidRPr="00DF70FB" w:rsidRDefault="007A59F1" w:rsidP="007A59F1">
      <w:pPr>
        <w:pStyle w:val="Title2LevelTitre2Niveau"/>
        <w:rPr>
          <w:rFonts w:cs="Times New Roman"/>
        </w:rPr>
      </w:pPr>
      <w:bookmarkStart w:id="4" w:name="_Toc78546489"/>
      <w:bookmarkStart w:id="5" w:name="_Toc86943869"/>
      <w:r w:rsidRPr="00DF70FB">
        <w:rPr>
          <w:rFonts w:cs="Times New Roman"/>
        </w:rPr>
        <w:t>Tax Court of Canada</w:t>
      </w:r>
      <w:r>
        <w:rPr>
          <w:rFonts w:cs="Times New Roman"/>
        </w:rPr>
        <w:t>, 2018 TCC 182, [2019] 2 C.T.C. 2001</w:t>
      </w:r>
      <w:r w:rsidRPr="00DF70FB">
        <w:rPr>
          <w:rFonts w:cs="Times New Roman"/>
        </w:rPr>
        <w:t xml:space="preserve"> (</w:t>
      </w:r>
      <w:r>
        <w:rPr>
          <w:rFonts w:cs="Times New Roman"/>
        </w:rPr>
        <w:t>Miller </w:t>
      </w:r>
      <w:r w:rsidRPr="00DF70FB">
        <w:rPr>
          <w:rFonts w:cs="Times New Roman"/>
        </w:rPr>
        <w:t>J.)</w:t>
      </w:r>
      <w:bookmarkEnd w:id="4"/>
      <w:bookmarkEnd w:id="5"/>
    </w:p>
    <w:p w:rsidR="007A59F1" w:rsidRPr="00DF70FB" w:rsidRDefault="007A59F1" w:rsidP="007A59F1">
      <w:pPr>
        <w:pStyle w:val="ParaNoNdepar-AltN"/>
        <w:rPr>
          <w:rFonts w:cs="Times New Roman"/>
        </w:rPr>
      </w:pPr>
      <w:r w:rsidRPr="00DF70FB">
        <w:rPr>
          <w:rFonts w:cs="Times New Roman"/>
        </w:rPr>
        <w:t xml:space="preserve">The first issue before the Tax Court was whether the financial institution exception applied during the years in issue. If so, Glenhuron’s income would not need to be included as FAPI in Loblaw Financial’s taxable income. The second issue was whether the GAAR precluded Loblaw Financial from availing itself </w:t>
      </w:r>
      <w:r>
        <w:rPr>
          <w:rFonts w:cs="Times New Roman"/>
        </w:rPr>
        <w:t>of the exception.</w:t>
      </w:r>
    </w:p>
    <w:p w:rsidR="007A59F1" w:rsidRPr="00DF70FB" w:rsidRDefault="007A59F1" w:rsidP="007A59F1">
      <w:pPr>
        <w:pStyle w:val="ParaNoNdepar-AltN"/>
        <w:rPr>
          <w:rFonts w:cs="Times New Roman"/>
        </w:rPr>
      </w:pPr>
      <w:r w:rsidRPr="00DF70FB">
        <w:rPr>
          <w:rFonts w:cs="Times New Roman"/>
        </w:rPr>
        <w:lastRenderedPageBreak/>
        <w:t>On the first issue, the Tax Court judge held that the financial institution exception</w:t>
      </w:r>
      <w:r>
        <w:rPr>
          <w:rFonts w:cs="Times New Roman"/>
        </w:rPr>
        <w:t xml:space="preserve"> did not apply</w:t>
      </w:r>
      <w:r w:rsidRPr="00DF70FB">
        <w:rPr>
          <w:rFonts w:cs="Times New Roman"/>
        </w:rPr>
        <w:t>. Although Glenhuron was a regulated foreign bank with more than five full</w:t>
      </w:r>
      <w:r>
        <w:rPr>
          <w:rFonts w:cs="Times New Roman"/>
        </w:rPr>
        <w:noBreakHyphen/>
      </w:r>
      <w:r w:rsidRPr="00DF70FB">
        <w:rPr>
          <w:rFonts w:cs="Times New Roman"/>
        </w:rPr>
        <w:t>time employees, its business was</w:t>
      </w:r>
      <w:r>
        <w:rPr>
          <w:rFonts w:cs="Times New Roman"/>
        </w:rPr>
        <w:t xml:space="preserve"> conducted principally with non</w:t>
      </w:r>
      <w:r>
        <w:rPr>
          <w:rFonts w:cs="Times New Roman"/>
        </w:rPr>
        <w:noBreakHyphen/>
      </w:r>
      <w:r w:rsidRPr="00DF70FB">
        <w:rPr>
          <w:rFonts w:cs="Times New Roman"/>
        </w:rPr>
        <w:t>arm’s length persons. Therefore, only three of the four requirements were satisfied.</w:t>
      </w:r>
    </w:p>
    <w:p w:rsidR="007A59F1" w:rsidRPr="00DF70FB" w:rsidRDefault="007A59F1" w:rsidP="007A59F1">
      <w:pPr>
        <w:pStyle w:val="ParaNoNdepar-AltN"/>
        <w:rPr>
          <w:rFonts w:cs="Times New Roman"/>
        </w:rPr>
      </w:pPr>
      <w:r w:rsidRPr="00DF70FB">
        <w:rPr>
          <w:rFonts w:cs="Times New Roman"/>
        </w:rPr>
        <w:t>In order to apply the arm’s length requirement, the Tax Court judge first had to determine the scope of Glenhuron’s relevant business. To do so, he relied on the definition of “international banking business” under Barbad</w:t>
      </w:r>
      <w:r>
        <w:rPr>
          <w:rFonts w:cs="Times New Roman"/>
        </w:rPr>
        <w:t>ian</w:t>
      </w:r>
      <w:r w:rsidRPr="00DF70FB">
        <w:rPr>
          <w:rFonts w:cs="Times New Roman"/>
        </w:rPr>
        <w:t xml:space="preserve"> law. Pursuant to th</w:t>
      </w:r>
      <w:r>
        <w:rPr>
          <w:rFonts w:cs="Times New Roman"/>
        </w:rPr>
        <w:t>at</w:t>
      </w:r>
      <w:r w:rsidRPr="00DF70FB">
        <w:rPr>
          <w:rFonts w:cs="Times New Roman"/>
        </w:rPr>
        <w:t xml:space="preserve"> definition, he saw Glenhuron’s business as a Barbados international bank </w:t>
      </w:r>
      <w:r>
        <w:rPr>
          <w:rFonts w:cs="Times New Roman"/>
        </w:rPr>
        <w:t xml:space="preserve">as being </w:t>
      </w:r>
      <w:r w:rsidRPr="00DF70FB">
        <w:rPr>
          <w:rFonts w:cs="Times New Roman"/>
        </w:rPr>
        <w:t xml:space="preserve">comprised of </w:t>
      </w:r>
      <w:r>
        <w:rPr>
          <w:rFonts w:cs="Times New Roman"/>
        </w:rPr>
        <w:t>two basic elements: (1) the receipt of funds; and (2) </w:t>
      </w:r>
      <w:r w:rsidRPr="00DF70FB">
        <w:rPr>
          <w:rFonts w:cs="Times New Roman"/>
        </w:rPr>
        <w:t xml:space="preserve">the use of funds. In order to determine how these two elements fit within the arm’s length test, the Tax Court judge turned to the purpose underlying the arm’s length requirement. He found that the requirement </w:t>
      </w:r>
      <w:r>
        <w:rPr>
          <w:rFonts w:cs="Times New Roman"/>
        </w:rPr>
        <w:t>is</w:t>
      </w:r>
      <w:r w:rsidRPr="00DF70FB">
        <w:rPr>
          <w:rFonts w:cs="Times New Roman"/>
        </w:rPr>
        <w:t xml:space="preserve"> aimed </w:t>
      </w:r>
      <w:r>
        <w:rPr>
          <w:rFonts w:cs="Times New Roman"/>
        </w:rPr>
        <w:t xml:space="preserve">primarily </w:t>
      </w:r>
      <w:r w:rsidRPr="00DF70FB">
        <w:rPr>
          <w:rFonts w:cs="Times New Roman"/>
        </w:rPr>
        <w:t xml:space="preserve">at promoting competition between foreign affiliates and other businesses in their respective foreign markets. Given this purpose, the judge opined that the </w:t>
      </w:r>
      <w:r w:rsidRPr="00DF70FB">
        <w:rPr>
          <w:rFonts w:cs="Times New Roman"/>
          <w:i/>
        </w:rPr>
        <w:t>receipt side</w:t>
      </w:r>
      <w:r w:rsidRPr="00DF70FB">
        <w:rPr>
          <w:rFonts w:cs="Times New Roman"/>
        </w:rPr>
        <w:t xml:space="preserve"> should be given greater weight in the analysis, because this is the side of a banking business that involves the highest measure of competiti</w:t>
      </w:r>
      <w:r>
        <w:rPr>
          <w:rFonts w:cs="Times New Roman"/>
        </w:rPr>
        <w:t>veness</w:t>
      </w:r>
      <w:r w:rsidRPr="00DF70FB">
        <w:rPr>
          <w:rFonts w:cs="Times New Roman"/>
        </w:rPr>
        <w:t>.</w:t>
      </w:r>
    </w:p>
    <w:p w:rsidR="007A59F1" w:rsidRPr="00DF70FB" w:rsidRDefault="007A59F1" w:rsidP="007A59F1">
      <w:pPr>
        <w:pStyle w:val="ParaNoNdepar-AltN"/>
        <w:rPr>
          <w:rFonts w:cs="Times New Roman"/>
        </w:rPr>
      </w:pPr>
      <w:r w:rsidRPr="00DF70FB">
        <w:rPr>
          <w:rFonts w:cs="Times New Roman"/>
        </w:rPr>
        <w:t xml:space="preserve">On the receipt side, the Tax Court judge found that Glenhuron was </w:t>
      </w:r>
      <w:r>
        <w:rPr>
          <w:rFonts w:cs="Times New Roman"/>
        </w:rPr>
        <w:t>overwhelmingly dealing with non</w:t>
      </w:r>
      <w:r>
        <w:rPr>
          <w:rFonts w:cs="Times New Roman"/>
        </w:rPr>
        <w:noBreakHyphen/>
      </w:r>
      <w:r w:rsidRPr="00DF70FB">
        <w:rPr>
          <w:rFonts w:cs="Times New Roman"/>
        </w:rPr>
        <w:t xml:space="preserve">arm’s length persons. In his analysis, he included all receipts of funds indiscriminately, thereby treating capital injections by shareholders and lenders like any other receipt of funds. As such, the judge compared the funds received from Waterman Insurance Inc. (the only arm’s length person on the receipt </w:t>
      </w:r>
      <w:r w:rsidRPr="00DF70FB">
        <w:rPr>
          <w:rFonts w:cs="Times New Roman"/>
        </w:rPr>
        <w:lastRenderedPageBreak/>
        <w:t xml:space="preserve">side) to the totality of assets under Glenhuron’s management, including funds received from shareholders and lenders, and retained earnings reinvested by Glenhuron. He found that the funds received from arm’s length persons were a </w:t>
      </w:r>
      <w:r>
        <w:rPr>
          <w:rFonts w:cs="Times New Roman"/>
        </w:rPr>
        <w:t>mere d</w:t>
      </w:r>
      <w:r w:rsidRPr="00DF70FB">
        <w:rPr>
          <w:rFonts w:cs="Times New Roman"/>
        </w:rPr>
        <w:t>rop in the ocean: never more than $18 million a year in comparison to assets under management ranging from $175 million to $1.2 </w:t>
      </w:r>
      <w:r>
        <w:rPr>
          <w:rFonts w:cs="Times New Roman"/>
        </w:rPr>
        <w:t>billion.</w:t>
      </w:r>
    </w:p>
    <w:p w:rsidR="007A59F1" w:rsidRPr="00DF70FB" w:rsidRDefault="007A59F1" w:rsidP="007A59F1">
      <w:pPr>
        <w:pStyle w:val="ParaNoNdepar-AltN"/>
        <w:rPr>
          <w:rFonts w:cs="Times New Roman"/>
        </w:rPr>
      </w:pPr>
      <w:r w:rsidRPr="00DF70FB">
        <w:rPr>
          <w:rFonts w:cs="Times New Roman"/>
        </w:rPr>
        <w:t xml:space="preserve">On the use side, the Tax Court judge also found that Glenhuron was principally </w:t>
      </w:r>
      <w:r>
        <w:rPr>
          <w:rFonts w:cs="Times New Roman"/>
        </w:rPr>
        <w:t>dealing with non</w:t>
      </w:r>
      <w:r>
        <w:rPr>
          <w:rFonts w:cs="Times New Roman"/>
        </w:rPr>
        <w:noBreakHyphen/>
      </w:r>
      <w:r w:rsidRPr="00DF70FB">
        <w:rPr>
          <w:rFonts w:cs="Times New Roman"/>
        </w:rPr>
        <w:t>arm’s length persons. First, he viewed Glenhuron’s use of funds as, in essence, the management of an investment portfolio on the Loblaw Group’s behalf, with the objective of making “as much money as possible for Mr. Weston</w:t>
      </w:r>
      <w:r>
        <w:rPr>
          <w:rFonts w:cs="Times New Roman"/>
        </w:rPr>
        <w:t xml:space="preserve">” </w:t>
      </w:r>
      <w:r w:rsidRPr="00DF70FB">
        <w:rPr>
          <w:rFonts w:cs="Times New Roman"/>
        </w:rPr>
        <w:t xml:space="preserve">and for Loblaw (paras. 242 and 246). Second, he regarded the influence of the Loblaw Group’s central management as “pervad[ing] the conduct of business” because of </w:t>
      </w:r>
      <w:r>
        <w:rPr>
          <w:rFonts w:cs="Times New Roman"/>
        </w:rPr>
        <w:t>the Group’s</w:t>
      </w:r>
      <w:r w:rsidRPr="00DF70FB">
        <w:rPr>
          <w:rFonts w:cs="Times New Roman"/>
        </w:rPr>
        <w:t xml:space="preserve"> close oversight of Glenhuron’s investment activities via derivative policies, regular reporting requirements, and regular attendance </w:t>
      </w:r>
      <w:r>
        <w:rPr>
          <w:rFonts w:cs="Times New Roman"/>
        </w:rPr>
        <w:t>at</w:t>
      </w:r>
      <w:r w:rsidRPr="00DF70FB">
        <w:rPr>
          <w:rFonts w:cs="Times New Roman"/>
        </w:rPr>
        <w:t xml:space="preserve"> board meetings (para. 247)</w:t>
      </w:r>
      <w:r>
        <w:rPr>
          <w:rFonts w:cs="Times New Roman"/>
        </w:rPr>
        <w:t>.</w:t>
      </w:r>
    </w:p>
    <w:p w:rsidR="007A59F1" w:rsidRPr="00DF70FB" w:rsidRDefault="007A59F1" w:rsidP="007A59F1">
      <w:pPr>
        <w:pStyle w:val="ParaNoNdepar-AltN"/>
        <w:rPr>
          <w:rFonts w:cs="Times New Roman"/>
        </w:rPr>
      </w:pPr>
      <w:r w:rsidRPr="00DF70FB">
        <w:rPr>
          <w:rFonts w:cs="Times New Roman"/>
        </w:rPr>
        <w:t>Because Glenhuron w</w:t>
      </w:r>
      <w:r>
        <w:rPr>
          <w:rFonts w:cs="Times New Roman"/>
        </w:rPr>
        <w:t>as dealing principally with non</w:t>
      </w:r>
      <w:r>
        <w:rPr>
          <w:rFonts w:cs="Times New Roman"/>
        </w:rPr>
        <w:noBreakHyphen/>
      </w:r>
      <w:r w:rsidRPr="00DF70FB">
        <w:rPr>
          <w:rFonts w:cs="Times New Roman"/>
        </w:rPr>
        <w:t xml:space="preserve">arm’s length persons on both sides, the Tax Court judge held that the financial institution exception was not available. Therefore, Glenhuron’s income </w:t>
      </w:r>
      <w:r>
        <w:rPr>
          <w:rFonts w:cs="Times New Roman"/>
        </w:rPr>
        <w:t xml:space="preserve">derived </w:t>
      </w:r>
      <w:r w:rsidRPr="00DF70FB">
        <w:rPr>
          <w:rFonts w:cs="Times New Roman"/>
        </w:rPr>
        <w:t xml:space="preserve">from its investment business had to be included in Loblaw Financial’s taxable income as FAPI for the years in issue, and the judge </w:t>
      </w:r>
      <w:r>
        <w:rPr>
          <w:rFonts w:cs="Times New Roman"/>
        </w:rPr>
        <w:t>upheld the Minister’s determination</w:t>
      </w:r>
      <w:r w:rsidRPr="00DF70FB">
        <w:rPr>
          <w:rFonts w:cs="Times New Roman"/>
        </w:rPr>
        <w:t xml:space="preserve"> on that basis.</w:t>
      </w:r>
    </w:p>
    <w:p w:rsidR="007A59F1" w:rsidRPr="00DF70FB" w:rsidRDefault="007A59F1" w:rsidP="007A59F1">
      <w:pPr>
        <w:pStyle w:val="ParaNoNdepar-AltN"/>
        <w:rPr>
          <w:rFonts w:cs="Times New Roman"/>
        </w:rPr>
      </w:pPr>
      <w:r w:rsidRPr="00DF70FB">
        <w:rPr>
          <w:rFonts w:cs="Times New Roman"/>
        </w:rPr>
        <w:t xml:space="preserve">The Tax Court judge also analyzed in </w:t>
      </w:r>
      <w:r w:rsidRPr="00DF70FB">
        <w:rPr>
          <w:rFonts w:cs="Times New Roman"/>
          <w:i/>
        </w:rPr>
        <w:t xml:space="preserve">obiter </w:t>
      </w:r>
      <w:r w:rsidRPr="00DF70FB">
        <w:rPr>
          <w:rFonts w:cs="Times New Roman"/>
        </w:rPr>
        <w:t>the second issue and held that the GAAR did not apply because Glenhuron’s incorporation, name change, and licence renewals were not a series of avoidance transactions.</w:t>
      </w:r>
    </w:p>
    <w:p w:rsidR="007A59F1" w:rsidRPr="00DF70FB" w:rsidRDefault="007A59F1" w:rsidP="007A59F1">
      <w:pPr>
        <w:pStyle w:val="Title2LevelTitre2Niveau"/>
        <w:rPr>
          <w:rFonts w:cs="Times New Roman"/>
        </w:rPr>
      </w:pPr>
      <w:bookmarkStart w:id="6" w:name="_Toc78546490"/>
      <w:bookmarkStart w:id="7" w:name="_Toc86943870"/>
      <w:r w:rsidRPr="00DF70FB">
        <w:rPr>
          <w:rFonts w:cs="Times New Roman"/>
        </w:rPr>
        <w:lastRenderedPageBreak/>
        <w:t>Federal Court of Appeal</w:t>
      </w:r>
      <w:r>
        <w:rPr>
          <w:rFonts w:cs="Times New Roman"/>
        </w:rPr>
        <w:t>, 2020 FCA 79, [2020] 3 F.C.R. 481</w:t>
      </w:r>
      <w:r w:rsidRPr="00DF70FB">
        <w:rPr>
          <w:rFonts w:cs="Times New Roman"/>
        </w:rPr>
        <w:t xml:space="preserve"> (Woods, Laskin and Mactavish</w:t>
      </w:r>
      <w:r>
        <w:rPr>
          <w:rFonts w:cs="Times New Roman"/>
        </w:rPr>
        <w:t> </w:t>
      </w:r>
      <w:r w:rsidRPr="00DF70FB">
        <w:rPr>
          <w:rFonts w:cs="Times New Roman"/>
        </w:rPr>
        <w:t>JJ.A.)</w:t>
      </w:r>
      <w:bookmarkEnd w:id="6"/>
      <w:bookmarkEnd w:id="7"/>
    </w:p>
    <w:p w:rsidR="007A59F1" w:rsidRPr="00DF70FB" w:rsidRDefault="007A59F1" w:rsidP="007A59F1">
      <w:pPr>
        <w:pStyle w:val="ParaNoNdepar-AltN"/>
        <w:rPr>
          <w:rFonts w:cs="Times New Roman"/>
        </w:rPr>
      </w:pPr>
      <w:r w:rsidRPr="00DF70FB">
        <w:rPr>
          <w:rFonts w:cs="Times New Roman"/>
        </w:rPr>
        <w:t xml:space="preserve">Loblaw Financial appealed the Tax Court judge’s decision pertaining to the arm’s length requirement. For </w:t>
      </w:r>
      <w:r>
        <w:rPr>
          <w:rFonts w:cs="Times New Roman"/>
        </w:rPr>
        <w:t>its</w:t>
      </w:r>
      <w:r w:rsidRPr="00DF70FB">
        <w:rPr>
          <w:rFonts w:cs="Times New Roman"/>
        </w:rPr>
        <w:t xml:space="preserve"> part, the Crown did not cross-appeal the judge’s findings </w:t>
      </w:r>
      <w:r>
        <w:rPr>
          <w:rFonts w:cs="Times New Roman"/>
        </w:rPr>
        <w:t>on</w:t>
      </w:r>
      <w:r w:rsidRPr="00DF70FB">
        <w:rPr>
          <w:rFonts w:cs="Times New Roman"/>
        </w:rPr>
        <w:t xml:space="preserve"> the other </w:t>
      </w:r>
      <w:r>
        <w:rPr>
          <w:rFonts w:cs="Times New Roman"/>
        </w:rPr>
        <w:t xml:space="preserve">three </w:t>
      </w:r>
      <w:r w:rsidRPr="00DF70FB">
        <w:rPr>
          <w:rFonts w:cs="Times New Roman"/>
        </w:rPr>
        <w:t xml:space="preserve">requirements of the financial institution exception. Nor did the Crown challenge his decision about the GAAR. Therefore, the sole issue before the Federal Court of Appeal </w:t>
      </w:r>
      <w:r>
        <w:rPr>
          <w:rFonts w:cs="Times New Roman"/>
        </w:rPr>
        <w:t>concerned</w:t>
      </w:r>
      <w:r w:rsidRPr="00DF70FB">
        <w:rPr>
          <w:rFonts w:cs="Times New Roman"/>
        </w:rPr>
        <w:t xml:space="preserve"> the arm’s length requirement.</w:t>
      </w:r>
    </w:p>
    <w:p w:rsidR="007A59F1" w:rsidRPr="00DF70FB" w:rsidRDefault="007A59F1" w:rsidP="007A59F1">
      <w:pPr>
        <w:pStyle w:val="ParaNoNdepar-AltN"/>
        <w:rPr>
          <w:rFonts w:cs="Times New Roman"/>
        </w:rPr>
      </w:pPr>
      <w:r w:rsidRPr="00DF70FB">
        <w:rPr>
          <w:rFonts w:cs="Times New Roman"/>
        </w:rPr>
        <w:t xml:space="preserve">The Federal Court of Appeal disagreed with the Tax Court judge’s interpretation of the arm’s length requirement. According to the unanimous panel, the Tax Court judge’s starting point was incorrect. The Federal Court of Appeal referred to this Court’s decision in </w:t>
      </w:r>
      <w:r w:rsidRPr="00DF70FB">
        <w:rPr>
          <w:rFonts w:cs="Times New Roman"/>
          <w:bCs/>
          <w:i/>
        </w:rPr>
        <w:t>Canadian Pioneer Management Ltd. v. Labour Relations Board of Saskatchewan</w:t>
      </w:r>
      <w:r w:rsidRPr="00DF70FB">
        <w:rPr>
          <w:rFonts w:cs="Times New Roman"/>
          <w:bCs/>
        </w:rPr>
        <w:t xml:space="preserve">, [1980] 1 S.C.R. 433, </w:t>
      </w:r>
      <w:r w:rsidRPr="00DF70FB">
        <w:rPr>
          <w:rFonts w:cs="Times New Roman"/>
        </w:rPr>
        <w:t xml:space="preserve">as rejecting any substantive approach to </w:t>
      </w:r>
      <w:r>
        <w:rPr>
          <w:rFonts w:cs="Times New Roman"/>
        </w:rPr>
        <w:t>defining</w:t>
      </w:r>
      <w:r w:rsidRPr="00DF70FB">
        <w:rPr>
          <w:rFonts w:cs="Times New Roman"/>
        </w:rPr>
        <w:t xml:space="preserve"> “banking business” and as mandating a formal, institutional approach</w:t>
      </w:r>
      <w:r>
        <w:rPr>
          <w:rFonts w:cs="Times New Roman"/>
        </w:rPr>
        <w:t xml:space="preserve"> instead</w:t>
      </w:r>
      <w:r w:rsidRPr="00DF70FB">
        <w:rPr>
          <w:rFonts w:cs="Times New Roman"/>
        </w:rPr>
        <w:t xml:space="preserve">. Pursuant to that formal approach, what matters is whether the institution represents itself as a bank and is formally considered as such, not </w:t>
      </w:r>
      <w:r>
        <w:rPr>
          <w:rFonts w:cs="Times New Roman"/>
        </w:rPr>
        <w:t xml:space="preserve">what </w:t>
      </w:r>
      <w:r w:rsidRPr="00DF70FB">
        <w:rPr>
          <w:rFonts w:cs="Times New Roman"/>
        </w:rPr>
        <w:t xml:space="preserve">specific activities </w:t>
      </w:r>
      <w:r>
        <w:rPr>
          <w:rFonts w:cs="Times New Roman"/>
        </w:rPr>
        <w:t xml:space="preserve">are </w:t>
      </w:r>
      <w:r w:rsidRPr="00DF70FB">
        <w:rPr>
          <w:rFonts w:cs="Times New Roman"/>
        </w:rPr>
        <w:t xml:space="preserve">conducted in practice. The Federal Court of Appeal was therefore of the opinion that the Tax Court judge should not have relied on the Barbados </w:t>
      </w:r>
      <w:r>
        <w:rPr>
          <w:rFonts w:cs="Times New Roman"/>
        </w:rPr>
        <w:t>statutory</w:t>
      </w:r>
      <w:r w:rsidRPr="00DF70FB">
        <w:rPr>
          <w:rFonts w:cs="Times New Roman"/>
        </w:rPr>
        <w:t xml:space="preserve"> definition of “international banking business” describing th</w:t>
      </w:r>
      <w:r>
        <w:rPr>
          <w:rFonts w:cs="Times New Roman"/>
        </w:rPr>
        <w:t>e</w:t>
      </w:r>
      <w:r w:rsidRPr="00DF70FB">
        <w:rPr>
          <w:rFonts w:cs="Times New Roman"/>
        </w:rPr>
        <w:t xml:space="preserve"> business </w:t>
      </w:r>
      <w:r>
        <w:rPr>
          <w:rFonts w:cs="Times New Roman"/>
        </w:rPr>
        <w:t xml:space="preserve">of a bank </w:t>
      </w:r>
      <w:r w:rsidRPr="00DF70FB">
        <w:rPr>
          <w:rFonts w:cs="Times New Roman"/>
        </w:rPr>
        <w:t>as compris</w:t>
      </w:r>
      <w:r>
        <w:rPr>
          <w:rFonts w:cs="Times New Roman"/>
        </w:rPr>
        <w:t xml:space="preserve">ing </w:t>
      </w:r>
      <w:r w:rsidRPr="00DF70FB">
        <w:rPr>
          <w:rFonts w:cs="Times New Roman"/>
        </w:rPr>
        <w:t>two aspects — </w:t>
      </w:r>
      <w:r>
        <w:rPr>
          <w:rFonts w:cs="Times New Roman"/>
        </w:rPr>
        <w:t>the receipt and use of funds.</w:t>
      </w:r>
    </w:p>
    <w:p w:rsidR="007A59F1" w:rsidRPr="00DF70FB" w:rsidRDefault="007A59F1" w:rsidP="007A59F1">
      <w:pPr>
        <w:pStyle w:val="ParaNoNdepar-AltN"/>
        <w:rPr>
          <w:rFonts w:cs="Times New Roman"/>
        </w:rPr>
      </w:pPr>
      <w:r w:rsidRPr="00DF70FB">
        <w:rPr>
          <w:rFonts w:cs="Times New Roman"/>
        </w:rPr>
        <w:t xml:space="preserve">In passing, the Federal Court of Appeal also criticized the Tax Court judge’s reliance on the purpose of fostering international competition in order to give </w:t>
      </w:r>
      <w:r w:rsidRPr="00DF70FB">
        <w:rPr>
          <w:rFonts w:cs="Times New Roman"/>
        </w:rPr>
        <w:lastRenderedPageBreak/>
        <w:t>greater weight to the receipt of funds, describing it as an inappropriate reliance on “an unexpres</w:t>
      </w:r>
      <w:r>
        <w:rPr>
          <w:rFonts w:cs="Times New Roman"/>
        </w:rPr>
        <w:t>sed legislative intent” that had</w:t>
      </w:r>
      <w:r w:rsidRPr="00DF70FB">
        <w:rPr>
          <w:rFonts w:cs="Times New Roman"/>
        </w:rPr>
        <w:t xml:space="preserve"> no place in the interpretation of a scheme “drafted with mind-numbing detail” (para. 58</w:t>
      </w:r>
      <w:r>
        <w:rPr>
          <w:rFonts w:cs="Times New Roman"/>
        </w:rPr>
        <w:t>).</w:t>
      </w:r>
    </w:p>
    <w:p w:rsidR="007A59F1" w:rsidRPr="00DF70FB" w:rsidRDefault="007A59F1" w:rsidP="007A59F1">
      <w:pPr>
        <w:pStyle w:val="ParaNoNdepar-AltN"/>
        <w:rPr>
          <w:rFonts w:cs="Times New Roman"/>
        </w:rPr>
      </w:pPr>
      <w:r w:rsidRPr="00DF70FB">
        <w:rPr>
          <w:rFonts w:cs="Times New Roman"/>
        </w:rPr>
        <w:t>Th</w:t>
      </w:r>
      <w:r>
        <w:rPr>
          <w:rFonts w:cs="Times New Roman"/>
        </w:rPr>
        <w:t>us, th</w:t>
      </w:r>
      <w:r w:rsidRPr="00DF70FB">
        <w:rPr>
          <w:rFonts w:cs="Times New Roman"/>
        </w:rPr>
        <w:t>e Court of Appeal preferred to rely on the traditional definition of “business” used in tax matters</w:t>
      </w:r>
      <w:r>
        <w:rPr>
          <w:rFonts w:cs="Times New Roman"/>
        </w:rPr>
        <w:t xml:space="preserve"> instead</w:t>
      </w:r>
      <w:r w:rsidRPr="00DF70FB">
        <w:rPr>
          <w:rFonts w:cs="Times New Roman"/>
        </w:rPr>
        <w:t>. That definition provides that “business” designates the activities that “occup</w:t>
      </w:r>
      <w:r>
        <w:rPr>
          <w:rFonts w:cs="Times New Roman"/>
        </w:rPr>
        <w:t>[</w:t>
      </w:r>
      <w:r w:rsidRPr="00DF70FB">
        <w:rPr>
          <w:rFonts w:cs="Times New Roman"/>
        </w:rPr>
        <w:t>y</w:t>
      </w:r>
      <w:r>
        <w:rPr>
          <w:rFonts w:cs="Times New Roman"/>
        </w:rPr>
        <w:t>]</w:t>
      </w:r>
      <w:r w:rsidRPr="00DF70FB">
        <w:rPr>
          <w:rFonts w:cs="Times New Roman"/>
        </w:rPr>
        <w:t xml:space="preserve"> the time and attention and labour of a man for the purpose of profit” (para. 82, quoting </w:t>
      </w:r>
      <w:r w:rsidRPr="00DF70FB">
        <w:rPr>
          <w:rFonts w:cs="Times New Roman"/>
          <w:i/>
        </w:rPr>
        <w:t xml:space="preserve">Smith v. Anderson </w:t>
      </w:r>
      <w:r w:rsidRPr="00DF70FB">
        <w:rPr>
          <w:rFonts w:cs="Times New Roman"/>
        </w:rPr>
        <w:t>(1880), 15 Ch. D. 247</w:t>
      </w:r>
      <w:r>
        <w:rPr>
          <w:rFonts w:cs="Times New Roman"/>
        </w:rPr>
        <w:t xml:space="preserve"> (C.A.)</w:t>
      </w:r>
      <w:r w:rsidRPr="00DF70FB">
        <w:rPr>
          <w:rFonts w:cs="Times New Roman"/>
        </w:rPr>
        <w:t>, at p. 258</w:t>
      </w:r>
      <w:r>
        <w:rPr>
          <w:rFonts w:cs="Times New Roman"/>
        </w:rPr>
        <w:t>,</w:t>
      </w:r>
      <w:r w:rsidRPr="00DF70FB">
        <w:rPr>
          <w:rFonts w:cs="Times New Roman"/>
        </w:rPr>
        <w:t xml:space="preserve"> and referring to s. 248(1) “</w:t>
      </w:r>
      <w:r w:rsidRPr="009C6D63">
        <w:rPr>
          <w:rFonts w:cs="Times New Roman"/>
        </w:rPr>
        <w:t>business</w:t>
      </w:r>
      <w:r w:rsidRPr="00DF70FB">
        <w:rPr>
          <w:rFonts w:cs="Times New Roman"/>
        </w:rPr>
        <w:t xml:space="preserve">” of the </w:t>
      </w:r>
      <w:r w:rsidRPr="00DF70FB">
        <w:rPr>
          <w:rFonts w:cs="Times New Roman"/>
          <w:i/>
        </w:rPr>
        <w:t>ITA</w:t>
      </w:r>
      <w:r w:rsidRPr="00DF70FB">
        <w:rPr>
          <w:rFonts w:cs="Times New Roman"/>
        </w:rPr>
        <w:t>). It followed that only Glenhuron’s income-earning a</w:t>
      </w:r>
      <w:r>
        <w:rPr>
          <w:rFonts w:cs="Times New Roman"/>
        </w:rPr>
        <w:t>ctivities had to be considered.</w:t>
      </w:r>
    </w:p>
    <w:p w:rsidR="007A59F1" w:rsidRPr="00DF70FB" w:rsidRDefault="007A59F1" w:rsidP="007A59F1">
      <w:pPr>
        <w:pStyle w:val="ParaNoNdepar-AltN"/>
        <w:rPr>
          <w:rFonts w:cs="Times New Roman"/>
        </w:rPr>
      </w:pPr>
      <w:r w:rsidRPr="00DF70FB">
        <w:rPr>
          <w:rFonts w:cs="Times New Roman"/>
        </w:rPr>
        <w:t>The Federal Court of Appeal added that direction, support</w:t>
      </w:r>
      <w:r>
        <w:rPr>
          <w:rFonts w:cs="Times New Roman"/>
        </w:rPr>
        <w:t>,</w:t>
      </w:r>
      <w:r w:rsidRPr="00DF70FB">
        <w:rPr>
          <w:rFonts w:cs="Times New Roman"/>
        </w:rPr>
        <w:t xml:space="preserve"> and oversight by the parent corporation should not have been considered by the Tax Court judge, because these interactions are not income-earning activities and thus do not amount to “conducting business with” the CFA. Moreover, capital investments made by the Loblaw Group were not part of Glenhuron’s business as they did not occupy </w:t>
      </w:r>
      <w:r>
        <w:rPr>
          <w:rFonts w:cs="Times New Roman"/>
        </w:rPr>
        <w:t>Glenhuron’s</w:t>
      </w:r>
      <w:r w:rsidRPr="00DF70FB">
        <w:rPr>
          <w:rFonts w:cs="Times New Roman"/>
        </w:rPr>
        <w:t xml:space="preserve"> time and attention in any meaningful way. Their exclusion was “consistent with long-standing jurisprudence which draws a distinction between ‘capital to enable [people] to conduct their enterprises’ and ‘the activities by which they earn their income’” (para. 85, quoting </w:t>
      </w:r>
      <w:r w:rsidRPr="00DF70FB">
        <w:rPr>
          <w:rFonts w:cs="Times New Roman"/>
          <w:i/>
          <w:iCs/>
        </w:rPr>
        <w:t>Bennett &amp; White</w:t>
      </w:r>
      <w:r>
        <w:rPr>
          <w:rFonts w:cs="Times New Roman"/>
        </w:rPr>
        <w:t xml:space="preserve"> </w:t>
      </w:r>
      <w:r w:rsidRPr="00DF70FB">
        <w:rPr>
          <w:rFonts w:cs="Times New Roman"/>
          <w:i/>
          <w:iCs/>
        </w:rPr>
        <w:t>Construction Co. v. Minister of National Revenue</w:t>
      </w:r>
      <w:r w:rsidRPr="00DF70FB">
        <w:rPr>
          <w:rFonts w:cs="Times New Roman"/>
        </w:rPr>
        <w:t>, [1949] S.C.R. 287, at p. </w:t>
      </w:r>
      <w:r>
        <w:rPr>
          <w:rFonts w:cs="Times New Roman"/>
        </w:rPr>
        <w:t>298 (text in brackets in original)</w:t>
      </w:r>
      <w:r w:rsidRPr="00DF70FB">
        <w:rPr>
          <w:rFonts w:cs="Times New Roman"/>
        </w:rPr>
        <w:t>).</w:t>
      </w:r>
    </w:p>
    <w:p w:rsidR="007A59F1" w:rsidRPr="00DF70FB" w:rsidRDefault="007A59F1" w:rsidP="007A59F1">
      <w:pPr>
        <w:pStyle w:val="ParaNoNdepar-AltN"/>
        <w:rPr>
          <w:rFonts w:cs="Times New Roman"/>
        </w:rPr>
      </w:pPr>
      <w:r w:rsidRPr="00DF70FB">
        <w:rPr>
          <w:rFonts w:cs="Times New Roman"/>
        </w:rPr>
        <w:t>Having determined the scope of the business that must be considered for the purpose</w:t>
      </w:r>
      <w:r>
        <w:rPr>
          <w:rFonts w:cs="Times New Roman"/>
        </w:rPr>
        <w:t>s</w:t>
      </w:r>
      <w:r w:rsidRPr="00DF70FB">
        <w:rPr>
          <w:rFonts w:cs="Times New Roman"/>
        </w:rPr>
        <w:t xml:space="preserve"> of the arm’s length requirement, the Federal Court of Appeal then </w:t>
      </w:r>
      <w:r w:rsidRPr="00DF70FB">
        <w:rPr>
          <w:rFonts w:cs="Times New Roman"/>
        </w:rPr>
        <w:lastRenderedPageBreak/>
        <w:t>analyzed Glenhuron’s income-earning activities and found that Glenhuron was dealing principally with arm’s length persons. Indeed, short-term debt securities, cross</w:t>
      </w:r>
      <w:r w:rsidRPr="00DF70FB">
        <w:rPr>
          <w:rFonts w:cs="Times New Roman"/>
        </w:rPr>
        <w:noBreakHyphen/>
        <w:t xml:space="preserve">currency swaps, and interest swaps — all activities conducted with arm’s length persons — were the most lucrative activities undertaken by Glenhuron and those </w:t>
      </w:r>
      <w:r>
        <w:rPr>
          <w:rFonts w:cs="Times New Roman"/>
        </w:rPr>
        <w:t xml:space="preserve">in which </w:t>
      </w:r>
      <w:r w:rsidRPr="00DF70FB">
        <w:rPr>
          <w:rFonts w:cs="Times New Roman"/>
        </w:rPr>
        <w:t>most of its assets were invested. Therefore, Loblaw Financial was entitled to the benefit of the financial institution exception and did not need to include Glenhuron’s income as FAPI. The only exception was the fee income earned fr</w:t>
      </w:r>
      <w:r>
        <w:rPr>
          <w:rFonts w:cs="Times New Roman"/>
        </w:rPr>
        <w:t>om managing investments for non</w:t>
      </w:r>
      <w:r>
        <w:rPr>
          <w:rFonts w:cs="Times New Roman"/>
        </w:rPr>
        <w:noBreakHyphen/>
      </w:r>
      <w:r w:rsidRPr="00DF70FB">
        <w:rPr>
          <w:rFonts w:cs="Times New Roman"/>
        </w:rPr>
        <w:t>arm’s length persons, which the parties had conceded was FAPI</w:t>
      </w:r>
      <w:r>
        <w:rPr>
          <w:rFonts w:cs="Times New Roman"/>
        </w:rPr>
        <w:t xml:space="preserve"> as it was deemed by s. 95(2)(b) to be income from a “business other than an active business”</w:t>
      </w:r>
      <w:r w:rsidRPr="00DF70FB">
        <w:rPr>
          <w:rFonts w:cs="Times New Roman"/>
        </w:rPr>
        <w:t>. For these reasons, the court allowed the appeal and referred the reassessments back to the Minister for reconsideration on the basis that only the fee income earned by Glenhuron from its management of Loblaw Group’s assets</w:t>
      </w:r>
      <w:r>
        <w:rPr>
          <w:rFonts w:cs="Times New Roman"/>
        </w:rPr>
        <w:t xml:space="preserve"> was FAPI.</w:t>
      </w:r>
    </w:p>
    <w:p w:rsidR="007A59F1" w:rsidRPr="00DF70FB" w:rsidRDefault="007A59F1" w:rsidP="007A59F1">
      <w:pPr>
        <w:pStyle w:val="Title1LevelTitre1Niveau-AltL"/>
        <w:ind w:left="578" w:hanging="578"/>
        <w:rPr>
          <w:rFonts w:cs="Times New Roman"/>
        </w:rPr>
      </w:pPr>
      <w:bookmarkStart w:id="8" w:name="_Toc78546491"/>
      <w:bookmarkStart w:id="9" w:name="_Toc86943871"/>
      <w:r w:rsidRPr="00DF70FB">
        <w:rPr>
          <w:rFonts w:cs="Times New Roman"/>
        </w:rPr>
        <w:t>Issue</w:t>
      </w:r>
      <w:bookmarkEnd w:id="8"/>
      <w:bookmarkEnd w:id="9"/>
    </w:p>
    <w:p w:rsidR="007A59F1" w:rsidRPr="00DF70FB" w:rsidRDefault="007A59F1" w:rsidP="007A59F1">
      <w:pPr>
        <w:pStyle w:val="ParaNoNdepar-AltN"/>
        <w:rPr>
          <w:rFonts w:cs="Times New Roman"/>
        </w:rPr>
      </w:pPr>
      <w:r w:rsidRPr="00DF70FB">
        <w:rPr>
          <w:rFonts w:cs="Times New Roman"/>
        </w:rPr>
        <w:t xml:space="preserve">In this appeal, the sole issue is whether Glenhuron conducted business principally with persons with whom it was dealing at arm’s length during the taxation years in issue. If it did, Loblaw Financial can </w:t>
      </w:r>
      <w:r w:rsidRPr="00DF70FB">
        <w:rPr>
          <w:rFonts w:cs="Times New Roman"/>
          <w:lang w:val="en-US"/>
        </w:rPr>
        <w:t xml:space="preserve">avail itself </w:t>
      </w:r>
      <w:r w:rsidRPr="00DF70FB">
        <w:rPr>
          <w:rFonts w:cs="Times New Roman"/>
        </w:rPr>
        <w:t>of the financial institution exception, and the portion of Glenhuron’s income that is not caught by s. 95(2)(b)(i) will not be FAPI. Since there is no dispute as to the activities</w:t>
      </w:r>
      <w:r>
        <w:rPr>
          <w:rFonts w:cs="Times New Roman"/>
        </w:rPr>
        <w:t xml:space="preserve"> carried on by Glenhuron</w:t>
      </w:r>
      <w:r w:rsidRPr="00DF70FB">
        <w:rPr>
          <w:rFonts w:cs="Times New Roman"/>
        </w:rPr>
        <w:t>, the appeal boils down to what it means to conduct business, a narrow question of statutory interpretation.</w:t>
      </w:r>
    </w:p>
    <w:p w:rsidR="007A59F1" w:rsidRPr="00DF70FB" w:rsidRDefault="007A59F1" w:rsidP="007A59F1">
      <w:pPr>
        <w:pStyle w:val="Title1LevelTitre1Niveau-AltL"/>
        <w:ind w:left="578" w:hanging="578"/>
        <w:rPr>
          <w:rFonts w:cs="Times New Roman"/>
        </w:rPr>
      </w:pPr>
      <w:bookmarkStart w:id="10" w:name="_Toc78546492"/>
      <w:bookmarkStart w:id="11" w:name="_Toc86943872"/>
      <w:r w:rsidRPr="00DF70FB">
        <w:rPr>
          <w:rFonts w:cs="Times New Roman"/>
        </w:rPr>
        <w:lastRenderedPageBreak/>
        <w:t>Analysis</w:t>
      </w:r>
      <w:bookmarkEnd w:id="10"/>
      <w:bookmarkEnd w:id="11"/>
    </w:p>
    <w:p w:rsidR="007A59F1" w:rsidRPr="00DF70FB" w:rsidRDefault="007A59F1" w:rsidP="007A59F1">
      <w:pPr>
        <w:pStyle w:val="Title2LevelTitre2Niveau"/>
        <w:ind w:left="578" w:hanging="578"/>
        <w:rPr>
          <w:rFonts w:cs="Times New Roman"/>
        </w:rPr>
      </w:pPr>
      <w:bookmarkStart w:id="12" w:name="_Toc78546493"/>
      <w:bookmarkStart w:id="13" w:name="_Toc86943873"/>
      <w:r w:rsidRPr="00DF70FB">
        <w:rPr>
          <w:rFonts w:cs="Times New Roman"/>
        </w:rPr>
        <w:t>FAPI Regime</w:t>
      </w:r>
      <w:bookmarkEnd w:id="12"/>
      <w:bookmarkEnd w:id="13"/>
    </w:p>
    <w:p w:rsidR="007A59F1" w:rsidRPr="00DF70FB" w:rsidRDefault="007A59F1" w:rsidP="007A59F1">
      <w:pPr>
        <w:pStyle w:val="ParaNoNdepar-AltN"/>
        <w:rPr>
          <w:rFonts w:cs="Times New Roman"/>
        </w:rPr>
      </w:pPr>
      <w:r w:rsidRPr="00DF70FB">
        <w:rPr>
          <w:rFonts w:cs="Times New Roman"/>
        </w:rPr>
        <w:t>The FAPI regime is regarded as one of the most complex tax schemes</w:t>
      </w:r>
      <w:r>
        <w:rPr>
          <w:rFonts w:cs="Times New Roman"/>
        </w:rPr>
        <w:t>,</w:t>
      </w:r>
      <w:r w:rsidRPr="00DF70FB">
        <w:rPr>
          <w:rFonts w:cs="Times New Roman"/>
          <w:i/>
        </w:rPr>
        <w:t xml:space="preserve"> </w:t>
      </w:r>
      <w:r w:rsidRPr="00DF70FB">
        <w:rPr>
          <w:rFonts w:cs="Times New Roman"/>
        </w:rPr>
        <w:t xml:space="preserve">with hundreds of definitions, rules, and exceptions </w:t>
      </w:r>
      <w:r>
        <w:rPr>
          <w:rFonts w:cs="Times New Roman"/>
        </w:rPr>
        <w:t xml:space="preserve">that </w:t>
      </w:r>
      <w:r w:rsidRPr="00DF70FB">
        <w:rPr>
          <w:rFonts w:cs="Times New Roman"/>
        </w:rPr>
        <w:t>shift regularly</w:t>
      </w:r>
      <w:r w:rsidRPr="00DF70FB">
        <w:rPr>
          <w:rFonts w:cs="Times New Roman"/>
          <w:i/>
        </w:rPr>
        <w:t>.</w:t>
      </w:r>
      <w:r w:rsidRPr="00DF70FB">
        <w:rPr>
          <w:rFonts w:cs="Times New Roman"/>
        </w:rPr>
        <w:t xml:space="preserve"> Given this complexity, I will limit myself to a broad description of this regime, and some intricate subtleties will be omitted in the process.</w:t>
      </w:r>
    </w:p>
    <w:p w:rsidR="007A59F1" w:rsidRPr="00DF70FB" w:rsidRDefault="007A59F1" w:rsidP="007A59F1">
      <w:pPr>
        <w:pStyle w:val="ParaNoNdepar-AltN"/>
        <w:rPr>
          <w:rFonts w:cs="Times New Roman"/>
        </w:rPr>
      </w:pPr>
      <w:r w:rsidRPr="00DF70FB">
        <w:rPr>
          <w:rFonts w:cs="Times New Roman"/>
        </w:rPr>
        <w:t>Some Canadian taxpayers find it more attractive to park their passive investments in low-tax jurisdictions an</w:t>
      </w:r>
      <w:r>
        <w:rPr>
          <w:rFonts w:cs="Times New Roman"/>
        </w:rPr>
        <w:t>d earn income there through non</w:t>
      </w:r>
      <w:r>
        <w:rPr>
          <w:rFonts w:cs="Times New Roman"/>
        </w:rPr>
        <w:noBreakHyphen/>
      </w:r>
      <w:r w:rsidRPr="00DF70FB">
        <w:rPr>
          <w:rFonts w:cs="Times New Roman"/>
        </w:rPr>
        <w:t>resident corporations, rather than to earn investment income directly in Canada and be subject to higher taxes (N. Pantaleo and M. Smart, “International Considerations”</w:t>
      </w:r>
      <w:r>
        <w:rPr>
          <w:rFonts w:cs="Times New Roman"/>
        </w:rPr>
        <w:t>,</w:t>
      </w:r>
      <w:r w:rsidRPr="00DF70FB">
        <w:rPr>
          <w:rFonts w:cs="Times New Roman"/>
        </w:rPr>
        <w:t xml:space="preserve"> in H. Kerr</w:t>
      </w:r>
      <w:r>
        <w:rPr>
          <w:rFonts w:cs="Times New Roman"/>
        </w:rPr>
        <w:t>, K. McKenzie and J. Mintz</w:t>
      </w:r>
      <w:r w:rsidRPr="00DF70FB">
        <w:rPr>
          <w:rFonts w:cs="Times New Roman"/>
        </w:rPr>
        <w:t>,</w:t>
      </w:r>
      <w:r>
        <w:rPr>
          <w:rFonts w:cs="Times New Roman"/>
        </w:rPr>
        <w:t xml:space="preserve"> eds.,</w:t>
      </w:r>
      <w:r w:rsidRPr="00DF70FB">
        <w:rPr>
          <w:rFonts w:cs="Times New Roman"/>
        </w:rPr>
        <w:t xml:space="preserve"> </w:t>
      </w:r>
      <w:r w:rsidRPr="00DF70FB">
        <w:rPr>
          <w:rFonts w:cs="Times New Roman"/>
          <w:i/>
        </w:rPr>
        <w:t>Tax Policy in Canada</w:t>
      </w:r>
      <w:r w:rsidRPr="00DF70FB">
        <w:rPr>
          <w:rFonts w:cs="Times New Roman"/>
        </w:rPr>
        <w:t xml:space="preserve"> (2012), </w:t>
      </w:r>
      <w:r>
        <w:rPr>
          <w:rFonts w:cs="Times New Roman"/>
        </w:rPr>
        <w:t xml:space="preserve">12:1, </w:t>
      </w:r>
      <w:r w:rsidRPr="00DF70FB">
        <w:rPr>
          <w:rFonts w:cs="Times New Roman"/>
        </w:rPr>
        <w:t>at p. 12:14). The FAPI regime seeks to remove this advantage by requiring Canadian taxpayers to include, as income from their shares, certain types of income earned by their CFAs</w:t>
      </w:r>
      <w:r w:rsidRPr="00531406">
        <w:rPr>
          <w:rStyle w:val="Hyperlink"/>
          <w:vertAlign w:val="superscript"/>
        </w:rPr>
        <w:footnoteReference w:id="2"/>
      </w:r>
      <w:r w:rsidRPr="00DF70FB">
        <w:rPr>
          <w:rFonts w:cs="Times New Roman"/>
        </w:rPr>
        <w:t xml:space="preserve"> in their annual tax returns in Canada on an accrual basis (s. 91(1) of the </w:t>
      </w:r>
      <w:r w:rsidRPr="00DF70FB">
        <w:rPr>
          <w:rFonts w:cs="Times New Roman"/>
          <w:i/>
        </w:rPr>
        <w:t>ITA</w:t>
      </w:r>
      <w:r>
        <w:rPr>
          <w:rFonts w:cs="Times New Roman"/>
        </w:rPr>
        <w:t>; B. Holmes and I. </w:t>
      </w:r>
      <w:r w:rsidRPr="00DF70FB">
        <w:rPr>
          <w:rFonts w:cs="Times New Roman"/>
        </w:rPr>
        <w:t xml:space="preserve">Gamble, </w:t>
      </w:r>
      <w:r w:rsidRPr="00DF70FB">
        <w:rPr>
          <w:rFonts w:cs="Times New Roman"/>
          <w:i/>
        </w:rPr>
        <w:t>The Foreign Affiliate Rules</w:t>
      </w:r>
      <w:r w:rsidRPr="00DF70FB">
        <w:rPr>
          <w:rFonts w:cs="Times New Roman"/>
        </w:rPr>
        <w:t xml:space="preserve"> (2020), at p. 81). The </w:t>
      </w:r>
      <w:r w:rsidRPr="00DF70FB">
        <w:rPr>
          <w:rFonts w:cs="Times New Roman"/>
          <w:i/>
        </w:rPr>
        <w:t xml:space="preserve">ITA </w:t>
      </w:r>
      <w:r w:rsidRPr="00DF70FB">
        <w:rPr>
          <w:rFonts w:cs="Times New Roman"/>
        </w:rPr>
        <w:t xml:space="preserve">provides, however, </w:t>
      </w:r>
      <w:r>
        <w:rPr>
          <w:rFonts w:cs="Times New Roman"/>
        </w:rPr>
        <w:t xml:space="preserve">for </w:t>
      </w:r>
      <w:r w:rsidRPr="00DF70FB">
        <w:rPr>
          <w:rFonts w:cs="Times New Roman"/>
        </w:rPr>
        <w:t xml:space="preserve">several mechanisms </w:t>
      </w:r>
      <w:r>
        <w:rPr>
          <w:rFonts w:cs="Times New Roman"/>
        </w:rPr>
        <w:t xml:space="preserve">to </w:t>
      </w:r>
      <w:r w:rsidRPr="00DF70FB">
        <w:rPr>
          <w:rFonts w:cs="Times New Roman"/>
        </w:rPr>
        <w:t>prevent double taxation (</w:t>
      </w:r>
      <w:r w:rsidRPr="009C6D63">
        <w:rPr>
          <w:rFonts w:cs="Times New Roman"/>
        </w:rPr>
        <w:t>e.g.</w:t>
      </w:r>
      <w:r>
        <w:rPr>
          <w:rFonts w:cs="Times New Roman"/>
        </w:rPr>
        <w:t>,</w:t>
      </w:r>
      <w:r w:rsidRPr="00DF70FB">
        <w:rPr>
          <w:rFonts w:cs="Times New Roman"/>
          <w:i/>
        </w:rPr>
        <w:t xml:space="preserve"> </w:t>
      </w:r>
      <w:r w:rsidRPr="00DF70FB">
        <w:rPr>
          <w:rFonts w:cs="Times New Roman"/>
        </w:rPr>
        <w:t xml:space="preserve">ss. 91(4) and </w:t>
      </w:r>
      <w:r>
        <w:rPr>
          <w:rFonts w:cs="Times New Roman"/>
        </w:rPr>
        <w:t>91</w:t>
      </w:r>
      <w:r w:rsidRPr="00DF70FB">
        <w:rPr>
          <w:rFonts w:cs="Times New Roman"/>
        </w:rPr>
        <w:t>(5)).</w:t>
      </w:r>
    </w:p>
    <w:p w:rsidR="007A59F1" w:rsidRPr="00DF70FB" w:rsidRDefault="007A59F1" w:rsidP="007A59F1">
      <w:pPr>
        <w:pStyle w:val="ParaNoNdepar-AltN"/>
        <w:rPr>
          <w:rFonts w:cs="Times New Roman"/>
        </w:rPr>
      </w:pPr>
      <w:r w:rsidRPr="00DF70FB">
        <w:rPr>
          <w:rFonts w:cs="Times New Roman"/>
        </w:rPr>
        <w:t xml:space="preserve">Because FAPI is calculated on an accrual basis, the regime creates an exception to the deferral approach to </w:t>
      </w:r>
      <w:r>
        <w:rPr>
          <w:rFonts w:cs="Times New Roman"/>
        </w:rPr>
        <w:t xml:space="preserve">the </w:t>
      </w:r>
      <w:r w:rsidRPr="00DF70FB">
        <w:rPr>
          <w:rFonts w:cs="Times New Roman"/>
        </w:rPr>
        <w:t xml:space="preserve">taxation of shareholders. Shareholders do not </w:t>
      </w:r>
      <w:r w:rsidRPr="00DF70FB">
        <w:rPr>
          <w:rFonts w:cs="Times New Roman"/>
        </w:rPr>
        <w:lastRenderedPageBreak/>
        <w:t xml:space="preserve">ordinarily pay tax on income earned by the corporation whose shares they own until this income is distributed as dividends. Under the FAPI regime, </w:t>
      </w:r>
      <w:r>
        <w:rPr>
          <w:rFonts w:cs="Times New Roman"/>
        </w:rPr>
        <w:t xml:space="preserve">however, </w:t>
      </w:r>
      <w:r w:rsidRPr="00DF70FB">
        <w:rPr>
          <w:rFonts w:cs="Times New Roman"/>
        </w:rPr>
        <w:t xml:space="preserve">shareholders are taxed on the undistributed income earned by their CFAs as it is earned. They are thus denied the benefit of deferral (V. Krishna, </w:t>
      </w:r>
      <w:r w:rsidRPr="009C6D63">
        <w:rPr>
          <w:rFonts w:cs="Times New Roman"/>
          <w:i/>
        </w:rPr>
        <w:t>Halsbury’s Laws of Canada:</w:t>
      </w:r>
      <w:r>
        <w:rPr>
          <w:rFonts w:cs="Times New Roman"/>
        </w:rPr>
        <w:t xml:space="preserve"> </w:t>
      </w:r>
      <w:r w:rsidRPr="00DF70FB">
        <w:rPr>
          <w:rFonts w:cs="Times New Roman"/>
          <w:i/>
        </w:rPr>
        <w:t>Income Tax (International)</w:t>
      </w:r>
      <w:r w:rsidRPr="00DF70FB">
        <w:rPr>
          <w:rFonts w:cs="Times New Roman"/>
        </w:rPr>
        <w:t xml:space="preserve"> (2019 Reissue), at HTI-15)</w:t>
      </w:r>
      <w:r>
        <w:rPr>
          <w:rFonts w:cs="Times New Roman"/>
        </w:rPr>
        <w:t>.</w:t>
      </w:r>
    </w:p>
    <w:p w:rsidR="007A59F1" w:rsidRPr="00DF70FB" w:rsidRDefault="007A59F1" w:rsidP="007A59F1">
      <w:pPr>
        <w:pStyle w:val="ParaNoNdepar-AltN"/>
        <w:rPr>
          <w:rFonts w:cs="Times New Roman"/>
        </w:rPr>
      </w:pPr>
      <w:r w:rsidRPr="00DF70FB">
        <w:rPr>
          <w:rFonts w:cs="Times New Roman"/>
        </w:rPr>
        <w:t xml:space="preserve">Importantly, the FAPI regime does not apply to all types of income. Broadly speaking, the </w:t>
      </w:r>
      <w:r w:rsidRPr="00DF70FB">
        <w:rPr>
          <w:rFonts w:cs="Times New Roman"/>
          <w:i/>
        </w:rPr>
        <w:t>ITA</w:t>
      </w:r>
      <w:r w:rsidRPr="00DF70FB">
        <w:rPr>
          <w:rFonts w:cs="Times New Roman"/>
        </w:rPr>
        <w:t xml:space="preserve"> considers passive income (</w:t>
      </w:r>
      <w:r w:rsidRPr="009C6D63">
        <w:rPr>
          <w:rFonts w:cs="Times New Roman"/>
        </w:rPr>
        <w:t>e.g.</w:t>
      </w:r>
      <w:r>
        <w:rPr>
          <w:rFonts w:cs="Times New Roman"/>
        </w:rPr>
        <w:t>,</w:t>
      </w:r>
      <w:r w:rsidRPr="00DF70FB">
        <w:rPr>
          <w:rFonts w:cs="Times New Roman"/>
          <w:i/>
        </w:rPr>
        <w:t xml:space="preserve"> </w:t>
      </w:r>
      <w:r w:rsidRPr="00DF70FB">
        <w:rPr>
          <w:rFonts w:cs="Times New Roman"/>
        </w:rPr>
        <w:t xml:space="preserve">dividends, interests, royalties, and capital gains) </w:t>
      </w:r>
      <w:r>
        <w:rPr>
          <w:rFonts w:cs="Times New Roman"/>
        </w:rPr>
        <w:t xml:space="preserve">to be FAPI </w:t>
      </w:r>
      <w:r w:rsidRPr="00DF70FB">
        <w:rPr>
          <w:rFonts w:cs="Times New Roman"/>
        </w:rPr>
        <w:t xml:space="preserve">and active income not </w:t>
      </w:r>
      <w:r>
        <w:rPr>
          <w:rFonts w:cs="Times New Roman"/>
        </w:rPr>
        <w:t>to be</w:t>
      </w:r>
      <w:r w:rsidRPr="00DF70FB">
        <w:rPr>
          <w:rFonts w:cs="Times New Roman"/>
        </w:rPr>
        <w:t xml:space="preserve"> FAPI. The interplay between the principle of capital export neutrality and the protection of the competitiveness of Canadian businesses operating internationally explains this distinction (</w:t>
      </w:r>
      <w:r>
        <w:rPr>
          <w:rFonts w:cs="Times New Roman"/>
        </w:rPr>
        <w:t xml:space="preserve">Office of the Auditor General, </w:t>
      </w:r>
      <w:r w:rsidRPr="00DF70FB">
        <w:rPr>
          <w:rFonts w:cs="Times New Roman"/>
          <w:i/>
          <w:lang w:val="x-none"/>
        </w:rPr>
        <w:t>Report of the Auditor General</w:t>
      </w:r>
      <w:r w:rsidRPr="009C6D63">
        <w:rPr>
          <w:rFonts w:cs="Times New Roman"/>
          <w:i/>
          <w:lang w:val="en-US"/>
        </w:rPr>
        <w:t xml:space="preserve"> of Canada</w:t>
      </w:r>
      <w:r w:rsidRPr="00DF70FB">
        <w:rPr>
          <w:rFonts w:cs="Times New Roman"/>
          <w:i/>
          <w:lang w:val="x-none"/>
        </w:rPr>
        <w:t xml:space="preserve"> to the House of Commons, 1992</w:t>
      </w:r>
      <w:r w:rsidRPr="009C6D63">
        <w:rPr>
          <w:rFonts w:cs="Times New Roman"/>
          <w:i/>
          <w:lang w:val="en-US"/>
        </w:rPr>
        <w:t xml:space="preserve"> </w:t>
      </w:r>
      <w:r>
        <w:rPr>
          <w:rFonts w:cs="Times New Roman"/>
          <w:lang w:val="en-US"/>
        </w:rPr>
        <w:t>(1992)</w:t>
      </w:r>
      <w:r w:rsidRPr="00DF70FB">
        <w:rPr>
          <w:rFonts w:cs="Times New Roman"/>
        </w:rPr>
        <w:t>, at pp. 51</w:t>
      </w:r>
      <w:r>
        <w:rPr>
          <w:rFonts w:cs="Times New Roman"/>
        </w:rPr>
        <w:noBreakHyphen/>
        <w:t>5</w:t>
      </w:r>
      <w:r w:rsidRPr="00DF70FB">
        <w:rPr>
          <w:rFonts w:cs="Times New Roman"/>
        </w:rPr>
        <w:t>2). Capital export neutrality seeks to make “</w:t>
      </w:r>
      <w:r>
        <w:rPr>
          <w:rFonts w:cs="Times New Roman"/>
        </w:rPr>
        <w:t>[</w:t>
      </w:r>
      <w:r w:rsidRPr="00DF70FB">
        <w:rPr>
          <w:rFonts w:cs="Times New Roman"/>
        </w:rPr>
        <w:t>i</w:t>
      </w:r>
      <w:r>
        <w:rPr>
          <w:rFonts w:cs="Times New Roman"/>
        </w:rPr>
        <w:t>]</w:t>
      </w:r>
      <w:r w:rsidRPr="00DF70FB">
        <w:rPr>
          <w:rFonts w:cs="Times New Roman"/>
        </w:rPr>
        <w:t xml:space="preserve">nvestors . . . pay the same rate of tax on income from foreign investment as on income from domestic investment” (Pantaleo and Smart, at p. 12:25). As a consequence, taxpayers face neither an advantage nor a disadvantage in investing locally or abroad, </w:t>
      </w:r>
      <w:r>
        <w:rPr>
          <w:rFonts w:cs="Times New Roman"/>
        </w:rPr>
        <w:t xml:space="preserve">as </w:t>
      </w:r>
      <w:r w:rsidRPr="00DF70FB">
        <w:rPr>
          <w:rFonts w:cs="Times New Roman"/>
        </w:rPr>
        <w:t xml:space="preserve">the two </w:t>
      </w:r>
      <w:r>
        <w:rPr>
          <w:rFonts w:cs="Times New Roman"/>
        </w:rPr>
        <w:t xml:space="preserve">are </w:t>
      </w:r>
      <w:r w:rsidRPr="00DF70FB">
        <w:rPr>
          <w:rFonts w:cs="Times New Roman"/>
        </w:rPr>
        <w:t xml:space="preserve">fiscally equivalent. If this principle were applied absolutely, however, it would cripple the competitiveness of Canadian businesses and weaken Canada’s economic prosperity. Indeed, imposing an extra layer of Canadian taxes in addition to foreign taxes on Canadian corporations conducting business abroad </w:t>
      </w:r>
      <w:r>
        <w:rPr>
          <w:rFonts w:cs="Times New Roman"/>
        </w:rPr>
        <w:t>could</w:t>
      </w:r>
      <w:r w:rsidRPr="00DF70FB">
        <w:rPr>
          <w:rFonts w:cs="Times New Roman"/>
        </w:rPr>
        <w:t xml:space="preserve"> place them at a competitive disadvantage in comparison to other foreign corporations paying only local, foreign taxes (Department of Finance, </w:t>
      </w:r>
      <w:r w:rsidRPr="00DF70FB">
        <w:rPr>
          <w:rFonts w:cs="Times New Roman"/>
          <w:i/>
        </w:rPr>
        <w:t xml:space="preserve">Tax Measures: Supplementary Information </w:t>
      </w:r>
      <w:r w:rsidRPr="00DF70FB">
        <w:rPr>
          <w:rFonts w:cs="Times New Roman"/>
        </w:rPr>
        <w:t>(1994), at p. 33)</w:t>
      </w:r>
      <w:r>
        <w:rPr>
          <w:rFonts w:cs="Times New Roman"/>
        </w:rPr>
        <w:t>.</w:t>
      </w:r>
    </w:p>
    <w:p w:rsidR="007A59F1" w:rsidRPr="00DF70FB" w:rsidRDefault="007A59F1" w:rsidP="007A59F1">
      <w:pPr>
        <w:pStyle w:val="ParaNoNdepar-AltN"/>
        <w:rPr>
          <w:rFonts w:cs="Times New Roman"/>
        </w:rPr>
      </w:pPr>
      <w:r w:rsidRPr="00DF70FB">
        <w:rPr>
          <w:rFonts w:cs="Times New Roman"/>
        </w:rPr>
        <w:lastRenderedPageBreak/>
        <w:t xml:space="preserve">However, this distinction between active and passive income is not watertight, with certain active income considered </w:t>
      </w:r>
      <w:r>
        <w:rPr>
          <w:rFonts w:cs="Times New Roman"/>
        </w:rPr>
        <w:t>to be</w:t>
      </w:r>
      <w:r w:rsidRPr="00DF70FB">
        <w:rPr>
          <w:rFonts w:cs="Times New Roman"/>
        </w:rPr>
        <w:t xml:space="preserve"> FAPI and </w:t>
      </w:r>
      <w:r>
        <w:rPr>
          <w:rFonts w:cs="Times New Roman"/>
        </w:rPr>
        <w:t>certain</w:t>
      </w:r>
      <w:r w:rsidRPr="00DF70FB">
        <w:rPr>
          <w:rFonts w:cs="Times New Roman"/>
        </w:rPr>
        <w:t xml:space="preserve"> passive income excluded (Pantaleo and Smart, at pp. 12:11 and 12:13). Moreover, the </w:t>
      </w:r>
      <w:r w:rsidRPr="00DF70FB">
        <w:rPr>
          <w:rFonts w:cs="Times New Roman"/>
          <w:i/>
        </w:rPr>
        <w:t xml:space="preserve">ITA </w:t>
      </w:r>
      <w:r w:rsidRPr="00DF70FB">
        <w:rPr>
          <w:rFonts w:cs="Times New Roman"/>
        </w:rPr>
        <w:t>provides detailed definitions of types of income</w:t>
      </w:r>
      <w:r>
        <w:rPr>
          <w:rFonts w:cs="Times New Roman"/>
        </w:rPr>
        <w:t>,</w:t>
      </w:r>
      <w:r w:rsidRPr="00DF70FB">
        <w:rPr>
          <w:rFonts w:cs="Times New Roman"/>
        </w:rPr>
        <w:t xml:space="preserve"> whose meaning may sometimes differ from their ordinary meaning (Holmes and Gamble, at p. 187). It is therefore crucial to focus the analysis on the specific requirements that apply </w:t>
      </w:r>
      <w:r>
        <w:rPr>
          <w:rFonts w:cs="Times New Roman"/>
        </w:rPr>
        <w:t xml:space="preserve">under </w:t>
      </w:r>
      <w:r w:rsidRPr="00DF70FB">
        <w:rPr>
          <w:rFonts w:cs="Times New Roman"/>
        </w:rPr>
        <w:t xml:space="preserve">the relevant definitions and exclusions to determine </w:t>
      </w:r>
      <w:r>
        <w:rPr>
          <w:rFonts w:cs="Times New Roman"/>
        </w:rPr>
        <w:t>whether</w:t>
      </w:r>
      <w:r w:rsidRPr="00DF70FB">
        <w:rPr>
          <w:rFonts w:cs="Times New Roman"/>
        </w:rPr>
        <w:t xml:space="preserve"> income is FAPI (</w:t>
      </w:r>
      <w:r w:rsidRPr="00DF70FB">
        <w:rPr>
          <w:rFonts w:cs="Times New Roman"/>
          <w:i/>
        </w:rPr>
        <w:t>CIT Group Securities (Canada) Inc. v. The Queen</w:t>
      </w:r>
      <w:r w:rsidRPr="00DF70FB">
        <w:rPr>
          <w:rFonts w:cs="Times New Roman"/>
        </w:rPr>
        <w:t xml:space="preserve">, 2016 TCC 163, </w:t>
      </w:r>
      <w:r>
        <w:rPr>
          <w:rFonts w:cs="Times New Roman"/>
        </w:rPr>
        <w:t xml:space="preserve">[2016] 6 C.T.C. 2013, </w:t>
      </w:r>
      <w:r w:rsidRPr="00DF70FB">
        <w:rPr>
          <w:rFonts w:cs="Times New Roman"/>
        </w:rPr>
        <w:t>at para. 89).</w:t>
      </w:r>
    </w:p>
    <w:p w:rsidR="007A59F1" w:rsidRPr="00DF70FB" w:rsidRDefault="007A59F1" w:rsidP="007A59F1">
      <w:pPr>
        <w:pStyle w:val="ParaNoNdepar-AltN"/>
        <w:rPr>
          <w:rFonts w:cs="Times New Roman"/>
        </w:rPr>
      </w:pPr>
      <w:r w:rsidRPr="00DF70FB">
        <w:rPr>
          <w:rFonts w:cs="Times New Roman"/>
        </w:rPr>
        <w:t xml:space="preserve">FAPI encompasses four broad categories of </w:t>
      </w:r>
      <w:r>
        <w:rPr>
          <w:rFonts w:cs="Times New Roman"/>
        </w:rPr>
        <w:t>income earned by CFAs: (1) income from property; (2) </w:t>
      </w:r>
      <w:r w:rsidRPr="00DF70FB">
        <w:rPr>
          <w:rFonts w:cs="Times New Roman"/>
        </w:rPr>
        <w:t>income from a business other than an active business; (3)</w:t>
      </w:r>
      <w:r>
        <w:rPr>
          <w:rFonts w:cs="Times New Roman"/>
        </w:rPr>
        <w:t> </w:t>
      </w:r>
      <w:r w:rsidRPr="00DF70FB">
        <w:rPr>
          <w:rFonts w:cs="Times New Roman"/>
        </w:rPr>
        <w:t>income from a n</w:t>
      </w:r>
      <w:r>
        <w:rPr>
          <w:rFonts w:cs="Times New Roman"/>
        </w:rPr>
        <w:t>on</w:t>
      </w:r>
      <w:r>
        <w:rPr>
          <w:rFonts w:cs="Times New Roman"/>
        </w:rPr>
        <w:noBreakHyphen/>
        <w:t>qualifying business; and (4) </w:t>
      </w:r>
      <w:r w:rsidRPr="00DF70FB">
        <w:rPr>
          <w:rFonts w:cs="Times New Roman"/>
        </w:rPr>
        <w:t>taxable capital gains realized on the disposition</w:t>
      </w:r>
      <w:r>
        <w:rPr>
          <w:rFonts w:cs="Times New Roman"/>
        </w:rPr>
        <w:t xml:space="preserve"> of non</w:t>
      </w:r>
      <w:r>
        <w:rPr>
          <w:rFonts w:cs="Times New Roman"/>
        </w:rPr>
        <w:noBreakHyphen/>
      </w:r>
      <w:r w:rsidRPr="00DF70FB">
        <w:rPr>
          <w:rFonts w:cs="Times New Roman"/>
        </w:rPr>
        <w:t>excluded property (s. 95(1) “</w:t>
      </w:r>
      <w:r w:rsidRPr="009C6D63">
        <w:rPr>
          <w:rFonts w:cs="Times New Roman"/>
        </w:rPr>
        <w:t>foreign accrual property income</w:t>
      </w:r>
      <w:r w:rsidRPr="00DF70FB">
        <w:rPr>
          <w:rFonts w:cs="Times New Roman"/>
        </w:rPr>
        <w:t>”). The relevant categories here are the first two</w:t>
      </w:r>
      <w:r>
        <w:rPr>
          <w:rFonts w:cs="Times New Roman"/>
        </w:rPr>
        <w:t>.</w:t>
      </w:r>
    </w:p>
    <w:p w:rsidR="007A59F1" w:rsidRPr="00DF70FB" w:rsidRDefault="007A59F1" w:rsidP="007A59F1">
      <w:pPr>
        <w:pStyle w:val="ParaNoNdepar-AltN"/>
        <w:rPr>
          <w:rFonts w:cs="Times New Roman"/>
        </w:rPr>
      </w:pPr>
      <w:r w:rsidRPr="00DF70FB">
        <w:rPr>
          <w:rFonts w:cs="Times New Roman"/>
        </w:rPr>
        <w:t>The category of “income from a business other than an active business” covers any business that is deemed by s. 95(2) not to be active (s. 95(1) “</w:t>
      </w:r>
      <w:r w:rsidRPr="0052509C">
        <w:rPr>
          <w:rFonts w:cs="Times New Roman"/>
        </w:rPr>
        <w:t>income from an active business</w:t>
      </w:r>
      <w:r w:rsidRPr="00DF70FB">
        <w:rPr>
          <w:rFonts w:cs="Times New Roman"/>
        </w:rPr>
        <w:t>”). The only relevant deeming provision here is s. 95(2)(b)(i), which deems the provision of services to relat</w:t>
      </w:r>
      <w:r>
        <w:rPr>
          <w:rFonts w:cs="Times New Roman"/>
        </w:rPr>
        <w:t>ed</w:t>
      </w:r>
      <w:r w:rsidRPr="00DF70FB">
        <w:rPr>
          <w:rFonts w:cs="Times New Roman"/>
        </w:rPr>
        <w:t xml:space="preserve"> entities for a fee to be a separate business and the income derived from that business to be FAPI. Managing assets of related entities for a fee would be captured by this rule (s. 95(3)). The purpose of this deeming provision is “to eliminate any tax advantage that might otherwise be obtained </w:t>
      </w:r>
      <w:r>
        <w:rPr>
          <w:rFonts w:cs="Times New Roman"/>
        </w:rPr>
        <w:t>by (i) </w:t>
      </w:r>
      <w:r w:rsidRPr="00DF70FB">
        <w:rPr>
          <w:rFonts w:cs="Times New Roman"/>
        </w:rPr>
        <w:t xml:space="preserve">having a foreign affiliate provide services to a Canadian business, thereby shifting </w:t>
      </w:r>
      <w:r w:rsidRPr="00DF70FB">
        <w:rPr>
          <w:rFonts w:cs="Times New Roman"/>
        </w:rPr>
        <w:lastRenderedPageBreak/>
        <w:t>a portion of the business’s profits to another jurisdiction, or (ii)</w:t>
      </w:r>
      <w:r>
        <w:rPr>
          <w:rFonts w:cs="Times New Roman"/>
        </w:rPr>
        <w:t> </w:t>
      </w:r>
      <w:r w:rsidRPr="00DF70FB">
        <w:rPr>
          <w:rFonts w:cs="Times New Roman"/>
        </w:rPr>
        <w:t>having one foreign affiliate provide services to another foreign affiliate that earns FAPI, thereby reducing the FAPI” (Holmes and Gamble, at p. 274).</w:t>
      </w:r>
    </w:p>
    <w:p w:rsidR="007A59F1" w:rsidRPr="00DF70FB" w:rsidRDefault="007A59F1" w:rsidP="007A59F1">
      <w:pPr>
        <w:pStyle w:val="ParaNoNdepar-AltN"/>
        <w:rPr>
          <w:rFonts w:cs="Times New Roman"/>
        </w:rPr>
      </w:pPr>
      <w:r w:rsidRPr="00DF70FB">
        <w:rPr>
          <w:rFonts w:cs="Times New Roman"/>
        </w:rPr>
        <w:t>The main category at issue in this appeal is “income from property”</w:t>
      </w:r>
      <w:r>
        <w:rPr>
          <w:rFonts w:cs="Times New Roman"/>
        </w:rPr>
        <w:t>, which</w:t>
      </w:r>
      <w:r w:rsidRPr="00DF70FB">
        <w:rPr>
          <w:rFonts w:cs="Times New Roman"/>
        </w:rPr>
        <w:t xml:space="preserve"> includes </w:t>
      </w:r>
      <w:r>
        <w:rPr>
          <w:rFonts w:cs="Times New Roman"/>
        </w:rPr>
        <w:t>a</w:t>
      </w:r>
      <w:r w:rsidRPr="00DF70FB">
        <w:rPr>
          <w:rFonts w:cs="Times New Roman"/>
        </w:rPr>
        <w:t xml:space="preserve"> CFA’s income from an investment business (s. 95(1) “</w:t>
      </w:r>
      <w:r w:rsidRPr="0052509C">
        <w:rPr>
          <w:rFonts w:cs="Times New Roman"/>
        </w:rPr>
        <w:t>income from property</w:t>
      </w:r>
      <w:r w:rsidRPr="00DF70FB">
        <w:rPr>
          <w:rFonts w:cs="Times New Roman"/>
        </w:rPr>
        <w:t xml:space="preserve">”). The definition of </w:t>
      </w:r>
      <w:r>
        <w:rPr>
          <w:rFonts w:cs="Times New Roman"/>
        </w:rPr>
        <w:t>“</w:t>
      </w:r>
      <w:r w:rsidRPr="00DF70FB">
        <w:rPr>
          <w:rFonts w:cs="Times New Roman"/>
        </w:rPr>
        <w:t>investment business</w:t>
      </w:r>
      <w:r>
        <w:rPr>
          <w:rFonts w:cs="Times New Roman"/>
        </w:rPr>
        <w:t>”</w:t>
      </w:r>
      <w:r w:rsidRPr="00DF70FB">
        <w:rPr>
          <w:rFonts w:cs="Times New Roman"/>
        </w:rPr>
        <w:t xml:space="preserve"> was added in 1995 amendments to the FAPI regime. Prior to the amendments, the distinction between active and passive income was left to the courts to define, </w:t>
      </w:r>
      <w:r>
        <w:rPr>
          <w:rFonts w:cs="Times New Roman"/>
        </w:rPr>
        <w:t>a situation that</w:t>
      </w:r>
      <w:r w:rsidRPr="00DF70FB">
        <w:rPr>
          <w:rFonts w:cs="Times New Roman"/>
        </w:rPr>
        <w:t xml:space="preserve"> was criticized in a 1992 Auditor General Report as providing “no reasonable assurance that the [FAPI] rules will apply in all circumstances where they should” (</w:t>
      </w:r>
      <w:r>
        <w:rPr>
          <w:rFonts w:cs="Times New Roman"/>
        </w:rPr>
        <w:t>Office of the Auditor General</w:t>
      </w:r>
      <w:r w:rsidRPr="00DF70FB">
        <w:rPr>
          <w:rFonts w:cs="Times New Roman"/>
        </w:rPr>
        <w:t>, at pp. 48-</w:t>
      </w:r>
      <w:r>
        <w:rPr>
          <w:rFonts w:cs="Times New Roman"/>
        </w:rPr>
        <w:t>4</w:t>
      </w:r>
      <w:r w:rsidRPr="00DF70FB">
        <w:rPr>
          <w:rFonts w:cs="Times New Roman"/>
        </w:rPr>
        <w:t xml:space="preserve">9). Parliament responded by introducing the concept of </w:t>
      </w:r>
      <w:r>
        <w:rPr>
          <w:rFonts w:cs="Times New Roman"/>
        </w:rPr>
        <w:t>“</w:t>
      </w:r>
      <w:r w:rsidRPr="00DF70FB">
        <w:rPr>
          <w:rFonts w:cs="Times New Roman"/>
        </w:rPr>
        <w:t>investment business</w:t>
      </w:r>
      <w:r>
        <w:rPr>
          <w:rFonts w:cs="Times New Roman"/>
        </w:rPr>
        <w:t>”</w:t>
      </w:r>
      <w:r w:rsidRPr="00DF70FB">
        <w:rPr>
          <w:rFonts w:cs="Times New Roman"/>
        </w:rPr>
        <w:t xml:space="preserve">, </w:t>
      </w:r>
      <w:r>
        <w:rPr>
          <w:rFonts w:cs="Times New Roman"/>
        </w:rPr>
        <w:t xml:space="preserve">the income from </w:t>
      </w:r>
      <w:r w:rsidRPr="00DF70FB">
        <w:rPr>
          <w:rFonts w:cs="Times New Roman"/>
        </w:rPr>
        <w:t>which would be included in income from property. What constitutes an investment business is defined broadly, encompassing any “</w:t>
      </w:r>
      <w:r w:rsidRPr="00DF70FB">
        <w:rPr>
          <w:rFonts w:cs="Times New Roman"/>
          <w:lang w:bidi="en-US"/>
        </w:rPr>
        <w:t xml:space="preserve">business carried on by the affiliate . . . </w:t>
      </w:r>
      <w:r w:rsidRPr="00DF70FB">
        <w:rPr>
          <w:rFonts w:cs="Times New Roman"/>
          <w:lang w:val="en-US" w:bidi="en-US"/>
        </w:rPr>
        <w:t>the principal purpose of which is to derive income from property (including interest, dividends, rents, royalties or any similar returns</w:t>
      </w:r>
      <w:r>
        <w:rPr>
          <w:rFonts w:cs="Times New Roman"/>
          <w:lang w:val="en-US" w:bidi="en-US"/>
        </w:rPr>
        <w:t xml:space="preserve"> or substitutes therefor</w:t>
      </w:r>
      <w:r w:rsidRPr="00DF70FB">
        <w:rPr>
          <w:rFonts w:cs="Times New Roman"/>
          <w:lang w:val="en-US" w:bidi="en-US"/>
        </w:rPr>
        <w:t>)” (s. 95(1)</w:t>
      </w:r>
      <w:r>
        <w:rPr>
          <w:rFonts w:cs="Times New Roman"/>
          <w:lang w:val="en-US" w:bidi="en-US"/>
        </w:rPr>
        <w:t>, definition of</w:t>
      </w:r>
      <w:r w:rsidRPr="00DF70FB">
        <w:rPr>
          <w:rFonts w:cs="Times New Roman"/>
          <w:lang w:val="en-US" w:bidi="en-US"/>
        </w:rPr>
        <w:t xml:space="preserve"> “</w:t>
      </w:r>
      <w:r w:rsidRPr="0052509C">
        <w:rPr>
          <w:rFonts w:cs="Times New Roman"/>
          <w:lang w:val="en-US" w:bidi="en-US"/>
        </w:rPr>
        <w:t>investment business</w:t>
      </w:r>
      <w:r w:rsidRPr="00DF70FB">
        <w:rPr>
          <w:rFonts w:cs="Times New Roman"/>
          <w:lang w:val="en-US" w:bidi="en-US"/>
        </w:rPr>
        <w:t>”).</w:t>
      </w:r>
    </w:p>
    <w:p w:rsidR="007A59F1" w:rsidRPr="00DF70FB" w:rsidRDefault="007A59F1" w:rsidP="007A59F1">
      <w:pPr>
        <w:pStyle w:val="ParaNoNdepar-AltN"/>
        <w:rPr>
          <w:rFonts w:cs="Times New Roman"/>
        </w:rPr>
      </w:pPr>
      <w:r w:rsidRPr="00DF70FB">
        <w:rPr>
          <w:rFonts w:cs="Times New Roman"/>
          <w:lang w:val="en-US" w:bidi="en-US"/>
        </w:rPr>
        <w:t xml:space="preserve">Parliament created safe harbours or exceptions to this broad definition of </w:t>
      </w:r>
      <w:r>
        <w:rPr>
          <w:rFonts w:cs="Times New Roman"/>
          <w:lang w:val="en-US" w:bidi="en-US"/>
        </w:rPr>
        <w:t>“</w:t>
      </w:r>
      <w:r w:rsidRPr="00DF70FB">
        <w:rPr>
          <w:rFonts w:cs="Times New Roman"/>
          <w:lang w:val="en-US" w:bidi="en-US"/>
        </w:rPr>
        <w:t>investment business</w:t>
      </w:r>
      <w:r>
        <w:rPr>
          <w:rFonts w:cs="Times New Roman"/>
          <w:lang w:val="en-US" w:bidi="en-US"/>
        </w:rPr>
        <w:t>”</w:t>
      </w:r>
      <w:r w:rsidRPr="00DF70FB">
        <w:rPr>
          <w:rFonts w:cs="Times New Roman"/>
          <w:lang w:val="en-US" w:bidi="en-US"/>
        </w:rPr>
        <w:t xml:space="preserve">, including the financial institution exception at issue in this appeal. As I will discuss further below, Parliament must have been aware, however, that treating all income earned from an investment business carried on by </w:t>
      </w:r>
      <w:r>
        <w:rPr>
          <w:rFonts w:cs="Times New Roman"/>
          <w:lang w:val="en-US" w:bidi="en-US"/>
        </w:rPr>
        <w:t xml:space="preserve">a </w:t>
      </w:r>
      <w:r w:rsidRPr="00DF70FB">
        <w:rPr>
          <w:rFonts w:cs="Times New Roman"/>
          <w:lang w:val="en-US" w:bidi="en-US"/>
        </w:rPr>
        <w:t xml:space="preserve">CFA as FAPI risked crippling the international competitiveness of Canadian financial </w:t>
      </w:r>
      <w:r w:rsidRPr="00DF70FB">
        <w:rPr>
          <w:rFonts w:cs="Times New Roman"/>
          <w:lang w:val="en-US" w:bidi="en-US"/>
        </w:rPr>
        <w:lastRenderedPageBreak/>
        <w:t xml:space="preserve">institutions. Therefore, Parliament enacted the financial institution exception </w:t>
      </w:r>
      <w:r>
        <w:rPr>
          <w:rFonts w:cs="Times New Roman"/>
          <w:lang w:val="en-US" w:bidi="en-US"/>
        </w:rPr>
        <w:t xml:space="preserve">to </w:t>
      </w:r>
      <w:r w:rsidRPr="00DF70FB">
        <w:rPr>
          <w:rFonts w:cs="Times New Roman"/>
          <w:lang w:val="en-US" w:bidi="en-US"/>
        </w:rPr>
        <w:t>exclud</w:t>
      </w:r>
      <w:r>
        <w:rPr>
          <w:rFonts w:cs="Times New Roman"/>
          <w:lang w:val="en-US" w:bidi="en-US"/>
        </w:rPr>
        <w:t>e</w:t>
      </w:r>
      <w:r w:rsidRPr="00DF70FB">
        <w:rPr>
          <w:rFonts w:cs="Times New Roman"/>
          <w:lang w:val="en-US" w:bidi="en-US"/>
        </w:rPr>
        <w:t xml:space="preserve"> investment income </w:t>
      </w:r>
      <w:r>
        <w:rPr>
          <w:rFonts w:cs="Times New Roman"/>
          <w:lang w:val="en-US" w:bidi="en-US"/>
        </w:rPr>
        <w:t>realized</w:t>
      </w:r>
      <w:r w:rsidRPr="00DF70FB">
        <w:rPr>
          <w:rFonts w:cs="Times New Roman"/>
          <w:lang w:val="en-US" w:bidi="en-US"/>
        </w:rPr>
        <w:t xml:space="preserve"> by </w:t>
      </w:r>
      <w:r>
        <w:rPr>
          <w:rFonts w:cs="Times New Roman"/>
          <w:lang w:val="en-US" w:bidi="en-US"/>
        </w:rPr>
        <w:t xml:space="preserve">a </w:t>
      </w:r>
      <w:r w:rsidRPr="00DF70FB">
        <w:rPr>
          <w:rFonts w:cs="Times New Roman"/>
          <w:lang w:val="en-US" w:bidi="en-US"/>
        </w:rPr>
        <w:t xml:space="preserve">CFA that </w:t>
      </w:r>
      <w:r>
        <w:rPr>
          <w:rFonts w:cs="Times New Roman"/>
          <w:lang w:val="en-US" w:bidi="en-US"/>
        </w:rPr>
        <w:t>is a financial institution</w:t>
      </w:r>
      <w:r w:rsidRPr="00DF70FB">
        <w:rPr>
          <w:rFonts w:cs="Times New Roman"/>
          <w:lang w:val="en-US" w:bidi="en-US"/>
        </w:rPr>
        <w:t xml:space="preserve"> from FAPI, provided that the following requirements are met: </w:t>
      </w:r>
    </w:p>
    <w:p w:rsidR="007A59F1" w:rsidRPr="00DF70FB" w:rsidRDefault="007A59F1" w:rsidP="007A59F1">
      <w:pPr>
        <w:pStyle w:val="Citation-AltC"/>
        <w:numPr>
          <w:ilvl w:val="4"/>
          <w:numId w:val="6"/>
        </w:numPr>
        <w:spacing w:line="480" w:lineRule="auto"/>
        <w:ind w:left="1134"/>
      </w:pPr>
      <w:r w:rsidRPr="00DF70FB">
        <w:rPr>
          <w:u w:val="single"/>
        </w:rPr>
        <w:t>Type of financial institution</w:t>
      </w:r>
      <w:r w:rsidRPr="00DF70FB">
        <w:t>: The CFA carrie</w:t>
      </w:r>
      <w:r>
        <w:t>s</w:t>
      </w:r>
      <w:r w:rsidRPr="00DF70FB">
        <w:t xml:space="preserve"> on business as a foreign bank, a trust company, a credit union, an insurance corporation, or a trader or dealer in securities or commodities.</w:t>
      </w:r>
    </w:p>
    <w:p w:rsidR="007A59F1" w:rsidRPr="00DF70FB" w:rsidRDefault="007A59F1" w:rsidP="007A59F1">
      <w:pPr>
        <w:pStyle w:val="Citation-AltC"/>
        <w:spacing w:line="480" w:lineRule="auto"/>
        <w:ind w:left="1134"/>
      </w:pPr>
    </w:p>
    <w:p w:rsidR="007A59F1" w:rsidRPr="00DF70FB" w:rsidRDefault="007A59F1" w:rsidP="007A59F1">
      <w:pPr>
        <w:pStyle w:val="Citation-AltC"/>
        <w:numPr>
          <w:ilvl w:val="4"/>
          <w:numId w:val="6"/>
        </w:numPr>
        <w:spacing w:line="480" w:lineRule="auto"/>
        <w:ind w:left="1134"/>
      </w:pPr>
      <w:r w:rsidRPr="00DF70FB">
        <w:rPr>
          <w:u w:val="single"/>
        </w:rPr>
        <w:t>Oversight by a regulatory body</w:t>
      </w:r>
      <w:r w:rsidRPr="00DF70FB">
        <w:t>: The CFA’s activities are regulated under foreign law.</w:t>
      </w:r>
    </w:p>
    <w:p w:rsidR="007A59F1" w:rsidRPr="00DF70FB" w:rsidRDefault="007A59F1" w:rsidP="007A59F1">
      <w:pPr>
        <w:pStyle w:val="Citation-AltC"/>
        <w:spacing w:line="480" w:lineRule="auto"/>
        <w:ind w:left="1134"/>
      </w:pPr>
    </w:p>
    <w:p w:rsidR="007A59F1" w:rsidRPr="00DF70FB" w:rsidRDefault="007A59F1" w:rsidP="007A59F1">
      <w:pPr>
        <w:pStyle w:val="Citation-AltC"/>
        <w:numPr>
          <w:ilvl w:val="4"/>
          <w:numId w:val="6"/>
        </w:numPr>
        <w:spacing w:line="480" w:lineRule="auto"/>
        <w:ind w:left="1134"/>
      </w:pPr>
      <w:r w:rsidRPr="00DF70FB">
        <w:rPr>
          <w:u w:val="single"/>
        </w:rPr>
        <w:t>Threshold level of activity</w:t>
      </w:r>
      <w:r w:rsidRPr="00DF70FB">
        <w:t>: The CFA employ</w:t>
      </w:r>
      <w:r>
        <w:t>s</w:t>
      </w:r>
      <w:r w:rsidRPr="00DF70FB">
        <w:t xml:space="preserve"> more than five full</w:t>
      </w:r>
      <w:r>
        <w:noBreakHyphen/>
      </w:r>
      <w:r w:rsidRPr="00DF70FB">
        <w:t>time employees or the equivalent thereof in the active conduct of the business.</w:t>
      </w:r>
    </w:p>
    <w:p w:rsidR="007A59F1" w:rsidRPr="00DF70FB" w:rsidRDefault="007A59F1" w:rsidP="007A59F1">
      <w:pPr>
        <w:pStyle w:val="Citation-AltC"/>
        <w:spacing w:line="480" w:lineRule="auto"/>
        <w:ind w:left="1134"/>
      </w:pPr>
    </w:p>
    <w:p w:rsidR="007A59F1" w:rsidRDefault="007A59F1" w:rsidP="007A59F1">
      <w:pPr>
        <w:pStyle w:val="Citation-AltC"/>
        <w:numPr>
          <w:ilvl w:val="4"/>
          <w:numId w:val="6"/>
        </w:numPr>
        <w:spacing w:line="480" w:lineRule="auto"/>
        <w:ind w:left="1134"/>
      </w:pPr>
      <w:r w:rsidRPr="00DF70FB">
        <w:rPr>
          <w:u w:val="single"/>
        </w:rPr>
        <w:t>Arm’s length requirement</w:t>
      </w:r>
      <w:r w:rsidRPr="00DF70FB">
        <w:t xml:space="preserve">: The CFA’s business </w:t>
      </w:r>
      <w:r>
        <w:t>i</w:t>
      </w:r>
      <w:r w:rsidRPr="00DF70FB">
        <w:t>s not “conducted principally with persons with whom the [CFA] does not deal at arm’s length”.</w:t>
      </w:r>
    </w:p>
    <w:p w:rsidR="007A59F1" w:rsidRDefault="007A59F1" w:rsidP="007A59F1">
      <w:pPr>
        <w:pStyle w:val="Citation-AltC"/>
      </w:pPr>
    </w:p>
    <w:p w:rsidR="007A59F1" w:rsidRPr="00DF70FB" w:rsidRDefault="007A59F1" w:rsidP="007A59F1">
      <w:pPr>
        <w:pStyle w:val="Citation-AltC"/>
      </w:pPr>
      <w:r w:rsidRPr="00DF70FB">
        <w:t>(s.</w:t>
      </w:r>
      <w:r w:rsidRPr="00DF70FB">
        <w:rPr>
          <w:lang w:val="en-US" w:bidi="en-US"/>
        </w:rPr>
        <w:t> 95(1)</w:t>
      </w:r>
      <w:r>
        <w:rPr>
          <w:lang w:val="en-US" w:bidi="en-US"/>
        </w:rPr>
        <w:t>, definition of</w:t>
      </w:r>
      <w:r w:rsidRPr="00DF70FB">
        <w:rPr>
          <w:lang w:val="en-US" w:bidi="en-US"/>
        </w:rPr>
        <w:t xml:space="preserve"> “</w:t>
      </w:r>
      <w:r w:rsidRPr="0052509C">
        <w:rPr>
          <w:lang w:val="en-US" w:bidi="en-US"/>
        </w:rPr>
        <w:t>investment business</w:t>
      </w:r>
      <w:r w:rsidRPr="00DF70FB">
        <w:rPr>
          <w:lang w:val="en-US" w:bidi="en-US"/>
        </w:rPr>
        <w:t>”)</w:t>
      </w:r>
    </w:p>
    <w:p w:rsidR="007A59F1" w:rsidRPr="00DF70FB" w:rsidRDefault="007A59F1" w:rsidP="007A59F1">
      <w:pPr>
        <w:pStyle w:val="ParaNoNdepar-AltN"/>
        <w:rPr>
          <w:rFonts w:cs="Times New Roman"/>
        </w:rPr>
      </w:pPr>
      <w:r w:rsidRPr="00DF70FB">
        <w:rPr>
          <w:rFonts w:cs="Times New Roman"/>
        </w:rPr>
        <w:t xml:space="preserve">When these four requirements are met, the income from the </w:t>
      </w:r>
      <w:r>
        <w:rPr>
          <w:rFonts w:cs="Times New Roman"/>
        </w:rPr>
        <w:t>investment</w:t>
      </w:r>
      <w:r w:rsidRPr="00DF70FB">
        <w:rPr>
          <w:rFonts w:cs="Times New Roman"/>
        </w:rPr>
        <w:t xml:space="preserve"> business retains its character as active business income and is </w:t>
      </w:r>
      <w:r>
        <w:rPr>
          <w:rFonts w:cs="Times New Roman"/>
        </w:rPr>
        <w:t xml:space="preserve">therefore </w:t>
      </w:r>
      <w:r w:rsidRPr="00DF70FB">
        <w:rPr>
          <w:rFonts w:cs="Times New Roman"/>
        </w:rPr>
        <w:t xml:space="preserve">not FAPI. However, satisfying these four requirements may not always be sufficient to </w:t>
      </w:r>
      <w:r>
        <w:rPr>
          <w:rFonts w:cs="Times New Roman"/>
        </w:rPr>
        <w:t>avail oneself of</w:t>
      </w:r>
      <w:r w:rsidRPr="00DF70FB">
        <w:rPr>
          <w:rFonts w:cs="Times New Roman"/>
        </w:rPr>
        <w:t xml:space="preserve"> the financial institution exception. Where the CFA is a regulated financial </w:t>
      </w:r>
      <w:r w:rsidRPr="00DF70FB">
        <w:rPr>
          <w:rFonts w:cs="Times New Roman"/>
        </w:rPr>
        <w:lastRenderedPageBreak/>
        <w:t xml:space="preserve">institution and carries on a business the principal purpose of which is to derive income from trading or dealing in indebtedness, the income derived from these activities is deemed to be income from property and thus FAPI, </w:t>
      </w:r>
      <w:r w:rsidRPr="00DF70FB">
        <w:rPr>
          <w:rFonts w:cs="Times New Roman"/>
          <w:i/>
        </w:rPr>
        <w:t>unless</w:t>
      </w:r>
      <w:r w:rsidRPr="00DF70FB">
        <w:rPr>
          <w:rFonts w:cs="Times New Roman"/>
        </w:rPr>
        <w:t xml:space="preserve"> the Canadian taxpayer is a financial</w:t>
      </w:r>
      <w:r>
        <w:rPr>
          <w:rFonts w:cs="Times New Roman"/>
        </w:rPr>
        <w:t xml:space="preserve"> institution resident in Canada</w:t>
      </w:r>
      <w:r w:rsidRPr="00DF70FB">
        <w:rPr>
          <w:rFonts w:cs="Times New Roman"/>
        </w:rPr>
        <w:t xml:space="preserve"> or the parent or subsidiary of such a Canadian financial institution (s. 95(2)(l)(iv); see J. Yeung, “Trading or Dealing in Indebtedness Offshore: Paragraph 95(2)(l) Revisited” (2011)</w:t>
      </w:r>
      <w:r>
        <w:rPr>
          <w:rFonts w:cs="Times New Roman"/>
        </w:rPr>
        <w:t>,</w:t>
      </w:r>
      <w:r w:rsidRPr="00DF70FB">
        <w:rPr>
          <w:rFonts w:cs="Times New Roman"/>
        </w:rPr>
        <w:t xml:space="preserve"> 59 </w:t>
      </w:r>
      <w:r w:rsidRPr="00DF70FB">
        <w:rPr>
          <w:rFonts w:cs="Times New Roman"/>
          <w:i/>
        </w:rPr>
        <w:t>Can. Tax J.</w:t>
      </w:r>
      <w:r w:rsidRPr="00DF70FB">
        <w:rPr>
          <w:rFonts w:cs="Times New Roman"/>
        </w:rPr>
        <w:t xml:space="preserve"> 85, at pp. 89-90). In effect, only CFAs related to Canadian financial institutions </w:t>
      </w:r>
      <w:r>
        <w:rPr>
          <w:rFonts w:cs="Times New Roman"/>
        </w:rPr>
        <w:t xml:space="preserve">are permitted </w:t>
      </w:r>
      <w:r w:rsidRPr="00DF70FB">
        <w:rPr>
          <w:rFonts w:cs="Times New Roman"/>
        </w:rPr>
        <w:t>to deal in indebtedness without attracting the FAPI rules.</w:t>
      </w:r>
    </w:p>
    <w:p w:rsidR="007A59F1" w:rsidRPr="00DF70FB" w:rsidRDefault="007A59F1" w:rsidP="007A59F1">
      <w:pPr>
        <w:pStyle w:val="ParaNoNdepar-AltN"/>
        <w:rPr>
          <w:rFonts w:cs="Times New Roman"/>
        </w:rPr>
      </w:pPr>
      <w:r w:rsidRPr="00DF70FB">
        <w:rPr>
          <w:rFonts w:cs="Times New Roman"/>
        </w:rPr>
        <w:t>In 2014, Parliament revisited the financial institution exception and preferred to toughen its requirements instead of repealing it (s. 95(2.11); see Holmes and Gamble, at pp. 1361-</w:t>
      </w:r>
      <w:r>
        <w:rPr>
          <w:rFonts w:cs="Times New Roman"/>
        </w:rPr>
        <w:t>6</w:t>
      </w:r>
      <w:r w:rsidRPr="00DF70FB">
        <w:rPr>
          <w:rFonts w:cs="Times New Roman"/>
        </w:rPr>
        <w:t xml:space="preserve">5). The condition that the taxpayer be a Canadian financial institution, or </w:t>
      </w:r>
      <w:r>
        <w:rPr>
          <w:rFonts w:cs="Times New Roman"/>
        </w:rPr>
        <w:t xml:space="preserve">be </w:t>
      </w:r>
      <w:r w:rsidRPr="00DF70FB">
        <w:rPr>
          <w:rFonts w:cs="Times New Roman"/>
        </w:rPr>
        <w:t xml:space="preserve">related to such an institution, that was applicable only when the CFA was trading or dealing in indebtedness was extended to every case where a taxpayer invokes the exception. Additionally, the Canadian financial institution must either </w:t>
      </w:r>
      <w:r>
        <w:rPr>
          <w:rFonts w:cs="Times New Roman"/>
        </w:rPr>
        <w:t>(1) </w:t>
      </w:r>
      <w:r w:rsidRPr="00DF70FB">
        <w:rPr>
          <w:rFonts w:cs="Times New Roman"/>
        </w:rPr>
        <w:t xml:space="preserve">have a minimum of $2 billion in equity, or </w:t>
      </w:r>
      <w:r>
        <w:rPr>
          <w:rFonts w:cs="Times New Roman"/>
        </w:rPr>
        <w:t>(2) </w:t>
      </w:r>
      <w:r w:rsidRPr="00DF70FB">
        <w:rPr>
          <w:rFonts w:cs="Times New Roman"/>
        </w:rPr>
        <w:t>have more than 50</w:t>
      </w:r>
      <w:r>
        <w:rPr>
          <w:rFonts w:cs="Times New Roman"/>
        </w:rPr>
        <w:t> percent</w:t>
      </w:r>
      <w:r w:rsidRPr="00DF70FB">
        <w:rPr>
          <w:rFonts w:cs="Times New Roman"/>
        </w:rPr>
        <w:t xml:space="preserve"> of its taxable capital employed in Canada in business activities regulated by a financial authority. This amendment limits access to the exception to taxpayers </w:t>
      </w:r>
      <w:r>
        <w:rPr>
          <w:rFonts w:cs="Times New Roman"/>
        </w:rPr>
        <w:t>that</w:t>
      </w:r>
      <w:r w:rsidRPr="00DF70FB">
        <w:rPr>
          <w:rFonts w:cs="Times New Roman"/>
        </w:rPr>
        <w:t xml:space="preserve"> are heavily involved in financial affairs, thereby excluding those for whom it is mostly a side business. However, these amendments were not retroactive and do not apply to this case.</w:t>
      </w:r>
    </w:p>
    <w:p w:rsidR="007A59F1" w:rsidRPr="00DF70FB" w:rsidRDefault="007A59F1" w:rsidP="007A59F1">
      <w:pPr>
        <w:pStyle w:val="ParaNoNdepar-AltN"/>
        <w:rPr>
          <w:rFonts w:cs="Times New Roman"/>
        </w:rPr>
      </w:pPr>
      <w:r w:rsidRPr="00DF70FB">
        <w:rPr>
          <w:rFonts w:cs="Times New Roman"/>
        </w:rPr>
        <w:lastRenderedPageBreak/>
        <w:t>It is not dispute</w:t>
      </w:r>
      <w:r>
        <w:rPr>
          <w:rFonts w:cs="Times New Roman"/>
        </w:rPr>
        <w:t>d</w:t>
      </w:r>
      <w:r w:rsidRPr="00DF70FB">
        <w:rPr>
          <w:rFonts w:cs="Times New Roman"/>
        </w:rPr>
        <w:t xml:space="preserve"> that s. 95(2)(l) does not preclude Loblaw Financial from availing itself of the financial institution exception, because Loblaw Financial is the parent of a Canadian bank, the President’s Choice Bank. Nor are the financial institution, oversight, and activity level requirements of that exception </w:t>
      </w:r>
      <w:r>
        <w:rPr>
          <w:rFonts w:cs="Times New Roman"/>
        </w:rPr>
        <w:t>disputed</w:t>
      </w:r>
      <w:r w:rsidRPr="00DF70FB">
        <w:rPr>
          <w:rFonts w:cs="Times New Roman"/>
        </w:rPr>
        <w:t xml:space="preserve">. Therefore, </w:t>
      </w:r>
      <w:r>
        <w:rPr>
          <w:rFonts w:cs="Times New Roman"/>
        </w:rPr>
        <w:t xml:space="preserve">this appeal concerns </w:t>
      </w:r>
      <w:r w:rsidRPr="00DF70FB">
        <w:rPr>
          <w:rFonts w:cs="Times New Roman"/>
        </w:rPr>
        <w:t>only the interpretation and application of the arm’s length requirement</w:t>
      </w:r>
      <w:r>
        <w:rPr>
          <w:rFonts w:cs="Times New Roman"/>
        </w:rPr>
        <w:t xml:space="preserve"> under s. 95(1)</w:t>
      </w:r>
      <w:r w:rsidRPr="00DF70FB">
        <w:rPr>
          <w:rFonts w:cs="Times New Roman"/>
        </w:rPr>
        <w:t>.</w:t>
      </w:r>
    </w:p>
    <w:p w:rsidR="007A59F1" w:rsidRPr="00DF70FB" w:rsidRDefault="007A59F1" w:rsidP="007A59F1">
      <w:pPr>
        <w:pStyle w:val="Title2LevelTitre2Niveau"/>
        <w:rPr>
          <w:rFonts w:cs="Times New Roman"/>
        </w:rPr>
      </w:pPr>
      <w:bookmarkStart w:id="14" w:name="_Toc78546494"/>
      <w:bookmarkStart w:id="15" w:name="_Toc86943874"/>
      <w:r w:rsidRPr="00DF70FB">
        <w:rPr>
          <w:rFonts w:cs="Times New Roman"/>
        </w:rPr>
        <w:t>Arm’s Length Requirement</w:t>
      </w:r>
      <w:bookmarkEnd w:id="14"/>
      <w:bookmarkEnd w:id="15"/>
    </w:p>
    <w:p w:rsidR="007A59F1" w:rsidRPr="00DF70FB" w:rsidRDefault="007A59F1" w:rsidP="007A59F1">
      <w:pPr>
        <w:pStyle w:val="Title3LevelTitre3Niveau"/>
        <w:rPr>
          <w:rFonts w:cs="Times New Roman"/>
        </w:rPr>
      </w:pPr>
      <w:bookmarkStart w:id="16" w:name="_Toc78546495"/>
      <w:bookmarkStart w:id="17" w:name="_Toc86943875"/>
      <w:r w:rsidRPr="00DF70FB">
        <w:rPr>
          <w:rFonts w:cs="Times New Roman"/>
        </w:rPr>
        <w:t>Introduction</w:t>
      </w:r>
      <w:bookmarkEnd w:id="16"/>
      <w:bookmarkEnd w:id="17"/>
    </w:p>
    <w:p w:rsidR="007A59F1" w:rsidRPr="00DF70FB" w:rsidRDefault="007A59F1" w:rsidP="007A59F1">
      <w:pPr>
        <w:pStyle w:val="ParaNoNdepar-AltN"/>
        <w:rPr>
          <w:rFonts w:cs="Times New Roman"/>
        </w:rPr>
      </w:pPr>
      <w:r w:rsidRPr="00DF70FB">
        <w:rPr>
          <w:rFonts w:cs="Times New Roman"/>
        </w:rPr>
        <w:t xml:space="preserve">The dispute in this case comes down to the meaning of the phrase “business conducted principally with” within the arm’s length requirement, and specifically whether </w:t>
      </w:r>
      <w:r>
        <w:rPr>
          <w:rFonts w:cs="Times New Roman"/>
        </w:rPr>
        <w:t xml:space="preserve">providing corporate </w:t>
      </w:r>
      <w:r w:rsidRPr="00DF70FB">
        <w:rPr>
          <w:rFonts w:cs="Times New Roman"/>
        </w:rPr>
        <w:t xml:space="preserve">capital and </w:t>
      </w:r>
      <w:r>
        <w:rPr>
          <w:rFonts w:cs="Times New Roman"/>
        </w:rPr>
        <w:t xml:space="preserve">exercising </w:t>
      </w:r>
      <w:r w:rsidRPr="00DF70FB">
        <w:rPr>
          <w:rFonts w:cs="Times New Roman"/>
        </w:rPr>
        <w:t>corporate oversight</w:t>
      </w:r>
      <w:r>
        <w:rPr>
          <w:rFonts w:cs="Times New Roman"/>
        </w:rPr>
        <w:t xml:space="preserve"> amount to conducting business with a foreign affiliate</w:t>
      </w:r>
      <w:r w:rsidRPr="00DF70FB">
        <w:rPr>
          <w:rFonts w:cs="Times New Roman"/>
        </w:rPr>
        <w:t>. The question of what type of activities Parliament intended to be included in determining whether a business is</w:t>
      </w:r>
      <w:r>
        <w:rPr>
          <w:rFonts w:cs="Times New Roman"/>
        </w:rPr>
        <w:t xml:space="preserve"> conducted principally with non</w:t>
      </w:r>
      <w:r>
        <w:rPr>
          <w:rFonts w:cs="Times New Roman"/>
        </w:rPr>
        <w:noBreakHyphen/>
      </w:r>
      <w:r w:rsidRPr="00DF70FB">
        <w:rPr>
          <w:rFonts w:cs="Times New Roman"/>
        </w:rPr>
        <w:t>arm’s length persons is a question of law. The standard of review is accordingly correctness (</w:t>
      </w:r>
      <w:r w:rsidRPr="00DF70FB">
        <w:rPr>
          <w:rFonts w:cs="Times New Roman"/>
          <w:i/>
          <w:lang w:bidi="en-US"/>
        </w:rPr>
        <w:t>Housen v. Nikolaisen</w:t>
      </w:r>
      <w:r w:rsidRPr="00DF70FB">
        <w:rPr>
          <w:rFonts w:cs="Times New Roman"/>
          <w:lang w:bidi="en-US"/>
        </w:rPr>
        <w:t>, 2002 SCC 33</w:t>
      </w:r>
      <w:r>
        <w:rPr>
          <w:rFonts w:cs="Times New Roman"/>
          <w:lang w:bidi="en-US"/>
        </w:rPr>
        <w:t>, [2002] 2 S.C.R. 235</w:t>
      </w:r>
      <w:r w:rsidRPr="00DF70FB">
        <w:rPr>
          <w:rFonts w:cs="Times New Roman"/>
          <w:lang w:bidi="en-US"/>
        </w:rPr>
        <w:t>).</w:t>
      </w:r>
    </w:p>
    <w:p w:rsidR="007A59F1" w:rsidRPr="00DF70FB" w:rsidRDefault="007A59F1" w:rsidP="007A59F1">
      <w:pPr>
        <w:pStyle w:val="ParaNoNdepar-AltN"/>
        <w:rPr>
          <w:rFonts w:cs="Times New Roman"/>
        </w:rPr>
      </w:pPr>
      <w:r w:rsidRPr="00DF70FB">
        <w:rPr>
          <w:rFonts w:cs="Times New Roman"/>
        </w:rPr>
        <w:t>This narrow question of statutory interpretation requires us to draw upon the well-established framework that “statutory interpretation entails discerning legislative intent by examining statutory text in its entire context and in its grammatical and ordinary sense, in harmony with the statute’s scheme and objects” (</w:t>
      </w:r>
      <w:r w:rsidRPr="00DF70FB">
        <w:rPr>
          <w:rFonts w:cs="Times New Roman"/>
          <w:i/>
          <w:iCs/>
        </w:rPr>
        <w:t>Michel v. Graydon</w:t>
      </w:r>
      <w:r w:rsidRPr="00DF70FB">
        <w:rPr>
          <w:rFonts w:cs="Times New Roman"/>
        </w:rPr>
        <w:t xml:space="preserve">, 2020 SCC 24, at para. 21). Where the rubber hits the road is </w:t>
      </w:r>
      <w:r>
        <w:rPr>
          <w:rFonts w:cs="Times New Roman"/>
        </w:rPr>
        <w:t xml:space="preserve">in determining </w:t>
      </w:r>
      <w:r w:rsidRPr="00DF70FB">
        <w:rPr>
          <w:rFonts w:cs="Times New Roman"/>
        </w:rPr>
        <w:lastRenderedPageBreak/>
        <w:t xml:space="preserve">the relative weight to be afforded to </w:t>
      </w:r>
      <w:r>
        <w:rPr>
          <w:rFonts w:cs="Times New Roman"/>
        </w:rPr>
        <w:t xml:space="preserve">the </w:t>
      </w:r>
      <w:r w:rsidRPr="00DF70FB">
        <w:rPr>
          <w:rFonts w:cs="Times New Roman"/>
        </w:rPr>
        <w:t>text, context and purpose. Where the words of a statute are “precise and unequivocal”, their ordinary meaning will play a dominant role (</w:t>
      </w:r>
      <w:r w:rsidRPr="00DF70FB">
        <w:rPr>
          <w:rFonts w:cs="Times New Roman"/>
          <w:i/>
          <w:iCs/>
        </w:rPr>
        <w:t>Canada Trustco Mortgage Co. v. Canada</w:t>
      </w:r>
      <w:r w:rsidRPr="00DF70FB">
        <w:rPr>
          <w:rFonts w:cs="Times New Roman"/>
        </w:rPr>
        <w:t xml:space="preserve">, 2005 SCC 54, </w:t>
      </w:r>
      <w:r>
        <w:rPr>
          <w:rFonts w:cs="Times New Roman"/>
        </w:rPr>
        <w:t xml:space="preserve">[2005] 2 S.C.R. 601, </w:t>
      </w:r>
      <w:r w:rsidRPr="00DF70FB">
        <w:rPr>
          <w:rFonts w:cs="Times New Roman"/>
        </w:rPr>
        <w:t>at para. 10). In the taxation context, a “unified textual, contextual and purposive” approach continues to apply (</w:t>
      </w:r>
      <w:r w:rsidRPr="00DF70FB">
        <w:rPr>
          <w:rFonts w:cs="Times New Roman"/>
          <w:i/>
        </w:rPr>
        <w:t>Placer Dome Canada</w:t>
      </w:r>
      <w:r>
        <w:rPr>
          <w:rFonts w:cs="Times New Roman"/>
          <w:i/>
        </w:rPr>
        <w:t xml:space="preserve"> Ltd.</w:t>
      </w:r>
      <w:r w:rsidRPr="00DF70FB">
        <w:rPr>
          <w:rFonts w:cs="Times New Roman"/>
          <w:i/>
        </w:rPr>
        <w:t xml:space="preserve"> v. Ontario</w:t>
      </w:r>
      <w:r>
        <w:rPr>
          <w:rFonts w:cs="Times New Roman"/>
          <w:i/>
        </w:rPr>
        <w:t xml:space="preserve"> (Minister of Finance)</w:t>
      </w:r>
      <w:r w:rsidRPr="00DF70FB">
        <w:rPr>
          <w:rFonts w:cs="Times New Roman"/>
        </w:rPr>
        <w:t xml:space="preserve">, 2006 SCC 20, </w:t>
      </w:r>
      <w:r>
        <w:rPr>
          <w:rFonts w:cs="Times New Roman"/>
        </w:rPr>
        <w:t xml:space="preserve">[2006] 1 S.C.R. 715, </w:t>
      </w:r>
      <w:r w:rsidRPr="00DF70FB">
        <w:rPr>
          <w:rFonts w:cs="Times New Roman"/>
        </w:rPr>
        <w:t>at para. 22</w:t>
      </w:r>
      <w:r>
        <w:rPr>
          <w:rFonts w:cs="Times New Roman"/>
        </w:rPr>
        <w:t xml:space="preserve">, quoting </w:t>
      </w:r>
      <w:r w:rsidRPr="0052509C">
        <w:rPr>
          <w:rFonts w:cs="Times New Roman"/>
          <w:i/>
        </w:rPr>
        <w:t>Canada Trustco</w:t>
      </w:r>
      <w:r>
        <w:rPr>
          <w:rFonts w:cs="Times New Roman"/>
        </w:rPr>
        <w:t>, at para. 47</w:t>
      </w:r>
      <w:r w:rsidRPr="00DF70FB">
        <w:rPr>
          <w:rFonts w:cs="Times New Roman"/>
        </w:rPr>
        <w:t xml:space="preserve">). </w:t>
      </w:r>
      <w:r>
        <w:rPr>
          <w:rFonts w:cs="Times New Roman"/>
        </w:rPr>
        <w:t>In applying</w:t>
      </w:r>
      <w:r w:rsidRPr="00DF70FB">
        <w:rPr>
          <w:rFonts w:cs="Times New Roman"/>
        </w:rPr>
        <w:t xml:space="preserve"> this unified approach, however, the particularity and detail of many tax provisions along with the </w:t>
      </w:r>
      <w:r w:rsidRPr="00DF70FB">
        <w:rPr>
          <w:rFonts w:cs="Times New Roman"/>
          <w:i/>
        </w:rPr>
        <w:t xml:space="preserve">Duke of Westminster </w:t>
      </w:r>
      <w:r>
        <w:rPr>
          <w:rFonts w:cs="Times New Roman"/>
        </w:rPr>
        <w:t>principle (that taxpayers are entitled to arrange their affairs to minimize the amount of tax payable) lead</w:t>
      </w:r>
      <w:r w:rsidRPr="00DF70FB">
        <w:rPr>
          <w:rFonts w:cs="Times New Roman"/>
        </w:rPr>
        <w:t xml:space="preserve"> us to focus carefully on the text and context in assessing the broader purpose of the scheme (</w:t>
      </w:r>
      <w:r w:rsidRPr="00DF70FB">
        <w:rPr>
          <w:rFonts w:cs="Times New Roman"/>
          <w:i/>
        </w:rPr>
        <w:t>Placer Dome</w:t>
      </w:r>
      <w:r w:rsidRPr="00DF70FB">
        <w:rPr>
          <w:rFonts w:cs="Times New Roman"/>
        </w:rPr>
        <w:t>, at</w:t>
      </w:r>
      <w:r w:rsidRPr="00DF70FB">
        <w:rPr>
          <w:rFonts w:cs="Times New Roman"/>
          <w:i/>
        </w:rPr>
        <w:t xml:space="preserve"> </w:t>
      </w:r>
      <w:r w:rsidRPr="00DF70FB">
        <w:rPr>
          <w:rFonts w:cs="Times New Roman"/>
        </w:rPr>
        <w:t xml:space="preserve">para. 21; </w:t>
      </w:r>
      <w:r w:rsidRPr="00DF70FB">
        <w:rPr>
          <w:rFonts w:cs="Times New Roman"/>
          <w:i/>
          <w:iCs/>
        </w:rPr>
        <w:t>Canada Trustco</w:t>
      </w:r>
      <w:r w:rsidRPr="00DF70FB">
        <w:rPr>
          <w:rFonts w:cs="Times New Roman"/>
        </w:rPr>
        <w:t>, at para. 11</w:t>
      </w:r>
      <w:r w:rsidRPr="00DF70FB">
        <w:rPr>
          <w:rFonts w:eastAsia="Times New Roman" w:cs="Times New Roman"/>
          <w:szCs w:val="24"/>
          <w:lang w:eastAsia="fr-CA"/>
        </w:rPr>
        <w:t>). This approach is particularly apposite in this case</w:t>
      </w:r>
      <w:r>
        <w:rPr>
          <w:rFonts w:eastAsia="Times New Roman" w:cs="Times New Roman"/>
          <w:szCs w:val="24"/>
          <w:lang w:eastAsia="fr-CA"/>
        </w:rPr>
        <w:t>,</w:t>
      </w:r>
      <w:r w:rsidRPr="00DF70FB">
        <w:rPr>
          <w:rFonts w:eastAsia="Times New Roman" w:cs="Times New Roman"/>
          <w:szCs w:val="24"/>
          <w:lang w:eastAsia="fr-CA"/>
        </w:rPr>
        <w:t xml:space="preserve"> where the provision at issue is part of the highly detailed and precise FAPI regime.</w:t>
      </w:r>
      <w:r w:rsidRPr="00DF70FB">
        <w:rPr>
          <w:rFonts w:cs="Times New Roman"/>
        </w:rPr>
        <w:t xml:space="preserve"> I must emphasize again that this is not a case </w:t>
      </w:r>
      <w:r>
        <w:rPr>
          <w:rFonts w:cs="Times New Roman"/>
        </w:rPr>
        <w:t>involving</w:t>
      </w:r>
      <w:r w:rsidRPr="00DF70FB">
        <w:rPr>
          <w:rFonts w:cs="Times New Roman"/>
        </w:rPr>
        <w:t xml:space="preserve"> a </w:t>
      </w:r>
      <w:r>
        <w:rPr>
          <w:rFonts w:cs="Times New Roman"/>
        </w:rPr>
        <w:t>general anti-avoidance rule</w:t>
      </w:r>
      <w:r w:rsidRPr="00DF70FB">
        <w:rPr>
          <w:rFonts w:cs="Times New Roman"/>
        </w:rPr>
        <w:t xml:space="preserve">. The provision at issue is part of an exception to the definition of </w:t>
      </w:r>
      <w:r>
        <w:rPr>
          <w:rFonts w:cs="Times New Roman"/>
        </w:rPr>
        <w:t>“</w:t>
      </w:r>
      <w:r w:rsidRPr="00DF70FB">
        <w:rPr>
          <w:rFonts w:cs="Times New Roman"/>
        </w:rPr>
        <w:t>investment business</w:t>
      </w:r>
      <w:r>
        <w:rPr>
          <w:rFonts w:cs="Times New Roman"/>
        </w:rPr>
        <w:t xml:space="preserve">” </w:t>
      </w:r>
      <w:r w:rsidRPr="00DF70FB">
        <w:rPr>
          <w:rFonts w:cs="Times New Roman"/>
        </w:rPr>
        <w:t xml:space="preserve">within the </w:t>
      </w:r>
      <w:r>
        <w:rPr>
          <w:rFonts w:cs="Times New Roman"/>
        </w:rPr>
        <w:t>highly</w:t>
      </w:r>
      <w:r w:rsidRPr="00DF70FB">
        <w:rPr>
          <w:rFonts w:eastAsia="Times New Roman" w:cs="Times New Roman"/>
          <w:szCs w:val="24"/>
          <w:lang w:eastAsia="fr-CA"/>
        </w:rPr>
        <w:t xml:space="preserve"> intricate, highly defined FAPI regime. If taxpayers are to act with any degree of certainty </w:t>
      </w:r>
      <w:r>
        <w:rPr>
          <w:rFonts w:eastAsia="Times New Roman" w:cs="Times New Roman"/>
          <w:szCs w:val="24"/>
          <w:lang w:eastAsia="fr-CA"/>
        </w:rPr>
        <w:t xml:space="preserve">under such a regime, </w:t>
      </w:r>
      <w:r w:rsidRPr="00DF70FB">
        <w:rPr>
          <w:rFonts w:eastAsia="Times New Roman" w:cs="Times New Roman"/>
          <w:szCs w:val="24"/>
          <w:lang w:eastAsia="fr-CA"/>
        </w:rPr>
        <w:t>then full effect should be given to Parliament’s precise and unequivocal words.</w:t>
      </w:r>
    </w:p>
    <w:p w:rsidR="007A59F1" w:rsidRPr="00DF70FB" w:rsidRDefault="007A59F1" w:rsidP="007A59F1">
      <w:pPr>
        <w:pStyle w:val="ParaNoNdepar-AltN"/>
        <w:rPr>
          <w:rFonts w:cs="Times New Roman"/>
        </w:rPr>
      </w:pPr>
      <w:r w:rsidRPr="00DF70FB">
        <w:rPr>
          <w:rFonts w:cs="Times New Roman"/>
        </w:rPr>
        <w:t xml:space="preserve">Indeed, we are concerned </w:t>
      </w:r>
      <w:r>
        <w:rPr>
          <w:rFonts w:cs="Times New Roman"/>
        </w:rPr>
        <w:t xml:space="preserve">here </w:t>
      </w:r>
      <w:r w:rsidRPr="00DF70FB">
        <w:rPr>
          <w:rFonts w:cs="Times New Roman"/>
        </w:rPr>
        <w:t>with whether Glenhuron’s business (other than its business of managing assets</w:t>
      </w:r>
      <w:r>
        <w:rPr>
          <w:rFonts w:cs="Times New Roman"/>
        </w:rPr>
        <w:t xml:space="preserve"> for non</w:t>
      </w:r>
      <w:r>
        <w:rPr>
          <w:rFonts w:cs="Times New Roman"/>
        </w:rPr>
        <w:noBreakHyphen/>
      </w:r>
      <w:r w:rsidRPr="00DF70FB">
        <w:rPr>
          <w:rFonts w:cs="Times New Roman"/>
        </w:rPr>
        <w:t xml:space="preserve">arm’s length persons) met the conditions of the financial institution exception. As mentioned above, this exception is found in the definition of “investment business” </w:t>
      </w:r>
      <w:r>
        <w:rPr>
          <w:rFonts w:cs="Times New Roman"/>
        </w:rPr>
        <w:t>at</w:t>
      </w:r>
      <w:r w:rsidRPr="00DF70FB">
        <w:rPr>
          <w:rFonts w:cs="Times New Roman"/>
        </w:rPr>
        <w:t xml:space="preserve"> s. 95(1) of the </w:t>
      </w:r>
      <w:r w:rsidRPr="00DF70FB">
        <w:rPr>
          <w:rFonts w:cs="Times New Roman"/>
          <w:i/>
        </w:rPr>
        <w:t>ITA</w:t>
      </w:r>
      <w:r w:rsidRPr="00DF70FB">
        <w:rPr>
          <w:rFonts w:cs="Times New Roman"/>
        </w:rPr>
        <w:t>:</w:t>
      </w:r>
    </w:p>
    <w:p w:rsidR="007A59F1" w:rsidRPr="00DF70FB" w:rsidRDefault="007A59F1" w:rsidP="007A59F1">
      <w:pPr>
        <w:pStyle w:val="Citation-AltC"/>
      </w:pPr>
      <w:r w:rsidRPr="0052509C">
        <w:rPr>
          <w:b/>
          <w:i/>
        </w:rPr>
        <w:lastRenderedPageBreak/>
        <w:t>investment business</w:t>
      </w:r>
      <w:r w:rsidRPr="00DF70FB">
        <w:t xml:space="preserve"> of a foreign affiliate of a taxpayer means a business carried on by the affiliate in a taxation year (other than a business deemed by subsection 95(2) to be a business other than an active business carried on by the affiliate) the principal purpose of which is to derive income from property (including interest, dividends, rents, royalties or any similar returns or substitutes therefor), income from the insurance or reinsurance of risks, income from the factoring of trade accounts receivable, or profits from the disposition of investment property, unless it is established by the taxpayer or the affiliate that, throughout the period in the year during which the business was carried on by the affiliate,</w:t>
      </w:r>
    </w:p>
    <w:p w:rsidR="007A59F1" w:rsidRPr="00531406" w:rsidRDefault="007A59F1" w:rsidP="007A59F1">
      <w:pPr>
        <w:pStyle w:val="Citation-AltC"/>
        <w:rPr>
          <w:rStyle w:val="HTMLDefinition"/>
          <w:i w:val="0"/>
        </w:rPr>
      </w:pPr>
    </w:p>
    <w:p w:rsidR="007A59F1" w:rsidRPr="00531406" w:rsidRDefault="007A59F1" w:rsidP="007A59F1">
      <w:pPr>
        <w:pStyle w:val="Citation-AltC"/>
        <w:ind w:left="1440"/>
        <w:rPr>
          <w:rStyle w:val="HTMLDefinition"/>
          <w:i w:val="0"/>
        </w:rPr>
      </w:pPr>
      <w:r w:rsidRPr="00531406">
        <w:rPr>
          <w:rStyle w:val="HTMLDefinition"/>
          <w:b/>
          <w:i w:val="0"/>
        </w:rPr>
        <w:t>(a)</w:t>
      </w:r>
      <w:r w:rsidRPr="00531406">
        <w:rPr>
          <w:rStyle w:val="HTMLDefinition"/>
          <w:i w:val="0"/>
        </w:rPr>
        <w:t xml:space="preserve"> the business (</w:t>
      </w:r>
      <w:r w:rsidRPr="00531406">
        <w:rPr>
          <w:rStyle w:val="HTMLDefinition"/>
          <w:i w:val="0"/>
          <w:u w:val="single"/>
        </w:rPr>
        <w:t>other than any business conducted principally with persons with whom the affiliate does not deal at arm’s length</w:t>
      </w:r>
      <w:r w:rsidRPr="00531406">
        <w:rPr>
          <w:rStyle w:val="HTMLDefinition"/>
          <w:i w:val="0"/>
        </w:rPr>
        <w:t>) is</w:t>
      </w:r>
    </w:p>
    <w:p w:rsidR="007A59F1" w:rsidRPr="00531406" w:rsidRDefault="007A59F1" w:rsidP="007A59F1">
      <w:pPr>
        <w:pStyle w:val="Citation-AltC"/>
        <w:rPr>
          <w:rStyle w:val="HTMLDefinition"/>
          <w:i w:val="0"/>
        </w:rPr>
      </w:pPr>
    </w:p>
    <w:p w:rsidR="007A59F1" w:rsidRPr="00531406" w:rsidRDefault="007A59F1" w:rsidP="007A59F1">
      <w:pPr>
        <w:pStyle w:val="Citation-AltC"/>
        <w:ind w:left="2160"/>
        <w:rPr>
          <w:rStyle w:val="HTMLDefinition"/>
          <w:i w:val="0"/>
        </w:rPr>
      </w:pPr>
      <w:r w:rsidRPr="00531406">
        <w:rPr>
          <w:rStyle w:val="HTMLDefinition"/>
          <w:b/>
          <w:i w:val="0"/>
        </w:rPr>
        <w:t>(i)</w:t>
      </w:r>
      <w:r w:rsidRPr="00531406">
        <w:rPr>
          <w:rStyle w:val="HTMLDefinition"/>
          <w:i w:val="0"/>
        </w:rPr>
        <w:t xml:space="preserve"> a business carried on by it as a </w:t>
      </w:r>
      <w:r w:rsidRPr="00531406">
        <w:rPr>
          <w:rStyle w:val="HTMLDefinition"/>
          <w:i w:val="0"/>
          <w:u w:val="single"/>
        </w:rPr>
        <w:t>foreign bank</w:t>
      </w:r>
      <w:r w:rsidRPr="00531406">
        <w:rPr>
          <w:rStyle w:val="HTMLDefinition"/>
          <w:i w:val="0"/>
        </w:rPr>
        <w:t xml:space="preserve">, . . . the activities of which are </w:t>
      </w:r>
      <w:r w:rsidRPr="00531406">
        <w:rPr>
          <w:rStyle w:val="HTMLDefinition"/>
          <w:i w:val="0"/>
          <w:u w:val="single"/>
        </w:rPr>
        <w:t xml:space="preserve">regulated </w:t>
      </w:r>
      <w:r w:rsidRPr="00531406">
        <w:rPr>
          <w:rStyle w:val="HTMLDefinition"/>
          <w:i w:val="0"/>
        </w:rPr>
        <w:t>under the laws</w:t>
      </w:r>
    </w:p>
    <w:p w:rsidR="007A59F1" w:rsidRPr="00531406" w:rsidRDefault="007A59F1" w:rsidP="007A59F1">
      <w:pPr>
        <w:pStyle w:val="Citation-AltC"/>
        <w:rPr>
          <w:rStyle w:val="HTMLDefinition"/>
          <w:i w:val="0"/>
        </w:rPr>
      </w:pPr>
    </w:p>
    <w:p w:rsidR="007A59F1" w:rsidRPr="00531406" w:rsidRDefault="007A59F1" w:rsidP="007A59F1">
      <w:pPr>
        <w:pStyle w:val="Citation-AltC"/>
        <w:ind w:left="2160"/>
        <w:jc w:val="center"/>
        <w:rPr>
          <w:rStyle w:val="HTMLDefinition"/>
          <w:i w:val="0"/>
        </w:rPr>
      </w:pPr>
      <w:r w:rsidRPr="00531406">
        <w:rPr>
          <w:rStyle w:val="HTMLDefinition"/>
          <w:i w:val="0"/>
        </w:rPr>
        <w:t>. . .</w:t>
      </w:r>
    </w:p>
    <w:p w:rsidR="007A59F1" w:rsidRPr="00531406" w:rsidRDefault="007A59F1" w:rsidP="007A59F1">
      <w:pPr>
        <w:pStyle w:val="Citation-AltC"/>
        <w:rPr>
          <w:rStyle w:val="HTMLDefinition"/>
          <w:i w:val="0"/>
        </w:rPr>
      </w:pPr>
    </w:p>
    <w:p w:rsidR="007A59F1" w:rsidRPr="00531406" w:rsidRDefault="007A59F1" w:rsidP="007A59F1">
      <w:pPr>
        <w:pStyle w:val="Citation-AltC"/>
        <w:ind w:left="2432"/>
        <w:rPr>
          <w:rStyle w:val="HTMLDefinition"/>
          <w:i w:val="0"/>
        </w:rPr>
      </w:pPr>
      <w:r w:rsidRPr="00531406">
        <w:rPr>
          <w:rStyle w:val="HTMLDefinition"/>
          <w:b/>
          <w:i w:val="0"/>
        </w:rPr>
        <w:t>(B)</w:t>
      </w:r>
      <w:r w:rsidRPr="00531406">
        <w:rPr>
          <w:rStyle w:val="HTMLDefinition"/>
          <w:i w:val="0"/>
        </w:rPr>
        <w:t xml:space="preserve"> of the country in which the business is principally carried on, or </w:t>
      </w:r>
    </w:p>
    <w:p w:rsidR="007A59F1" w:rsidRPr="00531406" w:rsidRDefault="007A59F1" w:rsidP="007A59F1">
      <w:pPr>
        <w:pStyle w:val="Citation-AltC"/>
        <w:rPr>
          <w:rStyle w:val="HTMLDefinition"/>
          <w:i w:val="0"/>
        </w:rPr>
      </w:pPr>
    </w:p>
    <w:p w:rsidR="007A59F1" w:rsidRPr="00531406" w:rsidRDefault="007A59F1" w:rsidP="007A59F1">
      <w:pPr>
        <w:pStyle w:val="Citation-AltC"/>
        <w:ind w:left="2160"/>
        <w:jc w:val="center"/>
        <w:rPr>
          <w:rStyle w:val="HTMLDefinition"/>
          <w:i w:val="0"/>
        </w:rPr>
      </w:pPr>
      <w:r w:rsidRPr="00531406">
        <w:rPr>
          <w:rStyle w:val="HTMLDefinition"/>
          <w:i w:val="0"/>
        </w:rPr>
        <w:t>. . .</w:t>
      </w:r>
    </w:p>
    <w:p w:rsidR="007A59F1" w:rsidRPr="00531406" w:rsidRDefault="007A59F1" w:rsidP="007A59F1">
      <w:pPr>
        <w:pStyle w:val="Citation-AltC"/>
        <w:rPr>
          <w:rStyle w:val="HTMLDefinition"/>
          <w:i w:val="0"/>
        </w:rPr>
      </w:pPr>
    </w:p>
    <w:p w:rsidR="007A59F1" w:rsidRPr="00531406" w:rsidRDefault="007A59F1" w:rsidP="007A59F1">
      <w:pPr>
        <w:pStyle w:val="Citation-AltC"/>
        <w:ind w:firstLine="274"/>
        <w:rPr>
          <w:rStyle w:val="HTMLDefinition"/>
          <w:i w:val="0"/>
        </w:rPr>
      </w:pPr>
      <w:r w:rsidRPr="00531406">
        <w:rPr>
          <w:rStyle w:val="HTMLDefinition"/>
          <w:b/>
          <w:i w:val="0"/>
        </w:rPr>
        <w:t>(c)</w:t>
      </w:r>
      <w:r w:rsidRPr="00531406">
        <w:rPr>
          <w:rStyle w:val="HTMLDefinition"/>
          <w:i w:val="0"/>
        </w:rPr>
        <w:t xml:space="preserve"> the operator employs</w:t>
      </w:r>
    </w:p>
    <w:p w:rsidR="007A59F1" w:rsidRPr="00531406" w:rsidRDefault="007A59F1" w:rsidP="007A59F1">
      <w:pPr>
        <w:pStyle w:val="Citation-AltC"/>
        <w:rPr>
          <w:rStyle w:val="HTMLDefinition"/>
          <w:i w:val="0"/>
        </w:rPr>
      </w:pPr>
    </w:p>
    <w:p w:rsidR="007A59F1" w:rsidRPr="00531406" w:rsidRDefault="007A59F1" w:rsidP="007A59F1">
      <w:pPr>
        <w:pStyle w:val="Citation-AltC"/>
        <w:ind w:left="2160"/>
        <w:rPr>
          <w:rStyle w:val="HTMLDefinition"/>
          <w:i w:val="0"/>
        </w:rPr>
      </w:pPr>
      <w:r w:rsidRPr="00531406">
        <w:rPr>
          <w:rStyle w:val="HTMLDefinition"/>
          <w:b/>
          <w:i w:val="0"/>
        </w:rPr>
        <w:t>(i)</w:t>
      </w:r>
      <w:r w:rsidRPr="00531406">
        <w:rPr>
          <w:rStyle w:val="HTMLDefinition"/>
          <w:i w:val="0"/>
        </w:rPr>
        <w:t xml:space="preserve"> </w:t>
      </w:r>
      <w:r w:rsidRPr="00531406">
        <w:rPr>
          <w:rStyle w:val="HTMLDefinition"/>
          <w:i w:val="0"/>
          <w:u w:val="single"/>
        </w:rPr>
        <w:t>more than five employees full time</w:t>
      </w:r>
      <w:r w:rsidRPr="00531406">
        <w:rPr>
          <w:rStyle w:val="HTMLDefinition"/>
          <w:i w:val="0"/>
        </w:rPr>
        <w:t xml:space="preserve"> in the active conduct of the business, or </w:t>
      </w:r>
    </w:p>
    <w:p w:rsidR="007A59F1" w:rsidRPr="00531406" w:rsidRDefault="007A59F1" w:rsidP="007A59F1">
      <w:pPr>
        <w:pStyle w:val="Citation-AltC"/>
        <w:rPr>
          <w:rStyle w:val="HTMLDefinition"/>
          <w:i w:val="0"/>
        </w:rPr>
      </w:pPr>
    </w:p>
    <w:p w:rsidR="007A59F1" w:rsidRPr="00531406" w:rsidRDefault="007A59F1" w:rsidP="007A59F1">
      <w:pPr>
        <w:pStyle w:val="Citation-AltC"/>
        <w:ind w:left="2160"/>
        <w:rPr>
          <w:rStyle w:val="HTMLDefinition"/>
          <w:i w:val="0"/>
        </w:rPr>
      </w:pPr>
      <w:r w:rsidRPr="00531406">
        <w:rPr>
          <w:rStyle w:val="HTMLDefinition"/>
          <w:b/>
          <w:i w:val="0"/>
        </w:rPr>
        <w:t>(ii)</w:t>
      </w:r>
      <w:r w:rsidRPr="00531406">
        <w:rPr>
          <w:rStyle w:val="HTMLDefinition"/>
          <w:i w:val="0"/>
        </w:rPr>
        <w:t xml:space="preserve"> the equivalent of more than five employees full time in the active conduct of the business taking into consideration only</w:t>
      </w:r>
    </w:p>
    <w:p w:rsidR="007A59F1" w:rsidRPr="00531406" w:rsidRDefault="007A59F1" w:rsidP="007A59F1">
      <w:pPr>
        <w:pStyle w:val="Citation-AltC"/>
        <w:rPr>
          <w:rStyle w:val="HTMLDefinition"/>
          <w:i w:val="0"/>
        </w:rPr>
      </w:pPr>
    </w:p>
    <w:p w:rsidR="007A59F1" w:rsidRPr="00531406" w:rsidRDefault="007A59F1" w:rsidP="007A59F1">
      <w:pPr>
        <w:pStyle w:val="Citation-AltC"/>
        <w:jc w:val="center"/>
        <w:rPr>
          <w:rStyle w:val="HTMLDefinition"/>
          <w:i w:val="0"/>
        </w:rPr>
      </w:pPr>
      <w:r w:rsidRPr="00531406">
        <w:rPr>
          <w:rStyle w:val="HTMLDefinition"/>
          <w:i w:val="0"/>
        </w:rPr>
        <w:t>. . .</w:t>
      </w:r>
    </w:p>
    <w:p w:rsidR="007A59F1" w:rsidRPr="00531406" w:rsidRDefault="007A59F1" w:rsidP="007A59F1">
      <w:pPr>
        <w:pStyle w:val="Citation-AltC"/>
        <w:jc w:val="left"/>
        <w:rPr>
          <w:rStyle w:val="HTMLDefinition"/>
          <w:i w:val="0"/>
        </w:rPr>
      </w:pPr>
    </w:p>
    <w:p w:rsidR="007A59F1" w:rsidRPr="00531406" w:rsidRDefault="007A59F1" w:rsidP="007A59F1">
      <w:pPr>
        <w:pStyle w:val="Citation-AltC"/>
        <w:jc w:val="left"/>
        <w:rPr>
          <w:rStyle w:val="HTMLDefinition"/>
          <w:i w:val="0"/>
        </w:rPr>
      </w:pPr>
      <w:r w:rsidRPr="00531406">
        <w:rPr>
          <w:rStyle w:val="HTMLDefinition"/>
          <w:i w:val="0"/>
        </w:rPr>
        <w:t>[Emphasis added.]</w:t>
      </w:r>
    </w:p>
    <w:p w:rsidR="007A59F1" w:rsidRPr="00DF70FB" w:rsidRDefault="007A59F1" w:rsidP="007A59F1">
      <w:pPr>
        <w:pStyle w:val="ParaNoNdepar-AltN"/>
        <w:rPr>
          <w:rFonts w:cs="Times New Roman"/>
        </w:rPr>
      </w:pPr>
      <w:r w:rsidRPr="00DF70FB">
        <w:rPr>
          <w:rFonts w:cs="Times New Roman"/>
        </w:rPr>
        <w:t xml:space="preserve">The parties agree that the words “the business (other than any business conducted principally with persons with whom the affiliate does not deal at arm’s length)” require a court to consider </w:t>
      </w:r>
      <w:r>
        <w:rPr>
          <w:rFonts w:cs="Times New Roman"/>
        </w:rPr>
        <w:t xml:space="preserve">with </w:t>
      </w:r>
      <w:r w:rsidRPr="00DF70FB">
        <w:rPr>
          <w:rFonts w:cs="Times New Roman"/>
        </w:rPr>
        <w:t xml:space="preserve">whom the affiliate conducted business and whether those persons were at arm’s length. The central issue in this appeal is whether </w:t>
      </w:r>
      <w:r w:rsidRPr="00DF70FB">
        <w:rPr>
          <w:rFonts w:cs="Times New Roman"/>
        </w:rPr>
        <w:lastRenderedPageBreak/>
        <w:t xml:space="preserve">a parent corporation’s injection of capital or </w:t>
      </w:r>
      <w:r>
        <w:rPr>
          <w:rFonts w:cs="Times New Roman"/>
        </w:rPr>
        <w:t xml:space="preserve">corporate </w:t>
      </w:r>
      <w:r w:rsidRPr="00DF70FB">
        <w:rPr>
          <w:rFonts w:cs="Times New Roman"/>
        </w:rPr>
        <w:t>oversight are relevant to the arm’s length test.</w:t>
      </w:r>
    </w:p>
    <w:p w:rsidR="007A59F1" w:rsidRPr="00DF70FB" w:rsidRDefault="007A59F1" w:rsidP="007A59F1">
      <w:pPr>
        <w:pStyle w:val="Title3LevelTitre3Niveau"/>
        <w:rPr>
          <w:rFonts w:cs="Times New Roman"/>
        </w:rPr>
      </w:pPr>
      <w:bookmarkStart w:id="18" w:name="_Toc78546496"/>
      <w:bookmarkStart w:id="19" w:name="_Toc86943876"/>
      <w:r w:rsidRPr="00DF70FB">
        <w:rPr>
          <w:rFonts w:cs="Times New Roman"/>
        </w:rPr>
        <w:t>Receipt of Equity and Debt Capital</w:t>
      </w:r>
      <w:bookmarkEnd w:id="18"/>
      <w:bookmarkEnd w:id="19"/>
    </w:p>
    <w:p w:rsidR="007A59F1" w:rsidRPr="00DF70FB" w:rsidRDefault="007A59F1" w:rsidP="007A59F1">
      <w:pPr>
        <w:pStyle w:val="ParaNoNdepar-AltN"/>
        <w:rPr>
          <w:rFonts w:cs="Times New Roman"/>
        </w:rPr>
      </w:pPr>
      <w:r w:rsidRPr="00DF70FB">
        <w:rPr>
          <w:rFonts w:eastAsia="Times New Roman" w:cs="Times New Roman"/>
          <w:szCs w:val="24"/>
          <w:lang w:eastAsia="fr-CA"/>
        </w:rPr>
        <w:t xml:space="preserve">The Crown </w:t>
      </w:r>
      <w:r w:rsidRPr="00DF70FB">
        <w:rPr>
          <w:rFonts w:cs="Times New Roman"/>
        </w:rPr>
        <w:t xml:space="preserve">argues that </w:t>
      </w:r>
      <w:r>
        <w:rPr>
          <w:rFonts w:cs="Times New Roman"/>
        </w:rPr>
        <w:t xml:space="preserve">the meaning of </w:t>
      </w:r>
      <w:r w:rsidRPr="00DF70FB">
        <w:rPr>
          <w:rFonts w:cs="Times New Roman"/>
        </w:rPr>
        <w:t>conduct</w:t>
      </w:r>
      <w:r>
        <w:rPr>
          <w:rFonts w:cs="Times New Roman"/>
        </w:rPr>
        <w:t>ing</w:t>
      </w:r>
      <w:r w:rsidRPr="00DF70FB">
        <w:rPr>
          <w:rFonts w:cs="Times New Roman"/>
        </w:rPr>
        <w:t xml:space="preserve"> business can be understood by reference to Barbadian law. </w:t>
      </w:r>
      <w:r w:rsidRPr="00DF70FB">
        <w:rPr>
          <w:rFonts w:cs="Times New Roman"/>
          <w:szCs w:val="24"/>
        </w:rPr>
        <w:t>Section</w:t>
      </w:r>
      <w:r>
        <w:rPr>
          <w:rFonts w:cs="Times New Roman"/>
          <w:szCs w:val="24"/>
        </w:rPr>
        <w:t> </w:t>
      </w:r>
      <w:r w:rsidRPr="00DF70FB">
        <w:rPr>
          <w:rFonts w:cs="Times New Roman"/>
        </w:rPr>
        <w:t xml:space="preserve">4(2) of the </w:t>
      </w:r>
      <w:r w:rsidRPr="00DF70FB">
        <w:rPr>
          <w:rFonts w:cs="Times New Roman"/>
          <w:i/>
        </w:rPr>
        <w:t>Barbados</w:t>
      </w:r>
      <w:r w:rsidRPr="00DF70FB">
        <w:rPr>
          <w:rFonts w:cs="Times New Roman"/>
        </w:rPr>
        <w:t xml:space="preserve"> </w:t>
      </w:r>
      <w:r w:rsidRPr="00DF70FB">
        <w:rPr>
          <w:rFonts w:cs="Times New Roman"/>
          <w:i/>
        </w:rPr>
        <w:t>IFSA</w:t>
      </w:r>
      <w:r w:rsidRPr="00DF70FB">
        <w:rPr>
          <w:rFonts w:cs="Times New Roman"/>
        </w:rPr>
        <w:t xml:space="preserve"> and s. 4 of the </w:t>
      </w:r>
      <w:r w:rsidRPr="00DF70FB">
        <w:rPr>
          <w:rFonts w:cs="Times New Roman"/>
          <w:i/>
        </w:rPr>
        <w:t>Barbados</w:t>
      </w:r>
      <w:r w:rsidRPr="00DF70FB">
        <w:rPr>
          <w:rFonts w:cs="Times New Roman"/>
        </w:rPr>
        <w:t xml:space="preserve"> </w:t>
      </w:r>
      <w:r w:rsidRPr="00DF70FB">
        <w:rPr>
          <w:rFonts w:cs="Times New Roman"/>
          <w:i/>
        </w:rPr>
        <w:t>OSBA</w:t>
      </w:r>
      <w:r w:rsidRPr="00DF70FB">
        <w:rPr>
          <w:rFonts w:cs="Times New Roman"/>
        </w:rPr>
        <w:t xml:space="preserve"> define the business of a</w:t>
      </w:r>
      <w:r>
        <w:rPr>
          <w:rFonts w:cs="Times New Roman"/>
        </w:rPr>
        <w:t>n</w:t>
      </w:r>
      <w:r w:rsidRPr="00DF70FB">
        <w:rPr>
          <w:rFonts w:cs="Times New Roman"/>
        </w:rPr>
        <w:t xml:space="preserve"> international bank </w:t>
      </w:r>
      <w:r>
        <w:rPr>
          <w:rFonts w:cs="Times New Roman"/>
        </w:rPr>
        <w:t>as including</w:t>
      </w:r>
      <w:r w:rsidRPr="00DF70FB">
        <w:rPr>
          <w:rFonts w:cs="Times New Roman"/>
        </w:rPr>
        <w:t xml:space="preserve"> both the receipt of foreign funds and the use of such foreign funds to provide financial services. However, we are not concerned with Barbadian law in this case. Our task is to discern what the Parliament of Canada intended by the words “other than any business conducted principally with persons with whom the affiliate does not deal at arm’s length”. The Crown has failed to provide any persuasive reason why the </w:t>
      </w:r>
      <w:r>
        <w:rPr>
          <w:rFonts w:cs="Times New Roman"/>
        </w:rPr>
        <w:t>Barbados Parliament</w:t>
      </w:r>
      <w:r w:rsidRPr="00DF70FB">
        <w:rPr>
          <w:rFonts w:cs="Times New Roman"/>
        </w:rPr>
        <w:t xml:space="preserve">’s understanding of international banking business is in any way reflective of the Parliament of Canada’s understanding of conducting business. As I said above, we </w:t>
      </w:r>
      <w:r>
        <w:rPr>
          <w:rFonts w:cs="Times New Roman"/>
        </w:rPr>
        <w:t xml:space="preserve">must </w:t>
      </w:r>
      <w:r w:rsidRPr="00DF70FB">
        <w:rPr>
          <w:rFonts w:cs="Times New Roman"/>
        </w:rPr>
        <w:t xml:space="preserve">discern the Parliament of Canada’s intent by examining the text </w:t>
      </w:r>
      <w:r>
        <w:rPr>
          <w:rFonts w:cs="Times New Roman"/>
        </w:rPr>
        <w:t xml:space="preserve">of the </w:t>
      </w:r>
      <w:r w:rsidRPr="00AB5DFA">
        <w:rPr>
          <w:rFonts w:cs="Times New Roman"/>
          <w:i/>
        </w:rPr>
        <w:t xml:space="preserve">ITA </w:t>
      </w:r>
      <w:r w:rsidRPr="00DF70FB">
        <w:rPr>
          <w:rFonts w:cs="Times New Roman"/>
        </w:rPr>
        <w:t>in its entire context and in its grammatical and ordinary sense, alongside the statute’s scheme and objects.</w:t>
      </w:r>
    </w:p>
    <w:p w:rsidR="007A59F1" w:rsidRPr="00DF70FB" w:rsidRDefault="007A59F1" w:rsidP="007A59F1">
      <w:pPr>
        <w:pStyle w:val="ParaNoNdepar-AltN"/>
        <w:rPr>
          <w:rFonts w:cs="Times New Roman"/>
        </w:rPr>
      </w:pPr>
      <w:r w:rsidRPr="00DF70FB">
        <w:rPr>
          <w:rFonts w:cs="Times New Roman"/>
        </w:rPr>
        <w:t xml:space="preserve">The Crown also argues that conducting business should be given a wide meaning based on s. 248 of the </w:t>
      </w:r>
      <w:r w:rsidRPr="00DF70FB">
        <w:rPr>
          <w:rFonts w:cs="Times New Roman"/>
          <w:i/>
        </w:rPr>
        <w:t>ITA</w:t>
      </w:r>
      <w:r>
        <w:rPr>
          <w:rFonts w:cs="Times New Roman"/>
        </w:rPr>
        <w:t>,</w:t>
      </w:r>
      <w:r w:rsidRPr="00DF70FB">
        <w:rPr>
          <w:rFonts w:cs="Times New Roman"/>
          <w:i/>
        </w:rPr>
        <w:t xml:space="preserve"> </w:t>
      </w:r>
      <w:r w:rsidRPr="00DF70FB">
        <w:rPr>
          <w:rFonts w:cs="Times New Roman"/>
        </w:rPr>
        <w:t xml:space="preserve">which defines “business” in broad terms </w:t>
      </w:r>
      <w:r>
        <w:rPr>
          <w:rFonts w:cs="Times New Roman"/>
        </w:rPr>
        <w:t>as including</w:t>
      </w:r>
      <w:r w:rsidRPr="00DF70FB">
        <w:rPr>
          <w:rFonts w:cs="Times New Roman"/>
        </w:rPr>
        <w:t xml:space="preserve"> “a profession, calling, trade, manufacture or undertaking of any kind whatever”</w:t>
      </w:r>
      <w:r>
        <w:rPr>
          <w:rFonts w:cs="Times New Roman"/>
        </w:rPr>
        <w:t xml:space="preserve"> (A.F., at para. 71)</w:t>
      </w:r>
      <w:r w:rsidRPr="00DF70FB">
        <w:rPr>
          <w:rFonts w:cs="Times New Roman"/>
        </w:rPr>
        <w:t xml:space="preserve">. </w:t>
      </w:r>
      <w:r w:rsidRPr="00DF70FB">
        <w:rPr>
          <w:rFonts w:cs="Times New Roman"/>
          <w:szCs w:val="24"/>
        </w:rPr>
        <w:t xml:space="preserve">I agree that the definition of </w:t>
      </w:r>
      <w:r>
        <w:rPr>
          <w:rFonts w:cs="Times New Roman"/>
          <w:szCs w:val="24"/>
        </w:rPr>
        <w:t>“</w:t>
      </w:r>
      <w:r w:rsidRPr="00DF70FB">
        <w:rPr>
          <w:rFonts w:cs="Times New Roman"/>
          <w:szCs w:val="24"/>
        </w:rPr>
        <w:t>business</w:t>
      </w:r>
      <w:r>
        <w:rPr>
          <w:rFonts w:cs="Times New Roman"/>
          <w:szCs w:val="24"/>
        </w:rPr>
        <w:t>”</w:t>
      </w:r>
      <w:r w:rsidRPr="00DF70FB">
        <w:rPr>
          <w:rFonts w:cs="Times New Roman"/>
          <w:szCs w:val="24"/>
        </w:rPr>
        <w:t xml:space="preserve"> in s. 248 is broad and not restricted to income</w:t>
      </w:r>
      <w:r>
        <w:rPr>
          <w:rFonts w:cs="Times New Roman"/>
          <w:szCs w:val="24"/>
        </w:rPr>
        <w:noBreakHyphen/>
      </w:r>
      <w:r w:rsidRPr="00DF70FB">
        <w:rPr>
          <w:rFonts w:cs="Times New Roman"/>
          <w:szCs w:val="24"/>
        </w:rPr>
        <w:t xml:space="preserve">generating activities. However, we are not concerned with </w:t>
      </w:r>
      <w:r w:rsidRPr="00DF70FB">
        <w:rPr>
          <w:rFonts w:cs="Times New Roman"/>
          <w:szCs w:val="24"/>
        </w:rPr>
        <w:lastRenderedPageBreak/>
        <w:t xml:space="preserve">the word “business” alone. In my view, </w:t>
      </w:r>
      <w:r>
        <w:rPr>
          <w:rFonts w:cs="Times New Roman"/>
          <w:szCs w:val="24"/>
        </w:rPr>
        <w:t xml:space="preserve">an ordinary and grammatical reading of </w:t>
      </w:r>
      <w:r w:rsidRPr="00DF70FB">
        <w:rPr>
          <w:rFonts w:cs="Times New Roman"/>
          <w:szCs w:val="24"/>
        </w:rPr>
        <w:t xml:space="preserve">the words “business conducted” </w:t>
      </w:r>
      <w:r>
        <w:rPr>
          <w:rFonts w:cs="Times New Roman"/>
          <w:szCs w:val="24"/>
        </w:rPr>
        <w:t>conveys</w:t>
      </w:r>
      <w:r w:rsidRPr="00DF70FB">
        <w:rPr>
          <w:rFonts w:cs="Times New Roman"/>
          <w:szCs w:val="24"/>
        </w:rPr>
        <w:t xml:space="preserve"> a different meaning </w:t>
      </w:r>
      <w:r>
        <w:rPr>
          <w:rFonts w:cs="Times New Roman"/>
          <w:szCs w:val="24"/>
        </w:rPr>
        <w:t>than</w:t>
      </w:r>
      <w:r w:rsidRPr="00DF70FB">
        <w:rPr>
          <w:rFonts w:cs="Times New Roman"/>
          <w:szCs w:val="24"/>
        </w:rPr>
        <w:t xml:space="preserve"> the word “business” alone. The addition of the verb “conducted” emphasizes Parliament’s intent to focus on the active carrying out of the business rather than </w:t>
      </w:r>
      <w:r>
        <w:rPr>
          <w:rFonts w:cs="Times New Roman"/>
          <w:szCs w:val="24"/>
        </w:rPr>
        <w:t xml:space="preserve">on </w:t>
      </w:r>
      <w:r w:rsidRPr="00DF70FB">
        <w:rPr>
          <w:rFonts w:cs="Times New Roman"/>
          <w:szCs w:val="24"/>
        </w:rPr>
        <w:t>the establishment of prerequisite conditions that enable a foreign</w:t>
      </w:r>
      <w:r>
        <w:rPr>
          <w:rFonts w:cs="Times New Roman"/>
          <w:szCs w:val="24"/>
        </w:rPr>
        <w:t xml:space="preserve"> affiliate to conduct business.</w:t>
      </w:r>
    </w:p>
    <w:p w:rsidR="007A59F1" w:rsidRPr="00DF70FB" w:rsidRDefault="007A59F1" w:rsidP="007A59F1">
      <w:pPr>
        <w:pStyle w:val="ParaNoNdepar-AltN"/>
        <w:rPr>
          <w:rFonts w:cs="Times New Roman"/>
        </w:rPr>
      </w:pPr>
      <w:r w:rsidRPr="00DF70FB">
        <w:rPr>
          <w:rFonts w:cs="Times New Roman"/>
        </w:rPr>
        <w:t xml:space="preserve">Raising capital is a necessary part of any business, and capital </w:t>
      </w:r>
      <w:r w:rsidRPr="00DF70FB">
        <w:rPr>
          <w:rFonts w:cs="Times New Roman"/>
          <w:szCs w:val="24"/>
        </w:rPr>
        <w:t xml:space="preserve">enables business to be conducted. But </w:t>
      </w:r>
      <w:r w:rsidRPr="00DF70FB">
        <w:rPr>
          <w:rFonts w:cs="Times New Roman"/>
        </w:rPr>
        <w:t xml:space="preserve">one would not generally speak of capitalization itself as the conduct of the business. Our Court has repeatedly affirmed that there is a distinction between capitalization and the conduct of </w:t>
      </w:r>
      <w:r>
        <w:rPr>
          <w:rFonts w:cs="Times New Roman"/>
        </w:rPr>
        <w:t>a</w:t>
      </w:r>
      <w:r w:rsidRPr="00DF70FB">
        <w:rPr>
          <w:rFonts w:cs="Times New Roman"/>
        </w:rPr>
        <w:t xml:space="preserve"> business. As Justice</w:t>
      </w:r>
      <w:r>
        <w:rPr>
          <w:rFonts w:cs="Times New Roman"/>
        </w:rPr>
        <w:t> </w:t>
      </w:r>
      <w:r w:rsidRPr="00DF70FB">
        <w:rPr>
          <w:rFonts w:cs="Times New Roman"/>
        </w:rPr>
        <w:t>Rand wrote, “</w:t>
      </w:r>
      <w:r>
        <w:rPr>
          <w:rFonts w:cs="Times New Roman"/>
        </w:rPr>
        <w:t>[t]</w:t>
      </w:r>
      <w:r w:rsidRPr="00DF70FB">
        <w:rPr>
          <w:rFonts w:cs="Times New Roman"/>
        </w:rPr>
        <w:t xml:space="preserve">he capital machinery within and by means of which the business earning the income is carried on is distinct from that business itself” </w:t>
      </w:r>
      <w:r w:rsidRPr="00DF70FB">
        <w:rPr>
          <w:rFonts w:cs="Times New Roman"/>
          <w:szCs w:val="24"/>
        </w:rPr>
        <w:t>(</w:t>
      </w:r>
      <w:r w:rsidRPr="00DF70FB">
        <w:rPr>
          <w:rFonts w:cs="Times New Roman"/>
          <w:bCs/>
          <w:i/>
          <w:szCs w:val="24"/>
          <w:lang w:bidi="en-US"/>
        </w:rPr>
        <w:t>Tip Top Tailors Ltd</w:t>
      </w:r>
      <w:r>
        <w:rPr>
          <w:rFonts w:cs="Times New Roman"/>
          <w:bCs/>
          <w:i/>
          <w:szCs w:val="24"/>
          <w:lang w:bidi="en-US"/>
        </w:rPr>
        <w:t>.</w:t>
      </w:r>
      <w:r w:rsidRPr="00DF70FB">
        <w:rPr>
          <w:rFonts w:cs="Times New Roman"/>
          <w:bCs/>
          <w:i/>
          <w:szCs w:val="24"/>
          <w:lang w:bidi="en-US"/>
        </w:rPr>
        <w:t xml:space="preserve"> v. Minister of National Revenue</w:t>
      </w:r>
      <w:r w:rsidRPr="00DF70FB">
        <w:rPr>
          <w:rFonts w:cs="Times New Roman"/>
          <w:bCs/>
          <w:szCs w:val="24"/>
          <w:lang w:bidi="en-US"/>
        </w:rPr>
        <w:t>, [1957] S.C.R. 703, at p. 710;</w:t>
      </w:r>
      <w:r w:rsidRPr="00DF70FB">
        <w:rPr>
          <w:rFonts w:cs="Times New Roman"/>
          <w:szCs w:val="24"/>
          <w:lang w:bidi="en-US"/>
        </w:rPr>
        <w:t xml:space="preserve"> </w:t>
      </w:r>
      <w:r>
        <w:rPr>
          <w:rFonts w:cs="Times New Roman"/>
          <w:szCs w:val="24"/>
          <w:lang w:bidi="en-US"/>
        </w:rPr>
        <w:t>s</w:t>
      </w:r>
      <w:r w:rsidRPr="00DF70FB">
        <w:rPr>
          <w:rFonts w:cs="Times New Roman"/>
          <w:szCs w:val="24"/>
          <w:lang w:bidi="en-US"/>
        </w:rPr>
        <w:t xml:space="preserve">ee also, </w:t>
      </w:r>
      <w:r w:rsidRPr="00DF70FB">
        <w:rPr>
          <w:rFonts w:cs="Times New Roman"/>
          <w:bCs/>
          <w:i/>
          <w:szCs w:val="24"/>
          <w:lang w:bidi="en-US"/>
        </w:rPr>
        <w:t xml:space="preserve">Bennett </w:t>
      </w:r>
      <w:r>
        <w:rPr>
          <w:rFonts w:cs="Times New Roman"/>
          <w:bCs/>
          <w:i/>
          <w:szCs w:val="24"/>
          <w:lang w:bidi="en-US"/>
        </w:rPr>
        <w:t>&amp;</w:t>
      </w:r>
      <w:r w:rsidRPr="00DF70FB">
        <w:rPr>
          <w:rFonts w:cs="Times New Roman"/>
          <w:bCs/>
          <w:i/>
          <w:szCs w:val="24"/>
          <w:lang w:bidi="en-US"/>
        </w:rPr>
        <w:t xml:space="preserve"> White Construction Co.</w:t>
      </w:r>
      <w:r w:rsidRPr="00DF70FB">
        <w:rPr>
          <w:rFonts w:cs="Times New Roman"/>
          <w:bCs/>
          <w:szCs w:val="24"/>
          <w:lang w:bidi="en-US"/>
        </w:rPr>
        <w:t xml:space="preserve">, at </w:t>
      </w:r>
      <w:r>
        <w:rPr>
          <w:rFonts w:cs="Times New Roman"/>
          <w:bCs/>
          <w:szCs w:val="24"/>
          <w:lang w:bidi="en-US"/>
        </w:rPr>
        <w:t>p</w:t>
      </w:r>
      <w:r w:rsidRPr="00DF70FB">
        <w:rPr>
          <w:rFonts w:cs="Times New Roman"/>
          <w:bCs/>
          <w:szCs w:val="24"/>
          <w:lang w:bidi="en-US"/>
        </w:rPr>
        <w:t>p. 290-</w:t>
      </w:r>
      <w:r>
        <w:rPr>
          <w:rFonts w:cs="Times New Roman"/>
          <w:bCs/>
          <w:szCs w:val="24"/>
          <w:lang w:bidi="en-US"/>
        </w:rPr>
        <w:t>9</w:t>
      </w:r>
      <w:r w:rsidRPr="00DF70FB">
        <w:rPr>
          <w:rFonts w:cs="Times New Roman"/>
          <w:bCs/>
          <w:szCs w:val="24"/>
          <w:lang w:bidi="en-US"/>
        </w:rPr>
        <w:t>2</w:t>
      </w:r>
      <w:r w:rsidRPr="00DF70FB">
        <w:rPr>
          <w:rFonts w:cs="Times New Roman"/>
        </w:rPr>
        <w:t xml:space="preserve">). In </w:t>
      </w:r>
      <w:r w:rsidRPr="00DF70FB">
        <w:rPr>
          <w:rFonts w:cs="Times New Roman"/>
          <w:i/>
          <w:iCs/>
        </w:rPr>
        <w:t>Montreal Coke and M</w:t>
      </w:r>
      <w:r>
        <w:rPr>
          <w:rFonts w:cs="Times New Roman"/>
          <w:i/>
          <w:iCs/>
        </w:rPr>
        <w:t>anufacturing</w:t>
      </w:r>
      <w:r w:rsidRPr="00DF70FB">
        <w:rPr>
          <w:rFonts w:cs="Times New Roman"/>
          <w:i/>
          <w:iCs/>
        </w:rPr>
        <w:t xml:space="preserve"> Co. </w:t>
      </w:r>
      <w:r w:rsidRPr="0052509C">
        <w:rPr>
          <w:rFonts w:cs="Times New Roman"/>
          <w:i/>
        </w:rPr>
        <w:t>v.</w:t>
      </w:r>
      <w:r w:rsidRPr="00DF70FB">
        <w:rPr>
          <w:rFonts w:cs="Times New Roman"/>
        </w:rPr>
        <w:t xml:space="preserve"> </w:t>
      </w:r>
      <w:r w:rsidRPr="00DF70FB">
        <w:rPr>
          <w:rFonts w:cs="Times New Roman"/>
          <w:i/>
          <w:iCs/>
        </w:rPr>
        <w:t>Minister of National Revenue</w:t>
      </w:r>
      <w:r w:rsidRPr="00DF70FB">
        <w:rPr>
          <w:rFonts w:cs="Times New Roman"/>
          <w:iCs/>
        </w:rPr>
        <w:t xml:space="preserve">, </w:t>
      </w:r>
      <w:r>
        <w:rPr>
          <w:rFonts w:cs="Times New Roman"/>
          <w:iCs/>
        </w:rPr>
        <w:t xml:space="preserve">[1944] A.C. 126 (P.C.), </w:t>
      </w:r>
      <w:r w:rsidRPr="00DF70FB">
        <w:rPr>
          <w:rFonts w:cs="Times New Roman"/>
          <w:iCs/>
        </w:rPr>
        <w:t>Lord Macmillan similarly stated</w:t>
      </w:r>
      <w:r>
        <w:rPr>
          <w:rFonts w:cs="Times New Roman"/>
          <w:iCs/>
        </w:rPr>
        <w:t>:</w:t>
      </w:r>
      <w:r w:rsidRPr="00DF70FB">
        <w:rPr>
          <w:rFonts w:cs="Times New Roman"/>
          <w:iCs/>
        </w:rPr>
        <w:t xml:space="preserve"> “Of course, like other business people, they must have capital to enable them to conduct their enterprises, but their financial arrangements are quite distinct from the activities by which they earn their income” (</w:t>
      </w:r>
      <w:r w:rsidRPr="00DF70FB">
        <w:rPr>
          <w:rFonts w:cs="Times New Roman"/>
        </w:rPr>
        <w:t>at p. 13</w:t>
      </w:r>
      <w:r>
        <w:rPr>
          <w:rFonts w:cs="Times New Roman"/>
        </w:rPr>
        <w:t>4</w:t>
      </w:r>
      <w:r w:rsidRPr="00DF70FB">
        <w:rPr>
          <w:rFonts w:cs="Times New Roman"/>
        </w:rPr>
        <w:t xml:space="preserve">). In fact, it would be quite unnatural to speak of a corporation as conducting business with its shareholders or lenders. A more natural reading of the phrase was provided by the Canada Revenue Agency’s </w:t>
      </w:r>
      <w:r>
        <w:rPr>
          <w:rFonts w:cs="Times New Roman"/>
        </w:rPr>
        <w:t xml:space="preserve">(“CRA”) </w:t>
      </w:r>
      <w:r w:rsidRPr="00DF70FB">
        <w:rPr>
          <w:rFonts w:cs="Times New Roman"/>
        </w:rPr>
        <w:t>Rulings Directorate in 2000, when it said:</w:t>
      </w:r>
    </w:p>
    <w:p w:rsidR="007A59F1" w:rsidRDefault="007A59F1" w:rsidP="007A59F1">
      <w:pPr>
        <w:pStyle w:val="Citation-AltC"/>
      </w:pPr>
      <w:r w:rsidRPr="0073361F">
        <w:t xml:space="preserve">. . . </w:t>
      </w:r>
      <w:r w:rsidRPr="00DF70FB">
        <w:rPr>
          <w:u w:val="single"/>
        </w:rPr>
        <w:t xml:space="preserve">we consider business generally to be conducted with business clients </w:t>
      </w:r>
      <w:r w:rsidRPr="00DF70FB">
        <w:t xml:space="preserve">and business clients are generally persons for whom services are performed </w:t>
      </w:r>
      <w:r w:rsidRPr="00DF70FB">
        <w:lastRenderedPageBreak/>
        <w:t xml:space="preserve">or to whom products are sold in exchange for monetary consideration. </w:t>
      </w:r>
      <w:r w:rsidRPr="00DF70FB">
        <w:rPr>
          <w:u w:val="single"/>
        </w:rPr>
        <w:t>A person who invests funds in the shares of a corporation or loans funds</w:t>
      </w:r>
      <w:r w:rsidRPr="00DF70FB">
        <w:t xml:space="preserve"> to the corporation is generally </w:t>
      </w:r>
      <w:r w:rsidRPr="00DF70FB">
        <w:rPr>
          <w:u w:val="single"/>
        </w:rPr>
        <w:t>not considered a client</w:t>
      </w:r>
      <w:r w:rsidRPr="00DF70FB">
        <w:t xml:space="preserve"> of the corporation’s business. </w:t>
      </w:r>
      <w:r>
        <w:t>[Emphasis added.]</w:t>
      </w:r>
    </w:p>
    <w:p w:rsidR="007A59F1" w:rsidRDefault="007A59F1" w:rsidP="007A59F1">
      <w:pPr>
        <w:pStyle w:val="Citation-AltC"/>
      </w:pPr>
    </w:p>
    <w:p w:rsidR="007A59F1" w:rsidRPr="00DF70FB" w:rsidRDefault="007A59F1" w:rsidP="007A59F1">
      <w:pPr>
        <w:pStyle w:val="Citation-AltC"/>
      </w:pPr>
      <w:r w:rsidRPr="00DF70FB">
        <w:t>(</w:t>
      </w:r>
      <w:r w:rsidRPr="006B5572">
        <w:rPr>
          <w:i/>
        </w:rPr>
        <w:t>Foreign Affiliates — Investment Business</w:t>
      </w:r>
      <w:r>
        <w:t xml:space="preserve">, </w:t>
      </w:r>
      <w:r w:rsidRPr="00DF70FB">
        <w:t xml:space="preserve">Ruling </w:t>
      </w:r>
      <w:r>
        <w:t>No. </w:t>
      </w:r>
      <w:r w:rsidRPr="00DF70FB">
        <w:t>2000-0006565, June</w:t>
      </w:r>
      <w:r>
        <w:t> 22, </w:t>
      </w:r>
      <w:r w:rsidRPr="00DF70FB">
        <w:t>2000)</w:t>
      </w:r>
    </w:p>
    <w:p w:rsidR="007A59F1" w:rsidRPr="00DF70FB" w:rsidRDefault="007A59F1" w:rsidP="007A59F1">
      <w:pPr>
        <w:pStyle w:val="ParaNoNdepar-AltN"/>
        <w:rPr>
          <w:rFonts w:cs="Times New Roman"/>
        </w:rPr>
      </w:pPr>
      <w:r w:rsidRPr="00DF70FB">
        <w:rPr>
          <w:rFonts w:cs="Times New Roman"/>
        </w:rPr>
        <w:t>The Crown also argues that the fact</w:t>
      </w:r>
      <w:r>
        <w:rPr>
          <w:rFonts w:cs="Times New Roman"/>
        </w:rPr>
        <w:t xml:space="preserve"> that</w:t>
      </w:r>
      <w:r w:rsidRPr="00DF70FB">
        <w:rPr>
          <w:rFonts w:cs="Times New Roman"/>
        </w:rPr>
        <w:t xml:space="preserve"> Glenhuron is a bank changes the meaning of conducting business </w:t>
      </w:r>
      <w:r>
        <w:rPr>
          <w:rFonts w:cs="Times New Roman"/>
        </w:rPr>
        <w:t xml:space="preserve">in this context </w:t>
      </w:r>
      <w:r w:rsidRPr="00DF70FB">
        <w:rPr>
          <w:rFonts w:cs="Times New Roman"/>
        </w:rPr>
        <w:t>because it is part of a bank’s business to accept deposits. However, I do not believe the banking context changes anything. Every corporation needs capital, not just banks. And there is undoubtedly a distinction between receiving funds from depositors and receiving funds from shareholders. Depositors are clients of the bank, for whom the bank provides the services associated with holding the</w:t>
      </w:r>
      <w:r>
        <w:rPr>
          <w:rFonts w:cs="Times New Roman"/>
        </w:rPr>
        <w:t>ir funds. Shareholders are not.</w:t>
      </w:r>
    </w:p>
    <w:p w:rsidR="007A59F1" w:rsidRPr="00DF70FB" w:rsidRDefault="007A59F1" w:rsidP="007A59F1">
      <w:pPr>
        <w:pStyle w:val="ParaNoNdepar-AltN"/>
        <w:rPr>
          <w:rFonts w:cs="Times New Roman"/>
        </w:rPr>
      </w:pPr>
      <w:r w:rsidRPr="00DF70FB">
        <w:rPr>
          <w:rFonts w:cs="Times New Roman"/>
        </w:rPr>
        <w:t>The context of the FAPI regime puts my reading beyond doubt since the entire function of the regime is to classify a foreign affiliate’s income. In the case of business income, Parliament chose to go further, dividing a foreign affiliate’s activities into separate “businesses” based on the type of income they earn. Income from certain businesses is included in FAPI</w:t>
      </w:r>
      <w:r>
        <w:rPr>
          <w:rFonts w:cs="Times New Roman"/>
        </w:rPr>
        <w:t>,</w:t>
      </w:r>
      <w:r w:rsidRPr="00DF70FB">
        <w:rPr>
          <w:rFonts w:cs="Times New Roman"/>
        </w:rPr>
        <w:t xml:space="preserve"> while income from others is not. However, the fact that Parliament chose to divide according to business streams does not alter the fact that, at its core, the FAPI regime remains focused on classifying income. This is why Parliament defined “investment business” </w:t>
      </w:r>
      <w:r>
        <w:rPr>
          <w:rFonts w:cs="Times New Roman"/>
        </w:rPr>
        <w:t>as</w:t>
      </w:r>
      <w:r w:rsidRPr="00DF70FB">
        <w:rPr>
          <w:rFonts w:cs="Times New Roman"/>
        </w:rPr>
        <w:t xml:space="preserve"> a business whose principal purpose is to “</w:t>
      </w:r>
      <w:r w:rsidRPr="00DF70FB">
        <w:rPr>
          <w:rFonts w:cs="Times New Roman"/>
          <w:u w:val="single"/>
        </w:rPr>
        <w:t>derive income from property</w:t>
      </w:r>
      <w:r w:rsidRPr="00DF70FB">
        <w:rPr>
          <w:rFonts w:cs="Times New Roman"/>
        </w:rPr>
        <w:t xml:space="preserve"> (including interest, dividends, rents, royalties or any similar returns or substitutes </w:t>
      </w:r>
      <w:r>
        <w:rPr>
          <w:rFonts w:cs="Times New Roman"/>
        </w:rPr>
        <w:t>therefor</w:t>
      </w:r>
      <w:r w:rsidRPr="00DF70FB">
        <w:rPr>
          <w:rFonts w:cs="Times New Roman"/>
        </w:rPr>
        <w:t xml:space="preserve">), </w:t>
      </w:r>
      <w:r w:rsidRPr="00DF70FB">
        <w:rPr>
          <w:rFonts w:cs="Times New Roman"/>
          <w:u w:val="single"/>
        </w:rPr>
        <w:t xml:space="preserve">income from </w:t>
      </w:r>
      <w:r w:rsidRPr="00DF70FB">
        <w:rPr>
          <w:rFonts w:cs="Times New Roman"/>
        </w:rPr>
        <w:t xml:space="preserve">the insurance or reinsurance of </w:t>
      </w:r>
      <w:r w:rsidRPr="00DF70FB">
        <w:rPr>
          <w:rFonts w:cs="Times New Roman"/>
        </w:rPr>
        <w:lastRenderedPageBreak/>
        <w:t xml:space="preserve">risks, </w:t>
      </w:r>
      <w:r w:rsidRPr="00DF70FB">
        <w:rPr>
          <w:rFonts w:cs="Times New Roman"/>
          <w:u w:val="single"/>
        </w:rPr>
        <w:t>income from</w:t>
      </w:r>
      <w:r w:rsidRPr="00DF70FB">
        <w:rPr>
          <w:rFonts w:cs="Times New Roman"/>
        </w:rPr>
        <w:t xml:space="preserve"> the factoring of trade accounts receivable, </w:t>
      </w:r>
      <w:r w:rsidRPr="00DF70FB">
        <w:rPr>
          <w:rFonts w:cs="Times New Roman"/>
          <w:u w:val="single"/>
        </w:rPr>
        <w:t>or profits from</w:t>
      </w:r>
      <w:r w:rsidRPr="00DF70FB">
        <w:rPr>
          <w:rFonts w:cs="Times New Roman"/>
        </w:rPr>
        <w:t xml:space="preserve"> the disposition of investment property”. The financial institution exception to the definition of </w:t>
      </w:r>
      <w:r>
        <w:rPr>
          <w:rFonts w:cs="Times New Roman"/>
        </w:rPr>
        <w:t>“</w:t>
      </w:r>
      <w:r w:rsidRPr="00DF70FB">
        <w:rPr>
          <w:rFonts w:cs="Times New Roman"/>
        </w:rPr>
        <w:t>investment business</w:t>
      </w:r>
      <w:r>
        <w:rPr>
          <w:rFonts w:cs="Times New Roman"/>
        </w:rPr>
        <w:t>”</w:t>
      </w:r>
      <w:r w:rsidRPr="00DF70FB">
        <w:rPr>
          <w:rFonts w:cs="Times New Roman"/>
        </w:rPr>
        <w:t xml:space="preserve"> and its arm’s length requirement are tied to this same function: identifying income for inclusion in FAPI. It thus makes considerable sense that Parliament </w:t>
      </w:r>
      <w:r>
        <w:rPr>
          <w:rFonts w:cs="Times New Roman"/>
        </w:rPr>
        <w:t>intended</w:t>
      </w:r>
      <w:r w:rsidRPr="00DF70FB">
        <w:rPr>
          <w:rFonts w:cs="Times New Roman"/>
        </w:rPr>
        <w:t xml:space="preserve"> these determinations to focus on activities more directly related to income generation than </w:t>
      </w:r>
      <w:r>
        <w:rPr>
          <w:rFonts w:cs="Times New Roman"/>
        </w:rPr>
        <w:t xml:space="preserve">to </w:t>
      </w:r>
      <w:r w:rsidRPr="00DF70FB">
        <w:rPr>
          <w:rFonts w:cs="Times New Roman"/>
        </w:rPr>
        <w:t>capitalization, the</w:t>
      </w:r>
      <w:r w:rsidRPr="00DF70FB">
        <w:rPr>
          <w:rFonts w:cs="Times New Roman"/>
          <w:szCs w:val="24"/>
        </w:rPr>
        <w:t xml:space="preserve"> distinction between income and capital being well</w:t>
      </w:r>
      <w:r>
        <w:rPr>
          <w:rFonts w:cs="Times New Roman"/>
          <w:szCs w:val="24"/>
        </w:rPr>
        <w:t xml:space="preserve"> </w:t>
      </w:r>
      <w:r w:rsidRPr="00DF70FB">
        <w:rPr>
          <w:rFonts w:cs="Times New Roman"/>
          <w:szCs w:val="24"/>
        </w:rPr>
        <w:t>established in tax law (V</w:t>
      </w:r>
      <w:r>
        <w:rPr>
          <w:rFonts w:cs="Times New Roman"/>
          <w:szCs w:val="24"/>
        </w:rPr>
        <w:t>. </w:t>
      </w:r>
      <w:r w:rsidRPr="00DF70FB">
        <w:rPr>
          <w:rFonts w:cs="Times New Roman"/>
          <w:szCs w:val="24"/>
        </w:rPr>
        <w:t xml:space="preserve">Krishna, </w:t>
      </w:r>
      <w:r w:rsidRPr="00DF70FB">
        <w:rPr>
          <w:rFonts w:cs="Times New Roman"/>
          <w:i/>
          <w:szCs w:val="24"/>
        </w:rPr>
        <w:t>Income Tax Law</w:t>
      </w:r>
      <w:r w:rsidRPr="00DF70FB">
        <w:rPr>
          <w:rFonts w:cs="Times New Roman"/>
          <w:szCs w:val="24"/>
        </w:rPr>
        <w:t xml:space="preserve"> </w:t>
      </w:r>
      <w:r>
        <w:rPr>
          <w:rFonts w:cs="Times New Roman"/>
          <w:szCs w:val="24"/>
        </w:rPr>
        <w:t>(</w:t>
      </w:r>
      <w:r w:rsidRPr="00DF70FB">
        <w:rPr>
          <w:rFonts w:cs="Times New Roman"/>
          <w:szCs w:val="24"/>
        </w:rPr>
        <w:t>2nd ed. 2012), at pp. </w:t>
      </w:r>
      <w:r>
        <w:rPr>
          <w:rFonts w:cs="Times New Roman"/>
          <w:szCs w:val="24"/>
        </w:rPr>
        <w:t>80-84).</w:t>
      </w:r>
    </w:p>
    <w:p w:rsidR="007A59F1" w:rsidRPr="00DF70FB" w:rsidRDefault="007A59F1" w:rsidP="007A59F1">
      <w:pPr>
        <w:pStyle w:val="ParaNoNdepar-AltN"/>
        <w:rPr>
          <w:rFonts w:cs="Times New Roman"/>
        </w:rPr>
      </w:pPr>
      <w:r w:rsidRPr="00DF70FB">
        <w:rPr>
          <w:rFonts w:cs="Times New Roman"/>
        </w:rPr>
        <w:t xml:space="preserve">The FAPI regime also shows why considering capitalization </w:t>
      </w:r>
      <w:r>
        <w:rPr>
          <w:rFonts w:cs="Times New Roman"/>
        </w:rPr>
        <w:t>as</w:t>
      </w:r>
      <w:r w:rsidRPr="00DF70FB">
        <w:rPr>
          <w:rFonts w:cs="Times New Roman"/>
        </w:rPr>
        <w:t xml:space="preserve"> part of conducting business for the purpose</w:t>
      </w:r>
      <w:r>
        <w:rPr>
          <w:rFonts w:cs="Times New Roman"/>
        </w:rPr>
        <w:t>s</w:t>
      </w:r>
      <w:r w:rsidRPr="00DF70FB">
        <w:rPr>
          <w:rFonts w:cs="Times New Roman"/>
        </w:rPr>
        <w:t xml:space="preserve"> of the financial institution exception would create practical problems. The FAPI regime may divide a single foreign affiliate into multiple businesses — as it does for Glenhuron. However, the FAPI regime does not provide a method for assigning capital to the different businesses within a single corporation. If we were to interpret “business conducted” </w:t>
      </w:r>
      <w:r>
        <w:rPr>
          <w:rFonts w:cs="Times New Roman"/>
        </w:rPr>
        <w:t>to include the</w:t>
      </w:r>
      <w:r w:rsidRPr="00DF70FB">
        <w:rPr>
          <w:rFonts w:cs="Times New Roman"/>
        </w:rPr>
        <w:t xml:space="preserve"> capitalization</w:t>
      </w:r>
      <w:r>
        <w:rPr>
          <w:rFonts w:cs="Times New Roman"/>
        </w:rPr>
        <w:t xml:space="preserve"> of the business</w:t>
      </w:r>
      <w:r w:rsidRPr="00DF70FB">
        <w:rPr>
          <w:rFonts w:cs="Times New Roman"/>
        </w:rPr>
        <w:t xml:space="preserve">, it would be necessary to somehow divide the debt and equity from various sources (some arm’s length and some not) and then assign the </w:t>
      </w:r>
      <w:r>
        <w:rPr>
          <w:rFonts w:cs="Times New Roman"/>
        </w:rPr>
        <w:t xml:space="preserve">ensuing quotient </w:t>
      </w:r>
      <w:r w:rsidRPr="00DF70FB">
        <w:rPr>
          <w:rFonts w:cs="Times New Roman"/>
        </w:rPr>
        <w:t xml:space="preserve">to the various businesses conducted by a foreign affiliate. Parliament’s failure to provide a method for distributing capital suggests </w:t>
      </w:r>
      <w:r>
        <w:rPr>
          <w:rFonts w:cs="Times New Roman"/>
        </w:rPr>
        <w:t>that it</w:t>
      </w:r>
      <w:r w:rsidRPr="00DF70FB">
        <w:rPr>
          <w:rFonts w:cs="Times New Roman"/>
        </w:rPr>
        <w:t xml:space="preserve"> did not have capital in mind. Furthermore, this is simply not how money is normally handled. Money being fungible, capital received is unlikely to be earmarked so that </w:t>
      </w:r>
      <w:r>
        <w:rPr>
          <w:rFonts w:cs="Times New Roman"/>
        </w:rPr>
        <w:t xml:space="preserve">it becomes possible to </w:t>
      </w:r>
      <w:r w:rsidRPr="00DF70FB">
        <w:rPr>
          <w:rFonts w:cs="Times New Roman"/>
        </w:rPr>
        <w:t>trace back which capital investment relates to which line of business.</w:t>
      </w:r>
    </w:p>
    <w:p w:rsidR="007A59F1" w:rsidRPr="00DF70FB" w:rsidRDefault="007A59F1" w:rsidP="007A59F1">
      <w:pPr>
        <w:pStyle w:val="ParaNoNdepar-AltN"/>
        <w:rPr>
          <w:rFonts w:cs="Times New Roman"/>
        </w:rPr>
      </w:pPr>
      <w:r w:rsidRPr="00DF70FB">
        <w:rPr>
          <w:rFonts w:cs="Times New Roman"/>
        </w:rPr>
        <w:lastRenderedPageBreak/>
        <w:t xml:space="preserve">A further practical difficulty arises when considering the receipt of corporate capital in relation to newly formed foreign affiliates. FAPI only </w:t>
      </w:r>
      <w:r>
        <w:rPr>
          <w:rFonts w:cs="Times New Roman"/>
        </w:rPr>
        <w:t>applies to a CFA</w:t>
      </w:r>
      <w:r w:rsidRPr="00DF70FB">
        <w:rPr>
          <w:rFonts w:cs="Times New Roman"/>
        </w:rPr>
        <w:t>. By definition, the Canadian parent will have provided some capital to set up the CFA. In most cases, th</w:t>
      </w:r>
      <w:r>
        <w:rPr>
          <w:rFonts w:cs="Times New Roman"/>
        </w:rPr>
        <w:t>is</w:t>
      </w:r>
      <w:r w:rsidRPr="00DF70FB">
        <w:rPr>
          <w:rFonts w:cs="Times New Roman"/>
        </w:rPr>
        <w:t xml:space="preserve"> means </w:t>
      </w:r>
      <w:r>
        <w:rPr>
          <w:rFonts w:cs="Times New Roman"/>
        </w:rPr>
        <w:t xml:space="preserve">that </w:t>
      </w:r>
      <w:r w:rsidRPr="00DF70FB">
        <w:rPr>
          <w:rFonts w:cs="Times New Roman"/>
        </w:rPr>
        <w:t>the CFA w</w:t>
      </w:r>
      <w:r>
        <w:rPr>
          <w:rFonts w:cs="Times New Roman"/>
        </w:rPr>
        <w:t>ill</w:t>
      </w:r>
      <w:r w:rsidRPr="00DF70FB">
        <w:rPr>
          <w:rFonts w:cs="Times New Roman"/>
        </w:rPr>
        <w:t xml:space="preserve"> fail the test in </w:t>
      </w:r>
      <w:r>
        <w:rPr>
          <w:rFonts w:cs="Times New Roman"/>
        </w:rPr>
        <w:t>its</w:t>
      </w:r>
      <w:r w:rsidRPr="00DF70FB">
        <w:rPr>
          <w:rFonts w:cs="Times New Roman"/>
        </w:rPr>
        <w:t xml:space="preserve"> early years when </w:t>
      </w:r>
      <w:r>
        <w:rPr>
          <w:rFonts w:cs="Times New Roman"/>
        </w:rPr>
        <w:t>it is</w:t>
      </w:r>
      <w:r w:rsidRPr="00DF70FB">
        <w:rPr>
          <w:rFonts w:cs="Times New Roman"/>
        </w:rPr>
        <w:t xml:space="preserve"> trying to build a customer base, because the ratio of corporate capital </w:t>
      </w:r>
      <w:r>
        <w:rPr>
          <w:rFonts w:cs="Times New Roman"/>
        </w:rPr>
        <w:t xml:space="preserve">to </w:t>
      </w:r>
      <w:r w:rsidRPr="00DF70FB">
        <w:rPr>
          <w:rFonts w:cs="Times New Roman"/>
        </w:rPr>
        <w:t>other business receipts</w:t>
      </w:r>
      <w:r>
        <w:rPr>
          <w:rFonts w:cs="Times New Roman"/>
        </w:rPr>
        <w:t xml:space="preserve"> will likely be high</w:t>
      </w:r>
      <w:r w:rsidRPr="00DF70FB">
        <w:rPr>
          <w:rFonts w:cs="Times New Roman"/>
        </w:rPr>
        <w:t>.</w:t>
      </w:r>
    </w:p>
    <w:p w:rsidR="007A59F1" w:rsidRPr="00DF70FB" w:rsidRDefault="007A59F1" w:rsidP="007A59F1">
      <w:pPr>
        <w:pStyle w:val="ParaNoNdepar-AltN"/>
        <w:rPr>
          <w:rFonts w:cs="Times New Roman"/>
        </w:rPr>
      </w:pPr>
      <w:r w:rsidRPr="00DF70FB">
        <w:rPr>
          <w:rFonts w:cs="Times New Roman"/>
        </w:rPr>
        <w:t>Turning to the purpose</w:t>
      </w:r>
      <w:r>
        <w:rPr>
          <w:rFonts w:cs="Times New Roman"/>
        </w:rPr>
        <w:t xml:space="preserve"> of the arm’s length requirement</w:t>
      </w:r>
      <w:r w:rsidRPr="00DF70FB">
        <w:rPr>
          <w:rFonts w:cs="Times New Roman"/>
        </w:rPr>
        <w:t xml:space="preserve">, the Crown argues that </w:t>
      </w:r>
      <w:r>
        <w:rPr>
          <w:rFonts w:cs="Times New Roman"/>
        </w:rPr>
        <w:t xml:space="preserve">the </w:t>
      </w:r>
      <w:r w:rsidRPr="00DF70FB">
        <w:rPr>
          <w:rFonts w:cs="Times New Roman"/>
        </w:rPr>
        <w:t xml:space="preserve">FAPI </w:t>
      </w:r>
      <w:r>
        <w:rPr>
          <w:rFonts w:cs="Times New Roman"/>
        </w:rPr>
        <w:t xml:space="preserve">regime </w:t>
      </w:r>
      <w:r w:rsidRPr="00DF70FB">
        <w:rPr>
          <w:rFonts w:cs="Times New Roman"/>
        </w:rPr>
        <w:t xml:space="preserve">is primarily a series of anti-avoidance rules that are </w:t>
      </w:r>
      <w:r>
        <w:rPr>
          <w:rFonts w:cs="Times New Roman"/>
        </w:rPr>
        <w:t>targeted</w:t>
      </w:r>
      <w:r w:rsidRPr="00DF70FB">
        <w:rPr>
          <w:rFonts w:cs="Times New Roman"/>
        </w:rPr>
        <w:t xml:space="preserve"> at preventing taxpayers from using CFAs resident in low-tax jurisdictions to avoid Canadian tax. While the Crown acknowledges </w:t>
      </w:r>
      <w:r>
        <w:rPr>
          <w:rFonts w:cs="Times New Roman"/>
        </w:rPr>
        <w:t xml:space="preserve">that </w:t>
      </w:r>
      <w:r w:rsidRPr="00DF70FB">
        <w:rPr>
          <w:rFonts w:cs="Times New Roman"/>
        </w:rPr>
        <w:t>the financial institution exception reflects Parliament’s intent not to stifle the ability of foreign subsidiaries to compete outside Canada, in the Crown’s view, the purpose of the arm’s length requirement remains anti-avoidance. Since nothing about Glenhuron’s business activities required it to be located in Barbados, letting it fall within the financial institution exception would defeat this anti-avoidance purpose and allow Loblaw Financial to avoid FAPI that would otherwise arise.</w:t>
      </w:r>
    </w:p>
    <w:p w:rsidR="007A59F1" w:rsidRPr="00DF70FB" w:rsidRDefault="007A59F1" w:rsidP="007A59F1">
      <w:pPr>
        <w:pStyle w:val="ParaNoNdepar-AltN"/>
        <w:rPr>
          <w:rFonts w:cs="Times New Roman"/>
        </w:rPr>
      </w:pPr>
      <w:r w:rsidRPr="00DF70FB">
        <w:rPr>
          <w:rFonts w:cs="Times New Roman"/>
        </w:rPr>
        <w:t xml:space="preserve">The Tax Court judge adopted a slightly different understanding of the purpose of the arm’s length requirement. He found that the rationale underlying this requirement is competition, that is, ensuring that only foreign affiliates which compete in their respective foreign markets are able to avail themselves of the financial institution exception (para. 238). This focus on competition led him to emphasize </w:t>
      </w:r>
      <w:r w:rsidRPr="00DF70FB">
        <w:rPr>
          <w:rFonts w:cs="Times New Roman"/>
        </w:rPr>
        <w:lastRenderedPageBreak/>
        <w:t xml:space="preserve">capitalization due to his understanding of the banking business as being </w:t>
      </w:r>
      <w:r>
        <w:rPr>
          <w:rFonts w:cs="Times New Roman"/>
        </w:rPr>
        <w:t>centred around</w:t>
      </w:r>
      <w:r w:rsidRPr="00DF70FB">
        <w:rPr>
          <w:rFonts w:cs="Times New Roman"/>
        </w:rPr>
        <w:t xml:space="preserve"> receiving funds (para. 238).</w:t>
      </w:r>
    </w:p>
    <w:p w:rsidR="007A59F1" w:rsidRPr="00DF70FB" w:rsidRDefault="007A59F1" w:rsidP="007A59F1">
      <w:pPr>
        <w:pStyle w:val="ParaNoNdepar-AltN"/>
        <w:rPr>
          <w:rFonts w:cs="Times New Roman"/>
        </w:rPr>
      </w:pPr>
      <w:r w:rsidRPr="00DF70FB">
        <w:rPr>
          <w:rFonts w:cs="Times New Roman"/>
        </w:rPr>
        <w:t>The Federal Court of Appeal adopted yet another understanding of the purpose</w:t>
      </w:r>
      <w:r>
        <w:rPr>
          <w:rFonts w:cs="Times New Roman"/>
        </w:rPr>
        <w:t xml:space="preserve"> of the arm’s length requirement</w:t>
      </w:r>
      <w:r w:rsidRPr="00DF70FB">
        <w:rPr>
          <w:rFonts w:cs="Times New Roman"/>
        </w:rPr>
        <w:t>. Rather than searching for the purpose of th</w:t>
      </w:r>
      <w:r>
        <w:rPr>
          <w:rFonts w:cs="Times New Roman"/>
        </w:rPr>
        <w:t>is</w:t>
      </w:r>
      <w:r w:rsidRPr="00DF70FB">
        <w:rPr>
          <w:rFonts w:cs="Times New Roman"/>
        </w:rPr>
        <w:t xml:space="preserve"> requirement individually, the court considered it as one of several requirements needed to qualify for the financial institution exception. </w:t>
      </w:r>
      <w:r>
        <w:rPr>
          <w:rFonts w:cs="Times New Roman"/>
        </w:rPr>
        <w:t>It found that, w</w:t>
      </w:r>
      <w:r w:rsidRPr="00DF70FB">
        <w:rPr>
          <w:rFonts w:cs="Times New Roman"/>
        </w:rPr>
        <w:t xml:space="preserve">hen looked at as a whole, the several requirements of the financial institution exception </w:t>
      </w:r>
      <w:r>
        <w:rPr>
          <w:rFonts w:cs="Times New Roman"/>
        </w:rPr>
        <w:t>are</w:t>
      </w:r>
      <w:r w:rsidRPr="00DF70FB">
        <w:rPr>
          <w:rFonts w:cs="Times New Roman"/>
        </w:rPr>
        <w:t xml:space="preserve"> designed to further the fundamental purpose of the FAPI regime, which is to appl</w:t>
      </w:r>
      <w:r>
        <w:rPr>
          <w:rFonts w:cs="Times New Roman"/>
        </w:rPr>
        <w:t>y only</w:t>
      </w:r>
      <w:r w:rsidRPr="00DF70FB">
        <w:rPr>
          <w:rFonts w:cs="Times New Roman"/>
        </w:rPr>
        <w:t xml:space="preserve"> to passive income (para. 48).</w:t>
      </w:r>
    </w:p>
    <w:p w:rsidR="007A59F1" w:rsidRPr="00DF70FB" w:rsidRDefault="007A59F1" w:rsidP="007A59F1">
      <w:pPr>
        <w:pStyle w:val="ParaNoNdepar-AltN"/>
        <w:rPr>
          <w:rFonts w:cs="Times New Roman"/>
        </w:rPr>
      </w:pPr>
      <w:r w:rsidRPr="00DF70FB">
        <w:rPr>
          <w:rFonts w:cs="Times New Roman"/>
        </w:rPr>
        <w:t xml:space="preserve">Unsurprisingly, there is no direct evidence </w:t>
      </w:r>
      <w:r>
        <w:rPr>
          <w:rFonts w:cs="Times New Roman"/>
        </w:rPr>
        <w:t>concerning</w:t>
      </w:r>
      <w:r w:rsidRPr="00DF70FB">
        <w:rPr>
          <w:rFonts w:cs="Times New Roman"/>
        </w:rPr>
        <w:t xml:space="preserve"> the purpose of the arm’s length requirement. But all the evidence we do have points towards Parliament attempting to balance two conflicting </w:t>
      </w:r>
      <w:r>
        <w:rPr>
          <w:rFonts w:cs="Times New Roman"/>
        </w:rPr>
        <w:t>goals</w:t>
      </w:r>
      <w:r w:rsidRPr="00DF70FB">
        <w:rPr>
          <w:rFonts w:cs="Times New Roman"/>
        </w:rPr>
        <w:t xml:space="preserve"> </w:t>
      </w:r>
      <w:r>
        <w:rPr>
          <w:rFonts w:cs="Times New Roman"/>
        </w:rPr>
        <w:t>by</w:t>
      </w:r>
      <w:r w:rsidRPr="00DF70FB">
        <w:rPr>
          <w:rFonts w:cs="Times New Roman"/>
        </w:rPr>
        <w:t xml:space="preserve"> drawing the line at passive income. In the 1969 </w:t>
      </w:r>
      <w:r w:rsidRPr="00DF70FB">
        <w:rPr>
          <w:rFonts w:cs="Times New Roman"/>
          <w:i/>
        </w:rPr>
        <w:t>Proposals for Tax Reform</w:t>
      </w:r>
      <w:r w:rsidRPr="00DF70FB">
        <w:rPr>
          <w:rFonts w:cs="Times New Roman"/>
        </w:rPr>
        <w:t xml:space="preserve"> white paper, </w:t>
      </w:r>
      <w:r>
        <w:rPr>
          <w:rFonts w:cs="Times New Roman"/>
        </w:rPr>
        <w:t xml:space="preserve">Minister of </w:t>
      </w:r>
      <w:r w:rsidRPr="00DF70FB">
        <w:rPr>
          <w:rFonts w:cs="Times New Roman"/>
        </w:rPr>
        <w:t xml:space="preserve">Finance Benson recognized the need to support </w:t>
      </w:r>
      <w:r>
        <w:rPr>
          <w:rFonts w:cs="Times New Roman"/>
        </w:rPr>
        <w:t xml:space="preserve">the ability of </w:t>
      </w:r>
      <w:r w:rsidR="00E6471C">
        <w:rPr>
          <w:rFonts w:cs="Times New Roman"/>
        </w:rPr>
        <w:t>Canadian</w:t>
      </w:r>
      <w:bookmarkStart w:id="20" w:name="_GoBack"/>
      <w:bookmarkEnd w:id="20"/>
      <w:r w:rsidRPr="00DF70FB">
        <w:rPr>
          <w:rFonts w:cs="Times New Roman"/>
        </w:rPr>
        <w:t xml:space="preserve"> businesses to compete abroad by ensuring that Canada d</w:t>
      </w:r>
      <w:r>
        <w:rPr>
          <w:rFonts w:cs="Times New Roman"/>
        </w:rPr>
        <w:t>oes</w:t>
      </w:r>
      <w:r w:rsidRPr="00DF70FB">
        <w:rPr>
          <w:rFonts w:cs="Times New Roman"/>
        </w:rPr>
        <w:t xml:space="preserve"> not impose tax on </w:t>
      </w:r>
      <w:r>
        <w:rPr>
          <w:rFonts w:cs="Times New Roman"/>
        </w:rPr>
        <w:t>a</w:t>
      </w:r>
      <w:r w:rsidRPr="00DF70FB">
        <w:rPr>
          <w:rFonts w:cs="Times New Roman"/>
        </w:rPr>
        <w:t xml:space="preserve"> foreign subsidiary’s income in addition to the tax of the source country. He simultaneously recognized the need to protect Canada’s tax base by preventing</w:t>
      </w:r>
      <w:r>
        <w:rPr>
          <w:rFonts w:cs="Times New Roman"/>
        </w:rPr>
        <w:t xml:space="preserve"> possible abuse involving non</w:t>
      </w:r>
      <w:r>
        <w:rPr>
          <w:rFonts w:cs="Times New Roman"/>
        </w:rPr>
        <w:noBreakHyphen/>
      </w:r>
      <w:r w:rsidRPr="00680294">
        <w:rPr>
          <w:rFonts w:cs="Times New Roman"/>
          <w:i/>
        </w:rPr>
        <w:t>bona</w:t>
      </w:r>
      <w:r>
        <w:rPr>
          <w:rFonts w:cs="Times New Roman"/>
          <w:i/>
        </w:rPr>
        <w:t> </w:t>
      </w:r>
      <w:r w:rsidRPr="00680294">
        <w:rPr>
          <w:rFonts w:cs="Times New Roman"/>
          <w:i/>
        </w:rPr>
        <w:t>fide</w:t>
      </w:r>
      <w:r w:rsidRPr="00DF70FB">
        <w:rPr>
          <w:rFonts w:cs="Times New Roman"/>
        </w:rPr>
        <w:t xml:space="preserve"> business operations (paras. 6.9 and 6.20-6.21).</w:t>
      </w:r>
    </w:p>
    <w:p w:rsidR="007A59F1" w:rsidRPr="00DF70FB" w:rsidRDefault="007A59F1" w:rsidP="007A59F1">
      <w:pPr>
        <w:pStyle w:val="ParaNoNdepar-AltN"/>
        <w:rPr>
          <w:rFonts w:cs="Times New Roman"/>
        </w:rPr>
      </w:pPr>
      <w:r w:rsidRPr="00DF70FB">
        <w:rPr>
          <w:rFonts w:cs="Times New Roman"/>
        </w:rPr>
        <w:t>In 1992</w:t>
      </w:r>
      <w:r>
        <w:rPr>
          <w:rFonts w:cs="Times New Roman"/>
        </w:rPr>
        <w:t>,</w:t>
      </w:r>
      <w:r w:rsidRPr="00DF70FB">
        <w:rPr>
          <w:rFonts w:cs="Times New Roman"/>
        </w:rPr>
        <w:t xml:space="preserve"> the Department of </w:t>
      </w:r>
      <w:r>
        <w:rPr>
          <w:rFonts w:cs="Times New Roman"/>
        </w:rPr>
        <w:t>Finance</w:t>
      </w:r>
      <w:r w:rsidRPr="00DF70FB">
        <w:rPr>
          <w:rFonts w:cs="Times New Roman"/>
        </w:rPr>
        <w:t xml:space="preserve"> reaffirmed these two conflicting goals in response to a report by the Auditor General that expressed concern </w:t>
      </w:r>
      <w:r>
        <w:rPr>
          <w:rFonts w:cs="Times New Roman"/>
        </w:rPr>
        <w:t>over</w:t>
      </w:r>
      <w:r w:rsidRPr="00DF70FB">
        <w:rPr>
          <w:rFonts w:cs="Times New Roman"/>
        </w:rPr>
        <w:t xml:space="preserve"> Canada’s existing legislation regarding foreign affiliates. The Department of Finance stated</w:t>
      </w:r>
      <w:r>
        <w:rPr>
          <w:rFonts w:cs="Times New Roman"/>
        </w:rPr>
        <w:t>:</w:t>
      </w:r>
    </w:p>
    <w:p w:rsidR="007A59F1" w:rsidRPr="00DF70FB" w:rsidRDefault="007A59F1" w:rsidP="007A59F1">
      <w:pPr>
        <w:pStyle w:val="Citation-AltC"/>
      </w:pPr>
      <w:r w:rsidRPr="00232E91">
        <w:lastRenderedPageBreak/>
        <w:t xml:space="preserve">. . . </w:t>
      </w:r>
      <w:r w:rsidRPr="00DF70FB">
        <w:rPr>
          <w:u w:val="single"/>
        </w:rPr>
        <w:t>Canada has had to struggle with two conflicting goals. The goal of economic efficiency argues for a system which preserves capital export neutrality.</w:t>
      </w:r>
      <w:r w:rsidRPr="00DF70FB">
        <w:t xml:space="preserve"> This is achieved when foreign source income is subject to the same effective tax rate as domestic source income, leaving taxpayers indifferent, at least from a tax perspective, as to whether they invest inside or outside of Canada. </w:t>
      </w:r>
      <w:r w:rsidRPr="00DF70FB">
        <w:rPr>
          <w:u w:val="single"/>
        </w:rPr>
        <w:t>Conversely, the goal of competitiveness argues for capital import neutrality. This requires that a Canadian investing in a foreign country be subject to tax at the same effective rate as a resident of that country. From a tax perspective, this ensures a level playing</w:t>
      </w:r>
      <w:r>
        <w:rPr>
          <w:u w:val="single"/>
        </w:rPr>
        <w:t xml:space="preserve"> field between Canadian and non</w:t>
      </w:r>
      <w:r>
        <w:rPr>
          <w:u w:val="single"/>
        </w:rPr>
        <w:noBreakHyphen/>
      </w:r>
      <w:r w:rsidRPr="00DF70FB">
        <w:rPr>
          <w:u w:val="single"/>
        </w:rPr>
        <w:t>Canadian businesses operating internationally.</w:t>
      </w:r>
    </w:p>
    <w:p w:rsidR="007A59F1" w:rsidRPr="00DF70FB" w:rsidRDefault="007A59F1" w:rsidP="007A59F1">
      <w:pPr>
        <w:pStyle w:val="Citation-AltC"/>
      </w:pPr>
    </w:p>
    <w:p w:rsidR="007A59F1" w:rsidRPr="00DF70FB" w:rsidRDefault="007A59F1" w:rsidP="007A59F1">
      <w:pPr>
        <w:pStyle w:val="Citation-AltC"/>
        <w:ind w:firstLine="274"/>
      </w:pPr>
      <w:r w:rsidRPr="00DF70FB">
        <w:t xml:space="preserve">In a world where countries maintain different tax systems, it is impossible to achieve both capital import and capital export neutrality. Accordingly, </w:t>
      </w:r>
      <w:r w:rsidRPr="00DF70FB">
        <w:rPr>
          <w:u w:val="single"/>
        </w:rPr>
        <w:t>Canada has opted for a system that ensures capital export neutrality with respect to certain types of income and capital import neutrality with respect to other types of income. Specifically, in the case of passive income</w:t>
      </w:r>
      <w:r w:rsidRPr="00DF70FB">
        <w:t xml:space="preserve"> (i.e., investment income such as interest, dividends and rent) the tax policy concern is that taxpayers will attempt to shelter income in tax haven countries in order to defer the payment of Canadian tax. As a result of this concern, the Income Tax Act contains what are commonly referred to as the Foreign Accrual Property Income (FAPI) rules. </w:t>
      </w:r>
      <w:r w:rsidRPr="00DF70FB">
        <w:rPr>
          <w:u w:val="single"/>
        </w:rPr>
        <w:t xml:space="preserve">The FAPI rules are intended to ensure that passive income earned by certain foreign affiliates is accrued and subject to Canadian tax on a current basis </w:t>
      </w:r>
      <w:r w:rsidRPr="00DF70FB">
        <w:t>(i.e., annually), thereby eliminating the potential for deferral and hence the tax incentive to shift income offshore.</w:t>
      </w:r>
    </w:p>
    <w:p w:rsidR="007A59F1" w:rsidRPr="00DF70FB" w:rsidRDefault="007A59F1" w:rsidP="007A59F1">
      <w:pPr>
        <w:pStyle w:val="Citation-AltC"/>
      </w:pPr>
    </w:p>
    <w:p w:rsidR="007A59F1" w:rsidRDefault="007A59F1" w:rsidP="007A59F1">
      <w:pPr>
        <w:pStyle w:val="Citation-AltC"/>
        <w:ind w:firstLine="274"/>
      </w:pPr>
      <w:r w:rsidRPr="00DF70FB">
        <w:t xml:space="preserve">Conversely, in order to preserve the international competitiveness of Canadian businesses, active business income that is earned offshore by a foreign affiliate is not required to be accrued and is subject to tax only in the foreign jurisdiction. </w:t>
      </w:r>
      <w:r>
        <w:t>[Emphasis added.]</w:t>
      </w:r>
    </w:p>
    <w:p w:rsidR="007A59F1" w:rsidRDefault="007A59F1" w:rsidP="007A59F1">
      <w:pPr>
        <w:pStyle w:val="Citation-AltC"/>
        <w:ind w:firstLine="274"/>
      </w:pPr>
    </w:p>
    <w:p w:rsidR="007A59F1" w:rsidRPr="00DF70FB" w:rsidRDefault="007A59F1" w:rsidP="007A59F1">
      <w:pPr>
        <w:pStyle w:val="Citation-AltC"/>
        <w:ind w:hanging="32"/>
      </w:pPr>
      <w:r>
        <w:t>(Office of the Auditor General, at pp. 51</w:t>
      </w:r>
      <w:r>
        <w:noBreakHyphen/>
        <w:t>52)</w:t>
      </w:r>
    </w:p>
    <w:p w:rsidR="007A59F1" w:rsidRPr="00DF70FB" w:rsidRDefault="007A59F1" w:rsidP="007A59F1">
      <w:pPr>
        <w:pStyle w:val="ParaNoNdepar-AltN"/>
        <w:rPr>
          <w:rFonts w:cs="Times New Roman"/>
        </w:rPr>
      </w:pPr>
      <w:r w:rsidRPr="00DF70FB">
        <w:rPr>
          <w:rFonts w:cs="Times New Roman"/>
        </w:rPr>
        <w:t xml:space="preserve">Similarly, in announcing the </w:t>
      </w:r>
      <w:r>
        <w:rPr>
          <w:rFonts w:cs="Times New Roman"/>
        </w:rPr>
        <w:t xml:space="preserve">1995 </w:t>
      </w:r>
      <w:r w:rsidRPr="00DF70FB">
        <w:rPr>
          <w:rFonts w:cs="Times New Roman"/>
        </w:rPr>
        <w:t>amendments to s. 95(1) and the introduction of the “investment business” definition, the Department of Finance noted that the rules relating to foreign affiliates “seek to ensure that Canadian companies carrying on business outside Canada through their foreign affiliates are not placed at a disadvantage under the Canadian tax system vis-à-vis multinational companies based in other countries with which they have to compete”</w:t>
      </w:r>
      <w:r>
        <w:rPr>
          <w:rFonts w:cs="Times New Roman"/>
        </w:rPr>
        <w:t>,</w:t>
      </w:r>
      <w:r w:rsidRPr="00DF70FB">
        <w:rPr>
          <w:rFonts w:cs="Times New Roman"/>
        </w:rPr>
        <w:t xml:space="preserve"> but “[o]n the other hand, the rules </w:t>
      </w:r>
      <w:r w:rsidRPr="00DF70FB">
        <w:rPr>
          <w:rFonts w:cs="Times New Roman"/>
        </w:rPr>
        <w:lastRenderedPageBreak/>
        <w:t>also seek to ensure that foreign affiliates cannot be used to shelter passive income, or income that has been diverted from Canada, from Canadian tax” (</w:t>
      </w:r>
      <w:r w:rsidRPr="00DF70FB">
        <w:rPr>
          <w:rFonts w:cs="Times New Roman"/>
          <w:i/>
        </w:rPr>
        <w:t>Tax Measures: Supplementary Information</w:t>
      </w:r>
      <w:r w:rsidRPr="00DF70FB">
        <w:rPr>
          <w:rFonts w:cs="Times New Roman"/>
        </w:rPr>
        <w:t xml:space="preserve">, </w:t>
      </w:r>
      <w:r>
        <w:rPr>
          <w:rFonts w:cs="Times New Roman"/>
        </w:rPr>
        <w:t>at p. 33</w:t>
      </w:r>
      <w:r w:rsidRPr="00DF70FB">
        <w:rPr>
          <w:rFonts w:cs="Times New Roman"/>
        </w:rPr>
        <w:t xml:space="preserve">). Given these materials, I conclude </w:t>
      </w:r>
      <w:r>
        <w:rPr>
          <w:rFonts w:cs="Times New Roman"/>
        </w:rPr>
        <w:t xml:space="preserve">that </w:t>
      </w:r>
      <w:r w:rsidRPr="00DF70FB">
        <w:rPr>
          <w:rFonts w:cs="Times New Roman"/>
        </w:rPr>
        <w:t xml:space="preserve">the specific provisions relating to FAPI were </w:t>
      </w:r>
      <w:r>
        <w:rPr>
          <w:rFonts w:cs="Times New Roman"/>
        </w:rPr>
        <w:t xml:space="preserve">enacted to serve </w:t>
      </w:r>
      <w:r w:rsidRPr="00DF70FB">
        <w:rPr>
          <w:rFonts w:cs="Times New Roman"/>
        </w:rPr>
        <w:t xml:space="preserve">Parliament’s broader purpose of balancing capital export neutrality and the protection of the competitiveness of Canadian businesses operating abroad </w:t>
      </w:r>
      <w:r>
        <w:rPr>
          <w:rFonts w:cs="Times New Roman"/>
        </w:rPr>
        <w:t>by</w:t>
      </w:r>
      <w:r w:rsidRPr="00DF70FB">
        <w:rPr>
          <w:rFonts w:cs="Times New Roman"/>
        </w:rPr>
        <w:t xml:space="preserve"> targeting passive income. I have no information showing that the arm’s length requirement has a specific purpose of anti-avoidance or promotion of inter</w:t>
      </w:r>
      <w:r>
        <w:rPr>
          <w:rFonts w:cs="Times New Roman"/>
        </w:rPr>
        <w:t>national competitiveness.</w:t>
      </w:r>
    </w:p>
    <w:p w:rsidR="007A59F1" w:rsidRPr="00DF70FB" w:rsidRDefault="007A59F1" w:rsidP="007A59F1">
      <w:pPr>
        <w:pStyle w:val="ParaNoNdepar-AltN"/>
        <w:rPr>
          <w:rFonts w:cs="Times New Roman"/>
          <w:lang w:val="en-US"/>
        </w:rPr>
      </w:pPr>
      <w:r w:rsidRPr="00DF70FB">
        <w:rPr>
          <w:rFonts w:cs="Times New Roman"/>
        </w:rPr>
        <w:t xml:space="preserve">I thus agree with the Federal Court of Appeal that to the extent that the Tax Court judge’s analysis imposed a requirement </w:t>
      </w:r>
      <w:r>
        <w:rPr>
          <w:rFonts w:cs="Times New Roman"/>
        </w:rPr>
        <w:t>that</w:t>
      </w:r>
      <w:r w:rsidRPr="00DF70FB">
        <w:rPr>
          <w:rFonts w:cs="Times New Roman"/>
        </w:rPr>
        <w:t xml:space="preserve"> Glenhuron compete for customers with other players in the Barbadian banking market, </w:t>
      </w:r>
      <w:r>
        <w:rPr>
          <w:rFonts w:cs="Times New Roman"/>
        </w:rPr>
        <w:t>this was</w:t>
      </w:r>
      <w:r w:rsidRPr="00DF70FB">
        <w:rPr>
          <w:rFonts w:cs="Times New Roman"/>
        </w:rPr>
        <w:t xml:space="preserve"> an example of inappropriately inferring an unexpressed legislative intent (para. </w:t>
      </w:r>
      <w:r>
        <w:rPr>
          <w:rFonts w:cs="Times New Roman"/>
        </w:rPr>
        <w:t>58).</w:t>
      </w:r>
    </w:p>
    <w:p w:rsidR="007A59F1" w:rsidRPr="00DF70FB" w:rsidRDefault="007A59F1" w:rsidP="007A59F1">
      <w:pPr>
        <w:pStyle w:val="ParaNoNdepar-AltN"/>
        <w:rPr>
          <w:rFonts w:cs="Times New Roman"/>
          <w:lang w:val="en-US"/>
        </w:rPr>
      </w:pPr>
      <w:r w:rsidRPr="00DF70FB">
        <w:rPr>
          <w:rFonts w:cs="Times New Roman"/>
          <w:lang w:val="en-US"/>
        </w:rPr>
        <w:t xml:space="preserve">Had Parliament </w:t>
      </w:r>
      <w:r>
        <w:rPr>
          <w:rFonts w:cs="Times New Roman"/>
          <w:lang w:val="en-US"/>
        </w:rPr>
        <w:t>desired</w:t>
      </w:r>
      <w:r w:rsidRPr="00DF70FB">
        <w:rPr>
          <w:rFonts w:cs="Times New Roman"/>
          <w:lang w:val="en-US"/>
        </w:rPr>
        <w:t xml:space="preserve"> to focus more extensively on competition, it had the opportunity to say so. As the Federal Court of Appeal said, the FAPI scheme is drafted with “mind-numbing detail” (para. 58). We cannot assume that Parliament </w:t>
      </w:r>
      <w:r>
        <w:rPr>
          <w:rFonts w:cs="Times New Roman"/>
          <w:lang w:val="en-US"/>
        </w:rPr>
        <w:t>intended</w:t>
      </w:r>
      <w:r w:rsidRPr="00DF70FB">
        <w:rPr>
          <w:rFonts w:cs="Times New Roman"/>
          <w:lang w:val="en-US"/>
        </w:rPr>
        <w:t xml:space="preserve"> to include a competitiveness requirement but simply neglected to express its intent textually, especially when </w:t>
      </w:r>
      <w:r>
        <w:rPr>
          <w:rFonts w:cs="Times New Roman"/>
          <w:lang w:val="en-US"/>
        </w:rPr>
        <w:t>it</w:t>
      </w:r>
      <w:r w:rsidRPr="00DF70FB">
        <w:rPr>
          <w:rFonts w:cs="Times New Roman"/>
          <w:lang w:val="en-US"/>
        </w:rPr>
        <w:t xml:space="preserve"> has done so elsewhere in the FAPI regime. Indeed, in 1995, it enacted s. 95(2)(a.3), which provides that income derived from Canadian indebtedness and lease obligations is FAPI unless more than 90</w:t>
      </w:r>
      <w:r>
        <w:rPr>
          <w:rFonts w:cs="Times New Roman"/>
          <w:lang w:val="en-US"/>
        </w:rPr>
        <w:t> percent</w:t>
      </w:r>
      <w:r w:rsidRPr="00DF70FB">
        <w:rPr>
          <w:rFonts w:cs="Times New Roman"/>
          <w:lang w:val="en-US"/>
        </w:rPr>
        <w:t xml:space="preserve"> of the affiliate’s gross revenue from indebtedness and lease obligations is de</w:t>
      </w:r>
      <w:r>
        <w:rPr>
          <w:rFonts w:cs="Times New Roman"/>
          <w:lang w:val="en-US"/>
        </w:rPr>
        <w:t>rived from arm’s length non</w:t>
      </w:r>
      <w:r>
        <w:rPr>
          <w:rFonts w:cs="Times New Roman"/>
          <w:lang w:val="en-US"/>
        </w:rPr>
        <w:noBreakHyphen/>
      </w:r>
      <w:r w:rsidRPr="00DF70FB">
        <w:rPr>
          <w:rFonts w:cs="Times New Roman"/>
          <w:lang w:val="en-US"/>
        </w:rPr>
        <w:t xml:space="preserve">Canadian sources. At the same time, Parliament also enacted an exception to </w:t>
      </w:r>
      <w:r w:rsidRPr="00DF70FB">
        <w:rPr>
          <w:rFonts w:cs="Times New Roman"/>
          <w:lang w:val="en-US"/>
        </w:rPr>
        <w:lastRenderedPageBreak/>
        <w:t>s. 95(2)(a.3). In order for this exception</w:t>
      </w:r>
      <w:r>
        <w:rPr>
          <w:rFonts w:cs="Times New Roman"/>
          <w:lang w:val="en-US"/>
        </w:rPr>
        <w:t xml:space="preserve"> to apply</w:t>
      </w:r>
      <w:r w:rsidRPr="00DF70FB">
        <w:rPr>
          <w:rFonts w:cs="Times New Roman"/>
          <w:lang w:val="en-US"/>
        </w:rPr>
        <w:t xml:space="preserve">, s. 95(2.4)(b) imposes several conditions, including both an arm’s length requirement and a competition requirement. The foreign affiliate must have a </w:t>
      </w:r>
      <w:r>
        <w:rPr>
          <w:rFonts w:cs="Times New Roman"/>
          <w:lang w:val="en-US"/>
        </w:rPr>
        <w:t>“</w:t>
      </w:r>
      <w:r w:rsidRPr="00DF70FB">
        <w:rPr>
          <w:rFonts w:cs="Times New Roman"/>
          <w:lang w:val="en-US"/>
        </w:rPr>
        <w:t>substantial market presence</w:t>
      </w:r>
      <w:r>
        <w:rPr>
          <w:rFonts w:cs="Times New Roman"/>
          <w:lang w:val="en-US"/>
        </w:rPr>
        <w:t>”</w:t>
      </w:r>
      <w:r w:rsidRPr="00DF70FB">
        <w:rPr>
          <w:rFonts w:cs="Times New Roman"/>
          <w:lang w:val="en-US"/>
        </w:rPr>
        <w:t xml:space="preserve"> in a country </w:t>
      </w:r>
      <w:r>
        <w:rPr>
          <w:rFonts w:cs="Times New Roman"/>
          <w:lang w:val="en-US"/>
        </w:rPr>
        <w:t>and “compete” with a person that is resident and likewise has a “substantial market presence” in the country.</w:t>
      </w:r>
    </w:p>
    <w:p w:rsidR="007A59F1" w:rsidRPr="00DF70FB" w:rsidRDefault="007A59F1" w:rsidP="007A59F1">
      <w:pPr>
        <w:pStyle w:val="ParaNoNdepar-AltN"/>
        <w:rPr>
          <w:rFonts w:cs="Times New Roman"/>
          <w:lang w:val="en-US"/>
        </w:rPr>
      </w:pPr>
      <w:r w:rsidRPr="00DF70FB">
        <w:rPr>
          <w:rFonts w:cs="Times New Roman"/>
          <w:lang w:val="en-US"/>
        </w:rPr>
        <w:t xml:space="preserve">The language of s. 95(2.4)(b) reinforces that there is no reason to believe competition for customers is a necessary indicium of arm’s length dealings. </w:t>
      </w:r>
      <w:r w:rsidRPr="00DF70FB">
        <w:rPr>
          <w:rFonts w:cs="Times New Roman"/>
        </w:rPr>
        <w:t xml:space="preserve">Pursuant to the legal maxim </w:t>
      </w:r>
      <w:r w:rsidRPr="00DF70FB">
        <w:rPr>
          <w:rFonts w:cs="Times New Roman"/>
          <w:i/>
        </w:rPr>
        <w:t xml:space="preserve">expressio unius est exclusio alterius </w:t>
      </w:r>
      <w:r w:rsidRPr="00DF70FB">
        <w:rPr>
          <w:rFonts w:cs="Times New Roman"/>
        </w:rPr>
        <w:t xml:space="preserve">(“to express one thing is to exclude another”), one can interpret the competition requirement of s. 95(2.4)(b) as an implied exclusion of such a requisite for the financial institution exception </w:t>
      </w:r>
      <w:r>
        <w:rPr>
          <w:rFonts w:cs="Times New Roman"/>
        </w:rPr>
        <w:t>at</w:t>
      </w:r>
      <w:r w:rsidRPr="00DF70FB">
        <w:rPr>
          <w:rFonts w:cs="Times New Roman"/>
        </w:rPr>
        <w:t xml:space="preserve"> s. 95(1) (</w:t>
      </w:r>
      <w:r w:rsidRPr="00DF70FB">
        <w:rPr>
          <w:rFonts w:cs="Times New Roman"/>
          <w:i/>
        </w:rPr>
        <w:t>R. v. Ulybel Enterprises Ltd.</w:t>
      </w:r>
      <w:r w:rsidRPr="00DF70FB">
        <w:rPr>
          <w:rFonts w:cs="Times New Roman"/>
        </w:rPr>
        <w:t xml:space="preserve">, </w:t>
      </w:r>
      <w:r>
        <w:rPr>
          <w:rFonts w:cs="Times New Roman"/>
        </w:rPr>
        <w:t xml:space="preserve">2001 SCC 56, </w:t>
      </w:r>
      <w:r w:rsidRPr="00DF70FB">
        <w:rPr>
          <w:rFonts w:cs="Times New Roman"/>
        </w:rPr>
        <w:t xml:space="preserve">[2001] 2 S.C.R. 867, at para. 42). </w:t>
      </w:r>
      <w:r w:rsidRPr="00DF70FB">
        <w:rPr>
          <w:rFonts w:cs="Times New Roman"/>
          <w:lang w:val="en-US"/>
        </w:rPr>
        <w:t xml:space="preserve">The </w:t>
      </w:r>
      <w:r>
        <w:rPr>
          <w:rFonts w:cs="Times New Roman"/>
          <w:lang w:val="en-US"/>
        </w:rPr>
        <w:t xml:space="preserve">necessary </w:t>
      </w:r>
      <w:r w:rsidRPr="00DF70FB">
        <w:rPr>
          <w:rFonts w:cs="Times New Roman"/>
          <w:lang w:val="en-US"/>
        </w:rPr>
        <w:t xml:space="preserve">inference </w:t>
      </w:r>
      <w:r>
        <w:rPr>
          <w:rFonts w:cs="Times New Roman"/>
          <w:lang w:val="en-US"/>
        </w:rPr>
        <w:t xml:space="preserve">to be drawn </w:t>
      </w:r>
      <w:r w:rsidRPr="00DF70FB">
        <w:rPr>
          <w:rFonts w:cs="Times New Roman"/>
          <w:lang w:val="en-US"/>
        </w:rPr>
        <w:t>from the express language of s. 95(2.4)(b) is that Parliament chose not to include a competition element in the financial institution exception.</w:t>
      </w:r>
    </w:p>
    <w:p w:rsidR="007A59F1" w:rsidRPr="00DF70FB" w:rsidRDefault="007A59F1" w:rsidP="007A59F1">
      <w:pPr>
        <w:pStyle w:val="ParaNoNdepar-AltN"/>
        <w:rPr>
          <w:rFonts w:cs="Times New Roman"/>
        </w:rPr>
      </w:pPr>
      <w:r w:rsidRPr="00DF70FB">
        <w:rPr>
          <w:rFonts w:eastAsia="Times New Roman" w:cs="Times New Roman"/>
          <w:szCs w:val="24"/>
          <w:lang w:eastAsia="fr-CA"/>
        </w:rPr>
        <w:t xml:space="preserve">As for the </w:t>
      </w:r>
      <w:r w:rsidRPr="00DF70FB">
        <w:rPr>
          <w:rFonts w:cs="Times New Roman"/>
          <w:lang w:val="en-US"/>
        </w:rPr>
        <w:t>Crown’s allegation that the purpose of the</w:t>
      </w:r>
      <w:r w:rsidRPr="00DF70FB">
        <w:rPr>
          <w:rFonts w:cs="Times New Roman"/>
        </w:rPr>
        <w:t xml:space="preserve"> arm’s length requirement is anti-avoidance, this similarly amounts to an attempt to create </w:t>
      </w:r>
      <w:r w:rsidRPr="00DF70FB">
        <w:rPr>
          <w:rFonts w:cs="Times New Roman"/>
          <w:lang w:val="en-US"/>
        </w:rPr>
        <w:t>a specific anti-avoidance rule absent any expressed legislative intent. To permit this argument to succeed would require us to rewrite the legislation.</w:t>
      </w:r>
      <w:r w:rsidRPr="00DF70FB">
        <w:rPr>
          <w:rFonts w:cs="Times New Roman"/>
        </w:rPr>
        <w:t xml:space="preserve"> </w:t>
      </w:r>
      <w:r w:rsidRPr="00DF70FB">
        <w:rPr>
          <w:rFonts w:eastAsia="Times New Roman" w:cs="Times New Roman"/>
          <w:szCs w:val="24"/>
          <w:lang w:eastAsia="fr-CA"/>
        </w:rPr>
        <w:t xml:space="preserve">In the words of McLachlin C.J. and Major J., </w:t>
      </w:r>
      <w:r w:rsidRPr="00DF70FB">
        <w:rPr>
          <w:rFonts w:cs="Times New Roman"/>
        </w:rPr>
        <w:t>“</w:t>
      </w:r>
      <w:r>
        <w:rPr>
          <w:rFonts w:cs="Times New Roman"/>
        </w:rPr>
        <w:t>[w]</w:t>
      </w:r>
      <w:r w:rsidRPr="00DF70FB">
        <w:rPr>
          <w:rFonts w:cs="Times New Roman"/>
        </w:rPr>
        <w:t>here Parliament has specified precisely what conditions must be satisfied to achieve a particular result, it is reasonable to assume that Parliament intended that taxpayers would rely on such provisions to achieve the result they prescribe” (</w:t>
      </w:r>
      <w:r w:rsidRPr="00DF70FB">
        <w:rPr>
          <w:rFonts w:cs="Times New Roman"/>
          <w:i/>
        </w:rPr>
        <w:t xml:space="preserve">Canada </w:t>
      </w:r>
      <w:r w:rsidRPr="00DF70FB">
        <w:rPr>
          <w:rFonts w:cs="Times New Roman"/>
          <w:i/>
        </w:rPr>
        <w:lastRenderedPageBreak/>
        <w:t>Trustco</w:t>
      </w:r>
      <w:r w:rsidRPr="00DF70FB">
        <w:rPr>
          <w:rFonts w:cs="Times New Roman"/>
        </w:rPr>
        <w:t>, at para. 11). It is not necessary, for the purposes of this appeal, to determine the specific purpose of the arm’s length requirement. Accordingly, I will leave this issue for another day.</w:t>
      </w:r>
    </w:p>
    <w:p w:rsidR="007A59F1" w:rsidRPr="00DF70FB" w:rsidRDefault="007A59F1" w:rsidP="007A59F1">
      <w:pPr>
        <w:pStyle w:val="ParaNoNdepar-AltN"/>
        <w:rPr>
          <w:rFonts w:cs="Times New Roman"/>
        </w:rPr>
      </w:pPr>
      <w:r w:rsidRPr="00DF70FB">
        <w:rPr>
          <w:rFonts w:eastAsia="Times New Roman" w:cs="Times New Roman"/>
          <w:lang w:eastAsia="fr-CA"/>
        </w:rPr>
        <w:t>I again reiterate that if taxpayers are to act with any degree of certainty</w:t>
      </w:r>
      <w:r>
        <w:rPr>
          <w:rFonts w:eastAsia="Times New Roman" w:cs="Times New Roman"/>
          <w:lang w:eastAsia="fr-CA"/>
        </w:rPr>
        <w:t>,</w:t>
      </w:r>
      <w:r w:rsidRPr="00DF70FB">
        <w:rPr>
          <w:rFonts w:eastAsia="Times New Roman" w:cs="Times New Roman"/>
          <w:lang w:eastAsia="fr-CA"/>
        </w:rPr>
        <w:t xml:space="preserve"> then full effect should be given to Parliament’s precise and unequivocal words. T</w:t>
      </w:r>
      <w:r w:rsidRPr="00DF70FB">
        <w:rPr>
          <w:rFonts w:cs="Times New Roman"/>
        </w:rPr>
        <w:t>he grammatical and ordinary meaning of the words “business</w:t>
      </w:r>
      <w:r>
        <w:rPr>
          <w:rFonts w:cs="Times New Roman"/>
        </w:rPr>
        <w:t xml:space="preserve"> conducted</w:t>
      </w:r>
      <w:r w:rsidRPr="00DF70FB">
        <w:rPr>
          <w:rFonts w:cs="Times New Roman"/>
        </w:rPr>
        <w:t xml:space="preserve">”, read in the context and </w:t>
      </w:r>
      <w:r>
        <w:rPr>
          <w:rFonts w:cs="Times New Roman"/>
        </w:rPr>
        <w:t xml:space="preserve">in light of the </w:t>
      </w:r>
      <w:r w:rsidRPr="00DF70FB">
        <w:rPr>
          <w:rFonts w:cs="Times New Roman"/>
        </w:rPr>
        <w:t>purpose of the FAPI regime</w:t>
      </w:r>
      <w:r>
        <w:rPr>
          <w:rFonts w:cs="Times New Roman"/>
        </w:rPr>
        <w:t>,</w:t>
      </w:r>
      <w:r w:rsidRPr="00DF70FB">
        <w:rPr>
          <w:rFonts w:cs="Times New Roman"/>
        </w:rPr>
        <w:t xml:space="preserve"> clearly shows that Parliament did not intend capital injections to be considered. Again, this is a view that the </w:t>
      </w:r>
      <w:r>
        <w:rPr>
          <w:rFonts w:cs="Times New Roman"/>
        </w:rPr>
        <w:t>CRA</w:t>
      </w:r>
      <w:r w:rsidRPr="00DF70FB">
        <w:rPr>
          <w:rFonts w:cs="Times New Roman"/>
        </w:rPr>
        <w:t xml:space="preserve"> itself previously </w:t>
      </w:r>
      <w:r>
        <w:rPr>
          <w:rFonts w:cs="Times New Roman"/>
        </w:rPr>
        <w:t>shared</w:t>
      </w:r>
      <w:r w:rsidRPr="00DF70FB">
        <w:rPr>
          <w:rFonts w:cs="Times New Roman"/>
        </w:rPr>
        <w:t xml:space="preserve">. In a 1995 Ruling, </w:t>
      </w:r>
      <w:r>
        <w:rPr>
          <w:rFonts w:cs="Times New Roman"/>
        </w:rPr>
        <w:t xml:space="preserve">the </w:t>
      </w:r>
      <w:r w:rsidRPr="00DF70FB">
        <w:rPr>
          <w:rFonts w:cs="Times New Roman"/>
        </w:rPr>
        <w:t xml:space="preserve">CRA said that </w:t>
      </w:r>
      <w:r>
        <w:rPr>
          <w:rFonts w:cs="Times New Roman"/>
        </w:rPr>
        <w:t xml:space="preserve">the criteria for </w:t>
      </w:r>
      <w:r w:rsidRPr="00DF70FB">
        <w:rPr>
          <w:rFonts w:cs="Times New Roman"/>
        </w:rPr>
        <w:t xml:space="preserve">conducting business </w:t>
      </w:r>
      <w:r>
        <w:rPr>
          <w:rFonts w:cs="Times New Roman"/>
        </w:rPr>
        <w:t>are</w:t>
      </w:r>
      <w:r w:rsidRPr="00DF70FB">
        <w:rPr>
          <w:rFonts w:cs="Times New Roman"/>
        </w:rPr>
        <w:t xml:space="preserve"> “primarily directed at measuring sources of income, income earning activities, and the assets, etc., used in each business (i.e. the revenue side of corporate operations</w:t>
      </w:r>
      <w:r>
        <w:rPr>
          <w:rFonts w:cs="Times New Roman"/>
        </w:rPr>
        <w:t>)” (</w:t>
      </w:r>
      <w:r w:rsidRPr="006B5572">
        <w:rPr>
          <w:rFonts w:cs="Times New Roman"/>
          <w:i/>
        </w:rPr>
        <w:t>Foreign Affiliates — Investment Business</w:t>
      </w:r>
      <w:r>
        <w:rPr>
          <w:rFonts w:cs="Times New Roman"/>
        </w:rPr>
        <w:t>, Ruling No. 9509775, July 14, 1995). The CRA further stated that</w:t>
      </w:r>
      <w:r w:rsidRPr="00DF70FB">
        <w:rPr>
          <w:rFonts w:cs="Times New Roman"/>
        </w:rPr>
        <w:t xml:space="preserve"> “the </w:t>
      </w:r>
      <w:r w:rsidRPr="00DF70FB">
        <w:rPr>
          <w:rFonts w:cs="Times New Roman"/>
          <w:u w:val="single"/>
        </w:rPr>
        <w:t>fact that a foreign affiliate receives funding</w:t>
      </w:r>
      <w:r w:rsidRPr="00DF70FB">
        <w:rPr>
          <w:rFonts w:cs="Times New Roman"/>
        </w:rPr>
        <w:t xml:space="preserve"> to carry on its income earning activity </w:t>
      </w:r>
      <w:r w:rsidRPr="00DF70FB">
        <w:rPr>
          <w:rFonts w:cs="Times New Roman"/>
          <w:u w:val="single"/>
        </w:rPr>
        <w:t>by way of debt or equity from a related party would have little if any relevance</w:t>
      </w:r>
      <w:r w:rsidRPr="00DF70FB">
        <w:rPr>
          <w:rFonts w:cs="Times New Roman"/>
        </w:rPr>
        <w:t xml:space="preserve"> in the determination of whether its business is carried on with persons with whom it </w:t>
      </w:r>
      <w:r>
        <w:rPr>
          <w:rFonts w:cs="Times New Roman"/>
        </w:rPr>
        <w:t xml:space="preserve">does not deal at arm’s length” </w:t>
      </w:r>
      <w:r>
        <w:rPr>
          <w:rFonts w:cs="Times New Roman"/>
          <w:lang w:val="en-US"/>
        </w:rPr>
        <w:t>(</w:t>
      </w:r>
      <w:r w:rsidRPr="00DF70FB">
        <w:rPr>
          <w:rFonts w:cs="Times New Roman"/>
        </w:rPr>
        <w:t xml:space="preserve">emphasis added). Similarly, in 2000, the CRA reiterated its position, stating that the </w:t>
      </w:r>
      <w:r>
        <w:rPr>
          <w:rFonts w:cs="Times New Roman"/>
        </w:rPr>
        <w:t xml:space="preserve">relevant </w:t>
      </w:r>
      <w:r w:rsidRPr="00DF70FB">
        <w:rPr>
          <w:rFonts w:cs="Times New Roman"/>
        </w:rPr>
        <w:t xml:space="preserve">criteria are “directed at measuring sources of income, employee time and effort and assets used in each business and no indication is given whether or how the amount of the debt or equity or the amount of time that is spent by employees administering debt or equity associated with a business </w:t>
      </w:r>
      <w:r w:rsidRPr="00DF70FB">
        <w:rPr>
          <w:rFonts w:cs="Times New Roman"/>
          <w:u w:val="single"/>
        </w:rPr>
        <w:t>would be relevant</w:t>
      </w:r>
      <w:r w:rsidRPr="00DF70FB">
        <w:rPr>
          <w:rFonts w:cs="Times New Roman"/>
        </w:rPr>
        <w:t>” (</w:t>
      </w:r>
      <w:r>
        <w:rPr>
          <w:rFonts w:cs="Times New Roman"/>
        </w:rPr>
        <w:t>Ruling No. 2000</w:t>
      </w:r>
      <w:r>
        <w:rPr>
          <w:rFonts w:cs="Times New Roman"/>
        </w:rPr>
        <w:noBreakHyphen/>
        <w:t>0006565 (</w:t>
      </w:r>
      <w:r w:rsidRPr="00DF70FB">
        <w:rPr>
          <w:rFonts w:cs="Times New Roman"/>
        </w:rPr>
        <w:t>emphasis added)</w:t>
      </w:r>
      <w:r>
        <w:rPr>
          <w:rFonts w:cs="Times New Roman"/>
        </w:rPr>
        <w:t>)</w:t>
      </w:r>
      <w:r w:rsidRPr="00DF70FB">
        <w:rPr>
          <w:rFonts w:cs="Times New Roman"/>
        </w:rPr>
        <w:t xml:space="preserve">. It further noted that the </w:t>
      </w:r>
      <w:r>
        <w:rPr>
          <w:rFonts w:cs="Times New Roman"/>
        </w:rPr>
        <w:t xml:space="preserve">aforementioned set of </w:t>
      </w:r>
      <w:r w:rsidRPr="00DF70FB">
        <w:rPr>
          <w:rFonts w:cs="Times New Roman"/>
        </w:rPr>
        <w:t>criteria</w:t>
      </w:r>
      <w:r>
        <w:rPr>
          <w:rFonts w:cs="Times New Roman"/>
        </w:rPr>
        <w:t xml:space="preserve"> is </w:t>
      </w:r>
      <w:r w:rsidRPr="00DF70FB">
        <w:rPr>
          <w:rFonts w:cs="Times New Roman"/>
        </w:rPr>
        <w:t xml:space="preserve">“in most cases, a </w:t>
      </w:r>
      <w:r w:rsidRPr="00DF70FB">
        <w:rPr>
          <w:rFonts w:cs="Times New Roman"/>
        </w:rPr>
        <w:lastRenderedPageBreak/>
        <w:t xml:space="preserve">complete set of relevant criteria in the determination of whether a business is conducted principally with persons with whom the affiliate does not deal at arm’s length and </w:t>
      </w:r>
      <w:r w:rsidRPr="00DF70FB">
        <w:rPr>
          <w:rFonts w:cs="Times New Roman"/>
          <w:u w:val="single"/>
        </w:rPr>
        <w:t>the source of a corporation’s debt and equity financing would generally not be material to that determination</w:t>
      </w:r>
      <w:r w:rsidRPr="00DF70FB">
        <w:rPr>
          <w:rFonts w:cs="Times New Roman"/>
        </w:rPr>
        <w:t>” (emphasis added</w:t>
      </w:r>
      <w:r>
        <w:rPr>
          <w:rFonts w:cs="Times New Roman"/>
        </w:rPr>
        <w:t>).</w:t>
      </w:r>
    </w:p>
    <w:p w:rsidR="007A59F1" w:rsidRPr="00DF70FB" w:rsidRDefault="007A59F1" w:rsidP="007A59F1">
      <w:pPr>
        <w:pStyle w:val="ParaNoNdepar-AltN"/>
        <w:rPr>
          <w:rFonts w:cs="Times New Roman"/>
        </w:rPr>
      </w:pPr>
      <w:r w:rsidRPr="00DF70FB">
        <w:rPr>
          <w:rFonts w:cs="Times New Roman"/>
        </w:rPr>
        <w:t xml:space="preserve">Before </w:t>
      </w:r>
      <w:r>
        <w:rPr>
          <w:rFonts w:cs="Times New Roman"/>
        </w:rPr>
        <w:t>moving</w:t>
      </w:r>
      <w:r w:rsidRPr="00DF70FB">
        <w:rPr>
          <w:rFonts w:cs="Times New Roman"/>
        </w:rPr>
        <w:t xml:space="preserve"> on to </w:t>
      </w:r>
      <w:r>
        <w:rPr>
          <w:rFonts w:cs="Times New Roman"/>
        </w:rPr>
        <w:t>consider</w:t>
      </w:r>
      <w:r w:rsidRPr="00DF70FB">
        <w:rPr>
          <w:rFonts w:cs="Times New Roman"/>
        </w:rPr>
        <w:t xml:space="preserve"> corporate oversight, I pause here to note that even if I accept</w:t>
      </w:r>
      <w:r>
        <w:rPr>
          <w:rFonts w:cs="Times New Roman"/>
        </w:rPr>
        <w:t>ed</w:t>
      </w:r>
      <w:r w:rsidRPr="00DF70FB">
        <w:rPr>
          <w:rFonts w:cs="Times New Roman"/>
        </w:rPr>
        <w:t xml:space="preserve"> the Crown’s argument that capitalization could be said to be part of the conduct of </w:t>
      </w:r>
      <w:r>
        <w:rPr>
          <w:rFonts w:cs="Times New Roman"/>
        </w:rPr>
        <w:t>a</w:t>
      </w:r>
      <w:r w:rsidRPr="00DF70FB">
        <w:rPr>
          <w:rFonts w:cs="Times New Roman"/>
        </w:rPr>
        <w:t xml:space="preserve"> business, a further problem </w:t>
      </w:r>
      <w:r>
        <w:rPr>
          <w:rFonts w:cs="Times New Roman"/>
        </w:rPr>
        <w:t xml:space="preserve">would </w:t>
      </w:r>
      <w:r w:rsidRPr="00DF70FB">
        <w:rPr>
          <w:rFonts w:cs="Times New Roman"/>
        </w:rPr>
        <w:t>remain. FAPI is calculated on an annual basis. In this case, capita</w:t>
      </w:r>
      <w:r>
        <w:rPr>
          <w:rFonts w:cs="Times New Roman"/>
        </w:rPr>
        <w:t>l injections into Glenhuron pre</w:t>
      </w:r>
      <w:r w:rsidRPr="00DF70FB">
        <w:rPr>
          <w:rFonts w:cs="Times New Roman"/>
        </w:rPr>
        <w:t>date the taxation years under review. Even if capitalization w</w:t>
      </w:r>
      <w:r>
        <w:rPr>
          <w:rFonts w:cs="Times New Roman"/>
        </w:rPr>
        <w:t>ere</w:t>
      </w:r>
      <w:r w:rsidRPr="00DF70FB">
        <w:rPr>
          <w:rFonts w:cs="Times New Roman"/>
        </w:rPr>
        <w:t xml:space="preserve"> part of conducting business, it </w:t>
      </w:r>
      <w:r>
        <w:rPr>
          <w:rFonts w:cs="Times New Roman"/>
        </w:rPr>
        <w:t xml:space="preserve">would be </w:t>
      </w:r>
      <w:r w:rsidRPr="00DF70FB">
        <w:rPr>
          <w:rFonts w:cs="Times New Roman"/>
        </w:rPr>
        <w:t>untenable to say that a foreign affiliate is conducting business with a lender or investor decades after receiving money from them.</w:t>
      </w:r>
    </w:p>
    <w:p w:rsidR="007A59F1" w:rsidRPr="00DF70FB" w:rsidRDefault="007A59F1" w:rsidP="007A59F1">
      <w:pPr>
        <w:pStyle w:val="Title3LevelTitre3Niveau"/>
        <w:rPr>
          <w:rFonts w:cs="Times New Roman"/>
        </w:rPr>
      </w:pPr>
      <w:bookmarkStart w:id="21" w:name="_Toc78546497"/>
      <w:bookmarkStart w:id="22" w:name="_Toc86943877"/>
      <w:r w:rsidRPr="00DF70FB">
        <w:rPr>
          <w:rFonts w:cs="Times New Roman"/>
        </w:rPr>
        <w:t>Corporate Oversight by a Parent</w:t>
      </w:r>
      <w:bookmarkEnd w:id="21"/>
      <w:bookmarkEnd w:id="22"/>
    </w:p>
    <w:p w:rsidR="007A59F1" w:rsidRPr="00DF70FB" w:rsidRDefault="007A59F1" w:rsidP="007A59F1">
      <w:pPr>
        <w:pStyle w:val="ParaNoNdepar-AltN"/>
        <w:rPr>
          <w:rFonts w:cs="Times New Roman"/>
        </w:rPr>
      </w:pPr>
      <w:r w:rsidRPr="00DF70FB">
        <w:rPr>
          <w:rFonts w:cs="Times New Roman"/>
        </w:rPr>
        <w:t>The Tax Court judge found that corporate oversight of Glenhuron by its parent transformed Glenhuron’s interactions with third parties into activities conducted with persons not at arm’s length. In particular, he found that the Loblaw Group exercised close oversight o</w:t>
      </w:r>
      <w:r>
        <w:rPr>
          <w:rFonts w:cs="Times New Roman"/>
        </w:rPr>
        <w:t>f</w:t>
      </w:r>
      <w:r w:rsidRPr="00DF70FB">
        <w:rPr>
          <w:rFonts w:cs="Times New Roman"/>
        </w:rPr>
        <w:t xml:space="preserve"> Glenhuron’s investment activities via derivative policies, regular reporting requirements</w:t>
      </w:r>
      <w:r>
        <w:rPr>
          <w:rFonts w:cs="Times New Roman"/>
        </w:rPr>
        <w:t>,</w:t>
      </w:r>
      <w:r w:rsidRPr="00DF70FB">
        <w:rPr>
          <w:rFonts w:cs="Times New Roman"/>
        </w:rPr>
        <w:t xml:space="preserve"> and regular attendance </w:t>
      </w:r>
      <w:r>
        <w:rPr>
          <w:rFonts w:cs="Times New Roman"/>
        </w:rPr>
        <w:t>at</w:t>
      </w:r>
      <w:r w:rsidRPr="00DF70FB">
        <w:rPr>
          <w:rFonts w:cs="Times New Roman"/>
        </w:rPr>
        <w:t xml:space="preserve"> Glenhuron</w:t>
      </w:r>
      <w:r>
        <w:rPr>
          <w:rFonts w:cs="Times New Roman"/>
        </w:rPr>
        <w:t>’s</w:t>
      </w:r>
      <w:r w:rsidRPr="00DF70FB">
        <w:rPr>
          <w:rFonts w:cs="Times New Roman"/>
        </w:rPr>
        <w:t xml:space="preserve"> board meetings. In his view, “Loblaw influence pervades the conduct of business” (para. 247).</w:t>
      </w:r>
    </w:p>
    <w:p w:rsidR="007A59F1" w:rsidRPr="00DF70FB" w:rsidRDefault="007A59F1" w:rsidP="007A59F1">
      <w:pPr>
        <w:pStyle w:val="ParaNoNdepar-AltN"/>
        <w:rPr>
          <w:rFonts w:cs="Times New Roman"/>
        </w:rPr>
      </w:pPr>
      <w:r w:rsidRPr="00DF70FB">
        <w:rPr>
          <w:rFonts w:cs="Times New Roman"/>
        </w:rPr>
        <w:t xml:space="preserve">I cannot find any basis in the text, context or purpose of the arm’s length requirement to support the Tax Court judge’s </w:t>
      </w:r>
      <w:r>
        <w:rPr>
          <w:rFonts w:cs="Times New Roman"/>
        </w:rPr>
        <w:t>consideration</w:t>
      </w:r>
      <w:r w:rsidRPr="00DF70FB">
        <w:rPr>
          <w:rFonts w:cs="Times New Roman"/>
        </w:rPr>
        <w:t xml:space="preserve"> of corporate oversight as </w:t>
      </w:r>
      <w:r w:rsidRPr="00DF70FB">
        <w:rPr>
          <w:rFonts w:cs="Times New Roman"/>
        </w:rPr>
        <w:lastRenderedPageBreak/>
        <w:t xml:space="preserve">part of conducting business. Fundamentally, a corporation is separate from its shareholders. Its business may be conducted using money provided by shareholders or </w:t>
      </w:r>
      <w:r>
        <w:rPr>
          <w:rFonts w:cs="Times New Roman"/>
        </w:rPr>
        <w:t>in accordance with</w:t>
      </w:r>
      <w:r w:rsidRPr="00DF70FB">
        <w:rPr>
          <w:rFonts w:cs="Times New Roman"/>
        </w:rPr>
        <w:t xml:space="preserve"> policies adopted by the board of directors on behalf of the shareholders, but th</w:t>
      </w:r>
      <w:r>
        <w:rPr>
          <w:rFonts w:cs="Times New Roman"/>
        </w:rPr>
        <w:t>is</w:t>
      </w:r>
      <w:r w:rsidRPr="00DF70FB">
        <w:rPr>
          <w:rFonts w:cs="Times New Roman"/>
        </w:rPr>
        <w:t xml:space="preserve"> does not change </w:t>
      </w:r>
      <w:r>
        <w:rPr>
          <w:rFonts w:cs="Times New Roman"/>
        </w:rPr>
        <w:t xml:space="preserve">the fact </w:t>
      </w:r>
      <w:r w:rsidRPr="00DF70FB">
        <w:rPr>
          <w:rFonts w:cs="Times New Roman"/>
        </w:rPr>
        <w:t xml:space="preserve">that the corporation remains the party conducting business. </w:t>
      </w:r>
      <w:r>
        <w:rPr>
          <w:rFonts w:cs="Times New Roman"/>
        </w:rPr>
        <w:t>Treating</w:t>
      </w:r>
      <w:r w:rsidRPr="00DF70FB">
        <w:rPr>
          <w:rFonts w:cs="Times New Roman"/>
        </w:rPr>
        <w:t xml:space="preserve"> oversight by a parent corporation as shifting the responsibility for conducting business is also incompatible with the rest of the FAPI </w:t>
      </w:r>
      <w:r>
        <w:rPr>
          <w:rFonts w:cs="Times New Roman"/>
        </w:rPr>
        <w:t>regime</w:t>
      </w:r>
      <w:r w:rsidRPr="00DF70FB">
        <w:rPr>
          <w:rFonts w:cs="Times New Roman"/>
        </w:rPr>
        <w:t>. As discussed above, the regime applies only</w:t>
      </w:r>
      <w:r>
        <w:rPr>
          <w:rFonts w:cs="Times New Roman"/>
        </w:rPr>
        <w:t xml:space="preserve"> where there is</w:t>
      </w:r>
      <w:r w:rsidRPr="00DF70FB">
        <w:rPr>
          <w:rFonts w:cs="Times New Roman"/>
        </w:rPr>
        <w:t xml:space="preserve"> a </w:t>
      </w:r>
      <w:r w:rsidRPr="00DF70FB">
        <w:rPr>
          <w:rFonts w:cs="Times New Roman"/>
          <w:i/>
        </w:rPr>
        <w:t xml:space="preserve">controlled </w:t>
      </w:r>
      <w:r w:rsidRPr="00DF70FB">
        <w:rPr>
          <w:rFonts w:cs="Times New Roman"/>
        </w:rPr>
        <w:t xml:space="preserve">foreign affiliate. If there is a CFA, there is necessarily corporate oversight by its parent. Considering whether corporate oversight has been </w:t>
      </w:r>
      <w:r>
        <w:rPr>
          <w:rFonts w:cs="Times New Roman"/>
        </w:rPr>
        <w:t>exercised</w:t>
      </w:r>
      <w:r w:rsidRPr="00DF70FB">
        <w:rPr>
          <w:rFonts w:cs="Times New Roman"/>
        </w:rPr>
        <w:t xml:space="preserve"> at arm’s length with a </w:t>
      </w:r>
      <w:r>
        <w:rPr>
          <w:rFonts w:cs="Times New Roman"/>
        </w:rPr>
        <w:t>CFA</w:t>
      </w:r>
      <w:r w:rsidRPr="00DF70FB">
        <w:rPr>
          <w:rFonts w:cs="Times New Roman"/>
        </w:rPr>
        <w:t xml:space="preserve"> is asking a question </w:t>
      </w:r>
      <w:r>
        <w:rPr>
          <w:rFonts w:cs="Times New Roman"/>
        </w:rPr>
        <w:t xml:space="preserve">to which </w:t>
      </w:r>
      <w:r w:rsidRPr="00DF70FB">
        <w:rPr>
          <w:rFonts w:cs="Times New Roman"/>
        </w:rPr>
        <w:t xml:space="preserve">one already knows the answer. Parliament does not speak in vain; it would not have added an arm’s length requirement if it </w:t>
      </w:r>
      <w:r>
        <w:rPr>
          <w:rFonts w:cs="Times New Roman"/>
        </w:rPr>
        <w:t xml:space="preserve">could never </w:t>
      </w:r>
      <w:r w:rsidRPr="00DF70FB">
        <w:rPr>
          <w:rFonts w:cs="Times New Roman"/>
        </w:rPr>
        <w:t>be met</w:t>
      </w:r>
      <w:r>
        <w:rPr>
          <w:rFonts w:cs="Times New Roman"/>
        </w:rPr>
        <w:t>. The i</w:t>
      </w:r>
      <w:r w:rsidRPr="00DF70FB">
        <w:rPr>
          <w:rFonts w:cs="Times New Roman"/>
        </w:rPr>
        <w:t xml:space="preserve">ntervener </w:t>
      </w:r>
      <w:r>
        <w:rPr>
          <w:rFonts w:cs="Times New Roman"/>
        </w:rPr>
        <w:t xml:space="preserve">the </w:t>
      </w:r>
      <w:r w:rsidRPr="00DF70FB">
        <w:rPr>
          <w:rFonts w:cs="Times New Roman"/>
        </w:rPr>
        <w:t>Canadian Bankers’ Association aptly encapsulates this situation:</w:t>
      </w:r>
    </w:p>
    <w:p w:rsidR="007A59F1" w:rsidRDefault="007A59F1" w:rsidP="007A59F1">
      <w:pPr>
        <w:pStyle w:val="Citation-AltC"/>
      </w:pPr>
      <w:r w:rsidRPr="00DF70FB">
        <w:t>It is incongruous to posit that Parliament has consistently provided a safe harbour for Canada’s largest multinational financial enterprises since 1995, yet intended to undermine that safe harbour if the oversight, cooperation, and coordination that is to be expected in such a group is present.</w:t>
      </w:r>
    </w:p>
    <w:p w:rsidR="007A59F1" w:rsidRDefault="007A59F1" w:rsidP="007A59F1">
      <w:pPr>
        <w:pStyle w:val="Citation-AltC"/>
      </w:pPr>
    </w:p>
    <w:p w:rsidR="007A59F1" w:rsidRPr="00DF70FB" w:rsidRDefault="007A59F1" w:rsidP="007A59F1">
      <w:pPr>
        <w:pStyle w:val="Citation-AltC"/>
      </w:pPr>
      <w:r>
        <w:t>(I.F., at para. 37)</w:t>
      </w:r>
    </w:p>
    <w:p w:rsidR="007A59F1" w:rsidRPr="00DF70FB" w:rsidRDefault="007A59F1" w:rsidP="007A59F1">
      <w:pPr>
        <w:pStyle w:val="Title2LevelTitre2Niveau"/>
        <w:ind w:left="578" w:hanging="578"/>
        <w:rPr>
          <w:rFonts w:cs="Times New Roman"/>
        </w:rPr>
      </w:pPr>
      <w:bookmarkStart w:id="23" w:name="_Toc78546498"/>
      <w:bookmarkStart w:id="24" w:name="_Toc86943878"/>
      <w:r w:rsidRPr="00DF70FB">
        <w:rPr>
          <w:rFonts w:cs="Times New Roman"/>
        </w:rPr>
        <w:t>Application</w:t>
      </w:r>
      <w:bookmarkEnd w:id="23"/>
      <w:bookmarkEnd w:id="24"/>
    </w:p>
    <w:p w:rsidR="007A59F1" w:rsidRPr="00DF70FB" w:rsidRDefault="007A59F1" w:rsidP="007A59F1">
      <w:pPr>
        <w:pStyle w:val="ParaNoNdepar-AltN"/>
        <w:rPr>
          <w:rFonts w:cs="Times New Roman"/>
        </w:rPr>
      </w:pPr>
      <w:r w:rsidRPr="00DF70FB">
        <w:rPr>
          <w:rFonts w:cs="Times New Roman"/>
        </w:rPr>
        <w:t xml:space="preserve">Since the Tax Court judge erred in his interpretation of the arm’s length requirement, this Court can apply </w:t>
      </w:r>
      <w:r>
        <w:rPr>
          <w:rFonts w:cs="Times New Roman"/>
        </w:rPr>
        <w:t xml:space="preserve">afresh the correct interpretation of </w:t>
      </w:r>
      <w:r w:rsidRPr="00DF70FB">
        <w:rPr>
          <w:rFonts w:cs="Times New Roman"/>
        </w:rPr>
        <w:t>this requirement</w:t>
      </w:r>
      <w:r>
        <w:rPr>
          <w:rFonts w:cs="Times New Roman"/>
        </w:rPr>
        <w:t xml:space="preserve"> t</w:t>
      </w:r>
      <w:r w:rsidRPr="00DF70FB">
        <w:rPr>
          <w:rFonts w:cs="Times New Roman"/>
        </w:rPr>
        <w:t xml:space="preserve">o the detailed findings of fact made by the courts below, findings </w:t>
      </w:r>
      <w:r>
        <w:rPr>
          <w:rFonts w:cs="Times New Roman"/>
        </w:rPr>
        <w:t xml:space="preserve">that </w:t>
      </w:r>
      <w:r w:rsidRPr="00DF70FB">
        <w:rPr>
          <w:rFonts w:cs="Times New Roman"/>
        </w:rPr>
        <w:t xml:space="preserve">the parties do </w:t>
      </w:r>
      <w:r w:rsidRPr="00DF70FB">
        <w:rPr>
          <w:rFonts w:cs="Times New Roman"/>
        </w:rPr>
        <w:lastRenderedPageBreak/>
        <w:t xml:space="preserve">not challenge (see </w:t>
      </w:r>
      <w:r w:rsidRPr="00DF70FB">
        <w:rPr>
          <w:rFonts w:cs="Times New Roman"/>
          <w:i/>
        </w:rPr>
        <w:t>R. v. Cole</w:t>
      </w:r>
      <w:r w:rsidRPr="00DF70FB">
        <w:rPr>
          <w:rFonts w:cs="Times New Roman"/>
        </w:rPr>
        <w:t xml:space="preserve">, 2012 SCC 53, </w:t>
      </w:r>
      <w:r>
        <w:rPr>
          <w:rFonts w:cs="Times New Roman"/>
        </w:rPr>
        <w:t xml:space="preserve">[2012] 3 S.C.R. 34, </w:t>
      </w:r>
      <w:r w:rsidRPr="00DF70FB">
        <w:rPr>
          <w:rFonts w:cs="Times New Roman"/>
        </w:rPr>
        <w:t xml:space="preserve">at para. 82; </w:t>
      </w:r>
      <w:r w:rsidRPr="00DF70FB">
        <w:rPr>
          <w:rFonts w:cs="Times New Roman"/>
          <w:i/>
        </w:rPr>
        <w:t>R. v. Vu</w:t>
      </w:r>
      <w:r w:rsidRPr="00DF70FB">
        <w:rPr>
          <w:rFonts w:cs="Times New Roman"/>
        </w:rPr>
        <w:t xml:space="preserve">, 2013 SCC 60, </w:t>
      </w:r>
      <w:r>
        <w:rPr>
          <w:rFonts w:cs="Times New Roman"/>
        </w:rPr>
        <w:t xml:space="preserve">[2013] 3 S.C.R. 657, </w:t>
      </w:r>
      <w:r w:rsidRPr="00DF70FB">
        <w:rPr>
          <w:rFonts w:cs="Times New Roman"/>
        </w:rPr>
        <w:t xml:space="preserve">at para. 67; </w:t>
      </w:r>
      <w:r w:rsidRPr="00DF70FB">
        <w:rPr>
          <w:rFonts w:cs="Times New Roman"/>
          <w:i/>
        </w:rPr>
        <w:t>R. v. Friesen</w:t>
      </w:r>
      <w:r w:rsidRPr="00DF70FB">
        <w:rPr>
          <w:rFonts w:cs="Times New Roman"/>
        </w:rPr>
        <w:t>, 2020 SCC 9, at para. 27).</w:t>
      </w:r>
    </w:p>
    <w:p w:rsidR="007A59F1" w:rsidRPr="00DF70FB" w:rsidRDefault="007A59F1" w:rsidP="007A59F1">
      <w:pPr>
        <w:pStyle w:val="ParaNoNdepar-AltN"/>
        <w:rPr>
          <w:rFonts w:cs="Times New Roman"/>
        </w:rPr>
      </w:pPr>
      <w:r w:rsidRPr="00DF70FB">
        <w:rPr>
          <w:rFonts w:cs="Times New Roman"/>
        </w:rPr>
        <w:t xml:space="preserve">This Court must determine whether Glenhuron’s investment business activities were conducted </w:t>
      </w:r>
      <w:r w:rsidRPr="00DF70FB">
        <w:rPr>
          <w:rFonts w:cs="Times New Roman"/>
          <w:i/>
        </w:rPr>
        <w:t>principally</w:t>
      </w:r>
      <w:r w:rsidRPr="00DF70FB">
        <w:rPr>
          <w:rFonts w:cs="Times New Roman"/>
        </w:rPr>
        <w:t xml:space="preserve"> with arm’s length persons or </w:t>
      </w:r>
      <w:r>
        <w:rPr>
          <w:rFonts w:cs="Times New Roman"/>
        </w:rPr>
        <w:t xml:space="preserve">with </w:t>
      </w:r>
      <w:r w:rsidRPr="00DF70FB">
        <w:rPr>
          <w:rFonts w:cs="Times New Roman"/>
        </w:rPr>
        <w:t>non</w:t>
      </w:r>
      <w:r>
        <w:rPr>
          <w:rFonts w:cs="Times New Roman"/>
        </w:rPr>
        <w:noBreakHyphen/>
      </w:r>
      <w:r w:rsidRPr="00DF70FB">
        <w:rPr>
          <w:rFonts w:cs="Times New Roman"/>
        </w:rPr>
        <w:t xml:space="preserve">arm’s length persons. In 1995, the Minister </w:t>
      </w:r>
      <w:r>
        <w:rPr>
          <w:rFonts w:cs="Times New Roman"/>
        </w:rPr>
        <w:t xml:space="preserve">of Finance </w:t>
      </w:r>
      <w:r w:rsidRPr="00DF70FB">
        <w:rPr>
          <w:rFonts w:cs="Times New Roman"/>
        </w:rPr>
        <w:t>suggested that the analysis should be done on a “business by business basis” in order “</w:t>
      </w:r>
      <w:r>
        <w:rPr>
          <w:rFonts w:cs="Times New Roman"/>
        </w:rPr>
        <w:t>[</w:t>
      </w:r>
      <w:r w:rsidRPr="00DF70FB">
        <w:rPr>
          <w:rFonts w:cs="Times New Roman"/>
        </w:rPr>
        <w:t>t</w:t>
      </w:r>
      <w:r>
        <w:rPr>
          <w:rFonts w:cs="Times New Roman"/>
        </w:rPr>
        <w:t>]</w:t>
      </w:r>
      <w:r w:rsidRPr="00DF70FB">
        <w:rPr>
          <w:rFonts w:cs="Times New Roman"/>
        </w:rPr>
        <w:t>o accommodate multiple foreign affiliate activities” (</w:t>
      </w:r>
      <w:r>
        <w:rPr>
          <w:rFonts w:cs="Times New Roman"/>
        </w:rPr>
        <w:t xml:space="preserve">Department of Finance, </w:t>
      </w:r>
      <w:r w:rsidRPr="006B7884">
        <w:rPr>
          <w:rFonts w:cs="Times New Roman"/>
          <w:i/>
        </w:rPr>
        <w:t>Special Report</w:t>
      </w:r>
      <w:r>
        <w:rPr>
          <w:rFonts w:cs="Times New Roman"/>
        </w:rPr>
        <w:t> </w:t>
      </w:r>
      <w:r w:rsidRPr="006B7884">
        <w:rPr>
          <w:rFonts w:cs="Times New Roman"/>
          <w:i/>
        </w:rPr>
        <w:t>— </w:t>
      </w:r>
      <w:r w:rsidRPr="00DF70FB">
        <w:rPr>
          <w:rFonts w:cs="Times New Roman"/>
          <w:i/>
        </w:rPr>
        <w:t xml:space="preserve">Revised Draft Legislation and Technical Notes: Foreign Affiliates </w:t>
      </w:r>
      <w:r w:rsidRPr="00DF70FB">
        <w:rPr>
          <w:rFonts w:cs="Times New Roman"/>
        </w:rPr>
        <w:t xml:space="preserve">(1995), at p. vi). However, both parties </w:t>
      </w:r>
      <w:r>
        <w:rPr>
          <w:rFonts w:cs="Times New Roman"/>
        </w:rPr>
        <w:t>treat</w:t>
      </w:r>
      <w:r w:rsidRPr="00DF70FB">
        <w:rPr>
          <w:rFonts w:cs="Times New Roman"/>
        </w:rPr>
        <w:t xml:space="preserve"> the relevant business as Glenhuron’s investment business taken as a </w:t>
      </w:r>
      <w:r w:rsidRPr="00DF70FB">
        <w:rPr>
          <w:rFonts w:cs="Times New Roman"/>
          <w:i/>
        </w:rPr>
        <w:t>whole</w:t>
      </w:r>
      <w:r w:rsidRPr="00DF70FB">
        <w:rPr>
          <w:rFonts w:cs="Times New Roman"/>
        </w:rPr>
        <w:t xml:space="preserve"> rather than segmenting the analysis into the different lines of investment business conducted by Glenhuron (</w:t>
      </w:r>
      <w:r w:rsidRPr="006B7884">
        <w:rPr>
          <w:rFonts w:cs="Times New Roman"/>
        </w:rPr>
        <w:t>e.g.</w:t>
      </w:r>
      <w:r>
        <w:rPr>
          <w:rFonts w:cs="Times New Roman"/>
        </w:rPr>
        <w:t>,</w:t>
      </w:r>
      <w:r w:rsidRPr="00DF70FB">
        <w:rPr>
          <w:rFonts w:cs="Times New Roman"/>
          <w:i/>
        </w:rPr>
        <w:t xml:space="preserve"> </w:t>
      </w:r>
      <w:r w:rsidRPr="00DF70FB">
        <w:rPr>
          <w:rFonts w:cs="Times New Roman"/>
        </w:rPr>
        <w:t xml:space="preserve">swaps, intercorporate loans, equity forwards). The parties also agree that this </w:t>
      </w:r>
      <w:r>
        <w:rPr>
          <w:rFonts w:cs="Times New Roman"/>
        </w:rPr>
        <w:t xml:space="preserve">determination </w:t>
      </w:r>
      <w:r w:rsidRPr="00DF70FB">
        <w:rPr>
          <w:rFonts w:cs="Times New Roman"/>
        </w:rPr>
        <w:t>requires balancing all activities on both sides — arm’s length and non</w:t>
      </w:r>
      <w:r>
        <w:rPr>
          <w:rFonts w:cs="Times New Roman"/>
        </w:rPr>
        <w:noBreakHyphen/>
      </w:r>
      <w:r w:rsidRPr="00DF70FB">
        <w:rPr>
          <w:rFonts w:cs="Times New Roman"/>
        </w:rPr>
        <w:t>arm’s length — to assess which</w:t>
      </w:r>
      <w:r>
        <w:rPr>
          <w:rFonts w:cs="Times New Roman"/>
        </w:rPr>
        <w:t xml:space="preserve"> side</w:t>
      </w:r>
      <w:r w:rsidRPr="00DF70FB">
        <w:rPr>
          <w:rFonts w:cs="Times New Roman"/>
        </w:rPr>
        <w:t xml:space="preserve"> is more prevalent. Therefore, although a different approach could perhaps also be warranted, I will leave th</w:t>
      </w:r>
      <w:r>
        <w:rPr>
          <w:rFonts w:cs="Times New Roman"/>
        </w:rPr>
        <w:t>is</w:t>
      </w:r>
      <w:r w:rsidRPr="00DF70FB">
        <w:rPr>
          <w:rFonts w:cs="Times New Roman"/>
        </w:rPr>
        <w:t xml:space="preserve"> question for another day </w:t>
      </w:r>
      <w:r>
        <w:rPr>
          <w:rFonts w:cs="Times New Roman"/>
        </w:rPr>
        <w:t xml:space="preserve">when the Court has </w:t>
      </w:r>
      <w:r w:rsidRPr="00DF70FB">
        <w:rPr>
          <w:rFonts w:cs="Times New Roman"/>
        </w:rPr>
        <w:t xml:space="preserve">the benefit of </w:t>
      </w:r>
      <w:r>
        <w:rPr>
          <w:rFonts w:cs="Times New Roman"/>
        </w:rPr>
        <w:t xml:space="preserve">competing </w:t>
      </w:r>
      <w:r w:rsidRPr="00DF70FB">
        <w:rPr>
          <w:rFonts w:cs="Times New Roman"/>
        </w:rPr>
        <w:t>arguments. My application of the arm’s length requirement will thus be</w:t>
      </w:r>
      <w:r>
        <w:rPr>
          <w:rFonts w:cs="Times New Roman"/>
        </w:rPr>
        <w:t xml:space="preserve"> based on the approach proposed</w:t>
      </w:r>
      <w:r w:rsidRPr="00DF70FB">
        <w:rPr>
          <w:rFonts w:cs="Times New Roman"/>
        </w:rPr>
        <w:t xml:space="preserve"> by the parties.</w:t>
      </w:r>
    </w:p>
    <w:p w:rsidR="007A59F1" w:rsidRPr="00DF70FB" w:rsidRDefault="007A59F1" w:rsidP="007A59F1">
      <w:pPr>
        <w:pStyle w:val="ParaNoNdepar-AltN"/>
        <w:rPr>
          <w:rFonts w:cs="Times New Roman"/>
        </w:rPr>
      </w:pPr>
      <w:r>
        <w:rPr>
          <w:rFonts w:cs="Times New Roman"/>
        </w:rPr>
        <w:t>Once</w:t>
      </w:r>
      <w:r w:rsidRPr="00DF70FB">
        <w:rPr>
          <w:rFonts w:cs="Times New Roman"/>
        </w:rPr>
        <w:t xml:space="preserve"> corporate oversight and the capital investments received by Glenhuron</w:t>
      </w:r>
      <w:r>
        <w:rPr>
          <w:rFonts w:cs="Times New Roman"/>
        </w:rPr>
        <w:t xml:space="preserve"> are excluded</w:t>
      </w:r>
      <w:r w:rsidRPr="00DF70FB">
        <w:rPr>
          <w:rFonts w:cs="Times New Roman"/>
        </w:rPr>
        <w:t xml:space="preserve">, only Glenhuron’s investment activities remain part of the business that is relevant for the application of the arm’s length requirement. The vast majority of these activities were conducted with arm’s length persons. Therefore, I </w:t>
      </w:r>
      <w:r w:rsidRPr="00DF70FB">
        <w:rPr>
          <w:rFonts w:cs="Times New Roman"/>
        </w:rPr>
        <w:lastRenderedPageBreak/>
        <w:t>conclude that this requirement was met during the years in issue and that Loblaw Financial was thus entitled to rely on the financial institution exception. The appeal should be dismissed.</w:t>
      </w:r>
    </w:p>
    <w:p w:rsidR="007A59F1" w:rsidRPr="00DF70FB" w:rsidRDefault="007A59F1" w:rsidP="007A59F1">
      <w:pPr>
        <w:pStyle w:val="ParaNoNdepar-AltN"/>
        <w:rPr>
          <w:rFonts w:cs="Times New Roman"/>
        </w:rPr>
      </w:pPr>
      <w:r w:rsidRPr="00DF70FB">
        <w:rPr>
          <w:rFonts w:cs="Times New Roman"/>
        </w:rPr>
        <w:t>On the arm’s length side, Glenhuron invested in short-term debt securities, cross-currency swaps, and interest swaps. These were by far the most lucrative activities undertaken by Glenhuron, amounting to</w:t>
      </w:r>
      <w:r>
        <w:rPr>
          <w:rFonts w:cs="Times New Roman"/>
        </w:rPr>
        <w:t xml:space="preserve"> at least</w:t>
      </w:r>
      <w:r w:rsidRPr="00DF70FB">
        <w:rPr>
          <w:rFonts w:cs="Times New Roman"/>
        </w:rPr>
        <w:t xml:space="preserve"> 86</w:t>
      </w:r>
      <w:r>
        <w:rPr>
          <w:rFonts w:cs="Times New Roman"/>
        </w:rPr>
        <w:t> percent</w:t>
      </w:r>
      <w:r w:rsidRPr="00DF70FB">
        <w:rPr>
          <w:rFonts w:cs="Times New Roman"/>
        </w:rPr>
        <w:t xml:space="preserve"> of its income during the years in issue. The breakdown year by year is as follows:</w:t>
      </w:r>
    </w:p>
    <w:tbl>
      <w:tblPr>
        <w:tblW w:w="7070"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5"/>
        <w:gridCol w:w="2268"/>
        <w:gridCol w:w="974"/>
      </w:tblGrid>
      <w:tr w:rsidR="007A59F1" w:rsidRPr="00DF70FB" w:rsidTr="007C35C1">
        <w:tc>
          <w:tcPr>
            <w:tcW w:w="1843" w:type="dxa"/>
            <w:tcBorders>
              <w:top w:val="single" w:sz="4" w:space="0" w:color="auto"/>
              <w:left w:val="single" w:sz="4" w:space="0" w:color="auto"/>
              <w:bottom w:val="single" w:sz="4" w:space="0" w:color="auto"/>
              <w:right w:val="single" w:sz="4" w:space="0" w:color="auto"/>
            </w:tcBorders>
            <w:hideMark/>
          </w:tcPr>
          <w:p w:rsidR="007A59F1" w:rsidRPr="00DF70FB" w:rsidRDefault="007A59F1" w:rsidP="007C35C1">
            <w:pPr>
              <w:rPr>
                <w:b/>
              </w:rPr>
            </w:pPr>
            <w:r w:rsidRPr="00DF70FB">
              <w:rPr>
                <w:b/>
              </w:rPr>
              <w:t xml:space="preserve">Taxation Year </w:t>
            </w:r>
          </w:p>
        </w:tc>
        <w:tc>
          <w:tcPr>
            <w:tcW w:w="1985" w:type="dxa"/>
            <w:tcBorders>
              <w:top w:val="single" w:sz="4" w:space="0" w:color="auto"/>
              <w:left w:val="single" w:sz="4" w:space="0" w:color="auto"/>
              <w:bottom w:val="single" w:sz="4" w:space="0" w:color="auto"/>
              <w:right w:val="single" w:sz="4" w:space="0" w:color="auto"/>
            </w:tcBorders>
          </w:tcPr>
          <w:p w:rsidR="007A59F1" w:rsidRPr="00DF70FB" w:rsidRDefault="007A59F1" w:rsidP="007C35C1">
            <w:pPr>
              <w:ind w:left="34"/>
              <w:rPr>
                <w:b/>
              </w:rPr>
            </w:pPr>
            <w:r>
              <w:rPr>
                <w:b/>
              </w:rPr>
              <w:t xml:space="preserve">Short-term debt </w:t>
            </w:r>
            <w:r w:rsidRPr="00DF70FB">
              <w:rPr>
                <w:b/>
              </w:rPr>
              <w:t>securities</w:t>
            </w:r>
          </w:p>
        </w:tc>
        <w:tc>
          <w:tcPr>
            <w:tcW w:w="2268" w:type="dxa"/>
            <w:tcBorders>
              <w:top w:val="single" w:sz="4" w:space="0" w:color="auto"/>
              <w:left w:val="single" w:sz="4" w:space="0" w:color="auto"/>
              <w:bottom w:val="single" w:sz="4" w:space="0" w:color="auto"/>
              <w:right w:val="single" w:sz="4" w:space="0" w:color="auto"/>
            </w:tcBorders>
            <w:hideMark/>
          </w:tcPr>
          <w:p w:rsidR="007A59F1" w:rsidRPr="00DF70FB" w:rsidRDefault="007A59F1" w:rsidP="007C35C1">
            <w:pPr>
              <w:rPr>
                <w:b/>
              </w:rPr>
            </w:pPr>
            <w:r w:rsidRPr="00DF70FB">
              <w:rPr>
                <w:b/>
              </w:rPr>
              <w:t xml:space="preserve">Cross-currency and interest swaps </w:t>
            </w:r>
          </w:p>
        </w:tc>
        <w:tc>
          <w:tcPr>
            <w:tcW w:w="974" w:type="dxa"/>
            <w:tcBorders>
              <w:top w:val="single" w:sz="4" w:space="0" w:color="auto"/>
              <w:left w:val="single" w:sz="4" w:space="0" w:color="auto"/>
              <w:bottom w:val="single" w:sz="4" w:space="0" w:color="auto"/>
              <w:right w:val="single" w:sz="4" w:space="0" w:color="auto"/>
            </w:tcBorders>
          </w:tcPr>
          <w:p w:rsidR="007A59F1" w:rsidRPr="00DF70FB" w:rsidRDefault="007A59F1" w:rsidP="007C35C1">
            <w:pPr>
              <w:ind w:left="-108"/>
              <w:rPr>
                <w:b/>
              </w:rPr>
            </w:pPr>
            <w:r>
              <w:rPr>
                <w:b/>
              </w:rPr>
              <w:t xml:space="preserve">  </w:t>
            </w:r>
            <w:r w:rsidRPr="00DF70FB">
              <w:rPr>
                <w:b/>
              </w:rPr>
              <w:t>Total</w:t>
            </w:r>
          </w:p>
        </w:tc>
      </w:tr>
      <w:tr w:rsidR="007A59F1" w:rsidRPr="00DF70FB" w:rsidTr="007C35C1">
        <w:tc>
          <w:tcPr>
            <w:tcW w:w="1843" w:type="dxa"/>
            <w:tcBorders>
              <w:top w:val="single" w:sz="4" w:space="0" w:color="auto"/>
              <w:left w:val="single" w:sz="4" w:space="0" w:color="auto"/>
              <w:bottom w:val="single" w:sz="4" w:space="0" w:color="auto"/>
              <w:right w:val="single" w:sz="4" w:space="0" w:color="auto"/>
            </w:tcBorders>
            <w:hideMark/>
          </w:tcPr>
          <w:p w:rsidR="007A59F1" w:rsidRPr="00DF70FB" w:rsidRDefault="007A59F1" w:rsidP="007C35C1">
            <w:r w:rsidRPr="00DF70FB">
              <w:t xml:space="preserve">2001 </w:t>
            </w:r>
          </w:p>
        </w:tc>
        <w:tc>
          <w:tcPr>
            <w:tcW w:w="1985" w:type="dxa"/>
            <w:tcBorders>
              <w:top w:val="single" w:sz="4" w:space="0" w:color="auto"/>
              <w:left w:val="single" w:sz="4" w:space="0" w:color="auto"/>
              <w:bottom w:val="single" w:sz="4" w:space="0" w:color="auto"/>
              <w:right w:val="single" w:sz="4" w:space="0" w:color="auto"/>
            </w:tcBorders>
          </w:tcPr>
          <w:p w:rsidR="007A59F1" w:rsidRPr="00DF70FB" w:rsidRDefault="007A59F1" w:rsidP="007C35C1">
            <w:r w:rsidRPr="00DF70FB">
              <w:t>72%</w:t>
            </w:r>
          </w:p>
        </w:tc>
        <w:tc>
          <w:tcPr>
            <w:tcW w:w="2268" w:type="dxa"/>
            <w:tcBorders>
              <w:top w:val="single" w:sz="4" w:space="0" w:color="auto"/>
              <w:left w:val="single" w:sz="4" w:space="0" w:color="auto"/>
              <w:bottom w:val="single" w:sz="4" w:space="0" w:color="auto"/>
              <w:right w:val="single" w:sz="4" w:space="0" w:color="auto"/>
            </w:tcBorders>
            <w:hideMark/>
          </w:tcPr>
          <w:p w:rsidR="007A59F1" w:rsidRPr="00DF70FB" w:rsidRDefault="007A59F1" w:rsidP="007C35C1">
            <w:r w:rsidRPr="00DF70FB">
              <w:t>21%</w:t>
            </w:r>
          </w:p>
        </w:tc>
        <w:tc>
          <w:tcPr>
            <w:tcW w:w="974" w:type="dxa"/>
            <w:tcBorders>
              <w:top w:val="single" w:sz="4" w:space="0" w:color="auto"/>
              <w:left w:val="single" w:sz="4" w:space="0" w:color="auto"/>
              <w:bottom w:val="single" w:sz="4" w:space="0" w:color="auto"/>
              <w:right w:val="single" w:sz="4" w:space="0" w:color="auto"/>
            </w:tcBorders>
          </w:tcPr>
          <w:p w:rsidR="007A59F1" w:rsidRPr="00DF70FB" w:rsidRDefault="007A59F1" w:rsidP="007C35C1">
            <w:pPr>
              <w:ind w:hanging="108"/>
            </w:pPr>
            <w:r>
              <w:t xml:space="preserve">  </w:t>
            </w:r>
            <w:r w:rsidRPr="00DF70FB">
              <w:t>93%</w:t>
            </w:r>
          </w:p>
        </w:tc>
      </w:tr>
      <w:tr w:rsidR="007A59F1" w:rsidRPr="00DF70FB" w:rsidTr="007C35C1">
        <w:tc>
          <w:tcPr>
            <w:tcW w:w="1843" w:type="dxa"/>
            <w:tcBorders>
              <w:top w:val="single" w:sz="4" w:space="0" w:color="auto"/>
              <w:left w:val="single" w:sz="4" w:space="0" w:color="auto"/>
              <w:bottom w:val="single" w:sz="4" w:space="0" w:color="auto"/>
              <w:right w:val="single" w:sz="4" w:space="0" w:color="auto"/>
            </w:tcBorders>
            <w:hideMark/>
          </w:tcPr>
          <w:p w:rsidR="007A59F1" w:rsidRPr="00DF70FB" w:rsidRDefault="007A59F1" w:rsidP="007C35C1">
            <w:r w:rsidRPr="00DF70FB">
              <w:t xml:space="preserve">2002 </w:t>
            </w:r>
          </w:p>
        </w:tc>
        <w:tc>
          <w:tcPr>
            <w:tcW w:w="1985" w:type="dxa"/>
            <w:tcBorders>
              <w:top w:val="single" w:sz="4" w:space="0" w:color="auto"/>
              <w:left w:val="single" w:sz="4" w:space="0" w:color="auto"/>
              <w:bottom w:val="single" w:sz="4" w:space="0" w:color="auto"/>
              <w:right w:val="single" w:sz="4" w:space="0" w:color="auto"/>
            </w:tcBorders>
          </w:tcPr>
          <w:p w:rsidR="007A59F1" w:rsidRPr="00DF70FB" w:rsidRDefault="007A59F1" w:rsidP="007C35C1">
            <w:pPr>
              <w:ind w:firstLine="34"/>
            </w:pPr>
            <w:r w:rsidRPr="00DF70FB">
              <w:t>32%</w:t>
            </w:r>
          </w:p>
        </w:tc>
        <w:tc>
          <w:tcPr>
            <w:tcW w:w="2268" w:type="dxa"/>
            <w:tcBorders>
              <w:top w:val="single" w:sz="4" w:space="0" w:color="auto"/>
              <w:left w:val="single" w:sz="4" w:space="0" w:color="auto"/>
              <w:bottom w:val="single" w:sz="4" w:space="0" w:color="auto"/>
              <w:right w:val="single" w:sz="4" w:space="0" w:color="auto"/>
            </w:tcBorders>
            <w:hideMark/>
          </w:tcPr>
          <w:p w:rsidR="007A59F1" w:rsidRPr="00DF70FB" w:rsidRDefault="007A59F1" w:rsidP="007C35C1">
            <w:r w:rsidRPr="00DF70FB">
              <w:t>54%</w:t>
            </w:r>
          </w:p>
        </w:tc>
        <w:tc>
          <w:tcPr>
            <w:tcW w:w="974" w:type="dxa"/>
            <w:tcBorders>
              <w:top w:val="single" w:sz="4" w:space="0" w:color="auto"/>
              <w:left w:val="single" w:sz="4" w:space="0" w:color="auto"/>
              <w:bottom w:val="single" w:sz="4" w:space="0" w:color="auto"/>
              <w:right w:val="single" w:sz="4" w:space="0" w:color="auto"/>
            </w:tcBorders>
          </w:tcPr>
          <w:p w:rsidR="007A59F1" w:rsidRPr="00DF70FB" w:rsidRDefault="007A59F1" w:rsidP="007C35C1">
            <w:pPr>
              <w:ind w:hanging="108"/>
            </w:pPr>
            <w:r>
              <w:t xml:space="preserve">  </w:t>
            </w:r>
            <w:r w:rsidRPr="00DF70FB">
              <w:t>86%</w:t>
            </w:r>
          </w:p>
        </w:tc>
      </w:tr>
      <w:tr w:rsidR="007A59F1" w:rsidRPr="00DF70FB" w:rsidTr="007C35C1">
        <w:tc>
          <w:tcPr>
            <w:tcW w:w="1843" w:type="dxa"/>
            <w:tcBorders>
              <w:top w:val="single" w:sz="4" w:space="0" w:color="auto"/>
              <w:left w:val="single" w:sz="4" w:space="0" w:color="auto"/>
              <w:bottom w:val="single" w:sz="4" w:space="0" w:color="auto"/>
              <w:right w:val="single" w:sz="4" w:space="0" w:color="auto"/>
            </w:tcBorders>
            <w:hideMark/>
          </w:tcPr>
          <w:p w:rsidR="007A59F1" w:rsidRPr="00DF70FB" w:rsidRDefault="007A59F1" w:rsidP="007C35C1">
            <w:r w:rsidRPr="00DF70FB">
              <w:t xml:space="preserve">2003 </w:t>
            </w:r>
          </w:p>
        </w:tc>
        <w:tc>
          <w:tcPr>
            <w:tcW w:w="1985" w:type="dxa"/>
            <w:tcBorders>
              <w:top w:val="single" w:sz="4" w:space="0" w:color="auto"/>
              <w:left w:val="single" w:sz="4" w:space="0" w:color="auto"/>
              <w:bottom w:val="single" w:sz="4" w:space="0" w:color="auto"/>
              <w:right w:val="single" w:sz="4" w:space="0" w:color="auto"/>
            </w:tcBorders>
          </w:tcPr>
          <w:p w:rsidR="007A59F1" w:rsidRPr="00DF70FB" w:rsidRDefault="007A59F1" w:rsidP="007C35C1">
            <w:r w:rsidRPr="00DF70FB">
              <w:t>15%</w:t>
            </w:r>
          </w:p>
        </w:tc>
        <w:tc>
          <w:tcPr>
            <w:tcW w:w="2268" w:type="dxa"/>
            <w:tcBorders>
              <w:top w:val="single" w:sz="4" w:space="0" w:color="auto"/>
              <w:left w:val="single" w:sz="4" w:space="0" w:color="auto"/>
              <w:bottom w:val="single" w:sz="4" w:space="0" w:color="auto"/>
              <w:right w:val="single" w:sz="4" w:space="0" w:color="auto"/>
            </w:tcBorders>
            <w:hideMark/>
          </w:tcPr>
          <w:p w:rsidR="007A59F1" w:rsidRPr="00DF70FB" w:rsidRDefault="007A59F1" w:rsidP="007C35C1">
            <w:r w:rsidRPr="00DF70FB">
              <w:t>73%</w:t>
            </w:r>
          </w:p>
        </w:tc>
        <w:tc>
          <w:tcPr>
            <w:tcW w:w="974" w:type="dxa"/>
            <w:tcBorders>
              <w:top w:val="single" w:sz="4" w:space="0" w:color="auto"/>
              <w:left w:val="single" w:sz="4" w:space="0" w:color="auto"/>
              <w:bottom w:val="single" w:sz="4" w:space="0" w:color="auto"/>
              <w:right w:val="single" w:sz="4" w:space="0" w:color="auto"/>
            </w:tcBorders>
          </w:tcPr>
          <w:p w:rsidR="007A59F1" w:rsidRPr="00DF70FB" w:rsidRDefault="007A59F1" w:rsidP="007C35C1">
            <w:pPr>
              <w:ind w:hanging="108"/>
            </w:pPr>
            <w:r>
              <w:t xml:space="preserve">  </w:t>
            </w:r>
            <w:r w:rsidRPr="00DF70FB">
              <w:t>88%</w:t>
            </w:r>
          </w:p>
        </w:tc>
      </w:tr>
      <w:tr w:rsidR="007A59F1" w:rsidRPr="00DF70FB" w:rsidTr="007C35C1">
        <w:tc>
          <w:tcPr>
            <w:tcW w:w="1843" w:type="dxa"/>
            <w:tcBorders>
              <w:top w:val="single" w:sz="4" w:space="0" w:color="auto"/>
              <w:left w:val="single" w:sz="4" w:space="0" w:color="auto"/>
              <w:bottom w:val="single" w:sz="4" w:space="0" w:color="auto"/>
              <w:right w:val="single" w:sz="4" w:space="0" w:color="auto"/>
            </w:tcBorders>
            <w:hideMark/>
          </w:tcPr>
          <w:p w:rsidR="007A59F1" w:rsidRPr="00DF70FB" w:rsidRDefault="007A59F1" w:rsidP="007C35C1">
            <w:r w:rsidRPr="00DF70FB">
              <w:t xml:space="preserve">2004 </w:t>
            </w:r>
          </w:p>
        </w:tc>
        <w:tc>
          <w:tcPr>
            <w:tcW w:w="1985" w:type="dxa"/>
            <w:tcBorders>
              <w:top w:val="single" w:sz="4" w:space="0" w:color="auto"/>
              <w:left w:val="single" w:sz="4" w:space="0" w:color="auto"/>
              <w:bottom w:val="single" w:sz="4" w:space="0" w:color="auto"/>
              <w:right w:val="single" w:sz="4" w:space="0" w:color="auto"/>
            </w:tcBorders>
          </w:tcPr>
          <w:p w:rsidR="007A59F1" w:rsidRPr="00DF70FB" w:rsidRDefault="007A59F1" w:rsidP="007C35C1">
            <w:r w:rsidRPr="00DF70FB">
              <w:t>16%</w:t>
            </w:r>
          </w:p>
        </w:tc>
        <w:tc>
          <w:tcPr>
            <w:tcW w:w="2268" w:type="dxa"/>
            <w:tcBorders>
              <w:top w:val="single" w:sz="4" w:space="0" w:color="auto"/>
              <w:left w:val="single" w:sz="4" w:space="0" w:color="auto"/>
              <w:bottom w:val="single" w:sz="4" w:space="0" w:color="auto"/>
              <w:right w:val="single" w:sz="4" w:space="0" w:color="auto"/>
            </w:tcBorders>
            <w:hideMark/>
          </w:tcPr>
          <w:p w:rsidR="007A59F1" w:rsidRPr="00DF70FB" w:rsidRDefault="007A59F1" w:rsidP="007C35C1">
            <w:r w:rsidRPr="00DF70FB">
              <w:t>70%</w:t>
            </w:r>
          </w:p>
        </w:tc>
        <w:tc>
          <w:tcPr>
            <w:tcW w:w="974" w:type="dxa"/>
            <w:tcBorders>
              <w:top w:val="single" w:sz="4" w:space="0" w:color="auto"/>
              <w:left w:val="single" w:sz="4" w:space="0" w:color="auto"/>
              <w:bottom w:val="single" w:sz="4" w:space="0" w:color="auto"/>
              <w:right w:val="single" w:sz="4" w:space="0" w:color="auto"/>
            </w:tcBorders>
          </w:tcPr>
          <w:p w:rsidR="007A59F1" w:rsidRPr="00DF70FB" w:rsidRDefault="007A59F1" w:rsidP="007C35C1">
            <w:pPr>
              <w:ind w:hanging="108"/>
            </w:pPr>
            <w:r>
              <w:t xml:space="preserve">  </w:t>
            </w:r>
            <w:r w:rsidRPr="00DF70FB">
              <w:t>86%</w:t>
            </w:r>
          </w:p>
        </w:tc>
      </w:tr>
      <w:tr w:rsidR="007A59F1" w:rsidRPr="00DF70FB" w:rsidTr="007C35C1">
        <w:tc>
          <w:tcPr>
            <w:tcW w:w="1843" w:type="dxa"/>
            <w:tcBorders>
              <w:top w:val="single" w:sz="4" w:space="0" w:color="auto"/>
              <w:left w:val="single" w:sz="4" w:space="0" w:color="auto"/>
              <w:bottom w:val="single" w:sz="4" w:space="0" w:color="auto"/>
              <w:right w:val="single" w:sz="4" w:space="0" w:color="auto"/>
            </w:tcBorders>
            <w:hideMark/>
          </w:tcPr>
          <w:p w:rsidR="007A59F1" w:rsidRPr="00DF70FB" w:rsidRDefault="007A59F1" w:rsidP="007C35C1">
            <w:r w:rsidRPr="00DF70FB">
              <w:t xml:space="preserve">2005 </w:t>
            </w:r>
          </w:p>
        </w:tc>
        <w:tc>
          <w:tcPr>
            <w:tcW w:w="1985" w:type="dxa"/>
            <w:tcBorders>
              <w:top w:val="single" w:sz="4" w:space="0" w:color="auto"/>
              <w:left w:val="single" w:sz="4" w:space="0" w:color="auto"/>
              <w:bottom w:val="single" w:sz="4" w:space="0" w:color="auto"/>
              <w:right w:val="single" w:sz="4" w:space="0" w:color="auto"/>
            </w:tcBorders>
          </w:tcPr>
          <w:p w:rsidR="007A59F1" w:rsidRPr="00DF70FB" w:rsidRDefault="007A59F1" w:rsidP="007C35C1">
            <w:r w:rsidRPr="00DF70FB">
              <w:t>38%</w:t>
            </w:r>
          </w:p>
        </w:tc>
        <w:tc>
          <w:tcPr>
            <w:tcW w:w="2268" w:type="dxa"/>
            <w:tcBorders>
              <w:top w:val="single" w:sz="4" w:space="0" w:color="auto"/>
              <w:left w:val="single" w:sz="4" w:space="0" w:color="auto"/>
              <w:bottom w:val="single" w:sz="4" w:space="0" w:color="auto"/>
              <w:right w:val="single" w:sz="4" w:space="0" w:color="auto"/>
            </w:tcBorders>
            <w:hideMark/>
          </w:tcPr>
          <w:p w:rsidR="007A59F1" w:rsidRPr="00DF70FB" w:rsidRDefault="007A59F1" w:rsidP="007C35C1">
            <w:r w:rsidRPr="00DF70FB">
              <w:t>55%</w:t>
            </w:r>
          </w:p>
        </w:tc>
        <w:tc>
          <w:tcPr>
            <w:tcW w:w="974" w:type="dxa"/>
            <w:tcBorders>
              <w:top w:val="single" w:sz="4" w:space="0" w:color="auto"/>
              <w:left w:val="single" w:sz="4" w:space="0" w:color="auto"/>
              <w:bottom w:val="single" w:sz="4" w:space="0" w:color="auto"/>
              <w:right w:val="single" w:sz="4" w:space="0" w:color="auto"/>
            </w:tcBorders>
          </w:tcPr>
          <w:p w:rsidR="007A59F1" w:rsidRPr="00DF70FB" w:rsidRDefault="007A59F1" w:rsidP="007C35C1">
            <w:pPr>
              <w:ind w:hanging="108"/>
            </w:pPr>
            <w:r>
              <w:t xml:space="preserve">  </w:t>
            </w:r>
            <w:r w:rsidRPr="00DF70FB">
              <w:t>93%</w:t>
            </w:r>
          </w:p>
        </w:tc>
      </w:tr>
      <w:tr w:rsidR="007A59F1" w:rsidRPr="00DF70FB" w:rsidTr="007C35C1">
        <w:tc>
          <w:tcPr>
            <w:tcW w:w="1843" w:type="dxa"/>
            <w:tcBorders>
              <w:top w:val="single" w:sz="4" w:space="0" w:color="auto"/>
              <w:left w:val="single" w:sz="4" w:space="0" w:color="auto"/>
              <w:bottom w:val="single" w:sz="4" w:space="0" w:color="auto"/>
              <w:right w:val="single" w:sz="4" w:space="0" w:color="auto"/>
            </w:tcBorders>
            <w:hideMark/>
          </w:tcPr>
          <w:p w:rsidR="007A59F1" w:rsidRPr="00DF70FB" w:rsidRDefault="007A59F1" w:rsidP="007C35C1">
            <w:r w:rsidRPr="00DF70FB">
              <w:t xml:space="preserve">2008 </w:t>
            </w:r>
          </w:p>
        </w:tc>
        <w:tc>
          <w:tcPr>
            <w:tcW w:w="1985" w:type="dxa"/>
            <w:tcBorders>
              <w:top w:val="single" w:sz="4" w:space="0" w:color="auto"/>
              <w:left w:val="single" w:sz="4" w:space="0" w:color="auto"/>
              <w:bottom w:val="single" w:sz="4" w:space="0" w:color="auto"/>
              <w:right w:val="single" w:sz="4" w:space="0" w:color="auto"/>
            </w:tcBorders>
          </w:tcPr>
          <w:p w:rsidR="007A59F1" w:rsidRPr="00DF70FB" w:rsidRDefault="007A59F1" w:rsidP="007C35C1">
            <w:pPr>
              <w:ind w:firstLine="34"/>
            </w:pPr>
            <w:r w:rsidRPr="00DF70FB">
              <w:t>27%</w:t>
            </w:r>
          </w:p>
        </w:tc>
        <w:tc>
          <w:tcPr>
            <w:tcW w:w="2268" w:type="dxa"/>
            <w:tcBorders>
              <w:top w:val="single" w:sz="4" w:space="0" w:color="auto"/>
              <w:left w:val="single" w:sz="4" w:space="0" w:color="auto"/>
              <w:bottom w:val="single" w:sz="4" w:space="0" w:color="auto"/>
              <w:right w:val="single" w:sz="4" w:space="0" w:color="auto"/>
            </w:tcBorders>
            <w:hideMark/>
          </w:tcPr>
          <w:p w:rsidR="007A59F1" w:rsidRPr="00DF70FB" w:rsidRDefault="007A59F1" w:rsidP="007C35C1">
            <w:r w:rsidRPr="00DF70FB">
              <w:t>66%</w:t>
            </w:r>
          </w:p>
        </w:tc>
        <w:tc>
          <w:tcPr>
            <w:tcW w:w="974" w:type="dxa"/>
            <w:tcBorders>
              <w:top w:val="single" w:sz="4" w:space="0" w:color="auto"/>
              <w:left w:val="single" w:sz="4" w:space="0" w:color="auto"/>
              <w:bottom w:val="single" w:sz="4" w:space="0" w:color="auto"/>
              <w:right w:val="single" w:sz="4" w:space="0" w:color="auto"/>
            </w:tcBorders>
          </w:tcPr>
          <w:p w:rsidR="007A59F1" w:rsidRPr="00DF70FB" w:rsidRDefault="007A59F1" w:rsidP="007C35C1">
            <w:pPr>
              <w:ind w:hanging="108"/>
            </w:pPr>
            <w:r>
              <w:t xml:space="preserve">  </w:t>
            </w:r>
            <w:r w:rsidRPr="00DF70FB">
              <w:t>93%</w:t>
            </w:r>
          </w:p>
        </w:tc>
      </w:tr>
      <w:tr w:rsidR="007A59F1" w:rsidRPr="00DF70FB" w:rsidTr="007C35C1">
        <w:tc>
          <w:tcPr>
            <w:tcW w:w="1843" w:type="dxa"/>
            <w:tcBorders>
              <w:top w:val="single" w:sz="4" w:space="0" w:color="auto"/>
              <w:left w:val="single" w:sz="4" w:space="0" w:color="auto"/>
              <w:bottom w:val="single" w:sz="4" w:space="0" w:color="auto"/>
              <w:right w:val="single" w:sz="4" w:space="0" w:color="auto"/>
            </w:tcBorders>
            <w:hideMark/>
          </w:tcPr>
          <w:p w:rsidR="007A59F1" w:rsidRPr="00DF70FB" w:rsidRDefault="007A59F1" w:rsidP="007C35C1">
            <w:r w:rsidRPr="00DF70FB">
              <w:t xml:space="preserve">2010 </w:t>
            </w:r>
          </w:p>
        </w:tc>
        <w:tc>
          <w:tcPr>
            <w:tcW w:w="1985" w:type="dxa"/>
            <w:tcBorders>
              <w:top w:val="single" w:sz="4" w:space="0" w:color="auto"/>
              <w:left w:val="single" w:sz="4" w:space="0" w:color="auto"/>
              <w:bottom w:val="single" w:sz="4" w:space="0" w:color="auto"/>
              <w:right w:val="single" w:sz="4" w:space="0" w:color="auto"/>
            </w:tcBorders>
          </w:tcPr>
          <w:p w:rsidR="007A59F1" w:rsidRPr="00DF70FB" w:rsidRDefault="007A59F1" w:rsidP="007C35C1">
            <w:r w:rsidRPr="00DF70FB">
              <w:t>3%</w:t>
            </w:r>
          </w:p>
        </w:tc>
        <w:tc>
          <w:tcPr>
            <w:tcW w:w="2268" w:type="dxa"/>
            <w:tcBorders>
              <w:top w:val="single" w:sz="4" w:space="0" w:color="auto"/>
              <w:left w:val="single" w:sz="4" w:space="0" w:color="auto"/>
              <w:bottom w:val="single" w:sz="4" w:space="0" w:color="auto"/>
              <w:right w:val="single" w:sz="4" w:space="0" w:color="auto"/>
            </w:tcBorders>
            <w:hideMark/>
          </w:tcPr>
          <w:p w:rsidR="007A59F1" w:rsidRPr="00DF70FB" w:rsidRDefault="007A59F1" w:rsidP="007C35C1">
            <w:r w:rsidRPr="00DF70FB">
              <w:t>92%</w:t>
            </w:r>
          </w:p>
        </w:tc>
        <w:tc>
          <w:tcPr>
            <w:tcW w:w="974" w:type="dxa"/>
            <w:tcBorders>
              <w:top w:val="single" w:sz="4" w:space="0" w:color="auto"/>
              <w:left w:val="single" w:sz="4" w:space="0" w:color="auto"/>
              <w:bottom w:val="single" w:sz="4" w:space="0" w:color="auto"/>
              <w:right w:val="single" w:sz="4" w:space="0" w:color="auto"/>
            </w:tcBorders>
          </w:tcPr>
          <w:p w:rsidR="007A59F1" w:rsidRPr="00DF70FB" w:rsidRDefault="007A59F1" w:rsidP="007C35C1">
            <w:pPr>
              <w:ind w:hanging="108"/>
            </w:pPr>
            <w:r>
              <w:t xml:space="preserve">  </w:t>
            </w:r>
            <w:r w:rsidRPr="00DF70FB">
              <w:t>95%</w:t>
            </w:r>
          </w:p>
        </w:tc>
      </w:tr>
    </w:tbl>
    <w:p w:rsidR="007A59F1" w:rsidRDefault="007A59F1" w:rsidP="007A59F1">
      <w:pPr>
        <w:pStyle w:val="ParaNoNdepar-AltN"/>
        <w:numPr>
          <w:ilvl w:val="0"/>
          <w:numId w:val="0"/>
        </w:numPr>
        <w:ind w:firstLine="1134"/>
        <w:rPr>
          <w:rFonts w:cs="Times New Roman"/>
        </w:rPr>
      </w:pPr>
      <w:r>
        <w:rPr>
          <w:rFonts w:cs="Times New Roman"/>
        </w:rPr>
        <w:t>(C.A. reasons, at Appendix A)</w:t>
      </w:r>
    </w:p>
    <w:p w:rsidR="007A59F1" w:rsidRPr="00DF70FB" w:rsidRDefault="007A59F1" w:rsidP="007A59F1">
      <w:pPr>
        <w:pStyle w:val="ParaNoNdepar-AltN"/>
        <w:rPr>
          <w:rFonts w:cs="Times New Roman"/>
        </w:rPr>
      </w:pPr>
      <w:r w:rsidRPr="00DF70FB">
        <w:rPr>
          <w:rFonts w:cs="Times New Roman"/>
        </w:rPr>
        <w:t>Moreover, these activities mobilized the vast majority of Glenhuron’s assets. Investments in short-term debt securities ranged from $653 million to $977 million and investments in swaps from $200 million to $1.3 billion.</w:t>
      </w:r>
    </w:p>
    <w:p w:rsidR="007A59F1" w:rsidRPr="00DF70FB" w:rsidRDefault="007A59F1" w:rsidP="007A59F1">
      <w:pPr>
        <w:pStyle w:val="ParaNoNdepar-AltN"/>
        <w:rPr>
          <w:rFonts w:cs="Times New Roman"/>
        </w:rPr>
      </w:pPr>
      <w:r w:rsidRPr="00DF70FB">
        <w:rPr>
          <w:rFonts w:cs="Times New Roman"/>
        </w:rPr>
        <w:t xml:space="preserve">Glenhuron also made loans to individual </w:t>
      </w:r>
      <w:r>
        <w:rPr>
          <w:rFonts w:cs="Times New Roman"/>
        </w:rPr>
        <w:t xml:space="preserve">truck </w:t>
      </w:r>
      <w:r w:rsidRPr="00DF70FB">
        <w:rPr>
          <w:rFonts w:cs="Times New Roman"/>
        </w:rPr>
        <w:t xml:space="preserve">drivers. The Federal Court of Appeal found that </w:t>
      </w:r>
      <w:r>
        <w:rPr>
          <w:rFonts w:cs="Times New Roman"/>
        </w:rPr>
        <w:t>this part of its business was</w:t>
      </w:r>
      <w:r w:rsidRPr="00DF70FB">
        <w:rPr>
          <w:rFonts w:cs="Times New Roman"/>
        </w:rPr>
        <w:t xml:space="preserve"> substantially conducted</w:t>
      </w:r>
      <w:r>
        <w:rPr>
          <w:rFonts w:cs="Times New Roman"/>
        </w:rPr>
        <w:t xml:space="preserve"> with both arm’s length and non</w:t>
      </w:r>
      <w:r>
        <w:rPr>
          <w:rFonts w:cs="Times New Roman"/>
        </w:rPr>
        <w:noBreakHyphen/>
      </w:r>
      <w:r w:rsidRPr="00DF70FB">
        <w:rPr>
          <w:rFonts w:cs="Times New Roman"/>
        </w:rPr>
        <w:t xml:space="preserve">arm’s length parties (paras. 75-76). The loans </w:t>
      </w:r>
      <w:r>
        <w:rPr>
          <w:rFonts w:cs="Times New Roman"/>
        </w:rPr>
        <w:t>were</w:t>
      </w:r>
      <w:r w:rsidRPr="00DF70FB">
        <w:rPr>
          <w:rFonts w:cs="Times New Roman"/>
        </w:rPr>
        <w:t xml:space="preserve"> more</w:t>
      </w:r>
      <w:r>
        <w:rPr>
          <w:rFonts w:cs="Times New Roman"/>
        </w:rPr>
        <w:t xml:space="preserve"> of</w:t>
      </w:r>
      <w:r w:rsidRPr="00DF70FB">
        <w:rPr>
          <w:rFonts w:cs="Times New Roman"/>
        </w:rPr>
        <w:t xml:space="preserve"> a </w:t>
      </w:r>
      <w:r w:rsidRPr="00DF70FB">
        <w:rPr>
          <w:rFonts w:cs="Times New Roman"/>
        </w:rPr>
        <w:lastRenderedPageBreak/>
        <w:t xml:space="preserve">side business than Glenhuron’s primary business. In 2001, Glenhuron acquired approximately 1,875 loans for $86 million. These loans had been made to individual drivers to finance the </w:t>
      </w:r>
      <w:r>
        <w:rPr>
          <w:rFonts w:cs="Times New Roman"/>
        </w:rPr>
        <w:t>purchase</w:t>
      </w:r>
      <w:r w:rsidRPr="00DF70FB">
        <w:rPr>
          <w:rFonts w:cs="Times New Roman"/>
        </w:rPr>
        <w:t xml:space="preserve"> of rights to distribute </w:t>
      </w:r>
      <w:r>
        <w:rPr>
          <w:rFonts w:cs="Times New Roman"/>
        </w:rPr>
        <w:t>food produced by a related U.S. </w:t>
      </w:r>
      <w:r w:rsidRPr="00DF70FB">
        <w:rPr>
          <w:rFonts w:cs="Times New Roman"/>
        </w:rPr>
        <w:t xml:space="preserve">corporation, Best Foods Baking Co. Glenhuron </w:t>
      </w:r>
      <w:r>
        <w:rPr>
          <w:rFonts w:cs="Times New Roman"/>
        </w:rPr>
        <w:t xml:space="preserve">subsequently </w:t>
      </w:r>
      <w:r w:rsidRPr="00DF70FB">
        <w:rPr>
          <w:rFonts w:cs="Times New Roman"/>
        </w:rPr>
        <w:t xml:space="preserve">made 700 to 800 new loans per year </w:t>
      </w:r>
      <w:r>
        <w:rPr>
          <w:rFonts w:cs="Times New Roman"/>
        </w:rPr>
        <w:t>with</w:t>
      </w:r>
      <w:r w:rsidRPr="00DF70FB">
        <w:rPr>
          <w:rFonts w:cs="Times New Roman"/>
        </w:rPr>
        <w:t xml:space="preserve"> an average value ranging between $40,000 and $50,000. Another related corporation was guaranteeing about a third of the value of the loans and collecting payments on Glenhuron</w:t>
      </w:r>
      <w:r>
        <w:rPr>
          <w:rFonts w:cs="Times New Roman"/>
        </w:rPr>
        <w:t>’s behalf</w:t>
      </w:r>
      <w:r w:rsidRPr="00DF70FB">
        <w:rPr>
          <w:rFonts w:cs="Times New Roman"/>
        </w:rPr>
        <w:t>. The expected return of 8.5</w:t>
      </w:r>
      <w:r>
        <w:rPr>
          <w:rFonts w:cs="Times New Roman"/>
        </w:rPr>
        <w:t> percent</w:t>
      </w:r>
      <w:r w:rsidRPr="00DF70FB">
        <w:rPr>
          <w:rFonts w:cs="Times New Roman"/>
        </w:rPr>
        <w:t xml:space="preserve"> on these loans was greater than what Glenhuron was making on its other activities</w:t>
      </w:r>
      <w:r>
        <w:rPr>
          <w:rFonts w:cs="Times New Roman"/>
        </w:rPr>
        <w:t>. But</w:t>
      </w:r>
      <w:r w:rsidRPr="00DF70FB">
        <w:rPr>
          <w:rFonts w:cs="Times New Roman"/>
        </w:rPr>
        <w:t xml:space="preserve"> given the small value of these loans, the return did not exceed $8 million per year, whereas Glenhuron’s yearly income ranged from $44.6 million to $88.6 million. In 2005, Glenhuron sold its </w:t>
      </w:r>
      <w:r>
        <w:rPr>
          <w:rFonts w:cs="Times New Roman"/>
        </w:rPr>
        <w:t xml:space="preserve">loan </w:t>
      </w:r>
      <w:r w:rsidRPr="00DF70FB">
        <w:rPr>
          <w:rFonts w:cs="Times New Roman"/>
        </w:rPr>
        <w:t xml:space="preserve">portfolio to a related </w:t>
      </w:r>
      <w:r>
        <w:rPr>
          <w:rFonts w:cs="Times New Roman"/>
        </w:rPr>
        <w:t xml:space="preserve">Irish </w:t>
      </w:r>
      <w:r w:rsidRPr="00DF70FB">
        <w:rPr>
          <w:rFonts w:cs="Times New Roman"/>
        </w:rPr>
        <w:t>company for $106 million</w:t>
      </w:r>
      <w:r>
        <w:rPr>
          <w:rFonts w:cs="Times New Roman"/>
        </w:rPr>
        <w:t>,</w:t>
      </w:r>
      <w:r w:rsidRPr="00DF70FB">
        <w:rPr>
          <w:rFonts w:cs="Times New Roman"/>
        </w:rPr>
        <w:t xml:space="preserve"> but </w:t>
      </w:r>
      <w:r>
        <w:rPr>
          <w:rFonts w:cs="Times New Roman"/>
        </w:rPr>
        <w:t xml:space="preserve">it </w:t>
      </w:r>
      <w:r w:rsidRPr="00DF70FB">
        <w:rPr>
          <w:rFonts w:cs="Times New Roman"/>
        </w:rPr>
        <w:t>continued to manage the portfolio on behalf of that related company until 2009. Throughout th</w:t>
      </w:r>
      <w:r>
        <w:rPr>
          <w:rFonts w:cs="Times New Roman"/>
        </w:rPr>
        <w:t>at</w:t>
      </w:r>
      <w:r w:rsidRPr="00DF70FB">
        <w:rPr>
          <w:rFonts w:cs="Times New Roman"/>
        </w:rPr>
        <w:t xml:space="preserve"> time, only two employees were managing the portfolio; they were laid off when management was terminated in 2009.</w:t>
      </w:r>
    </w:p>
    <w:p w:rsidR="007A59F1" w:rsidRPr="00DF70FB" w:rsidRDefault="007A59F1" w:rsidP="007A59F1">
      <w:pPr>
        <w:pStyle w:val="ParaNoNdepar-AltN"/>
        <w:rPr>
          <w:rFonts w:cs="Times New Roman"/>
        </w:rPr>
      </w:pPr>
      <w:r>
        <w:rPr>
          <w:rFonts w:cs="Times New Roman"/>
        </w:rPr>
        <w:t>On the non</w:t>
      </w:r>
      <w:r>
        <w:rPr>
          <w:rFonts w:cs="Times New Roman"/>
        </w:rPr>
        <w:noBreakHyphen/>
      </w:r>
      <w:r w:rsidRPr="00DF70FB">
        <w:rPr>
          <w:rFonts w:cs="Times New Roman"/>
        </w:rPr>
        <w:t xml:space="preserve">arm’s length side, the Tax Court judge found that Glenhuron was involved in activities pertaining to equity forwards to purchase Loblaw shares and intercorporate loans. Combined, these activities are, however, insignificant in comparison to those involving short-term debt securities and swaps. I fail to see how they could reverse the tide and reach the </w:t>
      </w:r>
      <w:r>
        <w:rPr>
          <w:rFonts w:cs="Times New Roman"/>
        </w:rPr>
        <w:t>“</w:t>
      </w:r>
      <w:r w:rsidRPr="004D1A8D">
        <w:rPr>
          <w:rFonts w:cs="Times New Roman"/>
        </w:rPr>
        <w:t>principally</w:t>
      </w:r>
      <w:r>
        <w:rPr>
          <w:rFonts w:cs="Times New Roman"/>
        </w:rPr>
        <w:t>”</w:t>
      </w:r>
      <w:r w:rsidRPr="00DF70FB">
        <w:rPr>
          <w:rFonts w:cs="Times New Roman"/>
          <w:i/>
        </w:rPr>
        <w:t xml:space="preserve"> </w:t>
      </w:r>
      <w:r w:rsidRPr="00DF70FB">
        <w:rPr>
          <w:rFonts w:cs="Times New Roman"/>
        </w:rPr>
        <w:t>threshold.</w:t>
      </w:r>
    </w:p>
    <w:p w:rsidR="007A59F1" w:rsidRPr="00DF70FB" w:rsidRDefault="007A59F1" w:rsidP="007A59F1">
      <w:pPr>
        <w:pStyle w:val="ParaNoNdepar-AltN"/>
        <w:rPr>
          <w:rFonts w:cs="Times New Roman"/>
        </w:rPr>
      </w:pPr>
      <w:r w:rsidRPr="00DF70FB">
        <w:rPr>
          <w:rFonts w:cs="Times New Roman"/>
        </w:rPr>
        <w:t>Glenhuron’s intercorporate loans were, like the loans to</w:t>
      </w:r>
      <w:r>
        <w:rPr>
          <w:rFonts w:cs="Times New Roman"/>
        </w:rPr>
        <w:t xml:space="preserve"> the truck</w:t>
      </w:r>
      <w:r w:rsidRPr="00DF70FB">
        <w:rPr>
          <w:rFonts w:cs="Times New Roman"/>
        </w:rPr>
        <w:t xml:space="preserve"> drivers, a side business. In 2002, Glenhuron loaned $325 million for 38 days to a related </w:t>
      </w:r>
      <w:r w:rsidRPr="00DF70FB">
        <w:rPr>
          <w:rFonts w:cs="Times New Roman"/>
        </w:rPr>
        <w:lastRenderedPageBreak/>
        <w:t>corporation. It earned $3.2 million from that loan, but this represented only 5.7</w:t>
      </w:r>
      <w:r>
        <w:rPr>
          <w:rFonts w:cs="Times New Roman"/>
        </w:rPr>
        <w:t> percent</w:t>
      </w:r>
      <w:r w:rsidRPr="00DF70FB">
        <w:rPr>
          <w:rFonts w:cs="Times New Roman"/>
        </w:rPr>
        <w:t xml:space="preserve"> of its income that year. In 2008, Glenhuron loaned</w:t>
      </w:r>
      <w:r>
        <w:rPr>
          <w:rFonts w:cs="Times New Roman"/>
        </w:rPr>
        <w:t xml:space="preserve"> another related corporation</w:t>
      </w:r>
      <w:r w:rsidRPr="00DF70FB">
        <w:rPr>
          <w:rFonts w:cs="Times New Roman"/>
        </w:rPr>
        <w:t xml:space="preserve"> $300 </w:t>
      </w:r>
      <w:r>
        <w:rPr>
          <w:rFonts w:cs="Times New Roman"/>
        </w:rPr>
        <w:t>million</w:t>
      </w:r>
      <w:r w:rsidRPr="00DF70FB">
        <w:rPr>
          <w:rFonts w:cs="Times New Roman"/>
        </w:rPr>
        <w:t>, which was repaid the same year, earning $1.2 million. This is also insignificant compared to Glenhuron’s income of $72.7 million in 2008</w:t>
      </w:r>
      <w:r>
        <w:rPr>
          <w:rFonts w:cs="Times New Roman"/>
        </w:rPr>
        <w:t>.</w:t>
      </w:r>
    </w:p>
    <w:p w:rsidR="007A59F1" w:rsidRPr="00DF70FB" w:rsidRDefault="007A59F1" w:rsidP="007A59F1">
      <w:pPr>
        <w:pStyle w:val="ParaNoNdepar-AltN"/>
        <w:rPr>
          <w:rFonts w:cs="Times New Roman"/>
        </w:rPr>
      </w:pPr>
      <w:r w:rsidRPr="00DF70FB">
        <w:rPr>
          <w:rFonts w:cs="Times New Roman"/>
        </w:rPr>
        <w:t>Glenhuron entered into a series of equity forward contract</w:t>
      </w:r>
      <w:r>
        <w:rPr>
          <w:rFonts w:cs="Times New Roman"/>
        </w:rPr>
        <w:t>s</w:t>
      </w:r>
      <w:r w:rsidRPr="00DF70FB">
        <w:rPr>
          <w:rFonts w:cs="Times New Roman"/>
        </w:rPr>
        <w:t xml:space="preserve"> with a bank at arm’s length, CitiBank. These contracts were, however, pegged to the shares of Loblaw Companies Ltd., a related corporation, so the Tax Court judge found these dealings not to be at arm’s length. Assuming without deciding that these equity forwards are correctly classified as business conducted with persons not at arm’s length, they were not significant enough to tilt the balance. Between 2003 and 2009, Glenhuron lost $108 million in total on those contracts because the stock price of the shares peaked in 2005 and then declined. The breakd</w:t>
      </w:r>
      <w:r>
        <w:rPr>
          <w:rFonts w:cs="Times New Roman"/>
        </w:rPr>
        <w:t>own of the losses year by year wa</w:t>
      </w:r>
      <w:r w:rsidRPr="00DF70FB">
        <w:rPr>
          <w:rFonts w:cs="Times New Roman"/>
        </w:rPr>
        <w:t>s not discussed by the courts below. During the 7 years</w:t>
      </w:r>
      <w:r>
        <w:rPr>
          <w:rFonts w:cs="Times New Roman"/>
        </w:rPr>
        <w:t xml:space="preserve"> in issue</w:t>
      </w:r>
      <w:r w:rsidRPr="00DF70FB">
        <w:rPr>
          <w:rFonts w:cs="Times New Roman"/>
        </w:rPr>
        <w:t xml:space="preserve"> </w:t>
      </w:r>
      <w:r>
        <w:rPr>
          <w:rFonts w:cs="Times New Roman"/>
        </w:rPr>
        <w:t>(2001, 2002, 2003, 2004, 2005, 2008, and 2010)</w:t>
      </w:r>
      <w:r w:rsidRPr="00DF70FB">
        <w:rPr>
          <w:rFonts w:cs="Times New Roman"/>
        </w:rPr>
        <w:t>, Glenhuron earned $</w:t>
      </w:r>
      <w:r>
        <w:rPr>
          <w:rFonts w:cs="Times New Roman"/>
        </w:rPr>
        <w:t>415.1</w:t>
      </w:r>
      <w:r w:rsidRPr="00DF70FB">
        <w:rPr>
          <w:rFonts w:cs="Times New Roman"/>
        </w:rPr>
        <w:t> million</w:t>
      </w:r>
      <w:r>
        <w:rPr>
          <w:rFonts w:cs="Times New Roman"/>
        </w:rPr>
        <w:t xml:space="preserve"> of gross operating income</w:t>
      </w:r>
      <w:r w:rsidRPr="00DF70FB">
        <w:rPr>
          <w:rFonts w:cs="Times New Roman"/>
        </w:rPr>
        <w:t xml:space="preserve">. </w:t>
      </w:r>
      <w:r>
        <w:rPr>
          <w:rFonts w:cs="Times New Roman"/>
        </w:rPr>
        <w:t>Overall</w:t>
      </w:r>
      <w:r w:rsidRPr="00DF70FB">
        <w:rPr>
          <w:rFonts w:cs="Times New Roman"/>
        </w:rPr>
        <w:t>, this loss of $108 million represent</w:t>
      </w:r>
      <w:r>
        <w:rPr>
          <w:rFonts w:cs="Times New Roman"/>
        </w:rPr>
        <w:t>s 20 percent</w:t>
      </w:r>
      <w:r w:rsidRPr="00DF70FB">
        <w:rPr>
          <w:rFonts w:cs="Times New Roman"/>
        </w:rPr>
        <w:t xml:space="preserve"> of its combined losses and gains. Contrary to the intercorporate loans and the loans to the drivers, this sum is not insignificant. Nonetheless, even </w:t>
      </w:r>
      <w:r>
        <w:rPr>
          <w:rFonts w:cs="Times New Roman"/>
        </w:rPr>
        <w:t>when combined,</w:t>
      </w:r>
      <w:r w:rsidRPr="00DF70FB">
        <w:rPr>
          <w:rFonts w:cs="Times New Roman"/>
        </w:rPr>
        <w:t xml:space="preserve"> the equity forwards, the intercorporate loans, and the loans to the drivers do not reach the </w:t>
      </w:r>
      <w:r>
        <w:rPr>
          <w:rFonts w:cs="Times New Roman"/>
        </w:rPr>
        <w:t>“</w:t>
      </w:r>
      <w:r w:rsidRPr="001B3CAA">
        <w:rPr>
          <w:rFonts w:cs="Times New Roman"/>
        </w:rPr>
        <w:t>principally</w:t>
      </w:r>
      <w:r>
        <w:rPr>
          <w:rFonts w:cs="Times New Roman"/>
        </w:rPr>
        <w:t>”</w:t>
      </w:r>
      <w:r w:rsidRPr="001B3CAA">
        <w:rPr>
          <w:rFonts w:cs="Times New Roman"/>
        </w:rPr>
        <w:t xml:space="preserve"> </w:t>
      </w:r>
      <w:r w:rsidRPr="00DF70FB">
        <w:rPr>
          <w:rFonts w:cs="Times New Roman"/>
        </w:rPr>
        <w:t>threshold.</w:t>
      </w:r>
    </w:p>
    <w:p w:rsidR="007A59F1" w:rsidRPr="00DF70FB" w:rsidRDefault="007A59F1" w:rsidP="007A59F1">
      <w:pPr>
        <w:pStyle w:val="ParaNoNdepar-AltN"/>
        <w:rPr>
          <w:rFonts w:cs="Times New Roman"/>
        </w:rPr>
      </w:pPr>
      <w:r w:rsidRPr="00DF70FB">
        <w:rPr>
          <w:rFonts w:cs="Times New Roman"/>
        </w:rPr>
        <w:t>In brief, the arm’s length requirement was met during the years in issue.</w:t>
      </w:r>
    </w:p>
    <w:p w:rsidR="007A59F1" w:rsidRPr="00DF70FB" w:rsidRDefault="007A59F1" w:rsidP="007A59F1">
      <w:pPr>
        <w:pStyle w:val="Title1LevelTitre1Niveau-AltL"/>
        <w:rPr>
          <w:rFonts w:cs="Times New Roman"/>
        </w:rPr>
      </w:pPr>
      <w:bookmarkStart w:id="25" w:name="_Toc78546499"/>
      <w:bookmarkStart w:id="26" w:name="_Toc86943879"/>
      <w:r w:rsidRPr="00DF70FB">
        <w:rPr>
          <w:rFonts w:cs="Times New Roman"/>
        </w:rPr>
        <w:t>Conclusion</w:t>
      </w:r>
      <w:bookmarkEnd w:id="25"/>
      <w:bookmarkEnd w:id="26"/>
    </w:p>
    <w:p w:rsidR="007A59F1" w:rsidRPr="00DF70FB" w:rsidRDefault="007A59F1" w:rsidP="007A59F1">
      <w:pPr>
        <w:pStyle w:val="ParaNoNdepar-AltN"/>
        <w:rPr>
          <w:rFonts w:cs="Times New Roman"/>
        </w:rPr>
      </w:pPr>
      <w:r w:rsidRPr="00DF70FB">
        <w:rPr>
          <w:rFonts w:cs="Times New Roman"/>
        </w:rPr>
        <w:lastRenderedPageBreak/>
        <w:t>For the foregoing reasons, I would dismiss the appeal with costs.</w:t>
      </w:r>
    </w:p>
    <w:p w:rsidR="007A59F1" w:rsidRPr="00DF70FB" w:rsidRDefault="007A59F1" w:rsidP="007A59F1">
      <w:pPr>
        <w:rPr>
          <w:rFonts w:eastAsiaTheme="minorEastAsia"/>
          <w:szCs w:val="22"/>
          <w:lang w:eastAsia="en-US"/>
        </w:rPr>
      </w:pPr>
      <w:r w:rsidRPr="00DF70FB">
        <w:br w:type="page"/>
      </w:r>
    </w:p>
    <w:p w:rsidR="007A59F1" w:rsidRPr="00DF70FB" w:rsidRDefault="007A59F1" w:rsidP="007A59F1">
      <w:pPr>
        <w:pStyle w:val="Title1LevelTitre1Niveau-AltL"/>
        <w:numPr>
          <w:ilvl w:val="0"/>
          <w:numId w:val="0"/>
        </w:numPr>
        <w:ind w:left="576" w:hanging="576"/>
        <w:rPr>
          <w:rFonts w:cs="Times New Roman"/>
        </w:rPr>
      </w:pPr>
      <w:bookmarkStart w:id="27" w:name="_Toc78546500"/>
      <w:bookmarkStart w:id="28" w:name="_Toc86943880"/>
      <w:r w:rsidRPr="00DF70FB">
        <w:rPr>
          <w:rFonts w:cs="Times New Roman"/>
        </w:rPr>
        <w:lastRenderedPageBreak/>
        <w:t>Appendix</w:t>
      </w:r>
      <w:bookmarkEnd w:id="27"/>
      <w:bookmarkEnd w:id="28"/>
    </w:p>
    <w:p w:rsidR="007A59F1" w:rsidRPr="00DF70FB" w:rsidRDefault="007A59F1" w:rsidP="007A59F1">
      <w:pPr>
        <w:pStyle w:val="ParaNoNdepar-AltN"/>
        <w:numPr>
          <w:ilvl w:val="0"/>
          <w:numId w:val="0"/>
        </w:numPr>
        <w:rPr>
          <w:rFonts w:cs="Times New Roman"/>
        </w:rPr>
      </w:pPr>
      <w:r w:rsidRPr="00DF70FB">
        <w:rPr>
          <w:rFonts w:cs="Times New Roman"/>
          <w:i/>
        </w:rPr>
        <w:t>Income Tax Act</w:t>
      </w:r>
      <w:r w:rsidRPr="00DF70FB">
        <w:rPr>
          <w:rFonts w:cs="Times New Roman"/>
        </w:rPr>
        <w:t>, R.S.C. 1985, c. 1 (5th supp.)</w:t>
      </w:r>
      <w:r w:rsidRPr="00531406">
        <w:rPr>
          <w:rStyle w:val="Hyperlink"/>
          <w:vertAlign w:val="superscript"/>
        </w:rPr>
        <w:footnoteReference w:id="3"/>
      </w:r>
    </w:p>
    <w:p w:rsidR="007A59F1" w:rsidRPr="00DF70FB" w:rsidRDefault="007A59F1" w:rsidP="007A59F1">
      <w:pPr>
        <w:pStyle w:val="Citation-AltC"/>
        <w:ind w:left="0" w:firstLine="720"/>
      </w:pPr>
      <w:r w:rsidRPr="00DF70FB">
        <w:rPr>
          <w:b/>
        </w:rPr>
        <w:t xml:space="preserve">95 (1) </w:t>
      </w:r>
      <w:r>
        <w:t>In this subdivision,</w:t>
      </w:r>
    </w:p>
    <w:p w:rsidR="007A59F1" w:rsidRPr="00DF70FB" w:rsidRDefault="007A59F1" w:rsidP="007A59F1">
      <w:pPr>
        <w:pStyle w:val="Citation-AltC"/>
      </w:pPr>
    </w:p>
    <w:p w:rsidR="007A59F1" w:rsidRPr="00DF70FB" w:rsidRDefault="007A59F1" w:rsidP="007A59F1">
      <w:pPr>
        <w:pStyle w:val="Citation-AltC"/>
        <w:ind w:left="2880" w:firstLine="720"/>
      </w:pPr>
      <w:r w:rsidRPr="00DF70FB">
        <w:t>. . .</w:t>
      </w:r>
    </w:p>
    <w:p w:rsidR="007A59F1" w:rsidRPr="00DF70FB" w:rsidRDefault="007A59F1" w:rsidP="007A59F1">
      <w:pPr>
        <w:pStyle w:val="Citation-AltC"/>
        <w:rPr>
          <w:b/>
        </w:rPr>
      </w:pPr>
    </w:p>
    <w:p w:rsidR="007A59F1" w:rsidRPr="00DF70FB" w:rsidRDefault="007A59F1" w:rsidP="007A59F1">
      <w:pPr>
        <w:pStyle w:val="Citation-AltC"/>
        <w:ind w:left="720"/>
      </w:pPr>
      <w:r w:rsidRPr="00DF70FB">
        <w:rPr>
          <w:b/>
          <w:i/>
        </w:rPr>
        <w:t>investment business</w:t>
      </w:r>
      <w:r w:rsidRPr="00DF70FB">
        <w:t xml:space="preserve"> of a foreign affiliate of a taxpayer means a business carried on by the affiliate in a taxation year (other than </w:t>
      </w:r>
      <w:r>
        <w:t>a business deemed by subsection </w:t>
      </w:r>
      <w:r w:rsidRPr="00DF70FB">
        <w:t>95(2) to be a business other than an active business carried on by the affiliate) the principal purpose of which is to derive income from property (including interest, dividends, rents, royalties or any similar returns or substitutes therefor), income from the insurance or reinsurance of risks, income from the factoring of trade accounts receivable, or profits from the disposition of investment property, unless it is established by the taxpayer or the affiliate that, throughout the period in the year during which the business was carried on by the affiliate,</w:t>
      </w:r>
    </w:p>
    <w:p w:rsidR="007A59F1" w:rsidRPr="00DF70FB" w:rsidRDefault="007A59F1" w:rsidP="007A59F1">
      <w:pPr>
        <w:pStyle w:val="Citation-AltC"/>
        <w:ind w:left="1440"/>
        <w:rPr>
          <w:b/>
        </w:rPr>
      </w:pPr>
    </w:p>
    <w:p w:rsidR="007A59F1" w:rsidRPr="00DF70FB" w:rsidRDefault="007A59F1" w:rsidP="007A59F1">
      <w:pPr>
        <w:pStyle w:val="Citation-AltC"/>
      </w:pPr>
      <w:r w:rsidRPr="00DF70FB">
        <w:rPr>
          <w:b/>
        </w:rPr>
        <w:t>(a)</w:t>
      </w:r>
      <w:r w:rsidRPr="00DF70FB">
        <w:t xml:space="preserve"> the business (</w:t>
      </w:r>
      <w:r w:rsidRPr="00DF70FB">
        <w:rPr>
          <w:u w:val="single"/>
        </w:rPr>
        <w:t>other than any business conducted principally with persons with whom the</w:t>
      </w:r>
      <w:r>
        <w:rPr>
          <w:u w:val="single"/>
        </w:rPr>
        <w:t xml:space="preserve"> affiliate does not deal at arm’</w:t>
      </w:r>
      <w:r w:rsidRPr="00DF70FB">
        <w:rPr>
          <w:u w:val="single"/>
        </w:rPr>
        <w:t>s length</w:t>
      </w:r>
      <w:r>
        <w:t>) is</w:t>
      </w:r>
    </w:p>
    <w:p w:rsidR="007A59F1" w:rsidRPr="00DF70FB" w:rsidRDefault="007A59F1" w:rsidP="007A59F1">
      <w:pPr>
        <w:pStyle w:val="Citation-AltC"/>
        <w:ind w:left="2160"/>
      </w:pPr>
    </w:p>
    <w:p w:rsidR="007A59F1" w:rsidRPr="00DF70FB" w:rsidRDefault="007A59F1" w:rsidP="007A59F1">
      <w:pPr>
        <w:pStyle w:val="Citation-AltC"/>
        <w:ind w:left="1440"/>
      </w:pPr>
      <w:r w:rsidRPr="00DF70FB">
        <w:rPr>
          <w:b/>
        </w:rPr>
        <w:t>(i)</w:t>
      </w:r>
      <w:r w:rsidRPr="00DF70FB">
        <w:t xml:space="preserve"> a business carried on by it as a </w:t>
      </w:r>
      <w:r w:rsidRPr="00DF70FB">
        <w:rPr>
          <w:u w:val="single"/>
        </w:rPr>
        <w:t>foreign bank</w:t>
      </w:r>
      <w:r w:rsidRPr="00DF70FB">
        <w:t xml:space="preserve">, a trust company, a credit union, an insurance corporation or a trader or dealer in securities or commodities, the activities of which are </w:t>
      </w:r>
      <w:r w:rsidRPr="00DF70FB">
        <w:rPr>
          <w:u w:val="single"/>
        </w:rPr>
        <w:t>regulated under the laws</w:t>
      </w:r>
    </w:p>
    <w:p w:rsidR="007A59F1" w:rsidRPr="00DF70FB" w:rsidRDefault="007A59F1" w:rsidP="007A59F1">
      <w:pPr>
        <w:pStyle w:val="Citation-AltC"/>
        <w:ind w:left="2880"/>
      </w:pPr>
    </w:p>
    <w:p w:rsidR="007A59F1" w:rsidRPr="00DF70FB" w:rsidRDefault="007A59F1" w:rsidP="007A59F1">
      <w:pPr>
        <w:pStyle w:val="Citation-AltC"/>
        <w:ind w:left="2160"/>
      </w:pPr>
      <w:r w:rsidRPr="00DF70FB">
        <w:rPr>
          <w:b/>
        </w:rPr>
        <w:t>(A)</w:t>
      </w:r>
      <w:r w:rsidRPr="00DF70FB">
        <w:t xml:space="preserve"> of each country in which the business is carried on through a permanent establishment </w:t>
      </w:r>
      <w:r>
        <w:t xml:space="preserve">(as defined by regulation) </w:t>
      </w:r>
      <w:r w:rsidRPr="00DF70FB">
        <w:t>in that country and of the country under whose laws the affiliate is governed and any of exists, was (unless the affiliate was continued in any jurisdiction) formed or or</w:t>
      </w:r>
      <w:r>
        <w:t>ganized, or was last continued,</w:t>
      </w:r>
    </w:p>
    <w:p w:rsidR="007A59F1" w:rsidRPr="00DF70FB" w:rsidRDefault="007A59F1" w:rsidP="007A59F1">
      <w:pPr>
        <w:pStyle w:val="Citation-AltC"/>
        <w:ind w:left="3600"/>
      </w:pPr>
    </w:p>
    <w:p w:rsidR="007A59F1" w:rsidRPr="00DF70FB" w:rsidRDefault="007A59F1" w:rsidP="007A59F1">
      <w:pPr>
        <w:pStyle w:val="Citation-AltC"/>
        <w:ind w:left="2160"/>
      </w:pPr>
      <w:r w:rsidRPr="00DF70FB">
        <w:rPr>
          <w:b/>
        </w:rPr>
        <w:t>(B)</w:t>
      </w:r>
      <w:r w:rsidRPr="00DF70FB">
        <w:t xml:space="preserve"> of the country in which the business is principa</w:t>
      </w:r>
      <w:r>
        <w:t>lly carried on, or</w:t>
      </w:r>
    </w:p>
    <w:p w:rsidR="007A59F1" w:rsidRPr="00DF70FB" w:rsidRDefault="007A59F1" w:rsidP="007A59F1">
      <w:pPr>
        <w:pStyle w:val="Citation-AltC"/>
        <w:ind w:left="3600"/>
      </w:pPr>
    </w:p>
    <w:p w:rsidR="007A59F1" w:rsidRPr="00DF70FB" w:rsidRDefault="007A59F1" w:rsidP="007A59F1">
      <w:pPr>
        <w:pStyle w:val="Citation-AltC"/>
        <w:ind w:left="2160"/>
      </w:pPr>
      <w:r w:rsidRPr="00DF70FB">
        <w:rPr>
          <w:b/>
        </w:rPr>
        <w:t>(C)</w:t>
      </w:r>
      <w:r w:rsidRPr="00DF70FB">
        <w:t xml:space="preserve"> if th</w:t>
      </w:r>
      <w:r>
        <w:t>e affiliate is related to a non</w:t>
      </w:r>
      <w:r>
        <w:noBreakHyphen/>
      </w:r>
      <w:r w:rsidRPr="00DF70FB">
        <w:t>resident corporation, of the co</w:t>
      </w:r>
      <w:r>
        <w:t>untry under whose laws that non</w:t>
      </w:r>
      <w:r>
        <w:noBreakHyphen/>
      </w:r>
      <w:r w:rsidRPr="00DF70FB">
        <w:t>resident corporation is governed and any of exists, was (unless that non</w:t>
      </w:r>
      <w:r>
        <w:noBreakHyphen/>
      </w:r>
      <w:r w:rsidRPr="00DF70FB">
        <w:t xml:space="preserve">resident corporation was continued in any jurisdiction) formed or organized, or was last continued, if those regulating laws are </w:t>
      </w:r>
      <w:r w:rsidRPr="00DF70FB">
        <w:lastRenderedPageBreak/>
        <w:t>recognized under the laws of the country in which the business is principally carried on and all of those countries are members of the European Union, or</w:t>
      </w:r>
    </w:p>
    <w:p w:rsidR="007A59F1" w:rsidRPr="00DF70FB" w:rsidRDefault="007A59F1" w:rsidP="007A59F1">
      <w:pPr>
        <w:pStyle w:val="Citation-AltC"/>
      </w:pPr>
    </w:p>
    <w:p w:rsidR="007A59F1" w:rsidRPr="00DF70FB" w:rsidRDefault="007A59F1" w:rsidP="007A59F1">
      <w:pPr>
        <w:pStyle w:val="Citation-AltC"/>
        <w:ind w:left="2160"/>
        <w:jc w:val="center"/>
      </w:pPr>
      <w:r w:rsidRPr="00DF70FB">
        <w:t>. . .</w:t>
      </w:r>
    </w:p>
    <w:p w:rsidR="007A59F1" w:rsidRPr="00DF70FB" w:rsidRDefault="007A59F1" w:rsidP="007A59F1">
      <w:pPr>
        <w:pStyle w:val="Citation-AltC"/>
        <w:ind w:left="2160" w:firstLine="2"/>
        <w:rPr>
          <w:b/>
        </w:rPr>
      </w:pPr>
    </w:p>
    <w:p w:rsidR="007A59F1" w:rsidRPr="00DF70FB" w:rsidRDefault="007A59F1" w:rsidP="007A59F1">
      <w:pPr>
        <w:pStyle w:val="Citation-AltC"/>
        <w:ind w:left="446" w:firstLine="720"/>
      </w:pPr>
      <w:r w:rsidRPr="00DF70FB">
        <w:rPr>
          <w:b/>
        </w:rPr>
        <w:t xml:space="preserve">(b) </w:t>
      </w:r>
      <w:r>
        <w:t>either</w:t>
      </w:r>
    </w:p>
    <w:p w:rsidR="007A59F1" w:rsidRPr="00DF70FB" w:rsidRDefault="007A59F1" w:rsidP="007A59F1">
      <w:pPr>
        <w:pStyle w:val="Citation-AltC"/>
        <w:ind w:left="2160" w:firstLine="2"/>
      </w:pPr>
    </w:p>
    <w:p w:rsidR="007A59F1" w:rsidRPr="00DF70FB" w:rsidRDefault="007A59F1" w:rsidP="007A59F1">
      <w:pPr>
        <w:pStyle w:val="Citation-AltC"/>
        <w:ind w:left="1440"/>
      </w:pPr>
      <w:r w:rsidRPr="00DF70FB">
        <w:rPr>
          <w:b/>
        </w:rPr>
        <w:t>(i)</w:t>
      </w:r>
      <w:r w:rsidRPr="00DF70FB">
        <w:t xml:space="preserve"> the affiliate (otherwise than as a member of a partnership) carries on the business (the affiliate being, in respect of those times, in that period of the year, that it so carries on the business, referred to in paragraph (c) as the </w:t>
      </w:r>
      <w:r w:rsidRPr="004C34A5">
        <w:rPr>
          <w:b/>
          <w:i/>
        </w:rPr>
        <w:t>operator</w:t>
      </w:r>
      <w:r w:rsidRPr="00DF70FB">
        <w:t xml:space="preserve">), or </w:t>
      </w:r>
    </w:p>
    <w:p w:rsidR="007A59F1" w:rsidRPr="00DF70FB" w:rsidRDefault="007A59F1" w:rsidP="007A59F1">
      <w:pPr>
        <w:pStyle w:val="Citation-AltC"/>
        <w:ind w:left="2880"/>
      </w:pPr>
    </w:p>
    <w:p w:rsidR="007A59F1" w:rsidRPr="00DF70FB" w:rsidRDefault="007A59F1" w:rsidP="007A59F1">
      <w:pPr>
        <w:pStyle w:val="Citation-AltC"/>
        <w:ind w:left="1440"/>
        <w:rPr>
          <w:b/>
        </w:rPr>
      </w:pPr>
      <w:r w:rsidRPr="00DF70FB">
        <w:rPr>
          <w:b/>
        </w:rPr>
        <w:t>(ii)</w:t>
      </w:r>
      <w:r w:rsidRPr="00DF70FB">
        <w:t xml:space="preserve"> the affiliate carries on the business as a qualifying member of a partnership (the partnership being, in respect of those times, in that period of the year, that the affiliate so carries on the business, referred to in paragraph</w:t>
      </w:r>
      <w:r>
        <w:t> </w:t>
      </w:r>
      <w:r w:rsidRPr="00DF70FB">
        <w:t xml:space="preserve">(c) as the </w:t>
      </w:r>
      <w:r w:rsidRPr="004C34A5">
        <w:rPr>
          <w:b/>
          <w:i/>
        </w:rPr>
        <w:t>operator</w:t>
      </w:r>
      <w:r w:rsidRPr="00DF70FB">
        <w:t>), and</w:t>
      </w:r>
    </w:p>
    <w:p w:rsidR="007A59F1" w:rsidRPr="00DF70FB" w:rsidRDefault="007A59F1" w:rsidP="007A59F1">
      <w:pPr>
        <w:pStyle w:val="Citation-AltC"/>
        <w:rPr>
          <w:b/>
        </w:rPr>
      </w:pPr>
    </w:p>
    <w:p w:rsidR="007A59F1" w:rsidRPr="00DF70FB" w:rsidRDefault="007A59F1" w:rsidP="007A59F1">
      <w:pPr>
        <w:pStyle w:val="Citation-AltC"/>
      </w:pPr>
      <w:r w:rsidRPr="00DF70FB">
        <w:rPr>
          <w:b/>
        </w:rPr>
        <w:t xml:space="preserve">(c) </w:t>
      </w:r>
      <w:r w:rsidRPr="00DF70FB">
        <w:t xml:space="preserve">the operator </w:t>
      </w:r>
      <w:r w:rsidRPr="00DF70FB">
        <w:rPr>
          <w:u w:val="single"/>
        </w:rPr>
        <w:t>employs</w:t>
      </w:r>
    </w:p>
    <w:p w:rsidR="007A59F1" w:rsidRPr="00DF70FB" w:rsidRDefault="007A59F1" w:rsidP="007A59F1">
      <w:pPr>
        <w:pStyle w:val="Citation-AltC"/>
        <w:ind w:left="2160" w:firstLine="2"/>
      </w:pPr>
    </w:p>
    <w:p w:rsidR="007A59F1" w:rsidRPr="00DF70FB" w:rsidRDefault="007A59F1" w:rsidP="007A59F1">
      <w:pPr>
        <w:pStyle w:val="Citation-AltC"/>
        <w:ind w:left="1440"/>
      </w:pPr>
      <w:r w:rsidRPr="00DF70FB">
        <w:rPr>
          <w:b/>
        </w:rPr>
        <w:t>(i)</w:t>
      </w:r>
      <w:r w:rsidRPr="00DF70FB">
        <w:t xml:space="preserve"> </w:t>
      </w:r>
      <w:r w:rsidRPr="00DF70FB">
        <w:rPr>
          <w:u w:val="single"/>
        </w:rPr>
        <w:t>more than five employees full time in the active conduct of the business</w:t>
      </w:r>
      <w:r w:rsidRPr="00DF70FB">
        <w:t xml:space="preserve">, or </w:t>
      </w:r>
    </w:p>
    <w:p w:rsidR="007A59F1" w:rsidRPr="00DF70FB" w:rsidRDefault="007A59F1" w:rsidP="007A59F1">
      <w:pPr>
        <w:pStyle w:val="Citation-AltC"/>
        <w:ind w:left="2880"/>
      </w:pPr>
    </w:p>
    <w:p w:rsidR="007A59F1" w:rsidRPr="00DF70FB" w:rsidRDefault="007A59F1" w:rsidP="007A59F1">
      <w:pPr>
        <w:pStyle w:val="Citation-AltC"/>
        <w:ind w:left="1440"/>
      </w:pPr>
      <w:r w:rsidRPr="00DF70FB">
        <w:rPr>
          <w:b/>
        </w:rPr>
        <w:t>(ii)</w:t>
      </w:r>
      <w:r w:rsidRPr="00DF70FB">
        <w:t xml:space="preserve"> </w:t>
      </w:r>
      <w:r w:rsidRPr="00DF70FB">
        <w:rPr>
          <w:u w:val="single"/>
        </w:rPr>
        <w:t>the equivalent of more than five employees full time in the active conduct of the business</w:t>
      </w:r>
      <w:r>
        <w:t xml:space="preserve"> taking into consideration only</w:t>
      </w:r>
    </w:p>
    <w:p w:rsidR="007A59F1" w:rsidRPr="00DF70FB" w:rsidRDefault="007A59F1" w:rsidP="007A59F1">
      <w:pPr>
        <w:pStyle w:val="Citation-AltC"/>
        <w:ind w:left="2880"/>
      </w:pPr>
    </w:p>
    <w:p w:rsidR="007A59F1" w:rsidRPr="00DF70FB" w:rsidRDefault="007A59F1" w:rsidP="007A59F1">
      <w:pPr>
        <w:pStyle w:val="Citation-AltC"/>
        <w:ind w:left="1886" w:firstLine="274"/>
      </w:pPr>
      <w:r w:rsidRPr="00DF70FB">
        <w:rPr>
          <w:b/>
        </w:rPr>
        <w:t>(A)</w:t>
      </w:r>
      <w:r w:rsidRPr="00DF70FB">
        <w:t xml:space="preserve"> the services provided by</w:t>
      </w:r>
      <w:r>
        <w:t xml:space="preserve"> employees of the operator, and</w:t>
      </w:r>
    </w:p>
    <w:p w:rsidR="007A59F1" w:rsidRPr="00DF70FB" w:rsidRDefault="007A59F1" w:rsidP="007A59F1">
      <w:pPr>
        <w:pStyle w:val="Citation-AltC"/>
        <w:ind w:left="3600"/>
      </w:pPr>
    </w:p>
    <w:p w:rsidR="007A59F1" w:rsidRPr="00DF70FB" w:rsidRDefault="007A59F1" w:rsidP="007A59F1">
      <w:pPr>
        <w:pStyle w:val="Citation-AltC"/>
        <w:ind w:left="2160"/>
      </w:pPr>
      <w:r w:rsidRPr="00DF70FB">
        <w:rPr>
          <w:b/>
        </w:rPr>
        <w:t>(B)</w:t>
      </w:r>
      <w:r w:rsidRPr="00DF70FB">
        <w:t xml:space="preserve"> the services provided outside Canada to the operator by any one or more persons each of whom is, during the time at which the services were performe</w:t>
      </w:r>
      <w:r>
        <w:t>d by the person, an employee of</w:t>
      </w:r>
    </w:p>
    <w:p w:rsidR="007A59F1" w:rsidRPr="00DF70FB" w:rsidRDefault="007A59F1" w:rsidP="007A59F1">
      <w:pPr>
        <w:pStyle w:val="Citation-AltC"/>
        <w:ind w:left="3600"/>
      </w:pPr>
    </w:p>
    <w:p w:rsidR="007A59F1" w:rsidRPr="00DF70FB" w:rsidRDefault="007A59F1" w:rsidP="007A59F1">
      <w:pPr>
        <w:pStyle w:val="Citation-AltC"/>
        <w:ind w:left="2880"/>
      </w:pPr>
      <w:r w:rsidRPr="00DF70FB">
        <w:rPr>
          <w:b/>
        </w:rPr>
        <w:t>(I)</w:t>
      </w:r>
      <w:r w:rsidRPr="00DF70FB">
        <w:t xml:space="preserve"> a corporation related to the affiliate (otherwise than because of a right referred to in paragraph</w:t>
      </w:r>
      <w:r>
        <w:t> </w:t>
      </w:r>
      <w:r w:rsidRPr="00DF70FB">
        <w:t>251(5)(b)),</w:t>
      </w:r>
    </w:p>
    <w:p w:rsidR="007A59F1" w:rsidRPr="00DF70FB" w:rsidRDefault="007A59F1" w:rsidP="007A59F1">
      <w:pPr>
        <w:pStyle w:val="Citation-AltC"/>
        <w:ind w:left="4320"/>
      </w:pPr>
    </w:p>
    <w:p w:rsidR="007A59F1" w:rsidRPr="00DF70FB" w:rsidRDefault="007A59F1" w:rsidP="007A59F1">
      <w:pPr>
        <w:pStyle w:val="Citation-AltC"/>
        <w:ind w:left="2606" w:firstLine="274"/>
      </w:pPr>
      <w:r w:rsidRPr="00DF70FB">
        <w:rPr>
          <w:b/>
        </w:rPr>
        <w:t>(II)</w:t>
      </w:r>
      <w:r w:rsidRPr="00DF70FB">
        <w:t xml:space="preserve"> in the case where</w:t>
      </w:r>
      <w:r>
        <w:t xml:space="preserve"> the operator is the affiliate,</w:t>
      </w:r>
    </w:p>
    <w:p w:rsidR="007A59F1" w:rsidRPr="00DF70FB" w:rsidRDefault="007A59F1" w:rsidP="007A59F1">
      <w:pPr>
        <w:pStyle w:val="Citation-AltC"/>
        <w:ind w:left="4320"/>
      </w:pPr>
    </w:p>
    <w:p w:rsidR="007A59F1" w:rsidRPr="00DF70FB" w:rsidRDefault="007A59F1" w:rsidP="007A59F1">
      <w:pPr>
        <w:pStyle w:val="Citation-AltC"/>
        <w:ind w:left="3600"/>
      </w:pPr>
      <w:r w:rsidRPr="00DF70FB">
        <w:rPr>
          <w:b/>
        </w:rPr>
        <w:t>1.</w:t>
      </w:r>
      <w:r w:rsidRPr="00DF70FB">
        <w:t xml:space="preserve"> a corporation (referred to in this subparagraph as a </w:t>
      </w:r>
      <w:r w:rsidRPr="004C34A5">
        <w:rPr>
          <w:b/>
          <w:i/>
        </w:rPr>
        <w:t>providing shareholder</w:t>
      </w:r>
      <w:r w:rsidRPr="00DF70FB">
        <w:t>) that is a qualifyin</w:t>
      </w:r>
      <w:r>
        <w:t>g shareholder of the affiliate,</w:t>
      </w:r>
    </w:p>
    <w:p w:rsidR="007A59F1" w:rsidRPr="00DF70FB" w:rsidRDefault="007A59F1" w:rsidP="007A59F1">
      <w:pPr>
        <w:pStyle w:val="Citation-AltC"/>
        <w:ind w:left="5040"/>
      </w:pPr>
    </w:p>
    <w:p w:rsidR="007A59F1" w:rsidRPr="00DF70FB" w:rsidRDefault="007A59F1" w:rsidP="007A59F1">
      <w:pPr>
        <w:pStyle w:val="Citation-AltC"/>
        <w:ind w:left="3600"/>
      </w:pPr>
      <w:r w:rsidRPr="00DF70FB">
        <w:rPr>
          <w:b/>
        </w:rPr>
        <w:t>2.</w:t>
      </w:r>
      <w:r w:rsidRPr="00DF70FB">
        <w:t xml:space="preserve"> a designated corporation </w:t>
      </w:r>
      <w:r>
        <w:t>in respect of the affiliate, or</w:t>
      </w:r>
    </w:p>
    <w:p w:rsidR="007A59F1" w:rsidRPr="00DF70FB" w:rsidRDefault="007A59F1" w:rsidP="007A59F1">
      <w:pPr>
        <w:pStyle w:val="Citation-AltC"/>
        <w:ind w:left="5040"/>
      </w:pPr>
    </w:p>
    <w:p w:rsidR="007A59F1" w:rsidRPr="00DF70FB" w:rsidRDefault="007A59F1" w:rsidP="007A59F1">
      <w:pPr>
        <w:pStyle w:val="Citation-AltC"/>
        <w:ind w:left="3600"/>
      </w:pPr>
      <w:r w:rsidRPr="00DF70FB">
        <w:rPr>
          <w:b/>
        </w:rPr>
        <w:t>3.</w:t>
      </w:r>
      <w:r w:rsidRPr="00DF70FB">
        <w:t xml:space="preserve"> a designated partnership i</w:t>
      </w:r>
      <w:r>
        <w:t>n respect of the affiliate, and</w:t>
      </w:r>
    </w:p>
    <w:p w:rsidR="007A59F1" w:rsidRPr="00DF70FB" w:rsidRDefault="007A59F1" w:rsidP="007A59F1">
      <w:pPr>
        <w:pStyle w:val="Citation-AltC"/>
        <w:ind w:left="4320"/>
      </w:pPr>
    </w:p>
    <w:p w:rsidR="007A59F1" w:rsidRPr="00DF70FB" w:rsidRDefault="007A59F1" w:rsidP="007A59F1">
      <w:pPr>
        <w:pStyle w:val="Citation-AltC"/>
        <w:ind w:left="2880"/>
      </w:pPr>
      <w:r w:rsidRPr="00DF70FB">
        <w:rPr>
          <w:b/>
        </w:rPr>
        <w:t>(III)</w:t>
      </w:r>
      <w:r w:rsidRPr="00DF70FB">
        <w:t xml:space="preserve"> in the case where the operator is the partnership described in subpara</w:t>
      </w:r>
      <w:r>
        <w:t>graph (b)(ii),</w:t>
      </w:r>
    </w:p>
    <w:p w:rsidR="007A59F1" w:rsidRPr="00DF70FB" w:rsidRDefault="007A59F1" w:rsidP="007A59F1">
      <w:pPr>
        <w:pStyle w:val="Citation-AltC"/>
        <w:ind w:left="4320"/>
      </w:pPr>
    </w:p>
    <w:p w:rsidR="007A59F1" w:rsidRPr="00DF70FB" w:rsidRDefault="007A59F1" w:rsidP="007A59F1">
      <w:pPr>
        <w:pStyle w:val="Citation-AltC"/>
        <w:ind w:left="3600"/>
      </w:pPr>
      <w:r w:rsidRPr="00DF70FB">
        <w:rPr>
          <w:b/>
        </w:rPr>
        <w:t>1.</w:t>
      </w:r>
      <w:r w:rsidRPr="00DF70FB">
        <w:t xml:space="preserve"> any person (referred to in this subparagraph as a </w:t>
      </w:r>
      <w:r w:rsidRPr="004C34A5">
        <w:rPr>
          <w:b/>
          <w:i/>
        </w:rPr>
        <w:t>providing member</w:t>
      </w:r>
      <w:r w:rsidRPr="00DF70FB">
        <w:t>) who is a qualify</w:t>
      </w:r>
      <w:r>
        <w:t>ing member of that partnership,</w:t>
      </w:r>
    </w:p>
    <w:p w:rsidR="007A59F1" w:rsidRPr="00DF70FB" w:rsidRDefault="007A59F1" w:rsidP="007A59F1">
      <w:pPr>
        <w:pStyle w:val="Citation-AltC"/>
        <w:ind w:left="5040"/>
      </w:pPr>
    </w:p>
    <w:p w:rsidR="007A59F1" w:rsidRPr="00DF70FB" w:rsidRDefault="007A59F1" w:rsidP="007A59F1">
      <w:pPr>
        <w:pStyle w:val="Citation-AltC"/>
        <w:ind w:left="3600"/>
      </w:pPr>
      <w:r w:rsidRPr="00DF70FB">
        <w:rPr>
          <w:b/>
        </w:rPr>
        <w:t>2.</w:t>
      </w:r>
      <w:r w:rsidRPr="00DF70FB">
        <w:t xml:space="preserve"> a designated corporation </w:t>
      </w:r>
      <w:r>
        <w:t>in respect of the affiliate, or</w:t>
      </w:r>
    </w:p>
    <w:p w:rsidR="007A59F1" w:rsidRPr="00DF70FB" w:rsidRDefault="007A59F1" w:rsidP="007A59F1">
      <w:pPr>
        <w:pStyle w:val="Citation-AltC"/>
        <w:ind w:left="5040"/>
      </w:pPr>
    </w:p>
    <w:p w:rsidR="007A59F1" w:rsidRPr="00DF70FB" w:rsidRDefault="007A59F1" w:rsidP="007A59F1">
      <w:pPr>
        <w:pStyle w:val="Citation-AltC"/>
        <w:ind w:left="3600"/>
      </w:pPr>
      <w:r w:rsidRPr="00DF70FB">
        <w:rPr>
          <w:b/>
        </w:rPr>
        <w:t>3.</w:t>
      </w:r>
      <w:r w:rsidRPr="00DF70FB">
        <w:t xml:space="preserve"> a designated partnersh</w:t>
      </w:r>
      <w:r>
        <w:t>ip in respect of the affiliate,</w:t>
      </w:r>
    </w:p>
    <w:p w:rsidR="007A59F1" w:rsidRPr="00DF70FB" w:rsidRDefault="007A59F1" w:rsidP="007A59F1">
      <w:pPr>
        <w:pStyle w:val="Citation-AltC"/>
      </w:pPr>
    </w:p>
    <w:p w:rsidR="007A59F1" w:rsidRPr="00DF70FB" w:rsidRDefault="007A59F1" w:rsidP="007A59F1">
      <w:pPr>
        <w:pStyle w:val="Citation-AltC"/>
        <w:ind w:left="2160"/>
      </w:pPr>
      <w:r w:rsidRPr="00DF70FB">
        <w:t>if the corpor</w:t>
      </w:r>
      <w:r>
        <w:t>ations referred to in subclause </w:t>
      </w:r>
      <w:r w:rsidRPr="00DF70FB">
        <w:t>(B)(I) and the designated corporations, designated partnerships, providing shareholders or providing members referred to in subclauses (B)(II) and (III) receive compensation from the operator for the services provided to the operator by those employees the value of which is not less than the cost to those corporations, partnerships, shareholders or members of the compensation paid or accruing to the benefit of those employees that performed the services during the time at which the services were performed by those employees;</w:t>
      </w:r>
    </w:p>
    <w:p w:rsidR="007A59F1" w:rsidRPr="00DF70FB" w:rsidRDefault="007A59F1" w:rsidP="007A59F1">
      <w:pPr>
        <w:pStyle w:val="Citation-AltC"/>
        <w:rPr>
          <w:b/>
        </w:rPr>
      </w:pPr>
    </w:p>
    <w:p w:rsidR="007A59F1" w:rsidRPr="00DF70FB" w:rsidRDefault="007A59F1" w:rsidP="007A59F1">
      <w:pPr>
        <w:pStyle w:val="Citation-AltC"/>
        <w:ind w:left="0" w:firstLine="720"/>
      </w:pPr>
      <w:r w:rsidRPr="00DF70FB">
        <w:rPr>
          <w:b/>
        </w:rPr>
        <w:t xml:space="preserve">(2) </w:t>
      </w:r>
      <w:r w:rsidRPr="00DF70FB">
        <w:t>For the purposes of this subdivision,</w:t>
      </w:r>
    </w:p>
    <w:p w:rsidR="007A59F1" w:rsidRPr="00DF70FB" w:rsidRDefault="007A59F1" w:rsidP="007A59F1">
      <w:pPr>
        <w:pStyle w:val="Citation-AltC"/>
        <w:rPr>
          <w:b/>
        </w:rPr>
      </w:pPr>
    </w:p>
    <w:p w:rsidR="007A59F1" w:rsidRPr="00DF70FB" w:rsidRDefault="007A59F1" w:rsidP="007A59F1">
      <w:pPr>
        <w:pStyle w:val="Citation-AltC"/>
        <w:jc w:val="center"/>
      </w:pPr>
      <w:r w:rsidRPr="00DF70FB">
        <w:t>. . .</w:t>
      </w:r>
    </w:p>
    <w:p w:rsidR="007A59F1" w:rsidRPr="00DF70FB" w:rsidRDefault="007A59F1" w:rsidP="007A59F1">
      <w:pPr>
        <w:pStyle w:val="Citation-AltC"/>
        <w:rPr>
          <w:b/>
        </w:rPr>
      </w:pPr>
    </w:p>
    <w:p w:rsidR="007A59F1" w:rsidRPr="00DF70FB" w:rsidRDefault="007A59F1" w:rsidP="007A59F1">
      <w:pPr>
        <w:pStyle w:val="Citation-AltC"/>
        <w:rPr>
          <w:iCs/>
        </w:rPr>
      </w:pPr>
      <w:r w:rsidRPr="00DF70FB">
        <w:rPr>
          <w:b/>
        </w:rPr>
        <w:t xml:space="preserve">(b) </w:t>
      </w:r>
      <w:r w:rsidRPr="00DF70FB">
        <w:rPr>
          <w:iCs/>
        </w:rPr>
        <w:t xml:space="preserve">the </w:t>
      </w:r>
      <w:r w:rsidRPr="00DF70FB">
        <w:rPr>
          <w:iCs/>
          <w:u w:val="single"/>
        </w:rPr>
        <w:t>provision, by a foreign affiliate of a taxpayer, of services</w:t>
      </w:r>
      <w:r w:rsidRPr="00DF70FB">
        <w:rPr>
          <w:iCs/>
        </w:rPr>
        <w:t xml:space="preserve"> or of an undertaking to provide services</w:t>
      </w:r>
    </w:p>
    <w:p w:rsidR="007A59F1" w:rsidRPr="00DF70FB" w:rsidRDefault="007A59F1" w:rsidP="007A59F1">
      <w:pPr>
        <w:pStyle w:val="Citation-AltC"/>
        <w:rPr>
          <w:b/>
        </w:rPr>
      </w:pPr>
    </w:p>
    <w:p w:rsidR="007A59F1" w:rsidRPr="00DF70FB" w:rsidRDefault="007A59F1" w:rsidP="007A59F1">
      <w:pPr>
        <w:pStyle w:val="Citation-AltC"/>
        <w:ind w:left="1440"/>
      </w:pPr>
      <w:r w:rsidRPr="00DF70FB">
        <w:rPr>
          <w:b/>
        </w:rPr>
        <w:t>(i)</w:t>
      </w:r>
      <w:r>
        <w:t> </w:t>
      </w:r>
      <w:r w:rsidRPr="00DF70FB">
        <w:t xml:space="preserve">is </w:t>
      </w:r>
      <w:r w:rsidRPr="00DF70FB">
        <w:rPr>
          <w:u w:val="single"/>
        </w:rPr>
        <w:t>deemed to be a separate business, other than an active business</w:t>
      </w:r>
      <w:r w:rsidRPr="00DF70FB">
        <w:t xml:space="preserve">, carried on by the affiliate, and any income from that business or that pertains to or is incident to that business is </w:t>
      </w:r>
      <w:r w:rsidRPr="00DF70FB">
        <w:rPr>
          <w:u w:val="single"/>
        </w:rPr>
        <w:t>deemed to be income from a business other than an active business</w:t>
      </w:r>
      <w:r w:rsidRPr="00DF70FB">
        <w:t>, to the extent that the amounts paid or payable in consideration for those services or for the undertaking to provide services</w:t>
      </w:r>
    </w:p>
    <w:p w:rsidR="007A59F1" w:rsidRPr="00DF70FB" w:rsidRDefault="007A59F1" w:rsidP="007A59F1">
      <w:pPr>
        <w:pStyle w:val="Citation-AltC"/>
        <w:ind w:left="2160"/>
      </w:pPr>
    </w:p>
    <w:p w:rsidR="007A59F1" w:rsidRPr="00DF70FB" w:rsidRDefault="007A59F1" w:rsidP="007A59F1">
      <w:pPr>
        <w:pStyle w:val="Citation-AltC"/>
        <w:ind w:left="1440"/>
        <w:jc w:val="center"/>
      </w:pPr>
      <w:r w:rsidRPr="00DF70FB">
        <w:t>. . .</w:t>
      </w:r>
    </w:p>
    <w:p w:rsidR="007A59F1" w:rsidRPr="00DF70FB" w:rsidRDefault="007A59F1" w:rsidP="007A59F1">
      <w:pPr>
        <w:pStyle w:val="Citation-AltC"/>
        <w:ind w:left="1440" w:firstLine="720"/>
        <w:jc w:val="center"/>
      </w:pPr>
    </w:p>
    <w:p w:rsidR="007A59F1" w:rsidRPr="00DF70FB" w:rsidRDefault="007A59F1" w:rsidP="007A59F1">
      <w:pPr>
        <w:pStyle w:val="Citation-AltC"/>
        <w:ind w:left="2160"/>
      </w:pPr>
      <w:r w:rsidRPr="00DF70FB">
        <w:rPr>
          <w:b/>
        </w:rPr>
        <w:t>(B)</w:t>
      </w:r>
      <w:r w:rsidRPr="00DF70FB">
        <w:t> are deductible, or can reasonably be considered to relate to an amount that is deductible, in computing the foreign accrual property income of a foreign affiliate of</w:t>
      </w:r>
    </w:p>
    <w:p w:rsidR="007A59F1" w:rsidRPr="00DF70FB" w:rsidRDefault="007A59F1" w:rsidP="007A59F1">
      <w:pPr>
        <w:pStyle w:val="Citation-AltC"/>
        <w:ind w:left="1440"/>
      </w:pPr>
    </w:p>
    <w:p w:rsidR="007A59F1" w:rsidRPr="00DF70FB" w:rsidRDefault="007A59F1" w:rsidP="007A59F1">
      <w:pPr>
        <w:pStyle w:val="Citation-AltC"/>
        <w:ind w:left="2880"/>
      </w:pPr>
      <w:r w:rsidRPr="00DF70FB">
        <w:rPr>
          <w:b/>
        </w:rPr>
        <w:lastRenderedPageBreak/>
        <w:t>(I)</w:t>
      </w:r>
      <w:r w:rsidRPr="00DF70FB">
        <w:t> any taxpayer of whom the affiliate is a foreign affiliate, or</w:t>
      </w:r>
    </w:p>
    <w:p w:rsidR="007A59F1" w:rsidRPr="00DF70FB" w:rsidRDefault="007A59F1" w:rsidP="007A59F1">
      <w:pPr>
        <w:pStyle w:val="Citation-AltC"/>
        <w:ind w:left="2160" w:firstLine="720"/>
      </w:pPr>
    </w:p>
    <w:p w:rsidR="007A59F1" w:rsidRPr="00DF70FB" w:rsidRDefault="007A59F1" w:rsidP="007A59F1">
      <w:pPr>
        <w:pStyle w:val="Citation-AltC"/>
        <w:ind w:left="2880"/>
      </w:pPr>
      <w:r w:rsidRPr="00DF70FB">
        <w:rPr>
          <w:b/>
        </w:rPr>
        <w:t>(II)</w:t>
      </w:r>
      <w:r w:rsidRPr="00DF70FB">
        <w:t> another taxpayer who does not deal at arm’s length with</w:t>
      </w:r>
    </w:p>
    <w:p w:rsidR="007A59F1" w:rsidRPr="00DF70FB" w:rsidRDefault="007A59F1" w:rsidP="007A59F1">
      <w:pPr>
        <w:pStyle w:val="Citation-AltC"/>
        <w:ind w:left="1440"/>
      </w:pPr>
    </w:p>
    <w:p w:rsidR="007A59F1" w:rsidRPr="00DF70FB" w:rsidRDefault="007A59F1" w:rsidP="007A59F1">
      <w:pPr>
        <w:pStyle w:val="Citation-AltC"/>
        <w:ind w:left="3052" w:firstLine="274"/>
      </w:pPr>
      <w:r w:rsidRPr="00DF70FB">
        <w:rPr>
          <w:b/>
        </w:rPr>
        <w:t>1.</w:t>
      </w:r>
      <w:r w:rsidRPr="00DF70FB">
        <w:t> the affiliate, or</w:t>
      </w:r>
    </w:p>
    <w:p w:rsidR="007A59F1" w:rsidRPr="00DF70FB" w:rsidRDefault="007A59F1" w:rsidP="007A59F1">
      <w:pPr>
        <w:pStyle w:val="Citation-AltC"/>
        <w:ind w:left="1440"/>
      </w:pPr>
    </w:p>
    <w:p w:rsidR="007A59F1" w:rsidRPr="00DF70FB" w:rsidRDefault="007A59F1" w:rsidP="007A59F1">
      <w:pPr>
        <w:pStyle w:val="Citation-AltC"/>
        <w:ind w:left="3328"/>
      </w:pPr>
      <w:r w:rsidRPr="00DF70FB">
        <w:rPr>
          <w:b/>
        </w:rPr>
        <w:t>2.</w:t>
      </w:r>
      <w:r w:rsidRPr="00DF70FB">
        <w:t> any taxpayer of whom the affiliate is a foreign affiliate . . .</w:t>
      </w:r>
    </w:p>
    <w:p w:rsidR="007A59F1" w:rsidRPr="00DF70FB" w:rsidRDefault="007A59F1" w:rsidP="007A59F1">
      <w:pPr>
        <w:pStyle w:val="Citation-AltC"/>
        <w:ind w:left="1440"/>
        <w:rPr>
          <w:b/>
        </w:rPr>
      </w:pPr>
    </w:p>
    <w:p w:rsidR="007A59F1" w:rsidRPr="00DF70FB" w:rsidRDefault="007A59F1" w:rsidP="007A59F1">
      <w:pPr>
        <w:pStyle w:val="Citation-AltC"/>
        <w:ind w:left="3328"/>
        <w:jc w:val="center"/>
      </w:pPr>
      <w:r w:rsidRPr="00DF70FB">
        <w:t>. . .</w:t>
      </w:r>
    </w:p>
    <w:p w:rsidR="007A59F1" w:rsidRPr="00DF70FB" w:rsidRDefault="007A59F1" w:rsidP="007A59F1">
      <w:pPr>
        <w:pStyle w:val="Citation-AltC"/>
        <w:ind w:left="1440"/>
        <w:rPr>
          <w:b/>
        </w:rPr>
      </w:pPr>
    </w:p>
    <w:p w:rsidR="007A59F1" w:rsidRPr="00DF70FB" w:rsidRDefault="007A59F1" w:rsidP="007A59F1">
      <w:pPr>
        <w:pStyle w:val="Citation-AltC"/>
      </w:pPr>
      <w:r w:rsidRPr="00DF70FB">
        <w:rPr>
          <w:b/>
        </w:rPr>
        <w:t>(l)</w:t>
      </w:r>
      <w:r w:rsidRPr="00DF70FB">
        <w:t xml:space="preserve"> in computing the </w:t>
      </w:r>
      <w:r w:rsidRPr="00DF70FB">
        <w:rPr>
          <w:u w:val="single"/>
        </w:rPr>
        <w:t>income from property</w:t>
      </w:r>
      <w:r w:rsidRPr="00DF70FB">
        <w:t xml:space="preserve"> for a taxation year of a foreign affiliate of a taxpayer there shall be </w:t>
      </w:r>
      <w:r w:rsidRPr="00DF70FB">
        <w:rPr>
          <w:u w:val="single"/>
        </w:rPr>
        <w:t>included</w:t>
      </w:r>
      <w:r w:rsidRPr="00DF70FB">
        <w:t xml:space="preserve"> the income of the affiliate for the year from a business (other than an investment business of the affiliate) </w:t>
      </w:r>
      <w:r w:rsidRPr="00DF70FB">
        <w:rPr>
          <w:u w:val="single"/>
        </w:rPr>
        <w:t>the principal purpose of which is to derive income from trading or dealing in indebtedness</w:t>
      </w:r>
      <w:r w:rsidRPr="00DF70FB">
        <w:t xml:space="preserve"> (which for the purpose of this paragraph includes the earning of inter</w:t>
      </w:r>
      <w:r>
        <w:t>est on indebtedness) other than</w:t>
      </w:r>
    </w:p>
    <w:p w:rsidR="007A59F1" w:rsidRPr="00DF70FB" w:rsidRDefault="007A59F1" w:rsidP="007A59F1">
      <w:pPr>
        <w:pStyle w:val="Citation-AltC"/>
      </w:pPr>
    </w:p>
    <w:p w:rsidR="007A59F1" w:rsidRPr="00DF70FB" w:rsidRDefault="007A59F1" w:rsidP="007A59F1">
      <w:pPr>
        <w:pStyle w:val="Citation-AltC"/>
        <w:ind w:left="1440"/>
      </w:pPr>
      <w:r w:rsidRPr="00DF70FB">
        <w:rPr>
          <w:b/>
        </w:rPr>
        <w:t>(i)</w:t>
      </w:r>
      <w:r w:rsidRPr="00DF70FB">
        <w:t xml:space="preserve"> indebtedness owing by persons with whom the affiliate deals at arm’s length who are resident in the country in which the affiliate was formed or continued and exists and is governed and in which the busines</w:t>
      </w:r>
      <w:r>
        <w:t>s is principally carried on, or</w:t>
      </w:r>
    </w:p>
    <w:p w:rsidR="007A59F1" w:rsidRPr="00DF70FB" w:rsidRDefault="007A59F1" w:rsidP="007A59F1">
      <w:pPr>
        <w:pStyle w:val="Citation-AltC"/>
        <w:ind w:left="2160"/>
      </w:pPr>
    </w:p>
    <w:p w:rsidR="007A59F1" w:rsidRPr="00DF70FB" w:rsidRDefault="007A59F1" w:rsidP="007A59F1">
      <w:pPr>
        <w:pStyle w:val="Citation-AltC"/>
        <w:ind w:left="1440"/>
      </w:pPr>
      <w:r w:rsidRPr="00DF70FB">
        <w:rPr>
          <w:b/>
        </w:rPr>
        <w:t>(ii)</w:t>
      </w:r>
      <w:r w:rsidRPr="00DF70FB">
        <w:t xml:space="preserve"> trade accounts receivable owing by persons with whom the a</w:t>
      </w:r>
      <w:r>
        <w:t>ffiliate deals at arm's length,</w:t>
      </w:r>
    </w:p>
    <w:p w:rsidR="007A59F1" w:rsidRPr="00DF70FB" w:rsidRDefault="007A59F1" w:rsidP="007A59F1">
      <w:pPr>
        <w:pStyle w:val="Citation-AltC"/>
      </w:pPr>
    </w:p>
    <w:p w:rsidR="007A59F1" w:rsidRPr="00DF70FB" w:rsidRDefault="007A59F1" w:rsidP="007A59F1">
      <w:pPr>
        <w:pStyle w:val="Citation-AltC"/>
        <w:rPr>
          <w:u w:val="single"/>
        </w:rPr>
      </w:pPr>
      <w:r w:rsidRPr="00DF70FB">
        <w:rPr>
          <w:u w:val="single"/>
        </w:rPr>
        <w:t>unless</w:t>
      </w:r>
    </w:p>
    <w:p w:rsidR="007A59F1" w:rsidRPr="00DF70FB" w:rsidRDefault="007A59F1" w:rsidP="007A59F1">
      <w:pPr>
        <w:pStyle w:val="Citation-AltC"/>
      </w:pPr>
    </w:p>
    <w:p w:rsidR="007A59F1" w:rsidRPr="00DF70FB" w:rsidRDefault="007A59F1" w:rsidP="007A59F1">
      <w:pPr>
        <w:pStyle w:val="Citation-AltC"/>
        <w:ind w:left="1440"/>
        <w:rPr>
          <w:u w:val="single"/>
        </w:rPr>
      </w:pPr>
      <w:r w:rsidRPr="00DF70FB">
        <w:rPr>
          <w:b/>
        </w:rPr>
        <w:t>(iii)</w:t>
      </w:r>
      <w:r w:rsidRPr="00DF70FB">
        <w:t xml:space="preserve"> the business is carried on by the affiliate as a </w:t>
      </w:r>
      <w:r w:rsidRPr="00DF70FB">
        <w:rPr>
          <w:u w:val="single"/>
        </w:rPr>
        <w:t>foreign bank</w:t>
      </w:r>
      <w:r w:rsidRPr="00DF70FB">
        <w:t xml:space="preserve">, a trust company, a credit union, an insurance corporation or a trader or dealer in securities or commodities, the activities of which are </w:t>
      </w:r>
      <w:r w:rsidRPr="00DF70FB">
        <w:rPr>
          <w:u w:val="single"/>
        </w:rPr>
        <w:t>regulated under the laws</w:t>
      </w:r>
    </w:p>
    <w:p w:rsidR="007A59F1" w:rsidRPr="00DF70FB" w:rsidRDefault="007A59F1" w:rsidP="007A59F1">
      <w:pPr>
        <w:pStyle w:val="Citation-AltC"/>
      </w:pPr>
    </w:p>
    <w:p w:rsidR="007A59F1" w:rsidRPr="00DF70FB" w:rsidRDefault="007A59F1" w:rsidP="007A59F1">
      <w:pPr>
        <w:pStyle w:val="Citation-AltC"/>
        <w:ind w:left="2160"/>
      </w:pPr>
      <w:r w:rsidRPr="00DF70FB">
        <w:rPr>
          <w:b/>
        </w:rPr>
        <w:t>(A)</w:t>
      </w:r>
      <w:r w:rsidRPr="00DF70FB">
        <w:t xml:space="preserve"> of each country in which the business is carried on through a permanent establishment (as defined by regulation) in that country and of the country under whose laws the affiliate is governed and any of exists, was (unless the affiliate was continued in any jurisdiction) formed or organized, or was last continued,</w:t>
      </w:r>
    </w:p>
    <w:p w:rsidR="007A59F1" w:rsidRPr="00DF70FB" w:rsidRDefault="007A59F1" w:rsidP="007A59F1">
      <w:pPr>
        <w:pStyle w:val="Citation-AltC"/>
        <w:ind w:left="2880"/>
      </w:pPr>
    </w:p>
    <w:p w:rsidR="007A59F1" w:rsidRPr="00DF70FB" w:rsidRDefault="007A59F1" w:rsidP="007A59F1">
      <w:pPr>
        <w:pStyle w:val="Citation-AltC"/>
        <w:ind w:left="2160"/>
      </w:pPr>
      <w:r w:rsidRPr="00DF70FB">
        <w:rPr>
          <w:b/>
        </w:rPr>
        <w:t>(B)</w:t>
      </w:r>
      <w:r w:rsidRPr="00DF70FB">
        <w:t xml:space="preserve"> of the countr</w:t>
      </w:r>
      <w:r w:rsidR="008257B8">
        <w:t>y</w:t>
      </w:r>
      <w:r w:rsidRPr="00DF70FB">
        <w:t xml:space="preserve"> in which the business is principally carried on, or </w:t>
      </w:r>
    </w:p>
    <w:p w:rsidR="007A59F1" w:rsidRPr="00DF70FB" w:rsidRDefault="007A59F1" w:rsidP="007A59F1">
      <w:pPr>
        <w:pStyle w:val="Citation-AltC"/>
        <w:ind w:left="2880"/>
      </w:pPr>
    </w:p>
    <w:p w:rsidR="007A59F1" w:rsidRPr="00DF70FB" w:rsidRDefault="007A59F1" w:rsidP="007A59F1">
      <w:pPr>
        <w:pStyle w:val="Citation-AltC"/>
        <w:ind w:left="2160"/>
      </w:pPr>
      <w:r w:rsidRPr="00DF70FB">
        <w:rPr>
          <w:b/>
        </w:rPr>
        <w:lastRenderedPageBreak/>
        <w:t>(C)</w:t>
      </w:r>
      <w:r w:rsidRPr="00DF70FB">
        <w:t xml:space="preserve"> if th</w:t>
      </w:r>
      <w:r>
        <w:t>e affiliate is related to a non</w:t>
      </w:r>
      <w:r>
        <w:noBreakHyphen/>
      </w:r>
      <w:r w:rsidRPr="00DF70FB">
        <w:t>resident corporation, of the co</w:t>
      </w:r>
      <w:r>
        <w:t>untry under whose laws that non</w:t>
      </w:r>
      <w:r>
        <w:noBreakHyphen/>
      </w:r>
      <w:r w:rsidRPr="00DF70FB">
        <w:t xml:space="preserve">resident corporation is governed and any </w:t>
      </w:r>
      <w:r>
        <w:t>of exists, was (unless that non</w:t>
      </w:r>
      <w:r>
        <w:noBreakHyphen/>
      </w:r>
      <w:r w:rsidRPr="00DF70FB">
        <w:t>resident corporation was continued in any jurisdiction) formed or organized, or was last continued, if those regulating laws are recognized under the laws of the country in which the business is principally carried on and all of those countries are members of the European Union, and</w:t>
      </w:r>
    </w:p>
    <w:p w:rsidR="007A59F1" w:rsidRPr="00DF70FB" w:rsidRDefault="007A59F1" w:rsidP="007A59F1">
      <w:pPr>
        <w:pStyle w:val="Citation-AltC"/>
        <w:ind w:left="2880"/>
      </w:pPr>
    </w:p>
    <w:p w:rsidR="007A59F1" w:rsidRPr="00DF70FB" w:rsidRDefault="007A59F1" w:rsidP="007A59F1">
      <w:pPr>
        <w:pStyle w:val="Citation-AltC"/>
        <w:ind w:firstLine="274"/>
      </w:pPr>
      <w:r w:rsidRPr="00DF70FB">
        <w:rPr>
          <w:b/>
        </w:rPr>
        <w:t>(iv)</w:t>
      </w:r>
      <w:r w:rsidRPr="00DF70FB">
        <w:t xml:space="preserve"> the </w:t>
      </w:r>
      <w:r w:rsidRPr="00DF70FB">
        <w:rPr>
          <w:u w:val="single"/>
        </w:rPr>
        <w:t>taxpayer is</w:t>
      </w:r>
    </w:p>
    <w:p w:rsidR="007A59F1" w:rsidRPr="00DF70FB" w:rsidRDefault="007A59F1" w:rsidP="007A59F1">
      <w:pPr>
        <w:pStyle w:val="Citation-AltC"/>
      </w:pPr>
    </w:p>
    <w:p w:rsidR="007A59F1" w:rsidRPr="00DF70FB" w:rsidRDefault="007A59F1" w:rsidP="007A59F1">
      <w:pPr>
        <w:pStyle w:val="Citation-AltC"/>
        <w:ind w:left="2160"/>
      </w:pPr>
      <w:r w:rsidRPr="00DF70FB">
        <w:rPr>
          <w:b/>
        </w:rPr>
        <w:t>(A)</w:t>
      </w:r>
      <w:r w:rsidRPr="00DF70FB">
        <w:t xml:space="preserve"> a </w:t>
      </w:r>
      <w:r w:rsidRPr="00DF70FB">
        <w:rPr>
          <w:u w:val="single"/>
        </w:rPr>
        <w:t>bank</w:t>
      </w:r>
      <w:r w:rsidRPr="00DF70FB">
        <w:t xml:space="preserve">, a trust company, a credit union, an insurance corporation or a trader or dealer in securities or commodities </w:t>
      </w:r>
      <w:r w:rsidRPr="00DF70FB">
        <w:rPr>
          <w:u w:val="single"/>
        </w:rPr>
        <w:t>resident in Canada</w:t>
      </w:r>
      <w:r w:rsidRPr="00DF70FB">
        <w:t xml:space="preserve">, the business activities of which are </w:t>
      </w:r>
      <w:r w:rsidRPr="00DF70FB">
        <w:rPr>
          <w:u w:val="single"/>
        </w:rPr>
        <w:t>subject by law to the supervision of a regulating authority</w:t>
      </w:r>
      <w:r w:rsidRPr="00DF70FB">
        <w:t xml:space="preserve"> such as the Superintendent of Financial Institutions or a similar authority of a province,</w:t>
      </w:r>
    </w:p>
    <w:p w:rsidR="007A59F1" w:rsidRPr="00DF70FB" w:rsidRDefault="007A59F1" w:rsidP="007A59F1">
      <w:pPr>
        <w:pStyle w:val="Citation-AltC"/>
      </w:pPr>
    </w:p>
    <w:p w:rsidR="007A59F1" w:rsidRPr="00DF70FB" w:rsidRDefault="007A59F1" w:rsidP="007A59F1">
      <w:pPr>
        <w:pStyle w:val="Citation-AltC"/>
        <w:ind w:left="2160"/>
      </w:pPr>
      <w:r w:rsidRPr="00DF70FB">
        <w:rPr>
          <w:b/>
        </w:rPr>
        <w:t>(B)</w:t>
      </w:r>
      <w:r w:rsidRPr="00DF70FB">
        <w:t xml:space="preserve"> a subsidiary wholly-owned corporation of a corporation described in clause</w:t>
      </w:r>
      <w:r>
        <w:t> </w:t>
      </w:r>
      <w:r w:rsidRPr="00DF70FB">
        <w:t>95(2)(l)(iv)(A), or</w:t>
      </w:r>
    </w:p>
    <w:p w:rsidR="007A59F1" w:rsidRPr="00DF70FB" w:rsidRDefault="007A59F1" w:rsidP="007A59F1">
      <w:pPr>
        <w:pStyle w:val="Citation-AltC"/>
      </w:pPr>
    </w:p>
    <w:p w:rsidR="007A59F1" w:rsidRPr="00DF70FB" w:rsidRDefault="007A59F1" w:rsidP="007A59F1">
      <w:pPr>
        <w:pStyle w:val="Citation-AltC"/>
        <w:ind w:left="2160"/>
      </w:pPr>
      <w:r w:rsidRPr="00DF70FB">
        <w:rPr>
          <w:b/>
        </w:rPr>
        <w:t>(C)</w:t>
      </w:r>
      <w:r w:rsidRPr="00DF70FB">
        <w:t xml:space="preserve"> a </w:t>
      </w:r>
      <w:r w:rsidRPr="00DF70FB">
        <w:rPr>
          <w:u w:val="single"/>
        </w:rPr>
        <w:t>corporation of which a corporation described in clause 95(2)(l)(iv)(A) is a subsidiary wholly</w:t>
      </w:r>
      <w:r>
        <w:rPr>
          <w:u w:val="single"/>
        </w:rPr>
        <w:noBreakHyphen/>
      </w:r>
      <w:r w:rsidRPr="00DF70FB">
        <w:rPr>
          <w:u w:val="single"/>
        </w:rPr>
        <w:t>owned corporation</w:t>
      </w:r>
      <w:r w:rsidRPr="00DF70FB">
        <w:t>;</w:t>
      </w:r>
    </w:p>
    <w:p w:rsidR="007A59F1" w:rsidRDefault="007A59F1" w:rsidP="007A59F1">
      <w:pPr>
        <w:pStyle w:val="Citation-AltC"/>
      </w:pPr>
    </w:p>
    <w:p w:rsidR="007A59F1" w:rsidRPr="00DF70FB" w:rsidRDefault="007A59F1" w:rsidP="007A59F1">
      <w:pPr>
        <w:pStyle w:val="Citation-AltC"/>
      </w:pPr>
      <w:r>
        <w:t>[Emphasis added.]</w:t>
      </w:r>
    </w:p>
    <w:p w:rsidR="007A59F1" w:rsidRDefault="007A59F1" w:rsidP="009E31D4">
      <w:pPr>
        <w:pStyle w:val="SCCNormalDoubleSpacing"/>
        <w:spacing w:after="480"/>
      </w:pPr>
    </w:p>
    <w:p w:rsidR="009B57B3" w:rsidRDefault="009E31D4" w:rsidP="00B31B20">
      <w:pPr>
        <w:pStyle w:val="SCCNormalDoubleSpacing"/>
        <w:spacing w:after="480"/>
      </w:pPr>
      <w:r>
        <w:tab/>
      </w:r>
      <w:r w:rsidR="00656313" w:rsidRPr="009E2F72">
        <w:rPr>
          <w:i/>
        </w:rPr>
        <w:t>Appeal</w:t>
      </w:r>
      <w:r w:rsidRPr="009E2F72">
        <w:t xml:space="preserve"> </w:t>
      </w:r>
      <w:r w:rsidRPr="009E2F72">
        <w:rPr>
          <w:i/>
        </w:rPr>
        <w:t>dismissed</w:t>
      </w:r>
      <w:r w:rsidR="001D4589">
        <w:rPr>
          <w:i/>
        </w:rPr>
        <w:t xml:space="preserve"> with costs</w:t>
      </w:r>
      <w:r w:rsidR="0099382C" w:rsidRPr="009E2F72">
        <w:rPr>
          <w:i/>
        </w:rPr>
        <w:t>.</w:t>
      </w:r>
    </w:p>
    <w:p w:rsidR="00127B49" w:rsidRDefault="009D4D94" w:rsidP="00B31B20">
      <w:pPr>
        <w:pStyle w:val="SCCLawFirm"/>
        <w:spacing w:after="480"/>
      </w:pPr>
      <w:r>
        <w:tab/>
        <w:t>Solicitor</w:t>
      </w:r>
      <w:r w:rsidR="00EA085F">
        <w:t xml:space="preserve"> for the appellant: Attorney General of Canada, Toronto.</w:t>
      </w:r>
    </w:p>
    <w:p w:rsidR="00127B49" w:rsidRDefault="009D4D94" w:rsidP="00B31B20">
      <w:pPr>
        <w:pStyle w:val="SCCLawFirm"/>
        <w:spacing w:after="480"/>
      </w:pPr>
      <w:r>
        <w:tab/>
        <w:t>Solicitors</w:t>
      </w:r>
      <w:r w:rsidR="00EA085F">
        <w:t xml:space="preserve"> for the respondent: Osler, Hoskin &amp; Harcourt, Toronto.</w:t>
      </w:r>
    </w:p>
    <w:p w:rsidR="0099382C" w:rsidRDefault="009D4D94" w:rsidP="00B31B20">
      <w:pPr>
        <w:pStyle w:val="SCCLawFirm"/>
        <w:spacing w:after="480"/>
      </w:pPr>
      <w:r>
        <w:lastRenderedPageBreak/>
        <w:tab/>
      </w:r>
      <w:r w:rsidR="0099382C">
        <w:t>Solicitor for the intervener the Attorney General of Ontario: Attorney General of Ontario, Toronto.</w:t>
      </w:r>
    </w:p>
    <w:p w:rsidR="009B57B3" w:rsidRPr="001426A9" w:rsidRDefault="0099382C" w:rsidP="00F334BC">
      <w:pPr>
        <w:pStyle w:val="SCCLawFirm"/>
        <w:spacing w:after="480"/>
      </w:pPr>
      <w:r>
        <w:tab/>
      </w:r>
      <w:r w:rsidR="009D4D94">
        <w:t>Solicitors</w:t>
      </w:r>
      <w:r w:rsidR="00EA085F">
        <w:t xml:space="preserve"> for the intervener Canadian Bankers</w:t>
      </w:r>
      <w:r w:rsidR="006C3533">
        <w:t>’</w:t>
      </w:r>
      <w:r w:rsidR="00EA085F">
        <w:t xml:space="preserve"> Assoc</w:t>
      </w:r>
      <w:r w:rsidR="00F334BC">
        <w:t>iation: Thorsteinssons, Toronto.</w:t>
      </w:r>
    </w:p>
    <w:sectPr w:rsidR="009B57B3" w:rsidRPr="001426A9"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51C" w:rsidRDefault="00DD151C">
      <w:r>
        <w:separator/>
      </w:r>
    </w:p>
  </w:endnote>
  <w:endnote w:type="continuationSeparator" w:id="0">
    <w:p w:rsidR="00DD151C" w:rsidRDefault="00DD1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674" w:rsidRDefault="00BA36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674" w:rsidRDefault="00BA36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674" w:rsidRDefault="00BA36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51C" w:rsidRDefault="00DD151C">
      <w:r>
        <w:separator/>
      </w:r>
    </w:p>
  </w:footnote>
  <w:footnote w:type="continuationSeparator" w:id="0">
    <w:p w:rsidR="00DD151C" w:rsidRDefault="00DD151C">
      <w:r>
        <w:continuationSeparator/>
      </w:r>
    </w:p>
  </w:footnote>
  <w:footnote w:id="1">
    <w:p w:rsidR="007A59F1" w:rsidRPr="001F2BDB" w:rsidRDefault="007A59F1" w:rsidP="007A59F1">
      <w:pPr>
        <w:pStyle w:val="FootnoteText"/>
      </w:pPr>
      <w:r>
        <w:rPr>
          <w:rStyle w:val="FootnoteReference"/>
        </w:rPr>
        <w:footnoteRef/>
      </w:r>
      <w:r>
        <w:t xml:space="preserve"> The relevant sections are reproduced in an appendix to these reasons.</w:t>
      </w:r>
    </w:p>
  </w:footnote>
  <w:footnote w:id="2">
    <w:p w:rsidR="007A59F1" w:rsidRPr="005F41CC" w:rsidRDefault="007A59F1" w:rsidP="007A59F1">
      <w:pPr>
        <w:pStyle w:val="FootnoteText"/>
      </w:pPr>
      <w:r>
        <w:rPr>
          <w:rStyle w:val="FootnoteReference"/>
        </w:rPr>
        <w:footnoteRef/>
      </w:r>
      <w:r>
        <w:t xml:space="preserve"> </w:t>
      </w:r>
      <w:r w:rsidRPr="005F41CC">
        <w:t>See the definition</w:t>
      </w:r>
      <w:r>
        <w:t>s</w:t>
      </w:r>
      <w:r w:rsidRPr="005F41CC">
        <w:t xml:space="preserve"> of </w:t>
      </w:r>
      <w:r>
        <w:t>“</w:t>
      </w:r>
      <w:r w:rsidRPr="009C6D63">
        <w:t>controlled foreign affiliate</w:t>
      </w:r>
      <w:r>
        <w:t>” and “</w:t>
      </w:r>
      <w:r w:rsidRPr="009C6D63">
        <w:t>foreign affiliate</w:t>
      </w:r>
      <w:r>
        <w:t xml:space="preserve">” in s. 95(1) of the </w:t>
      </w:r>
      <w:r>
        <w:rPr>
          <w:i/>
        </w:rPr>
        <w:t>ITA</w:t>
      </w:r>
      <w:r>
        <w:t>.</w:t>
      </w:r>
    </w:p>
  </w:footnote>
  <w:footnote w:id="3">
    <w:p w:rsidR="007A59F1" w:rsidRPr="00142A83" w:rsidRDefault="007A59F1" w:rsidP="007A59F1">
      <w:pPr>
        <w:pStyle w:val="FootnoteText"/>
      </w:pPr>
      <w:r>
        <w:rPr>
          <w:rStyle w:val="FootnoteReference"/>
        </w:rPr>
        <w:footnoteRef/>
      </w:r>
      <w:r>
        <w:t xml:space="preserve"> As the provisions stood at all relevant times (version in force from 2000 to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674" w:rsidRDefault="00BA36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674" w:rsidRDefault="00BA36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648D6"/>
    <w:multiLevelType w:val="hybridMultilevel"/>
    <w:tmpl w:val="D59EAFCA"/>
    <w:lvl w:ilvl="0" w:tplc="1E306DEE">
      <w:start w:val="37"/>
      <w:numFmt w:val="bullet"/>
      <w:lvlText w:val="-"/>
      <w:lvlJc w:val="left"/>
      <w:pPr>
        <w:ind w:left="1080" w:hanging="360"/>
      </w:pPr>
      <w:rPr>
        <w:rFonts w:ascii="Times New Roman" w:eastAsia="Times New Roman" w:hAnsi="Times New Roman" w:cs="Times New Roman"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1360795"/>
    <w:multiLevelType w:val="hybridMultilevel"/>
    <w:tmpl w:val="DF00C75A"/>
    <w:lvl w:ilvl="0" w:tplc="1E306DEE">
      <w:start w:val="37"/>
      <w:numFmt w:val="bullet"/>
      <w:lvlText w:val="-"/>
      <w:lvlJc w:val="left"/>
      <w:pPr>
        <w:ind w:left="1526" w:hanging="360"/>
      </w:pPr>
      <w:rPr>
        <w:rFonts w:ascii="Times New Roman" w:eastAsia="Times New Roman" w:hAnsi="Times New Roman" w:cs="Times New Roman" w:hint="default"/>
      </w:rPr>
    </w:lvl>
    <w:lvl w:ilvl="1" w:tplc="0C0C0003">
      <w:start w:val="1"/>
      <w:numFmt w:val="bullet"/>
      <w:lvlText w:val="o"/>
      <w:lvlJc w:val="left"/>
      <w:pPr>
        <w:ind w:left="2246" w:hanging="360"/>
      </w:pPr>
      <w:rPr>
        <w:rFonts w:ascii="Courier New" w:hAnsi="Courier New" w:cs="Courier New" w:hint="default"/>
      </w:rPr>
    </w:lvl>
    <w:lvl w:ilvl="2" w:tplc="0C0C0005" w:tentative="1">
      <w:start w:val="1"/>
      <w:numFmt w:val="bullet"/>
      <w:lvlText w:val=""/>
      <w:lvlJc w:val="left"/>
      <w:pPr>
        <w:ind w:left="2966" w:hanging="360"/>
      </w:pPr>
      <w:rPr>
        <w:rFonts w:ascii="Wingdings" w:hAnsi="Wingdings" w:hint="default"/>
      </w:rPr>
    </w:lvl>
    <w:lvl w:ilvl="3" w:tplc="0C0C0001" w:tentative="1">
      <w:start w:val="1"/>
      <w:numFmt w:val="bullet"/>
      <w:lvlText w:val=""/>
      <w:lvlJc w:val="left"/>
      <w:pPr>
        <w:ind w:left="3686" w:hanging="360"/>
      </w:pPr>
      <w:rPr>
        <w:rFonts w:ascii="Symbol" w:hAnsi="Symbol" w:hint="default"/>
      </w:rPr>
    </w:lvl>
    <w:lvl w:ilvl="4" w:tplc="0C0C0003" w:tentative="1">
      <w:start w:val="1"/>
      <w:numFmt w:val="bullet"/>
      <w:lvlText w:val="o"/>
      <w:lvlJc w:val="left"/>
      <w:pPr>
        <w:ind w:left="4406" w:hanging="360"/>
      </w:pPr>
      <w:rPr>
        <w:rFonts w:ascii="Courier New" w:hAnsi="Courier New" w:cs="Courier New" w:hint="default"/>
      </w:rPr>
    </w:lvl>
    <w:lvl w:ilvl="5" w:tplc="0C0C0005" w:tentative="1">
      <w:start w:val="1"/>
      <w:numFmt w:val="bullet"/>
      <w:lvlText w:val=""/>
      <w:lvlJc w:val="left"/>
      <w:pPr>
        <w:ind w:left="5126" w:hanging="360"/>
      </w:pPr>
      <w:rPr>
        <w:rFonts w:ascii="Wingdings" w:hAnsi="Wingdings" w:hint="default"/>
      </w:rPr>
    </w:lvl>
    <w:lvl w:ilvl="6" w:tplc="0C0C0001" w:tentative="1">
      <w:start w:val="1"/>
      <w:numFmt w:val="bullet"/>
      <w:lvlText w:val=""/>
      <w:lvlJc w:val="left"/>
      <w:pPr>
        <w:ind w:left="5846" w:hanging="360"/>
      </w:pPr>
      <w:rPr>
        <w:rFonts w:ascii="Symbol" w:hAnsi="Symbol" w:hint="default"/>
      </w:rPr>
    </w:lvl>
    <w:lvl w:ilvl="7" w:tplc="0C0C0003" w:tentative="1">
      <w:start w:val="1"/>
      <w:numFmt w:val="bullet"/>
      <w:lvlText w:val="o"/>
      <w:lvlJc w:val="left"/>
      <w:pPr>
        <w:ind w:left="6566" w:hanging="360"/>
      </w:pPr>
      <w:rPr>
        <w:rFonts w:ascii="Courier New" w:hAnsi="Courier New" w:cs="Courier New" w:hint="default"/>
      </w:rPr>
    </w:lvl>
    <w:lvl w:ilvl="8" w:tplc="0C0C0005" w:tentative="1">
      <w:start w:val="1"/>
      <w:numFmt w:val="bullet"/>
      <w:lvlText w:val=""/>
      <w:lvlJc w:val="left"/>
      <w:pPr>
        <w:ind w:left="7286" w:hanging="360"/>
      </w:pPr>
      <w:rPr>
        <w:rFonts w:ascii="Wingdings" w:hAnsi="Wingdings" w:hint="default"/>
      </w:rPr>
    </w:lvl>
  </w:abstractNum>
  <w:abstractNum w:abstractNumId="4"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5" w15:restartNumberingAfterBreak="0">
    <w:nsid w:val="474E36CC"/>
    <w:multiLevelType w:val="hybridMultilevel"/>
    <w:tmpl w:val="D944B0B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BAD70A1"/>
    <w:multiLevelType w:val="hybridMultilevel"/>
    <w:tmpl w:val="498AA13C"/>
    <w:lvl w:ilvl="0" w:tplc="0C0C0001">
      <w:start w:val="1"/>
      <w:numFmt w:val="bullet"/>
      <w:lvlText w:val=""/>
      <w:lvlJc w:val="left"/>
      <w:pPr>
        <w:ind w:left="1886" w:hanging="360"/>
      </w:pPr>
      <w:rPr>
        <w:rFonts w:ascii="Symbol" w:hAnsi="Symbol" w:hint="default"/>
      </w:rPr>
    </w:lvl>
    <w:lvl w:ilvl="1" w:tplc="0C0C0003">
      <w:start w:val="1"/>
      <w:numFmt w:val="bullet"/>
      <w:lvlText w:val="o"/>
      <w:lvlJc w:val="left"/>
      <w:pPr>
        <w:ind w:left="2606" w:hanging="360"/>
      </w:pPr>
      <w:rPr>
        <w:rFonts w:ascii="Courier New" w:hAnsi="Courier New" w:cs="Courier New" w:hint="default"/>
      </w:rPr>
    </w:lvl>
    <w:lvl w:ilvl="2" w:tplc="0C0C0005" w:tentative="1">
      <w:start w:val="1"/>
      <w:numFmt w:val="bullet"/>
      <w:lvlText w:val=""/>
      <w:lvlJc w:val="left"/>
      <w:pPr>
        <w:ind w:left="3326" w:hanging="360"/>
      </w:pPr>
      <w:rPr>
        <w:rFonts w:ascii="Wingdings" w:hAnsi="Wingdings" w:hint="default"/>
      </w:rPr>
    </w:lvl>
    <w:lvl w:ilvl="3" w:tplc="0C0C0001" w:tentative="1">
      <w:start w:val="1"/>
      <w:numFmt w:val="bullet"/>
      <w:lvlText w:val=""/>
      <w:lvlJc w:val="left"/>
      <w:pPr>
        <w:ind w:left="4046" w:hanging="360"/>
      </w:pPr>
      <w:rPr>
        <w:rFonts w:ascii="Symbol" w:hAnsi="Symbol" w:hint="default"/>
      </w:rPr>
    </w:lvl>
    <w:lvl w:ilvl="4" w:tplc="0C0C0003" w:tentative="1">
      <w:start w:val="1"/>
      <w:numFmt w:val="bullet"/>
      <w:lvlText w:val="o"/>
      <w:lvlJc w:val="left"/>
      <w:pPr>
        <w:ind w:left="4766" w:hanging="360"/>
      </w:pPr>
      <w:rPr>
        <w:rFonts w:ascii="Courier New" w:hAnsi="Courier New" w:cs="Courier New" w:hint="default"/>
      </w:rPr>
    </w:lvl>
    <w:lvl w:ilvl="5" w:tplc="0C0C0005" w:tentative="1">
      <w:start w:val="1"/>
      <w:numFmt w:val="bullet"/>
      <w:lvlText w:val=""/>
      <w:lvlJc w:val="left"/>
      <w:pPr>
        <w:ind w:left="5486" w:hanging="360"/>
      </w:pPr>
      <w:rPr>
        <w:rFonts w:ascii="Wingdings" w:hAnsi="Wingdings" w:hint="default"/>
      </w:rPr>
    </w:lvl>
    <w:lvl w:ilvl="6" w:tplc="0C0C0001" w:tentative="1">
      <w:start w:val="1"/>
      <w:numFmt w:val="bullet"/>
      <w:lvlText w:val=""/>
      <w:lvlJc w:val="left"/>
      <w:pPr>
        <w:ind w:left="6206" w:hanging="360"/>
      </w:pPr>
      <w:rPr>
        <w:rFonts w:ascii="Symbol" w:hAnsi="Symbol" w:hint="default"/>
      </w:rPr>
    </w:lvl>
    <w:lvl w:ilvl="7" w:tplc="0C0C0003" w:tentative="1">
      <w:start w:val="1"/>
      <w:numFmt w:val="bullet"/>
      <w:lvlText w:val="o"/>
      <w:lvlJc w:val="left"/>
      <w:pPr>
        <w:ind w:left="6926" w:hanging="360"/>
      </w:pPr>
      <w:rPr>
        <w:rFonts w:ascii="Courier New" w:hAnsi="Courier New" w:cs="Courier New" w:hint="default"/>
      </w:rPr>
    </w:lvl>
    <w:lvl w:ilvl="8" w:tplc="0C0C0005" w:tentative="1">
      <w:start w:val="1"/>
      <w:numFmt w:val="bullet"/>
      <w:lvlText w:val=""/>
      <w:lvlJc w:val="left"/>
      <w:pPr>
        <w:ind w:left="7646" w:hanging="360"/>
      </w:pPr>
      <w:rPr>
        <w:rFonts w:ascii="Wingdings" w:hAnsi="Wingdings" w:hint="default"/>
      </w:rPr>
    </w:lvl>
  </w:abstractNum>
  <w:abstractNum w:abstractNumId="7"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8"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4283EE8"/>
    <w:multiLevelType w:val="multilevel"/>
    <w:tmpl w:val="1A40481C"/>
    <w:lvl w:ilvl="0">
      <w:start w:val="1"/>
      <w:numFmt w:val="decimal"/>
      <w:pStyle w:val="ParaNoNdepar-AltN"/>
      <w:lvlText w:val="[%1]"/>
      <w:lvlJc w:val="left"/>
      <w:pPr>
        <w:tabs>
          <w:tab w:val="num" w:pos="1294"/>
        </w:tabs>
        <w:ind w:left="142" w:firstLine="0"/>
      </w:pPr>
      <w:rPr>
        <w:rFonts w:ascii="Times New Roman" w:hAnsi="Times New Roman" w:hint="default"/>
        <w:b w:val="0"/>
        <w:strike w:val="0"/>
        <w:color w:val="auto"/>
        <w:sz w:val="24"/>
      </w:rPr>
    </w:lvl>
    <w:lvl w:ilvl="1">
      <w:start w:val="1"/>
      <w:numFmt w:val="bullet"/>
      <w:lvlText w:val=""/>
      <w:lvlJc w:val="left"/>
      <w:pPr>
        <w:ind w:left="720" w:hanging="360"/>
      </w:pPr>
      <w:rPr>
        <w:rFonts w:ascii="Symbol" w:hAnsi="Symbol" w:hint="default"/>
      </w:rPr>
    </w:lvl>
    <w:lvl w:ilvl="2">
      <w:start w:val="37"/>
      <w:numFmt w:val="bullet"/>
      <w:lvlText w:val="-"/>
      <w:lvlJc w:val="left"/>
      <w:pPr>
        <w:ind w:left="1080" w:hanging="360"/>
      </w:pPr>
      <w:rPr>
        <w:rFonts w:ascii="Times New Roman" w:eastAsia="Times New Roman" w:hAnsi="Times New Roman" w:cs="Times New Roman"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2"/>
  </w:num>
  <w:num w:numId="3">
    <w:abstractNumId w:val="1"/>
  </w:num>
  <w:num w:numId="4">
    <w:abstractNumId w:val="7"/>
  </w:num>
  <w:num w:numId="5">
    <w:abstractNumId w:val="8"/>
  </w:num>
  <w:num w:numId="6">
    <w:abstractNumId w:val="9"/>
  </w:num>
  <w:num w:numId="7">
    <w:abstractNumId w:val="4"/>
  </w:num>
  <w:num w:numId="8">
    <w:abstractNumId w:val="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5"/>
  </w:num>
  <w:num w:numId="10">
    <w:abstractNumId w:val="6"/>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617A"/>
    <w:rsid w:val="00016D6A"/>
    <w:rsid w:val="00025198"/>
    <w:rsid w:val="000578A3"/>
    <w:rsid w:val="000648CC"/>
    <w:rsid w:val="00092523"/>
    <w:rsid w:val="000A5CE6"/>
    <w:rsid w:val="000A6E52"/>
    <w:rsid w:val="000C59B8"/>
    <w:rsid w:val="000C6AF0"/>
    <w:rsid w:val="001012F5"/>
    <w:rsid w:val="00104F33"/>
    <w:rsid w:val="0010651F"/>
    <w:rsid w:val="00111DE2"/>
    <w:rsid w:val="00113A4C"/>
    <w:rsid w:val="001166A9"/>
    <w:rsid w:val="00116B38"/>
    <w:rsid w:val="0012115F"/>
    <w:rsid w:val="00122E7E"/>
    <w:rsid w:val="00127B49"/>
    <w:rsid w:val="00135406"/>
    <w:rsid w:val="00135972"/>
    <w:rsid w:val="001426A9"/>
    <w:rsid w:val="00154D7C"/>
    <w:rsid w:val="001570B0"/>
    <w:rsid w:val="0015752C"/>
    <w:rsid w:val="00157737"/>
    <w:rsid w:val="00165277"/>
    <w:rsid w:val="00170592"/>
    <w:rsid w:val="00186351"/>
    <w:rsid w:val="00195D83"/>
    <w:rsid w:val="001A00C1"/>
    <w:rsid w:val="001A2897"/>
    <w:rsid w:val="001B33E0"/>
    <w:rsid w:val="001B4573"/>
    <w:rsid w:val="001C779F"/>
    <w:rsid w:val="001D2AC1"/>
    <w:rsid w:val="001D4589"/>
    <w:rsid w:val="001D4E88"/>
    <w:rsid w:val="00203959"/>
    <w:rsid w:val="002042BE"/>
    <w:rsid w:val="002046EB"/>
    <w:rsid w:val="00204828"/>
    <w:rsid w:val="002177A3"/>
    <w:rsid w:val="00217EB7"/>
    <w:rsid w:val="00220FC2"/>
    <w:rsid w:val="002222F4"/>
    <w:rsid w:val="00224FC0"/>
    <w:rsid w:val="00225EA4"/>
    <w:rsid w:val="00226EAF"/>
    <w:rsid w:val="00231F3A"/>
    <w:rsid w:val="00234199"/>
    <w:rsid w:val="002406EE"/>
    <w:rsid w:val="00243EC8"/>
    <w:rsid w:val="00247EF3"/>
    <w:rsid w:val="00252506"/>
    <w:rsid w:val="00252B5D"/>
    <w:rsid w:val="00270D93"/>
    <w:rsid w:val="002745CC"/>
    <w:rsid w:val="002B7924"/>
    <w:rsid w:val="002D28C3"/>
    <w:rsid w:val="002D39A4"/>
    <w:rsid w:val="002E6705"/>
    <w:rsid w:val="00301D08"/>
    <w:rsid w:val="0030329A"/>
    <w:rsid w:val="0031086F"/>
    <w:rsid w:val="0031414C"/>
    <w:rsid w:val="00314E01"/>
    <w:rsid w:val="0032089D"/>
    <w:rsid w:val="003310DE"/>
    <w:rsid w:val="003323B0"/>
    <w:rsid w:val="0035169A"/>
    <w:rsid w:val="0035259D"/>
    <w:rsid w:val="003559F2"/>
    <w:rsid w:val="00364B18"/>
    <w:rsid w:val="00381032"/>
    <w:rsid w:val="003A125D"/>
    <w:rsid w:val="003A4C70"/>
    <w:rsid w:val="003A585E"/>
    <w:rsid w:val="003B215F"/>
    <w:rsid w:val="003C70B1"/>
    <w:rsid w:val="003C799C"/>
    <w:rsid w:val="003D0399"/>
    <w:rsid w:val="003D33CF"/>
    <w:rsid w:val="003D7B44"/>
    <w:rsid w:val="003E0DCC"/>
    <w:rsid w:val="003E1C71"/>
    <w:rsid w:val="003F327B"/>
    <w:rsid w:val="00402502"/>
    <w:rsid w:val="00403A74"/>
    <w:rsid w:val="00406166"/>
    <w:rsid w:val="0040704B"/>
    <w:rsid w:val="00410A55"/>
    <w:rsid w:val="00411300"/>
    <w:rsid w:val="00415417"/>
    <w:rsid w:val="004213B4"/>
    <w:rsid w:val="00426659"/>
    <w:rsid w:val="00450352"/>
    <w:rsid w:val="00454BDB"/>
    <w:rsid w:val="00464800"/>
    <w:rsid w:val="00465132"/>
    <w:rsid w:val="00467964"/>
    <w:rsid w:val="00480C90"/>
    <w:rsid w:val="0048396F"/>
    <w:rsid w:val="00493C18"/>
    <w:rsid w:val="004A600C"/>
    <w:rsid w:val="004A6118"/>
    <w:rsid w:val="004B20C7"/>
    <w:rsid w:val="004C478D"/>
    <w:rsid w:val="004D74C2"/>
    <w:rsid w:val="004E2C26"/>
    <w:rsid w:val="004F36FF"/>
    <w:rsid w:val="00507274"/>
    <w:rsid w:val="005125A8"/>
    <w:rsid w:val="005155CF"/>
    <w:rsid w:val="00521AE8"/>
    <w:rsid w:val="00527180"/>
    <w:rsid w:val="00531406"/>
    <w:rsid w:val="0054201E"/>
    <w:rsid w:val="00555291"/>
    <w:rsid w:val="00566AD1"/>
    <w:rsid w:val="005728BE"/>
    <w:rsid w:val="00575A7F"/>
    <w:rsid w:val="00583EDE"/>
    <w:rsid w:val="005861B5"/>
    <w:rsid w:val="005A6079"/>
    <w:rsid w:val="005D315E"/>
    <w:rsid w:val="005E4698"/>
    <w:rsid w:val="006001B6"/>
    <w:rsid w:val="00610539"/>
    <w:rsid w:val="00613969"/>
    <w:rsid w:val="00616074"/>
    <w:rsid w:val="00625C35"/>
    <w:rsid w:val="00642022"/>
    <w:rsid w:val="00652469"/>
    <w:rsid w:val="00656313"/>
    <w:rsid w:val="006565F4"/>
    <w:rsid w:val="006606A2"/>
    <w:rsid w:val="0067781D"/>
    <w:rsid w:val="00683352"/>
    <w:rsid w:val="00684EEA"/>
    <w:rsid w:val="00692759"/>
    <w:rsid w:val="0069689B"/>
    <w:rsid w:val="006A1551"/>
    <w:rsid w:val="006B5FF5"/>
    <w:rsid w:val="006C3533"/>
    <w:rsid w:val="006D3686"/>
    <w:rsid w:val="006F30AF"/>
    <w:rsid w:val="00701759"/>
    <w:rsid w:val="00705C15"/>
    <w:rsid w:val="0070635B"/>
    <w:rsid w:val="00706C0C"/>
    <w:rsid w:val="0071600E"/>
    <w:rsid w:val="007208D1"/>
    <w:rsid w:val="00724ED4"/>
    <w:rsid w:val="00741960"/>
    <w:rsid w:val="00747288"/>
    <w:rsid w:val="00747DD3"/>
    <w:rsid w:val="007549C8"/>
    <w:rsid w:val="00754A0B"/>
    <w:rsid w:val="00766D14"/>
    <w:rsid w:val="00767A0F"/>
    <w:rsid w:val="00796EAA"/>
    <w:rsid w:val="007A05F6"/>
    <w:rsid w:val="007A59F1"/>
    <w:rsid w:val="007B6F4A"/>
    <w:rsid w:val="007D26FE"/>
    <w:rsid w:val="007E1C47"/>
    <w:rsid w:val="007E337A"/>
    <w:rsid w:val="007E4C7E"/>
    <w:rsid w:val="007E5C70"/>
    <w:rsid w:val="007F2FF5"/>
    <w:rsid w:val="007F3F08"/>
    <w:rsid w:val="00804CC6"/>
    <w:rsid w:val="00806B54"/>
    <w:rsid w:val="00810793"/>
    <w:rsid w:val="008149DB"/>
    <w:rsid w:val="00817190"/>
    <w:rsid w:val="00820EE5"/>
    <w:rsid w:val="008257B8"/>
    <w:rsid w:val="008260E2"/>
    <w:rsid w:val="008322BD"/>
    <w:rsid w:val="00833E0A"/>
    <w:rsid w:val="00834F73"/>
    <w:rsid w:val="00860871"/>
    <w:rsid w:val="00864CF8"/>
    <w:rsid w:val="00872819"/>
    <w:rsid w:val="00874914"/>
    <w:rsid w:val="00891422"/>
    <w:rsid w:val="00892E1A"/>
    <w:rsid w:val="008A3F29"/>
    <w:rsid w:val="008B660A"/>
    <w:rsid w:val="008C01DA"/>
    <w:rsid w:val="008F18B1"/>
    <w:rsid w:val="008F4304"/>
    <w:rsid w:val="008F78E9"/>
    <w:rsid w:val="00911989"/>
    <w:rsid w:val="009179F9"/>
    <w:rsid w:val="009322C4"/>
    <w:rsid w:val="00933E5E"/>
    <w:rsid w:val="00935218"/>
    <w:rsid w:val="009372C7"/>
    <w:rsid w:val="009403F3"/>
    <w:rsid w:val="0094771E"/>
    <w:rsid w:val="009555B7"/>
    <w:rsid w:val="009567AA"/>
    <w:rsid w:val="00967374"/>
    <w:rsid w:val="0099293F"/>
    <w:rsid w:val="0099382C"/>
    <w:rsid w:val="009A343A"/>
    <w:rsid w:val="009B2F23"/>
    <w:rsid w:val="009B57B3"/>
    <w:rsid w:val="009C5B92"/>
    <w:rsid w:val="009D2920"/>
    <w:rsid w:val="009D4D94"/>
    <w:rsid w:val="009D5AEB"/>
    <w:rsid w:val="009E2F72"/>
    <w:rsid w:val="009E31D4"/>
    <w:rsid w:val="009F0E33"/>
    <w:rsid w:val="009F57BA"/>
    <w:rsid w:val="00A030B2"/>
    <w:rsid w:val="00A030CE"/>
    <w:rsid w:val="00A149DF"/>
    <w:rsid w:val="00A1755C"/>
    <w:rsid w:val="00A21B90"/>
    <w:rsid w:val="00A41805"/>
    <w:rsid w:val="00A42DCD"/>
    <w:rsid w:val="00A52AFB"/>
    <w:rsid w:val="00A548CB"/>
    <w:rsid w:val="00A5521C"/>
    <w:rsid w:val="00A61048"/>
    <w:rsid w:val="00A643E7"/>
    <w:rsid w:val="00A73C38"/>
    <w:rsid w:val="00A8689A"/>
    <w:rsid w:val="00A872B1"/>
    <w:rsid w:val="00AA4AA8"/>
    <w:rsid w:val="00AA5361"/>
    <w:rsid w:val="00AA58DE"/>
    <w:rsid w:val="00AB670D"/>
    <w:rsid w:val="00AD0620"/>
    <w:rsid w:val="00AD323D"/>
    <w:rsid w:val="00AD382C"/>
    <w:rsid w:val="00AD47C8"/>
    <w:rsid w:val="00AE3195"/>
    <w:rsid w:val="00AE4535"/>
    <w:rsid w:val="00AE5A24"/>
    <w:rsid w:val="00AF03C5"/>
    <w:rsid w:val="00B000D8"/>
    <w:rsid w:val="00B00F75"/>
    <w:rsid w:val="00B145B6"/>
    <w:rsid w:val="00B172CA"/>
    <w:rsid w:val="00B22257"/>
    <w:rsid w:val="00B279EB"/>
    <w:rsid w:val="00B31B20"/>
    <w:rsid w:val="00B50C81"/>
    <w:rsid w:val="00B557F8"/>
    <w:rsid w:val="00B60963"/>
    <w:rsid w:val="00B802E9"/>
    <w:rsid w:val="00B815FC"/>
    <w:rsid w:val="00B83D69"/>
    <w:rsid w:val="00B93FBC"/>
    <w:rsid w:val="00BA3674"/>
    <w:rsid w:val="00BA7DA0"/>
    <w:rsid w:val="00BB2EE4"/>
    <w:rsid w:val="00BC2108"/>
    <w:rsid w:val="00BD0E9E"/>
    <w:rsid w:val="00BD1BEC"/>
    <w:rsid w:val="00BD32FF"/>
    <w:rsid w:val="00BE72E5"/>
    <w:rsid w:val="00C018C7"/>
    <w:rsid w:val="00C02092"/>
    <w:rsid w:val="00C12FF8"/>
    <w:rsid w:val="00C15C98"/>
    <w:rsid w:val="00C24D91"/>
    <w:rsid w:val="00C30F1F"/>
    <w:rsid w:val="00C43C46"/>
    <w:rsid w:val="00C53F14"/>
    <w:rsid w:val="00C600CF"/>
    <w:rsid w:val="00C6084F"/>
    <w:rsid w:val="00C62A66"/>
    <w:rsid w:val="00C71458"/>
    <w:rsid w:val="00C77613"/>
    <w:rsid w:val="00C828E7"/>
    <w:rsid w:val="00C82A7F"/>
    <w:rsid w:val="00C86719"/>
    <w:rsid w:val="00C921DD"/>
    <w:rsid w:val="00CA6391"/>
    <w:rsid w:val="00CB34C1"/>
    <w:rsid w:val="00CC34BD"/>
    <w:rsid w:val="00CC6DEE"/>
    <w:rsid w:val="00CE161A"/>
    <w:rsid w:val="00CE3171"/>
    <w:rsid w:val="00CF1601"/>
    <w:rsid w:val="00CF1E37"/>
    <w:rsid w:val="00D0172F"/>
    <w:rsid w:val="00D068A7"/>
    <w:rsid w:val="00D17476"/>
    <w:rsid w:val="00D32086"/>
    <w:rsid w:val="00D37A3F"/>
    <w:rsid w:val="00D4431D"/>
    <w:rsid w:val="00D4667A"/>
    <w:rsid w:val="00D63A1C"/>
    <w:rsid w:val="00D6670D"/>
    <w:rsid w:val="00D7516F"/>
    <w:rsid w:val="00D75497"/>
    <w:rsid w:val="00D8579F"/>
    <w:rsid w:val="00D95F8E"/>
    <w:rsid w:val="00DA0590"/>
    <w:rsid w:val="00DA10FA"/>
    <w:rsid w:val="00DB7BEA"/>
    <w:rsid w:val="00DC1739"/>
    <w:rsid w:val="00DC1788"/>
    <w:rsid w:val="00DC200E"/>
    <w:rsid w:val="00DC2B7D"/>
    <w:rsid w:val="00DD151C"/>
    <w:rsid w:val="00DE319C"/>
    <w:rsid w:val="00DE36AB"/>
    <w:rsid w:val="00DF0CA8"/>
    <w:rsid w:val="00DF2B48"/>
    <w:rsid w:val="00DF49A7"/>
    <w:rsid w:val="00E07EE2"/>
    <w:rsid w:val="00E07FD1"/>
    <w:rsid w:val="00E15B56"/>
    <w:rsid w:val="00E176D8"/>
    <w:rsid w:val="00E24573"/>
    <w:rsid w:val="00E25E1E"/>
    <w:rsid w:val="00E27EE7"/>
    <w:rsid w:val="00E34B0D"/>
    <w:rsid w:val="00E35404"/>
    <w:rsid w:val="00E45109"/>
    <w:rsid w:val="00E47B7A"/>
    <w:rsid w:val="00E56A44"/>
    <w:rsid w:val="00E60269"/>
    <w:rsid w:val="00E6471C"/>
    <w:rsid w:val="00E76B65"/>
    <w:rsid w:val="00E77932"/>
    <w:rsid w:val="00E97830"/>
    <w:rsid w:val="00EA085F"/>
    <w:rsid w:val="00ED1FF1"/>
    <w:rsid w:val="00ED31D8"/>
    <w:rsid w:val="00EE643C"/>
    <w:rsid w:val="00EF0683"/>
    <w:rsid w:val="00EF69D2"/>
    <w:rsid w:val="00EF766E"/>
    <w:rsid w:val="00F0070C"/>
    <w:rsid w:val="00F00EB7"/>
    <w:rsid w:val="00F01627"/>
    <w:rsid w:val="00F2348A"/>
    <w:rsid w:val="00F334BC"/>
    <w:rsid w:val="00F36AB6"/>
    <w:rsid w:val="00F37A09"/>
    <w:rsid w:val="00F409CE"/>
    <w:rsid w:val="00F4379D"/>
    <w:rsid w:val="00F50D2D"/>
    <w:rsid w:val="00F56C8B"/>
    <w:rsid w:val="00F66810"/>
    <w:rsid w:val="00F77FDF"/>
    <w:rsid w:val="00F846D9"/>
    <w:rsid w:val="00F84DF4"/>
    <w:rsid w:val="00F85C97"/>
    <w:rsid w:val="00F9768F"/>
    <w:rsid w:val="00FB37D2"/>
    <w:rsid w:val="00FC4EFB"/>
    <w:rsid w:val="00FD068D"/>
    <w:rsid w:val="00FD4F28"/>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406"/>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CommentReference">
    <w:name w:val="annotation reference"/>
    <w:basedOn w:val="DefaultParagraphFont"/>
    <w:uiPriority w:val="99"/>
    <w:semiHidden/>
    <w:unhideWhenUsed/>
    <w:rsid w:val="00E76B65"/>
    <w:rPr>
      <w:sz w:val="16"/>
      <w:szCs w:val="16"/>
    </w:rPr>
  </w:style>
  <w:style w:type="paragraph" w:styleId="CommentText">
    <w:name w:val="annotation text"/>
    <w:basedOn w:val="Normal"/>
    <w:link w:val="CommentTextChar"/>
    <w:uiPriority w:val="99"/>
    <w:semiHidden/>
    <w:unhideWhenUsed/>
    <w:rsid w:val="00E76B65"/>
    <w:rPr>
      <w:sz w:val="20"/>
    </w:rPr>
  </w:style>
  <w:style w:type="character" w:customStyle="1" w:styleId="CommentTextChar">
    <w:name w:val="Comment Text Char"/>
    <w:basedOn w:val="DefaultParagraphFont"/>
    <w:link w:val="CommentText"/>
    <w:uiPriority w:val="99"/>
    <w:semiHidden/>
    <w:rsid w:val="00E76B65"/>
  </w:style>
  <w:style w:type="paragraph" w:customStyle="1" w:styleId="SCCLsocOtherPartyRoleSeparator">
    <w:name w:val="SCC.Lsoc.OtherPartyRoleSeparator"/>
    <w:basedOn w:val="Normal"/>
    <w:next w:val="Normal"/>
    <w:link w:val="SCCLsocOtherPartyRoleSeparatorChar"/>
    <w:rsid w:val="007A59F1"/>
    <w:pPr>
      <w:spacing w:after="480"/>
    </w:pPr>
    <w:rPr>
      <w:rFonts w:eastAsiaTheme="minorHAnsi" w:cstheme="minorBidi"/>
      <w:szCs w:val="22"/>
      <w:lang w:eastAsia="en-US"/>
    </w:rPr>
  </w:style>
  <w:style w:type="paragraph" w:customStyle="1" w:styleId="SCCCoram">
    <w:name w:val="SCC.Coram"/>
    <w:basedOn w:val="Normal"/>
    <w:next w:val="Normal"/>
    <w:link w:val="SCCCoramChar"/>
    <w:rsid w:val="007A59F1"/>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7A59F1"/>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7A59F1"/>
    <w:rPr>
      <w:rFonts w:eastAsiaTheme="minorHAnsi" w:cstheme="minorBidi"/>
      <w:sz w:val="24"/>
      <w:szCs w:val="22"/>
      <w:lang w:eastAsia="en-US"/>
    </w:rPr>
  </w:style>
  <w:style w:type="character" w:customStyle="1" w:styleId="SCCBanSummaryChar">
    <w:name w:val="SCC.BanSummary Char"/>
    <w:basedOn w:val="DefaultParagraphFont"/>
    <w:link w:val="SCCBanSummary"/>
    <w:rsid w:val="007A59F1"/>
    <w:rPr>
      <w:b/>
      <w:sz w:val="24"/>
    </w:rPr>
  </w:style>
  <w:style w:type="table" w:styleId="TableGrid">
    <w:name w:val="Table Grid"/>
    <w:basedOn w:val="TableNormal"/>
    <w:uiPriority w:val="59"/>
    <w:rsid w:val="007A59F1"/>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7A59F1"/>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7A59F1"/>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7A59F1"/>
    <w:pPr>
      <w:tabs>
        <w:tab w:val="left" w:pos="1166"/>
      </w:tabs>
      <w:spacing w:after="480" w:line="480" w:lineRule="auto"/>
    </w:pPr>
    <w:rPr>
      <w:smallCaps/>
      <w:sz w:val="24"/>
      <w:szCs w:val="24"/>
    </w:rPr>
  </w:style>
  <w:style w:type="paragraph" w:customStyle="1" w:styleId="ParaNoNdepar-AltN">
    <w:name w:val="Para. No. / Nº de par. - Alt N"/>
    <w:link w:val="ParaNoNdepar-AltNChar"/>
    <w:qFormat/>
    <w:rsid w:val="007A59F1"/>
    <w:pPr>
      <w:numPr>
        <w:numId w:val="6"/>
      </w:numPr>
      <w:tabs>
        <w:tab w:val="clear" w:pos="1294"/>
        <w:tab w:val="num" w:pos="1152"/>
      </w:tabs>
      <w:spacing w:before="480" w:after="480" w:line="480" w:lineRule="auto"/>
      <w:ind w:left="0"/>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7A59F1"/>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7A59F1"/>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7A59F1"/>
    <w:pPr>
      <w:numPr>
        <w:ilvl w:val="2"/>
      </w:numPr>
      <w:outlineLvl w:val="2"/>
    </w:pPr>
  </w:style>
  <w:style w:type="paragraph" w:customStyle="1" w:styleId="Title4LevelTitre4Niveau">
    <w:name w:val="Title 4 Level / Titre 4 Niveau"/>
    <w:basedOn w:val="Title3LevelTitre3Niveau"/>
    <w:next w:val="ParaNoNdepar-AltN"/>
    <w:uiPriority w:val="4"/>
    <w:qFormat/>
    <w:rsid w:val="007A59F1"/>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7A59F1"/>
    <w:pPr>
      <w:numPr>
        <w:ilvl w:val="4"/>
      </w:numPr>
      <w:outlineLvl w:val="4"/>
    </w:pPr>
  </w:style>
  <w:style w:type="paragraph" w:styleId="TOC1">
    <w:name w:val="toc 1"/>
    <w:basedOn w:val="Normal"/>
    <w:next w:val="Normal"/>
    <w:autoRedefine/>
    <w:uiPriority w:val="39"/>
    <w:unhideWhenUsed/>
    <w:rsid w:val="007A59F1"/>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7A59F1"/>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7A59F1"/>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7A59F1"/>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7A59F1"/>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7A59F1"/>
    <w:pPr>
      <w:tabs>
        <w:tab w:val="left" w:pos="2160"/>
        <w:tab w:val="right" w:leader="dot" w:pos="8270"/>
      </w:tabs>
      <w:spacing w:after="100"/>
      <w:ind w:left="1800"/>
    </w:pPr>
    <w:rPr>
      <w:noProof/>
    </w:rPr>
  </w:style>
  <w:style w:type="table" w:customStyle="1" w:styleId="TableGrid1">
    <w:name w:val="Table Grid1"/>
    <w:basedOn w:val="TableNormal"/>
    <w:uiPriority w:val="59"/>
    <w:rsid w:val="007A59F1"/>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7A59F1"/>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7A59F1"/>
    <w:pPr>
      <w:numPr>
        <w:ilvl w:val="5"/>
      </w:numPr>
      <w:outlineLvl w:val="5"/>
    </w:pPr>
    <w:rPr>
      <w:i/>
      <w:u w:val="none"/>
    </w:rPr>
  </w:style>
  <w:style w:type="paragraph" w:styleId="FootnoteText">
    <w:name w:val="footnote text"/>
    <w:basedOn w:val="Normal"/>
    <w:link w:val="FootnoteTextChar"/>
    <w:uiPriority w:val="99"/>
    <w:unhideWhenUsed/>
    <w:rsid w:val="007A59F1"/>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7A59F1"/>
  </w:style>
  <w:style w:type="character" w:styleId="FootnoteReference">
    <w:name w:val="footnote reference"/>
    <w:basedOn w:val="DefaultParagraphFont"/>
    <w:uiPriority w:val="99"/>
    <w:semiHidden/>
    <w:unhideWhenUsed/>
    <w:rsid w:val="007A59F1"/>
    <w:rPr>
      <w:vertAlign w:val="superscript"/>
    </w:rPr>
  </w:style>
  <w:style w:type="character" w:styleId="Hyperlink">
    <w:name w:val="Hyperlink"/>
    <w:basedOn w:val="DefaultParagraphFont"/>
    <w:uiPriority w:val="99"/>
    <w:unhideWhenUsed/>
    <w:rsid w:val="007A59F1"/>
    <w:rPr>
      <w:color w:val="0000FF" w:themeColor="hyperlink"/>
      <w:u w:val="single"/>
    </w:rPr>
  </w:style>
  <w:style w:type="paragraph" w:styleId="ListParagraph">
    <w:name w:val="List Paragraph"/>
    <w:basedOn w:val="Normal"/>
    <w:uiPriority w:val="34"/>
    <w:qFormat/>
    <w:rsid w:val="007A59F1"/>
    <w:pPr>
      <w:spacing w:after="200" w:line="276" w:lineRule="auto"/>
      <w:ind w:left="720"/>
      <w:contextualSpacing/>
    </w:pPr>
    <w:rPr>
      <w:rFonts w:eastAsiaTheme="minorHAnsi" w:cstheme="minorBidi"/>
      <w:szCs w:val="22"/>
      <w:lang w:eastAsia="en-US"/>
    </w:rPr>
  </w:style>
  <w:style w:type="character" w:customStyle="1" w:styleId="ParaNoNdepar-AltNChar">
    <w:name w:val="Para. No. / Nº de par. - Alt N Char"/>
    <w:basedOn w:val="DefaultParagraphFont"/>
    <w:link w:val="ParaNoNdepar-AltN"/>
    <w:rsid w:val="007A59F1"/>
    <w:rPr>
      <w:rFonts w:eastAsiaTheme="minorEastAsia" w:cstheme="minorBidi"/>
      <w:sz w:val="24"/>
      <w:szCs w:val="22"/>
      <w:lang w:eastAsia="en-US"/>
    </w:rPr>
  </w:style>
  <w:style w:type="character" w:styleId="HTMLDefinition">
    <w:name w:val="HTML Definition"/>
    <w:basedOn w:val="DefaultParagraphFont"/>
    <w:uiPriority w:val="99"/>
    <w:semiHidden/>
    <w:unhideWhenUsed/>
    <w:rsid w:val="007A59F1"/>
    <w:rPr>
      <w:i/>
      <w:iCs/>
    </w:rPr>
  </w:style>
  <w:style w:type="character" w:customStyle="1" w:styleId="lawlabel">
    <w:name w:val="lawlabel"/>
    <w:basedOn w:val="DefaultParagraphFont"/>
    <w:rsid w:val="007A59F1"/>
  </w:style>
  <w:style w:type="paragraph" w:styleId="CommentSubject">
    <w:name w:val="annotation subject"/>
    <w:basedOn w:val="CommentText"/>
    <w:next w:val="CommentText"/>
    <w:link w:val="CommentSubjectChar"/>
    <w:uiPriority w:val="99"/>
    <w:semiHidden/>
    <w:unhideWhenUsed/>
    <w:rsid w:val="007A59F1"/>
    <w:rPr>
      <w:b/>
      <w:bCs/>
    </w:rPr>
  </w:style>
  <w:style w:type="character" w:customStyle="1" w:styleId="CommentSubjectChar">
    <w:name w:val="Comment Subject Char"/>
    <w:basedOn w:val="CommentTextChar"/>
    <w:link w:val="CommentSubject"/>
    <w:uiPriority w:val="99"/>
    <w:semiHidden/>
    <w:rsid w:val="007A59F1"/>
    <w:rPr>
      <w:b/>
      <w:bCs/>
    </w:rPr>
  </w:style>
  <w:style w:type="table" w:customStyle="1" w:styleId="TableGrid2">
    <w:name w:val="Table Grid2"/>
    <w:basedOn w:val="TableNormal"/>
    <w:next w:val="TableGrid"/>
    <w:uiPriority w:val="59"/>
    <w:rsid w:val="007A59F1"/>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12585</Words>
  <Characters>67147</Characters>
  <Application>Microsoft Office Word</Application>
  <DocSecurity>0</DocSecurity>
  <Lines>559</Lines>
  <Paragraphs>159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79573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2021-12-03T00:31:00Z</dcterms:created>
  <dcterms:modified xsi:type="dcterms:W3CDTF">2023-01-10T02:44:00Z</dcterms:modified>
</cp:coreProperties>
</file>