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484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2906"/>
        <w:gridCol w:w="840"/>
        <w:gridCol w:w="1526"/>
        <w:gridCol w:w="3749"/>
        <w:gridCol w:w="51"/>
      </w:tblGrid>
      <w:tr w:rsidR="00EF72F1" w:rsidRPr="00EC253B" w:rsidTr="00E67940">
        <w:trPr>
          <w:gridAfter w:val="1"/>
          <w:wAfter w:w="28" w:type="pct"/>
          <w:trHeight w:val="2103"/>
        </w:trPr>
        <w:tc>
          <w:tcPr>
            <w:tcW w:w="4972" w:type="pct"/>
            <w:gridSpan w:val="4"/>
          </w:tcPr>
          <w:p w:rsidR="00EF72F1" w:rsidRPr="00EC253B" w:rsidRDefault="00EF72F1" w:rsidP="001F3E0C">
            <w:pPr>
              <w:pStyle w:val="SCCBold"/>
              <w:jc w:val="center"/>
            </w:pPr>
            <w:r w:rsidRPr="00EC253B">
              <w:rPr>
                <w:noProof/>
                <w:lang w:val="fr-CA" w:eastAsia="fr-CA"/>
              </w:rPr>
              <w:drawing>
                <wp:inline distT="0" distB="0" distL="0" distR="0" wp14:anchorId="1B25E650" wp14:editId="180151F3">
                  <wp:extent cx="1191895" cy="1638300"/>
                  <wp:effectExtent l="0" t="0" r="8255" b="0"/>
                  <wp:docPr id="2" name="Picture 2" descr="cid:image001.jpg@01D72252.19B69D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72252.19B69DE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191895" cy="1638300"/>
                          </a:xfrm>
                          <a:prstGeom prst="rect">
                            <a:avLst/>
                          </a:prstGeom>
                          <a:noFill/>
                          <a:ln>
                            <a:noFill/>
                          </a:ln>
                        </pic:spPr>
                      </pic:pic>
                    </a:graphicData>
                  </a:graphic>
                </wp:inline>
              </w:drawing>
            </w:r>
          </w:p>
          <w:p w:rsidR="00EF72F1" w:rsidRPr="00EC253B" w:rsidRDefault="00EF72F1" w:rsidP="009764CA">
            <w:pPr>
              <w:spacing w:before="120" w:after="100" w:afterAutospacing="1"/>
              <w:jc w:val="center"/>
              <w:rPr>
                <w:rFonts w:eastAsia="Calibri"/>
              </w:rPr>
            </w:pPr>
            <w:r w:rsidRPr="00EC253B">
              <w:rPr>
                <w:rFonts w:eastAsia="Calibri"/>
                <w:b/>
              </w:rPr>
              <w:t>SUPREME COURT OF CANADA</w:t>
            </w:r>
          </w:p>
        </w:tc>
      </w:tr>
      <w:tr w:rsidR="00EF72F1" w:rsidRPr="00EC253B" w:rsidTr="00E67940">
        <w:tblPrEx>
          <w:tblCellMar>
            <w:top w:w="58" w:type="dxa"/>
            <w:left w:w="58" w:type="dxa"/>
            <w:bottom w:w="58" w:type="dxa"/>
            <w:right w:w="58" w:type="dxa"/>
          </w:tblCellMar>
        </w:tblPrEx>
        <w:trPr>
          <w:cantSplit/>
        </w:trPr>
        <w:tc>
          <w:tcPr>
            <w:tcW w:w="2065" w:type="pct"/>
            <w:gridSpan w:val="2"/>
          </w:tcPr>
          <w:p w:rsidR="00EF72F1" w:rsidRPr="00EC253B" w:rsidRDefault="00EF72F1" w:rsidP="00FC2782">
            <w:pPr>
              <w:rPr>
                <w:b/>
                <w:smallCaps/>
                <w:lang w:val="fr-CA"/>
              </w:rPr>
            </w:pPr>
          </w:p>
          <w:p w:rsidR="00EF72F1" w:rsidRPr="00EC253B" w:rsidRDefault="00EF72F1" w:rsidP="00FC2782">
            <w:pPr>
              <w:rPr>
                <w:b/>
                <w:smallCaps/>
                <w:lang w:val="fr-CA"/>
              </w:rPr>
            </w:pPr>
            <w:r w:rsidRPr="00EC253B">
              <w:rPr>
                <w:b/>
                <w:smallCaps/>
                <w:lang w:val="fr-CA"/>
              </w:rPr>
              <w:t>Citation:</w:t>
            </w:r>
            <w:r w:rsidRPr="00EC253B">
              <w:rPr>
                <w:lang w:val="fr-CA"/>
              </w:rPr>
              <w:t xml:space="preserve"> </w:t>
            </w:r>
            <w:r w:rsidR="006779AD" w:rsidRPr="00EC253B">
              <w:rPr>
                <w:lang w:val="fr-CA"/>
              </w:rPr>
              <w:t xml:space="preserve">R. </w:t>
            </w:r>
            <w:r w:rsidR="006779AD" w:rsidRPr="00EC253B">
              <w:rPr>
                <w:i/>
                <w:lang w:val="fr-CA"/>
              </w:rPr>
              <w:t>v.</w:t>
            </w:r>
            <w:r w:rsidR="00517A10" w:rsidRPr="00EC253B">
              <w:rPr>
                <w:lang w:val="fr-CA"/>
              </w:rPr>
              <w:t xml:space="preserve"> Pope</w:t>
            </w:r>
            <w:r w:rsidR="006779AD" w:rsidRPr="00EC253B">
              <w:rPr>
                <w:lang w:val="fr-CA"/>
              </w:rPr>
              <w:t xml:space="preserve">, </w:t>
            </w:r>
            <w:r w:rsidR="00517A10" w:rsidRPr="00EC253B">
              <w:rPr>
                <w:lang w:val="fr-CA"/>
              </w:rPr>
              <w:t xml:space="preserve">2022 SCC </w:t>
            </w:r>
            <w:r w:rsidR="00BB1C87" w:rsidRPr="00EC253B">
              <w:rPr>
                <w:lang w:val="fr-CA"/>
              </w:rPr>
              <w:t>8</w:t>
            </w:r>
          </w:p>
        </w:tc>
        <w:tc>
          <w:tcPr>
            <w:tcW w:w="841" w:type="pct"/>
          </w:tcPr>
          <w:p w:rsidR="00EF72F1" w:rsidRPr="00EC253B" w:rsidRDefault="00EF72F1" w:rsidP="00FC2782">
            <w:pPr>
              <w:rPr>
                <w:lang w:val="fr-CA"/>
              </w:rPr>
            </w:pPr>
          </w:p>
        </w:tc>
        <w:tc>
          <w:tcPr>
            <w:tcW w:w="2094" w:type="pct"/>
            <w:gridSpan w:val="2"/>
          </w:tcPr>
          <w:p w:rsidR="00EF72F1" w:rsidRPr="00EC253B" w:rsidRDefault="00EF72F1" w:rsidP="00451668">
            <w:pPr>
              <w:rPr>
                <w:b/>
                <w:smallCaps/>
                <w:lang w:val="fr-CA"/>
              </w:rPr>
            </w:pPr>
          </w:p>
          <w:p w:rsidR="00EF72F1" w:rsidRPr="00EC253B" w:rsidRDefault="00EF72F1" w:rsidP="00EA6DB9">
            <w:pPr>
              <w:jc w:val="both"/>
            </w:pPr>
            <w:r w:rsidRPr="00EC253B">
              <w:rPr>
                <w:b/>
                <w:smallCaps/>
              </w:rPr>
              <w:t>Appeal Heard:</w:t>
            </w:r>
            <w:r w:rsidRPr="00EC253B">
              <w:t xml:space="preserve"> </w:t>
            </w:r>
            <w:r w:rsidR="00517A10" w:rsidRPr="00EC253B">
              <w:t>March 21</w:t>
            </w:r>
            <w:r w:rsidR="006779AD" w:rsidRPr="00EC253B">
              <w:t>, 2022</w:t>
            </w:r>
          </w:p>
          <w:p w:rsidR="00EF72F1" w:rsidRPr="00EC253B" w:rsidRDefault="00EF72F1">
            <w:r w:rsidRPr="00EC253B">
              <w:rPr>
                <w:b/>
                <w:smallCaps/>
              </w:rPr>
              <w:t>Judgment Rendered:</w:t>
            </w:r>
            <w:r w:rsidRPr="00EC253B">
              <w:t xml:space="preserve"> </w:t>
            </w:r>
            <w:r w:rsidR="00517A10" w:rsidRPr="00EC253B">
              <w:t>March 21</w:t>
            </w:r>
            <w:r w:rsidR="006779AD" w:rsidRPr="00EC253B">
              <w:t>, 2022</w:t>
            </w:r>
          </w:p>
          <w:p w:rsidR="00EF72F1" w:rsidRPr="00EC253B" w:rsidRDefault="00EF72F1" w:rsidP="00540106">
            <w:r w:rsidRPr="00EC253B">
              <w:rPr>
                <w:b/>
                <w:smallCaps/>
              </w:rPr>
              <w:t>Docket:</w:t>
            </w:r>
            <w:r w:rsidRPr="00EC253B">
              <w:t xml:space="preserve"> </w:t>
            </w:r>
            <w:r w:rsidR="00517A10" w:rsidRPr="00EC253B">
              <w:t>39817</w:t>
            </w:r>
          </w:p>
        </w:tc>
      </w:tr>
      <w:tr w:rsidR="00EF72F1" w:rsidRPr="00EC253B" w:rsidTr="00E67940">
        <w:tblPrEx>
          <w:tblCellMar>
            <w:top w:w="58" w:type="dxa"/>
            <w:left w:w="58" w:type="dxa"/>
            <w:bottom w:w="58" w:type="dxa"/>
            <w:right w:w="58" w:type="dxa"/>
          </w:tblCellMar>
        </w:tblPrEx>
        <w:trPr>
          <w:gridAfter w:val="1"/>
          <w:wAfter w:w="28" w:type="pct"/>
        </w:trPr>
        <w:tc>
          <w:tcPr>
            <w:tcW w:w="4972" w:type="pct"/>
            <w:gridSpan w:val="4"/>
          </w:tcPr>
          <w:p w:rsidR="00EF72F1" w:rsidRPr="00EC253B" w:rsidRDefault="00EF72F1" w:rsidP="00EF72F1"/>
          <w:p w:rsidR="00ED6EEC" w:rsidRPr="00EC253B" w:rsidRDefault="001F7378">
            <w:pPr>
              <w:pStyle w:val="SCCLsocPrefix"/>
            </w:pPr>
            <w:r w:rsidRPr="00EC253B">
              <w:t>Between:</w:t>
            </w:r>
          </w:p>
          <w:p w:rsidR="006779AD" w:rsidRPr="00EC253B" w:rsidRDefault="006779AD" w:rsidP="006779AD"/>
          <w:p w:rsidR="000E2F0D" w:rsidRPr="00EC253B" w:rsidRDefault="000E2F0D" w:rsidP="000E2F0D">
            <w:pPr>
              <w:pStyle w:val="SCCLsocParty"/>
              <w:rPr>
                <w:b w:val="0"/>
                <w:bCs/>
              </w:rPr>
            </w:pPr>
            <w:r w:rsidRPr="00EC253B">
              <w:t>Her Majesty The Queen</w:t>
            </w:r>
          </w:p>
          <w:p w:rsidR="00ED6EEC" w:rsidRPr="00EC253B" w:rsidRDefault="001F7378" w:rsidP="000E2F0D">
            <w:pPr>
              <w:pStyle w:val="SCCLsocParty"/>
              <w:rPr>
                <w:b w:val="0"/>
              </w:rPr>
            </w:pPr>
            <w:r w:rsidRPr="00EC253B">
              <w:rPr>
                <w:b w:val="0"/>
              </w:rPr>
              <w:t>Appellant</w:t>
            </w:r>
          </w:p>
          <w:p w:rsidR="00ED6EEC" w:rsidRPr="00EC253B" w:rsidRDefault="00ED6EEC"/>
          <w:p w:rsidR="00ED6EEC" w:rsidRPr="00EC253B" w:rsidRDefault="006779AD">
            <w:pPr>
              <w:pStyle w:val="SCCLsocVersus"/>
            </w:pPr>
            <w:r w:rsidRPr="00EC253B">
              <w:t>and</w:t>
            </w:r>
          </w:p>
          <w:p w:rsidR="00ED6EEC" w:rsidRPr="00EC253B" w:rsidRDefault="00ED6EEC"/>
          <w:p w:rsidR="00ED6EEC" w:rsidRPr="00EC253B" w:rsidRDefault="000E2F0D">
            <w:pPr>
              <w:pStyle w:val="SCCLsocParty"/>
            </w:pPr>
            <w:r w:rsidRPr="00EC253B">
              <w:rPr>
                <w:rStyle w:val="Strong"/>
                <w:rFonts w:ascii="Helvetica Neue" w:hAnsi="Helvetica Neue"/>
                <w:b/>
                <w:color w:val="333333"/>
                <w:shd w:val="clear" w:color="auto" w:fill="FFFFFF"/>
              </w:rPr>
              <w:t>Craig Pope</w:t>
            </w:r>
          </w:p>
          <w:p w:rsidR="00ED6EEC" w:rsidRPr="00EC253B" w:rsidRDefault="001F7378">
            <w:pPr>
              <w:pStyle w:val="SCCLsocPartyRole"/>
            </w:pPr>
            <w:r w:rsidRPr="00EC253B">
              <w:t>Respondent</w:t>
            </w:r>
          </w:p>
          <w:p w:rsidR="00ED6EEC" w:rsidRPr="00EC253B" w:rsidRDefault="00ED6EEC"/>
          <w:p w:rsidR="00EF72F1" w:rsidRPr="00EC253B" w:rsidRDefault="00EF72F1" w:rsidP="00EF72F1"/>
          <w:p w:rsidR="00261713" w:rsidRPr="00EC253B" w:rsidRDefault="00261713" w:rsidP="00EF72F1"/>
          <w:p w:rsidR="00EF72F1" w:rsidRPr="00EC253B" w:rsidRDefault="00EF72F1" w:rsidP="00EF72F1">
            <w:r w:rsidRPr="00EC253B">
              <w:rPr>
                <w:b/>
                <w:smallCaps/>
              </w:rPr>
              <w:t>Coram:</w:t>
            </w:r>
            <w:r w:rsidRPr="00EC253B">
              <w:t xml:space="preserve"> </w:t>
            </w:r>
            <w:r w:rsidR="002948AF" w:rsidRPr="00EC253B">
              <w:t>Wagner C.J. and Moldaver, Karakatsanis, Côté, Brown, Rowe, Martin, Kasirer and Jamal JJ</w:t>
            </w:r>
            <w:r w:rsidRPr="00EC253B">
              <w:t>.</w:t>
            </w:r>
          </w:p>
          <w:p w:rsidR="00EF72F1" w:rsidRPr="00EC253B" w:rsidRDefault="00EF72F1" w:rsidP="00451668">
            <w:pPr>
              <w:rPr>
                <w:b/>
                <w:smallCaps/>
              </w:rPr>
            </w:pPr>
          </w:p>
        </w:tc>
      </w:tr>
      <w:tr w:rsidR="004E69EC" w:rsidRPr="00EC253B" w:rsidTr="00E67940">
        <w:tblPrEx>
          <w:tblCellMar>
            <w:top w:w="58" w:type="dxa"/>
            <w:left w:w="58" w:type="dxa"/>
            <w:bottom w:w="58" w:type="dxa"/>
            <w:right w:w="58" w:type="dxa"/>
          </w:tblCellMar>
        </w:tblPrEx>
        <w:trPr>
          <w:gridAfter w:val="1"/>
          <w:wAfter w:w="28" w:type="pct"/>
          <w:cantSplit/>
        </w:trPr>
        <w:tc>
          <w:tcPr>
            <w:tcW w:w="1602" w:type="pct"/>
            <w:vAlign w:val="center"/>
          </w:tcPr>
          <w:p w:rsidR="004E69EC" w:rsidRPr="00EC253B" w:rsidRDefault="00517EB1" w:rsidP="00F468B4">
            <w:pPr>
              <w:rPr>
                <w:smallCaps/>
              </w:rPr>
            </w:pPr>
            <w:r w:rsidRPr="00EC253B">
              <w:rPr>
                <w:rFonts w:eastAsia="Times New Roman" w:cs="Times New Roman"/>
                <w:b/>
                <w:bCs/>
                <w:smallCaps/>
                <w:color w:val="000000"/>
              </w:rPr>
              <w:t>Judgment Read By:</w:t>
            </w:r>
          </w:p>
          <w:p w:rsidR="00EC6CDA" w:rsidRPr="00EC253B" w:rsidRDefault="006779AD" w:rsidP="008323E2">
            <w:r w:rsidRPr="00EC253B">
              <w:t xml:space="preserve">(paras. 1 </w:t>
            </w:r>
            <w:r w:rsidR="002948AF" w:rsidRPr="00EC253B">
              <w:t xml:space="preserve">to </w:t>
            </w:r>
            <w:r w:rsidR="008323E2" w:rsidRPr="00EC253B">
              <w:t>2</w:t>
            </w:r>
            <w:r w:rsidRPr="00EC253B">
              <w:t>)</w:t>
            </w:r>
          </w:p>
        </w:tc>
        <w:tc>
          <w:tcPr>
            <w:tcW w:w="3370" w:type="pct"/>
            <w:gridSpan w:val="3"/>
          </w:tcPr>
          <w:p w:rsidR="004E69EC" w:rsidRPr="00EC253B" w:rsidRDefault="00BB1C87" w:rsidP="00BB1C87">
            <w:r w:rsidRPr="00EC253B">
              <w:t>Wagner C.</w:t>
            </w:r>
            <w:r w:rsidR="00564C88" w:rsidRPr="00EC253B">
              <w:t>J.</w:t>
            </w:r>
          </w:p>
        </w:tc>
      </w:tr>
      <w:tr w:rsidR="00BB1C87" w:rsidRPr="00EC253B" w:rsidTr="00E67940">
        <w:tblPrEx>
          <w:tblCellMar>
            <w:top w:w="58" w:type="dxa"/>
            <w:left w:w="58" w:type="dxa"/>
            <w:bottom w:w="58" w:type="dxa"/>
            <w:right w:w="58" w:type="dxa"/>
          </w:tblCellMar>
        </w:tblPrEx>
        <w:trPr>
          <w:gridAfter w:val="1"/>
          <w:wAfter w:w="28" w:type="pct"/>
          <w:cantSplit/>
          <w:trHeight w:val="432"/>
        </w:trPr>
        <w:tc>
          <w:tcPr>
            <w:tcW w:w="1602" w:type="pct"/>
            <w:vAlign w:val="center"/>
          </w:tcPr>
          <w:p w:rsidR="00BB1C87" w:rsidRPr="00EC253B" w:rsidRDefault="00BB1C87" w:rsidP="00F468B4">
            <w:pPr>
              <w:rPr>
                <w:rStyle w:val="SCCReasonsTitleChar"/>
                <w:b w:val="0"/>
              </w:rPr>
            </w:pPr>
            <w:r w:rsidRPr="00EC253B">
              <w:rPr>
                <w:rFonts w:eastAsia="Times New Roman" w:cs="Times New Roman"/>
                <w:b/>
                <w:bCs/>
                <w:smallCaps/>
                <w:color w:val="000000"/>
              </w:rPr>
              <w:t>Majority:</w:t>
            </w:r>
          </w:p>
        </w:tc>
        <w:tc>
          <w:tcPr>
            <w:tcW w:w="3370" w:type="pct"/>
            <w:gridSpan w:val="3"/>
            <w:vAlign w:val="center"/>
          </w:tcPr>
          <w:p w:rsidR="00BB1C87" w:rsidRPr="00EC253B" w:rsidRDefault="00BB1C87">
            <w:r w:rsidRPr="00EC253B">
              <w:t xml:space="preserve">Moldaver, </w:t>
            </w:r>
            <w:r w:rsidR="002D73E2" w:rsidRPr="00EC253B">
              <w:t>Karakatsanis, Brown, Kasirer</w:t>
            </w:r>
            <w:r w:rsidRPr="00EC253B">
              <w:t xml:space="preserve"> and Jamal JJ.</w:t>
            </w:r>
          </w:p>
        </w:tc>
      </w:tr>
      <w:tr w:rsidR="00BB1C87" w:rsidRPr="00EC253B" w:rsidTr="00E67940">
        <w:tblPrEx>
          <w:tblCellMar>
            <w:top w:w="58" w:type="dxa"/>
            <w:left w:w="58" w:type="dxa"/>
            <w:bottom w:w="58" w:type="dxa"/>
            <w:right w:w="58" w:type="dxa"/>
          </w:tblCellMar>
        </w:tblPrEx>
        <w:trPr>
          <w:gridAfter w:val="1"/>
          <w:wAfter w:w="28" w:type="pct"/>
          <w:cantSplit/>
          <w:trHeight w:val="504"/>
        </w:trPr>
        <w:tc>
          <w:tcPr>
            <w:tcW w:w="1602" w:type="pct"/>
            <w:vAlign w:val="center"/>
          </w:tcPr>
          <w:p w:rsidR="00BB1C87" w:rsidRPr="00EC253B" w:rsidRDefault="002D4333" w:rsidP="00F468B4">
            <w:pPr>
              <w:rPr>
                <w:rStyle w:val="SCCReasonsTitleChar"/>
                <w:rFonts w:eastAsia="Times New Roman" w:cs="Times New Roman"/>
                <w:bCs/>
                <w:smallCaps/>
                <w:color w:val="000000"/>
              </w:rPr>
            </w:pPr>
            <w:r w:rsidRPr="00EC253B">
              <w:rPr>
                <w:rStyle w:val="SCCReasonsTitleChar"/>
                <w:smallCaps/>
              </w:rPr>
              <w:t>Dissent</w:t>
            </w:r>
            <w:r w:rsidR="00BB1C87" w:rsidRPr="00EC253B">
              <w:rPr>
                <w:rStyle w:val="SCCReasonsTitleChar"/>
                <w:smallCaps/>
              </w:rPr>
              <w:t>:</w:t>
            </w:r>
          </w:p>
        </w:tc>
        <w:tc>
          <w:tcPr>
            <w:tcW w:w="3370" w:type="pct"/>
            <w:gridSpan w:val="3"/>
            <w:vAlign w:val="center"/>
          </w:tcPr>
          <w:p w:rsidR="00BB1C87" w:rsidRPr="00EC253B" w:rsidRDefault="002D73E2" w:rsidP="00F468B4">
            <w:r w:rsidRPr="00EC253B">
              <w:t xml:space="preserve">Wagner C.J. and </w:t>
            </w:r>
            <w:r w:rsidR="00BB1C87" w:rsidRPr="00EC253B">
              <w:t>Côté</w:t>
            </w:r>
            <w:r w:rsidRPr="00EC253B">
              <w:t>, Rowe</w:t>
            </w:r>
            <w:r w:rsidR="00A37CAE" w:rsidRPr="00EC253B">
              <w:t xml:space="preserve"> and </w:t>
            </w:r>
            <w:r w:rsidRPr="00EC253B">
              <w:t>Martin</w:t>
            </w:r>
            <w:r w:rsidR="00BB1C87" w:rsidRPr="00EC253B">
              <w:t> J</w:t>
            </w:r>
            <w:r w:rsidR="002D4333" w:rsidRPr="00EC253B">
              <w:t>J</w:t>
            </w:r>
            <w:r w:rsidR="00BB1C87" w:rsidRPr="00EC253B">
              <w:t>.</w:t>
            </w:r>
          </w:p>
        </w:tc>
      </w:tr>
      <w:tr w:rsidR="00BB1C87" w:rsidRPr="00EC253B" w:rsidTr="00E67940">
        <w:tblPrEx>
          <w:tblCellMar>
            <w:top w:w="58" w:type="dxa"/>
            <w:left w:w="58" w:type="dxa"/>
            <w:bottom w:w="58" w:type="dxa"/>
            <w:right w:w="58" w:type="dxa"/>
          </w:tblCellMar>
        </w:tblPrEx>
        <w:trPr>
          <w:gridAfter w:val="1"/>
          <w:wAfter w:w="28" w:type="pct"/>
          <w:cantSplit/>
          <w:trHeight w:val="504"/>
        </w:trPr>
        <w:tc>
          <w:tcPr>
            <w:tcW w:w="4972" w:type="pct"/>
            <w:gridSpan w:val="4"/>
          </w:tcPr>
          <w:p w:rsidR="00BB1C87" w:rsidRPr="00EC253B" w:rsidRDefault="00BB1C87" w:rsidP="00F468B4">
            <w:pPr>
              <w:rPr>
                <w:lang w:val="en-US"/>
              </w:rPr>
            </w:pPr>
          </w:p>
        </w:tc>
      </w:tr>
      <w:tr w:rsidR="00BB1C87" w:rsidRPr="00EC253B" w:rsidTr="00E67940">
        <w:tblPrEx>
          <w:tblCellMar>
            <w:top w:w="58" w:type="dxa"/>
            <w:left w:w="58" w:type="dxa"/>
            <w:bottom w:w="58" w:type="dxa"/>
            <w:right w:w="58" w:type="dxa"/>
          </w:tblCellMar>
        </w:tblPrEx>
        <w:trPr>
          <w:gridAfter w:val="1"/>
          <w:wAfter w:w="28" w:type="pct"/>
          <w:cantSplit/>
        </w:trPr>
        <w:tc>
          <w:tcPr>
            <w:tcW w:w="4972" w:type="pct"/>
            <w:gridSpan w:val="4"/>
          </w:tcPr>
          <w:p w:rsidR="00BB1C87" w:rsidRPr="00EC253B" w:rsidRDefault="00BB1C87" w:rsidP="000C2AD4">
            <w:pPr>
              <w:rPr>
                <w:lang w:val="en-US"/>
              </w:rPr>
            </w:pPr>
          </w:p>
        </w:tc>
      </w:tr>
    </w:tbl>
    <w:p w:rsidR="00ED6EEC" w:rsidRPr="00EC253B" w:rsidRDefault="00ED6EEC">
      <w:pPr>
        <w:rPr>
          <w:lang w:val="en-US"/>
        </w:rPr>
      </w:pPr>
    </w:p>
    <w:p w:rsidR="001B299D" w:rsidRPr="00EC253B" w:rsidRDefault="001B299D" w:rsidP="001B299D">
      <w:pPr>
        <w:rPr>
          <w:lang w:val="en-US"/>
        </w:rPr>
      </w:pPr>
    </w:p>
    <w:p w:rsidR="00904937" w:rsidRPr="00EC253B" w:rsidRDefault="00904937" w:rsidP="00076773">
      <w:pPr>
        <w:pStyle w:val="SCCBold"/>
        <w:rPr>
          <w:b w:val="0"/>
        </w:rPr>
      </w:pPr>
      <w:r w:rsidRPr="00EC253B">
        <w:rPr>
          <w:smallCaps/>
        </w:rPr>
        <w:lastRenderedPageBreak/>
        <w:t>Note:</w:t>
      </w:r>
      <w:r w:rsidRPr="00EC253B">
        <w:t xml:space="preserve"> </w:t>
      </w:r>
      <w:r w:rsidRPr="00EC253B">
        <w:rPr>
          <w:b w:val="0"/>
        </w:rPr>
        <w:t>This do</w:t>
      </w:r>
      <w:r w:rsidR="009E7065" w:rsidRPr="00EC253B">
        <w:rPr>
          <w:b w:val="0"/>
        </w:rPr>
        <w:t>c</w:t>
      </w:r>
      <w:r w:rsidRPr="00EC253B">
        <w:rPr>
          <w:b w:val="0"/>
        </w:rPr>
        <w:t xml:space="preserve">ument is subject to editorial revision before its reproduction in final form in the </w:t>
      </w:r>
      <w:r w:rsidRPr="00EC253B">
        <w:rPr>
          <w:b w:val="0"/>
          <w:i/>
        </w:rPr>
        <w:t>Canada Supreme Court Reports</w:t>
      </w:r>
      <w:r w:rsidRPr="00EC253B">
        <w:rPr>
          <w:b w:val="0"/>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8"/>
        <w:gridCol w:w="3744"/>
        <w:gridCol w:w="2808"/>
      </w:tblGrid>
      <w:tr w:rsidR="00087E50" w:rsidRPr="00EC253B" w:rsidTr="003375C9">
        <w:tc>
          <w:tcPr>
            <w:tcW w:w="1500" w:type="pct"/>
            <w:tcMar>
              <w:top w:w="284" w:type="dxa"/>
            </w:tcMar>
          </w:tcPr>
          <w:p w:rsidR="00087E50" w:rsidRPr="00EC253B" w:rsidRDefault="00087E50" w:rsidP="003375C9">
            <w:pPr>
              <w:rPr>
                <w:rFonts w:eastAsia="Calibri"/>
              </w:rPr>
            </w:pPr>
          </w:p>
        </w:tc>
        <w:tc>
          <w:tcPr>
            <w:tcW w:w="2000" w:type="pct"/>
            <w:tcBorders>
              <w:bottom w:val="single" w:sz="4" w:space="0" w:color="auto"/>
            </w:tcBorders>
            <w:tcMar>
              <w:top w:w="284" w:type="dxa"/>
            </w:tcMar>
          </w:tcPr>
          <w:p w:rsidR="00087E50" w:rsidRPr="00EC253B" w:rsidRDefault="00087E50" w:rsidP="003375C9">
            <w:pPr>
              <w:rPr>
                <w:rFonts w:eastAsia="Calibri"/>
              </w:rPr>
            </w:pPr>
          </w:p>
        </w:tc>
        <w:tc>
          <w:tcPr>
            <w:tcW w:w="1500" w:type="pct"/>
            <w:tcMar>
              <w:top w:w="284" w:type="dxa"/>
            </w:tcMar>
          </w:tcPr>
          <w:p w:rsidR="00087E50" w:rsidRPr="00EC253B" w:rsidRDefault="00087E50" w:rsidP="003375C9">
            <w:pPr>
              <w:rPr>
                <w:rFonts w:eastAsia="Calibri"/>
              </w:rPr>
            </w:pPr>
          </w:p>
        </w:tc>
      </w:tr>
    </w:tbl>
    <w:p w:rsidR="00E67940" w:rsidRPr="00EC253B" w:rsidRDefault="00E67940"/>
    <w:p w:rsidR="003D2909" w:rsidRDefault="003D2909" w:rsidP="00E60E9E">
      <w:pPr>
        <w:tabs>
          <w:tab w:val="right" w:pos="8222"/>
        </w:tabs>
        <w:spacing w:after="720"/>
        <w:rPr>
          <w:rFonts w:eastAsia="Times New Roman" w:cs="Times New Roman"/>
          <w:b/>
          <w:szCs w:val="20"/>
          <w:lang w:eastAsia="en-CA"/>
        </w:rPr>
      </w:pPr>
    </w:p>
    <w:p w:rsidR="00E60E9E" w:rsidRPr="00E60E9E" w:rsidRDefault="00E60E9E" w:rsidP="00E60E9E">
      <w:pPr>
        <w:tabs>
          <w:tab w:val="right" w:pos="8222"/>
        </w:tabs>
        <w:spacing w:after="720"/>
        <w:rPr>
          <w:rFonts w:eastAsia="Times New Roman" w:cs="Times New Roman"/>
          <w:b/>
          <w:szCs w:val="20"/>
          <w:lang w:eastAsia="en-CA"/>
        </w:rPr>
      </w:pPr>
      <w:bookmarkStart w:id="0" w:name="_GoBack"/>
      <w:bookmarkEnd w:id="0"/>
      <w:r w:rsidRPr="00E60E9E">
        <w:rPr>
          <w:rFonts w:eastAsia="Times New Roman" w:cs="Times New Roman"/>
          <w:b/>
          <w:szCs w:val="20"/>
          <w:lang w:eastAsia="en-CA"/>
        </w:rPr>
        <w:t>Her Majesty The Queen</w:t>
      </w:r>
      <w:r w:rsidRPr="00E60E9E">
        <w:rPr>
          <w:rFonts w:eastAsia="Times New Roman" w:cs="Times New Roman"/>
          <w:i/>
          <w:szCs w:val="20"/>
          <w:lang w:eastAsia="en-CA"/>
        </w:rPr>
        <w:tab/>
        <w:t>Appellant</w:t>
      </w:r>
    </w:p>
    <w:p w:rsidR="00E60E9E" w:rsidRPr="00E60E9E" w:rsidRDefault="00E60E9E" w:rsidP="00E60E9E">
      <w:pPr>
        <w:spacing w:after="720"/>
        <w:rPr>
          <w:rFonts w:eastAsia="Times New Roman" w:cs="Times New Roman"/>
          <w:i/>
          <w:szCs w:val="20"/>
          <w:lang w:eastAsia="en-CA"/>
        </w:rPr>
      </w:pPr>
      <w:r w:rsidRPr="00E60E9E">
        <w:rPr>
          <w:rFonts w:eastAsia="Times New Roman" w:cs="Times New Roman"/>
          <w:i/>
          <w:szCs w:val="20"/>
          <w:lang w:eastAsia="en-CA"/>
        </w:rPr>
        <w:t>v.</w:t>
      </w:r>
    </w:p>
    <w:p w:rsidR="00E60E9E" w:rsidRPr="00E60E9E" w:rsidRDefault="00E60E9E" w:rsidP="00E60E9E">
      <w:pPr>
        <w:tabs>
          <w:tab w:val="right" w:pos="8222"/>
        </w:tabs>
        <w:spacing w:after="720"/>
        <w:rPr>
          <w:rFonts w:eastAsia="Times New Roman" w:cs="Times New Roman"/>
          <w:b/>
          <w:szCs w:val="20"/>
          <w:lang w:eastAsia="en-CA"/>
        </w:rPr>
      </w:pPr>
      <w:r w:rsidRPr="00E60E9E">
        <w:rPr>
          <w:rFonts w:eastAsia="Times New Roman" w:cs="Times New Roman"/>
          <w:b/>
          <w:szCs w:val="20"/>
          <w:lang w:eastAsia="en-CA"/>
        </w:rPr>
        <w:t>Craig Pope</w:t>
      </w:r>
      <w:r w:rsidRPr="00E60E9E">
        <w:rPr>
          <w:rFonts w:eastAsia="Times New Roman" w:cs="Times New Roman"/>
          <w:i/>
          <w:szCs w:val="20"/>
          <w:lang w:eastAsia="en-CA"/>
        </w:rPr>
        <w:tab/>
        <w:t>Respondent</w:t>
      </w:r>
    </w:p>
    <w:p w:rsidR="00E60E9E" w:rsidRPr="00E60E9E" w:rsidRDefault="00E60E9E" w:rsidP="00E60E9E">
      <w:pPr>
        <w:spacing w:after="720"/>
        <w:jc w:val="both"/>
        <w:rPr>
          <w:rFonts w:eastAsia="Times New Roman" w:cs="Times New Roman"/>
          <w:b/>
          <w:szCs w:val="20"/>
          <w:lang w:eastAsia="en-CA"/>
        </w:rPr>
      </w:pPr>
      <w:r w:rsidRPr="00E60E9E">
        <w:rPr>
          <w:rFonts w:eastAsia="Times New Roman" w:cs="Times New Roman"/>
          <w:b/>
          <w:szCs w:val="20"/>
          <w:lang w:eastAsia="en-CA"/>
        </w:rPr>
        <w:t xml:space="preserve">Indexed as: R. </w:t>
      </w:r>
      <w:r w:rsidRPr="00E60E9E">
        <w:rPr>
          <w:rFonts w:eastAsia="Times New Roman" w:cs="Times New Roman"/>
          <w:b/>
          <w:i/>
          <w:szCs w:val="20"/>
          <w:lang w:eastAsia="en-CA"/>
        </w:rPr>
        <w:t>v.</w:t>
      </w:r>
      <w:r w:rsidRPr="00E60E9E">
        <w:rPr>
          <w:rFonts w:eastAsia="Times New Roman" w:cs="Times New Roman"/>
          <w:b/>
          <w:szCs w:val="20"/>
          <w:lang w:eastAsia="en-CA"/>
        </w:rPr>
        <w:t xml:space="preserve"> Pope</w:t>
      </w:r>
    </w:p>
    <w:p w:rsidR="00E60E9E" w:rsidRPr="00E60E9E" w:rsidRDefault="00E60E9E" w:rsidP="00E60E9E">
      <w:pPr>
        <w:spacing w:after="720"/>
        <w:jc w:val="both"/>
        <w:rPr>
          <w:rFonts w:eastAsia="Times New Roman" w:cs="Times New Roman"/>
          <w:b/>
          <w:szCs w:val="20"/>
          <w:lang w:eastAsia="en-CA"/>
        </w:rPr>
      </w:pPr>
      <w:r w:rsidRPr="00E60E9E">
        <w:rPr>
          <w:rFonts w:eastAsia="Times New Roman" w:cs="Times New Roman"/>
          <w:b/>
          <w:szCs w:val="20"/>
          <w:lang w:eastAsia="en-CA"/>
        </w:rPr>
        <w:t>2022 SCC 8</w:t>
      </w:r>
    </w:p>
    <w:p w:rsidR="00E60E9E" w:rsidRPr="00E60E9E" w:rsidRDefault="00E60E9E" w:rsidP="00E60E9E">
      <w:pPr>
        <w:spacing w:after="720"/>
        <w:jc w:val="both"/>
        <w:rPr>
          <w:rFonts w:eastAsia="Times New Roman" w:cs="Times New Roman"/>
          <w:szCs w:val="20"/>
          <w:lang w:eastAsia="en-CA"/>
        </w:rPr>
      </w:pPr>
      <w:r w:rsidRPr="00E60E9E">
        <w:rPr>
          <w:rFonts w:eastAsia="Times New Roman" w:cs="Times New Roman"/>
          <w:szCs w:val="20"/>
          <w:lang w:eastAsia="en-CA"/>
        </w:rPr>
        <w:t>File No.: 39817.</w:t>
      </w:r>
    </w:p>
    <w:p w:rsidR="00E60E9E" w:rsidRPr="00E60E9E" w:rsidRDefault="00E60E9E" w:rsidP="00E60E9E">
      <w:pPr>
        <w:spacing w:after="720"/>
        <w:jc w:val="both"/>
        <w:rPr>
          <w:rFonts w:eastAsia="Times New Roman" w:cs="Times New Roman"/>
          <w:szCs w:val="20"/>
          <w:lang w:eastAsia="en-CA"/>
        </w:rPr>
      </w:pPr>
      <w:r w:rsidRPr="00E60E9E">
        <w:rPr>
          <w:rFonts w:eastAsia="Times New Roman" w:cs="Times New Roman"/>
          <w:szCs w:val="20"/>
          <w:lang w:eastAsia="en-CA"/>
        </w:rPr>
        <w:t>2022: March 21.</w:t>
      </w:r>
    </w:p>
    <w:p w:rsidR="00E60E9E" w:rsidRPr="00E60E9E" w:rsidRDefault="00E60E9E" w:rsidP="00E60E9E">
      <w:pPr>
        <w:spacing w:after="720"/>
        <w:jc w:val="both"/>
        <w:rPr>
          <w:rFonts w:eastAsia="Times New Roman" w:cs="Times New Roman"/>
          <w:szCs w:val="20"/>
          <w:lang w:eastAsia="en-CA"/>
        </w:rPr>
      </w:pPr>
      <w:r w:rsidRPr="00E60E9E">
        <w:rPr>
          <w:rFonts w:eastAsia="Times New Roman" w:cs="Times New Roman"/>
          <w:szCs w:val="20"/>
          <w:lang w:eastAsia="en-CA"/>
        </w:rPr>
        <w:t>Present: Wagner C.J. and Moldaver, Karakatsanis, Côté, Brown, Rowe, Martin, Kasirer and Jamal JJ.</w:t>
      </w:r>
    </w:p>
    <w:p w:rsidR="00E60E9E" w:rsidRPr="00E60E9E" w:rsidRDefault="00E60E9E" w:rsidP="00E60E9E">
      <w:pPr>
        <w:tabs>
          <w:tab w:val="left" w:pos="1168"/>
        </w:tabs>
        <w:spacing w:after="720"/>
        <w:jc w:val="both"/>
        <w:rPr>
          <w:rFonts w:eastAsia="Times New Roman" w:cs="Times New Roman"/>
          <w:smallCaps/>
          <w:szCs w:val="20"/>
          <w:lang w:eastAsia="en-CA"/>
        </w:rPr>
      </w:pPr>
      <w:r w:rsidRPr="00E60E9E">
        <w:rPr>
          <w:rFonts w:eastAsia="Times New Roman" w:cs="Times New Roman"/>
          <w:smallCaps/>
          <w:szCs w:val="20"/>
          <w:lang w:eastAsia="en-CA"/>
        </w:rPr>
        <w:t>on appeal from the court of appeal for newfoundland and labrador</w:t>
      </w:r>
    </w:p>
    <w:p w:rsidR="00E60E9E" w:rsidRPr="00E60E9E" w:rsidRDefault="00E60E9E" w:rsidP="00E60E9E">
      <w:pPr>
        <w:tabs>
          <w:tab w:val="left" w:pos="1168"/>
        </w:tabs>
        <w:spacing w:after="480" w:line="480" w:lineRule="auto"/>
        <w:jc w:val="both"/>
        <w:rPr>
          <w:rFonts w:eastAsia="Times New Roman" w:cs="Times New Roman"/>
          <w:i/>
          <w:szCs w:val="20"/>
          <w:lang w:eastAsia="en-CA"/>
        </w:rPr>
      </w:pPr>
      <w:r w:rsidRPr="00E60E9E">
        <w:rPr>
          <w:rFonts w:eastAsia="Times New Roman" w:cs="Times New Roman"/>
          <w:szCs w:val="20"/>
          <w:lang w:eastAsia="en-CA"/>
        </w:rPr>
        <w:tab/>
      </w:r>
      <w:r w:rsidRPr="00E60E9E">
        <w:rPr>
          <w:rFonts w:eastAsia="Times New Roman" w:cs="Times New Roman"/>
          <w:i/>
          <w:szCs w:val="20"/>
          <w:lang w:eastAsia="en-CA"/>
        </w:rPr>
        <w:t>Criminal law — Charge to jury — Manslaughter — Accused charged with second degree murder — Trial judge instructing jury on second degree murder and included offence of manslaughter — Jury finding accused guilty of second degree murder — Accused appealing conviction on basis that jury not properly instructed on manslaughter — Majority of Court of Appeal holding that trial judge erred by failing to properly instruct jury on manslaughter as he did not explain difference between murder and manslaughter with sufficient clarity, particularly regarding the question of intent — Majority quashing conviction and ordering new trial — Dissenting judge finding that trial judge’s instructions sufficient on elements of manslaughter — Order for new trial upheld.</w:t>
      </w:r>
    </w:p>
    <w:p w:rsidR="00E60E9E" w:rsidRPr="00E60E9E" w:rsidRDefault="00E60E9E" w:rsidP="00E60E9E">
      <w:pPr>
        <w:tabs>
          <w:tab w:val="left" w:pos="1168"/>
        </w:tabs>
        <w:spacing w:after="480" w:line="480" w:lineRule="auto"/>
        <w:jc w:val="both"/>
        <w:rPr>
          <w:rFonts w:eastAsia="Times New Roman" w:cs="Times New Roman"/>
          <w:szCs w:val="20"/>
          <w:lang w:eastAsia="en-CA"/>
        </w:rPr>
      </w:pPr>
      <w:r w:rsidRPr="00E60E9E">
        <w:rPr>
          <w:rFonts w:eastAsia="Times New Roman" w:cs="Times New Roman"/>
          <w:szCs w:val="20"/>
          <w:lang w:eastAsia="en-CA"/>
        </w:rPr>
        <w:tab/>
        <w:t xml:space="preserve">APPEAL from a judgment of the Newfoundland and Labrador Court of Appeal (Welsh, Goodridge and Butler JJ.A.), </w:t>
      </w:r>
      <w:hyperlink r:id="rId9" w:history="1">
        <w:r w:rsidRPr="00E60E9E">
          <w:rPr>
            <w:rFonts w:eastAsia="Times New Roman" w:cs="Times New Roman"/>
            <w:color w:val="660000"/>
            <w:szCs w:val="20"/>
            <w:lang w:eastAsia="en-CA"/>
          </w:rPr>
          <w:t>2021 NLCA 47</w:t>
        </w:r>
      </w:hyperlink>
      <w:r w:rsidRPr="00E60E9E">
        <w:rPr>
          <w:rFonts w:eastAsia="Times New Roman" w:cs="Times New Roman"/>
          <w:szCs w:val="20"/>
          <w:lang w:eastAsia="en-CA"/>
        </w:rPr>
        <w:t>, 74 C.R. (7th) 1, 466 D.L.R. (4th) 640, [2021] N.J. No. 234 (QL), 2021 CarswellNfld 287 (WL), quashing the conviction of the accused for second degree murder and ordering a new trial.</w:t>
      </w:r>
      <w:r w:rsidRPr="00E60E9E">
        <w:rPr>
          <w:rFonts w:eastAsia="Times New Roman" w:cs="Times New Roman"/>
          <w:color w:val="000000"/>
          <w:szCs w:val="20"/>
          <w:lang w:eastAsia="en-CA"/>
        </w:rPr>
        <w:t xml:space="preserve"> Appeal dismissed, </w:t>
      </w:r>
      <w:r w:rsidRPr="00E60E9E">
        <w:rPr>
          <w:rFonts w:eastAsia="Times New Roman" w:cs="Times New Roman"/>
          <w:szCs w:val="20"/>
          <w:lang w:eastAsia="en-CA"/>
        </w:rPr>
        <w:t>Wagner C.J. and Côté, Rowe and Martin JJ. dissenting.</w:t>
      </w:r>
    </w:p>
    <w:p w:rsidR="00E60E9E" w:rsidRPr="00E60E9E" w:rsidRDefault="00E60E9E" w:rsidP="00E60E9E">
      <w:pPr>
        <w:tabs>
          <w:tab w:val="left" w:pos="1168"/>
        </w:tabs>
        <w:spacing w:after="480" w:line="480" w:lineRule="auto"/>
        <w:jc w:val="both"/>
        <w:rPr>
          <w:rFonts w:eastAsia="Times New Roman" w:cs="Times New Roman"/>
          <w:szCs w:val="20"/>
          <w:lang w:eastAsia="en-CA"/>
        </w:rPr>
      </w:pPr>
      <w:r w:rsidRPr="00E60E9E">
        <w:rPr>
          <w:rFonts w:eastAsia="Times New Roman" w:cs="Times New Roman"/>
          <w:i/>
          <w:szCs w:val="20"/>
          <w:lang w:eastAsia="en-CA"/>
        </w:rPr>
        <w:tab/>
        <w:t>Dana E. Sullivan</w:t>
      </w:r>
      <w:r w:rsidRPr="00E60E9E">
        <w:rPr>
          <w:rFonts w:eastAsia="Times New Roman" w:cs="Times New Roman"/>
          <w:szCs w:val="20"/>
          <w:lang w:eastAsia="en-CA"/>
        </w:rPr>
        <w:t>, for the appellant.</w:t>
      </w:r>
    </w:p>
    <w:p w:rsidR="00E60E9E" w:rsidRPr="00E60E9E" w:rsidRDefault="00E60E9E" w:rsidP="00E60E9E">
      <w:pPr>
        <w:tabs>
          <w:tab w:val="left" w:pos="1168"/>
        </w:tabs>
        <w:spacing w:after="480" w:line="480" w:lineRule="auto"/>
        <w:jc w:val="both"/>
        <w:rPr>
          <w:rFonts w:eastAsia="Times New Roman" w:cs="Times New Roman"/>
          <w:szCs w:val="20"/>
          <w:lang w:eastAsia="en-CA"/>
        </w:rPr>
      </w:pPr>
      <w:r w:rsidRPr="00E60E9E">
        <w:rPr>
          <w:rFonts w:eastAsia="Times New Roman" w:cs="Times New Roman"/>
          <w:i/>
          <w:szCs w:val="20"/>
          <w:lang w:eastAsia="en-CA"/>
        </w:rPr>
        <w:tab/>
        <w:t>Mark Gruchy</w:t>
      </w:r>
      <w:r w:rsidRPr="00E60E9E">
        <w:rPr>
          <w:rFonts w:eastAsia="Times New Roman" w:cs="Times New Roman"/>
          <w:szCs w:val="20"/>
          <w:lang w:eastAsia="en-CA"/>
        </w:rPr>
        <w:t>, for the respondent.</w:t>
      </w:r>
    </w:p>
    <w:p w:rsidR="00E60E9E" w:rsidRPr="00E60E9E" w:rsidRDefault="00E60E9E" w:rsidP="00E60E9E">
      <w:pPr>
        <w:tabs>
          <w:tab w:val="left" w:pos="1168"/>
        </w:tabs>
        <w:spacing w:after="480" w:line="480" w:lineRule="auto"/>
        <w:jc w:val="both"/>
        <w:rPr>
          <w:rFonts w:eastAsia="Times New Roman" w:cs="Times New Roman"/>
          <w:szCs w:val="20"/>
          <w:lang w:eastAsia="en-CA"/>
        </w:rPr>
      </w:pPr>
      <w:r w:rsidRPr="00E60E9E">
        <w:rPr>
          <w:rFonts w:eastAsia="Times New Roman" w:cs="Times New Roman"/>
          <w:szCs w:val="20"/>
          <w:lang w:eastAsia="en-CA"/>
        </w:rPr>
        <w:tab/>
        <w:t>The judgment of the Court was delivered orally by</w:t>
      </w:r>
    </w:p>
    <w:p w:rsidR="00E60E9E" w:rsidRPr="00E60E9E" w:rsidRDefault="00E60E9E" w:rsidP="00E60E9E">
      <w:pPr>
        <w:tabs>
          <w:tab w:val="left" w:pos="1168"/>
        </w:tabs>
        <w:spacing w:after="480" w:line="480" w:lineRule="auto"/>
        <w:jc w:val="both"/>
        <w:rPr>
          <w:rFonts w:eastAsia="Times New Roman" w:cs="Times New Roman"/>
          <w:szCs w:val="20"/>
          <w:lang w:eastAsia="en-CA"/>
        </w:rPr>
      </w:pPr>
      <w:r w:rsidRPr="00E60E9E">
        <w:rPr>
          <w:rFonts w:eastAsia="Times New Roman" w:cs="Times New Roman"/>
          <w:szCs w:val="20"/>
          <w:lang w:eastAsia="en-CA"/>
        </w:rPr>
        <w:t>[1]</w:t>
      </w:r>
      <w:r w:rsidRPr="00E60E9E">
        <w:rPr>
          <w:rFonts w:eastAsia="Times New Roman" w:cs="Times New Roman"/>
          <w:szCs w:val="20"/>
          <w:lang w:eastAsia="en-CA"/>
        </w:rPr>
        <w:tab/>
      </w:r>
      <w:r w:rsidRPr="00E60E9E">
        <w:rPr>
          <w:rFonts w:eastAsia="Times New Roman" w:cs="Times New Roman"/>
          <w:smallCaps/>
          <w:szCs w:val="20"/>
          <w:lang w:eastAsia="en-CA"/>
        </w:rPr>
        <w:t>The Chief Justice</w:t>
      </w:r>
      <w:r w:rsidRPr="00E60E9E">
        <w:rPr>
          <w:rFonts w:eastAsia="Times New Roman" w:cs="Times New Roman"/>
          <w:szCs w:val="20"/>
          <w:lang w:eastAsia="en-CA"/>
        </w:rPr>
        <w:t xml:space="preserve"> — A majority of this Court, made of Justice Moldaver, Justice Karakatsanis, Justice Brown, Justice Kasirer and Justice Jamal, would dismiss the appeal, essentially for the reasons of the majority of the Court of Appeal, whereas myself, Justice Côté, Justice Rowe and Justice Martin would allow the appeal, essentially for the reasons of Justice Goodridge.</w:t>
      </w:r>
    </w:p>
    <w:p w:rsidR="00E60E9E" w:rsidRPr="00E60E9E" w:rsidRDefault="00E60E9E" w:rsidP="00E60E9E">
      <w:pPr>
        <w:tabs>
          <w:tab w:val="left" w:pos="1168"/>
        </w:tabs>
        <w:spacing w:after="480" w:line="480" w:lineRule="auto"/>
        <w:jc w:val="both"/>
        <w:rPr>
          <w:rFonts w:eastAsia="Times New Roman" w:cs="Times New Roman"/>
          <w:szCs w:val="20"/>
          <w:lang w:eastAsia="en-CA"/>
        </w:rPr>
      </w:pPr>
      <w:r w:rsidRPr="00E60E9E">
        <w:rPr>
          <w:rFonts w:eastAsia="Times New Roman" w:cs="Times New Roman"/>
          <w:szCs w:val="20"/>
          <w:lang w:eastAsia="en-CA"/>
        </w:rPr>
        <w:t>[2]</w:t>
      </w:r>
      <w:r w:rsidRPr="00E60E9E">
        <w:rPr>
          <w:rFonts w:eastAsia="Times New Roman" w:cs="Times New Roman"/>
          <w:szCs w:val="20"/>
          <w:lang w:eastAsia="en-CA"/>
        </w:rPr>
        <w:tab/>
        <w:t>The appeal is therefore dismissed.</w:t>
      </w:r>
    </w:p>
    <w:p w:rsidR="00E60E9E" w:rsidRPr="00E60E9E" w:rsidRDefault="00E60E9E" w:rsidP="00E60E9E">
      <w:pPr>
        <w:tabs>
          <w:tab w:val="left" w:pos="1168"/>
        </w:tabs>
        <w:spacing w:after="480" w:line="480" w:lineRule="auto"/>
        <w:jc w:val="both"/>
        <w:rPr>
          <w:rFonts w:eastAsia="Times New Roman" w:cs="Times New Roman"/>
          <w:szCs w:val="20"/>
          <w:lang w:eastAsia="en-CA"/>
        </w:rPr>
      </w:pPr>
      <w:r w:rsidRPr="00E60E9E">
        <w:rPr>
          <w:rFonts w:eastAsia="Times New Roman" w:cs="Times New Roman"/>
          <w:szCs w:val="20"/>
          <w:lang w:eastAsia="en-CA"/>
        </w:rPr>
        <w:tab/>
      </w:r>
      <w:r w:rsidRPr="00E60E9E">
        <w:rPr>
          <w:rFonts w:eastAsia="Times New Roman" w:cs="Times New Roman"/>
          <w:i/>
          <w:iCs/>
          <w:szCs w:val="20"/>
          <w:lang w:eastAsia="en-CA"/>
        </w:rPr>
        <w:t>Judgment accordingly.</w:t>
      </w:r>
    </w:p>
    <w:p w:rsidR="00E60E9E" w:rsidRPr="00E60E9E" w:rsidRDefault="00E60E9E" w:rsidP="00E60E9E">
      <w:pPr>
        <w:tabs>
          <w:tab w:val="left" w:pos="1168"/>
        </w:tabs>
        <w:spacing w:after="480" w:line="480" w:lineRule="auto"/>
        <w:jc w:val="both"/>
        <w:rPr>
          <w:rFonts w:eastAsia="Times New Roman" w:cs="Times New Roman"/>
          <w:i/>
          <w:szCs w:val="20"/>
          <w:lang w:eastAsia="en-CA"/>
        </w:rPr>
      </w:pPr>
      <w:r w:rsidRPr="00E60E9E">
        <w:rPr>
          <w:rFonts w:eastAsia="Times New Roman" w:cs="Times New Roman"/>
          <w:i/>
          <w:szCs w:val="20"/>
          <w:lang w:eastAsia="en-CA"/>
        </w:rPr>
        <w:tab/>
        <w:t>Solicitor for the appellant: Special Prosecutions Office, St. John’s.</w:t>
      </w:r>
    </w:p>
    <w:p w:rsidR="00E60E9E" w:rsidRPr="00E60E9E" w:rsidRDefault="00E60E9E" w:rsidP="00E60E9E">
      <w:pPr>
        <w:tabs>
          <w:tab w:val="left" w:pos="1168"/>
        </w:tabs>
        <w:spacing w:after="480" w:line="480" w:lineRule="auto"/>
        <w:jc w:val="both"/>
        <w:rPr>
          <w:rFonts w:eastAsia="Times New Roman" w:cs="Times New Roman"/>
          <w:i/>
          <w:szCs w:val="20"/>
          <w:lang w:eastAsia="en-CA"/>
        </w:rPr>
      </w:pPr>
      <w:r w:rsidRPr="00E60E9E">
        <w:rPr>
          <w:rFonts w:eastAsia="Times New Roman" w:cs="Times New Roman"/>
          <w:i/>
          <w:szCs w:val="20"/>
          <w:lang w:eastAsia="en-CA"/>
        </w:rPr>
        <w:tab/>
        <w:t>Solicitor for the respondent: Newfoundland and Labrador Legal Aid Commission, St. John’s.</w:t>
      </w:r>
    </w:p>
    <w:sectPr w:rsidR="00E60E9E" w:rsidRPr="00E60E9E" w:rsidSect="00F72014">
      <w:pgSz w:w="12240" w:h="15840"/>
      <w:pgMar w:top="1440" w:right="1440" w:bottom="1440" w:left="1440" w:header="43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0E44" w:rsidRDefault="00EF0E44" w:rsidP="00F72014">
      <w:r>
        <w:separator/>
      </w:r>
    </w:p>
  </w:endnote>
  <w:endnote w:type="continuationSeparator" w:id="0">
    <w:p w:rsidR="00EF0E44" w:rsidRDefault="00EF0E44" w:rsidP="00F72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0E44" w:rsidRDefault="00EF0E44" w:rsidP="00F72014">
      <w:r>
        <w:separator/>
      </w:r>
    </w:p>
  </w:footnote>
  <w:footnote w:type="continuationSeparator" w:id="0">
    <w:p w:rsidR="00EF0E44" w:rsidRDefault="00EF0E44" w:rsidP="00F720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drawingGridHorizontalSpacing w:val="120"/>
  <w:displayHorizontalDrawingGridEvery w:val="2"/>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0DA"/>
    <w:rsid w:val="00001315"/>
    <w:rsid w:val="0003087F"/>
    <w:rsid w:val="00076773"/>
    <w:rsid w:val="00087E50"/>
    <w:rsid w:val="000C2AD4"/>
    <w:rsid w:val="000E2F0D"/>
    <w:rsid w:val="001311DA"/>
    <w:rsid w:val="00137FD2"/>
    <w:rsid w:val="001412E4"/>
    <w:rsid w:val="00151E1C"/>
    <w:rsid w:val="001648D4"/>
    <w:rsid w:val="001B0985"/>
    <w:rsid w:val="001B27ED"/>
    <w:rsid w:val="001B299D"/>
    <w:rsid w:val="001D6B8C"/>
    <w:rsid w:val="001F1F83"/>
    <w:rsid w:val="001F3E0C"/>
    <w:rsid w:val="001F7378"/>
    <w:rsid w:val="00205C5C"/>
    <w:rsid w:val="00205C5D"/>
    <w:rsid w:val="00252460"/>
    <w:rsid w:val="00261713"/>
    <w:rsid w:val="00273D07"/>
    <w:rsid w:val="0028675F"/>
    <w:rsid w:val="002948AF"/>
    <w:rsid w:val="002C1DA9"/>
    <w:rsid w:val="002C5A33"/>
    <w:rsid w:val="002D4333"/>
    <w:rsid w:val="002D4FC9"/>
    <w:rsid w:val="002D73E2"/>
    <w:rsid w:val="00307011"/>
    <w:rsid w:val="00315695"/>
    <w:rsid w:val="00355967"/>
    <w:rsid w:val="00384384"/>
    <w:rsid w:val="003B2BE1"/>
    <w:rsid w:val="003B3C63"/>
    <w:rsid w:val="003D2909"/>
    <w:rsid w:val="003D611B"/>
    <w:rsid w:val="00410BF4"/>
    <w:rsid w:val="00451668"/>
    <w:rsid w:val="00460AFC"/>
    <w:rsid w:val="004E69EC"/>
    <w:rsid w:val="004F090E"/>
    <w:rsid w:val="00517A10"/>
    <w:rsid w:val="00517EB1"/>
    <w:rsid w:val="00524C08"/>
    <w:rsid w:val="00540106"/>
    <w:rsid w:val="00564C88"/>
    <w:rsid w:val="00582136"/>
    <w:rsid w:val="005D2CFA"/>
    <w:rsid w:val="005D4801"/>
    <w:rsid w:val="0061259C"/>
    <w:rsid w:val="00662DBC"/>
    <w:rsid w:val="006779AD"/>
    <w:rsid w:val="00696F95"/>
    <w:rsid w:val="006A7CFF"/>
    <w:rsid w:val="006B210C"/>
    <w:rsid w:val="006F638B"/>
    <w:rsid w:val="00701ABD"/>
    <w:rsid w:val="007740CA"/>
    <w:rsid w:val="00815561"/>
    <w:rsid w:val="008323E2"/>
    <w:rsid w:val="00842677"/>
    <w:rsid w:val="00843369"/>
    <w:rsid w:val="00852D4E"/>
    <w:rsid w:val="00880B14"/>
    <w:rsid w:val="00904937"/>
    <w:rsid w:val="0093524C"/>
    <w:rsid w:val="00962C82"/>
    <w:rsid w:val="00996510"/>
    <w:rsid w:val="0099776C"/>
    <w:rsid w:val="009A5E2F"/>
    <w:rsid w:val="009B0656"/>
    <w:rsid w:val="009B58B8"/>
    <w:rsid w:val="009E1B85"/>
    <w:rsid w:val="009E7065"/>
    <w:rsid w:val="00A15427"/>
    <w:rsid w:val="00A37CAE"/>
    <w:rsid w:val="00A51D10"/>
    <w:rsid w:val="00A57778"/>
    <w:rsid w:val="00AB2201"/>
    <w:rsid w:val="00BB1C87"/>
    <w:rsid w:val="00BC2DFD"/>
    <w:rsid w:val="00BD4217"/>
    <w:rsid w:val="00C003E6"/>
    <w:rsid w:val="00C621F5"/>
    <w:rsid w:val="00CE17A0"/>
    <w:rsid w:val="00D030DA"/>
    <w:rsid w:val="00D76BDF"/>
    <w:rsid w:val="00DA7B22"/>
    <w:rsid w:val="00DF15D7"/>
    <w:rsid w:val="00E22DBA"/>
    <w:rsid w:val="00E356C7"/>
    <w:rsid w:val="00E5364D"/>
    <w:rsid w:val="00E54E6E"/>
    <w:rsid w:val="00E60E9E"/>
    <w:rsid w:val="00E64FA7"/>
    <w:rsid w:val="00E67940"/>
    <w:rsid w:val="00E770CB"/>
    <w:rsid w:val="00EA6DB9"/>
    <w:rsid w:val="00EC253B"/>
    <w:rsid w:val="00EC6CDA"/>
    <w:rsid w:val="00ED6EEC"/>
    <w:rsid w:val="00EF0E44"/>
    <w:rsid w:val="00EF72F1"/>
    <w:rsid w:val="00F36AF0"/>
    <w:rsid w:val="00F468B4"/>
    <w:rsid w:val="00F72014"/>
    <w:rsid w:val="00F9518C"/>
    <w:rsid w:val="00FA59EF"/>
    <w:rsid w:val="00FC2782"/>
    <w:rsid w:val="00FC70CB"/>
    <w:rsid w:val="00FE57D3"/>
    <w:rsid w:val="00FE5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7ED"/>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30D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D030DA"/>
    <w:rPr>
      <w:color w:val="808080"/>
    </w:rPr>
  </w:style>
  <w:style w:type="paragraph" w:styleId="BalloonText">
    <w:name w:val="Balloon Text"/>
    <w:basedOn w:val="Normal"/>
    <w:link w:val="BalloonTextChar"/>
    <w:uiPriority w:val="99"/>
    <w:semiHidden/>
    <w:unhideWhenUsed/>
    <w:rsid w:val="00D030DA"/>
    <w:rPr>
      <w:rFonts w:ascii="Tahoma" w:hAnsi="Tahoma" w:cs="Tahoma"/>
      <w:sz w:val="16"/>
      <w:szCs w:val="16"/>
    </w:rPr>
  </w:style>
  <w:style w:type="character" w:customStyle="1" w:styleId="BalloonTextChar">
    <w:name w:val="Balloon Text Char"/>
    <w:basedOn w:val="DefaultParagraphFont"/>
    <w:link w:val="BalloonText"/>
    <w:uiPriority w:val="99"/>
    <w:semiHidden/>
    <w:rsid w:val="00D030DA"/>
    <w:rPr>
      <w:rFonts w:ascii="Tahoma" w:hAnsi="Tahoma" w:cs="Tahoma"/>
      <w:sz w:val="16"/>
      <w:szCs w:val="16"/>
    </w:rPr>
  </w:style>
  <w:style w:type="paragraph" w:styleId="Header">
    <w:name w:val="header"/>
    <w:basedOn w:val="Normal"/>
    <w:link w:val="HeaderChar"/>
    <w:uiPriority w:val="99"/>
    <w:unhideWhenUsed/>
    <w:rsid w:val="00F72014"/>
    <w:pPr>
      <w:tabs>
        <w:tab w:val="center" w:pos="4680"/>
        <w:tab w:val="right" w:pos="9360"/>
      </w:tabs>
    </w:pPr>
  </w:style>
  <w:style w:type="character" w:customStyle="1" w:styleId="HeaderChar">
    <w:name w:val="Header Char"/>
    <w:basedOn w:val="DefaultParagraphFont"/>
    <w:link w:val="Header"/>
    <w:uiPriority w:val="99"/>
    <w:rsid w:val="00F72014"/>
  </w:style>
  <w:style w:type="paragraph" w:styleId="Footer">
    <w:name w:val="footer"/>
    <w:basedOn w:val="Normal"/>
    <w:link w:val="FooterChar"/>
    <w:uiPriority w:val="99"/>
    <w:semiHidden/>
    <w:unhideWhenUsed/>
    <w:rsid w:val="00F72014"/>
    <w:pPr>
      <w:tabs>
        <w:tab w:val="center" w:pos="4680"/>
        <w:tab w:val="right" w:pos="9360"/>
      </w:tabs>
    </w:pPr>
  </w:style>
  <w:style w:type="character" w:customStyle="1" w:styleId="FooterChar">
    <w:name w:val="Footer Char"/>
    <w:basedOn w:val="DefaultParagraphFont"/>
    <w:link w:val="Footer"/>
    <w:uiPriority w:val="99"/>
    <w:semiHidden/>
    <w:rsid w:val="00F72014"/>
  </w:style>
  <w:style w:type="paragraph" w:customStyle="1" w:styleId="SCCRestrictionOnPublicationTitle">
    <w:name w:val="SCC.RestrictionOnPublicationTitle"/>
    <w:basedOn w:val="Normal"/>
    <w:next w:val="Normal"/>
    <w:link w:val="SCCRestrictionOnPublicationTitleChar"/>
    <w:rsid w:val="00252460"/>
    <w:rPr>
      <w:b/>
      <w:smallCaps/>
    </w:rPr>
  </w:style>
  <w:style w:type="character" w:customStyle="1" w:styleId="SCCRestrictionOnPublicationTitleChar">
    <w:name w:val="SCC.RestrictionOnPublicationTitle Char"/>
    <w:basedOn w:val="DefaultParagraphFont"/>
    <w:link w:val="SCCRestrictionOnPublicationTitle"/>
    <w:rsid w:val="00252460"/>
    <w:rPr>
      <w:b/>
      <w:smallCaps/>
      <w:lang w:val="en-CA"/>
    </w:rPr>
  </w:style>
  <w:style w:type="paragraph" w:customStyle="1" w:styleId="SCCRestrictionOnPublicationText">
    <w:name w:val="SCC.RestrictionOnPublicationText"/>
    <w:basedOn w:val="Normal"/>
    <w:next w:val="Normal"/>
    <w:link w:val="SCCRestrictionOnPublicationTextChar"/>
    <w:rsid w:val="00252460"/>
  </w:style>
  <w:style w:type="character" w:customStyle="1" w:styleId="SCCRestrictionOnPublicationTextChar">
    <w:name w:val="SCC.RestrictionOnPublicationText Char"/>
    <w:basedOn w:val="DefaultParagraphFont"/>
    <w:link w:val="SCCRestrictionOnPublicationText"/>
    <w:rsid w:val="00252460"/>
    <w:rPr>
      <w:lang w:val="en-CA"/>
    </w:rPr>
  </w:style>
  <w:style w:type="paragraph" w:customStyle="1" w:styleId="SCCLsocOtherPartyRole">
    <w:name w:val="SCC.Lsoc.OtherPartyRole"/>
    <w:basedOn w:val="Normal"/>
    <w:next w:val="Normal"/>
    <w:link w:val="SCCLsocOtherPartyRoleChar"/>
    <w:rsid w:val="0099776C"/>
    <w:pPr>
      <w:jc w:val="center"/>
    </w:pPr>
  </w:style>
  <w:style w:type="character" w:customStyle="1" w:styleId="SCCLsocOtherPartyRoleChar">
    <w:name w:val="SCC.Lsoc.OtherPartyRole Char"/>
    <w:basedOn w:val="DefaultParagraphFont"/>
    <w:link w:val="SCCLsocOtherPartyRole"/>
    <w:rsid w:val="0099776C"/>
    <w:rPr>
      <w:lang w:val="en-CA"/>
    </w:rPr>
  </w:style>
  <w:style w:type="paragraph" w:customStyle="1" w:styleId="SCCLsocParty">
    <w:name w:val="SCC.Lsoc.Party"/>
    <w:basedOn w:val="Normal"/>
    <w:next w:val="Normal"/>
    <w:link w:val="SCCLsocPartyChar"/>
    <w:rsid w:val="0099776C"/>
    <w:pPr>
      <w:jc w:val="center"/>
    </w:pPr>
    <w:rPr>
      <w:b/>
    </w:rPr>
  </w:style>
  <w:style w:type="character" w:customStyle="1" w:styleId="SCCLsocPartyChar">
    <w:name w:val="SCC.Lsoc.Party Char"/>
    <w:basedOn w:val="DefaultParagraphFont"/>
    <w:link w:val="SCCLsocParty"/>
    <w:rsid w:val="0099776C"/>
    <w:rPr>
      <w:b/>
      <w:lang w:val="en-CA"/>
    </w:rPr>
  </w:style>
  <w:style w:type="paragraph" w:customStyle="1" w:styleId="SCCLsocSubfileSeparator">
    <w:name w:val="SCC.Lsoc.SubfileSeparator"/>
    <w:basedOn w:val="Normal"/>
    <w:next w:val="Normal"/>
    <w:link w:val="SCCLsocSubfileSeparatorChar"/>
    <w:rsid w:val="00FE5ED5"/>
    <w:rPr>
      <w:b/>
      <w:smallCaps/>
    </w:rPr>
  </w:style>
  <w:style w:type="character" w:customStyle="1" w:styleId="SCCLsocSubfileSeparatorChar">
    <w:name w:val="SCC.Lsoc.SubfileSeparator Char"/>
    <w:basedOn w:val="DefaultParagraphFont"/>
    <w:link w:val="SCCLsocSubfileSeparator"/>
    <w:rsid w:val="00FE5ED5"/>
    <w:rPr>
      <w:b/>
      <w:smallCaps/>
      <w:lang w:val="en-CA"/>
    </w:rPr>
  </w:style>
  <w:style w:type="paragraph" w:customStyle="1" w:styleId="SCCLsocVersus">
    <w:name w:val="SCC.Lsoc.Versus"/>
    <w:basedOn w:val="Normal"/>
    <w:next w:val="Normal"/>
    <w:link w:val="SCCLsocVersusChar"/>
    <w:rsid w:val="0099776C"/>
    <w:pPr>
      <w:jc w:val="center"/>
    </w:pPr>
  </w:style>
  <w:style w:type="character" w:customStyle="1" w:styleId="SCCLsocVersusChar">
    <w:name w:val="SCC.Lsoc.Versus Char"/>
    <w:basedOn w:val="DefaultParagraphFont"/>
    <w:link w:val="SCCLsocVersus"/>
    <w:rsid w:val="0099776C"/>
    <w:rPr>
      <w:lang w:val="en-CA"/>
    </w:rPr>
  </w:style>
  <w:style w:type="paragraph" w:customStyle="1" w:styleId="SCCLsocPartyRole">
    <w:name w:val="SCC.Lsoc.PartyRole"/>
    <w:basedOn w:val="Normal"/>
    <w:next w:val="Normal"/>
    <w:link w:val="SCCLsocPartyRoleChar"/>
    <w:rsid w:val="0099776C"/>
    <w:pPr>
      <w:jc w:val="center"/>
    </w:pPr>
  </w:style>
  <w:style w:type="character" w:customStyle="1" w:styleId="SCCLsocPartyRoleChar">
    <w:name w:val="SCC.Lsoc.PartyRole Char"/>
    <w:basedOn w:val="DefaultParagraphFont"/>
    <w:link w:val="SCCLsocPartyRole"/>
    <w:rsid w:val="0099776C"/>
    <w:rPr>
      <w:lang w:val="en-CA"/>
    </w:rPr>
  </w:style>
  <w:style w:type="paragraph" w:customStyle="1" w:styleId="SCCLsocPrefix">
    <w:name w:val="SCC.Lsoc.Prefix"/>
    <w:basedOn w:val="Normal"/>
    <w:next w:val="Normal"/>
    <w:link w:val="SCCLsocPrefixChar"/>
    <w:rsid w:val="00FE5ED5"/>
    <w:rPr>
      <w:b/>
      <w:smallCaps/>
    </w:rPr>
  </w:style>
  <w:style w:type="character" w:customStyle="1" w:styleId="SCCLsocPrefixChar">
    <w:name w:val="SCC.Lsoc.Prefix Char"/>
    <w:basedOn w:val="DefaultParagraphFont"/>
    <w:link w:val="SCCLsocPrefix"/>
    <w:rsid w:val="00FE5ED5"/>
    <w:rPr>
      <w:b/>
      <w:smallCaps/>
      <w:lang w:val="en-CA"/>
    </w:rPr>
  </w:style>
  <w:style w:type="paragraph" w:customStyle="1" w:styleId="SCCHearingJudgmentDatesText">
    <w:name w:val="SCC.HearingJudgmentDatesText"/>
    <w:basedOn w:val="Normal"/>
    <w:next w:val="Normal"/>
    <w:link w:val="SCCHearingJudgmentDatesTextChar"/>
    <w:rsid w:val="00C003E6"/>
  </w:style>
  <w:style w:type="character" w:customStyle="1" w:styleId="SCCHearingJudgmentDatesTextChar">
    <w:name w:val="SCC.HearingJudgmentDatesText Char"/>
    <w:basedOn w:val="DefaultParagraphFont"/>
    <w:link w:val="SCCHearingJudgmentDatesText"/>
    <w:rsid w:val="00C003E6"/>
    <w:rPr>
      <w:lang w:val="en-CA"/>
    </w:rPr>
  </w:style>
  <w:style w:type="paragraph" w:customStyle="1" w:styleId="SCCHearingJudgmentDatesTitle">
    <w:name w:val="SCC.HearingJudgmentDatesTitle"/>
    <w:basedOn w:val="Normal"/>
    <w:next w:val="Normal"/>
    <w:link w:val="SCCHearingJudgmentDatesTitleChar"/>
    <w:rsid w:val="00C003E6"/>
    <w:rPr>
      <w:b/>
      <w:smallCaps/>
    </w:rPr>
  </w:style>
  <w:style w:type="character" w:customStyle="1" w:styleId="SCCHearingJudgmentDatesTitleChar">
    <w:name w:val="SCC.HearingJudgmentDatesTitle Char"/>
    <w:basedOn w:val="DefaultParagraphFont"/>
    <w:link w:val="SCCHearingJudgmentDatesTitle"/>
    <w:rsid w:val="00C003E6"/>
    <w:rPr>
      <w:b/>
      <w:smallCaps/>
      <w:lang w:val="en-CA"/>
    </w:rPr>
  </w:style>
  <w:style w:type="paragraph" w:customStyle="1" w:styleId="SCCLsocOtherPartySeparator">
    <w:name w:val="SCC.Lsoc.OtherPartySeparator"/>
    <w:basedOn w:val="Normal"/>
    <w:next w:val="Normal"/>
    <w:link w:val="SCCLsocOtherPartySeparatorChar"/>
    <w:rsid w:val="002C5A33"/>
    <w:pPr>
      <w:jc w:val="center"/>
    </w:pPr>
  </w:style>
  <w:style w:type="character" w:customStyle="1" w:styleId="SCCLsocOtherPartySeparatorChar">
    <w:name w:val="SCC.Lsoc.OtherPartySeparator Char"/>
    <w:basedOn w:val="DefaultParagraphFont"/>
    <w:link w:val="SCCLsocOtherPartySeparator"/>
    <w:rsid w:val="002C5A33"/>
    <w:rPr>
      <w:lang w:val="en-CA"/>
    </w:rPr>
  </w:style>
  <w:style w:type="paragraph" w:customStyle="1" w:styleId="SCCCounselName">
    <w:name w:val="SCC.CounselName"/>
    <w:basedOn w:val="Normal"/>
    <w:next w:val="Normal"/>
    <w:link w:val="SCCCounselNameChar"/>
    <w:rsid w:val="00962C82"/>
    <w:rPr>
      <w:i/>
    </w:rPr>
  </w:style>
  <w:style w:type="character" w:customStyle="1" w:styleId="SCCCounselNameChar">
    <w:name w:val="SCC.CounselName Char"/>
    <w:basedOn w:val="DefaultParagraphFont"/>
    <w:link w:val="SCCCounselName"/>
    <w:rsid w:val="00962C82"/>
    <w:rPr>
      <w:rFonts w:eastAsia="Times New Roman" w:cs="Times New Roman"/>
      <w:i/>
      <w:szCs w:val="20"/>
      <w:lang w:val="en-CA" w:eastAsia="en-CA"/>
    </w:rPr>
  </w:style>
  <w:style w:type="paragraph" w:customStyle="1" w:styleId="SCCCounselSeparator">
    <w:name w:val="SCC.CounselSeparator"/>
    <w:basedOn w:val="Normal"/>
    <w:next w:val="Normal"/>
    <w:link w:val="SCCCounselSeparatorChar"/>
    <w:rsid w:val="00962C82"/>
  </w:style>
  <w:style w:type="character" w:customStyle="1" w:styleId="SCCCounselSeparatorChar">
    <w:name w:val="SCC.CounselSeparator Char"/>
    <w:basedOn w:val="DefaultParagraphFont"/>
    <w:link w:val="SCCCounselSeparator"/>
    <w:rsid w:val="00962C82"/>
    <w:rPr>
      <w:rFonts w:eastAsia="Times New Roman" w:cs="Times New Roman"/>
      <w:szCs w:val="20"/>
      <w:lang w:val="en-CA" w:eastAsia="en-CA"/>
    </w:rPr>
  </w:style>
  <w:style w:type="paragraph" w:customStyle="1" w:styleId="SCCCounselPartyRole">
    <w:name w:val="SCC.CounselPartyRole"/>
    <w:basedOn w:val="Normal"/>
    <w:next w:val="Normal"/>
    <w:link w:val="SCCCounselPartyRoleChar"/>
    <w:rsid w:val="00962C82"/>
  </w:style>
  <w:style w:type="character" w:customStyle="1" w:styleId="SCCCounselPartyRoleChar">
    <w:name w:val="SCC.CounselPartyRole Char"/>
    <w:basedOn w:val="DefaultParagraphFont"/>
    <w:link w:val="SCCCounselPartyRole"/>
    <w:rsid w:val="00962C82"/>
    <w:rPr>
      <w:rFonts w:eastAsia="Times New Roman" w:cs="Times New Roman"/>
      <w:szCs w:val="20"/>
      <w:lang w:val="en-CA" w:eastAsia="en-CA"/>
    </w:rPr>
  </w:style>
  <w:style w:type="paragraph" w:customStyle="1" w:styleId="SCCBold">
    <w:name w:val="SCC.Bold"/>
    <w:basedOn w:val="Normal"/>
    <w:next w:val="Normal"/>
    <w:rsid w:val="005D2CFA"/>
    <w:rPr>
      <w:b/>
    </w:rPr>
  </w:style>
  <w:style w:type="paragraph" w:customStyle="1" w:styleId="SCCReasonsTitle">
    <w:name w:val="SCC.ReasonsTitle"/>
    <w:basedOn w:val="Normal"/>
    <w:next w:val="Normal"/>
    <w:link w:val="SCCReasonsTitleChar"/>
    <w:qFormat/>
    <w:rsid w:val="00076773"/>
    <w:rPr>
      <w:b/>
    </w:rPr>
  </w:style>
  <w:style w:type="character" w:customStyle="1" w:styleId="SCCReasonsTitleChar">
    <w:name w:val="SCC.ReasonsTitle Char"/>
    <w:basedOn w:val="DefaultParagraphFont"/>
    <w:link w:val="SCCReasonsTitle"/>
    <w:rsid w:val="001B27ED"/>
    <w:rPr>
      <w:b/>
      <w:lang w:val="en-CA"/>
    </w:rPr>
  </w:style>
  <w:style w:type="character" w:styleId="CommentReference">
    <w:name w:val="annotation reference"/>
    <w:basedOn w:val="DefaultParagraphFont"/>
    <w:uiPriority w:val="99"/>
    <w:semiHidden/>
    <w:unhideWhenUsed/>
    <w:rsid w:val="009A5E2F"/>
    <w:rPr>
      <w:sz w:val="16"/>
      <w:szCs w:val="16"/>
    </w:rPr>
  </w:style>
  <w:style w:type="paragraph" w:styleId="CommentText">
    <w:name w:val="annotation text"/>
    <w:basedOn w:val="Normal"/>
    <w:link w:val="CommentTextChar"/>
    <w:uiPriority w:val="99"/>
    <w:semiHidden/>
    <w:unhideWhenUsed/>
    <w:rsid w:val="009A5E2F"/>
    <w:rPr>
      <w:sz w:val="20"/>
      <w:szCs w:val="20"/>
    </w:rPr>
  </w:style>
  <w:style w:type="character" w:customStyle="1" w:styleId="CommentTextChar">
    <w:name w:val="Comment Text Char"/>
    <w:basedOn w:val="DefaultParagraphFont"/>
    <w:link w:val="CommentText"/>
    <w:uiPriority w:val="99"/>
    <w:semiHidden/>
    <w:rsid w:val="009A5E2F"/>
    <w:rPr>
      <w:sz w:val="20"/>
      <w:szCs w:val="20"/>
      <w:lang w:val="en-CA"/>
    </w:rPr>
  </w:style>
  <w:style w:type="paragraph" w:styleId="CommentSubject">
    <w:name w:val="annotation subject"/>
    <w:basedOn w:val="CommentText"/>
    <w:next w:val="CommentText"/>
    <w:link w:val="CommentSubjectChar"/>
    <w:uiPriority w:val="99"/>
    <w:semiHidden/>
    <w:unhideWhenUsed/>
    <w:rsid w:val="009A5E2F"/>
    <w:rPr>
      <w:b/>
      <w:bCs/>
    </w:rPr>
  </w:style>
  <w:style w:type="character" w:customStyle="1" w:styleId="CommentSubjectChar">
    <w:name w:val="Comment Subject Char"/>
    <w:basedOn w:val="CommentTextChar"/>
    <w:link w:val="CommentSubject"/>
    <w:uiPriority w:val="99"/>
    <w:semiHidden/>
    <w:rsid w:val="009A5E2F"/>
    <w:rPr>
      <w:b/>
      <w:bCs/>
      <w:sz w:val="20"/>
      <w:szCs w:val="20"/>
      <w:lang w:val="en-CA"/>
    </w:rPr>
  </w:style>
  <w:style w:type="character" w:styleId="Strong">
    <w:name w:val="Strong"/>
    <w:basedOn w:val="DefaultParagraphFont"/>
    <w:uiPriority w:val="22"/>
    <w:qFormat/>
    <w:rsid w:val="000E2F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102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1.jpg@01D72252.19B69DE0"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ecords.court.nl.ca/public/supremecourt/decisiondownload/?decision-id=8221&amp;mode=stre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C8711-87EA-41E3-8ED8-512C439E3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442</Words>
  <Characters>2434</Characters>
  <Application>Microsoft Office Word</Application>
  <DocSecurity>0</DocSecurity>
  <Lines>20</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2022-03-24T16:07:00Z</dcterms:created>
  <dcterms:modified xsi:type="dcterms:W3CDTF">2023-07-28T14:10:00Z</dcterms:modified>
</cp:coreProperties>
</file>