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9"/>
        <w:gridCol w:w="1891"/>
        <w:gridCol w:w="3761"/>
        <w:gridCol w:w="19"/>
      </w:tblGrid>
      <w:tr w:rsidR="006230B6" w:rsidRPr="00320E6F" w:rsidTr="00B91A56">
        <w:trPr>
          <w:trHeight w:val="2103"/>
        </w:trPr>
        <w:tc>
          <w:tcPr>
            <w:tcW w:w="5000" w:type="pct"/>
            <w:gridSpan w:val="4"/>
          </w:tcPr>
          <w:p w:rsidR="006230B6" w:rsidRPr="00320E6F" w:rsidRDefault="00B91A56" w:rsidP="00E92347">
            <w:pPr>
              <w:jc w:val="center"/>
            </w:pPr>
            <w:r w:rsidRPr="00320E6F">
              <w:rPr>
                <w:noProof/>
                <w:lang w:val="fr-CA" w:eastAsia="fr-CA"/>
              </w:rPr>
              <w:drawing>
                <wp:inline distT="0" distB="0" distL="0" distR="0">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230B6" w:rsidRPr="00320E6F" w:rsidRDefault="006230B6" w:rsidP="0081470C">
            <w:pPr>
              <w:spacing w:before="120" w:after="100" w:afterAutospacing="1"/>
              <w:jc w:val="center"/>
              <w:rPr>
                <w:rFonts w:eastAsia="Calibri"/>
              </w:rPr>
            </w:pPr>
            <w:r w:rsidRPr="00320E6F">
              <w:rPr>
                <w:rFonts w:eastAsia="Calibri"/>
                <w:b/>
                <w:szCs w:val="24"/>
                <w:lang w:eastAsia="en-US"/>
              </w:rPr>
              <w:t>SUPREME COURT OF CANADA</w:t>
            </w:r>
          </w:p>
        </w:tc>
      </w:tr>
      <w:tr w:rsidR="008201FB" w:rsidRPr="00320E6F" w:rsidTr="00F138C9">
        <w:trPr>
          <w:gridAfter w:val="1"/>
          <w:wAfter w:w="10" w:type="pct"/>
        </w:trPr>
        <w:tc>
          <w:tcPr>
            <w:tcW w:w="1971" w:type="pct"/>
            <w:tcMar>
              <w:top w:w="284" w:type="dxa"/>
            </w:tcMar>
          </w:tcPr>
          <w:p w:rsidR="006230B6" w:rsidRPr="00320E6F" w:rsidRDefault="006230B6" w:rsidP="0075717D">
            <w:pPr>
              <w:spacing w:before="100" w:beforeAutospacing="1"/>
              <w:rPr>
                <w:rFonts w:eastAsia="Calibri"/>
                <w:lang w:val="fr-CA"/>
              </w:rPr>
            </w:pPr>
            <w:r w:rsidRPr="00320E6F">
              <w:rPr>
                <w:b/>
                <w:smallCaps/>
                <w:lang w:val="fr-CA"/>
              </w:rPr>
              <w:t>Citation:</w:t>
            </w:r>
            <w:r w:rsidRPr="00320E6F">
              <w:rPr>
                <w:lang w:val="fr-CA"/>
              </w:rPr>
              <w:t xml:space="preserve"> </w:t>
            </w:r>
            <w:r w:rsidR="00410588" w:rsidRPr="00320E6F">
              <w:rPr>
                <w:lang w:val="fr-CA"/>
              </w:rPr>
              <w:t xml:space="preserve">R. </w:t>
            </w:r>
            <w:r w:rsidR="00410588" w:rsidRPr="00320E6F">
              <w:rPr>
                <w:i/>
                <w:lang w:val="fr-CA"/>
              </w:rPr>
              <w:t>v.</w:t>
            </w:r>
            <w:r w:rsidR="00896C73" w:rsidRPr="00320E6F">
              <w:rPr>
                <w:lang w:val="fr-CA"/>
              </w:rPr>
              <w:t xml:space="preserve"> </w:t>
            </w:r>
            <w:r w:rsidR="005A6071" w:rsidRPr="00320E6F">
              <w:rPr>
                <w:lang w:val="fr-CA"/>
              </w:rPr>
              <w:t>Furey</w:t>
            </w:r>
            <w:r w:rsidR="00972251" w:rsidRPr="00320E6F">
              <w:rPr>
                <w:lang w:val="fr-CA"/>
              </w:rPr>
              <w:t>, 202</w:t>
            </w:r>
            <w:r w:rsidR="0075717D" w:rsidRPr="00320E6F">
              <w:rPr>
                <w:lang w:val="fr-CA"/>
              </w:rPr>
              <w:t>2</w:t>
            </w:r>
            <w:r w:rsidR="00972251" w:rsidRPr="00320E6F">
              <w:rPr>
                <w:lang w:val="fr-CA"/>
              </w:rPr>
              <w:t xml:space="preserve"> SCC </w:t>
            </w:r>
            <w:r w:rsidR="005A6071" w:rsidRPr="00320E6F">
              <w:t>52</w:t>
            </w:r>
          </w:p>
        </w:tc>
        <w:tc>
          <w:tcPr>
            <w:tcW w:w="1010" w:type="pct"/>
          </w:tcPr>
          <w:p w:rsidR="006230B6" w:rsidRPr="00320E6F" w:rsidRDefault="006230B6" w:rsidP="00A12217">
            <w:pPr>
              <w:rPr>
                <w:b/>
                <w:smallCaps/>
                <w:lang w:val="fr-CA"/>
              </w:rPr>
            </w:pPr>
          </w:p>
        </w:tc>
        <w:tc>
          <w:tcPr>
            <w:tcW w:w="2009" w:type="pct"/>
            <w:tcMar>
              <w:top w:w="284" w:type="dxa"/>
            </w:tcMar>
          </w:tcPr>
          <w:p w:rsidR="006230B6" w:rsidRPr="00320E6F" w:rsidRDefault="006230B6" w:rsidP="00A12217">
            <w:r w:rsidRPr="00320E6F">
              <w:rPr>
                <w:b/>
                <w:smallCaps/>
              </w:rPr>
              <w:t>Appeal Heard:</w:t>
            </w:r>
            <w:r w:rsidR="00EA07C1" w:rsidRPr="00320E6F">
              <w:rPr>
                <w:b/>
                <w:smallCaps/>
              </w:rPr>
              <w:t xml:space="preserve"> </w:t>
            </w:r>
            <w:r w:rsidR="005A6071" w:rsidRPr="00320E6F">
              <w:t>December</w:t>
            </w:r>
            <w:r w:rsidR="0075717D" w:rsidRPr="00320E6F">
              <w:t xml:space="preserve"> </w:t>
            </w:r>
            <w:r w:rsidR="005A6071" w:rsidRPr="00320E6F">
              <w:t>2</w:t>
            </w:r>
            <w:r w:rsidR="0075717D" w:rsidRPr="00320E6F">
              <w:t>, 2022</w:t>
            </w:r>
          </w:p>
          <w:p w:rsidR="006230B6" w:rsidRPr="00320E6F" w:rsidRDefault="006230B6" w:rsidP="00A12217">
            <w:r w:rsidRPr="00320E6F">
              <w:rPr>
                <w:b/>
                <w:smallCaps/>
              </w:rPr>
              <w:t>Judgment Rendered:</w:t>
            </w:r>
            <w:r w:rsidR="00EA07C1" w:rsidRPr="00320E6F">
              <w:rPr>
                <w:b/>
                <w:smallCaps/>
              </w:rPr>
              <w:t xml:space="preserve"> </w:t>
            </w:r>
            <w:r w:rsidR="005A6071" w:rsidRPr="00320E6F">
              <w:t>December 2</w:t>
            </w:r>
            <w:r w:rsidR="0075717D" w:rsidRPr="00320E6F">
              <w:t>, 2022</w:t>
            </w:r>
          </w:p>
          <w:p w:rsidR="006230B6" w:rsidRPr="00320E6F" w:rsidRDefault="006230B6" w:rsidP="000F2039">
            <w:r w:rsidRPr="00320E6F">
              <w:rPr>
                <w:b/>
                <w:smallCaps/>
              </w:rPr>
              <w:t>Docket:</w:t>
            </w:r>
            <w:r w:rsidRPr="00320E6F">
              <w:t xml:space="preserve"> </w:t>
            </w:r>
            <w:r w:rsidR="005A6071" w:rsidRPr="00320E6F">
              <w:rPr>
                <w:lang w:val="fr-CA"/>
              </w:rPr>
              <w:t>40038</w:t>
            </w:r>
          </w:p>
        </w:tc>
      </w:tr>
      <w:tr w:rsidR="006230B6" w:rsidRPr="00320E6F" w:rsidTr="00D614E0">
        <w:tc>
          <w:tcPr>
            <w:tcW w:w="5000" w:type="pct"/>
            <w:gridSpan w:val="4"/>
          </w:tcPr>
          <w:p w:rsidR="006230B6" w:rsidRPr="00320E6F" w:rsidRDefault="006230B6" w:rsidP="00A12217">
            <w:pPr>
              <w:rPr>
                <w:rFonts w:eastAsiaTheme="minorHAnsi" w:cstheme="minorBidi"/>
                <w:b/>
                <w:szCs w:val="24"/>
                <w:lang w:eastAsia="en-US"/>
              </w:rPr>
            </w:pPr>
          </w:p>
          <w:p w:rsidR="00C8650B" w:rsidRPr="00320E6F" w:rsidRDefault="00C8650B" w:rsidP="00C8650B">
            <w:pPr>
              <w:rPr>
                <w:rFonts w:eastAsiaTheme="minorHAnsi" w:cstheme="minorBidi"/>
                <w:b/>
                <w:smallCaps/>
                <w:szCs w:val="24"/>
                <w:lang w:eastAsia="en-US"/>
              </w:rPr>
            </w:pPr>
            <w:r w:rsidRPr="00320E6F">
              <w:rPr>
                <w:rFonts w:eastAsiaTheme="minorHAnsi" w:cstheme="minorBidi"/>
                <w:b/>
                <w:smallCaps/>
                <w:szCs w:val="24"/>
                <w:lang w:eastAsia="en-US"/>
              </w:rPr>
              <w:t>Between:</w:t>
            </w:r>
          </w:p>
          <w:p w:rsidR="0075717D" w:rsidRPr="00320E6F" w:rsidRDefault="0075717D" w:rsidP="00C8650B">
            <w:pPr>
              <w:rPr>
                <w:rFonts w:eastAsiaTheme="minorHAnsi" w:cstheme="minorBidi"/>
                <w:b/>
                <w:smallCaps/>
                <w:szCs w:val="24"/>
                <w:lang w:eastAsia="en-US"/>
              </w:rPr>
            </w:pPr>
          </w:p>
          <w:p w:rsidR="00C8650B" w:rsidRPr="00320E6F" w:rsidRDefault="005A6071" w:rsidP="00C8650B">
            <w:pPr>
              <w:jc w:val="center"/>
              <w:rPr>
                <w:rFonts w:eastAsiaTheme="minorHAnsi" w:cstheme="minorBidi"/>
                <w:b/>
                <w:szCs w:val="24"/>
                <w:lang w:eastAsia="en-US"/>
              </w:rPr>
            </w:pPr>
            <w:r w:rsidRPr="00320E6F">
              <w:rPr>
                <w:rStyle w:val="Strong"/>
                <w:rFonts w:ascii="Helvetica Neue" w:eastAsiaTheme="majorEastAsia" w:hAnsi="Helvetica Neue"/>
                <w:shd w:val="clear" w:color="auto" w:fill="FFFFFF"/>
              </w:rPr>
              <w:t>His Majesty The King</w:t>
            </w:r>
          </w:p>
          <w:p w:rsidR="00C8650B" w:rsidRPr="00320E6F" w:rsidRDefault="00C8650B" w:rsidP="00C8650B">
            <w:pPr>
              <w:jc w:val="center"/>
              <w:rPr>
                <w:rFonts w:eastAsiaTheme="minorHAnsi" w:cstheme="minorBidi"/>
                <w:szCs w:val="24"/>
                <w:lang w:eastAsia="en-US"/>
              </w:rPr>
            </w:pPr>
            <w:r w:rsidRPr="00320E6F">
              <w:rPr>
                <w:rFonts w:eastAsiaTheme="minorHAnsi" w:cstheme="minorBidi"/>
                <w:szCs w:val="24"/>
                <w:lang w:eastAsia="en-US"/>
              </w:rPr>
              <w:t>Appellant</w:t>
            </w:r>
          </w:p>
          <w:p w:rsidR="00DA09F8" w:rsidRPr="00320E6F" w:rsidRDefault="00DA09F8" w:rsidP="00C8650B">
            <w:pPr>
              <w:jc w:val="center"/>
              <w:rPr>
                <w:rFonts w:eastAsiaTheme="minorHAnsi" w:cstheme="minorBidi"/>
                <w:szCs w:val="24"/>
                <w:lang w:eastAsia="en-US"/>
              </w:rPr>
            </w:pPr>
          </w:p>
          <w:p w:rsidR="00C8650B" w:rsidRPr="00320E6F" w:rsidRDefault="00DA09F8" w:rsidP="00C8650B">
            <w:pPr>
              <w:jc w:val="center"/>
              <w:rPr>
                <w:rFonts w:eastAsiaTheme="minorHAnsi" w:cstheme="minorBidi"/>
                <w:szCs w:val="24"/>
                <w:lang w:eastAsia="en-US"/>
              </w:rPr>
            </w:pPr>
            <w:r w:rsidRPr="00320E6F">
              <w:rPr>
                <w:rFonts w:eastAsiaTheme="minorHAnsi" w:cstheme="minorBidi"/>
                <w:szCs w:val="24"/>
                <w:lang w:eastAsia="en-US"/>
              </w:rPr>
              <w:t>and</w:t>
            </w:r>
          </w:p>
          <w:p w:rsidR="00DA09F8" w:rsidRPr="00320E6F" w:rsidRDefault="00DA09F8" w:rsidP="00C8650B">
            <w:pPr>
              <w:jc w:val="center"/>
              <w:rPr>
                <w:rFonts w:eastAsiaTheme="minorHAnsi" w:cstheme="minorBidi"/>
                <w:szCs w:val="24"/>
                <w:lang w:eastAsia="en-US"/>
              </w:rPr>
            </w:pPr>
          </w:p>
          <w:p w:rsidR="00D33A8F" w:rsidRPr="00320E6F" w:rsidRDefault="005A6071" w:rsidP="00C8650B">
            <w:pPr>
              <w:jc w:val="center"/>
              <w:rPr>
                <w:rFonts w:eastAsiaTheme="minorHAnsi" w:cstheme="minorBidi"/>
                <w:b/>
                <w:szCs w:val="24"/>
                <w:lang w:eastAsia="en-US"/>
              </w:rPr>
            </w:pPr>
            <w:r w:rsidRPr="00320E6F">
              <w:rPr>
                <w:rFonts w:eastAsiaTheme="minorHAnsi" w:cstheme="minorBidi"/>
                <w:b/>
                <w:szCs w:val="24"/>
                <w:lang w:eastAsia="en-US"/>
              </w:rPr>
              <w:t>David Edward Furey</w:t>
            </w:r>
          </w:p>
          <w:p w:rsidR="00C8650B" w:rsidRPr="00320E6F" w:rsidRDefault="00C8650B" w:rsidP="00C8650B">
            <w:pPr>
              <w:jc w:val="center"/>
              <w:rPr>
                <w:rFonts w:eastAsiaTheme="minorHAnsi" w:cstheme="minorBidi"/>
                <w:szCs w:val="24"/>
                <w:lang w:eastAsia="en-US"/>
              </w:rPr>
            </w:pPr>
            <w:r w:rsidRPr="00320E6F">
              <w:rPr>
                <w:rFonts w:eastAsiaTheme="minorHAnsi" w:cstheme="minorBidi"/>
                <w:szCs w:val="24"/>
                <w:lang w:eastAsia="en-US"/>
              </w:rPr>
              <w:t>Respondent</w:t>
            </w:r>
          </w:p>
          <w:p w:rsidR="000F2039" w:rsidRPr="00320E6F" w:rsidRDefault="000F2039" w:rsidP="00E03F44">
            <w:pPr>
              <w:jc w:val="center"/>
              <w:rPr>
                <w:b/>
                <w:smallCaps/>
              </w:rPr>
            </w:pPr>
          </w:p>
          <w:p w:rsidR="004C5B67" w:rsidRPr="00320E6F" w:rsidRDefault="004C5B67" w:rsidP="004C5B67">
            <w:pPr>
              <w:rPr>
                <w:b/>
                <w:smallCaps/>
              </w:rPr>
            </w:pPr>
          </w:p>
          <w:p w:rsidR="004C5B67" w:rsidRPr="00320E6F" w:rsidRDefault="004C5B67" w:rsidP="00E03F44">
            <w:pPr>
              <w:jc w:val="cente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E92347" w:rsidRPr="00320E6F" w:rsidTr="00E92347">
        <w:trPr>
          <w:cantSplit/>
          <w:trHeight w:val="508"/>
        </w:trPr>
        <w:tc>
          <w:tcPr>
            <w:tcW w:w="5000" w:type="pct"/>
            <w:gridSpan w:val="3"/>
            <w:tcMar>
              <w:top w:w="284" w:type="dxa"/>
              <w:bottom w:w="57" w:type="dxa"/>
            </w:tcMar>
            <w:vAlign w:val="center"/>
          </w:tcPr>
          <w:p w:rsidR="00E92347" w:rsidRPr="00320E6F" w:rsidRDefault="00A12217" w:rsidP="005A6071">
            <w:r w:rsidRPr="00320E6F">
              <w:rPr>
                <w:b/>
                <w:smallCaps/>
              </w:rPr>
              <w:t>Coram:</w:t>
            </w:r>
            <w:r w:rsidRPr="00320E6F">
              <w:t xml:space="preserve"> </w:t>
            </w:r>
            <w:r w:rsidR="007000FF" w:rsidRPr="00320E6F">
              <w:t>Karakatsanis, Côté, Brown</w:t>
            </w:r>
            <w:r w:rsidR="005A6071" w:rsidRPr="00320E6F">
              <w:t xml:space="preserve">, </w:t>
            </w:r>
            <w:r w:rsidR="005A6071" w:rsidRPr="00320E6F">
              <w:rPr>
                <w:color w:val="000000"/>
              </w:rPr>
              <w:t>Rowe</w:t>
            </w:r>
            <w:r w:rsidR="007000FF" w:rsidRPr="00320E6F">
              <w:t xml:space="preserve">, </w:t>
            </w:r>
            <w:r w:rsidR="00090AC3" w:rsidRPr="00320E6F">
              <w:t>Martin</w:t>
            </w:r>
            <w:r w:rsidR="005A6071" w:rsidRPr="00320E6F">
              <w:t>,</w:t>
            </w:r>
            <w:r w:rsidR="007000FF" w:rsidRPr="00320E6F">
              <w:t xml:space="preserve"> Kasirer</w:t>
            </w:r>
            <w:r w:rsidR="005A6071" w:rsidRPr="00320E6F">
              <w:t xml:space="preserve"> and </w:t>
            </w:r>
            <w:r w:rsidR="005A6071" w:rsidRPr="00320E6F">
              <w:rPr>
                <w:lang w:val="en-CA"/>
              </w:rPr>
              <w:t>O’Bonsawin</w:t>
            </w:r>
            <w:r w:rsidR="007000FF" w:rsidRPr="00320E6F">
              <w:t> </w:t>
            </w:r>
            <w:r w:rsidRPr="00320E6F">
              <w:t>JJ.</w:t>
            </w:r>
          </w:p>
        </w:tc>
      </w:tr>
      <w:tr w:rsidR="006230B6" w:rsidRPr="00320E6F" w:rsidTr="0040508D">
        <w:trPr>
          <w:gridAfter w:val="1"/>
          <w:wAfter w:w="11" w:type="pct"/>
          <w:cantSplit/>
          <w:trHeight w:val="508"/>
        </w:trPr>
        <w:tc>
          <w:tcPr>
            <w:tcW w:w="1124" w:type="pct"/>
            <w:tcMar>
              <w:top w:w="28" w:type="dxa"/>
              <w:left w:w="57" w:type="dxa"/>
              <w:bottom w:w="57" w:type="dxa"/>
              <w:right w:w="57" w:type="dxa"/>
            </w:tcMar>
            <w:vAlign w:val="center"/>
          </w:tcPr>
          <w:p w:rsidR="00040F00" w:rsidRPr="00320E6F" w:rsidRDefault="00090AC3" w:rsidP="00AD4C25">
            <w:pPr>
              <w:spacing w:before="120"/>
              <w:rPr>
                <w:smallCaps/>
              </w:rPr>
            </w:pPr>
            <w:r w:rsidRPr="00320E6F">
              <w:rPr>
                <w:rStyle w:val="solexhl"/>
                <w:b/>
                <w:bCs/>
                <w:smallCaps/>
                <w:color w:val="000000"/>
              </w:rPr>
              <w:t>Unanimous Judgment Read By</w:t>
            </w:r>
            <w:r w:rsidRPr="00320E6F">
              <w:rPr>
                <w:b/>
                <w:bCs/>
                <w:smallCaps/>
                <w:color w:val="000000"/>
              </w:rPr>
              <w:t>:</w:t>
            </w:r>
          </w:p>
          <w:p w:rsidR="006230B6" w:rsidRPr="00320E6F" w:rsidRDefault="00CD6453" w:rsidP="00170CD9">
            <w:pPr>
              <w:rPr>
                <w:b/>
                <w:smallCaps/>
              </w:rPr>
            </w:pPr>
            <w:r w:rsidRPr="00320E6F">
              <w:t>(</w:t>
            </w:r>
            <w:r w:rsidR="00E42BC1" w:rsidRPr="00320E6F">
              <w:t>para. </w:t>
            </w:r>
            <w:r w:rsidR="008C1723" w:rsidRPr="00320E6F">
              <w:t>1</w:t>
            </w:r>
            <w:r w:rsidR="005A6071" w:rsidRPr="00320E6F">
              <w:t xml:space="preserve"> to </w:t>
            </w:r>
            <w:r w:rsidR="00170CD9" w:rsidRPr="00320E6F">
              <w:t>7</w:t>
            </w:r>
            <w:r w:rsidR="006230B6" w:rsidRPr="00320E6F">
              <w:t>)</w:t>
            </w:r>
          </w:p>
        </w:tc>
        <w:tc>
          <w:tcPr>
            <w:tcW w:w="3865" w:type="pct"/>
            <w:tcMar>
              <w:top w:w="28" w:type="dxa"/>
              <w:left w:w="57" w:type="dxa"/>
              <w:bottom w:w="57" w:type="dxa"/>
              <w:right w:w="57" w:type="dxa"/>
            </w:tcMar>
            <w:vAlign w:val="center"/>
          </w:tcPr>
          <w:p w:rsidR="000C433D" w:rsidRPr="00320E6F" w:rsidRDefault="00090AC3" w:rsidP="000F2039">
            <w:pPr>
              <w:spacing w:before="120"/>
            </w:pPr>
            <w:r w:rsidRPr="00320E6F">
              <w:t xml:space="preserve">Karakatsanis </w:t>
            </w:r>
            <w:r w:rsidR="00F2271D" w:rsidRPr="00320E6F">
              <w:t>J.</w:t>
            </w:r>
          </w:p>
        </w:tc>
      </w:tr>
      <w:tr w:rsidR="00EB0B7C" w:rsidRPr="00320E6F" w:rsidTr="00EB0B7C">
        <w:trPr>
          <w:cantSplit/>
        </w:trPr>
        <w:tc>
          <w:tcPr>
            <w:tcW w:w="5000" w:type="pct"/>
            <w:gridSpan w:val="3"/>
            <w:tcMar>
              <w:top w:w="284" w:type="dxa"/>
              <w:bottom w:w="57" w:type="dxa"/>
            </w:tcMar>
            <w:vAlign w:val="center"/>
          </w:tcPr>
          <w:p w:rsidR="001B327A" w:rsidRPr="00320E6F" w:rsidRDefault="001B327A" w:rsidP="004C459C"/>
        </w:tc>
      </w:tr>
    </w:tbl>
    <w:p w:rsidR="00715A65" w:rsidRPr="00320E6F" w:rsidRDefault="00C22905" w:rsidP="00715A65">
      <w:pPr>
        <w:spacing w:before="100" w:beforeAutospacing="1"/>
        <w:rPr>
          <w:rFonts w:eastAsia="Calibri"/>
          <w:szCs w:val="24"/>
          <w:lang w:eastAsia="en-US"/>
        </w:rPr>
      </w:pPr>
      <w:r w:rsidRPr="00320E6F">
        <w:rPr>
          <w:rFonts w:eastAsia="Calibri"/>
          <w:b/>
          <w:smallCaps/>
          <w:szCs w:val="24"/>
          <w:lang w:eastAsia="en-US"/>
        </w:rPr>
        <w:t>Note:</w:t>
      </w:r>
      <w:r w:rsidRPr="00320E6F">
        <w:rPr>
          <w:rFonts w:eastAsia="Calibri"/>
          <w:szCs w:val="24"/>
          <w:lang w:eastAsia="en-US"/>
        </w:rPr>
        <w:t xml:space="preserve"> This document is subject to editorial revision before its reproduction in final form in the </w:t>
      </w:r>
      <w:r w:rsidRPr="00320E6F">
        <w:rPr>
          <w:rFonts w:eastAsia="Calibri"/>
          <w:i/>
          <w:szCs w:val="24"/>
          <w:lang w:eastAsia="en-US"/>
        </w:rPr>
        <w:t>Canada Supreme Court Reports</w:t>
      </w:r>
      <w:r w:rsidRPr="00320E6F">
        <w:rPr>
          <w:rFonts w:eastAsia="Calibri"/>
          <w:szCs w:val="24"/>
          <w:lang w:eastAsia="en-US"/>
        </w:rPr>
        <w:t>.</w:t>
      </w:r>
      <w:r w:rsidR="00715A65" w:rsidRPr="00320E6F">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15A65" w:rsidRPr="00320E6F" w:rsidTr="00A80425">
        <w:tc>
          <w:tcPr>
            <w:tcW w:w="1500" w:type="pct"/>
            <w:tcMar>
              <w:top w:w="284" w:type="dxa"/>
            </w:tcMar>
          </w:tcPr>
          <w:p w:rsidR="00715A65" w:rsidRPr="00320E6F" w:rsidRDefault="00715A65" w:rsidP="00A80425">
            <w:pPr>
              <w:rPr>
                <w:rFonts w:eastAsia="Calibri"/>
                <w:szCs w:val="24"/>
                <w:lang w:eastAsia="en-US"/>
              </w:rPr>
            </w:pPr>
          </w:p>
        </w:tc>
        <w:tc>
          <w:tcPr>
            <w:tcW w:w="2000" w:type="pct"/>
            <w:tcBorders>
              <w:bottom w:val="single" w:sz="4" w:space="0" w:color="auto"/>
            </w:tcBorders>
            <w:tcMar>
              <w:top w:w="284" w:type="dxa"/>
            </w:tcMar>
          </w:tcPr>
          <w:p w:rsidR="00715A65" w:rsidRPr="00320E6F" w:rsidRDefault="00715A65" w:rsidP="00A80425">
            <w:pPr>
              <w:rPr>
                <w:rFonts w:eastAsia="Calibri"/>
                <w:szCs w:val="24"/>
                <w:lang w:eastAsia="en-US"/>
              </w:rPr>
            </w:pPr>
          </w:p>
        </w:tc>
        <w:tc>
          <w:tcPr>
            <w:tcW w:w="1500" w:type="pct"/>
            <w:tcMar>
              <w:top w:w="284" w:type="dxa"/>
            </w:tcMar>
          </w:tcPr>
          <w:p w:rsidR="00715A65" w:rsidRPr="00320E6F" w:rsidRDefault="00715A65" w:rsidP="00A80425">
            <w:pPr>
              <w:rPr>
                <w:rFonts w:eastAsia="Calibri"/>
                <w:szCs w:val="24"/>
                <w:lang w:eastAsia="en-US"/>
              </w:rPr>
            </w:pPr>
          </w:p>
        </w:tc>
      </w:tr>
    </w:tbl>
    <w:p w:rsidR="004C459C" w:rsidRDefault="004C459C" w:rsidP="00715A65">
      <w:pPr>
        <w:rPr>
          <w:rFonts w:eastAsia="Calibri"/>
          <w:szCs w:val="24"/>
          <w:lang w:eastAsia="en-US"/>
        </w:rPr>
      </w:pPr>
    </w:p>
    <w:p w:rsidR="004C459C" w:rsidRPr="004C459C" w:rsidRDefault="004C459C" w:rsidP="004C459C">
      <w:pPr>
        <w:rPr>
          <w:rFonts w:eastAsia="Calibri"/>
          <w:szCs w:val="24"/>
          <w:lang w:eastAsia="en-US"/>
        </w:rPr>
      </w:pPr>
    </w:p>
    <w:p w:rsidR="004C459C" w:rsidRPr="004C459C" w:rsidRDefault="004C459C" w:rsidP="004C459C">
      <w:pPr>
        <w:rPr>
          <w:rFonts w:eastAsia="Calibri"/>
          <w:szCs w:val="24"/>
          <w:lang w:eastAsia="en-US"/>
        </w:rPr>
      </w:pPr>
    </w:p>
    <w:p w:rsidR="004C459C" w:rsidRDefault="004C459C" w:rsidP="004C459C">
      <w:pPr>
        <w:rPr>
          <w:rFonts w:eastAsia="Calibri"/>
          <w:szCs w:val="24"/>
          <w:lang w:eastAsia="en-US"/>
        </w:rPr>
      </w:pPr>
    </w:p>
    <w:p w:rsidR="004C459C" w:rsidRPr="004C459C" w:rsidRDefault="004C459C" w:rsidP="004C459C">
      <w:pPr>
        <w:tabs>
          <w:tab w:val="right" w:pos="8222"/>
        </w:tabs>
        <w:spacing w:after="720"/>
        <w:rPr>
          <w:b/>
        </w:rPr>
      </w:pPr>
      <w:r w:rsidRPr="004C459C">
        <w:rPr>
          <w:b/>
        </w:rPr>
        <w:t xml:space="preserve">His Majesty </w:t>
      </w:r>
      <w:proofErr w:type="gramStart"/>
      <w:r w:rsidRPr="004C459C">
        <w:rPr>
          <w:b/>
        </w:rPr>
        <w:t>The</w:t>
      </w:r>
      <w:proofErr w:type="gramEnd"/>
      <w:r w:rsidRPr="004C459C">
        <w:rPr>
          <w:b/>
        </w:rPr>
        <w:t xml:space="preserve"> King</w:t>
      </w:r>
      <w:r w:rsidRPr="004C459C">
        <w:rPr>
          <w:i/>
        </w:rPr>
        <w:tab/>
        <w:t>Appellant</w:t>
      </w:r>
    </w:p>
    <w:p w:rsidR="004C459C" w:rsidRPr="004C459C" w:rsidRDefault="004C459C" w:rsidP="004C459C">
      <w:pPr>
        <w:spacing w:after="720"/>
        <w:rPr>
          <w:i/>
        </w:rPr>
      </w:pPr>
      <w:proofErr w:type="gramStart"/>
      <w:r w:rsidRPr="004C459C">
        <w:rPr>
          <w:i/>
        </w:rPr>
        <w:t>v</w:t>
      </w:r>
      <w:proofErr w:type="gramEnd"/>
      <w:r w:rsidRPr="004C459C">
        <w:rPr>
          <w:i/>
        </w:rPr>
        <w:t>.</w:t>
      </w:r>
    </w:p>
    <w:p w:rsidR="004C459C" w:rsidRPr="004C459C" w:rsidRDefault="004C459C" w:rsidP="004C459C">
      <w:pPr>
        <w:tabs>
          <w:tab w:val="right" w:pos="8222"/>
        </w:tabs>
        <w:spacing w:after="720"/>
        <w:rPr>
          <w:b/>
        </w:rPr>
      </w:pPr>
      <w:r w:rsidRPr="004C459C">
        <w:rPr>
          <w:b/>
        </w:rPr>
        <w:t xml:space="preserve">David Edward </w:t>
      </w:r>
      <w:proofErr w:type="spellStart"/>
      <w:r w:rsidRPr="004C459C">
        <w:rPr>
          <w:b/>
        </w:rPr>
        <w:t>Furey</w:t>
      </w:r>
      <w:proofErr w:type="spellEnd"/>
      <w:r w:rsidRPr="004C459C">
        <w:rPr>
          <w:i/>
        </w:rPr>
        <w:tab/>
        <w:t>Respondent</w:t>
      </w:r>
    </w:p>
    <w:p w:rsidR="004C459C" w:rsidRPr="004C459C" w:rsidRDefault="004C459C" w:rsidP="004C459C">
      <w:pPr>
        <w:spacing w:after="720"/>
        <w:jc w:val="both"/>
        <w:rPr>
          <w:b/>
        </w:rPr>
      </w:pPr>
      <w:r w:rsidRPr="004C459C">
        <w:rPr>
          <w:b/>
        </w:rPr>
        <w:t xml:space="preserve">Indexed as: R. </w:t>
      </w:r>
      <w:r w:rsidRPr="004C459C">
        <w:rPr>
          <w:b/>
          <w:i/>
        </w:rPr>
        <w:t>v.</w:t>
      </w:r>
      <w:r w:rsidRPr="004C459C">
        <w:rPr>
          <w:b/>
        </w:rPr>
        <w:t xml:space="preserve"> </w:t>
      </w:r>
      <w:proofErr w:type="spellStart"/>
      <w:r w:rsidRPr="004C459C">
        <w:rPr>
          <w:b/>
        </w:rPr>
        <w:t>Furey</w:t>
      </w:r>
      <w:proofErr w:type="spellEnd"/>
    </w:p>
    <w:p w:rsidR="004C459C" w:rsidRPr="004C459C" w:rsidRDefault="004C459C" w:rsidP="004C459C">
      <w:pPr>
        <w:spacing w:after="720"/>
        <w:jc w:val="both"/>
        <w:rPr>
          <w:b/>
        </w:rPr>
      </w:pPr>
      <w:r w:rsidRPr="004C459C">
        <w:rPr>
          <w:b/>
        </w:rPr>
        <w:t>2022 SCC 52</w:t>
      </w:r>
    </w:p>
    <w:p w:rsidR="004C459C" w:rsidRPr="004C459C" w:rsidRDefault="004C459C" w:rsidP="004C459C">
      <w:pPr>
        <w:spacing w:after="720"/>
        <w:jc w:val="both"/>
      </w:pPr>
      <w:r w:rsidRPr="004C459C">
        <w:t>File No.: 40038.</w:t>
      </w:r>
    </w:p>
    <w:p w:rsidR="004C459C" w:rsidRPr="004C459C" w:rsidRDefault="004C459C" w:rsidP="004C459C">
      <w:pPr>
        <w:spacing w:after="720"/>
        <w:jc w:val="both"/>
      </w:pPr>
      <w:r w:rsidRPr="004C459C">
        <w:t>2022: December 2.</w:t>
      </w:r>
    </w:p>
    <w:p w:rsidR="004C459C" w:rsidRPr="004C459C" w:rsidRDefault="004C459C" w:rsidP="004C459C">
      <w:pPr>
        <w:spacing w:after="720"/>
        <w:jc w:val="both"/>
      </w:pPr>
      <w:r w:rsidRPr="004C459C">
        <w:t xml:space="preserve">Present: </w:t>
      </w:r>
      <w:proofErr w:type="spellStart"/>
      <w:r w:rsidRPr="004C459C">
        <w:t>Karakatsanis</w:t>
      </w:r>
      <w:proofErr w:type="spellEnd"/>
      <w:r w:rsidRPr="004C459C">
        <w:t xml:space="preserve">, Côté, Brown, Rowe, Martin, Jamal and </w:t>
      </w:r>
      <w:proofErr w:type="spellStart"/>
      <w:r w:rsidRPr="004C459C">
        <w:t>O’Bonsawin</w:t>
      </w:r>
      <w:proofErr w:type="spellEnd"/>
      <w:r w:rsidRPr="004C459C">
        <w:t xml:space="preserve"> </w:t>
      </w:r>
      <w:proofErr w:type="spellStart"/>
      <w:r w:rsidRPr="004C459C">
        <w:t>JJ</w:t>
      </w:r>
      <w:proofErr w:type="spellEnd"/>
      <w:r w:rsidRPr="004C459C">
        <w:t>.</w:t>
      </w:r>
    </w:p>
    <w:p w:rsidR="004C459C" w:rsidRPr="004C459C" w:rsidRDefault="004C459C" w:rsidP="004C459C">
      <w:pPr>
        <w:tabs>
          <w:tab w:val="left" w:pos="1168"/>
        </w:tabs>
        <w:spacing w:after="720"/>
        <w:jc w:val="both"/>
        <w:rPr>
          <w:smallCaps/>
        </w:rPr>
      </w:pPr>
      <w:r w:rsidRPr="004C459C">
        <w:rPr>
          <w:smallCaps/>
        </w:rPr>
        <w:t xml:space="preserve">on appeal from the court of appeal of newfoundland and </w:t>
      </w:r>
      <w:proofErr w:type="spellStart"/>
      <w:r w:rsidRPr="004C459C">
        <w:rPr>
          <w:smallCaps/>
        </w:rPr>
        <w:t>labrador</w:t>
      </w:r>
      <w:proofErr w:type="spellEnd"/>
    </w:p>
    <w:p w:rsidR="004C459C" w:rsidRPr="004C459C" w:rsidRDefault="004C459C" w:rsidP="004C459C">
      <w:pPr>
        <w:tabs>
          <w:tab w:val="left" w:pos="1168"/>
        </w:tabs>
        <w:spacing w:after="480" w:line="480" w:lineRule="auto"/>
        <w:jc w:val="both"/>
        <w:rPr>
          <w:i/>
        </w:rPr>
      </w:pPr>
      <w:r w:rsidRPr="004C459C">
        <w:tab/>
      </w:r>
      <w:r w:rsidRPr="004C459C">
        <w:rPr>
          <w:i/>
        </w:rPr>
        <w:t>Criminal law — Evidence — Admissibility — Hearsay — Out</w:t>
      </w:r>
      <w:r w:rsidRPr="004C459C">
        <w:rPr>
          <w:i/>
        </w:rPr>
        <w:noBreakHyphen/>
        <w:t>of</w:t>
      </w:r>
      <w:r w:rsidRPr="004C459C">
        <w:rPr>
          <w:i/>
        </w:rPr>
        <w:noBreakHyphen/>
        <w:t>court statement — Reliability — Accused convicted of several offences resulting from altercations with two complainants — Accused appealing convictions on basis that trial judge erred in admitting out-</w:t>
      </w:r>
      <w:r w:rsidRPr="004C459C">
        <w:rPr>
          <w:i/>
        </w:rPr>
        <w:lastRenderedPageBreak/>
        <w:t>of-court statement given by complainant who died of unrelated causes before trial for truth of its contents — Majority of Court of Appeal holding that trial judge applied incorrect principle of law to assess threshold reliability of statement and determine its admissibility — Majority quashing convictions and ordering new trial — Dissenting judge finding that trial judge committed no error in application of principled approach to hearsay evidence and in admitting statement — Convictions restored.</w:t>
      </w:r>
    </w:p>
    <w:p w:rsidR="004C459C" w:rsidRPr="004C459C" w:rsidRDefault="004C459C" w:rsidP="004C459C">
      <w:pPr>
        <w:widowControl w:val="0"/>
        <w:tabs>
          <w:tab w:val="left" w:pos="1168"/>
        </w:tabs>
        <w:spacing w:after="720"/>
        <w:jc w:val="both"/>
        <w:rPr>
          <w:b/>
        </w:rPr>
      </w:pPr>
      <w:r w:rsidRPr="004C459C">
        <w:rPr>
          <w:b/>
        </w:rPr>
        <w:t>Cases Cited</w:t>
      </w:r>
    </w:p>
    <w:p w:rsidR="004C459C" w:rsidRPr="004C459C" w:rsidRDefault="004C459C" w:rsidP="004C459C">
      <w:pPr>
        <w:widowControl w:val="0"/>
        <w:tabs>
          <w:tab w:val="left" w:pos="1168"/>
        </w:tabs>
        <w:spacing w:after="480" w:line="480" w:lineRule="auto"/>
        <w:jc w:val="both"/>
      </w:pPr>
      <w:r w:rsidRPr="004C459C">
        <w:tab/>
      </w:r>
      <w:r w:rsidRPr="004C459C">
        <w:rPr>
          <w:b/>
        </w:rPr>
        <w:t>Referred to:</w:t>
      </w:r>
      <w:r w:rsidRPr="004C459C">
        <w:t xml:space="preserve"> </w:t>
      </w:r>
      <w:r w:rsidRPr="004C459C">
        <w:rPr>
          <w:i/>
          <w:iCs/>
          <w:color w:val="000000"/>
        </w:rPr>
        <w:t xml:space="preserve">R. v. </w:t>
      </w:r>
      <w:proofErr w:type="spellStart"/>
      <w:r w:rsidRPr="004C459C">
        <w:rPr>
          <w:i/>
          <w:iCs/>
          <w:color w:val="000000"/>
        </w:rPr>
        <w:t>Khelawon</w:t>
      </w:r>
      <w:proofErr w:type="spellEnd"/>
      <w:r w:rsidRPr="004C459C">
        <w:rPr>
          <w:color w:val="000000"/>
        </w:rPr>
        <w:t xml:space="preserve">, 2006 SCC 57, [2006] 2 </w:t>
      </w:r>
      <w:proofErr w:type="spellStart"/>
      <w:r w:rsidRPr="004C459C">
        <w:rPr>
          <w:color w:val="000000"/>
        </w:rPr>
        <w:t>S.C.R</w:t>
      </w:r>
      <w:proofErr w:type="spellEnd"/>
      <w:r w:rsidRPr="004C459C">
        <w:rPr>
          <w:color w:val="000000"/>
        </w:rPr>
        <w:t xml:space="preserve">. 787; </w:t>
      </w:r>
      <w:r w:rsidRPr="004C459C">
        <w:rPr>
          <w:i/>
          <w:iCs/>
          <w:color w:val="000000"/>
        </w:rPr>
        <w:t xml:space="preserve">R. v. </w:t>
      </w:r>
      <w:proofErr w:type="spellStart"/>
      <w:r w:rsidRPr="004C459C">
        <w:rPr>
          <w:i/>
          <w:iCs/>
          <w:color w:val="000000"/>
        </w:rPr>
        <w:t>Baldree</w:t>
      </w:r>
      <w:proofErr w:type="spellEnd"/>
      <w:r w:rsidRPr="004C459C">
        <w:rPr>
          <w:color w:val="000000"/>
        </w:rPr>
        <w:t xml:space="preserve">, 2013 SCC 35, [2013] 2 </w:t>
      </w:r>
      <w:proofErr w:type="spellStart"/>
      <w:r w:rsidRPr="004C459C">
        <w:rPr>
          <w:color w:val="000000"/>
        </w:rPr>
        <w:t>S.C.R</w:t>
      </w:r>
      <w:proofErr w:type="spellEnd"/>
      <w:r w:rsidRPr="004C459C">
        <w:rPr>
          <w:color w:val="000000"/>
        </w:rPr>
        <w:t xml:space="preserve">. 520; </w:t>
      </w:r>
      <w:r w:rsidRPr="004C459C">
        <w:rPr>
          <w:i/>
          <w:iCs/>
          <w:color w:val="000000"/>
        </w:rPr>
        <w:t>R. v. U. (</w:t>
      </w:r>
      <w:proofErr w:type="spellStart"/>
      <w:r w:rsidRPr="004C459C">
        <w:rPr>
          <w:i/>
          <w:iCs/>
          <w:color w:val="000000"/>
        </w:rPr>
        <w:t>F.J</w:t>
      </w:r>
      <w:proofErr w:type="spellEnd"/>
      <w:r w:rsidRPr="004C459C">
        <w:rPr>
          <w:i/>
          <w:iCs/>
          <w:color w:val="000000"/>
        </w:rPr>
        <w:t>.)</w:t>
      </w:r>
      <w:r w:rsidRPr="004C459C">
        <w:rPr>
          <w:color w:val="000000"/>
        </w:rPr>
        <w:t xml:space="preserve">, [1995] 3 </w:t>
      </w:r>
      <w:proofErr w:type="spellStart"/>
      <w:r w:rsidRPr="004C459C">
        <w:rPr>
          <w:color w:val="000000"/>
        </w:rPr>
        <w:t>S.C.R</w:t>
      </w:r>
      <w:proofErr w:type="spellEnd"/>
      <w:r w:rsidRPr="004C459C">
        <w:rPr>
          <w:color w:val="000000"/>
        </w:rPr>
        <w:t xml:space="preserve">. 764; </w:t>
      </w:r>
      <w:r w:rsidRPr="004C459C">
        <w:rPr>
          <w:i/>
          <w:iCs/>
          <w:color w:val="000000"/>
        </w:rPr>
        <w:t>R. v. Bradshaw</w:t>
      </w:r>
      <w:r w:rsidRPr="004C459C">
        <w:rPr>
          <w:color w:val="000000"/>
        </w:rPr>
        <w:t xml:space="preserve">, 2017 SCC 35, [2017] 1 </w:t>
      </w:r>
      <w:proofErr w:type="spellStart"/>
      <w:r w:rsidRPr="004C459C">
        <w:rPr>
          <w:color w:val="000000"/>
        </w:rPr>
        <w:t>S.C.R</w:t>
      </w:r>
      <w:proofErr w:type="spellEnd"/>
      <w:r w:rsidRPr="004C459C">
        <w:rPr>
          <w:color w:val="000000"/>
        </w:rPr>
        <w:t xml:space="preserve">. 865; </w:t>
      </w:r>
      <w:r w:rsidRPr="004C459C">
        <w:rPr>
          <w:i/>
          <w:iCs/>
          <w:color w:val="000000"/>
        </w:rPr>
        <w:t>R. v. Smith</w:t>
      </w:r>
      <w:r w:rsidRPr="004C459C">
        <w:rPr>
          <w:color w:val="000000"/>
        </w:rPr>
        <w:t xml:space="preserve">, [1992] 2 </w:t>
      </w:r>
      <w:proofErr w:type="spellStart"/>
      <w:r w:rsidRPr="004C459C">
        <w:rPr>
          <w:color w:val="000000"/>
        </w:rPr>
        <w:t>S.C.R</w:t>
      </w:r>
      <w:proofErr w:type="spellEnd"/>
      <w:r w:rsidRPr="004C459C">
        <w:rPr>
          <w:color w:val="000000"/>
        </w:rPr>
        <w:t>. 915.</w:t>
      </w:r>
    </w:p>
    <w:p w:rsidR="004C459C" w:rsidRPr="004C459C" w:rsidRDefault="004C459C" w:rsidP="004C459C">
      <w:pPr>
        <w:tabs>
          <w:tab w:val="left" w:pos="1168"/>
        </w:tabs>
        <w:spacing w:after="480" w:line="480" w:lineRule="auto"/>
        <w:jc w:val="both"/>
      </w:pPr>
      <w:r w:rsidRPr="004C459C">
        <w:tab/>
        <w:t xml:space="preserve">APPEAL from a judgment of the Newfoundland and Labrador Court of Appeal (Welsh, White and </w:t>
      </w:r>
      <w:proofErr w:type="spellStart"/>
      <w:r w:rsidRPr="004C459C">
        <w:t>Knickle</w:t>
      </w:r>
      <w:proofErr w:type="spellEnd"/>
      <w:r w:rsidRPr="004C459C">
        <w:t xml:space="preserve"> </w:t>
      </w:r>
      <w:proofErr w:type="spellStart"/>
      <w:r w:rsidRPr="004C459C">
        <w:t>JJ.A</w:t>
      </w:r>
      <w:proofErr w:type="spellEnd"/>
      <w:r w:rsidRPr="004C459C">
        <w:t xml:space="preserve">.), </w:t>
      </w:r>
      <w:hyperlink r:id="rId10" w:history="1">
        <w:r w:rsidRPr="004C459C">
          <w:rPr>
            <w:color w:val="660000"/>
          </w:rPr>
          <w:t xml:space="preserve">2021 </w:t>
        </w:r>
        <w:proofErr w:type="spellStart"/>
        <w:r w:rsidRPr="004C459C">
          <w:rPr>
            <w:color w:val="660000"/>
          </w:rPr>
          <w:t>NLCA</w:t>
        </w:r>
        <w:proofErr w:type="spellEnd"/>
        <w:r w:rsidRPr="004C459C">
          <w:rPr>
            <w:color w:val="660000"/>
          </w:rPr>
          <w:t xml:space="preserve"> 59</w:t>
        </w:r>
      </w:hyperlink>
      <w:r w:rsidRPr="004C459C">
        <w:t xml:space="preserve">, 476 </w:t>
      </w:r>
      <w:proofErr w:type="spellStart"/>
      <w:r w:rsidRPr="004C459C">
        <w:t>D.L.R</w:t>
      </w:r>
      <w:proofErr w:type="spellEnd"/>
      <w:r w:rsidRPr="004C459C">
        <w:t>. (4th) 197, [2021] N.J. No. 338 (</w:t>
      </w:r>
      <w:proofErr w:type="spellStart"/>
      <w:r w:rsidRPr="004C459C">
        <w:t>QL</w:t>
      </w:r>
      <w:proofErr w:type="spellEnd"/>
      <w:r w:rsidRPr="004C459C">
        <w:t xml:space="preserve">), 2021 </w:t>
      </w:r>
      <w:proofErr w:type="spellStart"/>
      <w:r w:rsidRPr="004C459C">
        <w:t>CarswellNfld</w:t>
      </w:r>
      <w:proofErr w:type="spellEnd"/>
      <w:r w:rsidRPr="004C459C">
        <w:t xml:space="preserve"> 424 (WL), quashing the convictions of the accused and ordering a new trial. Appeal allowed.</w:t>
      </w:r>
    </w:p>
    <w:p w:rsidR="004C459C" w:rsidRPr="004C459C" w:rsidRDefault="004C459C" w:rsidP="004C459C">
      <w:pPr>
        <w:tabs>
          <w:tab w:val="left" w:pos="1168"/>
        </w:tabs>
        <w:spacing w:after="480" w:line="480" w:lineRule="auto"/>
        <w:jc w:val="both"/>
      </w:pPr>
      <w:r w:rsidRPr="004C459C">
        <w:rPr>
          <w:i/>
        </w:rPr>
        <w:tab/>
        <w:t>Arnold Hussey</w:t>
      </w:r>
      <w:r w:rsidRPr="004C459C">
        <w:t>,</w:t>
      </w:r>
      <w:r w:rsidRPr="004C459C">
        <w:rPr>
          <w:i/>
        </w:rPr>
        <w:t xml:space="preserve"> </w:t>
      </w:r>
      <w:proofErr w:type="spellStart"/>
      <w:r w:rsidRPr="004C459C">
        <w:rPr>
          <w:i/>
        </w:rPr>
        <w:t>K.C</w:t>
      </w:r>
      <w:proofErr w:type="spellEnd"/>
      <w:r w:rsidRPr="004C459C">
        <w:rPr>
          <w:i/>
        </w:rPr>
        <w:t>.</w:t>
      </w:r>
      <w:r w:rsidRPr="004C459C">
        <w:t>, for the appellant.</w:t>
      </w:r>
    </w:p>
    <w:p w:rsidR="004C459C" w:rsidRPr="004C459C" w:rsidRDefault="004C459C" w:rsidP="004C459C">
      <w:pPr>
        <w:tabs>
          <w:tab w:val="left" w:pos="1168"/>
        </w:tabs>
        <w:spacing w:after="480" w:line="480" w:lineRule="auto"/>
        <w:jc w:val="both"/>
      </w:pPr>
      <w:r w:rsidRPr="004C459C">
        <w:rPr>
          <w:i/>
        </w:rPr>
        <w:tab/>
        <w:t>Jason Edwards</w:t>
      </w:r>
      <w:r w:rsidRPr="004C459C">
        <w:t>, for the respondent.</w:t>
      </w:r>
    </w:p>
    <w:p w:rsidR="004C459C" w:rsidRPr="004C459C" w:rsidRDefault="004C459C" w:rsidP="004C459C">
      <w:pPr>
        <w:tabs>
          <w:tab w:val="left" w:pos="1168"/>
        </w:tabs>
        <w:spacing w:after="480" w:line="480" w:lineRule="auto"/>
        <w:jc w:val="both"/>
      </w:pPr>
      <w:r w:rsidRPr="004C459C">
        <w:rPr>
          <w:i/>
        </w:rPr>
        <w:tab/>
      </w:r>
      <w:r w:rsidRPr="004C459C">
        <w:t>The judgment of the Court was delivered orally by</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val="en-US" w:eastAsia="en-US"/>
        </w:rPr>
      </w:pPr>
      <w:proofErr w:type="spellStart"/>
      <w:r w:rsidRPr="004C459C">
        <w:rPr>
          <w:rFonts w:eastAsiaTheme="minorEastAsia" w:cstheme="minorBidi"/>
          <w:smallCaps/>
          <w:color w:val="000000"/>
          <w:szCs w:val="22"/>
          <w:lang w:eastAsia="en-US"/>
        </w:rPr>
        <w:lastRenderedPageBreak/>
        <w:t>Karakatsanis</w:t>
      </w:r>
      <w:proofErr w:type="spellEnd"/>
      <w:r w:rsidRPr="004C459C">
        <w:rPr>
          <w:rFonts w:eastAsiaTheme="minorEastAsia" w:cstheme="minorBidi"/>
          <w:smallCaps/>
          <w:color w:val="000000"/>
          <w:szCs w:val="22"/>
          <w:lang w:val="en-US" w:eastAsia="en-US"/>
        </w:rPr>
        <w:t> J.</w:t>
      </w:r>
      <w:r w:rsidRPr="004C459C">
        <w:rPr>
          <w:rFonts w:eastAsiaTheme="minorEastAsia" w:cstheme="minorBidi"/>
          <w:color w:val="000000"/>
          <w:szCs w:val="22"/>
          <w:lang w:val="en-US" w:eastAsia="en-US"/>
        </w:rPr>
        <w:t xml:space="preserve"> — </w:t>
      </w:r>
      <w:proofErr w:type="gramStart"/>
      <w:r w:rsidRPr="004C459C">
        <w:rPr>
          <w:rFonts w:eastAsiaTheme="minorEastAsia" w:cstheme="minorBidi"/>
          <w:color w:val="000000"/>
          <w:szCs w:val="22"/>
          <w:lang w:eastAsia="en-US"/>
        </w:rPr>
        <w:t>We</w:t>
      </w:r>
      <w:proofErr w:type="gramEnd"/>
      <w:r w:rsidRPr="004C459C">
        <w:rPr>
          <w:rFonts w:eastAsiaTheme="minorEastAsia" w:cstheme="minorBidi"/>
          <w:color w:val="000000"/>
          <w:szCs w:val="22"/>
          <w:lang w:eastAsia="en-US"/>
        </w:rPr>
        <w:t xml:space="preserve"> are of the view that the appeal should be allowed. The trial judge did not err in admitting the hearsay evidence on the </w:t>
      </w:r>
      <w:proofErr w:type="spellStart"/>
      <w:r w:rsidRPr="004C459C">
        <w:rPr>
          <w:rFonts w:eastAsiaTheme="minorEastAsia" w:cstheme="minorBidi"/>
          <w:i/>
          <w:iCs/>
          <w:color w:val="000000"/>
          <w:szCs w:val="22"/>
          <w:lang w:eastAsia="en-US"/>
        </w:rPr>
        <w:t>voir</w:t>
      </w:r>
      <w:proofErr w:type="spellEnd"/>
      <w:r w:rsidRPr="004C459C">
        <w:rPr>
          <w:rFonts w:eastAsiaTheme="minorEastAsia" w:cstheme="minorBidi"/>
          <w:i/>
          <w:iCs/>
          <w:color w:val="000000"/>
          <w:szCs w:val="22"/>
          <w:lang w:eastAsia="en-US"/>
        </w:rPr>
        <w:t xml:space="preserve"> dire</w:t>
      </w:r>
      <w:r w:rsidRPr="004C459C">
        <w:rPr>
          <w:rFonts w:eastAsiaTheme="minorEastAsia" w:cstheme="minorBidi"/>
          <w:color w:val="000000"/>
          <w:szCs w:val="22"/>
          <w:lang w:eastAsia="en-US"/>
        </w:rPr>
        <w:t>.</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eastAsia="en-US"/>
        </w:rPr>
      </w:pPr>
      <w:r w:rsidRPr="004C459C">
        <w:rPr>
          <w:rFonts w:eastAsiaTheme="minorEastAsia" w:cstheme="minorBidi"/>
          <w:color w:val="000000"/>
          <w:szCs w:val="22"/>
          <w:lang w:eastAsia="en-US"/>
        </w:rPr>
        <w:t>However, we would emphasize that the necessity of receiving hearsay evidence is never so great that the principled approach’s requirement of threshold reliability can be sacrificed. Admitting unreliable hearsay evidence against an accused compromises trial fairness, risks wrongful convictions and undermines the integrity of the trial process (</w:t>
      </w:r>
      <w:r w:rsidRPr="004C459C">
        <w:rPr>
          <w:rFonts w:eastAsiaTheme="minorEastAsia" w:cstheme="minorBidi"/>
          <w:i/>
          <w:iCs/>
          <w:color w:val="000000"/>
          <w:szCs w:val="22"/>
          <w:lang w:eastAsia="en-US"/>
        </w:rPr>
        <w:t xml:space="preserve">R. v. </w:t>
      </w:r>
      <w:proofErr w:type="spellStart"/>
      <w:r w:rsidRPr="004C459C">
        <w:rPr>
          <w:rFonts w:eastAsiaTheme="minorEastAsia" w:cstheme="minorBidi"/>
          <w:i/>
          <w:iCs/>
          <w:color w:val="000000"/>
          <w:szCs w:val="22"/>
          <w:lang w:eastAsia="en-US"/>
        </w:rPr>
        <w:t>Khelawon</w:t>
      </w:r>
      <w:proofErr w:type="spellEnd"/>
      <w:r w:rsidRPr="004C459C">
        <w:rPr>
          <w:rFonts w:eastAsiaTheme="minorEastAsia" w:cstheme="minorBidi"/>
          <w:color w:val="000000"/>
          <w:szCs w:val="22"/>
          <w:lang w:eastAsia="en-US"/>
        </w:rPr>
        <w:t xml:space="preserve">, 2006 SCC 57, [2006] 2 </w:t>
      </w:r>
      <w:proofErr w:type="spellStart"/>
      <w:r w:rsidRPr="004C459C">
        <w:rPr>
          <w:rFonts w:eastAsiaTheme="minorEastAsia" w:cstheme="minorBidi"/>
          <w:color w:val="000000"/>
          <w:szCs w:val="22"/>
          <w:lang w:eastAsia="en-US"/>
        </w:rPr>
        <w:t>S.C.R</w:t>
      </w:r>
      <w:proofErr w:type="spellEnd"/>
      <w:r w:rsidRPr="004C459C">
        <w:rPr>
          <w:rFonts w:eastAsiaTheme="minorEastAsia" w:cstheme="minorBidi"/>
          <w:color w:val="000000"/>
          <w:szCs w:val="22"/>
          <w:lang w:eastAsia="en-US"/>
        </w:rPr>
        <w:t>. 787, at paras. 47</w:t>
      </w:r>
      <w:r w:rsidRPr="004C459C">
        <w:rPr>
          <w:rFonts w:eastAsiaTheme="minorEastAsia" w:cstheme="minorBidi"/>
          <w:color w:val="000000"/>
          <w:szCs w:val="22"/>
          <w:lang w:eastAsia="en-US"/>
        </w:rPr>
        <w:noBreakHyphen/>
        <w:t>49).</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eastAsia="en-US"/>
        </w:rPr>
      </w:pPr>
      <w:r w:rsidRPr="004C459C">
        <w:rPr>
          <w:rFonts w:eastAsiaTheme="minorEastAsia" w:cstheme="minorBidi"/>
          <w:color w:val="000000"/>
          <w:szCs w:val="22"/>
          <w:lang w:eastAsia="en-US"/>
        </w:rPr>
        <w:t>This Court has recognized that necessity and reliability — making up the principled approach to hearsay evidence — “work in tandem”; in particular, “if the reliability of the evidence is sufficiently established, the necessity requirement can be relaxed” (</w:t>
      </w:r>
      <w:r w:rsidRPr="004C459C">
        <w:rPr>
          <w:rFonts w:eastAsiaTheme="minorEastAsia" w:cstheme="minorBidi"/>
          <w:i/>
          <w:iCs/>
          <w:color w:val="000000"/>
          <w:szCs w:val="22"/>
          <w:lang w:eastAsia="en-US"/>
        </w:rPr>
        <w:t xml:space="preserve">R. v. </w:t>
      </w:r>
      <w:proofErr w:type="spellStart"/>
      <w:r w:rsidRPr="004C459C">
        <w:rPr>
          <w:rFonts w:eastAsiaTheme="minorEastAsia" w:cstheme="minorBidi"/>
          <w:i/>
          <w:iCs/>
          <w:color w:val="000000"/>
          <w:szCs w:val="22"/>
          <w:lang w:eastAsia="en-US"/>
        </w:rPr>
        <w:t>Baldree</w:t>
      </w:r>
      <w:proofErr w:type="spellEnd"/>
      <w:r w:rsidRPr="004C459C">
        <w:rPr>
          <w:rFonts w:eastAsiaTheme="minorEastAsia" w:cstheme="minorBidi"/>
          <w:color w:val="000000"/>
          <w:szCs w:val="22"/>
          <w:lang w:eastAsia="en-US"/>
        </w:rPr>
        <w:t xml:space="preserve">, 2013 SCC 35, [2013] 2 </w:t>
      </w:r>
      <w:proofErr w:type="spellStart"/>
      <w:r w:rsidRPr="004C459C">
        <w:rPr>
          <w:rFonts w:eastAsiaTheme="minorEastAsia" w:cstheme="minorBidi"/>
          <w:color w:val="000000"/>
          <w:szCs w:val="22"/>
          <w:lang w:eastAsia="en-US"/>
        </w:rPr>
        <w:t>S.C.R</w:t>
      </w:r>
      <w:proofErr w:type="spellEnd"/>
      <w:r w:rsidRPr="004C459C">
        <w:rPr>
          <w:rFonts w:eastAsiaTheme="minorEastAsia" w:cstheme="minorBidi"/>
          <w:color w:val="000000"/>
          <w:szCs w:val="22"/>
          <w:lang w:eastAsia="en-US"/>
        </w:rPr>
        <w:t>. 520, at para. 72). Indeed, “[</w:t>
      </w:r>
      <w:proofErr w:type="spellStart"/>
      <w:r w:rsidRPr="004C459C">
        <w:rPr>
          <w:rFonts w:eastAsiaTheme="minorEastAsia" w:cstheme="minorBidi"/>
          <w:color w:val="000000"/>
          <w:szCs w:val="22"/>
          <w:lang w:eastAsia="en-US"/>
        </w:rPr>
        <w:t>i</w:t>
      </w:r>
      <w:proofErr w:type="spellEnd"/>
      <w:r w:rsidRPr="004C459C">
        <w:rPr>
          <w:rFonts w:eastAsiaTheme="minorEastAsia" w:cstheme="minorBidi"/>
          <w:color w:val="000000"/>
          <w:szCs w:val="22"/>
          <w:lang w:eastAsia="en-US"/>
        </w:rPr>
        <w:t xml:space="preserve">]n the interest of seeking the truth, the very high reliability of the statement [can] </w:t>
      </w:r>
      <w:proofErr w:type="spellStart"/>
      <w:r w:rsidRPr="004C459C">
        <w:rPr>
          <w:rFonts w:eastAsiaTheme="minorEastAsia" w:cstheme="minorBidi"/>
          <w:color w:val="000000"/>
          <w:szCs w:val="22"/>
          <w:lang w:eastAsia="en-US"/>
        </w:rPr>
        <w:t>rende</w:t>
      </w:r>
      <w:proofErr w:type="spellEnd"/>
      <w:r w:rsidRPr="004C459C">
        <w:rPr>
          <w:rFonts w:eastAsiaTheme="minorEastAsia" w:cstheme="minorBidi"/>
          <w:color w:val="000000"/>
          <w:szCs w:val="22"/>
          <w:lang w:eastAsia="en-US"/>
        </w:rPr>
        <w:t>[r] its substantive admission necessary” (</w:t>
      </w:r>
      <w:proofErr w:type="spellStart"/>
      <w:r w:rsidRPr="004C459C">
        <w:rPr>
          <w:rFonts w:eastAsiaTheme="minorEastAsia" w:cstheme="minorBidi"/>
          <w:i/>
          <w:iCs/>
          <w:color w:val="000000"/>
          <w:szCs w:val="22"/>
          <w:lang w:eastAsia="en-US"/>
        </w:rPr>
        <w:t>Khelawon</w:t>
      </w:r>
      <w:proofErr w:type="spellEnd"/>
      <w:r w:rsidRPr="004C459C">
        <w:rPr>
          <w:rFonts w:eastAsiaTheme="minorEastAsia" w:cstheme="minorBidi"/>
          <w:color w:val="000000"/>
          <w:szCs w:val="22"/>
          <w:lang w:eastAsia="en-US"/>
        </w:rPr>
        <w:t xml:space="preserve">, at para. 86, citing </w:t>
      </w:r>
      <w:r w:rsidRPr="004C459C">
        <w:rPr>
          <w:rFonts w:eastAsiaTheme="minorEastAsia" w:cstheme="minorBidi"/>
          <w:i/>
          <w:iCs/>
          <w:color w:val="000000"/>
          <w:szCs w:val="22"/>
          <w:lang w:eastAsia="en-US"/>
        </w:rPr>
        <w:t>R. v. U. (</w:t>
      </w:r>
      <w:proofErr w:type="spellStart"/>
      <w:r w:rsidRPr="004C459C">
        <w:rPr>
          <w:rFonts w:eastAsiaTheme="minorEastAsia" w:cstheme="minorBidi"/>
          <w:i/>
          <w:iCs/>
          <w:color w:val="000000"/>
          <w:szCs w:val="22"/>
          <w:lang w:eastAsia="en-US"/>
        </w:rPr>
        <w:t>F.J</w:t>
      </w:r>
      <w:proofErr w:type="spellEnd"/>
      <w:r w:rsidRPr="004C459C">
        <w:rPr>
          <w:rFonts w:eastAsiaTheme="minorEastAsia" w:cstheme="minorBidi"/>
          <w:i/>
          <w:iCs/>
          <w:color w:val="000000"/>
          <w:szCs w:val="22"/>
          <w:lang w:eastAsia="en-US"/>
        </w:rPr>
        <w:t>.)</w:t>
      </w:r>
      <w:r w:rsidRPr="004C459C">
        <w:rPr>
          <w:rFonts w:eastAsiaTheme="minorEastAsia" w:cstheme="minorBidi"/>
          <w:color w:val="000000"/>
          <w:szCs w:val="22"/>
          <w:lang w:eastAsia="en-US"/>
        </w:rPr>
        <w:t xml:space="preserve">, [1995] 3 </w:t>
      </w:r>
      <w:proofErr w:type="spellStart"/>
      <w:r w:rsidRPr="004C459C">
        <w:rPr>
          <w:rFonts w:eastAsiaTheme="minorEastAsia" w:cstheme="minorBidi"/>
          <w:color w:val="000000"/>
          <w:szCs w:val="22"/>
          <w:lang w:eastAsia="en-US"/>
        </w:rPr>
        <w:t>S.C.R</w:t>
      </w:r>
      <w:proofErr w:type="spellEnd"/>
      <w:r w:rsidRPr="004C459C">
        <w:rPr>
          <w:rFonts w:eastAsiaTheme="minorEastAsia" w:cstheme="minorBidi"/>
          <w:color w:val="000000"/>
          <w:szCs w:val="22"/>
          <w:lang w:eastAsia="en-US"/>
        </w:rPr>
        <w:t>. 764).</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eastAsia="en-US"/>
        </w:rPr>
      </w:pPr>
      <w:r w:rsidRPr="004C459C">
        <w:rPr>
          <w:rFonts w:eastAsiaTheme="minorEastAsia" w:cstheme="minorBidi"/>
          <w:color w:val="000000"/>
          <w:szCs w:val="22"/>
          <w:lang w:eastAsia="en-US"/>
        </w:rPr>
        <w:t>However, this Court has never said that reliability becomes more flexible as necessity increases. While the indicia of reliability required to address specific hearsay concerns may vary with the circumstances of each case (</w:t>
      </w:r>
      <w:proofErr w:type="spellStart"/>
      <w:r w:rsidRPr="004C459C">
        <w:rPr>
          <w:rFonts w:eastAsiaTheme="minorEastAsia" w:cstheme="minorBidi"/>
          <w:i/>
          <w:iCs/>
          <w:color w:val="000000"/>
          <w:szCs w:val="22"/>
          <w:lang w:eastAsia="en-US"/>
        </w:rPr>
        <w:t>Khelawon</w:t>
      </w:r>
      <w:proofErr w:type="spellEnd"/>
      <w:r w:rsidRPr="004C459C">
        <w:rPr>
          <w:rFonts w:eastAsiaTheme="minorEastAsia" w:cstheme="minorBidi"/>
          <w:color w:val="000000"/>
          <w:szCs w:val="22"/>
          <w:lang w:eastAsia="en-US"/>
        </w:rPr>
        <w:t xml:space="preserve">, at para. 78), threshold reliability must be established in every case. As this Court affirmed in </w:t>
      </w:r>
      <w:r w:rsidRPr="004C459C">
        <w:rPr>
          <w:rFonts w:eastAsiaTheme="minorEastAsia" w:cstheme="minorBidi"/>
          <w:i/>
          <w:iCs/>
          <w:color w:val="000000"/>
          <w:szCs w:val="22"/>
          <w:lang w:eastAsia="en-US"/>
        </w:rPr>
        <w:t>R. v. Bradshaw</w:t>
      </w:r>
      <w:r w:rsidRPr="004C459C">
        <w:rPr>
          <w:rFonts w:eastAsiaTheme="minorEastAsia" w:cstheme="minorBidi"/>
          <w:color w:val="000000"/>
          <w:szCs w:val="22"/>
          <w:lang w:eastAsia="en-US"/>
        </w:rPr>
        <w:t xml:space="preserve">, 2017 SCC 35, [2017] 1 </w:t>
      </w:r>
      <w:proofErr w:type="spellStart"/>
      <w:r w:rsidRPr="004C459C">
        <w:rPr>
          <w:rFonts w:eastAsiaTheme="minorEastAsia" w:cstheme="minorBidi"/>
          <w:color w:val="000000"/>
          <w:szCs w:val="22"/>
          <w:lang w:eastAsia="en-US"/>
        </w:rPr>
        <w:t>S.C.R</w:t>
      </w:r>
      <w:proofErr w:type="spellEnd"/>
      <w:r w:rsidRPr="004C459C">
        <w:rPr>
          <w:rFonts w:eastAsiaTheme="minorEastAsia" w:cstheme="minorBidi"/>
          <w:color w:val="000000"/>
          <w:szCs w:val="22"/>
          <w:lang w:eastAsia="en-US"/>
        </w:rPr>
        <w:t xml:space="preserve">. 865, “the threshold reliability standard always remains high — the statement must be sufficiently reliable to overcome the specific hearsay dangers it presents” (para. 32, citing </w:t>
      </w:r>
      <w:proofErr w:type="spellStart"/>
      <w:r w:rsidRPr="004C459C">
        <w:rPr>
          <w:rFonts w:eastAsiaTheme="minorEastAsia" w:cstheme="minorBidi"/>
          <w:i/>
          <w:iCs/>
          <w:color w:val="000000"/>
          <w:szCs w:val="22"/>
          <w:lang w:eastAsia="en-US"/>
        </w:rPr>
        <w:t>Khelawon</w:t>
      </w:r>
      <w:proofErr w:type="spellEnd"/>
      <w:r w:rsidRPr="004C459C">
        <w:rPr>
          <w:rFonts w:eastAsiaTheme="minorEastAsia" w:cstheme="minorBidi"/>
          <w:color w:val="000000"/>
          <w:szCs w:val="22"/>
          <w:lang w:eastAsia="en-US"/>
        </w:rPr>
        <w:t>, at para. 49). Indeed, where this Court has considered the out</w:t>
      </w:r>
      <w:r w:rsidRPr="004C459C">
        <w:rPr>
          <w:rFonts w:eastAsiaTheme="minorEastAsia" w:cstheme="minorBidi"/>
          <w:color w:val="000000"/>
          <w:szCs w:val="22"/>
          <w:lang w:eastAsia="en-US"/>
        </w:rPr>
        <w:noBreakHyphen/>
        <w:t>of</w:t>
      </w:r>
      <w:r w:rsidRPr="004C459C">
        <w:rPr>
          <w:rFonts w:eastAsiaTheme="minorEastAsia" w:cstheme="minorBidi"/>
          <w:color w:val="000000"/>
          <w:szCs w:val="22"/>
          <w:lang w:eastAsia="en-US"/>
        </w:rPr>
        <w:noBreakHyphen/>
        <w:t xml:space="preserve">court statements of deceased </w:t>
      </w:r>
      <w:r w:rsidRPr="004C459C">
        <w:rPr>
          <w:rFonts w:eastAsiaTheme="minorEastAsia" w:cstheme="minorBidi"/>
          <w:color w:val="000000"/>
          <w:szCs w:val="22"/>
          <w:lang w:eastAsia="en-US"/>
        </w:rPr>
        <w:lastRenderedPageBreak/>
        <w:t>declarants, we have consistently insisted on “circumstantial guarantee[s] of trustworthiness” (</w:t>
      </w:r>
      <w:r w:rsidRPr="004C459C">
        <w:rPr>
          <w:rFonts w:eastAsiaTheme="minorEastAsia" w:cstheme="minorBidi"/>
          <w:i/>
          <w:iCs/>
          <w:color w:val="000000"/>
          <w:szCs w:val="22"/>
          <w:lang w:eastAsia="en-US"/>
        </w:rPr>
        <w:t>R. v. Smith</w:t>
      </w:r>
      <w:r w:rsidRPr="004C459C">
        <w:rPr>
          <w:rFonts w:eastAsiaTheme="minorEastAsia" w:cstheme="minorBidi"/>
          <w:color w:val="000000"/>
          <w:szCs w:val="22"/>
          <w:lang w:eastAsia="en-US"/>
        </w:rPr>
        <w:t xml:space="preserve">, [1992] 2 </w:t>
      </w:r>
      <w:proofErr w:type="spellStart"/>
      <w:r w:rsidRPr="004C459C">
        <w:rPr>
          <w:rFonts w:eastAsiaTheme="minorEastAsia" w:cstheme="minorBidi"/>
          <w:color w:val="000000"/>
          <w:szCs w:val="22"/>
          <w:lang w:eastAsia="en-US"/>
        </w:rPr>
        <w:t>S.C.R</w:t>
      </w:r>
      <w:proofErr w:type="spellEnd"/>
      <w:r w:rsidRPr="004C459C">
        <w:rPr>
          <w:rFonts w:eastAsiaTheme="minorEastAsia" w:cstheme="minorBidi"/>
          <w:color w:val="000000"/>
          <w:szCs w:val="22"/>
          <w:lang w:eastAsia="en-US"/>
        </w:rPr>
        <w:t>. 915, at pp. 937</w:t>
      </w:r>
      <w:r w:rsidRPr="004C459C">
        <w:rPr>
          <w:rFonts w:eastAsiaTheme="minorEastAsia" w:cstheme="minorBidi"/>
          <w:color w:val="000000"/>
          <w:szCs w:val="22"/>
          <w:lang w:eastAsia="en-US"/>
        </w:rPr>
        <w:noBreakHyphen/>
        <w:t>38), or “a sufficient substitute basis for testing the evidence” (</w:t>
      </w:r>
      <w:proofErr w:type="spellStart"/>
      <w:r w:rsidRPr="004C459C">
        <w:rPr>
          <w:rFonts w:eastAsiaTheme="minorEastAsia" w:cstheme="minorBidi"/>
          <w:i/>
          <w:iCs/>
          <w:color w:val="000000"/>
          <w:szCs w:val="22"/>
          <w:lang w:eastAsia="en-US"/>
        </w:rPr>
        <w:t>Khelawon</w:t>
      </w:r>
      <w:proofErr w:type="spellEnd"/>
      <w:r w:rsidRPr="004C459C">
        <w:rPr>
          <w:rFonts w:eastAsiaTheme="minorEastAsia" w:cstheme="minorBidi"/>
          <w:color w:val="000000"/>
          <w:szCs w:val="22"/>
          <w:lang w:eastAsia="en-US"/>
        </w:rPr>
        <w:t>, at para. 105). Thus, in all cases, whatever may be the degree of necessity, such evidence must meet the requirement of threshold reliability in order to be admissible.</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eastAsia="en-US"/>
        </w:rPr>
      </w:pPr>
      <w:r w:rsidRPr="004C459C">
        <w:rPr>
          <w:rFonts w:eastAsiaTheme="minorEastAsia" w:cstheme="minorBidi"/>
          <w:color w:val="000000"/>
          <w:szCs w:val="22"/>
          <w:lang w:eastAsia="en-US"/>
        </w:rPr>
        <w:t xml:space="preserve">That said, we do not read the trial judge’s reasons as based on a relaxed threshold of reliability. Rather, they show that she applied the reliability threshold described by this Court in </w:t>
      </w:r>
      <w:r w:rsidRPr="004C459C">
        <w:rPr>
          <w:rFonts w:eastAsiaTheme="minorEastAsia" w:cstheme="minorBidi"/>
          <w:i/>
          <w:iCs/>
          <w:color w:val="000000"/>
          <w:szCs w:val="22"/>
          <w:lang w:eastAsia="en-US"/>
        </w:rPr>
        <w:t>Bradshaw</w:t>
      </w:r>
      <w:r w:rsidRPr="004C459C">
        <w:rPr>
          <w:rFonts w:eastAsiaTheme="minorEastAsia" w:cstheme="minorBidi"/>
          <w:color w:val="000000"/>
          <w:szCs w:val="22"/>
          <w:lang w:eastAsia="en-US"/>
        </w:rPr>
        <w:t>, at para. 31. She remarked that the statement was video</w:t>
      </w:r>
      <w:r w:rsidRPr="004C459C">
        <w:rPr>
          <w:rFonts w:eastAsiaTheme="minorEastAsia" w:cstheme="minorBidi"/>
          <w:color w:val="000000"/>
          <w:szCs w:val="22"/>
          <w:lang w:eastAsia="en-US"/>
        </w:rPr>
        <w:noBreakHyphen/>
        <w:t>recorded, “reasonably contemporaneous with the events and was given to police without hesitation” (</w:t>
      </w:r>
      <w:proofErr w:type="spellStart"/>
      <w:r w:rsidRPr="004C459C">
        <w:rPr>
          <w:rFonts w:eastAsiaTheme="minorEastAsia" w:cstheme="minorBidi"/>
          <w:i/>
          <w:iCs/>
          <w:color w:val="000000"/>
          <w:szCs w:val="22"/>
          <w:lang w:eastAsia="en-US"/>
        </w:rPr>
        <w:t>voir</w:t>
      </w:r>
      <w:proofErr w:type="spellEnd"/>
      <w:r w:rsidRPr="004C459C">
        <w:rPr>
          <w:rFonts w:eastAsiaTheme="minorEastAsia" w:cstheme="minorBidi"/>
          <w:i/>
          <w:iCs/>
          <w:color w:val="000000"/>
          <w:szCs w:val="22"/>
          <w:lang w:eastAsia="en-US"/>
        </w:rPr>
        <w:t xml:space="preserve"> dire </w:t>
      </w:r>
      <w:r w:rsidRPr="004C459C">
        <w:rPr>
          <w:rFonts w:eastAsiaTheme="minorEastAsia" w:cstheme="minorBidi"/>
          <w:color w:val="000000"/>
          <w:szCs w:val="22"/>
          <w:lang w:eastAsia="en-US"/>
        </w:rPr>
        <w:t>reasons, at paras. 28</w:t>
      </w:r>
      <w:r w:rsidRPr="004C459C">
        <w:rPr>
          <w:rFonts w:eastAsiaTheme="minorEastAsia" w:cstheme="minorBidi"/>
          <w:color w:val="000000"/>
          <w:szCs w:val="22"/>
          <w:lang w:eastAsia="en-US"/>
        </w:rPr>
        <w:noBreakHyphen/>
        <w:t xml:space="preserve">29, reproduced in </w:t>
      </w:r>
      <w:proofErr w:type="spellStart"/>
      <w:r w:rsidRPr="004C459C">
        <w:rPr>
          <w:rFonts w:eastAsiaTheme="minorEastAsia" w:cstheme="minorBidi"/>
          <w:color w:val="000000"/>
          <w:szCs w:val="22"/>
          <w:lang w:eastAsia="en-US"/>
        </w:rPr>
        <w:t>A.R</w:t>
      </w:r>
      <w:proofErr w:type="spellEnd"/>
      <w:r w:rsidRPr="004C459C">
        <w:rPr>
          <w:rFonts w:eastAsiaTheme="minorEastAsia" w:cstheme="minorBidi"/>
          <w:color w:val="000000"/>
          <w:szCs w:val="22"/>
          <w:lang w:eastAsia="en-US"/>
        </w:rPr>
        <w:t>., vol. I, at p. 12). She also considered corroborative evidence, and determined that the explanations alternative to the statement’s truth “would seem unlikely” (para. 44). Based on these considerations, she concluded “that contemporaneous cross-examination, while preferable as in any case, would not likely add much to the process of determining the truth of what [the declarant] said in his statement” (para. 46).</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eastAsia="en-US"/>
        </w:rPr>
      </w:pPr>
      <w:r w:rsidRPr="004C459C">
        <w:rPr>
          <w:rFonts w:eastAsiaTheme="minorEastAsia" w:cstheme="minorBidi"/>
          <w:color w:val="000000"/>
          <w:szCs w:val="22"/>
          <w:lang w:eastAsia="en-US"/>
        </w:rPr>
        <w:t>Thus, we are satisfied that the trial judge’s reasons, read as a whole, show that she properly applied the law relating to the admission of hearsay evidence, and did not relax the minimum threshold of reliability. We agree with the dissent in the Court of Appeal that the references in the final paragraphs of the trial judge’s reasons do not undermine her previous conclusion that threshold reliability was established.</w:t>
      </w:r>
    </w:p>
    <w:p w:rsidR="004C459C" w:rsidRPr="004C459C" w:rsidRDefault="004C459C" w:rsidP="004C459C">
      <w:pPr>
        <w:numPr>
          <w:ilvl w:val="0"/>
          <w:numId w:val="31"/>
        </w:numPr>
        <w:tabs>
          <w:tab w:val="left" w:pos="1166"/>
        </w:tabs>
        <w:spacing w:after="480" w:line="480" w:lineRule="auto"/>
        <w:jc w:val="both"/>
        <w:rPr>
          <w:rFonts w:eastAsiaTheme="minorEastAsia" w:cstheme="minorBidi"/>
          <w:szCs w:val="22"/>
          <w:lang w:eastAsia="en-US"/>
        </w:rPr>
      </w:pPr>
      <w:r w:rsidRPr="004C459C">
        <w:rPr>
          <w:rFonts w:eastAsiaTheme="minorEastAsia" w:cstheme="minorBidi"/>
          <w:color w:val="000000"/>
          <w:szCs w:val="22"/>
          <w:lang w:eastAsia="en-US"/>
        </w:rPr>
        <w:t xml:space="preserve">For these reasons, we allow the appeal, set aside the </w:t>
      </w:r>
      <w:r w:rsidRPr="004C459C">
        <w:rPr>
          <w:rFonts w:eastAsiaTheme="majorEastAsia" w:cstheme="minorBidi"/>
          <w:color w:val="000000"/>
          <w:szCs w:val="22"/>
          <w:lang w:eastAsia="en-US"/>
        </w:rPr>
        <w:t>order of the Court of Appeal</w:t>
      </w:r>
      <w:r w:rsidRPr="004C459C">
        <w:rPr>
          <w:rFonts w:eastAsiaTheme="minorEastAsia" w:cstheme="minorBidi"/>
          <w:color w:val="000000"/>
          <w:szCs w:val="22"/>
          <w:lang w:eastAsia="en-US"/>
        </w:rPr>
        <w:t>, and restore the respondent’s convictions.</w:t>
      </w:r>
    </w:p>
    <w:p w:rsidR="004C459C" w:rsidRPr="004C459C" w:rsidRDefault="004C459C" w:rsidP="004C459C">
      <w:pPr>
        <w:tabs>
          <w:tab w:val="left" w:pos="1168"/>
        </w:tabs>
        <w:spacing w:after="480" w:line="480" w:lineRule="auto"/>
        <w:jc w:val="both"/>
      </w:pPr>
      <w:r w:rsidRPr="004C459C">
        <w:lastRenderedPageBreak/>
        <w:tab/>
      </w:r>
      <w:r w:rsidRPr="004C459C">
        <w:rPr>
          <w:i/>
          <w:lang w:val="en-US"/>
        </w:rPr>
        <w:t>Judgment accordingly.</w:t>
      </w:r>
    </w:p>
    <w:p w:rsidR="004C459C" w:rsidRPr="004C459C" w:rsidRDefault="004C459C" w:rsidP="004C459C">
      <w:pPr>
        <w:tabs>
          <w:tab w:val="left" w:pos="1168"/>
        </w:tabs>
        <w:spacing w:after="480" w:line="480" w:lineRule="auto"/>
        <w:jc w:val="both"/>
        <w:rPr>
          <w:i/>
        </w:rPr>
      </w:pPr>
      <w:r w:rsidRPr="004C459C">
        <w:rPr>
          <w:i/>
        </w:rPr>
        <w:tab/>
        <w:t xml:space="preserve">Solicitor for the appellant: </w:t>
      </w:r>
      <w:r w:rsidRPr="004C459C">
        <w:rPr>
          <w:i/>
          <w:lang w:val="en-US"/>
        </w:rPr>
        <w:t xml:space="preserve">Crown </w:t>
      </w:r>
      <w:proofErr w:type="spellStart"/>
      <w:r w:rsidRPr="004C459C">
        <w:rPr>
          <w:i/>
          <w:lang w:val="en-US"/>
        </w:rPr>
        <w:t>Atto</w:t>
      </w:r>
      <w:r w:rsidRPr="004C459C">
        <w:rPr>
          <w:i/>
        </w:rPr>
        <w:t>rneys</w:t>
      </w:r>
      <w:proofErr w:type="spellEnd"/>
      <w:r w:rsidRPr="004C459C">
        <w:rPr>
          <w:i/>
        </w:rPr>
        <w:t xml:space="preserve">’ Office, Dept. of Justice and Public Safety, </w:t>
      </w:r>
      <w:proofErr w:type="spellStart"/>
      <w:r w:rsidRPr="004C459C">
        <w:rPr>
          <w:i/>
        </w:rPr>
        <w:t>Clarenville</w:t>
      </w:r>
      <w:proofErr w:type="spellEnd"/>
      <w:r w:rsidRPr="004C459C">
        <w:rPr>
          <w:i/>
        </w:rPr>
        <w:t xml:space="preserve">, </w:t>
      </w:r>
      <w:proofErr w:type="spellStart"/>
      <w:r w:rsidRPr="004C459C">
        <w:rPr>
          <w:i/>
        </w:rPr>
        <w:t>N.L</w:t>
      </w:r>
      <w:proofErr w:type="spellEnd"/>
      <w:r w:rsidRPr="004C459C">
        <w:rPr>
          <w:i/>
        </w:rPr>
        <w:t>.</w:t>
      </w:r>
    </w:p>
    <w:p w:rsidR="004C459C" w:rsidRPr="004C459C" w:rsidRDefault="004C459C" w:rsidP="004C459C">
      <w:pPr>
        <w:tabs>
          <w:tab w:val="left" w:pos="1168"/>
        </w:tabs>
        <w:spacing w:after="480" w:line="480" w:lineRule="auto"/>
        <w:jc w:val="both"/>
        <w:rPr>
          <w:i/>
        </w:rPr>
      </w:pPr>
      <w:r w:rsidRPr="004C459C">
        <w:rPr>
          <w:i/>
        </w:rPr>
        <w:tab/>
        <w:t>Solicitor for the respondent: Legal Aid NL, St. John’s.</w:t>
      </w:r>
    </w:p>
    <w:p w:rsidR="004C459C" w:rsidRDefault="004C459C" w:rsidP="004C459C">
      <w:pPr>
        <w:rPr>
          <w:rFonts w:eastAsia="Calibri"/>
          <w:szCs w:val="24"/>
          <w:lang w:eastAsia="en-US"/>
        </w:rPr>
      </w:pPr>
      <w:bookmarkStart w:id="0" w:name="_GoBack"/>
      <w:bookmarkEnd w:id="0"/>
    </w:p>
    <w:sectPr w:rsidR="004C459C" w:rsidSect="004C459C">
      <w:headerReference w:type="default" r:id="rId11"/>
      <w:headerReference w:type="first" r:id="rId12"/>
      <w:pgSz w:w="12240" w:h="15840"/>
      <w:pgMar w:top="1440" w:right="1440" w:bottom="1440" w:left="1440"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D8" w:rsidRDefault="00437DD8">
      <w:r>
        <w:separator/>
      </w:r>
    </w:p>
  </w:endnote>
  <w:endnote w:type="continuationSeparator" w:id="0">
    <w:p w:rsidR="00437DD8" w:rsidRDefault="004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D8" w:rsidRDefault="00437DD8">
      <w:r>
        <w:separator/>
      </w:r>
    </w:p>
  </w:footnote>
  <w:footnote w:type="continuationSeparator" w:id="0">
    <w:p w:rsidR="00437DD8" w:rsidRDefault="0043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0F" w:rsidRDefault="004C459C" w:rsidP="00F07DDA">
    <w:pPr>
      <w:tabs>
        <w:tab w:val="right" w:pos="9360"/>
      </w:tabs>
      <w:jc w:val="righ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2754"/>
      <w:lock w:val="contentLocked"/>
      <w:showingPlcHdr/>
      <w:text/>
    </w:sdtPr>
    <w:sdtEndPr/>
    <w:sdtContent>
      <w:p w:rsidR="000367A3" w:rsidRDefault="004C459C" w:rsidP="000367A3"/>
      <w:p w:rsidR="000367A3" w:rsidRDefault="004C459C" w:rsidP="000367A3"/>
      <w:p w:rsidR="000367A3" w:rsidRPr="0031097F" w:rsidRDefault="004C459C" w:rsidP="000367A3"/>
      <w:p w:rsidR="000367A3" w:rsidRDefault="004C459C" w:rsidP="000367A3"/>
      <w:p w:rsidR="000367A3" w:rsidRDefault="004C459C" w:rsidP="000367A3"/>
      <w:p w:rsidR="000367A3" w:rsidRDefault="004C459C" w:rsidP="000367A3"/>
      <w:p w:rsidR="000367A3" w:rsidRDefault="004C459C" w:rsidP="000367A3"/>
      <w:p w:rsidR="000367A3" w:rsidRDefault="004C459C" w:rsidP="000367A3"/>
      <w:p w:rsidR="000367A3" w:rsidRPr="00FE22F9" w:rsidRDefault="004C459C" w:rsidP="000367A3"/>
      <w:p w:rsidR="000367A3" w:rsidRPr="00FE22F9" w:rsidRDefault="004C459C" w:rsidP="000367A3"/>
      <w:p w:rsidR="000367A3" w:rsidRDefault="004C459C" w:rsidP="000367A3">
        <w:pPr>
          <w:pStyle w:val="Header"/>
        </w:pPr>
      </w:p>
      <w:p w:rsidR="00484355" w:rsidRPr="000367A3" w:rsidRDefault="004C459C" w:rsidP="000367A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48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CA3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D66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2044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2D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4A0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262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09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6C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A3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E55D70"/>
    <w:multiLevelType w:val="hybridMultilevel"/>
    <w:tmpl w:val="191220A4"/>
    <w:lvl w:ilvl="0" w:tplc="55A041F2">
      <w:start w:val="1"/>
      <w:numFmt w:val="decimal"/>
      <w:lvlText w:val="[%1]"/>
      <w:lvlJc w:val="left"/>
      <w:pPr>
        <w:tabs>
          <w:tab w:val="num" w:pos="116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3"/>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4"/>
  </w:num>
  <w:num w:numId="12">
    <w:abstractNumId w:val="12"/>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5"/>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1368"/>
    <w:rsid w:val="00013781"/>
    <w:rsid w:val="00017885"/>
    <w:rsid w:val="00025198"/>
    <w:rsid w:val="00025763"/>
    <w:rsid w:val="00026467"/>
    <w:rsid w:val="00040D1B"/>
    <w:rsid w:val="00040F00"/>
    <w:rsid w:val="00041BDD"/>
    <w:rsid w:val="000578A3"/>
    <w:rsid w:val="000648CC"/>
    <w:rsid w:val="00076E46"/>
    <w:rsid w:val="00090AC3"/>
    <w:rsid w:val="00094FED"/>
    <w:rsid w:val="00096F6F"/>
    <w:rsid w:val="000B5CFA"/>
    <w:rsid w:val="000B69B5"/>
    <w:rsid w:val="000C3FCE"/>
    <w:rsid w:val="000C433D"/>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70CD9"/>
    <w:rsid w:val="0018066E"/>
    <w:rsid w:val="00184C66"/>
    <w:rsid w:val="00186351"/>
    <w:rsid w:val="00195D83"/>
    <w:rsid w:val="001977DB"/>
    <w:rsid w:val="001A00C1"/>
    <w:rsid w:val="001A42A4"/>
    <w:rsid w:val="001B327A"/>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4F49"/>
    <w:rsid w:val="00270D93"/>
    <w:rsid w:val="002745CC"/>
    <w:rsid w:val="00284EBA"/>
    <w:rsid w:val="0029178F"/>
    <w:rsid w:val="002B7924"/>
    <w:rsid w:val="002B7ABA"/>
    <w:rsid w:val="002D0889"/>
    <w:rsid w:val="002D0C2D"/>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0E6F"/>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74070"/>
    <w:rsid w:val="00396BF3"/>
    <w:rsid w:val="00397B36"/>
    <w:rsid w:val="003A125D"/>
    <w:rsid w:val="003A4C70"/>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7DD8"/>
    <w:rsid w:val="00450352"/>
    <w:rsid w:val="00454BDB"/>
    <w:rsid w:val="004567CE"/>
    <w:rsid w:val="0046210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59C"/>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1"/>
    <w:rsid w:val="005A6079"/>
    <w:rsid w:val="005C5BED"/>
    <w:rsid w:val="005C7840"/>
    <w:rsid w:val="005E4698"/>
    <w:rsid w:val="006003EE"/>
    <w:rsid w:val="00610539"/>
    <w:rsid w:val="00613969"/>
    <w:rsid w:val="0061523C"/>
    <w:rsid w:val="00617208"/>
    <w:rsid w:val="006230B6"/>
    <w:rsid w:val="00625C35"/>
    <w:rsid w:val="006260EB"/>
    <w:rsid w:val="00626A7D"/>
    <w:rsid w:val="0062787A"/>
    <w:rsid w:val="00635521"/>
    <w:rsid w:val="006468AB"/>
    <w:rsid w:val="00656313"/>
    <w:rsid w:val="006565F4"/>
    <w:rsid w:val="0066108F"/>
    <w:rsid w:val="006763FD"/>
    <w:rsid w:val="00684EEA"/>
    <w:rsid w:val="006908E8"/>
    <w:rsid w:val="0069689B"/>
    <w:rsid w:val="006A1551"/>
    <w:rsid w:val="006A31A1"/>
    <w:rsid w:val="006A48DB"/>
    <w:rsid w:val="006B5FF5"/>
    <w:rsid w:val="006B7683"/>
    <w:rsid w:val="006D4200"/>
    <w:rsid w:val="006D6275"/>
    <w:rsid w:val="006F30AF"/>
    <w:rsid w:val="007000FF"/>
    <w:rsid w:val="007009A0"/>
    <w:rsid w:val="00701759"/>
    <w:rsid w:val="00701CF2"/>
    <w:rsid w:val="00705C15"/>
    <w:rsid w:val="00712E55"/>
    <w:rsid w:val="00713025"/>
    <w:rsid w:val="007154A1"/>
    <w:rsid w:val="00715A65"/>
    <w:rsid w:val="0071600E"/>
    <w:rsid w:val="00717FDC"/>
    <w:rsid w:val="007208D1"/>
    <w:rsid w:val="0072428C"/>
    <w:rsid w:val="00730177"/>
    <w:rsid w:val="00741E1C"/>
    <w:rsid w:val="00742119"/>
    <w:rsid w:val="00747288"/>
    <w:rsid w:val="00747DD3"/>
    <w:rsid w:val="007549C8"/>
    <w:rsid w:val="00754A0B"/>
    <w:rsid w:val="0075717D"/>
    <w:rsid w:val="00766D14"/>
    <w:rsid w:val="00767A0F"/>
    <w:rsid w:val="00780E64"/>
    <w:rsid w:val="007A05F6"/>
    <w:rsid w:val="007B6F4A"/>
    <w:rsid w:val="007D097E"/>
    <w:rsid w:val="007E1C47"/>
    <w:rsid w:val="007E337A"/>
    <w:rsid w:val="007E5C70"/>
    <w:rsid w:val="007F2FF5"/>
    <w:rsid w:val="007F3F08"/>
    <w:rsid w:val="00804CC6"/>
    <w:rsid w:val="00813B48"/>
    <w:rsid w:val="0081470C"/>
    <w:rsid w:val="00817190"/>
    <w:rsid w:val="008201FB"/>
    <w:rsid w:val="00820EE5"/>
    <w:rsid w:val="008244E9"/>
    <w:rsid w:val="008260E2"/>
    <w:rsid w:val="008311DB"/>
    <w:rsid w:val="008322BD"/>
    <w:rsid w:val="008323C4"/>
    <w:rsid w:val="00832F3F"/>
    <w:rsid w:val="00833E0A"/>
    <w:rsid w:val="00834F73"/>
    <w:rsid w:val="00847F55"/>
    <w:rsid w:val="00851F3D"/>
    <w:rsid w:val="008544FA"/>
    <w:rsid w:val="00854728"/>
    <w:rsid w:val="00864CF8"/>
    <w:rsid w:val="00872819"/>
    <w:rsid w:val="00874914"/>
    <w:rsid w:val="00891422"/>
    <w:rsid w:val="00892E1A"/>
    <w:rsid w:val="00895EB7"/>
    <w:rsid w:val="00896C73"/>
    <w:rsid w:val="008A3F29"/>
    <w:rsid w:val="008B660A"/>
    <w:rsid w:val="008B70F9"/>
    <w:rsid w:val="008C01DA"/>
    <w:rsid w:val="008C02C9"/>
    <w:rsid w:val="008C1723"/>
    <w:rsid w:val="008C7263"/>
    <w:rsid w:val="008D2104"/>
    <w:rsid w:val="008D44F3"/>
    <w:rsid w:val="008F78E9"/>
    <w:rsid w:val="00903C32"/>
    <w:rsid w:val="00911011"/>
    <w:rsid w:val="00911989"/>
    <w:rsid w:val="009179F9"/>
    <w:rsid w:val="00921B52"/>
    <w:rsid w:val="0093031F"/>
    <w:rsid w:val="00931C1C"/>
    <w:rsid w:val="00933E5E"/>
    <w:rsid w:val="00935218"/>
    <w:rsid w:val="009403F3"/>
    <w:rsid w:val="009555B7"/>
    <w:rsid w:val="009567AA"/>
    <w:rsid w:val="0096120B"/>
    <w:rsid w:val="0096473A"/>
    <w:rsid w:val="00967374"/>
    <w:rsid w:val="0097155E"/>
    <w:rsid w:val="00972251"/>
    <w:rsid w:val="00976EB5"/>
    <w:rsid w:val="00981B4D"/>
    <w:rsid w:val="009A343A"/>
    <w:rsid w:val="009A4E51"/>
    <w:rsid w:val="009A520F"/>
    <w:rsid w:val="009B2F23"/>
    <w:rsid w:val="009B57B3"/>
    <w:rsid w:val="009B6FFE"/>
    <w:rsid w:val="009B7BE6"/>
    <w:rsid w:val="009C5B92"/>
    <w:rsid w:val="009D2920"/>
    <w:rsid w:val="009D5AEB"/>
    <w:rsid w:val="009D79D6"/>
    <w:rsid w:val="009F0E33"/>
    <w:rsid w:val="009F1E77"/>
    <w:rsid w:val="00A003F4"/>
    <w:rsid w:val="00A030CE"/>
    <w:rsid w:val="00A12217"/>
    <w:rsid w:val="00A149DF"/>
    <w:rsid w:val="00A1755C"/>
    <w:rsid w:val="00A21B90"/>
    <w:rsid w:val="00A23CE6"/>
    <w:rsid w:val="00A244B9"/>
    <w:rsid w:val="00A41805"/>
    <w:rsid w:val="00A42DCD"/>
    <w:rsid w:val="00A44699"/>
    <w:rsid w:val="00A52AFB"/>
    <w:rsid w:val="00A54744"/>
    <w:rsid w:val="00A548CB"/>
    <w:rsid w:val="00A5521C"/>
    <w:rsid w:val="00A557A1"/>
    <w:rsid w:val="00A55CEF"/>
    <w:rsid w:val="00A643E7"/>
    <w:rsid w:val="00A70913"/>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6958"/>
    <w:rsid w:val="00B43559"/>
    <w:rsid w:val="00B50C81"/>
    <w:rsid w:val="00B53176"/>
    <w:rsid w:val="00B557F8"/>
    <w:rsid w:val="00B56AAF"/>
    <w:rsid w:val="00B652DB"/>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1A6A"/>
    <w:rsid w:val="00C02092"/>
    <w:rsid w:val="00C14AA0"/>
    <w:rsid w:val="00C22905"/>
    <w:rsid w:val="00C229CD"/>
    <w:rsid w:val="00C248ED"/>
    <w:rsid w:val="00C24D91"/>
    <w:rsid w:val="00C53F14"/>
    <w:rsid w:val="00C55E34"/>
    <w:rsid w:val="00C600CF"/>
    <w:rsid w:val="00C6084F"/>
    <w:rsid w:val="00C62A66"/>
    <w:rsid w:val="00C62FD6"/>
    <w:rsid w:val="00C71458"/>
    <w:rsid w:val="00C767AD"/>
    <w:rsid w:val="00C77613"/>
    <w:rsid w:val="00C828E7"/>
    <w:rsid w:val="00C8650B"/>
    <w:rsid w:val="00C86719"/>
    <w:rsid w:val="00C921DD"/>
    <w:rsid w:val="00CA6391"/>
    <w:rsid w:val="00CA7B39"/>
    <w:rsid w:val="00CC34BD"/>
    <w:rsid w:val="00CD6453"/>
    <w:rsid w:val="00CE08B9"/>
    <w:rsid w:val="00CE161A"/>
    <w:rsid w:val="00CE3171"/>
    <w:rsid w:val="00CE7262"/>
    <w:rsid w:val="00CF09E5"/>
    <w:rsid w:val="00CF1601"/>
    <w:rsid w:val="00D0172F"/>
    <w:rsid w:val="00D068A7"/>
    <w:rsid w:val="00D173CE"/>
    <w:rsid w:val="00D17476"/>
    <w:rsid w:val="00D2527D"/>
    <w:rsid w:val="00D26B67"/>
    <w:rsid w:val="00D32086"/>
    <w:rsid w:val="00D33A8F"/>
    <w:rsid w:val="00D360E6"/>
    <w:rsid w:val="00D37A3F"/>
    <w:rsid w:val="00D4431D"/>
    <w:rsid w:val="00D4667A"/>
    <w:rsid w:val="00D469D5"/>
    <w:rsid w:val="00D47BFC"/>
    <w:rsid w:val="00D57CCA"/>
    <w:rsid w:val="00D614A5"/>
    <w:rsid w:val="00D614E0"/>
    <w:rsid w:val="00D63A1C"/>
    <w:rsid w:val="00D67CB1"/>
    <w:rsid w:val="00D745D8"/>
    <w:rsid w:val="00D7516F"/>
    <w:rsid w:val="00D83628"/>
    <w:rsid w:val="00D8579F"/>
    <w:rsid w:val="00D90B9E"/>
    <w:rsid w:val="00D91A89"/>
    <w:rsid w:val="00D94841"/>
    <w:rsid w:val="00D95F8E"/>
    <w:rsid w:val="00DA0590"/>
    <w:rsid w:val="00DA09F8"/>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574"/>
    <w:rsid w:val="00E47B7A"/>
    <w:rsid w:val="00E50A79"/>
    <w:rsid w:val="00E56A44"/>
    <w:rsid w:val="00E60269"/>
    <w:rsid w:val="00E653D0"/>
    <w:rsid w:val="00E65A2E"/>
    <w:rsid w:val="00E71951"/>
    <w:rsid w:val="00E77932"/>
    <w:rsid w:val="00E83FDA"/>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138C9"/>
    <w:rsid w:val="00F2271D"/>
    <w:rsid w:val="00F32475"/>
    <w:rsid w:val="00F36AB6"/>
    <w:rsid w:val="00F37A09"/>
    <w:rsid w:val="00F409CE"/>
    <w:rsid w:val="00F4379D"/>
    <w:rsid w:val="00F50635"/>
    <w:rsid w:val="00F50D2D"/>
    <w:rsid w:val="00F56C8B"/>
    <w:rsid w:val="00F66810"/>
    <w:rsid w:val="00F70A7A"/>
    <w:rsid w:val="00F75F4E"/>
    <w:rsid w:val="00F846D9"/>
    <w:rsid w:val="00F84DF4"/>
    <w:rsid w:val="00F85C97"/>
    <w:rsid w:val="00F94A57"/>
    <w:rsid w:val="00FA51A0"/>
    <w:rsid w:val="00FB37D2"/>
    <w:rsid w:val="00FB7D08"/>
    <w:rsid w:val="00FC3788"/>
    <w:rsid w:val="00FC4EFB"/>
    <w:rsid w:val="00FD068D"/>
    <w:rsid w:val="00FD4F28"/>
    <w:rsid w:val="00FE0416"/>
    <w:rsid w:val="00FE22A8"/>
    <w:rsid w:val="00FE439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A54744"/>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A54744"/>
    <w:rPr>
      <w:rFonts w:eastAsiaTheme="minorHAnsi" w:cstheme="minorBidi"/>
      <w:b/>
      <w:szCs w:val="22"/>
      <w:lang w:eastAsia="en-US"/>
    </w:rPr>
  </w:style>
  <w:style w:type="character" w:customStyle="1" w:styleId="SCCLsocPrefixChar">
    <w:name w:val="SCC.Lsoc.Prefix Char"/>
    <w:basedOn w:val="DefaultParagraphFont"/>
    <w:link w:val="SCCLsocPrefix"/>
    <w:rsid w:val="00A54744"/>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9242">
      <w:bodyDiv w:val="1"/>
      <w:marLeft w:val="0"/>
      <w:marRight w:val="0"/>
      <w:marTop w:val="0"/>
      <w:marBottom w:val="0"/>
      <w:divBdr>
        <w:top w:val="none" w:sz="0" w:space="0" w:color="auto"/>
        <w:left w:val="none" w:sz="0" w:space="0" w:color="auto"/>
        <w:bottom w:val="none" w:sz="0" w:space="0" w:color="auto"/>
        <w:right w:val="none" w:sz="0" w:space="0" w:color="auto"/>
      </w:divBdr>
    </w:div>
    <w:div w:id="427433501">
      <w:bodyDiv w:val="1"/>
      <w:marLeft w:val="0"/>
      <w:marRight w:val="0"/>
      <w:marTop w:val="0"/>
      <w:marBottom w:val="0"/>
      <w:divBdr>
        <w:top w:val="none" w:sz="0" w:space="0" w:color="auto"/>
        <w:left w:val="none" w:sz="0" w:space="0" w:color="auto"/>
        <w:bottom w:val="none" w:sz="0" w:space="0" w:color="auto"/>
        <w:right w:val="none" w:sz="0" w:space="0" w:color="auto"/>
      </w:divBdr>
    </w:div>
    <w:div w:id="510067599">
      <w:bodyDiv w:val="1"/>
      <w:marLeft w:val="0"/>
      <w:marRight w:val="0"/>
      <w:marTop w:val="0"/>
      <w:marBottom w:val="0"/>
      <w:divBdr>
        <w:top w:val="none" w:sz="0" w:space="0" w:color="auto"/>
        <w:left w:val="none" w:sz="0" w:space="0" w:color="auto"/>
        <w:bottom w:val="none" w:sz="0" w:space="0" w:color="auto"/>
        <w:right w:val="none" w:sz="0" w:space="0" w:color="auto"/>
      </w:divBdr>
    </w:div>
    <w:div w:id="675503589">
      <w:bodyDiv w:val="1"/>
      <w:marLeft w:val="0"/>
      <w:marRight w:val="0"/>
      <w:marTop w:val="0"/>
      <w:marBottom w:val="0"/>
      <w:divBdr>
        <w:top w:val="none" w:sz="0" w:space="0" w:color="auto"/>
        <w:left w:val="none" w:sz="0" w:space="0" w:color="auto"/>
        <w:bottom w:val="none" w:sz="0" w:space="0" w:color="auto"/>
        <w:right w:val="none" w:sz="0" w:space="0" w:color="auto"/>
      </w:divBdr>
    </w:div>
    <w:div w:id="746463406">
      <w:bodyDiv w:val="1"/>
      <w:marLeft w:val="0"/>
      <w:marRight w:val="0"/>
      <w:marTop w:val="0"/>
      <w:marBottom w:val="0"/>
      <w:divBdr>
        <w:top w:val="none" w:sz="0" w:space="0" w:color="auto"/>
        <w:left w:val="none" w:sz="0" w:space="0" w:color="auto"/>
        <w:bottom w:val="none" w:sz="0" w:space="0" w:color="auto"/>
        <w:right w:val="none" w:sz="0" w:space="0" w:color="auto"/>
      </w:divBdr>
    </w:div>
    <w:div w:id="1150101078">
      <w:bodyDiv w:val="1"/>
      <w:marLeft w:val="0"/>
      <w:marRight w:val="0"/>
      <w:marTop w:val="0"/>
      <w:marBottom w:val="0"/>
      <w:divBdr>
        <w:top w:val="none" w:sz="0" w:space="0" w:color="auto"/>
        <w:left w:val="none" w:sz="0" w:space="0" w:color="auto"/>
        <w:bottom w:val="none" w:sz="0" w:space="0" w:color="auto"/>
        <w:right w:val="none" w:sz="0" w:space="0" w:color="auto"/>
      </w:divBdr>
    </w:div>
    <w:div w:id="1159036783">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3252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cords.court.nl.ca/public/supremecourt/decisiondownload/?decision-id=8461&amp;mode=strea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4F90-07F4-4DCB-9623-5812AF92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2022-12-08T16:46:00Z</dcterms:created>
  <dcterms:modified xsi:type="dcterms:W3CDTF">2023-07-28T15:00:00Z</dcterms:modified>
</cp:coreProperties>
</file>