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37" w:rsidRDefault="00A23F37" w:rsidP="00A23F3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75pt" o:ole="">
            <v:imagedata r:id="rId7" o:title=""/>
          </v:shape>
          <o:OLEObject Type="Embed" ProgID="Presentations.Drawing.13" ShapeID="_x0000_i1025" DrawAspect="Content" ObjectID="_1362570277" r:id="rId8"/>
        </w:object>
      </w:r>
      <w:r>
        <w:t xml:space="preserve"> </w:t>
      </w:r>
      <w:r>
        <w:ptab w:relativeTo="margin" w:alignment="right" w:leader="none"/>
      </w:r>
    </w:p>
    <w:p w:rsidR="00A23F37" w:rsidRDefault="00A23F37" w:rsidP="00A23F37">
      <w:pPr>
        <w:pStyle w:val="Header"/>
      </w:pPr>
    </w:p>
    <w:p w:rsidR="00A23F37" w:rsidRPr="006B210C" w:rsidRDefault="00A23F37" w:rsidP="00A23F37">
      <w:pPr>
        <w:jc w:val="center"/>
        <w:rPr>
          <w:b/>
        </w:rPr>
      </w:pPr>
      <w:r w:rsidRPr="006B210C">
        <w:rPr>
          <w:b/>
        </w:rPr>
        <w:t>SUPREME COURT OF CANADA</w:t>
      </w:r>
    </w:p>
    <w:p w:rsidR="00A23F37" w:rsidRDefault="00A23F37" w:rsidP="00A23F3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23F37" w:rsidRPr="006B210C" w:rsidTr="00D102C3">
        <w:trPr>
          <w:cantSplit/>
        </w:trPr>
        <w:tc>
          <w:tcPr>
            <w:tcW w:w="6768" w:type="dxa"/>
          </w:tcPr>
          <w:p w:rsidR="00A23F37" w:rsidRPr="006B210C" w:rsidRDefault="00A23F37" w:rsidP="00D102C3">
            <w:r w:rsidRPr="00BC5A9B">
              <w:rPr>
                <w:b/>
                <w:smallCaps/>
              </w:rPr>
              <w:t>Citation</w:t>
            </w:r>
            <w:r w:rsidRPr="00BC5A9B">
              <w:rPr>
                <w:b/>
              </w:rPr>
              <w:t>:</w:t>
            </w:r>
            <w:r w:rsidRPr="006B210C">
              <w:t xml:space="preserve"> </w:t>
            </w:r>
            <w:r w:rsidRPr="000963F0">
              <w:t xml:space="preserve">R. </w:t>
            </w:r>
            <w:r w:rsidRPr="000963F0">
              <w:rPr>
                <w:i/>
              </w:rPr>
              <w:t>v</w:t>
            </w:r>
            <w:r w:rsidRPr="000963F0">
              <w:t xml:space="preserve">. </w:t>
            </w:r>
            <w:r w:rsidRPr="000963F0">
              <w:rPr>
                <w:rStyle w:val="SCCAppellantForIndexChar"/>
                <w:b w:val="0"/>
              </w:rPr>
              <w:t>Lee</w:t>
            </w:r>
            <w:r>
              <w:rPr>
                <w:rStyle w:val="SCCAppellantForIndexChar"/>
                <w:b w:val="0"/>
              </w:rPr>
              <w:t>, 2010 SCC 52</w:t>
            </w:r>
            <w:r>
              <w:rPr>
                <w:rStyle w:val="SCCRespondentForRunningHeadChar"/>
                <w:smallCaps w:val="0"/>
              </w:rPr>
              <w:t>, [2010] 3 S.C.R. 99</w:t>
            </w:r>
          </w:p>
        </w:tc>
        <w:tc>
          <w:tcPr>
            <w:tcW w:w="2808" w:type="dxa"/>
          </w:tcPr>
          <w:p w:rsidR="00A23F37" w:rsidRPr="006B210C" w:rsidRDefault="00A23F37" w:rsidP="00D102C3">
            <w:r w:rsidRPr="006B210C">
              <w:rPr>
                <w:b/>
                <w:smallCaps/>
              </w:rPr>
              <w:t xml:space="preserve">Date </w:t>
            </w:r>
            <w:r w:rsidRPr="006B210C">
              <w:t xml:space="preserve">: </w:t>
            </w:r>
            <w:r>
              <w:t>20101112</w:t>
            </w:r>
          </w:p>
          <w:p w:rsidR="00A23F37" w:rsidRPr="006B210C" w:rsidRDefault="00A23F37" w:rsidP="00D102C3">
            <w:r w:rsidRPr="006B210C">
              <w:rPr>
                <w:b/>
                <w:smallCaps/>
              </w:rPr>
              <w:t xml:space="preserve">Docket </w:t>
            </w:r>
            <w:r w:rsidRPr="006B210C">
              <w:t xml:space="preserve">: </w:t>
            </w:r>
            <w:r>
              <w:t>33575</w:t>
            </w:r>
          </w:p>
        </w:tc>
      </w:tr>
    </w:tbl>
    <w:p w:rsidR="00A23F37" w:rsidRPr="006B210C" w:rsidRDefault="00A23F37" w:rsidP="00A23F37"/>
    <w:p w:rsidR="00A23F37" w:rsidRDefault="00A23F37" w:rsidP="00A23F37">
      <w:pPr>
        <w:pStyle w:val="SCCLsocPrefix"/>
      </w:pPr>
      <w:r>
        <w:t>Between:</w:t>
      </w:r>
    </w:p>
    <w:p w:rsidR="00A23F37" w:rsidRDefault="00A23F37" w:rsidP="00A23F37">
      <w:pPr>
        <w:pStyle w:val="SCCLsocParty"/>
        <w:jc w:val="center"/>
      </w:pPr>
      <w:r>
        <w:t>Christopher John Lee</w:t>
      </w:r>
    </w:p>
    <w:p w:rsidR="00A23F37" w:rsidRPr="00E155B5" w:rsidRDefault="00A23F37" w:rsidP="00A23F37">
      <w:pPr>
        <w:pStyle w:val="SCCLsocPartyRole"/>
        <w:jc w:val="center"/>
        <w:rPr>
          <w:i w:val="0"/>
        </w:rPr>
      </w:pPr>
      <w:r w:rsidRPr="00E155B5">
        <w:rPr>
          <w:i w:val="0"/>
        </w:rPr>
        <w:t>Appellant</w:t>
      </w:r>
    </w:p>
    <w:p w:rsidR="00A23F37" w:rsidRDefault="00A23F37" w:rsidP="00A23F37">
      <w:pPr>
        <w:pStyle w:val="SCCLsocVersus"/>
        <w:jc w:val="center"/>
      </w:pPr>
      <w:proofErr w:type="gramStart"/>
      <w:r w:rsidRPr="00E155B5">
        <w:rPr>
          <w:i w:val="0"/>
        </w:rPr>
        <w:t>and</w:t>
      </w:r>
      <w:proofErr w:type="gramEnd"/>
    </w:p>
    <w:p w:rsidR="00A23F37" w:rsidRDefault="00A23F37" w:rsidP="00A23F37">
      <w:pPr>
        <w:pStyle w:val="SCCLsocParty"/>
        <w:jc w:val="center"/>
      </w:pPr>
      <w:r>
        <w:t xml:space="preserve">Her Majesty </w:t>
      </w:r>
      <w:proofErr w:type="gramStart"/>
      <w:r>
        <w:t>The</w:t>
      </w:r>
      <w:proofErr w:type="gramEnd"/>
      <w:r>
        <w:t xml:space="preserve"> Queen</w:t>
      </w:r>
    </w:p>
    <w:p w:rsidR="00A23F37" w:rsidRPr="00E155B5" w:rsidRDefault="00A23F37" w:rsidP="00A23F37">
      <w:pPr>
        <w:pStyle w:val="SCCLsocPartyRole"/>
        <w:jc w:val="center"/>
        <w:rPr>
          <w:i w:val="0"/>
        </w:rPr>
      </w:pPr>
      <w:r w:rsidRPr="00E155B5">
        <w:rPr>
          <w:i w:val="0"/>
        </w:rPr>
        <w:t>Respondent</w:t>
      </w:r>
    </w:p>
    <w:p w:rsidR="00A23F37" w:rsidRPr="006B210C" w:rsidRDefault="00A23F37" w:rsidP="00A23F37"/>
    <w:p w:rsidR="00A23F37" w:rsidRPr="006B210C" w:rsidRDefault="00A23F37" w:rsidP="00A23F37">
      <w:r w:rsidRPr="006B210C">
        <w:rPr>
          <w:b/>
          <w:smallCaps/>
        </w:rPr>
        <w:t>Coram</w:t>
      </w:r>
      <w:r w:rsidRPr="00BC5A9B">
        <w:rPr>
          <w:b/>
        </w:rPr>
        <w:t>:</w:t>
      </w:r>
      <w:r w:rsidRPr="006B210C">
        <w:t xml:space="preserve"> </w:t>
      </w:r>
      <w:proofErr w:type="spellStart"/>
      <w:r>
        <w:t>Binnie</w:t>
      </w:r>
      <w:proofErr w:type="spellEnd"/>
      <w:r>
        <w:t xml:space="preserve">,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xml:space="preserve"> and Cromwell JJ.</w:t>
      </w:r>
    </w:p>
    <w:p w:rsidR="00A23F37" w:rsidRPr="006B210C" w:rsidRDefault="00A23F37" w:rsidP="00A23F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23F37" w:rsidRPr="006B210C" w:rsidTr="00D102C3">
        <w:trPr>
          <w:cantSplit/>
        </w:trPr>
        <w:tc>
          <w:tcPr>
            <w:tcW w:w="3618" w:type="dxa"/>
          </w:tcPr>
          <w:p w:rsidR="00A23F37" w:rsidRPr="00BC5A9B" w:rsidRDefault="00A23F37" w:rsidP="00D102C3">
            <w:pPr>
              <w:rPr>
                <w:b/>
              </w:rPr>
            </w:pPr>
            <w:r w:rsidRPr="00BC5A9B">
              <w:rPr>
                <w:b/>
                <w:smallCaps/>
              </w:rPr>
              <w:t>Reasons for Judgment</w:t>
            </w:r>
            <w:r w:rsidRPr="00BC5A9B">
              <w:rPr>
                <w:b/>
              </w:rPr>
              <w:t>:</w:t>
            </w:r>
          </w:p>
          <w:p w:rsidR="00A23F37" w:rsidRPr="006B210C" w:rsidRDefault="00A23F37" w:rsidP="00D102C3">
            <w:r>
              <w:t>(</w:t>
            </w:r>
            <w:proofErr w:type="spellStart"/>
            <w:r>
              <w:t>paras</w:t>
            </w:r>
            <w:proofErr w:type="spellEnd"/>
            <w:r>
              <w:t>. 1 to 8)</w:t>
            </w:r>
          </w:p>
        </w:tc>
        <w:tc>
          <w:tcPr>
            <w:tcW w:w="5958" w:type="dxa"/>
          </w:tcPr>
          <w:p w:rsidR="00A23F37" w:rsidRPr="006B210C" w:rsidRDefault="00A23F37" w:rsidP="00D102C3">
            <w:r>
              <w:t>The Court</w:t>
            </w:r>
          </w:p>
        </w:tc>
      </w:tr>
    </w:tbl>
    <w:p w:rsidR="00A23F37" w:rsidRDefault="00A23F37" w:rsidP="00A23F37"/>
    <w:p w:rsidR="00A23F37" w:rsidRPr="006B210C" w:rsidRDefault="00D12DE3" w:rsidP="00A23F37">
      <w:r w:rsidRPr="00D12DE3">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23F37" w:rsidRDefault="00A23F37" w:rsidP="00A23F37">
      <w:pPr>
        <w:spacing w:line="480" w:lineRule="auto"/>
        <w:jc w:val="both"/>
        <w:sectPr w:rsidR="00A23F37"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pPr>
    </w:p>
    <w:p w:rsidR="00A23F37" w:rsidRDefault="00A23F37">
      <w:pPr>
        <w:rPr>
          <w:smallCaps/>
        </w:rPr>
      </w:pPr>
    </w:p>
    <w:p w:rsidR="008322BD" w:rsidRPr="008D19C1" w:rsidRDefault="00425C43" w:rsidP="008E7760">
      <w:pPr>
        <w:spacing w:line="480" w:lineRule="auto"/>
        <w:jc w:val="both"/>
      </w:pPr>
      <w:r w:rsidRPr="00F94B40">
        <w:rPr>
          <w:smallCaps/>
        </w:rPr>
        <w:t>R</w:t>
      </w:r>
      <w:r w:rsidR="0022515F" w:rsidRPr="00F94B40">
        <w:rPr>
          <w:smallCaps/>
        </w:rPr>
        <w:t xml:space="preserve">. </w:t>
      </w:r>
      <w:r w:rsidR="0022515F" w:rsidRPr="00F94B40">
        <w:rPr>
          <w:i/>
        </w:rPr>
        <w:t>v</w:t>
      </w:r>
      <w:r w:rsidR="0022515F" w:rsidRPr="00F94B40">
        <w:rPr>
          <w:smallCaps/>
        </w:rPr>
        <w:t xml:space="preserve">. </w:t>
      </w:r>
      <w:r w:rsidR="008F78E9" w:rsidRPr="00F94B40">
        <w:rPr>
          <w:rStyle w:val="SCCAppellantForRunningHeadChar"/>
          <w:smallCaps w:val="0"/>
        </w:rPr>
        <w:t>L</w:t>
      </w:r>
      <w:r w:rsidR="00F94B40" w:rsidRPr="00F94B40">
        <w:rPr>
          <w:rStyle w:val="SCCAppellantForRunningHeadChar"/>
          <w:smallCaps w:val="0"/>
        </w:rPr>
        <w:t>ee</w:t>
      </w:r>
      <w:r w:rsidR="003B27F1">
        <w:rPr>
          <w:rStyle w:val="SCCAppellantForRunningHeadChar"/>
        </w:rPr>
        <w:t>, 2010</w:t>
      </w:r>
      <w:r w:rsidR="003B27F1">
        <w:rPr>
          <w:rStyle w:val="SCCRespondentForRunningHeadChar"/>
          <w:smallCaps w:val="0"/>
        </w:rPr>
        <w:t xml:space="preserve"> SCC 52, [2010] 3 S.C.R. 99</w:t>
      </w:r>
    </w:p>
    <w:p w:rsidR="00766D14" w:rsidRPr="008D19C1" w:rsidRDefault="00766D14" w:rsidP="008E7760">
      <w:pPr>
        <w:spacing w:line="480" w:lineRule="auto"/>
        <w:jc w:val="both"/>
      </w:pPr>
    </w:p>
    <w:p w:rsidR="00425C43" w:rsidRPr="008D19C1" w:rsidRDefault="0022515F" w:rsidP="008E7760">
      <w:pPr>
        <w:pStyle w:val="SCCLsocParty"/>
        <w:tabs>
          <w:tab w:val="right" w:pos="8280"/>
        </w:tabs>
        <w:spacing w:line="480" w:lineRule="auto"/>
        <w:rPr>
          <w:b w:val="0"/>
          <w:i/>
        </w:rPr>
      </w:pPr>
      <w:r w:rsidRPr="008D19C1">
        <w:t xml:space="preserve">Christopher John Lee </w:t>
      </w:r>
      <w:r w:rsidRPr="008D19C1">
        <w:tab/>
      </w:r>
      <w:r w:rsidRPr="008D19C1">
        <w:rPr>
          <w:b w:val="0"/>
          <w:i/>
        </w:rPr>
        <w:t>Appellant</w:t>
      </w:r>
    </w:p>
    <w:p w:rsidR="001E0FD3" w:rsidRPr="008D19C1" w:rsidRDefault="001E0FD3" w:rsidP="008E7760">
      <w:pPr>
        <w:pStyle w:val="SCCLsocParty"/>
        <w:tabs>
          <w:tab w:val="right" w:pos="8280"/>
        </w:tabs>
        <w:spacing w:line="480" w:lineRule="auto"/>
      </w:pPr>
    </w:p>
    <w:p w:rsidR="00425C43" w:rsidRPr="008D19C1" w:rsidRDefault="0022515F" w:rsidP="008E7760">
      <w:pPr>
        <w:pStyle w:val="SCCLsocVersus"/>
        <w:spacing w:line="480" w:lineRule="auto"/>
      </w:pPr>
      <w:proofErr w:type="gramStart"/>
      <w:r w:rsidRPr="008D19C1">
        <w:t>v</w:t>
      </w:r>
      <w:proofErr w:type="gramEnd"/>
      <w:r w:rsidRPr="008D19C1">
        <w:t>.</w:t>
      </w:r>
    </w:p>
    <w:p w:rsidR="001E0FD3" w:rsidRPr="008D19C1" w:rsidRDefault="001E0FD3" w:rsidP="008E7760">
      <w:pPr>
        <w:pStyle w:val="SCCLsocVersus"/>
        <w:spacing w:line="480" w:lineRule="auto"/>
      </w:pPr>
    </w:p>
    <w:p w:rsidR="001E0FD3" w:rsidRPr="008D19C1" w:rsidRDefault="00425C43" w:rsidP="008E7760">
      <w:pPr>
        <w:pStyle w:val="SCCLsocParty"/>
        <w:tabs>
          <w:tab w:val="right" w:pos="8280"/>
        </w:tabs>
        <w:spacing w:line="480" w:lineRule="auto"/>
      </w:pPr>
      <w:r w:rsidRPr="008D19C1">
        <w:t xml:space="preserve">Her Majesty </w:t>
      </w:r>
      <w:proofErr w:type="gramStart"/>
      <w:r w:rsidRPr="008D19C1">
        <w:t>T</w:t>
      </w:r>
      <w:r w:rsidR="0022515F" w:rsidRPr="008D19C1">
        <w:t>he</w:t>
      </w:r>
      <w:proofErr w:type="gramEnd"/>
      <w:r w:rsidR="0022515F" w:rsidRPr="008D19C1">
        <w:t xml:space="preserve"> Queen</w:t>
      </w:r>
      <w:r w:rsidRPr="008D19C1">
        <w:t xml:space="preserve"> </w:t>
      </w:r>
      <w:r w:rsidRPr="008D19C1">
        <w:tab/>
      </w:r>
      <w:r w:rsidR="0022515F" w:rsidRPr="008D19C1">
        <w:rPr>
          <w:b w:val="0"/>
          <w:i/>
        </w:rPr>
        <w:t>Respondent</w:t>
      </w:r>
    </w:p>
    <w:p w:rsidR="00766D14" w:rsidRPr="008D19C1" w:rsidRDefault="00766D14" w:rsidP="008E7760">
      <w:pPr>
        <w:spacing w:line="480" w:lineRule="auto"/>
        <w:jc w:val="both"/>
      </w:pPr>
    </w:p>
    <w:p w:rsidR="00426659" w:rsidRPr="008D19C1" w:rsidRDefault="00426659" w:rsidP="008E7760">
      <w:pPr>
        <w:spacing w:line="480" w:lineRule="auto"/>
        <w:jc w:val="both"/>
        <w:rPr>
          <w:b/>
        </w:rPr>
      </w:pPr>
      <w:r w:rsidRPr="008D19C1">
        <w:rPr>
          <w:b/>
        </w:rPr>
        <w:t>Indexed as:</w:t>
      </w:r>
      <w:r w:rsidR="00173343" w:rsidRPr="008D19C1">
        <w:rPr>
          <w:b/>
        </w:rPr>
        <w:t>  </w:t>
      </w:r>
      <w:r w:rsidR="00425C43" w:rsidRPr="008D19C1">
        <w:rPr>
          <w:b/>
        </w:rPr>
        <w:t xml:space="preserve">R. </w:t>
      </w:r>
      <w:r w:rsidR="00425C43" w:rsidRPr="008D19C1">
        <w:rPr>
          <w:b/>
          <w:i/>
        </w:rPr>
        <w:t>v</w:t>
      </w:r>
      <w:r w:rsidR="00425C43" w:rsidRPr="008D19C1">
        <w:rPr>
          <w:b/>
        </w:rPr>
        <w:t xml:space="preserve">. </w:t>
      </w:r>
      <w:r w:rsidRPr="008D19C1">
        <w:rPr>
          <w:rStyle w:val="SCCAppellantForIndexChar"/>
        </w:rPr>
        <w:t>Lee</w:t>
      </w:r>
    </w:p>
    <w:p w:rsidR="00426659" w:rsidRPr="008D19C1" w:rsidRDefault="00426659" w:rsidP="008E7760">
      <w:pPr>
        <w:spacing w:line="480" w:lineRule="auto"/>
        <w:jc w:val="both"/>
      </w:pPr>
    </w:p>
    <w:p w:rsidR="00426659" w:rsidRPr="008D19C1" w:rsidRDefault="007F3F08" w:rsidP="008E7760">
      <w:pPr>
        <w:pStyle w:val="SCCSystemYear"/>
        <w:spacing w:line="480" w:lineRule="auto"/>
        <w:jc w:val="both"/>
      </w:pPr>
      <w:r w:rsidRPr="008D19C1">
        <w:t>2010</w:t>
      </w:r>
      <w:r w:rsidR="00173343" w:rsidRPr="008D19C1">
        <w:t> </w:t>
      </w:r>
      <w:r w:rsidR="00426659" w:rsidRPr="008D19C1">
        <w:t>SCC </w:t>
      </w:r>
      <w:r w:rsidR="00066023" w:rsidRPr="008D19C1">
        <w:t>5</w:t>
      </w:r>
      <w:r w:rsidR="00344178" w:rsidRPr="008D19C1">
        <w:t>2</w:t>
      </w:r>
    </w:p>
    <w:p w:rsidR="00426659" w:rsidRPr="008D19C1" w:rsidRDefault="00426659" w:rsidP="008E7760">
      <w:pPr>
        <w:spacing w:line="480" w:lineRule="auto"/>
        <w:jc w:val="both"/>
      </w:pPr>
    </w:p>
    <w:p w:rsidR="008322BD" w:rsidRPr="008D19C1" w:rsidRDefault="00173343" w:rsidP="008E7760">
      <w:pPr>
        <w:spacing w:line="480" w:lineRule="auto"/>
        <w:jc w:val="both"/>
      </w:pPr>
      <w:r w:rsidRPr="008D19C1">
        <w:t>File No.:  </w:t>
      </w:r>
      <w:r w:rsidR="009B57B3" w:rsidRPr="008D19C1">
        <w:t>33575.</w:t>
      </w:r>
    </w:p>
    <w:p w:rsidR="00E97830" w:rsidRPr="008D19C1" w:rsidRDefault="00E97830" w:rsidP="008E7760">
      <w:pPr>
        <w:spacing w:line="480" w:lineRule="auto"/>
        <w:jc w:val="both"/>
      </w:pPr>
    </w:p>
    <w:p w:rsidR="008322BD" w:rsidRPr="008D19C1" w:rsidRDefault="008E7760" w:rsidP="008E7760">
      <w:pPr>
        <w:spacing w:line="480" w:lineRule="auto"/>
        <w:jc w:val="both"/>
      </w:pPr>
      <w:r w:rsidRPr="008D19C1">
        <w:t>2010:  November </w:t>
      </w:r>
      <w:r w:rsidR="007F3F08" w:rsidRPr="008D19C1">
        <w:t>3</w:t>
      </w:r>
      <w:r w:rsidR="009B57B3" w:rsidRPr="008D19C1">
        <w:t xml:space="preserve">; </w:t>
      </w:r>
      <w:r w:rsidR="00066023" w:rsidRPr="008D19C1">
        <w:t>2010:</w:t>
      </w:r>
      <w:r w:rsidRPr="008D19C1">
        <w:t>  November </w:t>
      </w:r>
      <w:r w:rsidR="00066023" w:rsidRPr="008D19C1">
        <w:t>12</w:t>
      </w:r>
      <w:r w:rsidR="00425C43" w:rsidRPr="008D19C1">
        <w:t>.</w:t>
      </w:r>
    </w:p>
    <w:p w:rsidR="00E97830" w:rsidRPr="008D19C1" w:rsidRDefault="00E97830" w:rsidP="008E7760">
      <w:pPr>
        <w:spacing w:line="480" w:lineRule="auto"/>
        <w:jc w:val="both"/>
      </w:pPr>
    </w:p>
    <w:p w:rsidR="008322BD" w:rsidRPr="008D19C1" w:rsidRDefault="00173343" w:rsidP="008E7760">
      <w:pPr>
        <w:spacing w:line="480" w:lineRule="auto"/>
        <w:jc w:val="both"/>
      </w:pPr>
      <w:r w:rsidRPr="008D19C1">
        <w:t>Present:  </w:t>
      </w:r>
      <w:proofErr w:type="spellStart"/>
      <w:r w:rsidR="009B57B3" w:rsidRPr="008D19C1">
        <w:t>Binnie</w:t>
      </w:r>
      <w:proofErr w:type="spellEnd"/>
      <w:r w:rsidR="009B57B3" w:rsidRPr="008D19C1">
        <w:t xml:space="preserve">, </w:t>
      </w:r>
      <w:proofErr w:type="spellStart"/>
      <w:r w:rsidR="009B57B3" w:rsidRPr="008D19C1">
        <w:t>LeBel</w:t>
      </w:r>
      <w:proofErr w:type="spellEnd"/>
      <w:r w:rsidR="009B57B3" w:rsidRPr="008D19C1">
        <w:t xml:space="preserve">, </w:t>
      </w:r>
      <w:proofErr w:type="spellStart"/>
      <w:r w:rsidR="009B57B3" w:rsidRPr="008D19C1">
        <w:t>Deschamps</w:t>
      </w:r>
      <w:proofErr w:type="spellEnd"/>
      <w:r w:rsidR="009B57B3" w:rsidRPr="008D19C1">
        <w:t xml:space="preserve">, Fish, </w:t>
      </w:r>
      <w:proofErr w:type="spellStart"/>
      <w:r w:rsidR="009B57B3" w:rsidRPr="008D19C1">
        <w:t>Abella</w:t>
      </w:r>
      <w:proofErr w:type="spellEnd"/>
      <w:r w:rsidR="009B57B3" w:rsidRPr="008D19C1">
        <w:t xml:space="preserve">, </w:t>
      </w:r>
      <w:proofErr w:type="spellStart"/>
      <w:r w:rsidR="009B57B3" w:rsidRPr="008D19C1">
        <w:t>Charron</w:t>
      </w:r>
      <w:proofErr w:type="spellEnd"/>
      <w:r w:rsidR="009B57B3" w:rsidRPr="008D19C1">
        <w:t xml:space="preserve"> and Cromwell</w:t>
      </w:r>
      <w:r w:rsidR="001C779F" w:rsidRPr="008D19C1">
        <w:t> </w:t>
      </w:r>
      <w:r w:rsidR="009B57B3" w:rsidRPr="008D19C1">
        <w:t>JJ.</w:t>
      </w:r>
    </w:p>
    <w:p w:rsidR="00A149DF" w:rsidRPr="008D19C1" w:rsidRDefault="00A149DF" w:rsidP="008E7760">
      <w:pPr>
        <w:spacing w:line="480" w:lineRule="auto"/>
        <w:jc w:val="both"/>
      </w:pPr>
    </w:p>
    <w:p w:rsidR="008322BD" w:rsidRPr="008D19C1" w:rsidRDefault="00656313" w:rsidP="00173343">
      <w:pPr>
        <w:pStyle w:val="SCCLowerCourtNameLowercase"/>
        <w:keepNext/>
      </w:pPr>
      <w:r w:rsidRPr="008D19C1">
        <w:t>o</w:t>
      </w:r>
      <w:r w:rsidR="00170592" w:rsidRPr="008D19C1">
        <w:t>n</w:t>
      </w:r>
      <w:r w:rsidR="00224FC0" w:rsidRPr="008D19C1">
        <w:t xml:space="preserve"> </w:t>
      </w:r>
      <w:r w:rsidRPr="008D19C1">
        <w:t>a</w:t>
      </w:r>
      <w:r w:rsidR="00170592" w:rsidRPr="008D19C1">
        <w:t>ppeal</w:t>
      </w:r>
      <w:r w:rsidR="00224FC0" w:rsidRPr="008D19C1">
        <w:t xml:space="preserve"> </w:t>
      </w:r>
      <w:r w:rsidR="00170592" w:rsidRPr="008D19C1">
        <w:t>from</w:t>
      </w:r>
      <w:r w:rsidR="009567AA" w:rsidRPr="008D19C1">
        <w:t xml:space="preserve"> the</w:t>
      </w:r>
      <w:r w:rsidR="00224FC0" w:rsidRPr="008D19C1">
        <w:t xml:space="preserve"> </w:t>
      </w:r>
      <w:r w:rsidR="009B57B3" w:rsidRPr="008D19C1">
        <w:t xml:space="preserve">court of appeal </w:t>
      </w:r>
      <w:r w:rsidR="00066023" w:rsidRPr="008D19C1">
        <w:t>f</w:t>
      </w:r>
      <w:r w:rsidR="009B57B3" w:rsidRPr="008D19C1">
        <w:t>o</w:t>
      </w:r>
      <w:r w:rsidR="00066023" w:rsidRPr="008D19C1">
        <w:t>r</w:t>
      </w:r>
      <w:r w:rsidR="009B57B3" w:rsidRPr="008D19C1">
        <w:t xml:space="preserve"> </w:t>
      </w:r>
      <w:proofErr w:type="spellStart"/>
      <w:r w:rsidR="009B57B3" w:rsidRPr="008D19C1">
        <w:t>alberta</w:t>
      </w:r>
      <w:proofErr w:type="spellEnd"/>
    </w:p>
    <w:p w:rsidR="003A4C70" w:rsidRPr="008D19C1" w:rsidRDefault="003A4C70" w:rsidP="008E7760">
      <w:pPr>
        <w:pStyle w:val="SCCNormalDoubleSpacing"/>
      </w:pPr>
    </w:p>
    <w:p w:rsidR="008322BD" w:rsidRPr="008D19C1" w:rsidRDefault="009B57B3" w:rsidP="003555D7">
      <w:pPr>
        <w:pStyle w:val="SCCNormalDoubleSpacing"/>
        <w:tabs>
          <w:tab w:val="left" w:pos="1170"/>
        </w:tabs>
        <w:rPr>
          <w:i/>
        </w:rPr>
      </w:pPr>
      <w:r w:rsidRPr="008D19C1">
        <w:rPr>
          <w:i/>
        </w:rPr>
        <w:tab/>
      </w:r>
      <w:r w:rsidR="00A0536C" w:rsidRPr="008D19C1">
        <w:rPr>
          <w:i/>
        </w:rPr>
        <w:t xml:space="preserve">Criminal law </w:t>
      </w:r>
      <w:r w:rsidR="00173343" w:rsidRPr="008D19C1">
        <w:rPr>
          <w:i/>
        </w:rPr>
        <w:t>—</w:t>
      </w:r>
      <w:r w:rsidR="00E460F5" w:rsidRPr="008D19C1">
        <w:rPr>
          <w:i/>
        </w:rPr>
        <w:t xml:space="preserve"> Reasonable verdict </w:t>
      </w:r>
      <w:r w:rsidR="00173343" w:rsidRPr="008D19C1">
        <w:rPr>
          <w:i/>
        </w:rPr>
        <w:t>—</w:t>
      </w:r>
      <w:r w:rsidR="00A0536C" w:rsidRPr="008D19C1">
        <w:rPr>
          <w:i/>
        </w:rPr>
        <w:t xml:space="preserve"> </w:t>
      </w:r>
      <w:r w:rsidR="00AE2F9F" w:rsidRPr="008D19C1">
        <w:rPr>
          <w:i/>
        </w:rPr>
        <w:t xml:space="preserve">Accused convicted </w:t>
      </w:r>
      <w:r w:rsidR="00AE2F9F" w:rsidRPr="008D19C1">
        <w:rPr>
          <w:i/>
          <w:szCs w:val="24"/>
        </w:rPr>
        <w:t>on charges of sexual assault with a weapon and unlawful confinement</w:t>
      </w:r>
      <w:r w:rsidR="00A0536C" w:rsidRPr="008D19C1">
        <w:rPr>
          <w:i/>
          <w:szCs w:val="24"/>
        </w:rPr>
        <w:t xml:space="preserve"> </w:t>
      </w:r>
      <w:r w:rsidR="00173343" w:rsidRPr="008D19C1">
        <w:rPr>
          <w:i/>
        </w:rPr>
        <w:t>—</w:t>
      </w:r>
      <w:r w:rsidR="008E7760" w:rsidRPr="008D19C1">
        <w:rPr>
          <w:i/>
        </w:rPr>
        <w:t xml:space="preserve"> </w:t>
      </w:r>
      <w:r w:rsidR="00A0536C" w:rsidRPr="008D19C1">
        <w:rPr>
          <w:i/>
          <w:szCs w:val="24"/>
        </w:rPr>
        <w:t xml:space="preserve">Whether correct standard </w:t>
      </w:r>
      <w:r w:rsidR="00A0536C" w:rsidRPr="008D19C1">
        <w:rPr>
          <w:i/>
          <w:szCs w:val="24"/>
        </w:rPr>
        <w:lastRenderedPageBreak/>
        <w:t>of review was applied</w:t>
      </w:r>
      <w:r w:rsidR="00AE2F9F" w:rsidRPr="008D19C1">
        <w:rPr>
          <w:i/>
          <w:szCs w:val="24"/>
        </w:rPr>
        <w:t xml:space="preserve"> </w:t>
      </w:r>
      <w:r w:rsidR="00C515F3" w:rsidRPr="008D19C1">
        <w:rPr>
          <w:i/>
        </w:rPr>
        <w:t>—</w:t>
      </w:r>
      <w:r w:rsidR="0001485F" w:rsidRPr="008D19C1">
        <w:rPr>
          <w:i/>
          <w:szCs w:val="24"/>
        </w:rPr>
        <w:t xml:space="preserve"> </w:t>
      </w:r>
      <w:r w:rsidR="00AE2F9F" w:rsidRPr="008D19C1">
        <w:rPr>
          <w:i/>
          <w:szCs w:val="24"/>
        </w:rPr>
        <w:t xml:space="preserve">Whether evidence admissible </w:t>
      </w:r>
      <w:r w:rsidR="00173343" w:rsidRPr="008D19C1">
        <w:rPr>
          <w:i/>
        </w:rPr>
        <w:t>—</w:t>
      </w:r>
      <w:r w:rsidR="00AE2F9F" w:rsidRPr="008D19C1">
        <w:rPr>
          <w:i/>
          <w:szCs w:val="24"/>
        </w:rPr>
        <w:t xml:space="preserve"> Whether test for assessing reasonable doubt</w:t>
      </w:r>
      <w:r w:rsidR="00A0536C" w:rsidRPr="008D19C1">
        <w:rPr>
          <w:i/>
          <w:szCs w:val="24"/>
        </w:rPr>
        <w:t xml:space="preserve"> applied</w:t>
      </w:r>
      <w:r w:rsidR="00AE2F9F" w:rsidRPr="008D19C1">
        <w:rPr>
          <w:i/>
          <w:szCs w:val="24"/>
        </w:rPr>
        <w:t xml:space="preserve"> properly.</w:t>
      </w:r>
    </w:p>
    <w:p w:rsidR="00A149DF" w:rsidRPr="008D19C1" w:rsidRDefault="00A149DF" w:rsidP="008E7760">
      <w:pPr>
        <w:pStyle w:val="SCCNormalDoubleSpacing"/>
      </w:pPr>
    </w:p>
    <w:p w:rsidR="008322BD" w:rsidRPr="008D19C1" w:rsidRDefault="009B57B3" w:rsidP="003555D7">
      <w:pPr>
        <w:pStyle w:val="SCCNormalDoubleSpacing"/>
        <w:tabs>
          <w:tab w:val="left" w:pos="1170"/>
        </w:tabs>
      </w:pPr>
      <w:r w:rsidRPr="008D19C1">
        <w:tab/>
      </w:r>
      <w:r w:rsidRPr="008D19C1">
        <w:rPr>
          <w:rStyle w:val="QuoteChar"/>
          <w:color w:val="auto"/>
          <w:lang w:val="en-CA"/>
        </w:rPr>
        <w:t>Held</w:t>
      </w:r>
      <w:r w:rsidRPr="008D19C1">
        <w:rPr>
          <w:rStyle w:val="QuoteChar"/>
          <w:i w:val="0"/>
          <w:color w:val="auto"/>
          <w:lang w:val="en-CA"/>
        </w:rPr>
        <w:t>:</w:t>
      </w:r>
      <w:r w:rsidR="00AF059E" w:rsidRPr="008D19C1">
        <w:t>  </w:t>
      </w:r>
      <w:r w:rsidR="00425C43" w:rsidRPr="008D19C1">
        <w:t>The appeal should be dismissed.</w:t>
      </w:r>
    </w:p>
    <w:p w:rsidR="00A149DF" w:rsidRPr="008D19C1" w:rsidRDefault="00A149DF" w:rsidP="008E7760">
      <w:pPr>
        <w:pStyle w:val="SCCNormalDoubleSpacing"/>
      </w:pPr>
    </w:p>
    <w:p w:rsidR="00610539" w:rsidRPr="008D19C1" w:rsidRDefault="009B57B3" w:rsidP="003555D7">
      <w:pPr>
        <w:pStyle w:val="SCCNormalDoubleSpacing"/>
        <w:tabs>
          <w:tab w:val="left" w:pos="1170"/>
        </w:tabs>
      </w:pPr>
      <w:r w:rsidRPr="008D19C1">
        <w:tab/>
      </w:r>
      <w:r w:rsidR="00E460F5" w:rsidRPr="008D19C1">
        <w:t xml:space="preserve">The verdict was one that a properly instructed jury acting judicially could reasonably have rendered. </w:t>
      </w:r>
      <w:r w:rsidR="00066023" w:rsidRPr="008D19C1">
        <w:t xml:space="preserve"> </w:t>
      </w:r>
      <w:r w:rsidR="00E460F5" w:rsidRPr="008D19C1">
        <w:t xml:space="preserve">There was no basis for appellate intervention </w:t>
      </w:r>
      <w:r w:rsidR="00A0536C" w:rsidRPr="008D19C1">
        <w:t>in relation to evidentiary matters, and</w:t>
      </w:r>
      <w:r w:rsidR="00AE2F9F" w:rsidRPr="008D19C1">
        <w:rPr>
          <w:szCs w:val="24"/>
        </w:rPr>
        <w:t xml:space="preserve"> the trial judge</w:t>
      </w:r>
      <w:r w:rsidR="00A0536C" w:rsidRPr="008D19C1">
        <w:rPr>
          <w:szCs w:val="24"/>
        </w:rPr>
        <w:t xml:space="preserve"> did not err</w:t>
      </w:r>
      <w:r w:rsidR="00AE2F9F" w:rsidRPr="008D19C1">
        <w:rPr>
          <w:szCs w:val="24"/>
        </w:rPr>
        <w:t xml:space="preserve"> in her application of the reasonable doubt standard to the whole of the evidence.</w:t>
      </w:r>
    </w:p>
    <w:p w:rsidR="00A149DF" w:rsidRPr="008D19C1" w:rsidRDefault="00A149DF" w:rsidP="008E7760">
      <w:pPr>
        <w:pStyle w:val="SCCNormalDoubleSpacing"/>
      </w:pPr>
    </w:p>
    <w:p w:rsidR="00A149DF" w:rsidRPr="008D19C1" w:rsidRDefault="002E6705" w:rsidP="00AF059E">
      <w:pPr>
        <w:pStyle w:val="SCCNormalDoubleSpacing"/>
        <w:keepNext/>
        <w:rPr>
          <w:b/>
        </w:rPr>
      </w:pPr>
      <w:r w:rsidRPr="008D19C1">
        <w:rPr>
          <w:b/>
        </w:rPr>
        <w:t>Cases Cited</w:t>
      </w:r>
    </w:p>
    <w:p w:rsidR="008E7760" w:rsidRPr="008D19C1" w:rsidRDefault="008E7760" w:rsidP="00AF059E">
      <w:pPr>
        <w:pStyle w:val="SCCNormalDoubleSpacing"/>
        <w:keepNext/>
        <w:rPr>
          <w:b/>
        </w:rPr>
      </w:pPr>
    </w:p>
    <w:p w:rsidR="004E2C26" w:rsidRPr="008D19C1" w:rsidRDefault="002E6705" w:rsidP="003555D7">
      <w:pPr>
        <w:pStyle w:val="SCCNormalDoubleSpacing"/>
        <w:tabs>
          <w:tab w:val="left" w:pos="1170"/>
        </w:tabs>
      </w:pPr>
      <w:r w:rsidRPr="008D19C1">
        <w:tab/>
      </w:r>
      <w:r w:rsidRPr="008D19C1">
        <w:rPr>
          <w:b/>
        </w:rPr>
        <w:t>Referred to:</w:t>
      </w:r>
      <w:r w:rsidR="008E7760" w:rsidRPr="008D19C1">
        <w:t>  </w:t>
      </w:r>
      <w:r w:rsidR="00246ED9" w:rsidRPr="008D19C1">
        <w:rPr>
          <w:i/>
        </w:rPr>
        <w:t>R. v. W. (D.)</w:t>
      </w:r>
      <w:r w:rsidR="00246ED9" w:rsidRPr="008D19C1">
        <w:t>, [1991] 1 S.C.R. 742;</w:t>
      </w:r>
      <w:r w:rsidR="00066023" w:rsidRPr="008D19C1">
        <w:t xml:space="preserve"> </w:t>
      </w:r>
      <w:r w:rsidR="00066023" w:rsidRPr="008D19C1">
        <w:rPr>
          <w:i/>
        </w:rPr>
        <w:t xml:space="preserve">Corbett v. </w:t>
      </w:r>
      <w:proofErr w:type="gramStart"/>
      <w:r w:rsidR="00066023" w:rsidRPr="008D19C1">
        <w:rPr>
          <w:i/>
        </w:rPr>
        <w:t>The Queen</w:t>
      </w:r>
      <w:r w:rsidR="00066023" w:rsidRPr="008D19C1">
        <w:t>, [1975] 2 S.C.R. 275;</w:t>
      </w:r>
      <w:r w:rsidR="00246ED9" w:rsidRPr="008D19C1">
        <w:t xml:space="preserve"> </w:t>
      </w:r>
      <w:r w:rsidR="00246ED9" w:rsidRPr="008D19C1">
        <w:rPr>
          <w:i/>
        </w:rPr>
        <w:t xml:space="preserve">R. v. </w:t>
      </w:r>
      <w:proofErr w:type="spellStart"/>
      <w:r w:rsidR="00246ED9" w:rsidRPr="008D19C1">
        <w:rPr>
          <w:i/>
        </w:rPr>
        <w:t>Biniaris</w:t>
      </w:r>
      <w:proofErr w:type="spellEnd"/>
      <w:r w:rsidR="00246ED9" w:rsidRPr="008D19C1">
        <w:t>, 20</w:t>
      </w:r>
      <w:r w:rsidR="00066023" w:rsidRPr="008D19C1">
        <w:t xml:space="preserve">00 SCC 15, [2000] 1 S.C.R. 381; </w:t>
      </w:r>
      <w:r w:rsidR="00DC3480" w:rsidRPr="008D19C1">
        <w:rPr>
          <w:i/>
        </w:rPr>
        <w:t xml:space="preserve">R. v. </w:t>
      </w:r>
      <w:proofErr w:type="spellStart"/>
      <w:r w:rsidR="00DC3480" w:rsidRPr="008D19C1">
        <w:rPr>
          <w:i/>
        </w:rPr>
        <w:t>Lo</w:t>
      </w:r>
      <w:r w:rsidR="00066023" w:rsidRPr="008D19C1">
        <w:rPr>
          <w:i/>
        </w:rPr>
        <w:t>hrer</w:t>
      </w:r>
      <w:proofErr w:type="spellEnd"/>
      <w:r w:rsidR="00066023" w:rsidRPr="008D19C1">
        <w:t xml:space="preserve">, 2004 SCC 80, [2004] 3 S.C.R. 732; </w:t>
      </w:r>
      <w:r w:rsidR="00066023" w:rsidRPr="008D19C1">
        <w:rPr>
          <w:i/>
        </w:rPr>
        <w:t xml:space="preserve">R. v. </w:t>
      </w:r>
      <w:proofErr w:type="spellStart"/>
      <w:r w:rsidR="00066023" w:rsidRPr="008D19C1">
        <w:rPr>
          <w:i/>
        </w:rPr>
        <w:t>Yebes</w:t>
      </w:r>
      <w:proofErr w:type="spellEnd"/>
      <w:r w:rsidR="00AF059E" w:rsidRPr="008D19C1">
        <w:t>, [1987] 2 S.C.R. 168.</w:t>
      </w:r>
      <w:proofErr w:type="gramEnd"/>
    </w:p>
    <w:p w:rsidR="00A4355C" w:rsidRPr="008D19C1" w:rsidRDefault="00A4355C" w:rsidP="008E7760">
      <w:pPr>
        <w:pStyle w:val="SCCNormalDoubleSpacing"/>
      </w:pPr>
    </w:p>
    <w:p w:rsidR="00A4355C" w:rsidRPr="008D19C1" w:rsidRDefault="00A4355C" w:rsidP="008E7760">
      <w:pPr>
        <w:pStyle w:val="SCCNormalDoubleSpacing"/>
        <w:keepNext/>
        <w:rPr>
          <w:b/>
        </w:rPr>
      </w:pPr>
      <w:r w:rsidRPr="008D19C1">
        <w:rPr>
          <w:b/>
        </w:rPr>
        <w:t>Statutes and Regulations Cited</w:t>
      </w:r>
    </w:p>
    <w:p w:rsidR="00A4355C" w:rsidRPr="008D19C1" w:rsidRDefault="00A4355C" w:rsidP="00AF059E">
      <w:pPr>
        <w:pStyle w:val="SCCNormalDoubleSpacing"/>
        <w:keepNext/>
        <w:ind w:left="547" w:hanging="547"/>
      </w:pPr>
    </w:p>
    <w:p w:rsidR="00A149DF" w:rsidRPr="008D19C1" w:rsidRDefault="00A4355C" w:rsidP="00AF059E">
      <w:pPr>
        <w:pStyle w:val="SCCNormalDoubleSpacing"/>
        <w:ind w:left="547" w:hanging="547"/>
        <w:rPr>
          <w:lang w:val="fr-CA"/>
        </w:rPr>
      </w:pPr>
      <w:proofErr w:type="spellStart"/>
      <w:r w:rsidRPr="008D19C1">
        <w:rPr>
          <w:i/>
          <w:lang w:val="fr-CA"/>
        </w:rPr>
        <w:t>Criminal</w:t>
      </w:r>
      <w:proofErr w:type="spellEnd"/>
      <w:r w:rsidRPr="008D19C1">
        <w:rPr>
          <w:i/>
          <w:lang w:val="fr-CA"/>
        </w:rPr>
        <w:t xml:space="preserve"> Code</w:t>
      </w:r>
      <w:r w:rsidRPr="008D19C1">
        <w:rPr>
          <w:lang w:val="fr-CA"/>
        </w:rPr>
        <w:t>, R.S.C. 1985</w:t>
      </w:r>
      <w:r w:rsidR="00AF059E" w:rsidRPr="008D19C1">
        <w:rPr>
          <w:lang w:val="fr-CA"/>
        </w:rPr>
        <w:t>, c. C</w:t>
      </w:r>
      <w:r w:rsidR="008268ED" w:rsidRPr="008D19C1">
        <w:rPr>
          <w:lang w:val="fr-CA"/>
        </w:rPr>
        <w:t>-</w:t>
      </w:r>
      <w:r w:rsidR="00AF059E" w:rsidRPr="008D19C1">
        <w:rPr>
          <w:lang w:val="fr-CA"/>
        </w:rPr>
        <w:t>46, s. </w:t>
      </w:r>
      <w:r w:rsidRPr="008D19C1">
        <w:rPr>
          <w:lang w:val="fr-CA"/>
        </w:rPr>
        <w:t>691(1</w:t>
      </w:r>
      <w:proofErr w:type="gramStart"/>
      <w:r w:rsidRPr="008D19C1">
        <w:rPr>
          <w:lang w:val="fr-CA"/>
        </w:rPr>
        <w:t>)(</w:t>
      </w:r>
      <w:proofErr w:type="gramEnd"/>
      <w:r w:rsidRPr="008D19C1">
        <w:rPr>
          <w:i/>
          <w:lang w:val="fr-CA"/>
        </w:rPr>
        <w:t>a</w:t>
      </w:r>
      <w:r w:rsidRPr="008D19C1">
        <w:rPr>
          <w:lang w:val="fr-CA"/>
        </w:rPr>
        <w:t>).</w:t>
      </w:r>
    </w:p>
    <w:p w:rsidR="00066023" w:rsidRPr="008D19C1" w:rsidRDefault="00066023" w:rsidP="008E7760">
      <w:pPr>
        <w:pStyle w:val="SCCNormalDoubleSpacing"/>
        <w:ind w:left="540" w:hanging="540"/>
        <w:rPr>
          <w:lang w:val="fr-CA"/>
        </w:rPr>
      </w:pPr>
    </w:p>
    <w:p w:rsidR="00656313" w:rsidRPr="008D19C1" w:rsidRDefault="00425C43" w:rsidP="003555D7">
      <w:pPr>
        <w:pStyle w:val="SCCNormalDoubleSpacing"/>
        <w:tabs>
          <w:tab w:val="left" w:pos="1170"/>
        </w:tabs>
      </w:pPr>
      <w:r w:rsidRPr="008D19C1">
        <w:rPr>
          <w:lang w:val="fr-CA"/>
        </w:rPr>
        <w:tab/>
      </w:r>
      <w:r w:rsidR="009B57B3" w:rsidRPr="008D19C1">
        <w:t xml:space="preserve">APPEAL from a judgment of the </w:t>
      </w:r>
      <w:r w:rsidRPr="008D19C1">
        <w:t xml:space="preserve">Alberta </w:t>
      </w:r>
      <w:r w:rsidR="009B57B3" w:rsidRPr="008D19C1">
        <w:t xml:space="preserve">Court of Appeal </w:t>
      </w:r>
      <w:r w:rsidR="00644AE3" w:rsidRPr="008D19C1">
        <w:t>(</w:t>
      </w:r>
      <w:proofErr w:type="spellStart"/>
      <w:r w:rsidR="00AA1A36" w:rsidRPr="008D19C1">
        <w:t>McFadyen</w:t>
      </w:r>
      <w:proofErr w:type="spellEnd"/>
      <w:r w:rsidR="00AA1A36" w:rsidRPr="008D19C1">
        <w:t xml:space="preserve">, Berger and </w:t>
      </w:r>
      <w:proofErr w:type="spellStart"/>
      <w:r w:rsidR="00AA1A36" w:rsidRPr="008D19C1">
        <w:t>Slatter</w:t>
      </w:r>
      <w:proofErr w:type="spellEnd"/>
      <w:r w:rsidR="00AA1A36" w:rsidRPr="008D19C1">
        <w:t xml:space="preserve"> </w:t>
      </w:r>
      <w:r w:rsidR="00644AE3" w:rsidRPr="008D19C1">
        <w:t>JJ.A.)</w:t>
      </w:r>
      <w:r w:rsidR="00521A34" w:rsidRPr="008D19C1">
        <w:t xml:space="preserve">, 2010 ABCA 1, 23 Alta. L.R. (5th) 76, 251 C.C.C. (3d) 346, </w:t>
      </w:r>
      <w:r w:rsidR="00521A34" w:rsidRPr="008D19C1">
        <w:lastRenderedPageBreak/>
        <w:t xml:space="preserve">474 A.R. 203, </w:t>
      </w:r>
      <w:r w:rsidR="0084106B">
        <w:t>479</w:t>
      </w:r>
      <w:r w:rsidR="00523A5D">
        <w:t xml:space="preserve"> W.A.C. 203, </w:t>
      </w:r>
      <w:r w:rsidR="00521A34" w:rsidRPr="008D19C1">
        <w:t>[2010] 7 W.W.R. 613, [2010] A.J. No.</w:t>
      </w:r>
      <w:r w:rsidR="00AF059E" w:rsidRPr="008D19C1">
        <w:t> </w:t>
      </w:r>
      <w:r w:rsidR="00521A34" w:rsidRPr="008D19C1">
        <w:t xml:space="preserve">72 (QL), 2010 </w:t>
      </w:r>
      <w:proofErr w:type="spellStart"/>
      <w:r w:rsidR="00521A34" w:rsidRPr="008D19C1">
        <w:t>CarswellAlta</w:t>
      </w:r>
      <w:proofErr w:type="spellEnd"/>
      <w:r w:rsidR="00521A34" w:rsidRPr="008D19C1">
        <w:t xml:space="preserve"> 135, </w:t>
      </w:r>
      <w:r w:rsidR="00066023" w:rsidRPr="008D19C1">
        <w:t xml:space="preserve">upholding the </w:t>
      </w:r>
      <w:proofErr w:type="spellStart"/>
      <w:r w:rsidR="00066023" w:rsidRPr="008D19C1">
        <w:t>accused’s</w:t>
      </w:r>
      <w:proofErr w:type="spellEnd"/>
      <w:r w:rsidR="00066023" w:rsidRPr="008D19C1">
        <w:t xml:space="preserve"> conviction.</w:t>
      </w:r>
      <w:r w:rsidR="001A18E4" w:rsidRPr="008D19C1">
        <w:t xml:space="preserve">  Appeal dismissed.</w:t>
      </w:r>
    </w:p>
    <w:p w:rsidR="00656313" w:rsidRPr="008D19C1" w:rsidRDefault="00656313" w:rsidP="008E7760">
      <w:pPr>
        <w:pStyle w:val="SCCNormalDoubleSpacing"/>
      </w:pPr>
    </w:p>
    <w:p w:rsidR="001E0FD3" w:rsidRPr="008D19C1" w:rsidRDefault="0022515F" w:rsidP="003555D7">
      <w:pPr>
        <w:pStyle w:val="SCCNormalDoubleSpacing"/>
        <w:tabs>
          <w:tab w:val="left" w:pos="1170"/>
        </w:tabs>
      </w:pPr>
      <w:r w:rsidRPr="008D19C1">
        <w:rPr>
          <w:rStyle w:val="SCCCounselNameChar"/>
        </w:rPr>
        <w:tab/>
      </w:r>
      <w:proofErr w:type="gramStart"/>
      <w:r w:rsidRPr="008D19C1">
        <w:rPr>
          <w:rStyle w:val="SCCCounselNameChar"/>
        </w:rPr>
        <w:t>Deborah</w:t>
      </w:r>
      <w:r w:rsidR="008E7760" w:rsidRPr="008D19C1">
        <w:rPr>
          <w:rStyle w:val="SCCCounselNameChar"/>
        </w:rPr>
        <w:t> </w:t>
      </w:r>
      <w:r w:rsidRPr="008D19C1">
        <w:rPr>
          <w:rStyle w:val="SCCCounselNameChar"/>
        </w:rPr>
        <w:t>R. Hatch</w:t>
      </w:r>
      <w:r w:rsidRPr="008D19C1">
        <w:rPr>
          <w:rStyle w:val="SCCCounselPartyRoleChar"/>
        </w:rPr>
        <w:t>, for the appellant.</w:t>
      </w:r>
      <w:proofErr w:type="gramEnd"/>
    </w:p>
    <w:p w:rsidR="001E0FD3" w:rsidRPr="008D19C1" w:rsidRDefault="001E0FD3" w:rsidP="008E7760">
      <w:pPr>
        <w:pStyle w:val="SCCNormalDoubleSpacing"/>
      </w:pPr>
    </w:p>
    <w:p w:rsidR="001E0FD3" w:rsidRDefault="008E7760" w:rsidP="003555D7">
      <w:pPr>
        <w:pStyle w:val="SCCNormalDoubleSpacing"/>
        <w:tabs>
          <w:tab w:val="left" w:pos="1170"/>
        </w:tabs>
        <w:rPr>
          <w:rStyle w:val="SCCCounselPartyRoleChar"/>
        </w:rPr>
      </w:pPr>
      <w:r w:rsidRPr="008D19C1">
        <w:rPr>
          <w:rStyle w:val="SCCCounselNameChar"/>
        </w:rPr>
        <w:tab/>
        <w:t>Troy </w:t>
      </w:r>
      <w:r w:rsidR="00066023" w:rsidRPr="008D19C1">
        <w:rPr>
          <w:rStyle w:val="SCCCounselNameChar"/>
        </w:rPr>
        <w:t xml:space="preserve">L. </w:t>
      </w:r>
      <w:proofErr w:type="spellStart"/>
      <w:r w:rsidR="0022515F" w:rsidRPr="008D19C1">
        <w:rPr>
          <w:rStyle w:val="SCCCounselNameChar"/>
        </w:rPr>
        <w:t>Couillard</w:t>
      </w:r>
      <w:proofErr w:type="spellEnd"/>
      <w:r w:rsidR="0022515F" w:rsidRPr="008D19C1">
        <w:rPr>
          <w:rStyle w:val="SCCCounselPartyRoleChar"/>
        </w:rPr>
        <w:t>, for the respondent.</w:t>
      </w:r>
    </w:p>
    <w:p w:rsidR="00F163AE" w:rsidRPr="008D19C1" w:rsidRDefault="00F163AE" w:rsidP="008E7760">
      <w:pPr>
        <w:pStyle w:val="SCCNormalDoubleSpacing"/>
      </w:pPr>
    </w:p>
    <w:p w:rsidR="00F163AE" w:rsidRDefault="00F163AE" w:rsidP="00F163AE">
      <w:pPr>
        <w:tabs>
          <w:tab w:val="left" w:pos="-1440"/>
          <w:tab w:val="left" w:pos="-720"/>
          <w:tab w:val="left" w:pos="1170"/>
        </w:tabs>
        <w:spacing w:after="480" w:line="480" w:lineRule="auto"/>
        <w:jc w:val="both"/>
      </w:pPr>
      <w:r>
        <w:tab/>
        <w:t>The following is the judgment delivered by</w:t>
      </w:r>
    </w:p>
    <w:p w:rsidR="00393767" w:rsidRPr="008D19C1" w:rsidRDefault="00F163AE" w:rsidP="00393767">
      <w:pPr>
        <w:pStyle w:val="ListParagraph"/>
        <w:numPr>
          <w:ilvl w:val="0"/>
          <w:numId w:val="1"/>
        </w:numPr>
        <w:tabs>
          <w:tab w:val="left" w:pos="1170"/>
        </w:tabs>
        <w:spacing w:after="480" w:line="480" w:lineRule="auto"/>
        <w:ind w:left="0" w:firstLine="0"/>
        <w:jc w:val="both"/>
        <w:rPr>
          <w:szCs w:val="24"/>
        </w:rPr>
      </w:pPr>
      <w:r w:rsidRPr="008D19C1">
        <w:rPr>
          <w:smallCaps/>
        </w:rPr>
        <w:t>The Court</w:t>
      </w:r>
      <w:r w:rsidRPr="008D19C1">
        <w:t xml:space="preserve"> — </w:t>
      </w:r>
      <w:r w:rsidR="00393767" w:rsidRPr="008D19C1">
        <w:rPr>
          <w:szCs w:val="24"/>
        </w:rPr>
        <w:t>In this appeal as of right brought under s. 691(1</w:t>
      </w:r>
      <w:proofErr w:type="gramStart"/>
      <w:r w:rsidR="00393767" w:rsidRPr="008D19C1">
        <w:rPr>
          <w:szCs w:val="24"/>
        </w:rPr>
        <w:t>)(</w:t>
      </w:r>
      <w:proofErr w:type="gramEnd"/>
      <w:r w:rsidR="00393767" w:rsidRPr="008D19C1">
        <w:rPr>
          <w:i/>
          <w:szCs w:val="24"/>
        </w:rPr>
        <w:t>a</w:t>
      </w:r>
      <w:r w:rsidR="00393767" w:rsidRPr="008D19C1">
        <w:rPr>
          <w:szCs w:val="24"/>
        </w:rPr>
        <w:t xml:space="preserve">) of the </w:t>
      </w:r>
      <w:r w:rsidR="00393767" w:rsidRPr="008D19C1">
        <w:rPr>
          <w:i/>
          <w:szCs w:val="24"/>
        </w:rPr>
        <w:t>Criminal Code</w:t>
      </w:r>
      <w:r w:rsidR="00393767" w:rsidRPr="008D19C1">
        <w:rPr>
          <w:szCs w:val="24"/>
        </w:rPr>
        <w:t>, R.S.C. 1985, c. C-46, the appellant appeals his conviction on charges of sexual assault with a weapon and unlawful confinement.  Notwithstanding Ms. Hatch’s able arguments on behalf of the appellant, the appeal fails and must be dismissed.</w:t>
      </w:r>
    </w:p>
    <w:p w:rsidR="00393767" w:rsidRPr="008D19C1" w:rsidRDefault="00393767" w:rsidP="00393767">
      <w:pPr>
        <w:pStyle w:val="ListParagraph"/>
        <w:numPr>
          <w:ilvl w:val="0"/>
          <w:numId w:val="1"/>
        </w:numPr>
        <w:tabs>
          <w:tab w:val="left" w:pos="1170"/>
        </w:tabs>
        <w:spacing w:after="480" w:line="480" w:lineRule="auto"/>
        <w:ind w:left="0" w:firstLine="0"/>
        <w:jc w:val="both"/>
        <w:rPr>
          <w:szCs w:val="24"/>
        </w:rPr>
      </w:pPr>
      <w:r w:rsidRPr="008D19C1">
        <w:rPr>
          <w:szCs w:val="24"/>
        </w:rPr>
        <w:t>The points of law on which a judge of the Alberta Court of Appeal dissented as set out in the Court’s order, and therefore the points in issue on the appeal, are that the majority of the Court of Appeal:</w:t>
      </w:r>
    </w:p>
    <w:p w:rsidR="00393767" w:rsidRPr="00F163AE" w:rsidRDefault="00393767" w:rsidP="00F163AE">
      <w:pPr>
        <w:pStyle w:val="ListParagraph"/>
        <w:numPr>
          <w:ilvl w:val="0"/>
          <w:numId w:val="2"/>
        </w:numPr>
        <w:tabs>
          <w:tab w:val="left" w:pos="0"/>
        </w:tabs>
        <w:spacing w:after="200" w:line="480" w:lineRule="auto"/>
        <w:ind w:left="0" w:firstLine="0"/>
        <w:contextualSpacing/>
        <w:jc w:val="both"/>
        <w:rPr>
          <w:szCs w:val="24"/>
        </w:rPr>
      </w:pPr>
      <w:r w:rsidRPr="00F163AE">
        <w:rPr>
          <w:szCs w:val="24"/>
        </w:rPr>
        <w:t>applied the incorrect standard of review;</w:t>
      </w:r>
    </w:p>
    <w:p w:rsidR="00F163AE" w:rsidRPr="00F163AE" w:rsidRDefault="00F163AE" w:rsidP="00F163AE">
      <w:pPr>
        <w:spacing w:after="200" w:line="480" w:lineRule="auto"/>
        <w:contextualSpacing/>
        <w:jc w:val="both"/>
        <w:rPr>
          <w:szCs w:val="24"/>
        </w:rPr>
      </w:pPr>
    </w:p>
    <w:p w:rsidR="00393767" w:rsidRDefault="00393767" w:rsidP="00F163AE">
      <w:pPr>
        <w:pStyle w:val="ListParagraph"/>
        <w:numPr>
          <w:ilvl w:val="0"/>
          <w:numId w:val="2"/>
        </w:numPr>
        <w:spacing w:after="200" w:line="480" w:lineRule="auto"/>
        <w:ind w:left="720" w:hanging="720"/>
        <w:contextualSpacing/>
        <w:jc w:val="both"/>
        <w:rPr>
          <w:szCs w:val="24"/>
        </w:rPr>
      </w:pPr>
      <w:r w:rsidRPr="00F163AE">
        <w:rPr>
          <w:szCs w:val="24"/>
        </w:rPr>
        <w:lastRenderedPageBreak/>
        <w:t>applied the wrong test for the admissibility of the “running stride/gait” evidence; and</w:t>
      </w:r>
    </w:p>
    <w:p w:rsidR="00F163AE" w:rsidRPr="00F163AE" w:rsidRDefault="00F163AE" w:rsidP="00F163AE">
      <w:pPr>
        <w:pStyle w:val="ListParagraph"/>
        <w:spacing w:after="200" w:line="480" w:lineRule="auto"/>
        <w:contextualSpacing/>
        <w:jc w:val="both"/>
        <w:rPr>
          <w:szCs w:val="24"/>
        </w:rPr>
      </w:pPr>
    </w:p>
    <w:p w:rsidR="00393767" w:rsidRDefault="00393767" w:rsidP="00F163AE">
      <w:pPr>
        <w:pStyle w:val="ListParagraph"/>
        <w:numPr>
          <w:ilvl w:val="0"/>
          <w:numId w:val="2"/>
        </w:numPr>
        <w:spacing w:after="200" w:line="480" w:lineRule="auto"/>
        <w:ind w:left="720" w:hanging="720"/>
        <w:contextualSpacing/>
        <w:jc w:val="both"/>
        <w:rPr>
          <w:szCs w:val="24"/>
        </w:rPr>
      </w:pPr>
      <w:r w:rsidRPr="008D19C1">
        <w:rPr>
          <w:szCs w:val="24"/>
        </w:rPr>
        <w:t xml:space="preserve">erred in finding that the trial judge had properly applied the test for assessing reasonable doubt set out in </w:t>
      </w:r>
      <w:r w:rsidRPr="008D19C1">
        <w:rPr>
          <w:i/>
          <w:szCs w:val="24"/>
        </w:rPr>
        <w:t>R. v. W</w:t>
      </w:r>
      <w:r w:rsidRPr="008D19C1">
        <w:rPr>
          <w:szCs w:val="24"/>
        </w:rPr>
        <w:t xml:space="preserve">. </w:t>
      </w:r>
      <w:r w:rsidRPr="008D19C1">
        <w:rPr>
          <w:i/>
          <w:szCs w:val="24"/>
        </w:rPr>
        <w:t>(D.)</w:t>
      </w:r>
      <w:r w:rsidRPr="008D19C1">
        <w:rPr>
          <w:szCs w:val="24"/>
        </w:rPr>
        <w:t>, [1991] 1 S.C.R. 742.</w:t>
      </w:r>
    </w:p>
    <w:p w:rsidR="00F163AE" w:rsidRDefault="00F163AE" w:rsidP="00F163AE">
      <w:pPr>
        <w:pStyle w:val="ListParagraph"/>
        <w:spacing w:after="200" w:line="480" w:lineRule="auto"/>
        <w:contextualSpacing/>
        <w:jc w:val="both"/>
        <w:rPr>
          <w:szCs w:val="24"/>
        </w:rPr>
      </w:pPr>
    </w:p>
    <w:p w:rsidR="00393767" w:rsidRPr="008D19C1" w:rsidRDefault="00393767" w:rsidP="00393767">
      <w:pPr>
        <w:pStyle w:val="ListParagraph"/>
        <w:numPr>
          <w:ilvl w:val="0"/>
          <w:numId w:val="1"/>
        </w:numPr>
        <w:tabs>
          <w:tab w:val="left" w:pos="1170"/>
        </w:tabs>
        <w:spacing w:after="480" w:line="480" w:lineRule="auto"/>
        <w:ind w:left="0" w:firstLine="0"/>
        <w:jc w:val="both"/>
        <w:rPr>
          <w:szCs w:val="24"/>
        </w:rPr>
      </w:pPr>
      <w:r w:rsidRPr="008D19C1">
        <w:rPr>
          <w:szCs w:val="24"/>
        </w:rPr>
        <w:t xml:space="preserve">The basic facts are these. The female complainant, in the company of a male friend, encountered the appellant and his male friend outside an Edmonton nightclub in the early hours of the morning.  The encounter quickly became hostile and the appellant gave chase to the complainant and her companion.   While much of what happened after that was disputed at trial, it is clear that the complainant soon ended up engaging in oral sex with the appellant behind a nearby school and that within a short time after that, she appeared at the nearby home of a stranger, crying and distraught and complaining of a sexual assault. The complainant testified that the appellant forced her into the sexual act at knife point while the appellant testified that after the initial confrontation, he and the complainant became friendly and that she willingly accompanied him to engage in the sexual activity.  The only live issue at the trial was the complainant’s absence of consent. The credibility of the complainant and the appellant was </w:t>
      </w:r>
      <w:proofErr w:type="gramStart"/>
      <w:r w:rsidRPr="008D19C1">
        <w:rPr>
          <w:szCs w:val="24"/>
        </w:rPr>
        <w:t>key</w:t>
      </w:r>
      <w:proofErr w:type="gramEnd"/>
      <w:r w:rsidRPr="008D19C1">
        <w:rPr>
          <w:szCs w:val="24"/>
        </w:rPr>
        <w:t>.</w:t>
      </w:r>
    </w:p>
    <w:p w:rsidR="00393767" w:rsidRPr="008D19C1" w:rsidRDefault="00393767" w:rsidP="00393767">
      <w:pPr>
        <w:pStyle w:val="ListParagraph"/>
        <w:numPr>
          <w:ilvl w:val="0"/>
          <w:numId w:val="1"/>
        </w:numPr>
        <w:tabs>
          <w:tab w:val="left" w:pos="1170"/>
        </w:tabs>
        <w:spacing w:after="480" w:line="480" w:lineRule="auto"/>
        <w:ind w:left="0" w:firstLine="0"/>
        <w:jc w:val="both"/>
        <w:rPr>
          <w:szCs w:val="24"/>
        </w:rPr>
      </w:pPr>
      <w:r w:rsidRPr="008D19C1">
        <w:rPr>
          <w:szCs w:val="24"/>
        </w:rPr>
        <w:t xml:space="preserve">The suggestion that the majority of the Court of Appeal erred in applying the test for unreasonable verdict set out in </w:t>
      </w:r>
      <w:r w:rsidRPr="008D19C1">
        <w:rPr>
          <w:i/>
          <w:szCs w:val="24"/>
        </w:rPr>
        <w:t>Corbett v. The Queen</w:t>
      </w:r>
      <w:r w:rsidRPr="008D19C1">
        <w:rPr>
          <w:szCs w:val="24"/>
        </w:rPr>
        <w:t xml:space="preserve">, [1975] 2 S.C.R. 275, and recently upheld in </w:t>
      </w:r>
      <w:r w:rsidRPr="008D19C1">
        <w:rPr>
          <w:i/>
          <w:szCs w:val="24"/>
        </w:rPr>
        <w:t xml:space="preserve">R. v. </w:t>
      </w:r>
      <w:proofErr w:type="spellStart"/>
      <w:r w:rsidRPr="008D19C1">
        <w:rPr>
          <w:i/>
          <w:szCs w:val="24"/>
        </w:rPr>
        <w:t>Biniaris</w:t>
      </w:r>
      <w:proofErr w:type="spellEnd"/>
      <w:r w:rsidRPr="008D19C1">
        <w:rPr>
          <w:szCs w:val="24"/>
        </w:rPr>
        <w:t xml:space="preserve">, 2000 SCC 15, [2000] 1 S.C.R. 381, rather than </w:t>
      </w:r>
      <w:r w:rsidRPr="008D19C1">
        <w:rPr>
          <w:szCs w:val="24"/>
        </w:rPr>
        <w:lastRenderedPageBreak/>
        <w:t xml:space="preserve">the test for appellate intervention where there has been a misapprehension of evidence as in </w:t>
      </w:r>
      <w:r w:rsidRPr="008D19C1">
        <w:rPr>
          <w:i/>
          <w:szCs w:val="24"/>
        </w:rPr>
        <w:t xml:space="preserve">R. v. </w:t>
      </w:r>
      <w:proofErr w:type="spellStart"/>
      <w:r w:rsidRPr="008D19C1">
        <w:rPr>
          <w:i/>
          <w:szCs w:val="24"/>
        </w:rPr>
        <w:t>Lohrer</w:t>
      </w:r>
      <w:proofErr w:type="spellEnd"/>
      <w:r w:rsidRPr="008D19C1">
        <w:rPr>
          <w:szCs w:val="24"/>
        </w:rPr>
        <w:t>, 2004 SCC 80, [2004] 3 S.C.R. 732, must be rejected. The majority of the Court considered, with one minor exception, that what the appellant alleged to be misapprehensions of the evidence were simply different interpretations of the evidence than those adopted by the judge. We agree. The majority view, other than a peripheral controversy about the precise time of the events, is supported by an attentive reading of the record. The timing issue, in our view, is of no consequence.  The verdict was one that a properly instructed jury acting judicially could reasonably have rendered (</w:t>
      </w:r>
      <w:r w:rsidRPr="008D19C1">
        <w:rPr>
          <w:i/>
          <w:szCs w:val="24"/>
        </w:rPr>
        <w:t>Corbett</w:t>
      </w:r>
      <w:r w:rsidRPr="008D19C1">
        <w:rPr>
          <w:szCs w:val="24"/>
        </w:rPr>
        <w:t xml:space="preserve">, at p. 282; see also </w:t>
      </w:r>
      <w:r w:rsidRPr="008D19C1">
        <w:rPr>
          <w:i/>
          <w:szCs w:val="24"/>
        </w:rPr>
        <w:t xml:space="preserve">R. v. </w:t>
      </w:r>
      <w:proofErr w:type="spellStart"/>
      <w:r w:rsidRPr="008D19C1">
        <w:rPr>
          <w:i/>
          <w:szCs w:val="24"/>
        </w:rPr>
        <w:t>Yebes</w:t>
      </w:r>
      <w:proofErr w:type="spellEnd"/>
      <w:r w:rsidRPr="008D19C1">
        <w:rPr>
          <w:szCs w:val="24"/>
        </w:rPr>
        <w:t>, [1987] 2 S.C.R. 168, at p. 185).</w:t>
      </w:r>
    </w:p>
    <w:p w:rsidR="00393767" w:rsidRPr="008D19C1" w:rsidRDefault="00393767" w:rsidP="00393767">
      <w:pPr>
        <w:pStyle w:val="ListParagraph"/>
        <w:numPr>
          <w:ilvl w:val="0"/>
          <w:numId w:val="1"/>
        </w:numPr>
        <w:tabs>
          <w:tab w:val="left" w:pos="1170"/>
        </w:tabs>
        <w:spacing w:after="480" w:line="480" w:lineRule="auto"/>
        <w:ind w:left="0" w:firstLine="0"/>
        <w:jc w:val="both"/>
        <w:rPr>
          <w:szCs w:val="24"/>
        </w:rPr>
      </w:pPr>
      <w:r w:rsidRPr="008D19C1">
        <w:rPr>
          <w:szCs w:val="24"/>
        </w:rPr>
        <w:t>The second point concerns some evidence relating to footprints in the snow which to the police witness, a qualified tracking dog handler, suggested that the persons making the tracks – allegedly the appellant and the complainant – had been running.  The police officer claimed expertise in the interpretation of the footprints, and this claim was not challenged by the defence.</w:t>
      </w:r>
      <w:r w:rsidRPr="008D19C1" w:rsidDel="003C1E75">
        <w:rPr>
          <w:szCs w:val="24"/>
        </w:rPr>
        <w:t xml:space="preserve"> </w:t>
      </w:r>
    </w:p>
    <w:p w:rsidR="00393767" w:rsidRPr="008D19C1" w:rsidRDefault="00393767" w:rsidP="00393767">
      <w:pPr>
        <w:pStyle w:val="ListParagraph"/>
        <w:numPr>
          <w:ilvl w:val="0"/>
          <w:numId w:val="1"/>
        </w:numPr>
        <w:tabs>
          <w:tab w:val="left" w:pos="1170"/>
        </w:tabs>
        <w:spacing w:after="480" w:line="480" w:lineRule="auto"/>
        <w:ind w:left="0" w:firstLine="0"/>
        <w:jc w:val="both"/>
        <w:rPr>
          <w:szCs w:val="24"/>
        </w:rPr>
      </w:pPr>
      <w:r w:rsidRPr="008D19C1">
        <w:rPr>
          <w:szCs w:val="24"/>
        </w:rPr>
        <w:t xml:space="preserve">The trial judge concluded that the physical evidence was not consistent with the appellant’s testimony and relied on this as one of 12 points as to why she neither believed nor was left in doubt by the appellant’s trial evidence.  It is argued that aspects of this evidence went beyond the proper limits of opinion evidence.  The defence made no objection to the admissibility of this evidence at trial and in fact relied on it as supporting the appellant’s testimony. The trial judge relied solely on </w:t>
      </w:r>
      <w:r w:rsidRPr="008D19C1">
        <w:rPr>
          <w:szCs w:val="24"/>
        </w:rPr>
        <w:lastRenderedPageBreak/>
        <w:t>the officer’s testimony based on his observations of the impressions in the snow that it was “as if there was somebody running from the others” (A.R., at p. 129). As Crown counsel put it in argument, any school child would deduce this from the tracks in the snow which the witness observed.  There was, with respect, no basis for appellate intervention on this ground.</w:t>
      </w:r>
    </w:p>
    <w:p w:rsidR="00393767" w:rsidRPr="008D19C1" w:rsidRDefault="00393767" w:rsidP="00393767">
      <w:pPr>
        <w:pStyle w:val="ListParagraph"/>
        <w:numPr>
          <w:ilvl w:val="0"/>
          <w:numId w:val="1"/>
        </w:numPr>
        <w:tabs>
          <w:tab w:val="left" w:pos="1170"/>
        </w:tabs>
        <w:spacing w:after="480" w:line="480" w:lineRule="auto"/>
        <w:ind w:left="0" w:firstLine="0"/>
        <w:jc w:val="both"/>
        <w:rPr>
          <w:szCs w:val="24"/>
        </w:rPr>
      </w:pPr>
      <w:r w:rsidRPr="008D19C1">
        <w:rPr>
          <w:szCs w:val="24"/>
        </w:rPr>
        <w:t xml:space="preserve">As for the trial judge’s application of the </w:t>
      </w:r>
      <w:r w:rsidRPr="008D19C1">
        <w:rPr>
          <w:i/>
          <w:szCs w:val="24"/>
        </w:rPr>
        <w:t>W. (D</w:t>
      </w:r>
      <w:r w:rsidRPr="008D19C1">
        <w:rPr>
          <w:szCs w:val="24"/>
        </w:rPr>
        <w:t>.</w:t>
      </w:r>
      <w:r w:rsidRPr="008D19C1">
        <w:rPr>
          <w:i/>
          <w:szCs w:val="24"/>
        </w:rPr>
        <w:t>)</w:t>
      </w:r>
      <w:r w:rsidRPr="008D19C1">
        <w:rPr>
          <w:szCs w:val="24"/>
        </w:rPr>
        <w:t xml:space="preserve"> principle, a reading of her reasons as a whole does not support the conclusion of the dissenting judge that she erred in her application of the reasonable doubt standard to the whole of the evidence.</w:t>
      </w:r>
    </w:p>
    <w:p w:rsidR="00393767" w:rsidRPr="008D19C1" w:rsidRDefault="00393767" w:rsidP="00393767">
      <w:pPr>
        <w:pStyle w:val="ListParagraph"/>
        <w:numPr>
          <w:ilvl w:val="0"/>
          <w:numId w:val="1"/>
        </w:numPr>
        <w:tabs>
          <w:tab w:val="left" w:pos="1170"/>
        </w:tabs>
        <w:spacing w:after="480" w:line="480" w:lineRule="auto"/>
        <w:ind w:left="0" w:firstLine="0"/>
        <w:jc w:val="both"/>
        <w:rPr>
          <w:szCs w:val="24"/>
        </w:rPr>
      </w:pPr>
      <w:r w:rsidRPr="008D19C1">
        <w:rPr>
          <w:szCs w:val="24"/>
        </w:rPr>
        <w:t>The appeal is dismissed.</w:t>
      </w:r>
    </w:p>
    <w:p w:rsidR="009B57B3" w:rsidRPr="008D19C1" w:rsidRDefault="00425C43" w:rsidP="00393767">
      <w:pPr>
        <w:pStyle w:val="SCCNormalDoubleSpacing"/>
        <w:tabs>
          <w:tab w:val="left" w:pos="1170"/>
        </w:tabs>
      </w:pPr>
      <w:r w:rsidRPr="008D19C1">
        <w:tab/>
      </w:r>
      <w:r w:rsidR="00656313" w:rsidRPr="008D19C1">
        <w:rPr>
          <w:i/>
        </w:rPr>
        <w:t>Appeal</w:t>
      </w:r>
      <w:r w:rsidRPr="008D19C1">
        <w:rPr>
          <w:i/>
        </w:rPr>
        <w:t xml:space="preserve"> dismissed.</w:t>
      </w:r>
    </w:p>
    <w:p w:rsidR="00A149DF" w:rsidRPr="008D19C1" w:rsidRDefault="00A149DF" w:rsidP="008E7760">
      <w:pPr>
        <w:pStyle w:val="SCCNormalDoubleSpacing"/>
      </w:pPr>
    </w:p>
    <w:p w:rsidR="001E0FD3" w:rsidRPr="008D19C1" w:rsidRDefault="00425C43" w:rsidP="00393767">
      <w:pPr>
        <w:pStyle w:val="SCCLawFirm"/>
        <w:tabs>
          <w:tab w:val="left" w:pos="1170"/>
        </w:tabs>
      </w:pPr>
      <w:r w:rsidRPr="008D19C1">
        <w:tab/>
        <w:t>Solicitors</w:t>
      </w:r>
      <w:r w:rsidR="008E7760" w:rsidRPr="008D19C1">
        <w:t xml:space="preserve"> for the appellant:  </w:t>
      </w:r>
      <w:r w:rsidR="0022515F" w:rsidRPr="008D19C1">
        <w:t>Gunn Law Group, Edmonton.</w:t>
      </w:r>
    </w:p>
    <w:p w:rsidR="001E0FD3" w:rsidRPr="008D19C1" w:rsidRDefault="001E0FD3" w:rsidP="008E7760">
      <w:pPr>
        <w:pStyle w:val="SCCLawFirm"/>
      </w:pPr>
    </w:p>
    <w:p w:rsidR="001E0FD3" w:rsidRPr="008D19C1" w:rsidRDefault="0016438B" w:rsidP="00393767">
      <w:pPr>
        <w:pStyle w:val="SCCLawFirm"/>
        <w:tabs>
          <w:tab w:val="left" w:pos="1170"/>
        </w:tabs>
      </w:pPr>
      <w:r w:rsidRPr="008D19C1">
        <w:tab/>
        <w:t>Solicitor</w:t>
      </w:r>
      <w:r w:rsidR="008E7760" w:rsidRPr="008D19C1">
        <w:t xml:space="preserve"> for the respondent:  </w:t>
      </w:r>
      <w:r w:rsidR="001A18E4" w:rsidRPr="008D19C1">
        <w:t>Alberta Justice</w:t>
      </w:r>
      <w:r w:rsidR="0022515F" w:rsidRPr="008D19C1">
        <w:t>, Edmonton.</w:t>
      </w:r>
    </w:p>
    <w:p w:rsidR="00393767" w:rsidRPr="008D19C1" w:rsidRDefault="00393767" w:rsidP="00393767">
      <w:pPr>
        <w:pStyle w:val="SCCNormalDoubleSpacing"/>
      </w:pPr>
    </w:p>
    <w:sectPr w:rsidR="00393767" w:rsidRPr="008D19C1" w:rsidSect="00E45C0F">
      <w:headerReference w:type="even" r:id="rId15"/>
      <w:headerReference w:type="default" r:id="rId16"/>
      <w:footerReference w:type="even" r:id="rId17"/>
      <w:footerReference w:type="default" r:id="rId18"/>
      <w:headerReference w:type="first" r:id="rId19"/>
      <w:footerReference w:type="first" r:id="rId2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480" w:rsidRDefault="00DC3480">
      <w:r>
        <w:separator/>
      </w:r>
    </w:p>
  </w:endnote>
  <w:endnote w:type="continuationSeparator" w:id="0">
    <w:p w:rsidR="00DC3480" w:rsidRDefault="00DC3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37" w:rsidRDefault="00A23F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37" w:rsidRDefault="00A23F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37" w:rsidRDefault="00A23F3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80" w:rsidRDefault="00DC3480">
    <w:pPr>
      <w:tabs>
        <w:tab w:val="left" w:pos="-1440"/>
        <w:tab w:val="left" w:pos="-720"/>
        <w:tab w:val="left" w:pos="0"/>
        <w:tab w:val="left" w:pos="1152"/>
        <w:tab w:val="left" w:pos="1570"/>
        <w:tab w:val="left" w:pos="1843"/>
        <w:tab w:val="left" w:pos="2261"/>
        <w:tab w:val="left" w:pos="648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80" w:rsidRDefault="00DC3480">
    <w:pPr>
      <w:tabs>
        <w:tab w:val="left" w:pos="-1440"/>
        <w:tab w:val="left" w:pos="-720"/>
        <w:tab w:val="left" w:pos="0"/>
        <w:tab w:val="left" w:pos="1152"/>
        <w:tab w:val="left" w:pos="1570"/>
        <w:tab w:val="left" w:pos="1843"/>
        <w:tab w:val="left" w:pos="2261"/>
        <w:tab w:val="left" w:pos="6480"/>
      </w:tabs>
      <w:spacing w:line="0" w:lineRule="atLea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0F" w:rsidRDefault="00E45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480" w:rsidRDefault="00DC3480">
      <w:r>
        <w:separator/>
      </w:r>
    </w:p>
  </w:footnote>
  <w:footnote w:type="continuationSeparator" w:id="0">
    <w:p w:rsidR="00DC3480" w:rsidRDefault="00DC3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37" w:rsidRDefault="00A23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37" w:rsidRPr="00450352" w:rsidRDefault="00A23F37"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37" w:rsidRDefault="00A23F3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80" w:rsidRDefault="00DC3480">
    <w:pPr>
      <w:tabs>
        <w:tab w:val="left" w:pos="-1440"/>
        <w:tab w:val="left" w:pos="-720"/>
        <w:tab w:val="left" w:pos="0"/>
        <w:tab w:val="left" w:pos="1152"/>
        <w:tab w:val="left" w:pos="1570"/>
        <w:tab w:val="left" w:pos="1843"/>
        <w:tab w:val="left" w:pos="2261"/>
        <w:tab w:val="left" w:pos="648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80" w:rsidRDefault="00DC3480">
    <w:pPr>
      <w:pStyle w:val="Header"/>
      <w:jc w:val="center"/>
    </w:pPr>
    <w:r>
      <w:t xml:space="preserve">- </w:t>
    </w:r>
    <w:sdt>
      <w:sdtPr>
        <w:id w:val="4489865"/>
        <w:docPartObj>
          <w:docPartGallery w:val="Page Numbers (Top of Page)"/>
          <w:docPartUnique/>
        </w:docPartObj>
      </w:sdtPr>
      <w:sdtContent>
        <w:r w:rsidR="00D12DE3">
          <w:fldChar w:fldCharType="begin"/>
        </w:r>
        <w:r w:rsidR="00E60C1A">
          <w:instrText xml:space="preserve"> PAGE   \* MERGEFORMAT </w:instrText>
        </w:r>
        <w:r w:rsidR="00D12DE3">
          <w:fldChar w:fldCharType="separate"/>
        </w:r>
        <w:r w:rsidR="00F4285B">
          <w:rPr>
            <w:noProof/>
          </w:rPr>
          <w:t>7</w:t>
        </w:r>
        <w:r w:rsidR="00D12DE3">
          <w:fldChar w:fldCharType="end"/>
        </w:r>
        <w:r>
          <w:t xml:space="preserve"> -</w:t>
        </w:r>
      </w:sdtContent>
    </w:sdt>
  </w:p>
  <w:p w:rsidR="00DC3480" w:rsidRDefault="00DC348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0F" w:rsidRDefault="00E45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B6F17"/>
    <w:multiLevelType w:val="hybridMultilevel"/>
    <w:tmpl w:val="FFD2CD5C"/>
    <w:lvl w:ilvl="0" w:tplc="D020FEE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rsids>
    <w:rsidRoot w:val="0031414C"/>
    <w:rsid w:val="00000ED4"/>
    <w:rsid w:val="0001485F"/>
    <w:rsid w:val="000177BF"/>
    <w:rsid w:val="00025198"/>
    <w:rsid w:val="000578A3"/>
    <w:rsid w:val="000648CC"/>
    <w:rsid w:val="00066023"/>
    <w:rsid w:val="000C59B8"/>
    <w:rsid w:val="00111DE2"/>
    <w:rsid w:val="00112B57"/>
    <w:rsid w:val="00116B38"/>
    <w:rsid w:val="00135406"/>
    <w:rsid w:val="00135972"/>
    <w:rsid w:val="001426A9"/>
    <w:rsid w:val="00152EC9"/>
    <w:rsid w:val="00154D7C"/>
    <w:rsid w:val="001570B0"/>
    <w:rsid w:val="0015752C"/>
    <w:rsid w:val="00157737"/>
    <w:rsid w:val="0016438B"/>
    <w:rsid w:val="00165277"/>
    <w:rsid w:val="00170592"/>
    <w:rsid w:val="001720FC"/>
    <w:rsid w:val="00173343"/>
    <w:rsid w:val="00180C7D"/>
    <w:rsid w:val="001A18E4"/>
    <w:rsid w:val="001B33E0"/>
    <w:rsid w:val="001B4573"/>
    <w:rsid w:val="001C779F"/>
    <w:rsid w:val="001D2AC1"/>
    <w:rsid w:val="001D4E88"/>
    <w:rsid w:val="001E0FD3"/>
    <w:rsid w:val="002008A0"/>
    <w:rsid w:val="00220FC2"/>
    <w:rsid w:val="00224FC0"/>
    <w:rsid w:val="0022515F"/>
    <w:rsid w:val="00225EA4"/>
    <w:rsid w:val="00226EAF"/>
    <w:rsid w:val="00231AC0"/>
    <w:rsid w:val="00231F3A"/>
    <w:rsid w:val="002406EE"/>
    <w:rsid w:val="00243EC8"/>
    <w:rsid w:val="00246ED9"/>
    <w:rsid w:val="002745CC"/>
    <w:rsid w:val="002B7924"/>
    <w:rsid w:val="002D39A4"/>
    <w:rsid w:val="002E6705"/>
    <w:rsid w:val="0030329A"/>
    <w:rsid w:val="0031086F"/>
    <w:rsid w:val="0031414C"/>
    <w:rsid w:val="00314E01"/>
    <w:rsid w:val="0032089D"/>
    <w:rsid w:val="003310DE"/>
    <w:rsid w:val="00344178"/>
    <w:rsid w:val="0035169A"/>
    <w:rsid w:val="0035259D"/>
    <w:rsid w:val="003555D7"/>
    <w:rsid w:val="003576D1"/>
    <w:rsid w:val="00364B18"/>
    <w:rsid w:val="00393767"/>
    <w:rsid w:val="003A4C70"/>
    <w:rsid w:val="003B215F"/>
    <w:rsid w:val="003B27F1"/>
    <w:rsid w:val="003C799C"/>
    <w:rsid w:val="003D0399"/>
    <w:rsid w:val="003E1C71"/>
    <w:rsid w:val="003F327B"/>
    <w:rsid w:val="00406166"/>
    <w:rsid w:val="0040704B"/>
    <w:rsid w:val="00410A55"/>
    <w:rsid w:val="00411300"/>
    <w:rsid w:val="00415417"/>
    <w:rsid w:val="00425C43"/>
    <w:rsid w:val="00426659"/>
    <w:rsid w:val="00450352"/>
    <w:rsid w:val="00450DAF"/>
    <w:rsid w:val="00454BDB"/>
    <w:rsid w:val="00465132"/>
    <w:rsid w:val="00480C90"/>
    <w:rsid w:val="0048396F"/>
    <w:rsid w:val="00493C18"/>
    <w:rsid w:val="004A600C"/>
    <w:rsid w:val="004A6118"/>
    <w:rsid w:val="004C478D"/>
    <w:rsid w:val="004E2C26"/>
    <w:rsid w:val="005125A8"/>
    <w:rsid w:val="00521A34"/>
    <w:rsid w:val="00521AE8"/>
    <w:rsid w:val="00523A5D"/>
    <w:rsid w:val="00527180"/>
    <w:rsid w:val="00555291"/>
    <w:rsid w:val="0057145D"/>
    <w:rsid w:val="00583EDE"/>
    <w:rsid w:val="00597260"/>
    <w:rsid w:val="005E4698"/>
    <w:rsid w:val="00610539"/>
    <w:rsid w:val="00613969"/>
    <w:rsid w:val="00625C35"/>
    <w:rsid w:val="00644AE3"/>
    <w:rsid w:val="00651094"/>
    <w:rsid w:val="00656313"/>
    <w:rsid w:val="006565F4"/>
    <w:rsid w:val="00684EEA"/>
    <w:rsid w:val="006B1E95"/>
    <w:rsid w:val="006B2E62"/>
    <w:rsid w:val="006B5FF5"/>
    <w:rsid w:val="00701759"/>
    <w:rsid w:val="00747288"/>
    <w:rsid w:val="00747DD3"/>
    <w:rsid w:val="0075379C"/>
    <w:rsid w:val="007549C8"/>
    <w:rsid w:val="00766D14"/>
    <w:rsid w:val="00767A0F"/>
    <w:rsid w:val="007A05F6"/>
    <w:rsid w:val="007B6F4A"/>
    <w:rsid w:val="007E1C47"/>
    <w:rsid w:val="007E337A"/>
    <w:rsid w:val="007E5C70"/>
    <w:rsid w:val="007F2FF5"/>
    <w:rsid w:val="007F3F08"/>
    <w:rsid w:val="00804CC6"/>
    <w:rsid w:val="00805A96"/>
    <w:rsid w:val="00817190"/>
    <w:rsid w:val="008260E2"/>
    <w:rsid w:val="008268ED"/>
    <w:rsid w:val="008322BD"/>
    <w:rsid w:val="00834F73"/>
    <w:rsid w:val="008376FD"/>
    <w:rsid w:val="0084106B"/>
    <w:rsid w:val="00864CF8"/>
    <w:rsid w:val="00872EE7"/>
    <w:rsid w:val="00874914"/>
    <w:rsid w:val="00891422"/>
    <w:rsid w:val="00892E1A"/>
    <w:rsid w:val="008C01DA"/>
    <w:rsid w:val="008D19C1"/>
    <w:rsid w:val="008E5B66"/>
    <w:rsid w:val="008E5D6A"/>
    <w:rsid w:val="008E7760"/>
    <w:rsid w:val="008F78E9"/>
    <w:rsid w:val="009179F9"/>
    <w:rsid w:val="00933E5E"/>
    <w:rsid w:val="00935218"/>
    <w:rsid w:val="009403F3"/>
    <w:rsid w:val="009555B7"/>
    <w:rsid w:val="009567AA"/>
    <w:rsid w:val="00967374"/>
    <w:rsid w:val="009B2F23"/>
    <w:rsid w:val="009B57B3"/>
    <w:rsid w:val="009D2920"/>
    <w:rsid w:val="009D5AEB"/>
    <w:rsid w:val="009F0797"/>
    <w:rsid w:val="009F0E33"/>
    <w:rsid w:val="00A0536C"/>
    <w:rsid w:val="00A149DF"/>
    <w:rsid w:val="00A21B90"/>
    <w:rsid w:val="00A23F37"/>
    <w:rsid w:val="00A41805"/>
    <w:rsid w:val="00A4355C"/>
    <w:rsid w:val="00A548CB"/>
    <w:rsid w:val="00A5521C"/>
    <w:rsid w:val="00A643E7"/>
    <w:rsid w:val="00A73C38"/>
    <w:rsid w:val="00A818CF"/>
    <w:rsid w:val="00AA1A36"/>
    <w:rsid w:val="00AE2F9F"/>
    <w:rsid w:val="00AF03C5"/>
    <w:rsid w:val="00AF059E"/>
    <w:rsid w:val="00B000D8"/>
    <w:rsid w:val="00B00F75"/>
    <w:rsid w:val="00B145B6"/>
    <w:rsid w:val="00B50C81"/>
    <w:rsid w:val="00B557F8"/>
    <w:rsid w:val="00B815FC"/>
    <w:rsid w:val="00B93FBC"/>
    <w:rsid w:val="00BB2EE4"/>
    <w:rsid w:val="00BC2108"/>
    <w:rsid w:val="00BC3F60"/>
    <w:rsid w:val="00BD0E9E"/>
    <w:rsid w:val="00BD1BEC"/>
    <w:rsid w:val="00BD32FF"/>
    <w:rsid w:val="00C02092"/>
    <w:rsid w:val="00C24D91"/>
    <w:rsid w:val="00C364C9"/>
    <w:rsid w:val="00C40CBC"/>
    <w:rsid w:val="00C515F3"/>
    <w:rsid w:val="00C53F14"/>
    <w:rsid w:val="00C600CF"/>
    <w:rsid w:val="00C6084F"/>
    <w:rsid w:val="00C62A66"/>
    <w:rsid w:val="00C71458"/>
    <w:rsid w:val="00C72EC0"/>
    <w:rsid w:val="00C77613"/>
    <w:rsid w:val="00C828E7"/>
    <w:rsid w:val="00C86719"/>
    <w:rsid w:val="00C921DD"/>
    <w:rsid w:val="00CA1EE9"/>
    <w:rsid w:val="00CA6391"/>
    <w:rsid w:val="00CE3171"/>
    <w:rsid w:val="00CF1601"/>
    <w:rsid w:val="00D0172F"/>
    <w:rsid w:val="00D068A7"/>
    <w:rsid w:val="00D12DE3"/>
    <w:rsid w:val="00D32086"/>
    <w:rsid w:val="00D37A3F"/>
    <w:rsid w:val="00D4431D"/>
    <w:rsid w:val="00D4667A"/>
    <w:rsid w:val="00D7516F"/>
    <w:rsid w:val="00D95F8E"/>
    <w:rsid w:val="00DA0590"/>
    <w:rsid w:val="00DC1788"/>
    <w:rsid w:val="00DC3480"/>
    <w:rsid w:val="00DD0852"/>
    <w:rsid w:val="00DE319C"/>
    <w:rsid w:val="00DF0CA8"/>
    <w:rsid w:val="00DF2B48"/>
    <w:rsid w:val="00DF49A7"/>
    <w:rsid w:val="00E07EE2"/>
    <w:rsid w:val="00E07FD1"/>
    <w:rsid w:val="00E21142"/>
    <w:rsid w:val="00E24573"/>
    <w:rsid w:val="00E25DAE"/>
    <w:rsid w:val="00E25E1E"/>
    <w:rsid w:val="00E27EE7"/>
    <w:rsid w:val="00E35404"/>
    <w:rsid w:val="00E45109"/>
    <w:rsid w:val="00E45C0F"/>
    <w:rsid w:val="00E460F5"/>
    <w:rsid w:val="00E47B7A"/>
    <w:rsid w:val="00E51BA8"/>
    <w:rsid w:val="00E60C1A"/>
    <w:rsid w:val="00E97830"/>
    <w:rsid w:val="00EE290D"/>
    <w:rsid w:val="00EF010A"/>
    <w:rsid w:val="00EF0683"/>
    <w:rsid w:val="00F0070C"/>
    <w:rsid w:val="00F00EB7"/>
    <w:rsid w:val="00F163AE"/>
    <w:rsid w:val="00F36AB6"/>
    <w:rsid w:val="00F37A09"/>
    <w:rsid w:val="00F409CE"/>
    <w:rsid w:val="00F4285B"/>
    <w:rsid w:val="00F4379D"/>
    <w:rsid w:val="00F84DF4"/>
    <w:rsid w:val="00F85C97"/>
    <w:rsid w:val="00F94B40"/>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393767"/>
    <w:pPr>
      <w:ind w:left="720"/>
    </w:pPr>
  </w:style>
  <w:style w:type="paragraph" w:customStyle="1" w:styleId="SCCCoram">
    <w:name w:val="SCC.Coram"/>
    <w:basedOn w:val="Normal"/>
    <w:next w:val="Normal"/>
    <w:link w:val="SCCCoramChar"/>
    <w:rsid w:val="0039376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93767"/>
    <w:rPr>
      <w:rFonts w:eastAsiaTheme="minorHAnsi" w:cstheme="minorBidi"/>
      <w:sz w:val="24"/>
      <w:szCs w:val="22"/>
      <w:lang w:eastAsia="en-US"/>
    </w:rPr>
  </w:style>
  <w:style w:type="table" w:styleId="TableGrid">
    <w:name w:val="Table Grid"/>
    <w:basedOn w:val="TableNormal"/>
    <w:uiPriority w:val="59"/>
    <w:rsid w:val="003937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A23F37"/>
    <w:rPr>
      <w:rFonts w:eastAsiaTheme="minorHAnsi" w:cstheme="minorBidi"/>
      <w:b/>
      <w:smallCaps/>
      <w:szCs w:val="24"/>
      <w:lang w:eastAsia="en-US"/>
    </w:rPr>
  </w:style>
  <w:style w:type="character" w:customStyle="1" w:styleId="SCCLsocPrefixChar">
    <w:name w:val="SCC.Lsoc.Prefix Char"/>
    <w:basedOn w:val="DefaultParagraphFont"/>
    <w:link w:val="SCCLsocPrefix"/>
    <w:rsid w:val="00A23F37"/>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1094</Words>
  <Characters>5484</Characters>
  <Application>Microsoft Office Word</Application>
  <DocSecurity>0</DocSecurity>
  <Lines>45</Lines>
  <Paragraphs>13</Paragraphs>
  <ScaleCrop>false</ScaleCrop>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2011-03-25T18:58:00Z</dcterms:created>
  <dcterms:modified xsi:type="dcterms:W3CDTF">2011-03-25T18:58:00Z</dcterms:modified>
</cp:coreProperties>
</file>