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31" w:rsidRPr="00841DD6" w:rsidRDefault="00316831" w:rsidP="00316831">
      <w:pPr>
        <w:tabs>
          <w:tab w:val="center" w:pos="4680"/>
          <w:tab w:val="right" w:pos="9360"/>
        </w:tabs>
        <w:rPr>
          <w:rFonts w:eastAsiaTheme="minorHAnsi" w:cstheme="minorBidi"/>
          <w:szCs w:val="24"/>
          <w:lang w:eastAsia="en-US"/>
        </w:rPr>
      </w:pPr>
      <w:r w:rsidRPr="00841DD6">
        <w:rPr>
          <w:rFonts w:eastAsiaTheme="minorHAnsi" w:cstheme="minorBidi"/>
          <w:szCs w:val="24"/>
          <w:lang w:eastAsia="en-US"/>
        </w:rPr>
        <w:ptab w:relativeTo="margin" w:alignment="center" w:leader="none"/>
      </w:r>
      <w:r w:rsidRPr="00841DD6">
        <w:rPr>
          <w:rFonts w:eastAsiaTheme="minorHAnsi" w:cstheme="minorBidi"/>
          <w:szCs w:val="24"/>
          <w:lang w:eastAsia="en-US"/>
        </w:rPr>
        <w:t xml:space="preserve"> </w:t>
      </w:r>
      <w:r w:rsidRPr="00841DD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368951419" r:id="rId8"/>
        </w:object>
      </w:r>
      <w:r w:rsidRPr="00841DD6">
        <w:rPr>
          <w:rFonts w:eastAsiaTheme="minorHAnsi" w:cstheme="minorBidi"/>
          <w:szCs w:val="24"/>
          <w:lang w:eastAsia="en-US"/>
        </w:rPr>
        <w:t xml:space="preserve"> </w:t>
      </w:r>
      <w:r w:rsidRPr="00841DD6">
        <w:rPr>
          <w:rFonts w:eastAsiaTheme="minorHAnsi" w:cstheme="minorBidi"/>
          <w:szCs w:val="24"/>
          <w:lang w:eastAsia="en-US"/>
        </w:rPr>
        <w:ptab w:relativeTo="margin" w:alignment="right" w:leader="none"/>
      </w:r>
    </w:p>
    <w:p w:rsidR="00316831" w:rsidRPr="00841DD6" w:rsidRDefault="00316831" w:rsidP="00316831">
      <w:pPr>
        <w:tabs>
          <w:tab w:val="center" w:pos="4680"/>
          <w:tab w:val="right" w:pos="9360"/>
        </w:tabs>
        <w:rPr>
          <w:rFonts w:eastAsiaTheme="minorHAnsi" w:cstheme="minorBidi"/>
          <w:szCs w:val="24"/>
          <w:lang w:eastAsia="en-US"/>
        </w:rPr>
      </w:pPr>
    </w:p>
    <w:p w:rsidR="00316831" w:rsidRPr="00841DD6" w:rsidRDefault="00316831" w:rsidP="00316831">
      <w:pPr>
        <w:jc w:val="center"/>
        <w:rPr>
          <w:rFonts w:eastAsiaTheme="minorHAnsi" w:cstheme="minorBidi"/>
          <w:b/>
          <w:szCs w:val="24"/>
          <w:lang w:eastAsia="en-US"/>
        </w:rPr>
      </w:pPr>
      <w:r w:rsidRPr="00841DD6">
        <w:rPr>
          <w:rFonts w:eastAsiaTheme="minorHAnsi" w:cstheme="minorBidi"/>
          <w:b/>
          <w:szCs w:val="24"/>
          <w:lang w:eastAsia="en-US"/>
        </w:rPr>
        <w:t>SUPREME COURT OF CANADA</w:t>
      </w:r>
    </w:p>
    <w:p w:rsidR="00316831" w:rsidRPr="00841DD6" w:rsidRDefault="00316831" w:rsidP="00316831">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16831" w:rsidRPr="00841DD6" w:rsidTr="00BA475A">
        <w:trPr>
          <w:cantSplit/>
        </w:trPr>
        <w:tc>
          <w:tcPr>
            <w:tcW w:w="6768" w:type="dxa"/>
          </w:tcPr>
          <w:p w:rsidR="00316831" w:rsidRPr="00841DD6" w:rsidRDefault="00316831" w:rsidP="00BA475A">
            <w:r w:rsidRPr="00841DD6">
              <w:rPr>
                <w:b/>
                <w:smallCaps/>
              </w:rPr>
              <w:t>Citation:</w:t>
            </w:r>
            <w:r w:rsidRPr="00841DD6">
              <w:t xml:space="preserve"> Parrish &amp; </w:t>
            </w:r>
            <w:proofErr w:type="spellStart"/>
            <w:r w:rsidRPr="00841DD6">
              <w:t>Heimbecker</w:t>
            </w:r>
            <w:proofErr w:type="spellEnd"/>
            <w:r w:rsidRPr="00841DD6">
              <w:t xml:space="preserve"> Ltd. </w:t>
            </w:r>
            <w:r w:rsidRPr="00841DD6">
              <w:rPr>
                <w:i/>
              </w:rPr>
              <w:t>v.</w:t>
            </w:r>
            <w:r w:rsidRPr="00841DD6">
              <w:t xml:space="preserve"> Canada (Agriculture and </w:t>
            </w:r>
            <w:proofErr w:type="spellStart"/>
            <w:r w:rsidRPr="00841DD6">
              <w:t>Agri</w:t>
            </w:r>
            <w:proofErr w:type="spellEnd"/>
            <w:r w:rsidRPr="00841DD6">
              <w:t xml:space="preserve">-Food), </w:t>
            </w:r>
            <w:r>
              <w:rPr>
                <w:rStyle w:val="SCCRespondentForIndexChar"/>
                <w:b w:val="0"/>
              </w:rPr>
              <w:t>2010 SCC 64, [2010] 3 S.C.R. 639</w:t>
            </w:r>
          </w:p>
        </w:tc>
        <w:tc>
          <w:tcPr>
            <w:tcW w:w="2808" w:type="dxa"/>
          </w:tcPr>
          <w:p w:rsidR="00316831" w:rsidRPr="00841DD6" w:rsidRDefault="00316831" w:rsidP="00BA475A">
            <w:r w:rsidRPr="00841DD6">
              <w:rPr>
                <w:b/>
                <w:smallCaps/>
              </w:rPr>
              <w:t>Date:</w:t>
            </w:r>
            <w:r w:rsidRPr="00841DD6">
              <w:t xml:space="preserve"> 20101223</w:t>
            </w:r>
          </w:p>
          <w:p w:rsidR="00316831" w:rsidRPr="00841DD6" w:rsidRDefault="00316831" w:rsidP="00BA475A">
            <w:r w:rsidRPr="00841DD6">
              <w:rPr>
                <w:b/>
                <w:smallCaps/>
              </w:rPr>
              <w:t>Docket:</w:t>
            </w:r>
            <w:r w:rsidRPr="00841DD6">
              <w:t xml:space="preserve"> 33006</w:t>
            </w:r>
          </w:p>
        </w:tc>
      </w:tr>
    </w:tbl>
    <w:p w:rsidR="00316831" w:rsidRPr="00841DD6" w:rsidRDefault="00316831" w:rsidP="00316831">
      <w:pPr>
        <w:rPr>
          <w:rFonts w:eastAsiaTheme="minorHAnsi" w:cstheme="minorBidi"/>
          <w:szCs w:val="24"/>
          <w:lang w:eastAsia="en-US"/>
        </w:rPr>
      </w:pPr>
    </w:p>
    <w:p w:rsidR="00316831" w:rsidRPr="00841DD6" w:rsidRDefault="00316831" w:rsidP="00316831">
      <w:pPr>
        <w:rPr>
          <w:rFonts w:eastAsiaTheme="minorHAnsi" w:cstheme="minorBidi"/>
          <w:b/>
          <w:smallCaps/>
          <w:szCs w:val="24"/>
          <w:lang w:eastAsia="en-US"/>
        </w:rPr>
      </w:pPr>
      <w:r w:rsidRPr="00841DD6">
        <w:rPr>
          <w:rFonts w:eastAsiaTheme="minorHAnsi" w:cstheme="minorBidi"/>
          <w:b/>
          <w:smallCaps/>
          <w:szCs w:val="24"/>
          <w:lang w:eastAsia="en-US"/>
        </w:rPr>
        <w:t>Between:</w:t>
      </w:r>
    </w:p>
    <w:p w:rsidR="00316831" w:rsidRPr="00841DD6" w:rsidRDefault="00316831" w:rsidP="00316831">
      <w:pPr>
        <w:jc w:val="center"/>
        <w:rPr>
          <w:rFonts w:eastAsiaTheme="minorHAnsi" w:cstheme="minorBidi"/>
          <w:b/>
          <w:szCs w:val="24"/>
          <w:lang w:eastAsia="en-US"/>
        </w:rPr>
      </w:pPr>
      <w:r w:rsidRPr="00841DD6">
        <w:rPr>
          <w:rFonts w:eastAsiaTheme="minorHAnsi" w:cstheme="minorBidi"/>
          <w:b/>
          <w:szCs w:val="24"/>
          <w:lang w:eastAsia="en-US"/>
        </w:rPr>
        <w:t xml:space="preserve">Parrish &amp; </w:t>
      </w:r>
      <w:proofErr w:type="spellStart"/>
      <w:r w:rsidRPr="00841DD6">
        <w:rPr>
          <w:rFonts w:eastAsiaTheme="minorHAnsi" w:cstheme="minorBidi"/>
          <w:b/>
          <w:szCs w:val="24"/>
          <w:lang w:eastAsia="en-US"/>
        </w:rPr>
        <w:t>Heimbecker</w:t>
      </w:r>
      <w:proofErr w:type="spellEnd"/>
      <w:r w:rsidRPr="00841DD6">
        <w:rPr>
          <w:rFonts w:eastAsiaTheme="minorHAnsi" w:cstheme="minorBidi"/>
          <w:b/>
          <w:szCs w:val="24"/>
          <w:lang w:eastAsia="en-US"/>
        </w:rPr>
        <w:t xml:space="preserve"> Limited</w:t>
      </w:r>
    </w:p>
    <w:p w:rsidR="00316831" w:rsidRPr="00841DD6" w:rsidRDefault="00316831" w:rsidP="00316831">
      <w:pPr>
        <w:jc w:val="center"/>
        <w:rPr>
          <w:rFonts w:eastAsiaTheme="minorHAnsi" w:cstheme="minorBidi"/>
          <w:szCs w:val="24"/>
          <w:lang w:eastAsia="en-US"/>
        </w:rPr>
      </w:pPr>
      <w:r w:rsidRPr="00841DD6">
        <w:rPr>
          <w:rFonts w:eastAsiaTheme="minorHAnsi" w:cstheme="minorBidi"/>
          <w:szCs w:val="24"/>
          <w:lang w:eastAsia="en-US"/>
        </w:rPr>
        <w:t>Appellant</w:t>
      </w:r>
    </w:p>
    <w:p w:rsidR="00316831" w:rsidRPr="00841DD6" w:rsidRDefault="00316831" w:rsidP="00316831">
      <w:pPr>
        <w:jc w:val="center"/>
        <w:rPr>
          <w:rFonts w:eastAsiaTheme="minorHAnsi" w:cstheme="minorBidi"/>
          <w:szCs w:val="24"/>
          <w:lang w:eastAsia="en-US"/>
        </w:rPr>
      </w:pPr>
      <w:proofErr w:type="gramStart"/>
      <w:r w:rsidRPr="00841DD6">
        <w:rPr>
          <w:rFonts w:eastAsiaTheme="minorHAnsi" w:cstheme="minorBidi"/>
          <w:szCs w:val="24"/>
          <w:lang w:eastAsia="en-US"/>
        </w:rPr>
        <w:t>and</w:t>
      </w:r>
      <w:proofErr w:type="gramEnd"/>
    </w:p>
    <w:p w:rsidR="00316831" w:rsidRPr="00841DD6" w:rsidRDefault="00316831" w:rsidP="00316831">
      <w:pPr>
        <w:jc w:val="center"/>
        <w:rPr>
          <w:rFonts w:eastAsiaTheme="minorHAnsi" w:cstheme="minorBidi"/>
          <w:b/>
          <w:szCs w:val="24"/>
          <w:lang w:eastAsia="en-US"/>
        </w:rPr>
      </w:pPr>
      <w:r w:rsidRPr="00841DD6">
        <w:rPr>
          <w:rFonts w:eastAsiaTheme="minorHAnsi" w:cstheme="minorBidi"/>
          <w:b/>
          <w:szCs w:val="24"/>
          <w:lang w:eastAsia="en-US"/>
        </w:rPr>
        <w:t>Her Majesty the Queen in Right of Canada as represented</w:t>
      </w:r>
    </w:p>
    <w:p w:rsidR="00316831" w:rsidRPr="00841DD6" w:rsidRDefault="00316831" w:rsidP="00316831">
      <w:pPr>
        <w:jc w:val="center"/>
        <w:rPr>
          <w:rFonts w:eastAsiaTheme="minorHAnsi" w:cstheme="minorBidi"/>
          <w:b/>
          <w:szCs w:val="24"/>
          <w:lang w:eastAsia="en-US"/>
        </w:rPr>
      </w:pPr>
      <w:proofErr w:type="gramStart"/>
      <w:r w:rsidRPr="00841DD6">
        <w:rPr>
          <w:rFonts w:eastAsiaTheme="minorHAnsi" w:cstheme="minorBidi"/>
          <w:b/>
          <w:szCs w:val="24"/>
          <w:lang w:eastAsia="en-US"/>
        </w:rPr>
        <w:t>by</w:t>
      </w:r>
      <w:proofErr w:type="gramEnd"/>
      <w:r w:rsidRPr="00841DD6">
        <w:rPr>
          <w:rFonts w:eastAsiaTheme="minorHAnsi" w:cstheme="minorBidi"/>
          <w:b/>
          <w:szCs w:val="24"/>
          <w:lang w:eastAsia="en-US"/>
        </w:rPr>
        <w:t xml:space="preserve"> the Minister of Agriculture and </w:t>
      </w:r>
      <w:proofErr w:type="spellStart"/>
      <w:r w:rsidRPr="00841DD6">
        <w:rPr>
          <w:rFonts w:eastAsiaTheme="minorHAnsi" w:cstheme="minorBidi"/>
          <w:b/>
          <w:szCs w:val="24"/>
          <w:lang w:eastAsia="en-US"/>
        </w:rPr>
        <w:t>Agri</w:t>
      </w:r>
      <w:proofErr w:type="spellEnd"/>
      <w:r w:rsidRPr="00841DD6">
        <w:rPr>
          <w:rFonts w:eastAsiaTheme="minorHAnsi" w:cstheme="minorBidi"/>
          <w:b/>
          <w:szCs w:val="24"/>
          <w:lang w:eastAsia="en-US"/>
        </w:rPr>
        <w:t>-Food,</w:t>
      </w:r>
    </w:p>
    <w:p w:rsidR="00316831" w:rsidRPr="00841DD6" w:rsidRDefault="00316831" w:rsidP="00316831">
      <w:pPr>
        <w:jc w:val="center"/>
        <w:rPr>
          <w:rFonts w:eastAsiaTheme="minorHAnsi" w:cstheme="minorBidi"/>
          <w:b/>
          <w:szCs w:val="24"/>
          <w:lang w:eastAsia="en-US"/>
        </w:rPr>
      </w:pPr>
      <w:r w:rsidRPr="00841DD6">
        <w:rPr>
          <w:rFonts w:eastAsiaTheme="minorHAnsi" w:cstheme="minorBidi"/>
          <w:b/>
          <w:szCs w:val="24"/>
          <w:lang w:eastAsia="en-US"/>
        </w:rPr>
        <w:t>Attorney General of Canada and Canadian Food Inspection Agency</w:t>
      </w:r>
    </w:p>
    <w:p w:rsidR="00316831" w:rsidRPr="00841DD6" w:rsidRDefault="00316831" w:rsidP="00316831">
      <w:pPr>
        <w:jc w:val="center"/>
        <w:rPr>
          <w:rFonts w:eastAsiaTheme="minorHAnsi" w:cstheme="minorBidi"/>
          <w:b/>
          <w:smallCaps/>
          <w:szCs w:val="24"/>
          <w:lang w:eastAsia="en-US"/>
        </w:rPr>
      </w:pPr>
      <w:r w:rsidRPr="00841DD6">
        <w:rPr>
          <w:rFonts w:eastAsiaTheme="minorHAnsi" w:cstheme="minorBidi"/>
          <w:szCs w:val="24"/>
          <w:lang w:eastAsia="en-US"/>
        </w:rPr>
        <w:t>Respondents</w:t>
      </w:r>
      <w:r w:rsidRPr="00841DD6">
        <w:rPr>
          <w:rFonts w:eastAsiaTheme="minorHAnsi" w:cstheme="minorBidi"/>
          <w:szCs w:val="24"/>
          <w:lang w:eastAsia="en-US"/>
        </w:rPr>
        <w:br/>
      </w:r>
    </w:p>
    <w:p w:rsidR="00316831" w:rsidRPr="00841DD6" w:rsidRDefault="00316831" w:rsidP="00316831">
      <w:pPr>
        <w:rPr>
          <w:rFonts w:eastAsiaTheme="minorHAnsi" w:cstheme="minorBidi"/>
          <w:szCs w:val="24"/>
          <w:lang w:eastAsia="en-US"/>
        </w:rPr>
      </w:pPr>
    </w:p>
    <w:p w:rsidR="00316831" w:rsidRPr="00841DD6" w:rsidRDefault="00316831" w:rsidP="00316831">
      <w:pPr>
        <w:rPr>
          <w:rFonts w:eastAsiaTheme="minorHAnsi" w:cstheme="minorBidi"/>
          <w:szCs w:val="24"/>
          <w:lang w:eastAsia="en-US"/>
        </w:rPr>
      </w:pPr>
      <w:r w:rsidRPr="00841DD6">
        <w:rPr>
          <w:rFonts w:eastAsiaTheme="minorHAnsi" w:cstheme="minorBidi"/>
          <w:b/>
          <w:smallCaps/>
          <w:szCs w:val="24"/>
          <w:lang w:eastAsia="en-US"/>
        </w:rPr>
        <w:t>Coram:</w:t>
      </w:r>
      <w:r w:rsidRPr="00841DD6">
        <w:rPr>
          <w:rFonts w:eastAsiaTheme="minorHAnsi" w:cstheme="minorBidi"/>
          <w:szCs w:val="24"/>
          <w:lang w:eastAsia="en-US"/>
        </w:rPr>
        <w:t xml:space="preserve"> </w:t>
      </w:r>
      <w:proofErr w:type="spellStart"/>
      <w:r w:rsidRPr="00841DD6">
        <w:rPr>
          <w:rFonts w:eastAsiaTheme="minorHAnsi" w:cstheme="minorBidi"/>
          <w:szCs w:val="24"/>
          <w:lang w:eastAsia="en-US"/>
        </w:rPr>
        <w:t>Binnie</w:t>
      </w:r>
      <w:proofErr w:type="spellEnd"/>
      <w:r w:rsidRPr="00841DD6">
        <w:rPr>
          <w:rFonts w:eastAsiaTheme="minorHAnsi" w:cstheme="minorBidi"/>
          <w:szCs w:val="24"/>
          <w:lang w:eastAsia="en-US"/>
        </w:rPr>
        <w:t xml:space="preserve">, </w:t>
      </w:r>
      <w:proofErr w:type="spellStart"/>
      <w:r w:rsidRPr="00841DD6">
        <w:rPr>
          <w:rFonts w:eastAsiaTheme="minorHAnsi" w:cstheme="minorBidi"/>
          <w:szCs w:val="24"/>
          <w:lang w:eastAsia="en-US"/>
        </w:rPr>
        <w:t>LeBel</w:t>
      </w:r>
      <w:proofErr w:type="spellEnd"/>
      <w:r w:rsidRPr="00841DD6">
        <w:rPr>
          <w:rFonts w:eastAsiaTheme="minorHAnsi" w:cstheme="minorBidi"/>
          <w:szCs w:val="24"/>
          <w:lang w:eastAsia="en-US"/>
        </w:rPr>
        <w:t xml:space="preserve">, </w:t>
      </w:r>
      <w:proofErr w:type="spellStart"/>
      <w:r w:rsidRPr="00841DD6">
        <w:rPr>
          <w:rFonts w:eastAsiaTheme="minorHAnsi" w:cstheme="minorBidi"/>
          <w:szCs w:val="24"/>
          <w:lang w:eastAsia="en-US"/>
        </w:rPr>
        <w:t>Deschamps</w:t>
      </w:r>
      <w:proofErr w:type="spellEnd"/>
      <w:r w:rsidRPr="00841DD6">
        <w:rPr>
          <w:rFonts w:eastAsiaTheme="minorHAnsi" w:cstheme="minorBidi"/>
          <w:szCs w:val="24"/>
          <w:lang w:eastAsia="en-US"/>
        </w:rPr>
        <w:t xml:space="preserve">, </w:t>
      </w:r>
      <w:proofErr w:type="spellStart"/>
      <w:r w:rsidRPr="00841DD6">
        <w:rPr>
          <w:rFonts w:eastAsiaTheme="minorHAnsi" w:cstheme="minorBidi"/>
          <w:szCs w:val="24"/>
          <w:lang w:eastAsia="en-US"/>
        </w:rPr>
        <w:t>Abella</w:t>
      </w:r>
      <w:proofErr w:type="spellEnd"/>
      <w:r w:rsidRPr="00841DD6">
        <w:rPr>
          <w:rFonts w:eastAsiaTheme="minorHAnsi" w:cstheme="minorBidi"/>
          <w:szCs w:val="24"/>
          <w:lang w:eastAsia="en-US"/>
        </w:rPr>
        <w:t xml:space="preserve">, </w:t>
      </w:r>
      <w:proofErr w:type="spellStart"/>
      <w:r w:rsidRPr="00841DD6">
        <w:rPr>
          <w:rFonts w:eastAsiaTheme="minorHAnsi" w:cstheme="minorBidi"/>
          <w:szCs w:val="24"/>
          <w:lang w:eastAsia="en-US"/>
        </w:rPr>
        <w:t>Charron</w:t>
      </w:r>
      <w:proofErr w:type="spellEnd"/>
      <w:r w:rsidRPr="00841DD6">
        <w:rPr>
          <w:rFonts w:eastAsiaTheme="minorHAnsi" w:cstheme="minorBidi"/>
          <w:szCs w:val="24"/>
          <w:lang w:eastAsia="en-US"/>
        </w:rPr>
        <w:t>, Rothstein and Cromwell JJ.</w:t>
      </w:r>
    </w:p>
    <w:p w:rsidR="00316831" w:rsidRPr="00841DD6" w:rsidRDefault="00316831" w:rsidP="00316831">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16831" w:rsidRPr="00841DD6" w:rsidTr="00BA475A">
        <w:trPr>
          <w:cantSplit/>
        </w:trPr>
        <w:tc>
          <w:tcPr>
            <w:tcW w:w="3618" w:type="dxa"/>
          </w:tcPr>
          <w:p w:rsidR="00316831" w:rsidRPr="00841DD6" w:rsidRDefault="00316831" w:rsidP="00BA475A">
            <w:pPr>
              <w:rPr>
                <w:b/>
                <w:smallCaps/>
              </w:rPr>
            </w:pPr>
            <w:r w:rsidRPr="00841DD6">
              <w:rPr>
                <w:b/>
                <w:smallCaps/>
              </w:rPr>
              <w:t>Reasons for Judgment:</w:t>
            </w:r>
          </w:p>
          <w:p w:rsidR="00316831" w:rsidRPr="00841DD6" w:rsidRDefault="00316831" w:rsidP="00BA475A">
            <w:r w:rsidRPr="00841DD6">
              <w:t>(</w:t>
            </w:r>
            <w:proofErr w:type="spellStart"/>
            <w:r w:rsidRPr="00841DD6">
              <w:t>paras</w:t>
            </w:r>
            <w:proofErr w:type="spellEnd"/>
            <w:r w:rsidRPr="00841DD6">
              <w:t>. 1 to 22)</w:t>
            </w:r>
          </w:p>
        </w:tc>
        <w:tc>
          <w:tcPr>
            <w:tcW w:w="5958" w:type="dxa"/>
          </w:tcPr>
          <w:p w:rsidR="00316831" w:rsidRPr="00841DD6" w:rsidRDefault="00316831" w:rsidP="00BA475A">
            <w:r w:rsidRPr="00841DD6">
              <w:t>Rothstein J. (</w:t>
            </w:r>
            <w:proofErr w:type="spellStart"/>
            <w:r w:rsidRPr="00841DD6">
              <w:t>Binnie</w:t>
            </w:r>
            <w:proofErr w:type="spellEnd"/>
            <w:r w:rsidRPr="00841DD6">
              <w:t xml:space="preserve">, </w:t>
            </w:r>
            <w:proofErr w:type="spellStart"/>
            <w:r w:rsidRPr="00841DD6">
              <w:t>LeBel</w:t>
            </w:r>
            <w:proofErr w:type="spellEnd"/>
            <w:r w:rsidRPr="00841DD6">
              <w:t xml:space="preserve">, </w:t>
            </w:r>
            <w:proofErr w:type="spellStart"/>
            <w:r w:rsidRPr="00841DD6">
              <w:t>Deschamps</w:t>
            </w:r>
            <w:proofErr w:type="spellEnd"/>
            <w:r w:rsidRPr="00841DD6">
              <w:t xml:space="preserve">, </w:t>
            </w:r>
            <w:proofErr w:type="spellStart"/>
            <w:r w:rsidRPr="00841DD6">
              <w:t>Abella</w:t>
            </w:r>
            <w:proofErr w:type="spellEnd"/>
            <w:r w:rsidRPr="00841DD6">
              <w:t xml:space="preserve">, </w:t>
            </w:r>
            <w:proofErr w:type="spellStart"/>
            <w:r w:rsidRPr="00841DD6">
              <w:t>Charron</w:t>
            </w:r>
            <w:proofErr w:type="spellEnd"/>
            <w:r w:rsidRPr="00841DD6">
              <w:t xml:space="preserve"> and Cromwell JJ. concurring)</w:t>
            </w:r>
          </w:p>
        </w:tc>
      </w:tr>
    </w:tbl>
    <w:p w:rsidR="00316831" w:rsidRPr="00841DD6" w:rsidRDefault="00316831" w:rsidP="00316831">
      <w:pPr>
        <w:rPr>
          <w:rFonts w:eastAsiaTheme="minorHAnsi" w:cstheme="minorBidi"/>
          <w:szCs w:val="24"/>
          <w:lang w:eastAsia="en-US"/>
        </w:rPr>
      </w:pPr>
    </w:p>
    <w:p w:rsidR="00316831" w:rsidRPr="00841DD6" w:rsidRDefault="00316831" w:rsidP="00316831">
      <w:pPr>
        <w:rPr>
          <w:rFonts w:eastAsiaTheme="minorHAnsi" w:cstheme="minorBidi"/>
          <w:szCs w:val="24"/>
          <w:lang w:eastAsia="en-US"/>
        </w:rPr>
      </w:pPr>
      <w:r w:rsidRPr="00D035EC">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316831" w:rsidRDefault="00316831" w:rsidP="00316831">
      <w:pPr>
        <w:rPr>
          <w:rStyle w:val="SCCAppellantForRunningHeadChar"/>
        </w:rPr>
      </w:pPr>
      <w:r>
        <w:rPr>
          <w:rStyle w:val="SCCAppellantForRunningHeadChar"/>
        </w:rPr>
        <w:br w:type="page"/>
      </w:r>
    </w:p>
    <w:p w:rsidR="00316831" w:rsidRDefault="00316831">
      <w:pPr>
        <w:rPr>
          <w:rStyle w:val="SCCAppellantForIndexChar"/>
          <w:b w:val="0"/>
        </w:rPr>
      </w:pPr>
    </w:p>
    <w:p w:rsidR="008322BD" w:rsidRPr="009F0E8B" w:rsidRDefault="00213F36" w:rsidP="00700DD9">
      <w:pPr>
        <w:spacing w:line="480" w:lineRule="auto"/>
        <w:jc w:val="both"/>
      </w:pPr>
      <w:r w:rsidRPr="00213F36">
        <w:rPr>
          <w:rStyle w:val="SCCAppellantForIndexChar"/>
          <w:b w:val="0"/>
        </w:rPr>
        <w:t xml:space="preserve">Parrish &amp; </w:t>
      </w:r>
      <w:proofErr w:type="spellStart"/>
      <w:r w:rsidRPr="00213F36">
        <w:rPr>
          <w:rStyle w:val="SCCAppellantForIndexChar"/>
          <w:b w:val="0"/>
        </w:rPr>
        <w:t>Heimbecker</w:t>
      </w:r>
      <w:proofErr w:type="spellEnd"/>
      <w:r w:rsidRPr="00213F36">
        <w:rPr>
          <w:rStyle w:val="SCCAppellantForIndexChar"/>
          <w:b w:val="0"/>
        </w:rPr>
        <w:t xml:space="preserve"> Ltd.</w:t>
      </w:r>
      <w:r w:rsidRPr="00213F36">
        <w:t xml:space="preserve"> </w:t>
      </w:r>
      <w:r w:rsidRPr="00213F36">
        <w:rPr>
          <w:i/>
        </w:rPr>
        <w:t>v.</w:t>
      </w:r>
      <w:r w:rsidRPr="00213F36">
        <w:t xml:space="preserve"> Canada (Agriculture and </w:t>
      </w:r>
      <w:proofErr w:type="spellStart"/>
      <w:r w:rsidRPr="00213F36">
        <w:t>Agri</w:t>
      </w:r>
      <w:proofErr w:type="spellEnd"/>
      <w:r w:rsidRPr="00213F36">
        <w:t>-Food)</w:t>
      </w:r>
      <w:r w:rsidRPr="00213F36">
        <w:rPr>
          <w:rStyle w:val="SCCRespondentForRunningHeadChar"/>
        </w:rPr>
        <w:t>,</w:t>
      </w:r>
      <w:r>
        <w:rPr>
          <w:rStyle w:val="SCCRespondentForRunningHeadChar"/>
        </w:rPr>
        <w:t xml:space="preserve"> </w:t>
      </w:r>
      <w:r>
        <w:rPr>
          <w:rStyle w:val="SCCRespondentForIndexChar"/>
          <w:b w:val="0"/>
        </w:rPr>
        <w:t>2010 SCC 64, [2010] 3 S.C.R. 639</w:t>
      </w:r>
    </w:p>
    <w:p w:rsidR="00A149DF" w:rsidRPr="009F0E8B" w:rsidRDefault="00A149DF" w:rsidP="00700DD9">
      <w:pPr>
        <w:spacing w:line="480" w:lineRule="auto"/>
        <w:jc w:val="both"/>
      </w:pPr>
    </w:p>
    <w:p w:rsidR="00E975CC" w:rsidRDefault="00700DD9" w:rsidP="00700DD9">
      <w:pPr>
        <w:pStyle w:val="SCCLsocParty"/>
        <w:tabs>
          <w:tab w:val="right" w:pos="8280"/>
        </w:tabs>
        <w:spacing w:line="480" w:lineRule="auto"/>
        <w:rPr>
          <w:i/>
        </w:rPr>
      </w:pPr>
      <w:r w:rsidRPr="00D87846">
        <w:rPr>
          <w:b/>
        </w:rPr>
        <w:t xml:space="preserve">Parrish &amp; </w:t>
      </w:r>
      <w:proofErr w:type="spellStart"/>
      <w:r w:rsidRPr="00D87846">
        <w:rPr>
          <w:b/>
        </w:rPr>
        <w:t>Heimbecker</w:t>
      </w:r>
      <w:proofErr w:type="spellEnd"/>
      <w:r w:rsidRPr="00D87846">
        <w:rPr>
          <w:b/>
        </w:rPr>
        <w:t xml:space="preserve"> Limited</w:t>
      </w:r>
      <w:r w:rsidR="00E1595A">
        <w:rPr>
          <w:b/>
        </w:rPr>
        <w:tab/>
      </w:r>
      <w:r w:rsidRPr="009F0E8B">
        <w:rPr>
          <w:i/>
        </w:rPr>
        <w:t>Appellant</w:t>
      </w:r>
    </w:p>
    <w:p w:rsidR="00490D2B" w:rsidRPr="009F0E8B" w:rsidRDefault="00490D2B" w:rsidP="00700DD9">
      <w:pPr>
        <w:pStyle w:val="SCCLsocParty"/>
        <w:tabs>
          <w:tab w:val="right" w:pos="8280"/>
        </w:tabs>
        <w:spacing w:line="480" w:lineRule="auto"/>
        <w:rPr>
          <w:b/>
        </w:rPr>
      </w:pPr>
    </w:p>
    <w:p w:rsidR="00490D2B" w:rsidRPr="00D87846" w:rsidRDefault="00700DD9" w:rsidP="00700DD9">
      <w:pPr>
        <w:pStyle w:val="SCCLsocVersus"/>
        <w:spacing w:line="480" w:lineRule="auto"/>
        <w:rPr>
          <w:i/>
        </w:rPr>
      </w:pPr>
      <w:proofErr w:type="gramStart"/>
      <w:r w:rsidRPr="00D87846">
        <w:rPr>
          <w:i/>
        </w:rPr>
        <w:t>v</w:t>
      </w:r>
      <w:proofErr w:type="gramEnd"/>
      <w:r w:rsidRPr="00D87846">
        <w:rPr>
          <w:i/>
        </w:rPr>
        <w:t>.</w:t>
      </w:r>
      <w:r w:rsidRPr="00D87846">
        <w:rPr>
          <w:i/>
        </w:rPr>
        <w:br/>
      </w:r>
    </w:p>
    <w:p w:rsidR="00C607AE" w:rsidRPr="00D87846" w:rsidRDefault="00700DD9" w:rsidP="00D87846">
      <w:pPr>
        <w:pStyle w:val="SCCLsocParty"/>
        <w:spacing w:after="0"/>
        <w:rPr>
          <w:b/>
        </w:rPr>
      </w:pPr>
      <w:r w:rsidRPr="00D87846">
        <w:rPr>
          <w:b/>
        </w:rPr>
        <w:t xml:space="preserve">Her Majesty </w:t>
      </w:r>
      <w:proofErr w:type="gramStart"/>
      <w:r w:rsidR="00AC79A9" w:rsidRPr="00D87846">
        <w:rPr>
          <w:b/>
        </w:rPr>
        <w:t>T</w:t>
      </w:r>
      <w:r w:rsidR="00FA3410" w:rsidRPr="00D87846">
        <w:rPr>
          <w:b/>
        </w:rPr>
        <w:t>he</w:t>
      </w:r>
      <w:proofErr w:type="gramEnd"/>
      <w:r w:rsidR="00FA3410" w:rsidRPr="00D87846">
        <w:rPr>
          <w:b/>
        </w:rPr>
        <w:t xml:space="preserve"> Queen in Right of Canada as</w:t>
      </w:r>
    </w:p>
    <w:p w:rsidR="00C607AE" w:rsidRPr="00D87846" w:rsidRDefault="00A94D04" w:rsidP="00D87846">
      <w:pPr>
        <w:pStyle w:val="SCCLsocParty"/>
        <w:spacing w:after="0"/>
        <w:rPr>
          <w:b/>
        </w:rPr>
      </w:pPr>
      <w:proofErr w:type="gramStart"/>
      <w:r w:rsidRPr="00D87846">
        <w:rPr>
          <w:b/>
        </w:rPr>
        <w:t>r</w:t>
      </w:r>
      <w:r w:rsidR="00700DD9" w:rsidRPr="00D87846">
        <w:rPr>
          <w:b/>
        </w:rPr>
        <w:t>epresented</w:t>
      </w:r>
      <w:proofErr w:type="gramEnd"/>
      <w:r w:rsidR="00700DD9" w:rsidRPr="00D87846">
        <w:rPr>
          <w:b/>
        </w:rPr>
        <w:t xml:space="preserve"> by the Minister of Agriculture and</w:t>
      </w:r>
    </w:p>
    <w:p w:rsidR="00C607AE" w:rsidRPr="00D87846" w:rsidRDefault="00700DD9" w:rsidP="00D87846">
      <w:pPr>
        <w:pStyle w:val="SCCLsocParty"/>
        <w:spacing w:after="0"/>
        <w:rPr>
          <w:b/>
        </w:rPr>
      </w:pPr>
      <w:proofErr w:type="spellStart"/>
      <w:r w:rsidRPr="00D87846">
        <w:rPr>
          <w:b/>
        </w:rPr>
        <w:t>Agri</w:t>
      </w:r>
      <w:proofErr w:type="spellEnd"/>
      <w:r w:rsidR="00E975CC">
        <w:rPr>
          <w:b/>
        </w:rPr>
        <w:t>-</w:t>
      </w:r>
      <w:r w:rsidRPr="00D87846">
        <w:rPr>
          <w:b/>
        </w:rPr>
        <w:t>Food,</w:t>
      </w:r>
      <w:r w:rsidR="00FA3410" w:rsidRPr="00D87846">
        <w:rPr>
          <w:b/>
        </w:rPr>
        <w:t xml:space="preserve"> Attorney General of Canada and</w:t>
      </w:r>
    </w:p>
    <w:p w:rsidR="00490D2B" w:rsidRPr="009F0E8B" w:rsidRDefault="00700DD9" w:rsidP="00D87846">
      <w:pPr>
        <w:pStyle w:val="SCCLsocParty"/>
        <w:tabs>
          <w:tab w:val="right" w:pos="8280"/>
        </w:tabs>
        <w:spacing w:after="0"/>
      </w:pPr>
      <w:r w:rsidRPr="00D87846">
        <w:rPr>
          <w:b/>
        </w:rPr>
        <w:t>Canadian Food Inspection Agency</w:t>
      </w:r>
      <w:r w:rsidR="00E1595A">
        <w:rPr>
          <w:b/>
        </w:rPr>
        <w:tab/>
      </w:r>
      <w:r w:rsidRPr="009F0E8B">
        <w:rPr>
          <w:i/>
        </w:rPr>
        <w:t>Respondents</w:t>
      </w:r>
    </w:p>
    <w:p w:rsidR="00A149DF" w:rsidRPr="009F0E8B" w:rsidRDefault="00A149DF" w:rsidP="00700DD9">
      <w:pPr>
        <w:spacing w:line="480" w:lineRule="auto"/>
        <w:jc w:val="both"/>
      </w:pPr>
    </w:p>
    <w:p w:rsidR="00426659" w:rsidRPr="009F0E8B" w:rsidRDefault="00426659" w:rsidP="00D87846">
      <w:pPr>
        <w:jc w:val="both"/>
        <w:rPr>
          <w:rStyle w:val="SCCRespondentForIndexChar"/>
        </w:rPr>
      </w:pPr>
      <w:r w:rsidRPr="009F0E8B">
        <w:rPr>
          <w:b/>
        </w:rPr>
        <w:t>Indexed as:</w:t>
      </w:r>
      <w:r w:rsidR="003A7D56">
        <w:rPr>
          <w:b/>
        </w:rPr>
        <w:t xml:space="preserve"> </w:t>
      </w:r>
      <w:r w:rsidRPr="009F0E8B">
        <w:rPr>
          <w:rStyle w:val="SCCAppellantForIndexChar"/>
        </w:rPr>
        <w:t xml:space="preserve">Parrish &amp; </w:t>
      </w:r>
      <w:proofErr w:type="spellStart"/>
      <w:r w:rsidRPr="009F0E8B">
        <w:rPr>
          <w:rStyle w:val="SCCAppellantForIndexChar"/>
        </w:rPr>
        <w:t>Heimbecker</w:t>
      </w:r>
      <w:proofErr w:type="spellEnd"/>
      <w:r w:rsidRPr="009F0E8B">
        <w:rPr>
          <w:rStyle w:val="SCCAppellantForIndexChar"/>
        </w:rPr>
        <w:t xml:space="preserve"> L</w:t>
      </w:r>
      <w:r w:rsidR="00700DD9" w:rsidRPr="009F0E8B">
        <w:rPr>
          <w:rStyle w:val="SCCAppellantForIndexChar"/>
        </w:rPr>
        <w:t>td.</w:t>
      </w:r>
      <w:r w:rsidRPr="009F0E8B">
        <w:rPr>
          <w:b/>
        </w:rPr>
        <w:t xml:space="preserve"> </w:t>
      </w:r>
      <w:r w:rsidRPr="009F0E8B">
        <w:rPr>
          <w:b/>
          <w:i/>
        </w:rPr>
        <w:t>v.</w:t>
      </w:r>
      <w:r w:rsidRPr="009F0E8B">
        <w:rPr>
          <w:b/>
        </w:rPr>
        <w:t xml:space="preserve"> </w:t>
      </w:r>
      <w:r w:rsidR="009F0E8B" w:rsidRPr="009F0E8B">
        <w:rPr>
          <w:b/>
        </w:rPr>
        <w:t xml:space="preserve">Canada (Agriculture and </w:t>
      </w:r>
      <w:proofErr w:type="spellStart"/>
      <w:r w:rsidR="009F0E8B" w:rsidRPr="009F0E8B">
        <w:rPr>
          <w:b/>
        </w:rPr>
        <w:t>Agri</w:t>
      </w:r>
      <w:proofErr w:type="spellEnd"/>
      <w:r w:rsidR="00E975CC">
        <w:rPr>
          <w:b/>
        </w:rPr>
        <w:t>-</w:t>
      </w:r>
      <w:r w:rsidR="00700DD9" w:rsidRPr="009F0E8B">
        <w:rPr>
          <w:b/>
        </w:rPr>
        <w:t>Food)</w:t>
      </w:r>
    </w:p>
    <w:p w:rsidR="00A149DF" w:rsidRPr="009F0E8B" w:rsidRDefault="00A149DF" w:rsidP="00700DD9">
      <w:pPr>
        <w:spacing w:line="480" w:lineRule="auto"/>
        <w:jc w:val="both"/>
      </w:pPr>
    </w:p>
    <w:p w:rsidR="00426659" w:rsidRPr="009F0E8B" w:rsidRDefault="007F3F08" w:rsidP="00700DD9">
      <w:pPr>
        <w:pStyle w:val="SCCSystemYear"/>
        <w:spacing w:line="480" w:lineRule="auto"/>
        <w:jc w:val="both"/>
      </w:pPr>
      <w:r w:rsidRPr="009F0E8B">
        <w:t>2010</w:t>
      </w:r>
      <w:r w:rsidR="003A7D56">
        <w:t xml:space="preserve"> </w:t>
      </w:r>
      <w:r w:rsidR="00AC4C6B" w:rsidRPr="009F0E8B">
        <w:t>SCC</w:t>
      </w:r>
      <w:r w:rsidR="003A7D56">
        <w:t xml:space="preserve"> </w:t>
      </w:r>
      <w:r w:rsidR="00AC4C6B" w:rsidRPr="009F0E8B">
        <w:t>64</w:t>
      </w:r>
    </w:p>
    <w:p w:rsidR="00426659" w:rsidRPr="009F0E8B" w:rsidRDefault="00426659" w:rsidP="00700DD9">
      <w:pPr>
        <w:spacing w:line="480" w:lineRule="auto"/>
        <w:jc w:val="both"/>
      </w:pPr>
    </w:p>
    <w:p w:rsidR="008322BD" w:rsidRPr="009F0E8B" w:rsidRDefault="00FA3410" w:rsidP="00700DD9">
      <w:pPr>
        <w:spacing w:line="480" w:lineRule="auto"/>
        <w:jc w:val="both"/>
      </w:pPr>
      <w:r w:rsidRPr="009F0E8B">
        <w:t>File No.:</w:t>
      </w:r>
      <w:r w:rsidR="003A7D56">
        <w:t xml:space="preserve"> </w:t>
      </w:r>
      <w:r w:rsidR="009B57B3" w:rsidRPr="009F0E8B">
        <w:t>33006.</w:t>
      </w:r>
    </w:p>
    <w:p w:rsidR="00E97830" w:rsidRPr="009F0E8B" w:rsidRDefault="00E97830" w:rsidP="00700DD9">
      <w:pPr>
        <w:spacing w:line="480" w:lineRule="auto"/>
        <w:jc w:val="both"/>
      </w:pPr>
    </w:p>
    <w:p w:rsidR="008322BD" w:rsidRPr="009F0E8B" w:rsidRDefault="00FA3410" w:rsidP="00700DD9">
      <w:pPr>
        <w:spacing w:line="480" w:lineRule="auto"/>
        <w:jc w:val="both"/>
      </w:pPr>
      <w:r w:rsidRPr="009F0E8B">
        <w:t>2010:</w:t>
      </w:r>
      <w:r w:rsidR="003A7D56">
        <w:t xml:space="preserve"> </w:t>
      </w:r>
      <w:r w:rsidRPr="009F0E8B">
        <w:t>January</w:t>
      </w:r>
      <w:r w:rsidR="003A7D56">
        <w:t xml:space="preserve"> </w:t>
      </w:r>
      <w:r w:rsidR="007F3F08" w:rsidRPr="009F0E8B">
        <w:t>20</w:t>
      </w:r>
      <w:r w:rsidRPr="009F0E8B">
        <w:t>,</w:t>
      </w:r>
      <w:r w:rsidR="003A7D56">
        <w:t xml:space="preserve"> </w:t>
      </w:r>
      <w:r w:rsidR="003432E7" w:rsidRPr="009F0E8B">
        <w:t>21</w:t>
      </w:r>
      <w:r w:rsidR="009B57B3" w:rsidRPr="009F0E8B">
        <w:t xml:space="preserve">; </w:t>
      </w:r>
      <w:r w:rsidRPr="009F0E8B">
        <w:t>2010:</w:t>
      </w:r>
      <w:r w:rsidR="003A7D56">
        <w:t xml:space="preserve"> </w:t>
      </w:r>
      <w:r w:rsidRPr="009F0E8B">
        <w:t>December</w:t>
      </w:r>
      <w:r w:rsidR="003A7D56">
        <w:t xml:space="preserve"> </w:t>
      </w:r>
      <w:r w:rsidR="00AC4C6B" w:rsidRPr="009F0E8B">
        <w:t>23</w:t>
      </w:r>
      <w:r w:rsidR="009B57B3" w:rsidRPr="009F0E8B">
        <w:t>.</w:t>
      </w:r>
    </w:p>
    <w:p w:rsidR="00E97830" w:rsidRPr="009F0E8B" w:rsidRDefault="00E97830" w:rsidP="00700DD9">
      <w:pPr>
        <w:spacing w:line="480" w:lineRule="auto"/>
        <w:jc w:val="both"/>
      </w:pPr>
    </w:p>
    <w:p w:rsidR="008322BD" w:rsidRPr="009F0E8B" w:rsidRDefault="00FA3410" w:rsidP="00A3012C">
      <w:pPr>
        <w:jc w:val="both"/>
      </w:pPr>
      <w:r w:rsidRPr="009F0E8B">
        <w:t>Present:</w:t>
      </w:r>
      <w:r w:rsidR="003A7D56">
        <w:t xml:space="preserve"> </w:t>
      </w:r>
      <w:proofErr w:type="spellStart"/>
      <w:r w:rsidR="009B57B3" w:rsidRPr="009F0E8B">
        <w:t>Binnie</w:t>
      </w:r>
      <w:proofErr w:type="spellEnd"/>
      <w:r w:rsidR="009B57B3" w:rsidRPr="009F0E8B">
        <w:t xml:space="preserve">, </w:t>
      </w:r>
      <w:proofErr w:type="spellStart"/>
      <w:r w:rsidR="009B57B3" w:rsidRPr="009F0E8B">
        <w:t>LeBel</w:t>
      </w:r>
      <w:proofErr w:type="spellEnd"/>
      <w:r w:rsidR="009B57B3" w:rsidRPr="009F0E8B">
        <w:t xml:space="preserve">, </w:t>
      </w:r>
      <w:proofErr w:type="spellStart"/>
      <w:r w:rsidR="009B57B3" w:rsidRPr="009F0E8B">
        <w:t>Deschamps</w:t>
      </w:r>
      <w:proofErr w:type="spellEnd"/>
      <w:r w:rsidR="009B57B3" w:rsidRPr="009F0E8B">
        <w:t xml:space="preserve">, </w:t>
      </w:r>
      <w:proofErr w:type="spellStart"/>
      <w:r w:rsidR="009B57B3" w:rsidRPr="009F0E8B">
        <w:t>Abella</w:t>
      </w:r>
      <w:proofErr w:type="spellEnd"/>
      <w:r w:rsidR="009B57B3" w:rsidRPr="009F0E8B">
        <w:t>, Charron, Rothstein and Cromwell</w:t>
      </w:r>
      <w:r w:rsidR="003A7D56">
        <w:t xml:space="preserve"> </w:t>
      </w:r>
      <w:r w:rsidR="009B57B3" w:rsidRPr="009F0E8B">
        <w:t>JJ.</w:t>
      </w:r>
    </w:p>
    <w:p w:rsidR="00E97830" w:rsidRPr="009F0E8B" w:rsidRDefault="00E97830" w:rsidP="00700DD9">
      <w:pPr>
        <w:spacing w:line="480" w:lineRule="auto"/>
        <w:jc w:val="both"/>
      </w:pPr>
    </w:p>
    <w:p w:rsidR="008322BD" w:rsidRPr="009F0E8B" w:rsidRDefault="00656313" w:rsidP="00700DD9">
      <w:pPr>
        <w:pStyle w:val="SCCLowerCourtNameLowercase"/>
      </w:pPr>
      <w:r w:rsidRPr="009F0E8B">
        <w:t>o</w:t>
      </w:r>
      <w:r w:rsidR="00170592" w:rsidRPr="009F0E8B">
        <w:t>n</w:t>
      </w:r>
      <w:r w:rsidR="00224FC0" w:rsidRPr="009F0E8B">
        <w:t xml:space="preserve"> </w:t>
      </w:r>
      <w:r w:rsidRPr="009F0E8B">
        <w:t>a</w:t>
      </w:r>
      <w:r w:rsidR="00170592" w:rsidRPr="009F0E8B">
        <w:t>ppeal</w:t>
      </w:r>
      <w:r w:rsidR="00224FC0" w:rsidRPr="009F0E8B">
        <w:t xml:space="preserve"> </w:t>
      </w:r>
      <w:r w:rsidR="00170592" w:rsidRPr="009F0E8B">
        <w:t>from</w:t>
      </w:r>
      <w:r w:rsidR="009567AA" w:rsidRPr="009F0E8B">
        <w:t xml:space="preserve"> the</w:t>
      </w:r>
      <w:r w:rsidR="00224FC0" w:rsidRPr="009F0E8B">
        <w:t xml:space="preserve"> </w:t>
      </w:r>
      <w:r w:rsidR="009B57B3" w:rsidRPr="009F0E8B">
        <w:t>federal court of appeal</w:t>
      </w:r>
    </w:p>
    <w:p w:rsidR="00E022BE" w:rsidRPr="009F0E8B" w:rsidRDefault="00E022BE" w:rsidP="00E022BE">
      <w:pPr>
        <w:pStyle w:val="SCCNormalDoubleSpacing"/>
      </w:pPr>
    </w:p>
    <w:p w:rsidR="00E022BE" w:rsidRPr="009F0E8B" w:rsidRDefault="00E022BE" w:rsidP="00A45BC8">
      <w:pPr>
        <w:pStyle w:val="SCCNormalDoubleSpacing"/>
        <w:tabs>
          <w:tab w:val="left" w:pos="1170"/>
        </w:tabs>
        <w:rPr>
          <w:i/>
        </w:rPr>
      </w:pPr>
      <w:r w:rsidRPr="009F0E8B">
        <w:rPr>
          <w:i/>
        </w:rPr>
        <w:tab/>
        <w:t xml:space="preserve">Courts </w:t>
      </w:r>
      <w:r w:rsidR="009B4DEE" w:rsidRPr="009F0E8B">
        <w:rPr>
          <w:szCs w:val="24"/>
        </w:rPr>
        <w:fldChar w:fldCharType="begin"/>
      </w:r>
      <w:r w:rsidR="002D2289" w:rsidRPr="009F0E8B">
        <w:rPr>
          <w:szCs w:val="24"/>
        </w:rPr>
        <w:instrText xml:space="preserve"> SEQ CHAPTER \h \r 1</w:instrText>
      </w:r>
      <w:r w:rsidR="009B4DEE" w:rsidRPr="009F0E8B">
        <w:rPr>
          <w:szCs w:val="24"/>
        </w:rPr>
        <w:fldChar w:fldCharType="end"/>
      </w:r>
      <w:r w:rsidR="002D2289" w:rsidRPr="009F0E8B">
        <w:rPr>
          <w:szCs w:val="24"/>
          <w:lang w:val="en-US"/>
        </w:rPr>
        <w:t>—</w:t>
      </w:r>
      <w:r w:rsidRPr="009F0E8B">
        <w:rPr>
          <w:i/>
        </w:rPr>
        <w:t xml:space="preserve"> Federal Court </w:t>
      </w:r>
      <w:r w:rsidR="009B4DEE" w:rsidRPr="009F0E8B">
        <w:rPr>
          <w:szCs w:val="24"/>
        </w:rPr>
        <w:fldChar w:fldCharType="begin"/>
      </w:r>
      <w:r w:rsidR="002D2289" w:rsidRPr="009F0E8B">
        <w:rPr>
          <w:szCs w:val="24"/>
        </w:rPr>
        <w:instrText xml:space="preserve"> SEQ CHAPTER \h \r 1</w:instrText>
      </w:r>
      <w:r w:rsidR="009B4DEE" w:rsidRPr="009F0E8B">
        <w:rPr>
          <w:szCs w:val="24"/>
        </w:rPr>
        <w:fldChar w:fldCharType="end"/>
      </w:r>
      <w:r w:rsidR="002D2289" w:rsidRPr="009F0E8B">
        <w:rPr>
          <w:szCs w:val="24"/>
          <w:lang w:val="en-US"/>
        </w:rPr>
        <w:t>—</w:t>
      </w:r>
      <w:r w:rsidRPr="009F0E8B">
        <w:rPr>
          <w:i/>
        </w:rPr>
        <w:t xml:space="preserve"> Procedure </w:t>
      </w:r>
      <w:r w:rsidR="009B4DEE" w:rsidRPr="009F0E8B">
        <w:rPr>
          <w:szCs w:val="24"/>
        </w:rPr>
        <w:fldChar w:fldCharType="begin"/>
      </w:r>
      <w:r w:rsidR="002D2289" w:rsidRPr="009F0E8B">
        <w:rPr>
          <w:szCs w:val="24"/>
        </w:rPr>
        <w:instrText xml:space="preserve"> SEQ CHAPTER \h \r 1</w:instrText>
      </w:r>
      <w:r w:rsidR="009B4DEE" w:rsidRPr="009F0E8B">
        <w:rPr>
          <w:szCs w:val="24"/>
        </w:rPr>
        <w:fldChar w:fldCharType="end"/>
      </w:r>
      <w:r w:rsidR="002D2289" w:rsidRPr="009F0E8B">
        <w:rPr>
          <w:szCs w:val="24"/>
          <w:lang w:val="en-US"/>
        </w:rPr>
        <w:t>—</w:t>
      </w:r>
      <w:r w:rsidRPr="009F0E8B">
        <w:rPr>
          <w:i/>
        </w:rPr>
        <w:t xml:space="preserve"> Plaintiff bringing action in Federal Court against federal Crown for damages for various torts arising from licensing decisions </w:t>
      </w:r>
      <w:r w:rsidR="009B4DEE" w:rsidRPr="009F0E8B">
        <w:rPr>
          <w:szCs w:val="24"/>
        </w:rPr>
        <w:fldChar w:fldCharType="begin"/>
      </w:r>
      <w:r w:rsidR="002D2289" w:rsidRPr="009F0E8B">
        <w:rPr>
          <w:szCs w:val="24"/>
        </w:rPr>
        <w:instrText xml:space="preserve"> SEQ CHAPTER \h \r 1</w:instrText>
      </w:r>
      <w:r w:rsidR="009B4DEE" w:rsidRPr="009F0E8B">
        <w:rPr>
          <w:szCs w:val="24"/>
        </w:rPr>
        <w:fldChar w:fldCharType="end"/>
      </w:r>
      <w:r w:rsidR="002D2289" w:rsidRPr="009F0E8B">
        <w:rPr>
          <w:szCs w:val="24"/>
          <w:lang w:val="en-US"/>
        </w:rPr>
        <w:t>—</w:t>
      </w:r>
      <w:r w:rsidRPr="009F0E8B">
        <w:rPr>
          <w:i/>
        </w:rPr>
        <w:t xml:space="preserve"> Plaintiff not seeking judicial review of licensing decisions </w:t>
      </w:r>
      <w:r w:rsidR="009B4DEE" w:rsidRPr="009F0E8B">
        <w:rPr>
          <w:szCs w:val="24"/>
        </w:rPr>
        <w:fldChar w:fldCharType="begin"/>
      </w:r>
      <w:r w:rsidR="002D2289" w:rsidRPr="009F0E8B">
        <w:rPr>
          <w:szCs w:val="24"/>
        </w:rPr>
        <w:instrText xml:space="preserve"> SEQ CHAPTER \h \r 1</w:instrText>
      </w:r>
      <w:r w:rsidR="009B4DEE" w:rsidRPr="009F0E8B">
        <w:rPr>
          <w:szCs w:val="24"/>
        </w:rPr>
        <w:fldChar w:fldCharType="end"/>
      </w:r>
      <w:r w:rsidR="002D2289" w:rsidRPr="009F0E8B">
        <w:rPr>
          <w:szCs w:val="24"/>
          <w:lang w:val="en-US"/>
        </w:rPr>
        <w:t>—</w:t>
      </w:r>
      <w:r w:rsidRPr="009F0E8B">
        <w:rPr>
          <w:i/>
        </w:rPr>
        <w:t xml:space="preserve"> Whether plaintiff entitled to seek damages by way of action without first proceeding by way of judicial review </w:t>
      </w:r>
      <w:r w:rsidR="009B4DEE" w:rsidRPr="009F0E8B">
        <w:rPr>
          <w:szCs w:val="24"/>
        </w:rPr>
        <w:fldChar w:fldCharType="begin"/>
      </w:r>
      <w:r w:rsidR="002D2289" w:rsidRPr="009F0E8B">
        <w:rPr>
          <w:szCs w:val="24"/>
        </w:rPr>
        <w:instrText xml:space="preserve"> SEQ CHAPTER \h \r 1</w:instrText>
      </w:r>
      <w:r w:rsidR="009B4DEE" w:rsidRPr="009F0E8B">
        <w:rPr>
          <w:szCs w:val="24"/>
        </w:rPr>
        <w:fldChar w:fldCharType="end"/>
      </w:r>
      <w:r w:rsidR="002D2289" w:rsidRPr="009F0E8B">
        <w:rPr>
          <w:szCs w:val="24"/>
          <w:lang w:val="en-US"/>
        </w:rPr>
        <w:t>—</w:t>
      </w:r>
      <w:r w:rsidRPr="009F0E8B">
        <w:rPr>
          <w:i/>
        </w:rPr>
        <w:t xml:space="preserve"> Fed</w:t>
      </w:r>
      <w:r w:rsidR="009F0E8B" w:rsidRPr="009F0E8B">
        <w:rPr>
          <w:i/>
        </w:rPr>
        <w:t>eral Courts Act, R.S.C. 1985, c</w:t>
      </w:r>
      <w:r w:rsidR="00AC79A9">
        <w:rPr>
          <w:i/>
        </w:rPr>
        <w:t>.</w:t>
      </w:r>
      <w:r w:rsidR="00E975CC">
        <w:rPr>
          <w:i/>
        </w:rPr>
        <w:t> </w:t>
      </w:r>
      <w:r w:rsidR="009F0E8B" w:rsidRPr="009F0E8B">
        <w:rPr>
          <w:i/>
        </w:rPr>
        <w:t>F</w:t>
      </w:r>
      <w:r w:rsidR="00A67790">
        <w:rPr>
          <w:i/>
        </w:rPr>
        <w:t>-</w:t>
      </w:r>
      <w:r w:rsidR="009F0E8B" w:rsidRPr="009F0E8B">
        <w:rPr>
          <w:i/>
        </w:rPr>
        <w:t>7, ss.</w:t>
      </w:r>
      <w:r w:rsidR="00E975CC">
        <w:rPr>
          <w:i/>
        </w:rPr>
        <w:t> </w:t>
      </w:r>
      <w:r w:rsidRPr="009F0E8B">
        <w:rPr>
          <w:i/>
        </w:rPr>
        <w:t>17</w:t>
      </w:r>
      <w:r w:rsidR="00AC79A9">
        <w:rPr>
          <w:i/>
        </w:rPr>
        <w:t>,</w:t>
      </w:r>
      <w:r w:rsidRPr="009F0E8B">
        <w:rPr>
          <w:i/>
        </w:rPr>
        <w:t xml:space="preserve"> 18.</w:t>
      </w:r>
    </w:p>
    <w:p w:rsidR="00E022BE" w:rsidRPr="009F0E8B" w:rsidRDefault="00E022BE" w:rsidP="00E022BE">
      <w:pPr>
        <w:pStyle w:val="SCCNormalDoubleSpacing"/>
      </w:pPr>
    </w:p>
    <w:p w:rsidR="00E022BE" w:rsidRPr="009F0E8B" w:rsidRDefault="00E022BE" w:rsidP="00A45BC8">
      <w:pPr>
        <w:pStyle w:val="SCCNormalDoubleSpacing"/>
        <w:tabs>
          <w:tab w:val="left" w:pos="1170"/>
        </w:tabs>
      </w:pPr>
      <w:r w:rsidRPr="009F0E8B">
        <w:tab/>
        <w:t>P&amp;H obtained import permits from the Canadian Food Inspection Agency (“CFIA”) to import wheat.</w:t>
      </w:r>
      <w:r w:rsidR="003A7D56">
        <w:t xml:space="preserve"> </w:t>
      </w:r>
      <w:r w:rsidRPr="009F0E8B">
        <w:t>As P&amp;H’s chartered vessel neared Halifax, the CFIA revoked the permits and P&amp;H was prohibited from offloading its cargo.</w:t>
      </w:r>
      <w:r w:rsidR="003A7D56">
        <w:t xml:space="preserve"> </w:t>
      </w:r>
      <w:r w:rsidRPr="009F0E8B">
        <w:t>The CFIA subsequently issued a new import permit with different conditions.</w:t>
      </w:r>
      <w:r w:rsidR="003A7D56">
        <w:t xml:space="preserve"> </w:t>
      </w:r>
      <w:r w:rsidRPr="009F0E8B">
        <w:t xml:space="preserve">P&amp;H </w:t>
      </w:r>
      <w:r w:rsidR="009B4DEE" w:rsidRPr="009F0E8B">
        <w:rPr>
          <w:szCs w:val="24"/>
        </w:rPr>
        <w:fldChar w:fldCharType="begin"/>
      </w:r>
      <w:r w:rsidRPr="009F0E8B">
        <w:rPr>
          <w:szCs w:val="24"/>
        </w:rPr>
        <w:instrText xml:space="preserve"> SEQ CHAPTER \h \r 1</w:instrText>
      </w:r>
      <w:r w:rsidR="009B4DEE" w:rsidRPr="009F0E8B">
        <w:rPr>
          <w:szCs w:val="24"/>
        </w:rPr>
        <w:fldChar w:fldCharType="end"/>
      </w:r>
      <w:r w:rsidRPr="009F0E8B">
        <w:rPr>
          <w:szCs w:val="24"/>
        </w:rPr>
        <w:t xml:space="preserve">complied, however the new conditions rendered the wheat unacceptable </w:t>
      </w:r>
      <w:proofErr w:type="gramStart"/>
      <w:r w:rsidRPr="009F0E8B">
        <w:rPr>
          <w:szCs w:val="24"/>
        </w:rPr>
        <w:t>to</w:t>
      </w:r>
      <w:proofErr w:type="gramEnd"/>
      <w:r w:rsidRPr="009F0E8B">
        <w:rPr>
          <w:szCs w:val="24"/>
        </w:rPr>
        <w:t xml:space="preserve"> its intended customers.</w:t>
      </w:r>
      <w:r w:rsidR="003A7D56">
        <w:rPr>
          <w:szCs w:val="24"/>
        </w:rPr>
        <w:t xml:space="preserve"> </w:t>
      </w:r>
      <w:r w:rsidRPr="009F0E8B">
        <w:rPr>
          <w:szCs w:val="24"/>
        </w:rPr>
        <w:t xml:space="preserve">P&amp;H </w:t>
      </w:r>
      <w:r w:rsidR="009B4DEE" w:rsidRPr="009F0E8B">
        <w:rPr>
          <w:szCs w:val="24"/>
        </w:rPr>
        <w:fldChar w:fldCharType="begin"/>
      </w:r>
      <w:r w:rsidRPr="009F0E8B">
        <w:rPr>
          <w:szCs w:val="24"/>
        </w:rPr>
        <w:instrText xml:space="preserve"> SEQ CHAPTER \h \r 1</w:instrText>
      </w:r>
      <w:r w:rsidR="009B4DEE" w:rsidRPr="009F0E8B">
        <w:rPr>
          <w:szCs w:val="24"/>
        </w:rPr>
        <w:fldChar w:fldCharType="end"/>
      </w:r>
      <w:r w:rsidRPr="009F0E8B">
        <w:rPr>
          <w:szCs w:val="24"/>
        </w:rPr>
        <w:t xml:space="preserve">did not seek judicial review of either licensing decision, but initiated an action against the Crown in the Federal Court seeking </w:t>
      </w:r>
      <w:r w:rsidR="009B4DEE" w:rsidRPr="009F0E8B">
        <w:rPr>
          <w:szCs w:val="24"/>
        </w:rPr>
        <w:fldChar w:fldCharType="begin"/>
      </w:r>
      <w:r w:rsidRPr="009F0E8B">
        <w:rPr>
          <w:szCs w:val="24"/>
        </w:rPr>
        <w:instrText xml:space="preserve"> SEQ CHAPTER \h \r 1</w:instrText>
      </w:r>
      <w:r w:rsidR="009B4DEE" w:rsidRPr="009F0E8B">
        <w:rPr>
          <w:szCs w:val="24"/>
        </w:rPr>
        <w:fldChar w:fldCharType="end"/>
      </w:r>
      <w:r w:rsidRPr="009F0E8B">
        <w:rPr>
          <w:szCs w:val="24"/>
        </w:rPr>
        <w:t>damages for various torts, and seeking to recover the additional costs required to fulfill its sales contracts, the loss of profit and the additional expenses incurred as a result of the new permit.</w:t>
      </w:r>
      <w:r w:rsidR="003A7D56">
        <w:rPr>
          <w:szCs w:val="24"/>
        </w:rPr>
        <w:t xml:space="preserve"> </w:t>
      </w:r>
      <w:r w:rsidRPr="009F0E8B">
        <w:rPr>
          <w:szCs w:val="24"/>
        </w:rPr>
        <w:t xml:space="preserve">The Crown was successful in bringing a motion to strike the statement of claim on the basis that, absent a successful challenge of the licensing decisions by way of judicial review, the Federal Court did not have jurisdiction to hear the matter in light of </w:t>
      </w:r>
      <w:r w:rsidRPr="009F0E8B">
        <w:rPr>
          <w:i/>
          <w:szCs w:val="24"/>
        </w:rPr>
        <w:t xml:space="preserve">Canada v. </w:t>
      </w:r>
      <w:proofErr w:type="spellStart"/>
      <w:r w:rsidRPr="009F0E8B">
        <w:rPr>
          <w:i/>
          <w:szCs w:val="24"/>
        </w:rPr>
        <w:t>Grenier</w:t>
      </w:r>
      <w:proofErr w:type="spellEnd"/>
      <w:r w:rsidRPr="009F0E8B">
        <w:rPr>
          <w:szCs w:val="24"/>
        </w:rPr>
        <w:t>, 2005 FCA 348, [2006] 2 F.C.R. 287.</w:t>
      </w:r>
    </w:p>
    <w:p w:rsidR="00E022BE" w:rsidRPr="009F0E8B" w:rsidRDefault="00E022BE" w:rsidP="00E022BE">
      <w:pPr>
        <w:pStyle w:val="SCCNormalDoubleSpacing"/>
      </w:pPr>
    </w:p>
    <w:p w:rsidR="00E022BE" w:rsidRPr="009F0E8B" w:rsidRDefault="00E022BE" w:rsidP="00A45BC8">
      <w:pPr>
        <w:pStyle w:val="SCCNormalDoubleSpacing"/>
        <w:tabs>
          <w:tab w:val="left" w:pos="1170"/>
        </w:tabs>
      </w:pPr>
      <w:r w:rsidRPr="009F0E8B">
        <w:tab/>
      </w:r>
      <w:r w:rsidRPr="009F0E8B">
        <w:rPr>
          <w:rStyle w:val="QuoteChar"/>
          <w:color w:val="auto"/>
          <w:lang w:val="en-CA"/>
        </w:rPr>
        <w:t>Held</w:t>
      </w:r>
      <w:r w:rsidRPr="009F0E8B">
        <w:rPr>
          <w:rStyle w:val="QuoteChar"/>
          <w:i w:val="0"/>
          <w:color w:val="auto"/>
          <w:lang w:val="en-CA"/>
        </w:rPr>
        <w:t>:</w:t>
      </w:r>
      <w:r w:rsidR="003A7D56">
        <w:t xml:space="preserve"> </w:t>
      </w:r>
      <w:r w:rsidRPr="009F0E8B">
        <w:t>The appeal should be allowed.</w:t>
      </w:r>
    </w:p>
    <w:p w:rsidR="00E022BE" w:rsidRPr="009F0E8B" w:rsidRDefault="00E022BE" w:rsidP="00E022BE">
      <w:pPr>
        <w:pStyle w:val="SCCNormalDoubleSpacing"/>
      </w:pPr>
    </w:p>
    <w:p w:rsidR="00E022BE" w:rsidRPr="009F0E8B" w:rsidRDefault="00E022BE" w:rsidP="00A45BC8">
      <w:pPr>
        <w:pStyle w:val="SCCNormalDoubleSpacing"/>
        <w:tabs>
          <w:tab w:val="left" w:pos="1170"/>
        </w:tabs>
        <w:rPr>
          <w:szCs w:val="24"/>
        </w:rPr>
      </w:pPr>
      <w:r w:rsidRPr="009F0E8B">
        <w:lastRenderedPageBreak/>
        <w:tab/>
      </w:r>
      <w:r w:rsidR="009B4DEE" w:rsidRPr="009F0E8B">
        <w:rPr>
          <w:szCs w:val="24"/>
        </w:rPr>
        <w:fldChar w:fldCharType="begin"/>
      </w:r>
      <w:r w:rsidRPr="009F0E8B">
        <w:rPr>
          <w:szCs w:val="24"/>
        </w:rPr>
        <w:instrText xml:space="preserve"> SEQ CHAPTER \h \r 1</w:instrText>
      </w:r>
      <w:r w:rsidR="009B4DEE" w:rsidRPr="009F0E8B">
        <w:rPr>
          <w:szCs w:val="24"/>
        </w:rPr>
        <w:fldChar w:fldCharType="end"/>
      </w:r>
      <w:r w:rsidRPr="009F0E8B">
        <w:rPr>
          <w:szCs w:val="24"/>
        </w:rPr>
        <w:t xml:space="preserve">For the reasons given in </w:t>
      </w:r>
      <w:r w:rsidRPr="009F0E8B">
        <w:rPr>
          <w:i/>
          <w:szCs w:val="24"/>
        </w:rPr>
        <w:t xml:space="preserve">Canada (Attorney General) v. </w:t>
      </w:r>
      <w:proofErr w:type="spellStart"/>
      <w:r w:rsidRPr="009F0E8B">
        <w:rPr>
          <w:i/>
          <w:iCs/>
          <w:szCs w:val="24"/>
        </w:rPr>
        <w:t>TeleZone</w:t>
      </w:r>
      <w:proofErr w:type="spellEnd"/>
      <w:r w:rsidR="00AC79A9">
        <w:rPr>
          <w:i/>
          <w:iCs/>
          <w:szCs w:val="24"/>
        </w:rPr>
        <w:t xml:space="preserve"> Inc.</w:t>
      </w:r>
      <w:r w:rsidRPr="009F0E8B">
        <w:rPr>
          <w:szCs w:val="24"/>
        </w:rPr>
        <w:t xml:space="preserve">, 2010 SCC </w:t>
      </w:r>
      <w:r w:rsidR="00AC4C6B" w:rsidRPr="009F0E8B">
        <w:rPr>
          <w:szCs w:val="24"/>
        </w:rPr>
        <w:t>62</w:t>
      </w:r>
      <w:r w:rsidRPr="009F0E8B">
        <w:rPr>
          <w:szCs w:val="24"/>
        </w:rPr>
        <w:t>,</w:t>
      </w:r>
      <w:r w:rsidR="00AC79A9">
        <w:rPr>
          <w:szCs w:val="24"/>
        </w:rPr>
        <w:t xml:space="preserve"> [2010] 3 S.C.R. </w:t>
      </w:r>
      <w:r w:rsidR="00231AA0">
        <w:rPr>
          <w:szCs w:val="24"/>
        </w:rPr>
        <w:t>585</w:t>
      </w:r>
      <w:r w:rsidR="00AC79A9">
        <w:rPr>
          <w:szCs w:val="24"/>
        </w:rPr>
        <w:t>,</w:t>
      </w:r>
      <w:r w:rsidRPr="009F0E8B">
        <w:rPr>
          <w:szCs w:val="24"/>
        </w:rPr>
        <w:t xml:space="preserve"> the Federal Court should have decided P&amp;H’s claim for damages without requiring it to first be successful </w:t>
      </w:r>
      <w:r w:rsidR="009F0E8B" w:rsidRPr="009F0E8B">
        <w:rPr>
          <w:szCs w:val="24"/>
        </w:rPr>
        <w:t>on judicial review.</w:t>
      </w:r>
      <w:r w:rsidR="003A7D56">
        <w:rPr>
          <w:szCs w:val="24"/>
        </w:rPr>
        <w:t xml:space="preserve"> </w:t>
      </w:r>
      <w:r w:rsidR="009F0E8B" w:rsidRPr="009F0E8B">
        <w:rPr>
          <w:szCs w:val="24"/>
        </w:rPr>
        <w:t>Section</w:t>
      </w:r>
      <w:r w:rsidR="003A7D56">
        <w:rPr>
          <w:szCs w:val="24"/>
        </w:rPr>
        <w:t xml:space="preserve"> </w:t>
      </w:r>
      <w:r w:rsidRPr="009F0E8B">
        <w:rPr>
          <w:szCs w:val="24"/>
        </w:rPr>
        <w:t xml:space="preserve">17 of the </w:t>
      </w:r>
      <w:r w:rsidRPr="009F0E8B">
        <w:rPr>
          <w:i/>
          <w:szCs w:val="24"/>
        </w:rPr>
        <w:t>Federal Courts Act</w:t>
      </w:r>
      <w:r w:rsidRPr="009F0E8B">
        <w:rPr>
          <w:szCs w:val="24"/>
        </w:rPr>
        <w:t xml:space="preserve"> gives the Federal Court concurrent jurisdiction over claims for damages against the Crown.</w:t>
      </w:r>
      <w:r w:rsidR="003A7D56">
        <w:rPr>
          <w:szCs w:val="24"/>
        </w:rPr>
        <w:t xml:space="preserve"> </w:t>
      </w:r>
      <w:r w:rsidRPr="009F0E8B">
        <w:rPr>
          <w:szCs w:val="24"/>
        </w:rPr>
        <w:t>Section</w:t>
      </w:r>
      <w:r w:rsidR="003A7D56">
        <w:rPr>
          <w:szCs w:val="24"/>
        </w:rPr>
        <w:t xml:space="preserve"> </w:t>
      </w:r>
      <w:r w:rsidRPr="009F0E8B">
        <w:rPr>
          <w:szCs w:val="24"/>
        </w:rPr>
        <w:t>18 of the Act does not derogate from this concurrent jurisdiction.</w:t>
      </w:r>
      <w:r w:rsidR="003A7D56">
        <w:rPr>
          <w:szCs w:val="24"/>
        </w:rPr>
        <w:t xml:space="preserve"> </w:t>
      </w:r>
      <w:r w:rsidR="009B4DEE" w:rsidRPr="009F0E8B">
        <w:rPr>
          <w:szCs w:val="24"/>
        </w:rPr>
        <w:fldChar w:fldCharType="begin"/>
      </w:r>
      <w:r w:rsidRPr="009F0E8B">
        <w:rPr>
          <w:szCs w:val="24"/>
        </w:rPr>
        <w:instrText xml:space="preserve"> SEQ CHAPTER \h \r 1</w:instrText>
      </w:r>
      <w:r w:rsidR="009B4DEE" w:rsidRPr="009F0E8B">
        <w:rPr>
          <w:szCs w:val="24"/>
        </w:rPr>
        <w:fldChar w:fldCharType="end"/>
      </w:r>
      <w:r w:rsidR="009F0E8B" w:rsidRPr="009F0E8B">
        <w:rPr>
          <w:szCs w:val="24"/>
        </w:rPr>
        <w:t>Nothing in ss.</w:t>
      </w:r>
      <w:r w:rsidR="003A7D56">
        <w:rPr>
          <w:szCs w:val="24"/>
        </w:rPr>
        <w:t xml:space="preserve"> </w:t>
      </w:r>
      <w:r w:rsidRPr="009F0E8B">
        <w:rPr>
          <w:szCs w:val="24"/>
        </w:rPr>
        <w:t>17 or 18 of the Act requires a plaintiff to be successful on judicial review before bringing a claim for damages against the Crown.</w:t>
      </w:r>
      <w:r w:rsidR="003A7D56">
        <w:rPr>
          <w:szCs w:val="24"/>
        </w:rPr>
        <w:t xml:space="preserve"> </w:t>
      </w:r>
      <w:r w:rsidR="009B4DEE" w:rsidRPr="009F0E8B">
        <w:rPr>
          <w:szCs w:val="24"/>
        </w:rPr>
        <w:fldChar w:fldCharType="begin"/>
      </w:r>
      <w:r w:rsidRPr="009F0E8B">
        <w:rPr>
          <w:szCs w:val="24"/>
        </w:rPr>
        <w:instrText xml:space="preserve"> SEQ CHAPTER \h \r 1</w:instrText>
      </w:r>
      <w:r w:rsidR="009B4DEE" w:rsidRPr="009F0E8B">
        <w:rPr>
          <w:szCs w:val="24"/>
        </w:rPr>
        <w:fldChar w:fldCharType="end"/>
      </w:r>
      <w:r w:rsidRPr="009F0E8B">
        <w:rPr>
          <w:szCs w:val="24"/>
        </w:rPr>
        <w:t>Bringing an application for judicial review to invalidate the licensing decisions in this case would serve no practical purpose,</w:t>
      </w:r>
      <w:r w:rsidR="009F0E8B" w:rsidRPr="009F0E8B">
        <w:rPr>
          <w:szCs w:val="24"/>
        </w:rPr>
        <w:t xml:space="preserve"> since P&amp;H complied with the re</w:t>
      </w:r>
      <w:r w:rsidR="00E975CC">
        <w:rPr>
          <w:szCs w:val="24"/>
        </w:rPr>
        <w:t>-</w:t>
      </w:r>
      <w:r w:rsidRPr="009F0E8B">
        <w:rPr>
          <w:szCs w:val="24"/>
        </w:rPr>
        <w:t>issued import licence and fulfilled its contracts.</w:t>
      </w:r>
      <w:r w:rsidR="003A7D56">
        <w:rPr>
          <w:szCs w:val="24"/>
        </w:rPr>
        <w:t xml:space="preserve"> </w:t>
      </w:r>
      <w:r w:rsidRPr="009F0E8B">
        <w:rPr>
          <w:szCs w:val="24"/>
        </w:rPr>
        <w:t>The merits of the defence of statutory authority, if raised, may be determined at trial.</w:t>
      </w:r>
    </w:p>
    <w:p w:rsidR="00E022BE" w:rsidRPr="009F0E8B" w:rsidRDefault="00E022BE" w:rsidP="00E022BE">
      <w:pPr>
        <w:pStyle w:val="SCCNormalDoubleSpacing"/>
      </w:pPr>
    </w:p>
    <w:p w:rsidR="007E1C47" w:rsidRPr="009F0E8B" w:rsidRDefault="002E6705" w:rsidP="009F0E8B">
      <w:pPr>
        <w:pStyle w:val="SCCNormalDoubleSpacing"/>
        <w:keepNext/>
        <w:keepLines/>
        <w:rPr>
          <w:b/>
        </w:rPr>
      </w:pPr>
      <w:r w:rsidRPr="009F0E8B">
        <w:rPr>
          <w:b/>
        </w:rPr>
        <w:t>Cases Cited</w:t>
      </w:r>
    </w:p>
    <w:p w:rsidR="00A149DF" w:rsidRPr="009F0E8B" w:rsidRDefault="00A149DF" w:rsidP="009F0E8B">
      <w:pPr>
        <w:pStyle w:val="SCCNormalDoubleSpacing"/>
        <w:keepNext/>
        <w:keepLines/>
      </w:pPr>
    </w:p>
    <w:p w:rsidR="00213A85" w:rsidRPr="009F0E8B" w:rsidRDefault="002E6705" w:rsidP="00A45BC8">
      <w:pPr>
        <w:pStyle w:val="SCCNormalDoubleSpacing"/>
        <w:keepNext/>
        <w:keepLines/>
        <w:tabs>
          <w:tab w:val="left" w:pos="1170"/>
        </w:tabs>
      </w:pPr>
      <w:r w:rsidRPr="009F0E8B">
        <w:tab/>
      </w:r>
      <w:r w:rsidR="0036136F" w:rsidRPr="009F0E8B">
        <w:rPr>
          <w:b/>
        </w:rPr>
        <w:t>Applied:</w:t>
      </w:r>
      <w:r w:rsidR="003A7D56">
        <w:t xml:space="preserve"> </w:t>
      </w:r>
      <w:r w:rsidR="0036136F" w:rsidRPr="009F0E8B">
        <w:rPr>
          <w:i/>
        </w:rPr>
        <w:t>Canada (</w:t>
      </w:r>
      <w:r w:rsidR="0036136F" w:rsidRPr="009F0E8B">
        <w:rPr>
          <w:rStyle w:val="SCCAppellantForCitationChar"/>
        </w:rPr>
        <w:t xml:space="preserve">Attorney General) </w:t>
      </w:r>
      <w:r w:rsidR="0036136F" w:rsidRPr="009F0E8B">
        <w:rPr>
          <w:rStyle w:val="QuoteChar"/>
          <w:color w:val="auto"/>
          <w:lang w:val="en-CA"/>
        </w:rPr>
        <w:t xml:space="preserve">v. </w:t>
      </w:r>
      <w:proofErr w:type="spellStart"/>
      <w:r w:rsidR="0036136F" w:rsidRPr="009F0E8B">
        <w:rPr>
          <w:rStyle w:val="SCCRespondentForCitationChar"/>
        </w:rPr>
        <w:t>TeleZone</w:t>
      </w:r>
      <w:proofErr w:type="spellEnd"/>
      <w:r w:rsidR="0036136F" w:rsidRPr="009F0E8B">
        <w:rPr>
          <w:rStyle w:val="SCCRespondentForCitationChar"/>
        </w:rPr>
        <w:t xml:space="preserve"> Inc.</w:t>
      </w:r>
      <w:r w:rsidR="0036136F" w:rsidRPr="009F0E8B">
        <w:rPr>
          <w:rStyle w:val="QuoteChar"/>
          <w:i w:val="0"/>
          <w:color w:val="auto"/>
          <w:lang w:val="en-CA"/>
        </w:rPr>
        <w:t>,</w:t>
      </w:r>
      <w:r w:rsidR="0036136F" w:rsidRPr="009F0E8B">
        <w:t xml:space="preserve"> 2010 SCC 62</w:t>
      </w:r>
      <w:r w:rsidR="00AC79A9" w:rsidRPr="009F0E8B">
        <w:rPr>
          <w:szCs w:val="24"/>
        </w:rPr>
        <w:t>,</w:t>
      </w:r>
      <w:r w:rsidR="00231AA0">
        <w:rPr>
          <w:szCs w:val="24"/>
        </w:rPr>
        <w:t xml:space="preserve"> [2010] 3 S.C.R. 585</w:t>
      </w:r>
      <w:r w:rsidR="004151EC">
        <w:t xml:space="preserve">; </w:t>
      </w:r>
      <w:r w:rsidR="004151EC" w:rsidRPr="00ED028E">
        <w:rPr>
          <w:b/>
        </w:rPr>
        <w:t>overruled:</w:t>
      </w:r>
      <w:r w:rsidR="003A7D56">
        <w:t xml:space="preserve"> </w:t>
      </w:r>
      <w:r w:rsidR="004151EC">
        <w:rPr>
          <w:i/>
        </w:rPr>
        <w:t xml:space="preserve">Canada v. </w:t>
      </w:r>
      <w:proofErr w:type="spellStart"/>
      <w:r w:rsidR="004151EC">
        <w:rPr>
          <w:i/>
        </w:rPr>
        <w:t>Grenier</w:t>
      </w:r>
      <w:proofErr w:type="spellEnd"/>
      <w:r w:rsidR="004151EC">
        <w:t>, 2005 FCA 348, [2006] 2 F.C.R. 287</w:t>
      </w:r>
      <w:r w:rsidR="00213A85" w:rsidRPr="009F0E8B">
        <w:t>.</w:t>
      </w:r>
    </w:p>
    <w:p w:rsidR="00A149DF" w:rsidRPr="009F0E8B" w:rsidRDefault="00A149DF" w:rsidP="00700DD9">
      <w:pPr>
        <w:pStyle w:val="SCCNormalDoubleSpacing"/>
      </w:pPr>
    </w:p>
    <w:p w:rsidR="003B215F" w:rsidRPr="009F0E8B" w:rsidRDefault="002E6705" w:rsidP="009F0E8B">
      <w:pPr>
        <w:pStyle w:val="SCCNormalDoubleSpacing"/>
        <w:keepNext/>
        <w:keepLines/>
        <w:rPr>
          <w:b/>
        </w:rPr>
      </w:pPr>
      <w:r w:rsidRPr="009F0E8B">
        <w:rPr>
          <w:b/>
        </w:rPr>
        <w:t>Statutes and Regulations Cite</w:t>
      </w:r>
      <w:r w:rsidR="00A41805" w:rsidRPr="009F0E8B">
        <w:rPr>
          <w:b/>
        </w:rPr>
        <w:t>d</w:t>
      </w:r>
    </w:p>
    <w:p w:rsidR="00F03FD3" w:rsidRPr="009F0E8B" w:rsidRDefault="00F03FD3" w:rsidP="009F0E8B">
      <w:pPr>
        <w:pStyle w:val="SCCNormalDoubleSpacing"/>
        <w:keepNext/>
        <w:keepLines/>
      </w:pPr>
    </w:p>
    <w:p w:rsidR="00176979" w:rsidRPr="009F0E8B" w:rsidRDefault="009B4DEE" w:rsidP="009F0E8B">
      <w:pPr>
        <w:keepNext/>
        <w:keepLines/>
        <w:rPr>
          <w:szCs w:val="24"/>
        </w:rPr>
      </w:pPr>
      <w:r w:rsidRPr="009F0E8B">
        <w:rPr>
          <w:szCs w:val="24"/>
        </w:rPr>
        <w:fldChar w:fldCharType="begin"/>
      </w:r>
      <w:r w:rsidR="00176979" w:rsidRPr="009F0E8B">
        <w:rPr>
          <w:szCs w:val="24"/>
        </w:rPr>
        <w:instrText xml:space="preserve"> SEQ CHAPTER \h \r 1</w:instrText>
      </w:r>
      <w:r w:rsidRPr="009F0E8B">
        <w:rPr>
          <w:szCs w:val="24"/>
        </w:rPr>
        <w:fldChar w:fldCharType="end"/>
      </w:r>
      <w:r w:rsidR="00176979" w:rsidRPr="009F0E8B">
        <w:rPr>
          <w:i/>
          <w:iCs/>
          <w:szCs w:val="24"/>
        </w:rPr>
        <w:t>Crown Liability and Proceedings Act</w:t>
      </w:r>
      <w:r w:rsidR="009F0E8B" w:rsidRPr="009F0E8B">
        <w:rPr>
          <w:szCs w:val="24"/>
        </w:rPr>
        <w:t>, R.S.C. 1985, c.</w:t>
      </w:r>
      <w:r w:rsidR="003A7D56">
        <w:rPr>
          <w:szCs w:val="24"/>
        </w:rPr>
        <w:t xml:space="preserve"> </w:t>
      </w:r>
      <w:r w:rsidR="009F0E8B" w:rsidRPr="009F0E8B">
        <w:rPr>
          <w:szCs w:val="24"/>
        </w:rPr>
        <w:t>C</w:t>
      </w:r>
      <w:r w:rsidR="00A67790">
        <w:rPr>
          <w:szCs w:val="24"/>
        </w:rPr>
        <w:t>-</w:t>
      </w:r>
      <w:r w:rsidR="009F0E8B" w:rsidRPr="009F0E8B">
        <w:rPr>
          <w:szCs w:val="24"/>
        </w:rPr>
        <w:t>50, s.</w:t>
      </w:r>
      <w:r w:rsidR="00E975CC">
        <w:rPr>
          <w:szCs w:val="24"/>
        </w:rPr>
        <w:t> </w:t>
      </w:r>
      <w:r w:rsidR="00176979" w:rsidRPr="009F0E8B">
        <w:rPr>
          <w:szCs w:val="24"/>
        </w:rPr>
        <w:t>8.</w:t>
      </w:r>
    </w:p>
    <w:p w:rsidR="00E4029C" w:rsidRPr="009F0E8B" w:rsidRDefault="00E4029C" w:rsidP="00E4029C">
      <w:pPr>
        <w:pStyle w:val="SCCNormalDoubleSpacing"/>
        <w:spacing w:line="240" w:lineRule="auto"/>
        <w:ind w:left="540" w:hanging="540"/>
      </w:pPr>
    </w:p>
    <w:p w:rsidR="00E4029C" w:rsidRPr="009F0E8B" w:rsidRDefault="009B4DEE" w:rsidP="00E4029C">
      <w:pPr>
        <w:pStyle w:val="SCCNormalDoubleSpacing"/>
        <w:spacing w:line="240" w:lineRule="auto"/>
        <w:ind w:left="540" w:hanging="540"/>
        <w:rPr>
          <w:szCs w:val="24"/>
        </w:rPr>
      </w:pPr>
      <w:r w:rsidRPr="009F0E8B">
        <w:rPr>
          <w:szCs w:val="24"/>
        </w:rPr>
        <w:fldChar w:fldCharType="begin"/>
      </w:r>
      <w:r w:rsidR="00E4029C" w:rsidRPr="009F0E8B">
        <w:rPr>
          <w:szCs w:val="24"/>
        </w:rPr>
        <w:instrText xml:space="preserve"> SEQ CHAPTER \h \r 1</w:instrText>
      </w:r>
      <w:r w:rsidRPr="009F0E8B">
        <w:rPr>
          <w:szCs w:val="24"/>
        </w:rPr>
        <w:fldChar w:fldCharType="end"/>
      </w:r>
      <w:proofErr w:type="gramStart"/>
      <w:r w:rsidR="00E4029C" w:rsidRPr="009F0E8B">
        <w:rPr>
          <w:i/>
          <w:iCs/>
          <w:szCs w:val="24"/>
        </w:rPr>
        <w:t>Federal Courts Act</w:t>
      </w:r>
      <w:r w:rsidR="009F0E8B" w:rsidRPr="009F0E8B">
        <w:rPr>
          <w:szCs w:val="24"/>
        </w:rPr>
        <w:t>, R.S.C. 1985, c.</w:t>
      </w:r>
      <w:r w:rsidR="003A7D56">
        <w:rPr>
          <w:szCs w:val="24"/>
        </w:rPr>
        <w:t xml:space="preserve"> </w:t>
      </w:r>
      <w:r w:rsidR="009F0E8B" w:rsidRPr="009F0E8B">
        <w:rPr>
          <w:szCs w:val="24"/>
        </w:rPr>
        <w:t>F</w:t>
      </w:r>
      <w:r w:rsidR="00A67790">
        <w:rPr>
          <w:szCs w:val="24"/>
        </w:rPr>
        <w:t>-</w:t>
      </w:r>
      <w:r w:rsidR="00E4029C" w:rsidRPr="009F0E8B">
        <w:rPr>
          <w:szCs w:val="24"/>
        </w:rPr>
        <w:t xml:space="preserve">7, </w:t>
      </w:r>
      <w:r w:rsidR="005F4F4F" w:rsidRPr="009F0E8B">
        <w:rPr>
          <w:szCs w:val="24"/>
        </w:rPr>
        <w:t>s</w:t>
      </w:r>
      <w:r w:rsidR="009F0E8B" w:rsidRPr="009F0E8B">
        <w:rPr>
          <w:szCs w:val="24"/>
        </w:rPr>
        <w:t>s.</w:t>
      </w:r>
      <w:r w:rsidR="00E975CC">
        <w:rPr>
          <w:szCs w:val="24"/>
        </w:rPr>
        <w:t> </w:t>
      </w:r>
      <w:r w:rsidR="005F4F4F" w:rsidRPr="009F0E8B">
        <w:rPr>
          <w:szCs w:val="24"/>
        </w:rPr>
        <w:t xml:space="preserve">17, </w:t>
      </w:r>
      <w:r w:rsidR="001C621B" w:rsidRPr="009F0E8B">
        <w:rPr>
          <w:szCs w:val="24"/>
        </w:rPr>
        <w:t>18</w:t>
      </w:r>
      <w:r w:rsidR="00E4029C" w:rsidRPr="009F0E8B">
        <w:rPr>
          <w:szCs w:val="24"/>
        </w:rPr>
        <w:t>.</w:t>
      </w:r>
      <w:proofErr w:type="gramEnd"/>
    </w:p>
    <w:p w:rsidR="000945DB" w:rsidRPr="009F0E8B" w:rsidRDefault="000945DB" w:rsidP="00E4029C">
      <w:pPr>
        <w:pStyle w:val="SCCNormalDoubleSpacing"/>
        <w:spacing w:line="240" w:lineRule="auto"/>
        <w:ind w:left="540" w:hanging="540"/>
        <w:rPr>
          <w:szCs w:val="24"/>
        </w:rPr>
      </w:pPr>
    </w:p>
    <w:p w:rsidR="00F03FD3" w:rsidRPr="009F0E8B" w:rsidRDefault="000945DB" w:rsidP="00E4029C">
      <w:pPr>
        <w:pStyle w:val="SCCNormalDoubleSpacing"/>
        <w:spacing w:line="240" w:lineRule="auto"/>
        <w:ind w:left="540" w:hanging="540"/>
      </w:pPr>
      <w:r w:rsidRPr="009F0E8B">
        <w:rPr>
          <w:i/>
        </w:rPr>
        <w:t>Plant Protection Act</w:t>
      </w:r>
      <w:r w:rsidR="009F0E8B" w:rsidRPr="009F0E8B">
        <w:t>, S.C. 1990, c.</w:t>
      </w:r>
      <w:r w:rsidR="003A7D56">
        <w:t xml:space="preserve"> </w:t>
      </w:r>
      <w:r w:rsidR="009F0E8B" w:rsidRPr="009F0E8B">
        <w:t>22, s.</w:t>
      </w:r>
      <w:r w:rsidR="00E975CC">
        <w:t> </w:t>
      </w:r>
      <w:r w:rsidRPr="009F0E8B">
        <w:t>47.</w:t>
      </w:r>
    </w:p>
    <w:p w:rsidR="000945DB" w:rsidRPr="009F0E8B" w:rsidRDefault="000945DB" w:rsidP="00E4029C">
      <w:pPr>
        <w:pStyle w:val="SCCNormalDoubleSpacing"/>
        <w:spacing w:line="240" w:lineRule="auto"/>
        <w:ind w:left="540" w:hanging="540"/>
        <w:rPr>
          <w:szCs w:val="24"/>
        </w:rPr>
      </w:pPr>
    </w:p>
    <w:p w:rsidR="00A149DF" w:rsidRPr="009F0E8B" w:rsidRDefault="009B4DEE" w:rsidP="00F03FD3">
      <w:pPr>
        <w:pStyle w:val="SCCNormalDoubleSpacing"/>
      </w:pPr>
      <w:r w:rsidRPr="009F0E8B">
        <w:rPr>
          <w:szCs w:val="24"/>
        </w:rPr>
        <w:fldChar w:fldCharType="begin"/>
      </w:r>
      <w:r w:rsidR="000C548C" w:rsidRPr="009F0E8B">
        <w:rPr>
          <w:szCs w:val="24"/>
        </w:rPr>
        <w:instrText xml:space="preserve"> SEQ CHAPTER \h \r 1</w:instrText>
      </w:r>
      <w:r w:rsidRPr="009F0E8B">
        <w:rPr>
          <w:szCs w:val="24"/>
        </w:rPr>
        <w:fldChar w:fldCharType="end"/>
      </w:r>
      <w:proofErr w:type="gramStart"/>
      <w:r w:rsidR="000C548C" w:rsidRPr="009F0E8B">
        <w:rPr>
          <w:i/>
          <w:iCs/>
          <w:szCs w:val="24"/>
        </w:rPr>
        <w:t>Plant Protection Regulations</w:t>
      </w:r>
      <w:r w:rsidR="000C548C" w:rsidRPr="009F0E8B">
        <w:rPr>
          <w:iCs/>
          <w:szCs w:val="24"/>
        </w:rPr>
        <w:t xml:space="preserve">, </w:t>
      </w:r>
      <w:r w:rsidR="009F0E8B" w:rsidRPr="009F0E8B">
        <w:rPr>
          <w:szCs w:val="24"/>
        </w:rPr>
        <w:t>SOR/95</w:t>
      </w:r>
      <w:r w:rsidR="00A67790">
        <w:rPr>
          <w:szCs w:val="24"/>
        </w:rPr>
        <w:t>-</w:t>
      </w:r>
      <w:r w:rsidR="009F0E8B" w:rsidRPr="009F0E8B">
        <w:rPr>
          <w:szCs w:val="24"/>
        </w:rPr>
        <w:t>212, s.</w:t>
      </w:r>
      <w:r w:rsidR="00E975CC">
        <w:rPr>
          <w:szCs w:val="24"/>
        </w:rPr>
        <w:t> </w:t>
      </w:r>
      <w:r w:rsidR="000C548C" w:rsidRPr="009F0E8B">
        <w:rPr>
          <w:szCs w:val="24"/>
        </w:rPr>
        <w:t>34.</w:t>
      </w:r>
      <w:proofErr w:type="gramEnd"/>
    </w:p>
    <w:p w:rsidR="00935218" w:rsidRPr="009F0E8B" w:rsidRDefault="00935218" w:rsidP="00700DD9">
      <w:pPr>
        <w:pStyle w:val="SCCNormalDoubleSpacing"/>
        <w:ind w:left="540" w:hanging="540"/>
      </w:pPr>
    </w:p>
    <w:p w:rsidR="008B5626" w:rsidRPr="009F0E8B" w:rsidRDefault="009B57B3" w:rsidP="00A45BC8">
      <w:pPr>
        <w:pStyle w:val="SCCNormalDoubleSpacing"/>
        <w:tabs>
          <w:tab w:val="left" w:pos="1170"/>
        </w:tabs>
        <w:rPr>
          <w:szCs w:val="24"/>
          <w:lang w:val="en-US"/>
        </w:rPr>
      </w:pPr>
      <w:r w:rsidRPr="009F0E8B">
        <w:tab/>
        <w:t>APPEAL from a judgment of the Federal Court of Appeal</w:t>
      </w:r>
      <w:r w:rsidR="0005754E" w:rsidRPr="009F0E8B">
        <w:t xml:space="preserve"> (</w:t>
      </w:r>
      <w:r w:rsidR="009B4DEE" w:rsidRPr="009F0E8B">
        <w:rPr>
          <w:szCs w:val="24"/>
        </w:rPr>
        <w:fldChar w:fldCharType="begin"/>
      </w:r>
      <w:r w:rsidR="0005754E" w:rsidRPr="009F0E8B">
        <w:rPr>
          <w:szCs w:val="24"/>
        </w:rPr>
        <w:instrText xml:space="preserve"> SEQ CHAPTER \h \r 1</w:instrText>
      </w:r>
      <w:r w:rsidR="009B4DEE" w:rsidRPr="009F0E8B">
        <w:rPr>
          <w:szCs w:val="24"/>
        </w:rPr>
        <w:fldChar w:fldCharType="end"/>
      </w:r>
      <w:proofErr w:type="spellStart"/>
      <w:r w:rsidR="0005754E" w:rsidRPr="009F0E8B">
        <w:rPr>
          <w:szCs w:val="24"/>
          <w:lang w:val="en-US"/>
        </w:rPr>
        <w:t>Nadon</w:t>
      </w:r>
      <w:proofErr w:type="spellEnd"/>
      <w:r w:rsidR="0005754E" w:rsidRPr="009F0E8B">
        <w:rPr>
          <w:szCs w:val="24"/>
          <w:lang w:val="en-US"/>
        </w:rPr>
        <w:t xml:space="preserve">, </w:t>
      </w:r>
      <w:proofErr w:type="spellStart"/>
      <w:r w:rsidR="0005754E" w:rsidRPr="009F0E8B">
        <w:rPr>
          <w:szCs w:val="24"/>
          <w:lang w:val="en-US"/>
        </w:rPr>
        <w:t>Sharlow</w:t>
      </w:r>
      <w:proofErr w:type="spellEnd"/>
      <w:r w:rsidR="0005754E" w:rsidRPr="009F0E8B">
        <w:rPr>
          <w:szCs w:val="24"/>
          <w:lang w:val="en-US"/>
        </w:rPr>
        <w:t xml:space="preserve"> and Pelletier</w:t>
      </w:r>
      <w:r w:rsidR="003A7D56">
        <w:rPr>
          <w:szCs w:val="24"/>
          <w:lang w:val="en-US"/>
        </w:rPr>
        <w:t xml:space="preserve"> </w:t>
      </w:r>
      <w:r w:rsidR="0005754E" w:rsidRPr="009F0E8B">
        <w:rPr>
          <w:szCs w:val="24"/>
          <w:lang w:val="en-US"/>
        </w:rPr>
        <w:t>JJ.A.</w:t>
      </w:r>
      <w:r w:rsidR="0005754E" w:rsidRPr="009F0E8B">
        <w:t xml:space="preserve">), </w:t>
      </w:r>
      <w:r w:rsidR="0005754E" w:rsidRPr="009F0E8B">
        <w:rPr>
          <w:szCs w:val="24"/>
          <w:lang w:val="en-US"/>
        </w:rPr>
        <w:t xml:space="preserve">2008 FCA 362, [2009] 3 F.C.R. 568, 303 D.L.R. (4th) 608, 384 N.R. 85, </w:t>
      </w:r>
      <w:r w:rsidR="009B4DEE" w:rsidRPr="009F0E8B">
        <w:rPr>
          <w:szCs w:val="24"/>
        </w:rPr>
        <w:fldChar w:fldCharType="begin"/>
      </w:r>
      <w:r w:rsidR="0005754E" w:rsidRPr="009F0E8B">
        <w:rPr>
          <w:szCs w:val="24"/>
        </w:rPr>
        <w:instrText xml:space="preserve"> SEQ CHAPTER \h \r 1</w:instrText>
      </w:r>
      <w:r w:rsidR="009B4DEE" w:rsidRPr="009F0E8B">
        <w:rPr>
          <w:szCs w:val="24"/>
        </w:rPr>
        <w:fldChar w:fldCharType="end"/>
      </w:r>
      <w:r w:rsidR="009F0E8B" w:rsidRPr="009F0E8B">
        <w:rPr>
          <w:szCs w:val="24"/>
          <w:lang w:val="en-US"/>
        </w:rPr>
        <w:t>[2008] F.C.J. No.</w:t>
      </w:r>
      <w:r w:rsidR="003A7D56">
        <w:rPr>
          <w:szCs w:val="24"/>
          <w:lang w:val="en-US"/>
        </w:rPr>
        <w:t xml:space="preserve"> </w:t>
      </w:r>
      <w:r w:rsidR="0005754E" w:rsidRPr="009F0E8B">
        <w:rPr>
          <w:szCs w:val="24"/>
          <w:lang w:val="en-US"/>
        </w:rPr>
        <w:t xml:space="preserve">1642 (QL), 2008 </w:t>
      </w:r>
      <w:proofErr w:type="spellStart"/>
      <w:r w:rsidR="0005754E" w:rsidRPr="009F0E8B">
        <w:rPr>
          <w:szCs w:val="24"/>
          <w:lang w:val="en-US"/>
        </w:rPr>
        <w:t>CarswellNat</w:t>
      </w:r>
      <w:proofErr w:type="spellEnd"/>
      <w:r w:rsidR="0005754E" w:rsidRPr="009F0E8B">
        <w:rPr>
          <w:szCs w:val="24"/>
          <w:lang w:val="en-US"/>
        </w:rPr>
        <w:t xml:space="preserve"> 4409, </w:t>
      </w:r>
      <w:r w:rsidR="008B5626" w:rsidRPr="009F0E8B">
        <w:rPr>
          <w:szCs w:val="24"/>
          <w:lang w:val="en-US"/>
        </w:rPr>
        <w:t xml:space="preserve">affirming a decision of </w:t>
      </w:r>
      <w:r w:rsidR="009B4DEE" w:rsidRPr="009F0E8B">
        <w:rPr>
          <w:szCs w:val="24"/>
        </w:rPr>
        <w:fldChar w:fldCharType="begin"/>
      </w:r>
      <w:r w:rsidR="008B5626" w:rsidRPr="009F0E8B">
        <w:rPr>
          <w:szCs w:val="24"/>
        </w:rPr>
        <w:instrText xml:space="preserve"> SEQ CHAPTER \h \r 1</w:instrText>
      </w:r>
      <w:r w:rsidR="009B4DEE" w:rsidRPr="009F0E8B">
        <w:rPr>
          <w:szCs w:val="24"/>
        </w:rPr>
        <w:fldChar w:fldCharType="end"/>
      </w:r>
      <w:r w:rsidR="009F0E8B" w:rsidRPr="009F0E8B">
        <w:rPr>
          <w:szCs w:val="24"/>
          <w:lang w:val="en-US"/>
        </w:rPr>
        <w:t>Barnes</w:t>
      </w:r>
      <w:r w:rsidR="003A7D56">
        <w:rPr>
          <w:szCs w:val="24"/>
          <w:lang w:val="en-US"/>
        </w:rPr>
        <w:t xml:space="preserve"> </w:t>
      </w:r>
      <w:r w:rsidR="008B5626" w:rsidRPr="009F0E8B">
        <w:rPr>
          <w:szCs w:val="24"/>
          <w:lang w:val="en-US"/>
        </w:rPr>
        <w:t xml:space="preserve">J., 2007 FC 789, </w:t>
      </w:r>
      <w:r w:rsidR="009B4DEE" w:rsidRPr="009F0E8B">
        <w:rPr>
          <w:szCs w:val="24"/>
        </w:rPr>
        <w:fldChar w:fldCharType="begin"/>
      </w:r>
      <w:r w:rsidR="008B5626" w:rsidRPr="009F0E8B">
        <w:rPr>
          <w:szCs w:val="24"/>
        </w:rPr>
        <w:instrText xml:space="preserve"> SEQ CHAPTER \h \r 1</w:instrText>
      </w:r>
      <w:r w:rsidR="009B4DEE" w:rsidRPr="009F0E8B">
        <w:rPr>
          <w:szCs w:val="24"/>
        </w:rPr>
        <w:fldChar w:fldCharType="end"/>
      </w:r>
      <w:r w:rsidR="009F0E8B" w:rsidRPr="009F0E8B">
        <w:rPr>
          <w:szCs w:val="24"/>
          <w:lang w:val="en-US"/>
        </w:rPr>
        <w:t>[2007] F.C.J. No.</w:t>
      </w:r>
      <w:r w:rsidR="003A7D56">
        <w:rPr>
          <w:szCs w:val="24"/>
          <w:lang w:val="en-US"/>
        </w:rPr>
        <w:t xml:space="preserve"> </w:t>
      </w:r>
      <w:r w:rsidR="008B5626" w:rsidRPr="009F0E8B">
        <w:rPr>
          <w:szCs w:val="24"/>
          <w:lang w:val="en-US"/>
        </w:rPr>
        <w:t xml:space="preserve">1032 (QL), 2007 </w:t>
      </w:r>
      <w:proofErr w:type="spellStart"/>
      <w:r w:rsidR="008B5626" w:rsidRPr="009F0E8B">
        <w:rPr>
          <w:szCs w:val="24"/>
          <w:lang w:val="en-US"/>
        </w:rPr>
        <w:t>CarswellNat</w:t>
      </w:r>
      <w:proofErr w:type="spellEnd"/>
      <w:r w:rsidR="008B5626" w:rsidRPr="009F0E8B">
        <w:rPr>
          <w:szCs w:val="24"/>
          <w:lang w:val="en-US"/>
        </w:rPr>
        <w:t xml:space="preserve"> 2112.</w:t>
      </w:r>
      <w:r w:rsidR="003A7D56">
        <w:rPr>
          <w:szCs w:val="24"/>
          <w:lang w:val="en-US"/>
        </w:rPr>
        <w:t xml:space="preserve"> </w:t>
      </w:r>
      <w:r w:rsidR="008B5626" w:rsidRPr="009F0E8B">
        <w:rPr>
          <w:szCs w:val="24"/>
          <w:lang w:val="en-US"/>
        </w:rPr>
        <w:t>Appeal allowed.</w:t>
      </w:r>
    </w:p>
    <w:p w:rsidR="00F03FD3" w:rsidRPr="009F0E8B" w:rsidRDefault="00F03FD3" w:rsidP="00B63365">
      <w:pPr>
        <w:pStyle w:val="SCCNormalDoubleSpacing"/>
        <w:rPr>
          <w:szCs w:val="24"/>
          <w:lang w:val="en-US"/>
        </w:rPr>
      </w:pPr>
    </w:p>
    <w:p w:rsidR="00490D2B" w:rsidRPr="009F0E8B" w:rsidRDefault="009F0E8B" w:rsidP="00A45BC8">
      <w:pPr>
        <w:pStyle w:val="SCCNormalDoubleSpacing"/>
        <w:tabs>
          <w:tab w:val="left" w:pos="1170"/>
        </w:tabs>
      </w:pPr>
      <w:r w:rsidRPr="009F0E8B">
        <w:rPr>
          <w:rStyle w:val="SCCCounselNameChar"/>
        </w:rPr>
        <w:tab/>
      </w:r>
      <w:proofErr w:type="gramStart"/>
      <w:r w:rsidRPr="009F0E8B">
        <w:rPr>
          <w:rStyle w:val="SCCCounselNameChar"/>
        </w:rPr>
        <w:t>Matthew</w:t>
      </w:r>
      <w:r w:rsidR="003A7D56">
        <w:rPr>
          <w:rStyle w:val="SCCCounselNameChar"/>
        </w:rPr>
        <w:t xml:space="preserve"> </w:t>
      </w:r>
      <w:r w:rsidR="00700DD9" w:rsidRPr="009F0E8B">
        <w:rPr>
          <w:rStyle w:val="SCCCounselNameChar"/>
        </w:rPr>
        <w:t>G. Williams</w:t>
      </w:r>
      <w:r w:rsidR="00700DD9" w:rsidRPr="009F0E8B">
        <w:rPr>
          <w:rStyle w:val="SCCCounselPartyRoleChar"/>
        </w:rPr>
        <w:t>, for the appellant.</w:t>
      </w:r>
      <w:proofErr w:type="gramEnd"/>
    </w:p>
    <w:p w:rsidR="00490D2B" w:rsidRPr="009F0E8B" w:rsidRDefault="00490D2B" w:rsidP="00B63365">
      <w:pPr>
        <w:pStyle w:val="SCCNormalDoubleSpacing"/>
      </w:pPr>
    </w:p>
    <w:p w:rsidR="00490D2B" w:rsidRPr="009F0E8B" w:rsidRDefault="009F0E8B" w:rsidP="00AC79A9">
      <w:pPr>
        <w:pStyle w:val="SCCNormalDoubleSpacing"/>
        <w:tabs>
          <w:tab w:val="left" w:pos="1170"/>
        </w:tabs>
        <w:spacing w:after="480"/>
      </w:pPr>
      <w:r w:rsidRPr="009F0E8B">
        <w:rPr>
          <w:rStyle w:val="SCCCounselNameChar"/>
        </w:rPr>
        <w:tab/>
      </w:r>
      <w:proofErr w:type="gramStart"/>
      <w:r w:rsidRPr="009F0E8B">
        <w:rPr>
          <w:rStyle w:val="SCCCounselNameChar"/>
        </w:rPr>
        <w:t>Christopher</w:t>
      </w:r>
      <w:r w:rsidR="003A7D56">
        <w:rPr>
          <w:rStyle w:val="SCCCounselNameChar"/>
        </w:rPr>
        <w:t xml:space="preserve"> </w:t>
      </w:r>
      <w:r w:rsidR="00700DD9" w:rsidRPr="009F0E8B">
        <w:rPr>
          <w:rStyle w:val="SCCCounselNameChar"/>
        </w:rPr>
        <w:t xml:space="preserve">M. </w:t>
      </w:r>
      <w:proofErr w:type="spellStart"/>
      <w:r w:rsidR="00700DD9" w:rsidRPr="009F0E8B">
        <w:rPr>
          <w:rStyle w:val="SCCCounselNameChar"/>
        </w:rPr>
        <w:t>Rupar</w:t>
      </w:r>
      <w:proofErr w:type="spellEnd"/>
      <w:r w:rsidR="00700DD9" w:rsidRPr="009F0E8B">
        <w:rPr>
          <w:rStyle w:val="SCCCounselSeparatorChar"/>
        </w:rPr>
        <w:t xml:space="preserve">, </w:t>
      </w:r>
      <w:r w:rsidR="00700DD9" w:rsidRPr="009F0E8B">
        <w:rPr>
          <w:rStyle w:val="SCCCounselNameChar"/>
        </w:rPr>
        <w:t xml:space="preserve">Alain </w:t>
      </w:r>
      <w:proofErr w:type="spellStart"/>
      <w:r w:rsidR="00700DD9" w:rsidRPr="009F0E8B">
        <w:rPr>
          <w:rStyle w:val="SCCCounselNameChar"/>
        </w:rPr>
        <w:t>Préfontaine</w:t>
      </w:r>
      <w:proofErr w:type="spellEnd"/>
      <w:r w:rsidR="00700DD9" w:rsidRPr="009F0E8B">
        <w:rPr>
          <w:rStyle w:val="SCCCounselSeparatorChar"/>
        </w:rPr>
        <w:t xml:space="preserve"> and </w:t>
      </w:r>
      <w:r w:rsidR="00700DD9" w:rsidRPr="009F0E8B">
        <w:rPr>
          <w:rStyle w:val="SCCCounselNameChar"/>
        </w:rPr>
        <w:t xml:space="preserve">Bernard </w:t>
      </w:r>
      <w:proofErr w:type="spellStart"/>
      <w:r w:rsidR="00700DD9" w:rsidRPr="009F0E8B">
        <w:rPr>
          <w:rStyle w:val="SCCCounselNameChar"/>
        </w:rPr>
        <w:t>Letarte</w:t>
      </w:r>
      <w:proofErr w:type="spellEnd"/>
      <w:r w:rsidR="00700DD9" w:rsidRPr="009F0E8B">
        <w:rPr>
          <w:rStyle w:val="SCCCounselPartyRoleChar"/>
        </w:rPr>
        <w:t>, for the respondent</w:t>
      </w:r>
      <w:r w:rsidR="00803668" w:rsidRPr="009F0E8B">
        <w:rPr>
          <w:rStyle w:val="SCCCounselPartyRoleChar"/>
        </w:rPr>
        <w:t>s</w:t>
      </w:r>
      <w:r w:rsidR="00700DD9" w:rsidRPr="009F0E8B">
        <w:rPr>
          <w:rStyle w:val="SCCCounselPartyRoleChar"/>
        </w:rPr>
        <w:t>.</w:t>
      </w:r>
      <w:proofErr w:type="gramEnd"/>
    </w:p>
    <w:p w:rsidR="00820976" w:rsidRDefault="00AC79A9" w:rsidP="00AC79A9">
      <w:pPr>
        <w:tabs>
          <w:tab w:val="left" w:pos="1170"/>
        </w:tabs>
        <w:spacing w:after="720"/>
      </w:pPr>
      <w:r>
        <w:tab/>
        <w:t>The judgment of the Court was delivered by</w:t>
      </w:r>
    </w:p>
    <w:p w:rsidR="00820976" w:rsidRPr="00346A67" w:rsidRDefault="00AC79A9" w:rsidP="00D87846">
      <w:pPr>
        <w:pStyle w:val="ReasonsNumbering-AltN"/>
      </w:pPr>
      <w:r w:rsidRPr="00346A67">
        <w:rPr>
          <w:smallCaps/>
        </w:rPr>
        <w:t>Rothstein J.</w:t>
      </w:r>
      <w:r w:rsidRPr="00346A67">
        <w:t xml:space="preserve"> — </w:t>
      </w:r>
      <w:proofErr w:type="gramStart"/>
      <w:r w:rsidR="00820976" w:rsidRPr="00346A67">
        <w:t>The</w:t>
      </w:r>
      <w:proofErr w:type="gramEnd"/>
      <w:r w:rsidR="00820976" w:rsidRPr="00346A67">
        <w:t xml:space="preserve"> issue in this appeal is whether a plaintiff seeking damages for the revocation and re-issuance of an import licence must first bring an application for judicial review of the licensing decisions.</w:t>
      </w:r>
    </w:p>
    <w:p w:rsidR="00820976" w:rsidRPr="00346A67" w:rsidRDefault="00820976" w:rsidP="00AC79A9">
      <w:pPr>
        <w:tabs>
          <w:tab w:val="left" w:pos="-1440"/>
          <w:tab w:val="left" w:pos="-720"/>
          <w:tab w:val="left" w:pos="0"/>
          <w:tab w:val="left" w:pos="540"/>
          <w:tab w:val="left" w:pos="1152"/>
          <w:tab w:val="left" w:pos="1570"/>
          <w:tab w:val="left" w:pos="1843"/>
          <w:tab w:val="left" w:pos="2261"/>
          <w:tab w:val="left" w:pos="6480"/>
        </w:tabs>
        <w:spacing w:after="720"/>
      </w:pPr>
      <w:r w:rsidRPr="00346A67">
        <w:t>I.</w:t>
      </w:r>
      <w:r w:rsidR="00AC79A9">
        <w:tab/>
      </w:r>
      <w:r w:rsidRPr="00346A67">
        <w:rPr>
          <w:u w:val="single"/>
        </w:rPr>
        <w:t>Facts</w:t>
      </w:r>
    </w:p>
    <w:p w:rsidR="00820976" w:rsidRPr="00346A67" w:rsidRDefault="00820976" w:rsidP="00D87846">
      <w:pPr>
        <w:pStyle w:val="ReasonsNumbering-AltN"/>
      </w:pPr>
      <w:r w:rsidRPr="00346A67">
        <w:t xml:space="preserve">Parrish &amp; </w:t>
      </w:r>
      <w:proofErr w:type="spellStart"/>
      <w:r w:rsidRPr="00346A67">
        <w:t>Heimbecker</w:t>
      </w:r>
      <w:proofErr w:type="spellEnd"/>
      <w:r w:rsidRPr="00346A67">
        <w:t xml:space="preserve"> Limited (“Parrish”) is a Canadian grain trader.</w:t>
      </w:r>
      <w:r w:rsidR="003A7D56">
        <w:t xml:space="preserve"> </w:t>
      </w:r>
      <w:r w:rsidRPr="00346A67">
        <w:t xml:space="preserve">On October 24, 2002, Parrish obtained two import permits from the Canadian Food </w:t>
      </w:r>
      <w:r w:rsidRPr="00346A67">
        <w:lastRenderedPageBreak/>
        <w:t>Inspection Agency (“CFIA”) to import wheat from Ukraine and Russia.</w:t>
      </w:r>
      <w:r w:rsidR="003A7D56">
        <w:t xml:space="preserve"> </w:t>
      </w:r>
      <w:r w:rsidRPr="00346A67">
        <w:t xml:space="preserve">Parrish chartered a vessel, the </w:t>
      </w:r>
      <w:r w:rsidRPr="00AC79A9">
        <w:rPr>
          <w:i/>
        </w:rPr>
        <w:t>Nobility</w:t>
      </w:r>
      <w:r w:rsidRPr="00346A67">
        <w:t>.</w:t>
      </w:r>
      <w:r w:rsidR="003A7D56">
        <w:t xml:space="preserve"> </w:t>
      </w:r>
      <w:r w:rsidRPr="00346A67">
        <w:t xml:space="preserve">On November 17, 2002, the </w:t>
      </w:r>
      <w:r w:rsidRPr="00AC79A9">
        <w:rPr>
          <w:i/>
        </w:rPr>
        <w:t>Nobility</w:t>
      </w:r>
      <w:r w:rsidRPr="00346A67">
        <w:t xml:space="preserve"> left Ukraine destined for Halifax with a full cargo of wheat.</w:t>
      </w:r>
      <w:r w:rsidR="003A7D56">
        <w:t xml:space="preserve"> </w:t>
      </w:r>
    </w:p>
    <w:p w:rsidR="00820976" w:rsidRPr="00346A67" w:rsidRDefault="00820976" w:rsidP="00D87846">
      <w:pPr>
        <w:pStyle w:val="ReasonsNumbering-AltN"/>
      </w:pPr>
      <w:r w:rsidRPr="00346A67">
        <w:t xml:space="preserve">On December 5, 2002, as the </w:t>
      </w:r>
      <w:r w:rsidR="00AC79A9" w:rsidRPr="00AC79A9">
        <w:rPr>
          <w:i/>
        </w:rPr>
        <w:t>Nobility</w:t>
      </w:r>
      <w:r w:rsidRPr="00346A67">
        <w:t xml:space="preserve"> was nearing Halifax, the CFIA revoked Parrish’s import permits, allegedly pursuant to s. 34 of the </w:t>
      </w:r>
      <w:r w:rsidRPr="00346A67">
        <w:rPr>
          <w:i/>
        </w:rPr>
        <w:t>Plant Protection Regulations</w:t>
      </w:r>
      <w:r w:rsidRPr="00346A67">
        <w:t>,</w:t>
      </w:r>
      <w:r w:rsidRPr="00346A67">
        <w:rPr>
          <w:i/>
        </w:rPr>
        <w:t xml:space="preserve"> </w:t>
      </w:r>
      <w:r w:rsidRPr="00346A67">
        <w:t>SOR/95</w:t>
      </w:r>
      <w:r w:rsidR="00A67790">
        <w:t>-</w:t>
      </w:r>
      <w:r w:rsidRPr="00346A67">
        <w:t>212.</w:t>
      </w:r>
      <w:r w:rsidR="003A7D56">
        <w:t xml:space="preserve"> </w:t>
      </w:r>
      <w:r w:rsidRPr="00346A67">
        <w:t>As a result, Parrish was prohibited from offloading its cargo.</w:t>
      </w:r>
      <w:r w:rsidR="003A7D56">
        <w:t xml:space="preserve"> </w:t>
      </w:r>
    </w:p>
    <w:p w:rsidR="00820976" w:rsidRPr="00346A67" w:rsidRDefault="00820976" w:rsidP="00D87846">
      <w:pPr>
        <w:pStyle w:val="ReasonsNumbering-AltN"/>
      </w:pPr>
      <w:r w:rsidRPr="00346A67">
        <w:t xml:space="preserve">The </w:t>
      </w:r>
      <w:r w:rsidR="00AC79A9" w:rsidRPr="00AC79A9">
        <w:rPr>
          <w:i/>
        </w:rPr>
        <w:t>Nobility</w:t>
      </w:r>
      <w:r w:rsidRPr="00346A67">
        <w:t xml:space="preserve"> remained moored in the port of Halifax for the month of December.</w:t>
      </w:r>
      <w:r w:rsidR="003A7D56">
        <w:t xml:space="preserve"> </w:t>
      </w:r>
      <w:r w:rsidRPr="00346A67">
        <w:t>Parrish made numerous inquiries as to why the licences were revoked.</w:t>
      </w:r>
      <w:r w:rsidR="003A7D56">
        <w:t xml:space="preserve"> </w:t>
      </w:r>
      <w:r w:rsidRPr="00346A67">
        <w:t>According to Parrish, the CFIA refused to explain the revocation and it refused to test the wheat for contaminants or otherwise try to settle the matter.</w:t>
      </w:r>
      <w:r w:rsidR="003A7D56">
        <w:t xml:space="preserve"> </w:t>
      </w:r>
    </w:p>
    <w:p w:rsidR="00820976" w:rsidRPr="00346A67" w:rsidRDefault="00820976" w:rsidP="00D87846">
      <w:pPr>
        <w:pStyle w:val="ReasonsNumbering-AltN"/>
      </w:pPr>
      <w:r w:rsidRPr="00346A67">
        <w:t>On December 31, 2002, the CFIA issued a new import permit with different conditions.</w:t>
      </w:r>
      <w:r w:rsidR="003A7D56">
        <w:t xml:space="preserve"> </w:t>
      </w:r>
      <w:r w:rsidRPr="00346A67">
        <w:t>The new permit required that the wheat be pelletized and offloaded in Montréal and Québec.</w:t>
      </w:r>
      <w:r w:rsidR="003A7D56">
        <w:t xml:space="preserve"> </w:t>
      </w:r>
      <w:r w:rsidRPr="00346A67">
        <w:t>Parrish complied with the new permit; however, the new permit conditions rendered the wheat unacceptable to its intended customers. Parrish filled its original contracts with alternate wheat that it had to purchase at a greater cost.</w:t>
      </w:r>
    </w:p>
    <w:p w:rsidR="00820976" w:rsidRPr="00346A67" w:rsidRDefault="00820976" w:rsidP="00D87846">
      <w:pPr>
        <w:pStyle w:val="ReasonsNumbering-AltN"/>
      </w:pPr>
      <w:r w:rsidRPr="00346A67">
        <w:t>Parrish did not seek judicial review of either licensing decision.</w:t>
      </w:r>
      <w:r w:rsidR="003A7D56">
        <w:t xml:space="preserve"> </w:t>
      </w:r>
      <w:r w:rsidRPr="00346A67">
        <w:t xml:space="preserve">In its statement of claim it stated that, “time considerations meant it was entirely </w:t>
      </w:r>
      <w:r w:rsidRPr="00346A67">
        <w:lastRenderedPageBreak/>
        <w:t xml:space="preserve">impractical for Parrish &amp; </w:t>
      </w:r>
      <w:proofErr w:type="spellStart"/>
      <w:r w:rsidRPr="00346A67">
        <w:t>Heimbecker</w:t>
      </w:r>
      <w:proofErr w:type="spellEnd"/>
      <w:r w:rsidRPr="00346A67">
        <w:t xml:space="preserve"> to address the purported revocation of the import permits through the judicial review process” (R.R., at p. 68).</w:t>
      </w:r>
      <w:r w:rsidR="003A7D56">
        <w:t xml:space="preserve"> </w:t>
      </w:r>
      <w:r w:rsidRPr="00346A67">
        <w:t xml:space="preserve">Parrish further explained that it could not wait for legal proceedings as it had to address the ongoing overtime use charges for the </w:t>
      </w:r>
      <w:r w:rsidRPr="0044537B">
        <w:rPr>
          <w:i/>
        </w:rPr>
        <w:t>Nobility</w:t>
      </w:r>
      <w:r w:rsidRPr="00346A67">
        <w:t xml:space="preserve"> and fulfill its contractual obligations with its customers.</w:t>
      </w:r>
    </w:p>
    <w:p w:rsidR="00820976" w:rsidRPr="00346A67" w:rsidRDefault="00820976" w:rsidP="00D87846">
      <w:pPr>
        <w:pStyle w:val="ReasonsNumbering-AltN"/>
      </w:pPr>
      <w:r w:rsidRPr="00346A67">
        <w:t>On December 2, 2005, Parrish initiated the present action against the respondents (collectively the “Crown”)</w:t>
      </w:r>
      <w:r w:rsidRPr="00346A67">
        <w:rPr>
          <w:color w:val="000000"/>
        </w:rPr>
        <w:t xml:space="preserve"> in the Federal Court</w:t>
      </w:r>
      <w:r w:rsidRPr="00346A67">
        <w:t>.</w:t>
      </w:r>
      <w:r w:rsidR="003A7D56">
        <w:t xml:space="preserve"> </w:t>
      </w:r>
      <w:r w:rsidRPr="00346A67">
        <w:t>It seeks damages for misfeasance in public office, unlawful interference with economic relations, negligent misrepresentation and negligence.</w:t>
      </w:r>
      <w:r w:rsidR="003A7D56">
        <w:t xml:space="preserve"> </w:t>
      </w:r>
      <w:r w:rsidRPr="00346A67">
        <w:t>Parrish seeks to recover the additional costs required to fulfill its sales contracts, the loss of profit and the additional expenses incurred as a result of the new import permit.</w:t>
      </w:r>
    </w:p>
    <w:p w:rsidR="00820976" w:rsidRPr="00346A67" w:rsidRDefault="00820976" w:rsidP="00D87846">
      <w:pPr>
        <w:pStyle w:val="ReasonsNumbering-AltN"/>
      </w:pPr>
      <w:r w:rsidRPr="00346A67">
        <w:t>Before filing a statement of defence, the Crown brought a motion to strike Parrish’s statement of claim on the basis that the Federal Court did not have jurisdiction to hear the matter and that the statement of claim failed to disclose a reasonable cause of action.</w:t>
      </w:r>
    </w:p>
    <w:p w:rsidR="00820976" w:rsidRPr="00346A67" w:rsidRDefault="00820976" w:rsidP="0044537B">
      <w:pPr>
        <w:tabs>
          <w:tab w:val="left" w:pos="-1440"/>
          <w:tab w:val="left" w:pos="-720"/>
          <w:tab w:val="left" w:pos="0"/>
          <w:tab w:val="left" w:pos="540"/>
          <w:tab w:val="left" w:pos="1152"/>
          <w:tab w:val="left" w:pos="1570"/>
          <w:tab w:val="left" w:pos="1843"/>
          <w:tab w:val="left" w:pos="2261"/>
          <w:tab w:val="left" w:pos="6480"/>
        </w:tabs>
        <w:spacing w:after="720"/>
      </w:pPr>
      <w:r w:rsidRPr="00346A67">
        <w:t>II.</w:t>
      </w:r>
      <w:r w:rsidR="0044537B">
        <w:tab/>
      </w:r>
      <w:r w:rsidRPr="00346A67">
        <w:rPr>
          <w:u w:val="single"/>
        </w:rPr>
        <w:t>Judicial History</w:t>
      </w:r>
    </w:p>
    <w:p w:rsidR="00820976" w:rsidRPr="00346A67" w:rsidRDefault="00820976" w:rsidP="0044537B">
      <w:pPr>
        <w:tabs>
          <w:tab w:val="left" w:pos="540"/>
        </w:tabs>
        <w:spacing w:after="720"/>
      </w:pPr>
      <w:r w:rsidRPr="00346A67">
        <w:t>A.</w:t>
      </w:r>
      <w:r w:rsidR="0044537B">
        <w:tab/>
      </w:r>
      <w:r w:rsidRPr="0044537B">
        <w:rPr>
          <w:i/>
        </w:rPr>
        <w:t xml:space="preserve">Federal Court, 2006 FC 1102, </w:t>
      </w:r>
      <w:proofErr w:type="gramStart"/>
      <w:r w:rsidRPr="0044537B">
        <w:rPr>
          <w:i/>
        </w:rPr>
        <w:t>303 F.T.R. 21</w:t>
      </w:r>
      <w:proofErr w:type="gramEnd"/>
    </w:p>
    <w:p w:rsidR="00820976" w:rsidRPr="00346A67" w:rsidRDefault="00820976" w:rsidP="00D87846">
      <w:pPr>
        <w:pStyle w:val="ReasonsNumbering-AltN"/>
      </w:pPr>
      <w:proofErr w:type="spellStart"/>
      <w:r w:rsidRPr="00346A67">
        <w:lastRenderedPageBreak/>
        <w:t>Prothonotary</w:t>
      </w:r>
      <w:proofErr w:type="spellEnd"/>
      <w:r w:rsidRPr="00346A67">
        <w:t xml:space="preserve"> </w:t>
      </w:r>
      <w:proofErr w:type="spellStart"/>
      <w:r w:rsidRPr="00346A67">
        <w:t>Morneau</w:t>
      </w:r>
      <w:proofErr w:type="spellEnd"/>
      <w:r w:rsidRPr="00346A67">
        <w:t xml:space="preserve"> allowed the Crown’s motion to strike Parrish’s action.</w:t>
      </w:r>
      <w:r w:rsidR="003A7D56">
        <w:t xml:space="preserve"> </w:t>
      </w:r>
      <w:r w:rsidRPr="00346A67">
        <w:t>He assessed Parrish’s claims and determined that they relied, to a large extent, on the invalidity or unlawfulness of the decisions to revoke the licences and then issue another one (</w:t>
      </w:r>
      <w:proofErr w:type="spellStart"/>
      <w:r w:rsidRPr="00346A67">
        <w:t>para</w:t>
      </w:r>
      <w:proofErr w:type="spellEnd"/>
      <w:r w:rsidRPr="00346A67">
        <w:t>. 22).</w:t>
      </w:r>
      <w:r w:rsidR="003A7D56">
        <w:t xml:space="preserve"> </w:t>
      </w:r>
      <w:r w:rsidRPr="00346A67">
        <w:t xml:space="preserve">He concluded that the action for damages was a collateral or indirect challenge of the decisions and was barred by the Federal Court of Appeal’s decision in </w:t>
      </w:r>
      <w:r w:rsidRPr="00346A67">
        <w:rPr>
          <w:i/>
        </w:rPr>
        <w:t xml:space="preserve">Canada v. </w:t>
      </w:r>
      <w:proofErr w:type="spellStart"/>
      <w:r w:rsidRPr="00346A67">
        <w:rPr>
          <w:i/>
        </w:rPr>
        <w:t>Grenier</w:t>
      </w:r>
      <w:proofErr w:type="spellEnd"/>
      <w:r w:rsidRPr="00346A67">
        <w:t xml:space="preserve">, 2005 FCA 348, [2006] 2 F.C.R. 287, at </w:t>
      </w:r>
      <w:proofErr w:type="spellStart"/>
      <w:r w:rsidRPr="00346A67">
        <w:t>paras</w:t>
      </w:r>
      <w:proofErr w:type="spellEnd"/>
      <w:r w:rsidRPr="00346A67">
        <w:t>. 29-30</w:t>
      </w:r>
      <w:proofErr w:type="gramStart"/>
      <w:r w:rsidRPr="00346A67">
        <w:t>.</w:t>
      </w:r>
      <w:r w:rsidR="003A7D56">
        <w:t xml:space="preserve"> </w:t>
      </w:r>
      <w:r w:rsidRPr="00346A67">
        <w:t xml:space="preserve"> </w:t>
      </w:r>
      <w:proofErr w:type="spellStart"/>
      <w:r w:rsidRPr="00346A67">
        <w:t>Prothonotary</w:t>
      </w:r>
      <w:proofErr w:type="spellEnd"/>
      <w:proofErr w:type="gramEnd"/>
      <w:r w:rsidRPr="00346A67">
        <w:t xml:space="preserve"> </w:t>
      </w:r>
      <w:proofErr w:type="spellStart"/>
      <w:r w:rsidRPr="00346A67">
        <w:t>Morneau</w:t>
      </w:r>
      <w:proofErr w:type="spellEnd"/>
      <w:r w:rsidRPr="00346A67">
        <w:t xml:space="preserve"> found that Parrish must first challenge the licensing decisions by way of judicial review.</w:t>
      </w:r>
    </w:p>
    <w:p w:rsidR="00820976" w:rsidRPr="00346A67" w:rsidRDefault="00820976" w:rsidP="00D87846">
      <w:pPr>
        <w:pStyle w:val="ReasonsNumbering-AltN"/>
      </w:pPr>
      <w:proofErr w:type="spellStart"/>
      <w:r w:rsidRPr="00346A67">
        <w:t>Prothonotary</w:t>
      </w:r>
      <w:proofErr w:type="spellEnd"/>
      <w:r w:rsidRPr="00346A67">
        <w:t xml:space="preserve"> </w:t>
      </w:r>
      <w:proofErr w:type="spellStart"/>
      <w:r w:rsidRPr="00346A67">
        <w:t>Morneau</w:t>
      </w:r>
      <w:proofErr w:type="spellEnd"/>
      <w:r w:rsidRPr="00346A67">
        <w:t xml:space="preserve"> suspended the order striking the action to permit Parrish to bring a motion to extend the time for initiating an application for judicial review.</w:t>
      </w:r>
      <w:r w:rsidR="003A7D56">
        <w:t xml:space="preserve"> </w:t>
      </w:r>
      <w:r w:rsidRPr="00346A67">
        <w:t>Parrish’s action would be struck if it was unsuccessful either in obtaining an extension of time or on its application for judicial review (</w:t>
      </w:r>
      <w:proofErr w:type="spellStart"/>
      <w:r w:rsidRPr="00346A67">
        <w:t>para</w:t>
      </w:r>
      <w:proofErr w:type="spellEnd"/>
      <w:r w:rsidRPr="00346A67">
        <w:t>.</w:t>
      </w:r>
      <w:r w:rsidR="00E975CC">
        <w:t> </w:t>
      </w:r>
      <w:r w:rsidRPr="00346A67">
        <w:t>34).</w:t>
      </w:r>
    </w:p>
    <w:p w:rsidR="00820976" w:rsidRPr="00346A67" w:rsidRDefault="00820976" w:rsidP="0044537B">
      <w:pPr>
        <w:tabs>
          <w:tab w:val="left" w:pos="540"/>
        </w:tabs>
        <w:spacing w:after="720"/>
      </w:pPr>
      <w:r w:rsidRPr="00346A67">
        <w:t>B.</w:t>
      </w:r>
      <w:r w:rsidR="0044537B">
        <w:tab/>
      </w:r>
      <w:r w:rsidRPr="0044537B">
        <w:rPr>
          <w:i/>
        </w:rPr>
        <w:t>Federal Court, 2007 FC 789 (</w:t>
      </w:r>
      <w:proofErr w:type="spellStart"/>
      <w:r w:rsidRPr="0044537B">
        <w:rPr>
          <w:i/>
        </w:rPr>
        <w:t>CanLII</w:t>
      </w:r>
      <w:proofErr w:type="spellEnd"/>
      <w:r w:rsidRPr="0044537B">
        <w:rPr>
          <w:i/>
        </w:rPr>
        <w:t>)</w:t>
      </w:r>
    </w:p>
    <w:p w:rsidR="00820976" w:rsidRPr="00346A67" w:rsidRDefault="00820976" w:rsidP="00D87846">
      <w:pPr>
        <w:pStyle w:val="ReasonsNumbering-AltN"/>
      </w:pPr>
      <w:r w:rsidRPr="00346A67">
        <w:t xml:space="preserve">Parrish appealed the decision of the </w:t>
      </w:r>
      <w:proofErr w:type="spellStart"/>
      <w:r w:rsidRPr="00346A67">
        <w:t>Prothonotary</w:t>
      </w:r>
      <w:proofErr w:type="spellEnd"/>
      <w:r w:rsidRPr="00346A67">
        <w:t xml:space="preserve"> and, alternatively, sought an extension of time to file an application for judicial review.</w:t>
      </w:r>
      <w:r w:rsidR="003A7D56">
        <w:t xml:space="preserve"> </w:t>
      </w:r>
      <w:r w:rsidRPr="00346A67">
        <w:t xml:space="preserve">Barnes J. decided the appeal </w:t>
      </w:r>
      <w:r w:rsidRPr="00346A67">
        <w:rPr>
          <w:i/>
        </w:rPr>
        <w:t>de</w:t>
      </w:r>
      <w:r w:rsidR="00E975CC">
        <w:rPr>
          <w:i/>
        </w:rPr>
        <w:t> </w:t>
      </w:r>
      <w:r w:rsidRPr="00346A67">
        <w:rPr>
          <w:i/>
        </w:rPr>
        <w:t>novo</w:t>
      </w:r>
      <w:r w:rsidRPr="00346A67">
        <w:t xml:space="preserve">, but reached the same conclusion as </w:t>
      </w:r>
      <w:proofErr w:type="spellStart"/>
      <w:r w:rsidRPr="00346A67">
        <w:t>Prothonotary</w:t>
      </w:r>
      <w:proofErr w:type="spellEnd"/>
      <w:r w:rsidRPr="00346A67">
        <w:t xml:space="preserve"> </w:t>
      </w:r>
      <w:proofErr w:type="spellStart"/>
      <w:r w:rsidRPr="00346A67">
        <w:t>Morneau</w:t>
      </w:r>
      <w:proofErr w:type="spellEnd"/>
      <w:r w:rsidRPr="00346A67">
        <w:t>.</w:t>
      </w:r>
      <w:r w:rsidR="003A7D56">
        <w:t xml:space="preserve"> </w:t>
      </w:r>
      <w:r w:rsidRPr="00346A67">
        <w:t xml:space="preserve">Barnes J. concluded that the present case was indistinguishable from </w:t>
      </w:r>
      <w:proofErr w:type="spellStart"/>
      <w:r w:rsidRPr="00346A67">
        <w:rPr>
          <w:i/>
        </w:rPr>
        <w:t>Grenier</w:t>
      </w:r>
      <w:proofErr w:type="spellEnd"/>
      <w:r w:rsidRPr="00346A67">
        <w:t xml:space="preserve"> (</w:t>
      </w:r>
      <w:proofErr w:type="spellStart"/>
      <w:r w:rsidRPr="00346A67">
        <w:t>para</w:t>
      </w:r>
      <w:proofErr w:type="spellEnd"/>
      <w:r w:rsidRPr="00346A67">
        <w:t>. 12).</w:t>
      </w:r>
      <w:r w:rsidR="003A7D56">
        <w:t xml:space="preserve"> </w:t>
      </w:r>
      <w:r w:rsidRPr="00346A67">
        <w:t xml:space="preserve">He permitted Parrish an extension of time to file its application for judicial review, but refused to merge the application and action, as it would constitute an “end run” around </w:t>
      </w:r>
      <w:proofErr w:type="spellStart"/>
      <w:r w:rsidRPr="00346A67">
        <w:rPr>
          <w:i/>
        </w:rPr>
        <w:t>Grenier</w:t>
      </w:r>
      <w:proofErr w:type="spellEnd"/>
      <w:r w:rsidRPr="00346A67">
        <w:t xml:space="preserve"> (</w:t>
      </w:r>
      <w:proofErr w:type="spellStart"/>
      <w:r w:rsidRPr="00346A67">
        <w:t>para</w:t>
      </w:r>
      <w:proofErr w:type="spellEnd"/>
      <w:r w:rsidRPr="00346A67">
        <w:t>.</w:t>
      </w:r>
      <w:r w:rsidR="00E975CC">
        <w:t> </w:t>
      </w:r>
      <w:r w:rsidRPr="00346A67">
        <w:t>26).</w:t>
      </w:r>
    </w:p>
    <w:p w:rsidR="00820976" w:rsidRPr="00346A67" w:rsidRDefault="00820976" w:rsidP="0044537B">
      <w:pPr>
        <w:tabs>
          <w:tab w:val="left" w:pos="540"/>
        </w:tabs>
        <w:spacing w:after="720"/>
      </w:pPr>
      <w:r w:rsidRPr="00346A67">
        <w:lastRenderedPageBreak/>
        <w:t>C.</w:t>
      </w:r>
      <w:r w:rsidR="0044537B">
        <w:tab/>
      </w:r>
      <w:r w:rsidRPr="0044537B">
        <w:rPr>
          <w:i/>
        </w:rPr>
        <w:t xml:space="preserve">Federal Court of Appeal, 2008 FCA 362, [2009] 3 F.C.R. 568 </w:t>
      </w:r>
    </w:p>
    <w:p w:rsidR="00820976" w:rsidRPr="00346A67" w:rsidRDefault="00820976" w:rsidP="00D87846">
      <w:pPr>
        <w:pStyle w:val="ReasonsNumbering-AltN"/>
      </w:pPr>
      <w:r w:rsidRPr="00346A67">
        <w:t xml:space="preserve">Pelletier J.A. upheld the lower court decisions, again concluding that Parrish’s claim “falls squarely within the principle stated in </w:t>
      </w:r>
      <w:proofErr w:type="spellStart"/>
      <w:r w:rsidRPr="00346A67">
        <w:rPr>
          <w:i/>
        </w:rPr>
        <w:t>Grenier</w:t>
      </w:r>
      <w:proofErr w:type="spellEnd"/>
      <w:r w:rsidRPr="00346A67">
        <w:t>” (</w:t>
      </w:r>
      <w:proofErr w:type="spellStart"/>
      <w:r w:rsidRPr="00346A67">
        <w:t>para</w:t>
      </w:r>
      <w:proofErr w:type="spellEnd"/>
      <w:r w:rsidRPr="00346A67">
        <w:t>. 13).</w:t>
      </w:r>
      <w:r w:rsidR="003A7D56">
        <w:t xml:space="preserve"> </w:t>
      </w:r>
      <w:r w:rsidRPr="00346A67">
        <w:t>He upheld Barnes J.’s decision to extend the time to file an application for judicial review and the decision not to merge the application and the action.</w:t>
      </w:r>
    </w:p>
    <w:p w:rsidR="00820976" w:rsidRPr="00346A67" w:rsidRDefault="00820976" w:rsidP="00D87846">
      <w:pPr>
        <w:pStyle w:val="ReasonsNumbering-AltN"/>
      </w:pPr>
      <w:proofErr w:type="spellStart"/>
      <w:r w:rsidRPr="00346A67">
        <w:t>Nadon</w:t>
      </w:r>
      <w:proofErr w:type="spellEnd"/>
      <w:r w:rsidRPr="00346A67">
        <w:t xml:space="preserve"> J.A. concurred with Pelletier J.A.</w:t>
      </w:r>
      <w:r w:rsidR="003A7D56">
        <w:t xml:space="preserve"> </w:t>
      </w:r>
      <w:r w:rsidRPr="00346A67">
        <w:t xml:space="preserve">In his view, it had not been shown that </w:t>
      </w:r>
      <w:proofErr w:type="spellStart"/>
      <w:r w:rsidRPr="00346A67">
        <w:rPr>
          <w:i/>
        </w:rPr>
        <w:t>Grenier</w:t>
      </w:r>
      <w:proofErr w:type="spellEnd"/>
      <w:r w:rsidRPr="00346A67">
        <w:t xml:space="preserve"> was “manifestly wrong” (</w:t>
      </w:r>
      <w:proofErr w:type="spellStart"/>
      <w:r w:rsidRPr="00346A67">
        <w:t>para</w:t>
      </w:r>
      <w:proofErr w:type="spellEnd"/>
      <w:r w:rsidRPr="00346A67">
        <w:t>. 29).</w:t>
      </w:r>
      <w:r w:rsidR="003A7D56">
        <w:t xml:space="preserve"> </w:t>
      </w:r>
      <w:r w:rsidRPr="00346A67">
        <w:t>It was therefore binding authority and barred Parrish from bringing its action without first seeking judicial review.</w:t>
      </w:r>
    </w:p>
    <w:p w:rsidR="00820976" w:rsidRPr="00346A67" w:rsidRDefault="00820976" w:rsidP="00D87846">
      <w:pPr>
        <w:pStyle w:val="ReasonsNumbering-AltN"/>
      </w:pPr>
      <w:proofErr w:type="spellStart"/>
      <w:r w:rsidRPr="00346A67">
        <w:t>Sharlow</w:t>
      </w:r>
      <w:proofErr w:type="spellEnd"/>
      <w:r w:rsidRPr="00346A67">
        <w:t xml:space="preserve"> J.A. dissented.</w:t>
      </w:r>
      <w:r w:rsidR="003A7D56">
        <w:t xml:space="preserve"> </w:t>
      </w:r>
      <w:r w:rsidRPr="00346A67">
        <w:t>She acknowledged that Parrish’s action for damages would require an evaluation of the lawfulness of the l</w:t>
      </w:r>
      <w:r w:rsidR="0044537B">
        <w:t>icensing decisions.</w:t>
      </w:r>
      <w:r w:rsidR="003A7D56">
        <w:t xml:space="preserve"> </w:t>
      </w:r>
      <w:r w:rsidR="0044537B">
        <w:t>She stated:</w:t>
      </w:r>
      <w:r w:rsidRPr="00346A67">
        <w:t xml:space="preserve"> “The question that arises in this case is who is to determine, in the first instance, whether the exercise of statutory authority is valid” (</w:t>
      </w:r>
      <w:proofErr w:type="spellStart"/>
      <w:r w:rsidRPr="00346A67">
        <w:t>para</w:t>
      </w:r>
      <w:proofErr w:type="spellEnd"/>
      <w:r w:rsidRPr="00346A67">
        <w:t>. 37).</w:t>
      </w:r>
      <w:r w:rsidR="003A7D56">
        <w:t xml:space="preserve"> </w:t>
      </w:r>
      <w:proofErr w:type="spellStart"/>
      <w:r w:rsidRPr="00346A67">
        <w:t>Sharlow</w:t>
      </w:r>
      <w:proofErr w:type="spellEnd"/>
      <w:r w:rsidRPr="00346A67">
        <w:t xml:space="preserve"> J.A. concluded that there was no indication in the relevant statutes that this could only be completed through judicial review.</w:t>
      </w:r>
      <w:r w:rsidR="003A7D56">
        <w:t xml:space="preserve"> </w:t>
      </w:r>
      <w:r w:rsidRPr="00346A67">
        <w:t xml:space="preserve">In particular, she saw s. 8 of the </w:t>
      </w:r>
      <w:r w:rsidRPr="00346A67">
        <w:rPr>
          <w:i/>
        </w:rPr>
        <w:t>Crown Liability and Proceedings Act</w:t>
      </w:r>
      <w:r w:rsidRPr="00346A67">
        <w:t>, R.S.C. 1985, c. C</w:t>
      </w:r>
      <w:r w:rsidR="00A67790">
        <w:t>-</w:t>
      </w:r>
      <w:r w:rsidRPr="00346A67">
        <w:t>50, which codifies the defence of statutory authority, as evidence that the assessment of lawfulness can be done in the course of a claim for damages (</w:t>
      </w:r>
      <w:proofErr w:type="spellStart"/>
      <w:r w:rsidRPr="00346A67">
        <w:t>para</w:t>
      </w:r>
      <w:proofErr w:type="spellEnd"/>
      <w:r w:rsidRPr="00346A67">
        <w:t>. 39).</w:t>
      </w:r>
      <w:r w:rsidR="003A7D56">
        <w:t xml:space="preserve"> </w:t>
      </w:r>
      <w:r w:rsidRPr="00346A67">
        <w:t xml:space="preserve">Further, she noted that s. 18(1) of the </w:t>
      </w:r>
      <w:r w:rsidRPr="00346A67">
        <w:rPr>
          <w:i/>
        </w:rPr>
        <w:t>Federal Courts Act</w:t>
      </w:r>
      <w:r w:rsidRPr="00346A67">
        <w:t>, R.S.C. 1985, c. F</w:t>
      </w:r>
      <w:r w:rsidR="00A67790">
        <w:t>-</w:t>
      </w:r>
      <w:r w:rsidRPr="00346A67">
        <w:t>7, gives the Federal Court jurisdiction to grant traditional public law remedies.</w:t>
      </w:r>
      <w:r w:rsidR="003A7D56">
        <w:t xml:space="preserve"> </w:t>
      </w:r>
      <w:r w:rsidRPr="00346A67">
        <w:t xml:space="preserve">It does not say that a dispute over the lawfulness of exercise of </w:t>
      </w:r>
      <w:r w:rsidRPr="00346A67">
        <w:lastRenderedPageBreak/>
        <w:t xml:space="preserve">statutory authority cannot be assessed in the course of a trial governed by the </w:t>
      </w:r>
      <w:r w:rsidRPr="00346A67">
        <w:rPr>
          <w:i/>
        </w:rPr>
        <w:t>Crown Liability and Proceedings Act</w:t>
      </w:r>
      <w:r w:rsidRPr="00346A67">
        <w:t xml:space="preserve"> (</w:t>
      </w:r>
      <w:proofErr w:type="spellStart"/>
      <w:r w:rsidRPr="00346A67">
        <w:t>para</w:t>
      </w:r>
      <w:proofErr w:type="spellEnd"/>
      <w:r w:rsidRPr="00346A67">
        <w:t>. 44).</w:t>
      </w:r>
      <w:r w:rsidR="003A7D56">
        <w:t xml:space="preserve"> </w:t>
      </w:r>
      <w:r w:rsidRPr="00346A67">
        <w:t xml:space="preserve">In her view, the manifest intention of Parliament is that claims for damages can be heard by </w:t>
      </w:r>
      <w:proofErr w:type="gramStart"/>
      <w:r w:rsidRPr="00346A67">
        <w:t>both the Federal Court or</w:t>
      </w:r>
      <w:proofErr w:type="gramEnd"/>
      <w:r w:rsidRPr="00346A67">
        <w:t xml:space="preserve"> provincial superior courts (</w:t>
      </w:r>
      <w:proofErr w:type="spellStart"/>
      <w:r w:rsidRPr="00346A67">
        <w:t>para</w:t>
      </w:r>
      <w:proofErr w:type="spellEnd"/>
      <w:r w:rsidRPr="00346A67">
        <w:t>. 46).</w:t>
      </w:r>
      <w:r w:rsidR="003A7D56">
        <w:t xml:space="preserve"> </w:t>
      </w:r>
      <w:r w:rsidRPr="00346A67">
        <w:t>She would have allowed the appeal and allowed Parrish’s action for damages to proceed.</w:t>
      </w:r>
    </w:p>
    <w:p w:rsidR="00820976" w:rsidRPr="00346A67" w:rsidRDefault="00820976" w:rsidP="00C247B8">
      <w:pPr>
        <w:tabs>
          <w:tab w:val="left" w:pos="540"/>
        </w:tabs>
        <w:spacing w:after="720"/>
      </w:pPr>
      <w:r w:rsidRPr="00346A67">
        <w:t>III.</w:t>
      </w:r>
      <w:r w:rsidR="00C247B8">
        <w:tab/>
      </w:r>
      <w:r w:rsidRPr="00C247B8">
        <w:rPr>
          <w:u w:val="single"/>
        </w:rPr>
        <w:t>Relevant Provisions</w:t>
      </w:r>
    </w:p>
    <w:p w:rsidR="00820976" w:rsidRPr="00346A67" w:rsidRDefault="00820976" w:rsidP="00D87846">
      <w:pPr>
        <w:pStyle w:val="ReasonsNumbering-AltN"/>
      </w:pPr>
      <w:r w:rsidRPr="00346A67">
        <w:rPr>
          <w:i/>
        </w:rPr>
        <w:t xml:space="preserve">Plant Protection </w:t>
      </w:r>
      <w:r w:rsidRPr="00415664">
        <w:rPr>
          <w:i/>
        </w:rPr>
        <w:t>Regulations</w:t>
      </w:r>
      <w:r w:rsidRPr="00346A67">
        <w:t xml:space="preserve">, SOR/95-212 </w:t>
      </w:r>
    </w:p>
    <w:p w:rsidR="00820976" w:rsidRPr="00346A67" w:rsidRDefault="005608CA" w:rsidP="005608CA">
      <w:pPr>
        <w:pStyle w:val="Citation"/>
        <w:tabs>
          <w:tab w:val="left" w:pos="1710"/>
        </w:tabs>
        <w:spacing w:after="240"/>
        <w:ind w:hanging="1166"/>
        <w:contextualSpacing w:val="0"/>
      </w:pPr>
      <w:r>
        <w:rPr>
          <w:b/>
        </w:rPr>
        <w:tab/>
      </w:r>
      <w:r>
        <w:rPr>
          <w:b/>
        </w:rPr>
        <w:tab/>
      </w:r>
      <w:r w:rsidR="00820976" w:rsidRPr="00346A67">
        <w:rPr>
          <w:b/>
        </w:rPr>
        <w:t>34.</w:t>
      </w:r>
      <w:r w:rsidR="00820976" w:rsidRPr="00346A67">
        <w:t xml:space="preserve"> (1) A person who imports a thing under a permit shall comply with all the conditions set out in the permit.</w:t>
      </w:r>
    </w:p>
    <w:p w:rsidR="00820976" w:rsidRPr="00346A67" w:rsidRDefault="00212E17" w:rsidP="00212E17">
      <w:pPr>
        <w:pStyle w:val="Citation"/>
        <w:tabs>
          <w:tab w:val="left" w:pos="1710"/>
        </w:tabs>
        <w:spacing w:after="240"/>
        <w:ind w:hanging="1166"/>
        <w:contextualSpacing w:val="0"/>
      </w:pPr>
      <w:r>
        <w:tab/>
      </w:r>
      <w:r>
        <w:tab/>
      </w:r>
      <w:r w:rsidR="00820976" w:rsidRPr="00346A67">
        <w:t>(2)</w:t>
      </w:r>
      <w:r w:rsidR="00C247B8">
        <w:tab/>
      </w:r>
      <w:r w:rsidR="00820976" w:rsidRPr="00346A67">
        <w:t>Where the Minister determines that it is necessary to prevent the introduction into Canada or the spread within Canada of any pest or biological obstacle to the control of a pest, the Minister shall amend a permit by adding, removing or amending a condition or any information set out in the permit.</w:t>
      </w:r>
    </w:p>
    <w:p w:rsidR="00820976" w:rsidRPr="00346A67" w:rsidRDefault="00EB4925" w:rsidP="00EB4925">
      <w:pPr>
        <w:pStyle w:val="Citation"/>
        <w:tabs>
          <w:tab w:val="left" w:pos="1710"/>
          <w:tab w:val="left" w:pos="2160"/>
        </w:tabs>
        <w:spacing w:after="240"/>
        <w:ind w:hanging="1166"/>
        <w:contextualSpacing w:val="0"/>
      </w:pPr>
      <w:r>
        <w:tab/>
      </w:r>
      <w:r>
        <w:tab/>
      </w:r>
      <w:r w:rsidR="00820976" w:rsidRPr="00346A67">
        <w:t>(3)</w:t>
      </w:r>
      <w:r w:rsidR="00C247B8">
        <w:tab/>
      </w:r>
      <w:r w:rsidR="00820976" w:rsidRPr="00346A67">
        <w:t>The Minister may revoke a permit issued to a person or refuse to issue any other permit to a person where the Minister determines that the person has not complied with</w:t>
      </w:r>
    </w:p>
    <w:p w:rsidR="00820976" w:rsidRPr="00346A67" w:rsidRDefault="00EB4925" w:rsidP="00EB4925">
      <w:pPr>
        <w:pStyle w:val="Citation"/>
        <w:tabs>
          <w:tab w:val="left" w:pos="1710"/>
          <w:tab w:val="left" w:pos="2160"/>
        </w:tabs>
        <w:spacing w:after="240"/>
        <w:ind w:left="1710" w:hanging="1710"/>
        <w:contextualSpacing w:val="0"/>
      </w:pPr>
      <w:r>
        <w:tab/>
      </w:r>
      <w:r w:rsidR="00820976" w:rsidRPr="00346A67">
        <w:t>(</w:t>
      </w:r>
      <w:r w:rsidR="00820976" w:rsidRPr="00346A67">
        <w:rPr>
          <w:i/>
        </w:rPr>
        <w:t>a</w:t>
      </w:r>
      <w:r w:rsidR="00C247B8">
        <w:t>)</w:t>
      </w:r>
      <w:r w:rsidR="00C247B8">
        <w:tab/>
      </w:r>
      <w:proofErr w:type="gramStart"/>
      <w:r w:rsidR="00820976" w:rsidRPr="00346A67">
        <w:t>any</w:t>
      </w:r>
      <w:proofErr w:type="gramEnd"/>
      <w:r w:rsidR="00820976" w:rsidRPr="00346A67">
        <w:t xml:space="preserve"> condition set out in the permit;</w:t>
      </w:r>
    </w:p>
    <w:p w:rsidR="00820976" w:rsidRPr="00346A67" w:rsidRDefault="00EB4925" w:rsidP="00EB4925">
      <w:pPr>
        <w:pStyle w:val="Citation"/>
        <w:tabs>
          <w:tab w:val="left" w:pos="1710"/>
          <w:tab w:val="left" w:pos="2160"/>
        </w:tabs>
        <w:spacing w:after="240"/>
        <w:ind w:left="1710" w:hanging="1710"/>
        <w:contextualSpacing w:val="0"/>
      </w:pPr>
      <w:r>
        <w:tab/>
        <w:t>(</w:t>
      </w:r>
      <w:r w:rsidR="00820976" w:rsidRPr="00346A67">
        <w:rPr>
          <w:i/>
        </w:rPr>
        <w:t>b</w:t>
      </w:r>
      <w:r w:rsidR="00820976" w:rsidRPr="00346A67">
        <w:t>)</w:t>
      </w:r>
      <w:r>
        <w:tab/>
      </w:r>
      <w:proofErr w:type="gramStart"/>
      <w:r w:rsidR="00820976" w:rsidRPr="00346A67">
        <w:t>any</w:t>
      </w:r>
      <w:proofErr w:type="gramEnd"/>
      <w:r w:rsidR="00820976" w:rsidRPr="00346A67">
        <w:t xml:space="preserve"> provision of the Act or any regulation or order made </w:t>
      </w:r>
      <w:proofErr w:type="spellStart"/>
      <w:r w:rsidR="00820976" w:rsidRPr="00346A67">
        <w:t>thereunder</w:t>
      </w:r>
      <w:proofErr w:type="spellEnd"/>
      <w:r w:rsidR="00820976" w:rsidRPr="00346A67">
        <w:t>; or</w:t>
      </w:r>
    </w:p>
    <w:p w:rsidR="00820976" w:rsidRPr="00346A67" w:rsidRDefault="00EB4925" w:rsidP="00EB4925">
      <w:pPr>
        <w:pStyle w:val="Citation"/>
        <w:tabs>
          <w:tab w:val="left" w:pos="1710"/>
          <w:tab w:val="left" w:pos="2160"/>
        </w:tabs>
        <w:spacing w:after="240"/>
        <w:ind w:left="1710" w:hanging="1710"/>
        <w:contextualSpacing w:val="0"/>
      </w:pPr>
      <w:r>
        <w:tab/>
      </w:r>
      <w:r w:rsidR="00820976" w:rsidRPr="00346A67">
        <w:t>(</w:t>
      </w:r>
      <w:r w:rsidR="00820976" w:rsidRPr="00346A67">
        <w:rPr>
          <w:i/>
        </w:rPr>
        <w:t>c</w:t>
      </w:r>
      <w:r w:rsidR="00820976" w:rsidRPr="00346A67">
        <w:t>)</w:t>
      </w:r>
      <w:r w:rsidR="00C247B8">
        <w:tab/>
      </w:r>
      <w:proofErr w:type="gramStart"/>
      <w:r w:rsidR="00820976" w:rsidRPr="00346A67">
        <w:t>any</w:t>
      </w:r>
      <w:proofErr w:type="gramEnd"/>
      <w:r w:rsidR="00820976" w:rsidRPr="00346A67">
        <w:t xml:space="preserve"> order made by the Minister under subsection 15(3) of the Act.</w:t>
      </w:r>
    </w:p>
    <w:p w:rsidR="00820976" w:rsidRPr="00346A67" w:rsidRDefault="00EB4925" w:rsidP="00EB4925">
      <w:pPr>
        <w:pStyle w:val="Citation"/>
        <w:tabs>
          <w:tab w:val="left" w:pos="1710"/>
        </w:tabs>
        <w:spacing w:after="240"/>
        <w:ind w:hanging="1166"/>
        <w:contextualSpacing w:val="0"/>
      </w:pPr>
      <w:r>
        <w:tab/>
      </w:r>
      <w:r>
        <w:tab/>
      </w:r>
      <w:r w:rsidR="00820976" w:rsidRPr="00346A67">
        <w:t>(4)</w:t>
      </w:r>
      <w:r w:rsidR="00C247B8">
        <w:tab/>
      </w:r>
      <w:r w:rsidR="00820976" w:rsidRPr="00346A67">
        <w:t>The Minister may revoke a permit issued to a person or refuse to issue a permit to a person where the Minister has reasonable grounds to believe that</w:t>
      </w:r>
    </w:p>
    <w:p w:rsidR="00820976" w:rsidRPr="00346A67" w:rsidRDefault="00EB4925" w:rsidP="00EB4925">
      <w:pPr>
        <w:pStyle w:val="Citation"/>
        <w:tabs>
          <w:tab w:val="left" w:pos="1710"/>
          <w:tab w:val="left" w:pos="2160"/>
        </w:tabs>
        <w:spacing w:after="240"/>
        <w:ind w:left="1710" w:hanging="1710"/>
        <w:contextualSpacing w:val="0"/>
      </w:pPr>
      <w:r>
        <w:lastRenderedPageBreak/>
        <w:tab/>
      </w:r>
      <w:r w:rsidR="00820976" w:rsidRPr="00346A67">
        <w:t>(</w:t>
      </w:r>
      <w:r w:rsidR="00820976" w:rsidRPr="00346A67">
        <w:rPr>
          <w:i/>
        </w:rPr>
        <w:t>a</w:t>
      </w:r>
      <w:r w:rsidR="00820976" w:rsidRPr="00346A67">
        <w:t>)</w:t>
      </w:r>
      <w:r w:rsidR="00C247B8">
        <w:tab/>
      </w:r>
      <w:proofErr w:type="gramStart"/>
      <w:r w:rsidR="00820976" w:rsidRPr="00346A67">
        <w:t>there</w:t>
      </w:r>
      <w:proofErr w:type="gramEnd"/>
      <w:r w:rsidR="00820976" w:rsidRPr="00346A67">
        <w:t xml:space="preserve"> is an infestation in the country or place of origin of a thing or the country or place from which the thing was re-shipped; or</w:t>
      </w:r>
    </w:p>
    <w:p w:rsidR="00820976" w:rsidRPr="00346A67" w:rsidRDefault="00EB4925" w:rsidP="00EB4925">
      <w:pPr>
        <w:pStyle w:val="Citation"/>
        <w:tabs>
          <w:tab w:val="left" w:pos="1710"/>
          <w:tab w:val="left" w:pos="2160"/>
        </w:tabs>
        <w:spacing w:after="240"/>
        <w:ind w:left="1710" w:hanging="1710"/>
        <w:contextualSpacing w:val="0"/>
      </w:pPr>
      <w:r>
        <w:tab/>
      </w:r>
      <w:r w:rsidR="00820976" w:rsidRPr="00346A67">
        <w:t>(</w:t>
      </w:r>
      <w:r w:rsidR="00820976" w:rsidRPr="00346A67">
        <w:rPr>
          <w:i/>
        </w:rPr>
        <w:t>b</w:t>
      </w:r>
      <w:r w:rsidR="00820976" w:rsidRPr="00346A67">
        <w:t>)</w:t>
      </w:r>
      <w:r w:rsidR="00C247B8">
        <w:tab/>
      </w:r>
      <w:proofErr w:type="gramStart"/>
      <w:r w:rsidR="00820976" w:rsidRPr="00346A67">
        <w:t>the</w:t>
      </w:r>
      <w:proofErr w:type="gramEnd"/>
      <w:r w:rsidR="00820976" w:rsidRPr="00346A67">
        <w:t xml:space="preserve"> person has not complied with</w:t>
      </w:r>
    </w:p>
    <w:p w:rsidR="00820976" w:rsidRPr="00346A67" w:rsidRDefault="00EB4925" w:rsidP="00EB4925">
      <w:pPr>
        <w:pStyle w:val="Citation"/>
        <w:tabs>
          <w:tab w:val="left" w:pos="2160"/>
          <w:tab w:val="left" w:pos="2700"/>
        </w:tabs>
        <w:spacing w:after="240"/>
        <w:ind w:left="2160" w:hanging="2160"/>
        <w:contextualSpacing w:val="0"/>
      </w:pPr>
      <w:r>
        <w:tab/>
      </w:r>
      <w:r w:rsidR="00820976" w:rsidRPr="00346A67">
        <w:t>(</w:t>
      </w:r>
      <w:proofErr w:type="spellStart"/>
      <w:r w:rsidR="00820976" w:rsidRPr="00346A67">
        <w:t>i</w:t>
      </w:r>
      <w:proofErr w:type="spellEnd"/>
      <w:r w:rsidR="00820976" w:rsidRPr="00346A67">
        <w:t>)</w:t>
      </w:r>
      <w:r w:rsidR="00C247B8">
        <w:tab/>
      </w:r>
      <w:proofErr w:type="gramStart"/>
      <w:r w:rsidR="00820976" w:rsidRPr="00346A67">
        <w:t>any</w:t>
      </w:r>
      <w:proofErr w:type="gramEnd"/>
      <w:r w:rsidR="00820976" w:rsidRPr="00346A67">
        <w:t xml:space="preserve"> condition set out in the permit,</w:t>
      </w:r>
    </w:p>
    <w:p w:rsidR="00820976" w:rsidRPr="00346A67" w:rsidRDefault="00EB4925" w:rsidP="00EB4925">
      <w:pPr>
        <w:pStyle w:val="Citation"/>
        <w:tabs>
          <w:tab w:val="left" w:pos="2160"/>
          <w:tab w:val="left" w:pos="2700"/>
        </w:tabs>
        <w:spacing w:after="240"/>
        <w:ind w:left="2160" w:hanging="2160"/>
        <w:contextualSpacing w:val="0"/>
      </w:pPr>
      <w:r>
        <w:tab/>
      </w:r>
      <w:r w:rsidR="00820976" w:rsidRPr="00346A67">
        <w:t>(ii)</w:t>
      </w:r>
      <w:r w:rsidR="00C247B8">
        <w:tab/>
      </w:r>
      <w:proofErr w:type="gramStart"/>
      <w:r w:rsidR="00820976" w:rsidRPr="00346A67">
        <w:t>any</w:t>
      </w:r>
      <w:proofErr w:type="gramEnd"/>
      <w:r w:rsidR="00820976" w:rsidRPr="00346A67">
        <w:t xml:space="preserve"> provision of the Act or any regulation or order made </w:t>
      </w:r>
      <w:proofErr w:type="spellStart"/>
      <w:r w:rsidR="00820976" w:rsidRPr="00346A67">
        <w:t>thereunder</w:t>
      </w:r>
      <w:proofErr w:type="spellEnd"/>
      <w:r w:rsidR="00820976" w:rsidRPr="00346A67">
        <w:t>, or</w:t>
      </w:r>
    </w:p>
    <w:p w:rsidR="00820976" w:rsidRPr="00346A67" w:rsidRDefault="00EB4925" w:rsidP="00EB4925">
      <w:pPr>
        <w:pStyle w:val="Citation"/>
        <w:tabs>
          <w:tab w:val="left" w:pos="2160"/>
          <w:tab w:val="left" w:pos="2700"/>
        </w:tabs>
        <w:spacing w:after="240"/>
        <w:ind w:left="2160" w:hanging="2160"/>
        <w:contextualSpacing w:val="0"/>
      </w:pPr>
      <w:r>
        <w:tab/>
      </w:r>
      <w:r w:rsidR="00820976" w:rsidRPr="00346A67">
        <w:t>(iii)</w:t>
      </w:r>
      <w:r w:rsidR="00C247B8">
        <w:tab/>
      </w:r>
      <w:proofErr w:type="gramStart"/>
      <w:r w:rsidR="00820976" w:rsidRPr="00346A67">
        <w:t>any</w:t>
      </w:r>
      <w:proofErr w:type="gramEnd"/>
      <w:r w:rsidR="00820976" w:rsidRPr="00346A67">
        <w:t xml:space="preserve"> order made by the Minister under subsection 15(3) of the Act.</w:t>
      </w:r>
    </w:p>
    <w:p w:rsidR="00820976" w:rsidRPr="00346A67" w:rsidRDefault="00EB4925" w:rsidP="00EB4925">
      <w:pPr>
        <w:pStyle w:val="Citation"/>
        <w:tabs>
          <w:tab w:val="left" w:pos="1710"/>
        </w:tabs>
        <w:spacing w:after="240"/>
        <w:ind w:hanging="1166"/>
        <w:contextualSpacing w:val="0"/>
      </w:pPr>
      <w:r>
        <w:tab/>
      </w:r>
      <w:r>
        <w:tab/>
      </w:r>
      <w:r w:rsidR="00C247B8">
        <w:t>(5)</w:t>
      </w:r>
      <w:r w:rsidR="00C247B8">
        <w:tab/>
      </w:r>
      <w:r w:rsidR="00820976" w:rsidRPr="00346A67">
        <w:t xml:space="preserve">Where a foreign exporter has shipped to Canada </w:t>
      </w:r>
      <w:proofErr w:type="spellStart"/>
      <w:r w:rsidR="00820976" w:rsidRPr="00346A67">
        <w:t>any thing</w:t>
      </w:r>
      <w:proofErr w:type="spellEnd"/>
      <w:r w:rsidR="00820976" w:rsidRPr="00346A67">
        <w:t xml:space="preserve"> that is a pest, infested or a biological obstacle to the control of a pest or that contravenes any provision of the Act or any regulation or order made </w:t>
      </w:r>
      <w:proofErr w:type="spellStart"/>
      <w:r w:rsidR="00820976" w:rsidRPr="00346A67">
        <w:t>thereunder</w:t>
      </w:r>
      <w:proofErr w:type="spellEnd"/>
      <w:r w:rsidR="00820976" w:rsidRPr="00346A67">
        <w:t>, the Minister may revoke a permit issued to any person, or refuse to issue a permit in respect of a thing to any person, to import from that foreign exporter or from the country or place of origin or reshipment until</w:t>
      </w:r>
    </w:p>
    <w:p w:rsidR="00820976" w:rsidRPr="00346A67" w:rsidRDefault="00EB4925" w:rsidP="00EB4925">
      <w:pPr>
        <w:pStyle w:val="Citation"/>
        <w:tabs>
          <w:tab w:val="left" w:pos="1710"/>
          <w:tab w:val="left" w:pos="2160"/>
        </w:tabs>
        <w:spacing w:after="240"/>
        <w:ind w:left="1710" w:hanging="1710"/>
        <w:contextualSpacing w:val="0"/>
      </w:pPr>
      <w:r>
        <w:tab/>
      </w:r>
      <w:r w:rsidR="00820976" w:rsidRPr="00346A67">
        <w:t>(</w:t>
      </w:r>
      <w:r w:rsidR="00820976" w:rsidRPr="00346A67">
        <w:rPr>
          <w:i/>
        </w:rPr>
        <w:t>a</w:t>
      </w:r>
      <w:r w:rsidR="00820976" w:rsidRPr="00346A67">
        <w:t>)</w:t>
      </w:r>
      <w:r w:rsidR="00C247B8">
        <w:tab/>
      </w:r>
      <w:proofErr w:type="gramStart"/>
      <w:r w:rsidR="00820976" w:rsidRPr="00346A67">
        <w:t>the</w:t>
      </w:r>
      <w:proofErr w:type="gramEnd"/>
      <w:r w:rsidR="00820976" w:rsidRPr="00346A67">
        <w:t xml:space="preserve"> thing shipped or to be shipped is no longer a pest, infested or a biological obstacle to the control of a pest;</w:t>
      </w:r>
    </w:p>
    <w:p w:rsidR="00820976" w:rsidRPr="00346A67" w:rsidRDefault="00EB4925" w:rsidP="00EB4925">
      <w:pPr>
        <w:pStyle w:val="Citation"/>
        <w:tabs>
          <w:tab w:val="left" w:pos="1710"/>
          <w:tab w:val="left" w:pos="2160"/>
        </w:tabs>
        <w:spacing w:after="240"/>
        <w:ind w:left="1710" w:hanging="1710"/>
        <w:contextualSpacing w:val="0"/>
      </w:pPr>
      <w:r>
        <w:tab/>
      </w:r>
      <w:r w:rsidR="00820976" w:rsidRPr="00346A67">
        <w:t>(</w:t>
      </w:r>
      <w:r w:rsidR="00820976" w:rsidRPr="00346A67">
        <w:rPr>
          <w:i/>
        </w:rPr>
        <w:t>b</w:t>
      </w:r>
      <w:r w:rsidR="00820976" w:rsidRPr="00346A67">
        <w:t>)</w:t>
      </w:r>
      <w:r w:rsidR="00C247B8">
        <w:tab/>
      </w:r>
      <w:proofErr w:type="gramStart"/>
      <w:r w:rsidR="00820976" w:rsidRPr="00346A67">
        <w:t>the</w:t>
      </w:r>
      <w:proofErr w:type="gramEnd"/>
      <w:r w:rsidR="00820976" w:rsidRPr="00346A67">
        <w:t xml:space="preserve"> </w:t>
      </w:r>
      <w:proofErr w:type="spellStart"/>
      <w:r w:rsidR="00820976" w:rsidRPr="00346A67">
        <w:t>phytosanitary</w:t>
      </w:r>
      <w:proofErr w:type="spellEnd"/>
      <w:r w:rsidR="00820976" w:rsidRPr="00346A67">
        <w:t xml:space="preserve"> authorities in the country or place of origin or reshipment have identified to the Minister the cause or source of the infestation that is the subject-matter of the contravention; and</w:t>
      </w:r>
    </w:p>
    <w:p w:rsidR="00820976" w:rsidRPr="00346A67" w:rsidRDefault="00EB4925" w:rsidP="00EB4925">
      <w:pPr>
        <w:pStyle w:val="Citation"/>
        <w:tabs>
          <w:tab w:val="left" w:pos="1710"/>
          <w:tab w:val="left" w:pos="2160"/>
        </w:tabs>
        <w:ind w:left="1714" w:hanging="1714"/>
        <w:contextualSpacing w:val="0"/>
      </w:pPr>
      <w:r>
        <w:tab/>
      </w:r>
      <w:r w:rsidR="00820976" w:rsidRPr="00346A67">
        <w:t>(</w:t>
      </w:r>
      <w:r w:rsidR="00820976" w:rsidRPr="00346A67">
        <w:rPr>
          <w:i/>
        </w:rPr>
        <w:t>c</w:t>
      </w:r>
      <w:r w:rsidR="00820976" w:rsidRPr="00346A67">
        <w:t>)</w:t>
      </w:r>
      <w:r w:rsidR="00C247B8">
        <w:tab/>
      </w:r>
      <w:proofErr w:type="gramStart"/>
      <w:r w:rsidR="00820976" w:rsidRPr="00346A67">
        <w:t>the</w:t>
      </w:r>
      <w:proofErr w:type="gramEnd"/>
      <w:r w:rsidR="00820976" w:rsidRPr="00346A67">
        <w:t xml:space="preserve"> foreign exporter or the </w:t>
      </w:r>
      <w:proofErr w:type="spellStart"/>
      <w:r w:rsidR="00820976" w:rsidRPr="00346A67">
        <w:t>phytosanitary</w:t>
      </w:r>
      <w:proofErr w:type="spellEnd"/>
      <w:r w:rsidR="00820976" w:rsidRPr="00346A67">
        <w:t xml:space="preserve"> authorities referred to in paragraph (</w:t>
      </w:r>
      <w:r w:rsidR="00820976" w:rsidRPr="00346A67">
        <w:rPr>
          <w:i/>
        </w:rPr>
        <w:t>b</w:t>
      </w:r>
      <w:r w:rsidR="00820976" w:rsidRPr="00346A67">
        <w:t xml:space="preserve">) have given a written undertaking to comply with the provisions of the Act and all regulations and orders made </w:t>
      </w:r>
      <w:proofErr w:type="spellStart"/>
      <w:r w:rsidR="00C247B8">
        <w:t>there</w:t>
      </w:r>
      <w:r w:rsidR="00820976" w:rsidRPr="00346A67">
        <w:t>under</w:t>
      </w:r>
      <w:proofErr w:type="spellEnd"/>
      <w:r w:rsidR="00820976" w:rsidRPr="00346A67">
        <w:t>.</w:t>
      </w:r>
    </w:p>
    <w:p w:rsidR="00820976" w:rsidRPr="00346A67" w:rsidRDefault="00820976" w:rsidP="00EB4925">
      <w:pPr>
        <w:tabs>
          <w:tab w:val="left" w:pos="-1440"/>
          <w:tab w:val="left" w:pos="-720"/>
          <w:tab w:val="left" w:pos="0"/>
          <w:tab w:val="left" w:pos="540"/>
        </w:tabs>
        <w:spacing w:after="720"/>
      </w:pPr>
      <w:r w:rsidRPr="00346A67">
        <w:t>IV.</w:t>
      </w:r>
      <w:r w:rsidR="00C247B8">
        <w:tab/>
      </w:r>
      <w:r w:rsidRPr="00346A67">
        <w:rPr>
          <w:u w:val="single"/>
        </w:rPr>
        <w:t>Analysis</w:t>
      </w:r>
    </w:p>
    <w:p w:rsidR="00820976" w:rsidRPr="00346A67" w:rsidRDefault="00820976" w:rsidP="00D87846">
      <w:pPr>
        <w:pStyle w:val="ReasonsNumbering-AltN"/>
      </w:pPr>
      <w:r w:rsidRPr="00346A67">
        <w:t xml:space="preserve">On the basis of </w:t>
      </w:r>
      <w:proofErr w:type="spellStart"/>
      <w:r w:rsidRPr="00346A67">
        <w:rPr>
          <w:i/>
        </w:rPr>
        <w:t>Grenier</w:t>
      </w:r>
      <w:proofErr w:type="spellEnd"/>
      <w:r w:rsidRPr="00346A67">
        <w:t>, the Crown argues that Parrish’s action is a collateral attack on its administrative decisions to revoke the import licences and issue another one.</w:t>
      </w:r>
      <w:r w:rsidR="003A7D56">
        <w:t xml:space="preserve"> </w:t>
      </w:r>
      <w:r w:rsidRPr="00346A67">
        <w:t xml:space="preserve">It argues that “Parrish cannot succeed in its claims without attacking the lawfulness or validity of the revocation decisions” (R.F., at </w:t>
      </w:r>
      <w:proofErr w:type="spellStart"/>
      <w:r w:rsidRPr="00346A67">
        <w:t>para</w:t>
      </w:r>
      <w:proofErr w:type="spellEnd"/>
      <w:r w:rsidRPr="00346A67">
        <w:t>. 23).</w:t>
      </w:r>
      <w:r w:rsidR="003A7D56">
        <w:t xml:space="preserve"> </w:t>
      </w:r>
      <w:r w:rsidRPr="00346A67">
        <w:lastRenderedPageBreak/>
        <w:t>According to the Crown, this attack on the licensing decisions must first occur by way of judicial review.</w:t>
      </w:r>
    </w:p>
    <w:p w:rsidR="00820976" w:rsidRPr="00346A67" w:rsidRDefault="00820976" w:rsidP="00D87846">
      <w:pPr>
        <w:pStyle w:val="ReasonsNumbering-AltN"/>
      </w:pPr>
      <w:r w:rsidRPr="00346A67">
        <w:t xml:space="preserve">For the reasons given by </w:t>
      </w:r>
      <w:proofErr w:type="spellStart"/>
      <w:r w:rsidRPr="00346A67">
        <w:t>Binnie</w:t>
      </w:r>
      <w:proofErr w:type="spellEnd"/>
      <w:r w:rsidRPr="00346A67">
        <w:t xml:space="preserve"> J. in the companion decision of </w:t>
      </w:r>
      <w:r w:rsidRPr="00346A67">
        <w:rPr>
          <w:i/>
        </w:rPr>
        <w:t>Canada (Attorney General) v.</w:t>
      </w:r>
      <w:r w:rsidRPr="00346A67">
        <w:t xml:space="preserve"> </w:t>
      </w:r>
      <w:proofErr w:type="spellStart"/>
      <w:r w:rsidRPr="00346A67">
        <w:rPr>
          <w:i/>
        </w:rPr>
        <w:t>TeleZone</w:t>
      </w:r>
      <w:proofErr w:type="spellEnd"/>
      <w:r w:rsidR="00C247B8">
        <w:rPr>
          <w:i/>
        </w:rPr>
        <w:t xml:space="preserve"> Inc.</w:t>
      </w:r>
      <w:r w:rsidRPr="00346A67">
        <w:t xml:space="preserve">, 2010 SCC </w:t>
      </w:r>
      <w:r>
        <w:t>62</w:t>
      </w:r>
      <w:r w:rsidRPr="00346A67">
        <w:t xml:space="preserve">, </w:t>
      </w:r>
      <w:r w:rsidR="00C247B8">
        <w:t xml:space="preserve">[2010] 3 S.C.R. </w:t>
      </w:r>
      <w:r w:rsidR="00231AA0">
        <w:t>585</w:t>
      </w:r>
      <w:r w:rsidR="00C247B8">
        <w:t xml:space="preserve">, </w:t>
      </w:r>
      <w:r w:rsidRPr="00346A67">
        <w:t xml:space="preserve">the Crown’s arguments must fail. </w:t>
      </w:r>
    </w:p>
    <w:p w:rsidR="00820976" w:rsidRPr="00346A67" w:rsidRDefault="00820976" w:rsidP="00D87846">
      <w:pPr>
        <w:pStyle w:val="ReasonsNumbering-AltN"/>
      </w:pPr>
      <w:r w:rsidRPr="00346A67">
        <w:t xml:space="preserve">Unlike in </w:t>
      </w:r>
      <w:proofErr w:type="spellStart"/>
      <w:r w:rsidRPr="00346A67">
        <w:rPr>
          <w:i/>
        </w:rPr>
        <w:t>TeleZone</w:t>
      </w:r>
      <w:proofErr w:type="spellEnd"/>
      <w:r w:rsidRPr="00346A67">
        <w:t>, the Federal Court’s jurisdiction is not at issue in this appeal.</w:t>
      </w:r>
      <w:r w:rsidR="003A7D56">
        <w:t xml:space="preserve"> </w:t>
      </w:r>
      <w:r w:rsidRPr="00346A67">
        <w:t>Parrish brought its action in the Federal Court.</w:t>
      </w:r>
      <w:r w:rsidR="003A7D56">
        <w:t xml:space="preserve"> </w:t>
      </w:r>
      <w:r w:rsidRPr="00346A67">
        <w:t>However, the correct procedure — action or application for judicial review — is at issue.</w:t>
      </w:r>
      <w:r w:rsidR="003A7D56">
        <w:t xml:space="preserve"> </w:t>
      </w:r>
      <w:r w:rsidRPr="00346A67">
        <w:t xml:space="preserve">Section 17 of the </w:t>
      </w:r>
      <w:r w:rsidRPr="00346A67">
        <w:rPr>
          <w:i/>
        </w:rPr>
        <w:t>Federal Courts Act</w:t>
      </w:r>
      <w:r w:rsidRPr="00346A67">
        <w:t xml:space="preserve"> gives the Federal Court concurrent jurisdiction over claims for damages against the Crown.</w:t>
      </w:r>
      <w:r w:rsidR="003A7D56">
        <w:t xml:space="preserve"> </w:t>
      </w:r>
      <w:r w:rsidRPr="00346A67">
        <w:t xml:space="preserve">Section 18 of the </w:t>
      </w:r>
      <w:r w:rsidRPr="00346A67">
        <w:rPr>
          <w:i/>
        </w:rPr>
        <w:t>Federal Courts Act</w:t>
      </w:r>
      <w:r w:rsidRPr="00346A67">
        <w:t xml:space="preserve"> does not derogate from this concurrent jurisdiction.</w:t>
      </w:r>
      <w:r w:rsidR="003A7D56">
        <w:t xml:space="preserve"> </w:t>
      </w:r>
      <w:r w:rsidRPr="00346A67">
        <w:t xml:space="preserve">There is nothing in ss. 17 or 18 that requires Parrish to be successful on judicial review before bringing its claim for damages against the Crown. </w:t>
      </w:r>
    </w:p>
    <w:p w:rsidR="00820976" w:rsidRPr="00346A67" w:rsidRDefault="00820976" w:rsidP="00D87846">
      <w:pPr>
        <w:pStyle w:val="ReasonsNumbering-AltN"/>
      </w:pPr>
      <w:r w:rsidRPr="00346A67">
        <w:t>Parrish complied with the re-issued import licence.</w:t>
      </w:r>
      <w:r w:rsidR="003A7D56">
        <w:t xml:space="preserve"> </w:t>
      </w:r>
      <w:r w:rsidRPr="00346A67">
        <w:t>It imported the wheat and fulfilled its contracts.</w:t>
      </w:r>
      <w:r w:rsidR="003A7D56">
        <w:t xml:space="preserve"> </w:t>
      </w:r>
      <w:r w:rsidRPr="00346A67">
        <w:t>Bringing an application for judicial review to invalidate the licensing decisions would serve no practical purpose.</w:t>
      </w:r>
      <w:r w:rsidR="003A7D56">
        <w:t xml:space="preserve"> </w:t>
      </w:r>
      <w:r w:rsidRPr="00346A67">
        <w:t xml:space="preserve">Parrish now brings an action in tort to recover the additional costs of complying with the CFIA’s licensing decisions. </w:t>
      </w:r>
    </w:p>
    <w:p w:rsidR="00820976" w:rsidRPr="00346A67" w:rsidRDefault="00820976" w:rsidP="00D87846">
      <w:pPr>
        <w:pStyle w:val="ReasonsNumbering-AltN"/>
      </w:pPr>
      <w:r w:rsidRPr="00346A67">
        <w:t xml:space="preserve">The Crown may seek to defend against the action by relying on its statutory authority, under s. 47 of the </w:t>
      </w:r>
      <w:r w:rsidRPr="00346A67">
        <w:rPr>
          <w:i/>
        </w:rPr>
        <w:t>Plant Protection Act</w:t>
      </w:r>
      <w:r w:rsidRPr="00346A67">
        <w:t xml:space="preserve">, S.C. 1990, c. 22, and s. 34 </w:t>
      </w:r>
      <w:r w:rsidRPr="00346A67">
        <w:lastRenderedPageBreak/>
        <w:t xml:space="preserve">of the </w:t>
      </w:r>
      <w:r w:rsidRPr="00346A67">
        <w:rPr>
          <w:i/>
        </w:rPr>
        <w:t>Plant Protection Regulations</w:t>
      </w:r>
      <w:r w:rsidRPr="00346A67">
        <w:t>, to revoke or amend import permits.</w:t>
      </w:r>
      <w:r w:rsidR="003A7D56">
        <w:t xml:space="preserve"> </w:t>
      </w:r>
      <w:r w:rsidRPr="00346A67">
        <w:t>If it does so, the merits of this defence will have to be determined at trial.</w:t>
      </w:r>
      <w:r w:rsidR="003A7D56">
        <w:t xml:space="preserve"> </w:t>
      </w:r>
    </w:p>
    <w:p w:rsidR="00820976" w:rsidRPr="00346A67" w:rsidRDefault="00820976" w:rsidP="00D87846">
      <w:pPr>
        <w:pStyle w:val="ReasonsNumbering-AltN"/>
      </w:pPr>
      <w:r w:rsidRPr="00346A67">
        <w:t xml:space="preserve">For the reasons given in </w:t>
      </w:r>
      <w:proofErr w:type="spellStart"/>
      <w:r w:rsidRPr="00D87846">
        <w:t>TeleZone</w:t>
      </w:r>
      <w:proofErr w:type="spellEnd"/>
      <w:r w:rsidRPr="00346A67">
        <w:t>, the Federal Court should have decided Parrish’s claim for damages without requiring it to first be successful on judicial review.</w:t>
      </w:r>
    </w:p>
    <w:p w:rsidR="00820976" w:rsidRPr="00346A67" w:rsidRDefault="00820976" w:rsidP="00C75679">
      <w:pPr>
        <w:tabs>
          <w:tab w:val="left" w:pos="-1440"/>
          <w:tab w:val="left" w:pos="-720"/>
          <w:tab w:val="left" w:pos="0"/>
          <w:tab w:val="left" w:pos="540"/>
          <w:tab w:val="left" w:pos="1152"/>
          <w:tab w:val="left" w:pos="1570"/>
          <w:tab w:val="left" w:pos="1843"/>
          <w:tab w:val="left" w:pos="2261"/>
          <w:tab w:val="left" w:pos="6480"/>
        </w:tabs>
        <w:spacing w:after="720"/>
      </w:pPr>
      <w:r w:rsidRPr="00346A67">
        <w:t>V.</w:t>
      </w:r>
      <w:r w:rsidR="00C75679">
        <w:tab/>
      </w:r>
      <w:r w:rsidRPr="00346A67">
        <w:t xml:space="preserve"> </w:t>
      </w:r>
      <w:r w:rsidRPr="00346A67">
        <w:rPr>
          <w:u w:val="single"/>
        </w:rPr>
        <w:t>Conclusion</w:t>
      </w:r>
    </w:p>
    <w:p w:rsidR="00820976" w:rsidRPr="00346A67" w:rsidRDefault="00820976" w:rsidP="00D87846">
      <w:pPr>
        <w:pStyle w:val="ReasonsNumbering-AltN"/>
      </w:pPr>
      <w:r w:rsidRPr="00346A67">
        <w:t>I would allow the appeal with costs throughout.</w:t>
      </w:r>
    </w:p>
    <w:p w:rsidR="009B57B3" w:rsidRPr="009F0E8B" w:rsidRDefault="009B57B3" w:rsidP="00A45BC8">
      <w:pPr>
        <w:pStyle w:val="SCCNormalDoubleSpacing"/>
        <w:tabs>
          <w:tab w:val="left" w:pos="1170"/>
        </w:tabs>
      </w:pPr>
      <w:r w:rsidRPr="009F0E8B">
        <w:tab/>
      </w:r>
      <w:r w:rsidR="00656313" w:rsidRPr="009F0E8B">
        <w:rPr>
          <w:i/>
        </w:rPr>
        <w:t>Appeal</w:t>
      </w:r>
      <w:r w:rsidR="00803668" w:rsidRPr="009F0E8B">
        <w:rPr>
          <w:i/>
        </w:rPr>
        <w:t xml:space="preserve"> allowed with costs.</w:t>
      </w:r>
    </w:p>
    <w:p w:rsidR="00A149DF" w:rsidRPr="009F0E8B" w:rsidRDefault="00A149DF" w:rsidP="00FC4EFB">
      <w:pPr>
        <w:pStyle w:val="SCCNormalDoubleSpacing"/>
      </w:pPr>
    </w:p>
    <w:p w:rsidR="00803668" w:rsidRPr="009F0E8B" w:rsidRDefault="009F0E8B" w:rsidP="00A45BC8">
      <w:pPr>
        <w:pStyle w:val="SCCLawFirm"/>
        <w:tabs>
          <w:tab w:val="left" w:pos="1170"/>
        </w:tabs>
      </w:pPr>
      <w:r w:rsidRPr="009F0E8B">
        <w:tab/>
        <w:t>Solicitors for the appellant:</w:t>
      </w:r>
      <w:r w:rsidR="003A7D56">
        <w:t xml:space="preserve"> </w:t>
      </w:r>
      <w:r w:rsidR="00803668" w:rsidRPr="009F0E8B">
        <w:t xml:space="preserve"> </w:t>
      </w:r>
      <w:proofErr w:type="spellStart"/>
      <w:r w:rsidR="00803668" w:rsidRPr="009F0E8B">
        <w:t>Ritch</w:t>
      </w:r>
      <w:proofErr w:type="spellEnd"/>
      <w:r w:rsidR="00803668" w:rsidRPr="009F0E8B">
        <w:t xml:space="preserve"> </w:t>
      </w:r>
      <w:proofErr w:type="spellStart"/>
      <w:r w:rsidR="00803668" w:rsidRPr="009F0E8B">
        <w:t>Durnford</w:t>
      </w:r>
      <w:proofErr w:type="spellEnd"/>
      <w:r w:rsidR="00803668" w:rsidRPr="009F0E8B">
        <w:t>, Halifax.</w:t>
      </w:r>
    </w:p>
    <w:p w:rsidR="00803668" w:rsidRPr="009F0E8B" w:rsidRDefault="00803668" w:rsidP="00803668">
      <w:pPr>
        <w:pStyle w:val="SCCLawFirm"/>
      </w:pPr>
    </w:p>
    <w:p w:rsidR="00803668" w:rsidRPr="009F0E8B" w:rsidRDefault="009F0E8B" w:rsidP="00A45BC8">
      <w:pPr>
        <w:pStyle w:val="SCCLawFirm"/>
        <w:tabs>
          <w:tab w:val="left" w:pos="1170"/>
        </w:tabs>
      </w:pPr>
      <w:r w:rsidRPr="009F0E8B">
        <w:tab/>
        <w:t>Solicitor for the respondent</w:t>
      </w:r>
      <w:r w:rsidR="00C75679">
        <w:t>s</w:t>
      </w:r>
      <w:r w:rsidRPr="009F0E8B">
        <w:t>:</w:t>
      </w:r>
      <w:r w:rsidR="003A7D56">
        <w:t xml:space="preserve"> </w:t>
      </w:r>
      <w:r w:rsidR="00803668" w:rsidRPr="009F0E8B">
        <w:t>Attorney General of Canada, Ottawa.</w:t>
      </w:r>
    </w:p>
    <w:sectPr w:rsidR="00803668" w:rsidRPr="009F0E8B" w:rsidSect="0044537B">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9A9" w:rsidRDefault="00AC79A9">
      <w:r>
        <w:separator/>
      </w:r>
    </w:p>
  </w:endnote>
  <w:endnote w:type="continuationSeparator" w:id="0">
    <w:p w:rsidR="00AC79A9" w:rsidRDefault="00AC7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9A9" w:rsidRDefault="00AC79A9">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9A9" w:rsidRDefault="00AC79A9">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9A9" w:rsidRDefault="00AC79A9">
      <w:r>
        <w:separator/>
      </w:r>
    </w:p>
  </w:footnote>
  <w:footnote w:type="continuationSeparator" w:id="0">
    <w:p w:rsidR="00AC79A9" w:rsidRDefault="00AC7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9A9" w:rsidRDefault="00AC79A9">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9A9" w:rsidRDefault="00AC79A9">
    <w:pPr>
      <w:pStyle w:val="Header"/>
      <w:jc w:val="center"/>
    </w:pPr>
    <w:r>
      <w:t xml:space="preserve">- </w:t>
    </w:r>
    <w:sdt>
      <w:sdtPr>
        <w:id w:val="4489865"/>
        <w:docPartObj>
          <w:docPartGallery w:val="Page Numbers (Top of Page)"/>
          <w:docPartUnique/>
        </w:docPartObj>
      </w:sdtPr>
      <w:sdtContent>
        <w:fldSimple w:instr=" PAGE   \* MERGEFORMAT ">
          <w:r w:rsidR="003267AD">
            <w:rPr>
              <w:noProof/>
            </w:rPr>
            <w:t>2</w:t>
          </w:r>
        </w:fldSimple>
        <w:r>
          <w:t xml:space="preserve"> -</w:t>
        </w:r>
      </w:sdtContent>
    </w:sdt>
  </w:p>
  <w:p w:rsidR="00AC79A9" w:rsidRDefault="00AC79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5"/>
  </w:num>
  <w:num w:numId="5">
    <w:abstractNumId w:val="11"/>
  </w:num>
  <w:num w:numId="6">
    <w:abstractNumId w:val="10"/>
  </w:num>
  <w:num w:numId="7">
    <w:abstractNumId w:val="13"/>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rsids>
    <w:rsidRoot w:val="0031414C"/>
    <w:rsid w:val="00000ED4"/>
    <w:rsid w:val="00025198"/>
    <w:rsid w:val="0005754E"/>
    <w:rsid w:val="000578A3"/>
    <w:rsid w:val="000648CC"/>
    <w:rsid w:val="0007067F"/>
    <w:rsid w:val="000945DB"/>
    <w:rsid w:val="000A2372"/>
    <w:rsid w:val="000C548C"/>
    <w:rsid w:val="000C59B8"/>
    <w:rsid w:val="00105C8A"/>
    <w:rsid w:val="00111DE2"/>
    <w:rsid w:val="00116B38"/>
    <w:rsid w:val="00135406"/>
    <w:rsid w:val="00135972"/>
    <w:rsid w:val="001426A9"/>
    <w:rsid w:val="00154D7C"/>
    <w:rsid w:val="001570B0"/>
    <w:rsid w:val="0015752C"/>
    <w:rsid w:val="00157737"/>
    <w:rsid w:val="00165277"/>
    <w:rsid w:val="00170592"/>
    <w:rsid w:val="00176979"/>
    <w:rsid w:val="001804FC"/>
    <w:rsid w:val="001B33E0"/>
    <w:rsid w:val="001B4573"/>
    <w:rsid w:val="001B6DAA"/>
    <w:rsid w:val="001C621B"/>
    <w:rsid w:val="001C779F"/>
    <w:rsid w:val="001D2AC1"/>
    <w:rsid w:val="001D4E88"/>
    <w:rsid w:val="00212E17"/>
    <w:rsid w:val="00213A85"/>
    <w:rsid w:val="00213F36"/>
    <w:rsid w:val="00217B32"/>
    <w:rsid w:val="00220FC2"/>
    <w:rsid w:val="00224FC0"/>
    <w:rsid w:val="00225EA4"/>
    <w:rsid w:val="00226EAF"/>
    <w:rsid w:val="00231AA0"/>
    <w:rsid w:val="00231F3A"/>
    <w:rsid w:val="00236874"/>
    <w:rsid w:val="002406EE"/>
    <w:rsid w:val="00243EC8"/>
    <w:rsid w:val="0026091A"/>
    <w:rsid w:val="002745CC"/>
    <w:rsid w:val="002B7924"/>
    <w:rsid w:val="002D2289"/>
    <w:rsid w:val="002D39A4"/>
    <w:rsid w:val="002E6705"/>
    <w:rsid w:val="0030329A"/>
    <w:rsid w:val="0031086F"/>
    <w:rsid w:val="0031414C"/>
    <w:rsid w:val="00314E01"/>
    <w:rsid w:val="00316831"/>
    <w:rsid w:val="0032089D"/>
    <w:rsid w:val="003267AD"/>
    <w:rsid w:val="003310DE"/>
    <w:rsid w:val="003432E7"/>
    <w:rsid w:val="0035169A"/>
    <w:rsid w:val="0035259D"/>
    <w:rsid w:val="0036136F"/>
    <w:rsid w:val="00364B18"/>
    <w:rsid w:val="003803C8"/>
    <w:rsid w:val="003A4C70"/>
    <w:rsid w:val="003A7D56"/>
    <w:rsid w:val="003B0FDE"/>
    <w:rsid w:val="003B215F"/>
    <w:rsid w:val="003C799C"/>
    <w:rsid w:val="003D0399"/>
    <w:rsid w:val="003E1C71"/>
    <w:rsid w:val="003F327B"/>
    <w:rsid w:val="00406166"/>
    <w:rsid w:val="0040704B"/>
    <w:rsid w:val="00410A55"/>
    <w:rsid w:val="00411300"/>
    <w:rsid w:val="004151EC"/>
    <w:rsid w:val="00415417"/>
    <w:rsid w:val="00415664"/>
    <w:rsid w:val="00426659"/>
    <w:rsid w:val="0044537B"/>
    <w:rsid w:val="00450352"/>
    <w:rsid w:val="00452E5E"/>
    <w:rsid w:val="00454BDB"/>
    <w:rsid w:val="00465132"/>
    <w:rsid w:val="00480C90"/>
    <w:rsid w:val="0048396F"/>
    <w:rsid w:val="00490D2B"/>
    <w:rsid w:val="00493C18"/>
    <w:rsid w:val="004A600C"/>
    <w:rsid w:val="004A6118"/>
    <w:rsid w:val="004B55F9"/>
    <w:rsid w:val="004C478D"/>
    <w:rsid w:val="004D28F3"/>
    <w:rsid w:val="004E2C26"/>
    <w:rsid w:val="005125A8"/>
    <w:rsid w:val="00521AE8"/>
    <w:rsid w:val="00527180"/>
    <w:rsid w:val="00555291"/>
    <w:rsid w:val="005608CA"/>
    <w:rsid w:val="00583EDE"/>
    <w:rsid w:val="00596D96"/>
    <w:rsid w:val="005E4698"/>
    <w:rsid w:val="005F4F4F"/>
    <w:rsid w:val="00610539"/>
    <w:rsid w:val="00613969"/>
    <w:rsid w:val="00625C35"/>
    <w:rsid w:val="00656313"/>
    <w:rsid w:val="006565F4"/>
    <w:rsid w:val="00662487"/>
    <w:rsid w:val="00684EEA"/>
    <w:rsid w:val="006B5FF5"/>
    <w:rsid w:val="006E2714"/>
    <w:rsid w:val="00700DD9"/>
    <w:rsid w:val="00701759"/>
    <w:rsid w:val="007225FF"/>
    <w:rsid w:val="007350A4"/>
    <w:rsid w:val="00747288"/>
    <w:rsid w:val="00747DD3"/>
    <w:rsid w:val="007549C8"/>
    <w:rsid w:val="00755840"/>
    <w:rsid w:val="00766D14"/>
    <w:rsid w:val="00767A0F"/>
    <w:rsid w:val="007A05F6"/>
    <w:rsid w:val="007A3FFE"/>
    <w:rsid w:val="007B1E16"/>
    <w:rsid w:val="007B6F4A"/>
    <w:rsid w:val="007E1C47"/>
    <w:rsid w:val="007E337A"/>
    <w:rsid w:val="007E5C70"/>
    <w:rsid w:val="007F2FF5"/>
    <w:rsid w:val="007F3F08"/>
    <w:rsid w:val="00803668"/>
    <w:rsid w:val="00804CC6"/>
    <w:rsid w:val="008170E6"/>
    <w:rsid w:val="00817190"/>
    <w:rsid w:val="00820976"/>
    <w:rsid w:val="008260E2"/>
    <w:rsid w:val="008263C7"/>
    <w:rsid w:val="008322BD"/>
    <w:rsid w:val="00834F73"/>
    <w:rsid w:val="00864CF8"/>
    <w:rsid w:val="00874914"/>
    <w:rsid w:val="00891422"/>
    <w:rsid w:val="00892E1A"/>
    <w:rsid w:val="008A79C1"/>
    <w:rsid w:val="008B5626"/>
    <w:rsid w:val="008C01DA"/>
    <w:rsid w:val="008F78E9"/>
    <w:rsid w:val="009179F9"/>
    <w:rsid w:val="00933E5E"/>
    <w:rsid w:val="00935218"/>
    <w:rsid w:val="009403F3"/>
    <w:rsid w:val="009555B7"/>
    <w:rsid w:val="009567AA"/>
    <w:rsid w:val="00967374"/>
    <w:rsid w:val="009B2F23"/>
    <w:rsid w:val="009B4DEE"/>
    <w:rsid w:val="009B57B3"/>
    <w:rsid w:val="009D2920"/>
    <w:rsid w:val="009D5AEB"/>
    <w:rsid w:val="009F0E33"/>
    <w:rsid w:val="009F0E8B"/>
    <w:rsid w:val="00A149DF"/>
    <w:rsid w:val="00A21B90"/>
    <w:rsid w:val="00A3012C"/>
    <w:rsid w:val="00A41805"/>
    <w:rsid w:val="00A45BC8"/>
    <w:rsid w:val="00A511AD"/>
    <w:rsid w:val="00A548CB"/>
    <w:rsid w:val="00A5521C"/>
    <w:rsid w:val="00A643E7"/>
    <w:rsid w:val="00A67790"/>
    <w:rsid w:val="00A73C38"/>
    <w:rsid w:val="00A94D04"/>
    <w:rsid w:val="00AC4C6B"/>
    <w:rsid w:val="00AC79A9"/>
    <w:rsid w:val="00AE3C80"/>
    <w:rsid w:val="00AF03C5"/>
    <w:rsid w:val="00B000D8"/>
    <w:rsid w:val="00B00F75"/>
    <w:rsid w:val="00B145B6"/>
    <w:rsid w:val="00B47FFC"/>
    <w:rsid w:val="00B50C81"/>
    <w:rsid w:val="00B557F8"/>
    <w:rsid w:val="00B63365"/>
    <w:rsid w:val="00B815FC"/>
    <w:rsid w:val="00B93FBC"/>
    <w:rsid w:val="00BB10F8"/>
    <w:rsid w:val="00BB2EE4"/>
    <w:rsid w:val="00BC2108"/>
    <w:rsid w:val="00BD0E9E"/>
    <w:rsid w:val="00BD1BEC"/>
    <w:rsid w:val="00BD32FF"/>
    <w:rsid w:val="00C02092"/>
    <w:rsid w:val="00C247B8"/>
    <w:rsid w:val="00C24D91"/>
    <w:rsid w:val="00C474CB"/>
    <w:rsid w:val="00C53F14"/>
    <w:rsid w:val="00C600CF"/>
    <w:rsid w:val="00C607AE"/>
    <w:rsid w:val="00C6084F"/>
    <w:rsid w:val="00C62A66"/>
    <w:rsid w:val="00C71458"/>
    <w:rsid w:val="00C75679"/>
    <w:rsid w:val="00C77613"/>
    <w:rsid w:val="00C828E7"/>
    <w:rsid w:val="00C86719"/>
    <w:rsid w:val="00C921DD"/>
    <w:rsid w:val="00CA6391"/>
    <w:rsid w:val="00CE3171"/>
    <w:rsid w:val="00CF1601"/>
    <w:rsid w:val="00D0172F"/>
    <w:rsid w:val="00D068A7"/>
    <w:rsid w:val="00D10CE7"/>
    <w:rsid w:val="00D23ECB"/>
    <w:rsid w:val="00D32086"/>
    <w:rsid w:val="00D37A3F"/>
    <w:rsid w:val="00D43A1D"/>
    <w:rsid w:val="00D4431D"/>
    <w:rsid w:val="00D4667A"/>
    <w:rsid w:val="00D70018"/>
    <w:rsid w:val="00D7516F"/>
    <w:rsid w:val="00D87846"/>
    <w:rsid w:val="00D95F8E"/>
    <w:rsid w:val="00DA0590"/>
    <w:rsid w:val="00DC1788"/>
    <w:rsid w:val="00DD5869"/>
    <w:rsid w:val="00DE319C"/>
    <w:rsid w:val="00DF0CA8"/>
    <w:rsid w:val="00DF2B48"/>
    <w:rsid w:val="00DF49A7"/>
    <w:rsid w:val="00E022BE"/>
    <w:rsid w:val="00E07EE2"/>
    <w:rsid w:val="00E07FD1"/>
    <w:rsid w:val="00E1595A"/>
    <w:rsid w:val="00E24573"/>
    <w:rsid w:val="00E25E1E"/>
    <w:rsid w:val="00E27EE7"/>
    <w:rsid w:val="00E35404"/>
    <w:rsid w:val="00E4029C"/>
    <w:rsid w:val="00E45109"/>
    <w:rsid w:val="00E47B7A"/>
    <w:rsid w:val="00E640CB"/>
    <w:rsid w:val="00E65726"/>
    <w:rsid w:val="00E975CC"/>
    <w:rsid w:val="00E97830"/>
    <w:rsid w:val="00EB4925"/>
    <w:rsid w:val="00EF0683"/>
    <w:rsid w:val="00F0070C"/>
    <w:rsid w:val="00F00EB7"/>
    <w:rsid w:val="00F03FD3"/>
    <w:rsid w:val="00F1739D"/>
    <w:rsid w:val="00F24D47"/>
    <w:rsid w:val="00F36AB6"/>
    <w:rsid w:val="00F37A09"/>
    <w:rsid w:val="00F409CE"/>
    <w:rsid w:val="00F4379D"/>
    <w:rsid w:val="00F46DA5"/>
    <w:rsid w:val="00F84DF4"/>
    <w:rsid w:val="00F85C97"/>
    <w:rsid w:val="00FA3410"/>
    <w:rsid w:val="00FB37D2"/>
    <w:rsid w:val="00FC4EFB"/>
    <w:rsid w:val="00FD068D"/>
    <w:rsid w:val="00FD3F47"/>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56"/>
    <w:rPr>
      <w:sz w:val="24"/>
    </w:rPr>
  </w:style>
  <w:style w:type="paragraph" w:styleId="Heading1">
    <w:name w:val="heading 1"/>
    <w:next w:val="ReasonsNumbering-AltN"/>
    <w:link w:val="Heading1Char"/>
    <w:uiPriority w:val="2"/>
    <w:qFormat/>
    <w:rsid w:val="003A7D56"/>
    <w:pPr>
      <w:keepNext/>
      <w:keepLines/>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3A7D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A7D56"/>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3A7D56"/>
    <w:rPr>
      <w:color w:val="808080"/>
    </w:rPr>
  </w:style>
  <w:style w:type="paragraph" w:styleId="BalloonText">
    <w:name w:val="Balloon Text"/>
    <w:basedOn w:val="Normal"/>
    <w:link w:val="BalloonTextChar"/>
    <w:uiPriority w:val="99"/>
    <w:semiHidden/>
    <w:unhideWhenUsed/>
    <w:rsid w:val="003A7D56"/>
    <w:rPr>
      <w:rFonts w:cs="Tahoma"/>
      <w:sz w:val="28"/>
      <w:szCs w:val="16"/>
    </w:rPr>
  </w:style>
  <w:style w:type="character" w:customStyle="1" w:styleId="BalloonTextChar">
    <w:name w:val="Balloon Text Char"/>
    <w:basedOn w:val="DefaultParagraphFont"/>
    <w:link w:val="BalloonText"/>
    <w:uiPriority w:val="99"/>
    <w:semiHidden/>
    <w:rsid w:val="003A7D56"/>
    <w:rPr>
      <w:rFonts w:cs="Tahoma"/>
      <w:sz w:val="28"/>
      <w:szCs w:val="16"/>
    </w:rPr>
  </w:style>
  <w:style w:type="paragraph" w:styleId="Header">
    <w:name w:val="header"/>
    <w:basedOn w:val="Normal"/>
    <w:link w:val="HeaderChar"/>
    <w:uiPriority w:val="99"/>
    <w:unhideWhenUsed/>
    <w:rsid w:val="003A7D56"/>
    <w:pPr>
      <w:tabs>
        <w:tab w:val="center" w:pos="4680"/>
        <w:tab w:val="right" w:pos="9360"/>
      </w:tabs>
    </w:pPr>
  </w:style>
  <w:style w:type="character" w:customStyle="1" w:styleId="HeaderChar">
    <w:name w:val="Header Char"/>
    <w:basedOn w:val="DefaultParagraphFont"/>
    <w:link w:val="Header"/>
    <w:uiPriority w:val="99"/>
    <w:rsid w:val="003A7D56"/>
    <w:rPr>
      <w:sz w:val="24"/>
    </w:rPr>
  </w:style>
  <w:style w:type="paragraph" w:styleId="Footer">
    <w:name w:val="footer"/>
    <w:basedOn w:val="Normal"/>
    <w:link w:val="FooterChar"/>
    <w:uiPriority w:val="99"/>
    <w:semiHidden/>
    <w:unhideWhenUsed/>
    <w:rsid w:val="003A7D56"/>
    <w:pPr>
      <w:tabs>
        <w:tab w:val="center" w:pos="4680"/>
        <w:tab w:val="right" w:pos="9360"/>
      </w:tabs>
    </w:pPr>
  </w:style>
  <w:style w:type="character" w:customStyle="1" w:styleId="FooterChar">
    <w:name w:val="Footer Char"/>
    <w:basedOn w:val="DefaultParagraphFont"/>
    <w:link w:val="Footer"/>
    <w:uiPriority w:val="99"/>
    <w:semiHidden/>
    <w:rsid w:val="003A7D56"/>
    <w:rPr>
      <w:sz w:val="24"/>
    </w:rPr>
  </w:style>
  <w:style w:type="paragraph" w:customStyle="1" w:styleId="SCCLsocParty">
    <w:name w:val="SCC.Lsoc.Party"/>
    <w:basedOn w:val="Normal"/>
    <w:next w:val="Normal"/>
    <w:link w:val="SCCLsocPartyChar"/>
    <w:rsid w:val="003A7D56"/>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3A7D56"/>
    <w:rPr>
      <w:rFonts w:eastAsiaTheme="minorHAnsi" w:cstheme="minorBidi"/>
      <w:sz w:val="24"/>
      <w:szCs w:val="22"/>
      <w:lang w:eastAsia="en-US"/>
    </w:rPr>
  </w:style>
  <w:style w:type="paragraph" w:customStyle="1" w:styleId="SCCLsocVersus">
    <w:name w:val="SCC.Lsoc.Versus"/>
    <w:basedOn w:val="Normal"/>
    <w:next w:val="Normal"/>
    <w:link w:val="SCCLsocVersusChar"/>
    <w:rsid w:val="003A7D56"/>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3A7D56"/>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3A7D56"/>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3A7D56"/>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3A7D56"/>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3A7D56"/>
    <w:rPr>
      <w:rFonts w:eastAsiaTheme="minorHAnsi" w:cstheme="minorBidi"/>
      <w:sz w:val="24"/>
      <w:szCs w:val="22"/>
      <w:lang w:eastAsia="en-US"/>
    </w:rPr>
  </w:style>
  <w:style w:type="character" w:customStyle="1" w:styleId="Heading1Char">
    <w:name w:val="Heading 1 Char"/>
    <w:basedOn w:val="DefaultParagraphFont"/>
    <w:link w:val="Heading1"/>
    <w:uiPriority w:val="2"/>
    <w:rsid w:val="003A7D56"/>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3A7D56"/>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820976"/>
    <w:pPr>
      <w:ind w:left="720"/>
    </w:pPr>
  </w:style>
  <w:style w:type="paragraph" w:customStyle="1" w:styleId="SCCCoram">
    <w:name w:val="SCC.Coram"/>
    <w:basedOn w:val="Normal"/>
    <w:next w:val="Normal"/>
    <w:link w:val="SCCCoramChar"/>
    <w:rsid w:val="003A7D5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A7D56"/>
    <w:rPr>
      <w:rFonts w:eastAsiaTheme="minorHAnsi" w:cstheme="minorBidi"/>
      <w:sz w:val="24"/>
      <w:szCs w:val="22"/>
      <w:lang w:eastAsia="en-US"/>
    </w:rPr>
  </w:style>
  <w:style w:type="table" w:styleId="TableGrid">
    <w:name w:val="Table Grid"/>
    <w:basedOn w:val="TableNormal"/>
    <w:uiPriority w:val="59"/>
    <w:rsid w:val="003A7D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820976"/>
    <w:pPr>
      <w:spacing w:after="720"/>
      <w:ind w:left="1166"/>
      <w:contextualSpacing/>
      <w:jc w:val="both"/>
    </w:pPr>
  </w:style>
  <w:style w:type="paragraph" w:customStyle="1" w:styleId="SCCLsocOtherPartyRoleSeparator">
    <w:name w:val="SCC.Lsoc.OtherPartyRoleSeparator"/>
    <w:basedOn w:val="Normal"/>
    <w:next w:val="Normal"/>
    <w:link w:val="SCCLsocOtherPartyRoleSeparatorChar"/>
    <w:rsid w:val="003A7D56"/>
    <w:pPr>
      <w:spacing w:after="480"/>
    </w:pPr>
    <w:rPr>
      <w:rFonts w:eastAsiaTheme="minorHAnsi" w:cstheme="minorBidi"/>
      <w:szCs w:val="22"/>
      <w:lang w:eastAsia="en-US"/>
    </w:rPr>
  </w:style>
  <w:style w:type="paragraph" w:styleId="ListNumber3">
    <w:name w:val="List Number 3"/>
    <w:basedOn w:val="Normal"/>
    <w:uiPriority w:val="99"/>
    <w:semiHidden/>
    <w:unhideWhenUsed/>
    <w:rsid w:val="00D87846"/>
    <w:pPr>
      <w:numPr>
        <w:numId w:val="3"/>
      </w:numPr>
      <w:contextualSpacing/>
    </w:pPr>
  </w:style>
  <w:style w:type="character" w:customStyle="1" w:styleId="SCCLsocOtherPartyRoleSeparatorChar">
    <w:name w:val="SCC.Lsoc.OtherPartyRoleSeparator Char"/>
    <w:basedOn w:val="DefaultParagraphFont"/>
    <w:link w:val="SCCLsocOtherPartyRoleSeparator"/>
    <w:rsid w:val="003A7D56"/>
    <w:rPr>
      <w:rFonts w:eastAsiaTheme="minorHAnsi" w:cstheme="minorBidi"/>
      <w:sz w:val="24"/>
      <w:szCs w:val="22"/>
      <w:lang w:eastAsia="en-US"/>
    </w:rPr>
  </w:style>
  <w:style w:type="character" w:customStyle="1" w:styleId="SCCBanSummaryChar">
    <w:name w:val="SCC.BanSummary Char"/>
    <w:basedOn w:val="DefaultParagraphFont"/>
    <w:link w:val="SCCBanSummary"/>
    <w:rsid w:val="003A7D56"/>
    <w:rPr>
      <w:rFonts w:eastAsiaTheme="minorEastAsia"/>
      <w:b/>
      <w:sz w:val="24"/>
      <w:szCs w:val="24"/>
    </w:rPr>
  </w:style>
  <w:style w:type="paragraph" w:customStyle="1" w:styleId="ReasonsNumbering-AltN">
    <w:name w:val="Reasons Numbering - Alt N"/>
    <w:qFormat/>
    <w:rsid w:val="003A7D56"/>
    <w:pPr>
      <w:numPr>
        <w:numId w:val="8"/>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3A7D56"/>
    <w:pPr>
      <w:spacing w:after="720"/>
      <w:ind w:left="1166"/>
      <w:contextualSpacing/>
      <w:jc w:val="both"/>
    </w:pPr>
    <w:rPr>
      <w:sz w:val="24"/>
    </w:rPr>
  </w:style>
  <w:style w:type="character" w:styleId="CommentReference">
    <w:name w:val="annotation reference"/>
    <w:basedOn w:val="DefaultParagraphFont"/>
    <w:uiPriority w:val="99"/>
    <w:semiHidden/>
    <w:unhideWhenUsed/>
    <w:rsid w:val="003A7D56"/>
    <w:rPr>
      <w:sz w:val="16"/>
      <w:szCs w:val="16"/>
    </w:rPr>
  </w:style>
  <w:style w:type="paragraph" w:styleId="CommentText">
    <w:name w:val="annotation text"/>
    <w:basedOn w:val="Normal"/>
    <w:link w:val="CommentTextChar"/>
    <w:uiPriority w:val="99"/>
    <w:semiHidden/>
    <w:unhideWhenUsed/>
    <w:rsid w:val="003A7D56"/>
    <w:rPr>
      <w:sz w:val="20"/>
    </w:rPr>
  </w:style>
  <w:style w:type="character" w:customStyle="1" w:styleId="CommentTextChar">
    <w:name w:val="Comment Text Char"/>
    <w:basedOn w:val="DefaultParagraphFont"/>
    <w:link w:val="CommentText"/>
    <w:uiPriority w:val="99"/>
    <w:semiHidden/>
    <w:rsid w:val="003A7D56"/>
  </w:style>
  <w:style w:type="paragraph" w:styleId="CommentSubject">
    <w:name w:val="annotation subject"/>
    <w:basedOn w:val="CommentText"/>
    <w:next w:val="CommentText"/>
    <w:link w:val="CommentSubjectChar"/>
    <w:uiPriority w:val="99"/>
    <w:semiHidden/>
    <w:unhideWhenUsed/>
    <w:rsid w:val="003A7D56"/>
    <w:rPr>
      <w:b/>
      <w:bCs/>
    </w:rPr>
  </w:style>
  <w:style w:type="character" w:customStyle="1" w:styleId="CommentSubjectChar">
    <w:name w:val="Comment Subject Char"/>
    <w:basedOn w:val="CommentTextChar"/>
    <w:link w:val="CommentSubject"/>
    <w:uiPriority w:val="99"/>
    <w:semiHidden/>
    <w:rsid w:val="003A7D56"/>
    <w:rPr>
      <w:b/>
      <w:bCs/>
    </w:rPr>
  </w:style>
  <w:style w:type="paragraph" w:customStyle="1" w:styleId="ContinueReasonsNo-AltP">
    <w:name w:val="Continue Reasons No # - Alt P"/>
    <w:next w:val="ReasonsNumbering-AltN"/>
    <w:uiPriority w:val="1"/>
    <w:qFormat/>
    <w:rsid w:val="003A7D56"/>
    <w:pPr>
      <w:spacing w:before="480" w:after="480" w:line="480" w:lineRule="auto"/>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13</Pages>
  <Words>2502</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2010-12-23T15:53:00Z</dcterms:created>
  <dcterms:modified xsi:type="dcterms:W3CDTF">2011-06-07T15:30:00Z</dcterms:modified>
</cp:coreProperties>
</file>