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4A" w:rsidRPr="00845A2E" w:rsidRDefault="00CF704A" w:rsidP="00CF704A">
      <w:pPr>
        <w:tabs>
          <w:tab w:val="center" w:pos="4680"/>
          <w:tab w:val="right" w:pos="9360"/>
        </w:tabs>
        <w:rPr>
          <w:rFonts w:eastAsiaTheme="minorHAnsi" w:cstheme="minorBidi"/>
          <w:szCs w:val="24"/>
          <w:lang w:eastAsia="en-US"/>
        </w:rPr>
      </w:pPr>
      <w:r w:rsidRPr="00845A2E">
        <w:rPr>
          <w:rFonts w:eastAsiaTheme="minorHAnsi" w:cstheme="minorBidi"/>
          <w:szCs w:val="24"/>
          <w:lang w:eastAsia="en-US"/>
        </w:rPr>
        <w:ptab w:relativeTo="margin" w:alignment="center" w:leader="none"/>
      </w:r>
      <w:r w:rsidRPr="00845A2E">
        <w:rPr>
          <w:rFonts w:eastAsiaTheme="minorHAnsi" w:cstheme="minorBidi"/>
          <w:szCs w:val="24"/>
          <w:lang w:eastAsia="en-US"/>
        </w:rPr>
        <w:t xml:space="preserve"> </w:t>
      </w:r>
      <w:r w:rsidRPr="00845A2E">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379498879" r:id="rId8"/>
        </w:object>
      </w:r>
      <w:r w:rsidRPr="00845A2E">
        <w:rPr>
          <w:rFonts w:eastAsiaTheme="minorHAnsi" w:cstheme="minorBidi"/>
          <w:szCs w:val="24"/>
          <w:lang w:eastAsia="en-US"/>
        </w:rPr>
        <w:t xml:space="preserve"> </w:t>
      </w:r>
      <w:r w:rsidRPr="00845A2E">
        <w:rPr>
          <w:rFonts w:eastAsiaTheme="minorHAnsi" w:cstheme="minorBidi"/>
          <w:szCs w:val="24"/>
          <w:lang w:eastAsia="en-US"/>
        </w:rPr>
        <w:ptab w:relativeTo="margin" w:alignment="right" w:leader="none"/>
      </w:r>
    </w:p>
    <w:p w:rsidR="00CF704A" w:rsidRPr="00845A2E" w:rsidRDefault="00CF704A" w:rsidP="00CF704A">
      <w:pPr>
        <w:tabs>
          <w:tab w:val="center" w:pos="4680"/>
          <w:tab w:val="right" w:pos="9360"/>
        </w:tabs>
        <w:rPr>
          <w:rFonts w:eastAsiaTheme="minorHAnsi" w:cstheme="minorBidi"/>
          <w:szCs w:val="24"/>
          <w:lang w:eastAsia="en-US"/>
        </w:rPr>
      </w:pPr>
    </w:p>
    <w:p w:rsidR="00CF704A" w:rsidRPr="00845A2E" w:rsidRDefault="00CF704A" w:rsidP="00CF704A">
      <w:pPr>
        <w:jc w:val="center"/>
        <w:rPr>
          <w:rFonts w:eastAsiaTheme="minorHAnsi" w:cstheme="minorBidi"/>
          <w:b/>
          <w:szCs w:val="24"/>
          <w:lang w:eastAsia="en-US"/>
        </w:rPr>
      </w:pPr>
      <w:r w:rsidRPr="00845A2E">
        <w:rPr>
          <w:rFonts w:eastAsiaTheme="minorHAnsi" w:cstheme="minorBidi"/>
          <w:b/>
          <w:szCs w:val="24"/>
          <w:lang w:eastAsia="en-US"/>
        </w:rPr>
        <w:t>SUPREME COURT OF CANADA</w:t>
      </w:r>
    </w:p>
    <w:p w:rsidR="00CF704A" w:rsidRPr="00845A2E" w:rsidRDefault="00CF704A" w:rsidP="00CF704A">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F704A" w:rsidRPr="00845A2E" w:rsidTr="00C23EF6">
        <w:trPr>
          <w:cantSplit/>
        </w:trPr>
        <w:tc>
          <w:tcPr>
            <w:tcW w:w="6768" w:type="dxa"/>
          </w:tcPr>
          <w:p w:rsidR="00CF704A" w:rsidRPr="00CF704A" w:rsidRDefault="00CF704A" w:rsidP="00C23EF6">
            <w:pPr>
              <w:rPr>
                <w:lang w:val="fr-CA"/>
              </w:rPr>
            </w:pPr>
            <w:r w:rsidRPr="00845A2E">
              <w:rPr>
                <w:b/>
                <w:smallCaps/>
                <w:lang w:val="fr-CA"/>
              </w:rPr>
              <w:t xml:space="preserve">Citation: </w:t>
            </w:r>
            <w:r w:rsidRPr="00845A2E">
              <w:rPr>
                <w:lang w:val="fr-CA"/>
              </w:rPr>
              <w:t xml:space="preserve">R. </w:t>
            </w:r>
            <w:r w:rsidRPr="00845A2E">
              <w:rPr>
                <w:i/>
                <w:lang w:val="fr-CA"/>
              </w:rPr>
              <w:t>v</w:t>
            </w:r>
            <w:r w:rsidRPr="00845A2E">
              <w:rPr>
                <w:lang w:val="fr-CA"/>
              </w:rPr>
              <w:t xml:space="preserve">. Loewen, </w:t>
            </w:r>
            <w:r w:rsidRPr="00CF704A">
              <w:rPr>
                <w:rStyle w:val="SCCRespondentForRunningHeadChar"/>
                <w:lang w:val="fr-CA"/>
              </w:rPr>
              <w:t>2011 SCC 21, [2011] 2 S.C.R. 167</w:t>
            </w:r>
          </w:p>
        </w:tc>
        <w:tc>
          <w:tcPr>
            <w:tcW w:w="2808" w:type="dxa"/>
          </w:tcPr>
          <w:p w:rsidR="00CF704A" w:rsidRPr="00845A2E" w:rsidRDefault="00CF704A" w:rsidP="00C23EF6">
            <w:r w:rsidRPr="00845A2E">
              <w:rPr>
                <w:b/>
                <w:smallCaps/>
              </w:rPr>
              <w:t>Date:</w:t>
            </w:r>
            <w:r w:rsidRPr="00845A2E">
              <w:t xml:space="preserve"> 20110505</w:t>
            </w:r>
          </w:p>
          <w:p w:rsidR="00CF704A" w:rsidRPr="00845A2E" w:rsidRDefault="00CF704A" w:rsidP="00C23EF6">
            <w:r w:rsidRPr="00845A2E">
              <w:rPr>
                <w:b/>
                <w:smallCaps/>
              </w:rPr>
              <w:t>Docket:</w:t>
            </w:r>
            <w:r w:rsidRPr="00845A2E">
              <w:t xml:space="preserve"> 33914</w:t>
            </w:r>
          </w:p>
        </w:tc>
      </w:tr>
    </w:tbl>
    <w:p w:rsidR="00CF704A" w:rsidRPr="00845A2E" w:rsidRDefault="00CF704A" w:rsidP="00CF704A">
      <w:pPr>
        <w:rPr>
          <w:rFonts w:eastAsiaTheme="minorHAnsi" w:cstheme="minorBidi"/>
          <w:szCs w:val="24"/>
          <w:lang w:eastAsia="en-US"/>
        </w:rPr>
      </w:pPr>
    </w:p>
    <w:p w:rsidR="00CF704A" w:rsidRPr="00845A2E" w:rsidRDefault="00CF704A" w:rsidP="00CF704A">
      <w:pPr>
        <w:rPr>
          <w:rFonts w:eastAsiaTheme="minorHAnsi" w:cstheme="minorBidi"/>
          <w:b/>
          <w:smallCaps/>
          <w:szCs w:val="24"/>
          <w:lang w:eastAsia="en-US"/>
        </w:rPr>
      </w:pPr>
      <w:r w:rsidRPr="00845A2E">
        <w:rPr>
          <w:rFonts w:eastAsiaTheme="minorHAnsi" w:cstheme="minorBidi"/>
          <w:b/>
          <w:smallCaps/>
          <w:szCs w:val="24"/>
          <w:lang w:eastAsia="en-US"/>
        </w:rPr>
        <w:t>Between:</w:t>
      </w:r>
    </w:p>
    <w:p w:rsidR="00CF704A" w:rsidRPr="00845A2E" w:rsidRDefault="00CF704A" w:rsidP="00CF704A">
      <w:pPr>
        <w:jc w:val="center"/>
        <w:rPr>
          <w:rFonts w:eastAsiaTheme="minorHAnsi" w:cstheme="minorBidi"/>
          <w:b/>
          <w:szCs w:val="24"/>
          <w:lang w:eastAsia="en-US"/>
        </w:rPr>
      </w:pPr>
      <w:r w:rsidRPr="00845A2E">
        <w:rPr>
          <w:rFonts w:eastAsiaTheme="minorHAnsi" w:cstheme="minorBidi"/>
          <w:b/>
          <w:szCs w:val="24"/>
          <w:lang w:eastAsia="en-US"/>
        </w:rPr>
        <w:t xml:space="preserve">Derek James </w:t>
      </w:r>
      <w:proofErr w:type="spellStart"/>
      <w:r w:rsidRPr="00845A2E">
        <w:rPr>
          <w:rFonts w:eastAsiaTheme="minorHAnsi" w:cstheme="minorBidi"/>
          <w:b/>
          <w:szCs w:val="24"/>
          <w:lang w:eastAsia="en-US"/>
        </w:rPr>
        <w:t>Loewen</w:t>
      </w:r>
      <w:proofErr w:type="spellEnd"/>
    </w:p>
    <w:p w:rsidR="00CF704A" w:rsidRPr="00845A2E" w:rsidRDefault="00CF704A" w:rsidP="00CF704A">
      <w:pPr>
        <w:jc w:val="center"/>
        <w:rPr>
          <w:rFonts w:eastAsiaTheme="minorHAnsi" w:cstheme="minorBidi"/>
          <w:szCs w:val="24"/>
          <w:lang w:eastAsia="en-US"/>
        </w:rPr>
      </w:pPr>
      <w:r w:rsidRPr="00845A2E">
        <w:rPr>
          <w:rFonts w:eastAsiaTheme="minorHAnsi" w:cstheme="minorBidi"/>
          <w:szCs w:val="24"/>
          <w:lang w:eastAsia="en-US"/>
        </w:rPr>
        <w:t>Appellant</w:t>
      </w:r>
    </w:p>
    <w:p w:rsidR="00CF704A" w:rsidRPr="00845A2E" w:rsidRDefault="00CF704A" w:rsidP="00CF704A">
      <w:pPr>
        <w:jc w:val="center"/>
        <w:rPr>
          <w:rFonts w:eastAsiaTheme="minorHAnsi" w:cstheme="minorBidi"/>
          <w:szCs w:val="24"/>
          <w:lang w:eastAsia="en-US"/>
        </w:rPr>
      </w:pPr>
      <w:proofErr w:type="gramStart"/>
      <w:r w:rsidRPr="00845A2E">
        <w:rPr>
          <w:rFonts w:eastAsiaTheme="minorHAnsi" w:cstheme="minorBidi"/>
          <w:szCs w:val="24"/>
          <w:lang w:eastAsia="en-US"/>
        </w:rPr>
        <w:t>and</w:t>
      </w:r>
      <w:proofErr w:type="gramEnd"/>
    </w:p>
    <w:p w:rsidR="00CF704A" w:rsidRPr="00845A2E" w:rsidRDefault="00CF704A" w:rsidP="00CF704A">
      <w:pPr>
        <w:jc w:val="center"/>
        <w:rPr>
          <w:rFonts w:eastAsiaTheme="minorHAnsi" w:cstheme="minorBidi"/>
          <w:b/>
          <w:szCs w:val="24"/>
          <w:lang w:eastAsia="en-US"/>
        </w:rPr>
      </w:pPr>
      <w:r w:rsidRPr="00845A2E">
        <w:rPr>
          <w:rFonts w:eastAsiaTheme="minorHAnsi" w:cstheme="minorBidi"/>
          <w:b/>
          <w:szCs w:val="24"/>
          <w:lang w:eastAsia="en-US"/>
        </w:rPr>
        <w:t xml:space="preserve">Her Majesty </w:t>
      </w:r>
      <w:proofErr w:type="gramStart"/>
      <w:r w:rsidRPr="00845A2E">
        <w:rPr>
          <w:rFonts w:eastAsiaTheme="minorHAnsi" w:cstheme="minorBidi"/>
          <w:b/>
          <w:szCs w:val="24"/>
          <w:lang w:eastAsia="en-US"/>
        </w:rPr>
        <w:t>The</w:t>
      </w:r>
      <w:proofErr w:type="gramEnd"/>
      <w:r w:rsidRPr="00845A2E">
        <w:rPr>
          <w:rFonts w:eastAsiaTheme="minorHAnsi" w:cstheme="minorBidi"/>
          <w:b/>
          <w:szCs w:val="24"/>
          <w:lang w:eastAsia="en-US"/>
        </w:rPr>
        <w:t xml:space="preserve"> Queen</w:t>
      </w:r>
    </w:p>
    <w:p w:rsidR="00CF704A" w:rsidRPr="00845A2E" w:rsidRDefault="00CF704A" w:rsidP="00CF704A">
      <w:pPr>
        <w:jc w:val="center"/>
        <w:rPr>
          <w:rFonts w:eastAsiaTheme="minorHAnsi" w:cstheme="minorBidi"/>
          <w:szCs w:val="24"/>
          <w:lang w:eastAsia="en-US"/>
        </w:rPr>
      </w:pPr>
      <w:r w:rsidRPr="00845A2E">
        <w:rPr>
          <w:rFonts w:eastAsiaTheme="minorHAnsi" w:cstheme="minorBidi"/>
          <w:szCs w:val="24"/>
          <w:lang w:eastAsia="en-US"/>
        </w:rPr>
        <w:t>Respondent</w:t>
      </w:r>
    </w:p>
    <w:p w:rsidR="00CF704A" w:rsidRPr="00845A2E" w:rsidRDefault="00CF704A" w:rsidP="00CF704A">
      <w:pPr>
        <w:rPr>
          <w:rFonts w:eastAsiaTheme="minorHAnsi" w:cstheme="minorBidi"/>
          <w:szCs w:val="24"/>
          <w:lang w:eastAsia="en-US"/>
        </w:rPr>
      </w:pPr>
    </w:p>
    <w:p w:rsidR="00CF704A" w:rsidRPr="00845A2E" w:rsidRDefault="00CF704A" w:rsidP="00CF704A">
      <w:pPr>
        <w:rPr>
          <w:rFonts w:eastAsiaTheme="minorHAnsi" w:cstheme="minorBidi"/>
          <w:szCs w:val="24"/>
          <w:lang w:eastAsia="en-US"/>
        </w:rPr>
      </w:pPr>
      <w:r w:rsidRPr="00845A2E">
        <w:rPr>
          <w:rFonts w:eastAsiaTheme="minorHAnsi" w:cstheme="minorBidi"/>
          <w:b/>
          <w:smallCaps/>
          <w:szCs w:val="24"/>
          <w:lang w:eastAsia="en-US"/>
        </w:rPr>
        <w:t>Coram:</w:t>
      </w:r>
      <w:r w:rsidRPr="00845A2E">
        <w:rPr>
          <w:rFonts w:eastAsiaTheme="minorHAnsi" w:cstheme="minorBidi"/>
          <w:szCs w:val="24"/>
          <w:lang w:eastAsia="en-US"/>
        </w:rPr>
        <w:t xml:space="preserve"> </w:t>
      </w:r>
      <w:proofErr w:type="spellStart"/>
      <w:r w:rsidRPr="00845A2E">
        <w:rPr>
          <w:rFonts w:eastAsiaTheme="minorHAnsi" w:cstheme="minorBidi"/>
          <w:szCs w:val="24"/>
          <w:lang w:eastAsia="en-US"/>
        </w:rPr>
        <w:t>McLachlin</w:t>
      </w:r>
      <w:proofErr w:type="spellEnd"/>
      <w:r w:rsidRPr="00845A2E">
        <w:rPr>
          <w:rFonts w:eastAsiaTheme="minorHAnsi" w:cstheme="minorBidi"/>
          <w:szCs w:val="24"/>
          <w:lang w:eastAsia="en-US"/>
        </w:rPr>
        <w:t xml:space="preserve"> C.J. and </w:t>
      </w:r>
      <w:proofErr w:type="spellStart"/>
      <w:r w:rsidRPr="00845A2E">
        <w:rPr>
          <w:rFonts w:eastAsiaTheme="minorHAnsi" w:cstheme="minorBidi"/>
          <w:szCs w:val="24"/>
          <w:lang w:eastAsia="en-US"/>
        </w:rPr>
        <w:t>Binnie</w:t>
      </w:r>
      <w:proofErr w:type="spellEnd"/>
      <w:r w:rsidRPr="00845A2E">
        <w:rPr>
          <w:rFonts w:eastAsiaTheme="minorHAnsi" w:cstheme="minorBidi"/>
          <w:szCs w:val="24"/>
          <w:lang w:eastAsia="en-US"/>
        </w:rPr>
        <w:t xml:space="preserve">, </w:t>
      </w:r>
      <w:proofErr w:type="spellStart"/>
      <w:r w:rsidRPr="00845A2E">
        <w:rPr>
          <w:rFonts w:eastAsiaTheme="minorHAnsi" w:cstheme="minorBidi"/>
          <w:szCs w:val="24"/>
          <w:lang w:eastAsia="en-US"/>
        </w:rPr>
        <w:t>LeBel</w:t>
      </w:r>
      <w:proofErr w:type="spellEnd"/>
      <w:r w:rsidRPr="00845A2E">
        <w:rPr>
          <w:rFonts w:eastAsiaTheme="minorHAnsi" w:cstheme="minorBidi"/>
          <w:szCs w:val="24"/>
          <w:lang w:eastAsia="en-US"/>
        </w:rPr>
        <w:t xml:space="preserve">, Fish, </w:t>
      </w:r>
      <w:proofErr w:type="spellStart"/>
      <w:r w:rsidRPr="00845A2E">
        <w:rPr>
          <w:rFonts w:eastAsiaTheme="minorHAnsi" w:cstheme="minorBidi"/>
          <w:szCs w:val="24"/>
          <w:lang w:eastAsia="en-US"/>
        </w:rPr>
        <w:t>Abella</w:t>
      </w:r>
      <w:proofErr w:type="spellEnd"/>
      <w:r w:rsidRPr="00845A2E">
        <w:rPr>
          <w:rFonts w:eastAsiaTheme="minorHAnsi" w:cstheme="minorBidi"/>
          <w:szCs w:val="24"/>
          <w:lang w:eastAsia="en-US"/>
        </w:rPr>
        <w:t xml:space="preserve">, </w:t>
      </w:r>
      <w:proofErr w:type="spellStart"/>
      <w:r w:rsidRPr="00845A2E">
        <w:rPr>
          <w:rFonts w:eastAsiaTheme="minorHAnsi" w:cstheme="minorBidi"/>
          <w:szCs w:val="24"/>
          <w:lang w:eastAsia="en-US"/>
        </w:rPr>
        <w:t>Charron</w:t>
      </w:r>
      <w:proofErr w:type="spellEnd"/>
      <w:r w:rsidRPr="00845A2E">
        <w:rPr>
          <w:rFonts w:eastAsiaTheme="minorHAnsi" w:cstheme="minorBidi"/>
          <w:szCs w:val="24"/>
          <w:lang w:eastAsia="en-US"/>
        </w:rPr>
        <w:t xml:space="preserve"> and Rothstein JJ.</w:t>
      </w:r>
    </w:p>
    <w:p w:rsidR="00CF704A" w:rsidRPr="00845A2E" w:rsidRDefault="00CF704A" w:rsidP="00CF704A">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F704A" w:rsidRPr="00845A2E" w:rsidTr="00C23EF6">
        <w:trPr>
          <w:cantSplit/>
        </w:trPr>
        <w:tc>
          <w:tcPr>
            <w:tcW w:w="3618" w:type="dxa"/>
          </w:tcPr>
          <w:p w:rsidR="00CF704A" w:rsidRPr="00845A2E" w:rsidRDefault="00CF704A" w:rsidP="00C23EF6">
            <w:pPr>
              <w:rPr>
                <w:b/>
                <w:smallCaps/>
              </w:rPr>
            </w:pPr>
            <w:r w:rsidRPr="00845A2E">
              <w:rPr>
                <w:b/>
                <w:smallCaps/>
              </w:rPr>
              <w:t>Reasons for Judgment:</w:t>
            </w:r>
          </w:p>
          <w:p w:rsidR="00CF704A" w:rsidRPr="00845A2E" w:rsidRDefault="00CF704A" w:rsidP="00C23EF6">
            <w:r w:rsidRPr="00845A2E">
              <w:t>(</w:t>
            </w:r>
            <w:proofErr w:type="spellStart"/>
            <w:r w:rsidRPr="00845A2E">
              <w:t>paras</w:t>
            </w:r>
            <w:proofErr w:type="spellEnd"/>
            <w:r w:rsidRPr="00845A2E">
              <w:t xml:space="preserve">. 1 to 14): </w:t>
            </w:r>
          </w:p>
          <w:p w:rsidR="00CF704A" w:rsidRPr="00845A2E" w:rsidRDefault="00CF704A" w:rsidP="00C23EF6"/>
        </w:tc>
        <w:tc>
          <w:tcPr>
            <w:tcW w:w="5958" w:type="dxa"/>
          </w:tcPr>
          <w:p w:rsidR="00CF704A" w:rsidRPr="00845A2E" w:rsidRDefault="00CF704A" w:rsidP="00C23EF6">
            <w:r w:rsidRPr="00845A2E">
              <w:t>The Court</w:t>
            </w:r>
          </w:p>
        </w:tc>
      </w:tr>
    </w:tbl>
    <w:p w:rsidR="00CF704A" w:rsidRPr="00845A2E" w:rsidRDefault="00CF704A" w:rsidP="00CF704A">
      <w:pPr>
        <w:rPr>
          <w:rFonts w:eastAsiaTheme="minorHAnsi" w:cstheme="minorBidi"/>
          <w:szCs w:val="24"/>
          <w:lang w:eastAsia="en-US"/>
        </w:rPr>
      </w:pPr>
      <w:r w:rsidRPr="00845A2E">
        <w:rPr>
          <w:rFonts w:eastAsiaTheme="minorHAnsi" w:cstheme="minorBidi"/>
          <w:b/>
          <w:smallCaps/>
          <w:szCs w:val="24"/>
          <w:lang w:eastAsia="en-US"/>
        </w:rPr>
        <w:t xml:space="preserve">Appeal heard and judgment rendered:  </w:t>
      </w:r>
      <w:r w:rsidRPr="00845A2E">
        <w:rPr>
          <w:rFonts w:eastAsiaTheme="minorHAnsi" w:cstheme="minorBidi"/>
          <w:szCs w:val="24"/>
          <w:lang w:eastAsia="en-US"/>
        </w:rPr>
        <w:t>April 12, 2011</w:t>
      </w:r>
    </w:p>
    <w:p w:rsidR="00CF704A" w:rsidRPr="00845A2E" w:rsidRDefault="00CF704A" w:rsidP="00CF704A">
      <w:pPr>
        <w:rPr>
          <w:rFonts w:eastAsiaTheme="minorHAnsi" w:cstheme="minorBidi"/>
          <w:b/>
          <w:smallCaps/>
          <w:szCs w:val="24"/>
          <w:lang w:eastAsia="en-US"/>
        </w:rPr>
      </w:pPr>
    </w:p>
    <w:p w:rsidR="00CF704A" w:rsidRPr="00845A2E" w:rsidRDefault="00CF704A" w:rsidP="00CF704A">
      <w:pPr>
        <w:rPr>
          <w:rFonts w:eastAsiaTheme="minorHAnsi" w:cstheme="minorBidi"/>
          <w:szCs w:val="24"/>
          <w:lang w:eastAsia="en-US"/>
        </w:rPr>
      </w:pPr>
      <w:r w:rsidRPr="00845A2E">
        <w:rPr>
          <w:rFonts w:eastAsiaTheme="minorHAnsi" w:cstheme="minorBidi"/>
          <w:b/>
          <w:smallCaps/>
          <w:szCs w:val="24"/>
          <w:lang w:eastAsia="en-US"/>
        </w:rPr>
        <w:t xml:space="preserve">Reasons delivered:  </w:t>
      </w:r>
      <w:r w:rsidRPr="00845A2E">
        <w:rPr>
          <w:rFonts w:eastAsiaTheme="minorHAnsi" w:cstheme="minorBidi"/>
          <w:szCs w:val="24"/>
          <w:lang w:eastAsia="en-US"/>
        </w:rPr>
        <w:t>May 5, 2011</w:t>
      </w:r>
    </w:p>
    <w:p w:rsidR="00CF704A" w:rsidRPr="00845A2E" w:rsidRDefault="00CF704A" w:rsidP="00CF704A">
      <w:pPr>
        <w:rPr>
          <w:rFonts w:eastAsiaTheme="minorHAnsi" w:cstheme="minorBidi"/>
          <w:szCs w:val="24"/>
          <w:lang w:eastAsia="en-US"/>
        </w:rPr>
      </w:pPr>
    </w:p>
    <w:p w:rsidR="00CF704A" w:rsidRPr="00845A2E" w:rsidRDefault="00CF704A" w:rsidP="00CF704A">
      <w:pPr>
        <w:rPr>
          <w:rFonts w:eastAsiaTheme="minorHAnsi" w:cstheme="minorBidi"/>
          <w:szCs w:val="24"/>
          <w:lang w:eastAsia="en-US"/>
        </w:rPr>
      </w:pPr>
    </w:p>
    <w:p w:rsidR="00CF704A" w:rsidRPr="00845A2E" w:rsidRDefault="00CF704A" w:rsidP="00CF704A">
      <w:pPr>
        <w:rPr>
          <w:rFonts w:eastAsiaTheme="minorHAnsi" w:cstheme="minorBidi"/>
          <w:szCs w:val="24"/>
          <w:lang w:eastAsia="en-US"/>
        </w:rPr>
      </w:pPr>
      <w:r w:rsidRPr="00663815">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F704A" w:rsidRPr="00845A2E" w:rsidRDefault="00CF704A" w:rsidP="00CF704A">
      <w:pPr>
        <w:rPr>
          <w:rStyle w:val="SCCRespondentForRunningHeadChar"/>
          <w:lang w:val="en-US"/>
        </w:rPr>
      </w:pPr>
      <w:r w:rsidRPr="00845A2E">
        <w:rPr>
          <w:rStyle w:val="SCCRespondentForRunningHeadChar"/>
          <w:lang w:val="en-US"/>
        </w:rPr>
        <w:br w:type="page"/>
      </w:r>
    </w:p>
    <w:p w:rsidR="008322BD" w:rsidRPr="00BC2DD1" w:rsidRDefault="00BC2DD1" w:rsidP="0035169A">
      <w:pPr>
        <w:spacing w:line="480" w:lineRule="auto"/>
        <w:jc w:val="both"/>
        <w:rPr>
          <w:lang w:val="en-US"/>
        </w:rPr>
      </w:pPr>
      <w:r w:rsidRPr="00BC2DD1">
        <w:lastRenderedPageBreak/>
        <w:t xml:space="preserve">R. </w:t>
      </w:r>
      <w:r w:rsidRPr="00BC2DD1">
        <w:rPr>
          <w:i/>
        </w:rPr>
        <w:t>v.</w:t>
      </w:r>
      <w:r w:rsidRPr="00BC2DD1">
        <w:t xml:space="preserve"> </w:t>
      </w:r>
      <w:proofErr w:type="spellStart"/>
      <w:r w:rsidRPr="00BC2DD1">
        <w:t>Loewen</w:t>
      </w:r>
      <w:proofErr w:type="spellEnd"/>
      <w:r w:rsidRPr="00BC2DD1">
        <w:rPr>
          <w:rStyle w:val="SCCAppellantForRunningHeadChar"/>
          <w:lang w:val="en-US"/>
        </w:rPr>
        <w:t>,</w:t>
      </w:r>
      <w:r>
        <w:rPr>
          <w:rStyle w:val="SCCAppellantForRunningHeadChar"/>
          <w:lang w:val="en-US"/>
        </w:rPr>
        <w:t xml:space="preserve"> </w:t>
      </w:r>
      <w:r w:rsidRPr="00BC2DD1">
        <w:rPr>
          <w:rStyle w:val="SCCRespondentForRunningHeadChar"/>
          <w:lang w:val="en-US"/>
        </w:rPr>
        <w:t xml:space="preserve">2011 SCC </w:t>
      </w:r>
      <w:r>
        <w:rPr>
          <w:rStyle w:val="SCCRespondentForRunningHeadChar"/>
          <w:lang w:val="en-US"/>
        </w:rPr>
        <w:t>2</w:t>
      </w:r>
      <w:r w:rsidRPr="00BC2DD1">
        <w:rPr>
          <w:rStyle w:val="SCCRespondentForRunningHeadChar"/>
          <w:lang w:val="en-US"/>
        </w:rPr>
        <w:t xml:space="preserve">1, [2011] </w:t>
      </w:r>
      <w:r>
        <w:rPr>
          <w:rStyle w:val="SCCRespondentForRunningHeadChar"/>
          <w:lang w:val="en-US"/>
        </w:rPr>
        <w:t>2</w:t>
      </w:r>
      <w:r w:rsidRPr="00BC2DD1">
        <w:rPr>
          <w:rStyle w:val="SCCRespondentForRunningHeadChar"/>
          <w:lang w:val="en-US"/>
        </w:rPr>
        <w:t xml:space="preserve"> S.C.R. </w:t>
      </w:r>
      <w:r>
        <w:rPr>
          <w:rStyle w:val="SCCRespondentForRunningHeadChar"/>
          <w:lang w:val="en-US"/>
        </w:rPr>
        <w:t>167</w:t>
      </w:r>
    </w:p>
    <w:p w:rsidR="00A149DF" w:rsidRPr="00BC2DD1" w:rsidRDefault="00A149DF" w:rsidP="00FC4EFB">
      <w:pPr>
        <w:jc w:val="both"/>
        <w:rPr>
          <w:lang w:val="en-US"/>
        </w:rPr>
      </w:pPr>
    </w:p>
    <w:p w:rsidR="001F2CCE" w:rsidRPr="00BC2DD1" w:rsidRDefault="00901833" w:rsidP="00984033">
      <w:pPr>
        <w:pStyle w:val="SCCLsocParty"/>
        <w:tabs>
          <w:tab w:val="right" w:pos="8280"/>
        </w:tabs>
        <w:rPr>
          <w:b/>
          <w:i/>
          <w:lang w:val="en-US"/>
        </w:rPr>
      </w:pPr>
      <w:r w:rsidRPr="00BC2DD1">
        <w:rPr>
          <w:b/>
          <w:lang w:val="en-US"/>
        </w:rPr>
        <w:t xml:space="preserve">Derek James </w:t>
      </w:r>
      <w:proofErr w:type="spellStart"/>
      <w:r w:rsidRPr="00BC2DD1">
        <w:rPr>
          <w:b/>
          <w:lang w:val="en-US"/>
        </w:rPr>
        <w:t>Loewen</w:t>
      </w:r>
      <w:proofErr w:type="spellEnd"/>
      <w:r w:rsidR="00984033" w:rsidRPr="00BC2DD1">
        <w:rPr>
          <w:lang w:val="en-US"/>
        </w:rPr>
        <w:tab/>
      </w:r>
      <w:r w:rsidRPr="00BC2DD1">
        <w:rPr>
          <w:i/>
          <w:lang w:val="en-US"/>
        </w:rPr>
        <w:t>Appellant</w:t>
      </w:r>
    </w:p>
    <w:p w:rsidR="00ED70F2" w:rsidRPr="00BC2DD1" w:rsidRDefault="00ED70F2">
      <w:pPr>
        <w:pStyle w:val="SCCLsocVersus"/>
        <w:rPr>
          <w:i/>
          <w:lang w:val="en-US"/>
        </w:rPr>
      </w:pPr>
    </w:p>
    <w:p w:rsidR="001F2CCE" w:rsidRPr="00ED70F2" w:rsidRDefault="00901833">
      <w:pPr>
        <w:pStyle w:val="SCCLsocVersus"/>
        <w:rPr>
          <w:i/>
        </w:rPr>
      </w:pPr>
      <w:proofErr w:type="gramStart"/>
      <w:r w:rsidRPr="00ED70F2">
        <w:rPr>
          <w:i/>
        </w:rPr>
        <w:t>v</w:t>
      </w:r>
      <w:proofErr w:type="gramEnd"/>
      <w:r w:rsidRPr="00ED70F2">
        <w:rPr>
          <w:i/>
        </w:rPr>
        <w:t>.</w:t>
      </w:r>
    </w:p>
    <w:p w:rsidR="00984033" w:rsidRDefault="00984033" w:rsidP="00984033"/>
    <w:p w:rsidR="001F2CCE" w:rsidRPr="00984033" w:rsidRDefault="00901833" w:rsidP="008034BE">
      <w:pPr>
        <w:pStyle w:val="SCCLsocParty"/>
        <w:tabs>
          <w:tab w:val="right" w:pos="8280"/>
        </w:tabs>
        <w:spacing w:line="480" w:lineRule="auto"/>
        <w:rPr>
          <w:b/>
          <w:i/>
        </w:rPr>
      </w:pPr>
      <w:r w:rsidRPr="00ED70F2">
        <w:rPr>
          <w:b/>
        </w:rPr>
        <w:t xml:space="preserve">Her Majesty </w:t>
      </w:r>
      <w:proofErr w:type="gramStart"/>
      <w:r w:rsidRPr="00ED70F2">
        <w:rPr>
          <w:b/>
        </w:rPr>
        <w:t>The</w:t>
      </w:r>
      <w:proofErr w:type="gramEnd"/>
      <w:r w:rsidRPr="00ED70F2">
        <w:rPr>
          <w:b/>
        </w:rPr>
        <w:t xml:space="preserve"> Queen</w:t>
      </w:r>
      <w:r w:rsidR="00984033">
        <w:tab/>
      </w:r>
      <w:r w:rsidRPr="00984033">
        <w:rPr>
          <w:i/>
        </w:rPr>
        <w:t>Respondent</w:t>
      </w:r>
    </w:p>
    <w:p w:rsidR="00426659" w:rsidRPr="00426659" w:rsidRDefault="00426659" w:rsidP="008034BE">
      <w:pPr>
        <w:spacing w:after="480" w:line="480" w:lineRule="auto"/>
        <w:jc w:val="both"/>
        <w:rPr>
          <w:b/>
        </w:rPr>
      </w:pPr>
      <w:r w:rsidRPr="00426659">
        <w:rPr>
          <w:b/>
        </w:rPr>
        <w:t>Indexed as:</w:t>
      </w:r>
      <w:r>
        <w:rPr>
          <w:b/>
        </w:rPr>
        <w:t xml:space="preserve"> </w:t>
      </w:r>
      <w:r w:rsidRPr="00426659">
        <w:rPr>
          <w:b/>
        </w:rPr>
        <w:t xml:space="preserve"> </w:t>
      </w:r>
      <w:r w:rsidR="00901833" w:rsidRPr="00901833">
        <w:rPr>
          <w:b/>
        </w:rPr>
        <w:t xml:space="preserve">R. </w:t>
      </w:r>
      <w:r w:rsidR="00901833" w:rsidRPr="00901833">
        <w:rPr>
          <w:b/>
          <w:i/>
        </w:rPr>
        <w:t>v.</w:t>
      </w:r>
      <w:r w:rsidR="00901833" w:rsidRPr="00901833">
        <w:rPr>
          <w:b/>
        </w:rPr>
        <w:t xml:space="preserve"> </w:t>
      </w:r>
      <w:r w:rsidRPr="00901833">
        <w:rPr>
          <w:b/>
        </w:rPr>
        <w:t>Loewen</w:t>
      </w:r>
    </w:p>
    <w:p w:rsidR="00426659" w:rsidRPr="00C02092" w:rsidRDefault="00566AD1" w:rsidP="008034BE">
      <w:pPr>
        <w:pStyle w:val="SCCSystemYear"/>
        <w:spacing w:after="480" w:line="480" w:lineRule="auto"/>
        <w:jc w:val="both"/>
      </w:pPr>
      <w:r>
        <w:t>2011</w:t>
      </w:r>
      <w:r w:rsidR="003D0399">
        <w:t xml:space="preserve"> </w:t>
      </w:r>
      <w:r w:rsidR="00624C3C">
        <w:t>SCC 21</w:t>
      </w:r>
    </w:p>
    <w:p w:rsidR="008322BD" w:rsidRDefault="009B57B3" w:rsidP="008034BE">
      <w:pPr>
        <w:spacing w:after="480" w:line="480" w:lineRule="auto"/>
        <w:jc w:val="both"/>
      </w:pPr>
      <w:r w:rsidRPr="001426A9">
        <w:t xml:space="preserve">File No.:  </w:t>
      </w:r>
      <w:r>
        <w:t>33914</w:t>
      </w:r>
      <w:r w:rsidRPr="001426A9">
        <w:t>.</w:t>
      </w:r>
    </w:p>
    <w:p w:rsidR="00023C9E" w:rsidRDefault="00023C9E" w:rsidP="00335916">
      <w:pPr>
        <w:spacing w:after="480"/>
        <w:jc w:val="both"/>
      </w:pPr>
      <w:r>
        <w:t xml:space="preserve">Hearing and Judgment: </w:t>
      </w:r>
      <w:r w:rsidR="00984033">
        <w:t xml:space="preserve"> </w:t>
      </w:r>
      <w:r>
        <w:t>April 12, 2011</w:t>
      </w:r>
      <w:r w:rsidR="008276D4">
        <w:t>.</w:t>
      </w:r>
    </w:p>
    <w:p w:rsidR="00023C9E" w:rsidRDefault="008276D4" w:rsidP="008034BE">
      <w:pPr>
        <w:spacing w:after="480" w:line="480" w:lineRule="auto"/>
        <w:jc w:val="both"/>
      </w:pPr>
      <w:r>
        <w:t xml:space="preserve">Reasons Delivered: </w:t>
      </w:r>
      <w:r w:rsidR="00984033">
        <w:t xml:space="preserve"> </w:t>
      </w:r>
      <w:r>
        <w:t>May 5, 2011.</w:t>
      </w:r>
    </w:p>
    <w:p w:rsidR="008322BD" w:rsidRDefault="009B57B3" w:rsidP="008034BE">
      <w:pPr>
        <w:spacing w:after="480" w:line="480" w:lineRule="auto"/>
        <w:jc w:val="both"/>
      </w:pPr>
      <w:r w:rsidRPr="001426A9">
        <w:t xml:space="preserve">Present:  </w:t>
      </w:r>
      <w:r>
        <w:t>McLachlin C.J. and Binnie, LeBel, Fish, Abella, Charron and Rothstein JJ.</w:t>
      </w:r>
    </w:p>
    <w:p w:rsidR="008322BD" w:rsidRPr="001C779F" w:rsidRDefault="00656313" w:rsidP="008034BE">
      <w:pPr>
        <w:pStyle w:val="SCCLowerCourtNameLowercase"/>
        <w:spacing w:after="48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901833">
        <w:t>for</w:t>
      </w:r>
      <w:r w:rsidR="009B57B3">
        <w:t xml:space="preserve"> alberta</w:t>
      </w:r>
    </w:p>
    <w:p w:rsidR="00411C36" w:rsidRDefault="00411C36" w:rsidP="001E6C61">
      <w:pPr>
        <w:pStyle w:val="SCCNormalDoubleSpacing"/>
        <w:spacing w:after="480"/>
        <w:rPr>
          <w:i/>
          <w:szCs w:val="24"/>
        </w:rPr>
      </w:pPr>
      <w:r>
        <w:rPr>
          <w:i/>
          <w:szCs w:val="24"/>
        </w:rPr>
        <w:tab/>
      </w:r>
      <w:r w:rsidRPr="001E6C61">
        <w:rPr>
          <w:i/>
        </w:rPr>
        <w:t>Constitutional</w:t>
      </w:r>
      <w:r w:rsidRPr="00124C2F">
        <w:rPr>
          <w:i/>
          <w:szCs w:val="24"/>
        </w:rPr>
        <w:t xml:space="preserve"> Law — </w:t>
      </w:r>
      <w:r w:rsidR="0041536F" w:rsidRPr="00124C2F">
        <w:rPr>
          <w:i/>
          <w:szCs w:val="24"/>
        </w:rPr>
        <w:fldChar w:fldCharType="begin"/>
      </w:r>
      <w:r w:rsidRPr="00124C2F">
        <w:rPr>
          <w:i/>
          <w:szCs w:val="24"/>
        </w:rPr>
        <w:instrText xml:space="preserve"> SEQ CHAPTER \h \r 1</w:instrText>
      </w:r>
      <w:r w:rsidR="0041536F" w:rsidRPr="00124C2F">
        <w:rPr>
          <w:i/>
          <w:szCs w:val="24"/>
        </w:rPr>
        <w:fldChar w:fldCharType="end"/>
      </w:r>
      <w:r w:rsidRPr="00124C2F">
        <w:rPr>
          <w:i/>
          <w:szCs w:val="24"/>
        </w:rPr>
        <w:t>Charter of Rights — S</w:t>
      </w:r>
      <w:r w:rsidR="0041536F" w:rsidRPr="00124C2F">
        <w:rPr>
          <w:i/>
          <w:szCs w:val="24"/>
        </w:rPr>
        <w:fldChar w:fldCharType="begin"/>
      </w:r>
      <w:r w:rsidRPr="00124C2F">
        <w:rPr>
          <w:i/>
          <w:szCs w:val="24"/>
        </w:rPr>
        <w:instrText xml:space="preserve"> SEQ CHAPTER \h \r 1</w:instrText>
      </w:r>
      <w:r w:rsidR="0041536F" w:rsidRPr="00124C2F">
        <w:rPr>
          <w:i/>
          <w:szCs w:val="24"/>
        </w:rPr>
        <w:fldChar w:fldCharType="end"/>
      </w:r>
      <w:r w:rsidRPr="00124C2F">
        <w:rPr>
          <w:i/>
          <w:szCs w:val="24"/>
        </w:rPr>
        <w:t>earch and seizure — Arbitrary detention</w:t>
      </w:r>
      <w:r>
        <w:rPr>
          <w:i/>
          <w:szCs w:val="24"/>
        </w:rPr>
        <w:t xml:space="preserve"> </w:t>
      </w:r>
      <w:r w:rsidRPr="00124C2F">
        <w:rPr>
          <w:i/>
          <w:szCs w:val="24"/>
        </w:rPr>
        <w:t xml:space="preserve">— Whether arrest of accused and search of his vehicle </w:t>
      </w:r>
      <w:r w:rsidRPr="00124C2F">
        <w:rPr>
          <w:i/>
        </w:rPr>
        <w:t>was lawful and reasonable</w:t>
      </w:r>
      <w:r>
        <w:rPr>
          <w:i/>
        </w:rPr>
        <w:t xml:space="preserve"> </w:t>
      </w:r>
      <w:r w:rsidRPr="00124C2F">
        <w:rPr>
          <w:i/>
          <w:szCs w:val="24"/>
        </w:rPr>
        <w:t>—</w:t>
      </w:r>
      <w:r w:rsidRPr="00124C2F">
        <w:rPr>
          <w:i/>
        </w:rPr>
        <w:t xml:space="preserve"> Whether evidence of cocaine seized during search was admissible</w:t>
      </w:r>
      <w:r>
        <w:rPr>
          <w:i/>
        </w:rPr>
        <w:t xml:space="preserve"> </w:t>
      </w:r>
      <w:r w:rsidRPr="00124C2F">
        <w:rPr>
          <w:i/>
          <w:szCs w:val="24"/>
        </w:rPr>
        <w:lastRenderedPageBreak/>
        <w:t>—</w:t>
      </w:r>
      <w:r>
        <w:rPr>
          <w:i/>
          <w:szCs w:val="24"/>
        </w:rPr>
        <w:t xml:space="preserve"> Canadian Charter of Rights and Freedoms, </w:t>
      </w:r>
      <w:r w:rsidR="00401FDE">
        <w:rPr>
          <w:i/>
          <w:szCs w:val="24"/>
        </w:rPr>
        <w:t>ss. </w:t>
      </w:r>
      <w:r>
        <w:rPr>
          <w:i/>
          <w:szCs w:val="24"/>
        </w:rPr>
        <w:t xml:space="preserve">8, 9, 24(2) </w:t>
      </w:r>
      <w:r w:rsidRPr="00124C2F">
        <w:rPr>
          <w:i/>
          <w:szCs w:val="24"/>
        </w:rPr>
        <w:t>—</w:t>
      </w:r>
      <w:r w:rsidR="00401FDE">
        <w:rPr>
          <w:i/>
          <w:szCs w:val="24"/>
        </w:rPr>
        <w:t xml:space="preserve"> Criminal Code, R.S.C. 1985, c. </w:t>
      </w:r>
      <w:r>
        <w:rPr>
          <w:i/>
          <w:szCs w:val="24"/>
        </w:rPr>
        <w:t>C</w:t>
      </w:r>
      <w:r w:rsidR="00401FDE">
        <w:rPr>
          <w:i/>
          <w:szCs w:val="24"/>
        </w:rPr>
        <w:noBreakHyphen/>
        <w:t>46, s. </w:t>
      </w:r>
      <w:r>
        <w:rPr>
          <w:i/>
          <w:szCs w:val="24"/>
        </w:rPr>
        <w:t>495(1)(a).</w:t>
      </w:r>
    </w:p>
    <w:p w:rsidR="00411C36" w:rsidRPr="00AD2135" w:rsidRDefault="00411C36" w:rsidP="001E6C61">
      <w:pPr>
        <w:pStyle w:val="SCCNormalDoubleSpacing"/>
        <w:spacing w:after="480"/>
        <w:rPr>
          <w:szCs w:val="24"/>
        </w:rPr>
      </w:pPr>
      <w:r>
        <w:rPr>
          <w:szCs w:val="24"/>
        </w:rPr>
        <w:tab/>
      </w:r>
      <w:r w:rsidRPr="001E6C61">
        <w:t>After</w:t>
      </w:r>
      <w:r w:rsidRPr="00AD2135">
        <w:rPr>
          <w:szCs w:val="24"/>
        </w:rPr>
        <w:t xml:space="preserve"> stopp</w:t>
      </w:r>
      <w:r>
        <w:rPr>
          <w:szCs w:val="24"/>
        </w:rPr>
        <w:t>ing</w:t>
      </w:r>
      <w:r w:rsidRPr="00AD2135">
        <w:rPr>
          <w:szCs w:val="24"/>
        </w:rPr>
        <w:t xml:space="preserve"> the accused for speeding</w:t>
      </w:r>
      <w:r>
        <w:rPr>
          <w:szCs w:val="24"/>
        </w:rPr>
        <w:t>, a police officer sme</w:t>
      </w:r>
      <w:r w:rsidRPr="00AD2135">
        <w:rPr>
          <w:szCs w:val="24"/>
        </w:rPr>
        <w:t>lled freshly burnt marijuana coming from the vehicle and</w:t>
      </w:r>
      <w:r>
        <w:rPr>
          <w:szCs w:val="24"/>
        </w:rPr>
        <w:t xml:space="preserve"> </w:t>
      </w:r>
      <w:r w:rsidRPr="00AD2135">
        <w:rPr>
          <w:szCs w:val="24"/>
        </w:rPr>
        <w:t>found</w:t>
      </w:r>
      <w:r w:rsidR="00401FDE">
        <w:rPr>
          <w:szCs w:val="24"/>
        </w:rPr>
        <w:t> $</w:t>
      </w:r>
      <w:r w:rsidRPr="00AD2135">
        <w:rPr>
          <w:szCs w:val="24"/>
        </w:rPr>
        <w:t>5,410 in the accused’s pocket.  He arrested the accused for possession of a controlled substance, searched the vehicle, and found 100 grams of crack cocaine.  The trial judge admitted the evidence of cocaine</w:t>
      </w:r>
      <w:r>
        <w:rPr>
          <w:szCs w:val="24"/>
        </w:rPr>
        <w:t xml:space="preserve">.  The accused was </w:t>
      </w:r>
      <w:r w:rsidRPr="00AD2135">
        <w:rPr>
          <w:szCs w:val="24"/>
        </w:rPr>
        <w:t>convicted</w:t>
      </w:r>
      <w:r>
        <w:rPr>
          <w:szCs w:val="24"/>
        </w:rPr>
        <w:t xml:space="preserve"> </w:t>
      </w:r>
      <w:r w:rsidRPr="00AD2135">
        <w:rPr>
          <w:szCs w:val="24"/>
        </w:rPr>
        <w:t xml:space="preserve">of </w:t>
      </w:r>
      <w:r w:rsidRPr="00AD2135">
        <w:rPr>
          <w:color w:val="000000"/>
          <w:szCs w:val="24"/>
        </w:rPr>
        <w:t xml:space="preserve">possession </w:t>
      </w:r>
      <w:r w:rsidRPr="00AD2135">
        <w:rPr>
          <w:szCs w:val="24"/>
        </w:rPr>
        <w:t xml:space="preserve">of </w:t>
      </w:r>
      <w:bookmarkStart w:id="0" w:name="HIT_5"/>
      <w:bookmarkStart w:id="1" w:name="ORIGHIT_5"/>
      <w:bookmarkEnd w:id="0"/>
      <w:bookmarkEnd w:id="1"/>
      <w:r w:rsidRPr="00AD2135">
        <w:rPr>
          <w:szCs w:val="24"/>
        </w:rPr>
        <w:t>cocaine for the purpose of trafficking.  A majority of the Court of Appeal upheld the conviction.</w:t>
      </w:r>
    </w:p>
    <w:p w:rsidR="00411C36" w:rsidRPr="00AD2135" w:rsidRDefault="00411C36" w:rsidP="001E6C61">
      <w:pPr>
        <w:pStyle w:val="SCCNormalDoubleSpacing"/>
        <w:spacing w:after="480"/>
      </w:pPr>
      <w:r>
        <w:rPr>
          <w:i/>
        </w:rPr>
        <w:tab/>
        <w:t>Held</w:t>
      </w:r>
      <w:r>
        <w:t xml:space="preserve">: </w:t>
      </w:r>
      <w:r w:rsidR="00401FDE">
        <w:t xml:space="preserve"> </w:t>
      </w:r>
      <w:r>
        <w:t>The appeal should be dismissed.</w:t>
      </w:r>
    </w:p>
    <w:p w:rsidR="00411C36" w:rsidRPr="001B4898" w:rsidRDefault="00411C36" w:rsidP="001E6C61">
      <w:pPr>
        <w:pStyle w:val="SCCNormalDoubleSpacing"/>
        <w:spacing w:after="480"/>
      </w:pPr>
      <w:r>
        <w:tab/>
        <w:t>The</w:t>
      </w:r>
      <w:r w:rsidRPr="001B4898">
        <w:t xml:space="preserve"> arrest and </w:t>
      </w:r>
      <w:r>
        <w:t xml:space="preserve">the </w:t>
      </w:r>
      <w:r w:rsidRPr="001B4898">
        <w:t>search</w:t>
      </w:r>
      <w:r>
        <w:t xml:space="preserve"> of the vehicle did not violate the </w:t>
      </w:r>
      <w:r w:rsidRPr="00AD2135">
        <w:rPr>
          <w:i/>
        </w:rPr>
        <w:t>Canadian Charter of Rights and Freedoms</w:t>
      </w:r>
      <w:r>
        <w:t xml:space="preserve"> and</w:t>
      </w:r>
      <w:r w:rsidRPr="001B4898">
        <w:t xml:space="preserve"> the evidence of</w:t>
      </w:r>
      <w:r>
        <w:t xml:space="preserve"> </w:t>
      </w:r>
      <w:r w:rsidRPr="001B4898">
        <w:t xml:space="preserve">cocaine </w:t>
      </w:r>
      <w:r>
        <w:t>was admissible</w:t>
      </w:r>
      <w:r w:rsidRPr="001B4898">
        <w:t xml:space="preserve">.  </w:t>
      </w:r>
      <w:r>
        <w:t xml:space="preserve">The police officer </w:t>
      </w:r>
      <w:r w:rsidRPr="001B4898">
        <w:t xml:space="preserve">had reasonable grounds to believe that </w:t>
      </w:r>
      <w:r>
        <w:t>the accused</w:t>
      </w:r>
      <w:r w:rsidRPr="001B4898">
        <w:t xml:space="preserve"> was in possession of sufficient marijuana to constitute an indictable offence</w:t>
      </w:r>
      <w:r>
        <w:t>.  The</w:t>
      </w:r>
      <w:r w:rsidRPr="001B4898">
        <w:t xml:space="preserve"> </w:t>
      </w:r>
      <w:r w:rsidR="008276D4">
        <w:t>accused</w:t>
      </w:r>
      <w:r>
        <w:t xml:space="preserve"> was not</w:t>
      </w:r>
      <w:r w:rsidRPr="001B4898">
        <w:t xml:space="preserve"> wrongful</w:t>
      </w:r>
      <w:r>
        <w:t>ly detained.  The</w:t>
      </w:r>
      <w:r w:rsidRPr="001B4898">
        <w:t xml:space="preserve"> arrest</w:t>
      </w:r>
      <w:r>
        <w:t xml:space="preserve"> </w:t>
      </w:r>
      <w:r w:rsidRPr="001B4898">
        <w:t>was lawful</w:t>
      </w:r>
      <w:r>
        <w:t xml:space="preserve"> and the</w:t>
      </w:r>
      <w:r w:rsidRPr="001B4898">
        <w:t xml:space="preserve"> search</w:t>
      </w:r>
      <w:r>
        <w:t xml:space="preserve"> was properly incidental to the arrest.  E</w:t>
      </w:r>
      <w:r w:rsidRPr="001B4898">
        <w:t xml:space="preserve">ven if a breach of the </w:t>
      </w:r>
      <w:r w:rsidRPr="007E3C10">
        <w:rPr>
          <w:i/>
        </w:rPr>
        <w:t xml:space="preserve">Charter </w:t>
      </w:r>
      <w:r w:rsidRPr="001B4898">
        <w:t>had been found, the evidence</w:t>
      </w:r>
      <w:r>
        <w:t xml:space="preserve"> </w:t>
      </w:r>
      <w:r w:rsidRPr="001B4898">
        <w:t>would be admissible under s.</w:t>
      </w:r>
      <w:r w:rsidR="00401FDE">
        <w:t> </w:t>
      </w:r>
      <w:r w:rsidRPr="001B4898">
        <w:t xml:space="preserve">24(2) of the </w:t>
      </w:r>
      <w:r w:rsidRPr="007E3C10">
        <w:rPr>
          <w:i/>
        </w:rPr>
        <w:t>Charter</w:t>
      </w:r>
      <w:r>
        <w:t>.</w:t>
      </w:r>
    </w:p>
    <w:p w:rsidR="007E1C47" w:rsidRDefault="002E6705" w:rsidP="00F05AED">
      <w:pPr>
        <w:pStyle w:val="SCCNormalDoubleSpacing"/>
        <w:tabs>
          <w:tab w:val="clear" w:pos="1168"/>
          <w:tab w:val="left" w:pos="1170"/>
        </w:tabs>
        <w:spacing w:after="480"/>
        <w:rPr>
          <w:b/>
        </w:rPr>
      </w:pPr>
      <w:r w:rsidRPr="00314E01">
        <w:rPr>
          <w:b/>
        </w:rPr>
        <w:t>Cases Cited</w:t>
      </w:r>
    </w:p>
    <w:p w:rsidR="004E2C26" w:rsidRPr="007E1C47" w:rsidRDefault="002E6705" w:rsidP="00F05AED">
      <w:pPr>
        <w:pStyle w:val="SCCNormalDoubleSpacing"/>
        <w:tabs>
          <w:tab w:val="clear" w:pos="1168"/>
          <w:tab w:val="left" w:pos="1170"/>
        </w:tabs>
        <w:spacing w:after="480"/>
      </w:pPr>
      <w:r>
        <w:tab/>
      </w:r>
      <w:r w:rsidRPr="00314E01">
        <w:rPr>
          <w:b/>
        </w:rPr>
        <w:t>Referred to:</w:t>
      </w:r>
      <w:r w:rsidR="00401FDE">
        <w:rPr>
          <w:b/>
        </w:rPr>
        <w:t>  </w:t>
      </w:r>
      <w:r w:rsidR="007256CF" w:rsidRPr="00381F8A">
        <w:rPr>
          <w:i/>
          <w:szCs w:val="24"/>
        </w:rPr>
        <w:t>R. v. Grant</w:t>
      </w:r>
      <w:r w:rsidR="007256CF" w:rsidRPr="00381F8A">
        <w:rPr>
          <w:szCs w:val="24"/>
        </w:rPr>
        <w:t>, 20</w:t>
      </w:r>
      <w:r w:rsidR="007256CF">
        <w:rPr>
          <w:szCs w:val="24"/>
        </w:rPr>
        <w:t>09 SCC 32, [2009] 2 S.C.R. 353.</w:t>
      </w:r>
    </w:p>
    <w:p w:rsidR="003B215F" w:rsidRDefault="002E6705" w:rsidP="00401FDE">
      <w:pPr>
        <w:pStyle w:val="SCCNormalDoubleSpacing"/>
        <w:keepNext/>
        <w:spacing w:after="720" w:line="240" w:lineRule="auto"/>
      </w:pPr>
      <w:r w:rsidRPr="00314E01">
        <w:rPr>
          <w:b/>
        </w:rPr>
        <w:lastRenderedPageBreak/>
        <w:t>Statutes and Regulations Cite</w:t>
      </w:r>
      <w:r w:rsidR="00A41805">
        <w:rPr>
          <w:b/>
        </w:rPr>
        <w:t>d</w:t>
      </w:r>
    </w:p>
    <w:p w:rsidR="00A149DF" w:rsidRDefault="007256CF" w:rsidP="00401FDE">
      <w:pPr>
        <w:pStyle w:val="SCCNormalDoubleSpacing"/>
        <w:spacing w:after="240" w:line="240" w:lineRule="auto"/>
        <w:ind w:left="547" w:hanging="547"/>
      </w:pPr>
      <w:proofErr w:type="gramStart"/>
      <w:r w:rsidRPr="007256CF">
        <w:rPr>
          <w:i/>
        </w:rPr>
        <w:t>Canadian Charter of Rights and Freedoms</w:t>
      </w:r>
      <w:r>
        <w:t xml:space="preserve">, </w:t>
      </w:r>
      <w:r w:rsidR="00401FDE">
        <w:t>ss. </w:t>
      </w:r>
      <w:r>
        <w:t>8, 9, 24(2).</w:t>
      </w:r>
      <w:proofErr w:type="gramEnd"/>
    </w:p>
    <w:p w:rsidR="006356DA" w:rsidRDefault="006356DA" w:rsidP="00401FDE">
      <w:pPr>
        <w:pStyle w:val="SCCNormalDoubleSpacing"/>
        <w:spacing w:after="240" w:line="240" w:lineRule="auto"/>
        <w:ind w:left="547" w:hanging="547"/>
      </w:pPr>
      <w:r w:rsidRPr="006356DA">
        <w:rPr>
          <w:i/>
        </w:rPr>
        <w:t>Controlled Drugs and Substances Act</w:t>
      </w:r>
      <w:r w:rsidR="00401FDE">
        <w:t>, S.C. 1996, c. 19, s. </w:t>
      </w:r>
      <w:r>
        <w:t>4.</w:t>
      </w:r>
    </w:p>
    <w:p w:rsidR="007256CF" w:rsidRPr="00401FDE" w:rsidRDefault="007256CF" w:rsidP="00401FDE">
      <w:pPr>
        <w:pStyle w:val="SCCNormalDoubleSpacing"/>
        <w:spacing w:after="720" w:line="240" w:lineRule="auto"/>
        <w:ind w:left="547" w:hanging="547"/>
        <w:rPr>
          <w:lang w:val="fr-CA"/>
        </w:rPr>
      </w:pPr>
      <w:r w:rsidRPr="00401FDE">
        <w:rPr>
          <w:i/>
          <w:lang w:val="fr-CA"/>
        </w:rPr>
        <w:t>Criminal Code</w:t>
      </w:r>
      <w:r w:rsidR="00401FDE">
        <w:rPr>
          <w:lang w:val="fr-CA"/>
        </w:rPr>
        <w:t>, R.S.C. 1985, c. </w:t>
      </w:r>
      <w:r w:rsidRPr="00401FDE">
        <w:rPr>
          <w:lang w:val="fr-CA"/>
        </w:rPr>
        <w:t>C</w:t>
      </w:r>
      <w:r w:rsidR="00401FDE" w:rsidRPr="00401FDE">
        <w:rPr>
          <w:lang w:val="fr-CA"/>
        </w:rPr>
        <w:noBreakHyphen/>
      </w:r>
      <w:r w:rsidR="00401FDE">
        <w:rPr>
          <w:lang w:val="fr-CA"/>
        </w:rPr>
        <w:t>46, s. </w:t>
      </w:r>
      <w:r w:rsidRPr="00401FDE">
        <w:rPr>
          <w:lang w:val="fr-CA"/>
        </w:rPr>
        <w:t>495(1).</w:t>
      </w:r>
    </w:p>
    <w:p w:rsidR="00656313" w:rsidRDefault="00901833" w:rsidP="00401FDE">
      <w:pPr>
        <w:pStyle w:val="SCCNormalDoubleSpacing"/>
        <w:spacing w:after="480"/>
      </w:pPr>
      <w:r w:rsidRPr="00401FDE">
        <w:rPr>
          <w:lang w:val="fr-CA"/>
        </w:rPr>
        <w:tab/>
      </w:r>
      <w:r w:rsidR="009B57B3" w:rsidRPr="001426A9">
        <w:t xml:space="preserve">APPEAL from a judgment of the </w:t>
      </w:r>
      <w:r>
        <w:t xml:space="preserve">Alberta </w:t>
      </w:r>
      <w:r w:rsidR="009B57B3">
        <w:t>Court of Appeal</w:t>
      </w:r>
      <w:r>
        <w:t xml:space="preserve"> (Hunt, Berger and Slatter JJ.A.), </w:t>
      </w:r>
      <w:r w:rsidR="009853D7">
        <w:t xml:space="preserve">2010 ABCA 255, 32 Alta. L.R. (5th) 203, 260 C.C.C. (3d) 296, 490 A.R. 72, [2011] 2 W.W.R. 15, [2010] A.J. </w:t>
      </w:r>
      <w:r w:rsidR="00401FDE">
        <w:t>No. </w:t>
      </w:r>
      <w:r w:rsidR="009853D7">
        <w:t>980 (QL), 2010 CarswellAlta 172</w:t>
      </w:r>
      <w:r w:rsidR="00401FDE">
        <w:t>1, affirming a decision of Ross </w:t>
      </w:r>
      <w:r w:rsidR="009853D7">
        <w:t xml:space="preserve">J., 2008 ABQB 660, 461 A.R. 193, [2008] A.J. </w:t>
      </w:r>
      <w:r w:rsidR="00401FDE">
        <w:t>No. </w:t>
      </w:r>
      <w:r w:rsidR="009853D7">
        <w:t xml:space="preserve">1187 (QL), 2008 CarswellAlta 1637. </w:t>
      </w:r>
      <w:r w:rsidR="007256CF">
        <w:t xml:space="preserve"> </w:t>
      </w:r>
      <w:r w:rsidR="009853D7">
        <w:t>Appeal dismissed.</w:t>
      </w:r>
    </w:p>
    <w:p w:rsidR="001F2CCE" w:rsidRDefault="00401FDE" w:rsidP="00401FDE">
      <w:pPr>
        <w:pStyle w:val="SCCNormalDoubleSpacing"/>
        <w:spacing w:after="480"/>
      </w:pPr>
      <w:r>
        <w:rPr>
          <w:rStyle w:val="SCCCounselNameChar"/>
        </w:rPr>
        <w:tab/>
      </w:r>
      <w:proofErr w:type="gramStart"/>
      <w:r>
        <w:rPr>
          <w:rStyle w:val="SCCCounselNameChar"/>
        </w:rPr>
        <w:t>Paul </w:t>
      </w:r>
      <w:r w:rsidR="00901833">
        <w:rPr>
          <w:rStyle w:val="SCCCounselNameChar"/>
        </w:rPr>
        <w:t>L. Moreau</w:t>
      </w:r>
      <w:r w:rsidR="00901833">
        <w:rPr>
          <w:rStyle w:val="SCCCounselSeparatorChar"/>
        </w:rPr>
        <w:t xml:space="preserve"> and </w:t>
      </w:r>
      <w:r w:rsidR="00901833">
        <w:rPr>
          <w:rStyle w:val="SCCCounselNameChar"/>
        </w:rPr>
        <w:t>Darin Slaferek</w:t>
      </w:r>
      <w:r w:rsidR="00901833">
        <w:rPr>
          <w:rStyle w:val="SCCCounselPartyRoleChar"/>
        </w:rPr>
        <w:t>, for the appellant.</w:t>
      </w:r>
      <w:proofErr w:type="gramEnd"/>
    </w:p>
    <w:p w:rsidR="001F2CCE" w:rsidRDefault="00901833" w:rsidP="00401FDE">
      <w:pPr>
        <w:pStyle w:val="SCCNormalDoubleSpacing"/>
        <w:spacing w:after="480"/>
      </w:pPr>
      <w:r>
        <w:rPr>
          <w:rStyle w:val="SCCCounselNameChar"/>
        </w:rPr>
        <w:tab/>
      </w:r>
      <w:proofErr w:type="gramStart"/>
      <w:r>
        <w:rPr>
          <w:rStyle w:val="SCCCounselNameChar"/>
        </w:rPr>
        <w:t>Monique Dion</w:t>
      </w:r>
      <w:r w:rsidRPr="00901833">
        <w:rPr>
          <w:rStyle w:val="SCCCounselNameChar"/>
          <w:i w:val="0"/>
        </w:rPr>
        <w:t xml:space="preserve"> </w:t>
      </w:r>
      <w:r>
        <w:rPr>
          <w:rStyle w:val="SCCCounselSeparatorChar"/>
        </w:rPr>
        <w:t>and</w:t>
      </w:r>
      <w:r w:rsidRPr="00901833">
        <w:rPr>
          <w:rStyle w:val="SCCCounselNameChar"/>
          <w:i w:val="0"/>
        </w:rPr>
        <w:t xml:space="preserve"> </w:t>
      </w:r>
      <w:r>
        <w:rPr>
          <w:rStyle w:val="SCCCounselNameChar"/>
        </w:rPr>
        <w:t>Ronald</w:t>
      </w:r>
      <w:r w:rsidR="00401FDE">
        <w:rPr>
          <w:rStyle w:val="SCCCounselNameChar"/>
        </w:rPr>
        <w:t> </w:t>
      </w:r>
      <w:r>
        <w:rPr>
          <w:rStyle w:val="SCCCounselNameChar"/>
        </w:rPr>
        <w:t>C. Reimer</w:t>
      </w:r>
      <w:r>
        <w:rPr>
          <w:rStyle w:val="SCCCounselPartyRoleChar"/>
        </w:rPr>
        <w:t>, for the respondent.</w:t>
      </w:r>
      <w:proofErr w:type="gramEnd"/>
    </w:p>
    <w:p w:rsidR="00F05AED" w:rsidRDefault="00F05AED" w:rsidP="005C67B6">
      <w:pPr>
        <w:tabs>
          <w:tab w:val="left" w:pos="-1440"/>
          <w:tab w:val="left" w:pos="-720"/>
          <w:tab w:val="left" w:pos="1170"/>
        </w:tabs>
        <w:spacing w:after="480" w:line="480" w:lineRule="auto"/>
        <w:jc w:val="both"/>
      </w:pPr>
      <w:r>
        <w:tab/>
        <w:t>The judgment of the Court was delivered by</w:t>
      </w:r>
    </w:p>
    <w:p w:rsidR="005C67B6" w:rsidRDefault="00F05AED" w:rsidP="00ED70F2">
      <w:pPr>
        <w:pStyle w:val="ParaNoNdepar-AltN"/>
      </w:pPr>
      <w:r w:rsidRPr="00580260">
        <w:rPr>
          <w:smallCaps/>
        </w:rPr>
        <w:t>The Chief Justice</w:t>
      </w:r>
      <w:r w:rsidRPr="00580260">
        <w:t xml:space="preserve"> — </w:t>
      </w:r>
      <w:r w:rsidR="005C67B6" w:rsidRPr="00580260">
        <w:t>Mr. Loewen was pulled over for speeding by Sergeant Topham.  At the roadside, the officer smelled freshly burnt marijuana coming from inside the vehicle, and found $5,410 in cash in Mr. Loewen’s pocket.  Sergeant Topham placed Mr. Loewen under arrest for possession of a controlled substance. He then searched Mr. Loewen’s vehicle and found 100 grams of crack cocaine.</w:t>
      </w:r>
    </w:p>
    <w:p w:rsidR="005C67B6" w:rsidRPr="00580260" w:rsidRDefault="005C67B6" w:rsidP="00ED70F2">
      <w:pPr>
        <w:pStyle w:val="ParaNoNdepar-AltN"/>
      </w:pPr>
      <w:r w:rsidRPr="00580260">
        <w:lastRenderedPageBreak/>
        <w:t xml:space="preserve">The issue in this case is whether the arrest and search of the vehicle violated the </w:t>
      </w:r>
      <w:r>
        <w:rPr>
          <w:i/>
        </w:rPr>
        <w:t xml:space="preserve">Canadian </w:t>
      </w:r>
      <w:r w:rsidRPr="00580260">
        <w:rPr>
          <w:i/>
        </w:rPr>
        <w:t>Charter</w:t>
      </w:r>
      <w:r>
        <w:rPr>
          <w:i/>
        </w:rPr>
        <w:t xml:space="preserve"> of Rights and Freedoms</w:t>
      </w:r>
      <w:r w:rsidRPr="00580260">
        <w:t xml:space="preserve">, and if so, whether the evidence of the cocaine should be excluded under s. 24(2) of the </w:t>
      </w:r>
      <w:r w:rsidRPr="00580260">
        <w:rPr>
          <w:i/>
        </w:rPr>
        <w:t>Charter</w:t>
      </w:r>
      <w:r w:rsidRPr="00580260">
        <w:t xml:space="preserve">.  The trial judge and a majority of the Alberta Court of Appeal held that there was no </w:t>
      </w:r>
      <w:r w:rsidRPr="00580260">
        <w:rPr>
          <w:i/>
        </w:rPr>
        <w:t>Charter</w:t>
      </w:r>
      <w:r w:rsidRPr="00580260">
        <w:t xml:space="preserve"> violation, and in the alternative, that the evidence should be admitted under s. 24(2) of the </w:t>
      </w:r>
      <w:r w:rsidRPr="00580260">
        <w:rPr>
          <w:i/>
        </w:rPr>
        <w:t>Charter</w:t>
      </w:r>
      <w:r w:rsidRPr="00580260">
        <w:t xml:space="preserve">.  Berger J.A. dissented, holding that the arrest of Mr. Loewen was unlawful under s. 495(1) of the </w:t>
      </w:r>
      <w:r w:rsidRPr="00580260">
        <w:rPr>
          <w:i/>
        </w:rPr>
        <w:t>Criminal Code</w:t>
      </w:r>
      <w:r>
        <w:t xml:space="preserve">, R.S.C. 1985, </w:t>
      </w:r>
      <w:proofErr w:type="gramStart"/>
      <w:r>
        <w:t>c</w:t>
      </w:r>
      <w:proofErr w:type="gramEnd"/>
      <w:r>
        <w:t>. C-46</w:t>
      </w:r>
      <w:r w:rsidRPr="00580260">
        <w:t xml:space="preserve">; that the search was unrelated to the arrest; and that the evidence thereby obtained was inadmissible under s. 24(2) of the </w:t>
      </w:r>
      <w:r w:rsidRPr="00580260">
        <w:rPr>
          <w:i/>
        </w:rPr>
        <w:t>Charter</w:t>
      </w:r>
      <w:r w:rsidRPr="00580260">
        <w:t>.</w:t>
      </w:r>
    </w:p>
    <w:p w:rsidR="005C67B6" w:rsidRPr="00580260" w:rsidRDefault="005C67B6" w:rsidP="00ED70F2">
      <w:pPr>
        <w:spacing w:after="720"/>
      </w:pPr>
      <w:r w:rsidRPr="00580260">
        <w:t>1.</w:t>
      </w:r>
      <w:r w:rsidRPr="00580260">
        <w:tab/>
      </w:r>
      <w:r w:rsidRPr="00580260">
        <w:rPr>
          <w:u w:val="single"/>
        </w:rPr>
        <w:t>Lawfulness of the Arrest Under Section 495(1</w:t>
      </w:r>
      <w:proofErr w:type="gramStart"/>
      <w:r w:rsidRPr="00580260">
        <w:rPr>
          <w:u w:val="single"/>
        </w:rPr>
        <w:t>)(</w:t>
      </w:r>
      <w:proofErr w:type="gramEnd"/>
      <w:r w:rsidRPr="001B0D6A">
        <w:rPr>
          <w:i/>
          <w:u w:val="single"/>
        </w:rPr>
        <w:t>a</w:t>
      </w:r>
      <w:r w:rsidRPr="00580260">
        <w:rPr>
          <w:u w:val="single"/>
        </w:rPr>
        <w:t xml:space="preserve">) of the </w:t>
      </w:r>
      <w:r w:rsidRPr="00580260">
        <w:rPr>
          <w:i/>
          <w:u w:val="single"/>
        </w:rPr>
        <w:t>Criminal Code</w:t>
      </w:r>
    </w:p>
    <w:p w:rsidR="005C67B6" w:rsidRPr="00580260" w:rsidRDefault="005C67B6" w:rsidP="00ED70F2">
      <w:pPr>
        <w:pStyle w:val="ParaNoNdepar-AltN"/>
      </w:pPr>
      <w:r w:rsidRPr="00580260">
        <w:t xml:space="preserve">If the arrest was unlawful, the detention of Mr. Loewen violates s. 9 of the </w:t>
      </w:r>
      <w:r w:rsidRPr="00580260">
        <w:rPr>
          <w:i/>
        </w:rPr>
        <w:t>Charter</w:t>
      </w:r>
      <w:r w:rsidRPr="00580260">
        <w:t xml:space="preserve">.  In that case, the search cannot have been incidental to arrest, and hence would violate s. 8 of the </w:t>
      </w:r>
      <w:r w:rsidRPr="00580260">
        <w:rPr>
          <w:i/>
        </w:rPr>
        <w:t>Charter</w:t>
      </w:r>
      <w:r w:rsidRPr="00580260">
        <w:t>. The first question is therefore whether the arrest was unlawful.</w:t>
      </w:r>
    </w:p>
    <w:p w:rsidR="005C67B6" w:rsidRPr="00580260" w:rsidRDefault="005C67B6" w:rsidP="00ED70F2">
      <w:pPr>
        <w:pStyle w:val="ParaNoNdepar-AltN"/>
      </w:pPr>
      <w:r w:rsidRPr="00580260">
        <w:t>The trial judge, Ross J., held that the arrest of Mr. Loewen was lawfully made pursuant to s. 495(1)(</w:t>
      </w:r>
      <w:r w:rsidRPr="005649A4">
        <w:rPr>
          <w:i/>
        </w:rPr>
        <w:t>a</w:t>
      </w:r>
      <w:r w:rsidRPr="00580260">
        <w:t xml:space="preserve">), which allows the officer to arrest an individual whom he believes on reasonable grounds has committed an </w:t>
      </w:r>
      <w:r w:rsidRPr="00580260">
        <w:rPr>
          <w:i/>
        </w:rPr>
        <w:t>indictable</w:t>
      </w:r>
      <w:r w:rsidRPr="00580260">
        <w:t xml:space="preserve"> offence</w:t>
      </w:r>
      <w:r>
        <w:t xml:space="preserve"> (2008 ABQB 660, 461 A.R. 193)</w:t>
      </w:r>
      <w:r w:rsidRPr="00580260">
        <w:t xml:space="preserve">.  In the case of marijuana, possession in excess of 30 grams is required to constitute an indictable offence: </w:t>
      </w:r>
      <w:r w:rsidRPr="00580260">
        <w:rPr>
          <w:bCs/>
          <w:i/>
          <w:lang w:val="en-US"/>
        </w:rPr>
        <w:t>Controlled Drugs and Substances Act</w:t>
      </w:r>
      <w:r w:rsidRPr="00580260">
        <w:rPr>
          <w:bCs/>
          <w:lang w:val="en-US"/>
        </w:rPr>
        <w:t>, S.C. 1996, c. 19, s. 4</w:t>
      </w:r>
      <w:r w:rsidRPr="00580260">
        <w:t xml:space="preserve">.  The trial judge held that Sergeant Topham had reasonable grounds to believe that Mr. Loewen was in possession of sufficient marijuana to </w:t>
      </w:r>
      <w:r w:rsidRPr="00580260">
        <w:lastRenderedPageBreak/>
        <w:t>constitute an indictable offence, having regard to the totality of the evidence, including the smell of burnt marijuana in the car and the sum of $5,410 found in Mr.</w:t>
      </w:r>
      <w:r>
        <w:t> </w:t>
      </w:r>
      <w:r w:rsidRPr="00580260">
        <w:t>Loewen’s pocket, mostly in $20 bills, which suggested that he was involved in the drug trade.</w:t>
      </w:r>
    </w:p>
    <w:p w:rsidR="005C67B6" w:rsidRPr="00580260" w:rsidRDefault="005C67B6" w:rsidP="00ED70F2">
      <w:pPr>
        <w:pStyle w:val="ParaNoNdepar-AltN"/>
      </w:pPr>
      <w:r w:rsidRPr="00580260">
        <w:t xml:space="preserve">Like the majority in the Court of Appeal, we find no error in the reasons of the trial judge on this point.  Both Slatter and Hunt JJ.A. </w:t>
      </w:r>
      <w:proofErr w:type="gramStart"/>
      <w:r w:rsidRPr="00580260">
        <w:t>correctly</w:t>
      </w:r>
      <w:proofErr w:type="gramEnd"/>
      <w:r w:rsidRPr="00580260">
        <w:t xml:space="preserve"> upheld the arrest under s. 495(1)(</w:t>
      </w:r>
      <w:r w:rsidRPr="00580260">
        <w:rPr>
          <w:i/>
        </w:rPr>
        <w:t>a</w:t>
      </w:r>
      <w:r w:rsidRPr="00580260">
        <w:t>)</w:t>
      </w:r>
      <w:r>
        <w:t xml:space="preserve"> (2010 ABCA 255, 32 Alta. L.R. (5</w:t>
      </w:r>
      <w:r w:rsidRPr="00580260">
        <w:t>th</w:t>
      </w:r>
      <w:r>
        <w:t>) 203)</w:t>
      </w:r>
      <w:r w:rsidRPr="00580260">
        <w:t>.  (The correctness of this conclusion is not affected by the fact that Slatter J.A. mistakenly held that the requirement of “reasonable grounds” in s. 495(1</w:t>
      </w:r>
      <w:proofErr w:type="gramStart"/>
      <w:r w:rsidRPr="00580260">
        <w:t>)(</w:t>
      </w:r>
      <w:proofErr w:type="gramEnd"/>
      <w:r w:rsidRPr="00580260">
        <w:rPr>
          <w:i/>
        </w:rPr>
        <w:t>a</w:t>
      </w:r>
      <w:r w:rsidRPr="00580260">
        <w:t xml:space="preserve">) is different from the requirement of “reasonable and probable grounds”.) </w:t>
      </w:r>
    </w:p>
    <w:p w:rsidR="005C67B6" w:rsidRPr="00580260" w:rsidRDefault="005C67B6" w:rsidP="00ED70F2">
      <w:pPr>
        <w:pStyle w:val="ParaNoNdepar-AltN"/>
      </w:pPr>
      <w:r w:rsidRPr="00580260">
        <w:t>Berger J.A., dissenting, took the view that the evidence did not support the trial judge’s inference that under s. 495(1</w:t>
      </w:r>
      <w:proofErr w:type="gramStart"/>
      <w:r w:rsidRPr="00580260">
        <w:t>)(</w:t>
      </w:r>
      <w:proofErr w:type="gramEnd"/>
      <w:r w:rsidRPr="00580260">
        <w:rPr>
          <w:i/>
        </w:rPr>
        <w:t>a</w:t>
      </w:r>
      <w:r w:rsidRPr="00580260">
        <w:t xml:space="preserve">) it was reasonable to believe that more than 30 grams of marijuana were in the car.  He noted the absence of testimony as to the amount of marijuana Sergeant Topham believed was in the car. </w:t>
      </w:r>
    </w:p>
    <w:p w:rsidR="005C67B6" w:rsidRPr="00580260" w:rsidRDefault="005C67B6" w:rsidP="00ED70F2">
      <w:pPr>
        <w:pStyle w:val="ParaNoNdepar-AltN"/>
      </w:pPr>
      <w:r w:rsidRPr="00580260">
        <w:t>We see no error in the conclusion of the trial judge that Sergeant Topham had reasonable grounds to arrest Mr. Loewen for possession of a controlled substance under s. 495(1)(</w:t>
      </w:r>
      <w:r w:rsidRPr="00580260">
        <w:rPr>
          <w:i/>
        </w:rPr>
        <w:t>a</w:t>
      </w:r>
      <w:r w:rsidRPr="00580260">
        <w:t>).  The evidence was sufficient to support her inference that the necessary grounds for arrest existed.  The trial judge stated:</w:t>
      </w:r>
    </w:p>
    <w:p w:rsidR="005C67B6" w:rsidRPr="00580260" w:rsidRDefault="008034BE" w:rsidP="008034BE">
      <w:pPr>
        <w:pStyle w:val="Citation"/>
        <w:tabs>
          <w:tab w:val="left" w:pos="1170"/>
        </w:tabs>
        <w:spacing w:after="240"/>
        <w:ind w:hanging="1166"/>
        <w:contextualSpacing w:val="0"/>
        <w:rPr>
          <w:szCs w:val="24"/>
        </w:rPr>
      </w:pPr>
      <w:r>
        <w:rPr>
          <w:szCs w:val="24"/>
        </w:rPr>
        <w:tab/>
      </w:r>
      <w:r w:rsidR="005C67B6" w:rsidRPr="00580260">
        <w:rPr>
          <w:szCs w:val="24"/>
        </w:rPr>
        <w:t>The large amount of cash was evidence that might have persuaded the sergeant to believe that he was dealing with something beyond 30 grams of marijuana.  The sergeant was no</w:t>
      </w:r>
      <w:r w:rsidR="005C67B6" w:rsidRPr="00580260">
        <w:rPr>
          <w:color w:val="1F497D"/>
          <w:szCs w:val="24"/>
        </w:rPr>
        <w:t>t</w:t>
      </w:r>
      <w:r w:rsidR="005C67B6" w:rsidRPr="00580260">
        <w:rPr>
          <w:szCs w:val="24"/>
        </w:rPr>
        <w:t xml:space="preserve"> examined or cross-examined on </w:t>
      </w:r>
      <w:r w:rsidR="005C67B6" w:rsidRPr="00580260">
        <w:rPr>
          <w:szCs w:val="24"/>
        </w:rPr>
        <w:lastRenderedPageBreak/>
        <w:t>exactly this point, but he was clear that in his view he did not have reasonable grounds based on the smell alone, but he did as soon as he became aware of the cash.  What the cash adds to the smell is an indication of buying or selling drugs in a relatively large quantity. </w:t>
      </w:r>
      <w:r w:rsidR="005C67B6">
        <w:rPr>
          <w:szCs w:val="24"/>
        </w:rPr>
        <w:t xml:space="preserve">. . . </w:t>
      </w:r>
    </w:p>
    <w:p w:rsidR="005C67B6" w:rsidRPr="00580260" w:rsidRDefault="005C67B6" w:rsidP="00ED70F2">
      <w:pPr>
        <w:pStyle w:val="Citation"/>
        <w:spacing w:after="240"/>
        <w:contextualSpacing w:val="0"/>
        <w:jc w:val="center"/>
      </w:pPr>
      <w:r w:rsidRPr="00580260">
        <w:t>.</w:t>
      </w:r>
      <w:r>
        <w:t xml:space="preserve"> </w:t>
      </w:r>
      <w:r w:rsidRPr="00580260">
        <w:t>.</w:t>
      </w:r>
      <w:r>
        <w:t xml:space="preserve"> </w:t>
      </w:r>
      <w:r w:rsidRPr="00580260">
        <w:t>.</w:t>
      </w:r>
    </w:p>
    <w:p w:rsidR="005C67B6" w:rsidRPr="00580260" w:rsidRDefault="008034BE" w:rsidP="00E2593F">
      <w:pPr>
        <w:pStyle w:val="Citation"/>
        <w:tabs>
          <w:tab w:val="left" w:pos="1170"/>
        </w:tabs>
        <w:ind w:hanging="1166"/>
        <w:contextualSpacing w:val="0"/>
      </w:pPr>
      <w:r>
        <w:tab/>
      </w:r>
      <w:r w:rsidR="00127409">
        <w:tab/>
      </w:r>
      <w:r w:rsidR="00127409">
        <w:tab/>
      </w:r>
      <w:r w:rsidR="005C67B6">
        <w:t>. . .</w:t>
      </w:r>
      <w:r w:rsidR="00F05AED">
        <w:t xml:space="preserve"> </w:t>
      </w:r>
      <w:r w:rsidR="005C67B6" w:rsidRPr="00580260">
        <w:t xml:space="preserve">Based on </w:t>
      </w:r>
      <w:r w:rsidR="005C67B6">
        <w:t xml:space="preserve">. . . </w:t>
      </w:r>
      <w:r w:rsidR="005C67B6" w:rsidRPr="00580260">
        <w:t xml:space="preserve">the </w:t>
      </w:r>
      <w:r w:rsidR="005C67B6" w:rsidRPr="008034BE">
        <w:rPr>
          <w:szCs w:val="24"/>
        </w:rPr>
        <w:t>smell</w:t>
      </w:r>
      <w:r w:rsidR="005C67B6" w:rsidRPr="00580260">
        <w:t>, the precise nature of it and where it came from, how that smell was associated with the accused and the accused alone, and the cash on the accused’s person, the officer came to the conclusion that the accused was currently in possession of marijuana, arrested him for this, and searched for evidence in a search incident to that arrest.  The sergeant’s subjective belief in the ground is not in doubt, and in my view that subjective belief was objectively reasonable in the circumstances. [para</w:t>
      </w:r>
      <w:r w:rsidR="005C67B6">
        <w:t>s</w:t>
      </w:r>
      <w:r w:rsidR="005C67B6" w:rsidRPr="00580260">
        <w:t>. 2</w:t>
      </w:r>
      <w:r w:rsidR="005C67B6">
        <w:t>3 and 26</w:t>
      </w:r>
      <w:r w:rsidR="005C67B6" w:rsidRPr="00580260">
        <w:t>]</w:t>
      </w:r>
    </w:p>
    <w:p w:rsidR="005C67B6" w:rsidRPr="00580260" w:rsidRDefault="005C67B6" w:rsidP="00ED70F2">
      <w:pPr>
        <w:pStyle w:val="ParaNoNdepar-AltN"/>
      </w:pPr>
      <w:r w:rsidRPr="00580260">
        <w:t>In our view, the evidence supports these conclusions, and the arrest under s. 495(1</w:t>
      </w:r>
      <w:proofErr w:type="gramStart"/>
      <w:r w:rsidRPr="00580260">
        <w:t>)(</w:t>
      </w:r>
      <w:proofErr w:type="gramEnd"/>
      <w:r w:rsidRPr="00580260">
        <w:rPr>
          <w:i/>
        </w:rPr>
        <w:t>a</w:t>
      </w:r>
      <w:r w:rsidRPr="00580260">
        <w:t xml:space="preserve">) was lawful.  It follows that the arrest did not violate the </w:t>
      </w:r>
      <w:r w:rsidRPr="00580260">
        <w:rPr>
          <w:i/>
        </w:rPr>
        <w:t>Charter</w:t>
      </w:r>
      <w:r w:rsidRPr="00580260">
        <w:t>’s protections against wrongful detention.</w:t>
      </w:r>
    </w:p>
    <w:p w:rsidR="005C67B6" w:rsidRPr="00580260" w:rsidRDefault="005C67B6" w:rsidP="00ED70F2">
      <w:pPr>
        <w:pStyle w:val="ParaNoNdepar-AltN"/>
      </w:pPr>
      <w:r w:rsidRPr="00580260">
        <w:t>In view of this conclusion, it is unnecessary to consider s. 495(1</w:t>
      </w:r>
      <w:proofErr w:type="gramStart"/>
      <w:r w:rsidRPr="00580260">
        <w:t>)(</w:t>
      </w:r>
      <w:proofErr w:type="gramEnd"/>
      <w:r w:rsidRPr="009A31DF">
        <w:rPr>
          <w:i/>
        </w:rPr>
        <w:t>b</w:t>
      </w:r>
      <w:r w:rsidRPr="00580260">
        <w:t>), which was not fully argued on appeal.</w:t>
      </w:r>
    </w:p>
    <w:p w:rsidR="005C67B6" w:rsidRPr="00580260" w:rsidRDefault="005C67B6" w:rsidP="00ED70F2">
      <w:pPr>
        <w:spacing w:after="720"/>
        <w:rPr>
          <w:u w:val="single"/>
        </w:rPr>
      </w:pPr>
      <w:r w:rsidRPr="00580260">
        <w:t>2.</w:t>
      </w:r>
      <w:r w:rsidRPr="00580260">
        <w:tab/>
      </w:r>
      <w:r w:rsidRPr="00580260">
        <w:rPr>
          <w:u w:val="single"/>
        </w:rPr>
        <w:t>Lawfulness of the Search Incident to Arrest</w:t>
      </w:r>
    </w:p>
    <w:p w:rsidR="005C67B6" w:rsidRPr="00580260" w:rsidRDefault="005C67B6" w:rsidP="00ED70F2">
      <w:pPr>
        <w:pStyle w:val="ParaNoNdepar-AltN"/>
        <w:rPr>
          <w:u w:val="single"/>
        </w:rPr>
      </w:pPr>
      <w:r w:rsidRPr="00580260">
        <w:t>The trial judg</w:t>
      </w:r>
      <w:r>
        <w:t>e noted that “[t]</w:t>
      </w:r>
      <w:proofErr w:type="gramStart"/>
      <w:r>
        <w:t>he</w:t>
      </w:r>
      <w:proofErr w:type="gramEnd"/>
      <w:r>
        <w:t xml:space="preserve"> connection of the search</w:t>
      </w:r>
      <w:r w:rsidRPr="00580260">
        <w:t xml:space="preserve"> to the arrest is not disputed”</w:t>
      </w:r>
      <w:r>
        <w:t xml:space="preserve"> (para. 27)</w:t>
      </w:r>
      <w:r w:rsidRPr="00580260">
        <w:t xml:space="preserve">.  Notwithstanding Berger J.A.’s view to the contrary, we conclude that the trial judge made no error in concluding that the search was properly incidental to arrest, and did not violate s. 8 of the </w:t>
      </w:r>
      <w:r w:rsidRPr="00580260">
        <w:rPr>
          <w:i/>
        </w:rPr>
        <w:t>Charter</w:t>
      </w:r>
      <w:r w:rsidRPr="00580260">
        <w:t>.</w:t>
      </w:r>
    </w:p>
    <w:p w:rsidR="005C67B6" w:rsidRPr="00580260" w:rsidRDefault="005C67B6" w:rsidP="00F05AED">
      <w:pPr>
        <w:tabs>
          <w:tab w:val="left" w:pos="720"/>
        </w:tabs>
        <w:spacing w:after="720"/>
      </w:pPr>
      <w:r w:rsidRPr="00580260">
        <w:t>3.</w:t>
      </w:r>
      <w:r w:rsidRPr="00580260">
        <w:tab/>
      </w:r>
      <w:r w:rsidRPr="00580260">
        <w:rPr>
          <w:u w:val="single"/>
        </w:rPr>
        <w:t>Section 24(2)</w:t>
      </w:r>
    </w:p>
    <w:p w:rsidR="005C67B6" w:rsidRPr="00580260" w:rsidRDefault="005C67B6" w:rsidP="00ED70F2">
      <w:pPr>
        <w:pStyle w:val="ParaNoNdepar-AltN"/>
      </w:pPr>
      <w:r w:rsidRPr="00580260">
        <w:lastRenderedPageBreak/>
        <w:t xml:space="preserve">Since we have found no </w:t>
      </w:r>
      <w:r w:rsidRPr="00580260">
        <w:rPr>
          <w:i/>
        </w:rPr>
        <w:t xml:space="preserve">Charter </w:t>
      </w:r>
      <w:r w:rsidRPr="00580260">
        <w:t xml:space="preserve">violation, it is not necessary to consider whether the evidence should be admitted under s. 24(2).  However, were it necessary to consider this issue, we would have rejected this ground of appeal.  </w:t>
      </w:r>
    </w:p>
    <w:p w:rsidR="005C67B6" w:rsidRPr="00580260" w:rsidRDefault="005C67B6" w:rsidP="00ED70F2">
      <w:pPr>
        <w:pStyle w:val="ParaNoNdepar-AltN"/>
      </w:pPr>
      <w:r w:rsidRPr="00580260">
        <w:t xml:space="preserve">The trial judge concluded that even if a breach of the </w:t>
      </w:r>
      <w:r w:rsidRPr="00580260">
        <w:rPr>
          <w:i/>
        </w:rPr>
        <w:t>Charter</w:t>
      </w:r>
      <w:r w:rsidRPr="00580260">
        <w:t xml:space="preserve"> had been found, the evidence obtained by the search would be admissible under s. 24(2) of the </w:t>
      </w:r>
      <w:r w:rsidRPr="00580260">
        <w:rPr>
          <w:i/>
        </w:rPr>
        <w:t>Charter</w:t>
      </w:r>
      <w:r w:rsidRPr="00580260">
        <w:t>:</w:t>
      </w:r>
    </w:p>
    <w:p w:rsidR="005C67B6" w:rsidRPr="00580260" w:rsidRDefault="008034BE" w:rsidP="008034BE">
      <w:pPr>
        <w:pStyle w:val="Citation"/>
        <w:tabs>
          <w:tab w:val="left" w:pos="1800"/>
        </w:tabs>
        <w:ind w:left="1440" w:hanging="1440"/>
      </w:pPr>
      <w:r>
        <w:tab/>
      </w:r>
      <w:r>
        <w:tab/>
      </w:r>
      <w:r w:rsidR="005C67B6">
        <w:t xml:space="preserve">. . . </w:t>
      </w:r>
      <w:proofErr w:type="gramStart"/>
      <w:r w:rsidR="005C67B6">
        <w:t>e</w:t>
      </w:r>
      <w:r w:rsidR="005C67B6" w:rsidRPr="00580260">
        <w:t>ven</w:t>
      </w:r>
      <w:proofErr w:type="gramEnd"/>
      <w:r w:rsidR="005C67B6" w:rsidRPr="00580260">
        <w:t xml:space="preserve"> if I had found a violation of s. 8, I would have admitted the evidence under s. 24(2) of the </w:t>
      </w:r>
      <w:r w:rsidR="005C67B6" w:rsidRPr="00580260">
        <w:rPr>
          <w:i/>
        </w:rPr>
        <w:t>Charter</w:t>
      </w:r>
      <w:r w:rsidR="005C67B6" w:rsidRPr="00580260">
        <w:t xml:space="preserve">.  The admission of the real evidence obtained by the search would not render the trial unfair.  That is conceded.  I do not view the </w:t>
      </w:r>
      <w:r w:rsidR="005C67B6" w:rsidRPr="00580260">
        <w:rPr>
          <w:i/>
        </w:rPr>
        <w:t>Charter</w:t>
      </w:r>
      <w:r w:rsidR="005C67B6" w:rsidRPr="00580260">
        <w:t xml:space="preserve"> breach as serious.  The officer, in my view, acted in good faith.  The accused had a reduced privacy interest in the vehicle, both because a vehicle was searched as opposed to a home, and because the accused was not the owner of the vehicle.  [para. 28]</w:t>
      </w:r>
    </w:p>
    <w:p w:rsidR="005C67B6" w:rsidRPr="00580260" w:rsidRDefault="005C67B6" w:rsidP="00ED70F2">
      <w:pPr>
        <w:spacing w:after="720"/>
      </w:pPr>
      <w:r w:rsidRPr="00580260">
        <w:t>On appeal, Berger J.A.</w:t>
      </w:r>
      <w:r>
        <w:t>,</w:t>
      </w:r>
      <w:r w:rsidRPr="00580260">
        <w:t xml:space="preserve"> dissenting, would have excluded the evidence.</w:t>
      </w:r>
    </w:p>
    <w:p w:rsidR="005C67B6" w:rsidRPr="00580260" w:rsidRDefault="005C67B6" w:rsidP="00ED70F2">
      <w:pPr>
        <w:pStyle w:val="ParaNoNdepar-AltN"/>
      </w:pPr>
      <w:r w:rsidRPr="00580260">
        <w:t>We see no error in the trial judge’s reasoning or conclusions on this po</w:t>
      </w:r>
      <w:r>
        <w:t>int.  Although her decision predated this Court’s decision</w:t>
      </w:r>
      <w:r w:rsidRPr="00580260">
        <w:t xml:space="preserve"> in </w:t>
      </w:r>
      <w:r w:rsidRPr="00580260">
        <w:rPr>
          <w:i/>
        </w:rPr>
        <w:t>R. v. Grant</w:t>
      </w:r>
      <w:r w:rsidRPr="00580260">
        <w:t xml:space="preserve">, 2009 SCC 32, [2009] 2 S.C.R. 353, she considered and weighed the relevant factors.  As the majority stated in </w:t>
      </w:r>
      <w:r w:rsidRPr="00580260">
        <w:rPr>
          <w:i/>
        </w:rPr>
        <w:t>Grant</w:t>
      </w:r>
      <w:r w:rsidRPr="00580260">
        <w:t xml:space="preserve">, </w:t>
      </w:r>
      <w:r>
        <w:t xml:space="preserve">at </w:t>
      </w:r>
      <w:r w:rsidRPr="00580260">
        <w:t>para</w:t>
      </w:r>
      <w:r>
        <w:t>.</w:t>
      </w:r>
      <w:r w:rsidRPr="00580260">
        <w:t xml:space="preserve"> 86, “[w]here the trial judge has considered the proper </w:t>
      </w:r>
      <w:proofErr w:type="gramStart"/>
      <w:r w:rsidRPr="00580260">
        <w:t>factors,</w:t>
      </w:r>
      <w:proofErr w:type="gramEnd"/>
      <w:r w:rsidRPr="00580260">
        <w:t xml:space="preserve"> appellate courts should accord considerable deference to his or her ultimate determination.”</w:t>
      </w:r>
    </w:p>
    <w:p w:rsidR="005C67B6" w:rsidRPr="00580260" w:rsidRDefault="00F05AED" w:rsidP="00ED70F2">
      <w:pPr>
        <w:spacing w:after="720"/>
        <w:rPr>
          <w:u w:val="single"/>
        </w:rPr>
      </w:pPr>
      <w:r>
        <w:t>4.</w:t>
      </w:r>
      <w:r>
        <w:tab/>
      </w:r>
      <w:r w:rsidR="005C67B6" w:rsidRPr="00580260">
        <w:rPr>
          <w:u w:val="single"/>
        </w:rPr>
        <w:t>Conclusion</w:t>
      </w:r>
    </w:p>
    <w:p w:rsidR="005C67B6" w:rsidRPr="00580260" w:rsidRDefault="005C67B6" w:rsidP="00ED70F2">
      <w:pPr>
        <w:pStyle w:val="ParaNoNdepar-AltN"/>
        <w:rPr>
          <w:u w:val="single"/>
        </w:rPr>
      </w:pPr>
      <w:r w:rsidRPr="00580260">
        <w:lastRenderedPageBreak/>
        <w:t>The appeal is dismissed.</w:t>
      </w:r>
    </w:p>
    <w:p w:rsidR="009B57B3" w:rsidRDefault="008F2F8A" w:rsidP="00401FDE">
      <w:pPr>
        <w:pStyle w:val="SCCNormalDoubleSpacing"/>
        <w:spacing w:after="480"/>
      </w:pPr>
      <w:r>
        <w:tab/>
      </w:r>
      <w:r w:rsidR="00656313" w:rsidRPr="00583EDE">
        <w:rPr>
          <w:i/>
        </w:rPr>
        <w:t>Appeal</w:t>
      </w:r>
      <w:r>
        <w:rPr>
          <w:i/>
        </w:rPr>
        <w:t xml:space="preserve"> dismissed.</w:t>
      </w:r>
    </w:p>
    <w:p w:rsidR="00A448A2" w:rsidRDefault="00401FDE" w:rsidP="00401FDE">
      <w:pPr>
        <w:pStyle w:val="SCCLawFirm"/>
        <w:spacing w:after="480"/>
      </w:pPr>
      <w:r>
        <w:tab/>
        <w:t>Solicitors for the appellant:</w:t>
      </w:r>
      <w:proofErr w:type="gramStart"/>
      <w:r>
        <w:t>  </w:t>
      </w:r>
      <w:r w:rsidR="00A448A2">
        <w:t>Moreau</w:t>
      </w:r>
      <w:proofErr w:type="gramEnd"/>
      <w:r w:rsidR="00A448A2">
        <w:t xml:space="preserve"> &amp; Company, Edmonton.</w:t>
      </w:r>
    </w:p>
    <w:p w:rsidR="009B57B3" w:rsidRPr="005C67B6" w:rsidRDefault="00401FDE" w:rsidP="005C67B6">
      <w:pPr>
        <w:pStyle w:val="SCCLawFirm"/>
        <w:rPr>
          <w:lang w:val="en-US"/>
        </w:rPr>
      </w:pPr>
      <w:r>
        <w:tab/>
        <w:t>Solicitor for the respondent:  </w:t>
      </w:r>
      <w:r w:rsidR="00A448A2">
        <w:t>Public Prosecution Service of Canada, Edmonton.</w:t>
      </w:r>
      <w:r w:rsidR="005C67B6" w:rsidRPr="005C67B6">
        <w:rPr>
          <w:lang w:val="en-US"/>
        </w:rPr>
        <w:t xml:space="preserve"> </w:t>
      </w:r>
    </w:p>
    <w:sectPr w:rsidR="009B57B3" w:rsidRPr="005C67B6" w:rsidSect="00E2593F">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33" w:rsidRDefault="00901833">
      <w:r>
        <w:separator/>
      </w:r>
    </w:p>
  </w:endnote>
  <w:endnote w:type="continuationSeparator" w:id="0">
    <w:p w:rsidR="00901833" w:rsidRDefault="009018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33" w:rsidRDefault="00901833">
      <w:r>
        <w:separator/>
      </w:r>
    </w:p>
  </w:footnote>
  <w:footnote w:type="continuationSeparator" w:id="0">
    <w:p w:rsidR="00901833" w:rsidRDefault="00901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3F" w:rsidRDefault="00E2593F" w:rsidP="00E2593F">
    <w:pPr>
      <w:pStyle w:val="Header"/>
      <w:ind w:left="360"/>
      <w:jc w:val="center"/>
    </w:pPr>
    <w:r>
      <w:t>-</w:t>
    </w:r>
    <w:sdt>
      <w:sdtPr>
        <w:id w:val="10905519"/>
        <w:docPartObj>
          <w:docPartGallery w:val="Page Numbers (Top of Page)"/>
          <w:docPartUnique/>
        </w:docPartObj>
      </w:sdtPr>
      <w:sdtContent>
        <w:r>
          <w:t xml:space="preserve"> </w:t>
        </w:r>
        <w:fldSimple w:instr=" PAGE   \* MERGEFORMAT ">
          <w:r w:rsidR="008E3D72">
            <w:rPr>
              <w:noProof/>
            </w:rPr>
            <w:t>2</w:t>
          </w:r>
        </w:fldSimple>
      </w:sdtContent>
    </w:sdt>
    <w:r>
      <w:t xml:space="preserve"> -</w:t>
    </w:r>
  </w:p>
  <w:p w:rsidR="00E2593F" w:rsidRDefault="00E259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628417F"/>
    <w:multiLevelType w:val="hybridMultilevel"/>
    <w:tmpl w:val="BFDAB3B6"/>
    <w:lvl w:ilvl="0" w:tplc="19927FF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10"/>
  </w:num>
  <w:num w:numId="5">
    <w:abstractNumId w:val="14"/>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rsids>
    <w:rsidRoot w:val="0031414C"/>
    <w:rsid w:val="00000ED4"/>
    <w:rsid w:val="000062C1"/>
    <w:rsid w:val="00023C9E"/>
    <w:rsid w:val="00025198"/>
    <w:rsid w:val="000578A3"/>
    <w:rsid w:val="000648CC"/>
    <w:rsid w:val="000C13E6"/>
    <w:rsid w:val="000C59B8"/>
    <w:rsid w:val="00104F33"/>
    <w:rsid w:val="00111DE2"/>
    <w:rsid w:val="00116B38"/>
    <w:rsid w:val="00127409"/>
    <w:rsid w:val="00135406"/>
    <w:rsid w:val="00135972"/>
    <w:rsid w:val="001426A9"/>
    <w:rsid w:val="00154D7C"/>
    <w:rsid w:val="001570B0"/>
    <w:rsid w:val="0015752C"/>
    <w:rsid w:val="00157737"/>
    <w:rsid w:val="00165277"/>
    <w:rsid w:val="00170592"/>
    <w:rsid w:val="001B33E0"/>
    <w:rsid w:val="001B4573"/>
    <w:rsid w:val="001C779F"/>
    <w:rsid w:val="001D2AC1"/>
    <w:rsid w:val="001D4E88"/>
    <w:rsid w:val="001E6C61"/>
    <w:rsid w:val="001F2CCE"/>
    <w:rsid w:val="00220FC2"/>
    <w:rsid w:val="00224FC0"/>
    <w:rsid w:val="00225EA4"/>
    <w:rsid w:val="00226EAF"/>
    <w:rsid w:val="00231F3A"/>
    <w:rsid w:val="002406EE"/>
    <w:rsid w:val="00243EC8"/>
    <w:rsid w:val="002745CC"/>
    <w:rsid w:val="002B7924"/>
    <w:rsid w:val="002D39A4"/>
    <w:rsid w:val="002E6705"/>
    <w:rsid w:val="0030329A"/>
    <w:rsid w:val="0031086F"/>
    <w:rsid w:val="0031414C"/>
    <w:rsid w:val="00314E01"/>
    <w:rsid w:val="0032089D"/>
    <w:rsid w:val="003310DE"/>
    <w:rsid w:val="0033254C"/>
    <w:rsid w:val="00335916"/>
    <w:rsid w:val="0035169A"/>
    <w:rsid w:val="0035259D"/>
    <w:rsid w:val="00364B18"/>
    <w:rsid w:val="003A4C70"/>
    <w:rsid w:val="003B215F"/>
    <w:rsid w:val="003C799C"/>
    <w:rsid w:val="003D0399"/>
    <w:rsid w:val="003E1C71"/>
    <w:rsid w:val="003F327B"/>
    <w:rsid w:val="00401FDE"/>
    <w:rsid w:val="00406166"/>
    <w:rsid w:val="0040704B"/>
    <w:rsid w:val="00410A55"/>
    <w:rsid w:val="00411300"/>
    <w:rsid w:val="00411C36"/>
    <w:rsid w:val="0041536F"/>
    <w:rsid w:val="00415417"/>
    <w:rsid w:val="00426659"/>
    <w:rsid w:val="00450352"/>
    <w:rsid w:val="00454BDB"/>
    <w:rsid w:val="00465132"/>
    <w:rsid w:val="00480C90"/>
    <w:rsid w:val="0048396F"/>
    <w:rsid w:val="00493C18"/>
    <w:rsid w:val="004A600C"/>
    <w:rsid w:val="004A6118"/>
    <w:rsid w:val="004C478D"/>
    <w:rsid w:val="004E2C26"/>
    <w:rsid w:val="005125A8"/>
    <w:rsid w:val="00521AE8"/>
    <w:rsid w:val="00527180"/>
    <w:rsid w:val="00555291"/>
    <w:rsid w:val="00566AD1"/>
    <w:rsid w:val="00583EDE"/>
    <w:rsid w:val="005C67B6"/>
    <w:rsid w:val="005D4744"/>
    <w:rsid w:val="005E4698"/>
    <w:rsid w:val="005F15D1"/>
    <w:rsid w:val="00610539"/>
    <w:rsid w:val="00613969"/>
    <w:rsid w:val="00624C3C"/>
    <w:rsid w:val="00625C35"/>
    <w:rsid w:val="006356DA"/>
    <w:rsid w:val="00650115"/>
    <w:rsid w:val="00656313"/>
    <w:rsid w:val="006565F4"/>
    <w:rsid w:val="00684EEA"/>
    <w:rsid w:val="0068530E"/>
    <w:rsid w:val="0069689B"/>
    <w:rsid w:val="006B5FF5"/>
    <w:rsid w:val="00701759"/>
    <w:rsid w:val="00705C15"/>
    <w:rsid w:val="007256CF"/>
    <w:rsid w:val="00747288"/>
    <w:rsid w:val="00747DD3"/>
    <w:rsid w:val="007549C8"/>
    <w:rsid w:val="00766D14"/>
    <w:rsid w:val="00767A0F"/>
    <w:rsid w:val="007768BD"/>
    <w:rsid w:val="007A05F6"/>
    <w:rsid w:val="007B6F4A"/>
    <w:rsid w:val="007E1C47"/>
    <w:rsid w:val="007E337A"/>
    <w:rsid w:val="007E5C70"/>
    <w:rsid w:val="007F2FF5"/>
    <w:rsid w:val="007F3F08"/>
    <w:rsid w:val="007F6FA6"/>
    <w:rsid w:val="008034BE"/>
    <w:rsid w:val="00804CC6"/>
    <w:rsid w:val="00817190"/>
    <w:rsid w:val="008260E2"/>
    <w:rsid w:val="008276D4"/>
    <w:rsid w:val="008322BD"/>
    <w:rsid w:val="00834F73"/>
    <w:rsid w:val="00864CF8"/>
    <w:rsid w:val="00874914"/>
    <w:rsid w:val="008903FA"/>
    <w:rsid w:val="00891422"/>
    <w:rsid w:val="00892E1A"/>
    <w:rsid w:val="008C01DA"/>
    <w:rsid w:val="008E3D72"/>
    <w:rsid w:val="008F2F8A"/>
    <w:rsid w:val="008F78E9"/>
    <w:rsid w:val="00901833"/>
    <w:rsid w:val="009179F9"/>
    <w:rsid w:val="00933E5E"/>
    <w:rsid w:val="00935218"/>
    <w:rsid w:val="009403F3"/>
    <w:rsid w:val="009555B7"/>
    <w:rsid w:val="009567AA"/>
    <w:rsid w:val="00967374"/>
    <w:rsid w:val="00975DF2"/>
    <w:rsid w:val="00984033"/>
    <w:rsid w:val="009853D7"/>
    <w:rsid w:val="009B2F23"/>
    <w:rsid w:val="009B57B3"/>
    <w:rsid w:val="009C5F93"/>
    <w:rsid w:val="009D2920"/>
    <w:rsid w:val="009D5AEB"/>
    <w:rsid w:val="009F0E33"/>
    <w:rsid w:val="00A149DF"/>
    <w:rsid w:val="00A21B90"/>
    <w:rsid w:val="00A41805"/>
    <w:rsid w:val="00A448A2"/>
    <w:rsid w:val="00A548CB"/>
    <w:rsid w:val="00A5521C"/>
    <w:rsid w:val="00A643E7"/>
    <w:rsid w:val="00A73C38"/>
    <w:rsid w:val="00AB670D"/>
    <w:rsid w:val="00AD77CB"/>
    <w:rsid w:val="00AD7FD9"/>
    <w:rsid w:val="00AF03C5"/>
    <w:rsid w:val="00B000D8"/>
    <w:rsid w:val="00B00F75"/>
    <w:rsid w:val="00B145B6"/>
    <w:rsid w:val="00B50C81"/>
    <w:rsid w:val="00B557F8"/>
    <w:rsid w:val="00B815FC"/>
    <w:rsid w:val="00B93FBC"/>
    <w:rsid w:val="00BB2EE4"/>
    <w:rsid w:val="00BC2108"/>
    <w:rsid w:val="00BC2DD1"/>
    <w:rsid w:val="00BD0E9E"/>
    <w:rsid w:val="00BD1BEC"/>
    <w:rsid w:val="00BD32FF"/>
    <w:rsid w:val="00C02092"/>
    <w:rsid w:val="00C24D91"/>
    <w:rsid w:val="00C53F14"/>
    <w:rsid w:val="00C600CF"/>
    <w:rsid w:val="00C6084F"/>
    <w:rsid w:val="00C62A66"/>
    <w:rsid w:val="00C71458"/>
    <w:rsid w:val="00C74642"/>
    <w:rsid w:val="00C77613"/>
    <w:rsid w:val="00C828E7"/>
    <w:rsid w:val="00C86719"/>
    <w:rsid w:val="00C921DD"/>
    <w:rsid w:val="00CA6391"/>
    <w:rsid w:val="00CE3171"/>
    <w:rsid w:val="00CF1601"/>
    <w:rsid w:val="00CF704A"/>
    <w:rsid w:val="00D0172F"/>
    <w:rsid w:val="00D068A7"/>
    <w:rsid w:val="00D32086"/>
    <w:rsid w:val="00D37A3F"/>
    <w:rsid w:val="00D4431D"/>
    <w:rsid w:val="00D4667A"/>
    <w:rsid w:val="00D7516F"/>
    <w:rsid w:val="00D95F8E"/>
    <w:rsid w:val="00DA0590"/>
    <w:rsid w:val="00DC1788"/>
    <w:rsid w:val="00DE14BC"/>
    <w:rsid w:val="00DE319C"/>
    <w:rsid w:val="00DF0CA8"/>
    <w:rsid w:val="00DF2B48"/>
    <w:rsid w:val="00DF49A7"/>
    <w:rsid w:val="00E07EE2"/>
    <w:rsid w:val="00E07FD1"/>
    <w:rsid w:val="00E24256"/>
    <w:rsid w:val="00E24573"/>
    <w:rsid w:val="00E2593F"/>
    <w:rsid w:val="00E25E1E"/>
    <w:rsid w:val="00E27EE7"/>
    <w:rsid w:val="00E300E3"/>
    <w:rsid w:val="00E35404"/>
    <w:rsid w:val="00E45109"/>
    <w:rsid w:val="00E47B7A"/>
    <w:rsid w:val="00E60269"/>
    <w:rsid w:val="00E67C6A"/>
    <w:rsid w:val="00E90C87"/>
    <w:rsid w:val="00E97830"/>
    <w:rsid w:val="00ED70F2"/>
    <w:rsid w:val="00EF0683"/>
    <w:rsid w:val="00F0070C"/>
    <w:rsid w:val="00F00EB7"/>
    <w:rsid w:val="00F05AED"/>
    <w:rsid w:val="00F24C2A"/>
    <w:rsid w:val="00F36AB6"/>
    <w:rsid w:val="00F37A09"/>
    <w:rsid w:val="00F409CE"/>
    <w:rsid w:val="00F4379D"/>
    <w:rsid w:val="00F84DF4"/>
    <w:rsid w:val="00F85C97"/>
    <w:rsid w:val="00FB37D2"/>
    <w:rsid w:val="00FC4EFB"/>
    <w:rsid w:val="00FD068D"/>
    <w:rsid w:val="00FD4F28"/>
    <w:rsid w:val="00FE0B13"/>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ED70F2"/>
    <w:rPr>
      <w:sz w:val="24"/>
    </w:rPr>
  </w:style>
  <w:style w:type="paragraph" w:styleId="Heading1">
    <w:name w:val="heading 1"/>
    <w:next w:val="Normal"/>
    <w:link w:val="Heading1Char"/>
    <w:uiPriority w:val="2"/>
    <w:rsid w:val="00ED70F2"/>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ED70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0F2"/>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ED70F2"/>
    <w:rPr>
      <w:color w:val="808080"/>
    </w:rPr>
  </w:style>
  <w:style w:type="paragraph" w:styleId="BalloonText">
    <w:name w:val="Balloon Text"/>
    <w:basedOn w:val="Normal"/>
    <w:link w:val="BalloonTextChar"/>
    <w:uiPriority w:val="99"/>
    <w:semiHidden/>
    <w:unhideWhenUsed/>
    <w:rsid w:val="00ED70F2"/>
    <w:rPr>
      <w:rFonts w:cs="Tahoma"/>
      <w:sz w:val="28"/>
      <w:szCs w:val="16"/>
    </w:rPr>
  </w:style>
  <w:style w:type="character" w:customStyle="1" w:styleId="BalloonTextChar">
    <w:name w:val="Balloon Text Char"/>
    <w:basedOn w:val="DefaultParagraphFont"/>
    <w:link w:val="BalloonText"/>
    <w:uiPriority w:val="99"/>
    <w:semiHidden/>
    <w:rsid w:val="00ED70F2"/>
    <w:rPr>
      <w:rFonts w:cs="Tahoma"/>
      <w:sz w:val="28"/>
      <w:szCs w:val="16"/>
    </w:rPr>
  </w:style>
  <w:style w:type="paragraph" w:styleId="Header">
    <w:name w:val="header"/>
    <w:basedOn w:val="Normal"/>
    <w:link w:val="HeaderChar"/>
    <w:uiPriority w:val="99"/>
    <w:unhideWhenUsed/>
    <w:rsid w:val="00ED70F2"/>
    <w:pPr>
      <w:tabs>
        <w:tab w:val="center" w:pos="4680"/>
        <w:tab w:val="right" w:pos="9360"/>
      </w:tabs>
    </w:pPr>
  </w:style>
  <w:style w:type="character" w:customStyle="1" w:styleId="HeaderChar">
    <w:name w:val="Header Char"/>
    <w:basedOn w:val="DefaultParagraphFont"/>
    <w:link w:val="Header"/>
    <w:uiPriority w:val="99"/>
    <w:rsid w:val="00ED70F2"/>
    <w:rPr>
      <w:sz w:val="24"/>
    </w:rPr>
  </w:style>
  <w:style w:type="paragraph" w:styleId="Footer">
    <w:name w:val="footer"/>
    <w:basedOn w:val="Normal"/>
    <w:link w:val="FooterChar"/>
    <w:uiPriority w:val="99"/>
    <w:semiHidden/>
    <w:unhideWhenUsed/>
    <w:rsid w:val="00ED70F2"/>
    <w:pPr>
      <w:tabs>
        <w:tab w:val="center" w:pos="4680"/>
        <w:tab w:val="right" w:pos="9360"/>
      </w:tabs>
    </w:pPr>
  </w:style>
  <w:style w:type="character" w:customStyle="1" w:styleId="FooterChar">
    <w:name w:val="Footer Char"/>
    <w:basedOn w:val="DefaultParagraphFont"/>
    <w:link w:val="Footer"/>
    <w:uiPriority w:val="99"/>
    <w:semiHidden/>
    <w:rsid w:val="00ED70F2"/>
    <w:rPr>
      <w:sz w:val="24"/>
    </w:rPr>
  </w:style>
  <w:style w:type="paragraph" w:customStyle="1" w:styleId="SCCLsocParty">
    <w:name w:val="SCC.Lsoc.Party"/>
    <w:basedOn w:val="Normal"/>
    <w:next w:val="Normal"/>
    <w:link w:val="SCCLsocPartyChar"/>
    <w:rsid w:val="00ED70F2"/>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ED70F2"/>
    <w:rPr>
      <w:rFonts w:eastAsiaTheme="minorHAnsi" w:cstheme="minorBidi"/>
      <w:sz w:val="24"/>
      <w:szCs w:val="22"/>
      <w:lang w:eastAsia="en-US"/>
    </w:rPr>
  </w:style>
  <w:style w:type="paragraph" w:customStyle="1" w:styleId="SCCLsocVersus">
    <w:name w:val="SCC.Lsoc.Versus"/>
    <w:basedOn w:val="Normal"/>
    <w:next w:val="Normal"/>
    <w:link w:val="SCCLsocVersusChar"/>
    <w:rsid w:val="00ED70F2"/>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ED70F2"/>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ED70F2"/>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ED70F2"/>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ED70F2"/>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ED70F2"/>
    <w:rPr>
      <w:rFonts w:eastAsiaTheme="minorHAnsi" w:cstheme="minorBidi"/>
      <w:sz w:val="24"/>
      <w:szCs w:val="22"/>
      <w:lang w:eastAsia="en-US"/>
    </w:rPr>
  </w:style>
  <w:style w:type="character" w:customStyle="1" w:styleId="Heading1Char">
    <w:name w:val="Heading 1 Char"/>
    <w:basedOn w:val="DefaultParagraphFont"/>
    <w:link w:val="Heading1"/>
    <w:uiPriority w:val="2"/>
    <w:rsid w:val="00ED70F2"/>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ED70F2"/>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5C67B6"/>
    <w:pPr>
      <w:ind w:left="720"/>
    </w:pPr>
  </w:style>
  <w:style w:type="paragraph" w:customStyle="1" w:styleId="SCCCoram">
    <w:name w:val="SCC.Coram"/>
    <w:basedOn w:val="Normal"/>
    <w:next w:val="Normal"/>
    <w:link w:val="SCCCoramChar"/>
    <w:rsid w:val="00ED70F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D70F2"/>
    <w:rPr>
      <w:rFonts w:eastAsiaTheme="minorHAnsi" w:cstheme="minorBidi"/>
      <w:sz w:val="24"/>
      <w:szCs w:val="22"/>
      <w:lang w:eastAsia="en-US"/>
    </w:rPr>
  </w:style>
  <w:style w:type="table" w:styleId="TableGrid">
    <w:name w:val="Table Grid"/>
    <w:basedOn w:val="TableNormal"/>
    <w:uiPriority w:val="59"/>
    <w:rsid w:val="00ED70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5C67B6"/>
    <w:pPr>
      <w:spacing w:after="720"/>
      <w:ind w:left="1166"/>
      <w:contextualSpacing/>
      <w:jc w:val="both"/>
    </w:pPr>
  </w:style>
  <w:style w:type="paragraph" w:customStyle="1" w:styleId="Para">
    <w:name w:val="Para"/>
    <w:basedOn w:val="Normal"/>
    <w:link w:val="ParaChar"/>
    <w:qFormat/>
    <w:rsid w:val="005C67B6"/>
    <w:pPr>
      <w:widowControl w:val="0"/>
      <w:spacing w:before="120" w:after="120" w:line="0" w:lineRule="atLeast"/>
      <w:ind w:firstLine="720"/>
      <w:jc w:val="both"/>
    </w:pPr>
    <w:rPr>
      <w:lang w:val="en-US"/>
    </w:rPr>
  </w:style>
  <w:style w:type="character" w:customStyle="1" w:styleId="ParaChar">
    <w:name w:val="Para Char"/>
    <w:basedOn w:val="DefaultParagraphFont"/>
    <w:link w:val="Para"/>
    <w:rsid w:val="005C67B6"/>
    <w:rPr>
      <w:sz w:val="24"/>
      <w:lang w:val="en-US"/>
    </w:rPr>
  </w:style>
  <w:style w:type="paragraph" w:customStyle="1" w:styleId="SCCLsocOtherPartyRoleSeparator">
    <w:name w:val="SCC.Lsoc.OtherPartyRoleSeparator"/>
    <w:basedOn w:val="Normal"/>
    <w:next w:val="Normal"/>
    <w:link w:val="SCCLsocOtherPartyRoleSeparatorChar"/>
    <w:rsid w:val="00ED70F2"/>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ED70F2"/>
    <w:rPr>
      <w:rFonts w:eastAsiaTheme="minorHAnsi" w:cstheme="minorBidi"/>
      <w:sz w:val="24"/>
      <w:szCs w:val="22"/>
      <w:lang w:eastAsia="en-US"/>
    </w:rPr>
  </w:style>
  <w:style w:type="character" w:customStyle="1" w:styleId="SCCBanSummaryChar">
    <w:name w:val="SCC.BanSummary Char"/>
    <w:basedOn w:val="DefaultParagraphFont"/>
    <w:link w:val="SCCBanSummary"/>
    <w:rsid w:val="00ED70F2"/>
    <w:rPr>
      <w:rFonts w:eastAsiaTheme="minorEastAsia"/>
      <w:b/>
      <w:sz w:val="24"/>
      <w:szCs w:val="24"/>
    </w:rPr>
  </w:style>
  <w:style w:type="paragraph" w:customStyle="1" w:styleId="JudgeJuge">
    <w:name w:val="Judge / Juge"/>
    <w:link w:val="JudgeJugeChar"/>
    <w:uiPriority w:val="3"/>
    <w:rsid w:val="00ED70F2"/>
    <w:pPr>
      <w:tabs>
        <w:tab w:val="left" w:pos="1260"/>
      </w:tabs>
      <w:spacing w:after="480" w:line="480" w:lineRule="auto"/>
    </w:pPr>
    <w:rPr>
      <w:smallCaps/>
      <w:sz w:val="24"/>
    </w:rPr>
  </w:style>
  <w:style w:type="paragraph" w:customStyle="1" w:styleId="Citation-AltC">
    <w:name w:val="Citation - Alt C"/>
    <w:uiPriority w:val="2"/>
    <w:qFormat/>
    <w:rsid w:val="00ED70F2"/>
    <w:pPr>
      <w:spacing w:after="720"/>
      <w:ind w:left="1166"/>
      <w:contextualSpacing/>
      <w:jc w:val="both"/>
    </w:pPr>
    <w:rPr>
      <w:sz w:val="24"/>
    </w:rPr>
  </w:style>
  <w:style w:type="character" w:styleId="CommentReference">
    <w:name w:val="annotation reference"/>
    <w:basedOn w:val="DefaultParagraphFont"/>
    <w:uiPriority w:val="99"/>
    <w:semiHidden/>
    <w:unhideWhenUsed/>
    <w:rsid w:val="00ED70F2"/>
    <w:rPr>
      <w:sz w:val="16"/>
      <w:szCs w:val="16"/>
    </w:rPr>
  </w:style>
  <w:style w:type="paragraph" w:styleId="CommentText">
    <w:name w:val="annotation text"/>
    <w:basedOn w:val="Normal"/>
    <w:link w:val="CommentTextChar"/>
    <w:uiPriority w:val="99"/>
    <w:semiHidden/>
    <w:unhideWhenUsed/>
    <w:rsid w:val="00ED70F2"/>
    <w:rPr>
      <w:sz w:val="20"/>
    </w:rPr>
  </w:style>
  <w:style w:type="character" w:customStyle="1" w:styleId="CommentTextChar">
    <w:name w:val="Comment Text Char"/>
    <w:basedOn w:val="DefaultParagraphFont"/>
    <w:link w:val="CommentText"/>
    <w:uiPriority w:val="99"/>
    <w:semiHidden/>
    <w:rsid w:val="00ED70F2"/>
  </w:style>
  <w:style w:type="paragraph" w:styleId="CommentSubject">
    <w:name w:val="annotation subject"/>
    <w:basedOn w:val="CommentText"/>
    <w:next w:val="CommentText"/>
    <w:link w:val="CommentSubjectChar"/>
    <w:uiPriority w:val="99"/>
    <w:semiHidden/>
    <w:unhideWhenUsed/>
    <w:rsid w:val="00ED70F2"/>
    <w:rPr>
      <w:b/>
      <w:bCs/>
    </w:rPr>
  </w:style>
  <w:style w:type="character" w:customStyle="1" w:styleId="CommentSubjectChar">
    <w:name w:val="Comment Subject Char"/>
    <w:basedOn w:val="CommentTextChar"/>
    <w:link w:val="CommentSubject"/>
    <w:uiPriority w:val="99"/>
    <w:semiHidden/>
    <w:rsid w:val="00ED70F2"/>
    <w:rPr>
      <w:b/>
      <w:bCs/>
    </w:rPr>
  </w:style>
  <w:style w:type="paragraph" w:customStyle="1" w:styleId="ContinueParaSuitedupar-AltP">
    <w:name w:val="Continue Para. / Suite du par. - Alt P"/>
    <w:next w:val="ParaNoNdepar-AltN"/>
    <w:uiPriority w:val="1"/>
    <w:qFormat/>
    <w:rsid w:val="00ED70F2"/>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ED70F2"/>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ED70F2"/>
    <w:pPr>
      <w:numPr>
        <w:numId w:val="17"/>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ED70F2"/>
    <w:rPr>
      <w:smallCap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Apr%2029%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Ltr_J18_e revised Apr 29 2011.dotx</Template>
  <TotalTime>0</TotalTime>
  <Pages>9</Pages>
  <Words>1631</Words>
  <Characters>8060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2011-05-11T18:46:00Z</dcterms:created>
  <dcterms:modified xsi:type="dcterms:W3CDTF">2011-10-07T17:22:00Z</dcterms:modified>
</cp:coreProperties>
</file>