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3" w:rsidRPr="00D750BA" w:rsidRDefault="00770F53" w:rsidP="00770F53">
      <w:pPr>
        <w:tabs>
          <w:tab w:val="center" w:pos="4680"/>
          <w:tab w:val="right" w:pos="9360"/>
        </w:tabs>
        <w:rPr>
          <w:rFonts w:eastAsiaTheme="minorHAnsi" w:cstheme="minorBidi"/>
          <w:szCs w:val="24"/>
          <w:lang w:eastAsia="en-US"/>
        </w:rPr>
      </w:pPr>
      <w:r w:rsidRPr="00D750BA">
        <w:rPr>
          <w:rFonts w:eastAsiaTheme="minorHAnsi" w:cstheme="minorBidi"/>
          <w:szCs w:val="24"/>
          <w:lang w:eastAsia="en-US"/>
        </w:rPr>
        <w:ptab w:relativeTo="margin" w:alignment="center" w:leader="none"/>
      </w:r>
      <w:r w:rsidRPr="00D750BA">
        <w:rPr>
          <w:rFonts w:eastAsiaTheme="minorHAnsi" w:cstheme="minorBidi"/>
          <w:szCs w:val="24"/>
          <w:lang w:eastAsia="en-US"/>
        </w:rPr>
        <w:t xml:space="preserve"> </w:t>
      </w:r>
      <w:r w:rsidRPr="00D750B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6219765" r:id="rId9"/>
        </w:object>
      </w:r>
      <w:r w:rsidRPr="00D750BA">
        <w:rPr>
          <w:rFonts w:eastAsiaTheme="minorHAnsi" w:cstheme="minorBidi"/>
          <w:szCs w:val="24"/>
          <w:lang w:eastAsia="en-US"/>
        </w:rPr>
        <w:t xml:space="preserve"> </w:t>
      </w:r>
      <w:r w:rsidRPr="00D750BA">
        <w:rPr>
          <w:rFonts w:eastAsiaTheme="minorHAnsi" w:cstheme="minorBidi"/>
          <w:szCs w:val="24"/>
          <w:lang w:eastAsia="en-US"/>
        </w:rPr>
        <w:ptab w:relativeTo="margin" w:alignment="right" w:leader="none"/>
      </w:r>
    </w:p>
    <w:p w:rsidR="00770F53" w:rsidRPr="00D750BA" w:rsidRDefault="00770F53" w:rsidP="00770F53">
      <w:pPr>
        <w:tabs>
          <w:tab w:val="center" w:pos="4680"/>
          <w:tab w:val="right" w:pos="9360"/>
        </w:tabs>
        <w:rPr>
          <w:rFonts w:eastAsiaTheme="minorHAnsi" w:cstheme="minorBidi"/>
          <w:szCs w:val="24"/>
          <w:lang w:eastAsia="en-US"/>
        </w:rPr>
      </w:pPr>
    </w:p>
    <w:p w:rsidR="00770F53" w:rsidRPr="00D750BA" w:rsidRDefault="00770F53" w:rsidP="00770F53">
      <w:pPr>
        <w:jc w:val="center"/>
        <w:rPr>
          <w:rFonts w:eastAsiaTheme="minorHAnsi" w:cstheme="minorBidi"/>
          <w:b/>
          <w:szCs w:val="24"/>
          <w:lang w:eastAsia="en-US"/>
        </w:rPr>
      </w:pPr>
      <w:r w:rsidRPr="00D750BA">
        <w:rPr>
          <w:rFonts w:eastAsiaTheme="minorHAnsi" w:cstheme="minorBidi"/>
          <w:b/>
          <w:szCs w:val="24"/>
          <w:lang w:eastAsia="en-US"/>
        </w:rPr>
        <w:t>SUPREME COURT OF CANADA</w:t>
      </w:r>
    </w:p>
    <w:p w:rsidR="00770F53" w:rsidRPr="00D750BA" w:rsidRDefault="00770F53" w:rsidP="00770F5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70F53" w:rsidRPr="00D750BA" w:rsidTr="00C52FEE">
        <w:trPr>
          <w:cantSplit/>
        </w:trPr>
        <w:tc>
          <w:tcPr>
            <w:tcW w:w="6768" w:type="dxa"/>
          </w:tcPr>
          <w:p w:rsidR="00770F53" w:rsidRPr="00770F53" w:rsidRDefault="00770F53" w:rsidP="00C52FEE">
            <w:pPr>
              <w:rPr>
                <w:lang w:val="fr-CA"/>
              </w:rPr>
            </w:pPr>
            <w:r w:rsidRPr="00D750BA">
              <w:rPr>
                <w:b/>
                <w:smallCaps/>
                <w:lang w:val="fr-CA"/>
              </w:rPr>
              <w:t>Citation:</w:t>
            </w:r>
            <w:r w:rsidRPr="00D750BA">
              <w:rPr>
                <w:lang w:val="fr-CA"/>
              </w:rPr>
              <w:t xml:space="preserve"> R. </w:t>
            </w:r>
            <w:r w:rsidRPr="00D750BA">
              <w:rPr>
                <w:i/>
                <w:lang w:val="fr-CA"/>
              </w:rPr>
              <w:t>v</w:t>
            </w:r>
            <w:r w:rsidRPr="00D750BA">
              <w:rPr>
                <w:lang w:val="fr-CA"/>
              </w:rPr>
              <w:t xml:space="preserve">. Reynolds, </w:t>
            </w:r>
            <w:r w:rsidRPr="00770F53">
              <w:rPr>
                <w:rStyle w:val="SCCRespondentForRunningHeadChar"/>
                <w:lang w:val="fr-CA"/>
              </w:rPr>
              <w:t>2011 SCC 19, [2011] 1 S.C.R. 693</w:t>
            </w:r>
          </w:p>
        </w:tc>
        <w:tc>
          <w:tcPr>
            <w:tcW w:w="2808" w:type="dxa"/>
          </w:tcPr>
          <w:p w:rsidR="00770F53" w:rsidRPr="00D750BA" w:rsidRDefault="00770F53" w:rsidP="00C52FEE">
            <w:r w:rsidRPr="00D750BA">
              <w:rPr>
                <w:b/>
                <w:smallCaps/>
              </w:rPr>
              <w:t>Date:</w:t>
            </w:r>
            <w:r w:rsidRPr="00D750BA">
              <w:t xml:space="preserve"> 20110428</w:t>
            </w:r>
          </w:p>
          <w:p w:rsidR="00770F53" w:rsidRPr="00D750BA" w:rsidRDefault="00770F53" w:rsidP="00C52FEE">
            <w:r w:rsidRPr="00D750BA">
              <w:rPr>
                <w:b/>
                <w:smallCaps/>
              </w:rPr>
              <w:t>Docket:</w:t>
            </w:r>
            <w:r w:rsidRPr="00D750BA">
              <w:t xml:space="preserve"> 33919</w:t>
            </w:r>
          </w:p>
        </w:tc>
      </w:tr>
    </w:tbl>
    <w:p w:rsidR="00770F53" w:rsidRPr="00D750BA" w:rsidRDefault="00770F53" w:rsidP="00770F53">
      <w:pPr>
        <w:rPr>
          <w:rFonts w:eastAsiaTheme="minorHAnsi" w:cstheme="minorBidi"/>
          <w:szCs w:val="24"/>
          <w:lang w:eastAsia="en-US"/>
        </w:rPr>
      </w:pPr>
    </w:p>
    <w:p w:rsidR="00770F53" w:rsidRPr="00D750BA" w:rsidRDefault="00770F53" w:rsidP="00770F53">
      <w:pPr>
        <w:rPr>
          <w:rFonts w:eastAsiaTheme="minorHAnsi" w:cstheme="minorBidi"/>
          <w:b/>
          <w:smallCaps/>
          <w:szCs w:val="24"/>
          <w:lang w:eastAsia="en-US"/>
        </w:rPr>
      </w:pPr>
      <w:r w:rsidRPr="00D750BA">
        <w:rPr>
          <w:rFonts w:eastAsiaTheme="minorHAnsi" w:cstheme="minorBidi"/>
          <w:b/>
          <w:smallCaps/>
          <w:szCs w:val="24"/>
          <w:lang w:eastAsia="en-US"/>
        </w:rPr>
        <w:t>Between:</w:t>
      </w:r>
    </w:p>
    <w:p w:rsidR="00770F53" w:rsidRPr="00D750BA" w:rsidRDefault="00770F53" w:rsidP="00770F53">
      <w:pPr>
        <w:jc w:val="center"/>
        <w:rPr>
          <w:rFonts w:eastAsiaTheme="minorHAnsi" w:cstheme="minorBidi"/>
          <w:b/>
          <w:szCs w:val="24"/>
          <w:lang w:eastAsia="en-US"/>
        </w:rPr>
      </w:pPr>
      <w:r w:rsidRPr="00D750BA">
        <w:rPr>
          <w:rFonts w:eastAsiaTheme="minorHAnsi" w:cstheme="minorBidi"/>
          <w:b/>
          <w:szCs w:val="24"/>
          <w:lang w:eastAsia="en-US"/>
        </w:rPr>
        <w:t xml:space="preserve">Her Majesty </w:t>
      </w:r>
      <w:proofErr w:type="gramStart"/>
      <w:r w:rsidRPr="00D750BA">
        <w:rPr>
          <w:rFonts w:eastAsiaTheme="minorHAnsi" w:cstheme="minorBidi"/>
          <w:b/>
          <w:szCs w:val="24"/>
          <w:lang w:eastAsia="en-US"/>
        </w:rPr>
        <w:t>The</w:t>
      </w:r>
      <w:proofErr w:type="gramEnd"/>
      <w:r w:rsidRPr="00D750BA">
        <w:rPr>
          <w:rFonts w:eastAsiaTheme="minorHAnsi" w:cstheme="minorBidi"/>
          <w:b/>
          <w:szCs w:val="24"/>
          <w:lang w:eastAsia="en-US"/>
        </w:rPr>
        <w:t xml:space="preserve"> Queen</w:t>
      </w:r>
    </w:p>
    <w:p w:rsidR="00770F53" w:rsidRPr="00D750BA" w:rsidRDefault="00770F53" w:rsidP="00770F53">
      <w:pPr>
        <w:jc w:val="center"/>
        <w:rPr>
          <w:rFonts w:eastAsiaTheme="minorHAnsi" w:cstheme="minorBidi"/>
          <w:szCs w:val="24"/>
          <w:lang w:eastAsia="en-US"/>
        </w:rPr>
      </w:pPr>
      <w:r w:rsidRPr="00D750BA">
        <w:rPr>
          <w:rFonts w:eastAsiaTheme="minorHAnsi" w:cstheme="minorBidi"/>
          <w:szCs w:val="24"/>
          <w:lang w:eastAsia="en-US"/>
        </w:rPr>
        <w:t>Appellant</w:t>
      </w:r>
    </w:p>
    <w:p w:rsidR="00770F53" w:rsidRPr="00D750BA" w:rsidRDefault="00770F53" w:rsidP="00770F53">
      <w:pPr>
        <w:jc w:val="center"/>
        <w:rPr>
          <w:rFonts w:eastAsiaTheme="minorHAnsi" w:cstheme="minorBidi"/>
          <w:szCs w:val="24"/>
          <w:lang w:eastAsia="en-US"/>
        </w:rPr>
      </w:pPr>
      <w:proofErr w:type="gramStart"/>
      <w:r w:rsidRPr="00D750BA">
        <w:rPr>
          <w:rFonts w:eastAsiaTheme="minorHAnsi" w:cstheme="minorBidi"/>
          <w:szCs w:val="24"/>
          <w:lang w:eastAsia="en-US"/>
        </w:rPr>
        <w:t>and</w:t>
      </w:r>
      <w:proofErr w:type="gramEnd"/>
    </w:p>
    <w:p w:rsidR="00770F53" w:rsidRPr="00D750BA" w:rsidRDefault="00770F53" w:rsidP="00770F53">
      <w:pPr>
        <w:jc w:val="center"/>
        <w:rPr>
          <w:rFonts w:eastAsiaTheme="minorHAnsi" w:cstheme="minorBidi"/>
          <w:b/>
          <w:szCs w:val="24"/>
          <w:lang w:eastAsia="en-US"/>
        </w:rPr>
      </w:pPr>
      <w:r w:rsidRPr="00D750BA">
        <w:rPr>
          <w:rFonts w:eastAsiaTheme="minorHAnsi" w:cstheme="minorBidi"/>
          <w:b/>
          <w:szCs w:val="24"/>
          <w:lang w:eastAsia="en-US"/>
        </w:rPr>
        <w:t>Gordon Reynolds</w:t>
      </w:r>
    </w:p>
    <w:p w:rsidR="00770F53" w:rsidRPr="00D750BA" w:rsidRDefault="00770F53" w:rsidP="00770F53">
      <w:pPr>
        <w:jc w:val="center"/>
        <w:rPr>
          <w:rFonts w:eastAsiaTheme="minorHAnsi" w:cstheme="minorBidi"/>
          <w:szCs w:val="24"/>
          <w:lang w:eastAsia="en-US"/>
        </w:rPr>
      </w:pPr>
      <w:r w:rsidRPr="00D750BA">
        <w:rPr>
          <w:rFonts w:eastAsiaTheme="minorHAnsi" w:cstheme="minorBidi"/>
          <w:szCs w:val="24"/>
          <w:lang w:eastAsia="en-US"/>
        </w:rPr>
        <w:t>Respondent</w:t>
      </w:r>
    </w:p>
    <w:p w:rsidR="00770F53" w:rsidRPr="00D750BA" w:rsidRDefault="00770F53" w:rsidP="00770F53">
      <w:pPr>
        <w:rPr>
          <w:rFonts w:eastAsiaTheme="minorHAnsi" w:cstheme="minorBidi"/>
          <w:szCs w:val="24"/>
          <w:lang w:eastAsia="en-US"/>
        </w:rPr>
      </w:pPr>
    </w:p>
    <w:p w:rsidR="00770F53" w:rsidRPr="00D750BA" w:rsidRDefault="00770F53" w:rsidP="00770F53">
      <w:pPr>
        <w:rPr>
          <w:rFonts w:eastAsiaTheme="minorHAnsi" w:cstheme="minorBidi"/>
          <w:szCs w:val="24"/>
          <w:lang w:eastAsia="en-US"/>
        </w:rPr>
      </w:pPr>
      <w:r w:rsidRPr="00D750BA">
        <w:rPr>
          <w:rFonts w:eastAsiaTheme="minorHAnsi" w:cstheme="minorBidi"/>
          <w:b/>
          <w:smallCaps/>
          <w:szCs w:val="24"/>
          <w:lang w:eastAsia="en-US"/>
        </w:rPr>
        <w:t>Coram:</w:t>
      </w:r>
      <w:r w:rsidRPr="00D750BA">
        <w:rPr>
          <w:rFonts w:eastAsiaTheme="minorHAnsi" w:cstheme="minorBidi"/>
          <w:szCs w:val="24"/>
          <w:lang w:eastAsia="en-US"/>
        </w:rPr>
        <w:t xml:space="preserve"> </w:t>
      </w:r>
      <w:proofErr w:type="spellStart"/>
      <w:r w:rsidRPr="00D750BA">
        <w:rPr>
          <w:rFonts w:eastAsiaTheme="minorHAnsi" w:cstheme="minorBidi"/>
          <w:szCs w:val="24"/>
          <w:lang w:eastAsia="en-US"/>
        </w:rPr>
        <w:t>McLachlin</w:t>
      </w:r>
      <w:proofErr w:type="spellEnd"/>
      <w:r w:rsidRPr="00D750BA">
        <w:rPr>
          <w:rFonts w:eastAsiaTheme="minorHAnsi" w:cstheme="minorBidi"/>
          <w:szCs w:val="24"/>
          <w:lang w:eastAsia="en-US"/>
        </w:rPr>
        <w:t xml:space="preserve"> C.J. and </w:t>
      </w:r>
      <w:proofErr w:type="spellStart"/>
      <w:r w:rsidRPr="00D750BA">
        <w:rPr>
          <w:rFonts w:eastAsiaTheme="minorHAnsi" w:cstheme="minorBidi"/>
          <w:szCs w:val="24"/>
          <w:lang w:eastAsia="en-US"/>
        </w:rPr>
        <w:t>Binnie</w:t>
      </w:r>
      <w:proofErr w:type="spellEnd"/>
      <w:r w:rsidRPr="00D750BA">
        <w:rPr>
          <w:rFonts w:eastAsiaTheme="minorHAnsi" w:cstheme="minorBidi"/>
          <w:szCs w:val="24"/>
          <w:lang w:eastAsia="en-US"/>
        </w:rPr>
        <w:t xml:space="preserve">, </w:t>
      </w:r>
      <w:proofErr w:type="spellStart"/>
      <w:r w:rsidRPr="00D750BA">
        <w:rPr>
          <w:rFonts w:eastAsiaTheme="minorHAnsi" w:cstheme="minorBidi"/>
          <w:szCs w:val="24"/>
          <w:lang w:eastAsia="en-US"/>
        </w:rPr>
        <w:t>LeBel</w:t>
      </w:r>
      <w:proofErr w:type="spellEnd"/>
      <w:r w:rsidRPr="00D750BA">
        <w:rPr>
          <w:rFonts w:eastAsiaTheme="minorHAnsi" w:cstheme="minorBidi"/>
          <w:szCs w:val="24"/>
          <w:lang w:eastAsia="en-US"/>
        </w:rPr>
        <w:t xml:space="preserve">, </w:t>
      </w:r>
      <w:proofErr w:type="spellStart"/>
      <w:r w:rsidRPr="00D750BA">
        <w:rPr>
          <w:rFonts w:eastAsiaTheme="minorHAnsi" w:cstheme="minorBidi"/>
          <w:szCs w:val="24"/>
          <w:lang w:eastAsia="en-US"/>
        </w:rPr>
        <w:t>Deschamps</w:t>
      </w:r>
      <w:proofErr w:type="spellEnd"/>
      <w:r w:rsidRPr="00D750BA">
        <w:rPr>
          <w:rFonts w:eastAsiaTheme="minorHAnsi" w:cstheme="minorBidi"/>
          <w:szCs w:val="24"/>
          <w:lang w:eastAsia="en-US"/>
        </w:rPr>
        <w:t xml:space="preserve">, Fish, </w:t>
      </w:r>
      <w:proofErr w:type="spellStart"/>
      <w:r w:rsidRPr="00D750BA">
        <w:rPr>
          <w:rFonts w:eastAsiaTheme="minorHAnsi" w:cstheme="minorBidi"/>
          <w:szCs w:val="24"/>
          <w:lang w:eastAsia="en-US"/>
        </w:rPr>
        <w:t>Abella</w:t>
      </w:r>
      <w:proofErr w:type="spellEnd"/>
      <w:r w:rsidRPr="00D750BA">
        <w:rPr>
          <w:rFonts w:eastAsiaTheme="minorHAnsi" w:cstheme="minorBidi"/>
          <w:szCs w:val="24"/>
          <w:lang w:eastAsia="en-US"/>
        </w:rPr>
        <w:t xml:space="preserve">, </w:t>
      </w:r>
      <w:proofErr w:type="spellStart"/>
      <w:r w:rsidRPr="00D750BA">
        <w:rPr>
          <w:rFonts w:eastAsiaTheme="minorHAnsi" w:cstheme="minorBidi"/>
          <w:szCs w:val="24"/>
          <w:lang w:eastAsia="en-US"/>
        </w:rPr>
        <w:t>Charron</w:t>
      </w:r>
      <w:proofErr w:type="spellEnd"/>
      <w:r w:rsidRPr="00D750BA">
        <w:rPr>
          <w:rFonts w:eastAsiaTheme="minorHAnsi" w:cstheme="minorBidi"/>
          <w:szCs w:val="24"/>
          <w:lang w:eastAsia="en-US"/>
        </w:rPr>
        <w:t>, Rothstein and Cromwell JJ.</w:t>
      </w:r>
    </w:p>
    <w:p w:rsidR="00770F53" w:rsidRPr="00D750BA" w:rsidRDefault="00770F53" w:rsidP="00770F5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70F53" w:rsidRPr="00D750BA" w:rsidTr="00C52FEE">
        <w:trPr>
          <w:cantSplit/>
        </w:trPr>
        <w:tc>
          <w:tcPr>
            <w:tcW w:w="3618" w:type="dxa"/>
          </w:tcPr>
          <w:p w:rsidR="00770F53" w:rsidRPr="00D750BA" w:rsidRDefault="00770F53" w:rsidP="00C52FEE">
            <w:pPr>
              <w:rPr>
                <w:b/>
                <w:smallCaps/>
              </w:rPr>
            </w:pPr>
            <w:r w:rsidRPr="00D750BA">
              <w:rPr>
                <w:b/>
                <w:smallCaps/>
              </w:rPr>
              <w:t>Reasons for Judgment:</w:t>
            </w:r>
          </w:p>
          <w:p w:rsidR="00770F53" w:rsidRPr="00D750BA" w:rsidRDefault="00770F53" w:rsidP="00C52FEE">
            <w:r w:rsidRPr="00D750BA">
              <w:t>(</w:t>
            </w:r>
            <w:proofErr w:type="spellStart"/>
            <w:r w:rsidRPr="00D750BA">
              <w:t>paras</w:t>
            </w:r>
            <w:proofErr w:type="spellEnd"/>
            <w:r w:rsidRPr="00D750BA">
              <w:t>. 1 to 2)</w:t>
            </w:r>
          </w:p>
        </w:tc>
        <w:tc>
          <w:tcPr>
            <w:tcW w:w="5958" w:type="dxa"/>
          </w:tcPr>
          <w:p w:rsidR="00770F53" w:rsidRPr="00D750BA" w:rsidRDefault="00770F53" w:rsidP="00C52FEE">
            <w:r w:rsidRPr="00D750BA">
              <w:t>The Court</w:t>
            </w:r>
          </w:p>
        </w:tc>
      </w:tr>
    </w:tbl>
    <w:p w:rsidR="00770F53" w:rsidRPr="00D750BA" w:rsidRDefault="00770F53" w:rsidP="00770F53">
      <w:pPr>
        <w:rPr>
          <w:rFonts w:eastAsiaTheme="minorHAnsi" w:cstheme="minorBidi"/>
          <w:szCs w:val="24"/>
          <w:lang w:eastAsia="en-US"/>
        </w:rPr>
      </w:pPr>
    </w:p>
    <w:p w:rsidR="00770F53" w:rsidRPr="00D750BA" w:rsidRDefault="00770F53" w:rsidP="00770F53">
      <w:pPr>
        <w:rPr>
          <w:rFonts w:eastAsiaTheme="minorHAnsi" w:cstheme="minorBidi"/>
          <w:szCs w:val="24"/>
          <w:lang w:eastAsia="en-US"/>
        </w:rPr>
      </w:pPr>
    </w:p>
    <w:p w:rsidR="00770F53" w:rsidRPr="00D750BA" w:rsidRDefault="00770F53" w:rsidP="00770F53">
      <w:pPr>
        <w:rPr>
          <w:rFonts w:eastAsiaTheme="minorHAnsi" w:cstheme="minorBidi"/>
          <w:szCs w:val="24"/>
          <w:lang w:eastAsia="en-US"/>
        </w:rPr>
      </w:pPr>
      <w:r w:rsidRPr="00E8066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70F53" w:rsidRDefault="00770F53" w:rsidP="00770F53">
      <w:pPr>
        <w:rPr>
          <w:rStyle w:val="SCCAppellantForRunningHeadChar"/>
          <w:szCs w:val="24"/>
        </w:rPr>
      </w:pPr>
      <w:r>
        <w:rPr>
          <w:rStyle w:val="SCCAppellantForRunningHeadChar"/>
          <w:szCs w:val="24"/>
        </w:rPr>
        <w:br w:type="page"/>
      </w:r>
    </w:p>
    <w:p w:rsidR="008322BD" w:rsidRPr="003F1BEA" w:rsidRDefault="008F78E9" w:rsidP="00776B0A">
      <w:pPr>
        <w:spacing w:after="480" w:line="480" w:lineRule="auto"/>
        <w:jc w:val="both"/>
        <w:rPr>
          <w:szCs w:val="24"/>
          <w:lang w:val="en-US"/>
        </w:rPr>
      </w:pPr>
      <w:r w:rsidRPr="003F1BEA">
        <w:rPr>
          <w:rStyle w:val="SCCAppellantForRunningHeadChar"/>
          <w:smallCaps w:val="0"/>
          <w:szCs w:val="24"/>
        </w:rPr>
        <w:lastRenderedPageBreak/>
        <w:t>R.</w:t>
      </w:r>
      <w:r w:rsidR="00480C90" w:rsidRPr="003F1BEA">
        <w:rPr>
          <w:smallCaps/>
          <w:szCs w:val="24"/>
        </w:rPr>
        <w:t xml:space="preserve"> </w:t>
      </w:r>
      <w:r w:rsidR="009B57B3" w:rsidRPr="00A50093">
        <w:rPr>
          <w:i/>
          <w:szCs w:val="24"/>
        </w:rPr>
        <w:t>v.</w:t>
      </w:r>
      <w:r w:rsidR="00B000D8" w:rsidRPr="00A50093">
        <w:rPr>
          <w:szCs w:val="24"/>
        </w:rPr>
        <w:t xml:space="preserve"> </w:t>
      </w:r>
      <w:r w:rsidRPr="003F1BEA">
        <w:rPr>
          <w:rStyle w:val="SCCRespondentForRunningHeadChar"/>
          <w:smallCaps w:val="0"/>
          <w:szCs w:val="24"/>
        </w:rPr>
        <w:t>Reynolds</w:t>
      </w:r>
      <w:r w:rsidR="003F1BEA">
        <w:rPr>
          <w:rStyle w:val="SCCRespondentForRunningHeadChar"/>
          <w:szCs w:val="24"/>
        </w:rPr>
        <w:t xml:space="preserve">, </w:t>
      </w:r>
      <w:r w:rsidR="003F1BEA" w:rsidRPr="003F1BEA">
        <w:rPr>
          <w:rStyle w:val="SCCRespondentForRunningHeadChar"/>
          <w:lang w:val="en-US"/>
        </w:rPr>
        <w:t>2011 SCC 1</w:t>
      </w:r>
      <w:r w:rsidR="003F1BEA">
        <w:rPr>
          <w:rStyle w:val="SCCRespondentForRunningHeadChar"/>
          <w:lang w:val="en-US"/>
        </w:rPr>
        <w:t>9</w:t>
      </w:r>
      <w:r w:rsidR="003F1BEA" w:rsidRPr="003F1BEA">
        <w:rPr>
          <w:rStyle w:val="SCCRespondentForRunningHeadChar"/>
          <w:lang w:val="en-US"/>
        </w:rPr>
        <w:t xml:space="preserve">, [2011] 1 S.C.R. </w:t>
      </w:r>
      <w:r w:rsidR="003F1BEA">
        <w:rPr>
          <w:rStyle w:val="SCCRespondentForRunningHeadChar"/>
          <w:lang w:val="en-US"/>
        </w:rPr>
        <w:t>69</w:t>
      </w:r>
      <w:r w:rsidR="003F1BEA" w:rsidRPr="003F1BEA">
        <w:rPr>
          <w:rStyle w:val="SCCRespondentForRunningHeadChar"/>
          <w:lang w:val="en-US"/>
        </w:rPr>
        <w:t>3</w:t>
      </w:r>
    </w:p>
    <w:p w:rsidR="007A7D59" w:rsidRPr="00A50093" w:rsidRDefault="003D2C02" w:rsidP="00776B0A">
      <w:pPr>
        <w:pStyle w:val="SCCLsocParty"/>
        <w:tabs>
          <w:tab w:val="right" w:pos="8280"/>
        </w:tabs>
        <w:spacing w:line="480" w:lineRule="auto"/>
        <w:rPr>
          <w:b/>
          <w:i/>
          <w:szCs w:val="24"/>
        </w:rPr>
      </w:pPr>
      <w:r w:rsidRPr="00B47DF2">
        <w:rPr>
          <w:b/>
          <w:szCs w:val="24"/>
        </w:rPr>
        <w:t xml:space="preserve">Her Majesty </w:t>
      </w:r>
      <w:proofErr w:type="gramStart"/>
      <w:r w:rsidRPr="00B47DF2">
        <w:rPr>
          <w:b/>
          <w:szCs w:val="24"/>
        </w:rPr>
        <w:t>The</w:t>
      </w:r>
      <w:proofErr w:type="gramEnd"/>
      <w:r w:rsidRPr="00B47DF2">
        <w:rPr>
          <w:b/>
          <w:szCs w:val="24"/>
        </w:rPr>
        <w:t xml:space="preserve"> Queen</w:t>
      </w:r>
      <w:r w:rsidR="00521ECC" w:rsidRPr="00A50093">
        <w:rPr>
          <w:szCs w:val="24"/>
        </w:rPr>
        <w:tab/>
      </w:r>
      <w:r w:rsidRPr="00A50093">
        <w:rPr>
          <w:i/>
          <w:szCs w:val="24"/>
        </w:rPr>
        <w:t>Appellant</w:t>
      </w:r>
    </w:p>
    <w:p w:rsidR="007A7D59" w:rsidRPr="00A41BC6" w:rsidRDefault="003D2C02" w:rsidP="00776B0A">
      <w:pPr>
        <w:pStyle w:val="SCCLsocVersus"/>
        <w:spacing w:line="480" w:lineRule="auto"/>
        <w:rPr>
          <w:i/>
          <w:szCs w:val="24"/>
        </w:rPr>
      </w:pPr>
      <w:proofErr w:type="gramStart"/>
      <w:r w:rsidRPr="00A41BC6">
        <w:rPr>
          <w:i/>
          <w:szCs w:val="24"/>
        </w:rPr>
        <w:t>v</w:t>
      </w:r>
      <w:proofErr w:type="gramEnd"/>
      <w:r w:rsidRPr="00A41BC6">
        <w:rPr>
          <w:i/>
          <w:szCs w:val="24"/>
        </w:rPr>
        <w:t>.</w:t>
      </w:r>
    </w:p>
    <w:p w:rsidR="007A7D59" w:rsidRPr="00A50093" w:rsidRDefault="003D2C02" w:rsidP="00776B0A">
      <w:pPr>
        <w:pStyle w:val="SCCLsocParty"/>
        <w:tabs>
          <w:tab w:val="right" w:pos="8280"/>
        </w:tabs>
        <w:spacing w:line="480" w:lineRule="auto"/>
        <w:rPr>
          <w:b/>
          <w:i/>
          <w:szCs w:val="24"/>
        </w:rPr>
      </w:pPr>
      <w:r w:rsidRPr="00B47DF2">
        <w:rPr>
          <w:b/>
          <w:szCs w:val="24"/>
        </w:rPr>
        <w:t>Gordon Reynolds</w:t>
      </w:r>
      <w:r w:rsidR="00521ECC" w:rsidRPr="00A50093">
        <w:rPr>
          <w:szCs w:val="24"/>
        </w:rPr>
        <w:tab/>
      </w:r>
      <w:r w:rsidRPr="00A50093">
        <w:rPr>
          <w:i/>
          <w:szCs w:val="24"/>
        </w:rPr>
        <w:t>Respondent</w:t>
      </w:r>
    </w:p>
    <w:p w:rsidR="00426659" w:rsidRPr="00A50093" w:rsidRDefault="00426659" w:rsidP="00776B0A">
      <w:pPr>
        <w:spacing w:after="480" w:line="480" w:lineRule="auto"/>
        <w:jc w:val="both"/>
        <w:rPr>
          <w:b/>
          <w:szCs w:val="24"/>
        </w:rPr>
      </w:pPr>
      <w:r w:rsidRPr="00A50093">
        <w:rPr>
          <w:b/>
          <w:szCs w:val="24"/>
        </w:rPr>
        <w:t xml:space="preserve">Indexed as:  </w:t>
      </w:r>
      <w:r w:rsidRPr="00A50093">
        <w:rPr>
          <w:rStyle w:val="SCCAppellantForIndexChar"/>
          <w:szCs w:val="24"/>
        </w:rPr>
        <w:t>R.</w:t>
      </w:r>
      <w:r w:rsidRPr="00A50093">
        <w:rPr>
          <w:b/>
          <w:szCs w:val="24"/>
        </w:rPr>
        <w:t xml:space="preserve"> </w:t>
      </w:r>
      <w:r w:rsidRPr="00A50093">
        <w:rPr>
          <w:b/>
          <w:i/>
          <w:szCs w:val="24"/>
        </w:rPr>
        <w:t>v.</w:t>
      </w:r>
      <w:r w:rsidRPr="00A50093">
        <w:rPr>
          <w:b/>
          <w:szCs w:val="24"/>
        </w:rPr>
        <w:t xml:space="preserve"> </w:t>
      </w:r>
      <w:r w:rsidRPr="00A50093">
        <w:rPr>
          <w:rStyle w:val="SCCRespondentForIndexChar"/>
          <w:szCs w:val="24"/>
        </w:rPr>
        <w:t>Reynolds</w:t>
      </w:r>
    </w:p>
    <w:p w:rsidR="00426659" w:rsidRPr="00A50093" w:rsidRDefault="00566AD1" w:rsidP="00776B0A">
      <w:pPr>
        <w:pStyle w:val="SCCSystemYear"/>
        <w:spacing w:after="480" w:line="480" w:lineRule="auto"/>
        <w:jc w:val="both"/>
        <w:rPr>
          <w:szCs w:val="24"/>
        </w:rPr>
      </w:pPr>
      <w:r w:rsidRPr="00A50093">
        <w:rPr>
          <w:szCs w:val="24"/>
        </w:rPr>
        <w:t>2011</w:t>
      </w:r>
      <w:r w:rsidR="003D0399" w:rsidRPr="00A50093">
        <w:rPr>
          <w:szCs w:val="24"/>
        </w:rPr>
        <w:t xml:space="preserve"> </w:t>
      </w:r>
      <w:r w:rsidR="00426659" w:rsidRPr="00A50093">
        <w:rPr>
          <w:szCs w:val="24"/>
        </w:rPr>
        <w:t>SCC </w:t>
      </w:r>
      <w:r w:rsidR="002F69EA" w:rsidRPr="00A50093">
        <w:rPr>
          <w:szCs w:val="24"/>
        </w:rPr>
        <w:t>19</w:t>
      </w:r>
    </w:p>
    <w:p w:rsidR="008322BD" w:rsidRPr="00A50093" w:rsidRDefault="009B57B3" w:rsidP="00776B0A">
      <w:pPr>
        <w:spacing w:after="480" w:line="480" w:lineRule="auto"/>
        <w:jc w:val="both"/>
        <w:rPr>
          <w:szCs w:val="24"/>
        </w:rPr>
      </w:pPr>
      <w:r w:rsidRPr="00A50093">
        <w:rPr>
          <w:szCs w:val="24"/>
        </w:rPr>
        <w:t>File No.:  33919.</w:t>
      </w:r>
    </w:p>
    <w:p w:rsidR="008322BD" w:rsidRPr="00A50093" w:rsidRDefault="00566AD1" w:rsidP="00776B0A">
      <w:pPr>
        <w:spacing w:after="480" w:line="480" w:lineRule="auto"/>
        <w:jc w:val="both"/>
        <w:rPr>
          <w:szCs w:val="24"/>
        </w:rPr>
      </w:pPr>
      <w:r w:rsidRPr="00A50093">
        <w:rPr>
          <w:szCs w:val="24"/>
        </w:rPr>
        <w:t>2011:  April 19</w:t>
      </w:r>
      <w:r w:rsidR="00E5636A" w:rsidRPr="00A50093">
        <w:rPr>
          <w:szCs w:val="24"/>
        </w:rPr>
        <w:t xml:space="preserve">; </w:t>
      </w:r>
      <w:r w:rsidR="00055B18" w:rsidRPr="00A50093">
        <w:rPr>
          <w:szCs w:val="24"/>
        </w:rPr>
        <w:t xml:space="preserve">2011:  </w:t>
      </w:r>
      <w:r w:rsidR="00E5636A" w:rsidRPr="00A50093">
        <w:rPr>
          <w:szCs w:val="24"/>
        </w:rPr>
        <w:t>April 28</w:t>
      </w:r>
      <w:r w:rsidR="009B57B3" w:rsidRPr="00A50093">
        <w:rPr>
          <w:szCs w:val="24"/>
        </w:rPr>
        <w:t>.</w:t>
      </w:r>
    </w:p>
    <w:p w:rsidR="008322BD" w:rsidRPr="00A50093" w:rsidRDefault="009B57B3" w:rsidP="00776B0A">
      <w:pPr>
        <w:spacing w:after="480"/>
        <w:jc w:val="both"/>
        <w:rPr>
          <w:szCs w:val="24"/>
        </w:rPr>
      </w:pPr>
      <w:r w:rsidRPr="00A50093">
        <w:rPr>
          <w:szCs w:val="24"/>
        </w:rPr>
        <w:t xml:space="preserve">Present:  </w:t>
      </w:r>
      <w:proofErr w:type="spellStart"/>
      <w:r w:rsidRPr="00A50093">
        <w:rPr>
          <w:szCs w:val="24"/>
        </w:rPr>
        <w:t>McLachlin</w:t>
      </w:r>
      <w:proofErr w:type="spellEnd"/>
      <w:r w:rsidRPr="00A50093">
        <w:rPr>
          <w:szCs w:val="24"/>
        </w:rPr>
        <w:t xml:space="preserve"> C.J. and </w:t>
      </w:r>
      <w:proofErr w:type="spellStart"/>
      <w:r w:rsidRPr="00A50093">
        <w:rPr>
          <w:szCs w:val="24"/>
        </w:rPr>
        <w:t>Binnie</w:t>
      </w:r>
      <w:proofErr w:type="spellEnd"/>
      <w:r w:rsidRPr="00A50093">
        <w:rPr>
          <w:szCs w:val="24"/>
        </w:rPr>
        <w:t xml:space="preserve">, </w:t>
      </w:r>
      <w:proofErr w:type="spellStart"/>
      <w:r w:rsidRPr="00A50093">
        <w:rPr>
          <w:szCs w:val="24"/>
        </w:rPr>
        <w:t>LeBel</w:t>
      </w:r>
      <w:proofErr w:type="spellEnd"/>
      <w:r w:rsidRPr="00A50093">
        <w:rPr>
          <w:szCs w:val="24"/>
        </w:rPr>
        <w:t>, Deschamps, Fish, Abella, Charron, Rothstein and Cromwell JJ.</w:t>
      </w:r>
    </w:p>
    <w:p w:rsidR="008322BD" w:rsidRPr="00A50093" w:rsidRDefault="00656313" w:rsidP="00776B0A">
      <w:pPr>
        <w:pStyle w:val="SCCLowerCourtNameLowercase"/>
        <w:spacing w:after="480"/>
        <w:rPr>
          <w:szCs w:val="24"/>
        </w:rPr>
      </w:pPr>
      <w:r w:rsidRPr="00A50093">
        <w:rPr>
          <w:szCs w:val="24"/>
        </w:rPr>
        <w:t>o</w:t>
      </w:r>
      <w:r w:rsidR="00170592" w:rsidRPr="00A50093">
        <w:rPr>
          <w:szCs w:val="24"/>
        </w:rPr>
        <w:t>n</w:t>
      </w:r>
      <w:r w:rsidR="00224FC0" w:rsidRPr="00A50093">
        <w:rPr>
          <w:szCs w:val="24"/>
        </w:rPr>
        <w:t xml:space="preserve"> </w:t>
      </w:r>
      <w:r w:rsidRPr="00A50093">
        <w:rPr>
          <w:szCs w:val="24"/>
        </w:rPr>
        <w:t>a</w:t>
      </w:r>
      <w:r w:rsidR="00170592" w:rsidRPr="00A50093">
        <w:rPr>
          <w:szCs w:val="24"/>
        </w:rPr>
        <w:t>ppeal</w:t>
      </w:r>
      <w:r w:rsidR="00224FC0" w:rsidRPr="00A50093">
        <w:rPr>
          <w:szCs w:val="24"/>
        </w:rPr>
        <w:t xml:space="preserve"> </w:t>
      </w:r>
      <w:r w:rsidR="00170592" w:rsidRPr="00A50093">
        <w:rPr>
          <w:szCs w:val="24"/>
        </w:rPr>
        <w:t>from</w:t>
      </w:r>
      <w:r w:rsidR="009567AA" w:rsidRPr="00A50093">
        <w:rPr>
          <w:szCs w:val="24"/>
        </w:rPr>
        <w:t xml:space="preserve"> the</w:t>
      </w:r>
      <w:r w:rsidR="00224FC0" w:rsidRPr="00A50093">
        <w:rPr>
          <w:szCs w:val="24"/>
        </w:rPr>
        <w:t xml:space="preserve"> </w:t>
      </w:r>
      <w:r w:rsidR="009B57B3" w:rsidRPr="00A50093">
        <w:rPr>
          <w:szCs w:val="24"/>
        </w:rPr>
        <w:t xml:space="preserve">court of appeal for </w:t>
      </w:r>
      <w:proofErr w:type="spellStart"/>
      <w:r w:rsidR="009B57B3" w:rsidRPr="00A50093">
        <w:rPr>
          <w:szCs w:val="24"/>
        </w:rPr>
        <w:t>ontario</w:t>
      </w:r>
      <w:proofErr w:type="spellEnd"/>
    </w:p>
    <w:p w:rsidR="00D4635A" w:rsidRPr="00A50093" w:rsidRDefault="00D4635A" w:rsidP="003034CA">
      <w:pPr>
        <w:pStyle w:val="SCCNormalDoubleSpacing"/>
        <w:spacing w:after="480"/>
        <w:rPr>
          <w:i/>
          <w:szCs w:val="24"/>
        </w:rPr>
      </w:pPr>
      <w:r w:rsidRPr="00A50093">
        <w:rPr>
          <w:i/>
          <w:szCs w:val="24"/>
        </w:rPr>
        <w:tab/>
        <w:t xml:space="preserve">Courts </w:t>
      </w:r>
      <w:r w:rsidR="00055B18" w:rsidRPr="00A50093">
        <w:rPr>
          <w:i/>
          <w:szCs w:val="24"/>
        </w:rPr>
        <w:t>—</w:t>
      </w:r>
      <w:r w:rsidRPr="00A50093">
        <w:rPr>
          <w:i/>
          <w:szCs w:val="24"/>
        </w:rPr>
        <w:t xml:space="preserve"> Supreme Court of Canada </w:t>
      </w:r>
      <w:r w:rsidR="00A04895" w:rsidRPr="00A50093">
        <w:rPr>
          <w:i/>
          <w:szCs w:val="24"/>
        </w:rPr>
        <w:t>—</w:t>
      </w:r>
      <w:r w:rsidRPr="00A50093">
        <w:rPr>
          <w:i/>
          <w:szCs w:val="24"/>
        </w:rPr>
        <w:t xml:space="preserve"> Jur</w:t>
      </w:r>
      <w:r w:rsidR="00D479CF" w:rsidRPr="00A50093">
        <w:rPr>
          <w:i/>
          <w:szCs w:val="24"/>
        </w:rPr>
        <w:t xml:space="preserve">isdiction </w:t>
      </w:r>
      <w:r w:rsidR="00A04895" w:rsidRPr="00A50093">
        <w:rPr>
          <w:i/>
          <w:szCs w:val="24"/>
        </w:rPr>
        <w:t>—</w:t>
      </w:r>
      <w:r w:rsidR="00D479CF" w:rsidRPr="00A50093">
        <w:rPr>
          <w:i/>
          <w:szCs w:val="24"/>
        </w:rPr>
        <w:t xml:space="preserve"> Appeal as of right </w:t>
      </w:r>
      <w:r w:rsidR="00A04895" w:rsidRPr="00A50093">
        <w:rPr>
          <w:i/>
          <w:szCs w:val="24"/>
        </w:rPr>
        <w:t>—</w:t>
      </w:r>
      <w:r w:rsidRPr="00A50093">
        <w:rPr>
          <w:i/>
          <w:szCs w:val="24"/>
        </w:rPr>
        <w:t xml:space="preserve"> Whether appeal raises a question of law </w:t>
      </w:r>
      <w:r w:rsidR="00A04895" w:rsidRPr="00A50093">
        <w:rPr>
          <w:i/>
          <w:szCs w:val="24"/>
        </w:rPr>
        <w:t>—</w:t>
      </w:r>
      <w:r w:rsidR="007136CA" w:rsidRPr="00A50093">
        <w:rPr>
          <w:i/>
          <w:szCs w:val="24"/>
        </w:rPr>
        <w:t xml:space="preserve"> Criminal Code, R.S.C. 1985, c. </w:t>
      </w:r>
      <w:r w:rsidRPr="00A50093">
        <w:rPr>
          <w:i/>
          <w:szCs w:val="24"/>
        </w:rPr>
        <w:t>C</w:t>
      </w:r>
      <w:r w:rsidR="003034CA" w:rsidRPr="00A50093">
        <w:rPr>
          <w:i/>
          <w:szCs w:val="24"/>
        </w:rPr>
        <w:noBreakHyphen/>
      </w:r>
      <w:r w:rsidR="007136CA" w:rsidRPr="00A50093">
        <w:rPr>
          <w:i/>
          <w:szCs w:val="24"/>
        </w:rPr>
        <w:t>46, s. </w:t>
      </w:r>
      <w:r w:rsidRPr="00A50093">
        <w:rPr>
          <w:i/>
          <w:szCs w:val="24"/>
        </w:rPr>
        <w:t>693(1)(a).</w:t>
      </w:r>
    </w:p>
    <w:p w:rsidR="008322BD" w:rsidRPr="00A50093" w:rsidRDefault="009B57B3" w:rsidP="003034CA">
      <w:pPr>
        <w:pStyle w:val="SCCNormalDoubleSpacing"/>
        <w:spacing w:after="480"/>
        <w:rPr>
          <w:szCs w:val="24"/>
        </w:rPr>
      </w:pPr>
      <w:r w:rsidRPr="00A50093">
        <w:rPr>
          <w:i/>
          <w:szCs w:val="24"/>
        </w:rPr>
        <w:lastRenderedPageBreak/>
        <w:tab/>
      </w:r>
      <w:r w:rsidR="005A5DC5" w:rsidRPr="00A50093">
        <w:rPr>
          <w:i/>
          <w:szCs w:val="24"/>
        </w:rPr>
        <w:t xml:space="preserve">Criminal law </w:t>
      </w:r>
      <w:r w:rsidR="00A04895" w:rsidRPr="00A50093">
        <w:rPr>
          <w:i/>
          <w:szCs w:val="24"/>
        </w:rPr>
        <w:t>—</w:t>
      </w:r>
      <w:r w:rsidR="005A5DC5" w:rsidRPr="00A50093">
        <w:rPr>
          <w:i/>
          <w:szCs w:val="24"/>
        </w:rPr>
        <w:t xml:space="preserve"> Offences </w:t>
      </w:r>
      <w:r w:rsidR="00A04895" w:rsidRPr="00A50093">
        <w:rPr>
          <w:i/>
          <w:szCs w:val="24"/>
        </w:rPr>
        <w:t>—</w:t>
      </w:r>
      <w:r w:rsidR="005A5DC5" w:rsidRPr="00A50093">
        <w:rPr>
          <w:i/>
          <w:szCs w:val="24"/>
        </w:rPr>
        <w:t xml:space="preserve"> Elements of</w:t>
      </w:r>
      <w:r w:rsidR="004C1556" w:rsidRPr="00A50093">
        <w:rPr>
          <w:i/>
          <w:szCs w:val="24"/>
        </w:rPr>
        <w:t xml:space="preserve"> offence </w:t>
      </w:r>
      <w:r w:rsidR="00A04895" w:rsidRPr="00A50093">
        <w:rPr>
          <w:i/>
          <w:szCs w:val="24"/>
        </w:rPr>
        <w:t>—</w:t>
      </w:r>
      <w:r w:rsidR="004C1556" w:rsidRPr="00A50093">
        <w:rPr>
          <w:i/>
          <w:szCs w:val="24"/>
        </w:rPr>
        <w:t xml:space="preserve"> Obstructing justice </w:t>
      </w:r>
      <w:r w:rsidR="00A04895" w:rsidRPr="00A50093">
        <w:rPr>
          <w:i/>
          <w:szCs w:val="24"/>
        </w:rPr>
        <w:t>—</w:t>
      </w:r>
      <w:r w:rsidR="009D77CC" w:rsidRPr="00A50093">
        <w:rPr>
          <w:i/>
          <w:szCs w:val="24"/>
        </w:rPr>
        <w:t xml:space="preserve"> </w:t>
      </w:r>
      <w:r w:rsidR="005A5DC5" w:rsidRPr="00A50093">
        <w:rPr>
          <w:i/>
          <w:szCs w:val="24"/>
        </w:rPr>
        <w:t xml:space="preserve">Whether suggestion of providing false doctor’s note was an integral part of overall </w:t>
      </w:r>
      <w:r w:rsidR="00D4635A" w:rsidRPr="00A50093">
        <w:rPr>
          <w:i/>
          <w:szCs w:val="24"/>
        </w:rPr>
        <w:t>attempt to dissuade w</w:t>
      </w:r>
      <w:r w:rsidR="00FF05B9" w:rsidRPr="00A50093">
        <w:rPr>
          <w:i/>
          <w:szCs w:val="24"/>
        </w:rPr>
        <w:t>itness from giving evidence by</w:t>
      </w:r>
      <w:r w:rsidR="00D4635A" w:rsidRPr="00A50093">
        <w:rPr>
          <w:i/>
          <w:szCs w:val="24"/>
        </w:rPr>
        <w:t xml:space="preserve"> threat or other corrupt means </w:t>
      </w:r>
      <w:r w:rsidR="00A04895" w:rsidRPr="00A50093">
        <w:rPr>
          <w:i/>
          <w:szCs w:val="24"/>
        </w:rPr>
        <w:t>—</w:t>
      </w:r>
      <w:r w:rsidR="005A5DC5" w:rsidRPr="00A50093">
        <w:rPr>
          <w:i/>
          <w:szCs w:val="24"/>
        </w:rPr>
        <w:t xml:space="preserve"> Criminal Code, R.S.C. 1985, c.</w:t>
      </w:r>
      <w:r w:rsidR="003034CA" w:rsidRPr="00A50093">
        <w:rPr>
          <w:i/>
          <w:szCs w:val="24"/>
        </w:rPr>
        <w:t> C</w:t>
      </w:r>
      <w:r w:rsidR="003034CA" w:rsidRPr="00A50093">
        <w:rPr>
          <w:i/>
          <w:szCs w:val="24"/>
        </w:rPr>
        <w:noBreakHyphen/>
        <w:t>46, s. </w:t>
      </w:r>
      <w:r w:rsidR="005A5DC5" w:rsidRPr="00A50093">
        <w:rPr>
          <w:i/>
          <w:szCs w:val="24"/>
        </w:rPr>
        <w:t>139(3)(a).</w:t>
      </w:r>
    </w:p>
    <w:p w:rsidR="00A149DF" w:rsidRPr="00A50093" w:rsidRDefault="009B57B3" w:rsidP="003034CA">
      <w:pPr>
        <w:pStyle w:val="SCCNormalDoubleSpacing"/>
        <w:spacing w:after="480"/>
        <w:rPr>
          <w:szCs w:val="24"/>
        </w:rPr>
      </w:pPr>
      <w:r w:rsidRPr="00A50093">
        <w:rPr>
          <w:szCs w:val="24"/>
        </w:rPr>
        <w:tab/>
      </w:r>
      <w:r w:rsidRPr="00A50093">
        <w:rPr>
          <w:rStyle w:val="QuoteChar"/>
          <w:color w:val="auto"/>
          <w:szCs w:val="24"/>
          <w:lang w:val="en-CA"/>
        </w:rPr>
        <w:t>Held</w:t>
      </w:r>
      <w:r w:rsidRPr="00A50093">
        <w:rPr>
          <w:rStyle w:val="QuoteChar"/>
          <w:i w:val="0"/>
          <w:color w:val="auto"/>
          <w:szCs w:val="24"/>
          <w:lang w:val="en-CA"/>
        </w:rPr>
        <w:t>:</w:t>
      </w:r>
      <w:r w:rsidR="00AF04AD" w:rsidRPr="00A50093">
        <w:rPr>
          <w:szCs w:val="24"/>
        </w:rPr>
        <w:t xml:space="preserve">  The appeal should be allowed</w:t>
      </w:r>
      <w:r w:rsidR="00905EF6" w:rsidRPr="00A50093">
        <w:rPr>
          <w:szCs w:val="24"/>
        </w:rPr>
        <w:t xml:space="preserve"> and the conviction</w:t>
      </w:r>
      <w:r w:rsidR="00FF05B9" w:rsidRPr="00A50093">
        <w:rPr>
          <w:szCs w:val="24"/>
        </w:rPr>
        <w:t>s</w:t>
      </w:r>
      <w:r w:rsidR="00905EF6" w:rsidRPr="00A50093">
        <w:rPr>
          <w:szCs w:val="24"/>
        </w:rPr>
        <w:t xml:space="preserve"> imposed by the trial judge restored</w:t>
      </w:r>
      <w:r w:rsidR="00AF04AD" w:rsidRPr="00A50093">
        <w:rPr>
          <w:szCs w:val="24"/>
        </w:rPr>
        <w:t>.</w:t>
      </w:r>
    </w:p>
    <w:p w:rsidR="00656313" w:rsidRPr="00A50093" w:rsidRDefault="003D2C02" w:rsidP="003034CA">
      <w:pPr>
        <w:pStyle w:val="SCCNormalDoubleSpacing"/>
        <w:spacing w:after="480"/>
        <w:rPr>
          <w:szCs w:val="24"/>
        </w:rPr>
      </w:pPr>
      <w:r w:rsidRPr="00A50093">
        <w:rPr>
          <w:szCs w:val="24"/>
        </w:rPr>
        <w:tab/>
      </w:r>
      <w:r w:rsidR="009B57B3" w:rsidRPr="00A50093">
        <w:rPr>
          <w:szCs w:val="24"/>
        </w:rPr>
        <w:t xml:space="preserve">APPEAL from a judgment of the </w:t>
      </w:r>
      <w:r w:rsidRPr="00A50093">
        <w:rPr>
          <w:szCs w:val="24"/>
        </w:rPr>
        <w:t xml:space="preserve">Ontario </w:t>
      </w:r>
      <w:r w:rsidR="009B57B3" w:rsidRPr="00A50093">
        <w:rPr>
          <w:szCs w:val="24"/>
        </w:rPr>
        <w:t>Court of Appeal</w:t>
      </w:r>
      <w:r w:rsidR="00521ECC" w:rsidRPr="00A50093">
        <w:rPr>
          <w:szCs w:val="24"/>
        </w:rPr>
        <w:t xml:space="preserve"> (Sharpe, Blair and </w:t>
      </w:r>
      <w:proofErr w:type="spellStart"/>
      <w:r w:rsidR="00521ECC" w:rsidRPr="00A50093">
        <w:rPr>
          <w:szCs w:val="24"/>
        </w:rPr>
        <w:t>MacFarland</w:t>
      </w:r>
      <w:proofErr w:type="spellEnd"/>
      <w:r w:rsidR="00521ECC" w:rsidRPr="00A50093">
        <w:rPr>
          <w:szCs w:val="24"/>
        </w:rPr>
        <w:t> </w:t>
      </w:r>
      <w:r w:rsidRPr="00A50093">
        <w:rPr>
          <w:szCs w:val="24"/>
        </w:rPr>
        <w:t xml:space="preserve">JJ.A.), 2010 ONCA 576, 267 O.A.C. 149, 260 </w:t>
      </w:r>
      <w:r w:rsidR="003034CA" w:rsidRPr="00A50093">
        <w:rPr>
          <w:szCs w:val="24"/>
        </w:rPr>
        <w:t>C.C.C. (3d) 35, [2010] O.J. No. </w:t>
      </w:r>
      <w:r w:rsidRPr="00A50093">
        <w:rPr>
          <w:szCs w:val="24"/>
        </w:rPr>
        <w:t xml:space="preserve">3908 (QL), 2010 </w:t>
      </w:r>
      <w:proofErr w:type="spellStart"/>
      <w:r w:rsidRPr="00A50093">
        <w:rPr>
          <w:szCs w:val="24"/>
        </w:rPr>
        <w:t>CarswellOnt</w:t>
      </w:r>
      <w:proofErr w:type="spellEnd"/>
      <w:r w:rsidRPr="00A50093">
        <w:rPr>
          <w:szCs w:val="24"/>
        </w:rPr>
        <w:t xml:space="preserve"> 6911, setting aside the </w:t>
      </w:r>
      <w:proofErr w:type="spellStart"/>
      <w:r w:rsidRPr="00A50093">
        <w:rPr>
          <w:szCs w:val="24"/>
        </w:rPr>
        <w:t>accused’s</w:t>
      </w:r>
      <w:proofErr w:type="spellEnd"/>
      <w:r w:rsidRPr="00A50093">
        <w:rPr>
          <w:szCs w:val="24"/>
        </w:rPr>
        <w:t xml:space="preserve"> convictions</w:t>
      </w:r>
      <w:r w:rsidR="0038752E" w:rsidRPr="00A50093">
        <w:rPr>
          <w:szCs w:val="24"/>
        </w:rPr>
        <w:t xml:space="preserve"> and entering acquittals</w:t>
      </w:r>
      <w:r w:rsidRPr="00A50093">
        <w:rPr>
          <w:szCs w:val="24"/>
        </w:rPr>
        <w:t xml:space="preserve">. </w:t>
      </w:r>
      <w:r w:rsidR="0038752E" w:rsidRPr="00A50093">
        <w:rPr>
          <w:szCs w:val="24"/>
        </w:rPr>
        <w:t xml:space="preserve"> </w:t>
      </w:r>
      <w:r w:rsidRPr="00A50093">
        <w:rPr>
          <w:szCs w:val="24"/>
        </w:rPr>
        <w:t>Appeal allowed.</w:t>
      </w:r>
    </w:p>
    <w:p w:rsidR="007A7D59" w:rsidRPr="00A50093" w:rsidRDefault="003D2C02" w:rsidP="003034CA">
      <w:pPr>
        <w:pStyle w:val="SCCNormalDoubleSpacing"/>
        <w:spacing w:after="480"/>
        <w:rPr>
          <w:szCs w:val="24"/>
        </w:rPr>
      </w:pPr>
      <w:r w:rsidRPr="00A50093">
        <w:rPr>
          <w:rStyle w:val="SCCCounselNameChar"/>
          <w:szCs w:val="24"/>
        </w:rPr>
        <w:tab/>
      </w:r>
      <w:proofErr w:type="gramStart"/>
      <w:r w:rsidRPr="00A50093">
        <w:rPr>
          <w:rStyle w:val="SCCCounselNameChar"/>
          <w:szCs w:val="24"/>
        </w:rPr>
        <w:t>Deborah Krick</w:t>
      </w:r>
      <w:r w:rsidRPr="00A50093">
        <w:rPr>
          <w:rStyle w:val="SCCCounselPartyRoleChar"/>
          <w:szCs w:val="24"/>
        </w:rPr>
        <w:t>, for the appellant.</w:t>
      </w:r>
      <w:proofErr w:type="gramEnd"/>
    </w:p>
    <w:p w:rsidR="007A7D59" w:rsidRDefault="003D2C02" w:rsidP="003034CA">
      <w:pPr>
        <w:pStyle w:val="SCCNormalDoubleSpacing"/>
        <w:spacing w:after="480"/>
        <w:rPr>
          <w:rStyle w:val="SCCCounselPartyRoleChar"/>
          <w:szCs w:val="24"/>
        </w:rPr>
      </w:pPr>
      <w:r w:rsidRPr="00A50093">
        <w:rPr>
          <w:rStyle w:val="SCCCounselNameChar"/>
          <w:szCs w:val="24"/>
        </w:rPr>
        <w:tab/>
      </w:r>
      <w:proofErr w:type="gramStart"/>
      <w:r w:rsidRPr="00A50093">
        <w:rPr>
          <w:rStyle w:val="SCCCounselNameChar"/>
          <w:szCs w:val="24"/>
        </w:rPr>
        <w:t>Joseph Di Luca</w:t>
      </w:r>
      <w:r w:rsidRPr="00A50093">
        <w:rPr>
          <w:rStyle w:val="SCCCounselSeparatorChar"/>
          <w:szCs w:val="24"/>
        </w:rPr>
        <w:t xml:space="preserve"> and </w:t>
      </w:r>
      <w:r w:rsidRPr="00A50093">
        <w:rPr>
          <w:rStyle w:val="SCCCounselNameChar"/>
          <w:szCs w:val="24"/>
        </w:rPr>
        <w:t>Kevin Tilley</w:t>
      </w:r>
      <w:r w:rsidRPr="00A50093">
        <w:rPr>
          <w:rStyle w:val="SCCCounselPartyRoleChar"/>
          <w:szCs w:val="24"/>
        </w:rPr>
        <w:t>, for the respondent.</w:t>
      </w:r>
      <w:proofErr w:type="gramEnd"/>
    </w:p>
    <w:p w:rsidR="006A705D" w:rsidRPr="00776B0A" w:rsidRDefault="00CA2425" w:rsidP="00CA2425">
      <w:pPr>
        <w:pStyle w:val="SCCNormalDoubleSpacing"/>
        <w:spacing w:after="480"/>
        <w:rPr>
          <w:szCs w:val="24"/>
        </w:rPr>
      </w:pPr>
      <w:r>
        <w:rPr>
          <w:rStyle w:val="SCCCounselPartyRoleChar"/>
          <w:szCs w:val="24"/>
        </w:rPr>
        <w:tab/>
        <w:t>The following is the judgment delivered by</w:t>
      </w:r>
    </w:p>
    <w:p w:rsidR="006A705D" w:rsidRDefault="00CA2425" w:rsidP="00B47DF2">
      <w:pPr>
        <w:pStyle w:val="ParaNoNdepar-AltN"/>
      </w:pPr>
      <w:r>
        <w:rPr>
          <w:smallCaps/>
        </w:rPr>
        <w:t>The Court</w:t>
      </w:r>
      <w:r w:rsidRPr="000B0B7C">
        <w:t xml:space="preserve"> — </w:t>
      </w:r>
      <w:proofErr w:type="gramStart"/>
      <w:r w:rsidR="006A705D">
        <w:t>We</w:t>
      </w:r>
      <w:proofErr w:type="gramEnd"/>
      <w:r w:rsidR="006A705D">
        <w:t xml:space="preserve"> find that the appeal raises a question of law and that the Court has jurisdiction.  On the merits, we agree with Blair J.A., dissenting in the Court of Appeal, that </w:t>
      </w:r>
    </w:p>
    <w:p w:rsidR="006A705D" w:rsidRDefault="00776B0A" w:rsidP="00776B0A">
      <w:pPr>
        <w:pStyle w:val="Citation-AltC"/>
        <w:tabs>
          <w:tab w:val="left" w:pos="1170"/>
        </w:tabs>
        <w:ind w:hanging="1166"/>
      </w:pPr>
      <w:r>
        <w:tab/>
      </w:r>
      <w:r w:rsidR="006A705D">
        <w:t>[s]</w:t>
      </w:r>
      <w:proofErr w:type="spellStart"/>
      <w:r w:rsidR="006A705D">
        <w:t>uggesting</w:t>
      </w:r>
      <w:proofErr w:type="spellEnd"/>
      <w:r w:rsidR="006A705D">
        <w:t xml:space="preserve"> a facile, albeit deceitful, way of accomplishing the desired objective is just as much a part of the “persuasion package” as providing </w:t>
      </w:r>
      <w:r w:rsidR="006A705D">
        <w:lastRenderedPageBreak/>
        <w:t xml:space="preserve">the incentive to carry out the desired objective in the first place.  Both form part of the same chain of events designed to convince Mr. Page not to testify and thus </w:t>
      </w:r>
      <w:proofErr w:type="gramStart"/>
      <w:r w:rsidR="006A705D">
        <w:t>effect</w:t>
      </w:r>
      <w:proofErr w:type="gramEnd"/>
      <w:r w:rsidR="006A705D">
        <w:t xml:space="preserve"> the sought-after result.  The suggestion of providing a false doctor’s note was not simply a logistical detail; it was an integral part of the overall persuasive package.  Its purpose was to delay and obstruct the course of justice.</w:t>
      </w:r>
    </w:p>
    <w:p w:rsidR="00CA2425" w:rsidRDefault="00CA2425" w:rsidP="00B47DF2">
      <w:pPr>
        <w:pStyle w:val="Citation-AltC"/>
      </w:pPr>
    </w:p>
    <w:p w:rsidR="006A705D" w:rsidRDefault="00776B0A" w:rsidP="00776B0A">
      <w:pPr>
        <w:pStyle w:val="Citation-AltC"/>
        <w:tabs>
          <w:tab w:val="left" w:pos="1170"/>
        </w:tabs>
        <w:ind w:hanging="1166"/>
      </w:pPr>
      <w:r>
        <w:tab/>
      </w:r>
      <w:r w:rsidR="006A705D">
        <w:t xml:space="preserve">(2010 ONCA 576, 267 O.A.C. 149, at </w:t>
      </w:r>
      <w:proofErr w:type="spellStart"/>
      <w:r w:rsidR="006A705D">
        <w:t>para</w:t>
      </w:r>
      <w:proofErr w:type="spellEnd"/>
      <w:r w:rsidR="006A705D">
        <w:t>. 68)</w:t>
      </w:r>
    </w:p>
    <w:p w:rsidR="006A705D" w:rsidRPr="004558FC" w:rsidRDefault="006A705D" w:rsidP="00B47DF2">
      <w:pPr>
        <w:pStyle w:val="ParaNoNdepar-AltN"/>
      </w:pPr>
      <w:r>
        <w:t>We would allow the appeal and restore the convictions imposed by the trial judge.</w:t>
      </w:r>
    </w:p>
    <w:p w:rsidR="009B57B3" w:rsidRPr="00A50093" w:rsidRDefault="0004344D" w:rsidP="003034CA">
      <w:pPr>
        <w:pStyle w:val="SCCNormalDoubleSpacing"/>
        <w:spacing w:after="480"/>
        <w:rPr>
          <w:szCs w:val="24"/>
        </w:rPr>
      </w:pPr>
      <w:r w:rsidRPr="00A50093">
        <w:rPr>
          <w:szCs w:val="24"/>
        </w:rPr>
        <w:tab/>
      </w:r>
      <w:r w:rsidR="00656313" w:rsidRPr="00A50093">
        <w:rPr>
          <w:i/>
          <w:szCs w:val="24"/>
        </w:rPr>
        <w:t>Appea</w:t>
      </w:r>
      <w:r w:rsidRPr="00A50093">
        <w:rPr>
          <w:i/>
          <w:szCs w:val="24"/>
        </w:rPr>
        <w:t>l allowed.</w:t>
      </w:r>
    </w:p>
    <w:p w:rsidR="0004344D" w:rsidRPr="00A50093" w:rsidRDefault="003034CA" w:rsidP="003034CA">
      <w:pPr>
        <w:pStyle w:val="SCCLawFirm"/>
        <w:spacing w:after="480"/>
        <w:rPr>
          <w:szCs w:val="24"/>
        </w:rPr>
      </w:pPr>
      <w:r w:rsidRPr="00A50093">
        <w:rPr>
          <w:szCs w:val="24"/>
        </w:rPr>
        <w:tab/>
        <w:t>Solicitor for the appellant:  </w:t>
      </w:r>
      <w:r w:rsidR="0004344D" w:rsidRPr="00A50093">
        <w:rPr>
          <w:szCs w:val="24"/>
        </w:rPr>
        <w:t>Attorney General of Ontario, Toronto.</w:t>
      </w:r>
    </w:p>
    <w:p w:rsidR="009B57B3" w:rsidRPr="006A705D" w:rsidRDefault="0004344D" w:rsidP="006A705D">
      <w:pPr>
        <w:pStyle w:val="SCCLawFirm"/>
        <w:spacing w:after="480"/>
        <w:rPr>
          <w:szCs w:val="24"/>
          <w:lang w:val="en-US"/>
        </w:rPr>
      </w:pPr>
      <w:r w:rsidRPr="00A50093">
        <w:rPr>
          <w:szCs w:val="24"/>
        </w:rPr>
        <w:tab/>
      </w:r>
      <w:r w:rsidR="003034CA" w:rsidRPr="00A50093">
        <w:rPr>
          <w:szCs w:val="24"/>
        </w:rPr>
        <w:t>Solicitors for the respondent:  </w:t>
      </w:r>
      <w:r w:rsidRPr="00A50093">
        <w:rPr>
          <w:szCs w:val="24"/>
        </w:rPr>
        <w:t>Di Luca Copeland Davies, Toronto.</w:t>
      </w:r>
      <w:r w:rsidR="006A705D" w:rsidRPr="006A705D">
        <w:rPr>
          <w:szCs w:val="24"/>
          <w:lang w:val="en-US"/>
        </w:rPr>
        <w:t xml:space="preserve"> </w:t>
      </w:r>
    </w:p>
    <w:sectPr w:rsidR="009B57B3" w:rsidRPr="006A705D" w:rsidSect="00CA242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B9" w:rsidRDefault="00FF05B9">
      <w:r>
        <w:separator/>
      </w:r>
    </w:p>
  </w:endnote>
  <w:endnote w:type="continuationSeparator" w:id="0">
    <w:p w:rsidR="00FF05B9" w:rsidRDefault="00FF0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B9" w:rsidRDefault="00FF05B9">
      <w:r>
        <w:separator/>
      </w:r>
    </w:p>
  </w:footnote>
  <w:footnote w:type="continuationSeparator" w:id="0">
    <w:p w:rsidR="00FF05B9" w:rsidRDefault="00FF0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25" w:rsidRDefault="00CA2425" w:rsidP="00CA2425">
    <w:pPr>
      <w:pStyle w:val="Header"/>
      <w:ind w:left="360"/>
      <w:jc w:val="center"/>
    </w:pPr>
    <w:r>
      <w:t xml:space="preserve">- </w:t>
    </w:r>
    <w:sdt>
      <w:sdtPr>
        <w:id w:val="93389797"/>
        <w:docPartObj>
          <w:docPartGallery w:val="Page Numbers (Top of Page)"/>
          <w:docPartUnique/>
        </w:docPartObj>
      </w:sdtPr>
      <w:sdtContent>
        <w:fldSimple w:instr=" PAGE   \* MERGEFORMAT ">
          <w:r w:rsidR="00770F53">
            <w:rPr>
              <w:noProof/>
            </w:rPr>
            <w:t>3</w:t>
          </w:r>
        </w:fldSimple>
        <w:r>
          <w:t xml:space="preserve"> -</w:t>
        </w:r>
      </w:sdtContent>
    </w:sdt>
  </w:p>
  <w:p w:rsidR="00CA2425" w:rsidRDefault="00CA2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E90BA8"/>
    <w:multiLevelType w:val="hybridMultilevel"/>
    <w:tmpl w:val="52B418CA"/>
    <w:lvl w:ilvl="0" w:tplc="D7EE78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0"/>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rsids>
    <w:rsidRoot w:val="0031414C"/>
    <w:rsid w:val="00000ED4"/>
    <w:rsid w:val="000020F2"/>
    <w:rsid w:val="00025198"/>
    <w:rsid w:val="0004344D"/>
    <w:rsid w:val="00055B18"/>
    <w:rsid w:val="000578A3"/>
    <w:rsid w:val="000648CC"/>
    <w:rsid w:val="000C59B8"/>
    <w:rsid w:val="00104F33"/>
    <w:rsid w:val="00111DE2"/>
    <w:rsid w:val="00116B38"/>
    <w:rsid w:val="00135406"/>
    <w:rsid w:val="00135972"/>
    <w:rsid w:val="001426A9"/>
    <w:rsid w:val="00154D7C"/>
    <w:rsid w:val="001570B0"/>
    <w:rsid w:val="0015752C"/>
    <w:rsid w:val="00157737"/>
    <w:rsid w:val="00165277"/>
    <w:rsid w:val="00170592"/>
    <w:rsid w:val="0018181D"/>
    <w:rsid w:val="001A2135"/>
    <w:rsid w:val="001B33E0"/>
    <w:rsid w:val="001B4573"/>
    <w:rsid w:val="001C779F"/>
    <w:rsid w:val="001D2AC1"/>
    <w:rsid w:val="001D4E88"/>
    <w:rsid w:val="00220FC2"/>
    <w:rsid w:val="00224FC0"/>
    <w:rsid w:val="00225EA4"/>
    <w:rsid w:val="00226EAF"/>
    <w:rsid w:val="00231F3A"/>
    <w:rsid w:val="002406EE"/>
    <w:rsid w:val="00243EC8"/>
    <w:rsid w:val="002745CC"/>
    <w:rsid w:val="002B7924"/>
    <w:rsid w:val="002D39A4"/>
    <w:rsid w:val="002E6705"/>
    <w:rsid w:val="002F69EA"/>
    <w:rsid w:val="0030329A"/>
    <w:rsid w:val="003034CA"/>
    <w:rsid w:val="0031086F"/>
    <w:rsid w:val="0031414C"/>
    <w:rsid w:val="00314E01"/>
    <w:rsid w:val="0032089D"/>
    <w:rsid w:val="003310DE"/>
    <w:rsid w:val="0035169A"/>
    <w:rsid w:val="0035259D"/>
    <w:rsid w:val="00364B18"/>
    <w:rsid w:val="0038752E"/>
    <w:rsid w:val="003A4C70"/>
    <w:rsid w:val="003B215F"/>
    <w:rsid w:val="003C799C"/>
    <w:rsid w:val="003D0399"/>
    <w:rsid w:val="003D2C02"/>
    <w:rsid w:val="003E1C71"/>
    <w:rsid w:val="003F1BEA"/>
    <w:rsid w:val="003F327B"/>
    <w:rsid w:val="003F53B5"/>
    <w:rsid w:val="00406166"/>
    <w:rsid w:val="0040704B"/>
    <w:rsid w:val="00410A55"/>
    <w:rsid w:val="00411300"/>
    <w:rsid w:val="00415417"/>
    <w:rsid w:val="00426659"/>
    <w:rsid w:val="00450352"/>
    <w:rsid w:val="00454BDB"/>
    <w:rsid w:val="00465132"/>
    <w:rsid w:val="00480C90"/>
    <w:rsid w:val="0048396F"/>
    <w:rsid w:val="00493C18"/>
    <w:rsid w:val="004A600C"/>
    <w:rsid w:val="004A6118"/>
    <w:rsid w:val="004C1556"/>
    <w:rsid w:val="004C478D"/>
    <w:rsid w:val="004E2C26"/>
    <w:rsid w:val="004E4A2C"/>
    <w:rsid w:val="004F6D16"/>
    <w:rsid w:val="005125A8"/>
    <w:rsid w:val="00521AE8"/>
    <w:rsid w:val="00521ECC"/>
    <w:rsid w:val="00527180"/>
    <w:rsid w:val="00555291"/>
    <w:rsid w:val="00566AD1"/>
    <w:rsid w:val="00583EDE"/>
    <w:rsid w:val="005A5DC5"/>
    <w:rsid w:val="005E4698"/>
    <w:rsid w:val="00604DC6"/>
    <w:rsid w:val="00610539"/>
    <w:rsid w:val="00613969"/>
    <w:rsid w:val="00625C35"/>
    <w:rsid w:val="00656313"/>
    <w:rsid w:val="006565F4"/>
    <w:rsid w:val="00684EEA"/>
    <w:rsid w:val="0069689B"/>
    <w:rsid w:val="006A705D"/>
    <w:rsid w:val="006B5FF5"/>
    <w:rsid w:val="00701759"/>
    <w:rsid w:val="00705C15"/>
    <w:rsid w:val="007136CA"/>
    <w:rsid w:val="00747288"/>
    <w:rsid w:val="00747DD3"/>
    <w:rsid w:val="007549C8"/>
    <w:rsid w:val="00766D14"/>
    <w:rsid w:val="00767A0F"/>
    <w:rsid w:val="00770F53"/>
    <w:rsid w:val="00774EFA"/>
    <w:rsid w:val="00776B0A"/>
    <w:rsid w:val="00794046"/>
    <w:rsid w:val="007A05F6"/>
    <w:rsid w:val="007A7D59"/>
    <w:rsid w:val="007B6F4A"/>
    <w:rsid w:val="007E1C47"/>
    <w:rsid w:val="007E337A"/>
    <w:rsid w:val="007E5C70"/>
    <w:rsid w:val="007F2FF5"/>
    <w:rsid w:val="007F3F08"/>
    <w:rsid w:val="00804CC6"/>
    <w:rsid w:val="00817190"/>
    <w:rsid w:val="008260E2"/>
    <w:rsid w:val="008322BD"/>
    <w:rsid w:val="00834F73"/>
    <w:rsid w:val="00864CF8"/>
    <w:rsid w:val="00874914"/>
    <w:rsid w:val="00891422"/>
    <w:rsid w:val="00892E1A"/>
    <w:rsid w:val="008B15F4"/>
    <w:rsid w:val="008C01DA"/>
    <w:rsid w:val="008F78E9"/>
    <w:rsid w:val="00905EF6"/>
    <w:rsid w:val="00911140"/>
    <w:rsid w:val="009179F9"/>
    <w:rsid w:val="00933E5E"/>
    <w:rsid w:val="00935218"/>
    <w:rsid w:val="009403F3"/>
    <w:rsid w:val="009555B7"/>
    <w:rsid w:val="009567AA"/>
    <w:rsid w:val="00967374"/>
    <w:rsid w:val="00974C95"/>
    <w:rsid w:val="009B2F23"/>
    <w:rsid w:val="009B57B3"/>
    <w:rsid w:val="009D2920"/>
    <w:rsid w:val="009D5AEB"/>
    <w:rsid w:val="009D77CC"/>
    <w:rsid w:val="009F0E33"/>
    <w:rsid w:val="009F618D"/>
    <w:rsid w:val="00A04895"/>
    <w:rsid w:val="00A149DF"/>
    <w:rsid w:val="00A21B90"/>
    <w:rsid w:val="00A41805"/>
    <w:rsid w:val="00A41BC6"/>
    <w:rsid w:val="00A50093"/>
    <w:rsid w:val="00A548CB"/>
    <w:rsid w:val="00A5521C"/>
    <w:rsid w:val="00A5546D"/>
    <w:rsid w:val="00A643E7"/>
    <w:rsid w:val="00A73C38"/>
    <w:rsid w:val="00AB670D"/>
    <w:rsid w:val="00AF03C5"/>
    <w:rsid w:val="00AF04AD"/>
    <w:rsid w:val="00B000D8"/>
    <w:rsid w:val="00B00F75"/>
    <w:rsid w:val="00B145B6"/>
    <w:rsid w:val="00B47DF2"/>
    <w:rsid w:val="00B50C81"/>
    <w:rsid w:val="00B557F8"/>
    <w:rsid w:val="00B815FC"/>
    <w:rsid w:val="00B93FBC"/>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2425"/>
    <w:rsid w:val="00CA6391"/>
    <w:rsid w:val="00CE3171"/>
    <w:rsid w:val="00CF1601"/>
    <w:rsid w:val="00D0172F"/>
    <w:rsid w:val="00D068A7"/>
    <w:rsid w:val="00D11505"/>
    <w:rsid w:val="00D32086"/>
    <w:rsid w:val="00D37A3F"/>
    <w:rsid w:val="00D4431D"/>
    <w:rsid w:val="00D4635A"/>
    <w:rsid w:val="00D4667A"/>
    <w:rsid w:val="00D479CF"/>
    <w:rsid w:val="00D63F33"/>
    <w:rsid w:val="00D7516F"/>
    <w:rsid w:val="00D95F8E"/>
    <w:rsid w:val="00DA0590"/>
    <w:rsid w:val="00DC1788"/>
    <w:rsid w:val="00DE319C"/>
    <w:rsid w:val="00DF0CA8"/>
    <w:rsid w:val="00DF2B48"/>
    <w:rsid w:val="00DF49A7"/>
    <w:rsid w:val="00E07EE2"/>
    <w:rsid w:val="00E07FD1"/>
    <w:rsid w:val="00E24573"/>
    <w:rsid w:val="00E25E1E"/>
    <w:rsid w:val="00E27EE7"/>
    <w:rsid w:val="00E35404"/>
    <w:rsid w:val="00E45109"/>
    <w:rsid w:val="00E47B7A"/>
    <w:rsid w:val="00E5636A"/>
    <w:rsid w:val="00E60269"/>
    <w:rsid w:val="00E66D6F"/>
    <w:rsid w:val="00E921CF"/>
    <w:rsid w:val="00E97830"/>
    <w:rsid w:val="00EF0683"/>
    <w:rsid w:val="00F0070C"/>
    <w:rsid w:val="00F00EB7"/>
    <w:rsid w:val="00F36AB6"/>
    <w:rsid w:val="00F37A09"/>
    <w:rsid w:val="00F409CE"/>
    <w:rsid w:val="00F4379D"/>
    <w:rsid w:val="00F84DF4"/>
    <w:rsid w:val="00F85C97"/>
    <w:rsid w:val="00FB37D2"/>
    <w:rsid w:val="00FC4EFB"/>
    <w:rsid w:val="00FD068D"/>
    <w:rsid w:val="00FD4F28"/>
    <w:rsid w:val="00FE6784"/>
    <w:rsid w:val="00FF0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A41BC6"/>
    <w:rPr>
      <w:sz w:val="24"/>
    </w:rPr>
  </w:style>
  <w:style w:type="paragraph" w:styleId="Heading1">
    <w:name w:val="heading 1"/>
    <w:next w:val="Normal"/>
    <w:link w:val="Heading1Char"/>
    <w:uiPriority w:val="2"/>
    <w:rsid w:val="00A41BC6"/>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A41B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1BC6"/>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41BC6"/>
    <w:rPr>
      <w:color w:val="808080"/>
    </w:rPr>
  </w:style>
  <w:style w:type="paragraph" w:styleId="BalloonText">
    <w:name w:val="Balloon Text"/>
    <w:basedOn w:val="Normal"/>
    <w:link w:val="BalloonTextChar"/>
    <w:uiPriority w:val="99"/>
    <w:semiHidden/>
    <w:unhideWhenUsed/>
    <w:rsid w:val="00A41BC6"/>
    <w:rPr>
      <w:rFonts w:cs="Tahoma"/>
      <w:sz w:val="28"/>
      <w:szCs w:val="16"/>
    </w:rPr>
  </w:style>
  <w:style w:type="character" w:customStyle="1" w:styleId="BalloonTextChar">
    <w:name w:val="Balloon Text Char"/>
    <w:basedOn w:val="DefaultParagraphFont"/>
    <w:link w:val="BalloonText"/>
    <w:uiPriority w:val="99"/>
    <w:semiHidden/>
    <w:rsid w:val="00A41BC6"/>
    <w:rPr>
      <w:rFonts w:cs="Tahoma"/>
      <w:sz w:val="28"/>
      <w:szCs w:val="16"/>
    </w:rPr>
  </w:style>
  <w:style w:type="paragraph" w:styleId="Header">
    <w:name w:val="header"/>
    <w:basedOn w:val="Normal"/>
    <w:link w:val="HeaderChar"/>
    <w:uiPriority w:val="99"/>
    <w:unhideWhenUsed/>
    <w:rsid w:val="00A41BC6"/>
    <w:pPr>
      <w:tabs>
        <w:tab w:val="center" w:pos="4680"/>
        <w:tab w:val="right" w:pos="9360"/>
      </w:tabs>
    </w:pPr>
  </w:style>
  <w:style w:type="character" w:customStyle="1" w:styleId="HeaderChar">
    <w:name w:val="Header Char"/>
    <w:basedOn w:val="DefaultParagraphFont"/>
    <w:link w:val="Header"/>
    <w:uiPriority w:val="99"/>
    <w:rsid w:val="00A41BC6"/>
    <w:rPr>
      <w:sz w:val="24"/>
    </w:rPr>
  </w:style>
  <w:style w:type="paragraph" w:styleId="Footer">
    <w:name w:val="footer"/>
    <w:basedOn w:val="Normal"/>
    <w:link w:val="FooterChar"/>
    <w:uiPriority w:val="99"/>
    <w:semiHidden/>
    <w:unhideWhenUsed/>
    <w:rsid w:val="00A41BC6"/>
    <w:pPr>
      <w:tabs>
        <w:tab w:val="center" w:pos="4680"/>
        <w:tab w:val="right" w:pos="9360"/>
      </w:tabs>
    </w:pPr>
  </w:style>
  <w:style w:type="character" w:customStyle="1" w:styleId="FooterChar">
    <w:name w:val="Footer Char"/>
    <w:basedOn w:val="DefaultParagraphFont"/>
    <w:link w:val="Footer"/>
    <w:uiPriority w:val="99"/>
    <w:semiHidden/>
    <w:rsid w:val="00A41BC6"/>
    <w:rPr>
      <w:sz w:val="24"/>
    </w:rPr>
  </w:style>
  <w:style w:type="paragraph" w:customStyle="1" w:styleId="SCCLsocParty">
    <w:name w:val="SCC.Lsoc.Party"/>
    <w:basedOn w:val="Normal"/>
    <w:next w:val="Normal"/>
    <w:link w:val="SCCLsocPartyChar"/>
    <w:rsid w:val="00A41BC6"/>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41BC6"/>
    <w:rPr>
      <w:rFonts w:eastAsiaTheme="minorHAnsi" w:cstheme="minorBidi"/>
      <w:sz w:val="24"/>
      <w:szCs w:val="22"/>
      <w:lang w:eastAsia="en-US"/>
    </w:rPr>
  </w:style>
  <w:style w:type="paragraph" w:customStyle="1" w:styleId="SCCLsocVersus">
    <w:name w:val="SCC.Lsoc.Versus"/>
    <w:basedOn w:val="Normal"/>
    <w:next w:val="Normal"/>
    <w:link w:val="SCCLsocVersusChar"/>
    <w:rsid w:val="00A41BC6"/>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41BC6"/>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41BC6"/>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41BC6"/>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A41BC6"/>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41BC6"/>
    <w:rPr>
      <w:rFonts w:eastAsiaTheme="minorHAnsi" w:cstheme="minorBidi"/>
      <w:sz w:val="24"/>
      <w:szCs w:val="22"/>
      <w:lang w:eastAsia="en-US"/>
    </w:rPr>
  </w:style>
  <w:style w:type="character" w:customStyle="1" w:styleId="Heading1Char">
    <w:name w:val="Heading 1 Char"/>
    <w:basedOn w:val="DefaultParagraphFont"/>
    <w:link w:val="Heading1"/>
    <w:uiPriority w:val="2"/>
    <w:rsid w:val="00A41BC6"/>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A41BC6"/>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6A705D"/>
    <w:pPr>
      <w:ind w:left="720"/>
    </w:pPr>
  </w:style>
  <w:style w:type="paragraph" w:customStyle="1" w:styleId="SCCCoram">
    <w:name w:val="SCC.Coram"/>
    <w:basedOn w:val="Normal"/>
    <w:next w:val="Normal"/>
    <w:link w:val="SCCCoramChar"/>
    <w:rsid w:val="00A41BC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41BC6"/>
    <w:rPr>
      <w:rFonts w:eastAsiaTheme="minorHAnsi" w:cstheme="minorBidi"/>
      <w:sz w:val="24"/>
      <w:szCs w:val="22"/>
      <w:lang w:eastAsia="en-US"/>
    </w:rPr>
  </w:style>
  <w:style w:type="table" w:styleId="TableGrid">
    <w:name w:val="Table Grid"/>
    <w:basedOn w:val="TableNormal"/>
    <w:uiPriority w:val="59"/>
    <w:rsid w:val="00A41B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OtherPartyRoleSeparator">
    <w:name w:val="SCC.Lsoc.OtherPartyRoleSeparator"/>
    <w:basedOn w:val="Normal"/>
    <w:next w:val="Normal"/>
    <w:link w:val="SCCLsocOtherPartyRoleSeparatorChar"/>
    <w:rsid w:val="00A41BC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41BC6"/>
    <w:rPr>
      <w:rFonts w:eastAsiaTheme="minorHAnsi" w:cstheme="minorBidi"/>
      <w:sz w:val="24"/>
      <w:szCs w:val="22"/>
      <w:lang w:eastAsia="en-US"/>
    </w:rPr>
  </w:style>
  <w:style w:type="character" w:customStyle="1" w:styleId="SCCBanSummaryChar">
    <w:name w:val="SCC.BanSummary Char"/>
    <w:basedOn w:val="DefaultParagraphFont"/>
    <w:link w:val="SCCBanSummary"/>
    <w:rsid w:val="00A41BC6"/>
    <w:rPr>
      <w:rFonts w:eastAsiaTheme="minorEastAsia"/>
      <w:b/>
      <w:sz w:val="24"/>
      <w:szCs w:val="24"/>
    </w:rPr>
  </w:style>
  <w:style w:type="paragraph" w:customStyle="1" w:styleId="JudgeJuge">
    <w:name w:val="Judge / Juge"/>
    <w:link w:val="JudgeJugeChar"/>
    <w:uiPriority w:val="3"/>
    <w:rsid w:val="00A41BC6"/>
    <w:pPr>
      <w:tabs>
        <w:tab w:val="left" w:pos="1260"/>
      </w:tabs>
      <w:spacing w:after="480" w:line="480" w:lineRule="auto"/>
    </w:pPr>
    <w:rPr>
      <w:smallCaps/>
      <w:sz w:val="24"/>
    </w:rPr>
  </w:style>
  <w:style w:type="paragraph" w:customStyle="1" w:styleId="Citation-AltC">
    <w:name w:val="Citation - Alt C"/>
    <w:uiPriority w:val="2"/>
    <w:qFormat/>
    <w:rsid w:val="00A41BC6"/>
    <w:pPr>
      <w:spacing w:after="720"/>
      <w:ind w:left="1166"/>
      <w:contextualSpacing/>
      <w:jc w:val="both"/>
    </w:pPr>
    <w:rPr>
      <w:sz w:val="24"/>
    </w:rPr>
  </w:style>
  <w:style w:type="character" w:styleId="CommentReference">
    <w:name w:val="annotation reference"/>
    <w:basedOn w:val="DefaultParagraphFont"/>
    <w:uiPriority w:val="99"/>
    <w:semiHidden/>
    <w:unhideWhenUsed/>
    <w:rsid w:val="00A41BC6"/>
    <w:rPr>
      <w:sz w:val="16"/>
      <w:szCs w:val="16"/>
    </w:rPr>
  </w:style>
  <w:style w:type="paragraph" w:styleId="CommentText">
    <w:name w:val="annotation text"/>
    <w:basedOn w:val="Normal"/>
    <w:link w:val="CommentTextChar"/>
    <w:uiPriority w:val="99"/>
    <w:semiHidden/>
    <w:unhideWhenUsed/>
    <w:rsid w:val="00A41BC6"/>
    <w:rPr>
      <w:sz w:val="20"/>
    </w:rPr>
  </w:style>
  <w:style w:type="character" w:customStyle="1" w:styleId="CommentTextChar">
    <w:name w:val="Comment Text Char"/>
    <w:basedOn w:val="DefaultParagraphFont"/>
    <w:link w:val="CommentText"/>
    <w:uiPriority w:val="99"/>
    <w:semiHidden/>
    <w:rsid w:val="00A41BC6"/>
  </w:style>
  <w:style w:type="paragraph" w:styleId="CommentSubject">
    <w:name w:val="annotation subject"/>
    <w:basedOn w:val="CommentText"/>
    <w:next w:val="CommentText"/>
    <w:link w:val="CommentSubjectChar"/>
    <w:uiPriority w:val="99"/>
    <w:semiHidden/>
    <w:unhideWhenUsed/>
    <w:rsid w:val="00A41BC6"/>
    <w:rPr>
      <w:b/>
      <w:bCs/>
    </w:rPr>
  </w:style>
  <w:style w:type="character" w:customStyle="1" w:styleId="CommentSubjectChar">
    <w:name w:val="Comment Subject Char"/>
    <w:basedOn w:val="CommentTextChar"/>
    <w:link w:val="CommentSubject"/>
    <w:uiPriority w:val="99"/>
    <w:semiHidden/>
    <w:rsid w:val="00A41BC6"/>
    <w:rPr>
      <w:b/>
      <w:bCs/>
    </w:rPr>
  </w:style>
  <w:style w:type="paragraph" w:customStyle="1" w:styleId="ContinueParaSuitedupar-AltP">
    <w:name w:val="Continue Para. / Suite du par. - Alt P"/>
    <w:next w:val="ParaNoNdepar-AltN"/>
    <w:uiPriority w:val="1"/>
    <w:qFormat/>
    <w:rsid w:val="00A41BC6"/>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A41BC6"/>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A41BC6"/>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A41BC6"/>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2BC9-06CF-4CB6-BED2-9F9C529C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Apr 29 2011.dotx</Template>
  <TotalTime>0</TotalTime>
  <Pages>4</Pages>
  <Words>429</Words>
  <Characters>2292</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2011-05-11T18:26:00Z</dcterms:created>
  <dcterms:modified xsi:type="dcterms:W3CDTF">2011-08-30T18:30:00Z</dcterms:modified>
</cp:coreProperties>
</file>