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5F" w:rsidRPr="001E2387" w:rsidRDefault="00D60F5F" w:rsidP="00D60F5F">
      <w:pPr>
        <w:tabs>
          <w:tab w:val="center" w:pos="4680"/>
          <w:tab w:val="right" w:pos="9360"/>
        </w:tabs>
        <w:rPr>
          <w:rFonts w:eastAsiaTheme="minorHAnsi" w:cstheme="minorBidi"/>
          <w:szCs w:val="24"/>
          <w:lang w:eastAsia="en-US"/>
        </w:rPr>
      </w:pPr>
      <w:r w:rsidRPr="001E2387">
        <w:rPr>
          <w:rFonts w:eastAsiaTheme="minorHAnsi" w:cstheme="minorBidi"/>
          <w:szCs w:val="24"/>
          <w:lang w:eastAsia="en-US"/>
        </w:rPr>
        <w:ptab w:relativeTo="margin" w:alignment="center" w:leader="none"/>
      </w:r>
      <w:r w:rsidRPr="001E2387">
        <w:rPr>
          <w:rFonts w:eastAsiaTheme="minorHAnsi" w:cstheme="minorBidi"/>
          <w:szCs w:val="24"/>
          <w:lang w:eastAsia="en-US"/>
        </w:rPr>
        <w:t xml:space="preserve"> </w:t>
      </w:r>
      <w:r w:rsidRPr="001E238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35pt" o:ole="">
            <v:imagedata r:id="rId7" o:title=""/>
          </v:shape>
          <o:OLEObject Type="Embed" ProgID="Presentations.Drawing.13" ShapeID="_x0000_i1025" DrawAspect="Content" ObjectID="_1379499598" r:id="rId8"/>
        </w:object>
      </w:r>
      <w:r w:rsidRPr="001E2387">
        <w:rPr>
          <w:rFonts w:eastAsiaTheme="minorHAnsi" w:cstheme="minorBidi"/>
          <w:szCs w:val="24"/>
          <w:lang w:eastAsia="en-US"/>
        </w:rPr>
        <w:t xml:space="preserve"> </w:t>
      </w:r>
      <w:r w:rsidRPr="001E2387">
        <w:rPr>
          <w:rFonts w:eastAsiaTheme="minorHAnsi" w:cstheme="minorBidi"/>
          <w:szCs w:val="24"/>
          <w:lang w:eastAsia="en-US"/>
        </w:rPr>
        <w:ptab w:relativeTo="margin" w:alignment="right" w:leader="none"/>
      </w:r>
    </w:p>
    <w:p w:rsidR="00D60F5F" w:rsidRPr="001E2387" w:rsidRDefault="00D60F5F" w:rsidP="00D60F5F">
      <w:pPr>
        <w:tabs>
          <w:tab w:val="center" w:pos="4680"/>
          <w:tab w:val="right" w:pos="9360"/>
        </w:tabs>
        <w:rPr>
          <w:rFonts w:eastAsiaTheme="minorHAnsi" w:cstheme="minorBidi"/>
          <w:szCs w:val="24"/>
          <w:lang w:eastAsia="en-US"/>
        </w:rPr>
      </w:pPr>
    </w:p>
    <w:p w:rsidR="00D60F5F" w:rsidRPr="001E2387" w:rsidRDefault="00D60F5F" w:rsidP="00D60F5F">
      <w:pPr>
        <w:jc w:val="center"/>
        <w:rPr>
          <w:rFonts w:eastAsiaTheme="minorHAnsi" w:cstheme="minorBidi"/>
          <w:b/>
          <w:szCs w:val="24"/>
          <w:lang w:eastAsia="en-US"/>
        </w:rPr>
      </w:pPr>
      <w:r w:rsidRPr="001E2387">
        <w:rPr>
          <w:rFonts w:eastAsiaTheme="minorHAnsi" w:cstheme="minorBidi"/>
          <w:b/>
          <w:szCs w:val="24"/>
          <w:lang w:eastAsia="en-US"/>
        </w:rPr>
        <w:t>SUPREME COURT OF CANADA</w:t>
      </w:r>
    </w:p>
    <w:p w:rsidR="00D60F5F" w:rsidRPr="001E2387" w:rsidRDefault="00D60F5F" w:rsidP="00D60F5F">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60F5F" w:rsidRPr="001E2387" w:rsidTr="00C23EF6">
        <w:trPr>
          <w:cantSplit/>
        </w:trPr>
        <w:tc>
          <w:tcPr>
            <w:tcW w:w="6768" w:type="dxa"/>
          </w:tcPr>
          <w:p w:rsidR="00D60F5F" w:rsidRPr="00D60F5F" w:rsidRDefault="00D60F5F" w:rsidP="00C23EF6">
            <w:pPr>
              <w:rPr>
                <w:lang w:val="fr-CA"/>
              </w:rPr>
            </w:pPr>
            <w:r w:rsidRPr="001E2387">
              <w:rPr>
                <w:b/>
                <w:smallCaps/>
                <w:lang w:val="fr-CA"/>
              </w:rPr>
              <w:t xml:space="preserve">Citation: </w:t>
            </w:r>
            <w:r w:rsidRPr="001E2387">
              <w:rPr>
                <w:lang w:val="fr-CA"/>
              </w:rPr>
              <w:t xml:space="preserve">  R. </w:t>
            </w:r>
            <w:r w:rsidRPr="001E2387">
              <w:rPr>
                <w:i/>
                <w:lang w:val="fr-CA"/>
              </w:rPr>
              <w:t>v</w:t>
            </w:r>
            <w:r w:rsidRPr="001E2387">
              <w:rPr>
                <w:lang w:val="fr-CA"/>
              </w:rPr>
              <w:t xml:space="preserve">. V.Y., </w:t>
            </w:r>
            <w:r w:rsidRPr="00D60F5F">
              <w:rPr>
                <w:rStyle w:val="SCCRespondentForRunningHeadChar"/>
                <w:lang w:val="fr-CA"/>
              </w:rPr>
              <w:t>2011 SCC 22, [2011] 2 S.C.R. 173</w:t>
            </w:r>
          </w:p>
        </w:tc>
        <w:tc>
          <w:tcPr>
            <w:tcW w:w="2808" w:type="dxa"/>
          </w:tcPr>
          <w:p w:rsidR="00D60F5F" w:rsidRPr="001E2387" w:rsidRDefault="00D60F5F" w:rsidP="00C23EF6">
            <w:r w:rsidRPr="001E2387">
              <w:rPr>
                <w:b/>
                <w:smallCaps/>
              </w:rPr>
              <w:t>Date:</w:t>
            </w:r>
            <w:r>
              <w:t xml:space="preserve"> 201105</w:t>
            </w:r>
            <w:r w:rsidRPr="001E2387">
              <w:t>06</w:t>
            </w:r>
          </w:p>
          <w:p w:rsidR="00D60F5F" w:rsidRPr="001E2387" w:rsidRDefault="00D60F5F" w:rsidP="00C23EF6">
            <w:r w:rsidRPr="001E2387">
              <w:rPr>
                <w:b/>
                <w:smallCaps/>
              </w:rPr>
              <w:t>Docket:</w:t>
            </w:r>
            <w:r w:rsidRPr="001E2387">
              <w:t xml:space="preserve"> 33841</w:t>
            </w:r>
          </w:p>
        </w:tc>
      </w:tr>
    </w:tbl>
    <w:p w:rsidR="00D60F5F" w:rsidRPr="001E2387" w:rsidRDefault="00D60F5F" w:rsidP="00D60F5F">
      <w:pPr>
        <w:rPr>
          <w:rFonts w:eastAsiaTheme="minorHAnsi" w:cstheme="minorBidi"/>
          <w:szCs w:val="24"/>
          <w:lang w:eastAsia="en-US"/>
        </w:rPr>
      </w:pPr>
    </w:p>
    <w:p w:rsidR="00D60F5F" w:rsidRPr="001E2387" w:rsidRDefault="00D60F5F" w:rsidP="00D60F5F">
      <w:pPr>
        <w:rPr>
          <w:rFonts w:eastAsiaTheme="minorHAnsi" w:cstheme="minorBidi"/>
          <w:b/>
          <w:smallCaps/>
          <w:szCs w:val="24"/>
          <w:lang w:eastAsia="en-US"/>
        </w:rPr>
      </w:pPr>
      <w:r w:rsidRPr="001E2387">
        <w:rPr>
          <w:rFonts w:eastAsiaTheme="minorHAnsi" w:cstheme="minorBidi"/>
          <w:b/>
          <w:smallCaps/>
          <w:szCs w:val="24"/>
          <w:lang w:eastAsia="en-US"/>
        </w:rPr>
        <w:t>Between:</w:t>
      </w:r>
    </w:p>
    <w:p w:rsidR="00D60F5F" w:rsidRPr="001E2387" w:rsidRDefault="00D60F5F" w:rsidP="00D60F5F">
      <w:pPr>
        <w:jc w:val="center"/>
        <w:rPr>
          <w:rFonts w:eastAsiaTheme="minorHAnsi" w:cstheme="minorBidi"/>
          <w:b/>
          <w:szCs w:val="24"/>
          <w:lang w:eastAsia="en-US"/>
        </w:rPr>
      </w:pPr>
      <w:r w:rsidRPr="001E2387">
        <w:rPr>
          <w:rFonts w:eastAsiaTheme="minorHAnsi" w:cstheme="minorBidi"/>
          <w:b/>
          <w:szCs w:val="24"/>
          <w:lang w:eastAsia="en-US"/>
        </w:rPr>
        <w:t xml:space="preserve">Her Majesty </w:t>
      </w:r>
      <w:proofErr w:type="gramStart"/>
      <w:r w:rsidRPr="001E2387">
        <w:rPr>
          <w:rFonts w:eastAsiaTheme="minorHAnsi" w:cstheme="minorBidi"/>
          <w:b/>
          <w:szCs w:val="24"/>
          <w:lang w:eastAsia="en-US"/>
        </w:rPr>
        <w:t>The</w:t>
      </w:r>
      <w:proofErr w:type="gramEnd"/>
      <w:r w:rsidRPr="001E2387">
        <w:rPr>
          <w:rFonts w:eastAsiaTheme="minorHAnsi" w:cstheme="minorBidi"/>
          <w:b/>
          <w:szCs w:val="24"/>
          <w:lang w:eastAsia="en-US"/>
        </w:rPr>
        <w:t xml:space="preserve"> Queen</w:t>
      </w:r>
    </w:p>
    <w:p w:rsidR="00D60F5F" w:rsidRPr="001E2387" w:rsidRDefault="00D60F5F" w:rsidP="00D60F5F">
      <w:pPr>
        <w:jc w:val="center"/>
        <w:rPr>
          <w:rFonts w:eastAsiaTheme="minorHAnsi" w:cstheme="minorBidi"/>
          <w:szCs w:val="24"/>
          <w:lang w:eastAsia="en-US"/>
        </w:rPr>
      </w:pPr>
      <w:r w:rsidRPr="001E2387">
        <w:rPr>
          <w:rFonts w:eastAsiaTheme="minorHAnsi" w:cstheme="minorBidi"/>
          <w:szCs w:val="24"/>
          <w:lang w:eastAsia="en-US"/>
        </w:rPr>
        <w:t>Appellant</w:t>
      </w:r>
    </w:p>
    <w:p w:rsidR="00D60F5F" w:rsidRPr="001E2387" w:rsidRDefault="00D60F5F" w:rsidP="00D60F5F">
      <w:pPr>
        <w:jc w:val="center"/>
        <w:rPr>
          <w:rFonts w:eastAsiaTheme="minorHAnsi" w:cstheme="minorBidi"/>
          <w:szCs w:val="24"/>
          <w:lang w:eastAsia="en-US"/>
        </w:rPr>
      </w:pPr>
      <w:proofErr w:type="gramStart"/>
      <w:r w:rsidRPr="001E2387">
        <w:rPr>
          <w:rFonts w:eastAsiaTheme="minorHAnsi" w:cstheme="minorBidi"/>
          <w:szCs w:val="24"/>
          <w:lang w:eastAsia="en-US"/>
        </w:rPr>
        <w:t>and</w:t>
      </w:r>
      <w:proofErr w:type="gramEnd"/>
      <w:r w:rsidRPr="001E2387">
        <w:rPr>
          <w:rFonts w:eastAsiaTheme="minorHAnsi" w:cstheme="minorBidi"/>
          <w:szCs w:val="24"/>
          <w:lang w:eastAsia="en-US"/>
        </w:rPr>
        <w:t>.</w:t>
      </w:r>
    </w:p>
    <w:p w:rsidR="00D60F5F" w:rsidRPr="001E2387" w:rsidRDefault="00D60F5F" w:rsidP="00D60F5F">
      <w:pPr>
        <w:jc w:val="center"/>
        <w:rPr>
          <w:rFonts w:eastAsiaTheme="minorHAnsi" w:cstheme="minorBidi"/>
          <w:b/>
          <w:szCs w:val="24"/>
          <w:lang w:eastAsia="en-US"/>
        </w:rPr>
      </w:pPr>
      <w:proofErr w:type="gramStart"/>
      <w:r w:rsidRPr="001E2387">
        <w:rPr>
          <w:rFonts w:eastAsiaTheme="minorHAnsi" w:cstheme="minorBidi"/>
          <w:b/>
          <w:szCs w:val="24"/>
          <w:lang w:eastAsia="en-US"/>
        </w:rPr>
        <w:t>V.Y.</w:t>
      </w:r>
      <w:proofErr w:type="gramEnd"/>
    </w:p>
    <w:p w:rsidR="00D60F5F" w:rsidRPr="001E2387" w:rsidRDefault="00D60F5F" w:rsidP="00D60F5F">
      <w:pPr>
        <w:jc w:val="center"/>
        <w:rPr>
          <w:rFonts w:eastAsiaTheme="minorHAnsi" w:cstheme="minorBidi"/>
          <w:szCs w:val="24"/>
          <w:lang w:eastAsia="en-US"/>
        </w:rPr>
      </w:pPr>
      <w:r w:rsidRPr="001E2387">
        <w:rPr>
          <w:rFonts w:eastAsiaTheme="minorHAnsi" w:cstheme="minorBidi"/>
          <w:szCs w:val="24"/>
          <w:lang w:eastAsia="en-US"/>
        </w:rPr>
        <w:t>Respondent</w:t>
      </w:r>
    </w:p>
    <w:p w:rsidR="00D60F5F" w:rsidRPr="001E2387" w:rsidRDefault="00D60F5F" w:rsidP="00D60F5F">
      <w:pPr>
        <w:jc w:val="center"/>
        <w:rPr>
          <w:rFonts w:eastAsiaTheme="minorHAnsi" w:cstheme="minorBidi"/>
          <w:szCs w:val="24"/>
          <w:lang w:eastAsia="en-US"/>
        </w:rPr>
      </w:pPr>
      <w:r w:rsidRPr="001E2387">
        <w:rPr>
          <w:rFonts w:eastAsiaTheme="minorHAnsi" w:cstheme="minorBidi"/>
          <w:szCs w:val="24"/>
          <w:lang w:eastAsia="en-US"/>
        </w:rPr>
        <w:t xml:space="preserve">- </w:t>
      </w:r>
      <w:proofErr w:type="gramStart"/>
      <w:r w:rsidRPr="001E2387">
        <w:rPr>
          <w:rFonts w:eastAsiaTheme="minorHAnsi" w:cstheme="minorBidi"/>
          <w:szCs w:val="24"/>
          <w:lang w:eastAsia="en-US"/>
        </w:rPr>
        <w:t>and</w:t>
      </w:r>
      <w:proofErr w:type="gramEnd"/>
      <w:r w:rsidRPr="001E2387">
        <w:rPr>
          <w:rFonts w:eastAsiaTheme="minorHAnsi" w:cstheme="minorBidi"/>
          <w:szCs w:val="24"/>
          <w:lang w:eastAsia="en-US"/>
        </w:rPr>
        <w:t xml:space="preserve"> -</w:t>
      </w:r>
    </w:p>
    <w:p w:rsidR="00D60F5F" w:rsidRPr="001E2387" w:rsidRDefault="00D60F5F" w:rsidP="00D60F5F">
      <w:pPr>
        <w:jc w:val="center"/>
        <w:rPr>
          <w:rFonts w:eastAsiaTheme="minorHAnsi" w:cstheme="minorBidi"/>
          <w:b/>
          <w:szCs w:val="24"/>
          <w:lang w:eastAsia="en-US"/>
        </w:rPr>
      </w:pPr>
      <w:r w:rsidRPr="001E2387">
        <w:rPr>
          <w:rFonts w:eastAsiaTheme="minorHAnsi" w:cstheme="minorBidi"/>
          <w:b/>
          <w:szCs w:val="24"/>
          <w:lang w:eastAsia="en-US"/>
        </w:rPr>
        <w:t>Association in Defence of the Wrongly Convicted</w:t>
      </w:r>
    </w:p>
    <w:p w:rsidR="00D60F5F" w:rsidRPr="001E2387" w:rsidRDefault="00D60F5F" w:rsidP="00D60F5F">
      <w:pPr>
        <w:jc w:val="center"/>
        <w:rPr>
          <w:rFonts w:eastAsiaTheme="minorHAnsi" w:cstheme="minorBidi"/>
          <w:szCs w:val="24"/>
          <w:lang w:eastAsia="en-US"/>
        </w:rPr>
      </w:pPr>
      <w:r w:rsidRPr="001E2387">
        <w:rPr>
          <w:rFonts w:eastAsiaTheme="minorHAnsi" w:cstheme="minorBidi"/>
          <w:szCs w:val="24"/>
          <w:lang w:eastAsia="en-US"/>
        </w:rPr>
        <w:t>Intervener</w:t>
      </w:r>
    </w:p>
    <w:p w:rsidR="00D60F5F" w:rsidRPr="001E2387" w:rsidRDefault="00D60F5F" w:rsidP="00D60F5F">
      <w:pPr>
        <w:rPr>
          <w:rFonts w:eastAsiaTheme="minorHAnsi" w:cstheme="minorBidi"/>
          <w:szCs w:val="24"/>
          <w:lang w:eastAsia="en-US"/>
        </w:rPr>
      </w:pPr>
    </w:p>
    <w:p w:rsidR="00D60F5F" w:rsidRPr="001E2387" w:rsidRDefault="00D60F5F" w:rsidP="00D60F5F">
      <w:pPr>
        <w:rPr>
          <w:rFonts w:eastAsiaTheme="minorHAnsi" w:cstheme="minorBidi"/>
          <w:szCs w:val="24"/>
          <w:lang w:eastAsia="en-US"/>
        </w:rPr>
      </w:pPr>
      <w:r w:rsidRPr="001E2387">
        <w:rPr>
          <w:rFonts w:eastAsiaTheme="minorHAnsi" w:cstheme="minorBidi"/>
          <w:b/>
          <w:smallCaps/>
          <w:szCs w:val="24"/>
          <w:lang w:eastAsia="en-US"/>
        </w:rPr>
        <w:t>Coram:</w:t>
      </w:r>
      <w:r w:rsidRPr="001E2387">
        <w:rPr>
          <w:rFonts w:eastAsiaTheme="minorHAnsi" w:cstheme="minorBidi"/>
          <w:szCs w:val="24"/>
          <w:lang w:eastAsia="en-US"/>
        </w:rPr>
        <w:t xml:space="preserve"> </w:t>
      </w:r>
      <w:proofErr w:type="spellStart"/>
      <w:r w:rsidRPr="001E2387">
        <w:rPr>
          <w:rFonts w:eastAsiaTheme="minorHAnsi" w:cstheme="minorBidi"/>
          <w:szCs w:val="24"/>
          <w:lang w:eastAsia="en-US"/>
        </w:rPr>
        <w:t>McLachlin</w:t>
      </w:r>
      <w:proofErr w:type="spellEnd"/>
      <w:r w:rsidRPr="001E2387">
        <w:rPr>
          <w:rFonts w:eastAsiaTheme="minorHAnsi" w:cstheme="minorBidi"/>
          <w:szCs w:val="24"/>
          <w:lang w:eastAsia="en-US"/>
        </w:rPr>
        <w:t xml:space="preserve"> C.J. and </w:t>
      </w:r>
      <w:proofErr w:type="spellStart"/>
      <w:r w:rsidRPr="001E2387">
        <w:rPr>
          <w:rFonts w:eastAsiaTheme="minorHAnsi" w:cstheme="minorBidi"/>
          <w:szCs w:val="24"/>
          <w:lang w:eastAsia="en-US"/>
        </w:rPr>
        <w:t>Binnie</w:t>
      </w:r>
      <w:proofErr w:type="spellEnd"/>
      <w:r w:rsidRPr="001E2387">
        <w:rPr>
          <w:rFonts w:eastAsiaTheme="minorHAnsi" w:cstheme="minorBidi"/>
          <w:szCs w:val="24"/>
          <w:lang w:eastAsia="en-US"/>
        </w:rPr>
        <w:t xml:space="preserve">, </w:t>
      </w:r>
      <w:proofErr w:type="spellStart"/>
      <w:r w:rsidRPr="001E2387">
        <w:rPr>
          <w:rFonts w:eastAsiaTheme="minorHAnsi" w:cstheme="minorBidi"/>
          <w:szCs w:val="24"/>
          <w:lang w:eastAsia="en-US"/>
        </w:rPr>
        <w:t>LeBel</w:t>
      </w:r>
      <w:proofErr w:type="spellEnd"/>
      <w:r w:rsidRPr="001E2387">
        <w:rPr>
          <w:rFonts w:eastAsiaTheme="minorHAnsi" w:cstheme="minorBidi"/>
          <w:szCs w:val="24"/>
          <w:lang w:eastAsia="en-US"/>
        </w:rPr>
        <w:t xml:space="preserve">, </w:t>
      </w:r>
      <w:proofErr w:type="spellStart"/>
      <w:r w:rsidRPr="001E2387">
        <w:rPr>
          <w:rFonts w:eastAsiaTheme="minorHAnsi" w:cstheme="minorBidi"/>
          <w:szCs w:val="24"/>
          <w:lang w:eastAsia="en-US"/>
        </w:rPr>
        <w:t>Deschamps</w:t>
      </w:r>
      <w:proofErr w:type="spellEnd"/>
      <w:r w:rsidRPr="001E2387">
        <w:rPr>
          <w:rFonts w:eastAsiaTheme="minorHAnsi" w:cstheme="minorBidi"/>
          <w:szCs w:val="24"/>
          <w:lang w:eastAsia="en-US"/>
        </w:rPr>
        <w:t xml:space="preserve">, Fish, </w:t>
      </w:r>
      <w:proofErr w:type="spellStart"/>
      <w:r w:rsidRPr="001E2387">
        <w:rPr>
          <w:rFonts w:eastAsiaTheme="minorHAnsi" w:cstheme="minorBidi"/>
          <w:szCs w:val="24"/>
          <w:lang w:eastAsia="en-US"/>
        </w:rPr>
        <w:t>Abella</w:t>
      </w:r>
      <w:proofErr w:type="spellEnd"/>
      <w:r w:rsidRPr="001E2387">
        <w:rPr>
          <w:rFonts w:eastAsiaTheme="minorHAnsi" w:cstheme="minorBidi"/>
          <w:szCs w:val="24"/>
          <w:lang w:eastAsia="en-US"/>
        </w:rPr>
        <w:t xml:space="preserve">, </w:t>
      </w:r>
      <w:proofErr w:type="spellStart"/>
      <w:r w:rsidRPr="001E2387">
        <w:rPr>
          <w:rFonts w:eastAsiaTheme="minorHAnsi" w:cstheme="minorBidi"/>
          <w:szCs w:val="24"/>
          <w:lang w:eastAsia="en-US"/>
        </w:rPr>
        <w:t>Charron</w:t>
      </w:r>
      <w:proofErr w:type="spellEnd"/>
      <w:r w:rsidRPr="001E2387">
        <w:rPr>
          <w:rFonts w:eastAsiaTheme="minorHAnsi" w:cstheme="minorBidi"/>
          <w:szCs w:val="24"/>
          <w:lang w:eastAsia="en-US"/>
        </w:rPr>
        <w:t>, Rothstein and Cromwell JJ.</w:t>
      </w:r>
    </w:p>
    <w:p w:rsidR="00D60F5F" w:rsidRPr="001E2387" w:rsidRDefault="00D60F5F" w:rsidP="00D60F5F">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60F5F" w:rsidRPr="001E2387" w:rsidTr="00C23EF6">
        <w:trPr>
          <w:cantSplit/>
        </w:trPr>
        <w:tc>
          <w:tcPr>
            <w:tcW w:w="3618" w:type="dxa"/>
          </w:tcPr>
          <w:p w:rsidR="00D60F5F" w:rsidRPr="001E2387" w:rsidRDefault="00D60F5F" w:rsidP="00C23EF6">
            <w:pPr>
              <w:rPr>
                <w:b/>
                <w:smallCaps/>
              </w:rPr>
            </w:pPr>
            <w:r w:rsidRPr="001E2387">
              <w:rPr>
                <w:b/>
                <w:smallCaps/>
              </w:rPr>
              <w:t>Reasons for Judgment</w:t>
            </w:r>
          </w:p>
          <w:p w:rsidR="00D60F5F" w:rsidRPr="001E2387" w:rsidRDefault="00D60F5F" w:rsidP="00C23EF6">
            <w:r w:rsidRPr="001E2387">
              <w:t>(</w:t>
            </w:r>
            <w:proofErr w:type="spellStart"/>
            <w:r w:rsidRPr="001E2387">
              <w:t>paras</w:t>
            </w:r>
            <w:proofErr w:type="spellEnd"/>
            <w:r w:rsidRPr="001E2387">
              <w:t xml:space="preserve">. 1 to 4): </w:t>
            </w:r>
          </w:p>
        </w:tc>
        <w:tc>
          <w:tcPr>
            <w:tcW w:w="5958" w:type="dxa"/>
          </w:tcPr>
          <w:p w:rsidR="00D60F5F" w:rsidRPr="001E2387" w:rsidRDefault="00D60F5F" w:rsidP="00C23EF6">
            <w:r w:rsidRPr="001E2387">
              <w:t xml:space="preserve">The Court </w:t>
            </w:r>
          </w:p>
        </w:tc>
      </w:tr>
    </w:tbl>
    <w:p w:rsidR="00D60F5F" w:rsidRPr="001E2387" w:rsidRDefault="00D60F5F" w:rsidP="00D60F5F">
      <w:pPr>
        <w:rPr>
          <w:rFonts w:eastAsiaTheme="minorHAnsi" w:cstheme="minorBidi"/>
          <w:szCs w:val="24"/>
          <w:lang w:eastAsia="en-US"/>
        </w:rPr>
      </w:pPr>
    </w:p>
    <w:p w:rsidR="00D60F5F" w:rsidRPr="001E2387" w:rsidRDefault="00D60F5F" w:rsidP="00D60F5F">
      <w:pPr>
        <w:rPr>
          <w:rFonts w:eastAsiaTheme="minorHAnsi" w:cstheme="minorBidi"/>
          <w:szCs w:val="24"/>
          <w:lang w:eastAsia="en-US"/>
        </w:rPr>
      </w:pPr>
    </w:p>
    <w:p w:rsidR="00D60F5F" w:rsidRPr="001E2387" w:rsidRDefault="00D60F5F" w:rsidP="00D60F5F">
      <w:pPr>
        <w:rPr>
          <w:rFonts w:eastAsiaTheme="minorHAnsi" w:cstheme="minorBidi"/>
          <w:szCs w:val="24"/>
          <w:lang w:eastAsia="en-US"/>
        </w:rPr>
      </w:pPr>
      <w:r w:rsidRPr="005A3AE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60F5F" w:rsidRDefault="00D60F5F" w:rsidP="00D60F5F">
      <w:pPr>
        <w:rPr>
          <w:rStyle w:val="SCCAppellantForRunningHeadChar"/>
          <w:szCs w:val="24"/>
        </w:rPr>
      </w:pPr>
      <w:r>
        <w:rPr>
          <w:rStyle w:val="SCCAppellantForRunningHeadChar"/>
          <w:szCs w:val="24"/>
        </w:rPr>
        <w:br w:type="page"/>
      </w:r>
    </w:p>
    <w:p w:rsidR="008322BD" w:rsidRPr="008A51AE" w:rsidRDefault="00CF009F" w:rsidP="0091048A">
      <w:pPr>
        <w:spacing w:after="480" w:line="480" w:lineRule="auto"/>
        <w:jc w:val="both"/>
        <w:rPr>
          <w:szCs w:val="24"/>
        </w:rPr>
      </w:pPr>
      <w:r w:rsidRPr="00CF009F">
        <w:rPr>
          <w:rStyle w:val="SCCAppellantForIndexChar"/>
          <w:b w:val="0"/>
          <w:szCs w:val="24"/>
        </w:rPr>
        <w:lastRenderedPageBreak/>
        <w:t>R.</w:t>
      </w:r>
      <w:r w:rsidRPr="00CF009F">
        <w:rPr>
          <w:szCs w:val="24"/>
        </w:rPr>
        <w:t xml:space="preserve"> </w:t>
      </w:r>
      <w:r w:rsidRPr="00CF009F">
        <w:rPr>
          <w:i/>
          <w:szCs w:val="24"/>
        </w:rPr>
        <w:t>v.</w:t>
      </w:r>
      <w:r w:rsidRPr="00CF009F">
        <w:rPr>
          <w:szCs w:val="24"/>
        </w:rPr>
        <w:t xml:space="preserve"> </w:t>
      </w:r>
      <w:r w:rsidRPr="00CF009F">
        <w:rPr>
          <w:rStyle w:val="SCCRespondentForIndexChar"/>
          <w:b w:val="0"/>
          <w:szCs w:val="24"/>
        </w:rPr>
        <w:t>V.Y.</w:t>
      </w:r>
      <w:r>
        <w:rPr>
          <w:rStyle w:val="SCCRespondentForRunningHeadChar"/>
          <w:szCs w:val="24"/>
        </w:rPr>
        <w:t xml:space="preserve">, </w:t>
      </w:r>
      <w:r w:rsidRPr="00D60F5F">
        <w:rPr>
          <w:rStyle w:val="SCCRespondentForRunningHeadChar"/>
        </w:rPr>
        <w:t>2011 SCC 22, [2011] 2 S.C.R. 173</w:t>
      </w:r>
    </w:p>
    <w:p w:rsidR="005B226F" w:rsidRPr="008A51AE" w:rsidRDefault="004A1068" w:rsidP="0091048A">
      <w:pPr>
        <w:pStyle w:val="SCCLsocParty"/>
        <w:tabs>
          <w:tab w:val="right" w:pos="8280"/>
        </w:tabs>
        <w:spacing w:line="480" w:lineRule="auto"/>
        <w:rPr>
          <w:b/>
          <w:i/>
          <w:szCs w:val="24"/>
          <w:lang w:val="en-US"/>
        </w:rPr>
      </w:pPr>
      <w:r w:rsidRPr="00A47879">
        <w:rPr>
          <w:b/>
          <w:szCs w:val="24"/>
        </w:rPr>
        <w:t xml:space="preserve">Her Majesty </w:t>
      </w:r>
      <w:proofErr w:type="gramStart"/>
      <w:r w:rsidRPr="00A47879">
        <w:rPr>
          <w:b/>
          <w:szCs w:val="24"/>
        </w:rPr>
        <w:t>T</w:t>
      </w:r>
      <w:r w:rsidR="009164D2" w:rsidRPr="00A47879">
        <w:rPr>
          <w:b/>
          <w:szCs w:val="24"/>
        </w:rPr>
        <w:t>he</w:t>
      </w:r>
      <w:proofErr w:type="gramEnd"/>
      <w:r w:rsidR="009164D2" w:rsidRPr="00A47879">
        <w:rPr>
          <w:b/>
          <w:szCs w:val="24"/>
        </w:rPr>
        <w:t xml:space="preserve"> Queen</w:t>
      </w:r>
      <w:r w:rsidR="008D08DC" w:rsidRPr="008A51AE">
        <w:rPr>
          <w:szCs w:val="24"/>
        </w:rPr>
        <w:tab/>
      </w:r>
      <w:r w:rsidR="009164D2" w:rsidRPr="008A51AE">
        <w:rPr>
          <w:i/>
          <w:szCs w:val="24"/>
          <w:lang w:val="en-US"/>
        </w:rPr>
        <w:t>Appellant</w:t>
      </w:r>
    </w:p>
    <w:p w:rsidR="005B226F" w:rsidRPr="00A47879" w:rsidRDefault="009164D2" w:rsidP="0091048A">
      <w:pPr>
        <w:pStyle w:val="SCCLsocVersus"/>
        <w:spacing w:line="480" w:lineRule="auto"/>
        <w:rPr>
          <w:i/>
          <w:szCs w:val="24"/>
          <w:lang w:val="en-US"/>
        </w:rPr>
      </w:pPr>
      <w:proofErr w:type="gramStart"/>
      <w:r w:rsidRPr="00A47879">
        <w:rPr>
          <w:i/>
          <w:szCs w:val="24"/>
          <w:lang w:val="en-US"/>
        </w:rPr>
        <w:t>v</w:t>
      </w:r>
      <w:proofErr w:type="gramEnd"/>
      <w:r w:rsidRPr="00A47879">
        <w:rPr>
          <w:i/>
          <w:szCs w:val="24"/>
          <w:lang w:val="en-US"/>
        </w:rPr>
        <w:t>.</w:t>
      </w:r>
    </w:p>
    <w:p w:rsidR="005B226F" w:rsidRPr="008A51AE" w:rsidRDefault="009164D2" w:rsidP="0091048A">
      <w:pPr>
        <w:pStyle w:val="SCCLsocParty"/>
        <w:tabs>
          <w:tab w:val="right" w:pos="8280"/>
        </w:tabs>
        <w:spacing w:line="480" w:lineRule="auto"/>
        <w:rPr>
          <w:b/>
          <w:i/>
          <w:szCs w:val="24"/>
          <w:lang w:val="en-US"/>
        </w:rPr>
      </w:pPr>
      <w:r w:rsidRPr="00A47879">
        <w:rPr>
          <w:b/>
          <w:szCs w:val="24"/>
          <w:lang w:val="en-US"/>
        </w:rPr>
        <w:t>V.Y.</w:t>
      </w:r>
      <w:r w:rsidR="008D08DC" w:rsidRPr="008A51AE">
        <w:rPr>
          <w:szCs w:val="24"/>
          <w:lang w:val="en-US"/>
        </w:rPr>
        <w:tab/>
      </w:r>
      <w:r w:rsidRPr="008A51AE">
        <w:rPr>
          <w:i/>
          <w:szCs w:val="24"/>
          <w:lang w:val="en-US"/>
        </w:rPr>
        <w:t>Respondent</w:t>
      </w:r>
    </w:p>
    <w:p w:rsidR="008D08DC" w:rsidRPr="008A51AE" w:rsidRDefault="00492F4E" w:rsidP="0091048A">
      <w:pPr>
        <w:pStyle w:val="SCCLsocOtherPartySeparator"/>
        <w:spacing w:line="480" w:lineRule="auto"/>
        <w:rPr>
          <w:szCs w:val="24"/>
        </w:rPr>
      </w:pPr>
      <w:proofErr w:type="gramStart"/>
      <w:r>
        <w:rPr>
          <w:szCs w:val="24"/>
        </w:rPr>
        <w:t>a</w:t>
      </w:r>
      <w:r w:rsidR="009164D2" w:rsidRPr="008A51AE">
        <w:rPr>
          <w:szCs w:val="24"/>
        </w:rPr>
        <w:t>nd</w:t>
      </w:r>
      <w:proofErr w:type="gramEnd"/>
    </w:p>
    <w:p w:rsidR="005B226F" w:rsidRPr="008A51AE" w:rsidRDefault="009164D2" w:rsidP="0091048A">
      <w:pPr>
        <w:pStyle w:val="SCCLsocParty"/>
        <w:tabs>
          <w:tab w:val="right" w:pos="8280"/>
        </w:tabs>
        <w:spacing w:line="480" w:lineRule="auto"/>
        <w:rPr>
          <w:b/>
          <w:i/>
          <w:szCs w:val="24"/>
        </w:rPr>
      </w:pPr>
      <w:r w:rsidRPr="00A47879">
        <w:rPr>
          <w:b/>
          <w:szCs w:val="24"/>
        </w:rPr>
        <w:t>Association in Defence of the Wrongly Convicted</w:t>
      </w:r>
      <w:r w:rsidR="008D08DC" w:rsidRPr="008A51AE">
        <w:rPr>
          <w:szCs w:val="24"/>
        </w:rPr>
        <w:tab/>
      </w:r>
      <w:r w:rsidRPr="008A51AE">
        <w:rPr>
          <w:i/>
          <w:szCs w:val="24"/>
        </w:rPr>
        <w:t>Intervener</w:t>
      </w:r>
    </w:p>
    <w:p w:rsidR="00426659" w:rsidRPr="008A51AE" w:rsidRDefault="00426659" w:rsidP="0091048A">
      <w:pPr>
        <w:spacing w:after="480" w:line="480" w:lineRule="auto"/>
        <w:jc w:val="both"/>
        <w:rPr>
          <w:b/>
          <w:szCs w:val="24"/>
        </w:rPr>
      </w:pPr>
      <w:proofErr w:type="gramStart"/>
      <w:r w:rsidRPr="008A51AE">
        <w:rPr>
          <w:b/>
          <w:szCs w:val="24"/>
        </w:rPr>
        <w:t xml:space="preserve">Indexed as:  </w:t>
      </w:r>
      <w:r w:rsidRPr="008A51AE">
        <w:rPr>
          <w:rStyle w:val="SCCAppellantForIndexChar"/>
          <w:szCs w:val="24"/>
        </w:rPr>
        <w:t>R.</w:t>
      </w:r>
      <w:r w:rsidRPr="008A51AE">
        <w:rPr>
          <w:b/>
          <w:szCs w:val="24"/>
        </w:rPr>
        <w:t xml:space="preserve"> </w:t>
      </w:r>
      <w:r w:rsidRPr="008A51AE">
        <w:rPr>
          <w:b/>
          <w:i/>
          <w:szCs w:val="24"/>
        </w:rPr>
        <w:t>v.</w:t>
      </w:r>
      <w:r w:rsidRPr="008A51AE">
        <w:rPr>
          <w:b/>
          <w:szCs w:val="24"/>
        </w:rPr>
        <w:t xml:space="preserve"> </w:t>
      </w:r>
      <w:r w:rsidRPr="008A51AE">
        <w:rPr>
          <w:rStyle w:val="SCCRespondentForIndexChar"/>
          <w:szCs w:val="24"/>
        </w:rPr>
        <w:t>V.Y.</w:t>
      </w:r>
      <w:proofErr w:type="gramEnd"/>
    </w:p>
    <w:p w:rsidR="00426659" w:rsidRPr="008A51AE" w:rsidRDefault="00566AD1" w:rsidP="0091048A">
      <w:pPr>
        <w:pStyle w:val="SCCSystemYear"/>
        <w:spacing w:after="480" w:line="480" w:lineRule="auto"/>
        <w:jc w:val="both"/>
        <w:rPr>
          <w:szCs w:val="24"/>
        </w:rPr>
      </w:pPr>
      <w:r w:rsidRPr="008A51AE">
        <w:rPr>
          <w:szCs w:val="24"/>
        </w:rPr>
        <w:t>2011</w:t>
      </w:r>
      <w:r w:rsidR="003D0399" w:rsidRPr="008A51AE">
        <w:rPr>
          <w:szCs w:val="24"/>
        </w:rPr>
        <w:t xml:space="preserve"> </w:t>
      </w:r>
      <w:r w:rsidR="00426659" w:rsidRPr="008A51AE">
        <w:rPr>
          <w:szCs w:val="24"/>
        </w:rPr>
        <w:t>SCC </w:t>
      </w:r>
      <w:r w:rsidR="006A0AD4" w:rsidRPr="008A51AE">
        <w:rPr>
          <w:szCs w:val="24"/>
        </w:rPr>
        <w:t>22</w:t>
      </w:r>
    </w:p>
    <w:p w:rsidR="008322BD" w:rsidRPr="008A51AE" w:rsidRDefault="009B57B3" w:rsidP="0091048A">
      <w:pPr>
        <w:spacing w:after="480" w:line="480" w:lineRule="auto"/>
        <w:jc w:val="both"/>
        <w:rPr>
          <w:szCs w:val="24"/>
        </w:rPr>
      </w:pPr>
      <w:r w:rsidRPr="008A51AE">
        <w:rPr>
          <w:szCs w:val="24"/>
        </w:rPr>
        <w:t>File No.:  33841.</w:t>
      </w:r>
    </w:p>
    <w:p w:rsidR="008322BD" w:rsidRPr="008A51AE" w:rsidRDefault="00566AD1" w:rsidP="0091048A">
      <w:pPr>
        <w:spacing w:after="480" w:line="480" w:lineRule="auto"/>
        <w:jc w:val="both"/>
        <w:rPr>
          <w:szCs w:val="24"/>
        </w:rPr>
      </w:pPr>
      <w:r w:rsidRPr="008A51AE">
        <w:rPr>
          <w:szCs w:val="24"/>
        </w:rPr>
        <w:t>2011:  April 21</w:t>
      </w:r>
      <w:r w:rsidR="006A0AD4" w:rsidRPr="008A51AE">
        <w:rPr>
          <w:szCs w:val="24"/>
        </w:rPr>
        <w:t>; 2011:  May 6</w:t>
      </w:r>
      <w:r w:rsidR="009B57B3" w:rsidRPr="008A51AE">
        <w:rPr>
          <w:szCs w:val="24"/>
        </w:rPr>
        <w:t>.</w:t>
      </w:r>
    </w:p>
    <w:p w:rsidR="008322BD" w:rsidRPr="008A51AE" w:rsidRDefault="009B57B3" w:rsidP="0091048A">
      <w:pPr>
        <w:spacing w:after="480"/>
        <w:jc w:val="both"/>
        <w:rPr>
          <w:szCs w:val="24"/>
        </w:rPr>
      </w:pPr>
      <w:r w:rsidRPr="008A51AE">
        <w:rPr>
          <w:szCs w:val="24"/>
        </w:rPr>
        <w:t xml:space="preserve">Present:  </w:t>
      </w:r>
      <w:proofErr w:type="spellStart"/>
      <w:r w:rsidRPr="008A51AE">
        <w:rPr>
          <w:szCs w:val="24"/>
        </w:rPr>
        <w:t>McLachlin</w:t>
      </w:r>
      <w:proofErr w:type="spellEnd"/>
      <w:r w:rsidRPr="008A51AE">
        <w:rPr>
          <w:szCs w:val="24"/>
        </w:rPr>
        <w:t xml:space="preserve"> C.J. and </w:t>
      </w:r>
      <w:proofErr w:type="spellStart"/>
      <w:r w:rsidRPr="008A51AE">
        <w:rPr>
          <w:szCs w:val="24"/>
        </w:rPr>
        <w:t>Binnie</w:t>
      </w:r>
      <w:proofErr w:type="spellEnd"/>
      <w:r w:rsidRPr="008A51AE">
        <w:rPr>
          <w:szCs w:val="24"/>
        </w:rPr>
        <w:t xml:space="preserve">, </w:t>
      </w:r>
      <w:proofErr w:type="spellStart"/>
      <w:r w:rsidRPr="008A51AE">
        <w:rPr>
          <w:szCs w:val="24"/>
        </w:rPr>
        <w:t>LeBel</w:t>
      </w:r>
      <w:proofErr w:type="spellEnd"/>
      <w:r w:rsidRPr="008A51AE">
        <w:rPr>
          <w:szCs w:val="24"/>
        </w:rPr>
        <w:t>, Deschamps, Fish, Abella, Charron, Rothstein and Cromwell JJ.</w:t>
      </w:r>
    </w:p>
    <w:p w:rsidR="008322BD" w:rsidRPr="008A51AE" w:rsidRDefault="00656313" w:rsidP="00D21A54">
      <w:pPr>
        <w:pStyle w:val="SCCLowerCourtNameLowercase"/>
        <w:spacing w:after="480"/>
        <w:rPr>
          <w:szCs w:val="24"/>
        </w:rPr>
      </w:pPr>
      <w:r w:rsidRPr="008A51AE">
        <w:rPr>
          <w:szCs w:val="24"/>
        </w:rPr>
        <w:t>o</w:t>
      </w:r>
      <w:r w:rsidR="00170592" w:rsidRPr="008A51AE">
        <w:rPr>
          <w:szCs w:val="24"/>
        </w:rPr>
        <w:t>n</w:t>
      </w:r>
      <w:r w:rsidR="00224FC0" w:rsidRPr="008A51AE">
        <w:rPr>
          <w:szCs w:val="24"/>
        </w:rPr>
        <w:t xml:space="preserve"> </w:t>
      </w:r>
      <w:r w:rsidRPr="008A51AE">
        <w:rPr>
          <w:szCs w:val="24"/>
        </w:rPr>
        <w:t>a</w:t>
      </w:r>
      <w:r w:rsidR="00170592" w:rsidRPr="008A51AE">
        <w:rPr>
          <w:szCs w:val="24"/>
        </w:rPr>
        <w:t>ppeal</w:t>
      </w:r>
      <w:r w:rsidR="00224FC0" w:rsidRPr="008A51AE">
        <w:rPr>
          <w:szCs w:val="24"/>
        </w:rPr>
        <w:t xml:space="preserve"> </w:t>
      </w:r>
      <w:r w:rsidR="00170592" w:rsidRPr="008A51AE">
        <w:rPr>
          <w:szCs w:val="24"/>
        </w:rPr>
        <w:t>from</w:t>
      </w:r>
      <w:r w:rsidR="009567AA" w:rsidRPr="008A51AE">
        <w:rPr>
          <w:szCs w:val="24"/>
        </w:rPr>
        <w:t xml:space="preserve"> the</w:t>
      </w:r>
      <w:r w:rsidR="00224FC0" w:rsidRPr="008A51AE">
        <w:rPr>
          <w:szCs w:val="24"/>
        </w:rPr>
        <w:t xml:space="preserve"> </w:t>
      </w:r>
      <w:r w:rsidR="009B57B3" w:rsidRPr="008A51AE">
        <w:rPr>
          <w:szCs w:val="24"/>
        </w:rPr>
        <w:t xml:space="preserve">court of appeal for </w:t>
      </w:r>
      <w:proofErr w:type="spellStart"/>
      <w:r w:rsidR="009B57B3" w:rsidRPr="008A51AE">
        <w:rPr>
          <w:szCs w:val="24"/>
        </w:rPr>
        <w:t>ontario</w:t>
      </w:r>
      <w:proofErr w:type="spellEnd"/>
    </w:p>
    <w:p w:rsidR="008322BD" w:rsidRPr="008A51AE" w:rsidRDefault="009B57B3" w:rsidP="00521F8E">
      <w:pPr>
        <w:pStyle w:val="SCCNormalDoubleSpacing"/>
        <w:spacing w:after="480"/>
        <w:rPr>
          <w:i/>
          <w:szCs w:val="24"/>
        </w:rPr>
      </w:pPr>
      <w:r w:rsidRPr="008A51AE">
        <w:rPr>
          <w:i/>
          <w:szCs w:val="24"/>
        </w:rPr>
        <w:lastRenderedPageBreak/>
        <w:tab/>
      </w:r>
      <w:r w:rsidR="00420E06" w:rsidRPr="008A51AE">
        <w:rPr>
          <w:i/>
          <w:szCs w:val="24"/>
        </w:rPr>
        <w:t>Criminal law</w:t>
      </w:r>
      <w:r w:rsidR="00A35C8A" w:rsidRPr="008A51AE">
        <w:rPr>
          <w:i/>
          <w:szCs w:val="24"/>
        </w:rPr>
        <w:t xml:space="preserve"> </w:t>
      </w:r>
      <w:r w:rsidR="00521F8E" w:rsidRPr="008A51AE">
        <w:rPr>
          <w:i/>
          <w:szCs w:val="24"/>
        </w:rPr>
        <w:t>—</w:t>
      </w:r>
      <w:r w:rsidR="00420E06" w:rsidRPr="008A51AE">
        <w:rPr>
          <w:i/>
          <w:szCs w:val="24"/>
        </w:rPr>
        <w:t xml:space="preserve"> Evidence </w:t>
      </w:r>
      <w:r w:rsidR="00521F8E" w:rsidRPr="008A51AE">
        <w:rPr>
          <w:i/>
          <w:szCs w:val="24"/>
        </w:rPr>
        <w:t>—</w:t>
      </w:r>
      <w:r w:rsidR="00A35C8A" w:rsidRPr="008A51AE">
        <w:rPr>
          <w:i/>
          <w:szCs w:val="24"/>
        </w:rPr>
        <w:t xml:space="preserve"> </w:t>
      </w:r>
      <w:r w:rsidR="00420E06" w:rsidRPr="008A51AE">
        <w:rPr>
          <w:i/>
          <w:szCs w:val="24"/>
        </w:rPr>
        <w:t xml:space="preserve">Burden of proof </w:t>
      </w:r>
      <w:r w:rsidR="00521F8E" w:rsidRPr="008A51AE">
        <w:rPr>
          <w:i/>
          <w:szCs w:val="24"/>
        </w:rPr>
        <w:t>—</w:t>
      </w:r>
      <w:r w:rsidR="00A35C8A" w:rsidRPr="008A51AE">
        <w:rPr>
          <w:i/>
          <w:szCs w:val="24"/>
        </w:rPr>
        <w:t xml:space="preserve"> </w:t>
      </w:r>
      <w:r w:rsidR="001F3031" w:rsidRPr="008A51AE">
        <w:rPr>
          <w:i/>
          <w:szCs w:val="24"/>
        </w:rPr>
        <w:t>Accused</w:t>
      </w:r>
      <w:r w:rsidR="00420E06" w:rsidRPr="008A51AE">
        <w:rPr>
          <w:i/>
          <w:szCs w:val="24"/>
        </w:rPr>
        <w:t xml:space="preserve"> convicted</w:t>
      </w:r>
      <w:r w:rsidR="001F3031" w:rsidRPr="008A51AE">
        <w:rPr>
          <w:i/>
          <w:szCs w:val="24"/>
        </w:rPr>
        <w:t xml:space="preserve"> at trial</w:t>
      </w:r>
      <w:r w:rsidR="00420E06" w:rsidRPr="008A51AE">
        <w:rPr>
          <w:i/>
          <w:szCs w:val="24"/>
        </w:rPr>
        <w:t xml:space="preserve"> of sexual assault and unlawful confinement</w:t>
      </w:r>
      <w:r w:rsidR="00521F8E" w:rsidRPr="008A51AE">
        <w:rPr>
          <w:i/>
          <w:szCs w:val="24"/>
        </w:rPr>
        <w:t xml:space="preserve"> —</w:t>
      </w:r>
      <w:r w:rsidR="00A35C8A" w:rsidRPr="008A51AE">
        <w:rPr>
          <w:i/>
          <w:szCs w:val="24"/>
        </w:rPr>
        <w:t xml:space="preserve"> </w:t>
      </w:r>
      <w:r w:rsidR="000A3C7B" w:rsidRPr="008A51AE">
        <w:rPr>
          <w:i/>
          <w:szCs w:val="24"/>
        </w:rPr>
        <w:t xml:space="preserve">Whether trial judge failed to give adequate consideration to question of whether evidence raised reasonable doubt </w:t>
      </w:r>
      <w:r w:rsidR="00521F8E" w:rsidRPr="008A51AE">
        <w:rPr>
          <w:i/>
          <w:szCs w:val="24"/>
        </w:rPr>
        <w:t>—</w:t>
      </w:r>
      <w:r w:rsidR="00A35C8A" w:rsidRPr="008A51AE">
        <w:rPr>
          <w:i/>
          <w:szCs w:val="24"/>
        </w:rPr>
        <w:t xml:space="preserve"> </w:t>
      </w:r>
      <w:r w:rsidR="000A3C7B" w:rsidRPr="008A51AE">
        <w:rPr>
          <w:i/>
          <w:szCs w:val="24"/>
        </w:rPr>
        <w:t>Whether majority of court of appeal erred in setting aside convictions and ordering new trial</w:t>
      </w:r>
      <w:r w:rsidR="0015466E" w:rsidRPr="008A51AE">
        <w:rPr>
          <w:i/>
          <w:szCs w:val="24"/>
        </w:rPr>
        <w:t>.</w:t>
      </w:r>
    </w:p>
    <w:p w:rsidR="008322BD" w:rsidRDefault="009B57B3" w:rsidP="00521F8E">
      <w:pPr>
        <w:pStyle w:val="SCCNormalDoubleSpacing"/>
        <w:spacing w:after="480"/>
        <w:rPr>
          <w:szCs w:val="24"/>
        </w:rPr>
      </w:pPr>
      <w:r w:rsidRPr="008A51AE">
        <w:rPr>
          <w:szCs w:val="24"/>
        </w:rPr>
        <w:tab/>
      </w:r>
      <w:r w:rsidRPr="008A51AE">
        <w:rPr>
          <w:rStyle w:val="QuoteChar"/>
          <w:color w:val="auto"/>
          <w:szCs w:val="24"/>
          <w:lang w:val="en-CA"/>
        </w:rPr>
        <w:t>Held</w:t>
      </w:r>
      <w:r w:rsidRPr="008A51AE">
        <w:rPr>
          <w:rStyle w:val="QuoteChar"/>
          <w:i w:val="0"/>
          <w:color w:val="auto"/>
          <w:szCs w:val="24"/>
          <w:lang w:val="en-CA"/>
        </w:rPr>
        <w:t>:</w:t>
      </w:r>
      <w:r w:rsidR="0015466E" w:rsidRPr="008A51AE">
        <w:rPr>
          <w:szCs w:val="24"/>
        </w:rPr>
        <w:t xml:space="preserve">  The appeal should be dismissed.</w:t>
      </w:r>
    </w:p>
    <w:p w:rsidR="00A322D2" w:rsidRDefault="00A322D2" w:rsidP="00521F8E">
      <w:pPr>
        <w:pStyle w:val="SCCNormalDoubleSpacing"/>
        <w:spacing w:after="480"/>
        <w:rPr>
          <w:b/>
          <w:szCs w:val="24"/>
        </w:rPr>
      </w:pPr>
      <w:r>
        <w:rPr>
          <w:b/>
          <w:szCs w:val="24"/>
        </w:rPr>
        <w:t>Statutes and Regulations Cited</w:t>
      </w:r>
    </w:p>
    <w:p w:rsidR="00A322D2" w:rsidRPr="00A322D2" w:rsidRDefault="00A322D2" w:rsidP="00521F8E">
      <w:pPr>
        <w:pStyle w:val="SCCNormalDoubleSpacing"/>
        <w:spacing w:after="480"/>
        <w:rPr>
          <w:szCs w:val="24"/>
          <w:lang w:val="fr-CA"/>
        </w:rPr>
      </w:pPr>
      <w:proofErr w:type="spellStart"/>
      <w:r w:rsidRPr="00A322D2">
        <w:rPr>
          <w:i/>
          <w:szCs w:val="24"/>
          <w:lang w:val="fr-CA"/>
        </w:rPr>
        <w:t>Criminal</w:t>
      </w:r>
      <w:proofErr w:type="spellEnd"/>
      <w:r w:rsidRPr="00A322D2">
        <w:rPr>
          <w:i/>
          <w:szCs w:val="24"/>
          <w:lang w:val="fr-CA"/>
        </w:rPr>
        <w:t xml:space="preserve"> Code</w:t>
      </w:r>
      <w:r w:rsidRPr="00A322D2">
        <w:rPr>
          <w:szCs w:val="24"/>
          <w:lang w:val="fr-CA"/>
        </w:rPr>
        <w:t>, R.S.C</w:t>
      </w:r>
      <w:r>
        <w:rPr>
          <w:szCs w:val="24"/>
          <w:lang w:val="fr-CA"/>
        </w:rPr>
        <w:t>. 1985, c. C-46, s. 193(1</w:t>
      </w:r>
      <w:proofErr w:type="gramStart"/>
      <w:r>
        <w:rPr>
          <w:szCs w:val="24"/>
          <w:lang w:val="fr-CA"/>
        </w:rPr>
        <w:t>)(</w:t>
      </w:r>
      <w:proofErr w:type="gramEnd"/>
      <w:r w:rsidRPr="00A322D2">
        <w:rPr>
          <w:i/>
          <w:szCs w:val="24"/>
          <w:lang w:val="fr-CA"/>
        </w:rPr>
        <w:t>a</w:t>
      </w:r>
      <w:r>
        <w:rPr>
          <w:szCs w:val="24"/>
          <w:lang w:val="fr-CA"/>
        </w:rPr>
        <w:t>).</w:t>
      </w:r>
    </w:p>
    <w:p w:rsidR="00656313" w:rsidRPr="008A51AE" w:rsidRDefault="004A1068" w:rsidP="00521F8E">
      <w:pPr>
        <w:pStyle w:val="SCCNormalDoubleSpacing"/>
        <w:spacing w:after="480"/>
        <w:rPr>
          <w:szCs w:val="24"/>
        </w:rPr>
      </w:pPr>
      <w:r w:rsidRPr="00A322D2">
        <w:rPr>
          <w:szCs w:val="24"/>
          <w:lang w:val="fr-CA"/>
        </w:rPr>
        <w:tab/>
      </w:r>
      <w:r w:rsidR="009B57B3" w:rsidRPr="008A51AE">
        <w:rPr>
          <w:szCs w:val="24"/>
        </w:rPr>
        <w:t xml:space="preserve">APPEAL from a judgment of the </w:t>
      </w:r>
      <w:r w:rsidRPr="008A51AE">
        <w:rPr>
          <w:szCs w:val="24"/>
        </w:rPr>
        <w:t xml:space="preserve">Ontario </w:t>
      </w:r>
      <w:r w:rsidR="009B57B3" w:rsidRPr="008A51AE">
        <w:rPr>
          <w:szCs w:val="24"/>
        </w:rPr>
        <w:t>Court of Appeal</w:t>
      </w:r>
      <w:r w:rsidRPr="008A51AE">
        <w:rPr>
          <w:szCs w:val="24"/>
        </w:rPr>
        <w:t xml:space="preserve"> </w:t>
      </w:r>
      <w:r w:rsidR="008218FC" w:rsidRPr="008A51AE">
        <w:rPr>
          <w:szCs w:val="24"/>
        </w:rPr>
        <w:t>(</w:t>
      </w:r>
      <w:proofErr w:type="spellStart"/>
      <w:r w:rsidR="008218FC" w:rsidRPr="008A51AE">
        <w:rPr>
          <w:szCs w:val="24"/>
        </w:rPr>
        <w:t>Laskin</w:t>
      </w:r>
      <w:proofErr w:type="spellEnd"/>
      <w:r w:rsidR="008218FC" w:rsidRPr="008A51AE">
        <w:rPr>
          <w:szCs w:val="24"/>
        </w:rPr>
        <w:t xml:space="preserve"> and </w:t>
      </w:r>
      <w:proofErr w:type="spellStart"/>
      <w:r w:rsidR="008218FC" w:rsidRPr="008A51AE">
        <w:rPr>
          <w:szCs w:val="24"/>
        </w:rPr>
        <w:t>LaForme</w:t>
      </w:r>
      <w:proofErr w:type="spellEnd"/>
      <w:r w:rsidR="00E301E5" w:rsidRPr="008A51AE">
        <w:rPr>
          <w:szCs w:val="24"/>
        </w:rPr>
        <w:t xml:space="preserve"> JJ.A</w:t>
      </w:r>
      <w:r w:rsidR="0003499E" w:rsidRPr="008A51AE">
        <w:rPr>
          <w:szCs w:val="24"/>
        </w:rPr>
        <w:t xml:space="preserve">. and </w:t>
      </w:r>
      <w:proofErr w:type="spellStart"/>
      <w:r w:rsidR="0003499E" w:rsidRPr="008A51AE">
        <w:rPr>
          <w:szCs w:val="24"/>
        </w:rPr>
        <w:t>Moldaver</w:t>
      </w:r>
      <w:proofErr w:type="spellEnd"/>
      <w:r w:rsidR="0003499E" w:rsidRPr="008A51AE">
        <w:rPr>
          <w:szCs w:val="24"/>
        </w:rPr>
        <w:t xml:space="preserve"> J.A. dissenting</w:t>
      </w:r>
      <w:r w:rsidR="008218FC" w:rsidRPr="008A51AE">
        <w:rPr>
          <w:szCs w:val="24"/>
        </w:rPr>
        <w:t xml:space="preserve">), </w:t>
      </w:r>
      <w:r w:rsidR="009164D2" w:rsidRPr="008A51AE">
        <w:rPr>
          <w:szCs w:val="24"/>
        </w:rPr>
        <w:t xml:space="preserve">2010 ONCA 544, 266 O.A.C. 27, 258 C.C.C. (3d) 281, 79 C.R. (6th) 327, [2010] O.J. </w:t>
      </w:r>
      <w:r w:rsidR="002F7C59" w:rsidRPr="008A51AE">
        <w:rPr>
          <w:szCs w:val="24"/>
        </w:rPr>
        <w:t>No. </w:t>
      </w:r>
      <w:r w:rsidR="009164D2" w:rsidRPr="008A51AE">
        <w:rPr>
          <w:szCs w:val="24"/>
        </w:rPr>
        <w:t xml:space="preserve">3336 (QL), 2010 </w:t>
      </w:r>
      <w:proofErr w:type="spellStart"/>
      <w:r w:rsidR="009164D2" w:rsidRPr="008A51AE">
        <w:rPr>
          <w:szCs w:val="24"/>
        </w:rPr>
        <w:t>CarswellOnt</w:t>
      </w:r>
      <w:proofErr w:type="spellEnd"/>
      <w:r w:rsidR="009164D2" w:rsidRPr="008A51AE">
        <w:rPr>
          <w:szCs w:val="24"/>
        </w:rPr>
        <w:t xml:space="preserve"> 5671, setting aside the </w:t>
      </w:r>
      <w:proofErr w:type="spellStart"/>
      <w:r w:rsidR="009164D2" w:rsidRPr="008A51AE">
        <w:rPr>
          <w:szCs w:val="24"/>
        </w:rPr>
        <w:t>accused’s</w:t>
      </w:r>
      <w:proofErr w:type="spellEnd"/>
      <w:r w:rsidR="009164D2" w:rsidRPr="008A51AE">
        <w:rPr>
          <w:szCs w:val="24"/>
        </w:rPr>
        <w:t xml:space="preserve"> convictions and ordering a new tri</w:t>
      </w:r>
      <w:r w:rsidR="002F7C59" w:rsidRPr="008A51AE">
        <w:rPr>
          <w:szCs w:val="24"/>
        </w:rPr>
        <w:t>al. </w:t>
      </w:r>
      <w:r w:rsidR="009164D2" w:rsidRPr="008A51AE">
        <w:rPr>
          <w:szCs w:val="24"/>
        </w:rPr>
        <w:t>Appeal dismissed.</w:t>
      </w:r>
    </w:p>
    <w:p w:rsidR="005B226F" w:rsidRPr="008A51AE" w:rsidRDefault="009164D2" w:rsidP="00521F8E">
      <w:pPr>
        <w:pStyle w:val="SCCNormalDoubleSpacing"/>
        <w:spacing w:after="480"/>
        <w:rPr>
          <w:szCs w:val="24"/>
        </w:rPr>
      </w:pPr>
      <w:r w:rsidRPr="008A51AE">
        <w:rPr>
          <w:rStyle w:val="SCCCounselNameChar"/>
          <w:szCs w:val="24"/>
        </w:rPr>
        <w:tab/>
      </w:r>
      <w:proofErr w:type="gramStart"/>
      <w:r w:rsidRPr="008A51AE">
        <w:rPr>
          <w:rStyle w:val="SCCCounselNameChar"/>
          <w:szCs w:val="24"/>
        </w:rPr>
        <w:t>Lisa Joyal</w:t>
      </w:r>
      <w:r w:rsidRPr="008A51AE">
        <w:rPr>
          <w:rStyle w:val="SCCCounselPartyRoleChar"/>
          <w:szCs w:val="24"/>
        </w:rPr>
        <w:t>, for the appellant.</w:t>
      </w:r>
      <w:proofErr w:type="gramEnd"/>
    </w:p>
    <w:p w:rsidR="005B226F" w:rsidRPr="008A51AE" w:rsidRDefault="00521F8E" w:rsidP="00521F8E">
      <w:pPr>
        <w:pStyle w:val="SCCNormalDoubleSpacing"/>
        <w:spacing w:after="480"/>
        <w:rPr>
          <w:szCs w:val="24"/>
        </w:rPr>
      </w:pPr>
      <w:r w:rsidRPr="008A51AE">
        <w:rPr>
          <w:rStyle w:val="SCCCounselNameChar"/>
          <w:szCs w:val="24"/>
        </w:rPr>
        <w:tab/>
      </w:r>
      <w:proofErr w:type="gramStart"/>
      <w:r w:rsidRPr="008A51AE">
        <w:rPr>
          <w:rStyle w:val="SCCCounselNameChar"/>
          <w:szCs w:val="24"/>
        </w:rPr>
        <w:t>Michael </w:t>
      </w:r>
      <w:r w:rsidR="009164D2" w:rsidRPr="008A51AE">
        <w:rPr>
          <w:rStyle w:val="SCCCounselNameChar"/>
          <w:szCs w:val="24"/>
        </w:rPr>
        <w:t>G. Engel</w:t>
      </w:r>
      <w:r w:rsidR="009164D2" w:rsidRPr="008A51AE">
        <w:rPr>
          <w:rStyle w:val="SCCCounselSeparatorChar"/>
          <w:szCs w:val="24"/>
        </w:rPr>
        <w:t xml:space="preserve">, </w:t>
      </w:r>
      <w:r w:rsidR="009164D2" w:rsidRPr="008A51AE">
        <w:rPr>
          <w:rStyle w:val="SCCCounselNameChar"/>
          <w:szCs w:val="24"/>
        </w:rPr>
        <w:t>Russell Silverstein</w:t>
      </w:r>
      <w:r w:rsidR="009164D2" w:rsidRPr="008A51AE">
        <w:rPr>
          <w:rStyle w:val="SCCCounselSeparatorChar"/>
          <w:szCs w:val="24"/>
        </w:rPr>
        <w:t xml:space="preserve"> and </w:t>
      </w:r>
      <w:r w:rsidR="009164D2" w:rsidRPr="008A51AE">
        <w:rPr>
          <w:rStyle w:val="SCCCounselNameChar"/>
          <w:szCs w:val="24"/>
        </w:rPr>
        <w:t>Ingrid Grant</w:t>
      </w:r>
      <w:r w:rsidR="009164D2" w:rsidRPr="008A51AE">
        <w:rPr>
          <w:rStyle w:val="SCCCounselPartyRoleChar"/>
          <w:szCs w:val="24"/>
        </w:rPr>
        <w:t>, for the respondent.</w:t>
      </w:r>
      <w:proofErr w:type="gramEnd"/>
    </w:p>
    <w:p w:rsidR="005B226F" w:rsidRPr="008A51AE" w:rsidRDefault="009164D2" w:rsidP="00521F8E">
      <w:pPr>
        <w:pStyle w:val="SCCNormalDoubleSpacing"/>
        <w:spacing w:after="480"/>
        <w:rPr>
          <w:szCs w:val="24"/>
        </w:rPr>
      </w:pPr>
      <w:r w:rsidRPr="008A51AE">
        <w:rPr>
          <w:rStyle w:val="SCCCounselNameChar"/>
          <w:szCs w:val="24"/>
        </w:rPr>
        <w:tab/>
      </w:r>
      <w:proofErr w:type="gramStart"/>
      <w:r w:rsidRPr="008A51AE">
        <w:rPr>
          <w:rStyle w:val="SCCCounselNameChar"/>
          <w:szCs w:val="24"/>
        </w:rPr>
        <w:t>Brian Snell</w:t>
      </w:r>
      <w:r w:rsidRPr="008A51AE">
        <w:rPr>
          <w:rStyle w:val="SCCCounselPartyRoleChar"/>
          <w:szCs w:val="24"/>
        </w:rPr>
        <w:t>, for the intervener.</w:t>
      </w:r>
      <w:proofErr w:type="gramEnd"/>
    </w:p>
    <w:p w:rsidR="00D62CC9" w:rsidRDefault="00D62CC9" w:rsidP="00C43221">
      <w:pPr>
        <w:tabs>
          <w:tab w:val="left" w:pos="-1440"/>
          <w:tab w:val="left" w:pos="-720"/>
          <w:tab w:val="left" w:pos="1170"/>
        </w:tabs>
        <w:spacing w:after="480" w:line="480" w:lineRule="auto"/>
        <w:jc w:val="both"/>
      </w:pPr>
      <w:r>
        <w:lastRenderedPageBreak/>
        <w:tab/>
        <w:t>The following is the judgment delivered by</w:t>
      </w:r>
    </w:p>
    <w:p w:rsidR="00C43221" w:rsidRPr="00CC199C" w:rsidRDefault="00DF3B3E" w:rsidP="00915516">
      <w:pPr>
        <w:pStyle w:val="ParaNoNdepar-AltN"/>
      </w:pPr>
      <w:r w:rsidRPr="00CC199C">
        <w:rPr>
          <w:smallCaps/>
        </w:rPr>
        <w:t xml:space="preserve">The Court </w:t>
      </w:r>
      <w:r w:rsidRPr="00CC199C">
        <w:t xml:space="preserve">— </w:t>
      </w:r>
      <w:r w:rsidR="00C43221" w:rsidRPr="00CC199C">
        <w:t>The respondent’s convictions for sexual assault and forcible confinement were set aside by a majority in the Court of Appeal for Ontario (2010 ONCA 544, 266 O.A.C. 27).  The Crown appeals as of right pursuant to s. 693(1</w:t>
      </w:r>
      <w:proofErr w:type="gramStart"/>
      <w:r w:rsidR="00C43221" w:rsidRPr="00CC199C">
        <w:t>)(</w:t>
      </w:r>
      <w:proofErr w:type="gramEnd"/>
      <w:r w:rsidR="00C43221" w:rsidRPr="00CC199C">
        <w:rPr>
          <w:i/>
        </w:rPr>
        <w:t>a</w:t>
      </w:r>
      <w:r w:rsidR="00C43221" w:rsidRPr="00CC199C">
        <w:t xml:space="preserve">) of the </w:t>
      </w:r>
      <w:r w:rsidR="00C43221" w:rsidRPr="00CC199C">
        <w:rPr>
          <w:i/>
        </w:rPr>
        <w:t>Criminal Code</w:t>
      </w:r>
      <w:r w:rsidR="00C43221" w:rsidRPr="00CC199C">
        <w:t>, R.S.C. 1985, c. C-46.</w:t>
      </w:r>
    </w:p>
    <w:p w:rsidR="00C43221" w:rsidRPr="00CC199C" w:rsidRDefault="00C43221" w:rsidP="00915516">
      <w:pPr>
        <w:pStyle w:val="ParaNoNdepar-AltN"/>
      </w:pPr>
      <w:r w:rsidRPr="00CC199C">
        <w:rPr>
          <w:szCs w:val="24"/>
        </w:rPr>
        <w:t xml:space="preserve">The </w:t>
      </w:r>
      <w:r w:rsidRPr="00915516">
        <w:t>majority</w:t>
      </w:r>
      <w:r w:rsidRPr="00CC199C">
        <w:rPr>
          <w:szCs w:val="24"/>
        </w:rPr>
        <w:t xml:space="preserve"> intervened with the verdict mainly on the basis of the trial judge’s findings in respect of particular items of evidence, and his failure to explain why certain “factors did not raise a reasonable doubt that the accusations may have been fabricated” (</w:t>
      </w:r>
      <w:proofErr w:type="spellStart"/>
      <w:r w:rsidRPr="00CC199C">
        <w:rPr>
          <w:szCs w:val="24"/>
        </w:rPr>
        <w:t>para</w:t>
      </w:r>
      <w:proofErr w:type="spellEnd"/>
      <w:r w:rsidRPr="00CC199C">
        <w:rPr>
          <w:szCs w:val="24"/>
        </w:rPr>
        <w:t>. 35).</w:t>
      </w:r>
    </w:p>
    <w:p w:rsidR="00C43221" w:rsidRPr="00CC199C" w:rsidRDefault="00C43221" w:rsidP="00915516">
      <w:pPr>
        <w:pStyle w:val="ParaNoNdepar-AltN"/>
      </w:pPr>
      <w:r w:rsidRPr="00CC199C">
        <w:rPr>
          <w:szCs w:val="24"/>
        </w:rPr>
        <w:t>While we do not agree on all aspects of the majority’s approach, we are not persuaded that it erred in the result in setting aside the convictions and ordering a new trial.  Based on our review of the trial judge’s reasons as a whole, we agree that he erred in law by failing to give adequate consideration to the question of whether the evidence raised a reasonable doubt.</w:t>
      </w:r>
    </w:p>
    <w:p w:rsidR="00C43221" w:rsidRPr="00CC199C" w:rsidRDefault="00C43221" w:rsidP="00915516">
      <w:pPr>
        <w:pStyle w:val="ParaNoNdepar-AltN"/>
      </w:pPr>
      <w:r w:rsidRPr="00CC199C">
        <w:rPr>
          <w:szCs w:val="24"/>
        </w:rPr>
        <w:t xml:space="preserve">The appeal </w:t>
      </w:r>
      <w:r w:rsidRPr="00915516">
        <w:t>is</w:t>
      </w:r>
      <w:r w:rsidRPr="00CC199C">
        <w:rPr>
          <w:szCs w:val="24"/>
        </w:rPr>
        <w:t xml:space="preserve"> dismissed.</w:t>
      </w:r>
    </w:p>
    <w:p w:rsidR="009B57B3" w:rsidRPr="008A51AE" w:rsidRDefault="004A1068" w:rsidP="00521F8E">
      <w:pPr>
        <w:pStyle w:val="SCCNormalDoubleSpacing"/>
        <w:spacing w:after="480"/>
        <w:rPr>
          <w:szCs w:val="24"/>
        </w:rPr>
      </w:pPr>
      <w:r w:rsidRPr="008A51AE">
        <w:rPr>
          <w:szCs w:val="24"/>
        </w:rPr>
        <w:tab/>
      </w:r>
      <w:r w:rsidR="00656313" w:rsidRPr="008A51AE">
        <w:rPr>
          <w:i/>
          <w:szCs w:val="24"/>
        </w:rPr>
        <w:t>Appeal</w:t>
      </w:r>
      <w:r w:rsidRPr="008A51AE">
        <w:rPr>
          <w:i/>
          <w:szCs w:val="24"/>
        </w:rPr>
        <w:t xml:space="preserve"> dismissed.</w:t>
      </w:r>
    </w:p>
    <w:p w:rsidR="004A1068" w:rsidRPr="008A51AE" w:rsidRDefault="004A1068" w:rsidP="00521F8E">
      <w:pPr>
        <w:pStyle w:val="SCCNormalDoubleSpacing"/>
        <w:spacing w:after="480"/>
        <w:rPr>
          <w:i/>
          <w:szCs w:val="24"/>
        </w:rPr>
      </w:pPr>
      <w:r w:rsidRPr="008A51AE">
        <w:rPr>
          <w:szCs w:val="24"/>
        </w:rPr>
        <w:tab/>
      </w:r>
      <w:r w:rsidR="00521F8E" w:rsidRPr="008A51AE">
        <w:rPr>
          <w:i/>
          <w:szCs w:val="24"/>
        </w:rPr>
        <w:t>Solicitor for the appellant:  </w:t>
      </w:r>
      <w:r w:rsidRPr="008A51AE">
        <w:rPr>
          <w:i/>
          <w:szCs w:val="24"/>
        </w:rPr>
        <w:t>Attorney General of Ontario, Toronto.</w:t>
      </w:r>
    </w:p>
    <w:p w:rsidR="004A1068" w:rsidRPr="008A51AE" w:rsidRDefault="00521F8E" w:rsidP="00521F8E">
      <w:pPr>
        <w:pStyle w:val="SCCNormalDoubleSpacing"/>
        <w:spacing w:after="480"/>
        <w:rPr>
          <w:i/>
          <w:szCs w:val="24"/>
        </w:rPr>
      </w:pPr>
      <w:r w:rsidRPr="008A51AE">
        <w:rPr>
          <w:szCs w:val="24"/>
        </w:rPr>
        <w:lastRenderedPageBreak/>
        <w:tab/>
      </w:r>
      <w:r w:rsidRPr="008A51AE">
        <w:rPr>
          <w:i/>
          <w:szCs w:val="24"/>
        </w:rPr>
        <w:t>Solicitor for the respondent:  Michael </w:t>
      </w:r>
      <w:r w:rsidR="004A1068" w:rsidRPr="008A51AE">
        <w:rPr>
          <w:i/>
          <w:szCs w:val="24"/>
        </w:rPr>
        <w:t>G. Engel, Toronto.</w:t>
      </w:r>
    </w:p>
    <w:p w:rsidR="009B57B3" w:rsidRPr="00C43221" w:rsidRDefault="004A1068" w:rsidP="00C43221">
      <w:pPr>
        <w:pStyle w:val="SCCNormalDoubleSpacing"/>
        <w:spacing w:after="480"/>
        <w:rPr>
          <w:szCs w:val="24"/>
          <w:lang w:val="en-US"/>
        </w:rPr>
      </w:pPr>
      <w:r w:rsidRPr="008A51AE">
        <w:rPr>
          <w:i/>
          <w:szCs w:val="24"/>
        </w:rPr>
        <w:tab/>
        <w:t>Solicitor for the intervener</w:t>
      </w:r>
      <w:r w:rsidR="00BB1ED9" w:rsidRPr="008A51AE">
        <w:rPr>
          <w:i/>
          <w:szCs w:val="24"/>
        </w:rPr>
        <w:t>:  </w:t>
      </w:r>
      <w:r w:rsidRPr="008A51AE">
        <w:rPr>
          <w:i/>
          <w:szCs w:val="24"/>
        </w:rPr>
        <w:t>Association in Defence of the Wrongly Convicted, Toronto.</w:t>
      </w:r>
      <w:r w:rsidR="00C43221" w:rsidRPr="00C43221">
        <w:rPr>
          <w:szCs w:val="24"/>
          <w:lang w:val="en-US"/>
        </w:rPr>
        <w:t xml:space="preserve"> </w:t>
      </w:r>
    </w:p>
    <w:sectPr w:rsidR="009B57B3" w:rsidRPr="00C43221" w:rsidSect="0091048A">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9E" w:rsidRDefault="0003499E">
      <w:r>
        <w:separator/>
      </w:r>
    </w:p>
  </w:endnote>
  <w:endnote w:type="continuationSeparator" w:id="0">
    <w:p w:rsidR="0003499E" w:rsidRDefault="00034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9E" w:rsidRDefault="0003499E">
      <w:r>
        <w:separator/>
      </w:r>
    </w:p>
  </w:footnote>
  <w:footnote w:type="continuationSeparator" w:id="0">
    <w:p w:rsidR="0003499E" w:rsidRDefault="00034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501"/>
      <w:docPartObj>
        <w:docPartGallery w:val="Page Numbers (Top of Page)"/>
        <w:docPartUnique/>
      </w:docPartObj>
    </w:sdtPr>
    <w:sdtContent>
      <w:p w:rsidR="0091048A" w:rsidRDefault="0091048A">
        <w:pPr>
          <w:pStyle w:val="Header"/>
          <w:jc w:val="center"/>
        </w:pPr>
        <w:r>
          <w:t xml:space="preserve">- </w:t>
        </w:r>
        <w:fldSimple w:instr=" PAGE   \* MERGEFORMAT ">
          <w:r w:rsidR="00D60F5F">
            <w:rPr>
              <w:noProof/>
            </w:rPr>
            <w:t>2</w:t>
          </w:r>
        </w:fldSimple>
        <w:r>
          <w:t xml:space="preserve"> -</w:t>
        </w:r>
      </w:p>
    </w:sdtContent>
  </w:sdt>
  <w:p w:rsidR="0091048A" w:rsidRDefault="00910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6"/>
  </w:num>
  <w:num w:numId="3">
    <w:abstractNumId w:val="11"/>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5"/>
  </w:num>
  <w:num w:numId="19">
    <w:abstractNumId w:val="1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rsids>
    <w:rsidRoot w:val="0031414C"/>
    <w:rsid w:val="00000ED4"/>
    <w:rsid w:val="00025198"/>
    <w:rsid w:val="0003499E"/>
    <w:rsid w:val="000578A3"/>
    <w:rsid w:val="000648CC"/>
    <w:rsid w:val="000A3C7B"/>
    <w:rsid w:val="000A6E3B"/>
    <w:rsid w:val="000C59B8"/>
    <w:rsid w:val="00104F33"/>
    <w:rsid w:val="00111DE2"/>
    <w:rsid w:val="00116B38"/>
    <w:rsid w:val="00135406"/>
    <w:rsid w:val="00135972"/>
    <w:rsid w:val="001426A9"/>
    <w:rsid w:val="0015466E"/>
    <w:rsid w:val="00154D7C"/>
    <w:rsid w:val="001570B0"/>
    <w:rsid w:val="001570D3"/>
    <w:rsid w:val="0015752C"/>
    <w:rsid w:val="00157737"/>
    <w:rsid w:val="00165277"/>
    <w:rsid w:val="00170592"/>
    <w:rsid w:val="001B33E0"/>
    <w:rsid w:val="001B4573"/>
    <w:rsid w:val="001C779F"/>
    <w:rsid w:val="001D2AC1"/>
    <w:rsid w:val="001D4E88"/>
    <w:rsid w:val="001F3031"/>
    <w:rsid w:val="00220930"/>
    <w:rsid w:val="00220FC2"/>
    <w:rsid w:val="00224FC0"/>
    <w:rsid w:val="00225EA4"/>
    <w:rsid w:val="00226EAF"/>
    <w:rsid w:val="00231F3A"/>
    <w:rsid w:val="002406EE"/>
    <w:rsid w:val="00243EC8"/>
    <w:rsid w:val="002745CC"/>
    <w:rsid w:val="002919C2"/>
    <w:rsid w:val="002B7924"/>
    <w:rsid w:val="002D39A4"/>
    <w:rsid w:val="002E6705"/>
    <w:rsid w:val="002F7C59"/>
    <w:rsid w:val="0030329A"/>
    <w:rsid w:val="0031086F"/>
    <w:rsid w:val="0031414C"/>
    <w:rsid w:val="00314E01"/>
    <w:rsid w:val="0032089D"/>
    <w:rsid w:val="003310DE"/>
    <w:rsid w:val="0035169A"/>
    <w:rsid w:val="0035259D"/>
    <w:rsid w:val="00364B18"/>
    <w:rsid w:val="0039345E"/>
    <w:rsid w:val="003A4C70"/>
    <w:rsid w:val="003B215F"/>
    <w:rsid w:val="003C799C"/>
    <w:rsid w:val="003D0399"/>
    <w:rsid w:val="003E1C71"/>
    <w:rsid w:val="003F327B"/>
    <w:rsid w:val="00406166"/>
    <w:rsid w:val="0040704B"/>
    <w:rsid w:val="00410A55"/>
    <w:rsid w:val="00411300"/>
    <w:rsid w:val="00415417"/>
    <w:rsid w:val="00420E06"/>
    <w:rsid w:val="00426659"/>
    <w:rsid w:val="00426BCC"/>
    <w:rsid w:val="00450352"/>
    <w:rsid w:val="00454BDB"/>
    <w:rsid w:val="00465132"/>
    <w:rsid w:val="00480C90"/>
    <w:rsid w:val="0048396F"/>
    <w:rsid w:val="00492F4E"/>
    <w:rsid w:val="00493C18"/>
    <w:rsid w:val="004A1068"/>
    <w:rsid w:val="004A600C"/>
    <w:rsid w:val="004A6118"/>
    <w:rsid w:val="004C478D"/>
    <w:rsid w:val="004E2C26"/>
    <w:rsid w:val="005125A8"/>
    <w:rsid w:val="00521AE8"/>
    <w:rsid w:val="00521F8E"/>
    <w:rsid w:val="00527180"/>
    <w:rsid w:val="0054726B"/>
    <w:rsid w:val="00555291"/>
    <w:rsid w:val="00564A0E"/>
    <w:rsid w:val="00566AD1"/>
    <w:rsid w:val="00573723"/>
    <w:rsid w:val="00583EDE"/>
    <w:rsid w:val="005B226F"/>
    <w:rsid w:val="005E4698"/>
    <w:rsid w:val="00610539"/>
    <w:rsid w:val="00613969"/>
    <w:rsid w:val="00625C35"/>
    <w:rsid w:val="00656313"/>
    <w:rsid w:val="006565F4"/>
    <w:rsid w:val="00684EEA"/>
    <w:rsid w:val="00692532"/>
    <w:rsid w:val="0069689B"/>
    <w:rsid w:val="006A0AD4"/>
    <w:rsid w:val="006B5FF5"/>
    <w:rsid w:val="00701759"/>
    <w:rsid w:val="00705C15"/>
    <w:rsid w:val="00723D42"/>
    <w:rsid w:val="00747288"/>
    <w:rsid w:val="00747DD3"/>
    <w:rsid w:val="007549C8"/>
    <w:rsid w:val="00761982"/>
    <w:rsid w:val="00766D14"/>
    <w:rsid w:val="00767A0F"/>
    <w:rsid w:val="00787B29"/>
    <w:rsid w:val="007A05F6"/>
    <w:rsid w:val="007B6F4A"/>
    <w:rsid w:val="007E1C47"/>
    <w:rsid w:val="007E337A"/>
    <w:rsid w:val="007E5C70"/>
    <w:rsid w:val="007F2FF5"/>
    <w:rsid w:val="007F3F08"/>
    <w:rsid w:val="00804CC6"/>
    <w:rsid w:val="00817190"/>
    <w:rsid w:val="008218FC"/>
    <w:rsid w:val="008260E2"/>
    <w:rsid w:val="008322BD"/>
    <w:rsid w:val="00834F73"/>
    <w:rsid w:val="00864CF8"/>
    <w:rsid w:val="008652BE"/>
    <w:rsid w:val="00874914"/>
    <w:rsid w:val="00891422"/>
    <w:rsid w:val="00892E1A"/>
    <w:rsid w:val="008A0B0D"/>
    <w:rsid w:val="008A51AE"/>
    <w:rsid w:val="008B0796"/>
    <w:rsid w:val="008C01DA"/>
    <w:rsid w:val="008D08DC"/>
    <w:rsid w:val="008F2AED"/>
    <w:rsid w:val="008F78E9"/>
    <w:rsid w:val="0091048A"/>
    <w:rsid w:val="00915516"/>
    <w:rsid w:val="009164D2"/>
    <w:rsid w:val="009179F9"/>
    <w:rsid w:val="00933E5E"/>
    <w:rsid w:val="00935218"/>
    <w:rsid w:val="009403F3"/>
    <w:rsid w:val="009555B7"/>
    <w:rsid w:val="009567AA"/>
    <w:rsid w:val="00967374"/>
    <w:rsid w:val="009B2F23"/>
    <w:rsid w:val="009B57B3"/>
    <w:rsid w:val="009C144A"/>
    <w:rsid w:val="009D2920"/>
    <w:rsid w:val="009D5AEB"/>
    <w:rsid w:val="009E143F"/>
    <w:rsid w:val="009F0E33"/>
    <w:rsid w:val="00A149DF"/>
    <w:rsid w:val="00A21B90"/>
    <w:rsid w:val="00A322D2"/>
    <w:rsid w:val="00A35C8A"/>
    <w:rsid w:val="00A41805"/>
    <w:rsid w:val="00A47879"/>
    <w:rsid w:val="00A548CB"/>
    <w:rsid w:val="00A5521C"/>
    <w:rsid w:val="00A643E7"/>
    <w:rsid w:val="00A73C38"/>
    <w:rsid w:val="00AB670D"/>
    <w:rsid w:val="00AF03C5"/>
    <w:rsid w:val="00B000D8"/>
    <w:rsid w:val="00B00F75"/>
    <w:rsid w:val="00B145B6"/>
    <w:rsid w:val="00B50C81"/>
    <w:rsid w:val="00B557F8"/>
    <w:rsid w:val="00B815FC"/>
    <w:rsid w:val="00B93FBC"/>
    <w:rsid w:val="00BB1ED9"/>
    <w:rsid w:val="00BB2EE4"/>
    <w:rsid w:val="00BC2108"/>
    <w:rsid w:val="00BD0E9E"/>
    <w:rsid w:val="00BD1BEC"/>
    <w:rsid w:val="00BD32FF"/>
    <w:rsid w:val="00C02092"/>
    <w:rsid w:val="00C24D91"/>
    <w:rsid w:val="00C43221"/>
    <w:rsid w:val="00C43903"/>
    <w:rsid w:val="00C53F14"/>
    <w:rsid w:val="00C600CF"/>
    <w:rsid w:val="00C6084F"/>
    <w:rsid w:val="00C62A66"/>
    <w:rsid w:val="00C71458"/>
    <w:rsid w:val="00C77613"/>
    <w:rsid w:val="00C828E7"/>
    <w:rsid w:val="00C86719"/>
    <w:rsid w:val="00C921DD"/>
    <w:rsid w:val="00CA6391"/>
    <w:rsid w:val="00CE3171"/>
    <w:rsid w:val="00CF009F"/>
    <w:rsid w:val="00CF1601"/>
    <w:rsid w:val="00D0172F"/>
    <w:rsid w:val="00D068A7"/>
    <w:rsid w:val="00D21A54"/>
    <w:rsid w:val="00D32086"/>
    <w:rsid w:val="00D37A3F"/>
    <w:rsid w:val="00D4431D"/>
    <w:rsid w:val="00D4667A"/>
    <w:rsid w:val="00D60F5F"/>
    <w:rsid w:val="00D62CC9"/>
    <w:rsid w:val="00D7516F"/>
    <w:rsid w:val="00D95F8E"/>
    <w:rsid w:val="00DA0590"/>
    <w:rsid w:val="00DC1788"/>
    <w:rsid w:val="00DC46EA"/>
    <w:rsid w:val="00DE319C"/>
    <w:rsid w:val="00DF0CA8"/>
    <w:rsid w:val="00DF2B48"/>
    <w:rsid w:val="00DF3B3E"/>
    <w:rsid w:val="00DF49A7"/>
    <w:rsid w:val="00DF5101"/>
    <w:rsid w:val="00E07EE2"/>
    <w:rsid w:val="00E07FD1"/>
    <w:rsid w:val="00E24573"/>
    <w:rsid w:val="00E25E1E"/>
    <w:rsid w:val="00E279C6"/>
    <w:rsid w:val="00E27EE7"/>
    <w:rsid w:val="00E301E5"/>
    <w:rsid w:val="00E35404"/>
    <w:rsid w:val="00E45109"/>
    <w:rsid w:val="00E47B7A"/>
    <w:rsid w:val="00E60269"/>
    <w:rsid w:val="00E97830"/>
    <w:rsid w:val="00EF0683"/>
    <w:rsid w:val="00F0070C"/>
    <w:rsid w:val="00F00EB7"/>
    <w:rsid w:val="00F36AB6"/>
    <w:rsid w:val="00F37A09"/>
    <w:rsid w:val="00F409CE"/>
    <w:rsid w:val="00F4379D"/>
    <w:rsid w:val="00F84DF4"/>
    <w:rsid w:val="00F85C97"/>
    <w:rsid w:val="00FB37D2"/>
    <w:rsid w:val="00FC4EFB"/>
    <w:rsid w:val="00FD068D"/>
    <w:rsid w:val="00FD4F28"/>
    <w:rsid w:val="00FD5D73"/>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A47879"/>
    <w:rPr>
      <w:sz w:val="24"/>
    </w:rPr>
  </w:style>
  <w:style w:type="paragraph" w:styleId="Heading1">
    <w:name w:val="heading 1"/>
    <w:next w:val="Normal"/>
    <w:link w:val="Heading1Char"/>
    <w:uiPriority w:val="2"/>
    <w:rsid w:val="00A47879"/>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A478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7879"/>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A47879"/>
    <w:rPr>
      <w:color w:val="808080"/>
    </w:rPr>
  </w:style>
  <w:style w:type="paragraph" w:styleId="BalloonText">
    <w:name w:val="Balloon Text"/>
    <w:basedOn w:val="Normal"/>
    <w:link w:val="BalloonTextChar"/>
    <w:uiPriority w:val="99"/>
    <w:semiHidden/>
    <w:unhideWhenUsed/>
    <w:rsid w:val="00A47879"/>
    <w:rPr>
      <w:rFonts w:cs="Tahoma"/>
      <w:sz w:val="28"/>
      <w:szCs w:val="16"/>
    </w:rPr>
  </w:style>
  <w:style w:type="character" w:customStyle="1" w:styleId="BalloonTextChar">
    <w:name w:val="Balloon Text Char"/>
    <w:basedOn w:val="DefaultParagraphFont"/>
    <w:link w:val="BalloonText"/>
    <w:uiPriority w:val="99"/>
    <w:semiHidden/>
    <w:rsid w:val="00A47879"/>
    <w:rPr>
      <w:rFonts w:cs="Tahoma"/>
      <w:sz w:val="28"/>
      <w:szCs w:val="16"/>
    </w:rPr>
  </w:style>
  <w:style w:type="paragraph" w:styleId="Header">
    <w:name w:val="header"/>
    <w:basedOn w:val="Normal"/>
    <w:link w:val="HeaderChar"/>
    <w:uiPriority w:val="99"/>
    <w:unhideWhenUsed/>
    <w:rsid w:val="00A47879"/>
    <w:pPr>
      <w:tabs>
        <w:tab w:val="center" w:pos="4680"/>
        <w:tab w:val="right" w:pos="9360"/>
      </w:tabs>
    </w:pPr>
  </w:style>
  <w:style w:type="character" w:customStyle="1" w:styleId="HeaderChar">
    <w:name w:val="Header Char"/>
    <w:basedOn w:val="DefaultParagraphFont"/>
    <w:link w:val="Header"/>
    <w:uiPriority w:val="99"/>
    <w:rsid w:val="00A47879"/>
    <w:rPr>
      <w:sz w:val="24"/>
    </w:rPr>
  </w:style>
  <w:style w:type="paragraph" w:styleId="Footer">
    <w:name w:val="footer"/>
    <w:basedOn w:val="Normal"/>
    <w:link w:val="FooterChar"/>
    <w:uiPriority w:val="99"/>
    <w:semiHidden/>
    <w:unhideWhenUsed/>
    <w:rsid w:val="00A47879"/>
    <w:pPr>
      <w:tabs>
        <w:tab w:val="center" w:pos="4680"/>
        <w:tab w:val="right" w:pos="9360"/>
      </w:tabs>
    </w:pPr>
  </w:style>
  <w:style w:type="character" w:customStyle="1" w:styleId="FooterChar">
    <w:name w:val="Footer Char"/>
    <w:basedOn w:val="DefaultParagraphFont"/>
    <w:link w:val="Footer"/>
    <w:uiPriority w:val="99"/>
    <w:semiHidden/>
    <w:rsid w:val="00A47879"/>
    <w:rPr>
      <w:sz w:val="24"/>
    </w:rPr>
  </w:style>
  <w:style w:type="paragraph" w:customStyle="1" w:styleId="SCCLsocParty">
    <w:name w:val="SCC.Lsoc.Party"/>
    <w:basedOn w:val="Normal"/>
    <w:next w:val="Normal"/>
    <w:link w:val="SCCLsocPartyChar"/>
    <w:rsid w:val="00A47879"/>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47879"/>
    <w:rPr>
      <w:rFonts w:eastAsiaTheme="minorHAnsi" w:cstheme="minorBidi"/>
      <w:sz w:val="24"/>
      <w:szCs w:val="22"/>
      <w:lang w:eastAsia="en-US"/>
    </w:rPr>
  </w:style>
  <w:style w:type="paragraph" w:customStyle="1" w:styleId="SCCLsocVersus">
    <w:name w:val="SCC.Lsoc.Versus"/>
    <w:basedOn w:val="Normal"/>
    <w:next w:val="Normal"/>
    <w:link w:val="SCCLsocVersusChar"/>
    <w:rsid w:val="00A47879"/>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47879"/>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47879"/>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47879"/>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A47879"/>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47879"/>
    <w:rPr>
      <w:rFonts w:eastAsiaTheme="minorHAnsi" w:cstheme="minorBidi"/>
      <w:sz w:val="24"/>
      <w:szCs w:val="22"/>
      <w:lang w:eastAsia="en-US"/>
    </w:rPr>
  </w:style>
  <w:style w:type="character" w:customStyle="1" w:styleId="Heading1Char">
    <w:name w:val="Heading 1 Char"/>
    <w:basedOn w:val="DefaultParagraphFont"/>
    <w:link w:val="Heading1"/>
    <w:uiPriority w:val="2"/>
    <w:rsid w:val="00A47879"/>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A47879"/>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C43221"/>
    <w:pPr>
      <w:ind w:left="720"/>
    </w:pPr>
  </w:style>
  <w:style w:type="paragraph" w:customStyle="1" w:styleId="SCCCoram">
    <w:name w:val="SCC.Coram"/>
    <w:basedOn w:val="Normal"/>
    <w:next w:val="Normal"/>
    <w:link w:val="SCCCoramChar"/>
    <w:rsid w:val="00A4787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47879"/>
    <w:rPr>
      <w:rFonts w:eastAsiaTheme="minorHAnsi" w:cstheme="minorBidi"/>
      <w:sz w:val="24"/>
      <w:szCs w:val="22"/>
      <w:lang w:eastAsia="en-US"/>
    </w:rPr>
  </w:style>
  <w:style w:type="table" w:styleId="TableGrid">
    <w:name w:val="Table Grid"/>
    <w:basedOn w:val="TableNormal"/>
    <w:uiPriority w:val="59"/>
    <w:rsid w:val="00A47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OtherPartyRoleSeparator">
    <w:name w:val="SCC.Lsoc.OtherPartyRoleSeparator"/>
    <w:basedOn w:val="Normal"/>
    <w:next w:val="Normal"/>
    <w:link w:val="SCCLsocOtherPartyRoleSeparatorChar"/>
    <w:rsid w:val="00A4787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47879"/>
    <w:rPr>
      <w:rFonts w:eastAsiaTheme="minorHAnsi" w:cstheme="minorBidi"/>
      <w:sz w:val="24"/>
      <w:szCs w:val="22"/>
      <w:lang w:eastAsia="en-US"/>
    </w:rPr>
  </w:style>
  <w:style w:type="character" w:customStyle="1" w:styleId="SCCBanSummaryChar">
    <w:name w:val="SCC.BanSummary Char"/>
    <w:basedOn w:val="DefaultParagraphFont"/>
    <w:link w:val="SCCBanSummary"/>
    <w:rsid w:val="00A47879"/>
    <w:rPr>
      <w:rFonts w:eastAsiaTheme="minorEastAsia"/>
      <w:b/>
      <w:sz w:val="24"/>
      <w:szCs w:val="24"/>
    </w:rPr>
  </w:style>
  <w:style w:type="paragraph" w:customStyle="1" w:styleId="JudgeJuge">
    <w:name w:val="Judge / Juge"/>
    <w:link w:val="JudgeJugeChar"/>
    <w:uiPriority w:val="3"/>
    <w:rsid w:val="00A47879"/>
    <w:pPr>
      <w:tabs>
        <w:tab w:val="left" w:pos="1260"/>
      </w:tabs>
      <w:spacing w:after="480" w:line="480" w:lineRule="auto"/>
    </w:pPr>
    <w:rPr>
      <w:smallCaps/>
      <w:sz w:val="24"/>
    </w:rPr>
  </w:style>
  <w:style w:type="paragraph" w:customStyle="1" w:styleId="Citation-AltC">
    <w:name w:val="Citation - Alt C"/>
    <w:uiPriority w:val="2"/>
    <w:qFormat/>
    <w:rsid w:val="00A47879"/>
    <w:pPr>
      <w:spacing w:after="720"/>
      <w:ind w:left="1166"/>
      <w:contextualSpacing/>
      <w:jc w:val="both"/>
    </w:pPr>
    <w:rPr>
      <w:sz w:val="24"/>
    </w:rPr>
  </w:style>
  <w:style w:type="character" w:styleId="CommentReference">
    <w:name w:val="annotation reference"/>
    <w:basedOn w:val="DefaultParagraphFont"/>
    <w:uiPriority w:val="99"/>
    <w:semiHidden/>
    <w:unhideWhenUsed/>
    <w:rsid w:val="00A47879"/>
    <w:rPr>
      <w:sz w:val="16"/>
      <w:szCs w:val="16"/>
    </w:rPr>
  </w:style>
  <w:style w:type="paragraph" w:styleId="CommentText">
    <w:name w:val="annotation text"/>
    <w:basedOn w:val="Normal"/>
    <w:link w:val="CommentTextChar"/>
    <w:uiPriority w:val="99"/>
    <w:semiHidden/>
    <w:unhideWhenUsed/>
    <w:rsid w:val="00A47879"/>
    <w:rPr>
      <w:sz w:val="20"/>
    </w:rPr>
  </w:style>
  <w:style w:type="character" w:customStyle="1" w:styleId="CommentTextChar">
    <w:name w:val="Comment Text Char"/>
    <w:basedOn w:val="DefaultParagraphFont"/>
    <w:link w:val="CommentText"/>
    <w:uiPriority w:val="99"/>
    <w:semiHidden/>
    <w:rsid w:val="00A47879"/>
  </w:style>
  <w:style w:type="paragraph" w:styleId="CommentSubject">
    <w:name w:val="annotation subject"/>
    <w:basedOn w:val="CommentText"/>
    <w:next w:val="CommentText"/>
    <w:link w:val="CommentSubjectChar"/>
    <w:uiPriority w:val="99"/>
    <w:semiHidden/>
    <w:unhideWhenUsed/>
    <w:rsid w:val="00A47879"/>
    <w:rPr>
      <w:b/>
      <w:bCs/>
    </w:rPr>
  </w:style>
  <w:style w:type="character" w:customStyle="1" w:styleId="CommentSubjectChar">
    <w:name w:val="Comment Subject Char"/>
    <w:basedOn w:val="CommentTextChar"/>
    <w:link w:val="CommentSubject"/>
    <w:uiPriority w:val="99"/>
    <w:semiHidden/>
    <w:rsid w:val="00A47879"/>
    <w:rPr>
      <w:b/>
      <w:bCs/>
    </w:rPr>
  </w:style>
  <w:style w:type="paragraph" w:customStyle="1" w:styleId="ContinueParaSuitedupar-AltP">
    <w:name w:val="Continue Para. / Suite du par. - Alt P"/>
    <w:next w:val="ParaNoNdepar-AltN"/>
    <w:uiPriority w:val="1"/>
    <w:qFormat/>
    <w:rsid w:val="00A47879"/>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A47879"/>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A47879"/>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A47879"/>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Apr%2029%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Ltr_J18_e revised Apr 29 2011.dotx</Template>
  <TotalTime>0</TotalTime>
  <Pages>5</Pages>
  <Words>475</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2011-05-11T18:50:00Z</dcterms:created>
  <dcterms:modified xsi:type="dcterms:W3CDTF">2011-10-07T17:33:00Z</dcterms:modified>
</cp:coreProperties>
</file>