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C4" w:rsidRPr="00425D3C" w:rsidRDefault="000C6CC4" w:rsidP="000C6CC4">
      <w:pPr>
        <w:tabs>
          <w:tab w:val="center" w:pos="4680"/>
          <w:tab w:val="right" w:pos="9360"/>
        </w:tabs>
        <w:jc w:val="center"/>
        <w:rPr>
          <w:rFonts w:eastAsiaTheme="minorHAnsi" w:cstheme="minorBidi"/>
          <w:szCs w:val="24"/>
          <w:lang w:eastAsia="en-US"/>
        </w:rPr>
      </w:pPr>
      <w:r w:rsidRPr="00425D3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2pt" o:ole="">
            <v:imagedata r:id="rId7" o:title=""/>
          </v:shape>
          <o:OLEObject Type="Embed" ProgID="Presentations.Drawing.13" ShapeID="_x0000_i1025" DrawAspect="Content" ObjectID="_1380609210" r:id="rId8"/>
        </w:object>
      </w:r>
    </w:p>
    <w:p w:rsidR="000C6CC4" w:rsidRPr="00425D3C" w:rsidRDefault="000C6CC4" w:rsidP="000C6CC4">
      <w:pPr>
        <w:tabs>
          <w:tab w:val="center" w:pos="4680"/>
          <w:tab w:val="right" w:pos="9360"/>
        </w:tabs>
        <w:rPr>
          <w:rFonts w:eastAsiaTheme="minorHAnsi" w:cstheme="minorBidi"/>
          <w:szCs w:val="24"/>
          <w:lang w:eastAsia="en-US"/>
        </w:rPr>
      </w:pPr>
    </w:p>
    <w:p w:rsidR="000C6CC4" w:rsidRPr="00425D3C" w:rsidRDefault="000C6CC4" w:rsidP="000C6CC4">
      <w:pPr>
        <w:jc w:val="center"/>
        <w:rPr>
          <w:rFonts w:eastAsiaTheme="minorHAnsi" w:cstheme="minorBidi"/>
          <w:b/>
          <w:szCs w:val="24"/>
          <w:lang w:eastAsia="en-US"/>
        </w:rPr>
      </w:pPr>
      <w:r w:rsidRPr="00425D3C">
        <w:rPr>
          <w:rFonts w:eastAsiaTheme="minorHAnsi" w:cstheme="minorBidi"/>
          <w:b/>
          <w:szCs w:val="24"/>
          <w:lang w:eastAsia="en-US"/>
        </w:rPr>
        <w:t>SUPREME COURT OF CANADA</w:t>
      </w:r>
    </w:p>
    <w:p w:rsidR="000C6CC4" w:rsidRPr="00425D3C" w:rsidRDefault="000C6CC4" w:rsidP="000C6CC4">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C6CC4" w:rsidRPr="00425D3C" w:rsidTr="00FE433E">
        <w:trPr>
          <w:cantSplit/>
        </w:trPr>
        <w:tc>
          <w:tcPr>
            <w:tcW w:w="6768" w:type="dxa"/>
          </w:tcPr>
          <w:p w:rsidR="000C6CC4" w:rsidRPr="000C6CC4" w:rsidRDefault="000C6CC4" w:rsidP="00FE433E">
            <w:pPr>
              <w:rPr>
                <w:lang w:val="fr-CA"/>
              </w:rPr>
            </w:pPr>
            <w:r w:rsidRPr="00425D3C">
              <w:rPr>
                <w:b/>
                <w:smallCaps/>
                <w:lang w:val="fr-CA"/>
              </w:rPr>
              <w:t>Citation:</w:t>
            </w:r>
            <w:r w:rsidRPr="00425D3C">
              <w:rPr>
                <w:lang w:val="fr-CA"/>
              </w:rPr>
              <w:t xml:space="preserve"> R. </w:t>
            </w:r>
            <w:r w:rsidRPr="00425D3C">
              <w:rPr>
                <w:i/>
                <w:lang w:val="fr-CA"/>
              </w:rPr>
              <w:t>v.</w:t>
            </w:r>
            <w:r w:rsidRPr="00425D3C">
              <w:rPr>
                <w:lang w:val="fr-CA"/>
              </w:rPr>
              <w:t xml:space="preserve"> E.M.W., 2011 SCC 31</w:t>
            </w:r>
            <w:r w:rsidRPr="000C6CC4">
              <w:rPr>
                <w:rStyle w:val="SCCRespondentForRunningHeadChar"/>
                <w:szCs w:val="24"/>
                <w:lang w:val="fr-CA"/>
              </w:rPr>
              <w:t>, [2011] 2 S.C.R. 542</w:t>
            </w:r>
          </w:p>
        </w:tc>
        <w:tc>
          <w:tcPr>
            <w:tcW w:w="2808" w:type="dxa"/>
          </w:tcPr>
          <w:p w:rsidR="000C6CC4" w:rsidRPr="00425D3C" w:rsidRDefault="000C6CC4" w:rsidP="00FE433E">
            <w:r w:rsidRPr="00425D3C">
              <w:rPr>
                <w:b/>
                <w:smallCaps/>
              </w:rPr>
              <w:t>Date:</w:t>
            </w:r>
            <w:r w:rsidRPr="00425D3C">
              <w:t xml:space="preserve"> 20110617</w:t>
            </w:r>
          </w:p>
          <w:p w:rsidR="000C6CC4" w:rsidRPr="00425D3C" w:rsidRDefault="000C6CC4" w:rsidP="00FE433E">
            <w:r w:rsidRPr="00425D3C">
              <w:rPr>
                <w:b/>
                <w:smallCaps/>
              </w:rPr>
              <w:t>Docket:</w:t>
            </w:r>
            <w:r w:rsidRPr="00425D3C">
              <w:t xml:space="preserve"> 33930</w:t>
            </w:r>
          </w:p>
        </w:tc>
      </w:tr>
    </w:tbl>
    <w:p w:rsidR="000C6CC4" w:rsidRPr="00425D3C" w:rsidRDefault="000C6CC4" w:rsidP="000C6CC4">
      <w:pPr>
        <w:rPr>
          <w:rFonts w:eastAsiaTheme="minorHAnsi" w:cstheme="minorBidi"/>
          <w:szCs w:val="24"/>
          <w:lang w:eastAsia="en-US"/>
        </w:rPr>
      </w:pPr>
    </w:p>
    <w:p w:rsidR="000C6CC4" w:rsidRPr="00425D3C" w:rsidRDefault="000C6CC4" w:rsidP="000C6CC4">
      <w:pPr>
        <w:rPr>
          <w:rFonts w:eastAsiaTheme="minorHAnsi" w:cstheme="minorBidi"/>
          <w:b/>
          <w:smallCaps/>
          <w:szCs w:val="24"/>
          <w:lang w:eastAsia="en-US"/>
        </w:rPr>
      </w:pPr>
      <w:r w:rsidRPr="00425D3C">
        <w:rPr>
          <w:rFonts w:eastAsiaTheme="minorHAnsi" w:cstheme="minorBidi"/>
          <w:b/>
          <w:smallCaps/>
          <w:szCs w:val="24"/>
          <w:lang w:eastAsia="en-US"/>
        </w:rPr>
        <w:t>Between:</w:t>
      </w:r>
    </w:p>
    <w:p w:rsidR="000C6CC4" w:rsidRPr="00425D3C" w:rsidRDefault="000C6CC4" w:rsidP="000C6CC4">
      <w:pPr>
        <w:jc w:val="center"/>
        <w:rPr>
          <w:rFonts w:eastAsiaTheme="minorHAnsi" w:cstheme="minorBidi"/>
          <w:b/>
          <w:szCs w:val="24"/>
          <w:lang w:eastAsia="en-US"/>
        </w:rPr>
      </w:pPr>
      <w:r w:rsidRPr="00425D3C">
        <w:rPr>
          <w:rFonts w:eastAsiaTheme="minorHAnsi" w:cstheme="minorBidi"/>
          <w:b/>
          <w:szCs w:val="24"/>
          <w:lang w:eastAsia="en-US"/>
        </w:rPr>
        <w:t xml:space="preserve">Her Majesty </w:t>
      </w:r>
      <w:proofErr w:type="gramStart"/>
      <w:r w:rsidRPr="00425D3C">
        <w:rPr>
          <w:rFonts w:eastAsiaTheme="minorHAnsi" w:cstheme="minorBidi"/>
          <w:b/>
          <w:szCs w:val="24"/>
          <w:lang w:eastAsia="en-US"/>
        </w:rPr>
        <w:t>The</w:t>
      </w:r>
      <w:proofErr w:type="gramEnd"/>
      <w:r w:rsidRPr="00425D3C">
        <w:rPr>
          <w:rFonts w:eastAsiaTheme="minorHAnsi" w:cstheme="minorBidi"/>
          <w:b/>
          <w:szCs w:val="24"/>
          <w:lang w:eastAsia="en-US"/>
        </w:rPr>
        <w:t xml:space="preserve"> Queen</w:t>
      </w:r>
    </w:p>
    <w:p w:rsidR="000C6CC4" w:rsidRPr="00425D3C" w:rsidRDefault="000C6CC4" w:rsidP="000C6CC4">
      <w:pPr>
        <w:jc w:val="center"/>
        <w:rPr>
          <w:rFonts w:eastAsiaTheme="minorHAnsi" w:cstheme="minorBidi"/>
          <w:szCs w:val="24"/>
          <w:lang w:val="fr-CA" w:eastAsia="en-US"/>
        </w:rPr>
      </w:pPr>
      <w:proofErr w:type="spellStart"/>
      <w:r w:rsidRPr="00425D3C">
        <w:rPr>
          <w:rFonts w:eastAsiaTheme="minorHAnsi" w:cstheme="minorBidi"/>
          <w:szCs w:val="24"/>
          <w:lang w:val="fr-CA" w:eastAsia="en-US"/>
        </w:rPr>
        <w:t>Appellant</w:t>
      </w:r>
      <w:proofErr w:type="spellEnd"/>
    </w:p>
    <w:p w:rsidR="000C6CC4" w:rsidRPr="00425D3C" w:rsidRDefault="000C6CC4" w:rsidP="000C6CC4">
      <w:pPr>
        <w:jc w:val="center"/>
        <w:rPr>
          <w:rFonts w:eastAsiaTheme="minorHAnsi" w:cstheme="minorBidi"/>
          <w:szCs w:val="24"/>
          <w:lang w:val="fr-CA" w:eastAsia="en-US"/>
        </w:rPr>
      </w:pPr>
      <w:proofErr w:type="gramStart"/>
      <w:r w:rsidRPr="00425D3C">
        <w:rPr>
          <w:rFonts w:eastAsiaTheme="minorHAnsi" w:cstheme="minorBidi"/>
          <w:szCs w:val="24"/>
          <w:lang w:val="fr-CA" w:eastAsia="en-US"/>
        </w:rPr>
        <w:t>and</w:t>
      </w:r>
      <w:proofErr w:type="gramEnd"/>
    </w:p>
    <w:p w:rsidR="000C6CC4" w:rsidRPr="00425D3C" w:rsidRDefault="000C6CC4" w:rsidP="000C6CC4">
      <w:pPr>
        <w:jc w:val="center"/>
        <w:rPr>
          <w:rFonts w:eastAsiaTheme="minorHAnsi" w:cstheme="minorBidi"/>
          <w:b/>
          <w:szCs w:val="24"/>
          <w:lang w:val="fr-CA" w:eastAsia="en-US"/>
        </w:rPr>
      </w:pPr>
      <w:r w:rsidRPr="00425D3C">
        <w:rPr>
          <w:rFonts w:eastAsiaTheme="minorHAnsi" w:cstheme="minorBidi"/>
          <w:b/>
          <w:szCs w:val="24"/>
          <w:lang w:val="fr-CA" w:eastAsia="en-US"/>
        </w:rPr>
        <w:t>E.M.W.</w:t>
      </w:r>
    </w:p>
    <w:p w:rsidR="000C6CC4" w:rsidRPr="00425D3C" w:rsidRDefault="000C6CC4" w:rsidP="000C6CC4">
      <w:pPr>
        <w:jc w:val="center"/>
        <w:rPr>
          <w:rFonts w:eastAsiaTheme="minorHAnsi" w:cstheme="minorBidi"/>
          <w:szCs w:val="24"/>
          <w:lang w:eastAsia="en-US"/>
        </w:rPr>
      </w:pPr>
      <w:r w:rsidRPr="00425D3C">
        <w:rPr>
          <w:rFonts w:eastAsiaTheme="minorHAnsi" w:cstheme="minorBidi"/>
          <w:szCs w:val="24"/>
          <w:lang w:eastAsia="en-US"/>
        </w:rPr>
        <w:t>Respondent</w:t>
      </w:r>
    </w:p>
    <w:p w:rsidR="000C6CC4" w:rsidRPr="00425D3C" w:rsidRDefault="000C6CC4" w:rsidP="000C6CC4">
      <w:pPr>
        <w:rPr>
          <w:rFonts w:eastAsiaTheme="minorHAnsi" w:cstheme="minorBidi"/>
          <w:szCs w:val="24"/>
          <w:lang w:eastAsia="en-US"/>
        </w:rPr>
      </w:pPr>
    </w:p>
    <w:p w:rsidR="000C6CC4" w:rsidRPr="00425D3C" w:rsidRDefault="000C6CC4" w:rsidP="000C6CC4">
      <w:pPr>
        <w:rPr>
          <w:rFonts w:eastAsiaTheme="minorHAnsi" w:cstheme="minorBidi"/>
          <w:szCs w:val="24"/>
          <w:lang w:eastAsia="en-US"/>
        </w:rPr>
      </w:pPr>
    </w:p>
    <w:p w:rsidR="000C6CC4" w:rsidRPr="00425D3C" w:rsidRDefault="000C6CC4" w:rsidP="000C6CC4">
      <w:pPr>
        <w:rPr>
          <w:rFonts w:eastAsiaTheme="minorHAnsi" w:cstheme="minorBidi"/>
          <w:szCs w:val="24"/>
          <w:lang w:eastAsia="en-US"/>
        </w:rPr>
      </w:pPr>
      <w:r w:rsidRPr="00425D3C">
        <w:rPr>
          <w:rFonts w:eastAsiaTheme="minorHAnsi" w:cstheme="minorBidi"/>
          <w:b/>
          <w:smallCaps/>
          <w:szCs w:val="24"/>
          <w:lang w:eastAsia="en-US"/>
        </w:rPr>
        <w:t>Coram:</w:t>
      </w:r>
      <w:r w:rsidRPr="00425D3C">
        <w:rPr>
          <w:rFonts w:eastAsiaTheme="minorHAnsi" w:cstheme="minorBidi"/>
          <w:szCs w:val="24"/>
          <w:lang w:eastAsia="en-US"/>
        </w:rPr>
        <w:t xml:space="preserve"> </w:t>
      </w:r>
      <w:proofErr w:type="spellStart"/>
      <w:r w:rsidRPr="00425D3C">
        <w:rPr>
          <w:rFonts w:eastAsiaTheme="minorHAnsi" w:cstheme="minorBidi"/>
          <w:szCs w:val="24"/>
          <w:lang w:eastAsia="en-US"/>
        </w:rPr>
        <w:t>McLachlin</w:t>
      </w:r>
      <w:proofErr w:type="spellEnd"/>
      <w:r w:rsidRPr="00425D3C">
        <w:rPr>
          <w:rFonts w:eastAsiaTheme="minorHAnsi" w:cstheme="minorBidi"/>
          <w:szCs w:val="24"/>
          <w:lang w:eastAsia="en-US"/>
        </w:rPr>
        <w:t xml:space="preserve"> C.J. and </w:t>
      </w:r>
      <w:proofErr w:type="spellStart"/>
      <w:r w:rsidRPr="00425D3C">
        <w:rPr>
          <w:rFonts w:eastAsiaTheme="minorHAnsi" w:cstheme="minorBidi"/>
          <w:szCs w:val="24"/>
          <w:lang w:eastAsia="en-US"/>
        </w:rPr>
        <w:t>Binnie</w:t>
      </w:r>
      <w:proofErr w:type="spellEnd"/>
      <w:r w:rsidRPr="00425D3C">
        <w:rPr>
          <w:rFonts w:eastAsiaTheme="minorHAnsi" w:cstheme="minorBidi"/>
          <w:szCs w:val="24"/>
          <w:lang w:eastAsia="en-US"/>
        </w:rPr>
        <w:t xml:space="preserve">, </w:t>
      </w:r>
      <w:proofErr w:type="spellStart"/>
      <w:r w:rsidRPr="00425D3C">
        <w:rPr>
          <w:rFonts w:eastAsiaTheme="minorHAnsi" w:cstheme="minorBidi"/>
          <w:szCs w:val="24"/>
          <w:lang w:eastAsia="en-US"/>
        </w:rPr>
        <w:t>Deschamps</w:t>
      </w:r>
      <w:proofErr w:type="spellEnd"/>
      <w:r w:rsidRPr="00425D3C">
        <w:rPr>
          <w:rFonts w:eastAsiaTheme="minorHAnsi" w:cstheme="minorBidi"/>
          <w:szCs w:val="24"/>
          <w:lang w:eastAsia="en-US"/>
        </w:rPr>
        <w:t xml:space="preserve">, Fish, </w:t>
      </w:r>
      <w:proofErr w:type="spellStart"/>
      <w:r w:rsidRPr="00425D3C">
        <w:rPr>
          <w:rFonts w:eastAsiaTheme="minorHAnsi" w:cstheme="minorBidi"/>
          <w:szCs w:val="24"/>
          <w:lang w:eastAsia="en-US"/>
        </w:rPr>
        <w:t>Abella</w:t>
      </w:r>
      <w:proofErr w:type="spellEnd"/>
      <w:r w:rsidRPr="00425D3C">
        <w:rPr>
          <w:rFonts w:eastAsiaTheme="minorHAnsi" w:cstheme="minorBidi"/>
          <w:szCs w:val="24"/>
          <w:lang w:eastAsia="en-US"/>
        </w:rPr>
        <w:t xml:space="preserve">, </w:t>
      </w:r>
      <w:proofErr w:type="spellStart"/>
      <w:r w:rsidRPr="00425D3C">
        <w:rPr>
          <w:rFonts w:eastAsiaTheme="minorHAnsi" w:cstheme="minorBidi"/>
          <w:szCs w:val="24"/>
          <w:lang w:eastAsia="en-US"/>
        </w:rPr>
        <w:t>Charron</w:t>
      </w:r>
      <w:proofErr w:type="spellEnd"/>
      <w:r w:rsidRPr="00425D3C">
        <w:rPr>
          <w:rFonts w:eastAsiaTheme="minorHAnsi" w:cstheme="minorBidi"/>
          <w:szCs w:val="24"/>
          <w:lang w:eastAsia="en-US"/>
        </w:rPr>
        <w:t xml:space="preserve"> and Cromwell JJ.</w:t>
      </w:r>
    </w:p>
    <w:p w:rsidR="000C6CC4" w:rsidRPr="00425D3C" w:rsidRDefault="000C6CC4" w:rsidP="000C6CC4">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C6CC4" w:rsidRPr="00425D3C" w:rsidTr="00FE433E">
        <w:trPr>
          <w:cantSplit/>
        </w:trPr>
        <w:tc>
          <w:tcPr>
            <w:tcW w:w="3618" w:type="dxa"/>
          </w:tcPr>
          <w:p w:rsidR="000C6CC4" w:rsidRPr="00425D3C" w:rsidRDefault="000C6CC4" w:rsidP="00FE433E">
            <w:pPr>
              <w:rPr>
                <w:b/>
                <w:smallCaps/>
              </w:rPr>
            </w:pPr>
            <w:r w:rsidRPr="00425D3C">
              <w:rPr>
                <w:b/>
                <w:smallCaps/>
              </w:rPr>
              <w:t>Reasons for Judgment:</w:t>
            </w:r>
          </w:p>
          <w:p w:rsidR="000C6CC4" w:rsidRPr="00425D3C" w:rsidRDefault="000C6CC4" w:rsidP="00FE433E">
            <w:r w:rsidRPr="00425D3C">
              <w:t>(</w:t>
            </w:r>
            <w:proofErr w:type="spellStart"/>
            <w:r w:rsidRPr="00425D3C">
              <w:t>paras</w:t>
            </w:r>
            <w:proofErr w:type="spellEnd"/>
            <w:r w:rsidRPr="00425D3C">
              <w:t>. 1 to 11)</w:t>
            </w:r>
          </w:p>
          <w:p w:rsidR="000C6CC4" w:rsidRPr="00425D3C" w:rsidRDefault="000C6CC4" w:rsidP="00FE433E"/>
          <w:p w:rsidR="000C6CC4" w:rsidRPr="00425D3C" w:rsidRDefault="000C6CC4" w:rsidP="00FE433E">
            <w:pPr>
              <w:rPr>
                <w:b/>
                <w:smallCaps/>
              </w:rPr>
            </w:pPr>
            <w:r w:rsidRPr="00425D3C">
              <w:rPr>
                <w:b/>
                <w:smallCaps/>
              </w:rPr>
              <w:t>Dissenting Reasons:</w:t>
            </w:r>
          </w:p>
          <w:p w:rsidR="000C6CC4" w:rsidRPr="00425D3C" w:rsidRDefault="000C6CC4" w:rsidP="00FE433E">
            <w:r w:rsidRPr="00425D3C">
              <w:t>(</w:t>
            </w:r>
            <w:proofErr w:type="spellStart"/>
            <w:r w:rsidRPr="00425D3C">
              <w:t>paras</w:t>
            </w:r>
            <w:proofErr w:type="spellEnd"/>
            <w:r w:rsidRPr="00425D3C">
              <w:t>. 12 to 13)</w:t>
            </w:r>
          </w:p>
        </w:tc>
        <w:tc>
          <w:tcPr>
            <w:tcW w:w="5958" w:type="dxa"/>
          </w:tcPr>
          <w:p w:rsidR="000C6CC4" w:rsidRPr="00425D3C" w:rsidRDefault="000C6CC4" w:rsidP="00FE433E">
            <w:proofErr w:type="spellStart"/>
            <w:r w:rsidRPr="00425D3C">
              <w:t>McLachlin</w:t>
            </w:r>
            <w:proofErr w:type="spellEnd"/>
            <w:r w:rsidRPr="00425D3C">
              <w:t xml:space="preserve"> C.J. (</w:t>
            </w:r>
            <w:proofErr w:type="spellStart"/>
            <w:r w:rsidRPr="00425D3C">
              <w:t>Binnie</w:t>
            </w:r>
            <w:proofErr w:type="spellEnd"/>
            <w:r w:rsidRPr="00425D3C">
              <w:t xml:space="preserve">, </w:t>
            </w:r>
            <w:proofErr w:type="spellStart"/>
            <w:r w:rsidRPr="00425D3C">
              <w:t>Deschamps</w:t>
            </w:r>
            <w:proofErr w:type="spellEnd"/>
            <w:r w:rsidRPr="00425D3C">
              <w:t xml:space="preserve">, </w:t>
            </w:r>
            <w:proofErr w:type="spellStart"/>
            <w:r w:rsidRPr="00425D3C">
              <w:t>Abella</w:t>
            </w:r>
            <w:proofErr w:type="spellEnd"/>
            <w:r w:rsidRPr="00425D3C">
              <w:t xml:space="preserve">, </w:t>
            </w:r>
            <w:proofErr w:type="spellStart"/>
            <w:r w:rsidRPr="00425D3C">
              <w:t>Charron</w:t>
            </w:r>
            <w:proofErr w:type="spellEnd"/>
            <w:r w:rsidRPr="00425D3C">
              <w:t xml:space="preserve"> and Cromwell JJ. concurring)</w:t>
            </w:r>
          </w:p>
          <w:p w:rsidR="000C6CC4" w:rsidRPr="00425D3C" w:rsidRDefault="000C6CC4" w:rsidP="00FE433E"/>
          <w:p w:rsidR="000C6CC4" w:rsidRPr="00425D3C" w:rsidRDefault="000C6CC4" w:rsidP="00FE433E">
            <w:r w:rsidRPr="00425D3C">
              <w:t>Fish J.</w:t>
            </w:r>
          </w:p>
        </w:tc>
      </w:tr>
    </w:tbl>
    <w:p w:rsidR="000C6CC4" w:rsidRPr="00425D3C" w:rsidRDefault="000C6CC4" w:rsidP="000C6CC4">
      <w:pPr>
        <w:rPr>
          <w:rFonts w:eastAsiaTheme="minorHAnsi" w:cstheme="minorBidi"/>
          <w:szCs w:val="24"/>
          <w:lang w:eastAsia="en-US"/>
        </w:rPr>
      </w:pPr>
    </w:p>
    <w:p w:rsidR="000C6CC4" w:rsidRPr="00425D3C" w:rsidRDefault="00146DFB" w:rsidP="000C6CC4">
      <w:pPr>
        <w:rPr>
          <w:rFonts w:eastAsiaTheme="minorHAnsi" w:cstheme="minorBidi"/>
          <w:szCs w:val="24"/>
          <w:lang w:eastAsia="en-US"/>
        </w:rPr>
      </w:pPr>
      <w:r w:rsidRPr="00146DFB">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0C6CC4" w:rsidRPr="00425D3C" w:rsidRDefault="000C6CC4" w:rsidP="000C6CC4">
      <w:pPr>
        <w:rPr>
          <w:rStyle w:val="SCCAppellantForRunningHeadChar"/>
          <w:szCs w:val="24"/>
        </w:rPr>
      </w:pPr>
      <w:r w:rsidRPr="00425D3C">
        <w:rPr>
          <w:rStyle w:val="SCCAppellantForRunningHeadChar"/>
          <w:szCs w:val="24"/>
        </w:rPr>
        <w:br w:type="page"/>
      </w:r>
    </w:p>
    <w:p w:rsidR="008322BD" w:rsidRPr="009F252E" w:rsidRDefault="009F252E" w:rsidP="00B928E2">
      <w:pPr>
        <w:spacing w:after="720"/>
        <w:jc w:val="both"/>
        <w:rPr>
          <w:b/>
          <w:szCs w:val="24"/>
        </w:rPr>
      </w:pPr>
      <w:r w:rsidRPr="009F252E">
        <w:rPr>
          <w:rStyle w:val="SCCAppellantForIndexChar"/>
          <w:b w:val="0"/>
          <w:szCs w:val="24"/>
        </w:rPr>
        <w:lastRenderedPageBreak/>
        <w:t>R.</w:t>
      </w:r>
      <w:r w:rsidRPr="009F252E">
        <w:rPr>
          <w:szCs w:val="24"/>
        </w:rPr>
        <w:t xml:space="preserve"> </w:t>
      </w:r>
      <w:r w:rsidRPr="009F252E">
        <w:rPr>
          <w:i/>
          <w:szCs w:val="24"/>
        </w:rPr>
        <w:t>v.</w:t>
      </w:r>
      <w:r w:rsidRPr="009F252E">
        <w:rPr>
          <w:szCs w:val="24"/>
        </w:rPr>
        <w:t xml:space="preserve"> </w:t>
      </w:r>
      <w:r w:rsidRPr="009F252E">
        <w:rPr>
          <w:rStyle w:val="SCCRespondentForIndexChar"/>
          <w:b w:val="0"/>
          <w:szCs w:val="24"/>
        </w:rPr>
        <w:t>E.M.W.</w:t>
      </w:r>
      <w:r>
        <w:rPr>
          <w:rStyle w:val="SCCRespondentForIndexChar"/>
          <w:b w:val="0"/>
          <w:szCs w:val="24"/>
        </w:rPr>
        <w:t xml:space="preserve">, </w:t>
      </w:r>
      <w:r>
        <w:rPr>
          <w:rStyle w:val="SCCRespondentForRunningHeadChar"/>
          <w:szCs w:val="24"/>
        </w:rPr>
        <w:t>2011 SCC 31, [2011] 2 S.C.R. 542</w:t>
      </w:r>
    </w:p>
    <w:p w:rsidR="00560EE4" w:rsidRPr="00F021AD" w:rsidRDefault="006B4A1B" w:rsidP="00B928E2">
      <w:pPr>
        <w:pStyle w:val="SCCLsocParty"/>
        <w:tabs>
          <w:tab w:val="right" w:pos="8280"/>
        </w:tabs>
        <w:spacing w:after="720"/>
        <w:rPr>
          <w:b w:val="0"/>
          <w:i/>
          <w:szCs w:val="24"/>
          <w:lang w:val="en-US"/>
        </w:rPr>
      </w:pPr>
      <w:r w:rsidRPr="00F021AD">
        <w:rPr>
          <w:szCs w:val="24"/>
        </w:rPr>
        <w:t xml:space="preserve">Her Majesty </w:t>
      </w:r>
      <w:proofErr w:type="gramStart"/>
      <w:r w:rsidRPr="00F021AD">
        <w:rPr>
          <w:szCs w:val="24"/>
        </w:rPr>
        <w:t>T</w:t>
      </w:r>
      <w:r w:rsidR="007B1956" w:rsidRPr="00F021AD">
        <w:rPr>
          <w:szCs w:val="24"/>
        </w:rPr>
        <w:t>he</w:t>
      </w:r>
      <w:proofErr w:type="gramEnd"/>
      <w:r w:rsidR="007B1956" w:rsidRPr="00F021AD">
        <w:rPr>
          <w:szCs w:val="24"/>
        </w:rPr>
        <w:t xml:space="preserve"> Queen</w:t>
      </w:r>
      <w:r w:rsidR="00B928E2" w:rsidRPr="00F021AD">
        <w:rPr>
          <w:szCs w:val="24"/>
        </w:rPr>
        <w:tab/>
      </w:r>
      <w:r w:rsidR="007B1956" w:rsidRPr="00F021AD">
        <w:rPr>
          <w:b w:val="0"/>
          <w:i/>
          <w:szCs w:val="24"/>
          <w:lang w:val="en-US"/>
        </w:rPr>
        <w:t>Appellant</w:t>
      </w:r>
    </w:p>
    <w:p w:rsidR="00560EE4" w:rsidRPr="00F021AD" w:rsidRDefault="007B1956" w:rsidP="00B928E2">
      <w:pPr>
        <w:pStyle w:val="SCCLsocVersus"/>
        <w:spacing w:after="720"/>
        <w:rPr>
          <w:szCs w:val="24"/>
          <w:lang w:val="en-US"/>
        </w:rPr>
      </w:pPr>
      <w:proofErr w:type="gramStart"/>
      <w:r w:rsidRPr="00F021AD">
        <w:rPr>
          <w:szCs w:val="24"/>
          <w:lang w:val="en-US"/>
        </w:rPr>
        <w:t>v</w:t>
      </w:r>
      <w:proofErr w:type="gramEnd"/>
      <w:r w:rsidRPr="00F021AD">
        <w:rPr>
          <w:szCs w:val="24"/>
          <w:lang w:val="en-US"/>
        </w:rPr>
        <w:t>.</w:t>
      </w:r>
    </w:p>
    <w:p w:rsidR="00560EE4" w:rsidRPr="00F021AD" w:rsidRDefault="007B1956" w:rsidP="00B928E2">
      <w:pPr>
        <w:pStyle w:val="SCCLsocParty"/>
        <w:tabs>
          <w:tab w:val="right" w:pos="8280"/>
        </w:tabs>
        <w:spacing w:after="720"/>
        <w:rPr>
          <w:b w:val="0"/>
          <w:i/>
          <w:szCs w:val="24"/>
          <w:lang w:val="en-US"/>
        </w:rPr>
      </w:pPr>
      <w:r w:rsidRPr="00F021AD">
        <w:rPr>
          <w:szCs w:val="24"/>
          <w:lang w:val="en-US"/>
        </w:rPr>
        <w:t>E.M.W.</w:t>
      </w:r>
      <w:r w:rsidR="00B928E2" w:rsidRPr="00F021AD">
        <w:rPr>
          <w:szCs w:val="24"/>
          <w:lang w:val="en-US"/>
        </w:rPr>
        <w:tab/>
      </w:r>
      <w:r w:rsidRPr="00F021AD">
        <w:rPr>
          <w:b w:val="0"/>
          <w:i/>
          <w:szCs w:val="24"/>
          <w:lang w:val="en-US"/>
        </w:rPr>
        <w:t>Respondent</w:t>
      </w:r>
    </w:p>
    <w:p w:rsidR="00426659" w:rsidRPr="00F021AD" w:rsidRDefault="00426659" w:rsidP="00B928E2">
      <w:pPr>
        <w:spacing w:after="720"/>
        <w:jc w:val="both"/>
        <w:rPr>
          <w:b/>
          <w:szCs w:val="24"/>
        </w:rPr>
      </w:pPr>
      <w:proofErr w:type="gramStart"/>
      <w:r w:rsidRPr="00F021AD">
        <w:rPr>
          <w:b/>
          <w:szCs w:val="24"/>
        </w:rPr>
        <w:t xml:space="preserve">Indexed as:  </w:t>
      </w:r>
      <w:r w:rsidRPr="00F021AD">
        <w:rPr>
          <w:rStyle w:val="SCCAppellantForIndexChar"/>
          <w:szCs w:val="24"/>
        </w:rPr>
        <w:t>R.</w:t>
      </w:r>
      <w:r w:rsidRPr="00F021AD">
        <w:rPr>
          <w:b/>
          <w:szCs w:val="24"/>
        </w:rPr>
        <w:t xml:space="preserve"> </w:t>
      </w:r>
      <w:r w:rsidRPr="00F021AD">
        <w:rPr>
          <w:b/>
          <w:i/>
          <w:szCs w:val="24"/>
        </w:rPr>
        <w:t>v.</w:t>
      </w:r>
      <w:r w:rsidRPr="00F021AD">
        <w:rPr>
          <w:b/>
          <w:szCs w:val="24"/>
        </w:rPr>
        <w:t xml:space="preserve"> </w:t>
      </w:r>
      <w:r w:rsidRPr="00F021AD">
        <w:rPr>
          <w:rStyle w:val="SCCRespondentForIndexChar"/>
          <w:szCs w:val="24"/>
        </w:rPr>
        <w:t>E.M.W.</w:t>
      </w:r>
      <w:proofErr w:type="gramEnd"/>
    </w:p>
    <w:p w:rsidR="00426659" w:rsidRPr="00F021AD" w:rsidRDefault="00566AD1" w:rsidP="00B928E2">
      <w:pPr>
        <w:pStyle w:val="SCCSystemYear"/>
        <w:spacing w:after="720"/>
        <w:jc w:val="both"/>
        <w:rPr>
          <w:szCs w:val="24"/>
        </w:rPr>
      </w:pPr>
      <w:r w:rsidRPr="00F021AD">
        <w:rPr>
          <w:szCs w:val="24"/>
        </w:rPr>
        <w:t>2011</w:t>
      </w:r>
      <w:r w:rsidR="003D0399" w:rsidRPr="00F021AD">
        <w:rPr>
          <w:szCs w:val="24"/>
        </w:rPr>
        <w:t xml:space="preserve"> </w:t>
      </w:r>
      <w:r w:rsidR="00B566AA" w:rsidRPr="00F021AD">
        <w:rPr>
          <w:szCs w:val="24"/>
        </w:rPr>
        <w:t>SCC 31</w:t>
      </w:r>
    </w:p>
    <w:p w:rsidR="008322BD" w:rsidRPr="00F021AD" w:rsidRDefault="009B57B3" w:rsidP="00B928E2">
      <w:pPr>
        <w:spacing w:after="720"/>
        <w:jc w:val="both"/>
        <w:rPr>
          <w:szCs w:val="24"/>
        </w:rPr>
      </w:pPr>
      <w:r w:rsidRPr="00F021AD">
        <w:rPr>
          <w:szCs w:val="24"/>
        </w:rPr>
        <w:t>File No.:  33930.</w:t>
      </w:r>
    </w:p>
    <w:p w:rsidR="008322BD" w:rsidRPr="00F021AD" w:rsidRDefault="00B928E2" w:rsidP="00B928E2">
      <w:pPr>
        <w:spacing w:after="720"/>
        <w:jc w:val="both"/>
        <w:rPr>
          <w:szCs w:val="24"/>
        </w:rPr>
      </w:pPr>
      <w:r w:rsidRPr="00F021AD">
        <w:rPr>
          <w:szCs w:val="24"/>
        </w:rPr>
        <w:t>2011:  May </w:t>
      </w:r>
      <w:r w:rsidR="00566AD1" w:rsidRPr="00F021AD">
        <w:rPr>
          <w:szCs w:val="24"/>
        </w:rPr>
        <w:t>20</w:t>
      </w:r>
      <w:r w:rsidR="00C822AC" w:rsidRPr="00F021AD">
        <w:rPr>
          <w:szCs w:val="24"/>
        </w:rPr>
        <w:t>; 2011:  June</w:t>
      </w:r>
      <w:r w:rsidRPr="00F021AD">
        <w:rPr>
          <w:szCs w:val="24"/>
        </w:rPr>
        <w:t> </w:t>
      </w:r>
      <w:r w:rsidR="00C822AC" w:rsidRPr="00F021AD">
        <w:rPr>
          <w:szCs w:val="24"/>
        </w:rPr>
        <w:t>1</w:t>
      </w:r>
      <w:r w:rsidR="003C1AE5" w:rsidRPr="00F021AD">
        <w:rPr>
          <w:szCs w:val="24"/>
        </w:rPr>
        <w:t>7</w:t>
      </w:r>
      <w:r w:rsidR="009B57B3" w:rsidRPr="00F021AD">
        <w:rPr>
          <w:szCs w:val="24"/>
        </w:rPr>
        <w:t>.</w:t>
      </w:r>
    </w:p>
    <w:p w:rsidR="008322BD" w:rsidRPr="00F021AD" w:rsidRDefault="009B57B3" w:rsidP="00B928E2">
      <w:pPr>
        <w:spacing w:after="720"/>
        <w:jc w:val="both"/>
        <w:rPr>
          <w:szCs w:val="24"/>
        </w:rPr>
      </w:pPr>
      <w:r w:rsidRPr="00F021AD">
        <w:rPr>
          <w:szCs w:val="24"/>
        </w:rPr>
        <w:t xml:space="preserve">Present:  </w:t>
      </w:r>
      <w:proofErr w:type="spellStart"/>
      <w:r w:rsidRPr="00F021AD">
        <w:rPr>
          <w:szCs w:val="24"/>
        </w:rPr>
        <w:t>McLachlin</w:t>
      </w:r>
      <w:proofErr w:type="spellEnd"/>
      <w:r w:rsidRPr="00F021AD">
        <w:rPr>
          <w:szCs w:val="24"/>
        </w:rPr>
        <w:t xml:space="preserve"> C.J. and </w:t>
      </w:r>
      <w:proofErr w:type="spellStart"/>
      <w:r w:rsidRPr="00F021AD">
        <w:rPr>
          <w:szCs w:val="24"/>
        </w:rPr>
        <w:t>Binnie</w:t>
      </w:r>
      <w:proofErr w:type="spellEnd"/>
      <w:r w:rsidRPr="00F021AD">
        <w:rPr>
          <w:szCs w:val="24"/>
        </w:rPr>
        <w:t xml:space="preserve">, </w:t>
      </w:r>
      <w:proofErr w:type="spellStart"/>
      <w:r w:rsidRPr="00F021AD">
        <w:rPr>
          <w:szCs w:val="24"/>
        </w:rPr>
        <w:t>Deschamps</w:t>
      </w:r>
      <w:proofErr w:type="spellEnd"/>
      <w:r w:rsidRPr="00F021AD">
        <w:rPr>
          <w:szCs w:val="24"/>
        </w:rPr>
        <w:t xml:space="preserve">, Fish, </w:t>
      </w:r>
      <w:proofErr w:type="spellStart"/>
      <w:r w:rsidRPr="00F021AD">
        <w:rPr>
          <w:szCs w:val="24"/>
        </w:rPr>
        <w:t>Abella</w:t>
      </w:r>
      <w:proofErr w:type="spellEnd"/>
      <w:r w:rsidRPr="00F021AD">
        <w:rPr>
          <w:szCs w:val="24"/>
        </w:rPr>
        <w:t xml:space="preserve">, </w:t>
      </w:r>
      <w:proofErr w:type="spellStart"/>
      <w:r w:rsidRPr="00F021AD">
        <w:rPr>
          <w:szCs w:val="24"/>
        </w:rPr>
        <w:t>Charron</w:t>
      </w:r>
      <w:proofErr w:type="spellEnd"/>
      <w:r w:rsidRPr="00F021AD">
        <w:rPr>
          <w:szCs w:val="24"/>
        </w:rPr>
        <w:t xml:space="preserve"> and Cromwell JJ.</w:t>
      </w:r>
    </w:p>
    <w:p w:rsidR="008322BD" w:rsidRPr="00F021AD" w:rsidRDefault="00656313" w:rsidP="00EE652D">
      <w:pPr>
        <w:pStyle w:val="SCCLowerCourtNameLowercase"/>
        <w:spacing w:after="480"/>
        <w:rPr>
          <w:szCs w:val="24"/>
        </w:rPr>
      </w:pPr>
      <w:r w:rsidRPr="00F021AD">
        <w:rPr>
          <w:szCs w:val="24"/>
        </w:rPr>
        <w:t>o</w:t>
      </w:r>
      <w:r w:rsidR="00170592" w:rsidRPr="00F021AD">
        <w:rPr>
          <w:szCs w:val="24"/>
        </w:rPr>
        <w:t>n</w:t>
      </w:r>
      <w:r w:rsidR="00224FC0" w:rsidRPr="00F021AD">
        <w:rPr>
          <w:szCs w:val="24"/>
        </w:rPr>
        <w:t xml:space="preserve"> </w:t>
      </w:r>
      <w:r w:rsidRPr="00F021AD">
        <w:rPr>
          <w:szCs w:val="24"/>
        </w:rPr>
        <w:t>a</w:t>
      </w:r>
      <w:r w:rsidR="00170592" w:rsidRPr="00F021AD">
        <w:rPr>
          <w:szCs w:val="24"/>
        </w:rPr>
        <w:t>ppeal</w:t>
      </w:r>
      <w:r w:rsidR="00224FC0" w:rsidRPr="00F021AD">
        <w:rPr>
          <w:szCs w:val="24"/>
        </w:rPr>
        <w:t xml:space="preserve"> </w:t>
      </w:r>
      <w:r w:rsidR="00170592" w:rsidRPr="00F021AD">
        <w:rPr>
          <w:szCs w:val="24"/>
        </w:rPr>
        <w:t>from</w:t>
      </w:r>
      <w:r w:rsidR="009567AA" w:rsidRPr="00F021AD">
        <w:rPr>
          <w:szCs w:val="24"/>
        </w:rPr>
        <w:t xml:space="preserve"> the</w:t>
      </w:r>
      <w:r w:rsidR="00224FC0" w:rsidRPr="00F021AD">
        <w:rPr>
          <w:szCs w:val="24"/>
        </w:rPr>
        <w:t xml:space="preserve"> </w:t>
      </w:r>
      <w:r w:rsidR="009B57B3" w:rsidRPr="00F021AD">
        <w:rPr>
          <w:szCs w:val="24"/>
        </w:rPr>
        <w:t>court of appeal</w:t>
      </w:r>
      <w:r w:rsidR="009F084F" w:rsidRPr="00F021AD">
        <w:rPr>
          <w:szCs w:val="24"/>
        </w:rPr>
        <w:t xml:space="preserve"> for nova </w:t>
      </w:r>
      <w:proofErr w:type="spellStart"/>
      <w:r w:rsidR="009F084F" w:rsidRPr="00F021AD">
        <w:rPr>
          <w:szCs w:val="24"/>
        </w:rPr>
        <w:t>scotia</w:t>
      </w:r>
      <w:proofErr w:type="spellEnd"/>
    </w:p>
    <w:p w:rsidR="009B4938" w:rsidRPr="00F021AD" w:rsidRDefault="009B4938" w:rsidP="007660EA">
      <w:pPr>
        <w:pStyle w:val="SCCNormalDoubleSpacing"/>
        <w:spacing w:after="480"/>
        <w:rPr>
          <w:i/>
          <w:szCs w:val="24"/>
        </w:rPr>
      </w:pPr>
      <w:r w:rsidRPr="00F021AD">
        <w:rPr>
          <w:i/>
          <w:szCs w:val="24"/>
        </w:rPr>
        <w:tab/>
        <w:t>Criminal law — Appeals — Powers of Court of Appeal — Reasonable verdict — Jurisdiction of a court of appeal to consider whether there was a miscarriage of justice — Whether there was a miscarriage of justice.</w:t>
      </w:r>
    </w:p>
    <w:p w:rsidR="009B4938" w:rsidRPr="00F021AD" w:rsidRDefault="009B4938" w:rsidP="00EE652D">
      <w:pPr>
        <w:pStyle w:val="SCCNormalDoubleSpacing"/>
        <w:spacing w:after="480"/>
        <w:rPr>
          <w:szCs w:val="24"/>
        </w:rPr>
      </w:pPr>
      <w:r w:rsidRPr="00F021AD">
        <w:rPr>
          <w:szCs w:val="24"/>
        </w:rPr>
        <w:lastRenderedPageBreak/>
        <w:tab/>
        <w:t>E.M.W. was convicted of sexual assault.</w:t>
      </w:r>
      <w:r w:rsidR="005A4E11" w:rsidRPr="00F021AD">
        <w:rPr>
          <w:szCs w:val="24"/>
        </w:rPr>
        <w:t xml:space="preserve"> </w:t>
      </w:r>
      <w:r w:rsidRPr="00F021AD">
        <w:rPr>
          <w:szCs w:val="24"/>
        </w:rPr>
        <w:t xml:space="preserve"> A majority of the Court of Appeal allowed an appeal and ordered a new tri</w:t>
      </w:r>
      <w:r w:rsidR="00B928E2" w:rsidRPr="00F021AD">
        <w:rPr>
          <w:szCs w:val="24"/>
        </w:rPr>
        <w:t>al.</w:t>
      </w:r>
      <w:r w:rsidR="005A4E11" w:rsidRPr="00F021AD">
        <w:rPr>
          <w:szCs w:val="24"/>
        </w:rPr>
        <w:t xml:space="preserve"> </w:t>
      </w:r>
      <w:r w:rsidRPr="00F021AD">
        <w:rPr>
          <w:szCs w:val="24"/>
        </w:rPr>
        <w:t xml:space="preserve"> It held that </w:t>
      </w:r>
      <w:r w:rsidRPr="00F021AD">
        <w:rPr>
          <w:rFonts w:eastAsiaTheme="minorHAnsi"/>
          <w:szCs w:val="24"/>
        </w:rPr>
        <w:t xml:space="preserve">the trial judge had improperly used </w:t>
      </w:r>
      <w:proofErr w:type="spellStart"/>
      <w:r w:rsidRPr="00F021AD">
        <w:rPr>
          <w:szCs w:val="24"/>
        </w:rPr>
        <w:t>p</w:t>
      </w:r>
      <w:r w:rsidRPr="00F021AD">
        <w:rPr>
          <w:rFonts w:eastAsiaTheme="minorHAnsi"/>
          <w:szCs w:val="24"/>
        </w:rPr>
        <w:t>re</w:t>
      </w:r>
      <w:r w:rsidR="00B928E2" w:rsidRPr="00F021AD">
        <w:rPr>
          <w:rFonts w:eastAsiaTheme="minorHAnsi"/>
          <w:szCs w:val="24"/>
        </w:rPr>
        <w:noBreakHyphen/>
      </w:r>
      <w:r w:rsidRPr="00F021AD">
        <w:rPr>
          <w:rFonts w:eastAsiaTheme="minorHAnsi"/>
          <w:szCs w:val="24"/>
        </w:rPr>
        <w:t>trial</w:t>
      </w:r>
      <w:proofErr w:type="spellEnd"/>
      <w:r w:rsidRPr="00F021AD">
        <w:rPr>
          <w:rFonts w:eastAsiaTheme="minorHAnsi"/>
          <w:szCs w:val="24"/>
        </w:rPr>
        <w:t xml:space="preserve"> </w:t>
      </w:r>
      <w:r w:rsidRPr="00F021AD">
        <w:rPr>
          <w:szCs w:val="24"/>
        </w:rPr>
        <w:t xml:space="preserve">statements by the complainant </w:t>
      </w:r>
      <w:r w:rsidR="006F0F38" w:rsidRPr="00F021AD">
        <w:rPr>
          <w:szCs w:val="24"/>
        </w:rPr>
        <w:t>in ways that assisted</w:t>
      </w:r>
      <w:r w:rsidRPr="00F021AD">
        <w:rPr>
          <w:szCs w:val="24"/>
        </w:rPr>
        <w:t xml:space="preserve"> the Crown</w:t>
      </w:r>
      <w:r w:rsidR="005A4E11" w:rsidRPr="00F021AD">
        <w:rPr>
          <w:szCs w:val="24"/>
        </w:rPr>
        <w:t>’</w:t>
      </w:r>
      <w:r w:rsidRPr="00F021AD">
        <w:rPr>
          <w:szCs w:val="24"/>
        </w:rPr>
        <w:t>s case</w:t>
      </w:r>
      <w:r w:rsidR="002473F9">
        <w:rPr>
          <w:szCs w:val="24"/>
        </w:rPr>
        <w:t>,</w:t>
      </w:r>
      <w:r w:rsidRPr="00F021AD">
        <w:rPr>
          <w:szCs w:val="24"/>
        </w:rPr>
        <w:t xml:space="preserve"> and </w:t>
      </w:r>
      <w:r w:rsidR="002473F9">
        <w:rPr>
          <w:szCs w:val="24"/>
        </w:rPr>
        <w:t xml:space="preserve">that </w:t>
      </w:r>
      <w:r w:rsidRPr="00F021AD">
        <w:rPr>
          <w:szCs w:val="24"/>
        </w:rPr>
        <w:t>Crown counsel</w:t>
      </w:r>
      <w:r w:rsidR="005A4E11" w:rsidRPr="00F021AD">
        <w:rPr>
          <w:szCs w:val="24"/>
        </w:rPr>
        <w:t>’</w:t>
      </w:r>
      <w:r w:rsidRPr="00F021AD">
        <w:rPr>
          <w:szCs w:val="24"/>
        </w:rPr>
        <w:t xml:space="preserve">s questioning and conduct </w:t>
      </w:r>
      <w:r w:rsidR="00142A4B" w:rsidRPr="00F021AD">
        <w:rPr>
          <w:szCs w:val="24"/>
        </w:rPr>
        <w:t>had rendered the trial unfair.</w:t>
      </w:r>
    </w:p>
    <w:p w:rsidR="009B4938" w:rsidRPr="00F021AD" w:rsidRDefault="009B4938" w:rsidP="00EE652D">
      <w:pPr>
        <w:pStyle w:val="SCCNormalDoubleSpacing"/>
        <w:spacing w:after="480"/>
        <w:rPr>
          <w:szCs w:val="24"/>
        </w:rPr>
      </w:pPr>
      <w:r w:rsidRPr="00F021AD">
        <w:rPr>
          <w:i/>
          <w:szCs w:val="24"/>
        </w:rPr>
        <w:tab/>
        <w:t xml:space="preserve">Held </w:t>
      </w:r>
      <w:r w:rsidR="0075288C" w:rsidRPr="00F021AD">
        <w:rPr>
          <w:szCs w:val="24"/>
        </w:rPr>
        <w:t>(Fish </w:t>
      </w:r>
      <w:r w:rsidRPr="00F021AD">
        <w:rPr>
          <w:szCs w:val="24"/>
        </w:rPr>
        <w:t>J. dissenting):  The appeal should be allowed and the respondent</w:t>
      </w:r>
      <w:r w:rsidR="005A4E11" w:rsidRPr="00F021AD">
        <w:rPr>
          <w:szCs w:val="24"/>
        </w:rPr>
        <w:t>’</w:t>
      </w:r>
      <w:r w:rsidRPr="00F021AD">
        <w:rPr>
          <w:szCs w:val="24"/>
        </w:rPr>
        <w:t xml:space="preserve">s </w:t>
      </w:r>
      <w:r w:rsidR="008D7828" w:rsidRPr="00F021AD">
        <w:rPr>
          <w:szCs w:val="24"/>
        </w:rPr>
        <w:t>conviction should be restored.</w:t>
      </w:r>
    </w:p>
    <w:p w:rsidR="009B4938" w:rsidRPr="00F021AD" w:rsidRDefault="009B4938" w:rsidP="00EE652D">
      <w:pPr>
        <w:pStyle w:val="SCCNormalDoubleSpacing"/>
        <w:spacing w:after="480"/>
        <w:rPr>
          <w:szCs w:val="24"/>
        </w:rPr>
      </w:pPr>
      <w:r w:rsidRPr="00F021AD">
        <w:rPr>
          <w:i/>
          <w:szCs w:val="24"/>
        </w:rPr>
        <w:tab/>
        <w:t>Per</w:t>
      </w:r>
      <w:r w:rsidRPr="00F021AD">
        <w:rPr>
          <w:szCs w:val="24"/>
        </w:rPr>
        <w:t xml:space="preserve"> </w:t>
      </w:r>
      <w:proofErr w:type="spellStart"/>
      <w:r w:rsidR="00DB76B4" w:rsidRPr="002473F9">
        <w:rPr>
          <w:szCs w:val="24"/>
        </w:rPr>
        <w:t>McLachlin</w:t>
      </w:r>
      <w:proofErr w:type="spellEnd"/>
      <w:r w:rsidR="00DB76B4" w:rsidRPr="002473F9">
        <w:rPr>
          <w:szCs w:val="24"/>
        </w:rPr>
        <w:t> </w:t>
      </w:r>
      <w:r w:rsidRPr="002473F9">
        <w:rPr>
          <w:szCs w:val="24"/>
        </w:rPr>
        <w:t>C.J.</w:t>
      </w:r>
      <w:r w:rsidRPr="00F021AD">
        <w:rPr>
          <w:szCs w:val="24"/>
        </w:rPr>
        <w:t xml:space="preserve"> and </w:t>
      </w:r>
      <w:proofErr w:type="spellStart"/>
      <w:r w:rsidR="00B566AA" w:rsidRPr="00F021AD">
        <w:rPr>
          <w:szCs w:val="24"/>
        </w:rPr>
        <w:t>Binnie</w:t>
      </w:r>
      <w:proofErr w:type="spellEnd"/>
      <w:r w:rsidR="00B566AA" w:rsidRPr="00F021AD">
        <w:rPr>
          <w:szCs w:val="24"/>
        </w:rPr>
        <w:t xml:space="preserve">, </w:t>
      </w:r>
      <w:proofErr w:type="spellStart"/>
      <w:r w:rsidR="0036726B" w:rsidRPr="00F021AD">
        <w:rPr>
          <w:szCs w:val="24"/>
        </w:rPr>
        <w:t>Deschamps</w:t>
      </w:r>
      <w:proofErr w:type="spellEnd"/>
      <w:r w:rsidR="0036726B" w:rsidRPr="00F021AD">
        <w:rPr>
          <w:szCs w:val="24"/>
        </w:rPr>
        <w:t xml:space="preserve">, </w:t>
      </w:r>
      <w:proofErr w:type="spellStart"/>
      <w:r w:rsidRPr="00F021AD">
        <w:rPr>
          <w:szCs w:val="24"/>
        </w:rPr>
        <w:t>Abella</w:t>
      </w:r>
      <w:proofErr w:type="spellEnd"/>
      <w:r w:rsidRPr="00F021AD">
        <w:rPr>
          <w:szCs w:val="24"/>
        </w:rPr>
        <w:t xml:space="preserve">, </w:t>
      </w:r>
      <w:proofErr w:type="spellStart"/>
      <w:r w:rsidRPr="00F021AD">
        <w:rPr>
          <w:szCs w:val="24"/>
        </w:rPr>
        <w:t>Charron</w:t>
      </w:r>
      <w:proofErr w:type="spellEnd"/>
      <w:r w:rsidRPr="00F021AD">
        <w:rPr>
          <w:szCs w:val="24"/>
        </w:rPr>
        <w:t xml:space="preserve"> and Cromwell JJ.:  A failure to raise miscarriage of justice as a distinct ground in a Notice of Appeal does not deprive a </w:t>
      </w:r>
      <w:r w:rsidR="00A240A3">
        <w:rPr>
          <w:szCs w:val="24"/>
        </w:rPr>
        <w:t>c</w:t>
      </w:r>
      <w:r w:rsidRPr="00F021AD">
        <w:rPr>
          <w:szCs w:val="24"/>
        </w:rPr>
        <w:t xml:space="preserve">ourt of </w:t>
      </w:r>
      <w:r w:rsidR="00A240A3">
        <w:rPr>
          <w:szCs w:val="24"/>
        </w:rPr>
        <w:t>a</w:t>
      </w:r>
      <w:r w:rsidRPr="00F021AD">
        <w:rPr>
          <w:szCs w:val="24"/>
        </w:rPr>
        <w:t xml:space="preserve">ppeal of jurisdiction to consider whether there was a miscarriage of justice. </w:t>
      </w:r>
      <w:r w:rsidR="0010249A" w:rsidRPr="00F021AD">
        <w:rPr>
          <w:szCs w:val="24"/>
        </w:rPr>
        <w:t xml:space="preserve"> </w:t>
      </w:r>
      <w:r w:rsidRPr="00F021AD">
        <w:rPr>
          <w:szCs w:val="24"/>
        </w:rPr>
        <w:t xml:space="preserve">The shortcomings in the trial did not result in a miscarriage of justice.  </w:t>
      </w:r>
      <w:r w:rsidRPr="00F021AD">
        <w:rPr>
          <w:rFonts w:eastAsiaTheme="minorHAnsi"/>
          <w:szCs w:val="24"/>
        </w:rPr>
        <w:t>The trial judge</w:t>
      </w:r>
      <w:r w:rsidR="005A4E11" w:rsidRPr="00F021AD">
        <w:rPr>
          <w:rFonts w:eastAsiaTheme="minorHAnsi"/>
          <w:szCs w:val="24"/>
        </w:rPr>
        <w:t>’</w:t>
      </w:r>
      <w:r w:rsidRPr="00F021AD">
        <w:rPr>
          <w:rFonts w:eastAsiaTheme="minorHAnsi"/>
          <w:szCs w:val="24"/>
        </w:rPr>
        <w:t>s reasons do not support an inference that the</w:t>
      </w:r>
      <w:r w:rsidRPr="00F021AD">
        <w:rPr>
          <w:szCs w:val="24"/>
        </w:rPr>
        <w:t xml:space="preserve"> complainant</w:t>
      </w:r>
      <w:r w:rsidR="005A4E11" w:rsidRPr="00F021AD">
        <w:rPr>
          <w:szCs w:val="24"/>
        </w:rPr>
        <w:t>’</w:t>
      </w:r>
      <w:r w:rsidRPr="00F021AD">
        <w:rPr>
          <w:szCs w:val="24"/>
        </w:rPr>
        <w:t xml:space="preserve">s </w:t>
      </w:r>
      <w:proofErr w:type="spellStart"/>
      <w:r w:rsidRPr="00F021AD">
        <w:rPr>
          <w:rFonts w:eastAsiaTheme="minorHAnsi"/>
          <w:szCs w:val="24"/>
        </w:rPr>
        <w:t>pre</w:t>
      </w:r>
      <w:r w:rsidR="00B928E2" w:rsidRPr="00F021AD">
        <w:rPr>
          <w:rFonts w:eastAsiaTheme="minorHAnsi"/>
          <w:szCs w:val="24"/>
        </w:rPr>
        <w:noBreakHyphen/>
      </w:r>
      <w:r w:rsidRPr="00F021AD">
        <w:rPr>
          <w:rFonts w:eastAsiaTheme="minorHAnsi"/>
          <w:szCs w:val="24"/>
        </w:rPr>
        <w:t>trial</w:t>
      </w:r>
      <w:proofErr w:type="spellEnd"/>
      <w:r w:rsidRPr="00F021AD">
        <w:rPr>
          <w:rFonts w:eastAsiaTheme="minorHAnsi"/>
          <w:szCs w:val="24"/>
        </w:rPr>
        <w:t xml:space="preserve"> </w:t>
      </w:r>
      <w:r w:rsidRPr="00F021AD">
        <w:rPr>
          <w:szCs w:val="24"/>
        </w:rPr>
        <w:t>statements were used improperly.  Crown counsel did not ask impermissible leading questions.  Crown counsel</w:t>
      </w:r>
      <w:r w:rsidR="005A4E11" w:rsidRPr="00F021AD">
        <w:rPr>
          <w:szCs w:val="24"/>
        </w:rPr>
        <w:t>’</w:t>
      </w:r>
      <w:r w:rsidRPr="00F021AD">
        <w:rPr>
          <w:szCs w:val="24"/>
        </w:rPr>
        <w:t>s conduct did not affect the trial judge</w:t>
      </w:r>
      <w:r w:rsidR="005A4E11" w:rsidRPr="00F021AD">
        <w:rPr>
          <w:szCs w:val="24"/>
        </w:rPr>
        <w:t>’</w:t>
      </w:r>
      <w:r w:rsidRPr="00F021AD">
        <w:rPr>
          <w:szCs w:val="24"/>
        </w:rPr>
        <w:t>s appreciation of the evidence or render the proceedings unfair.</w:t>
      </w:r>
    </w:p>
    <w:p w:rsidR="001222B2" w:rsidRDefault="009B4938" w:rsidP="00EE652D">
      <w:pPr>
        <w:pStyle w:val="SCCNormalDoubleSpacing"/>
        <w:spacing w:after="480"/>
        <w:rPr>
          <w:szCs w:val="24"/>
        </w:rPr>
      </w:pPr>
      <w:r w:rsidRPr="00F021AD">
        <w:rPr>
          <w:i/>
          <w:szCs w:val="24"/>
        </w:rPr>
        <w:tab/>
        <w:t>Per</w:t>
      </w:r>
      <w:r w:rsidRPr="00F021AD">
        <w:rPr>
          <w:szCs w:val="24"/>
        </w:rPr>
        <w:t xml:space="preserve"> </w:t>
      </w:r>
      <w:r w:rsidRPr="002473F9">
        <w:rPr>
          <w:szCs w:val="24"/>
        </w:rPr>
        <w:t>Fish</w:t>
      </w:r>
      <w:r w:rsidR="00E67AAB" w:rsidRPr="00F021AD">
        <w:rPr>
          <w:szCs w:val="24"/>
        </w:rPr>
        <w:t> </w:t>
      </w:r>
      <w:r w:rsidRPr="00F021AD">
        <w:rPr>
          <w:szCs w:val="24"/>
        </w:rPr>
        <w:t xml:space="preserve">J. (dissenting):  </w:t>
      </w:r>
      <w:r w:rsidR="001222B2" w:rsidRPr="00F021AD">
        <w:rPr>
          <w:szCs w:val="24"/>
        </w:rPr>
        <w:t>The trial was unsatisfactory.  Crown counsel</w:t>
      </w:r>
      <w:r w:rsidR="005A4E11" w:rsidRPr="00F021AD">
        <w:rPr>
          <w:szCs w:val="24"/>
        </w:rPr>
        <w:t>’</w:t>
      </w:r>
      <w:r w:rsidR="001222B2" w:rsidRPr="00F021AD">
        <w:rPr>
          <w:szCs w:val="24"/>
        </w:rPr>
        <w:t xml:space="preserve">s </w:t>
      </w:r>
      <w:proofErr w:type="spellStart"/>
      <w:r w:rsidR="001222B2" w:rsidRPr="00F021AD">
        <w:rPr>
          <w:szCs w:val="24"/>
        </w:rPr>
        <w:t>cross</w:t>
      </w:r>
      <w:r w:rsidR="00B928E2" w:rsidRPr="00F021AD">
        <w:rPr>
          <w:szCs w:val="24"/>
        </w:rPr>
        <w:noBreakHyphen/>
      </w:r>
      <w:r w:rsidR="001222B2" w:rsidRPr="00F021AD">
        <w:rPr>
          <w:szCs w:val="24"/>
        </w:rPr>
        <w:t>examination</w:t>
      </w:r>
      <w:proofErr w:type="spellEnd"/>
      <w:r w:rsidR="001222B2" w:rsidRPr="00F021AD">
        <w:rPr>
          <w:szCs w:val="24"/>
        </w:rPr>
        <w:t xml:space="preserve"> was inappropriate and prejudici</w:t>
      </w:r>
      <w:r w:rsidR="00B928E2" w:rsidRPr="00F021AD">
        <w:rPr>
          <w:szCs w:val="24"/>
        </w:rPr>
        <w:t>al.</w:t>
      </w:r>
      <w:r w:rsidR="00231089" w:rsidRPr="00F021AD">
        <w:rPr>
          <w:szCs w:val="24"/>
        </w:rPr>
        <w:t xml:space="preserve"> </w:t>
      </w:r>
      <w:r w:rsidR="001222B2" w:rsidRPr="00F021AD">
        <w:rPr>
          <w:szCs w:val="24"/>
        </w:rPr>
        <w:t xml:space="preserve"> Defence counsel did not attenuate the prejudicial effect of Crown counsel</w:t>
      </w:r>
      <w:r w:rsidR="005A4E11" w:rsidRPr="00F021AD">
        <w:rPr>
          <w:szCs w:val="24"/>
        </w:rPr>
        <w:t>’</w:t>
      </w:r>
      <w:r w:rsidR="001222B2" w:rsidRPr="00F021AD">
        <w:rPr>
          <w:szCs w:val="24"/>
        </w:rPr>
        <w:t xml:space="preserve">s </w:t>
      </w:r>
      <w:proofErr w:type="spellStart"/>
      <w:r w:rsidR="001222B2" w:rsidRPr="00F021AD">
        <w:rPr>
          <w:szCs w:val="24"/>
        </w:rPr>
        <w:t>cross</w:t>
      </w:r>
      <w:r w:rsidR="00B928E2" w:rsidRPr="00F021AD">
        <w:rPr>
          <w:szCs w:val="24"/>
        </w:rPr>
        <w:noBreakHyphen/>
      </w:r>
      <w:r w:rsidR="001222B2" w:rsidRPr="00F021AD">
        <w:rPr>
          <w:szCs w:val="24"/>
        </w:rPr>
        <w:t>examination</w:t>
      </w:r>
      <w:proofErr w:type="spellEnd"/>
      <w:r w:rsidR="001222B2" w:rsidRPr="00F021AD">
        <w:rPr>
          <w:szCs w:val="24"/>
        </w:rPr>
        <w:t xml:space="preserve">.  </w:t>
      </w:r>
      <w:proofErr w:type="gramStart"/>
      <w:r w:rsidR="001222B2" w:rsidRPr="00F021AD">
        <w:rPr>
          <w:szCs w:val="24"/>
        </w:rPr>
        <w:t>Nor did the trial judge</w:t>
      </w:r>
      <w:r w:rsidR="005A4E11" w:rsidRPr="00F021AD">
        <w:rPr>
          <w:szCs w:val="24"/>
        </w:rPr>
        <w:t>’</w:t>
      </w:r>
      <w:r w:rsidR="001222B2" w:rsidRPr="00F021AD">
        <w:rPr>
          <w:szCs w:val="24"/>
        </w:rPr>
        <w:t>s detailed and thoughtful reasons set things right.</w:t>
      </w:r>
      <w:proofErr w:type="gramEnd"/>
    </w:p>
    <w:p w:rsidR="00A240A3" w:rsidRPr="008C6598" w:rsidRDefault="00A240A3" w:rsidP="00A240A3">
      <w:pPr>
        <w:pStyle w:val="SCCNormalDoubleSpacing"/>
        <w:keepNext/>
        <w:spacing w:after="480"/>
        <w:rPr>
          <w:b/>
          <w:szCs w:val="24"/>
        </w:rPr>
      </w:pPr>
      <w:r w:rsidRPr="008C6598">
        <w:rPr>
          <w:b/>
          <w:szCs w:val="24"/>
        </w:rPr>
        <w:lastRenderedPageBreak/>
        <w:t>Statutes and Regulations Cited</w:t>
      </w:r>
    </w:p>
    <w:p w:rsidR="00A240A3" w:rsidRPr="000C6CC4" w:rsidRDefault="00A240A3" w:rsidP="00A240A3">
      <w:pPr>
        <w:pStyle w:val="SCCNormalDoubleSpacing"/>
        <w:spacing w:after="720" w:line="240" w:lineRule="auto"/>
        <w:ind w:left="547" w:hanging="547"/>
        <w:rPr>
          <w:szCs w:val="24"/>
          <w:lang w:val="fr-CA"/>
        </w:rPr>
      </w:pPr>
      <w:proofErr w:type="spellStart"/>
      <w:r w:rsidRPr="000C6CC4">
        <w:rPr>
          <w:i/>
          <w:szCs w:val="24"/>
          <w:lang w:val="fr-CA"/>
        </w:rPr>
        <w:t>Criminal</w:t>
      </w:r>
      <w:proofErr w:type="spellEnd"/>
      <w:r w:rsidRPr="000C6CC4">
        <w:rPr>
          <w:i/>
          <w:szCs w:val="24"/>
          <w:lang w:val="fr-CA"/>
        </w:rPr>
        <w:t xml:space="preserve"> Code</w:t>
      </w:r>
      <w:r w:rsidRPr="000C6CC4">
        <w:rPr>
          <w:szCs w:val="24"/>
          <w:lang w:val="fr-CA"/>
        </w:rPr>
        <w:t>, R.S.C. 1985, c. C</w:t>
      </w:r>
      <w:r w:rsidRPr="000C6CC4">
        <w:rPr>
          <w:szCs w:val="24"/>
          <w:lang w:val="fr-CA"/>
        </w:rPr>
        <w:noBreakHyphen/>
        <w:t>46, s. 693(1</w:t>
      </w:r>
      <w:proofErr w:type="gramStart"/>
      <w:r w:rsidRPr="000C6CC4">
        <w:rPr>
          <w:szCs w:val="24"/>
          <w:lang w:val="fr-CA"/>
        </w:rPr>
        <w:t>)(</w:t>
      </w:r>
      <w:proofErr w:type="gramEnd"/>
      <w:r w:rsidRPr="000C6CC4">
        <w:rPr>
          <w:i/>
          <w:szCs w:val="24"/>
          <w:lang w:val="fr-CA"/>
        </w:rPr>
        <w:t>a</w:t>
      </w:r>
      <w:r w:rsidRPr="000C6CC4">
        <w:rPr>
          <w:szCs w:val="24"/>
          <w:lang w:val="fr-CA"/>
        </w:rPr>
        <w:t>).</w:t>
      </w:r>
    </w:p>
    <w:p w:rsidR="00656313" w:rsidRPr="00F021AD" w:rsidRDefault="009F084F" w:rsidP="00EE652D">
      <w:pPr>
        <w:pStyle w:val="SCCNormalDoubleSpacing"/>
        <w:spacing w:after="480"/>
        <w:rPr>
          <w:szCs w:val="24"/>
        </w:rPr>
      </w:pPr>
      <w:r w:rsidRPr="000C6CC4">
        <w:rPr>
          <w:szCs w:val="24"/>
          <w:lang w:val="fr-CA"/>
        </w:rPr>
        <w:tab/>
      </w:r>
      <w:r w:rsidR="009B57B3" w:rsidRPr="00F021AD">
        <w:rPr>
          <w:szCs w:val="24"/>
        </w:rPr>
        <w:t>APPEAL from a judgment of the Nova Scotia Court of Appeal</w:t>
      </w:r>
      <w:r w:rsidR="00231089" w:rsidRPr="00F021AD">
        <w:rPr>
          <w:szCs w:val="24"/>
        </w:rPr>
        <w:t xml:space="preserve"> (</w:t>
      </w:r>
      <w:proofErr w:type="spellStart"/>
      <w:r w:rsidR="00231089" w:rsidRPr="00F021AD">
        <w:rPr>
          <w:szCs w:val="24"/>
        </w:rPr>
        <w:t>Fichaud</w:t>
      </w:r>
      <w:proofErr w:type="spellEnd"/>
      <w:r w:rsidR="00231089" w:rsidRPr="00F021AD">
        <w:rPr>
          <w:szCs w:val="24"/>
        </w:rPr>
        <w:t xml:space="preserve">, </w:t>
      </w:r>
      <w:proofErr w:type="spellStart"/>
      <w:r w:rsidR="00231089" w:rsidRPr="00F021AD">
        <w:rPr>
          <w:szCs w:val="24"/>
        </w:rPr>
        <w:t>Beveridge</w:t>
      </w:r>
      <w:proofErr w:type="spellEnd"/>
      <w:r w:rsidR="00231089" w:rsidRPr="00F021AD">
        <w:rPr>
          <w:szCs w:val="24"/>
        </w:rPr>
        <w:t xml:space="preserve"> and Farrar </w:t>
      </w:r>
      <w:r w:rsidRPr="00F021AD">
        <w:rPr>
          <w:szCs w:val="24"/>
        </w:rPr>
        <w:t xml:space="preserve">JJ.A.), 2010 NSCA 73, </w:t>
      </w:r>
      <w:r w:rsidR="007B1956" w:rsidRPr="00F021AD">
        <w:rPr>
          <w:szCs w:val="24"/>
        </w:rPr>
        <w:t xml:space="preserve">295 N.S.R. (2d) 141, 263 C.C.C. (3d) 136, 935 A.P.R. 141, [2010] N.S.J. </w:t>
      </w:r>
      <w:r w:rsidR="00B928E2" w:rsidRPr="00F021AD">
        <w:rPr>
          <w:szCs w:val="24"/>
        </w:rPr>
        <w:t>No. </w:t>
      </w:r>
      <w:r w:rsidR="007B1956" w:rsidRPr="00F021AD">
        <w:rPr>
          <w:szCs w:val="24"/>
        </w:rPr>
        <w:t xml:space="preserve">515 (QL), 2010 </w:t>
      </w:r>
      <w:proofErr w:type="spellStart"/>
      <w:r w:rsidR="007B1956" w:rsidRPr="00F021AD">
        <w:rPr>
          <w:szCs w:val="24"/>
        </w:rPr>
        <w:t>CarswellNS</w:t>
      </w:r>
      <w:proofErr w:type="spellEnd"/>
      <w:r w:rsidR="007B1956" w:rsidRPr="00F021AD">
        <w:rPr>
          <w:szCs w:val="24"/>
        </w:rPr>
        <w:t xml:space="preserve"> 650, setting aside the </w:t>
      </w:r>
      <w:proofErr w:type="spellStart"/>
      <w:r w:rsidR="007B1956" w:rsidRPr="00F021AD">
        <w:rPr>
          <w:szCs w:val="24"/>
        </w:rPr>
        <w:t>accused</w:t>
      </w:r>
      <w:r w:rsidR="005A4E11" w:rsidRPr="00F021AD">
        <w:rPr>
          <w:szCs w:val="24"/>
        </w:rPr>
        <w:t>’</w:t>
      </w:r>
      <w:r w:rsidR="007B1956" w:rsidRPr="00F021AD">
        <w:rPr>
          <w:szCs w:val="24"/>
        </w:rPr>
        <w:t>s</w:t>
      </w:r>
      <w:proofErr w:type="spellEnd"/>
      <w:r w:rsidR="007B1956" w:rsidRPr="00F021AD">
        <w:rPr>
          <w:szCs w:val="24"/>
        </w:rPr>
        <w:t xml:space="preserve"> conviction for sexual assault </w:t>
      </w:r>
      <w:r w:rsidR="002473F9">
        <w:rPr>
          <w:szCs w:val="24"/>
        </w:rPr>
        <w:t xml:space="preserve">entered by Campbell Prov. Ct. J., 2009 NSPC 33, [2009] N.S.J. No. 329 (QL), 2009 </w:t>
      </w:r>
      <w:proofErr w:type="spellStart"/>
      <w:r w:rsidR="002473F9">
        <w:rPr>
          <w:szCs w:val="24"/>
        </w:rPr>
        <w:t>CarswellNS</w:t>
      </w:r>
      <w:proofErr w:type="spellEnd"/>
      <w:r w:rsidR="002473F9">
        <w:rPr>
          <w:szCs w:val="24"/>
        </w:rPr>
        <w:t xml:space="preserve"> 396, </w:t>
      </w:r>
      <w:r w:rsidR="007B1956" w:rsidRPr="00F021AD">
        <w:rPr>
          <w:szCs w:val="24"/>
        </w:rPr>
        <w:t>and ordering a new tri</w:t>
      </w:r>
      <w:r w:rsidR="00B928E2" w:rsidRPr="00F021AD">
        <w:rPr>
          <w:szCs w:val="24"/>
        </w:rPr>
        <w:t>al.</w:t>
      </w:r>
      <w:r w:rsidR="00231089" w:rsidRPr="00F021AD">
        <w:rPr>
          <w:szCs w:val="24"/>
        </w:rPr>
        <w:t xml:space="preserve"> </w:t>
      </w:r>
      <w:r w:rsidR="007B1956" w:rsidRPr="00F021AD">
        <w:rPr>
          <w:szCs w:val="24"/>
        </w:rPr>
        <w:t xml:space="preserve"> Appeal allowed, Fish</w:t>
      </w:r>
      <w:r w:rsidR="00B928E2" w:rsidRPr="00F021AD">
        <w:rPr>
          <w:szCs w:val="24"/>
        </w:rPr>
        <w:t> </w:t>
      </w:r>
      <w:r w:rsidR="007B1956" w:rsidRPr="00F021AD">
        <w:rPr>
          <w:szCs w:val="24"/>
        </w:rPr>
        <w:t>J. dissenting.</w:t>
      </w:r>
    </w:p>
    <w:p w:rsidR="00560EE4" w:rsidRPr="00F021AD" w:rsidRDefault="007B1956" w:rsidP="00EE652D">
      <w:pPr>
        <w:pStyle w:val="SCCNormalDoubleSpacing"/>
        <w:spacing w:after="480"/>
        <w:rPr>
          <w:szCs w:val="24"/>
        </w:rPr>
      </w:pPr>
      <w:r w:rsidRPr="00F021AD">
        <w:rPr>
          <w:rStyle w:val="SCCCounselNameChar"/>
          <w:szCs w:val="24"/>
        </w:rPr>
        <w:tab/>
      </w:r>
      <w:proofErr w:type="gramStart"/>
      <w:r w:rsidRPr="00F021AD">
        <w:rPr>
          <w:rStyle w:val="SCCCounselNameChar"/>
          <w:szCs w:val="24"/>
        </w:rPr>
        <w:t>James</w:t>
      </w:r>
      <w:r w:rsidR="00B928E2" w:rsidRPr="00F021AD">
        <w:rPr>
          <w:rStyle w:val="SCCCounselNameChar"/>
          <w:szCs w:val="24"/>
        </w:rPr>
        <w:t> </w:t>
      </w:r>
      <w:r w:rsidRPr="00F021AD">
        <w:rPr>
          <w:rStyle w:val="SCCCounselNameChar"/>
          <w:szCs w:val="24"/>
        </w:rPr>
        <w:t xml:space="preserve">A. </w:t>
      </w:r>
      <w:proofErr w:type="spellStart"/>
      <w:r w:rsidRPr="00F021AD">
        <w:rPr>
          <w:rStyle w:val="SCCCounselNameChar"/>
          <w:szCs w:val="24"/>
        </w:rPr>
        <w:t>Gumpert</w:t>
      </w:r>
      <w:proofErr w:type="spellEnd"/>
      <w:r w:rsidRPr="00F021AD">
        <w:rPr>
          <w:rStyle w:val="SCCCounselNameChar"/>
          <w:i w:val="0"/>
          <w:szCs w:val="24"/>
        </w:rPr>
        <w:t xml:space="preserve">, </w:t>
      </w:r>
      <w:r w:rsidRPr="00F021AD">
        <w:rPr>
          <w:rStyle w:val="SCCCounselNameChar"/>
          <w:szCs w:val="24"/>
        </w:rPr>
        <w:t>Q.C.</w:t>
      </w:r>
      <w:r w:rsidR="009F084F" w:rsidRPr="00F021AD">
        <w:rPr>
          <w:rStyle w:val="SCCCounselNameChar"/>
          <w:i w:val="0"/>
          <w:szCs w:val="24"/>
        </w:rPr>
        <w:t>,</w:t>
      </w:r>
      <w:r w:rsidRPr="00F021AD">
        <w:rPr>
          <w:rStyle w:val="SCCCounselSeparatorChar"/>
          <w:szCs w:val="24"/>
        </w:rPr>
        <w:t xml:space="preserve"> and </w:t>
      </w:r>
      <w:r w:rsidR="00B928E2" w:rsidRPr="00F021AD">
        <w:rPr>
          <w:rStyle w:val="SCCCounselNameChar"/>
          <w:szCs w:val="24"/>
        </w:rPr>
        <w:t>Mark </w:t>
      </w:r>
      <w:r w:rsidRPr="00F021AD">
        <w:rPr>
          <w:rStyle w:val="SCCCounselNameChar"/>
          <w:szCs w:val="24"/>
        </w:rPr>
        <w:t>A. Scott</w:t>
      </w:r>
      <w:r w:rsidRPr="00F021AD">
        <w:rPr>
          <w:rStyle w:val="SCCCounselPartyRoleChar"/>
          <w:szCs w:val="24"/>
        </w:rPr>
        <w:t>, for the appellant.</w:t>
      </w:r>
      <w:proofErr w:type="gramEnd"/>
    </w:p>
    <w:p w:rsidR="00560EE4" w:rsidRPr="00F021AD" w:rsidRDefault="00B928E2" w:rsidP="00EE652D">
      <w:pPr>
        <w:pStyle w:val="SCCNormalDoubleSpacing"/>
        <w:spacing w:after="480"/>
        <w:rPr>
          <w:szCs w:val="24"/>
        </w:rPr>
      </w:pPr>
      <w:r w:rsidRPr="00F021AD">
        <w:rPr>
          <w:rStyle w:val="SCCCounselNameChar"/>
          <w:szCs w:val="24"/>
        </w:rPr>
        <w:tab/>
      </w:r>
      <w:proofErr w:type="gramStart"/>
      <w:r w:rsidRPr="00F021AD">
        <w:rPr>
          <w:rStyle w:val="SCCCounselNameChar"/>
          <w:szCs w:val="24"/>
        </w:rPr>
        <w:t>Donald </w:t>
      </w:r>
      <w:r w:rsidR="007B1956" w:rsidRPr="00F021AD">
        <w:rPr>
          <w:rStyle w:val="SCCCounselNameChar"/>
          <w:szCs w:val="24"/>
        </w:rPr>
        <w:t>C. Murray</w:t>
      </w:r>
      <w:r w:rsidR="007B1956" w:rsidRPr="00F021AD">
        <w:rPr>
          <w:rStyle w:val="SCCCounselNameChar"/>
          <w:i w:val="0"/>
          <w:szCs w:val="24"/>
        </w:rPr>
        <w:t xml:space="preserve">, </w:t>
      </w:r>
      <w:r w:rsidR="007B1956" w:rsidRPr="00F021AD">
        <w:rPr>
          <w:rStyle w:val="SCCCounselNameChar"/>
          <w:szCs w:val="24"/>
        </w:rPr>
        <w:t>Q.C.</w:t>
      </w:r>
      <w:r w:rsidR="009F084F" w:rsidRPr="00F021AD">
        <w:rPr>
          <w:rStyle w:val="SCCCounselNameChar"/>
          <w:i w:val="0"/>
          <w:szCs w:val="24"/>
        </w:rPr>
        <w:t>,</w:t>
      </w:r>
      <w:r w:rsidR="007B1956" w:rsidRPr="00F021AD">
        <w:rPr>
          <w:rStyle w:val="SCCCounselSeparatorChar"/>
          <w:szCs w:val="24"/>
        </w:rPr>
        <w:t xml:space="preserve"> and </w:t>
      </w:r>
      <w:r w:rsidR="007B1956" w:rsidRPr="00F021AD">
        <w:rPr>
          <w:rStyle w:val="SCCCounselNameChar"/>
          <w:szCs w:val="24"/>
        </w:rPr>
        <w:t>Ro</w:t>
      </w:r>
      <w:r w:rsidR="00867115" w:rsidRPr="00F021AD">
        <w:rPr>
          <w:rStyle w:val="SCCCounselNameChar"/>
          <w:szCs w:val="24"/>
        </w:rPr>
        <w:t>g</w:t>
      </w:r>
      <w:r w:rsidR="007B1956" w:rsidRPr="00F021AD">
        <w:rPr>
          <w:rStyle w:val="SCCCounselNameChar"/>
          <w:szCs w:val="24"/>
        </w:rPr>
        <w:t>er</w:t>
      </w:r>
      <w:r w:rsidRPr="00F021AD">
        <w:rPr>
          <w:rStyle w:val="SCCCounselNameChar"/>
          <w:szCs w:val="24"/>
        </w:rPr>
        <w:t> </w:t>
      </w:r>
      <w:r w:rsidR="00867115" w:rsidRPr="00F021AD">
        <w:rPr>
          <w:rStyle w:val="SCCCounselNameChar"/>
          <w:szCs w:val="24"/>
        </w:rPr>
        <w:t xml:space="preserve">A. </w:t>
      </w:r>
      <w:proofErr w:type="spellStart"/>
      <w:r w:rsidR="007B1956" w:rsidRPr="00F021AD">
        <w:rPr>
          <w:rStyle w:val="SCCCounselNameChar"/>
          <w:szCs w:val="24"/>
        </w:rPr>
        <w:t>Burrill</w:t>
      </w:r>
      <w:proofErr w:type="spellEnd"/>
      <w:r w:rsidR="007B1956" w:rsidRPr="00F021AD">
        <w:rPr>
          <w:rStyle w:val="SCCCounselPartyRoleChar"/>
          <w:szCs w:val="24"/>
        </w:rPr>
        <w:t>, for the respondent.</w:t>
      </w:r>
      <w:proofErr w:type="gramEnd"/>
    </w:p>
    <w:p w:rsidR="00A36B7A" w:rsidRPr="002473F9" w:rsidRDefault="002473F9" w:rsidP="00614597">
      <w:pPr>
        <w:pStyle w:val="JudgeJuge"/>
        <w:jc w:val="both"/>
        <w:rPr>
          <w:smallCaps w:val="0"/>
        </w:rPr>
      </w:pPr>
      <w:r>
        <w:tab/>
      </w:r>
      <w:proofErr w:type="gramStart"/>
      <w:r>
        <w:rPr>
          <w:smallCaps w:val="0"/>
        </w:rPr>
        <w:t xml:space="preserve">The judgment of </w:t>
      </w:r>
      <w:proofErr w:type="spellStart"/>
      <w:r>
        <w:rPr>
          <w:smallCaps w:val="0"/>
        </w:rPr>
        <w:t>McLachlin</w:t>
      </w:r>
      <w:proofErr w:type="spellEnd"/>
      <w:r>
        <w:rPr>
          <w:smallCaps w:val="0"/>
        </w:rPr>
        <w:t xml:space="preserve"> C.J. and </w:t>
      </w:r>
      <w:proofErr w:type="spellStart"/>
      <w:r>
        <w:rPr>
          <w:smallCaps w:val="0"/>
        </w:rPr>
        <w:t>Binnie</w:t>
      </w:r>
      <w:proofErr w:type="spellEnd"/>
      <w:r>
        <w:rPr>
          <w:smallCaps w:val="0"/>
        </w:rPr>
        <w:t xml:space="preserve">, </w:t>
      </w:r>
      <w:proofErr w:type="spellStart"/>
      <w:r>
        <w:rPr>
          <w:smallCaps w:val="0"/>
        </w:rPr>
        <w:t>Deschamps</w:t>
      </w:r>
      <w:proofErr w:type="spellEnd"/>
      <w:r>
        <w:rPr>
          <w:smallCaps w:val="0"/>
        </w:rPr>
        <w:t xml:space="preserve">, </w:t>
      </w:r>
      <w:proofErr w:type="spellStart"/>
      <w:r>
        <w:rPr>
          <w:smallCaps w:val="0"/>
        </w:rPr>
        <w:t>Abella</w:t>
      </w:r>
      <w:proofErr w:type="spellEnd"/>
      <w:r>
        <w:rPr>
          <w:smallCaps w:val="0"/>
        </w:rPr>
        <w:t xml:space="preserve">, </w:t>
      </w:r>
      <w:proofErr w:type="spellStart"/>
      <w:r>
        <w:rPr>
          <w:smallCaps w:val="0"/>
        </w:rPr>
        <w:t>Charron</w:t>
      </w:r>
      <w:proofErr w:type="spellEnd"/>
      <w:r>
        <w:rPr>
          <w:smallCaps w:val="0"/>
        </w:rPr>
        <w:t xml:space="preserve"> and Cromwell JJ.</w:t>
      </w:r>
      <w:proofErr w:type="gramEnd"/>
      <w:r>
        <w:rPr>
          <w:smallCaps w:val="0"/>
        </w:rPr>
        <w:t xml:space="preserve"> </w:t>
      </w:r>
      <w:proofErr w:type="gramStart"/>
      <w:r>
        <w:rPr>
          <w:smallCaps w:val="0"/>
        </w:rPr>
        <w:t>was</w:t>
      </w:r>
      <w:proofErr w:type="gramEnd"/>
      <w:r>
        <w:rPr>
          <w:smallCaps w:val="0"/>
        </w:rPr>
        <w:t xml:space="preserve"> delivered by</w:t>
      </w:r>
    </w:p>
    <w:p w:rsidR="00A36B7A" w:rsidRDefault="002473F9" w:rsidP="00A36B7A">
      <w:pPr>
        <w:pStyle w:val="ParaNoNdepar-AltN"/>
      </w:pPr>
      <w:r w:rsidRPr="002473F9">
        <w:rPr>
          <w:smallCaps/>
        </w:rPr>
        <w:t>The Chief Justice</w:t>
      </w:r>
      <w:r w:rsidRPr="000B0B7C">
        <w:t xml:space="preserve"> — </w:t>
      </w:r>
      <w:r w:rsidR="00A36B7A">
        <w:t>This is an appeal as of right pursuant to s. 693(1</w:t>
      </w:r>
      <w:proofErr w:type="gramStart"/>
      <w:r w:rsidR="00A36B7A">
        <w:t>)(</w:t>
      </w:r>
      <w:proofErr w:type="gramEnd"/>
      <w:r w:rsidR="00A36B7A" w:rsidRPr="007D0213">
        <w:rPr>
          <w:i/>
        </w:rPr>
        <w:t>a</w:t>
      </w:r>
      <w:r w:rsidR="00A36B7A">
        <w:t>) of t</w:t>
      </w:r>
      <w:r w:rsidR="00A36B7A" w:rsidRPr="007D0213">
        <w:t>he</w:t>
      </w:r>
      <w:r w:rsidR="00A36B7A" w:rsidRPr="00374596">
        <w:rPr>
          <w:i/>
        </w:rPr>
        <w:t xml:space="preserve"> Criminal Code</w:t>
      </w:r>
      <w:r w:rsidR="00A36B7A">
        <w:t>, R.S.C. 1985, c. C-46.  For the reasons that follow, we would allow the appeal and affirm the conviction of E.M.W.</w:t>
      </w:r>
    </w:p>
    <w:p w:rsidR="00A36B7A" w:rsidRDefault="00A36B7A" w:rsidP="00A36B7A">
      <w:pPr>
        <w:pStyle w:val="ParaNoNdepar-AltN"/>
      </w:pPr>
      <w:r>
        <w:t>After a trial before judge alone, E.M.W. was convicted of sexual assault of his daughter, who at the trial was 12 years old (2009 NSPC 33 (</w:t>
      </w:r>
      <w:proofErr w:type="spellStart"/>
      <w:r>
        <w:t>CanLII</w:t>
      </w:r>
      <w:proofErr w:type="spellEnd"/>
      <w:r>
        <w:t xml:space="preserve">)).  A </w:t>
      </w:r>
      <w:r>
        <w:lastRenderedPageBreak/>
        <w:t>majority of the Court of Appeal (</w:t>
      </w:r>
      <w:proofErr w:type="spellStart"/>
      <w:r>
        <w:t>Beveridge</w:t>
      </w:r>
      <w:proofErr w:type="spellEnd"/>
      <w:r>
        <w:t xml:space="preserve"> and Farrar JJ.A.) allowed E.M.W.’s appeal from conviction and ordered a new trial, on the ground of miscarriage of justice (2010 NSCA 73, 295 N.S.R. (2d) 141).  </w:t>
      </w:r>
      <w:proofErr w:type="spellStart"/>
      <w:r>
        <w:t>Fichaud</w:t>
      </w:r>
      <w:proofErr w:type="spellEnd"/>
      <w:r>
        <w:t xml:space="preserve"> J.A. dissented, on the view that the grounds relied on by the majority were not raised in the Notice of Appeal, and that in any event, a miscarriage of justice was not established. </w:t>
      </w:r>
    </w:p>
    <w:p w:rsidR="00A36B7A" w:rsidRDefault="00A36B7A" w:rsidP="00A36B7A">
      <w:pPr>
        <w:pStyle w:val="ParaNoNdepar-AltN"/>
      </w:pPr>
      <w:r>
        <w:t>In this Court, three points were argued.</w:t>
      </w:r>
    </w:p>
    <w:p w:rsidR="00A36B7A" w:rsidRPr="00AC3988" w:rsidRDefault="00A36B7A" w:rsidP="00A36B7A">
      <w:pPr>
        <w:pStyle w:val="TitleTitre-AltT"/>
        <w:rPr>
          <w:u w:val="single"/>
        </w:rPr>
      </w:pPr>
      <w:r w:rsidRPr="00AC3988">
        <w:rPr>
          <w:u w:val="single"/>
        </w:rPr>
        <w:t>Jurisdiction to Consider the Issue of Miscarriage of Justice</w:t>
      </w:r>
    </w:p>
    <w:p w:rsidR="00A36B7A" w:rsidRPr="0049163A" w:rsidRDefault="00A36B7A" w:rsidP="00A36B7A">
      <w:pPr>
        <w:pStyle w:val="ParaNoNdepar-AltN"/>
        <w:rPr>
          <w:u w:val="single"/>
        </w:rPr>
      </w:pPr>
      <w:r>
        <w:t xml:space="preserve">The first question is whether the majority of the Court of Appeal erred in allowing the appeal, given that the issues of miscarriage of justice and admissibility of the evidence were not raised in the Notice of Appeal.  We agree with the respondent that the failure to expressly raise miscarriage of justice as a distinct ground of appeal does not deprive a </w:t>
      </w:r>
      <w:r w:rsidR="00FC35A6">
        <w:t>c</w:t>
      </w:r>
      <w:r>
        <w:t xml:space="preserve">ourt of </w:t>
      </w:r>
      <w:r w:rsidR="00FC35A6">
        <w:t>a</w:t>
      </w:r>
      <w:r>
        <w:t>ppeal of jurisdiction to consider that issue.  A potential miscarriage of justice is always something a court must be able to consider.  However, the fact remains that the rules require that the grounds that the appellant relies on be set out.  This ensures that the opposite party has notice of what will be raised.  More broadly, it ensures that the court receives full submissions on all the issues that will be raised.  Where additional grounds come to light after filing, good practice requires that the grounds be amended.  If the court wishes to explore an issue that has not been raised, it may be necessary to grant an adjournment to ensure a full and fair hearing.</w:t>
      </w:r>
    </w:p>
    <w:p w:rsidR="00A36B7A" w:rsidRDefault="00A36B7A" w:rsidP="00A36B7A">
      <w:pPr>
        <w:pStyle w:val="ParaNoNdepar-AltN"/>
      </w:pPr>
      <w:r>
        <w:lastRenderedPageBreak/>
        <w:t xml:space="preserve">The respondent argues that despite the economy of the Notice of Appeal, the appeal hearing was full and fair.  We need not linger over this question.  Suffice to say that the Court of Appeal had jurisdiction to hear submissions on whether there had been a miscarriage of justice, and the issues were fully canvassed before this Court, whatever may have been the case below.  </w:t>
      </w:r>
    </w:p>
    <w:p w:rsidR="00A36B7A" w:rsidRPr="00AC3988" w:rsidRDefault="00A36B7A" w:rsidP="00A36B7A">
      <w:pPr>
        <w:pStyle w:val="TitleTitre-AltT"/>
        <w:rPr>
          <w:u w:val="single"/>
        </w:rPr>
      </w:pPr>
      <w:r w:rsidRPr="00AC3988">
        <w:rPr>
          <w:u w:val="single"/>
        </w:rPr>
        <w:t>Improper Use of Prior Statements</w:t>
      </w:r>
    </w:p>
    <w:p w:rsidR="00A36B7A" w:rsidRDefault="00A36B7A" w:rsidP="00A36B7A">
      <w:pPr>
        <w:pStyle w:val="ParaNoNdepar-AltN"/>
      </w:pPr>
      <w:r>
        <w:t>The complainant had made statements to a friend and to the police on the matter, before testifying at the trial.  The majority of the Court of Appeal was of the view that these statements had been improperly used or alluded to, in ways that bolstered the evidence of the complainant or otherwise assisted the Crown.</w:t>
      </w:r>
    </w:p>
    <w:p w:rsidR="00A36B7A" w:rsidRPr="0049163A" w:rsidRDefault="00A36B7A" w:rsidP="00A36B7A">
      <w:pPr>
        <w:pStyle w:val="ParaNoNdepar-AltN"/>
      </w:pPr>
      <w:r>
        <w:t xml:space="preserve">In our view, the majority of the Court of Appeal was wrong to seize on the trial judge’s reference to the content of the complainant’s disclosures to show that he had improperly used the evidence about these disclosures.  The trial judge’s careful and thorough reasons when read as a whole in light of the trial record do not support the inference drawn by the majority of the Court of Appeal.  </w:t>
      </w:r>
    </w:p>
    <w:p w:rsidR="00A36B7A" w:rsidRPr="00AC3988" w:rsidRDefault="00A36B7A" w:rsidP="00A36B7A">
      <w:pPr>
        <w:pStyle w:val="TitleTitre-AltT"/>
        <w:rPr>
          <w:u w:val="single"/>
        </w:rPr>
      </w:pPr>
      <w:r w:rsidRPr="00AC3988">
        <w:rPr>
          <w:u w:val="single"/>
        </w:rPr>
        <w:t>Did the Conduct of the Trial Constitute a Miscarriage of Justice?</w:t>
      </w:r>
    </w:p>
    <w:p w:rsidR="00A36B7A" w:rsidRDefault="00A36B7A" w:rsidP="00A36B7A">
      <w:pPr>
        <w:pStyle w:val="ParaNoNdepar-AltN"/>
      </w:pPr>
      <w:r>
        <w:t>This trial was far from perfect. At times, questions were asked or statements made that were tasteless, indeed unsavo</w:t>
      </w:r>
      <w:r w:rsidR="00614597">
        <w:t>u</w:t>
      </w:r>
      <w:r>
        <w:t xml:space="preserve">ry.  Crown counsel’s soliloquizing on personal matters was unnecessary.  However, we are not satisfied that these defects, however unfortunate, affected the trial judge’s appreciation of the </w:t>
      </w:r>
      <w:r>
        <w:lastRenderedPageBreak/>
        <w:t>evidence or rendered the proceedings unfair, so as to give rise to a miscarriage of justice.</w:t>
      </w:r>
    </w:p>
    <w:p w:rsidR="00A36B7A" w:rsidRDefault="00A36B7A" w:rsidP="00A36B7A">
      <w:pPr>
        <w:pStyle w:val="ParaNoNdepar-AltN"/>
      </w:pPr>
      <w:r>
        <w:t>We do not agree with the majority of the Court of Appeal that Crown counsel asked impermissible leading questions of the complainant.  Leading questions are questions that suggest an answer or assume a state of facts that is in dispute.  Here the questions put by Crown counsel to the complainant in examination</w:t>
      </w:r>
      <w:r w:rsidR="00FC35A6">
        <w:t>-</w:t>
      </w:r>
      <w:r>
        <w:t>in</w:t>
      </w:r>
      <w:r w:rsidR="00FC35A6">
        <w:t>-</w:t>
      </w:r>
      <w:r>
        <w:t xml:space="preserve">chief did not cross this threshold.  Crown counsel, in meeting the challenge of a child reluctant to respond, asked binary questions that gave her a choice between alternatives.  They did not, however, suggest an answer. The main components of the offence were elicited from the complainant by non-leading questions.  We are not satisfied that her evidence, viewed as a whole, was improperly </w:t>
      </w:r>
      <w:r w:rsidR="002473F9">
        <w:t xml:space="preserve">obtained by leading questions. </w:t>
      </w:r>
    </w:p>
    <w:p w:rsidR="00A36B7A" w:rsidRDefault="00A36B7A" w:rsidP="00A36B7A">
      <w:pPr>
        <w:pStyle w:val="ParaNoNdepar-AltN"/>
      </w:pPr>
      <w:r>
        <w:t>We do not find it necessary to go into detail on the other allegations of failings in the trial. The trial judge’s reasons show that he was alive to the concerns raised by inappropriate aspects of the trial, and took them into account in his careful and detailed reasons.  The shortcomings of the trial therefore did not, in this case, result in a miscarriage of justice.</w:t>
      </w:r>
    </w:p>
    <w:p w:rsidR="00A36B7A" w:rsidRPr="00AC3988" w:rsidRDefault="00A36B7A" w:rsidP="00A36B7A">
      <w:pPr>
        <w:pStyle w:val="TitleTitre-AltT"/>
        <w:rPr>
          <w:u w:val="single"/>
        </w:rPr>
      </w:pPr>
      <w:r w:rsidRPr="00AC3988">
        <w:rPr>
          <w:u w:val="single"/>
        </w:rPr>
        <w:t>Conclusion</w:t>
      </w:r>
    </w:p>
    <w:p w:rsidR="00A36B7A" w:rsidRPr="000B0B7C" w:rsidRDefault="00A36B7A" w:rsidP="00A36B7A">
      <w:pPr>
        <w:pStyle w:val="ParaNoNdepar-AltN"/>
        <w:tabs>
          <w:tab w:val="clear" w:pos="1166"/>
          <w:tab w:val="left" w:pos="1170"/>
        </w:tabs>
      </w:pPr>
      <w:r>
        <w:t>We would allow the appeal and restore the conviction.</w:t>
      </w:r>
    </w:p>
    <w:p w:rsidR="00A36B7A" w:rsidRPr="002473F9" w:rsidRDefault="00A36B7A" w:rsidP="00A36B7A">
      <w:pPr>
        <w:pStyle w:val="JudgeJuge"/>
        <w:rPr>
          <w:smallCaps w:val="0"/>
        </w:rPr>
      </w:pPr>
      <w:r w:rsidRPr="00024DD3">
        <w:lastRenderedPageBreak/>
        <w:tab/>
      </w:r>
      <w:r w:rsidR="002473F9" w:rsidRPr="002473F9">
        <w:rPr>
          <w:smallCaps w:val="0"/>
        </w:rPr>
        <w:t>The following are the reasons delivered by</w:t>
      </w:r>
    </w:p>
    <w:p w:rsidR="00A36B7A" w:rsidRPr="00024DD3" w:rsidRDefault="002473F9" w:rsidP="00A36B7A">
      <w:pPr>
        <w:pStyle w:val="ParaNoNdepar-AltN"/>
        <w:tabs>
          <w:tab w:val="clear" w:pos="1166"/>
          <w:tab w:val="num" w:pos="1152"/>
        </w:tabs>
      </w:pPr>
      <w:r w:rsidRPr="002473F9">
        <w:rPr>
          <w:smallCaps/>
        </w:rPr>
        <w:t>Fish J.</w:t>
      </w:r>
      <w:r>
        <w:t xml:space="preserve"> (dissenting)</w:t>
      </w:r>
      <w:r w:rsidRPr="00024DD3">
        <w:t xml:space="preserve"> — </w:t>
      </w:r>
      <w:proofErr w:type="gramStart"/>
      <w:r w:rsidR="00A36B7A" w:rsidRPr="00024DD3">
        <w:t>With</w:t>
      </w:r>
      <w:proofErr w:type="gramEnd"/>
      <w:r w:rsidR="00A36B7A" w:rsidRPr="00024DD3">
        <w:t xml:space="preserve"> respect for those who are of a different view, I have concluded that the respondent’s trial was unsatisfactory ― notably because of the inappropriate and prejudicial cross-examinations of the respondent and N.L., the complainant’s grandmother, who was an important defence witness.  The failure of defence counsel to object hardly attenuates the prejudicial effect of the impugned cross-examinations.  Nor do defence counsel’s inexplicable questions regarding the respondent’s refusal to submit to a polygraph test justify the Crown’s persistent cross-examination suggesting that the respondent’s reason for refusing to do so can only be explained by his guilt.  Finally, I recognize that the trial judge delivered detailed and thoughtful reasons for concluding as he did (2009 NSPC 33 (</w:t>
      </w:r>
      <w:proofErr w:type="spellStart"/>
      <w:r w:rsidR="00A36B7A" w:rsidRPr="00024DD3">
        <w:t>CanLII</w:t>
      </w:r>
      <w:proofErr w:type="spellEnd"/>
      <w:r w:rsidR="00A36B7A" w:rsidRPr="00024DD3">
        <w:t xml:space="preserve">)).  In my respectful view, however, they cannot set right the unsatisfactory nature of the trial.  </w:t>
      </w:r>
    </w:p>
    <w:p w:rsidR="00A36B7A" w:rsidRPr="00024DD3" w:rsidRDefault="00A36B7A" w:rsidP="00A36B7A">
      <w:pPr>
        <w:pStyle w:val="ParaNoNdepar-AltN"/>
        <w:tabs>
          <w:tab w:val="clear" w:pos="1166"/>
          <w:tab w:val="num" w:pos="1152"/>
        </w:tabs>
      </w:pPr>
      <w:r w:rsidRPr="00024DD3">
        <w:t>Accordingly, without endorsing in their entirety the reasons of the majority in the Court of Appeal (2010 NSCA 73, 295 N.S.R. (2d) 141), I agree that the respondent is entitled to a new trial and would therefore dismiss the Crown’s appeal to this Court.</w:t>
      </w:r>
    </w:p>
    <w:p w:rsidR="009B57B3" w:rsidRPr="00F021AD" w:rsidRDefault="009F084F" w:rsidP="00EE652D">
      <w:pPr>
        <w:pStyle w:val="SCCNormalDoubleSpacing"/>
        <w:spacing w:after="480"/>
        <w:rPr>
          <w:szCs w:val="24"/>
        </w:rPr>
      </w:pPr>
      <w:r w:rsidRPr="00F021AD">
        <w:rPr>
          <w:szCs w:val="24"/>
        </w:rPr>
        <w:tab/>
      </w:r>
      <w:r w:rsidR="00656313" w:rsidRPr="00F021AD">
        <w:rPr>
          <w:i/>
          <w:szCs w:val="24"/>
        </w:rPr>
        <w:t>Appeal</w:t>
      </w:r>
      <w:r w:rsidRPr="00F021AD">
        <w:rPr>
          <w:i/>
          <w:szCs w:val="24"/>
        </w:rPr>
        <w:t xml:space="preserve"> </w:t>
      </w:r>
      <w:r w:rsidR="007B1956" w:rsidRPr="00F021AD">
        <w:rPr>
          <w:i/>
          <w:szCs w:val="24"/>
        </w:rPr>
        <w:t xml:space="preserve">allowed, </w:t>
      </w:r>
      <w:r w:rsidR="00B928E2" w:rsidRPr="00F021AD">
        <w:rPr>
          <w:smallCaps/>
          <w:szCs w:val="24"/>
        </w:rPr>
        <w:t>Fish </w:t>
      </w:r>
      <w:r w:rsidR="007B1956" w:rsidRPr="00F021AD">
        <w:rPr>
          <w:smallCaps/>
          <w:szCs w:val="24"/>
        </w:rPr>
        <w:t>J.</w:t>
      </w:r>
      <w:r w:rsidR="007B1956" w:rsidRPr="00F021AD">
        <w:rPr>
          <w:i/>
          <w:szCs w:val="24"/>
        </w:rPr>
        <w:t xml:space="preserve"> dissenting</w:t>
      </w:r>
      <w:r w:rsidRPr="00F021AD">
        <w:rPr>
          <w:i/>
          <w:szCs w:val="24"/>
        </w:rPr>
        <w:t>.</w:t>
      </w:r>
    </w:p>
    <w:p w:rsidR="00560EE4" w:rsidRPr="00F021AD" w:rsidRDefault="00B928E2" w:rsidP="00E67AAB">
      <w:pPr>
        <w:pStyle w:val="SCCNormalDoubleSpacing"/>
        <w:spacing w:after="480"/>
        <w:rPr>
          <w:i/>
          <w:szCs w:val="24"/>
        </w:rPr>
      </w:pPr>
      <w:r w:rsidRPr="00F021AD">
        <w:rPr>
          <w:szCs w:val="24"/>
        </w:rPr>
        <w:tab/>
      </w:r>
      <w:r w:rsidRPr="00F021AD">
        <w:rPr>
          <w:i/>
          <w:szCs w:val="24"/>
        </w:rPr>
        <w:t>Solicitor for the appellant:  </w:t>
      </w:r>
      <w:r w:rsidR="007B1956" w:rsidRPr="00F021AD">
        <w:rPr>
          <w:i/>
          <w:szCs w:val="24"/>
        </w:rPr>
        <w:t>Public Prosecution Service of Nova Scotia, Halifax.</w:t>
      </w:r>
    </w:p>
    <w:p w:rsidR="009B57B3" w:rsidRPr="00A36B7A" w:rsidRDefault="00B928E2" w:rsidP="00A36B7A">
      <w:pPr>
        <w:pStyle w:val="SCCNormalDoubleSpacing"/>
        <w:spacing w:after="480"/>
        <w:rPr>
          <w:szCs w:val="24"/>
          <w:lang w:val="en-US"/>
        </w:rPr>
      </w:pPr>
      <w:r w:rsidRPr="00F021AD">
        <w:rPr>
          <w:i/>
          <w:szCs w:val="24"/>
        </w:rPr>
        <w:lastRenderedPageBreak/>
        <w:tab/>
        <w:t>Solicitor for the respondent:  </w:t>
      </w:r>
      <w:r w:rsidR="007B1956" w:rsidRPr="00F021AD">
        <w:rPr>
          <w:i/>
          <w:szCs w:val="24"/>
        </w:rPr>
        <w:t>Dartmouth Professional Centre, Dar</w:t>
      </w:r>
      <w:r w:rsidR="00FC35A6">
        <w:rPr>
          <w:i/>
          <w:szCs w:val="24"/>
        </w:rPr>
        <w:t>t</w:t>
      </w:r>
      <w:r w:rsidR="007B1956" w:rsidRPr="00F021AD">
        <w:rPr>
          <w:i/>
          <w:szCs w:val="24"/>
        </w:rPr>
        <w:t>mouth.</w:t>
      </w:r>
      <w:r w:rsidR="00A36B7A" w:rsidRPr="00A36B7A">
        <w:rPr>
          <w:szCs w:val="24"/>
          <w:lang w:val="en-US"/>
        </w:rPr>
        <w:t xml:space="preserve"> </w:t>
      </w:r>
    </w:p>
    <w:sectPr w:rsidR="009B57B3" w:rsidRPr="00A36B7A" w:rsidSect="00614597">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9A" w:rsidRDefault="0010249A">
      <w:r>
        <w:separator/>
      </w:r>
    </w:p>
  </w:endnote>
  <w:endnote w:type="continuationSeparator" w:id="0">
    <w:p w:rsidR="0010249A" w:rsidRDefault="00102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9A" w:rsidRDefault="0010249A">
      <w:r>
        <w:separator/>
      </w:r>
    </w:p>
  </w:footnote>
  <w:footnote w:type="continuationSeparator" w:id="0">
    <w:p w:rsidR="0010249A" w:rsidRDefault="00102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8751"/>
      <w:docPartObj>
        <w:docPartGallery w:val="Page Numbers (Top of Page)"/>
        <w:docPartUnique/>
      </w:docPartObj>
    </w:sdtPr>
    <w:sdtContent>
      <w:p w:rsidR="00614597" w:rsidRDefault="00614597">
        <w:pPr>
          <w:pStyle w:val="Header"/>
          <w:jc w:val="center"/>
        </w:pPr>
        <w:r>
          <w:t xml:space="preserve">- </w:t>
        </w:r>
        <w:fldSimple w:instr=" PAGE   \* MERGEFORMAT ">
          <w:r w:rsidR="005475D0">
            <w:rPr>
              <w:noProof/>
            </w:rPr>
            <w:t>9</w:t>
          </w:r>
        </w:fldSimple>
        <w:r>
          <w:t xml:space="preserve"> -</w:t>
        </w:r>
      </w:p>
    </w:sdtContent>
  </w:sdt>
  <w:p w:rsidR="0010249A" w:rsidRPr="00450352" w:rsidRDefault="0010249A"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rsids>
    <w:rsidRoot w:val="0031414C"/>
    <w:rsid w:val="00000ED4"/>
    <w:rsid w:val="00025198"/>
    <w:rsid w:val="000578A3"/>
    <w:rsid w:val="000648CC"/>
    <w:rsid w:val="000C59B8"/>
    <w:rsid w:val="000C6CC4"/>
    <w:rsid w:val="000D7E57"/>
    <w:rsid w:val="0010249A"/>
    <w:rsid w:val="00104F33"/>
    <w:rsid w:val="00111DE2"/>
    <w:rsid w:val="00116B38"/>
    <w:rsid w:val="001222B2"/>
    <w:rsid w:val="00135406"/>
    <w:rsid w:val="00135972"/>
    <w:rsid w:val="001426A9"/>
    <w:rsid w:val="00142A4B"/>
    <w:rsid w:val="00146DFB"/>
    <w:rsid w:val="00154D7C"/>
    <w:rsid w:val="0015595F"/>
    <w:rsid w:val="001570B0"/>
    <w:rsid w:val="0015752C"/>
    <w:rsid w:val="00157737"/>
    <w:rsid w:val="00165277"/>
    <w:rsid w:val="00170592"/>
    <w:rsid w:val="001B33E0"/>
    <w:rsid w:val="001B4573"/>
    <w:rsid w:val="001C779F"/>
    <w:rsid w:val="001D2AC1"/>
    <w:rsid w:val="001D4E88"/>
    <w:rsid w:val="00220FC2"/>
    <w:rsid w:val="00224648"/>
    <w:rsid w:val="00224FC0"/>
    <w:rsid w:val="00225EA4"/>
    <w:rsid w:val="00226EAF"/>
    <w:rsid w:val="00231089"/>
    <w:rsid w:val="00231F3A"/>
    <w:rsid w:val="002406EE"/>
    <w:rsid w:val="00243EC8"/>
    <w:rsid w:val="002473F9"/>
    <w:rsid w:val="002745CC"/>
    <w:rsid w:val="002A1263"/>
    <w:rsid w:val="002B7924"/>
    <w:rsid w:val="002D39A4"/>
    <w:rsid w:val="002E6705"/>
    <w:rsid w:val="002F3DD8"/>
    <w:rsid w:val="002F4ED2"/>
    <w:rsid w:val="0030329A"/>
    <w:rsid w:val="0031086F"/>
    <w:rsid w:val="0031414C"/>
    <w:rsid w:val="00314E01"/>
    <w:rsid w:val="0032089D"/>
    <w:rsid w:val="003310DE"/>
    <w:rsid w:val="00332B5E"/>
    <w:rsid w:val="0035169A"/>
    <w:rsid w:val="0035259D"/>
    <w:rsid w:val="00364B18"/>
    <w:rsid w:val="003654C4"/>
    <w:rsid w:val="0036726B"/>
    <w:rsid w:val="003A4C70"/>
    <w:rsid w:val="003B215F"/>
    <w:rsid w:val="003C1AE5"/>
    <w:rsid w:val="003C799C"/>
    <w:rsid w:val="003D0399"/>
    <w:rsid w:val="003E1C71"/>
    <w:rsid w:val="003E54B6"/>
    <w:rsid w:val="003F327B"/>
    <w:rsid w:val="00406166"/>
    <w:rsid w:val="0040704B"/>
    <w:rsid w:val="00410A55"/>
    <w:rsid w:val="00411300"/>
    <w:rsid w:val="00415417"/>
    <w:rsid w:val="00424816"/>
    <w:rsid w:val="00426659"/>
    <w:rsid w:val="00450352"/>
    <w:rsid w:val="00454BDB"/>
    <w:rsid w:val="00465132"/>
    <w:rsid w:val="00480C90"/>
    <w:rsid w:val="0048396F"/>
    <w:rsid w:val="00493C18"/>
    <w:rsid w:val="004A600C"/>
    <w:rsid w:val="004A6118"/>
    <w:rsid w:val="004C478D"/>
    <w:rsid w:val="004E0977"/>
    <w:rsid w:val="004E2C26"/>
    <w:rsid w:val="005125A8"/>
    <w:rsid w:val="00521AE8"/>
    <w:rsid w:val="00527180"/>
    <w:rsid w:val="005475D0"/>
    <w:rsid w:val="00555291"/>
    <w:rsid w:val="00560EE4"/>
    <w:rsid w:val="00566AD1"/>
    <w:rsid w:val="00583EDE"/>
    <w:rsid w:val="005A4E11"/>
    <w:rsid w:val="005B0C0F"/>
    <w:rsid w:val="005E4698"/>
    <w:rsid w:val="00610539"/>
    <w:rsid w:val="00613969"/>
    <w:rsid w:val="00614597"/>
    <w:rsid w:val="00625C35"/>
    <w:rsid w:val="00656313"/>
    <w:rsid w:val="006565F4"/>
    <w:rsid w:val="00684EEA"/>
    <w:rsid w:val="0069689B"/>
    <w:rsid w:val="006B4A1B"/>
    <w:rsid w:val="006B5FF5"/>
    <w:rsid w:val="006F0F38"/>
    <w:rsid w:val="00701759"/>
    <w:rsid w:val="00705C15"/>
    <w:rsid w:val="00747288"/>
    <w:rsid w:val="00747DD3"/>
    <w:rsid w:val="0075288C"/>
    <w:rsid w:val="007549C8"/>
    <w:rsid w:val="007660EA"/>
    <w:rsid w:val="00766D14"/>
    <w:rsid w:val="00767A0F"/>
    <w:rsid w:val="007825AB"/>
    <w:rsid w:val="007A05F6"/>
    <w:rsid w:val="007B1956"/>
    <w:rsid w:val="007B6F4A"/>
    <w:rsid w:val="007E1C47"/>
    <w:rsid w:val="007E337A"/>
    <w:rsid w:val="007E5C70"/>
    <w:rsid w:val="007F2FF5"/>
    <w:rsid w:val="007F3F08"/>
    <w:rsid w:val="00804CC6"/>
    <w:rsid w:val="00817190"/>
    <w:rsid w:val="00820CB8"/>
    <w:rsid w:val="008260E2"/>
    <w:rsid w:val="008322BD"/>
    <w:rsid w:val="00834F73"/>
    <w:rsid w:val="00864CF8"/>
    <w:rsid w:val="00867115"/>
    <w:rsid w:val="00874914"/>
    <w:rsid w:val="00891422"/>
    <w:rsid w:val="00892E1A"/>
    <w:rsid w:val="008C01DA"/>
    <w:rsid w:val="008D7828"/>
    <w:rsid w:val="008F78E9"/>
    <w:rsid w:val="009179F9"/>
    <w:rsid w:val="00933E5E"/>
    <w:rsid w:val="00935218"/>
    <w:rsid w:val="009403F3"/>
    <w:rsid w:val="00946FE4"/>
    <w:rsid w:val="009555B7"/>
    <w:rsid w:val="009567AA"/>
    <w:rsid w:val="0096481F"/>
    <w:rsid w:val="00967374"/>
    <w:rsid w:val="009B2F23"/>
    <w:rsid w:val="009B4938"/>
    <w:rsid w:val="009B57B3"/>
    <w:rsid w:val="009D2920"/>
    <w:rsid w:val="009D5AEB"/>
    <w:rsid w:val="009F084F"/>
    <w:rsid w:val="009F0E33"/>
    <w:rsid w:val="009F252E"/>
    <w:rsid w:val="00A149DF"/>
    <w:rsid w:val="00A21B90"/>
    <w:rsid w:val="00A240A3"/>
    <w:rsid w:val="00A36B7A"/>
    <w:rsid w:val="00A41805"/>
    <w:rsid w:val="00A548CB"/>
    <w:rsid w:val="00A5521C"/>
    <w:rsid w:val="00A643E7"/>
    <w:rsid w:val="00A73C38"/>
    <w:rsid w:val="00AB670D"/>
    <w:rsid w:val="00AF03C5"/>
    <w:rsid w:val="00AF3B9F"/>
    <w:rsid w:val="00AF56B7"/>
    <w:rsid w:val="00B000D8"/>
    <w:rsid w:val="00B00F75"/>
    <w:rsid w:val="00B145B6"/>
    <w:rsid w:val="00B50C81"/>
    <w:rsid w:val="00B557F8"/>
    <w:rsid w:val="00B566AA"/>
    <w:rsid w:val="00B815FC"/>
    <w:rsid w:val="00B928E2"/>
    <w:rsid w:val="00B93FBC"/>
    <w:rsid w:val="00BB2EE4"/>
    <w:rsid w:val="00BC2108"/>
    <w:rsid w:val="00BD0E9E"/>
    <w:rsid w:val="00BD1BEC"/>
    <w:rsid w:val="00BD32FF"/>
    <w:rsid w:val="00BD4109"/>
    <w:rsid w:val="00C02092"/>
    <w:rsid w:val="00C24D91"/>
    <w:rsid w:val="00C45FD1"/>
    <w:rsid w:val="00C53F14"/>
    <w:rsid w:val="00C600CF"/>
    <w:rsid w:val="00C6084F"/>
    <w:rsid w:val="00C62A66"/>
    <w:rsid w:val="00C71458"/>
    <w:rsid w:val="00C77613"/>
    <w:rsid w:val="00C822AC"/>
    <w:rsid w:val="00C828E7"/>
    <w:rsid w:val="00C86719"/>
    <w:rsid w:val="00C921DD"/>
    <w:rsid w:val="00CA6391"/>
    <w:rsid w:val="00CE3171"/>
    <w:rsid w:val="00CF1601"/>
    <w:rsid w:val="00CF3032"/>
    <w:rsid w:val="00D0172F"/>
    <w:rsid w:val="00D068A7"/>
    <w:rsid w:val="00D32086"/>
    <w:rsid w:val="00D37A3F"/>
    <w:rsid w:val="00D421C4"/>
    <w:rsid w:val="00D4431D"/>
    <w:rsid w:val="00D4667A"/>
    <w:rsid w:val="00D7516F"/>
    <w:rsid w:val="00D901E5"/>
    <w:rsid w:val="00D93E27"/>
    <w:rsid w:val="00D95F8E"/>
    <w:rsid w:val="00DA0590"/>
    <w:rsid w:val="00DB76B4"/>
    <w:rsid w:val="00DC1788"/>
    <w:rsid w:val="00DE16A5"/>
    <w:rsid w:val="00DE319C"/>
    <w:rsid w:val="00DF0CA8"/>
    <w:rsid w:val="00DF2B48"/>
    <w:rsid w:val="00DF49A7"/>
    <w:rsid w:val="00E07EE2"/>
    <w:rsid w:val="00E07FD1"/>
    <w:rsid w:val="00E24573"/>
    <w:rsid w:val="00E25E1E"/>
    <w:rsid w:val="00E27EE7"/>
    <w:rsid w:val="00E35404"/>
    <w:rsid w:val="00E45109"/>
    <w:rsid w:val="00E47B7A"/>
    <w:rsid w:val="00E60269"/>
    <w:rsid w:val="00E67AAB"/>
    <w:rsid w:val="00E97830"/>
    <w:rsid w:val="00EE652D"/>
    <w:rsid w:val="00EF0683"/>
    <w:rsid w:val="00F0070C"/>
    <w:rsid w:val="00F00EB7"/>
    <w:rsid w:val="00F021AD"/>
    <w:rsid w:val="00F36AB6"/>
    <w:rsid w:val="00F37A09"/>
    <w:rsid w:val="00F409CE"/>
    <w:rsid w:val="00F42DD8"/>
    <w:rsid w:val="00F4379D"/>
    <w:rsid w:val="00F84DF4"/>
    <w:rsid w:val="00F85C97"/>
    <w:rsid w:val="00FB37D2"/>
    <w:rsid w:val="00FB568E"/>
    <w:rsid w:val="00FC35A6"/>
    <w:rsid w:val="00FC4EFB"/>
    <w:rsid w:val="00FD068D"/>
    <w:rsid w:val="00FD4F28"/>
    <w:rsid w:val="00FE3F8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qFormat/>
    <w:rsid w:val="009B4938"/>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A36B7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36B7A"/>
    <w:rPr>
      <w:rFonts w:eastAsiaTheme="minorHAnsi" w:cstheme="minorBidi"/>
      <w:sz w:val="24"/>
      <w:szCs w:val="22"/>
      <w:lang w:eastAsia="en-US"/>
    </w:rPr>
  </w:style>
  <w:style w:type="table" w:styleId="TableGrid">
    <w:name w:val="Table Grid"/>
    <w:basedOn w:val="TableNormal"/>
    <w:uiPriority w:val="59"/>
    <w:rsid w:val="00A36B7A"/>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uiPriority w:val="3"/>
    <w:rsid w:val="00A36B7A"/>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A36B7A"/>
    <w:pPr>
      <w:tabs>
        <w:tab w:val="left" w:pos="360"/>
      </w:tabs>
      <w:spacing w:before="480" w:after="48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1499</Words>
  <Characters>7733</Characters>
  <Application>Microsoft Office Word</Application>
  <DocSecurity>0</DocSecurity>
  <Lines>64</Lines>
  <Paragraphs>18</Paragraphs>
  <ScaleCrop>false</ScaleCrop>
  <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2011-10-20T13:47:00Z</dcterms:created>
  <dcterms:modified xsi:type="dcterms:W3CDTF">2011-10-20T13:47:00Z</dcterms:modified>
</cp:coreProperties>
</file>